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F0917" w14:textId="77777777" w:rsidR="00155EEA" w:rsidRDefault="3384491E" w:rsidP="3384491E">
      <w:pPr>
        <w:pStyle w:val="SubSubPar"/>
        <w:numPr>
          <w:ilvl w:val="3"/>
          <w:numId w:val="0"/>
        </w:numPr>
        <w:spacing w:after="0"/>
        <w:jc w:val="center"/>
        <w:rPr>
          <w:rFonts w:ascii="Arial" w:hAnsi="Arial" w:cs="Arial"/>
          <w:smallCaps/>
          <w:sz w:val="22"/>
          <w:szCs w:val="22"/>
          <w:lang w:val="es-ES"/>
        </w:rPr>
      </w:pPr>
      <w:r w:rsidRPr="3384491E">
        <w:rPr>
          <w:rFonts w:ascii="Arial" w:hAnsi="Arial" w:cs="Arial"/>
          <w:smallCaps/>
          <w:sz w:val="22"/>
          <w:szCs w:val="22"/>
          <w:lang w:val="es-ES"/>
        </w:rPr>
        <w:t>Documento del Banco Interamericano de Desarrollo</w:t>
      </w:r>
    </w:p>
    <w:p w14:paraId="5E8C631D" w14:textId="77777777" w:rsidR="00155EEA" w:rsidRDefault="00155EEA">
      <w:pPr>
        <w:tabs>
          <w:tab w:val="left" w:pos="1440"/>
          <w:tab w:val="left" w:pos="3060"/>
        </w:tabs>
        <w:jc w:val="center"/>
        <w:rPr>
          <w:rFonts w:ascii="Arial" w:hAnsi="Arial" w:cs="Arial"/>
          <w:smallCaps/>
          <w:sz w:val="22"/>
          <w:szCs w:val="22"/>
          <w:lang w:val="es-ES"/>
        </w:rPr>
      </w:pPr>
    </w:p>
    <w:p w14:paraId="4AC32C60" w14:textId="77777777" w:rsidR="00155EEA" w:rsidRDefault="00155EEA">
      <w:pPr>
        <w:tabs>
          <w:tab w:val="left" w:pos="1440"/>
          <w:tab w:val="left" w:pos="3060"/>
        </w:tabs>
        <w:jc w:val="center"/>
        <w:rPr>
          <w:rFonts w:ascii="Arial" w:hAnsi="Arial" w:cs="Arial"/>
          <w:smallCaps/>
          <w:sz w:val="22"/>
          <w:szCs w:val="22"/>
          <w:lang w:val="es-ES"/>
        </w:rPr>
      </w:pPr>
    </w:p>
    <w:p w14:paraId="3C8A2B61" w14:textId="77777777" w:rsidR="00155EEA" w:rsidRDefault="00155EEA">
      <w:pPr>
        <w:tabs>
          <w:tab w:val="left" w:pos="1440"/>
          <w:tab w:val="left" w:pos="3060"/>
        </w:tabs>
        <w:jc w:val="center"/>
        <w:rPr>
          <w:rFonts w:ascii="Arial" w:hAnsi="Arial" w:cs="Arial"/>
          <w:smallCaps/>
          <w:sz w:val="22"/>
          <w:szCs w:val="22"/>
          <w:lang w:val="es-ES"/>
        </w:rPr>
      </w:pPr>
    </w:p>
    <w:p w14:paraId="1BAEED2D" w14:textId="77777777" w:rsidR="00155EEA" w:rsidRDefault="00155EEA">
      <w:pPr>
        <w:tabs>
          <w:tab w:val="left" w:pos="1440"/>
          <w:tab w:val="left" w:pos="3060"/>
        </w:tabs>
        <w:jc w:val="center"/>
        <w:rPr>
          <w:rFonts w:ascii="Arial" w:hAnsi="Arial" w:cs="Arial"/>
          <w:smallCaps/>
          <w:sz w:val="22"/>
          <w:szCs w:val="22"/>
          <w:lang w:val="es-ES"/>
        </w:rPr>
      </w:pPr>
    </w:p>
    <w:p w14:paraId="20CD8F06" w14:textId="77777777" w:rsidR="00155EEA" w:rsidRDefault="00155EEA">
      <w:pPr>
        <w:tabs>
          <w:tab w:val="left" w:pos="1440"/>
          <w:tab w:val="left" w:pos="3060"/>
        </w:tabs>
        <w:jc w:val="center"/>
        <w:rPr>
          <w:rFonts w:ascii="Arial" w:hAnsi="Arial" w:cs="Arial"/>
          <w:smallCaps/>
          <w:sz w:val="22"/>
          <w:szCs w:val="22"/>
          <w:lang w:val="es-ES"/>
        </w:rPr>
      </w:pPr>
    </w:p>
    <w:p w14:paraId="08F48B16" w14:textId="77777777" w:rsidR="00155EEA" w:rsidRDefault="00155EEA">
      <w:pPr>
        <w:tabs>
          <w:tab w:val="left" w:pos="1440"/>
          <w:tab w:val="left" w:pos="3060"/>
        </w:tabs>
        <w:jc w:val="center"/>
        <w:rPr>
          <w:rFonts w:ascii="Arial" w:hAnsi="Arial" w:cs="Arial"/>
          <w:smallCaps/>
          <w:sz w:val="22"/>
          <w:szCs w:val="22"/>
          <w:lang w:val="es-ES"/>
        </w:rPr>
      </w:pPr>
    </w:p>
    <w:p w14:paraId="28887D6C" w14:textId="77777777" w:rsidR="00155EEA" w:rsidRDefault="00155EEA">
      <w:pPr>
        <w:tabs>
          <w:tab w:val="left" w:pos="1440"/>
          <w:tab w:val="left" w:pos="3060"/>
        </w:tabs>
        <w:jc w:val="center"/>
        <w:rPr>
          <w:rFonts w:ascii="Arial" w:hAnsi="Arial" w:cs="Arial"/>
          <w:smallCaps/>
          <w:sz w:val="22"/>
          <w:szCs w:val="22"/>
          <w:lang w:val="es-ES"/>
        </w:rPr>
      </w:pPr>
    </w:p>
    <w:p w14:paraId="17405514" w14:textId="77777777" w:rsidR="00155EEA" w:rsidRDefault="00155EEA">
      <w:pPr>
        <w:tabs>
          <w:tab w:val="left" w:pos="1440"/>
          <w:tab w:val="left" w:pos="3060"/>
        </w:tabs>
        <w:jc w:val="center"/>
        <w:rPr>
          <w:rFonts w:ascii="Arial" w:hAnsi="Arial" w:cs="Arial"/>
          <w:smallCaps/>
          <w:sz w:val="22"/>
          <w:szCs w:val="22"/>
          <w:lang w:val="es-ES"/>
        </w:rPr>
      </w:pPr>
    </w:p>
    <w:p w14:paraId="1A0CA6A0" w14:textId="4A27165B" w:rsidR="00155EEA" w:rsidRDefault="00F35FB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Ecuador</w:t>
      </w:r>
    </w:p>
    <w:p w14:paraId="7261111A" w14:textId="77777777" w:rsidR="00155EEA" w:rsidRDefault="00155EEA">
      <w:pPr>
        <w:tabs>
          <w:tab w:val="left" w:pos="1440"/>
          <w:tab w:val="left" w:pos="3060"/>
        </w:tabs>
        <w:jc w:val="center"/>
        <w:rPr>
          <w:rFonts w:ascii="Arial" w:hAnsi="Arial" w:cs="Arial"/>
          <w:b/>
          <w:smallCaps/>
          <w:sz w:val="28"/>
          <w:szCs w:val="28"/>
          <w:lang w:val="es-ES"/>
        </w:rPr>
      </w:pPr>
    </w:p>
    <w:p w14:paraId="10DA0F81" w14:textId="77777777" w:rsidR="00155EEA" w:rsidRDefault="00155EEA">
      <w:pPr>
        <w:tabs>
          <w:tab w:val="left" w:pos="1440"/>
          <w:tab w:val="left" w:pos="3060"/>
        </w:tabs>
        <w:jc w:val="center"/>
        <w:rPr>
          <w:rFonts w:ascii="Arial" w:hAnsi="Arial" w:cs="Arial"/>
          <w:b/>
          <w:smallCaps/>
          <w:sz w:val="28"/>
          <w:szCs w:val="28"/>
          <w:lang w:val="es-ES"/>
        </w:rPr>
      </w:pPr>
    </w:p>
    <w:p w14:paraId="1891817C" w14:textId="77777777" w:rsidR="00155EEA" w:rsidRDefault="00155EEA">
      <w:pPr>
        <w:tabs>
          <w:tab w:val="left" w:pos="1440"/>
          <w:tab w:val="left" w:pos="3060"/>
        </w:tabs>
        <w:jc w:val="center"/>
        <w:rPr>
          <w:rFonts w:ascii="Arial" w:hAnsi="Arial" w:cs="Arial"/>
          <w:b/>
          <w:smallCaps/>
          <w:sz w:val="28"/>
          <w:szCs w:val="28"/>
          <w:lang w:val="es-ES"/>
        </w:rPr>
      </w:pPr>
    </w:p>
    <w:p w14:paraId="21213FAD" w14:textId="77777777" w:rsidR="00155EEA" w:rsidRDefault="00155EEA">
      <w:pPr>
        <w:tabs>
          <w:tab w:val="left" w:pos="1440"/>
          <w:tab w:val="left" w:pos="3060"/>
        </w:tabs>
        <w:rPr>
          <w:rFonts w:ascii="Arial" w:hAnsi="Arial" w:cs="Arial"/>
          <w:smallCaps/>
          <w:sz w:val="22"/>
          <w:szCs w:val="22"/>
          <w:lang w:val="es-ES"/>
        </w:rPr>
      </w:pPr>
    </w:p>
    <w:p w14:paraId="13948A38" w14:textId="77777777" w:rsidR="00155EEA" w:rsidRDefault="00155EEA">
      <w:pPr>
        <w:tabs>
          <w:tab w:val="left" w:pos="1440"/>
          <w:tab w:val="left" w:pos="3060"/>
        </w:tabs>
        <w:rPr>
          <w:rFonts w:ascii="Arial" w:hAnsi="Arial" w:cs="Arial"/>
          <w:smallCaps/>
          <w:sz w:val="22"/>
          <w:szCs w:val="22"/>
          <w:lang w:val="es-ES"/>
        </w:rPr>
      </w:pPr>
    </w:p>
    <w:p w14:paraId="44874CED" w14:textId="77777777" w:rsidR="00155EEA" w:rsidRDefault="00155EEA">
      <w:pPr>
        <w:tabs>
          <w:tab w:val="left" w:pos="1440"/>
          <w:tab w:val="left" w:pos="3060"/>
        </w:tabs>
        <w:rPr>
          <w:rFonts w:ascii="Arial" w:hAnsi="Arial" w:cs="Arial"/>
          <w:smallCaps/>
          <w:sz w:val="22"/>
          <w:szCs w:val="22"/>
          <w:lang w:val="es-ES"/>
        </w:rPr>
      </w:pPr>
    </w:p>
    <w:p w14:paraId="159EFDFC" w14:textId="77777777" w:rsidR="00155EEA" w:rsidRDefault="00155EEA">
      <w:pPr>
        <w:tabs>
          <w:tab w:val="left" w:pos="1440"/>
          <w:tab w:val="left" w:pos="3060"/>
        </w:tabs>
        <w:rPr>
          <w:rFonts w:ascii="Arial" w:hAnsi="Arial" w:cs="Arial"/>
          <w:smallCaps/>
          <w:sz w:val="22"/>
          <w:szCs w:val="22"/>
          <w:lang w:val="es-ES"/>
        </w:rPr>
      </w:pPr>
    </w:p>
    <w:p w14:paraId="0F8276E1" w14:textId="77777777" w:rsidR="00155EEA" w:rsidRDefault="00155EEA">
      <w:pPr>
        <w:tabs>
          <w:tab w:val="left" w:pos="1440"/>
          <w:tab w:val="left" w:pos="3060"/>
        </w:tabs>
        <w:rPr>
          <w:rFonts w:ascii="Arial" w:hAnsi="Arial" w:cs="Arial"/>
          <w:smallCaps/>
          <w:sz w:val="22"/>
          <w:szCs w:val="22"/>
          <w:lang w:val="es-ES"/>
        </w:rPr>
      </w:pPr>
    </w:p>
    <w:p w14:paraId="51726E04" w14:textId="77777777" w:rsidR="00655AE7" w:rsidRDefault="00655AE7">
      <w:pPr>
        <w:tabs>
          <w:tab w:val="left" w:pos="1440"/>
          <w:tab w:val="left" w:pos="3060"/>
        </w:tabs>
        <w:jc w:val="center"/>
        <w:rPr>
          <w:rFonts w:ascii="Arial" w:hAnsi="Arial" w:cs="Arial"/>
          <w:b/>
          <w:smallCaps/>
          <w:sz w:val="28"/>
          <w:szCs w:val="28"/>
          <w:lang w:val="es-ES"/>
        </w:rPr>
      </w:pPr>
      <w:r w:rsidRPr="00BD0A95">
        <w:rPr>
          <w:rFonts w:ascii="Arial" w:hAnsi="Arial" w:cs="Arial"/>
          <w:b/>
          <w:bCs/>
          <w:smallCaps/>
          <w:sz w:val="28"/>
          <w:szCs w:val="28"/>
        </w:rPr>
        <w:t>Programa de Apoyo a la Mejora de la Gestión Fiscal y el Fomento Productivo</w:t>
      </w:r>
      <w:r>
        <w:rPr>
          <w:rFonts w:ascii="Arial" w:hAnsi="Arial" w:cs="Arial"/>
          <w:b/>
          <w:smallCaps/>
          <w:sz w:val="28"/>
          <w:szCs w:val="28"/>
          <w:lang w:val="es-ES"/>
        </w:rPr>
        <w:t xml:space="preserve"> </w:t>
      </w:r>
    </w:p>
    <w:p w14:paraId="6874883C" w14:textId="705B82D4" w:rsidR="00155EEA" w:rsidRDefault="00C2392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w:t>
      </w:r>
      <w:r w:rsidR="00655AE7" w:rsidRPr="00655AE7">
        <w:rPr>
          <w:rFonts w:ascii="Arial" w:hAnsi="Arial" w:cs="Arial"/>
          <w:b/>
          <w:smallCaps/>
          <w:sz w:val="28"/>
          <w:szCs w:val="28"/>
          <w:lang w:val="es-ES"/>
        </w:rPr>
        <w:t>EC-L1252</w:t>
      </w:r>
      <w:r>
        <w:rPr>
          <w:rFonts w:ascii="Arial" w:hAnsi="Arial" w:cs="Arial"/>
          <w:b/>
          <w:smallCaps/>
          <w:sz w:val="28"/>
          <w:szCs w:val="28"/>
          <w:lang w:val="es-ES"/>
        </w:rPr>
        <w:t>)</w:t>
      </w:r>
    </w:p>
    <w:p w14:paraId="01B6F076" w14:textId="623392A4" w:rsidR="00655AE7" w:rsidRDefault="00655AE7">
      <w:pPr>
        <w:tabs>
          <w:tab w:val="left" w:pos="1440"/>
          <w:tab w:val="left" w:pos="3060"/>
        </w:tabs>
        <w:jc w:val="center"/>
        <w:rPr>
          <w:rFonts w:ascii="Arial" w:hAnsi="Arial" w:cs="Arial"/>
          <w:b/>
          <w:smallCaps/>
          <w:sz w:val="28"/>
          <w:szCs w:val="28"/>
          <w:lang w:val="es-ES"/>
        </w:rPr>
      </w:pPr>
    </w:p>
    <w:p w14:paraId="6F8D8B20" w14:textId="77777777" w:rsidR="00655AE7" w:rsidRDefault="00655AE7">
      <w:pPr>
        <w:tabs>
          <w:tab w:val="left" w:pos="1440"/>
          <w:tab w:val="left" w:pos="3060"/>
        </w:tabs>
        <w:jc w:val="center"/>
        <w:rPr>
          <w:rFonts w:ascii="Arial" w:hAnsi="Arial" w:cs="Arial"/>
          <w:b/>
          <w:smallCaps/>
          <w:sz w:val="28"/>
          <w:szCs w:val="28"/>
          <w:lang w:val="es-ES"/>
        </w:rPr>
      </w:pPr>
    </w:p>
    <w:p w14:paraId="599B598F" w14:textId="77777777" w:rsidR="00155EEA" w:rsidRDefault="00155EEA">
      <w:pPr>
        <w:tabs>
          <w:tab w:val="left" w:pos="1440"/>
          <w:tab w:val="left" w:pos="3060"/>
        </w:tabs>
        <w:jc w:val="center"/>
        <w:rPr>
          <w:rFonts w:ascii="Arial" w:hAnsi="Arial" w:cs="Arial"/>
          <w:b/>
          <w:smallCaps/>
          <w:sz w:val="28"/>
          <w:szCs w:val="28"/>
          <w:lang w:val="es-ES"/>
        </w:rPr>
      </w:pPr>
    </w:p>
    <w:p w14:paraId="37C7B524" w14:textId="77777777" w:rsidR="00155EEA" w:rsidRDefault="00155EEA">
      <w:pPr>
        <w:tabs>
          <w:tab w:val="left" w:pos="1440"/>
          <w:tab w:val="left" w:pos="3060"/>
        </w:tabs>
        <w:jc w:val="center"/>
        <w:rPr>
          <w:rFonts w:ascii="Arial" w:hAnsi="Arial" w:cs="Arial"/>
          <w:b/>
          <w:smallCaps/>
          <w:sz w:val="28"/>
          <w:szCs w:val="28"/>
          <w:lang w:val="es-ES"/>
        </w:rPr>
      </w:pPr>
    </w:p>
    <w:p w14:paraId="037CF907" w14:textId="77777777" w:rsidR="00155EEA" w:rsidRDefault="00C2392C">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 xml:space="preserve">Plan de Monitoreo y Evaluación </w:t>
      </w:r>
    </w:p>
    <w:p w14:paraId="6C6A37F0" w14:textId="77777777" w:rsidR="00155EEA" w:rsidRDefault="00155EEA">
      <w:pPr>
        <w:tabs>
          <w:tab w:val="left" w:pos="1440"/>
          <w:tab w:val="left" w:pos="3060"/>
        </w:tabs>
        <w:jc w:val="center"/>
        <w:rPr>
          <w:rFonts w:ascii="Arial" w:hAnsi="Arial" w:cs="Arial"/>
          <w:b/>
          <w:smallCaps/>
          <w:sz w:val="28"/>
          <w:szCs w:val="28"/>
          <w:lang w:val="es-ES"/>
        </w:rPr>
      </w:pPr>
    </w:p>
    <w:p w14:paraId="41F0ED72" w14:textId="77777777" w:rsidR="00155EEA" w:rsidRDefault="00155EEA">
      <w:pPr>
        <w:pStyle w:val="Newpage"/>
        <w:rPr>
          <w:rFonts w:ascii="Arial" w:hAnsi="Arial" w:cs="Arial"/>
          <w:b w:val="0"/>
          <w:caps/>
          <w:smallCaps w:val="0"/>
          <w:sz w:val="22"/>
          <w:szCs w:val="22"/>
        </w:rPr>
      </w:pPr>
    </w:p>
    <w:p w14:paraId="52D2009C" w14:textId="77777777" w:rsidR="00155EEA" w:rsidRDefault="00155EEA">
      <w:pPr>
        <w:tabs>
          <w:tab w:val="left" w:pos="1440"/>
          <w:tab w:val="left" w:pos="3060"/>
        </w:tabs>
        <w:jc w:val="center"/>
        <w:rPr>
          <w:rFonts w:ascii="Arial" w:hAnsi="Arial" w:cs="Arial"/>
          <w:b/>
          <w:smallCaps/>
          <w:sz w:val="22"/>
          <w:szCs w:val="22"/>
          <w:lang w:val="es-ES"/>
        </w:rPr>
      </w:pPr>
    </w:p>
    <w:p w14:paraId="5D6E447A" w14:textId="77777777" w:rsidR="00155EEA" w:rsidRDefault="00155EEA">
      <w:pPr>
        <w:tabs>
          <w:tab w:val="left" w:pos="1440"/>
          <w:tab w:val="left" w:pos="3060"/>
        </w:tabs>
        <w:jc w:val="center"/>
        <w:rPr>
          <w:rFonts w:ascii="Arial" w:hAnsi="Arial" w:cs="Arial"/>
          <w:smallCaps/>
          <w:sz w:val="22"/>
          <w:szCs w:val="22"/>
          <w:lang w:val="es-ES"/>
        </w:rPr>
      </w:pPr>
    </w:p>
    <w:p w14:paraId="6A45D40F" w14:textId="77777777" w:rsidR="00155EEA" w:rsidRDefault="00155EEA">
      <w:pPr>
        <w:tabs>
          <w:tab w:val="left" w:pos="1440"/>
          <w:tab w:val="left" w:pos="3060"/>
        </w:tabs>
        <w:jc w:val="center"/>
        <w:rPr>
          <w:rFonts w:ascii="Arial" w:hAnsi="Arial" w:cs="Arial"/>
          <w:smallCaps/>
          <w:sz w:val="22"/>
          <w:szCs w:val="22"/>
          <w:lang w:val="es-ES"/>
        </w:rPr>
      </w:pPr>
    </w:p>
    <w:p w14:paraId="13E53831" w14:textId="77777777" w:rsidR="00155EEA" w:rsidRDefault="00155EEA">
      <w:pPr>
        <w:tabs>
          <w:tab w:val="left" w:pos="1440"/>
          <w:tab w:val="left" w:pos="3060"/>
        </w:tabs>
        <w:jc w:val="center"/>
        <w:rPr>
          <w:rFonts w:ascii="Arial" w:hAnsi="Arial" w:cs="Arial"/>
          <w:smallCaps/>
          <w:sz w:val="22"/>
          <w:szCs w:val="22"/>
          <w:lang w:val="es-ES"/>
        </w:rPr>
      </w:pPr>
    </w:p>
    <w:p w14:paraId="0C4CACBA" w14:textId="77777777" w:rsidR="00155EEA" w:rsidRDefault="00155EEA">
      <w:pPr>
        <w:tabs>
          <w:tab w:val="left" w:pos="1440"/>
          <w:tab w:val="left" w:pos="3060"/>
        </w:tabs>
        <w:jc w:val="center"/>
        <w:rPr>
          <w:rFonts w:ascii="Arial" w:hAnsi="Arial" w:cs="Arial"/>
          <w:sz w:val="22"/>
          <w:szCs w:val="22"/>
          <w:lang w:val="es-ES"/>
        </w:rPr>
      </w:pPr>
    </w:p>
    <w:p w14:paraId="748B16D6" w14:textId="77777777" w:rsidR="00155EEA" w:rsidRDefault="00155EEA">
      <w:pPr>
        <w:tabs>
          <w:tab w:val="left" w:pos="1440"/>
          <w:tab w:val="left" w:pos="3060"/>
        </w:tabs>
        <w:jc w:val="center"/>
        <w:rPr>
          <w:rFonts w:ascii="Arial" w:hAnsi="Arial" w:cs="Arial"/>
          <w:sz w:val="22"/>
          <w:szCs w:val="22"/>
          <w:lang w:val="es-ES"/>
        </w:rPr>
      </w:pPr>
    </w:p>
    <w:p w14:paraId="16F80396" w14:textId="77777777" w:rsidR="00155EEA" w:rsidRDefault="00155EEA">
      <w:pPr>
        <w:tabs>
          <w:tab w:val="left" w:pos="1440"/>
          <w:tab w:val="left" w:pos="3060"/>
        </w:tabs>
        <w:jc w:val="center"/>
        <w:rPr>
          <w:rFonts w:ascii="Arial" w:hAnsi="Arial" w:cs="Arial"/>
          <w:sz w:val="22"/>
          <w:szCs w:val="22"/>
          <w:lang w:val="es-ES"/>
        </w:rPr>
      </w:pPr>
    </w:p>
    <w:p w14:paraId="43AE3E13" w14:textId="77777777" w:rsidR="00155EEA" w:rsidRDefault="00155EEA">
      <w:pPr>
        <w:tabs>
          <w:tab w:val="left" w:pos="1440"/>
          <w:tab w:val="left" w:pos="3060"/>
        </w:tabs>
        <w:jc w:val="center"/>
        <w:rPr>
          <w:rFonts w:ascii="Arial" w:hAnsi="Arial" w:cs="Arial"/>
          <w:sz w:val="22"/>
          <w:szCs w:val="22"/>
          <w:lang w:val="es-ES"/>
        </w:rPr>
      </w:pPr>
    </w:p>
    <w:p w14:paraId="0E903BAB" w14:textId="77777777" w:rsidR="00155EEA" w:rsidRDefault="00155EEA">
      <w:pPr>
        <w:tabs>
          <w:tab w:val="left" w:pos="1440"/>
          <w:tab w:val="left" w:pos="3060"/>
        </w:tabs>
        <w:jc w:val="center"/>
        <w:rPr>
          <w:rFonts w:ascii="Arial" w:hAnsi="Arial" w:cs="Arial"/>
          <w:sz w:val="22"/>
          <w:szCs w:val="22"/>
          <w:lang w:val="es-ES"/>
        </w:rPr>
      </w:pPr>
    </w:p>
    <w:p w14:paraId="4E4DBDA7" w14:textId="77777777" w:rsidR="00155EEA" w:rsidRDefault="00155EEA">
      <w:pPr>
        <w:tabs>
          <w:tab w:val="left" w:pos="1440"/>
          <w:tab w:val="left" w:pos="3060"/>
        </w:tabs>
        <w:jc w:val="center"/>
        <w:rPr>
          <w:rFonts w:ascii="Arial" w:hAnsi="Arial" w:cs="Arial"/>
          <w:sz w:val="22"/>
          <w:szCs w:val="22"/>
          <w:lang w:val="es-ES"/>
        </w:rPr>
      </w:pPr>
    </w:p>
    <w:p w14:paraId="177181CB" w14:textId="77777777" w:rsidR="00155EEA" w:rsidRDefault="00155EEA">
      <w:pPr>
        <w:tabs>
          <w:tab w:val="left" w:pos="1440"/>
          <w:tab w:val="left" w:pos="3060"/>
        </w:tabs>
        <w:jc w:val="center"/>
        <w:rPr>
          <w:rFonts w:ascii="Arial" w:hAnsi="Arial" w:cs="Arial"/>
          <w:sz w:val="22"/>
          <w:szCs w:val="22"/>
          <w:lang w:val="es-ES"/>
        </w:rPr>
      </w:pPr>
    </w:p>
    <w:p w14:paraId="788CFF37" w14:textId="77777777" w:rsidR="00155EEA" w:rsidRDefault="00155EEA">
      <w:pPr>
        <w:tabs>
          <w:tab w:val="left" w:pos="1440"/>
          <w:tab w:val="left" w:pos="3060"/>
        </w:tabs>
        <w:jc w:val="center"/>
        <w:rPr>
          <w:rFonts w:ascii="Arial" w:hAnsi="Arial" w:cs="Arial"/>
          <w:sz w:val="22"/>
          <w:szCs w:val="22"/>
          <w:lang w:val="es-ES"/>
        </w:rPr>
      </w:pPr>
    </w:p>
    <w:p w14:paraId="5427E334" w14:textId="77777777" w:rsidR="00155EEA" w:rsidRDefault="00155EEA">
      <w:pPr>
        <w:tabs>
          <w:tab w:val="left" w:pos="1440"/>
          <w:tab w:val="left" w:pos="3060"/>
        </w:tabs>
        <w:jc w:val="center"/>
        <w:rPr>
          <w:rFonts w:ascii="Arial" w:hAnsi="Arial" w:cs="Arial"/>
          <w:sz w:val="22"/>
          <w:szCs w:val="22"/>
          <w:lang w:val="es-ES"/>
        </w:rPr>
      </w:pPr>
    </w:p>
    <w:p w14:paraId="19443668" w14:textId="77777777" w:rsidR="00155EEA" w:rsidRDefault="00155EEA">
      <w:pPr>
        <w:tabs>
          <w:tab w:val="left" w:pos="1440"/>
          <w:tab w:val="left" w:pos="3060"/>
        </w:tabs>
        <w:jc w:val="center"/>
        <w:rPr>
          <w:rFonts w:ascii="Arial" w:hAnsi="Arial" w:cs="Arial"/>
          <w:sz w:val="22"/>
          <w:szCs w:val="22"/>
          <w:lang w:val="es-ES"/>
        </w:rPr>
      </w:pPr>
    </w:p>
    <w:p w14:paraId="68E7F890" w14:textId="77777777" w:rsidR="00155EEA" w:rsidRDefault="00155EEA">
      <w:pPr>
        <w:tabs>
          <w:tab w:val="left" w:pos="1440"/>
          <w:tab w:val="left" w:pos="3060"/>
        </w:tabs>
        <w:jc w:val="center"/>
        <w:rPr>
          <w:rFonts w:ascii="Arial" w:hAnsi="Arial" w:cs="Arial"/>
          <w:sz w:val="22"/>
          <w:szCs w:val="22"/>
          <w:lang w:val="es-ES"/>
        </w:rPr>
      </w:pPr>
    </w:p>
    <w:p w14:paraId="2637A2C7" w14:textId="77777777" w:rsidR="00155EEA" w:rsidRDefault="00155EEA">
      <w:pPr>
        <w:tabs>
          <w:tab w:val="left" w:pos="1440"/>
          <w:tab w:val="left" w:pos="3060"/>
        </w:tabs>
        <w:jc w:val="center"/>
        <w:rPr>
          <w:rFonts w:ascii="Arial" w:hAnsi="Arial" w:cs="Arial"/>
          <w:sz w:val="22"/>
          <w:szCs w:val="22"/>
          <w:lang w:val="es-ES"/>
        </w:rPr>
      </w:pPr>
    </w:p>
    <w:p w14:paraId="3F6C6670" w14:textId="5AC288CF" w:rsidR="00155EEA" w:rsidRDefault="00C2392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2"/>
          <w:szCs w:val="22"/>
          <w:lang w:val="es-ES"/>
        </w:rPr>
      </w:pPr>
      <w:r>
        <w:rPr>
          <w:rFonts w:ascii="Arial" w:hAnsi="Arial" w:cs="Arial"/>
          <w:sz w:val="22"/>
          <w:szCs w:val="22"/>
          <w:lang w:val="es-ES"/>
        </w:rPr>
        <w:t xml:space="preserve">Este </w:t>
      </w:r>
      <w:r>
        <w:rPr>
          <w:rFonts w:ascii="Arial" w:hAnsi="Arial" w:cs="Arial"/>
          <w:sz w:val="22"/>
          <w:szCs w:val="22"/>
          <w:lang w:val="es-AR"/>
        </w:rPr>
        <w:t xml:space="preserve">documento fue preparado por: </w:t>
      </w:r>
      <w:r w:rsidR="00655AE7">
        <w:rPr>
          <w:rFonts w:ascii="Arial" w:hAnsi="Arial" w:cs="Arial"/>
          <w:sz w:val="22"/>
          <w:szCs w:val="22"/>
          <w:lang w:val="es-AR"/>
        </w:rPr>
        <w:t>Luis Alejos</w:t>
      </w:r>
      <w:r>
        <w:rPr>
          <w:rFonts w:ascii="Arial" w:hAnsi="Arial" w:cs="Arial"/>
          <w:sz w:val="22"/>
          <w:szCs w:val="22"/>
          <w:lang w:val="es-AR"/>
        </w:rPr>
        <w:t xml:space="preserve"> (IFD/FMM</w:t>
      </w:r>
      <w:r w:rsidR="00605C80">
        <w:rPr>
          <w:rFonts w:ascii="Arial" w:hAnsi="Arial" w:cs="Arial"/>
          <w:sz w:val="22"/>
          <w:szCs w:val="22"/>
          <w:lang w:val="es-AR"/>
        </w:rPr>
        <w:t>)</w:t>
      </w:r>
      <w:r w:rsidR="00AF4D39">
        <w:rPr>
          <w:rFonts w:ascii="Arial" w:hAnsi="Arial" w:cs="Arial"/>
          <w:sz w:val="22"/>
          <w:szCs w:val="22"/>
          <w:lang w:val="es-AR"/>
        </w:rPr>
        <w:t>.</w:t>
      </w:r>
    </w:p>
    <w:p w14:paraId="3CA2AEBB" w14:textId="77777777" w:rsidR="00155EEA" w:rsidRDefault="00155EEA">
      <w:pPr>
        <w:tabs>
          <w:tab w:val="left" w:pos="1440"/>
          <w:tab w:val="left" w:pos="3060"/>
        </w:tabs>
        <w:outlineLvl w:val="0"/>
        <w:rPr>
          <w:rFonts w:ascii="Arial" w:hAnsi="Arial" w:cs="Arial"/>
          <w:sz w:val="20"/>
          <w:lang w:val="es-ES"/>
        </w:rPr>
      </w:pPr>
    </w:p>
    <w:p w14:paraId="4815FFD2" w14:textId="77777777" w:rsidR="00155EEA" w:rsidRDefault="00155EEA">
      <w:pPr>
        <w:tabs>
          <w:tab w:val="left" w:pos="1440"/>
          <w:tab w:val="left" w:pos="3060"/>
        </w:tabs>
        <w:outlineLvl w:val="0"/>
        <w:rPr>
          <w:rFonts w:ascii="Arial" w:hAnsi="Arial" w:cs="Arial"/>
          <w:sz w:val="22"/>
          <w:szCs w:val="22"/>
          <w:lang w:val="es-ES"/>
        </w:rPr>
        <w:sectPr w:rsidR="00155EEA">
          <w:headerReference w:type="even" r:id="rId14"/>
          <w:headerReference w:type="default" r:id="rId15"/>
          <w:footerReference w:type="even" r:id="rId16"/>
          <w:footerReference w:type="default" r:id="rId17"/>
          <w:headerReference w:type="first" r:id="rId18"/>
          <w:footerReference w:type="first" r:id="rId19"/>
          <w:pgSz w:w="12240" w:h="15840" w:code="1"/>
          <w:pgMar w:top="1440" w:right="1800" w:bottom="1440" w:left="1800" w:header="706" w:footer="706" w:gutter="0"/>
          <w:pgNumType w:fmt="lowerRoman" w:start="1"/>
          <w:cols w:space="720"/>
          <w:formProt w:val="0"/>
          <w:titlePg/>
        </w:sectPr>
      </w:pPr>
    </w:p>
    <w:p w14:paraId="0F03E47F" w14:textId="77777777" w:rsidR="00155EEA" w:rsidRDefault="00C2392C">
      <w:pPr>
        <w:pStyle w:val="Newpage"/>
        <w:rPr>
          <w:rFonts w:ascii="Arial" w:hAnsi="Arial" w:cs="Arial"/>
          <w:szCs w:val="24"/>
        </w:rPr>
      </w:pPr>
      <w:r>
        <w:rPr>
          <w:rFonts w:ascii="Arial" w:hAnsi="Arial" w:cs="Arial"/>
          <w:szCs w:val="24"/>
        </w:rPr>
        <w:lastRenderedPageBreak/>
        <w:t>Índice</w:t>
      </w:r>
    </w:p>
    <w:p w14:paraId="2361A15F" w14:textId="77777777" w:rsidR="00155EEA" w:rsidRDefault="00155EEA">
      <w:pPr>
        <w:pStyle w:val="Newpage"/>
        <w:rPr>
          <w:rFonts w:ascii="Arial" w:hAnsi="Arial" w:cs="Arial"/>
          <w:sz w:val="22"/>
          <w:szCs w:val="22"/>
        </w:rPr>
      </w:pPr>
    </w:p>
    <w:p w14:paraId="73788D0E" w14:textId="49FBAF6B" w:rsidR="00155EEA" w:rsidRPr="00FD0B8B" w:rsidRDefault="00C2392C">
      <w:pPr>
        <w:pStyle w:val="TOC1"/>
        <w:rPr>
          <w:rFonts w:eastAsiaTheme="minorEastAsia"/>
          <w:b w:val="0"/>
          <w:smallCaps w:val="0"/>
          <w:sz w:val="22"/>
          <w:szCs w:val="22"/>
          <w:lang w:val="es-MX"/>
        </w:rPr>
      </w:pPr>
      <w:r w:rsidRPr="00FD0B8B">
        <w:rPr>
          <w:noProof w:val="0"/>
          <w:sz w:val="22"/>
          <w:szCs w:val="22"/>
          <w:lang w:val="es-ES"/>
        </w:rPr>
        <w:fldChar w:fldCharType="begin"/>
      </w:r>
      <w:r w:rsidRPr="00FD0B8B">
        <w:rPr>
          <w:noProof w:val="0"/>
          <w:sz w:val="22"/>
          <w:szCs w:val="22"/>
          <w:lang w:val="es-ES"/>
        </w:rPr>
        <w:instrText xml:space="preserve"> TOC \f \t "Chapter,1,FirstHeading,2,SecHeading,3" </w:instrText>
      </w:r>
      <w:r w:rsidRPr="00FD0B8B">
        <w:rPr>
          <w:noProof w:val="0"/>
          <w:sz w:val="22"/>
          <w:szCs w:val="22"/>
          <w:lang w:val="es-ES"/>
        </w:rPr>
        <w:fldChar w:fldCharType="separate"/>
      </w:r>
      <w:r w:rsidRPr="00FD0B8B">
        <w:rPr>
          <w:sz w:val="22"/>
          <w:szCs w:val="22"/>
        </w:rPr>
        <w:t>I.</w:t>
      </w:r>
      <w:r w:rsidRPr="00FD0B8B">
        <w:rPr>
          <w:rFonts w:eastAsiaTheme="minorEastAsia"/>
          <w:b w:val="0"/>
          <w:smallCaps w:val="0"/>
          <w:sz w:val="22"/>
          <w:szCs w:val="22"/>
          <w:lang w:val="es-MX"/>
        </w:rPr>
        <w:tab/>
      </w:r>
      <w:r w:rsidRPr="00FD0B8B">
        <w:rPr>
          <w:sz w:val="22"/>
          <w:szCs w:val="22"/>
        </w:rPr>
        <w:t>Introducción</w:t>
      </w:r>
      <w:r w:rsidRPr="00FD0B8B">
        <w:rPr>
          <w:sz w:val="22"/>
          <w:szCs w:val="22"/>
        </w:rPr>
        <w:tab/>
      </w:r>
      <w:r w:rsidR="00416162" w:rsidRPr="00FD0B8B">
        <w:rPr>
          <w:sz w:val="22"/>
          <w:szCs w:val="22"/>
        </w:rPr>
        <w:t>1</w:t>
      </w:r>
    </w:p>
    <w:p w14:paraId="72C8403A" w14:textId="66651F7F" w:rsidR="00155EEA" w:rsidRPr="00FD0B8B" w:rsidRDefault="00C2392C">
      <w:pPr>
        <w:pStyle w:val="TOC1"/>
        <w:rPr>
          <w:rFonts w:eastAsiaTheme="minorEastAsia"/>
          <w:b w:val="0"/>
          <w:smallCaps w:val="0"/>
          <w:sz w:val="22"/>
          <w:szCs w:val="22"/>
          <w:lang w:val="es-MX"/>
        </w:rPr>
      </w:pPr>
      <w:r w:rsidRPr="00FD0B8B">
        <w:rPr>
          <w:sz w:val="22"/>
          <w:szCs w:val="22"/>
        </w:rPr>
        <w:t>II.</w:t>
      </w:r>
      <w:r w:rsidRPr="00FD0B8B">
        <w:rPr>
          <w:rFonts w:eastAsiaTheme="minorEastAsia"/>
          <w:b w:val="0"/>
          <w:smallCaps w:val="0"/>
          <w:sz w:val="22"/>
          <w:szCs w:val="22"/>
          <w:lang w:val="es-MX"/>
        </w:rPr>
        <w:tab/>
      </w:r>
      <w:r w:rsidRPr="00FD0B8B">
        <w:rPr>
          <w:sz w:val="22"/>
          <w:szCs w:val="22"/>
        </w:rPr>
        <w:t>Monitoreo</w:t>
      </w:r>
      <w:r w:rsidRPr="00FD0B8B">
        <w:rPr>
          <w:sz w:val="22"/>
          <w:szCs w:val="22"/>
        </w:rPr>
        <w:tab/>
      </w:r>
      <w:r w:rsidRPr="00FD0B8B">
        <w:rPr>
          <w:sz w:val="22"/>
          <w:szCs w:val="22"/>
        </w:rPr>
        <w:fldChar w:fldCharType="begin"/>
      </w:r>
      <w:r w:rsidRPr="00FD0B8B">
        <w:rPr>
          <w:sz w:val="22"/>
          <w:szCs w:val="22"/>
        </w:rPr>
        <w:instrText xml:space="preserve"> PAGEREF _Toc508105575 \h </w:instrText>
      </w:r>
      <w:r w:rsidRPr="00FD0B8B">
        <w:rPr>
          <w:sz w:val="22"/>
          <w:szCs w:val="22"/>
        </w:rPr>
      </w:r>
      <w:r w:rsidRPr="00FD0B8B">
        <w:rPr>
          <w:sz w:val="22"/>
          <w:szCs w:val="22"/>
        </w:rPr>
        <w:fldChar w:fldCharType="separate"/>
      </w:r>
      <w:r w:rsidR="0091534E">
        <w:rPr>
          <w:sz w:val="22"/>
          <w:szCs w:val="22"/>
        </w:rPr>
        <w:t>4</w:t>
      </w:r>
      <w:r w:rsidRPr="00FD0B8B">
        <w:rPr>
          <w:sz w:val="22"/>
          <w:szCs w:val="22"/>
        </w:rPr>
        <w:fldChar w:fldCharType="end"/>
      </w:r>
    </w:p>
    <w:p w14:paraId="0754F1E0" w14:textId="631B9276" w:rsidR="00155EEA" w:rsidRPr="00FD0B8B" w:rsidRDefault="00C2392C">
      <w:pPr>
        <w:pStyle w:val="TOC2"/>
        <w:rPr>
          <w:rFonts w:ascii="Arial" w:eastAsiaTheme="minorEastAsia" w:hAnsi="Arial" w:cs="Arial"/>
          <w:sz w:val="22"/>
          <w:szCs w:val="22"/>
          <w:lang w:val="es-MX"/>
        </w:rPr>
      </w:pPr>
      <w:r w:rsidRPr="00FD0B8B">
        <w:rPr>
          <w:rFonts w:ascii="Arial" w:hAnsi="Arial" w:cs="Arial"/>
          <w:sz w:val="22"/>
          <w:szCs w:val="22"/>
        </w:rPr>
        <w:t>A.</w:t>
      </w:r>
      <w:r w:rsidRPr="00FD0B8B">
        <w:rPr>
          <w:rFonts w:ascii="Arial" w:eastAsiaTheme="minorEastAsia" w:hAnsi="Arial" w:cs="Arial"/>
          <w:sz w:val="22"/>
          <w:szCs w:val="22"/>
          <w:lang w:val="es-MX"/>
        </w:rPr>
        <w:tab/>
      </w:r>
      <w:r w:rsidRPr="00FD0B8B">
        <w:rPr>
          <w:rFonts w:ascii="Arial" w:hAnsi="Arial" w:cs="Arial"/>
          <w:sz w:val="22"/>
          <w:szCs w:val="22"/>
        </w:rPr>
        <w:t>Indicadores</w:t>
      </w:r>
      <w:r w:rsidRPr="00FD0B8B">
        <w:rPr>
          <w:rFonts w:ascii="Arial" w:hAnsi="Arial" w:cs="Arial"/>
          <w:sz w:val="22"/>
          <w:szCs w:val="22"/>
        </w:rPr>
        <w:tab/>
      </w:r>
      <w:r w:rsidRPr="00FD0B8B">
        <w:rPr>
          <w:rFonts w:ascii="Arial" w:hAnsi="Arial" w:cs="Arial"/>
          <w:sz w:val="22"/>
          <w:szCs w:val="22"/>
        </w:rPr>
        <w:fldChar w:fldCharType="begin"/>
      </w:r>
      <w:r w:rsidRPr="00FD0B8B">
        <w:rPr>
          <w:rFonts w:ascii="Arial" w:hAnsi="Arial" w:cs="Arial"/>
          <w:sz w:val="22"/>
          <w:szCs w:val="22"/>
        </w:rPr>
        <w:instrText xml:space="preserve"> PAGEREF _Toc508105576 \h </w:instrText>
      </w:r>
      <w:r w:rsidRPr="00FD0B8B">
        <w:rPr>
          <w:rFonts w:ascii="Arial" w:hAnsi="Arial" w:cs="Arial"/>
          <w:sz w:val="22"/>
          <w:szCs w:val="22"/>
        </w:rPr>
      </w:r>
      <w:r w:rsidRPr="00FD0B8B">
        <w:rPr>
          <w:rFonts w:ascii="Arial" w:hAnsi="Arial" w:cs="Arial"/>
          <w:sz w:val="22"/>
          <w:szCs w:val="22"/>
        </w:rPr>
        <w:fldChar w:fldCharType="separate"/>
      </w:r>
      <w:r w:rsidR="0091534E">
        <w:rPr>
          <w:rFonts w:ascii="Arial" w:hAnsi="Arial" w:cs="Arial"/>
          <w:sz w:val="22"/>
          <w:szCs w:val="22"/>
        </w:rPr>
        <w:t>4</w:t>
      </w:r>
      <w:r w:rsidRPr="00FD0B8B">
        <w:rPr>
          <w:rFonts w:ascii="Arial" w:hAnsi="Arial" w:cs="Arial"/>
          <w:sz w:val="22"/>
          <w:szCs w:val="22"/>
        </w:rPr>
        <w:fldChar w:fldCharType="end"/>
      </w:r>
    </w:p>
    <w:p w14:paraId="60CFDB24" w14:textId="174F1663" w:rsidR="00155EEA" w:rsidRPr="00FD0B8B" w:rsidRDefault="00C2392C">
      <w:pPr>
        <w:pStyle w:val="TOC2"/>
        <w:rPr>
          <w:rFonts w:ascii="Arial" w:eastAsiaTheme="minorEastAsia" w:hAnsi="Arial" w:cs="Arial"/>
          <w:sz w:val="22"/>
          <w:szCs w:val="22"/>
          <w:lang w:val="es-MX"/>
        </w:rPr>
      </w:pPr>
      <w:r w:rsidRPr="00FD0B8B">
        <w:rPr>
          <w:rFonts w:ascii="Arial" w:hAnsi="Arial" w:cs="Arial"/>
          <w:sz w:val="22"/>
          <w:szCs w:val="22"/>
        </w:rPr>
        <w:t>B.</w:t>
      </w:r>
      <w:r w:rsidRPr="00FD0B8B">
        <w:rPr>
          <w:rFonts w:ascii="Arial" w:eastAsiaTheme="minorEastAsia" w:hAnsi="Arial" w:cs="Arial"/>
          <w:sz w:val="22"/>
          <w:szCs w:val="22"/>
          <w:lang w:val="es-MX"/>
        </w:rPr>
        <w:tab/>
      </w:r>
      <w:r w:rsidRPr="00FD0B8B">
        <w:rPr>
          <w:rFonts w:ascii="Arial" w:hAnsi="Arial" w:cs="Arial"/>
          <w:sz w:val="22"/>
          <w:szCs w:val="22"/>
        </w:rPr>
        <w:t>Recopilación de Datos e Instrumentos</w:t>
      </w:r>
      <w:r w:rsidRPr="00FD0B8B">
        <w:rPr>
          <w:rFonts w:ascii="Arial" w:hAnsi="Arial" w:cs="Arial"/>
          <w:sz w:val="22"/>
          <w:szCs w:val="22"/>
        </w:rPr>
        <w:tab/>
      </w:r>
      <w:r w:rsidRPr="00FD0B8B">
        <w:rPr>
          <w:rFonts w:ascii="Arial" w:hAnsi="Arial" w:cs="Arial"/>
          <w:sz w:val="22"/>
          <w:szCs w:val="22"/>
        </w:rPr>
        <w:fldChar w:fldCharType="begin"/>
      </w:r>
      <w:r w:rsidRPr="00FD0B8B">
        <w:rPr>
          <w:rFonts w:ascii="Arial" w:hAnsi="Arial" w:cs="Arial"/>
          <w:sz w:val="22"/>
          <w:szCs w:val="22"/>
        </w:rPr>
        <w:instrText xml:space="preserve"> PAGEREF _Toc508105577 \h </w:instrText>
      </w:r>
      <w:r w:rsidRPr="00FD0B8B">
        <w:rPr>
          <w:rFonts w:ascii="Arial" w:hAnsi="Arial" w:cs="Arial"/>
          <w:sz w:val="22"/>
          <w:szCs w:val="22"/>
        </w:rPr>
      </w:r>
      <w:r w:rsidRPr="00FD0B8B">
        <w:rPr>
          <w:rFonts w:ascii="Arial" w:hAnsi="Arial" w:cs="Arial"/>
          <w:sz w:val="22"/>
          <w:szCs w:val="22"/>
        </w:rPr>
        <w:fldChar w:fldCharType="separate"/>
      </w:r>
      <w:r w:rsidR="0091534E">
        <w:rPr>
          <w:rFonts w:ascii="Arial" w:hAnsi="Arial" w:cs="Arial"/>
          <w:sz w:val="22"/>
          <w:szCs w:val="22"/>
        </w:rPr>
        <w:t>11</w:t>
      </w:r>
      <w:r w:rsidRPr="00FD0B8B">
        <w:rPr>
          <w:rFonts w:ascii="Arial" w:hAnsi="Arial" w:cs="Arial"/>
          <w:sz w:val="22"/>
          <w:szCs w:val="22"/>
        </w:rPr>
        <w:fldChar w:fldCharType="end"/>
      </w:r>
    </w:p>
    <w:p w14:paraId="2116D9D5" w14:textId="23A2B90C" w:rsidR="00155EEA" w:rsidRPr="00FD0B8B" w:rsidRDefault="00C2392C">
      <w:pPr>
        <w:pStyle w:val="TOC2"/>
        <w:rPr>
          <w:rFonts w:ascii="Arial" w:eastAsiaTheme="minorEastAsia" w:hAnsi="Arial" w:cs="Arial"/>
          <w:sz w:val="22"/>
          <w:szCs w:val="22"/>
          <w:lang w:val="es-MX"/>
        </w:rPr>
      </w:pPr>
      <w:r w:rsidRPr="00FD0B8B">
        <w:rPr>
          <w:rFonts w:ascii="Arial" w:hAnsi="Arial" w:cs="Arial"/>
          <w:sz w:val="22"/>
          <w:szCs w:val="22"/>
        </w:rPr>
        <w:t>C.</w:t>
      </w:r>
      <w:r w:rsidRPr="00FD0B8B">
        <w:rPr>
          <w:rFonts w:ascii="Arial" w:eastAsiaTheme="minorEastAsia" w:hAnsi="Arial" w:cs="Arial"/>
          <w:sz w:val="22"/>
          <w:szCs w:val="22"/>
          <w:lang w:val="es-MX"/>
        </w:rPr>
        <w:tab/>
      </w:r>
      <w:r w:rsidRPr="00FD0B8B">
        <w:rPr>
          <w:rFonts w:ascii="Arial" w:hAnsi="Arial" w:cs="Arial"/>
          <w:sz w:val="22"/>
          <w:szCs w:val="22"/>
        </w:rPr>
        <w:t>Presentación de Informes</w:t>
      </w:r>
      <w:r w:rsidRPr="00FD0B8B">
        <w:rPr>
          <w:rFonts w:ascii="Arial" w:hAnsi="Arial" w:cs="Arial"/>
          <w:sz w:val="22"/>
          <w:szCs w:val="22"/>
        </w:rPr>
        <w:tab/>
      </w:r>
      <w:r w:rsidRPr="00FD0B8B">
        <w:rPr>
          <w:rFonts w:ascii="Arial" w:hAnsi="Arial" w:cs="Arial"/>
          <w:sz w:val="22"/>
          <w:szCs w:val="22"/>
        </w:rPr>
        <w:fldChar w:fldCharType="begin"/>
      </w:r>
      <w:r w:rsidRPr="00FD0B8B">
        <w:rPr>
          <w:rFonts w:ascii="Arial" w:hAnsi="Arial" w:cs="Arial"/>
          <w:sz w:val="22"/>
          <w:szCs w:val="22"/>
        </w:rPr>
        <w:instrText xml:space="preserve"> PAGEREF _Toc508105578 \h </w:instrText>
      </w:r>
      <w:r w:rsidRPr="00FD0B8B">
        <w:rPr>
          <w:rFonts w:ascii="Arial" w:hAnsi="Arial" w:cs="Arial"/>
          <w:sz w:val="22"/>
          <w:szCs w:val="22"/>
        </w:rPr>
      </w:r>
      <w:r w:rsidRPr="00FD0B8B">
        <w:rPr>
          <w:rFonts w:ascii="Arial" w:hAnsi="Arial" w:cs="Arial"/>
          <w:sz w:val="22"/>
          <w:szCs w:val="22"/>
        </w:rPr>
        <w:fldChar w:fldCharType="separate"/>
      </w:r>
      <w:r w:rsidR="0091534E">
        <w:rPr>
          <w:rFonts w:ascii="Arial" w:hAnsi="Arial" w:cs="Arial"/>
          <w:sz w:val="22"/>
          <w:szCs w:val="22"/>
        </w:rPr>
        <w:t>11</w:t>
      </w:r>
      <w:r w:rsidRPr="00FD0B8B">
        <w:rPr>
          <w:rFonts w:ascii="Arial" w:hAnsi="Arial" w:cs="Arial"/>
          <w:sz w:val="22"/>
          <w:szCs w:val="22"/>
        </w:rPr>
        <w:fldChar w:fldCharType="end"/>
      </w:r>
    </w:p>
    <w:p w14:paraId="04AF8D7C" w14:textId="3AF0E3EC" w:rsidR="00155EEA" w:rsidRPr="00FD0B8B" w:rsidRDefault="00C2392C">
      <w:pPr>
        <w:pStyle w:val="TOC2"/>
        <w:rPr>
          <w:rFonts w:ascii="Arial" w:eastAsiaTheme="minorEastAsia" w:hAnsi="Arial" w:cs="Arial"/>
          <w:sz w:val="22"/>
          <w:szCs w:val="22"/>
          <w:lang w:val="es-MX"/>
        </w:rPr>
      </w:pPr>
      <w:r w:rsidRPr="00FD0B8B">
        <w:rPr>
          <w:rFonts w:ascii="Arial" w:hAnsi="Arial" w:cs="Arial"/>
          <w:sz w:val="22"/>
          <w:szCs w:val="22"/>
        </w:rPr>
        <w:t>D.</w:t>
      </w:r>
      <w:r w:rsidRPr="00FD0B8B">
        <w:rPr>
          <w:rFonts w:ascii="Arial" w:eastAsiaTheme="minorEastAsia" w:hAnsi="Arial" w:cs="Arial"/>
          <w:sz w:val="22"/>
          <w:szCs w:val="22"/>
          <w:lang w:val="es-MX"/>
        </w:rPr>
        <w:tab/>
      </w:r>
      <w:r w:rsidRPr="00FD0B8B">
        <w:rPr>
          <w:rFonts w:ascii="Arial" w:hAnsi="Arial" w:cs="Arial"/>
          <w:sz w:val="22"/>
          <w:szCs w:val="22"/>
        </w:rPr>
        <w:t>Coordinación, Plan de Trabajo y Presupuesto del Seguimiento</w:t>
      </w:r>
      <w:r w:rsidRPr="00FD0B8B">
        <w:rPr>
          <w:rFonts w:ascii="Arial" w:hAnsi="Arial" w:cs="Arial"/>
          <w:sz w:val="22"/>
          <w:szCs w:val="22"/>
        </w:rPr>
        <w:tab/>
      </w:r>
      <w:r w:rsidRPr="00FD0B8B">
        <w:rPr>
          <w:rFonts w:ascii="Arial" w:hAnsi="Arial" w:cs="Arial"/>
          <w:sz w:val="22"/>
          <w:szCs w:val="22"/>
        </w:rPr>
        <w:fldChar w:fldCharType="begin"/>
      </w:r>
      <w:r w:rsidRPr="00FD0B8B">
        <w:rPr>
          <w:rFonts w:ascii="Arial" w:hAnsi="Arial" w:cs="Arial"/>
          <w:sz w:val="22"/>
          <w:szCs w:val="22"/>
        </w:rPr>
        <w:instrText xml:space="preserve"> PAGEREF _Toc508105579 \h </w:instrText>
      </w:r>
      <w:r w:rsidRPr="00FD0B8B">
        <w:rPr>
          <w:rFonts w:ascii="Arial" w:hAnsi="Arial" w:cs="Arial"/>
          <w:sz w:val="22"/>
          <w:szCs w:val="22"/>
        </w:rPr>
      </w:r>
      <w:r w:rsidRPr="00FD0B8B">
        <w:rPr>
          <w:rFonts w:ascii="Arial" w:hAnsi="Arial" w:cs="Arial"/>
          <w:sz w:val="22"/>
          <w:szCs w:val="22"/>
        </w:rPr>
        <w:fldChar w:fldCharType="separate"/>
      </w:r>
      <w:r w:rsidR="0091534E">
        <w:rPr>
          <w:rFonts w:ascii="Arial" w:hAnsi="Arial" w:cs="Arial"/>
          <w:sz w:val="22"/>
          <w:szCs w:val="22"/>
        </w:rPr>
        <w:t>11</w:t>
      </w:r>
      <w:r w:rsidRPr="00FD0B8B">
        <w:rPr>
          <w:rFonts w:ascii="Arial" w:hAnsi="Arial" w:cs="Arial"/>
          <w:sz w:val="22"/>
          <w:szCs w:val="22"/>
        </w:rPr>
        <w:fldChar w:fldCharType="end"/>
      </w:r>
    </w:p>
    <w:p w14:paraId="5DD37E00" w14:textId="200B6942" w:rsidR="00155EEA" w:rsidRPr="00FD0B8B" w:rsidRDefault="00C2392C">
      <w:pPr>
        <w:pStyle w:val="TOC1"/>
        <w:rPr>
          <w:rFonts w:eastAsiaTheme="minorEastAsia"/>
          <w:b w:val="0"/>
          <w:smallCaps w:val="0"/>
          <w:sz w:val="22"/>
          <w:szCs w:val="22"/>
          <w:lang w:val="es-MX"/>
        </w:rPr>
      </w:pPr>
      <w:r w:rsidRPr="00FD0B8B">
        <w:rPr>
          <w:sz w:val="22"/>
          <w:szCs w:val="22"/>
        </w:rPr>
        <w:t>III.</w:t>
      </w:r>
      <w:r w:rsidRPr="00FD0B8B">
        <w:rPr>
          <w:rFonts w:eastAsiaTheme="minorEastAsia"/>
          <w:b w:val="0"/>
          <w:smallCaps w:val="0"/>
          <w:sz w:val="22"/>
          <w:szCs w:val="22"/>
          <w:lang w:val="es-MX"/>
        </w:rPr>
        <w:tab/>
      </w:r>
      <w:r w:rsidRPr="00FD0B8B">
        <w:rPr>
          <w:sz w:val="22"/>
          <w:szCs w:val="22"/>
        </w:rPr>
        <w:t>Evaluación</w:t>
      </w:r>
      <w:r w:rsidRPr="00FD0B8B">
        <w:rPr>
          <w:sz w:val="22"/>
          <w:szCs w:val="22"/>
        </w:rPr>
        <w:tab/>
      </w:r>
      <w:r w:rsidRPr="00FD0B8B">
        <w:rPr>
          <w:sz w:val="22"/>
          <w:szCs w:val="22"/>
        </w:rPr>
        <w:fldChar w:fldCharType="begin"/>
      </w:r>
      <w:r w:rsidRPr="00FD0B8B">
        <w:rPr>
          <w:sz w:val="22"/>
          <w:szCs w:val="22"/>
        </w:rPr>
        <w:instrText xml:space="preserve"> PAGEREF _Toc508105580 \h </w:instrText>
      </w:r>
      <w:r w:rsidRPr="00FD0B8B">
        <w:rPr>
          <w:sz w:val="22"/>
          <w:szCs w:val="22"/>
        </w:rPr>
      </w:r>
      <w:r w:rsidRPr="00FD0B8B">
        <w:rPr>
          <w:sz w:val="22"/>
          <w:szCs w:val="22"/>
        </w:rPr>
        <w:fldChar w:fldCharType="separate"/>
      </w:r>
      <w:r w:rsidR="0091534E">
        <w:rPr>
          <w:sz w:val="22"/>
          <w:szCs w:val="22"/>
        </w:rPr>
        <w:t>12</w:t>
      </w:r>
      <w:r w:rsidRPr="00FD0B8B">
        <w:rPr>
          <w:sz w:val="22"/>
          <w:szCs w:val="22"/>
        </w:rPr>
        <w:fldChar w:fldCharType="end"/>
      </w:r>
    </w:p>
    <w:p w14:paraId="1595A96F" w14:textId="3A1A9599" w:rsidR="00155EEA" w:rsidRPr="00FD0B8B" w:rsidRDefault="00C2392C">
      <w:pPr>
        <w:pStyle w:val="TOC2"/>
        <w:rPr>
          <w:rFonts w:ascii="Arial" w:eastAsiaTheme="minorEastAsia" w:hAnsi="Arial" w:cs="Arial"/>
          <w:sz w:val="22"/>
          <w:szCs w:val="22"/>
          <w:lang w:val="es-MX"/>
        </w:rPr>
      </w:pPr>
      <w:r w:rsidRPr="00FD0B8B">
        <w:rPr>
          <w:rFonts w:ascii="Arial" w:hAnsi="Arial" w:cs="Arial"/>
          <w:sz w:val="22"/>
          <w:szCs w:val="22"/>
        </w:rPr>
        <w:t>A.</w:t>
      </w:r>
      <w:r w:rsidRPr="00FD0B8B">
        <w:rPr>
          <w:rFonts w:ascii="Arial" w:eastAsiaTheme="minorEastAsia" w:hAnsi="Arial" w:cs="Arial"/>
          <w:sz w:val="22"/>
          <w:szCs w:val="22"/>
          <w:lang w:val="es-MX"/>
        </w:rPr>
        <w:tab/>
      </w:r>
      <w:r w:rsidRPr="00FD0B8B">
        <w:rPr>
          <w:rFonts w:ascii="Arial" w:hAnsi="Arial" w:cs="Arial"/>
          <w:sz w:val="22"/>
          <w:szCs w:val="22"/>
        </w:rPr>
        <w:t>Principales Preguntas de la Evaluación</w:t>
      </w:r>
      <w:r w:rsidRPr="00FD0B8B">
        <w:rPr>
          <w:rFonts w:ascii="Arial" w:hAnsi="Arial" w:cs="Arial"/>
          <w:sz w:val="22"/>
          <w:szCs w:val="22"/>
        </w:rPr>
        <w:tab/>
      </w:r>
      <w:r w:rsidRPr="00FD0B8B">
        <w:rPr>
          <w:rFonts w:ascii="Arial" w:hAnsi="Arial" w:cs="Arial"/>
          <w:sz w:val="22"/>
          <w:szCs w:val="22"/>
        </w:rPr>
        <w:fldChar w:fldCharType="begin"/>
      </w:r>
      <w:r w:rsidRPr="00FD0B8B">
        <w:rPr>
          <w:rFonts w:ascii="Arial" w:hAnsi="Arial" w:cs="Arial"/>
          <w:sz w:val="22"/>
          <w:szCs w:val="22"/>
        </w:rPr>
        <w:instrText xml:space="preserve"> PAGEREF _Toc508105581 \h </w:instrText>
      </w:r>
      <w:r w:rsidRPr="00FD0B8B">
        <w:rPr>
          <w:rFonts w:ascii="Arial" w:hAnsi="Arial" w:cs="Arial"/>
          <w:sz w:val="22"/>
          <w:szCs w:val="22"/>
        </w:rPr>
      </w:r>
      <w:r w:rsidRPr="00FD0B8B">
        <w:rPr>
          <w:rFonts w:ascii="Arial" w:hAnsi="Arial" w:cs="Arial"/>
          <w:sz w:val="22"/>
          <w:szCs w:val="22"/>
        </w:rPr>
        <w:fldChar w:fldCharType="separate"/>
      </w:r>
      <w:r w:rsidR="0091534E">
        <w:rPr>
          <w:rFonts w:ascii="Arial" w:hAnsi="Arial" w:cs="Arial"/>
          <w:sz w:val="22"/>
          <w:szCs w:val="22"/>
        </w:rPr>
        <w:t>12</w:t>
      </w:r>
      <w:r w:rsidRPr="00FD0B8B">
        <w:rPr>
          <w:rFonts w:ascii="Arial" w:hAnsi="Arial" w:cs="Arial"/>
          <w:sz w:val="22"/>
          <w:szCs w:val="22"/>
        </w:rPr>
        <w:fldChar w:fldCharType="end"/>
      </w:r>
    </w:p>
    <w:p w14:paraId="2991BC3A" w14:textId="2DAC29C2" w:rsidR="00155EEA" w:rsidRPr="00FD0B8B" w:rsidRDefault="00C2392C">
      <w:pPr>
        <w:pStyle w:val="TOC2"/>
        <w:rPr>
          <w:rFonts w:ascii="Arial" w:eastAsiaTheme="minorEastAsia" w:hAnsi="Arial" w:cs="Arial"/>
          <w:sz w:val="22"/>
          <w:szCs w:val="22"/>
          <w:lang w:val="es-MX"/>
        </w:rPr>
      </w:pPr>
      <w:r w:rsidRPr="00FD0B8B">
        <w:rPr>
          <w:rFonts w:ascii="Arial" w:hAnsi="Arial" w:cs="Arial"/>
          <w:sz w:val="22"/>
          <w:szCs w:val="22"/>
        </w:rPr>
        <w:t>B.</w:t>
      </w:r>
      <w:r w:rsidRPr="00FD0B8B">
        <w:rPr>
          <w:rFonts w:ascii="Arial" w:eastAsiaTheme="minorEastAsia" w:hAnsi="Arial" w:cs="Arial"/>
          <w:sz w:val="22"/>
          <w:szCs w:val="22"/>
          <w:lang w:val="es-MX"/>
        </w:rPr>
        <w:tab/>
      </w:r>
      <w:r w:rsidRPr="00FD0B8B">
        <w:rPr>
          <w:rFonts w:ascii="Arial" w:hAnsi="Arial" w:cs="Arial"/>
          <w:sz w:val="22"/>
          <w:szCs w:val="22"/>
        </w:rPr>
        <w:t>Conocimiento Existente</w:t>
      </w:r>
      <w:r w:rsidRPr="00FD0B8B">
        <w:rPr>
          <w:rFonts w:ascii="Arial" w:hAnsi="Arial" w:cs="Arial"/>
          <w:sz w:val="22"/>
          <w:szCs w:val="22"/>
        </w:rPr>
        <w:tab/>
      </w:r>
      <w:r w:rsidRPr="00FD0B8B">
        <w:rPr>
          <w:rFonts w:ascii="Arial" w:hAnsi="Arial" w:cs="Arial"/>
          <w:sz w:val="22"/>
          <w:szCs w:val="22"/>
        </w:rPr>
        <w:fldChar w:fldCharType="begin"/>
      </w:r>
      <w:r w:rsidRPr="00FD0B8B">
        <w:rPr>
          <w:rFonts w:ascii="Arial" w:hAnsi="Arial" w:cs="Arial"/>
          <w:sz w:val="22"/>
          <w:szCs w:val="22"/>
        </w:rPr>
        <w:instrText xml:space="preserve"> PAGEREF _Toc508105582 \h </w:instrText>
      </w:r>
      <w:r w:rsidRPr="00FD0B8B">
        <w:rPr>
          <w:rFonts w:ascii="Arial" w:hAnsi="Arial" w:cs="Arial"/>
          <w:sz w:val="22"/>
          <w:szCs w:val="22"/>
        </w:rPr>
      </w:r>
      <w:r w:rsidRPr="00FD0B8B">
        <w:rPr>
          <w:rFonts w:ascii="Arial" w:hAnsi="Arial" w:cs="Arial"/>
          <w:sz w:val="22"/>
          <w:szCs w:val="22"/>
        </w:rPr>
        <w:fldChar w:fldCharType="separate"/>
      </w:r>
      <w:r w:rsidR="0091534E">
        <w:rPr>
          <w:rFonts w:ascii="Arial" w:hAnsi="Arial" w:cs="Arial"/>
          <w:sz w:val="22"/>
          <w:szCs w:val="22"/>
        </w:rPr>
        <w:t>14</w:t>
      </w:r>
      <w:r w:rsidRPr="00FD0B8B">
        <w:rPr>
          <w:rFonts w:ascii="Arial" w:hAnsi="Arial" w:cs="Arial"/>
          <w:sz w:val="22"/>
          <w:szCs w:val="22"/>
        </w:rPr>
        <w:fldChar w:fldCharType="end"/>
      </w:r>
    </w:p>
    <w:p w14:paraId="56EEB9B0" w14:textId="3B9F9235" w:rsidR="00155EEA" w:rsidRPr="00FD0B8B" w:rsidRDefault="00C2392C">
      <w:pPr>
        <w:pStyle w:val="TOC2"/>
        <w:rPr>
          <w:rFonts w:ascii="Arial" w:eastAsiaTheme="minorEastAsia" w:hAnsi="Arial" w:cs="Arial"/>
          <w:sz w:val="22"/>
          <w:szCs w:val="22"/>
          <w:lang w:val="es-MX"/>
        </w:rPr>
      </w:pPr>
      <w:r w:rsidRPr="00FD0B8B">
        <w:rPr>
          <w:rFonts w:ascii="Arial" w:hAnsi="Arial" w:cs="Arial"/>
          <w:sz w:val="22"/>
          <w:szCs w:val="22"/>
        </w:rPr>
        <w:t>C.</w:t>
      </w:r>
      <w:r w:rsidRPr="00FD0B8B">
        <w:rPr>
          <w:rFonts w:ascii="Arial" w:eastAsiaTheme="minorEastAsia" w:hAnsi="Arial" w:cs="Arial"/>
          <w:sz w:val="22"/>
          <w:szCs w:val="22"/>
          <w:lang w:val="es-MX"/>
        </w:rPr>
        <w:tab/>
      </w:r>
      <w:r w:rsidRPr="00FD0B8B">
        <w:rPr>
          <w:rFonts w:ascii="Arial" w:hAnsi="Arial" w:cs="Arial"/>
          <w:sz w:val="22"/>
          <w:szCs w:val="22"/>
        </w:rPr>
        <w:t>Metodología de la Evaluación Ex-Post</w:t>
      </w:r>
      <w:r w:rsidRPr="00FD0B8B">
        <w:rPr>
          <w:rFonts w:ascii="Arial" w:hAnsi="Arial" w:cs="Arial"/>
          <w:sz w:val="22"/>
          <w:szCs w:val="22"/>
        </w:rPr>
        <w:tab/>
      </w:r>
      <w:r w:rsidRPr="00FD0B8B">
        <w:rPr>
          <w:rFonts w:ascii="Arial" w:hAnsi="Arial" w:cs="Arial"/>
          <w:sz w:val="22"/>
          <w:szCs w:val="22"/>
        </w:rPr>
        <w:fldChar w:fldCharType="begin"/>
      </w:r>
      <w:r w:rsidRPr="00FD0B8B">
        <w:rPr>
          <w:rFonts w:ascii="Arial" w:hAnsi="Arial" w:cs="Arial"/>
          <w:sz w:val="22"/>
          <w:szCs w:val="22"/>
        </w:rPr>
        <w:instrText xml:space="preserve"> PAGEREF _Toc508105583 \h </w:instrText>
      </w:r>
      <w:r w:rsidRPr="00FD0B8B">
        <w:rPr>
          <w:rFonts w:ascii="Arial" w:hAnsi="Arial" w:cs="Arial"/>
          <w:sz w:val="22"/>
          <w:szCs w:val="22"/>
        </w:rPr>
      </w:r>
      <w:r w:rsidRPr="00FD0B8B">
        <w:rPr>
          <w:rFonts w:ascii="Arial" w:hAnsi="Arial" w:cs="Arial"/>
          <w:sz w:val="22"/>
          <w:szCs w:val="22"/>
        </w:rPr>
        <w:fldChar w:fldCharType="separate"/>
      </w:r>
      <w:r w:rsidR="0091534E">
        <w:rPr>
          <w:rFonts w:ascii="Arial" w:hAnsi="Arial" w:cs="Arial"/>
          <w:sz w:val="22"/>
          <w:szCs w:val="22"/>
        </w:rPr>
        <w:t>16</w:t>
      </w:r>
      <w:r w:rsidRPr="00FD0B8B">
        <w:rPr>
          <w:rFonts w:ascii="Arial" w:hAnsi="Arial" w:cs="Arial"/>
          <w:sz w:val="22"/>
          <w:szCs w:val="22"/>
        </w:rPr>
        <w:fldChar w:fldCharType="end"/>
      </w:r>
    </w:p>
    <w:p w14:paraId="1F566CC1" w14:textId="14890EC2" w:rsidR="00155EEA" w:rsidRPr="00FD0B8B" w:rsidRDefault="00C2392C">
      <w:pPr>
        <w:pStyle w:val="TOC2"/>
        <w:rPr>
          <w:rFonts w:ascii="Arial" w:eastAsiaTheme="minorEastAsia" w:hAnsi="Arial" w:cs="Arial"/>
          <w:sz w:val="22"/>
          <w:szCs w:val="22"/>
          <w:lang w:val="es-MX"/>
        </w:rPr>
      </w:pPr>
      <w:r w:rsidRPr="00FD0B8B">
        <w:rPr>
          <w:rFonts w:ascii="Arial" w:hAnsi="Arial" w:cs="Arial"/>
          <w:sz w:val="22"/>
          <w:szCs w:val="22"/>
        </w:rPr>
        <w:t>D.</w:t>
      </w:r>
      <w:r w:rsidRPr="00FD0B8B">
        <w:rPr>
          <w:rFonts w:ascii="Arial" w:eastAsiaTheme="minorEastAsia" w:hAnsi="Arial" w:cs="Arial"/>
          <w:sz w:val="22"/>
          <w:szCs w:val="22"/>
          <w:lang w:val="es-MX"/>
        </w:rPr>
        <w:tab/>
      </w:r>
      <w:r w:rsidRPr="00FD0B8B">
        <w:rPr>
          <w:rFonts w:ascii="Arial" w:hAnsi="Arial" w:cs="Arial"/>
          <w:sz w:val="22"/>
          <w:szCs w:val="22"/>
        </w:rPr>
        <w:t>Aspectos Técnicos de la Metodología Seleccionada</w:t>
      </w:r>
      <w:r w:rsidRPr="00FD0B8B">
        <w:rPr>
          <w:rFonts w:ascii="Arial" w:hAnsi="Arial" w:cs="Arial"/>
          <w:sz w:val="22"/>
          <w:szCs w:val="22"/>
        </w:rPr>
        <w:tab/>
      </w:r>
      <w:r w:rsidRPr="00FD0B8B">
        <w:rPr>
          <w:rFonts w:ascii="Arial" w:hAnsi="Arial" w:cs="Arial"/>
          <w:sz w:val="22"/>
          <w:szCs w:val="22"/>
        </w:rPr>
        <w:fldChar w:fldCharType="begin"/>
      </w:r>
      <w:r w:rsidRPr="00FD0B8B">
        <w:rPr>
          <w:rFonts w:ascii="Arial" w:hAnsi="Arial" w:cs="Arial"/>
          <w:sz w:val="22"/>
          <w:szCs w:val="22"/>
        </w:rPr>
        <w:instrText xml:space="preserve"> PAGEREF _Toc508105584 \h </w:instrText>
      </w:r>
      <w:r w:rsidRPr="00FD0B8B">
        <w:rPr>
          <w:rFonts w:ascii="Arial" w:hAnsi="Arial" w:cs="Arial"/>
          <w:sz w:val="22"/>
          <w:szCs w:val="22"/>
        </w:rPr>
      </w:r>
      <w:r w:rsidRPr="00FD0B8B">
        <w:rPr>
          <w:rFonts w:ascii="Arial" w:hAnsi="Arial" w:cs="Arial"/>
          <w:sz w:val="22"/>
          <w:szCs w:val="22"/>
        </w:rPr>
        <w:fldChar w:fldCharType="separate"/>
      </w:r>
      <w:r w:rsidR="0091534E">
        <w:rPr>
          <w:rFonts w:ascii="Arial" w:hAnsi="Arial" w:cs="Arial"/>
          <w:sz w:val="22"/>
          <w:szCs w:val="22"/>
        </w:rPr>
        <w:t>17</w:t>
      </w:r>
      <w:r w:rsidRPr="00FD0B8B">
        <w:rPr>
          <w:rFonts w:ascii="Arial" w:hAnsi="Arial" w:cs="Arial"/>
          <w:sz w:val="22"/>
          <w:szCs w:val="22"/>
        </w:rPr>
        <w:fldChar w:fldCharType="end"/>
      </w:r>
    </w:p>
    <w:p w14:paraId="5196FD75" w14:textId="77777777" w:rsidR="00155EEA" w:rsidRDefault="00C2392C">
      <w:pPr>
        <w:pStyle w:val="TOC3"/>
        <w:rPr>
          <w:rFonts w:ascii="Arial" w:hAnsi="Arial" w:cs="Arial"/>
          <w:sz w:val="22"/>
          <w:szCs w:val="22"/>
        </w:rPr>
      </w:pPr>
      <w:r w:rsidRPr="00FD0B8B">
        <w:rPr>
          <w:rFonts w:ascii="Arial" w:hAnsi="Arial" w:cs="Arial"/>
          <w:sz w:val="22"/>
          <w:szCs w:val="22"/>
        </w:rPr>
        <w:fldChar w:fldCharType="end"/>
      </w:r>
    </w:p>
    <w:p w14:paraId="28864713" w14:textId="77777777" w:rsidR="00155EEA" w:rsidRDefault="00155EEA">
      <w:pPr>
        <w:rPr>
          <w:lang w:val="es-ES"/>
        </w:rPr>
      </w:pPr>
    </w:p>
    <w:p w14:paraId="42616803" w14:textId="77777777" w:rsidR="00155EEA" w:rsidRDefault="00155EEA">
      <w:pPr>
        <w:rPr>
          <w:rFonts w:ascii="Arial" w:hAnsi="Arial" w:cs="Arial"/>
          <w:sz w:val="22"/>
          <w:szCs w:val="22"/>
          <w:lang w:val="es-ES"/>
        </w:rPr>
      </w:pPr>
    </w:p>
    <w:p w14:paraId="2DE01934" w14:textId="77777777" w:rsidR="00155EEA" w:rsidRDefault="00C2392C">
      <w:pPr>
        <w:spacing w:after="200" w:line="276" w:lineRule="auto"/>
        <w:rPr>
          <w:rFonts w:ascii="Arial" w:hAnsi="Arial" w:cs="Arial"/>
          <w:sz w:val="22"/>
          <w:szCs w:val="22"/>
          <w:lang w:val="es-ES"/>
        </w:rPr>
      </w:pPr>
      <w:r>
        <w:rPr>
          <w:rFonts w:ascii="Arial" w:hAnsi="Arial" w:cs="Arial"/>
          <w:sz w:val="22"/>
          <w:szCs w:val="22"/>
          <w:lang w:val="es-ES"/>
        </w:rPr>
        <w:br w:type="page"/>
      </w:r>
    </w:p>
    <w:p w14:paraId="093398C4" w14:textId="77777777" w:rsidR="00155EEA" w:rsidRDefault="00155EEA">
      <w:pPr>
        <w:rPr>
          <w:rFonts w:ascii="Arial" w:hAnsi="Arial" w:cs="Arial"/>
          <w:sz w:val="22"/>
          <w:szCs w:val="22"/>
          <w:lang w:val="es-ES"/>
        </w:rPr>
      </w:pPr>
    </w:p>
    <w:p w14:paraId="1B784583" w14:textId="77777777" w:rsidR="00155EEA" w:rsidRDefault="00155EEA">
      <w:pPr>
        <w:rPr>
          <w:rFonts w:ascii="Arial" w:hAnsi="Arial" w:cs="Arial"/>
          <w:sz w:val="22"/>
          <w:szCs w:val="22"/>
          <w:lang w:val="es-ES"/>
        </w:rPr>
      </w:pPr>
    </w:p>
    <w:tbl>
      <w:tblPr>
        <w:tblW w:w="8992" w:type="dxa"/>
        <w:tblInd w:w="108" w:type="dxa"/>
        <w:tblLook w:val="01E0" w:firstRow="1" w:lastRow="1" w:firstColumn="1" w:lastColumn="1" w:noHBand="0" w:noVBand="0"/>
      </w:tblPr>
      <w:tblGrid>
        <w:gridCol w:w="1620"/>
        <w:gridCol w:w="7372"/>
      </w:tblGrid>
      <w:tr w:rsidR="00655AE7" w:rsidRPr="007D3421" w14:paraId="52519CB6" w14:textId="77777777" w:rsidTr="00655AE7">
        <w:trPr>
          <w:cantSplit/>
          <w:trHeight w:val="423"/>
        </w:trPr>
        <w:tc>
          <w:tcPr>
            <w:tcW w:w="899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0E4AA0" w14:textId="77777777" w:rsidR="00655AE7" w:rsidRPr="0034609F" w:rsidRDefault="00655AE7" w:rsidP="00655AE7">
            <w:pPr>
              <w:spacing w:before="120" w:after="120"/>
              <w:jc w:val="center"/>
              <w:rPr>
                <w:rFonts w:ascii="Arial" w:hAnsi="Arial" w:cs="Arial"/>
                <w:b/>
                <w:smallCaps/>
                <w:sz w:val="22"/>
                <w:szCs w:val="22"/>
                <w:lang w:val="es-ES"/>
              </w:rPr>
            </w:pPr>
            <w:r w:rsidRPr="0034609F">
              <w:rPr>
                <w:rFonts w:ascii="Arial" w:eastAsia="Arial Unicode MS" w:hAnsi="Arial" w:cs="Arial"/>
                <w:b/>
                <w:bCs/>
                <w:smallCaps/>
                <w:sz w:val="22"/>
                <w:szCs w:val="22"/>
                <w:lang w:val="es-ES"/>
              </w:rPr>
              <w:t>Abreviaturas</w:t>
            </w:r>
          </w:p>
        </w:tc>
      </w:tr>
      <w:tr w:rsidR="00655AE7" w:rsidRPr="007D3421" w14:paraId="7F0E2D17" w14:textId="77777777" w:rsidTr="00655AE7">
        <w:trPr>
          <w:cantSplit/>
        </w:trPr>
        <w:tc>
          <w:tcPr>
            <w:tcW w:w="1620" w:type="dxa"/>
            <w:tcBorders>
              <w:left w:val="single" w:sz="4" w:space="0" w:color="auto"/>
            </w:tcBorders>
          </w:tcPr>
          <w:p w14:paraId="1FF5E1FD"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APP</w:t>
            </w:r>
          </w:p>
        </w:tc>
        <w:tc>
          <w:tcPr>
            <w:tcW w:w="7372" w:type="dxa"/>
            <w:tcBorders>
              <w:right w:val="single" w:sz="4" w:space="0" w:color="auto"/>
            </w:tcBorders>
          </w:tcPr>
          <w:p w14:paraId="36EB61A8"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Asociaciones Público-Privadas</w:t>
            </w:r>
          </w:p>
        </w:tc>
      </w:tr>
      <w:tr w:rsidR="00655AE7" w:rsidRPr="007D3421" w14:paraId="70AE490E" w14:textId="77777777" w:rsidTr="00655AE7">
        <w:trPr>
          <w:cantSplit/>
        </w:trPr>
        <w:tc>
          <w:tcPr>
            <w:tcW w:w="1620" w:type="dxa"/>
            <w:tcBorders>
              <w:left w:val="single" w:sz="4" w:space="0" w:color="auto"/>
            </w:tcBorders>
            <w:vAlign w:val="bottom"/>
          </w:tcPr>
          <w:p w14:paraId="5DE4BAFF"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BCE</w:t>
            </w:r>
          </w:p>
        </w:tc>
        <w:tc>
          <w:tcPr>
            <w:tcW w:w="7372" w:type="dxa"/>
            <w:tcBorders>
              <w:right w:val="single" w:sz="4" w:space="0" w:color="auto"/>
            </w:tcBorders>
            <w:vAlign w:val="bottom"/>
          </w:tcPr>
          <w:p w14:paraId="2AE6BB5B" w14:textId="77777777" w:rsidR="00655AE7" w:rsidRPr="0034609F" w:rsidRDefault="00655AE7" w:rsidP="00655AE7">
            <w:pPr>
              <w:rPr>
                <w:rFonts w:ascii="Arial" w:hAnsi="Arial" w:cs="Arial"/>
                <w:sz w:val="22"/>
                <w:szCs w:val="22"/>
                <w:lang w:val="es-ES"/>
              </w:rPr>
            </w:pPr>
            <w:r w:rsidRPr="0034609F">
              <w:rPr>
                <w:rFonts w:ascii="Arial" w:eastAsia="Arial" w:hAnsi="Arial" w:cs="Arial"/>
                <w:sz w:val="22"/>
                <w:szCs w:val="22"/>
                <w:lang w:val="es-ES"/>
              </w:rPr>
              <w:t>Banco Central del Ecuador</w:t>
            </w:r>
          </w:p>
        </w:tc>
      </w:tr>
      <w:tr w:rsidR="00655AE7" w:rsidRPr="000B6D45" w14:paraId="06D838AE" w14:textId="77777777" w:rsidTr="00655AE7">
        <w:trPr>
          <w:cantSplit/>
        </w:trPr>
        <w:tc>
          <w:tcPr>
            <w:tcW w:w="1620" w:type="dxa"/>
            <w:tcBorders>
              <w:left w:val="single" w:sz="4" w:space="0" w:color="auto"/>
            </w:tcBorders>
            <w:vAlign w:val="bottom"/>
          </w:tcPr>
          <w:p w14:paraId="6935845C"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BDE</w:t>
            </w:r>
          </w:p>
        </w:tc>
        <w:tc>
          <w:tcPr>
            <w:tcW w:w="7372" w:type="dxa"/>
            <w:tcBorders>
              <w:right w:val="single" w:sz="4" w:space="0" w:color="auto"/>
            </w:tcBorders>
            <w:vAlign w:val="bottom"/>
          </w:tcPr>
          <w:p w14:paraId="4523BB60" w14:textId="77777777" w:rsidR="00655AE7" w:rsidRPr="0034609F" w:rsidRDefault="00655AE7" w:rsidP="00655AE7">
            <w:pPr>
              <w:rPr>
                <w:rFonts w:ascii="Arial" w:hAnsi="Arial" w:cs="Arial"/>
                <w:sz w:val="22"/>
                <w:szCs w:val="22"/>
                <w:lang w:val="es-ES"/>
              </w:rPr>
            </w:pPr>
            <w:r w:rsidRPr="0034609F">
              <w:rPr>
                <w:rFonts w:ascii="Arial" w:eastAsia="Arial" w:hAnsi="Arial" w:cs="Arial"/>
                <w:sz w:val="22"/>
                <w:szCs w:val="22"/>
                <w:lang w:val="es-ES"/>
              </w:rPr>
              <w:t>Banco de Desarrollo de Ecuador</w:t>
            </w:r>
          </w:p>
        </w:tc>
      </w:tr>
      <w:tr w:rsidR="00655AE7" w:rsidRPr="007D3421" w14:paraId="30F44141" w14:textId="77777777" w:rsidTr="00655AE7">
        <w:trPr>
          <w:cantSplit/>
        </w:trPr>
        <w:tc>
          <w:tcPr>
            <w:tcW w:w="1620" w:type="dxa"/>
            <w:tcBorders>
              <w:left w:val="single" w:sz="4" w:space="0" w:color="auto"/>
            </w:tcBorders>
          </w:tcPr>
          <w:p w14:paraId="300326C8"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BID</w:t>
            </w:r>
          </w:p>
        </w:tc>
        <w:tc>
          <w:tcPr>
            <w:tcW w:w="7372" w:type="dxa"/>
            <w:tcBorders>
              <w:right w:val="single" w:sz="4" w:space="0" w:color="auto"/>
            </w:tcBorders>
          </w:tcPr>
          <w:p w14:paraId="03F389A5"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Banco Interamericano de Desarrollo</w:t>
            </w:r>
          </w:p>
        </w:tc>
      </w:tr>
      <w:tr w:rsidR="00655AE7" w:rsidRPr="007D3421" w14:paraId="318CD7D7" w14:textId="77777777" w:rsidTr="00655AE7">
        <w:trPr>
          <w:cantSplit/>
        </w:trPr>
        <w:tc>
          <w:tcPr>
            <w:tcW w:w="1620" w:type="dxa"/>
            <w:tcBorders>
              <w:left w:val="single" w:sz="4" w:space="0" w:color="auto"/>
            </w:tcBorders>
          </w:tcPr>
          <w:p w14:paraId="25782AF0"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CO</w:t>
            </w:r>
          </w:p>
        </w:tc>
        <w:tc>
          <w:tcPr>
            <w:tcW w:w="7372" w:type="dxa"/>
            <w:tcBorders>
              <w:right w:val="single" w:sz="4" w:space="0" w:color="auto"/>
            </w:tcBorders>
          </w:tcPr>
          <w:p w14:paraId="0E14083D"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Capital Ordinario</w:t>
            </w:r>
          </w:p>
        </w:tc>
      </w:tr>
      <w:tr w:rsidR="00655AE7" w:rsidRPr="000B6D45" w14:paraId="04468349" w14:textId="77777777" w:rsidTr="00655AE7">
        <w:trPr>
          <w:cantSplit/>
        </w:trPr>
        <w:tc>
          <w:tcPr>
            <w:tcW w:w="1620" w:type="dxa"/>
            <w:tcBorders>
              <w:left w:val="single" w:sz="4" w:space="0" w:color="auto"/>
            </w:tcBorders>
            <w:vAlign w:val="bottom"/>
          </w:tcPr>
          <w:p w14:paraId="0341181E"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DNCGP</w:t>
            </w:r>
          </w:p>
        </w:tc>
        <w:tc>
          <w:tcPr>
            <w:tcW w:w="7372" w:type="dxa"/>
            <w:tcBorders>
              <w:right w:val="single" w:sz="4" w:space="0" w:color="auto"/>
            </w:tcBorders>
            <w:vAlign w:val="bottom"/>
          </w:tcPr>
          <w:p w14:paraId="7346F589"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Dirección Nacional de Calidad del Gasto Público</w:t>
            </w:r>
          </w:p>
        </w:tc>
      </w:tr>
      <w:tr w:rsidR="00655AE7" w:rsidRPr="002B3840" w14:paraId="5B949D7C" w14:textId="77777777" w:rsidTr="00655AE7">
        <w:trPr>
          <w:cantSplit/>
        </w:trPr>
        <w:tc>
          <w:tcPr>
            <w:tcW w:w="1620" w:type="dxa"/>
            <w:tcBorders>
              <w:left w:val="single" w:sz="4" w:space="0" w:color="auto"/>
            </w:tcBorders>
            <w:vAlign w:val="bottom"/>
          </w:tcPr>
          <w:p w14:paraId="20272AF6" w14:textId="77777777" w:rsidR="00655AE7" w:rsidRPr="007D3421" w:rsidRDefault="00655AE7" w:rsidP="00655AE7">
            <w:pPr>
              <w:rPr>
                <w:rFonts w:ascii="Arial" w:hAnsi="Arial" w:cs="Arial"/>
                <w:sz w:val="22"/>
                <w:szCs w:val="22"/>
                <w:lang w:val="es-ES"/>
              </w:rPr>
            </w:pPr>
            <w:r>
              <w:rPr>
                <w:rFonts w:ascii="Arial" w:hAnsi="Arial" w:cs="Arial"/>
                <w:sz w:val="22"/>
                <w:szCs w:val="22"/>
                <w:lang w:val="es-ES"/>
              </w:rPr>
              <w:t>EEPP</w:t>
            </w:r>
          </w:p>
        </w:tc>
        <w:tc>
          <w:tcPr>
            <w:tcW w:w="7372" w:type="dxa"/>
            <w:tcBorders>
              <w:right w:val="single" w:sz="4" w:space="0" w:color="auto"/>
            </w:tcBorders>
            <w:vAlign w:val="bottom"/>
          </w:tcPr>
          <w:p w14:paraId="19A7F5FD"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 xml:space="preserve">Empresas Públicas </w:t>
            </w:r>
          </w:p>
        </w:tc>
      </w:tr>
      <w:tr w:rsidR="00655AE7" w:rsidRPr="007D3421" w14:paraId="43D6E92D" w14:textId="77777777" w:rsidTr="00655AE7">
        <w:trPr>
          <w:cantSplit/>
        </w:trPr>
        <w:tc>
          <w:tcPr>
            <w:tcW w:w="1620" w:type="dxa"/>
            <w:tcBorders>
              <w:left w:val="single" w:sz="4" w:space="0" w:color="auto"/>
            </w:tcBorders>
          </w:tcPr>
          <w:p w14:paraId="6F6A8F30"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FMI</w:t>
            </w:r>
          </w:p>
        </w:tc>
        <w:tc>
          <w:tcPr>
            <w:tcW w:w="7372" w:type="dxa"/>
            <w:tcBorders>
              <w:right w:val="single" w:sz="4" w:space="0" w:color="auto"/>
            </w:tcBorders>
          </w:tcPr>
          <w:p w14:paraId="660408EA" w14:textId="77777777" w:rsidR="00655AE7" w:rsidRPr="0034609F" w:rsidRDefault="00655AE7" w:rsidP="00655AE7">
            <w:pPr>
              <w:rPr>
                <w:rFonts w:ascii="Arial" w:eastAsia="Arial Unicode MS" w:hAnsi="Arial" w:cs="Arial"/>
                <w:sz w:val="22"/>
                <w:szCs w:val="22"/>
                <w:lang w:val="es-ES"/>
              </w:rPr>
            </w:pPr>
            <w:r w:rsidRPr="0034609F">
              <w:rPr>
                <w:rFonts w:ascii="Arial" w:hAnsi="Arial" w:cs="Arial"/>
                <w:sz w:val="22"/>
                <w:szCs w:val="22"/>
                <w:lang w:val="es-ES"/>
              </w:rPr>
              <w:t>Fondo Monetario Internacional</w:t>
            </w:r>
          </w:p>
        </w:tc>
      </w:tr>
      <w:tr w:rsidR="00655AE7" w:rsidRPr="007D3421" w14:paraId="49C93E43" w14:textId="77777777" w:rsidTr="00655AE7">
        <w:trPr>
          <w:cantSplit/>
        </w:trPr>
        <w:tc>
          <w:tcPr>
            <w:tcW w:w="1620" w:type="dxa"/>
            <w:tcBorders>
              <w:left w:val="single" w:sz="4" w:space="0" w:color="auto"/>
            </w:tcBorders>
            <w:vAlign w:val="bottom"/>
          </w:tcPr>
          <w:p w14:paraId="26BC39F7"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GAD</w:t>
            </w:r>
          </w:p>
        </w:tc>
        <w:tc>
          <w:tcPr>
            <w:tcW w:w="7372" w:type="dxa"/>
            <w:tcBorders>
              <w:right w:val="single" w:sz="4" w:space="0" w:color="auto"/>
            </w:tcBorders>
            <w:vAlign w:val="bottom"/>
          </w:tcPr>
          <w:p w14:paraId="1E0891AC"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Gobiernos Autónomos Descentralizados</w:t>
            </w:r>
          </w:p>
        </w:tc>
      </w:tr>
      <w:tr w:rsidR="00655AE7" w:rsidRPr="007D3421" w14:paraId="14029D78" w14:textId="77777777" w:rsidTr="00655AE7">
        <w:trPr>
          <w:cantSplit/>
        </w:trPr>
        <w:tc>
          <w:tcPr>
            <w:tcW w:w="1620" w:type="dxa"/>
            <w:tcBorders>
              <w:left w:val="single" w:sz="4" w:space="0" w:color="auto"/>
            </w:tcBorders>
            <w:vAlign w:val="bottom"/>
          </w:tcPr>
          <w:p w14:paraId="486674D2"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IP</w:t>
            </w:r>
          </w:p>
        </w:tc>
        <w:tc>
          <w:tcPr>
            <w:tcW w:w="7372" w:type="dxa"/>
            <w:tcBorders>
              <w:right w:val="single" w:sz="4" w:space="0" w:color="auto"/>
            </w:tcBorders>
            <w:vAlign w:val="bottom"/>
          </w:tcPr>
          <w:p w14:paraId="1D9C6605"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Inversión Pública</w:t>
            </w:r>
          </w:p>
        </w:tc>
      </w:tr>
      <w:tr w:rsidR="00655AE7" w:rsidRPr="007D3421" w14:paraId="1C23264F" w14:textId="77777777" w:rsidTr="00655AE7">
        <w:trPr>
          <w:cantSplit/>
        </w:trPr>
        <w:tc>
          <w:tcPr>
            <w:tcW w:w="1620" w:type="dxa"/>
            <w:tcBorders>
              <w:left w:val="single" w:sz="4" w:space="0" w:color="auto"/>
            </w:tcBorders>
            <w:vAlign w:val="bottom"/>
          </w:tcPr>
          <w:p w14:paraId="435FBB4B"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LOEP</w:t>
            </w:r>
          </w:p>
        </w:tc>
        <w:tc>
          <w:tcPr>
            <w:tcW w:w="7372" w:type="dxa"/>
            <w:tcBorders>
              <w:right w:val="single" w:sz="4" w:space="0" w:color="auto"/>
            </w:tcBorders>
            <w:vAlign w:val="bottom"/>
          </w:tcPr>
          <w:p w14:paraId="4AA0F6A6"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Ley Orgánica Empresas Públicas</w:t>
            </w:r>
          </w:p>
        </w:tc>
      </w:tr>
      <w:tr w:rsidR="00655AE7" w:rsidRPr="007D3421" w14:paraId="5F8FD2A5" w14:textId="77777777" w:rsidTr="00655AE7">
        <w:trPr>
          <w:cantSplit/>
        </w:trPr>
        <w:tc>
          <w:tcPr>
            <w:tcW w:w="1620" w:type="dxa"/>
            <w:tcBorders>
              <w:left w:val="single" w:sz="4" w:space="0" w:color="auto"/>
            </w:tcBorders>
            <w:vAlign w:val="bottom"/>
          </w:tcPr>
          <w:p w14:paraId="0B815CAD"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M</w:t>
            </w:r>
            <w:r w:rsidRPr="007D3421">
              <w:rPr>
                <w:rFonts w:ascii="Arial" w:hAnsi="Arial" w:cs="Arial"/>
                <w:sz w:val="22"/>
                <w:szCs w:val="22"/>
              </w:rPr>
              <w:t>R</w:t>
            </w:r>
          </w:p>
        </w:tc>
        <w:tc>
          <w:tcPr>
            <w:tcW w:w="7372" w:type="dxa"/>
            <w:tcBorders>
              <w:right w:val="single" w:sz="4" w:space="0" w:color="auto"/>
            </w:tcBorders>
            <w:vAlign w:val="bottom"/>
          </w:tcPr>
          <w:p w14:paraId="7CCD0042"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M</w:t>
            </w:r>
            <w:r w:rsidRPr="0034609F">
              <w:rPr>
                <w:rFonts w:ascii="Arial" w:hAnsi="Arial" w:cs="Arial"/>
                <w:sz w:val="22"/>
                <w:szCs w:val="22"/>
              </w:rPr>
              <w:t>atriz de Resultados</w:t>
            </w:r>
          </w:p>
        </w:tc>
      </w:tr>
      <w:tr w:rsidR="00655AE7" w:rsidRPr="000B6D45" w14:paraId="42AFBAF1" w14:textId="77777777" w:rsidTr="00655AE7">
        <w:trPr>
          <w:cantSplit/>
        </w:trPr>
        <w:tc>
          <w:tcPr>
            <w:tcW w:w="1620" w:type="dxa"/>
            <w:tcBorders>
              <w:left w:val="single" w:sz="4" w:space="0" w:color="auto"/>
            </w:tcBorders>
            <w:vAlign w:val="bottom"/>
          </w:tcPr>
          <w:p w14:paraId="2B90E8B9"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MEER</w:t>
            </w:r>
          </w:p>
        </w:tc>
        <w:tc>
          <w:tcPr>
            <w:tcW w:w="7372" w:type="dxa"/>
            <w:tcBorders>
              <w:right w:val="single" w:sz="4" w:space="0" w:color="auto"/>
            </w:tcBorders>
            <w:vAlign w:val="bottom"/>
          </w:tcPr>
          <w:p w14:paraId="713CC072"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 xml:space="preserve">Ministerio de Electricidad y Energía Renovable </w:t>
            </w:r>
          </w:p>
        </w:tc>
      </w:tr>
      <w:tr w:rsidR="00655AE7" w:rsidRPr="000B6D45" w14:paraId="53E0B964" w14:textId="77777777" w:rsidTr="00655AE7">
        <w:trPr>
          <w:cantSplit/>
        </w:trPr>
        <w:tc>
          <w:tcPr>
            <w:tcW w:w="1620" w:type="dxa"/>
            <w:tcBorders>
              <w:left w:val="single" w:sz="4" w:space="0" w:color="auto"/>
            </w:tcBorders>
            <w:vAlign w:val="bottom"/>
          </w:tcPr>
          <w:p w14:paraId="6AA38E2F"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MEF</w:t>
            </w:r>
          </w:p>
        </w:tc>
        <w:tc>
          <w:tcPr>
            <w:tcW w:w="7372" w:type="dxa"/>
            <w:tcBorders>
              <w:right w:val="single" w:sz="4" w:space="0" w:color="auto"/>
            </w:tcBorders>
            <w:vAlign w:val="bottom"/>
          </w:tcPr>
          <w:p w14:paraId="1F928ABA"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Ministerio de Economía y Finanzas</w:t>
            </w:r>
          </w:p>
        </w:tc>
      </w:tr>
      <w:tr w:rsidR="00655AE7" w:rsidRPr="007D3421" w14:paraId="0F3050AC" w14:textId="77777777" w:rsidTr="00655AE7">
        <w:trPr>
          <w:cantSplit/>
        </w:trPr>
        <w:tc>
          <w:tcPr>
            <w:tcW w:w="1620" w:type="dxa"/>
            <w:tcBorders>
              <w:left w:val="single" w:sz="4" w:space="0" w:color="auto"/>
            </w:tcBorders>
            <w:vAlign w:val="bottom"/>
          </w:tcPr>
          <w:p w14:paraId="6F351787"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MTOP</w:t>
            </w:r>
          </w:p>
        </w:tc>
        <w:tc>
          <w:tcPr>
            <w:tcW w:w="7372" w:type="dxa"/>
            <w:tcBorders>
              <w:right w:val="single" w:sz="4" w:space="0" w:color="auto"/>
            </w:tcBorders>
            <w:vAlign w:val="bottom"/>
          </w:tcPr>
          <w:p w14:paraId="62D48CF4"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 xml:space="preserve">Ministerio de Transporte y Obras Públicas. </w:t>
            </w:r>
          </w:p>
        </w:tc>
      </w:tr>
      <w:tr w:rsidR="00655AE7" w:rsidRPr="000B6D45" w14:paraId="751A4F93" w14:textId="77777777" w:rsidTr="00655AE7">
        <w:trPr>
          <w:cantSplit/>
        </w:trPr>
        <w:tc>
          <w:tcPr>
            <w:tcW w:w="1620" w:type="dxa"/>
            <w:tcBorders>
              <w:left w:val="single" w:sz="4" w:space="0" w:color="auto"/>
            </w:tcBorders>
            <w:vAlign w:val="center"/>
          </w:tcPr>
          <w:p w14:paraId="4B939CC4"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OCDE</w:t>
            </w:r>
          </w:p>
        </w:tc>
        <w:tc>
          <w:tcPr>
            <w:tcW w:w="7372" w:type="dxa"/>
            <w:tcBorders>
              <w:right w:val="single" w:sz="4" w:space="0" w:color="auto"/>
            </w:tcBorders>
            <w:vAlign w:val="center"/>
          </w:tcPr>
          <w:p w14:paraId="78F1F393" w14:textId="77777777" w:rsidR="00655AE7" w:rsidRPr="0034609F" w:rsidRDefault="00655AE7" w:rsidP="00655AE7">
            <w:pPr>
              <w:rPr>
                <w:rFonts w:ascii="Arial" w:hAnsi="Arial" w:cs="Arial"/>
                <w:sz w:val="22"/>
                <w:szCs w:val="22"/>
                <w:lang w:val="es-ES"/>
              </w:rPr>
            </w:pPr>
            <w:r w:rsidRPr="0034609F">
              <w:rPr>
                <w:rFonts w:ascii="Arial" w:eastAsia="Arial" w:hAnsi="Arial" w:cs="Arial"/>
                <w:bCs/>
                <w:sz w:val="22"/>
                <w:szCs w:val="22"/>
                <w:lang w:val="es-ES"/>
              </w:rPr>
              <w:t>Organización para la Cooperación y el Desarrollo Económicos</w:t>
            </w:r>
          </w:p>
        </w:tc>
      </w:tr>
      <w:tr w:rsidR="00655AE7" w:rsidRPr="007D3421" w14:paraId="65BDCF22" w14:textId="77777777" w:rsidTr="00655AE7">
        <w:trPr>
          <w:cantSplit/>
        </w:trPr>
        <w:tc>
          <w:tcPr>
            <w:tcW w:w="1620" w:type="dxa"/>
            <w:tcBorders>
              <w:left w:val="single" w:sz="4" w:space="0" w:color="auto"/>
            </w:tcBorders>
          </w:tcPr>
          <w:p w14:paraId="0D6BC04D"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OE</w:t>
            </w:r>
          </w:p>
        </w:tc>
        <w:tc>
          <w:tcPr>
            <w:tcW w:w="7372" w:type="dxa"/>
            <w:tcBorders>
              <w:right w:val="single" w:sz="4" w:space="0" w:color="auto"/>
            </w:tcBorders>
          </w:tcPr>
          <w:p w14:paraId="79BD1439" w14:textId="77777777" w:rsidR="00655AE7" w:rsidRPr="0034609F" w:rsidRDefault="00655AE7" w:rsidP="00655AE7">
            <w:pPr>
              <w:rPr>
                <w:rFonts w:ascii="Arial" w:eastAsia="Calibri" w:hAnsi="Arial" w:cs="Arial"/>
                <w:sz w:val="22"/>
                <w:szCs w:val="22"/>
              </w:rPr>
            </w:pPr>
            <w:r w:rsidRPr="0034609F">
              <w:rPr>
                <w:rFonts w:ascii="Arial" w:eastAsia="Calibri" w:hAnsi="Arial" w:cs="Arial"/>
                <w:sz w:val="22"/>
                <w:szCs w:val="22"/>
              </w:rPr>
              <w:t>Organismo Ejecutor</w:t>
            </w:r>
          </w:p>
        </w:tc>
      </w:tr>
      <w:tr w:rsidR="00655AE7" w:rsidRPr="007D3421" w14:paraId="7905128A" w14:textId="77777777" w:rsidTr="00655AE7">
        <w:trPr>
          <w:cantSplit/>
        </w:trPr>
        <w:tc>
          <w:tcPr>
            <w:tcW w:w="1620" w:type="dxa"/>
            <w:tcBorders>
              <w:left w:val="single" w:sz="4" w:space="0" w:color="auto"/>
            </w:tcBorders>
          </w:tcPr>
          <w:p w14:paraId="3DC03214"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PB</w:t>
            </w:r>
            <w:r>
              <w:rPr>
                <w:rFonts w:ascii="Arial" w:hAnsi="Arial" w:cs="Arial"/>
                <w:sz w:val="22"/>
                <w:szCs w:val="22"/>
                <w:lang w:val="es-ES"/>
              </w:rPr>
              <w:t>L</w:t>
            </w:r>
          </w:p>
        </w:tc>
        <w:tc>
          <w:tcPr>
            <w:tcW w:w="7372" w:type="dxa"/>
            <w:tcBorders>
              <w:right w:val="single" w:sz="4" w:space="0" w:color="auto"/>
            </w:tcBorders>
          </w:tcPr>
          <w:p w14:paraId="114E043B" w14:textId="77777777" w:rsidR="00655AE7" w:rsidRPr="0034609F" w:rsidRDefault="00655AE7" w:rsidP="00655AE7">
            <w:pPr>
              <w:rPr>
                <w:rFonts w:ascii="Arial" w:eastAsia="Calibri" w:hAnsi="Arial" w:cs="Arial"/>
                <w:sz w:val="22"/>
                <w:szCs w:val="22"/>
                <w:lang w:val="pt-BR"/>
              </w:rPr>
            </w:pPr>
            <w:r w:rsidRPr="0034609F">
              <w:rPr>
                <w:rFonts w:ascii="Arial" w:eastAsia="Calibri" w:hAnsi="Arial" w:cs="Arial"/>
                <w:sz w:val="22"/>
                <w:szCs w:val="22"/>
                <w:lang w:val="pt-BR"/>
              </w:rPr>
              <w:t>Préstamo de Apoyo a Reformas de Políticas</w:t>
            </w:r>
          </w:p>
        </w:tc>
      </w:tr>
      <w:tr w:rsidR="00655AE7" w:rsidRPr="007D3421" w14:paraId="00915348" w14:textId="77777777" w:rsidTr="00655AE7">
        <w:trPr>
          <w:cantSplit/>
        </w:trPr>
        <w:tc>
          <w:tcPr>
            <w:tcW w:w="1620" w:type="dxa"/>
            <w:tcBorders>
              <w:left w:val="single" w:sz="4" w:space="0" w:color="auto"/>
            </w:tcBorders>
          </w:tcPr>
          <w:p w14:paraId="52A5206F"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PdP</w:t>
            </w:r>
          </w:p>
        </w:tc>
        <w:tc>
          <w:tcPr>
            <w:tcW w:w="7372" w:type="dxa"/>
            <w:tcBorders>
              <w:right w:val="single" w:sz="4" w:space="0" w:color="auto"/>
            </w:tcBorders>
          </w:tcPr>
          <w:p w14:paraId="23DA162C" w14:textId="77777777" w:rsidR="00655AE7" w:rsidRPr="0034609F" w:rsidRDefault="00655AE7" w:rsidP="00655AE7">
            <w:pPr>
              <w:rPr>
                <w:rFonts w:ascii="Arial" w:eastAsia="Calibri" w:hAnsi="Arial" w:cs="Arial"/>
                <w:sz w:val="22"/>
                <w:szCs w:val="22"/>
                <w:lang w:val="pt-BR"/>
              </w:rPr>
            </w:pPr>
            <w:r w:rsidRPr="0034609F">
              <w:rPr>
                <w:rFonts w:ascii="Arial" w:eastAsia="Calibri" w:hAnsi="Arial" w:cs="Arial"/>
                <w:sz w:val="22"/>
                <w:szCs w:val="22"/>
                <w:lang w:val="pt-BR"/>
              </w:rPr>
              <w:t>Plan de Prosperidad 2018-2021</w:t>
            </w:r>
          </w:p>
        </w:tc>
      </w:tr>
      <w:tr w:rsidR="00655AE7" w:rsidRPr="007D3421" w14:paraId="1EB6F0EF" w14:textId="77777777" w:rsidTr="00655AE7">
        <w:trPr>
          <w:cantSplit/>
        </w:trPr>
        <w:tc>
          <w:tcPr>
            <w:tcW w:w="1620" w:type="dxa"/>
            <w:tcBorders>
              <w:left w:val="single" w:sz="4" w:space="0" w:color="auto"/>
            </w:tcBorders>
          </w:tcPr>
          <w:p w14:paraId="62349498"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PIB</w:t>
            </w:r>
          </w:p>
        </w:tc>
        <w:tc>
          <w:tcPr>
            <w:tcW w:w="7372" w:type="dxa"/>
            <w:tcBorders>
              <w:right w:val="single" w:sz="4" w:space="0" w:color="auto"/>
            </w:tcBorders>
          </w:tcPr>
          <w:p w14:paraId="16358834" w14:textId="77777777" w:rsidR="00655AE7" w:rsidRPr="0034609F" w:rsidRDefault="00655AE7" w:rsidP="00655AE7">
            <w:pPr>
              <w:rPr>
                <w:rFonts w:ascii="Arial" w:hAnsi="Arial" w:cs="Arial"/>
                <w:sz w:val="22"/>
                <w:szCs w:val="22"/>
                <w:lang w:val="es-ES"/>
              </w:rPr>
            </w:pPr>
            <w:r w:rsidRPr="0034609F">
              <w:rPr>
                <w:rFonts w:ascii="Arial" w:eastAsia="Calibri" w:hAnsi="Arial" w:cs="Arial"/>
                <w:sz w:val="22"/>
                <w:szCs w:val="22"/>
                <w:lang w:val="es-ES"/>
              </w:rPr>
              <w:t>Producto Interno Bruto</w:t>
            </w:r>
          </w:p>
        </w:tc>
      </w:tr>
      <w:tr w:rsidR="00655AE7" w:rsidRPr="007D3421" w14:paraId="6C3B582C" w14:textId="77777777" w:rsidTr="00655AE7">
        <w:trPr>
          <w:cantSplit/>
        </w:trPr>
        <w:tc>
          <w:tcPr>
            <w:tcW w:w="1620" w:type="dxa"/>
            <w:tcBorders>
              <w:left w:val="single" w:sz="4" w:space="0" w:color="auto"/>
            </w:tcBorders>
          </w:tcPr>
          <w:p w14:paraId="6B45C395"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SPNF</w:t>
            </w:r>
          </w:p>
        </w:tc>
        <w:tc>
          <w:tcPr>
            <w:tcW w:w="7372" w:type="dxa"/>
            <w:tcBorders>
              <w:right w:val="single" w:sz="4" w:space="0" w:color="auto"/>
            </w:tcBorders>
          </w:tcPr>
          <w:p w14:paraId="6E6D2542" w14:textId="77777777" w:rsidR="00655AE7" w:rsidRPr="0034609F" w:rsidRDefault="00655AE7" w:rsidP="00655AE7">
            <w:pPr>
              <w:rPr>
                <w:rFonts w:ascii="Arial" w:hAnsi="Arial" w:cs="Arial"/>
                <w:sz w:val="22"/>
                <w:szCs w:val="22"/>
                <w:lang w:val="es-ES"/>
              </w:rPr>
            </w:pPr>
            <w:r w:rsidRPr="0034609F">
              <w:rPr>
                <w:rFonts w:ascii="Arial" w:hAnsi="Arial" w:cs="Arial"/>
                <w:sz w:val="22"/>
                <w:szCs w:val="22"/>
              </w:rPr>
              <w:t>Sector Público No Petrolero</w:t>
            </w:r>
          </w:p>
        </w:tc>
      </w:tr>
      <w:tr w:rsidR="00655AE7" w:rsidRPr="007D3421" w14:paraId="1D01A75F" w14:textId="77777777" w:rsidTr="00655AE7">
        <w:trPr>
          <w:cantSplit/>
        </w:trPr>
        <w:tc>
          <w:tcPr>
            <w:tcW w:w="1620" w:type="dxa"/>
            <w:tcBorders>
              <w:left w:val="single" w:sz="4" w:space="0" w:color="auto"/>
            </w:tcBorders>
          </w:tcPr>
          <w:p w14:paraId="3BB29249"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SRI</w:t>
            </w:r>
          </w:p>
        </w:tc>
        <w:tc>
          <w:tcPr>
            <w:tcW w:w="7372" w:type="dxa"/>
            <w:tcBorders>
              <w:right w:val="single" w:sz="4" w:space="0" w:color="auto"/>
            </w:tcBorders>
          </w:tcPr>
          <w:p w14:paraId="4CA2CF90"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Servicio de Rentas Internas</w:t>
            </w:r>
          </w:p>
        </w:tc>
      </w:tr>
      <w:tr w:rsidR="00655AE7" w:rsidRPr="000B6D45" w14:paraId="65FEDA31" w14:textId="77777777" w:rsidTr="00655AE7">
        <w:trPr>
          <w:cantSplit/>
        </w:trPr>
        <w:tc>
          <w:tcPr>
            <w:tcW w:w="1620" w:type="dxa"/>
            <w:tcBorders>
              <w:left w:val="single" w:sz="4" w:space="0" w:color="auto"/>
            </w:tcBorders>
          </w:tcPr>
          <w:p w14:paraId="637EBC1B"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SENAE</w:t>
            </w:r>
          </w:p>
        </w:tc>
        <w:tc>
          <w:tcPr>
            <w:tcW w:w="7372" w:type="dxa"/>
            <w:tcBorders>
              <w:right w:val="single" w:sz="4" w:space="0" w:color="auto"/>
            </w:tcBorders>
          </w:tcPr>
          <w:p w14:paraId="1003346C" w14:textId="77777777" w:rsidR="00655AE7" w:rsidRPr="0034609F" w:rsidRDefault="00655AE7" w:rsidP="00655AE7">
            <w:pPr>
              <w:rPr>
                <w:rFonts w:ascii="Arial" w:eastAsia="Batang" w:hAnsi="Arial" w:cs="Arial"/>
                <w:sz w:val="22"/>
                <w:szCs w:val="22"/>
                <w:lang w:val="es-ES" w:eastAsia="ko-KR"/>
              </w:rPr>
            </w:pPr>
            <w:r w:rsidRPr="0034609F">
              <w:rPr>
                <w:rFonts w:ascii="Arial" w:eastAsia="Batang" w:hAnsi="Arial" w:cs="Arial"/>
                <w:sz w:val="22"/>
                <w:szCs w:val="22"/>
                <w:lang w:val="es-ES" w:eastAsia="ko-KR"/>
              </w:rPr>
              <w:t>Servicio Nacional de Aduana del Ecuador</w:t>
            </w:r>
          </w:p>
        </w:tc>
      </w:tr>
      <w:tr w:rsidR="00655AE7" w:rsidRPr="000B6D45" w14:paraId="08E8C1F4" w14:textId="77777777" w:rsidTr="00655AE7">
        <w:trPr>
          <w:cantSplit/>
          <w:trHeight w:val="58"/>
        </w:trPr>
        <w:tc>
          <w:tcPr>
            <w:tcW w:w="1620" w:type="dxa"/>
            <w:tcBorders>
              <w:left w:val="single" w:sz="4" w:space="0" w:color="auto"/>
            </w:tcBorders>
            <w:vAlign w:val="bottom"/>
          </w:tcPr>
          <w:p w14:paraId="7D056429"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SENPLADES</w:t>
            </w:r>
          </w:p>
        </w:tc>
        <w:tc>
          <w:tcPr>
            <w:tcW w:w="7372" w:type="dxa"/>
            <w:tcBorders>
              <w:right w:val="single" w:sz="4" w:space="0" w:color="auto"/>
            </w:tcBorders>
            <w:vAlign w:val="bottom"/>
          </w:tcPr>
          <w:p w14:paraId="52E07B58" w14:textId="77777777" w:rsidR="00655AE7" w:rsidRPr="0034609F" w:rsidRDefault="00655AE7" w:rsidP="00655AE7">
            <w:pPr>
              <w:rPr>
                <w:rFonts w:ascii="Arial" w:eastAsia="Batang" w:hAnsi="Arial" w:cs="Arial"/>
                <w:sz w:val="22"/>
                <w:szCs w:val="22"/>
                <w:lang w:val="es-ES" w:eastAsia="ko-KR"/>
              </w:rPr>
            </w:pPr>
            <w:r w:rsidRPr="0034609F">
              <w:rPr>
                <w:rFonts w:ascii="Arial" w:hAnsi="Arial" w:cs="Arial"/>
                <w:sz w:val="22"/>
                <w:szCs w:val="22"/>
                <w:lang w:val="es-ES"/>
              </w:rPr>
              <w:t>Secretaría Nacional de Planificación y Desarrollo</w:t>
            </w:r>
          </w:p>
        </w:tc>
      </w:tr>
      <w:tr w:rsidR="00655AE7" w:rsidRPr="007D3421" w14:paraId="6C15C861" w14:textId="77777777" w:rsidTr="00655AE7">
        <w:trPr>
          <w:cantSplit/>
        </w:trPr>
        <w:tc>
          <w:tcPr>
            <w:tcW w:w="1620" w:type="dxa"/>
            <w:tcBorders>
              <w:left w:val="single" w:sz="4" w:space="0" w:color="auto"/>
            </w:tcBorders>
          </w:tcPr>
          <w:p w14:paraId="64655F17"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TIR</w:t>
            </w:r>
          </w:p>
        </w:tc>
        <w:tc>
          <w:tcPr>
            <w:tcW w:w="7372" w:type="dxa"/>
            <w:tcBorders>
              <w:right w:val="single" w:sz="4" w:space="0" w:color="auto"/>
            </w:tcBorders>
          </w:tcPr>
          <w:p w14:paraId="1FFDF110" w14:textId="77777777" w:rsidR="00655AE7" w:rsidRPr="0034609F" w:rsidRDefault="00655AE7" w:rsidP="00655AE7">
            <w:pPr>
              <w:rPr>
                <w:rFonts w:ascii="Arial" w:hAnsi="Arial" w:cs="Arial"/>
                <w:sz w:val="22"/>
                <w:szCs w:val="22"/>
                <w:lang w:val="es-ES"/>
              </w:rPr>
            </w:pPr>
            <w:r w:rsidRPr="0034609F">
              <w:rPr>
                <w:rFonts w:ascii="Arial" w:hAnsi="Arial" w:cs="Arial"/>
                <w:sz w:val="22"/>
                <w:szCs w:val="22"/>
                <w:lang w:val="es-ES"/>
              </w:rPr>
              <w:t>Tasa Interna de Retorno</w:t>
            </w:r>
          </w:p>
        </w:tc>
      </w:tr>
      <w:tr w:rsidR="00655AE7" w:rsidRPr="000B6D45" w14:paraId="4026B72D" w14:textId="77777777" w:rsidTr="00655AE7">
        <w:trPr>
          <w:cantSplit/>
        </w:trPr>
        <w:tc>
          <w:tcPr>
            <w:tcW w:w="1620" w:type="dxa"/>
            <w:tcBorders>
              <w:left w:val="single" w:sz="4" w:space="0" w:color="auto"/>
            </w:tcBorders>
            <w:vAlign w:val="center"/>
          </w:tcPr>
          <w:p w14:paraId="1AB51BB7"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UIS</w:t>
            </w:r>
          </w:p>
        </w:tc>
        <w:tc>
          <w:tcPr>
            <w:tcW w:w="7372" w:type="dxa"/>
            <w:tcBorders>
              <w:right w:val="single" w:sz="4" w:space="0" w:color="auto"/>
            </w:tcBorders>
            <w:vAlign w:val="center"/>
          </w:tcPr>
          <w:p w14:paraId="30F4F34E"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 xml:space="preserve">Actualización de la Estrategia Institucional </w:t>
            </w:r>
            <w:r w:rsidRPr="007D3421">
              <w:rPr>
                <w:rFonts w:ascii="Arial" w:eastAsia="Arial" w:hAnsi="Arial" w:cs="Arial"/>
                <w:sz w:val="22"/>
                <w:szCs w:val="22"/>
                <w:lang w:val="es-ES"/>
              </w:rPr>
              <w:t>(por sus siglas en inglés)</w:t>
            </w:r>
          </w:p>
        </w:tc>
      </w:tr>
      <w:tr w:rsidR="00655AE7" w:rsidRPr="007D3421" w14:paraId="7600C31E" w14:textId="77777777" w:rsidTr="00655AE7">
        <w:trPr>
          <w:cantSplit/>
        </w:trPr>
        <w:tc>
          <w:tcPr>
            <w:tcW w:w="1620" w:type="dxa"/>
            <w:tcBorders>
              <w:left w:val="single" w:sz="4" w:space="0" w:color="auto"/>
              <w:bottom w:val="single" w:sz="4" w:space="0" w:color="auto"/>
            </w:tcBorders>
          </w:tcPr>
          <w:p w14:paraId="284E09E6"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VPN</w:t>
            </w:r>
          </w:p>
        </w:tc>
        <w:tc>
          <w:tcPr>
            <w:tcW w:w="7372" w:type="dxa"/>
            <w:tcBorders>
              <w:bottom w:val="single" w:sz="4" w:space="0" w:color="auto"/>
              <w:right w:val="single" w:sz="4" w:space="0" w:color="auto"/>
            </w:tcBorders>
          </w:tcPr>
          <w:p w14:paraId="54DE7A25" w14:textId="77777777" w:rsidR="00655AE7" w:rsidRPr="007D3421" w:rsidRDefault="00655AE7" w:rsidP="00655AE7">
            <w:pPr>
              <w:rPr>
                <w:rFonts w:ascii="Arial" w:hAnsi="Arial" w:cs="Arial"/>
                <w:sz w:val="22"/>
                <w:szCs w:val="22"/>
                <w:lang w:val="es-ES"/>
              </w:rPr>
            </w:pPr>
            <w:r w:rsidRPr="007D3421">
              <w:rPr>
                <w:rFonts w:ascii="Arial" w:hAnsi="Arial" w:cs="Arial"/>
                <w:sz w:val="22"/>
                <w:szCs w:val="22"/>
                <w:lang w:val="es-ES"/>
              </w:rPr>
              <w:t>Valor Presente Neto</w:t>
            </w:r>
          </w:p>
        </w:tc>
      </w:tr>
    </w:tbl>
    <w:p w14:paraId="0284F6A3" w14:textId="77777777" w:rsidR="00416162" w:rsidRDefault="00416162" w:rsidP="00416162">
      <w:pPr>
        <w:pStyle w:val="Chapter"/>
        <w:numPr>
          <w:ilvl w:val="0"/>
          <w:numId w:val="0"/>
        </w:numPr>
        <w:tabs>
          <w:tab w:val="clear" w:pos="1440"/>
        </w:tabs>
        <w:spacing w:before="0"/>
        <w:ind w:left="18"/>
        <w:jc w:val="left"/>
        <w:rPr>
          <w:rFonts w:ascii="Arial" w:hAnsi="Arial" w:cs="Arial"/>
          <w:szCs w:val="22"/>
        </w:rPr>
        <w:sectPr w:rsidR="00416162" w:rsidSect="003F7D00">
          <w:headerReference w:type="even" r:id="rId20"/>
          <w:headerReference w:type="default" r:id="rId21"/>
          <w:headerReference w:type="first" r:id="rId22"/>
          <w:type w:val="continuous"/>
          <w:pgSz w:w="12240" w:h="15840" w:code="1"/>
          <w:pgMar w:top="1440" w:right="1800" w:bottom="1440" w:left="1800" w:header="706" w:footer="706" w:gutter="0"/>
          <w:pgNumType w:fmt="lowerRoman" w:start="1"/>
          <w:cols w:space="720"/>
          <w:formProt w:val="0"/>
          <w:titlePg/>
          <w:docGrid w:linePitch="326"/>
        </w:sectPr>
      </w:pPr>
      <w:bookmarkStart w:id="0" w:name="_Toc508105574"/>
    </w:p>
    <w:p w14:paraId="1177E248" w14:textId="664EF8EF" w:rsidR="00155EEA" w:rsidRDefault="00C2392C" w:rsidP="006930D9">
      <w:pPr>
        <w:pStyle w:val="Chapter"/>
        <w:tabs>
          <w:tab w:val="clear" w:pos="1440"/>
          <w:tab w:val="clear" w:pos="1800"/>
        </w:tabs>
        <w:spacing w:before="0"/>
        <w:ind w:left="0" w:firstLine="18"/>
        <w:rPr>
          <w:rFonts w:ascii="Arial" w:hAnsi="Arial" w:cs="Arial"/>
          <w:szCs w:val="22"/>
        </w:rPr>
      </w:pPr>
      <w:r>
        <w:rPr>
          <w:rFonts w:ascii="Arial" w:hAnsi="Arial" w:cs="Arial"/>
          <w:szCs w:val="22"/>
        </w:rPr>
        <w:lastRenderedPageBreak/>
        <w:t>Introducción</w:t>
      </w:r>
      <w:bookmarkEnd w:id="0"/>
      <w:r>
        <w:rPr>
          <w:rFonts w:ascii="Arial" w:hAnsi="Arial" w:cs="Arial"/>
          <w:szCs w:val="22"/>
        </w:rPr>
        <w:t xml:space="preserve"> </w:t>
      </w:r>
    </w:p>
    <w:p w14:paraId="3F308C8B" w14:textId="2EB48FCF" w:rsidR="00155EEA" w:rsidRDefault="00C2392C" w:rsidP="006930D9">
      <w:pPr>
        <w:pStyle w:val="Paragraph"/>
        <w:tabs>
          <w:tab w:val="clear" w:pos="2448"/>
        </w:tabs>
        <w:ind w:left="720" w:hanging="720"/>
        <w:rPr>
          <w:rFonts w:ascii="Arial" w:hAnsi="Arial" w:cs="Arial"/>
          <w:sz w:val="22"/>
          <w:szCs w:val="22"/>
        </w:rPr>
      </w:pPr>
      <w:r>
        <w:rPr>
          <w:rFonts w:ascii="Arial" w:hAnsi="Arial" w:cs="Arial"/>
          <w:sz w:val="22"/>
          <w:szCs w:val="22"/>
        </w:rPr>
        <w:t>El objetivo de est</w:t>
      </w:r>
      <w:r w:rsidR="004A5C5B">
        <w:rPr>
          <w:rFonts w:ascii="Arial" w:hAnsi="Arial" w:cs="Arial"/>
          <w:sz w:val="22"/>
          <w:szCs w:val="22"/>
        </w:rPr>
        <w:t xml:space="preserve">e préstamo en apoyo de reformas de política </w:t>
      </w:r>
      <w:r w:rsidR="00043908">
        <w:rPr>
          <w:rFonts w:ascii="Arial" w:hAnsi="Arial" w:cs="Arial"/>
          <w:sz w:val="22"/>
          <w:szCs w:val="22"/>
        </w:rPr>
        <w:t xml:space="preserve">de dos tramos </w:t>
      </w:r>
      <w:r w:rsidR="004A5C5B">
        <w:rPr>
          <w:rFonts w:ascii="Arial" w:hAnsi="Arial" w:cs="Arial"/>
          <w:sz w:val="22"/>
          <w:szCs w:val="22"/>
        </w:rPr>
        <w:t xml:space="preserve">(PBL) </w:t>
      </w:r>
      <w:r w:rsidR="00C85E20" w:rsidRPr="00C85E20">
        <w:rPr>
          <w:rFonts w:ascii="Arial" w:hAnsi="Arial" w:cs="Arial"/>
          <w:sz w:val="22"/>
          <w:szCs w:val="22"/>
        </w:rPr>
        <w:t>es contribuir a la estabilidad fiscal de Ecuador, facilitando el crecimiento sostenible y el mantenimiento de los principales indicadores de desarrollo social. Los objetivos específicos son: (i) fortalecer la gestión macro-fiscal; (ii) mejorar la calidad y eficiencia del gasto; y (iii) mejorar la eficiencia y transparencia de política y la gestión tributaria</w:t>
      </w:r>
      <w:r w:rsidR="00777AFC">
        <w:rPr>
          <w:rFonts w:ascii="Arial" w:hAnsi="Arial" w:cs="Arial"/>
          <w:sz w:val="22"/>
          <w:szCs w:val="22"/>
        </w:rPr>
        <w:t>.</w:t>
      </w:r>
      <w:r w:rsidR="004A5C5B">
        <w:rPr>
          <w:rFonts w:ascii="Arial" w:hAnsi="Arial" w:cs="Arial"/>
          <w:sz w:val="22"/>
          <w:szCs w:val="22"/>
        </w:rPr>
        <w:t xml:space="preserve"> </w:t>
      </w:r>
      <w:r w:rsidR="00777AFC">
        <w:rPr>
          <w:rFonts w:ascii="Arial" w:hAnsi="Arial" w:cs="Arial"/>
          <w:sz w:val="22"/>
          <w:szCs w:val="22"/>
        </w:rPr>
        <w:t>E</w:t>
      </w:r>
      <w:r w:rsidR="004A5C5B">
        <w:rPr>
          <w:rFonts w:ascii="Arial" w:hAnsi="Arial" w:cs="Arial"/>
          <w:sz w:val="22"/>
          <w:szCs w:val="22"/>
        </w:rPr>
        <w:t xml:space="preserve">sto permitirá </w:t>
      </w:r>
      <w:r w:rsidR="00C85E20">
        <w:rPr>
          <w:rFonts w:ascii="Arial" w:hAnsi="Arial" w:cs="Arial"/>
          <w:sz w:val="22"/>
          <w:szCs w:val="22"/>
        </w:rPr>
        <w:t>apoyar la implementación de la</w:t>
      </w:r>
      <w:r w:rsidR="00C85E20" w:rsidRPr="00C85E20">
        <w:rPr>
          <w:rFonts w:ascii="Arial" w:hAnsi="Arial" w:cs="Arial"/>
          <w:sz w:val="22"/>
          <w:szCs w:val="22"/>
        </w:rPr>
        <w:t xml:space="preserve"> recientemente aprobada Ley Orgánica para el Fomento Productivo, Atracción de Inversiones, Generación de Empleo, y Estabilidad y Equilibro Fiscal (LFP) </w:t>
      </w:r>
      <w:r w:rsidR="00C85E20">
        <w:rPr>
          <w:rFonts w:ascii="Arial" w:hAnsi="Arial" w:cs="Arial"/>
          <w:sz w:val="22"/>
          <w:szCs w:val="22"/>
        </w:rPr>
        <w:t xml:space="preserve">para </w:t>
      </w:r>
      <w:r w:rsidR="004A5C5B">
        <w:rPr>
          <w:rFonts w:ascii="Arial" w:hAnsi="Arial" w:cs="Arial"/>
          <w:sz w:val="22"/>
          <w:szCs w:val="22"/>
        </w:rPr>
        <w:t>consolidar la estabilidad macroeconómica</w:t>
      </w:r>
      <w:r w:rsidR="00AE5FCD">
        <w:rPr>
          <w:rFonts w:ascii="Arial" w:hAnsi="Arial" w:cs="Arial"/>
          <w:sz w:val="22"/>
          <w:szCs w:val="22"/>
        </w:rPr>
        <w:t xml:space="preserve"> y de las finanzas públicas</w:t>
      </w:r>
      <w:r w:rsidR="004A5C5B">
        <w:rPr>
          <w:rFonts w:ascii="Arial" w:hAnsi="Arial" w:cs="Arial"/>
          <w:sz w:val="22"/>
          <w:szCs w:val="22"/>
        </w:rPr>
        <w:t xml:space="preserve"> de </w:t>
      </w:r>
      <w:r w:rsidR="00C85E20">
        <w:rPr>
          <w:rFonts w:ascii="Arial" w:hAnsi="Arial" w:cs="Arial"/>
          <w:sz w:val="22"/>
          <w:szCs w:val="22"/>
        </w:rPr>
        <w:t>Ecuador</w:t>
      </w:r>
      <w:r>
        <w:rPr>
          <w:rFonts w:ascii="Arial" w:hAnsi="Arial" w:cs="Arial"/>
          <w:sz w:val="22"/>
          <w:szCs w:val="22"/>
          <w:lang w:val="es-ES_tradnl"/>
        </w:rPr>
        <w:t>.</w:t>
      </w:r>
    </w:p>
    <w:p w14:paraId="448C86AA" w14:textId="3863A552" w:rsidR="00155EEA" w:rsidRDefault="00C2392C" w:rsidP="006930D9">
      <w:pPr>
        <w:pStyle w:val="Paragraph"/>
        <w:tabs>
          <w:tab w:val="clear" w:pos="2448"/>
        </w:tabs>
        <w:ind w:left="720" w:hanging="720"/>
        <w:rPr>
          <w:rFonts w:ascii="Arial" w:hAnsi="Arial" w:cs="Arial"/>
          <w:sz w:val="22"/>
          <w:szCs w:val="22"/>
        </w:rPr>
      </w:pPr>
      <w:r>
        <w:rPr>
          <w:rFonts w:ascii="Arial" w:hAnsi="Arial" w:cs="Arial"/>
          <w:sz w:val="22"/>
          <w:szCs w:val="22"/>
        </w:rPr>
        <w:t xml:space="preserve">El </w:t>
      </w:r>
      <w:r w:rsidR="002E0A11">
        <w:rPr>
          <w:rFonts w:ascii="Arial" w:hAnsi="Arial" w:cs="Arial"/>
          <w:sz w:val="22"/>
          <w:szCs w:val="22"/>
        </w:rPr>
        <w:t xml:space="preserve">PBL </w:t>
      </w:r>
      <w:r>
        <w:rPr>
          <w:rFonts w:ascii="Arial" w:hAnsi="Arial" w:cs="Arial"/>
          <w:sz w:val="22"/>
          <w:szCs w:val="22"/>
        </w:rPr>
        <w:t xml:space="preserve">se estructura en </w:t>
      </w:r>
      <w:r w:rsidR="00FC3B58">
        <w:rPr>
          <w:rFonts w:ascii="Arial" w:hAnsi="Arial" w:cs="Arial"/>
          <w:sz w:val="22"/>
          <w:szCs w:val="22"/>
        </w:rPr>
        <w:t xml:space="preserve">cuatro </w:t>
      </w:r>
      <w:r>
        <w:rPr>
          <w:rFonts w:ascii="Arial" w:hAnsi="Arial" w:cs="Arial"/>
          <w:sz w:val="22"/>
          <w:szCs w:val="22"/>
        </w:rPr>
        <w:t>componentes</w:t>
      </w:r>
      <w:r>
        <w:rPr>
          <w:rFonts w:ascii="Arial" w:hAnsi="Arial" w:cs="Arial"/>
          <w:spacing w:val="-4"/>
          <w:sz w:val="22"/>
          <w:szCs w:val="22"/>
        </w:rPr>
        <w:t>. El primer</w:t>
      </w:r>
      <w:r w:rsidR="002E0A11">
        <w:rPr>
          <w:rFonts w:ascii="Arial" w:hAnsi="Arial" w:cs="Arial"/>
          <w:spacing w:val="-4"/>
          <w:sz w:val="22"/>
          <w:szCs w:val="22"/>
        </w:rPr>
        <w:t xml:space="preserve">o tiene </w:t>
      </w:r>
      <w:r w:rsidR="00845A5B">
        <w:rPr>
          <w:rFonts w:ascii="Arial" w:hAnsi="Arial" w:cs="Arial"/>
          <w:bCs/>
          <w:sz w:val="22"/>
          <w:szCs w:val="22"/>
        </w:rPr>
        <w:t xml:space="preserve">el </w:t>
      </w:r>
      <w:r>
        <w:rPr>
          <w:rFonts w:ascii="Arial" w:hAnsi="Arial" w:cs="Arial"/>
          <w:sz w:val="22"/>
          <w:szCs w:val="22"/>
        </w:rPr>
        <w:t xml:space="preserve">objetivo </w:t>
      </w:r>
      <w:r w:rsidR="00845A5B">
        <w:rPr>
          <w:rFonts w:ascii="Arial" w:hAnsi="Arial" w:cs="Arial"/>
          <w:sz w:val="22"/>
          <w:szCs w:val="22"/>
        </w:rPr>
        <w:t xml:space="preserve">de </w:t>
      </w:r>
      <w:r w:rsidR="00AE5FCD" w:rsidRPr="00AE5FCD">
        <w:rPr>
          <w:rFonts w:ascii="Arial" w:hAnsi="Arial" w:cs="Arial"/>
          <w:sz w:val="22"/>
          <w:szCs w:val="22"/>
        </w:rPr>
        <w:t>mantener un contexto macroeconómico congruente con los objetivos del programa según la Matriz de Políticas.</w:t>
      </w:r>
      <w:r>
        <w:rPr>
          <w:rFonts w:ascii="Arial" w:hAnsi="Arial" w:cs="Arial"/>
          <w:sz w:val="22"/>
          <w:szCs w:val="22"/>
        </w:rPr>
        <w:t xml:space="preserve"> </w:t>
      </w:r>
    </w:p>
    <w:p w14:paraId="362049A9" w14:textId="77777777" w:rsidR="0024665E" w:rsidRPr="0024665E" w:rsidRDefault="0024665E" w:rsidP="0024665E">
      <w:pPr>
        <w:pStyle w:val="Paragraph"/>
        <w:tabs>
          <w:tab w:val="clear" w:pos="2448"/>
        </w:tabs>
        <w:ind w:left="720" w:hanging="720"/>
        <w:rPr>
          <w:rFonts w:ascii="Arial" w:hAnsi="Arial" w:cs="Arial"/>
          <w:sz w:val="22"/>
          <w:szCs w:val="22"/>
        </w:rPr>
      </w:pPr>
      <w:r w:rsidRPr="0024665E">
        <w:rPr>
          <w:rFonts w:ascii="Arial" w:hAnsi="Arial" w:cs="Arial"/>
          <w:b/>
          <w:sz w:val="22"/>
          <w:szCs w:val="22"/>
        </w:rPr>
        <w:t>Componente I. Estabilidad macroeconómica</w:t>
      </w:r>
      <w:r w:rsidRPr="0024665E">
        <w:rPr>
          <w:rFonts w:ascii="Arial" w:hAnsi="Arial" w:cs="Arial"/>
          <w:sz w:val="22"/>
          <w:szCs w:val="22"/>
        </w:rPr>
        <w:t>. El objetivo es mantener un contexto macroeconómico congruente con los objetivos del programa según la Matriz de Políticas.</w:t>
      </w:r>
    </w:p>
    <w:p w14:paraId="034CC503" w14:textId="777777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b/>
          <w:sz w:val="22"/>
          <w:szCs w:val="22"/>
        </w:rPr>
        <w:t>Componente II. Fortalecimiento del marco de responsabilidad fiscal y de la transparencia de la deuda</w:t>
      </w:r>
      <w:r w:rsidRPr="00417D9A">
        <w:rPr>
          <w:rFonts w:ascii="Arial" w:hAnsi="Arial" w:cs="Arial"/>
          <w:sz w:val="22"/>
          <w:szCs w:val="22"/>
        </w:rPr>
        <w:t xml:space="preserve">. El objetivo de este componente es restaurar la sostenibilidad fiscal a través de: (i) fortalecimiento del marco de responsabilidad fiscal; y (ii) fortalecimiento de la transparencia en las estadísticas de deuda pública. </w:t>
      </w:r>
    </w:p>
    <w:p w14:paraId="332EA8A6" w14:textId="777777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 xml:space="preserve">Fortalecimiento del marco de responsabilidad fiscal. Para el primer tramo se establece: fortalecimiento del marco de responsabilidad fiscal, mediante: (a) un límite de crecimiento del gasto público del Gobierno Central (GC) equivalente a la tasa de crecimiento real de largo plazo de la economía; (b) la definición de cláusulas de escape a la regla de crecimiento de gasto público, incluyendo escenarios de recesión económica grave; y (c) el establecimiento de mecanismos cuatrimestrales de monitoreo de la regla fiscal de crecimiento de gasto público incluyendo análisis de riesgo de incumplimiento. </w:t>
      </w:r>
      <w:bookmarkStart w:id="1" w:name="_Ref429477875"/>
    </w:p>
    <w:p w14:paraId="2008A51B" w14:textId="4453FF4D"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Para el s</w:t>
      </w:r>
      <w:bookmarkEnd w:id="1"/>
      <w:r w:rsidRPr="00417D9A">
        <w:rPr>
          <w:rFonts w:ascii="Arial" w:hAnsi="Arial" w:cs="Arial"/>
          <w:sz w:val="22"/>
          <w:szCs w:val="22"/>
        </w:rPr>
        <w:t>egundo tramo se establece: fortalecimiento del marco de responsabilidad fiscal, mediante: (a) la ampliación de la cobertura del límite de crecimiento de</w:t>
      </w:r>
      <w:r w:rsidR="005F5F9C">
        <w:rPr>
          <w:rFonts w:ascii="Arial" w:hAnsi="Arial" w:cs="Arial"/>
          <w:sz w:val="22"/>
          <w:szCs w:val="22"/>
        </w:rPr>
        <w:t>l</w:t>
      </w:r>
      <w:r w:rsidRPr="00417D9A">
        <w:rPr>
          <w:rFonts w:ascii="Arial" w:hAnsi="Arial" w:cs="Arial"/>
          <w:sz w:val="22"/>
          <w:szCs w:val="22"/>
        </w:rPr>
        <w:t xml:space="preserve"> gasto público del GC al SPNF; (b) redefinición de la metodología de aplicación de la “regla de oro” (ingresos sobre gastos permanentes) constitucional para que sea consistente con la nueva regla de crecimiento de gasto; y (c) publicación de reportes cuatrimestrales de monitoreo y cumplimiento de la regla fiscal de crecimiento de gasto en 2019.</w:t>
      </w:r>
    </w:p>
    <w:p w14:paraId="06B2B442" w14:textId="777777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Fortalecimiento de la transparencia en las estadísticas de deuda pública. Para el primer tramo se establece: fortalecimiento de la transparencia en las estadísticas de la deuda pública, mediante: (a) la inclusión en el cómputo de deuda pública de las obligaciones resultantes de la venta anticipada de petróleo, la deuda pública del GC con otras entidades del Estado, y otras obligaciones (laudos y deuda flotante entre otros); y (b) la publicación mensual de las estadísticas de deuda pública, incluyendo los estados agregados y consolidados de las distintas coberturas institucionales: Sector Público, SPNF y del GC.</w:t>
      </w:r>
    </w:p>
    <w:p w14:paraId="10BA0B57" w14:textId="777777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lastRenderedPageBreak/>
        <w:t>Para el segundo tramo se establece: fortalecimiento de la transparencia en las estadísticas de la deuda pública, mediante: (a) la ampliación de la cobertura de la regla fiscal de Deuda Pública sobre el PIB, que se consolidará al nivel del SPNF y no del Sector Público total; y (b) la publicación mensual de los boletines de deuda de acuerdo con la nueva metodología de cálculo de deuda a nivel de SPNF en 2019.</w:t>
      </w:r>
    </w:p>
    <w:p w14:paraId="4C51C765" w14:textId="777777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b/>
          <w:sz w:val="22"/>
          <w:szCs w:val="22"/>
        </w:rPr>
        <w:t xml:space="preserve">Componente III. Mejora en la calidad y eficiencia del gasto. </w:t>
      </w:r>
      <w:r w:rsidRPr="00417D9A">
        <w:rPr>
          <w:rFonts w:ascii="Arial" w:hAnsi="Arial" w:cs="Arial"/>
          <w:sz w:val="22"/>
          <w:szCs w:val="22"/>
        </w:rPr>
        <w:t xml:space="preserve">El objetivo de este componente es mejorar la calidad y eficiencia del gasto a través de: (i) fortalecimiento institucional; (ii) mejora de la capacidad fiscal para IP con contribución privada mediante APP; y (iii) </w:t>
      </w:r>
      <w:bookmarkStart w:id="2" w:name="_Hlk8295186"/>
      <w:r w:rsidRPr="00417D9A">
        <w:rPr>
          <w:rFonts w:ascii="Arial" w:hAnsi="Arial" w:cs="Arial"/>
          <w:sz w:val="22"/>
          <w:szCs w:val="22"/>
        </w:rPr>
        <w:t>fortalecimiento de la gestión y control del Estado sobre las EEPP de la función ejecutiva</w:t>
      </w:r>
      <w:bookmarkEnd w:id="2"/>
      <w:r w:rsidRPr="00417D9A">
        <w:rPr>
          <w:rFonts w:ascii="Arial" w:hAnsi="Arial" w:cs="Arial"/>
          <w:sz w:val="22"/>
          <w:szCs w:val="22"/>
        </w:rPr>
        <w:t>.</w:t>
      </w:r>
    </w:p>
    <w:p w14:paraId="785B4FC5" w14:textId="05286C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 xml:space="preserve">Fortalecimiento institucional. Para el primer tramo, se establece: fortalecimiento de la DNCGP </w:t>
      </w:r>
      <w:r w:rsidR="004B1B3C">
        <w:rPr>
          <w:rFonts w:ascii="Arial" w:hAnsi="Arial" w:cs="Arial"/>
          <w:sz w:val="22"/>
          <w:szCs w:val="22"/>
        </w:rPr>
        <w:t xml:space="preserve">en el MEF, </w:t>
      </w:r>
      <w:r w:rsidRPr="00417D9A">
        <w:rPr>
          <w:rFonts w:ascii="Arial" w:hAnsi="Arial" w:cs="Arial"/>
          <w:sz w:val="22"/>
          <w:szCs w:val="22"/>
        </w:rPr>
        <w:t xml:space="preserve">a través del establecimiento del MEF como ente coordinador de las unidades de efectividad y calidad del gasto de la función ejecutiva del Estado, incluyendo: (a) la obligatoriedad de las agencias del GC de reportar estadísticas de gasto al MEF; y (b) definición de agenda y metodologías de evaluación del gasto social, incluyendo evaluaciones ex ante y de impacto. </w:t>
      </w:r>
    </w:p>
    <w:p w14:paraId="62102FDA" w14:textId="285DD4BD"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Para el segundo tramo se establece: fortalecimiento de la DNCGP</w:t>
      </w:r>
      <w:r w:rsidR="004B1B3C">
        <w:rPr>
          <w:rFonts w:ascii="Arial" w:hAnsi="Arial" w:cs="Arial"/>
          <w:sz w:val="22"/>
          <w:szCs w:val="22"/>
        </w:rPr>
        <w:t xml:space="preserve"> en el MEF,</w:t>
      </w:r>
      <w:r w:rsidRPr="00417D9A">
        <w:rPr>
          <w:rFonts w:ascii="Arial" w:hAnsi="Arial" w:cs="Arial"/>
          <w:sz w:val="22"/>
          <w:szCs w:val="22"/>
        </w:rPr>
        <w:t xml:space="preserve"> a través de la implementación del MEF como ente coordinador del Sistema Nacional de Calidad del Gasto, incluyendo: (a) reportes de información sobre gasto social de tres ministerios (Educación, Salud y de Inclusión Económica y Social) recibidos por el MEF; y (b) evaluación piloto de al menos un programa de gasto social </w:t>
      </w:r>
      <w:r w:rsidR="004B1B3C">
        <w:rPr>
          <w:rFonts w:ascii="Arial" w:hAnsi="Arial" w:cs="Arial"/>
          <w:sz w:val="22"/>
          <w:szCs w:val="22"/>
        </w:rPr>
        <w:t>iniciada</w:t>
      </w:r>
      <w:r w:rsidRPr="00417D9A">
        <w:rPr>
          <w:rFonts w:ascii="Arial" w:hAnsi="Arial" w:cs="Arial"/>
          <w:sz w:val="22"/>
          <w:szCs w:val="22"/>
        </w:rPr>
        <w:t>.</w:t>
      </w:r>
    </w:p>
    <w:p w14:paraId="22089EA1" w14:textId="777777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Mejora de la capacidad fiscal para IP con contribución privada mediante APP. Para el primer tramo, se establece: mejora de la capacidad fiscal para la IP con contribución privada, a través de: (a) envío a la Asamblea Nacional (AN) de reformas a la Ley de Incentivos a las APP que incluyan: (i) mejora del marco de coordinación interinstitucional del programa APP, incluyendo responsabilidades en la identificación, evaluación y gestión de riesgos fiscales derivadas de dichos proyectos; y las responsabilidades de los procesos de estructuración de éstos; (ii) definición del marco normativo para la monetización de activos públicos; y (iii) definición de procesos de gestión de iniciativas privadas no solicitadas; (b) reglamentación del tratamiento de pasivos contingentes derivados de proyectos bajo modalidad APP, y la regulación de los procesos de certificación plurianual de compromisos fiscales bajo proyectos APP; (c) creación de la Unidad APP para gobiernos subnacionales en el Banco de Desarrollo del Ecuador (BDE); y (d) aprobación del primer plan de gestión de impacto ambiental a APP en el proyecto Puerto Posorja.</w:t>
      </w:r>
    </w:p>
    <w:p w14:paraId="3FBA5790" w14:textId="777777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 xml:space="preserve">Para el segundo tramo se establece: mejora de la capacidad fiscal para la IP con contribución privada, a través de: (a) Reglamento de la Ley de Incentivos a las APP aprobado, incluyendo la reglamentación de: (i) el nuevo marco de coordinación institucional del programa; (ii) la ejecución de iniciativas de monetización de activos de infraestructura; y (iii) los procesos de gestión de iniciativas privadas no solicitadas; (b) propuesta de creación del Fondo de Garantías para APP subnacionales, facilitando la bancabilidad privada de dichos proyectos de IP remitida al MEF para aprobación; (c) unidad APP del BDE en </w:t>
      </w:r>
      <w:r w:rsidRPr="00417D9A">
        <w:rPr>
          <w:rFonts w:ascii="Arial" w:hAnsi="Arial" w:cs="Arial"/>
          <w:sz w:val="22"/>
          <w:szCs w:val="22"/>
        </w:rPr>
        <w:lastRenderedPageBreak/>
        <w:t>funcionamiento y tramitando solicitudes de estructuración de proyectos APP; y (d) elaboración de informes trimestrales de implementación del Plan de Gestión Medioambiental del Proyecto Posorja.</w:t>
      </w:r>
    </w:p>
    <w:p w14:paraId="6ABDF751" w14:textId="27A138D3"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Fortalecimiento de la gestión y control del Estado sobre las EEPP de la función ejecutiva. Para el primer tramo, se establece: (i) fortalecimiento de la gestión y control del Estado sobre las EEPP de la función ejecutiva a través de mejoras al marco institucional, operativo y fiscal, con el envío de reformas a la LOEP</w:t>
      </w:r>
      <w:r w:rsidRPr="00417D9A" w:rsidDel="00783304">
        <w:rPr>
          <w:rFonts w:ascii="Arial" w:hAnsi="Arial" w:cs="Arial"/>
          <w:sz w:val="22"/>
          <w:szCs w:val="22"/>
        </w:rPr>
        <w:t xml:space="preserve"> </w:t>
      </w:r>
      <w:r w:rsidRPr="00417D9A">
        <w:rPr>
          <w:rFonts w:ascii="Arial" w:hAnsi="Arial" w:cs="Arial"/>
          <w:sz w:val="22"/>
          <w:szCs w:val="22"/>
        </w:rPr>
        <w:t>a la AN, incorporando: (a) reforma del rol de la EMCO para que sea una institución que vele por el rol propietario del Estado y las buenas prácticas de gobierno corporativo; (b) reformas a la composición y métodos de selección de los directorios de las EEPP, incrementando los requerimientos profesionales de selección de directores y eliminando la asignación de ministros del ramo como presidentes de los directorios; (c) reforma del régimen fiscal de EEPP, alineándolo a las mejores prácticas internacionales</w:t>
      </w:r>
      <w:r w:rsidRPr="00417D9A">
        <w:footnoteReference w:id="2"/>
      </w:r>
      <w:r w:rsidRPr="00417D9A">
        <w:rPr>
          <w:rFonts w:ascii="Arial" w:hAnsi="Arial" w:cs="Arial"/>
          <w:sz w:val="22"/>
          <w:szCs w:val="22"/>
        </w:rPr>
        <w:t>, e incluyendo la definición de responsabilidades de pago de impuestos y política de distribución de excedentes basada en reglas claras y transparentes; (d) reforma del proceso de licitación y ejecución de las auditorías externas de las EEPP, asignando dicha autoridad a las mismas; y (e) reforma estableciendo objetivos para la participación de mujeres en los consejos directivos de las EEPP; (ii) reformas al proceso de asignación de</w:t>
      </w:r>
      <w:r w:rsidR="004B1B3C">
        <w:rPr>
          <w:rFonts w:ascii="Arial" w:hAnsi="Arial" w:cs="Arial"/>
          <w:sz w:val="22"/>
          <w:szCs w:val="22"/>
        </w:rPr>
        <w:t xml:space="preserve"> recursos del</w:t>
      </w:r>
      <w:r w:rsidRPr="00417D9A">
        <w:rPr>
          <w:rFonts w:ascii="Arial" w:hAnsi="Arial" w:cs="Arial"/>
          <w:sz w:val="22"/>
          <w:szCs w:val="22"/>
        </w:rPr>
        <w:t xml:space="preserve"> Presupuesto General del Estado (PGE)</w:t>
      </w:r>
      <w:r w:rsidR="004B1B3C">
        <w:rPr>
          <w:rFonts w:ascii="Arial" w:hAnsi="Arial" w:cs="Arial"/>
          <w:sz w:val="22"/>
          <w:szCs w:val="22"/>
        </w:rPr>
        <w:t xml:space="preserve"> a las EEPP</w:t>
      </w:r>
      <w:r w:rsidRPr="00417D9A">
        <w:rPr>
          <w:rFonts w:ascii="Arial" w:hAnsi="Arial" w:cs="Arial"/>
          <w:sz w:val="22"/>
          <w:szCs w:val="22"/>
        </w:rPr>
        <w:t>, incluyendo: (a) incorporación de todas las fuentes de ingresos de las EEPP a la formulación presupuestaria; (b) obligatoriedad de la presentación de la información de las EEPP en el sistema integrado de administración financiera del MEF previo a la consideración de la propuesta presupuestaria; y (c) restricción de acceso a fuentes de financiamiento a solo aquellas EEPP que demuestren capacidad de pago; (iii) reducción de la carga fiscal para el Estado derivada de las EEPP, mediante la decisión de recortar el 10% de la masa salarial de las EEPP de la función ejecutiva por el MEF; y (iv) mejora de la eficiencia del sector hidrocarburos mediante el proceso de fusión de las EEPP Petroecuador y Petroamazonas iniciado con la delegación de la responsabilidad de liderar la fusión al Ministerio de Energía y Recursos Naturales No Renovable (MEER).</w:t>
      </w:r>
    </w:p>
    <w:p w14:paraId="14C5CD9F" w14:textId="1B0DF616"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 xml:space="preserve">Para el segundo tramo se establece: (i) fortalecimiento de la gestión y control del Estado sobre las EEPP de la función ejecutiva a través de reformas al marco institucional, operativo y fiscal, incluyendo: </w:t>
      </w:r>
      <w:r w:rsidR="0006640A" w:rsidRPr="0006640A">
        <w:rPr>
          <w:rFonts w:ascii="Arial" w:hAnsi="Arial" w:cs="Arial"/>
          <w:sz w:val="22"/>
          <w:szCs w:val="22"/>
          <w:lang w:val="es-ES_tradnl"/>
        </w:rPr>
        <w:t xml:space="preserve">el envío a Presidencia del </w:t>
      </w:r>
      <w:r w:rsidR="008A6751">
        <w:rPr>
          <w:rFonts w:ascii="Arial" w:hAnsi="Arial" w:cs="Arial"/>
          <w:sz w:val="22"/>
          <w:szCs w:val="22"/>
        </w:rPr>
        <w:t xml:space="preserve">proyecto de </w:t>
      </w:r>
      <w:r w:rsidRPr="00417D9A">
        <w:rPr>
          <w:rFonts w:ascii="Arial" w:hAnsi="Arial" w:cs="Arial"/>
          <w:sz w:val="22"/>
          <w:szCs w:val="22"/>
        </w:rPr>
        <w:t>reglament</w:t>
      </w:r>
      <w:r w:rsidR="008A6751">
        <w:rPr>
          <w:rFonts w:ascii="Arial" w:hAnsi="Arial" w:cs="Arial"/>
          <w:sz w:val="22"/>
          <w:szCs w:val="22"/>
        </w:rPr>
        <w:t>o</w:t>
      </w:r>
      <w:r w:rsidRPr="00417D9A">
        <w:rPr>
          <w:rFonts w:ascii="Arial" w:hAnsi="Arial" w:cs="Arial"/>
          <w:sz w:val="22"/>
          <w:szCs w:val="22"/>
        </w:rPr>
        <w:t xml:space="preserve"> de la LOEP </w:t>
      </w:r>
      <w:bookmarkStart w:id="3" w:name="_Hlk10735792"/>
      <w:bookmarkStart w:id="4" w:name="_Hlk10735575"/>
      <w:r w:rsidR="008F3940">
        <w:rPr>
          <w:rFonts w:ascii="Arial" w:hAnsi="Arial" w:cs="Arial"/>
          <w:sz w:val="22"/>
          <w:szCs w:val="22"/>
        </w:rPr>
        <w:t>enviado</w:t>
      </w:r>
      <w:bookmarkEnd w:id="3"/>
      <w:r w:rsidR="008F3940">
        <w:rPr>
          <w:rFonts w:ascii="Arial" w:hAnsi="Arial" w:cs="Arial"/>
          <w:sz w:val="22"/>
          <w:szCs w:val="22"/>
        </w:rPr>
        <w:t xml:space="preserve"> </w:t>
      </w:r>
      <w:r w:rsidR="00BA75E1">
        <w:rPr>
          <w:rFonts w:ascii="Arial" w:hAnsi="Arial" w:cs="Arial"/>
          <w:sz w:val="22"/>
          <w:szCs w:val="22"/>
        </w:rPr>
        <w:t xml:space="preserve">a Presidencia </w:t>
      </w:r>
      <w:bookmarkEnd w:id="4"/>
      <w:r w:rsidRPr="00417D9A">
        <w:rPr>
          <w:rFonts w:ascii="Arial" w:hAnsi="Arial" w:cs="Arial"/>
          <w:sz w:val="22"/>
          <w:szCs w:val="22"/>
        </w:rPr>
        <w:t>y la aprobación de regulación requiriendo la publicación de los estados financieros auditados de las EEPP empezando con el año fiscal 2019; (ii) reformas al proceso de asignación del PGE</w:t>
      </w:r>
      <w:r w:rsidR="008627C0">
        <w:rPr>
          <w:rFonts w:ascii="Arial" w:hAnsi="Arial" w:cs="Arial"/>
          <w:sz w:val="22"/>
          <w:szCs w:val="22"/>
        </w:rPr>
        <w:t xml:space="preserve"> a las EEPP</w:t>
      </w:r>
      <w:r w:rsidRPr="00417D9A">
        <w:rPr>
          <w:rFonts w:ascii="Arial" w:hAnsi="Arial" w:cs="Arial"/>
          <w:sz w:val="22"/>
          <w:szCs w:val="22"/>
        </w:rPr>
        <w:t xml:space="preserve">, incluyendo la preparación de </w:t>
      </w:r>
      <w:r w:rsidR="008627C0">
        <w:rPr>
          <w:rFonts w:ascii="Arial" w:hAnsi="Arial" w:cs="Arial"/>
          <w:sz w:val="22"/>
          <w:szCs w:val="22"/>
        </w:rPr>
        <w:t>presupuestos institucionales de las</w:t>
      </w:r>
      <w:r w:rsidRPr="00417D9A">
        <w:rPr>
          <w:rFonts w:ascii="Arial" w:hAnsi="Arial" w:cs="Arial"/>
          <w:sz w:val="22"/>
          <w:szCs w:val="22"/>
        </w:rPr>
        <w:t xml:space="preserve"> EEPP </w:t>
      </w:r>
      <w:r w:rsidR="008627C0">
        <w:rPr>
          <w:rFonts w:ascii="Arial" w:hAnsi="Arial" w:cs="Arial"/>
          <w:sz w:val="22"/>
          <w:szCs w:val="22"/>
        </w:rPr>
        <w:t xml:space="preserve">en 2020 </w:t>
      </w:r>
      <w:r w:rsidRPr="00417D9A">
        <w:rPr>
          <w:rFonts w:ascii="Arial" w:hAnsi="Arial" w:cs="Arial"/>
          <w:sz w:val="22"/>
          <w:szCs w:val="22"/>
        </w:rPr>
        <w:t xml:space="preserve">de acuerdo a las reformas normativas efectuadas; (iii) reducción de la carga fiscal para el Estado derivada de la gestión de EEPP, mediante: (a) la implementación de un recorte del 10% a la masa salarial de las EEPP de la función ejecutiva; y (b) la aprobación del proceso de liquidación de dos EEPP de sectores no estratégicos con carácter mercantil; y (iv) inicio del proceso de fusión de </w:t>
      </w:r>
      <w:r w:rsidRPr="00417D9A">
        <w:rPr>
          <w:rFonts w:ascii="Arial" w:hAnsi="Arial" w:cs="Arial"/>
          <w:sz w:val="22"/>
          <w:szCs w:val="22"/>
        </w:rPr>
        <w:lastRenderedPageBreak/>
        <w:t>Petroamazonas y Petroecuador a fin de mejorar la eficiencia del sector hidrocarburos.</w:t>
      </w:r>
    </w:p>
    <w:p w14:paraId="036E1585" w14:textId="777777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b/>
          <w:sz w:val="22"/>
          <w:szCs w:val="22"/>
        </w:rPr>
        <w:t>Componente IV. Mejora en la eficiencia y transparencia de la política y gestión tributaria.</w:t>
      </w:r>
      <w:r w:rsidRPr="00417D9A">
        <w:rPr>
          <w:rFonts w:ascii="Arial" w:hAnsi="Arial" w:cs="Arial"/>
          <w:sz w:val="22"/>
          <w:szCs w:val="22"/>
        </w:rPr>
        <w:t xml:space="preserve"> Los objetivos de este componente son: (i) mejorar de la transparencia de la gestión tributaria; y (ii) mejorar de la eficiencia de la gestión tributaria. </w:t>
      </w:r>
    </w:p>
    <w:p w14:paraId="313C511B" w14:textId="01A67D8B"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Mejorar de la transparencia de la gestión tributaria. Para el primer tramo, se establece: (i) suscripción de la Convención sobre Asistencia Administrativa Mutua (CAAM) del Foro Global de la OCDE, incluyendo el intercambio de información financiera con fines fiscales tanto a requerimiento (EOIR) como automático (AEIO); y (ii) Aprobación de la Declaración sobre Aplicación del Conocimiento del Último Beneficiario de la propiedad según los estándares de transparencia del Foro Global de Intercambio de Transparencia Tributaria.</w:t>
      </w:r>
    </w:p>
    <w:p w14:paraId="72003EB7" w14:textId="77777777"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Para el segundo tramo se establece: (i) implementación de la CAAM, incluyendo: (a) refrendo de la CAAM, incluyendo legislación de “Common Reporting Standards”; y (b) evaluación positiva del Foro Global (con resultado “compliant” o “largely compliant”); y (ii) implementación de provisiones legales del Conocimiento de Último Beneficiario de la Propiedad.</w:t>
      </w:r>
    </w:p>
    <w:p w14:paraId="0E72DE61" w14:textId="66B6914C" w:rsidR="00890044"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 xml:space="preserve">Mejorar de la eficiencia de la gestión tributaria. Para el primer tramo, se establece: (i) preparación de propuesta técnica de sistema de </w:t>
      </w:r>
      <w:r w:rsidR="008674E8">
        <w:rPr>
          <w:rFonts w:ascii="Arial" w:hAnsi="Arial" w:cs="Arial"/>
          <w:sz w:val="22"/>
          <w:szCs w:val="22"/>
        </w:rPr>
        <w:t>tributación</w:t>
      </w:r>
      <w:r w:rsidRPr="00417D9A">
        <w:rPr>
          <w:rFonts w:ascii="Arial" w:hAnsi="Arial" w:cs="Arial"/>
          <w:sz w:val="22"/>
          <w:szCs w:val="22"/>
        </w:rPr>
        <w:t xml:space="preserve"> a los servicios digitales cobrados con tarjeta de crédito; (ii) mejora de la gestión de la administración tributaria y aduanera con la presentación de un plan de acción para la integración de procesos de manejo de datos, control y fiscalización de los contribuyentes; y (iii) fortalecimiento de la eficiencia de los procesos de cumplimiento tributario mediante la implementación de servicios en línea, incluyendo: (a) tecnologías de entrega y recepción de información fiscal (formularios en línea)</w:t>
      </w:r>
      <w:r w:rsidR="008674E8">
        <w:rPr>
          <w:rFonts w:ascii="Arial" w:hAnsi="Arial" w:cs="Arial"/>
          <w:sz w:val="22"/>
          <w:szCs w:val="22"/>
        </w:rPr>
        <w:t xml:space="preserve"> </w:t>
      </w:r>
      <w:r w:rsidR="008674E8" w:rsidRPr="009E196E">
        <w:rPr>
          <w:rFonts w:ascii="Arial" w:hAnsi="Arial" w:cs="Arial"/>
          <w:sz w:val="22"/>
          <w:szCs w:val="22"/>
          <w:lang w:val="es-ES_tradnl"/>
        </w:rPr>
        <w:t>y sistema de pago en línea de obligaciones tributarias</w:t>
      </w:r>
      <w:r w:rsidRPr="00417D9A">
        <w:rPr>
          <w:rFonts w:ascii="Arial" w:hAnsi="Arial" w:cs="Arial"/>
          <w:sz w:val="22"/>
          <w:szCs w:val="22"/>
        </w:rPr>
        <w:t xml:space="preserve">; (b) </w:t>
      </w:r>
      <w:r w:rsidR="008674E8">
        <w:rPr>
          <w:rFonts w:ascii="Arial" w:hAnsi="Arial" w:cs="Arial"/>
          <w:sz w:val="22"/>
          <w:szCs w:val="22"/>
          <w:lang w:val="es-ES_tradnl"/>
        </w:rPr>
        <w:t>p</w:t>
      </w:r>
      <w:r w:rsidR="008674E8" w:rsidRPr="009E196E">
        <w:rPr>
          <w:rFonts w:ascii="Arial" w:hAnsi="Arial" w:cs="Arial"/>
          <w:sz w:val="22"/>
          <w:szCs w:val="22"/>
          <w:lang w:val="es-ES_tradnl"/>
        </w:rPr>
        <w:t xml:space="preserve">roceso de inscripción en línea en el </w:t>
      </w:r>
      <w:r w:rsidRPr="00417D9A">
        <w:rPr>
          <w:rFonts w:ascii="Arial" w:hAnsi="Arial" w:cs="Arial"/>
          <w:sz w:val="22"/>
          <w:szCs w:val="22"/>
        </w:rPr>
        <w:t xml:space="preserve">catastro tributario; y (c) tecnologías que reduzcan los costes de gestión de cobro de deuda tributaria. </w:t>
      </w:r>
    </w:p>
    <w:p w14:paraId="63B09FD3" w14:textId="602E961B" w:rsidR="00155EEA" w:rsidRPr="00417D9A" w:rsidRDefault="00890044" w:rsidP="00417D9A">
      <w:pPr>
        <w:pStyle w:val="Paragraph"/>
        <w:tabs>
          <w:tab w:val="clear" w:pos="2448"/>
        </w:tabs>
        <w:ind w:left="720" w:hanging="720"/>
        <w:rPr>
          <w:rFonts w:ascii="Arial" w:hAnsi="Arial" w:cs="Arial"/>
          <w:sz w:val="22"/>
          <w:szCs w:val="22"/>
        </w:rPr>
      </w:pPr>
      <w:r w:rsidRPr="00417D9A">
        <w:rPr>
          <w:rFonts w:ascii="Arial" w:hAnsi="Arial" w:cs="Arial"/>
          <w:sz w:val="22"/>
          <w:szCs w:val="22"/>
        </w:rPr>
        <w:t xml:space="preserve">Para el segundo tramo se establece: (i) incorporación de la propuesta </w:t>
      </w:r>
      <w:r w:rsidR="00B37557" w:rsidRPr="00A2732C">
        <w:rPr>
          <w:rFonts w:ascii="Arial" w:hAnsi="Arial" w:cs="Arial"/>
          <w:bCs/>
          <w:sz w:val="22"/>
          <w:szCs w:val="22"/>
        </w:rPr>
        <w:t>técnica de sistema de tributación</w:t>
      </w:r>
      <w:r w:rsidR="00B37557" w:rsidRPr="00A2732C" w:rsidDel="00BC09A5">
        <w:rPr>
          <w:rFonts w:ascii="Arial" w:hAnsi="Arial" w:cs="Arial"/>
          <w:bCs/>
          <w:sz w:val="22"/>
          <w:szCs w:val="22"/>
        </w:rPr>
        <w:t xml:space="preserve"> </w:t>
      </w:r>
      <w:r w:rsidR="00B37557" w:rsidRPr="00855AEF">
        <w:rPr>
          <w:rFonts w:ascii="Arial" w:hAnsi="Arial" w:cs="Arial"/>
          <w:bCs/>
          <w:sz w:val="22"/>
          <w:szCs w:val="22"/>
        </w:rPr>
        <w:t>a los servicios digitales</w:t>
      </w:r>
      <w:r w:rsidR="00B37557" w:rsidRPr="007E10DD">
        <w:rPr>
          <w:rFonts w:ascii="Arial" w:hAnsi="Arial" w:cs="Arial"/>
          <w:bCs/>
          <w:sz w:val="22"/>
          <w:szCs w:val="22"/>
        </w:rPr>
        <w:t xml:space="preserve"> </w:t>
      </w:r>
      <w:r w:rsidR="00B37557" w:rsidRPr="00A2732C">
        <w:rPr>
          <w:rFonts w:ascii="Arial" w:hAnsi="Arial" w:cs="Arial"/>
          <w:bCs/>
          <w:sz w:val="22"/>
          <w:szCs w:val="22"/>
        </w:rPr>
        <w:t>cobrados con tarjeta de crédito en</w:t>
      </w:r>
      <w:r w:rsidRPr="00417D9A">
        <w:rPr>
          <w:rFonts w:ascii="Arial" w:hAnsi="Arial" w:cs="Arial"/>
          <w:sz w:val="22"/>
          <w:szCs w:val="22"/>
        </w:rPr>
        <w:t xml:space="preserve"> la propuesta de reforma tributaria enviada a la AN; (ii) implementación de</w:t>
      </w:r>
      <w:r w:rsidR="009027B3">
        <w:rPr>
          <w:rFonts w:ascii="Arial" w:hAnsi="Arial" w:cs="Arial"/>
          <w:sz w:val="22"/>
          <w:szCs w:val="22"/>
        </w:rPr>
        <w:t xml:space="preserve"> </w:t>
      </w:r>
      <w:r w:rsidRPr="00417D9A">
        <w:rPr>
          <w:rFonts w:ascii="Arial" w:hAnsi="Arial" w:cs="Arial"/>
          <w:sz w:val="22"/>
          <w:szCs w:val="22"/>
        </w:rPr>
        <w:t xml:space="preserve">medidas de integración de procesos de las agencias tributarias de acuerdo con diagnóstico y hoja de ruta; y (iii) fortalecimiento de la eficiencia de los procesos de cumplimiento tributario mediante la implementación de servicios en línea, incluyendo: (a) </w:t>
      </w:r>
      <w:r w:rsidR="00DE3402">
        <w:rPr>
          <w:rFonts w:ascii="Arial" w:hAnsi="Arial" w:cs="Arial"/>
          <w:sz w:val="22"/>
          <w:szCs w:val="22"/>
        </w:rPr>
        <w:t>inscripción</w:t>
      </w:r>
      <w:r w:rsidR="00DE3402" w:rsidRPr="00417D9A">
        <w:rPr>
          <w:rFonts w:ascii="Arial" w:hAnsi="Arial" w:cs="Arial"/>
          <w:sz w:val="22"/>
          <w:szCs w:val="22"/>
        </w:rPr>
        <w:t xml:space="preserve"> </w:t>
      </w:r>
      <w:r w:rsidRPr="00417D9A">
        <w:rPr>
          <w:rFonts w:ascii="Arial" w:hAnsi="Arial" w:cs="Arial"/>
          <w:sz w:val="22"/>
          <w:szCs w:val="22"/>
        </w:rPr>
        <w:t>de sociedades; (b) declaración de ganancias de capital y regalías mineras; y (c) pago en línea de la matriculación vehicular.</w:t>
      </w:r>
    </w:p>
    <w:p w14:paraId="09F06036" w14:textId="2DEFEF3F" w:rsidR="00155EEA" w:rsidRDefault="00C2392C" w:rsidP="006930D9">
      <w:pPr>
        <w:pStyle w:val="Chapter"/>
        <w:keepNext w:val="0"/>
        <w:widowControl w:val="0"/>
        <w:tabs>
          <w:tab w:val="clear" w:pos="1440"/>
          <w:tab w:val="clear" w:pos="1800"/>
        </w:tabs>
        <w:ind w:left="0" w:firstLine="18"/>
        <w:rPr>
          <w:rFonts w:ascii="Arial" w:hAnsi="Arial" w:cs="Arial"/>
          <w:szCs w:val="22"/>
        </w:rPr>
      </w:pPr>
      <w:bookmarkStart w:id="5" w:name="_Toc508105575"/>
      <w:r>
        <w:rPr>
          <w:rFonts w:ascii="Arial" w:hAnsi="Arial" w:cs="Arial"/>
          <w:szCs w:val="22"/>
        </w:rPr>
        <w:t>Monitoreo</w:t>
      </w:r>
      <w:bookmarkEnd w:id="5"/>
    </w:p>
    <w:p w14:paraId="65A7A313" w14:textId="77777777" w:rsidR="00155EEA" w:rsidRDefault="00C2392C" w:rsidP="006930D9">
      <w:pPr>
        <w:pStyle w:val="FirstHeading"/>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SEQ "</w:instrText>
      </w:r>
      <w:r>
        <w:rPr>
          <w:rFonts w:ascii="Arial" w:hAnsi="Arial" w:cs="Arial"/>
          <w:sz w:val="22"/>
          <w:szCs w:val="22"/>
        </w:rPr>
        <w:fldChar w:fldCharType="begin"/>
      </w:r>
      <w:r>
        <w:rPr>
          <w:rFonts w:ascii="Arial" w:hAnsi="Arial" w:cs="Arial"/>
          <w:sz w:val="22"/>
          <w:szCs w:val="22"/>
        </w:rPr>
        <w:instrText xml:space="preserve"> SECTION  \* MERGEFORMAT </w:instrText>
      </w:r>
      <w:r>
        <w:rPr>
          <w:rFonts w:ascii="Arial" w:hAnsi="Arial" w:cs="Arial"/>
          <w:sz w:val="22"/>
          <w:szCs w:val="22"/>
        </w:rPr>
        <w:fldChar w:fldCharType="separate"/>
      </w:r>
      <w:r>
        <w:rPr>
          <w:rFonts w:ascii="Arial" w:hAnsi="Arial" w:cs="Arial"/>
          <w:sz w:val="22"/>
          <w:szCs w:val="22"/>
        </w:rPr>
        <w:instrText>5</w:instrText>
      </w:r>
      <w:r>
        <w:rPr>
          <w:rFonts w:ascii="Arial" w:hAnsi="Arial" w:cs="Arial"/>
          <w:sz w:val="22"/>
          <w:szCs w:val="22"/>
        </w:rPr>
        <w:fldChar w:fldCharType="end"/>
      </w:r>
      <w:r>
        <w:rPr>
          <w:rFonts w:ascii="Arial" w:hAnsi="Arial" w:cs="Arial"/>
          <w:sz w:val="22"/>
          <w:szCs w:val="22"/>
        </w:rPr>
        <w:instrText xml:space="preserve">#"\* ALPHABETIC \* MERGEFORMAT </w:instrText>
      </w:r>
      <w:r>
        <w:rPr>
          <w:rFonts w:ascii="Arial" w:hAnsi="Arial" w:cs="Arial"/>
          <w:sz w:val="22"/>
          <w:szCs w:val="22"/>
        </w:rPr>
        <w:fldChar w:fldCharType="separate"/>
      </w:r>
      <w:bookmarkStart w:id="6" w:name="_Toc508105576"/>
      <w:r>
        <w:rPr>
          <w:rFonts w:ascii="Arial" w:hAnsi="Arial" w:cs="Arial"/>
          <w:noProof/>
          <w:sz w:val="22"/>
          <w:szCs w:val="22"/>
        </w:rPr>
        <w:t>A</w:t>
      </w:r>
      <w:r>
        <w:rPr>
          <w:rFonts w:ascii="Arial" w:hAnsi="Arial" w:cs="Arial"/>
          <w:sz w:val="22"/>
          <w:szCs w:val="22"/>
        </w:rPr>
        <w:fldChar w:fldCharType="end"/>
      </w:r>
      <w:r>
        <w:rPr>
          <w:rFonts w:ascii="Arial" w:hAnsi="Arial" w:cs="Arial"/>
          <w:sz w:val="22"/>
          <w:szCs w:val="22"/>
        </w:rPr>
        <w:t>.</w:t>
      </w:r>
      <w:r>
        <w:rPr>
          <w:rFonts w:ascii="Arial" w:hAnsi="Arial" w:cs="Arial"/>
          <w:sz w:val="22"/>
          <w:szCs w:val="22"/>
        </w:rPr>
        <w:tab/>
        <w:t>Indicadores</w:t>
      </w:r>
      <w:bookmarkEnd w:id="6"/>
    </w:p>
    <w:p w14:paraId="6B27F73A" w14:textId="04B6EEC5" w:rsidR="00155EEA" w:rsidRDefault="00C2392C" w:rsidP="006930D9">
      <w:pPr>
        <w:pStyle w:val="Paragraph"/>
        <w:tabs>
          <w:tab w:val="clear" w:pos="2448"/>
        </w:tabs>
        <w:ind w:left="720" w:hanging="720"/>
        <w:rPr>
          <w:rFonts w:ascii="Arial" w:hAnsi="Arial" w:cs="Arial"/>
          <w:sz w:val="22"/>
          <w:szCs w:val="22"/>
        </w:rPr>
      </w:pPr>
      <w:r>
        <w:rPr>
          <w:rFonts w:ascii="Arial" w:hAnsi="Arial" w:cs="Arial"/>
          <w:color w:val="000000"/>
          <w:sz w:val="22"/>
          <w:szCs w:val="22"/>
        </w:rPr>
        <w:t>A lo largo de la ejecución del</w:t>
      </w:r>
      <w:r w:rsidR="00FF5B3C">
        <w:rPr>
          <w:rFonts w:ascii="Arial" w:hAnsi="Arial" w:cs="Arial"/>
          <w:color w:val="000000"/>
          <w:sz w:val="22"/>
          <w:szCs w:val="22"/>
        </w:rPr>
        <w:t xml:space="preserve"> presente PBL</w:t>
      </w:r>
      <w:r>
        <w:rPr>
          <w:rFonts w:ascii="Arial" w:hAnsi="Arial" w:cs="Arial"/>
          <w:color w:val="000000"/>
          <w:sz w:val="22"/>
          <w:szCs w:val="22"/>
        </w:rPr>
        <w:t xml:space="preserve">, se hará seguimiento continuo a los indicadores de productos establecidos en la matriz de resultados. Dichos productos son claves, dado que coinciden con las condiciones establecidas en la </w:t>
      </w:r>
      <w:r>
        <w:rPr>
          <w:rFonts w:ascii="Arial" w:hAnsi="Arial" w:cs="Arial"/>
          <w:color w:val="000000"/>
          <w:sz w:val="22"/>
          <w:szCs w:val="22"/>
        </w:rPr>
        <w:lastRenderedPageBreak/>
        <w:t xml:space="preserve">Matriz de Políticas. El Cuadro 1 describe los indicadores de producto a los que se hará seguimiento durante la ejecución del programa, y una verificación final en el </w:t>
      </w:r>
      <w:r w:rsidRPr="006D109B">
        <w:rPr>
          <w:rFonts w:ascii="Arial" w:hAnsi="Arial" w:cs="Arial"/>
          <w:sz w:val="22"/>
          <w:szCs w:val="22"/>
        </w:rPr>
        <w:t>202</w:t>
      </w:r>
      <w:r w:rsidR="00AF4D39">
        <w:rPr>
          <w:rFonts w:ascii="Arial" w:hAnsi="Arial" w:cs="Arial"/>
          <w:sz w:val="22"/>
          <w:szCs w:val="22"/>
        </w:rPr>
        <w:t>3</w:t>
      </w:r>
      <w:r w:rsidRPr="006D109B">
        <w:rPr>
          <w:rFonts w:ascii="Arial" w:hAnsi="Arial" w:cs="Arial"/>
          <w:color w:val="000000"/>
          <w:sz w:val="22"/>
          <w:szCs w:val="22"/>
        </w:rPr>
        <w:t>,</w:t>
      </w:r>
      <w:r>
        <w:rPr>
          <w:rFonts w:ascii="Arial" w:hAnsi="Arial" w:cs="Arial"/>
          <w:color w:val="000000"/>
          <w:sz w:val="22"/>
          <w:szCs w:val="22"/>
        </w:rPr>
        <w:t xml:space="preserve"> cuando las reformas introducidas ya habrán terminado de generar los productos esperados. </w:t>
      </w:r>
    </w:p>
    <w:p w14:paraId="7744586A" w14:textId="77777777" w:rsidR="00155EEA" w:rsidRDefault="00155EEA">
      <w:pPr>
        <w:pStyle w:val="Chapter"/>
        <w:numPr>
          <w:ilvl w:val="0"/>
          <w:numId w:val="0"/>
        </w:numPr>
        <w:spacing w:after="120"/>
        <w:ind w:firstLine="288"/>
        <w:rPr>
          <w:rFonts w:ascii="Times New Roman Bold" w:hAnsi="Times New Roman Bold"/>
          <w:smallCaps w:val="0"/>
        </w:rPr>
        <w:sectPr w:rsidR="00155EEA" w:rsidSect="00416162">
          <w:pgSz w:w="12240" w:h="15840" w:code="1"/>
          <w:pgMar w:top="1440" w:right="1800" w:bottom="1440" w:left="1800" w:header="706" w:footer="706" w:gutter="0"/>
          <w:pgNumType w:start="1"/>
          <w:cols w:space="720"/>
          <w:formProt w:val="0"/>
          <w:docGrid w:linePitch="326"/>
        </w:sectPr>
      </w:pPr>
    </w:p>
    <w:p w14:paraId="1400CD87" w14:textId="718E7880" w:rsidR="00155EEA" w:rsidRDefault="00C2392C">
      <w:pPr>
        <w:pStyle w:val="Chapter"/>
        <w:numPr>
          <w:ilvl w:val="0"/>
          <w:numId w:val="0"/>
        </w:numPr>
        <w:spacing w:after="120"/>
        <w:ind w:firstLine="288"/>
        <w:rPr>
          <w:rFonts w:ascii="Arial" w:hAnsi="Arial" w:cs="Arial"/>
          <w:smallCaps w:val="0"/>
          <w:sz w:val="22"/>
        </w:rPr>
      </w:pPr>
      <w:r>
        <w:rPr>
          <w:rFonts w:ascii="Arial" w:hAnsi="Arial" w:cs="Arial"/>
          <w:smallCaps w:val="0"/>
          <w:sz w:val="22"/>
        </w:rPr>
        <w:lastRenderedPageBreak/>
        <w:t>Cuadro 1. Indicadores de Productos</w:t>
      </w:r>
    </w:p>
    <w:tbl>
      <w:tblPr>
        <w:tblW w:w="13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5"/>
        <w:gridCol w:w="1430"/>
        <w:gridCol w:w="990"/>
        <w:gridCol w:w="1170"/>
        <w:gridCol w:w="720"/>
        <w:gridCol w:w="2070"/>
        <w:gridCol w:w="2710"/>
      </w:tblGrid>
      <w:tr w:rsidR="00E61175" w:rsidRPr="005949B1" w14:paraId="66C01F11" w14:textId="77777777" w:rsidTr="00E61175">
        <w:trPr>
          <w:trHeight w:val="20"/>
          <w:tblHeader/>
        </w:trPr>
        <w:tc>
          <w:tcPr>
            <w:tcW w:w="40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91E0371" w14:textId="77777777" w:rsidR="00E61175" w:rsidRPr="005949B1" w:rsidRDefault="00E61175" w:rsidP="008F3940">
            <w:pPr>
              <w:spacing w:beforeLines="20" w:before="48" w:afterLines="20" w:after="48"/>
              <w:ind w:left="-108" w:right="-102"/>
              <w:jc w:val="center"/>
              <w:rPr>
                <w:rFonts w:ascii="Arial" w:hAnsi="Arial" w:cs="Arial"/>
                <w:b/>
                <w:sz w:val="20"/>
                <w:lang w:eastAsia="zh-CN"/>
              </w:rPr>
            </w:pPr>
            <w:r w:rsidRPr="005949B1">
              <w:rPr>
                <w:rFonts w:ascii="Arial" w:hAnsi="Arial" w:cs="Arial"/>
                <w:b/>
                <w:sz w:val="20"/>
                <w:lang w:eastAsia="zh-CN"/>
              </w:rPr>
              <w:t>Productos</w:t>
            </w:r>
          </w:p>
        </w:tc>
        <w:tc>
          <w:tcPr>
            <w:tcW w:w="14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F76F8FE" w14:textId="77777777" w:rsidR="00E61175" w:rsidRPr="005949B1" w:rsidRDefault="00E61175" w:rsidP="008F3940">
            <w:pPr>
              <w:spacing w:beforeLines="20" w:before="48" w:afterLines="20" w:after="48"/>
              <w:ind w:left="-108" w:right="-102"/>
              <w:jc w:val="center"/>
              <w:rPr>
                <w:rFonts w:ascii="Arial" w:hAnsi="Arial" w:cs="Arial"/>
                <w:b/>
                <w:sz w:val="20"/>
                <w:lang w:eastAsia="zh-CN"/>
              </w:rPr>
            </w:pPr>
            <w:r w:rsidRPr="005949B1">
              <w:rPr>
                <w:rFonts w:ascii="Arial" w:hAnsi="Arial" w:cs="Arial"/>
                <w:b/>
                <w:sz w:val="20"/>
                <w:lang w:eastAsia="zh-CN"/>
              </w:rPr>
              <w:t>Unidad de Medida</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23AF453" w14:textId="77777777" w:rsidR="00E61175" w:rsidRPr="005949B1" w:rsidRDefault="00E61175" w:rsidP="008F3940">
            <w:pPr>
              <w:spacing w:beforeLines="20" w:before="48" w:afterLines="20" w:after="48"/>
              <w:ind w:left="-108" w:right="-102"/>
              <w:jc w:val="center"/>
              <w:rPr>
                <w:rFonts w:ascii="Arial" w:hAnsi="Arial" w:cs="Arial"/>
                <w:b/>
                <w:sz w:val="20"/>
                <w:lang w:eastAsia="zh-CN"/>
              </w:rPr>
            </w:pPr>
            <w:r w:rsidRPr="005949B1">
              <w:rPr>
                <w:rFonts w:ascii="Arial" w:hAnsi="Arial" w:cs="Arial"/>
                <w:b/>
                <w:sz w:val="20"/>
                <w:lang w:eastAsia="zh-CN"/>
              </w:rPr>
              <w:t>Línea de Base</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ABBFC02" w14:textId="77777777" w:rsidR="00E61175" w:rsidRPr="005949B1" w:rsidRDefault="00E61175" w:rsidP="008F3940">
            <w:pPr>
              <w:spacing w:beforeLines="20" w:before="48" w:afterLines="20" w:after="48"/>
              <w:ind w:left="-108" w:right="-102"/>
              <w:jc w:val="center"/>
              <w:rPr>
                <w:rFonts w:ascii="Arial" w:hAnsi="Arial" w:cs="Arial"/>
                <w:b/>
                <w:sz w:val="20"/>
                <w:lang w:eastAsia="zh-CN"/>
              </w:rPr>
            </w:pPr>
            <w:r w:rsidRPr="005949B1">
              <w:rPr>
                <w:rFonts w:ascii="Arial" w:hAnsi="Arial" w:cs="Arial"/>
                <w:b/>
                <w:sz w:val="20"/>
                <w:lang w:eastAsia="zh-CN"/>
              </w:rPr>
              <w:t>Año</w:t>
            </w:r>
            <w:r>
              <w:rPr>
                <w:rFonts w:ascii="Arial" w:hAnsi="Arial" w:cs="Arial"/>
                <w:b/>
                <w:sz w:val="20"/>
                <w:lang w:eastAsia="zh-CN"/>
              </w:rPr>
              <w:t xml:space="preserve"> </w:t>
            </w:r>
            <w:r w:rsidRPr="005949B1">
              <w:rPr>
                <w:rFonts w:ascii="Arial" w:hAnsi="Arial" w:cs="Arial"/>
                <w:b/>
                <w:sz w:val="20"/>
                <w:lang w:eastAsia="zh-CN"/>
              </w:rPr>
              <w:t>Línea de Base</w:t>
            </w:r>
            <w:r w:rsidRPr="00E61175">
              <w:rPr>
                <w:rStyle w:val="FootnoteReference"/>
                <w:rFonts w:ascii="Arial" w:hAnsi="Arial" w:cs="Arial"/>
                <w:b/>
                <w:sz w:val="20"/>
                <w:vertAlign w:val="baseline"/>
                <w:lang w:eastAsia="zh-CN"/>
              </w:rPr>
              <w:footnoteReference w:id="3"/>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8BF82C2" w14:textId="77777777" w:rsidR="00E61175" w:rsidRPr="005949B1" w:rsidRDefault="00E61175" w:rsidP="008F3940">
            <w:pPr>
              <w:spacing w:beforeLines="20" w:before="48" w:afterLines="20" w:after="48"/>
              <w:ind w:left="-108" w:right="-102"/>
              <w:jc w:val="center"/>
              <w:rPr>
                <w:rFonts w:ascii="Arial" w:hAnsi="Arial" w:cs="Arial"/>
                <w:b/>
                <w:sz w:val="20"/>
                <w:lang w:eastAsia="zh-CN"/>
              </w:rPr>
            </w:pPr>
            <w:r w:rsidRPr="005949B1">
              <w:rPr>
                <w:rFonts w:ascii="Arial" w:hAnsi="Arial" w:cs="Arial"/>
                <w:b/>
                <w:sz w:val="20"/>
                <w:lang w:eastAsia="zh-CN"/>
              </w:rPr>
              <w:t>Meta Final</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60848DC" w14:textId="77777777" w:rsidR="00E61175" w:rsidRPr="005949B1" w:rsidRDefault="00E61175" w:rsidP="008F3940">
            <w:pPr>
              <w:spacing w:beforeLines="20" w:before="48" w:afterLines="20" w:after="48"/>
              <w:ind w:left="-108" w:right="-102"/>
              <w:jc w:val="center"/>
              <w:rPr>
                <w:rFonts w:ascii="Arial" w:hAnsi="Arial" w:cs="Arial"/>
                <w:b/>
                <w:sz w:val="20"/>
                <w:lang w:eastAsia="zh-CN"/>
              </w:rPr>
            </w:pPr>
            <w:r w:rsidRPr="005949B1">
              <w:rPr>
                <w:rFonts w:ascii="Arial" w:hAnsi="Arial" w:cs="Arial"/>
                <w:b/>
                <w:sz w:val="20"/>
                <w:lang w:eastAsia="zh-CN"/>
              </w:rPr>
              <w:t>Medios de Verificación</w:t>
            </w:r>
          </w:p>
        </w:tc>
        <w:tc>
          <w:tcPr>
            <w:tcW w:w="2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6DFE77A" w14:textId="77777777" w:rsidR="00E61175" w:rsidRPr="005949B1" w:rsidRDefault="00E61175" w:rsidP="008F3940">
            <w:pPr>
              <w:spacing w:beforeLines="20" w:before="48" w:afterLines="20" w:after="48"/>
              <w:ind w:left="-108" w:right="-102"/>
              <w:jc w:val="center"/>
              <w:rPr>
                <w:rFonts w:ascii="Arial" w:hAnsi="Arial" w:cs="Arial"/>
                <w:b/>
                <w:sz w:val="20"/>
                <w:lang w:eastAsia="zh-CN"/>
              </w:rPr>
            </w:pPr>
            <w:r w:rsidRPr="005949B1">
              <w:rPr>
                <w:rFonts w:ascii="Arial" w:hAnsi="Arial" w:cs="Arial"/>
                <w:b/>
                <w:sz w:val="20"/>
                <w:lang w:eastAsia="zh-CN"/>
              </w:rPr>
              <w:t>Comentarios</w:t>
            </w:r>
          </w:p>
        </w:tc>
      </w:tr>
      <w:tr w:rsidR="00E61175" w:rsidRPr="005949B1" w14:paraId="5EAA02EF" w14:textId="77777777" w:rsidTr="008F3940">
        <w:trPr>
          <w:trHeight w:val="20"/>
        </w:trPr>
        <w:tc>
          <w:tcPr>
            <w:tcW w:w="13145" w:type="dxa"/>
            <w:gridSpan w:val="7"/>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374B0A8" w14:textId="77777777" w:rsidR="00E61175" w:rsidRPr="005949B1" w:rsidRDefault="00E61175" w:rsidP="008F3940">
            <w:pPr>
              <w:spacing w:beforeLines="20" w:before="48" w:afterLines="20" w:after="48"/>
              <w:rPr>
                <w:rFonts w:ascii="Arial" w:hAnsi="Arial" w:cs="Arial"/>
                <w:sz w:val="20"/>
                <w:lang w:eastAsia="zh-CN"/>
              </w:rPr>
            </w:pPr>
            <w:r w:rsidRPr="005949B1">
              <w:rPr>
                <w:rFonts w:ascii="Arial" w:hAnsi="Arial" w:cs="Arial"/>
                <w:b/>
                <w:bCs/>
                <w:kern w:val="18"/>
                <w:sz w:val="20"/>
                <w:lang w:val="es-ES"/>
              </w:rPr>
              <w:t>Componente II. Fortalecimiento del marco de responsabilidad fiscal y de la transparencia de la deuda</w:t>
            </w:r>
          </w:p>
        </w:tc>
      </w:tr>
      <w:tr w:rsidR="00E61175" w:rsidRPr="005949B1" w14:paraId="145682AA"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3B3F65DD" w14:textId="77777777" w:rsidR="00E61175" w:rsidRPr="005949B1" w:rsidRDefault="00E61175" w:rsidP="008F3940">
            <w:pPr>
              <w:shd w:val="clear" w:color="auto" w:fill="FFFFFF" w:themeFill="background1"/>
              <w:spacing w:beforeLines="20" w:before="48" w:afterLines="20" w:after="48"/>
              <w:ind w:left="-30" w:firstLine="6"/>
              <w:rPr>
                <w:rFonts w:ascii="Arial" w:hAnsi="Arial" w:cs="Arial"/>
                <w:sz w:val="20"/>
              </w:rPr>
            </w:pPr>
            <w:r w:rsidRPr="005949B1">
              <w:rPr>
                <w:rFonts w:ascii="Arial" w:hAnsi="Arial" w:cs="Arial"/>
                <w:sz w:val="20"/>
              </w:rPr>
              <w:t xml:space="preserve">Tramo1: 2.1 Ley </w:t>
            </w:r>
            <w:r w:rsidRPr="005949B1">
              <w:rPr>
                <w:rFonts w:ascii="Arial" w:hAnsi="Arial" w:cs="Arial"/>
                <w:bCs/>
                <w:kern w:val="18"/>
                <w:sz w:val="20"/>
                <w:lang w:val="es-ES"/>
              </w:rPr>
              <w:t>de Fomento Productivo</w:t>
            </w:r>
            <w:r w:rsidRPr="005949B1">
              <w:rPr>
                <w:rFonts w:ascii="Arial" w:hAnsi="Arial" w:cs="Arial"/>
                <w:sz w:val="20"/>
              </w:rPr>
              <w:t xml:space="preserve"> que fortalece el marco de responsabilidad fiscal</w:t>
            </w:r>
            <w:r>
              <w:rPr>
                <w:rFonts w:ascii="Arial" w:hAnsi="Arial" w:cs="Arial"/>
                <w:sz w:val="20"/>
              </w:rPr>
              <w:t xml:space="preserve"> </w:t>
            </w:r>
            <w:r w:rsidRPr="005949B1">
              <w:rPr>
                <w:rFonts w:ascii="Arial" w:hAnsi="Arial" w:cs="Arial"/>
                <w:sz w:val="20"/>
              </w:rPr>
              <w:t>publicad</w:t>
            </w:r>
            <w:r>
              <w:rPr>
                <w:rFonts w:ascii="Arial" w:hAnsi="Arial" w:cs="Arial"/>
                <w:sz w:val="20"/>
              </w:rPr>
              <w:t>a</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0A339D5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Ley </w:t>
            </w:r>
          </w:p>
        </w:tc>
        <w:tc>
          <w:tcPr>
            <w:tcW w:w="990" w:type="dxa"/>
            <w:tcBorders>
              <w:top w:val="single" w:sz="4" w:space="0" w:color="000000"/>
              <w:left w:val="single" w:sz="4" w:space="0" w:color="000000"/>
              <w:bottom w:val="single" w:sz="4" w:space="0" w:color="000000"/>
              <w:right w:val="single" w:sz="4" w:space="0" w:color="000000"/>
            </w:tcBorders>
          </w:tcPr>
          <w:p w14:paraId="7928B69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29F2062B"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44E35964"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60E92CE4" w14:textId="77777777" w:rsidR="00E61175" w:rsidRPr="005949B1" w:rsidRDefault="00E61175" w:rsidP="008F3940">
            <w:pPr>
              <w:spacing w:beforeLines="20" w:before="48" w:afterLines="20" w:after="48"/>
              <w:rPr>
                <w:rFonts w:ascii="Arial" w:hAnsi="Arial" w:cs="Arial"/>
                <w:sz w:val="20"/>
              </w:rPr>
            </w:pPr>
            <w:r>
              <w:rPr>
                <w:rFonts w:ascii="Arial" w:hAnsi="Arial" w:cs="Arial"/>
                <w:sz w:val="20"/>
                <w:lang w:val="es-ES"/>
              </w:rPr>
              <w:t>Registro</w:t>
            </w:r>
            <w:r w:rsidRPr="002D3D3B">
              <w:rPr>
                <w:rFonts w:ascii="Arial" w:hAnsi="Arial" w:cs="Arial"/>
                <w:sz w:val="20"/>
                <w:lang w:val="es-ES"/>
              </w:rPr>
              <w:t xml:space="preserve"> Oficial </w:t>
            </w:r>
            <w:r>
              <w:rPr>
                <w:rFonts w:ascii="Arial" w:hAnsi="Arial" w:cs="Arial"/>
                <w:sz w:val="20"/>
                <w:lang w:val="es-ES"/>
              </w:rPr>
              <w:t>de la Corte Constitucional de Ecuador (CCE).</w:t>
            </w:r>
          </w:p>
        </w:tc>
        <w:tc>
          <w:tcPr>
            <w:tcW w:w="2710" w:type="dxa"/>
            <w:vMerge w:val="restart"/>
            <w:tcBorders>
              <w:top w:val="single" w:sz="4" w:space="0" w:color="000000"/>
              <w:left w:val="single" w:sz="4" w:space="0" w:color="000000"/>
              <w:right w:val="single" w:sz="4" w:space="0" w:color="000000"/>
            </w:tcBorders>
          </w:tcPr>
          <w:p w14:paraId="6C6BFF51" w14:textId="77777777" w:rsidR="00E61175" w:rsidRDefault="00E61175" w:rsidP="008F3940">
            <w:pPr>
              <w:shd w:val="clear" w:color="auto" w:fill="FFFFFF" w:themeFill="background1"/>
              <w:spacing w:before="60" w:after="60"/>
              <w:jc w:val="both"/>
              <w:rPr>
                <w:rFonts w:ascii="Arial" w:hAnsi="Arial" w:cs="Arial"/>
                <w:sz w:val="20"/>
              </w:rPr>
            </w:pPr>
            <w:r w:rsidRPr="00DF4C13">
              <w:rPr>
                <w:rFonts w:ascii="Arial" w:hAnsi="Arial" w:cs="Arial"/>
                <w:sz w:val="20"/>
              </w:rPr>
              <w:t xml:space="preserve">Se incluye: </w:t>
            </w:r>
          </w:p>
          <w:p w14:paraId="062EB420" w14:textId="77777777" w:rsidR="00E61175" w:rsidRPr="00DF4C13" w:rsidRDefault="00E61175" w:rsidP="00E61175">
            <w:pPr>
              <w:pStyle w:val="ListParagraph"/>
              <w:numPr>
                <w:ilvl w:val="0"/>
                <w:numId w:val="31"/>
              </w:numPr>
              <w:shd w:val="clear" w:color="auto" w:fill="FFFFFF" w:themeFill="background1"/>
              <w:spacing w:before="60" w:after="60"/>
              <w:ind w:left="571" w:hanging="270"/>
              <w:jc w:val="both"/>
              <w:rPr>
                <w:rFonts w:ascii="Arial" w:hAnsi="Arial" w:cs="Arial"/>
                <w:sz w:val="20"/>
              </w:rPr>
            </w:pPr>
            <w:r>
              <w:rPr>
                <w:rFonts w:ascii="Arial" w:hAnsi="Arial" w:cs="Arial"/>
                <w:sz w:val="20"/>
              </w:rPr>
              <w:t>L</w:t>
            </w:r>
            <w:r w:rsidRPr="00DF4C13">
              <w:rPr>
                <w:rFonts w:ascii="Arial" w:hAnsi="Arial" w:cs="Arial"/>
                <w:sz w:val="20"/>
              </w:rPr>
              <w:t>ímite de crecimiento del gasto público del gobierno central equivalente a la tasa de crecimiento real de largo plazo de la economía.</w:t>
            </w:r>
          </w:p>
          <w:p w14:paraId="48C0E01A" w14:textId="77777777" w:rsidR="00E61175" w:rsidRPr="00F95AEA" w:rsidRDefault="00E61175" w:rsidP="00E61175">
            <w:pPr>
              <w:pStyle w:val="ListParagraph"/>
              <w:numPr>
                <w:ilvl w:val="0"/>
                <w:numId w:val="31"/>
              </w:numPr>
              <w:shd w:val="clear" w:color="auto" w:fill="FFFFFF" w:themeFill="background1"/>
              <w:spacing w:before="60" w:after="60"/>
              <w:ind w:left="571" w:hanging="270"/>
              <w:jc w:val="both"/>
              <w:rPr>
                <w:rFonts w:ascii="Arial" w:hAnsi="Arial" w:cs="Arial"/>
                <w:sz w:val="20"/>
              </w:rPr>
            </w:pPr>
            <w:r>
              <w:rPr>
                <w:rFonts w:ascii="Arial" w:hAnsi="Arial" w:cs="Arial"/>
                <w:sz w:val="20"/>
              </w:rPr>
              <w:t>D</w:t>
            </w:r>
            <w:r w:rsidRPr="00BD61E6">
              <w:rPr>
                <w:rFonts w:ascii="Arial" w:hAnsi="Arial" w:cs="Arial"/>
                <w:sz w:val="20"/>
              </w:rPr>
              <w:t>efinición de cláusulas de escape a la regla de crecimiento de gasto</w:t>
            </w:r>
            <w:r>
              <w:rPr>
                <w:rFonts w:ascii="Arial" w:hAnsi="Arial" w:cs="Arial"/>
                <w:sz w:val="20"/>
              </w:rPr>
              <w:t xml:space="preserve"> público</w:t>
            </w:r>
            <w:r w:rsidRPr="00BD61E6">
              <w:rPr>
                <w:rFonts w:ascii="Arial" w:hAnsi="Arial" w:cs="Arial"/>
                <w:sz w:val="20"/>
              </w:rPr>
              <w:t>, incluyendo escenarios de recesión económica grave</w:t>
            </w:r>
            <w:r>
              <w:rPr>
                <w:rFonts w:ascii="Arial" w:hAnsi="Arial" w:cs="Arial"/>
                <w:sz w:val="20"/>
              </w:rPr>
              <w:t>.</w:t>
            </w:r>
          </w:p>
          <w:p w14:paraId="2A62334B" w14:textId="77777777" w:rsidR="00E61175" w:rsidRPr="005949B1" w:rsidRDefault="00E61175" w:rsidP="00E61175">
            <w:pPr>
              <w:pStyle w:val="ListParagraph"/>
              <w:numPr>
                <w:ilvl w:val="0"/>
                <w:numId w:val="31"/>
              </w:numPr>
              <w:shd w:val="clear" w:color="auto" w:fill="FFFFFF" w:themeFill="background1"/>
              <w:spacing w:before="60" w:after="60"/>
              <w:ind w:left="571" w:hanging="270"/>
              <w:jc w:val="both"/>
              <w:rPr>
                <w:rFonts w:ascii="Arial" w:hAnsi="Arial" w:cs="Arial"/>
                <w:sz w:val="20"/>
              </w:rPr>
            </w:pPr>
            <w:r w:rsidRPr="00BD61E6">
              <w:rPr>
                <w:rFonts w:ascii="Arial" w:hAnsi="Arial" w:cs="Arial"/>
                <w:sz w:val="20"/>
              </w:rPr>
              <w:t>Establecimiento de mecanismos cuatrimestrales de monitoreo de la regla fiscal de crecimiento de gasto</w:t>
            </w:r>
            <w:r>
              <w:rPr>
                <w:rFonts w:ascii="Arial" w:hAnsi="Arial" w:cs="Arial"/>
                <w:sz w:val="20"/>
              </w:rPr>
              <w:t xml:space="preserve"> público</w:t>
            </w:r>
            <w:r w:rsidRPr="00BD61E6">
              <w:rPr>
                <w:rFonts w:ascii="Arial" w:hAnsi="Arial" w:cs="Arial"/>
                <w:sz w:val="20"/>
              </w:rPr>
              <w:t xml:space="preserve"> incluyendo análisis de riesgo de incumplimiento</w:t>
            </w:r>
            <w:r>
              <w:rPr>
                <w:rFonts w:ascii="Arial" w:hAnsi="Arial" w:cs="Arial"/>
                <w:sz w:val="20"/>
              </w:rPr>
              <w:t>.</w:t>
            </w:r>
          </w:p>
        </w:tc>
      </w:tr>
      <w:tr w:rsidR="00E61175" w:rsidRPr="005949B1" w14:paraId="028AB8C7"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55DF72FF" w14:textId="77777777" w:rsidR="00E61175" w:rsidRPr="005949B1" w:rsidRDefault="00E61175" w:rsidP="008F3940">
            <w:pPr>
              <w:shd w:val="clear" w:color="auto" w:fill="FFFFFF" w:themeFill="background1"/>
              <w:spacing w:beforeLines="20" w:before="48" w:afterLines="20" w:after="48"/>
              <w:ind w:left="-30" w:firstLine="6"/>
              <w:rPr>
                <w:rFonts w:ascii="Arial" w:hAnsi="Arial" w:cs="Arial"/>
                <w:sz w:val="20"/>
              </w:rPr>
            </w:pPr>
            <w:r w:rsidRPr="005949B1">
              <w:rPr>
                <w:rFonts w:ascii="Arial" w:hAnsi="Arial" w:cs="Arial"/>
                <w:sz w:val="20"/>
              </w:rPr>
              <w:t>Tramo1: 2.</w:t>
            </w:r>
            <w:r>
              <w:rPr>
                <w:rFonts w:ascii="Arial" w:hAnsi="Arial" w:cs="Arial"/>
                <w:sz w:val="20"/>
              </w:rPr>
              <w:t>2</w:t>
            </w:r>
            <w:r w:rsidRPr="005949B1">
              <w:rPr>
                <w:rFonts w:ascii="Arial" w:hAnsi="Arial" w:cs="Arial"/>
                <w:sz w:val="20"/>
              </w:rPr>
              <w:t xml:space="preserve"> </w:t>
            </w:r>
            <w:r w:rsidRPr="005949B1">
              <w:rPr>
                <w:rFonts w:ascii="Arial" w:hAnsi="Arial" w:cs="Arial"/>
                <w:bCs/>
                <w:kern w:val="18"/>
                <w:sz w:val="20"/>
                <w:lang w:val="es-ES"/>
              </w:rPr>
              <w:t>Reglamento de la Ley de Fomento Productivo</w:t>
            </w:r>
            <w:r w:rsidRPr="005949B1">
              <w:rPr>
                <w:rFonts w:ascii="Arial" w:hAnsi="Arial" w:cs="Arial"/>
                <w:sz w:val="20"/>
              </w:rPr>
              <w:t xml:space="preserve"> que fortalece el marco de responsabilidad fiscal publicado.</w:t>
            </w:r>
          </w:p>
        </w:tc>
        <w:tc>
          <w:tcPr>
            <w:tcW w:w="1430" w:type="dxa"/>
            <w:tcBorders>
              <w:top w:val="single" w:sz="4" w:space="0" w:color="000000"/>
              <w:left w:val="single" w:sz="4" w:space="0" w:color="000000"/>
              <w:bottom w:val="single" w:sz="4" w:space="0" w:color="000000"/>
              <w:right w:val="single" w:sz="4" w:space="0" w:color="000000"/>
            </w:tcBorders>
          </w:tcPr>
          <w:p w14:paraId="784B8629"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Reglamento</w:t>
            </w:r>
          </w:p>
        </w:tc>
        <w:tc>
          <w:tcPr>
            <w:tcW w:w="990" w:type="dxa"/>
            <w:tcBorders>
              <w:top w:val="single" w:sz="4" w:space="0" w:color="000000"/>
              <w:left w:val="single" w:sz="4" w:space="0" w:color="000000"/>
              <w:bottom w:val="single" w:sz="4" w:space="0" w:color="000000"/>
              <w:right w:val="single" w:sz="4" w:space="0" w:color="000000"/>
            </w:tcBorders>
          </w:tcPr>
          <w:p w14:paraId="0466D7D2"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78724FC1"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546A8F5B"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170A73CC" w14:textId="77777777" w:rsidR="00E61175" w:rsidRDefault="00E61175" w:rsidP="008F3940">
            <w:pPr>
              <w:spacing w:beforeLines="20" w:before="48" w:afterLines="20" w:after="48"/>
              <w:rPr>
                <w:rFonts w:ascii="Arial" w:hAnsi="Arial" w:cs="Arial"/>
                <w:sz w:val="20"/>
                <w:lang w:val="es-ES"/>
              </w:rPr>
            </w:pPr>
            <w:r>
              <w:rPr>
                <w:rFonts w:ascii="Arial" w:hAnsi="Arial" w:cs="Arial"/>
                <w:sz w:val="20"/>
                <w:lang w:val="es-ES"/>
              </w:rPr>
              <w:t>Registro</w:t>
            </w:r>
            <w:r w:rsidRPr="002D3D3B">
              <w:rPr>
                <w:rFonts w:ascii="Arial" w:hAnsi="Arial" w:cs="Arial"/>
                <w:sz w:val="20"/>
                <w:lang w:val="es-ES"/>
              </w:rPr>
              <w:t xml:space="preserve"> Oficial</w:t>
            </w:r>
            <w:r>
              <w:rPr>
                <w:rFonts w:ascii="Arial" w:hAnsi="Arial" w:cs="Arial"/>
                <w:sz w:val="20"/>
                <w:lang w:val="es-ES"/>
              </w:rPr>
              <w:t>, Presidencia de la República de Ecuador (PRE).</w:t>
            </w:r>
          </w:p>
        </w:tc>
        <w:tc>
          <w:tcPr>
            <w:tcW w:w="2710" w:type="dxa"/>
            <w:vMerge/>
            <w:tcBorders>
              <w:left w:val="single" w:sz="4" w:space="0" w:color="000000"/>
              <w:bottom w:val="single" w:sz="4" w:space="0" w:color="000000"/>
              <w:right w:val="single" w:sz="4" w:space="0" w:color="000000"/>
            </w:tcBorders>
          </w:tcPr>
          <w:p w14:paraId="07091581" w14:textId="77777777" w:rsidR="00E61175" w:rsidRPr="005949B1" w:rsidRDefault="00E61175" w:rsidP="008F3940">
            <w:pPr>
              <w:spacing w:beforeLines="20" w:before="48" w:afterLines="20" w:after="48"/>
              <w:rPr>
                <w:rFonts w:ascii="Arial" w:hAnsi="Arial" w:cs="Arial"/>
                <w:sz w:val="20"/>
              </w:rPr>
            </w:pPr>
          </w:p>
        </w:tc>
      </w:tr>
      <w:tr w:rsidR="00E61175" w:rsidRPr="005949B1" w14:paraId="7B4AF2A8" w14:textId="77777777" w:rsidTr="008F3940">
        <w:trPr>
          <w:trHeight w:val="20"/>
        </w:trPr>
        <w:tc>
          <w:tcPr>
            <w:tcW w:w="13145" w:type="dxa"/>
            <w:gridSpan w:val="7"/>
            <w:tcBorders>
              <w:top w:val="single" w:sz="4" w:space="0" w:color="000000"/>
              <w:left w:val="single" w:sz="4" w:space="0" w:color="000000"/>
              <w:bottom w:val="single" w:sz="4" w:space="0" w:color="000000"/>
              <w:right w:val="single" w:sz="4" w:space="0" w:color="000000"/>
            </w:tcBorders>
            <w:vAlign w:val="center"/>
          </w:tcPr>
          <w:p w14:paraId="1EDF65A3"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2: 2.1 Marco de responsabilidad fiscal fortalecido, mediante: </w:t>
            </w:r>
          </w:p>
        </w:tc>
      </w:tr>
      <w:tr w:rsidR="00E61175" w:rsidRPr="005949B1" w14:paraId="4D1B1355"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054C2313" w14:textId="77777777" w:rsidR="00E61175" w:rsidRPr="005949B1" w:rsidRDefault="00E61175" w:rsidP="008F3940">
            <w:pPr>
              <w:pStyle w:val="ListParagraph"/>
              <w:numPr>
                <w:ilvl w:val="0"/>
                <w:numId w:val="27"/>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lastRenderedPageBreak/>
              <w:t xml:space="preserve">a. y b. </w:t>
            </w:r>
            <w:r>
              <w:rPr>
                <w:rFonts w:ascii="Arial" w:hAnsi="Arial" w:cs="Arial"/>
                <w:sz w:val="20"/>
              </w:rPr>
              <w:t>Propuesta de ley modificatoria de</w:t>
            </w:r>
            <w:r w:rsidRPr="005949B1">
              <w:rPr>
                <w:rFonts w:ascii="Arial" w:hAnsi="Arial" w:cs="Arial"/>
                <w:sz w:val="20"/>
              </w:rPr>
              <w:t>l Código Orgánico de Planificación y Finanzas P</w:t>
            </w:r>
            <w:r>
              <w:rPr>
                <w:rFonts w:ascii="Arial" w:hAnsi="Arial" w:cs="Arial"/>
                <w:sz w:val="20"/>
              </w:rPr>
              <w:t>ú</w:t>
            </w:r>
            <w:r w:rsidRPr="005949B1">
              <w:rPr>
                <w:rFonts w:ascii="Arial" w:hAnsi="Arial" w:cs="Arial"/>
                <w:sz w:val="20"/>
              </w:rPr>
              <w:t>blicas (COPLAFIP) enviada a la AN.</w:t>
            </w:r>
          </w:p>
        </w:tc>
        <w:tc>
          <w:tcPr>
            <w:tcW w:w="1430" w:type="dxa"/>
            <w:tcBorders>
              <w:top w:val="single" w:sz="4" w:space="0" w:color="000000"/>
              <w:left w:val="single" w:sz="4" w:space="0" w:color="000000"/>
              <w:bottom w:val="single" w:sz="4" w:space="0" w:color="000000"/>
              <w:right w:val="single" w:sz="4" w:space="0" w:color="000000"/>
            </w:tcBorders>
          </w:tcPr>
          <w:p w14:paraId="54EA561C"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Propuesta de ley</w:t>
            </w:r>
            <w:r w:rsidRPr="005949B1">
              <w:rPr>
                <w:rFonts w:ascii="Arial" w:hAnsi="Arial" w:cs="Arial"/>
                <w:sz w:val="20"/>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3CF65194"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50A479B3"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50DDA73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6263AA23" w14:textId="77777777" w:rsidR="00E61175" w:rsidRPr="005949B1" w:rsidRDefault="00E61175" w:rsidP="008F3940">
            <w:pPr>
              <w:spacing w:beforeLines="20" w:before="48" w:afterLines="20" w:after="48"/>
              <w:rPr>
                <w:rFonts w:ascii="Arial" w:hAnsi="Arial" w:cs="Arial"/>
                <w:sz w:val="20"/>
              </w:rPr>
            </w:pPr>
            <w:r w:rsidRPr="00DF4C13">
              <w:rPr>
                <w:rFonts w:ascii="Arial" w:eastAsia="Arial" w:hAnsi="Arial" w:cs="Arial"/>
                <w:sz w:val="20"/>
                <w:lang w:val="es-ES"/>
              </w:rPr>
              <w:t>Propuesta de Ley Modificatoria presentada y copia de la fe ante</w:t>
            </w:r>
            <w:r>
              <w:rPr>
                <w:rFonts w:ascii="Arial" w:eastAsia="Arial" w:hAnsi="Arial" w:cs="Arial"/>
                <w:sz w:val="20"/>
                <w:lang w:val="es-ES"/>
              </w:rPr>
              <w:t xml:space="preserve"> la AN, </w:t>
            </w:r>
            <w:r>
              <w:rPr>
                <w:rFonts w:ascii="Arial" w:hAnsi="Arial" w:cs="Arial"/>
                <w:bCs/>
                <w:kern w:val="18"/>
                <w:sz w:val="20"/>
                <w:lang w:val="es-ES"/>
              </w:rPr>
              <w:t>PRE.</w:t>
            </w:r>
          </w:p>
        </w:tc>
        <w:tc>
          <w:tcPr>
            <w:tcW w:w="2710" w:type="dxa"/>
            <w:tcBorders>
              <w:top w:val="single" w:sz="4" w:space="0" w:color="000000"/>
              <w:left w:val="single" w:sz="4" w:space="0" w:color="000000"/>
              <w:bottom w:val="single" w:sz="4" w:space="0" w:color="000000"/>
              <w:right w:val="single" w:sz="4" w:space="0" w:color="000000"/>
            </w:tcBorders>
          </w:tcPr>
          <w:p w14:paraId="2482E86B" w14:textId="77777777" w:rsidR="00E61175" w:rsidRPr="005949B1" w:rsidRDefault="00E61175" w:rsidP="008F3940">
            <w:pPr>
              <w:spacing w:beforeLines="20" w:before="48" w:afterLines="20" w:after="48"/>
              <w:rPr>
                <w:rFonts w:ascii="Arial" w:hAnsi="Arial" w:cs="Arial"/>
                <w:sz w:val="20"/>
              </w:rPr>
            </w:pPr>
            <w:r>
              <w:rPr>
                <w:rFonts w:ascii="Arial" w:hAnsi="Arial" w:cs="Arial"/>
                <w:bCs/>
                <w:kern w:val="18"/>
                <w:sz w:val="20"/>
                <w:lang w:val="es-ES"/>
              </w:rPr>
              <w:t xml:space="preserve">Se </w:t>
            </w:r>
            <w:r w:rsidRPr="005949B1">
              <w:rPr>
                <w:rFonts w:ascii="Arial" w:hAnsi="Arial" w:cs="Arial"/>
                <w:bCs/>
                <w:kern w:val="18"/>
                <w:sz w:val="20"/>
                <w:lang w:val="es-ES"/>
              </w:rPr>
              <w:t>incluye</w:t>
            </w:r>
            <w:r w:rsidRPr="005949B1">
              <w:rPr>
                <w:rFonts w:ascii="Arial" w:hAnsi="Arial" w:cs="Arial"/>
                <w:sz w:val="20"/>
              </w:rPr>
              <w:t xml:space="preserve"> la cobertura del límite de crecimiento de gasto </w:t>
            </w:r>
            <w:r>
              <w:rPr>
                <w:rFonts w:ascii="Arial" w:hAnsi="Arial" w:cs="Arial"/>
                <w:sz w:val="20"/>
              </w:rPr>
              <w:t xml:space="preserve">público </w:t>
            </w:r>
            <w:r w:rsidRPr="005949B1">
              <w:rPr>
                <w:rFonts w:ascii="Arial" w:hAnsi="Arial" w:cs="Arial"/>
                <w:sz w:val="20"/>
              </w:rPr>
              <w:t xml:space="preserve">del </w:t>
            </w:r>
            <w:r>
              <w:rPr>
                <w:rFonts w:ascii="Arial" w:hAnsi="Arial" w:cs="Arial"/>
                <w:sz w:val="20"/>
              </w:rPr>
              <w:t>GC</w:t>
            </w:r>
            <w:r w:rsidRPr="005949B1">
              <w:rPr>
                <w:rFonts w:ascii="Arial" w:hAnsi="Arial" w:cs="Arial"/>
                <w:sz w:val="20"/>
              </w:rPr>
              <w:t xml:space="preserve"> al SPNF ampliado y la metodología de aplicación de la "regla de oro" (ingresos sobre gastos permanentes) constitucional para que sea consistente con la nueva regla de crecimiento de gasto redefinida</w:t>
            </w:r>
            <w:r>
              <w:rPr>
                <w:rFonts w:ascii="Arial" w:hAnsi="Arial" w:cs="Arial"/>
                <w:sz w:val="20"/>
              </w:rPr>
              <w:t>.</w:t>
            </w:r>
            <w:r w:rsidRPr="005949B1">
              <w:rPr>
                <w:rFonts w:ascii="Arial" w:hAnsi="Arial" w:cs="Arial"/>
                <w:sz w:val="20"/>
              </w:rPr>
              <w:t xml:space="preserve"> </w:t>
            </w:r>
          </w:p>
        </w:tc>
      </w:tr>
      <w:tr w:rsidR="00E61175" w:rsidRPr="005949B1" w14:paraId="0A381FF7"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22C18224" w14:textId="77777777" w:rsidR="00E61175" w:rsidRPr="005949B1" w:rsidRDefault="00E61175" w:rsidP="008F3940">
            <w:pPr>
              <w:pStyle w:val="ListParagraph"/>
              <w:numPr>
                <w:ilvl w:val="0"/>
                <w:numId w:val="27"/>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t>c.  Reportes cuatrimestrales de monitoreo y cumplimiento de la regla fiscal de crecimiento de gasto en 2019 publicados.</w:t>
            </w:r>
          </w:p>
        </w:tc>
        <w:tc>
          <w:tcPr>
            <w:tcW w:w="1430" w:type="dxa"/>
            <w:tcBorders>
              <w:top w:val="single" w:sz="4" w:space="0" w:color="000000"/>
              <w:left w:val="single" w:sz="4" w:space="0" w:color="000000"/>
              <w:bottom w:val="single" w:sz="4" w:space="0" w:color="000000"/>
              <w:right w:val="single" w:sz="4" w:space="0" w:color="000000"/>
            </w:tcBorders>
          </w:tcPr>
          <w:p w14:paraId="74AA65E2"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Reportes </w:t>
            </w:r>
          </w:p>
        </w:tc>
        <w:tc>
          <w:tcPr>
            <w:tcW w:w="990" w:type="dxa"/>
            <w:tcBorders>
              <w:top w:val="single" w:sz="4" w:space="0" w:color="000000"/>
              <w:left w:val="single" w:sz="4" w:space="0" w:color="000000"/>
              <w:bottom w:val="single" w:sz="4" w:space="0" w:color="000000"/>
              <w:right w:val="single" w:sz="4" w:space="0" w:color="000000"/>
            </w:tcBorders>
          </w:tcPr>
          <w:p w14:paraId="481381E4"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2F6AEC2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33F29CB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3</w:t>
            </w:r>
          </w:p>
        </w:tc>
        <w:tc>
          <w:tcPr>
            <w:tcW w:w="2070" w:type="dxa"/>
            <w:tcBorders>
              <w:top w:val="single" w:sz="4" w:space="0" w:color="000000"/>
              <w:left w:val="single" w:sz="4" w:space="0" w:color="000000"/>
              <w:bottom w:val="single" w:sz="4" w:space="0" w:color="000000"/>
              <w:right w:val="single" w:sz="4" w:space="0" w:color="000000"/>
            </w:tcBorders>
          </w:tcPr>
          <w:p w14:paraId="7D71E3D3"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Reportes publicados</w:t>
            </w:r>
            <w:r>
              <w:rPr>
                <w:rFonts w:ascii="Arial" w:hAnsi="Arial" w:cs="Arial"/>
                <w:sz w:val="20"/>
              </w:rPr>
              <w:t xml:space="preserve"> en la web del MEF, MEF.</w:t>
            </w:r>
            <w:r w:rsidDel="00F23ECC">
              <w:rPr>
                <w:rFonts w:ascii="Arial" w:hAnsi="Arial" w:cs="Arial"/>
                <w:sz w:val="20"/>
              </w:rPr>
              <w:t xml:space="preserve"> </w:t>
            </w:r>
          </w:p>
        </w:tc>
        <w:tc>
          <w:tcPr>
            <w:tcW w:w="2710" w:type="dxa"/>
            <w:tcBorders>
              <w:top w:val="single" w:sz="4" w:space="0" w:color="000000"/>
              <w:left w:val="single" w:sz="4" w:space="0" w:color="000000"/>
              <w:bottom w:val="single" w:sz="4" w:space="0" w:color="000000"/>
              <w:right w:val="single" w:sz="4" w:space="0" w:color="000000"/>
            </w:tcBorders>
          </w:tcPr>
          <w:p w14:paraId="153E1855" w14:textId="77777777" w:rsidR="00E61175" w:rsidRPr="005949B1" w:rsidRDefault="00E61175" w:rsidP="008F3940">
            <w:pPr>
              <w:spacing w:beforeLines="20" w:before="48" w:afterLines="20" w:after="48"/>
              <w:rPr>
                <w:rFonts w:ascii="Arial" w:hAnsi="Arial" w:cs="Arial"/>
                <w:sz w:val="20"/>
              </w:rPr>
            </w:pPr>
          </w:p>
        </w:tc>
      </w:tr>
      <w:tr w:rsidR="00E61175" w:rsidRPr="005949B1" w14:paraId="79251CD7"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262F0B38" w14:textId="77777777" w:rsidR="00E61175" w:rsidRPr="005949B1" w:rsidRDefault="00E61175" w:rsidP="008F3940">
            <w:pPr>
              <w:spacing w:beforeLines="20" w:before="48" w:afterLines="20" w:after="48"/>
              <w:ind w:left="75"/>
              <w:rPr>
                <w:rFonts w:ascii="Arial" w:hAnsi="Arial" w:cs="Arial"/>
                <w:sz w:val="20"/>
              </w:rPr>
            </w:pPr>
            <w:r w:rsidRPr="005949B1">
              <w:rPr>
                <w:rFonts w:ascii="Arial" w:hAnsi="Arial" w:cs="Arial"/>
                <w:sz w:val="20"/>
              </w:rPr>
              <w:t xml:space="preserve">Tramo 1: 2.2 </w:t>
            </w:r>
            <w:r>
              <w:rPr>
                <w:rFonts w:ascii="Arial" w:hAnsi="Arial" w:cs="Arial"/>
                <w:sz w:val="20"/>
              </w:rPr>
              <w:t xml:space="preserve">a: </w:t>
            </w:r>
            <w:r w:rsidRPr="005949B1">
              <w:rPr>
                <w:rFonts w:ascii="Arial" w:hAnsi="Arial" w:cs="Arial"/>
                <w:sz w:val="20"/>
              </w:rPr>
              <w:t>Ley</w:t>
            </w:r>
            <w:r w:rsidRPr="005949B1">
              <w:rPr>
                <w:rFonts w:ascii="Arial" w:hAnsi="Arial" w:cs="Arial"/>
                <w:bCs/>
                <w:kern w:val="18"/>
                <w:sz w:val="20"/>
                <w:lang w:val="es-ES"/>
              </w:rPr>
              <w:t xml:space="preserve"> de Fomento Productivo </w:t>
            </w:r>
            <w:r w:rsidRPr="005949B1">
              <w:rPr>
                <w:rFonts w:ascii="Arial" w:hAnsi="Arial" w:cs="Arial"/>
                <w:sz w:val="20"/>
              </w:rPr>
              <w:t>que fortalece la transparencia de las estadísticas de deuda pública publicad</w:t>
            </w:r>
            <w:r>
              <w:rPr>
                <w:rFonts w:ascii="Arial" w:hAnsi="Arial" w:cs="Arial"/>
                <w:sz w:val="20"/>
              </w:rPr>
              <w:t>a</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75CE1791"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Ley </w:t>
            </w:r>
          </w:p>
        </w:tc>
        <w:tc>
          <w:tcPr>
            <w:tcW w:w="990" w:type="dxa"/>
            <w:tcBorders>
              <w:top w:val="single" w:sz="4" w:space="0" w:color="000000"/>
              <w:left w:val="single" w:sz="4" w:space="0" w:color="000000"/>
              <w:bottom w:val="single" w:sz="4" w:space="0" w:color="000000"/>
              <w:right w:val="single" w:sz="4" w:space="0" w:color="000000"/>
            </w:tcBorders>
          </w:tcPr>
          <w:p w14:paraId="7E6B06AA"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6AEBA4A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6D18DFCD"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6E4EB7C7" w14:textId="77777777" w:rsidR="00E61175" w:rsidRPr="005949B1" w:rsidRDefault="00E61175" w:rsidP="008F3940">
            <w:pPr>
              <w:spacing w:beforeLines="20" w:before="48" w:afterLines="20" w:after="48"/>
              <w:rPr>
                <w:rFonts w:ascii="Arial" w:hAnsi="Arial" w:cs="Arial"/>
                <w:sz w:val="20"/>
              </w:rPr>
            </w:pPr>
            <w:r>
              <w:rPr>
                <w:rFonts w:ascii="Arial" w:hAnsi="Arial" w:cs="Arial"/>
                <w:sz w:val="20"/>
                <w:lang w:val="es-ES"/>
              </w:rPr>
              <w:t>Registro</w:t>
            </w:r>
            <w:r w:rsidRPr="002D3D3B">
              <w:rPr>
                <w:rFonts w:ascii="Arial" w:hAnsi="Arial" w:cs="Arial"/>
                <w:sz w:val="20"/>
                <w:lang w:val="es-ES"/>
              </w:rPr>
              <w:t xml:space="preserve"> Oficial de la </w:t>
            </w:r>
            <w:r>
              <w:rPr>
                <w:rFonts w:ascii="Arial" w:hAnsi="Arial" w:cs="Arial"/>
                <w:sz w:val="20"/>
                <w:lang w:val="es-ES"/>
              </w:rPr>
              <w:t>CCE.</w:t>
            </w:r>
          </w:p>
        </w:tc>
        <w:tc>
          <w:tcPr>
            <w:tcW w:w="2710" w:type="dxa"/>
            <w:vMerge w:val="restart"/>
            <w:tcBorders>
              <w:top w:val="single" w:sz="4" w:space="0" w:color="000000"/>
              <w:left w:val="single" w:sz="4" w:space="0" w:color="000000"/>
              <w:right w:val="single" w:sz="4" w:space="0" w:color="000000"/>
            </w:tcBorders>
          </w:tcPr>
          <w:p w14:paraId="5CED3451" w14:textId="77777777" w:rsidR="00E61175" w:rsidRPr="00F23ECC" w:rsidRDefault="00E61175" w:rsidP="008F3940">
            <w:pPr>
              <w:shd w:val="clear" w:color="auto" w:fill="FFFFFF" w:themeFill="background1"/>
              <w:spacing w:before="60" w:after="60"/>
              <w:jc w:val="both"/>
              <w:rPr>
                <w:rFonts w:ascii="Arial" w:hAnsi="Arial" w:cs="Arial"/>
                <w:sz w:val="20"/>
              </w:rPr>
            </w:pPr>
            <w:r w:rsidRPr="00DF4C13">
              <w:rPr>
                <w:rFonts w:ascii="Arial" w:hAnsi="Arial" w:cs="Arial"/>
                <w:sz w:val="20"/>
              </w:rPr>
              <w:t xml:space="preserve">Se incluye: </w:t>
            </w:r>
          </w:p>
          <w:p w14:paraId="12FCFE57" w14:textId="49056188" w:rsidR="00E61175" w:rsidRPr="00F23ECC" w:rsidRDefault="00E61175" w:rsidP="00E61175">
            <w:pPr>
              <w:pStyle w:val="ListParagraph"/>
              <w:numPr>
                <w:ilvl w:val="0"/>
                <w:numId w:val="32"/>
              </w:numPr>
              <w:shd w:val="clear" w:color="auto" w:fill="FFFFFF" w:themeFill="background1"/>
              <w:spacing w:before="60" w:after="60"/>
              <w:ind w:left="571" w:hanging="270"/>
              <w:jc w:val="both"/>
              <w:rPr>
                <w:rFonts w:ascii="Arial" w:hAnsi="Arial" w:cs="Arial"/>
                <w:sz w:val="20"/>
              </w:rPr>
            </w:pPr>
            <w:r>
              <w:rPr>
                <w:rFonts w:ascii="Arial" w:hAnsi="Arial" w:cs="Arial"/>
                <w:sz w:val="20"/>
              </w:rPr>
              <w:t>I</w:t>
            </w:r>
            <w:r w:rsidRPr="00F23ECC">
              <w:rPr>
                <w:rFonts w:ascii="Arial" w:hAnsi="Arial" w:cs="Arial"/>
                <w:sz w:val="20"/>
              </w:rPr>
              <w:t>nclusión en el cómputo de deuda pública de las obligaciones resultantes de la venta anticipada de petróleo, la deuda pública del</w:t>
            </w:r>
            <w:r w:rsidR="009027B3">
              <w:rPr>
                <w:rFonts w:ascii="Arial" w:hAnsi="Arial" w:cs="Arial"/>
                <w:sz w:val="20"/>
              </w:rPr>
              <w:t xml:space="preserve"> </w:t>
            </w:r>
            <w:r w:rsidRPr="00F23ECC">
              <w:rPr>
                <w:rFonts w:ascii="Arial" w:hAnsi="Arial" w:cs="Arial"/>
                <w:sz w:val="20"/>
              </w:rPr>
              <w:t>Gobierno Central con otras entidades del estado, y otras obligaciones (laudos</w:t>
            </w:r>
            <w:r w:rsidR="009027B3">
              <w:rPr>
                <w:rFonts w:ascii="Arial" w:hAnsi="Arial" w:cs="Arial"/>
                <w:sz w:val="20"/>
              </w:rPr>
              <w:t xml:space="preserve"> </w:t>
            </w:r>
            <w:r w:rsidRPr="00F23ECC">
              <w:rPr>
                <w:rFonts w:ascii="Arial" w:hAnsi="Arial" w:cs="Arial"/>
                <w:sz w:val="20"/>
              </w:rPr>
              <w:t xml:space="preserve">arbitrales y deuda flotante entre otros). </w:t>
            </w:r>
          </w:p>
          <w:p w14:paraId="0EB60D33" w14:textId="77777777" w:rsidR="00E61175" w:rsidRPr="005949B1" w:rsidRDefault="00E61175" w:rsidP="00E61175">
            <w:pPr>
              <w:pStyle w:val="ListParagraph"/>
              <w:numPr>
                <w:ilvl w:val="0"/>
                <w:numId w:val="32"/>
              </w:numPr>
              <w:shd w:val="clear" w:color="auto" w:fill="FFFFFF" w:themeFill="background1"/>
              <w:spacing w:before="60" w:after="60"/>
              <w:ind w:left="571" w:hanging="270"/>
              <w:jc w:val="both"/>
              <w:rPr>
                <w:rFonts w:ascii="Arial" w:hAnsi="Arial" w:cs="Arial"/>
                <w:sz w:val="20"/>
              </w:rPr>
            </w:pPr>
            <w:r>
              <w:rPr>
                <w:rFonts w:ascii="Arial" w:hAnsi="Arial" w:cs="Arial"/>
                <w:sz w:val="20"/>
              </w:rPr>
              <w:t>P</w:t>
            </w:r>
            <w:r w:rsidRPr="00F23ECC">
              <w:rPr>
                <w:rFonts w:ascii="Arial" w:hAnsi="Arial" w:cs="Arial"/>
                <w:sz w:val="20"/>
              </w:rPr>
              <w:t xml:space="preserve">ublicación mensual de las estadísticas de </w:t>
            </w:r>
            <w:r w:rsidRPr="00F23ECC">
              <w:rPr>
                <w:rFonts w:ascii="Arial" w:hAnsi="Arial" w:cs="Arial"/>
                <w:sz w:val="20"/>
              </w:rPr>
              <w:lastRenderedPageBreak/>
              <w:t xml:space="preserve">deuda pública, incluyendo los estados agregados y consolidados de las distintas coberturas institucionales: Sector Publico, SPNF y del </w:t>
            </w:r>
            <w:r>
              <w:rPr>
                <w:rFonts w:ascii="Arial" w:hAnsi="Arial" w:cs="Arial"/>
                <w:sz w:val="20"/>
              </w:rPr>
              <w:t>GC.</w:t>
            </w:r>
          </w:p>
        </w:tc>
      </w:tr>
      <w:tr w:rsidR="00E61175" w:rsidRPr="005949B1" w14:paraId="7662221B"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1FD0509B" w14:textId="77777777" w:rsidR="00E61175" w:rsidRPr="005949B1" w:rsidRDefault="00E61175" w:rsidP="008F3940">
            <w:pPr>
              <w:spacing w:beforeLines="20" w:before="48" w:afterLines="20" w:after="48"/>
              <w:ind w:left="75"/>
              <w:rPr>
                <w:rFonts w:ascii="Arial" w:hAnsi="Arial" w:cs="Arial"/>
                <w:sz w:val="20"/>
              </w:rPr>
            </w:pPr>
            <w:r w:rsidRPr="005949B1">
              <w:rPr>
                <w:rFonts w:ascii="Arial" w:hAnsi="Arial" w:cs="Arial"/>
                <w:sz w:val="20"/>
              </w:rPr>
              <w:t>Tramo 1: 2.</w:t>
            </w:r>
            <w:r>
              <w:rPr>
                <w:rFonts w:ascii="Arial" w:hAnsi="Arial" w:cs="Arial"/>
                <w:sz w:val="20"/>
              </w:rPr>
              <w:t>2 b:</w:t>
            </w:r>
            <w:r w:rsidRPr="005949B1">
              <w:rPr>
                <w:rFonts w:ascii="Arial" w:hAnsi="Arial" w:cs="Arial"/>
                <w:sz w:val="20"/>
              </w:rPr>
              <w:t xml:space="preserve"> </w:t>
            </w:r>
            <w:r w:rsidRPr="005949B1">
              <w:rPr>
                <w:rFonts w:ascii="Arial" w:hAnsi="Arial" w:cs="Arial"/>
                <w:bCs/>
                <w:kern w:val="18"/>
                <w:sz w:val="20"/>
                <w:lang w:val="es-ES"/>
              </w:rPr>
              <w:t xml:space="preserve">Reglamento de la Ley de Fomento Productivo </w:t>
            </w:r>
            <w:r w:rsidRPr="005949B1">
              <w:rPr>
                <w:rFonts w:ascii="Arial" w:hAnsi="Arial" w:cs="Arial"/>
                <w:sz w:val="20"/>
              </w:rPr>
              <w:t>que fortalece la transparencia de las estadísticas de deuda pública publicado.</w:t>
            </w:r>
          </w:p>
        </w:tc>
        <w:tc>
          <w:tcPr>
            <w:tcW w:w="1430" w:type="dxa"/>
            <w:tcBorders>
              <w:top w:val="single" w:sz="4" w:space="0" w:color="000000"/>
              <w:left w:val="single" w:sz="4" w:space="0" w:color="000000"/>
              <w:bottom w:val="single" w:sz="4" w:space="0" w:color="000000"/>
              <w:right w:val="single" w:sz="4" w:space="0" w:color="000000"/>
            </w:tcBorders>
          </w:tcPr>
          <w:p w14:paraId="15B0FE63"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Reglamento</w:t>
            </w:r>
          </w:p>
        </w:tc>
        <w:tc>
          <w:tcPr>
            <w:tcW w:w="990" w:type="dxa"/>
            <w:tcBorders>
              <w:top w:val="single" w:sz="4" w:space="0" w:color="000000"/>
              <w:left w:val="single" w:sz="4" w:space="0" w:color="000000"/>
              <w:bottom w:val="single" w:sz="4" w:space="0" w:color="000000"/>
              <w:right w:val="single" w:sz="4" w:space="0" w:color="000000"/>
            </w:tcBorders>
          </w:tcPr>
          <w:p w14:paraId="421BD8A8"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415383D1"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3BF4BA26"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369619C0" w14:textId="77777777" w:rsidR="00E61175" w:rsidRDefault="00E61175" w:rsidP="008F3940">
            <w:pPr>
              <w:spacing w:beforeLines="20" w:before="48" w:afterLines="20" w:after="48"/>
              <w:rPr>
                <w:rFonts w:ascii="Arial" w:hAnsi="Arial" w:cs="Arial"/>
                <w:sz w:val="20"/>
                <w:lang w:val="es-ES"/>
              </w:rPr>
            </w:pPr>
            <w:r>
              <w:rPr>
                <w:rFonts w:ascii="Arial" w:hAnsi="Arial" w:cs="Arial"/>
                <w:sz w:val="20"/>
                <w:lang w:val="es-ES"/>
              </w:rPr>
              <w:t>Registro</w:t>
            </w:r>
            <w:r w:rsidRPr="002D3D3B">
              <w:rPr>
                <w:rFonts w:ascii="Arial" w:hAnsi="Arial" w:cs="Arial"/>
                <w:sz w:val="20"/>
                <w:lang w:val="es-ES"/>
              </w:rPr>
              <w:t xml:space="preserve"> Oficial</w:t>
            </w:r>
            <w:r>
              <w:rPr>
                <w:rFonts w:ascii="Arial" w:hAnsi="Arial" w:cs="Arial"/>
                <w:sz w:val="20"/>
                <w:lang w:val="es-ES"/>
              </w:rPr>
              <w:t>, PRE.</w:t>
            </w:r>
          </w:p>
        </w:tc>
        <w:tc>
          <w:tcPr>
            <w:tcW w:w="2710" w:type="dxa"/>
            <w:vMerge/>
            <w:tcBorders>
              <w:left w:val="single" w:sz="4" w:space="0" w:color="000000"/>
              <w:bottom w:val="single" w:sz="4" w:space="0" w:color="000000"/>
              <w:right w:val="single" w:sz="4" w:space="0" w:color="000000"/>
            </w:tcBorders>
          </w:tcPr>
          <w:p w14:paraId="37669B57" w14:textId="77777777" w:rsidR="00E61175" w:rsidRPr="005949B1" w:rsidRDefault="00E61175" w:rsidP="008F3940">
            <w:pPr>
              <w:spacing w:beforeLines="20" w:before="48" w:afterLines="20" w:after="48"/>
              <w:rPr>
                <w:rFonts w:ascii="Arial" w:hAnsi="Arial" w:cs="Arial"/>
                <w:sz w:val="20"/>
              </w:rPr>
            </w:pPr>
          </w:p>
        </w:tc>
      </w:tr>
      <w:tr w:rsidR="00E61175" w:rsidRPr="005949B1" w14:paraId="3D442638" w14:textId="77777777" w:rsidTr="008F3940">
        <w:trPr>
          <w:trHeight w:val="20"/>
        </w:trPr>
        <w:tc>
          <w:tcPr>
            <w:tcW w:w="13145" w:type="dxa"/>
            <w:gridSpan w:val="7"/>
            <w:tcBorders>
              <w:top w:val="single" w:sz="4" w:space="0" w:color="000000"/>
              <w:left w:val="single" w:sz="4" w:space="0" w:color="000000"/>
              <w:bottom w:val="single" w:sz="4" w:space="0" w:color="000000"/>
              <w:right w:val="single" w:sz="4" w:space="0" w:color="000000"/>
            </w:tcBorders>
          </w:tcPr>
          <w:p w14:paraId="2DC36D48"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Tramo 2: 2.2 Transparencia de las estadísticas de deuda p</w:t>
            </w:r>
            <w:r>
              <w:rPr>
                <w:rFonts w:ascii="Arial" w:hAnsi="Arial" w:cs="Arial"/>
                <w:sz w:val="20"/>
              </w:rPr>
              <w:t>ú</w:t>
            </w:r>
            <w:r w:rsidRPr="005949B1">
              <w:rPr>
                <w:rFonts w:ascii="Arial" w:hAnsi="Arial" w:cs="Arial"/>
                <w:sz w:val="20"/>
              </w:rPr>
              <w:t>blica fortalecida, mediante:</w:t>
            </w:r>
          </w:p>
        </w:tc>
      </w:tr>
      <w:tr w:rsidR="00E61175" w:rsidRPr="005949B1" w14:paraId="27EE74D2"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7A7AFB9F" w14:textId="77777777" w:rsidR="00E61175" w:rsidRPr="005949B1" w:rsidRDefault="00E61175" w:rsidP="008F3940">
            <w:pPr>
              <w:pStyle w:val="ListParagraph"/>
              <w:numPr>
                <w:ilvl w:val="0"/>
                <w:numId w:val="26"/>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t xml:space="preserve">a. </w:t>
            </w:r>
            <w:r>
              <w:rPr>
                <w:rFonts w:ascii="Arial" w:hAnsi="Arial" w:cs="Arial"/>
                <w:sz w:val="20"/>
              </w:rPr>
              <w:t>Propuesta de ley modificatoria de</w:t>
            </w:r>
            <w:r w:rsidRPr="005949B1">
              <w:rPr>
                <w:rFonts w:ascii="Arial" w:hAnsi="Arial" w:cs="Arial"/>
                <w:sz w:val="20"/>
              </w:rPr>
              <w:t xml:space="preserve">l COPLAFIP </w:t>
            </w:r>
            <w:r w:rsidRPr="005949B1">
              <w:rPr>
                <w:rFonts w:ascii="Arial" w:hAnsi="Arial" w:cs="Arial"/>
                <w:bCs/>
                <w:kern w:val="18"/>
                <w:sz w:val="20"/>
                <w:lang w:val="es-ES"/>
              </w:rPr>
              <w:t>incluyendo</w:t>
            </w:r>
            <w:r w:rsidRPr="005949B1">
              <w:rPr>
                <w:rFonts w:ascii="Arial" w:hAnsi="Arial" w:cs="Arial"/>
                <w:sz w:val="20"/>
              </w:rPr>
              <w:t xml:space="preserve"> cobertura de la regla fiscal de Deuda P</w:t>
            </w:r>
            <w:r>
              <w:rPr>
                <w:rFonts w:ascii="Arial" w:hAnsi="Arial" w:cs="Arial"/>
                <w:sz w:val="20"/>
              </w:rPr>
              <w:t>ú</w:t>
            </w:r>
            <w:r w:rsidRPr="005949B1">
              <w:rPr>
                <w:rFonts w:ascii="Arial" w:hAnsi="Arial" w:cs="Arial"/>
                <w:sz w:val="20"/>
              </w:rPr>
              <w:t>blica sobre el PIB, que se consolidará al nivel del SPNF y no del sector público total enviada.</w:t>
            </w:r>
          </w:p>
        </w:tc>
        <w:tc>
          <w:tcPr>
            <w:tcW w:w="1430" w:type="dxa"/>
            <w:tcBorders>
              <w:top w:val="single" w:sz="4" w:space="0" w:color="000000"/>
              <w:left w:val="single" w:sz="4" w:space="0" w:color="000000"/>
              <w:bottom w:val="single" w:sz="4" w:space="0" w:color="000000"/>
              <w:right w:val="single" w:sz="4" w:space="0" w:color="000000"/>
            </w:tcBorders>
          </w:tcPr>
          <w:p w14:paraId="27B76704" w14:textId="130E4B8F"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Propuesta de Ley</w:t>
            </w:r>
            <w:r w:rsidR="009027B3">
              <w:rPr>
                <w:rFonts w:ascii="Arial" w:hAnsi="Arial" w:cs="Arial"/>
                <w:sz w:val="20"/>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41F7D394"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5B7CA76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582F4E6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29DF5E12" w14:textId="77777777" w:rsidR="00E61175" w:rsidRPr="005949B1" w:rsidRDefault="00E61175" w:rsidP="008F3940">
            <w:pPr>
              <w:spacing w:beforeLines="20" w:before="48" w:afterLines="20" w:after="48"/>
              <w:rPr>
                <w:rFonts w:ascii="Arial" w:hAnsi="Arial" w:cs="Arial"/>
                <w:sz w:val="20"/>
              </w:rPr>
            </w:pPr>
            <w:r w:rsidRPr="00DF4C13">
              <w:rPr>
                <w:rFonts w:ascii="Arial" w:eastAsia="Arial" w:hAnsi="Arial" w:cs="Arial"/>
                <w:sz w:val="20"/>
                <w:lang w:val="es-ES"/>
              </w:rPr>
              <w:t>Propuesta de Ley Modificatoria</w:t>
            </w:r>
            <w:r>
              <w:rPr>
                <w:rFonts w:ascii="Arial" w:eastAsia="Arial" w:hAnsi="Arial" w:cs="Arial"/>
                <w:sz w:val="20"/>
                <w:lang w:val="es-ES"/>
              </w:rPr>
              <w:t xml:space="preserve"> del COPLAFIP</w:t>
            </w:r>
            <w:r w:rsidRPr="00DF4C13">
              <w:rPr>
                <w:rFonts w:ascii="Arial" w:eastAsia="Arial" w:hAnsi="Arial" w:cs="Arial"/>
                <w:sz w:val="20"/>
                <w:lang w:val="es-ES"/>
              </w:rPr>
              <w:t xml:space="preserve"> presentada y copia de la fe ante AN</w:t>
            </w:r>
            <w:r>
              <w:rPr>
                <w:rFonts w:ascii="Arial" w:eastAsia="Arial" w:hAnsi="Arial" w:cs="Arial"/>
                <w:sz w:val="20"/>
                <w:lang w:val="es-ES"/>
              </w:rPr>
              <w:t xml:space="preserve">, </w:t>
            </w:r>
            <w:r>
              <w:rPr>
                <w:rFonts w:ascii="Arial" w:hAnsi="Arial" w:cs="Arial"/>
                <w:bCs/>
                <w:kern w:val="18"/>
                <w:sz w:val="20"/>
                <w:lang w:val="es-ES"/>
              </w:rPr>
              <w:t>PRE.</w:t>
            </w:r>
            <w:r w:rsidDel="002E655E">
              <w:rPr>
                <w:rFonts w:ascii="Arial" w:hAnsi="Arial" w:cs="Arial"/>
                <w:sz w:val="20"/>
              </w:rPr>
              <w:t xml:space="preserve"> </w:t>
            </w:r>
          </w:p>
        </w:tc>
        <w:tc>
          <w:tcPr>
            <w:tcW w:w="2710" w:type="dxa"/>
            <w:tcBorders>
              <w:top w:val="single" w:sz="4" w:space="0" w:color="000000"/>
              <w:left w:val="single" w:sz="4" w:space="0" w:color="000000"/>
              <w:bottom w:val="single" w:sz="4" w:space="0" w:color="000000"/>
              <w:right w:val="single" w:sz="4" w:space="0" w:color="000000"/>
            </w:tcBorders>
          </w:tcPr>
          <w:p w14:paraId="7928A929" w14:textId="77777777" w:rsidR="00E61175" w:rsidRPr="005949B1" w:rsidRDefault="00E61175" w:rsidP="008F3940">
            <w:pPr>
              <w:spacing w:beforeLines="20" w:before="48" w:afterLines="20" w:after="48"/>
              <w:rPr>
                <w:rFonts w:ascii="Arial" w:hAnsi="Arial" w:cs="Arial"/>
                <w:sz w:val="20"/>
              </w:rPr>
            </w:pPr>
          </w:p>
        </w:tc>
      </w:tr>
      <w:tr w:rsidR="00E61175" w:rsidRPr="005949B1" w14:paraId="102B9AA4"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02045790" w14:textId="77777777" w:rsidR="00E61175" w:rsidRPr="00B14187" w:rsidRDefault="00E61175" w:rsidP="008F3940">
            <w:pPr>
              <w:pStyle w:val="ListParagraph"/>
              <w:numPr>
                <w:ilvl w:val="0"/>
                <w:numId w:val="26"/>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t>b. Boletines de deuda de acuerdo con la nueva metodología de cálculo de deuda a nivel de SPNF publicados mensualmente, desde mayo 2019.</w:t>
            </w:r>
          </w:p>
        </w:tc>
        <w:tc>
          <w:tcPr>
            <w:tcW w:w="1430" w:type="dxa"/>
            <w:tcBorders>
              <w:top w:val="single" w:sz="4" w:space="0" w:color="000000"/>
              <w:left w:val="single" w:sz="4" w:space="0" w:color="000000"/>
              <w:bottom w:val="single" w:sz="4" w:space="0" w:color="000000"/>
              <w:right w:val="single" w:sz="4" w:space="0" w:color="000000"/>
            </w:tcBorders>
          </w:tcPr>
          <w:p w14:paraId="7B9FD66C"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Boletines </w:t>
            </w:r>
          </w:p>
        </w:tc>
        <w:tc>
          <w:tcPr>
            <w:tcW w:w="990" w:type="dxa"/>
            <w:tcBorders>
              <w:top w:val="single" w:sz="4" w:space="0" w:color="000000"/>
              <w:left w:val="single" w:sz="4" w:space="0" w:color="000000"/>
              <w:bottom w:val="single" w:sz="4" w:space="0" w:color="000000"/>
              <w:right w:val="single" w:sz="4" w:space="0" w:color="000000"/>
            </w:tcBorders>
          </w:tcPr>
          <w:p w14:paraId="3DF1E66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04209686"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713B4062"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8</w:t>
            </w:r>
          </w:p>
        </w:tc>
        <w:tc>
          <w:tcPr>
            <w:tcW w:w="2070" w:type="dxa"/>
            <w:tcBorders>
              <w:top w:val="single" w:sz="4" w:space="0" w:color="000000"/>
              <w:left w:val="single" w:sz="4" w:space="0" w:color="000000"/>
              <w:bottom w:val="single" w:sz="4" w:space="0" w:color="000000"/>
              <w:right w:val="single" w:sz="4" w:space="0" w:color="000000"/>
            </w:tcBorders>
          </w:tcPr>
          <w:p w14:paraId="0921E82A" w14:textId="77777777" w:rsidR="00E61175" w:rsidRPr="005949B1" w:rsidRDefault="00E61175" w:rsidP="008F3940">
            <w:pPr>
              <w:spacing w:beforeLines="20" w:before="48" w:afterLines="20" w:after="48"/>
              <w:rPr>
                <w:rFonts w:ascii="Arial" w:hAnsi="Arial" w:cs="Arial"/>
                <w:sz w:val="20"/>
              </w:rPr>
            </w:pPr>
            <w:r>
              <w:rPr>
                <w:rFonts w:ascii="Arial" w:hAnsi="Arial" w:cs="Arial"/>
                <w:sz w:val="20"/>
              </w:rPr>
              <w:t>Boletín de deuda mensual del Banco Central.</w:t>
            </w:r>
          </w:p>
        </w:tc>
        <w:tc>
          <w:tcPr>
            <w:tcW w:w="2710" w:type="dxa"/>
            <w:tcBorders>
              <w:top w:val="single" w:sz="4" w:space="0" w:color="000000"/>
              <w:left w:val="single" w:sz="4" w:space="0" w:color="000000"/>
              <w:bottom w:val="single" w:sz="4" w:space="0" w:color="000000"/>
              <w:right w:val="single" w:sz="4" w:space="0" w:color="000000"/>
            </w:tcBorders>
          </w:tcPr>
          <w:p w14:paraId="74D450C5" w14:textId="77777777" w:rsidR="00E61175" w:rsidRPr="005949B1" w:rsidRDefault="00E61175" w:rsidP="008F3940">
            <w:pPr>
              <w:spacing w:beforeLines="20" w:before="48" w:afterLines="20" w:after="48"/>
              <w:rPr>
                <w:rFonts w:ascii="Arial" w:hAnsi="Arial" w:cs="Arial"/>
                <w:sz w:val="20"/>
              </w:rPr>
            </w:pPr>
          </w:p>
        </w:tc>
      </w:tr>
      <w:tr w:rsidR="00E61175" w:rsidRPr="005949B1" w14:paraId="4C7B7871" w14:textId="77777777" w:rsidTr="008F3940">
        <w:trPr>
          <w:trHeight w:val="20"/>
        </w:trPr>
        <w:tc>
          <w:tcPr>
            <w:tcW w:w="13145" w:type="dxa"/>
            <w:gridSpan w:val="7"/>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3D84FD4"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b/>
                <w:bCs/>
                <w:kern w:val="18"/>
                <w:sz w:val="20"/>
                <w:lang w:val="es-ES"/>
              </w:rPr>
              <w:t xml:space="preserve">Componente III. </w:t>
            </w:r>
            <w:r w:rsidRPr="005949B1">
              <w:rPr>
                <w:rFonts w:ascii="Arial" w:hAnsi="Arial" w:cs="Arial"/>
                <w:b/>
                <w:bCs/>
                <w:kern w:val="18"/>
                <w:sz w:val="20"/>
              </w:rPr>
              <w:t>Mejora en la calidad y eficiencia del gasto</w:t>
            </w:r>
          </w:p>
        </w:tc>
      </w:tr>
      <w:tr w:rsidR="00E61175" w:rsidRPr="005949B1" w14:paraId="27CEAAE2"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37C86DC7"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1: 3.1 Decreto para el fortalecimiento de la DNCG en el MEF, a través del establecimiento del MEF como ente coordinador de las unidades de efectividad y calidad del gasto de la Función Ejecutiva </w:t>
            </w:r>
            <w:r>
              <w:rPr>
                <w:rFonts w:ascii="Arial" w:hAnsi="Arial" w:cs="Arial"/>
                <w:sz w:val="20"/>
              </w:rPr>
              <w:t xml:space="preserve">del Estado </w:t>
            </w:r>
            <w:r w:rsidRPr="005949B1">
              <w:rPr>
                <w:rFonts w:ascii="Arial" w:hAnsi="Arial" w:cs="Arial"/>
                <w:sz w:val="20"/>
              </w:rPr>
              <w:t xml:space="preserve">publicado. </w:t>
            </w:r>
          </w:p>
        </w:tc>
        <w:tc>
          <w:tcPr>
            <w:tcW w:w="1430" w:type="dxa"/>
            <w:tcBorders>
              <w:top w:val="single" w:sz="4" w:space="0" w:color="000000"/>
              <w:left w:val="single" w:sz="4" w:space="0" w:color="000000"/>
              <w:bottom w:val="single" w:sz="4" w:space="0" w:color="000000"/>
              <w:right w:val="single" w:sz="4" w:space="0" w:color="000000"/>
            </w:tcBorders>
          </w:tcPr>
          <w:p w14:paraId="1F284642"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Decreto </w:t>
            </w:r>
          </w:p>
        </w:tc>
        <w:tc>
          <w:tcPr>
            <w:tcW w:w="990" w:type="dxa"/>
            <w:tcBorders>
              <w:top w:val="single" w:sz="4" w:space="0" w:color="000000"/>
              <w:left w:val="single" w:sz="4" w:space="0" w:color="000000"/>
              <w:bottom w:val="single" w:sz="4" w:space="0" w:color="000000"/>
              <w:right w:val="single" w:sz="4" w:space="0" w:color="000000"/>
            </w:tcBorders>
          </w:tcPr>
          <w:p w14:paraId="671C191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3BFB22EE"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2C77D84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0CB20BFE" w14:textId="77777777" w:rsidR="00E61175" w:rsidRPr="005949B1" w:rsidRDefault="00E61175" w:rsidP="008F3940">
            <w:pPr>
              <w:spacing w:beforeLines="20" w:before="48" w:afterLines="20" w:after="48"/>
              <w:rPr>
                <w:rFonts w:ascii="Arial" w:hAnsi="Arial" w:cs="Arial"/>
                <w:sz w:val="20"/>
              </w:rPr>
            </w:pPr>
            <w:r>
              <w:rPr>
                <w:rFonts w:ascii="Arial" w:hAnsi="Arial" w:cs="Arial"/>
                <w:sz w:val="20"/>
                <w:lang w:val="es-ES"/>
              </w:rPr>
              <w:t>Registro</w:t>
            </w:r>
            <w:r w:rsidRPr="002D3D3B">
              <w:rPr>
                <w:rFonts w:ascii="Arial" w:hAnsi="Arial" w:cs="Arial"/>
                <w:sz w:val="20"/>
                <w:lang w:val="es-ES"/>
              </w:rPr>
              <w:t xml:space="preserve"> Oficial</w:t>
            </w:r>
            <w:r>
              <w:rPr>
                <w:rFonts w:ascii="Arial" w:hAnsi="Arial" w:cs="Arial"/>
                <w:sz w:val="20"/>
                <w:lang w:val="es-ES"/>
              </w:rPr>
              <w:t>, PRE.</w:t>
            </w:r>
          </w:p>
        </w:tc>
        <w:tc>
          <w:tcPr>
            <w:tcW w:w="2710" w:type="dxa"/>
            <w:tcBorders>
              <w:top w:val="single" w:sz="4" w:space="0" w:color="000000"/>
              <w:left w:val="single" w:sz="4" w:space="0" w:color="000000"/>
              <w:bottom w:val="single" w:sz="4" w:space="0" w:color="000000"/>
              <w:right w:val="single" w:sz="4" w:space="0" w:color="000000"/>
            </w:tcBorders>
          </w:tcPr>
          <w:p w14:paraId="2582D914" w14:textId="267574CF" w:rsidR="00E61175" w:rsidRPr="005949B1" w:rsidRDefault="00E61175" w:rsidP="008F3940">
            <w:pPr>
              <w:spacing w:before="60" w:after="60"/>
              <w:rPr>
                <w:rFonts w:ascii="Arial" w:hAnsi="Arial" w:cs="Arial"/>
                <w:sz w:val="20"/>
              </w:rPr>
            </w:pPr>
            <w:r>
              <w:rPr>
                <w:rFonts w:ascii="Arial" w:hAnsi="Arial" w:cs="Arial"/>
                <w:sz w:val="20"/>
              </w:rPr>
              <w:t>Incluye l</w:t>
            </w:r>
            <w:r w:rsidRPr="00DF4C13">
              <w:rPr>
                <w:rFonts w:ascii="Arial" w:hAnsi="Arial" w:cs="Arial"/>
                <w:sz w:val="20"/>
              </w:rPr>
              <w:t xml:space="preserve">a obligatoriedad de las agencias del </w:t>
            </w:r>
            <w:r>
              <w:rPr>
                <w:rFonts w:ascii="Arial" w:hAnsi="Arial" w:cs="Arial"/>
                <w:sz w:val="20"/>
              </w:rPr>
              <w:t>GC</w:t>
            </w:r>
            <w:r w:rsidRPr="00DF4C13">
              <w:rPr>
                <w:rFonts w:ascii="Arial" w:hAnsi="Arial" w:cs="Arial"/>
                <w:sz w:val="20"/>
              </w:rPr>
              <w:t xml:space="preserve"> de reportar estadísticas de gasto al MEF</w:t>
            </w:r>
            <w:r>
              <w:rPr>
                <w:rFonts w:ascii="Arial" w:hAnsi="Arial" w:cs="Arial"/>
                <w:sz w:val="20"/>
              </w:rPr>
              <w:t xml:space="preserve"> y definición de a</w:t>
            </w:r>
            <w:r w:rsidRPr="00BD61E6">
              <w:rPr>
                <w:rFonts w:ascii="Arial" w:hAnsi="Arial" w:cs="Arial"/>
                <w:sz w:val="20"/>
              </w:rPr>
              <w:t>genda y metodologías de evaluación del gasto social</w:t>
            </w:r>
            <w:r>
              <w:rPr>
                <w:rFonts w:ascii="Arial" w:hAnsi="Arial" w:cs="Arial"/>
                <w:sz w:val="20"/>
              </w:rPr>
              <w:t>,</w:t>
            </w:r>
            <w:r w:rsidR="009027B3">
              <w:rPr>
                <w:rFonts w:ascii="Arial" w:hAnsi="Arial" w:cs="Arial"/>
                <w:sz w:val="20"/>
              </w:rPr>
              <w:t xml:space="preserve"> </w:t>
            </w:r>
            <w:r w:rsidRPr="00BD61E6">
              <w:rPr>
                <w:rFonts w:ascii="Arial" w:hAnsi="Arial" w:cs="Arial"/>
                <w:sz w:val="20"/>
              </w:rPr>
              <w:t>incluyendo evaluaciones ex ante y de impacto</w:t>
            </w:r>
            <w:r>
              <w:rPr>
                <w:rFonts w:ascii="Arial" w:hAnsi="Arial" w:cs="Arial"/>
                <w:sz w:val="20"/>
              </w:rPr>
              <w:t>.</w:t>
            </w:r>
          </w:p>
        </w:tc>
      </w:tr>
      <w:tr w:rsidR="00E61175" w:rsidRPr="005949B1" w14:paraId="14F665C7" w14:textId="77777777" w:rsidTr="008F3940">
        <w:trPr>
          <w:trHeight w:val="20"/>
        </w:trPr>
        <w:tc>
          <w:tcPr>
            <w:tcW w:w="13145" w:type="dxa"/>
            <w:gridSpan w:val="7"/>
            <w:tcBorders>
              <w:top w:val="single" w:sz="4" w:space="0" w:color="000000"/>
              <w:left w:val="single" w:sz="4" w:space="0" w:color="000000"/>
              <w:bottom w:val="single" w:sz="4" w:space="0" w:color="000000"/>
              <w:right w:val="single" w:sz="4" w:space="0" w:color="000000"/>
            </w:tcBorders>
          </w:tcPr>
          <w:p w14:paraId="3E7E790B" w14:textId="60B97CE2"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2: 3.1 </w:t>
            </w:r>
            <w:r w:rsidR="00A15A0F" w:rsidRPr="00A15A0F">
              <w:rPr>
                <w:rFonts w:ascii="Arial" w:hAnsi="Arial" w:cs="Arial"/>
                <w:sz w:val="20"/>
              </w:rPr>
              <w:t>DNCG</w:t>
            </w:r>
            <w:r w:rsidR="00A247E0">
              <w:rPr>
                <w:rFonts w:ascii="Arial" w:hAnsi="Arial" w:cs="Arial"/>
                <w:sz w:val="20"/>
              </w:rPr>
              <w:t>P</w:t>
            </w:r>
            <w:r w:rsidR="00A15A0F" w:rsidRPr="00A15A0F">
              <w:rPr>
                <w:rFonts w:ascii="Arial" w:hAnsi="Arial" w:cs="Arial"/>
                <w:sz w:val="20"/>
              </w:rPr>
              <w:t xml:space="preserve"> en el MEF a través del establecimiento del MEF como ente coordinador de las unidades de efectividad y calidad del gasto de la función ejecutiva del Estado</w:t>
            </w:r>
            <w:r w:rsidRPr="005949B1">
              <w:rPr>
                <w:rFonts w:ascii="Arial" w:hAnsi="Arial" w:cs="Arial"/>
                <w:sz w:val="20"/>
              </w:rPr>
              <w:t>, incluyendo:</w:t>
            </w:r>
          </w:p>
        </w:tc>
      </w:tr>
      <w:tr w:rsidR="00E61175" w:rsidRPr="005949B1" w14:paraId="771461A5"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4BAB4168" w14:textId="77777777" w:rsidR="00E61175" w:rsidRPr="005949B1" w:rsidRDefault="00E61175" w:rsidP="008F3940">
            <w:pPr>
              <w:pStyle w:val="ListParagraph"/>
              <w:numPr>
                <w:ilvl w:val="0"/>
                <w:numId w:val="25"/>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lastRenderedPageBreak/>
              <w:t>a. Reportes de información sobre gasto social de tres ministerios (Educación, Salud y de Inclusión Económica y Social</w:t>
            </w:r>
            <w:r>
              <w:rPr>
                <w:rFonts w:ascii="Arial" w:hAnsi="Arial" w:cs="Arial"/>
                <w:sz w:val="20"/>
              </w:rPr>
              <w:t>-MIES</w:t>
            </w:r>
            <w:r w:rsidRPr="005949B1">
              <w:rPr>
                <w:rFonts w:ascii="Arial" w:hAnsi="Arial" w:cs="Arial"/>
                <w:sz w:val="20"/>
              </w:rPr>
              <w:t>) recibidos por el MEF.</w:t>
            </w:r>
          </w:p>
        </w:tc>
        <w:tc>
          <w:tcPr>
            <w:tcW w:w="1430" w:type="dxa"/>
            <w:tcBorders>
              <w:top w:val="single" w:sz="4" w:space="0" w:color="000000"/>
              <w:left w:val="single" w:sz="4" w:space="0" w:color="000000"/>
              <w:bottom w:val="single" w:sz="4" w:space="0" w:color="000000"/>
              <w:right w:val="single" w:sz="4" w:space="0" w:color="000000"/>
            </w:tcBorders>
          </w:tcPr>
          <w:p w14:paraId="03F922E1"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bCs/>
                <w:sz w:val="20"/>
              </w:rPr>
              <w:t xml:space="preserve">Reportes </w:t>
            </w:r>
          </w:p>
        </w:tc>
        <w:tc>
          <w:tcPr>
            <w:tcW w:w="990" w:type="dxa"/>
            <w:tcBorders>
              <w:top w:val="single" w:sz="4" w:space="0" w:color="000000"/>
              <w:left w:val="single" w:sz="4" w:space="0" w:color="000000"/>
              <w:bottom w:val="single" w:sz="4" w:space="0" w:color="000000"/>
              <w:right w:val="single" w:sz="4" w:space="0" w:color="000000"/>
            </w:tcBorders>
          </w:tcPr>
          <w:p w14:paraId="07BBBB07"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4802B23E"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2A7CBEEE"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3</w:t>
            </w:r>
          </w:p>
        </w:tc>
        <w:tc>
          <w:tcPr>
            <w:tcW w:w="2070" w:type="dxa"/>
            <w:tcBorders>
              <w:top w:val="single" w:sz="4" w:space="0" w:color="000000"/>
              <w:left w:val="single" w:sz="4" w:space="0" w:color="000000"/>
              <w:bottom w:val="single" w:sz="4" w:space="0" w:color="000000"/>
              <w:right w:val="single" w:sz="4" w:space="0" w:color="000000"/>
            </w:tcBorders>
          </w:tcPr>
          <w:p w14:paraId="0EB5721A" w14:textId="77777777" w:rsidR="00E61175" w:rsidRPr="00175813" w:rsidRDefault="00E61175" w:rsidP="008F3940">
            <w:pPr>
              <w:spacing w:beforeLines="20" w:before="48" w:afterLines="20" w:after="48"/>
              <w:rPr>
                <w:rFonts w:ascii="Arial" w:hAnsi="Arial" w:cs="Arial"/>
                <w:sz w:val="20"/>
              </w:rPr>
            </w:pPr>
            <w:r>
              <w:rPr>
                <w:rFonts w:ascii="Arial" w:hAnsi="Arial" w:cs="Arial"/>
                <w:bCs/>
                <w:sz w:val="20"/>
              </w:rPr>
              <w:t>Certificado de recepción</w:t>
            </w:r>
            <w:r w:rsidRPr="00DF4C13">
              <w:rPr>
                <w:rFonts w:ascii="Arial" w:hAnsi="Arial" w:cs="Arial"/>
                <w:sz w:val="20"/>
              </w:rPr>
              <w:t xml:space="preserve">, MEF. </w:t>
            </w:r>
          </w:p>
        </w:tc>
        <w:tc>
          <w:tcPr>
            <w:tcW w:w="2710" w:type="dxa"/>
            <w:tcBorders>
              <w:top w:val="single" w:sz="4" w:space="0" w:color="000000"/>
              <w:left w:val="single" w:sz="4" w:space="0" w:color="000000"/>
              <w:bottom w:val="single" w:sz="4" w:space="0" w:color="000000"/>
              <w:right w:val="single" w:sz="4" w:space="0" w:color="000000"/>
            </w:tcBorders>
          </w:tcPr>
          <w:p w14:paraId="61E7076A" w14:textId="77777777" w:rsidR="00E61175" w:rsidRPr="005949B1" w:rsidRDefault="00E61175" w:rsidP="008F3940">
            <w:pPr>
              <w:spacing w:beforeLines="20" w:before="48" w:afterLines="20" w:after="48"/>
              <w:rPr>
                <w:rFonts w:ascii="Arial" w:hAnsi="Arial" w:cs="Arial"/>
                <w:sz w:val="20"/>
              </w:rPr>
            </w:pPr>
            <w:r>
              <w:rPr>
                <w:rFonts w:ascii="Arial" w:hAnsi="Arial" w:cs="Arial"/>
                <w:sz w:val="20"/>
              </w:rPr>
              <w:t>Certificado sobre</w:t>
            </w:r>
            <w:r>
              <w:rPr>
                <w:rFonts w:ascii="Arial" w:hAnsi="Arial" w:cs="Arial"/>
                <w:bCs/>
                <w:sz w:val="20"/>
              </w:rPr>
              <w:t xml:space="preserve"> los r</w:t>
            </w:r>
            <w:r w:rsidRPr="00BE45BA">
              <w:rPr>
                <w:rFonts w:ascii="Arial" w:hAnsi="Arial" w:cs="Arial"/>
                <w:bCs/>
                <w:sz w:val="20"/>
              </w:rPr>
              <w:t xml:space="preserve">eportes </w:t>
            </w:r>
            <w:r w:rsidRPr="00175813">
              <w:rPr>
                <w:rFonts w:ascii="Arial" w:hAnsi="Arial" w:cs="Arial"/>
                <w:bCs/>
                <w:sz w:val="20"/>
              </w:rPr>
              <w:t xml:space="preserve">enviados al MEF por los ministerios de </w:t>
            </w:r>
            <w:r w:rsidRPr="00572CBC">
              <w:rPr>
                <w:rFonts w:ascii="Arial" w:hAnsi="Arial" w:cs="Arial"/>
                <w:sz w:val="20"/>
              </w:rPr>
              <w:t>Educación, Salud y MIES</w:t>
            </w:r>
            <w:r>
              <w:rPr>
                <w:rFonts w:ascii="Arial" w:hAnsi="Arial" w:cs="Arial"/>
                <w:sz w:val="20"/>
              </w:rPr>
              <w:t>.</w:t>
            </w:r>
          </w:p>
        </w:tc>
      </w:tr>
      <w:tr w:rsidR="00E61175" w:rsidRPr="005949B1" w14:paraId="440B9E1F"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63F2E59C" w14:textId="77777777" w:rsidR="00E61175" w:rsidRDefault="00E61175" w:rsidP="008F3940">
            <w:pPr>
              <w:pStyle w:val="ListParagraph"/>
              <w:numPr>
                <w:ilvl w:val="0"/>
                <w:numId w:val="25"/>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t xml:space="preserve">b. </w:t>
            </w:r>
            <w:r>
              <w:rPr>
                <w:rFonts w:ascii="Arial" w:hAnsi="Arial" w:cs="Arial"/>
                <w:sz w:val="20"/>
              </w:rPr>
              <w:t>Informe de inicio de e</w:t>
            </w:r>
            <w:r w:rsidRPr="005949B1">
              <w:rPr>
                <w:rFonts w:ascii="Arial" w:hAnsi="Arial" w:cs="Arial"/>
                <w:sz w:val="20"/>
              </w:rPr>
              <w:t>valuación piloto de al menos un programa de gasto social</w:t>
            </w:r>
            <w:r>
              <w:rPr>
                <w:rFonts w:ascii="Arial" w:hAnsi="Arial" w:cs="Arial"/>
                <w:sz w:val="20"/>
              </w:rPr>
              <w:t xml:space="preserve"> aprobado</w:t>
            </w:r>
            <w:r w:rsidRPr="005949B1">
              <w:rPr>
                <w:rFonts w:ascii="Arial" w:hAnsi="Arial" w:cs="Arial"/>
                <w:sz w:val="20"/>
              </w:rPr>
              <w:t>.</w:t>
            </w:r>
          </w:p>
          <w:p w14:paraId="785F7673" w14:textId="77777777" w:rsidR="00E61175" w:rsidRDefault="00E61175" w:rsidP="008F3940">
            <w:pPr>
              <w:pStyle w:val="ListParagraph"/>
              <w:shd w:val="clear" w:color="auto" w:fill="FFFFFF" w:themeFill="background1"/>
              <w:spacing w:beforeLines="20" w:before="48" w:afterLines="20" w:after="48"/>
              <w:ind w:left="360"/>
              <w:contextualSpacing w:val="0"/>
              <w:rPr>
                <w:rFonts w:ascii="Arial" w:hAnsi="Arial" w:cs="Arial"/>
                <w:sz w:val="20"/>
              </w:rPr>
            </w:pPr>
          </w:p>
          <w:p w14:paraId="014FFF62" w14:textId="77777777" w:rsidR="00E61175" w:rsidRPr="005949B1" w:rsidRDefault="00E61175" w:rsidP="008F3940">
            <w:pPr>
              <w:pStyle w:val="ListParagraph"/>
              <w:shd w:val="clear" w:color="auto" w:fill="FFFFFF" w:themeFill="background1"/>
              <w:spacing w:beforeLines="20" w:before="48" w:afterLines="20" w:after="48"/>
              <w:ind w:left="360"/>
              <w:contextualSpacing w:val="0"/>
              <w:rPr>
                <w:rFonts w:ascii="Arial" w:hAnsi="Arial" w:cs="Arial"/>
                <w:sz w:val="20"/>
              </w:rPr>
            </w:pPr>
          </w:p>
        </w:tc>
        <w:tc>
          <w:tcPr>
            <w:tcW w:w="1430" w:type="dxa"/>
            <w:tcBorders>
              <w:top w:val="single" w:sz="4" w:space="0" w:color="000000"/>
              <w:left w:val="single" w:sz="4" w:space="0" w:color="000000"/>
              <w:bottom w:val="single" w:sz="4" w:space="0" w:color="000000"/>
              <w:right w:val="single" w:sz="4" w:space="0" w:color="000000"/>
            </w:tcBorders>
          </w:tcPr>
          <w:p w14:paraId="750511C3"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bCs/>
                <w:sz w:val="20"/>
              </w:rPr>
              <w:t xml:space="preserve">Informe </w:t>
            </w:r>
          </w:p>
        </w:tc>
        <w:tc>
          <w:tcPr>
            <w:tcW w:w="990" w:type="dxa"/>
            <w:tcBorders>
              <w:top w:val="single" w:sz="4" w:space="0" w:color="000000"/>
              <w:left w:val="single" w:sz="4" w:space="0" w:color="000000"/>
              <w:bottom w:val="single" w:sz="4" w:space="0" w:color="000000"/>
              <w:right w:val="single" w:sz="4" w:space="0" w:color="000000"/>
            </w:tcBorders>
          </w:tcPr>
          <w:p w14:paraId="5E876AC3"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0C17A91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02BD85B6"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3BBF41C1" w14:textId="77777777" w:rsidR="00E61175" w:rsidRPr="00BE45BA" w:rsidRDefault="00E61175" w:rsidP="008F3940">
            <w:pPr>
              <w:spacing w:beforeLines="20" w:before="48" w:afterLines="20" w:after="48"/>
              <w:rPr>
                <w:rFonts w:ascii="Arial" w:hAnsi="Arial" w:cs="Arial"/>
                <w:sz w:val="20"/>
              </w:rPr>
            </w:pPr>
            <w:r>
              <w:rPr>
                <w:rFonts w:ascii="Arial" w:hAnsi="Arial" w:cs="Arial"/>
                <w:bCs/>
                <w:sz w:val="20"/>
              </w:rPr>
              <w:t>Certificado de recepción</w:t>
            </w:r>
            <w:r w:rsidRPr="00DF4C13">
              <w:rPr>
                <w:rFonts w:ascii="Arial" w:hAnsi="Arial" w:cs="Arial"/>
                <w:bCs/>
                <w:sz w:val="20"/>
              </w:rPr>
              <w:t>, MEF.</w:t>
            </w:r>
          </w:p>
        </w:tc>
        <w:tc>
          <w:tcPr>
            <w:tcW w:w="2710" w:type="dxa"/>
            <w:tcBorders>
              <w:top w:val="single" w:sz="4" w:space="0" w:color="000000"/>
              <w:left w:val="single" w:sz="4" w:space="0" w:color="000000"/>
              <w:bottom w:val="single" w:sz="4" w:space="0" w:color="000000"/>
              <w:right w:val="single" w:sz="4" w:space="0" w:color="000000"/>
            </w:tcBorders>
          </w:tcPr>
          <w:p w14:paraId="334A4A28" w14:textId="5208B4A2" w:rsidR="00E61175" w:rsidRPr="005949B1" w:rsidRDefault="00E61175" w:rsidP="008F3940">
            <w:pPr>
              <w:spacing w:beforeLines="20" w:before="48" w:afterLines="20" w:after="48"/>
              <w:rPr>
                <w:rFonts w:ascii="Arial" w:hAnsi="Arial" w:cs="Arial"/>
                <w:sz w:val="20"/>
              </w:rPr>
            </w:pPr>
            <w:r>
              <w:rPr>
                <w:rFonts w:ascii="Arial" w:hAnsi="Arial" w:cs="Arial"/>
                <w:sz w:val="20"/>
              </w:rPr>
              <w:t xml:space="preserve">Certificado sobre la recepción </w:t>
            </w:r>
            <w:r>
              <w:rPr>
                <w:rFonts w:ascii="Arial" w:hAnsi="Arial" w:cs="Arial"/>
                <w:bCs/>
                <w:sz w:val="20"/>
              </w:rPr>
              <w:t>del i</w:t>
            </w:r>
            <w:r w:rsidRPr="00BE45BA">
              <w:rPr>
                <w:rFonts w:ascii="Arial" w:hAnsi="Arial" w:cs="Arial"/>
                <w:bCs/>
                <w:sz w:val="20"/>
              </w:rPr>
              <w:t>nforme</w:t>
            </w:r>
            <w:r w:rsidR="009027B3">
              <w:rPr>
                <w:rFonts w:ascii="Arial" w:hAnsi="Arial" w:cs="Arial"/>
                <w:bCs/>
                <w:sz w:val="20"/>
              </w:rPr>
              <w:t xml:space="preserve"> </w:t>
            </w:r>
            <w:r w:rsidRPr="00175813">
              <w:rPr>
                <w:rFonts w:ascii="Arial" w:hAnsi="Arial" w:cs="Arial"/>
                <w:bCs/>
                <w:sz w:val="20"/>
              </w:rPr>
              <w:t xml:space="preserve">preliminar de evaluación </w:t>
            </w:r>
            <w:r w:rsidRPr="00572CBC">
              <w:rPr>
                <w:rFonts w:ascii="Arial" w:hAnsi="Arial" w:cs="Arial"/>
                <w:bCs/>
                <w:sz w:val="20"/>
              </w:rPr>
              <w:t xml:space="preserve">enviado al MEF por el ministerio del proyecto </w:t>
            </w:r>
            <w:r>
              <w:rPr>
                <w:rFonts w:ascii="Arial" w:hAnsi="Arial" w:cs="Arial"/>
                <w:bCs/>
                <w:sz w:val="20"/>
              </w:rPr>
              <w:t xml:space="preserve">de la </w:t>
            </w:r>
            <w:r w:rsidRPr="00BE45BA">
              <w:rPr>
                <w:rFonts w:ascii="Arial" w:hAnsi="Arial" w:cs="Arial"/>
                <w:bCs/>
                <w:sz w:val="20"/>
              </w:rPr>
              <w:t>evaluación piloto</w:t>
            </w:r>
            <w:r>
              <w:rPr>
                <w:rFonts w:ascii="Arial" w:hAnsi="Arial" w:cs="Arial"/>
                <w:bCs/>
                <w:sz w:val="20"/>
              </w:rPr>
              <w:t>.</w:t>
            </w:r>
          </w:p>
        </w:tc>
      </w:tr>
      <w:tr w:rsidR="00E61175" w:rsidRPr="005949B1" w14:paraId="6DD113AE" w14:textId="77777777" w:rsidTr="008F3940">
        <w:trPr>
          <w:trHeight w:val="20"/>
        </w:trPr>
        <w:tc>
          <w:tcPr>
            <w:tcW w:w="13145" w:type="dxa"/>
            <w:gridSpan w:val="7"/>
            <w:tcBorders>
              <w:top w:val="single" w:sz="4" w:space="0" w:color="000000"/>
              <w:left w:val="single" w:sz="4" w:space="0" w:color="000000"/>
              <w:bottom w:val="single" w:sz="4" w:space="0" w:color="000000"/>
              <w:right w:val="single" w:sz="4" w:space="0" w:color="000000"/>
            </w:tcBorders>
          </w:tcPr>
          <w:p w14:paraId="0CBDF0F1"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1: 3.2 Capacidad fiscal para la </w:t>
            </w:r>
            <w:r>
              <w:rPr>
                <w:rFonts w:ascii="Arial" w:hAnsi="Arial" w:cs="Arial"/>
                <w:sz w:val="20"/>
              </w:rPr>
              <w:t>IP</w:t>
            </w:r>
            <w:r w:rsidRPr="005949B1">
              <w:rPr>
                <w:rFonts w:ascii="Arial" w:hAnsi="Arial" w:cs="Arial"/>
                <w:sz w:val="20"/>
              </w:rPr>
              <w:t xml:space="preserve"> con contribución privada mejorada a través de:</w:t>
            </w:r>
          </w:p>
        </w:tc>
      </w:tr>
      <w:tr w:rsidR="00E61175" w:rsidRPr="005949B1" w14:paraId="393C7583"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08ECFB04" w14:textId="77777777" w:rsidR="00E61175" w:rsidRPr="005949B1" w:rsidRDefault="00E61175" w:rsidP="008F3940">
            <w:pPr>
              <w:pStyle w:val="ListParagraph"/>
              <w:numPr>
                <w:ilvl w:val="0"/>
                <w:numId w:val="24"/>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t xml:space="preserve">a. </w:t>
            </w:r>
            <w:r>
              <w:rPr>
                <w:rFonts w:ascii="Arial" w:hAnsi="Arial" w:cs="Arial"/>
                <w:sz w:val="20"/>
              </w:rPr>
              <w:t>Propuesta de r</w:t>
            </w:r>
            <w:r w:rsidRPr="005949B1">
              <w:rPr>
                <w:rFonts w:ascii="Arial" w:hAnsi="Arial" w:cs="Arial"/>
                <w:bCs/>
                <w:sz w:val="20"/>
                <w:lang w:val="es-ES"/>
              </w:rPr>
              <w:t xml:space="preserve">eformas a la Ley de Incentivos a las APP </w:t>
            </w:r>
            <w:r>
              <w:rPr>
                <w:rFonts w:ascii="Arial" w:hAnsi="Arial" w:cs="Arial"/>
                <w:bCs/>
                <w:sz w:val="20"/>
                <w:lang w:val="es-ES"/>
              </w:rPr>
              <w:t>enviada</w:t>
            </w:r>
            <w:r w:rsidRPr="005949B1">
              <w:rPr>
                <w:rFonts w:ascii="Arial" w:hAnsi="Arial" w:cs="Arial"/>
                <w:bCs/>
                <w:sz w:val="20"/>
                <w:lang w:val="es-ES"/>
              </w:rPr>
              <w:t xml:space="preserve"> a la AN</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06668539"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 xml:space="preserve"> Propuesta de </w:t>
            </w:r>
            <w:r w:rsidRPr="005949B1">
              <w:rPr>
                <w:rFonts w:ascii="Arial" w:hAnsi="Arial" w:cs="Arial"/>
                <w:sz w:val="20"/>
              </w:rPr>
              <w:t xml:space="preserve">Ley </w:t>
            </w:r>
          </w:p>
        </w:tc>
        <w:tc>
          <w:tcPr>
            <w:tcW w:w="990" w:type="dxa"/>
            <w:tcBorders>
              <w:top w:val="single" w:sz="4" w:space="0" w:color="000000"/>
              <w:left w:val="single" w:sz="4" w:space="0" w:color="000000"/>
              <w:bottom w:val="single" w:sz="4" w:space="0" w:color="000000"/>
              <w:right w:val="single" w:sz="4" w:space="0" w:color="000000"/>
            </w:tcBorders>
          </w:tcPr>
          <w:p w14:paraId="26119B1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0C77DB3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6D207064"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10848FC3" w14:textId="1E4AF2E3" w:rsidR="00E61175" w:rsidRPr="005949B1" w:rsidRDefault="00E61175" w:rsidP="008F3940">
            <w:pPr>
              <w:spacing w:beforeLines="20" w:before="48" w:afterLines="20" w:after="48"/>
              <w:rPr>
                <w:rFonts w:ascii="Arial" w:hAnsi="Arial" w:cs="Arial"/>
                <w:sz w:val="20"/>
              </w:rPr>
            </w:pPr>
            <w:r>
              <w:rPr>
                <w:rFonts w:ascii="Arial" w:eastAsia="Arial" w:hAnsi="Arial" w:cs="Arial"/>
                <w:sz w:val="20"/>
                <w:lang w:val="es-ES"/>
              </w:rPr>
              <w:t>Reformas</w:t>
            </w:r>
            <w:r w:rsidRPr="00DF4C13">
              <w:rPr>
                <w:rFonts w:ascii="Arial" w:eastAsia="Arial" w:hAnsi="Arial" w:cs="Arial"/>
                <w:sz w:val="20"/>
                <w:lang w:val="es-ES"/>
              </w:rPr>
              <w:t xml:space="preserve"> de Ley y copia de la fe </w:t>
            </w:r>
            <w:r>
              <w:rPr>
                <w:rFonts w:ascii="Arial" w:eastAsia="Arial" w:hAnsi="Arial" w:cs="Arial"/>
                <w:sz w:val="20"/>
                <w:lang w:val="es-ES"/>
              </w:rPr>
              <w:t>de envío a</w:t>
            </w:r>
            <w:r w:rsidR="009027B3">
              <w:rPr>
                <w:rFonts w:ascii="Arial" w:eastAsia="Arial" w:hAnsi="Arial" w:cs="Arial"/>
                <w:sz w:val="20"/>
                <w:lang w:val="es-ES"/>
              </w:rPr>
              <w:t xml:space="preserve"> </w:t>
            </w:r>
            <w:r w:rsidRPr="00DF4C13">
              <w:rPr>
                <w:rFonts w:ascii="Arial" w:hAnsi="Arial" w:cs="Arial"/>
                <w:bCs/>
                <w:kern w:val="18"/>
                <w:sz w:val="20"/>
                <w:lang w:val="es-ES"/>
              </w:rPr>
              <w:t>la AN</w:t>
            </w:r>
            <w:r>
              <w:rPr>
                <w:rFonts w:ascii="Arial" w:hAnsi="Arial" w:cs="Arial"/>
                <w:bCs/>
                <w:kern w:val="18"/>
                <w:sz w:val="20"/>
                <w:lang w:val="es-ES"/>
              </w:rPr>
              <w:t xml:space="preserve">, PRE. </w:t>
            </w:r>
          </w:p>
        </w:tc>
        <w:tc>
          <w:tcPr>
            <w:tcW w:w="2710" w:type="dxa"/>
            <w:tcBorders>
              <w:top w:val="single" w:sz="4" w:space="0" w:color="000000"/>
              <w:left w:val="single" w:sz="4" w:space="0" w:color="000000"/>
              <w:bottom w:val="single" w:sz="4" w:space="0" w:color="000000"/>
              <w:right w:val="single" w:sz="4" w:space="0" w:color="000000"/>
            </w:tcBorders>
          </w:tcPr>
          <w:p w14:paraId="488BE0D0" w14:textId="3C54A7A3"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R</w:t>
            </w:r>
            <w:r w:rsidRPr="005949B1">
              <w:rPr>
                <w:rFonts w:ascii="Arial" w:hAnsi="Arial" w:cs="Arial"/>
                <w:bCs/>
                <w:sz w:val="20"/>
                <w:lang w:val="es-ES"/>
              </w:rPr>
              <w:t>eformas incluy</w:t>
            </w:r>
            <w:r>
              <w:rPr>
                <w:rFonts w:ascii="Arial" w:hAnsi="Arial" w:cs="Arial"/>
                <w:bCs/>
                <w:sz w:val="20"/>
                <w:lang w:val="es-ES"/>
              </w:rPr>
              <w:t>e</w:t>
            </w:r>
            <w:r w:rsidRPr="005949B1">
              <w:rPr>
                <w:rFonts w:ascii="Arial" w:hAnsi="Arial" w:cs="Arial"/>
                <w:bCs/>
                <w:sz w:val="20"/>
                <w:lang w:val="es-ES"/>
              </w:rPr>
              <w:t xml:space="preserve">n: </w:t>
            </w:r>
            <w:r>
              <w:rPr>
                <w:rFonts w:ascii="Arial" w:hAnsi="Arial" w:cs="Arial"/>
                <w:bCs/>
                <w:sz w:val="20"/>
                <w:lang w:val="es-ES"/>
              </w:rPr>
              <w:t>(</w:t>
            </w:r>
            <w:r w:rsidRPr="005949B1">
              <w:rPr>
                <w:rFonts w:ascii="Arial" w:hAnsi="Arial" w:cs="Arial"/>
                <w:bCs/>
                <w:sz w:val="20"/>
                <w:lang w:val="es-ES"/>
              </w:rPr>
              <w:t>i)</w:t>
            </w:r>
            <w:r w:rsidR="009027B3">
              <w:rPr>
                <w:rFonts w:ascii="Arial" w:hAnsi="Arial" w:cs="Arial"/>
                <w:bCs/>
                <w:sz w:val="20"/>
                <w:lang w:val="es-ES"/>
              </w:rPr>
              <w:t xml:space="preserve"> </w:t>
            </w:r>
            <w:r w:rsidRPr="005949B1">
              <w:rPr>
                <w:rFonts w:ascii="Arial" w:hAnsi="Arial" w:cs="Arial"/>
                <w:bCs/>
                <w:sz w:val="20"/>
                <w:lang w:val="es-ES"/>
              </w:rPr>
              <w:t xml:space="preserve">marco de coordinación interinstitucional del programa APP mejorado, incluyendo responsabilidades en la identificación, evaluación y gestión de riesgos fiscales derivadas de dichos proyectos; y las responsabilidades de los procesos de estructuración de éstos; </w:t>
            </w:r>
            <w:r>
              <w:rPr>
                <w:rFonts w:ascii="Arial" w:hAnsi="Arial" w:cs="Arial"/>
                <w:bCs/>
                <w:sz w:val="20"/>
                <w:lang w:val="es-ES"/>
              </w:rPr>
              <w:t>(</w:t>
            </w:r>
            <w:r w:rsidRPr="005949B1">
              <w:rPr>
                <w:rFonts w:ascii="Arial" w:hAnsi="Arial" w:cs="Arial"/>
                <w:bCs/>
                <w:sz w:val="20"/>
                <w:lang w:val="es-ES"/>
              </w:rPr>
              <w:t xml:space="preserve">ii) marco normativo para la monetización de activos públicos definido; y </w:t>
            </w:r>
            <w:r>
              <w:rPr>
                <w:rFonts w:ascii="Arial" w:hAnsi="Arial" w:cs="Arial"/>
                <w:bCs/>
                <w:sz w:val="20"/>
                <w:lang w:val="es-ES"/>
              </w:rPr>
              <w:t>(</w:t>
            </w:r>
            <w:r w:rsidRPr="005949B1">
              <w:rPr>
                <w:rFonts w:ascii="Arial" w:hAnsi="Arial" w:cs="Arial"/>
                <w:bCs/>
                <w:sz w:val="20"/>
                <w:lang w:val="es-ES"/>
              </w:rPr>
              <w:t>iii) definición de procesos de gestión de iniciativas privadas no solicitadas enviadas para aprobación a la AN</w:t>
            </w:r>
            <w:r w:rsidRPr="005949B1">
              <w:rPr>
                <w:rFonts w:ascii="Arial" w:hAnsi="Arial" w:cs="Arial"/>
                <w:sz w:val="20"/>
              </w:rPr>
              <w:t>.</w:t>
            </w:r>
          </w:p>
        </w:tc>
      </w:tr>
      <w:tr w:rsidR="00E61175" w:rsidRPr="005949B1" w14:paraId="126970D0"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5F74F648" w14:textId="77777777" w:rsidR="00E61175" w:rsidRPr="005949B1" w:rsidRDefault="00E61175" w:rsidP="008F3940">
            <w:pPr>
              <w:pStyle w:val="ListParagraph"/>
              <w:numPr>
                <w:ilvl w:val="0"/>
                <w:numId w:val="24"/>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lastRenderedPageBreak/>
              <w:t>b. Reglamento de la Ley de Fomento Productivo, que incluye la reglamentación del tratamiento de pasivos contingentes derivados de proyectos bajo modalidad APP, y la regulación de los procesos de certificación plurianual de compromisos fiscales bajo proyectos APP publicado.</w:t>
            </w:r>
          </w:p>
        </w:tc>
        <w:tc>
          <w:tcPr>
            <w:tcW w:w="1430" w:type="dxa"/>
            <w:tcBorders>
              <w:top w:val="single" w:sz="4" w:space="0" w:color="000000"/>
              <w:left w:val="single" w:sz="4" w:space="0" w:color="000000"/>
              <w:bottom w:val="single" w:sz="4" w:space="0" w:color="000000"/>
              <w:right w:val="single" w:sz="4" w:space="0" w:color="000000"/>
            </w:tcBorders>
          </w:tcPr>
          <w:p w14:paraId="2519243D" w14:textId="77777777" w:rsidR="00E61175" w:rsidRPr="005949B1" w:rsidRDefault="00E61175" w:rsidP="008F3940">
            <w:pPr>
              <w:spacing w:beforeLines="20" w:before="48" w:afterLines="20" w:after="48"/>
              <w:jc w:val="center"/>
              <w:rPr>
                <w:rFonts w:ascii="Arial" w:hAnsi="Arial" w:cs="Arial"/>
                <w:bCs/>
                <w:sz w:val="20"/>
                <w:lang w:val="es-ES"/>
              </w:rPr>
            </w:pPr>
            <w:r w:rsidRPr="005949B1">
              <w:rPr>
                <w:rFonts w:ascii="Arial" w:hAnsi="Arial" w:cs="Arial"/>
                <w:sz w:val="20"/>
              </w:rPr>
              <w:t xml:space="preserve">Reglamento </w:t>
            </w:r>
          </w:p>
        </w:tc>
        <w:tc>
          <w:tcPr>
            <w:tcW w:w="990" w:type="dxa"/>
            <w:tcBorders>
              <w:top w:val="single" w:sz="4" w:space="0" w:color="000000"/>
              <w:left w:val="single" w:sz="4" w:space="0" w:color="000000"/>
              <w:bottom w:val="single" w:sz="4" w:space="0" w:color="000000"/>
              <w:right w:val="single" w:sz="4" w:space="0" w:color="000000"/>
            </w:tcBorders>
          </w:tcPr>
          <w:p w14:paraId="50900A3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40E4691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15A1AA3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760D0082" w14:textId="77777777" w:rsidR="00E61175" w:rsidRPr="005949B1" w:rsidRDefault="00E61175" w:rsidP="008F3940">
            <w:pPr>
              <w:spacing w:beforeLines="20" w:before="48" w:afterLines="20" w:after="48"/>
              <w:rPr>
                <w:rFonts w:ascii="Arial" w:hAnsi="Arial" w:cs="Arial"/>
                <w:sz w:val="20"/>
              </w:rPr>
            </w:pPr>
            <w:r>
              <w:rPr>
                <w:rFonts w:ascii="Arial" w:hAnsi="Arial" w:cs="Arial"/>
                <w:sz w:val="20"/>
                <w:lang w:val="es-ES"/>
              </w:rPr>
              <w:t>Registro</w:t>
            </w:r>
            <w:r w:rsidRPr="002D3D3B">
              <w:rPr>
                <w:rFonts w:ascii="Arial" w:hAnsi="Arial" w:cs="Arial"/>
                <w:sz w:val="20"/>
                <w:lang w:val="es-ES"/>
              </w:rPr>
              <w:t xml:space="preserve"> Oficial</w:t>
            </w:r>
            <w:r>
              <w:rPr>
                <w:rFonts w:ascii="Arial" w:hAnsi="Arial" w:cs="Arial"/>
                <w:sz w:val="20"/>
                <w:lang w:val="es-ES"/>
              </w:rPr>
              <w:t>, PRE.</w:t>
            </w:r>
          </w:p>
        </w:tc>
        <w:tc>
          <w:tcPr>
            <w:tcW w:w="2710" w:type="dxa"/>
            <w:tcBorders>
              <w:top w:val="single" w:sz="4" w:space="0" w:color="000000"/>
              <w:left w:val="single" w:sz="4" w:space="0" w:color="000000"/>
              <w:bottom w:val="single" w:sz="4" w:space="0" w:color="000000"/>
              <w:right w:val="single" w:sz="4" w:space="0" w:color="000000"/>
            </w:tcBorders>
          </w:tcPr>
          <w:p w14:paraId="6BD98252" w14:textId="77777777" w:rsidR="00E61175" w:rsidRPr="005949B1" w:rsidRDefault="00E61175" w:rsidP="008F3940">
            <w:pPr>
              <w:spacing w:beforeLines="20" w:before="48" w:afterLines="20" w:after="48"/>
              <w:rPr>
                <w:rFonts w:ascii="Arial" w:hAnsi="Arial" w:cs="Arial"/>
                <w:sz w:val="20"/>
              </w:rPr>
            </w:pPr>
          </w:p>
        </w:tc>
      </w:tr>
      <w:tr w:rsidR="00E61175" w:rsidRPr="005949B1" w14:paraId="34A21E11"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72199A20" w14:textId="77777777" w:rsidR="00E61175" w:rsidRPr="005949B1" w:rsidRDefault="00E61175" w:rsidP="008F3940">
            <w:pPr>
              <w:pStyle w:val="ListParagraph"/>
              <w:numPr>
                <w:ilvl w:val="0"/>
                <w:numId w:val="24"/>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t>c. Unidad APP para gobiernos subnacionales en el BDE</w:t>
            </w:r>
            <w:r>
              <w:rPr>
                <w:rFonts w:ascii="Arial" w:hAnsi="Arial" w:cs="Arial"/>
                <w:sz w:val="20"/>
              </w:rPr>
              <w:t xml:space="preserve"> creada</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5B3AB12A" w14:textId="77777777" w:rsidR="00E61175" w:rsidRPr="005949B1" w:rsidRDefault="00E61175" w:rsidP="008F3940">
            <w:pPr>
              <w:spacing w:beforeLines="20" w:before="48" w:afterLines="20" w:after="48"/>
              <w:jc w:val="center"/>
              <w:rPr>
                <w:rFonts w:ascii="Arial" w:hAnsi="Arial" w:cs="Arial"/>
                <w:sz w:val="20"/>
              </w:rPr>
            </w:pPr>
            <w:r w:rsidRPr="00690C77">
              <w:rPr>
                <w:rFonts w:ascii="Arial" w:hAnsi="Arial" w:cs="Arial"/>
                <w:sz w:val="20"/>
                <w:lang w:val="es-ES"/>
              </w:rPr>
              <w:t>Reglamento Operativo</w:t>
            </w:r>
            <w:r>
              <w:rPr>
                <w:rFonts w:ascii="Arial" w:hAnsi="Arial" w:cs="Arial"/>
                <w:sz w:val="20"/>
                <w:lang w:val="es-ES"/>
              </w:rPr>
              <w:t xml:space="preserve"> del Programa (ROP)</w:t>
            </w:r>
            <w:r w:rsidRPr="005949B1">
              <w:rPr>
                <w:rFonts w:ascii="Arial" w:hAnsi="Arial" w:cs="Arial"/>
                <w:bCs/>
                <w:sz w:val="20"/>
                <w:lang w:val="es-ES"/>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75AB75B1"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4DCEF48C"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17887268"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6899C78F" w14:textId="77777777" w:rsidR="00E61175" w:rsidRPr="005949B1" w:rsidRDefault="00E61175" w:rsidP="008F3940">
            <w:pPr>
              <w:spacing w:beforeLines="20" w:before="48" w:afterLines="20" w:after="48"/>
              <w:rPr>
                <w:rFonts w:ascii="Arial" w:hAnsi="Arial" w:cs="Arial"/>
                <w:sz w:val="20"/>
              </w:rPr>
            </w:pPr>
            <w:r>
              <w:rPr>
                <w:rFonts w:ascii="Arial" w:hAnsi="Arial" w:cs="Arial"/>
                <w:sz w:val="20"/>
                <w:lang w:val="es-ES"/>
              </w:rPr>
              <w:t xml:space="preserve">ROP aprobado, </w:t>
            </w:r>
            <w:r>
              <w:rPr>
                <w:rFonts w:ascii="Arial" w:hAnsi="Arial" w:cs="Arial"/>
                <w:sz w:val="20"/>
              </w:rPr>
              <w:t xml:space="preserve">BDE. </w:t>
            </w:r>
          </w:p>
        </w:tc>
        <w:tc>
          <w:tcPr>
            <w:tcW w:w="2710" w:type="dxa"/>
            <w:tcBorders>
              <w:top w:val="single" w:sz="4" w:space="0" w:color="000000"/>
              <w:left w:val="single" w:sz="4" w:space="0" w:color="000000"/>
              <w:bottom w:val="single" w:sz="4" w:space="0" w:color="000000"/>
              <w:right w:val="single" w:sz="4" w:space="0" w:color="000000"/>
            </w:tcBorders>
          </w:tcPr>
          <w:p w14:paraId="6E89B999" w14:textId="77777777" w:rsidR="00E61175" w:rsidRPr="005949B1" w:rsidRDefault="00E61175" w:rsidP="008F3940">
            <w:pPr>
              <w:spacing w:beforeLines="20" w:before="48" w:afterLines="20" w:after="48"/>
              <w:rPr>
                <w:rFonts w:ascii="Arial" w:hAnsi="Arial" w:cs="Arial"/>
                <w:sz w:val="20"/>
              </w:rPr>
            </w:pPr>
            <w:r w:rsidRPr="00DF4C13">
              <w:rPr>
                <w:rFonts w:ascii="Arial" w:hAnsi="Arial" w:cs="Arial"/>
                <w:sz w:val="20"/>
                <w:lang w:val="es-ES"/>
              </w:rPr>
              <w:t xml:space="preserve">Copia del </w:t>
            </w:r>
            <w:r>
              <w:rPr>
                <w:rFonts w:ascii="Arial" w:hAnsi="Arial" w:cs="Arial"/>
                <w:sz w:val="20"/>
                <w:lang w:val="es-ES"/>
              </w:rPr>
              <w:t>ROP</w:t>
            </w:r>
            <w:r w:rsidRPr="00DF4C13">
              <w:rPr>
                <w:rFonts w:ascii="Arial" w:hAnsi="Arial" w:cs="Arial"/>
                <w:sz w:val="20"/>
                <w:lang w:val="es-ES"/>
              </w:rPr>
              <w:t xml:space="preserve"> de Mejora de la Capacidad Fiscal para la inversión Pública (EC-L1230) aprobado por el</w:t>
            </w:r>
            <w:r>
              <w:rPr>
                <w:rFonts w:ascii="Arial" w:hAnsi="Arial" w:cs="Arial"/>
                <w:sz w:val="20"/>
                <w:lang w:val="es-ES"/>
              </w:rPr>
              <w:t xml:space="preserve"> BDE.</w:t>
            </w:r>
          </w:p>
        </w:tc>
      </w:tr>
      <w:tr w:rsidR="00E61175" w:rsidRPr="005949B1" w14:paraId="4560AF93"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4A6832D7" w14:textId="77777777" w:rsidR="00E61175" w:rsidRPr="005949B1" w:rsidRDefault="00E61175" w:rsidP="008F3940">
            <w:pPr>
              <w:pStyle w:val="ListParagraph"/>
              <w:numPr>
                <w:ilvl w:val="0"/>
                <w:numId w:val="24"/>
              </w:numPr>
              <w:shd w:val="clear" w:color="auto" w:fill="FFFFFF" w:themeFill="background1"/>
              <w:spacing w:beforeLines="20" w:before="48" w:afterLines="20" w:after="48"/>
              <w:ind w:hanging="210"/>
              <w:contextualSpacing w:val="0"/>
              <w:rPr>
                <w:rFonts w:ascii="Arial" w:hAnsi="Arial" w:cs="Arial"/>
                <w:b/>
                <w:sz w:val="20"/>
              </w:rPr>
            </w:pPr>
            <w:r w:rsidRPr="005949B1">
              <w:rPr>
                <w:rFonts w:ascii="Arial" w:hAnsi="Arial" w:cs="Arial"/>
                <w:sz w:val="20"/>
              </w:rPr>
              <w:t xml:space="preserve">d. </w:t>
            </w:r>
            <w:r>
              <w:rPr>
                <w:rFonts w:ascii="Arial" w:hAnsi="Arial" w:cs="Arial"/>
                <w:sz w:val="20"/>
              </w:rPr>
              <w:t xml:space="preserve">Informe de </w:t>
            </w:r>
            <w:r w:rsidRPr="005949B1">
              <w:rPr>
                <w:rFonts w:ascii="Arial" w:hAnsi="Arial" w:cs="Arial"/>
                <w:sz w:val="20"/>
              </w:rPr>
              <w:t>P</w:t>
            </w:r>
            <w:r w:rsidRPr="005949B1">
              <w:rPr>
                <w:rFonts w:ascii="Arial" w:hAnsi="Arial" w:cs="Arial"/>
                <w:bCs/>
                <w:sz w:val="20"/>
                <w:lang w:val="es-ES"/>
              </w:rPr>
              <w:t>rimer plan de gestión de impacto ambiental a APP en el proyecto de Puerto Posorja aprobado.</w:t>
            </w:r>
          </w:p>
        </w:tc>
        <w:tc>
          <w:tcPr>
            <w:tcW w:w="1430" w:type="dxa"/>
            <w:tcBorders>
              <w:top w:val="single" w:sz="4" w:space="0" w:color="000000"/>
              <w:left w:val="single" w:sz="4" w:space="0" w:color="000000"/>
              <w:bottom w:val="single" w:sz="4" w:space="0" w:color="000000"/>
              <w:right w:val="single" w:sz="4" w:space="0" w:color="000000"/>
            </w:tcBorders>
          </w:tcPr>
          <w:p w14:paraId="1A733295"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Informe</w:t>
            </w:r>
            <w:r w:rsidRPr="005949B1">
              <w:rPr>
                <w:rFonts w:ascii="Arial" w:hAnsi="Arial" w:cs="Arial"/>
                <w:sz w:val="20"/>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06834C0" w14:textId="77777777" w:rsidR="00E61175" w:rsidRPr="005949B1" w:rsidRDefault="00E61175" w:rsidP="008F3940">
            <w:pPr>
              <w:spacing w:beforeLines="20" w:before="48" w:afterLines="20" w:after="48"/>
              <w:jc w:val="center"/>
              <w:rPr>
                <w:rFonts w:ascii="Arial" w:hAnsi="Arial" w:cs="Arial"/>
                <w:b/>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48BC938C" w14:textId="77777777" w:rsidR="00E61175" w:rsidRPr="005949B1" w:rsidRDefault="00E61175" w:rsidP="008F3940">
            <w:pPr>
              <w:spacing w:beforeLines="20" w:before="48" w:afterLines="20" w:after="48"/>
              <w:jc w:val="center"/>
              <w:rPr>
                <w:rFonts w:ascii="Arial" w:hAnsi="Arial" w:cs="Arial"/>
                <w:b/>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05754DFC" w14:textId="77777777" w:rsidR="00E61175" w:rsidRPr="005949B1" w:rsidRDefault="00E61175" w:rsidP="008F3940">
            <w:pPr>
              <w:spacing w:beforeLines="20" w:before="48" w:afterLines="20" w:after="48"/>
              <w:jc w:val="center"/>
              <w:rPr>
                <w:rFonts w:ascii="Arial" w:hAnsi="Arial" w:cs="Arial"/>
                <w:b/>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003D7426" w14:textId="748D0FC9" w:rsidR="00E61175" w:rsidRPr="005949B1" w:rsidRDefault="00E61175" w:rsidP="008F3940">
            <w:pPr>
              <w:spacing w:beforeLines="20" w:before="48" w:afterLines="20" w:after="48"/>
              <w:rPr>
                <w:rFonts w:ascii="Arial" w:hAnsi="Arial" w:cs="Arial"/>
                <w:b/>
                <w:sz w:val="20"/>
              </w:rPr>
            </w:pPr>
            <w:r w:rsidRPr="00DF4C13">
              <w:rPr>
                <w:rFonts w:ascii="Arial" w:hAnsi="Arial" w:cs="Arial"/>
                <w:bCs/>
                <w:kern w:val="18"/>
                <w:sz w:val="20"/>
                <w:lang w:val="es-ES"/>
              </w:rPr>
              <w:t xml:space="preserve">Copia </w:t>
            </w:r>
            <w:r>
              <w:rPr>
                <w:rFonts w:ascii="Arial" w:hAnsi="Arial" w:cs="Arial"/>
                <w:bCs/>
                <w:kern w:val="18"/>
                <w:sz w:val="20"/>
                <w:lang w:val="es-ES"/>
              </w:rPr>
              <w:t>a</w:t>
            </w:r>
            <w:r w:rsidRPr="00DF4C13">
              <w:rPr>
                <w:rFonts w:ascii="Arial" w:hAnsi="Arial" w:cs="Arial"/>
                <w:bCs/>
                <w:kern w:val="18"/>
                <w:sz w:val="20"/>
                <w:lang w:val="es-ES"/>
              </w:rPr>
              <w:t>probad</w:t>
            </w:r>
            <w:r>
              <w:rPr>
                <w:rFonts w:ascii="Arial" w:hAnsi="Arial" w:cs="Arial"/>
                <w:bCs/>
                <w:kern w:val="18"/>
                <w:sz w:val="20"/>
                <w:lang w:val="es-ES"/>
              </w:rPr>
              <w:t>a,</w:t>
            </w:r>
            <w:r w:rsidR="009027B3">
              <w:rPr>
                <w:rFonts w:ascii="Arial" w:hAnsi="Arial" w:cs="Arial"/>
                <w:bCs/>
                <w:kern w:val="18"/>
                <w:sz w:val="20"/>
                <w:lang w:val="es-ES"/>
              </w:rPr>
              <w:t xml:space="preserve"> </w:t>
            </w:r>
            <w:r w:rsidRPr="00DF4C13">
              <w:rPr>
                <w:rFonts w:ascii="Arial" w:hAnsi="Arial" w:cs="Arial"/>
                <w:bCs/>
                <w:kern w:val="18"/>
                <w:sz w:val="20"/>
                <w:lang w:val="es-ES"/>
              </w:rPr>
              <w:t>BID</w:t>
            </w:r>
            <w:r w:rsidRPr="004508C6">
              <w:rPr>
                <w:rFonts w:ascii="Arial" w:hAnsi="Arial" w:cs="Arial"/>
                <w:bCs/>
                <w:kern w:val="18"/>
                <w:sz w:val="20"/>
                <w:lang w:val="es-ES"/>
              </w:rPr>
              <w:t>.</w:t>
            </w:r>
          </w:p>
        </w:tc>
        <w:tc>
          <w:tcPr>
            <w:tcW w:w="2710" w:type="dxa"/>
            <w:tcBorders>
              <w:top w:val="single" w:sz="4" w:space="0" w:color="000000"/>
              <w:left w:val="single" w:sz="4" w:space="0" w:color="000000"/>
              <w:bottom w:val="single" w:sz="4" w:space="0" w:color="000000"/>
              <w:right w:val="single" w:sz="4" w:space="0" w:color="000000"/>
            </w:tcBorders>
          </w:tcPr>
          <w:p w14:paraId="509D80BD" w14:textId="77777777" w:rsidR="00E61175" w:rsidRPr="005949B1" w:rsidRDefault="00E61175" w:rsidP="008F3940">
            <w:pPr>
              <w:spacing w:beforeLines="20" w:before="48" w:afterLines="20" w:after="48"/>
              <w:rPr>
                <w:rFonts w:ascii="Arial" w:hAnsi="Arial" w:cs="Arial"/>
                <w:b/>
                <w:sz w:val="20"/>
              </w:rPr>
            </w:pPr>
            <w:r>
              <w:rPr>
                <w:rFonts w:ascii="Arial" w:hAnsi="Arial" w:cs="Arial"/>
                <w:bCs/>
                <w:kern w:val="18"/>
                <w:sz w:val="20"/>
                <w:lang w:val="es-ES"/>
              </w:rPr>
              <w:t xml:space="preserve">Se refiere al </w:t>
            </w:r>
            <w:r w:rsidRPr="004508C6">
              <w:rPr>
                <w:rFonts w:ascii="Arial" w:hAnsi="Arial" w:cs="Arial"/>
                <w:bCs/>
                <w:kern w:val="18"/>
                <w:sz w:val="20"/>
                <w:lang w:val="es-ES"/>
              </w:rPr>
              <w:t>Plan Ambiental y Social en el proyecto APP de Puerto Posorja (2018)</w:t>
            </w:r>
            <w:r>
              <w:rPr>
                <w:rFonts w:ascii="Arial" w:hAnsi="Arial" w:cs="Arial"/>
                <w:bCs/>
                <w:kern w:val="18"/>
                <w:sz w:val="20"/>
                <w:lang w:val="es-ES"/>
              </w:rPr>
              <w:t>.</w:t>
            </w:r>
          </w:p>
        </w:tc>
      </w:tr>
      <w:tr w:rsidR="00E61175" w:rsidRPr="005949B1" w14:paraId="0D055A10" w14:textId="77777777" w:rsidTr="008F3940">
        <w:trPr>
          <w:trHeight w:val="20"/>
        </w:trPr>
        <w:tc>
          <w:tcPr>
            <w:tcW w:w="13145" w:type="dxa"/>
            <w:gridSpan w:val="7"/>
            <w:tcBorders>
              <w:top w:val="single" w:sz="4" w:space="0" w:color="000000"/>
              <w:left w:val="single" w:sz="4" w:space="0" w:color="000000"/>
              <w:bottom w:val="single" w:sz="4" w:space="0" w:color="000000"/>
              <w:right w:val="single" w:sz="4" w:space="0" w:color="000000"/>
            </w:tcBorders>
          </w:tcPr>
          <w:p w14:paraId="293C6542" w14:textId="77777777" w:rsidR="00E61175" w:rsidRPr="005949B1" w:rsidRDefault="00E61175" w:rsidP="008F3940">
            <w:pPr>
              <w:spacing w:beforeLines="20" w:before="48" w:afterLines="20" w:after="48"/>
              <w:rPr>
                <w:rFonts w:ascii="Arial" w:hAnsi="Arial" w:cs="Arial"/>
                <w:b/>
                <w:sz w:val="20"/>
              </w:rPr>
            </w:pPr>
            <w:r w:rsidRPr="005949B1">
              <w:rPr>
                <w:rFonts w:ascii="Arial" w:hAnsi="Arial" w:cs="Arial"/>
                <w:sz w:val="20"/>
              </w:rPr>
              <w:t xml:space="preserve">Tramo </w:t>
            </w:r>
            <w:r>
              <w:rPr>
                <w:rFonts w:ascii="Arial" w:hAnsi="Arial" w:cs="Arial"/>
                <w:sz w:val="20"/>
              </w:rPr>
              <w:t>2</w:t>
            </w:r>
            <w:r w:rsidRPr="005949B1">
              <w:rPr>
                <w:rFonts w:ascii="Arial" w:hAnsi="Arial" w:cs="Arial"/>
                <w:sz w:val="20"/>
              </w:rPr>
              <w:t xml:space="preserve">: 3.2 Capacidad fiscal para la </w:t>
            </w:r>
            <w:r>
              <w:rPr>
                <w:rFonts w:ascii="Arial" w:hAnsi="Arial" w:cs="Arial"/>
                <w:sz w:val="20"/>
              </w:rPr>
              <w:t>IP</w:t>
            </w:r>
            <w:r w:rsidRPr="005949B1">
              <w:rPr>
                <w:rFonts w:ascii="Arial" w:hAnsi="Arial" w:cs="Arial"/>
                <w:sz w:val="20"/>
              </w:rPr>
              <w:t xml:space="preserve"> con contribución privada mejorada a través de:</w:t>
            </w:r>
          </w:p>
        </w:tc>
      </w:tr>
      <w:tr w:rsidR="00E61175" w:rsidRPr="005949B1" w14:paraId="21A135FD"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215CDD6C" w14:textId="77777777" w:rsidR="00E61175" w:rsidRPr="005949B1" w:rsidRDefault="00E61175" w:rsidP="008F3940">
            <w:pPr>
              <w:pStyle w:val="ListParagraph"/>
              <w:numPr>
                <w:ilvl w:val="0"/>
                <w:numId w:val="24"/>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t xml:space="preserve">a. </w:t>
            </w:r>
            <w:r w:rsidRPr="005949B1">
              <w:rPr>
                <w:rFonts w:ascii="Arial" w:hAnsi="Arial" w:cs="Arial"/>
                <w:bCs/>
                <w:sz w:val="20"/>
                <w:lang w:val="es-ES"/>
              </w:rPr>
              <w:t xml:space="preserve">Reglamento de la Ley de Incentivos a las APP, incluyendo la reglamentación de: </w:t>
            </w:r>
            <w:r>
              <w:rPr>
                <w:rFonts w:ascii="Arial" w:hAnsi="Arial" w:cs="Arial"/>
                <w:bCs/>
                <w:sz w:val="20"/>
                <w:lang w:val="es-ES"/>
              </w:rPr>
              <w:t>(</w:t>
            </w:r>
            <w:r w:rsidRPr="005949B1">
              <w:rPr>
                <w:rFonts w:ascii="Arial" w:hAnsi="Arial" w:cs="Arial"/>
                <w:bCs/>
                <w:sz w:val="20"/>
                <w:lang w:val="es-ES"/>
              </w:rPr>
              <w:t xml:space="preserve">i) el nuevo marco de coordinación institucional del programa; </w:t>
            </w:r>
            <w:r>
              <w:rPr>
                <w:rFonts w:ascii="Arial" w:hAnsi="Arial" w:cs="Arial"/>
                <w:bCs/>
                <w:sz w:val="20"/>
                <w:lang w:val="es-ES"/>
              </w:rPr>
              <w:t>(</w:t>
            </w:r>
            <w:r w:rsidRPr="005949B1">
              <w:rPr>
                <w:rFonts w:ascii="Arial" w:hAnsi="Arial" w:cs="Arial"/>
                <w:bCs/>
                <w:sz w:val="20"/>
                <w:lang w:val="es-ES"/>
              </w:rPr>
              <w:t>ii) la ejecución de iniciativas de monetización de activos de infraestructura; y</w:t>
            </w:r>
            <w:r>
              <w:rPr>
                <w:rFonts w:ascii="Arial" w:hAnsi="Arial" w:cs="Arial"/>
                <w:bCs/>
                <w:sz w:val="20"/>
                <w:lang w:val="es-ES"/>
              </w:rPr>
              <w:t xml:space="preserve"> (</w:t>
            </w:r>
            <w:r w:rsidRPr="005949B1">
              <w:rPr>
                <w:rFonts w:ascii="Arial" w:hAnsi="Arial" w:cs="Arial"/>
                <w:bCs/>
                <w:sz w:val="20"/>
                <w:lang w:val="es-ES"/>
              </w:rPr>
              <w:t>iii) los procesos de gestión de iniciativas privadas no solicitadas, a</w:t>
            </w:r>
            <w:r w:rsidRPr="005949B1">
              <w:rPr>
                <w:rFonts w:ascii="Arial" w:hAnsi="Arial" w:cs="Arial"/>
                <w:sz w:val="20"/>
              </w:rPr>
              <w:t>probado.</w:t>
            </w:r>
          </w:p>
        </w:tc>
        <w:tc>
          <w:tcPr>
            <w:tcW w:w="1430" w:type="dxa"/>
            <w:tcBorders>
              <w:top w:val="single" w:sz="4" w:space="0" w:color="000000"/>
              <w:left w:val="single" w:sz="4" w:space="0" w:color="000000"/>
              <w:bottom w:val="single" w:sz="4" w:space="0" w:color="000000"/>
              <w:right w:val="single" w:sz="4" w:space="0" w:color="000000"/>
            </w:tcBorders>
          </w:tcPr>
          <w:p w14:paraId="02A74843"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Reglamento </w:t>
            </w:r>
          </w:p>
        </w:tc>
        <w:tc>
          <w:tcPr>
            <w:tcW w:w="990" w:type="dxa"/>
            <w:tcBorders>
              <w:top w:val="single" w:sz="4" w:space="0" w:color="000000"/>
              <w:left w:val="single" w:sz="4" w:space="0" w:color="000000"/>
              <w:bottom w:val="single" w:sz="4" w:space="0" w:color="000000"/>
              <w:right w:val="single" w:sz="4" w:space="0" w:color="000000"/>
            </w:tcBorders>
          </w:tcPr>
          <w:p w14:paraId="668BE584"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1FF0D51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752CBA6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4FF8382B" w14:textId="77777777" w:rsidR="00E61175" w:rsidRPr="005949B1" w:rsidRDefault="00E61175" w:rsidP="008F3940">
            <w:pPr>
              <w:spacing w:beforeLines="20" w:before="48" w:afterLines="20" w:after="48"/>
              <w:rPr>
                <w:rFonts w:ascii="Arial" w:hAnsi="Arial" w:cs="Arial"/>
                <w:sz w:val="20"/>
              </w:rPr>
            </w:pPr>
            <w:r>
              <w:rPr>
                <w:rFonts w:ascii="Arial" w:hAnsi="Arial" w:cs="Arial"/>
                <w:sz w:val="20"/>
                <w:lang w:val="es-ES"/>
              </w:rPr>
              <w:t>Registro</w:t>
            </w:r>
            <w:r w:rsidRPr="002D3D3B">
              <w:rPr>
                <w:rFonts w:ascii="Arial" w:hAnsi="Arial" w:cs="Arial"/>
                <w:sz w:val="20"/>
                <w:lang w:val="es-ES"/>
              </w:rPr>
              <w:t xml:space="preserve"> Oficial </w:t>
            </w:r>
            <w:r>
              <w:rPr>
                <w:rFonts w:ascii="Arial" w:hAnsi="Arial" w:cs="Arial"/>
                <w:sz w:val="20"/>
                <w:lang w:val="es-ES"/>
              </w:rPr>
              <w:t>PRE.</w:t>
            </w:r>
          </w:p>
        </w:tc>
        <w:tc>
          <w:tcPr>
            <w:tcW w:w="2710" w:type="dxa"/>
            <w:tcBorders>
              <w:top w:val="single" w:sz="4" w:space="0" w:color="000000"/>
              <w:left w:val="single" w:sz="4" w:space="0" w:color="000000"/>
              <w:bottom w:val="single" w:sz="4" w:space="0" w:color="000000"/>
              <w:right w:val="single" w:sz="4" w:space="0" w:color="000000"/>
            </w:tcBorders>
          </w:tcPr>
          <w:p w14:paraId="008FA45D" w14:textId="77777777" w:rsidR="00E61175" w:rsidRPr="005949B1" w:rsidRDefault="00E61175" w:rsidP="008F3940">
            <w:pPr>
              <w:spacing w:beforeLines="20" w:before="48" w:afterLines="20" w:after="48"/>
              <w:rPr>
                <w:rFonts w:ascii="Arial" w:hAnsi="Arial" w:cs="Arial"/>
                <w:sz w:val="20"/>
              </w:rPr>
            </w:pPr>
          </w:p>
        </w:tc>
      </w:tr>
      <w:tr w:rsidR="00E61175" w:rsidRPr="005949B1" w14:paraId="77C14A3B"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40A0F936" w14:textId="77777777" w:rsidR="00E61175" w:rsidRPr="005949B1" w:rsidRDefault="00E61175" w:rsidP="008F3940">
            <w:pPr>
              <w:pStyle w:val="ListParagraph"/>
              <w:numPr>
                <w:ilvl w:val="0"/>
                <w:numId w:val="24"/>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t xml:space="preserve">b. </w:t>
            </w:r>
            <w:r>
              <w:rPr>
                <w:rFonts w:ascii="Arial" w:hAnsi="Arial" w:cs="Arial"/>
                <w:sz w:val="20"/>
              </w:rPr>
              <w:t xml:space="preserve">Informe de </w:t>
            </w:r>
            <w:r w:rsidRPr="005E5746">
              <w:rPr>
                <w:rFonts w:ascii="Arial" w:hAnsi="Arial" w:cs="Arial"/>
                <w:sz w:val="20"/>
              </w:rPr>
              <w:t>Propuesta de creación del Fondo de Garantías para APP subnacionales remitido al MEF.</w:t>
            </w:r>
          </w:p>
        </w:tc>
        <w:tc>
          <w:tcPr>
            <w:tcW w:w="1430" w:type="dxa"/>
            <w:tcBorders>
              <w:top w:val="single" w:sz="4" w:space="0" w:color="000000"/>
              <w:left w:val="single" w:sz="4" w:space="0" w:color="000000"/>
              <w:bottom w:val="single" w:sz="4" w:space="0" w:color="000000"/>
              <w:right w:val="single" w:sz="4" w:space="0" w:color="000000"/>
            </w:tcBorders>
          </w:tcPr>
          <w:p w14:paraId="7A856AD6"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 xml:space="preserve">Informe </w:t>
            </w:r>
          </w:p>
        </w:tc>
        <w:tc>
          <w:tcPr>
            <w:tcW w:w="990" w:type="dxa"/>
            <w:tcBorders>
              <w:top w:val="single" w:sz="4" w:space="0" w:color="000000"/>
              <w:left w:val="single" w:sz="4" w:space="0" w:color="000000"/>
              <w:bottom w:val="single" w:sz="4" w:space="0" w:color="000000"/>
              <w:right w:val="single" w:sz="4" w:space="0" w:color="000000"/>
            </w:tcBorders>
          </w:tcPr>
          <w:p w14:paraId="6B609092"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7297228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2B15829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7340C9ED" w14:textId="77777777" w:rsidR="00E61175" w:rsidRPr="005949B1" w:rsidRDefault="00E61175" w:rsidP="008F3940">
            <w:pPr>
              <w:spacing w:beforeLines="20" w:before="48" w:afterLines="20" w:after="48"/>
              <w:rPr>
                <w:rFonts w:ascii="Arial" w:hAnsi="Arial" w:cs="Arial"/>
                <w:sz w:val="20"/>
              </w:rPr>
            </w:pPr>
            <w:r>
              <w:rPr>
                <w:rFonts w:ascii="Arial" w:hAnsi="Arial" w:cs="Arial"/>
                <w:bCs/>
                <w:kern w:val="18"/>
                <w:sz w:val="20"/>
                <w:lang w:val="es-ES"/>
              </w:rPr>
              <w:t>Certificado de recepción</w:t>
            </w:r>
            <w:r>
              <w:rPr>
                <w:rFonts w:ascii="Arial" w:hAnsi="Arial" w:cs="Arial"/>
                <w:sz w:val="20"/>
              </w:rPr>
              <w:t>, BDE.</w:t>
            </w:r>
          </w:p>
        </w:tc>
        <w:tc>
          <w:tcPr>
            <w:tcW w:w="2710" w:type="dxa"/>
            <w:tcBorders>
              <w:top w:val="single" w:sz="4" w:space="0" w:color="000000"/>
              <w:left w:val="single" w:sz="4" w:space="0" w:color="000000"/>
              <w:bottom w:val="single" w:sz="4" w:space="0" w:color="000000"/>
              <w:right w:val="single" w:sz="4" w:space="0" w:color="000000"/>
            </w:tcBorders>
          </w:tcPr>
          <w:p w14:paraId="178F83D5" w14:textId="77777777" w:rsidR="00E61175" w:rsidRPr="005949B1" w:rsidRDefault="00E61175" w:rsidP="008F3940">
            <w:pPr>
              <w:spacing w:beforeLines="20" w:before="48" w:afterLines="20" w:after="48"/>
              <w:rPr>
                <w:rFonts w:ascii="Arial" w:hAnsi="Arial" w:cs="Arial"/>
                <w:sz w:val="20"/>
              </w:rPr>
            </w:pPr>
          </w:p>
        </w:tc>
      </w:tr>
      <w:tr w:rsidR="00E61175" w:rsidRPr="005949B1" w14:paraId="5AFF1479"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4D49C10E" w14:textId="77777777" w:rsidR="00E61175" w:rsidRPr="005949B1" w:rsidRDefault="00E61175" w:rsidP="008F3940">
            <w:pPr>
              <w:pStyle w:val="ListParagraph"/>
              <w:numPr>
                <w:ilvl w:val="0"/>
                <w:numId w:val="24"/>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lastRenderedPageBreak/>
              <w:t xml:space="preserve">c. </w:t>
            </w:r>
            <w:r w:rsidRPr="005E5746">
              <w:rPr>
                <w:rFonts w:ascii="Arial" w:hAnsi="Arial" w:cs="Arial"/>
                <w:sz w:val="20"/>
              </w:rPr>
              <w:t>Unidad APP del BDE en funcionamiento y tramitando solicitudes de estructuración de proyectos APP.</w:t>
            </w:r>
          </w:p>
        </w:tc>
        <w:tc>
          <w:tcPr>
            <w:tcW w:w="1430" w:type="dxa"/>
            <w:tcBorders>
              <w:top w:val="single" w:sz="4" w:space="0" w:color="000000"/>
              <w:left w:val="single" w:sz="4" w:space="0" w:color="000000"/>
              <w:bottom w:val="single" w:sz="4" w:space="0" w:color="000000"/>
              <w:right w:val="single" w:sz="4" w:space="0" w:color="000000"/>
            </w:tcBorders>
          </w:tcPr>
          <w:p w14:paraId="2180073C"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bCs/>
                <w:kern w:val="18"/>
                <w:sz w:val="20"/>
                <w:lang w:val="es-ES"/>
              </w:rPr>
              <w:t xml:space="preserve">Informe </w:t>
            </w:r>
          </w:p>
        </w:tc>
        <w:tc>
          <w:tcPr>
            <w:tcW w:w="990" w:type="dxa"/>
            <w:tcBorders>
              <w:top w:val="single" w:sz="4" w:space="0" w:color="000000"/>
              <w:left w:val="single" w:sz="4" w:space="0" w:color="000000"/>
              <w:bottom w:val="single" w:sz="4" w:space="0" w:color="000000"/>
              <w:right w:val="single" w:sz="4" w:space="0" w:color="000000"/>
            </w:tcBorders>
          </w:tcPr>
          <w:p w14:paraId="47A257C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3A0E0BA4"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47E15BB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2B881362" w14:textId="77777777" w:rsidR="00E61175" w:rsidRPr="005949B1" w:rsidRDefault="00E61175" w:rsidP="008F3940">
            <w:pPr>
              <w:spacing w:beforeLines="20" w:before="48" w:afterLines="20" w:after="48"/>
              <w:rPr>
                <w:rFonts w:ascii="Arial" w:hAnsi="Arial" w:cs="Arial"/>
                <w:sz w:val="20"/>
              </w:rPr>
            </w:pPr>
            <w:r>
              <w:rPr>
                <w:rFonts w:ascii="Arial" w:hAnsi="Arial" w:cs="Arial"/>
                <w:sz w:val="20"/>
              </w:rPr>
              <w:t>Recepción de Informe, MEF</w:t>
            </w:r>
            <w:r>
              <w:rPr>
                <w:rFonts w:ascii="Arial" w:hAnsi="Arial" w:cs="Arial"/>
                <w:bCs/>
                <w:kern w:val="18"/>
                <w:sz w:val="20"/>
                <w:lang w:val="es-ES"/>
              </w:rPr>
              <w:t xml:space="preserve">. </w:t>
            </w:r>
          </w:p>
        </w:tc>
        <w:tc>
          <w:tcPr>
            <w:tcW w:w="2710" w:type="dxa"/>
            <w:tcBorders>
              <w:top w:val="single" w:sz="4" w:space="0" w:color="000000"/>
              <w:left w:val="single" w:sz="4" w:space="0" w:color="000000"/>
              <w:bottom w:val="single" w:sz="4" w:space="0" w:color="000000"/>
              <w:right w:val="single" w:sz="4" w:space="0" w:color="000000"/>
            </w:tcBorders>
          </w:tcPr>
          <w:p w14:paraId="1E5C6E45" w14:textId="77777777" w:rsidR="00E61175" w:rsidRPr="005949B1" w:rsidRDefault="00E61175" w:rsidP="008F3940">
            <w:pPr>
              <w:spacing w:beforeLines="20" w:before="48" w:afterLines="20" w:after="48"/>
              <w:rPr>
                <w:rFonts w:ascii="Arial" w:hAnsi="Arial" w:cs="Arial"/>
                <w:sz w:val="20"/>
              </w:rPr>
            </w:pPr>
            <w:r>
              <w:rPr>
                <w:rFonts w:ascii="Arial" w:hAnsi="Arial" w:cs="Arial"/>
                <w:sz w:val="20"/>
              </w:rPr>
              <w:t xml:space="preserve">El funcionamiento de la unidad se verificará por el envío al MEF del </w:t>
            </w:r>
            <w:r w:rsidRPr="00791FBF">
              <w:rPr>
                <w:rFonts w:ascii="Arial" w:hAnsi="Arial" w:cs="Arial"/>
                <w:sz w:val="20"/>
              </w:rPr>
              <w:t>Informe anual elaborado por el BDE.</w:t>
            </w:r>
          </w:p>
        </w:tc>
      </w:tr>
      <w:tr w:rsidR="00E61175" w:rsidRPr="005949B1" w14:paraId="26B92A11"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06C143C5" w14:textId="77777777" w:rsidR="00E61175" w:rsidRPr="005949B1" w:rsidRDefault="00E61175" w:rsidP="008F3940">
            <w:pPr>
              <w:pStyle w:val="ListParagraph"/>
              <w:numPr>
                <w:ilvl w:val="0"/>
                <w:numId w:val="24"/>
              </w:numPr>
              <w:shd w:val="clear" w:color="auto" w:fill="FFFFFF" w:themeFill="background1"/>
              <w:spacing w:beforeLines="20" w:before="48" w:afterLines="20" w:after="48"/>
              <w:ind w:hanging="210"/>
              <w:contextualSpacing w:val="0"/>
              <w:rPr>
                <w:rFonts w:ascii="Arial" w:hAnsi="Arial" w:cs="Arial"/>
                <w:sz w:val="20"/>
              </w:rPr>
            </w:pPr>
            <w:r w:rsidRPr="005949B1">
              <w:rPr>
                <w:rFonts w:ascii="Arial" w:hAnsi="Arial" w:cs="Arial"/>
                <w:sz w:val="20"/>
              </w:rPr>
              <w:t>d.</w:t>
            </w:r>
            <w:r w:rsidRPr="005949B1">
              <w:rPr>
                <w:rFonts w:ascii="Arial" w:hAnsi="Arial" w:cs="Arial"/>
                <w:sz w:val="20"/>
              </w:rPr>
              <w:tab/>
              <w:t>Informes trimestrales de implementación del Plan de Gestión Medioambiental del Proyecto Posorja finalizados.</w:t>
            </w:r>
          </w:p>
        </w:tc>
        <w:tc>
          <w:tcPr>
            <w:tcW w:w="1430" w:type="dxa"/>
            <w:tcBorders>
              <w:top w:val="single" w:sz="4" w:space="0" w:color="000000"/>
              <w:left w:val="single" w:sz="4" w:space="0" w:color="000000"/>
              <w:bottom w:val="single" w:sz="4" w:space="0" w:color="000000"/>
              <w:right w:val="single" w:sz="4" w:space="0" w:color="000000"/>
            </w:tcBorders>
          </w:tcPr>
          <w:p w14:paraId="3F519FE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Informes </w:t>
            </w:r>
          </w:p>
        </w:tc>
        <w:tc>
          <w:tcPr>
            <w:tcW w:w="990" w:type="dxa"/>
            <w:tcBorders>
              <w:top w:val="single" w:sz="4" w:space="0" w:color="000000"/>
              <w:left w:val="single" w:sz="4" w:space="0" w:color="000000"/>
              <w:bottom w:val="single" w:sz="4" w:space="0" w:color="000000"/>
              <w:right w:val="single" w:sz="4" w:space="0" w:color="000000"/>
            </w:tcBorders>
          </w:tcPr>
          <w:p w14:paraId="39712C4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45BB755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43910EC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4</w:t>
            </w:r>
          </w:p>
        </w:tc>
        <w:tc>
          <w:tcPr>
            <w:tcW w:w="2070" w:type="dxa"/>
            <w:tcBorders>
              <w:top w:val="single" w:sz="4" w:space="0" w:color="000000"/>
              <w:left w:val="single" w:sz="4" w:space="0" w:color="000000"/>
              <w:bottom w:val="single" w:sz="4" w:space="0" w:color="000000"/>
              <w:right w:val="single" w:sz="4" w:space="0" w:color="000000"/>
            </w:tcBorders>
          </w:tcPr>
          <w:p w14:paraId="2EF1AEE8" w14:textId="77777777" w:rsidR="00E61175" w:rsidRPr="005949B1" w:rsidRDefault="00E61175" w:rsidP="008F3940">
            <w:pPr>
              <w:spacing w:beforeLines="20" w:before="48" w:afterLines="20" w:after="48"/>
              <w:rPr>
                <w:rFonts w:ascii="Arial" w:hAnsi="Arial" w:cs="Arial"/>
                <w:sz w:val="20"/>
              </w:rPr>
            </w:pPr>
            <w:r w:rsidRPr="00690C77">
              <w:rPr>
                <w:rFonts w:ascii="Arial" w:eastAsia="Arial" w:hAnsi="Arial" w:cs="Arial"/>
                <w:sz w:val="20"/>
                <w:lang w:val="es-ES"/>
              </w:rPr>
              <w:t>Certificados de cumplimiento</w:t>
            </w:r>
            <w:r>
              <w:rPr>
                <w:rFonts w:ascii="Arial" w:eastAsia="Arial" w:hAnsi="Arial" w:cs="Arial"/>
                <w:sz w:val="20"/>
                <w:lang w:val="es-ES"/>
              </w:rPr>
              <w:t xml:space="preserve">, </w:t>
            </w:r>
            <w:r>
              <w:rPr>
                <w:rFonts w:ascii="Arial" w:hAnsi="Arial" w:cs="Arial"/>
                <w:sz w:val="20"/>
              </w:rPr>
              <w:t>consultor. medioambiental independiente.</w:t>
            </w:r>
          </w:p>
        </w:tc>
        <w:tc>
          <w:tcPr>
            <w:tcW w:w="2710" w:type="dxa"/>
            <w:tcBorders>
              <w:top w:val="single" w:sz="4" w:space="0" w:color="000000"/>
              <w:left w:val="single" w:sz="4" w:space="0" w:color="000000"/>
              <w:bottom w:val="single" w:sz="4" w:space="0" w:color="000000"/>
              <w:right w:val="single" w:sz="4" w:space="0" w:color="000000"/>
            </w:tcBorders>
          </w:tcPr>
          <w:p w14:paraId="08CFCB5B" w14:textId="77777777" w:rsidR="00E61175" w:rsidRPr="005949B1" w:rsidRDefault="00E61175" w:rsidP="008F3940">
            <w:pPr>
              <w:spacing w:beforeLines="20" w:before="48" w:afterLines="20" w:after="48"/>
              <w:rPr>
                <w:rFonts w:ascii="Arial" w:hAnsi="Arial" w:cs="Arial"/>
                <w:sz w:val="20"/>
              </w:rPr>
            </w:pPr>
          </w:p>
        </w:tc>
      </w:tr>
      <w:tr w:rsidR="00E61175" w:rsidRPr="005E5746" w14:paraId="27A0F07C" w14:textId="77777777" w:rsidTr="008F3940">
        <w:trPr>
          <w:trHeight w:val="20"/>
        </w:trPr>
        <w:tc>
          <w:tcPr>
            <w:tcW w:w="13145" w:type="dxa"/>
            <w:gridSpan w:val="7"/>
            <w:tcBorders>
              <w:top w:val="single" w:sz="4" w:space="0" w:color="000000"/>
              <w:left w:val="single" w:sz="4" w:space="0" w:color="000000"/>
              <w:bottom w:val="single" w:sz="4" w:space="0" w:color="000000"/>
              <w:right w:val="single" w:sz="4" w:space="0" w:color="000000"/>
            </w:tcBorders>
          </w:tcPr>
          <w:p w14:paraId="288F9702" w14:textId="77777777" w:rsidR="00E61175" w:rsidRPr="005E5746" w:rsidRDefault="00E61175" w:rsidP="008F3940">
            <w:pPr>
              <w:spacing w:beforeLines="20" w:before="48" w:afterLines="20" w:after="48"/>
              <w:rPr>
                <w:rFonts w:ascii="Arial" w:hAnsi="Arial" w:cs="Arial"/>
                <w:sz w:val="20"/>
              </w:rPr>
            </w:pPr>
            <w:r w:rsidRPr="005949B1">
              <w:rPr>
                <w:rFonts w:ascii="Arial" w:hAnsi="Arial" w:cs="Arial"/>
                <w:sz w:val="20"/>
              </w:rPr>
              <w:t xml:space="preserve">Tramo 1: 3.3 </w:t>
            </w:r>
            <w:r>
              <w:rPr>
                <w:rFonts w:ascii="Arial" w:hAnsi="Arial" w:cs="Arial"/>
                <w:sz w:val="20"/>
              </w:rPr>
              <w:t>F</w:t>
            </w:r>
            <w:r w:rsidRPr="005949B1">
              <w:rPr>
                <w:rFonts w:ascii="Arial" w:hAnsi="Arial" w:cs="Arial"/>
                <w:sz w:val="20"/>
              </w:rPr>
              <w:t>ortalecimiento de la g</w:t>
            </w:r>
            <w:r w:rsidRPr="005949B1">
              <w:rPr>
                <w:rFonts w:ascii="Arial" w:hAnsi="Arial" w:cs="Arial"/>
                <w:bCs/>
                <w:sz w:val="20"/>
              </w:rPr>
              <w:t xml:space="preserve">estión y control del Estado sobre las </w:t>
            </w:r>
            <w:r>
              <w:rPr>
                <w:rFonts w:ascii="Arial" w:hAnsi="Arial" w:cs="Arial"/>
                <w:bCs/>
                <w:sz w:val="20"/>
              </w:rPr>
              <w:t>EEPP</w:t>
            </w:r>
            <w:r w:rsidRPr="005949B1">
              <w:rPr>
                <w:rFonts w:ascii="Arial" w:hAnsi="Arial" w:cs="Arial"/>
                <w:bCs/>
                <w:sz w:val="20"/>
              </w:rPr>
              <w:t xml:space="preserve"> de la función ejecutiva a través de mejoras al marco institucional, operativo y fiscal</w:t>
            </w:r>
            <w:r w:rsidRPr="005949B1">
              <w:rPr>
                <w:rFonts w:ascii="Arial" w:hAnsi="Arial" w:cs="Arial"/>
                <w:sz w:val="20"/>
              </w:rPr>
              <w:t xml:space="preserve"> enviada a la AN, que incluya:</w:t>
            </w:r>
          </w:p>
        </w:tc>
      </w:tr>
      <w:tr w:rsidR="00E61175" w:rsidRPr="00B85E04" w14:paraId="6E019208"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643686D5" w14:textId="77777777" w:rsidR="00E61175" w:rsidRDefault="00E61175" w:rsidP="008F3940">
            <w:pPr>
              <w:spacing w:beforeLines="20" w:before="48" w:afterLines="20" w:after="48"/>
              <w:rPr>
                <w:rFonts w:ascii="Arial" w:hAnsi="Arial" w:cs="Arial"/>
                <w:sz w:val="20"/>
              </w:rPr>
            </w:pPr>
            <w:r w:rsidRPr="005949B1">
              <w:rPr>
                <w:rFonts w:ascii="Arial" w:hAnsi="Arial" w:cs="Arial"/>
                <w:sz w:val="20"/>
              </w:rPr>
              <w:t xml:space="preserve">Reforma de </w:t>
            </w:r>
            <w:r w:rsidRPr="00FC4B3D">
              <w:rPr>
                <w:rFonts w:ascii="Arial" w:hAnsi="Arial" w:cs="Arial"/>
                <w:sz w:val="20"/>
              </w:rPr>
              <w:t xml:space="preserve">Ley Orgánica Empresas Públicas </w:t>
            </w:r>
            <w:r>
              <w:rPr>
                <w:rFonts w:ascii="Arial" w:hAnsi="Arial" w:cs="Arial"/>
                <w:sz w:val="20"/>
              </w:rPr>
              <w:t>(</w:t>
            </w:r>
            <w:r w:rsidRPr="005949B1">
              <w:rPr>
                <w:rFonts w:ascii="Arial" w:hAnsi="Arial" w:cs="Arial"/>
                <w:sz w:val="20"/>
              </w:rPr>
              <w:t>LOEP</w:t>
            </w:r>
            <w:r>
              <w:rPr>
                <w:rFonts w:ascii="Arial" w:hAnsi="Arial" w:cs="Arial"/>
                <w:sz w:val="20"/>
              </w:rPr>
              <w:t xml:space="preserve">) </w:t>
            </w:r>
            <w:r w:rsidRPr="005949B1">
              <w:rPr>
                <w:rFonts w:ascii="Arial" w:hAnsi="Arial" w:cs="Arial"/>
                <w:sz w:val="20"/>
              </w:rPr>
              <w:t>para el fortalecimiento de la g</w:t>
            </w:r>
            <w:r w:rsidRPr="005949B1">
              <w:rPr>
                <w:rFonts w:ascii="Arial" w:hAnsi="Arial" w:cs="Arial"/>
                <w:bCs/>
                <w:sz w:val="20"/>
              </w:rPr>
              <w:t xml:space="preserve">estión y control del Estado sobre las </w:t>
            </w:r>
            <w:r>
              <w:rPr>
                <w:rFonts w:ascii="Arial" w:hAnsi="Arial" w:cs="Arial"/>
                <w:bCs/>
                <w:sz w:val="20"/>
              </w:rPr>
              <w:t>EEPP</w:t>
            </w:r>
            <w:r w:rsidRPr="005949B1">
              <w:rPr>
                <w:rFonts w:ascii="Arial" w:hAnsi="Arial" w:cs="Arial"/>
                <w:bCs/>
                <w:sz w:val="20"/>
              </w:rPr>
              <w:t xml:space="preserve"> de la función ejecutiva a través de mejoras al marco institucional, operativo y fiscal</w:t>
            </w:r>
            <w:r w:rsidRPr="005949B1">
              <w:rPr>
                <w:rFonts w:ascii="Arial" w:hAnsi="Arial" w:cs="Arial"/>
                <w:sz w:val="20"/>
              </w:rPr>
              <w:t xml:space="preserve"> enviada a la AN</w:t>
            </w:r>
            <w:r>
              <w:rPr>
                <w:rFonts w:ascii="Arial" w:hAnsi="Arial" w:cs="Arial"/>
                <w:sz w:val="20"/>
              </w:rPr>
              <w:t>.</w:t>
            </w:r>
          </w:p>
          <w:p w14:paraId="1ADF85A7" w14:textId="77777777" w:rsidR="00E61175" w:rsidRPr="005949B1" w:rsidRDefault="00E61175" w:rsidP="008F3940">
            <w:pPr>
              <w:spacing w:beforeLines="20" w:before="48" w:afterLines="20" w:after="48"/>
              <w:rPr>
                <w:rFonts w:ascii="Arial" w:hAnsi="Arial" w:cs="Arial"/>
                <w:sz w:val="20"/>
              </w:rPr>
            </w:pPr>
          </w:p>
        </w:tc>
        <w:tc>
          <w:tcPr>
            <w:tcW w:w="1430" w:type="dxa"/>
            <w:tcBorders>
              <w:top w:val="single" w:sz="4" w:space="0" w:color="000000"/>
              <w:left w:val="single" w:sz="4" w:space="0" w:color="000000"/>
              <w:bottom w:val="single" w:sz="4" w:space="0" w:color="000000"/>
              <w:right w:val="single" w:sz="4" w:space="0" w:color="000000"/>
            </w:tcBorders>
          </w:tcPr>
          <w:p w14:paraId="0C171D34"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Ley </w:t>
            </w:r>
          </w:p>
        </w:tc>
        <w:tc>
          <w:tcPr>
            <w:tcW w:w="990" w:type="dxa"/>
            <w:tcBorders>
              <w:top w:val="single" w:sz="4" w:space="0" w:color="000000"/>
              <w:left w:val="single" w:sz="4" w:space="0" w:color="000000"/>
              <w:bottom w:val="single" w:sz="4" w:space="0" w:color="000000"/>
              <w:right w:val="single" w:sz="4" w:space="0" w:color="000000"/>
            </w:tcBorders>
          </w:tcPr>
          <w:p w14:paraId="6DC81CF1"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310B4D93"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19ABDC58"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7130CA92" w14:textId="77777777" w:rsidR="00E61175" w:rsidRPr="005949B1" w:rsidRDefault="00E61175" w:rsidP="008F3940">
            <w:pPr>
              <w:spacing w:beforeLines="20" w:before="48" w:afterLines="20" w:after="48"/>
              <w:rPr>
                <w:rFonts w:ascii="Arial" w:hAnsi="Arial" w:cs="Arial"/>
                <w:sz w:val="20"/>
              </w:rPr>
            </w:pPr>
            <w:r w:rsidRPr="00DF4C13">
              <w:rPr>
                <w:rFonts w:ascii="Arial" w:eastAsia="Arial" w:hAnsi="Arial" w:cs="Arial"/>
                <w:sz w:val="20"/>
                <w:lang w:val="es-ES"/>
              </w:rPr>
              <w:t>Fe de presentación de la Propuesta de Ley</w:t>
            </w:r>
            <w:r>
              <w:rPr>
                <w:rFonts w:ascii="Arial" w:eastAsia="Arial" w:hAnsi="Arial" w:cs="Arial"/>
                <w:sz w:val="20"/>
                <w:lang w:val="es-ES"/>
              </w:rPr>
              <w:t xml:space="preserve"> </w:t>
            </w:r>
            <w:r w:rsidRPr="00690C77">
              <w:rPr>
                <w:rFonts w:ascii="Arial" w:eastAsia="Arial" w:hAnsi="Arial" w:cs="Arial"/>
                <w:sz w:val="20"/>
                <w:lang w:val="es-ES"/>
              </w:rPr>
              <w:t>a la AN</w:t>
            </w:r>
            <w:r>
              <w:rPr>
                <w:rFonts w:ascii="Arial" w:eastAsia="Arial" w:hAnsi="Arial" w:cs="Arial"/>
                <w:sz w:val="20"/>
                <w:lang w:val="es-ES"/>
              </w:rPr>
              <w:t>, PRE.</w:t>
            </w:r>
            <w:r w:rsidRPr="00690C77">
              <w:rPr>
                <w:rFonts w:ascii="Arial" w:eastAsia="Arial" w:hAnsi="Arial" w:cs="Arial"/>
                <w:sz w:val="20"/>
                <w:lang w:val="es-ES"/>
              </w:rPr>
              <w:t xml:space="preserve"> </w:t>
            </w:r>
          </w:p>
        </w:tc>
        <w:tc>
          <w:tcPr>
            <w:tcW w:w="2710" w:type="dxa"/>
            <w:tcBorders>
              <w:top w:val="single" w:sz="4" w:space="0" w:color="000000"/>
              <w:left w:val="single" w:sz="4" w:space="0" w:color="000000"/>
              <w:bottom w:val="single" w:sz="4" w:space="0" w:color="000000"/>
              <w:right w:val="single" w:sz="4" w:space="0" w:color="000000"/>
            </w:tcBorders>
          </w:tcPr>
          <w:p w14:paraId="77D8427D" w14:textId="77777777" w:rsidR="00E61175" w:rsidRDefault="00E61175" w:rsidP="008F3940">
            <w:pPr>
              <w:spacing w:beforeLines="20" w:before="48" w:afterLines="20" w:after="48"/>
              <w:rPr>
                <w:rFonts w:ascii="Arial" w:hAnsi="Arial" w:cs="Arial"/>
                <w:sz w:val="20"/>
              </w:rPr>
            </w:pPr>
            <w:r>
              <w:rPr>
                <w:rFonts w:ascii="Arial" w:hAnsi="Arial" w:cs="Arial"/>
                <w:sz w:val="20"/>
              </w:rPr>
              <w:t>Las reformas incluyen:</w:t>
            </w:r>
          </w:p>
          <w:p w14:paraId="3E7BB490" w14:textId="77777777" w:rsidR="00E61175" w:rsidRPr="005949B1" w:rsidRDefault="00E61175" w:rsidP="00E61175">
            <w:pPr>
              <w:numPr>
                <w:ilvl w:val="0"/>
                <w:numId w:val="30"/>
              </w:numPr>
              <w:spacing w:beforeLines="20" w:before="48" w:afterLines="20" w:after="48"/>
              <w:rPr>
                <w:rFonts w:ascii="Arial" w:hAnsi="Arial" w:cs="Arial"/>
                <w:sz w:val="20"/>
              </w:rPr>
            </w:pPr>
            <w:r w:rsidRPr="005949B1">
              <w:rPr>
                <w:rFonts w:ascii="Arial" w:hAnsi="Arial" w:cs="Arial"/>
                <w:sz w:val="20"/>
              </w:rPr>
              <w:t>Reforma del rol de la EMCO para que sea una institución que vele por el rol propietario del estado y las buenas prácticas de gobierno corporativo;</w:t>
            </w:r>
          </w:p>
          <w:p w14:paraId="2ACADB98" w14:textId="77777777" w:rsidR="00E61175" w:rsidRPr="005949B1" w:rsidRDefault="00E61175" w:rsidP="00E61175">
            <w:pPr>
              <w:numPr>
                <w:ilvl w:val="0"/>
                <w:numId w:val="30"/>
              </w:numPr>
              <w:spacing w:beforeLines="20" w:before="48" w:afterLines="20" w:after="48"/>
              <w:rPr>
                <w:rFonts w:ascii="Arial" w:hAnsi="Arial" w:cs="Arial"/>
                <w:sz w:val="20"/>
              </w:rPr>
            </w:pPr>
            <w:r w:rsidRPr="005949B1">
              <w:rPr>
                <w:rFonts w:ascii="Arial" w:hAnsi="Arial" w:cs="Arial"/>
                <w:sz w:val="20"/>
              </w:rPr>
              <w:t xml:space="preserve">Reformas a la composición y métodos de selección de los Directorios de las </w:t>
            </w:r>
            <w:r>
              <w:rPr>
                <w:rFonts w:ascii="Arial" w:hAnsi="Arial" w:cs="Arial"/>
                <w:sz w:val="20"/>
              </w:rPr>
              <w:t>EEPP</w:t>
            </w:r>
            <w:r w:rsidRPr="005949B1">
              <w:rPr>
                <w:rFonts w:ascii="Arial" w:hAnsi="Arial" w:cs="Arial"/>
                <w:sz w:val="20"/>
              </w:rPr>
              <w:t xml:space="preserve">, incrementando los requerimientos profesionales de selección de directores y eliminando la asignación de </w:t>
            </w:r>
            <w:r w:rsidRPr="005949B1">
              <w:rPr>
                <w:rFonts w:ascii="Arial" w:hAnsi="Arial" w:cs="Arial"/>
                <w:sz w:val="20"/>
              </w:rPr>
              <w:lastRenderedPageBreak/>
              <w:t>ministros del ramo como Presidentes de los directorios;</w:t>
            </w:r>
          </w:p>
          <w:p w14:paraId="4357238B" w14:textId="77777777" w:rsidR="00E61175" w:rsidRPr="005949B1" w:rsidRDefault="00E61175" w:rsidP="00E61175">
            <w:pPr>
              <w:numPr>
                <w:ilvl w:val="0"/>
                <w:numId w:val="30"/>
              </w:numPr>
              <w:spacing w:beforeLines="20" w:before="48" w:afterLines="20" w:after="48"/>
              <w:rPr>
                <w:rFonts w:ascii="Arial" w:hAnsi="Arial" w:cs="Arial"/>
                <w:sz w:val="20"/>
              </w:rPr>
            </w:pPr>
            <w:r w:rsidRPr="005949B1">
              <w:rPr>
                <w:rFonts w:ascii="Arial" w:hAnsi="Arial" w:cs="Arial"/>
                <w:sz w:val="20"/>
              </w:rPr>
              <w:t xml:space="preserve">Reforma del proceso de licitación y ejecución de las auditorías externas de las </w:t>
            </w:r>
            <w:r>
              <w:rPr>
                <w:rFonts w:ascii="Arial" w:hAnsi="Arial" w:cs="Arial"/>
                <w:sz w:val="20"/>
              </w:rPr>
              <w:t>EEPP</w:t>
            </w:r>
            <w:r w:rsidRPr="005949B1">
              <w:rPr>
                <w:rFonts w:ascii="Arial" w:hAnsi="Arial" w:cs="Arial"/>
                <w:sz w:val="20"/>
              </w:rPr>
              <w:t>, asignando dicha autoridad a las mismas;</w:t>
            </w:r>
          </w:p>
          <w:p w14:paraId="00FB76B9" w14:textId="77777777" w:rsidR="00E61175" w:rsidRDefault="00E61175" w:rsidP="00E61175">
            <w:pPr>
              <w:numPr>
                <w:ilvl w:val="0"/>
                <w:numId w:val="30"/>
              </w:numPr>
              <w:spacing w:beforeLines="20" w:before="48" w:afterLines="20" w:after="48"/>
              <w:rPr>
                <w:rFonts w:ascii="Arial" w:hAnsi="Arial" w:cs="Arial"/>
                <w:sz w:val="20"/>
              </w:rPr>
            </w:pPr>
            <w:r w:rsidRPr="005949B1">
              <w:rPr>
                <w:rFonts w:ascii="Arial" w:hAnsi="Arial" w:cs="Arial"/>
                <w:sz w:val="20"/>
              </w:rPr>
              <w:t xml:space="preserve">Reforma del régimen fiscal de </w:t>
            </w:r>
            <w:r>
              <w:rPr>
                <w:rFonts w:ascii="Arial" w:hAnsi="Arial" w:cs="Arial"/>
                <w:sz w:val="20"/>
              </w:rPr>
              <w:t>EEPP</w:t>
            </w:r>
            <w:r w:rsidRPr="005949B1">
              <w:rPr>
                <w:rFonts w:ascii="Arial" w:hAnsi="Arial" w:cs="Arial"/>
                <w:sz w:val="20"/>
              </w:rPr>
              <w:t>, alineándolo a las mejores prácticas internacionales, e incluyendo la definición de responsabilidades de pago de impuestos y política de distribución de excedentes basada en reglas claras y transparentes</w:t>
            </w:r>
            <w:r>
              <w:rPr>
                <w:rFonts w:ascii="Arial" w:hAnsi="Arial" w:cs="Arial"/>
                <w:sz w:val="20"/>
              </w:rPr>
              <w:t>.</w:t>
            </w:r>
          </w:p>
          <w:p w14:paraId="4A0647E9" w14:textId="77777777" w:rsidR="00E61175" w:rsidRPr="00B85E04" w:rsidRDefault="00E61175" w:rsidP="00E61175">
            <w:pPr>
              <w:numPr>
                <w:ilvl w:val="0"/>
                <w:numId w:val="30"/>
              </w:numPr>
              <w:spacing w:beforeLines="20" w:before="48" w:afterLines="20" w:after="48"/>
              <w:rPr>
                <w:rFonts w:ascii="Arial" w:hAnsi="Arial" w:cs="Arial"/>
                <w:sz w:val="20"/>
              </w:rPr>
            </w:pPr>
            <w:r w:rsidRPr="00B85E04">
              <w:rPr>
                <w:rFonts w:ascii="Arial" w:hAnsi="Arial" w:cs="Arial"/>
                <w:sz w:val="20"/>
              </w:rPr>
              <w:t>Reforma estableciendo objetivos para la participación de mujeres en los consejos directivos de las EEPP</w:t>
            </w:r>
            <w:r>
              <w:rPr>
                <w:rFonts w:ascii="Arial" w:hAnsi="Arial" w:cs="Arial"/>
                <w:sz w:val="20"/>
              </w:rPr>
              <w:t>.</w:t>
            </w:r>
          </w:p>
        </w:tc>
      </w:tr>
      <w:tr w:rsidR="00E61175" w:rsidRPr="005949B1" w14:paraId="67FF1FCB"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4D4C20C9" w14:textId="62A37CB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lastRenderedPageBreak/>
              <w:t>Tramo 2: 3.3</w:t>
            </w:r>
            <w:r w:rsidR="002024FE">
              <w:rPr>
                <w:rFonts w:ascii="Arial" w:hAnsi="Arial" w:cs="Arial"/>
                <w:sz w:val="20"/>
              </w:rPr>
              <w:t>. 1</w:t>
            </w:r>
            <w:r w:rsidRPr="005949B1">
              <w:rPr>
                <w:rFonts w:ascii="Arial" w:hAnsi="Arial" w:cs="Arial"/>
                <w:sz w:val="20"/>
              </w:rPr>
              <w:t xml:space="preserve"> </w:t>
            </w:r>
            <w:r w:rsidR="002024FE">
              <w:rPr>
                <w:rFonts w:ascii="Arial" w:hAnsi="Arial" w:cs="Arial"/>
                <w:sz w:val="20"/>
              </w:rPr>
              <w:t xml:space="preserve">Proyecto de </w:t>
            </w:r>
            <w:r w:rsidRPr="005949B1">
              <w:rPr>
                <w:rFonts w:ascii="Arial" w:hAnsi="Arial" w:cs="Arial"/>
                <w:sz w:val="20"/>
              </w:rPr>
              <w:t>Reglamento de LOEP para el fortalecimiento de la g</w:t>
            </w:r>
            <w:r w:rsidRPr="005949B1">
              <w:rPr>
                <w:rFonts w:ascii="Arial" w:hAnsi="Arial" w:cs="Arial"/>
                <w:bCs/>
                <w:sz w:val="20"/>
              </w:rPr>
              <w:t xml:space="preserve">estión y control del Estado sobre las </w:t>
            </w:r>
            <w:r>
              <w:rPr>
                <w:rFonts w:ascii="Arial" w:hAnsi="Arial" w:cs="Arial"/>
                <w:bCs/>
                <w:sz w:val="20"/>
              </w:rPr>
              <w:t>EEPP</w:t>
            </w:r>
            <w:r w:rsidRPr="005949B1">
              <w:rPr>
                <w:rFonts w:ascii="Arial" w:hAnsi="Arial" w:cs="Arial"/>
                <w:bCs/>
                <w:sz w:val="20"/>
              </w:rPr>
              <w:t xml:space="preserve"> de la función ejecutiva a través de </w:t>
            </w:r>
            <w:r w:rsidRPr="005949B1">
              <w:rPr>
                <w:rFonts w:ascii="Arial" w:hAnsi="Arial" w:cs="Arial"/>
                <w:bCs/>
                <w:sz w:val="20"/>
              </w:rPr>
              <w:lastRenderedPageBreak/>
              <w:t xml:space="preserve">mejoras al marco institucional, operativo </w:t>
            </w:r>
            <w:r w:rsidR="002024FE">
              <w:rPr>
                <w:rFonts w:ascii="Arial" w:hAnsi="Arial" w:cs="Arial"/>
                <w:bCs/>
                <w:sz w:val="20"/>
              </w:rPr>
              <w:t>enviado a Presidencia</w:t>
            </w:r>
            <w:r w:rsidRPr="005949B1">
              <w:rPr>
                <w:rFonts w:ascii="Arial" w:hAnsi="Arial" w:cs="Arial"/>
                <w:bCs/>
                <w:kern w:val="18"/>
                <w:sz w:val="20"/>
                <w:lang w:val="es-ES"/>
              </w:rPr>
              <w:t>.</w:t>
            </w:r>
          </w:p>
        </w:tc>
        <w:tc>
          <w:tcPr>
            <w:tcW w:w="1430" w:type="dxa"/>
            <w:tcBorders>
              <w:top w:val="single" w:sz="4" w:space="0" w:color="000000"/>
              <w:left w:val="single" w:sz="4" w:space="0" w:color="000000"/>
              <w:bottom w:val="single" w:sz="4" w:space="0" w:color="000000"/>
              <w:right w:val="single" w:sz="4" w:space="0" w:color="000000"/>
            </w:tcBorders>
          </w:tcPr>
          <w:p w14:paraId="7C929DC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lastRenderedPageBreak/>
              <w:t xml:space="preserve">Reglamento </w:t>
            </w:r>
          </w:p>
        </w:tc>
        <w:tc>
          <w:tcPr>
            <w:tcW w:w="990" w:type="dxa"/>
            <w:tcBorders>
              <w:top w:val="single" w:sz="4" w:space="0" w:color="000000"/>
              <w:left w:val="single" w:sz="4" w:space="0" w:color="000000"/>
              <w:bottom w:val="single" w:sz="4" w:space="0" w:color="000000"/>
              <w:right w:val="single" w:sz="4" w:space="0" w:color="000000"/>
            </w:tcBorders>
          </w:tcPr>
          <w:p w14:paraId="1FBCB90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26144A6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7376C547"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2E7B24AA" w14:textId="0C08B486" w:rsidR="00E61175" w:rsidRPr="005949B1" w:rsidRDefault="001661E0" w:rsidP="008F3940">
            <w:pPr>
              <w:spacing w:beforeLines="20" w:before="48" w:afterLines="20" w:after="48"/>
              <w:rPr>
                <w:rFonts w:ascii="Arial" w:hAnsi="Arial" w:cs="Arial"/>
                <w:sz w:val="20"/>
              </w:rPr>
            </w:pPr>
            <w:r w:rsidRPr="00DF4C13">
              <w:rPr>
                <w:rFonts w:ascii="Arial" w:eastAsia="Arial" w:hAnsi="Arial" w:cs="Arial"/>
                <w:sz w:val="20"/>
                <w:lang w:val="es-ES"/>
              </w:rPr>
              <w:t>Fe de presentación del</w:t>
            </w:r>
            <w:r>
              <w:rPr>
                <w:rFonts w:ascii="Arial" w:eastAsia="Arial" w:hAnsi="Arial" w:cs="Arial"/>
                <w:sz w:val="20"/>
                <w:lang w:val="es-ES"/>
              </w:rPr>
              <w:t xml:space="preserve"> Proyecto de Reglamento a PRE, MEF</w:t>
            </w:r>
            <w:r w:rsidR="00E61175">
              <w:rPr>
                <w:rFonts w:ascii="Arial" w:hAnsi="Arial" w:cs="Arial"/>
                <w:sz w:val="20"/>
                <w:lang w:val="es-ES"/>
              </w:rPr>
              <w:t>.</w:t>
            </w:r>
          </w:p>
        </w:tc>
        <w:tc>
          <w:tcPr>
            <w:tcW w:w="2710" w:type="dxa"/>
            <w:tcBorders>
              <w:top w:val="single" w:sz="4" w:space="0" w:color="000000"/>
              <w:left w:val="single" w:sz="4" w:space="0" w:color="000000"/>
              <w:bottom w:val="single" w:sz="4" w:space="0" w:color="000000"/>
              <w:right w:val="single" w:sz="4" w:space="0" w:color="000000"/>
            </w:tcBorders>
          </w:tcPr>
          <w:p w14:paraId="453A4894" w14:textId="77777777" w:rsidR="00E61175" w:rsidRPr="005949B1" w:rsidRDefault="00E61175" w:rsidP="008F3940">
            <w:pPr>
              <w:spacing w:beforeLines="20" w:before="48" w:afterLines="20" w:after="48"/>
              <w:rPr>
                <w:rFonts w:ascii="Arial" w:hAnsi="Arial" w:cs="Arial"/>
                <w:sz w:val="20"/>
              </w:rPr>
            </w:pPr>
          </w:p>
        </w:tc>
      </w:tr>
      <w:tr w:rsidR="002024FE" w:rsidRPr="005949B1" w14:paraId="5B180FCF"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4BCACA84" w14:textId="3FF7D534" w:rsidR="002024FE" w:rsidRPr="005949B1" w:rsidRDefault="002024FE" w:rsidP="008F3940">
            <w:pPr>
              <w:spacing w:beforeLines="20" w:before="48" w:afterLines="20" w:after="48"/>
              <w:rPr>
                <w:rFonts w:ascii="Arial" w:hAnsi="Arial" w:cs="Arial"/>
                <w:sz w:val="20"/>
              </w:rPr>
            </w:pPr>
            <w:r w:rsidRPr="005949B1">
              <w:rPr>
                <w:rFonts w:ascii="Arial" w:hAnsi="Arial" w:cs="Arial"/>
                <w:sz w:val="20"/>
              </w:rPr>
              <w:t>Tramo 2: 3.3</w:t>
            </w:r>
            <w:r>
              <w:rPr>
                <w:rFonts w:ascii="Arial" w:hAnsi="Arial" w:cs="Arial"/>
                <w:sz w:val="20"/>
              </w:rPr>
              <w:t>. 2</w:t>
            </w:r>
            <w:r w:rsidRPr="005949B1">
              <w:rPr>
                <w:rFonts w:ascii="Arial" w:hAnsi="Arial" w:cs="Arial"/>
                <w:sz w:val="20"/>
              </w:rPr>
              <w:t xml:space="preserve"> </w:t>
            </w:r>
            <w:r>
              <w:rPr>
                <w:rFonts w:ascii="Arial" w:hAnsi="Arial" w:cs="Arial"/>
                <w:sz w:val="20"/>
              </w:rPr>
              <w:t>R</w:t>
            </w:r>
            <w:r w:rsidRPr="00071CCE">
              <w:rPr>
                <w:rFonts w:ascii="Arial" w:hAnsi="Arial" w:cs="Arial"/>
                <w:sz w:val="20"/>
              </w:rPr>
              <w:t>egulación requiriendo la publicación de los estados financieros auditados de las EEPP empezando con el año fiscal 2019</w:t>
            </w:r>
            <w:r>
              <w:rPr>
                <w:rFonts w:ascii="Arial" w:hAnsi="Arial" w:cs="Arial"/>
                <w:sz w:val="20"/>
              </w:rPr>
              <w:t xml:space="preserve"> aprobada</w:t>
            </w:r>
            <w:r w:rsidRPr="005949B1">
              <w:rPr>
                <w:rFonts w:ascii="Arial" w:hAnsi="Arial" w:cs="Arial"/>
                <w:bCs/>
                <w:kern w:val="18"/>
                <w:sz w:val="20"/>
                <w:lang w:val="es-ES"/>
              </w:rPr>
              <w:t>.</w:t>
            </w:r>
          </w:p>
        </w:tc>
        <w:tc>
          <w:tcPr>
            <w:tcW w:w="1430" w:type="dxa"/>
            <w:tcBorders>
              <w:top w:val="single" w:sz="4" w:space="0" w:color="000000"/>
              <w:left w:val="single" w:sz="4" w:space="0" w:color="000000"/>
              <w:bottom w:val="single" w:sz="4" w:space="0" w:color="000000"/>
              <w:right w:val="single" w:sz="4" w:space="0" w:color="000000"/>
            </w:tcBorders>
          </w:tcPr>
          <w:p w14:paraId="3DC80045" w14:textId="1BF4337C" w:rsidR="002024FE" w:rsidRPr="005949B1" w:rsidRDefault="00BA75E1" w:rsidP="008F3940">
            <w:pPr>
              <w:spacing w:beforeLines="20" w:before="48" w:afterLines="20" w:after="48"/>
              <w:jc w:val="center"/>
              <w:rPr>
                <w:rFonts w:ascii="Arial" w:hAnsi="Arial" w:cs="Arial"/>
                <w:sz w:val="20"/>
              </w:rPr>
            </w:pPr>
            <w:r w:rsidRPr="005949B1">
              <w:rPr>
                <w:rFonts w:ascii="Arial" w:hAnsi="Arial" w:cs="Arial"/>
                <w:sz w:val="20"/>
              </w:rPr>
              <w:t xml:space="preserve">Acuerdo </w:t>
            </w:r>
            <w:r>
              <w:rPr>
                <w:rFonts w:ascii="Arial" w:hAnsi="Arial" w:cs="Arial"/>
                <w:sz w:val="20"/>
              </w:rPr>
              <w:t>Ministerial</w:t>
            </w:r>
          </w:p>
        </w:tc>
        <w:tc>
          <w:tcPr>
            <w:tcW w:w="990" w:type="dxa"/>
            <w:tcBorders>
              <w:top w:val="single" w:sz="4" w:space="0" w:color="000000"/>
              <w:left w:val="single" w:sz="4" w:space="0" w:color="000000"/>
              <w:bottom w:val="single" w:sz="4" w:space="0" w:color="000000"/>
              <w:right w:val="single" w:sz="4" w:space="0" w:color="000000"/>
            </w:tcBorders>
          </w:tcPr>
          <w:p w14:paraId="3CBF3A7F" w14:textId="77777777" w:rsidR="002024FE" w:rsidRPr="005949B1" w:rsidRDefault="002024FE"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0F33F567" w14:textId="77777777" w:rsidR="002024FE" w:rsidRPr="005949B1" w:rsidRDefault="002024FE"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575A2D09" w14:textId="77777777" w:rsidR="002024FE" w:rsidRPr="005949B1" w:rsidRDefault="002024FE"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397E8A16" w14:textId="442429D9" w:rsidR="002024FE" w:rsidRPr="005949B1" w:rsidRDefault="0061580B" w:rsidP="008F3940">
            <w:pPr>
              <w:spacing w:beforeLines="20" w:before="48" w:afterLines="20" w:after="48"/>
              <w:rPr>
                <w:rFonts w:ascii="Arial" w:hAnsi="Arial" w:cs="Arial"/>
                <w:sz w:val="20"/>
              </w:rPr>
            </w:pPr>
            <w:r w:rsidRPr="005949B1">
              <w:rPr>
                <w:rFonts w:ascii="Arial" w:hAnsi="Arial" w:cs="Arial"/>
                <w:sz w:val="20"/>
              </w:rPr>
              <w:t xml:space="preserve">Acuerdo </w:t>
            </w:r>
            <w:r>
              <w:rPr>
                <w:rFonts w:ascii="Arial" w:hAnsi="Arial" w:cs="Arial"/>
                <w:sz w:val="20"/>
              </w:rPr>
              <w:t>Ministerial publicado, MEF</w:t>
            </w:r>
            <w:r w:rsidR="002024FE">
              <w:rPr>
                <w:rFonts w:ascii="Arial" w:hAnsi="Arial" w:cs="Arial"/>
                <w:sz w:val="20"/>
                <w:lang w:val="es-ES"/>
              </w:rPr>
              <w:t>.</w:t>
            </w:r>
          </w:p>
        </w:tc>
        <w:tc>
          <w:tcPr>
            <w:tcW w:w="2710" w:type="dxa"/>
            <w:tcBorders>
              <w:top w:val="single" w:sz="4" w:space="0" w:color="000000"/>
              <w:left w:val="single" w:sz="4" w:space="0" w:color="000000"/>
              <w:bottom w:val="single" w:sz="4" w:space="0" w:color="000000"/>
              <w:right w:val="single" w:sz="4" w:space="0" w:color="000000"/>
            </w:tcBorders>
          </w:tcPr>
          <w:p w14:paraId="46844356" w14:textId="77777777" w:rsidR="002024FE" w:rsidRPr="005949B1" w:rsidRDefault="002024FE" w:rsidP="008F3940">
            <w:pPr>
              <w:spacing w:beforeLines="20" w:before="48" w:afterLines="20" w:after="48"/>
              <w:rPr>
                <w:rFonts w:ascii="Arial" w:hAnsi="Arial" w:cs="Arial"/>
                <w:sz w:val="20"/>
              </w:rPr>
            </w:pPr>
          </w:p>
        </w:tc>
      </w:tr>
      <w:tr w:rsidR="00E61175" w:rsidRPr="00F04896" w14:paraId="2EF6216D"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41739A45" w14:textId="76598989" w:rsidR="00E61175" w:rsidRDefault="00E61175" w:rsidP="008F3940">
            <w:pPr>
              <w:spacing w:beforeLines="20" w:before="48" w:afterLines="20" w:after="48"/>
              <w:rPr>
                <w:rFonts w:ascii="Arial" w:hAnsi="Arial" w:cs="Arial"/>
                <w:sz w:val="20"/>
              </w:rPr>
            </w:pPr>
            <w:r w:rsidRPr="005949B1">
              <w:rPr>
                <w:rFonts w:ascii="Arial" w:hAnsi="Arial" w:cs="Arial"/>
                <w:sz w:val="20"/>
              </w:rPr>
              <w:t>Tramo 1: 3.4 Acuerdo Ministerial que reforma el proceso de asignación del Presupuesto General del Estado</w:t>
            </w:r>
            <w:r w:rsidR="008627C0">
              <w:rPr>
                <w:rFonts w:ascii="Arial" w:hAnsi="Arial" w:cs="Arial"/>
                <w:sz w:val="20"/>
              </w:rPr>
              <w:t xml:space="preserve"> (PGE) a las EEPP</w:t>
            </w:r>
            <w:r>
              <w:rPr>
                <w:rFonts w:ascii="Arial" w:hAnsi="Arial" w:cs="Arial"/>
                <w:sz w:val="20"/>
              </w:rPr>
              <w:t>.</w:t>
            </w:r>
          </w:p>
          <w:p w14:paraId="0AF215A6" w14:textId="77777777" w:rsidR="00E61175" w:rsidRPr="00B14187" w:rsidRDefault="00E61175" w:rsidP="008F3940">
            <w:pPr>
              <w:spacing w:beforeLines="20" w:before="48" w:afterLines="20" w:after="48"/>
              <w:rPr>
                <w:rFonts w:ascii="Arial" w:hAnsi="Arial" w:cs="Arial"/>
                <w:sz w:val="20"/>
              </w:rPr>
            </w:pPr>
          </w:p>
        </w:tc>
        <w:tc>
          <w:tcPr>
            <w:tcW w:w="1430" w:type="dxa"/>
            <w:tcBorders>
              <w:top w:val="single" w:sz="4" w:space="0" w:color="000000"/>
              <w:left w:val="single" w:sz="4" w:space="0" w:color="000000"/>
              <w:bottom w:val="single" w:sz="4" w:space="0" w:color="000000"/>
              <w:right w:val="single" w:sz="4" w:space="0" w:color="000000"/>
            </w:tcBorders>
          </w:tcPr>
          <w:p w14:paraId="043526D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Acuerdo </w:t>
            </w:r>
            <w:r>
              <w:rPr>
                <w:rFonts w:ascii="Arial" w:hAnsi="Arial" w:cs="Arial"/>
                <w:sz w:val="20"/>
              </w:rPr>
              <w:t>Ministerial</w:t>
            </w:r>
          </w:p>
        </w:tc>
        <w:tc>
          <w:tcPr>
            <w:tcW w:w="990" w:type="dxa"/>
            <w:tcBorders>
              <w:top w:val="single" w:sz="4" w:space="0" w:color="000000"/>
              <w:left w:val="single" w:sz="4" w:space="0" w:color="000000"/>
              <w:bottom w:val="single" w:sz="4" w:space="0" w:color="000000"/>
              <w:right w:val="single" w:sz="4" w:space="0" w:color="000000"/>
            </w:tcBorders>
          </w:tcPr>
          <w:p w14:paraId="06200663"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15A1B63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77D93DCA"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64246358"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Acuerdo </w:t>
            </w:r>
            <w:r>
              <w:rPr>
                <w:rFonts w:ascii="Arial" w:hAnsi="Arial" w:cs="Arial"/>
                <w:sz w:val="20"/>
              </w:rPr>
              <w:t>Ministerial publicado, MEF.</w:t>
            </w:r>
          </w:p>
        </w:tc>
        <w:tc>
          <w:tcPr>
            <w:tcW w:w="2710" w:type="dxa"/>
            <w:tcBorders>
              <w:top w:val="single" w:sz="4" w:space="0" w:color="000000"/>
              <w:left w:val="single" w:sz="4" w:space="0" w:color="000000"/>
              <w:bottom w:val="single" w:sz="4" w:space="0" w:color="000000"/>
              <w:right w:val="single" w:sz="4" w:space="0" w:color="000000"/>
            </w:tcBorders>
          </w:tcPr>
          <w:p w14:paraId="630415A3" w14:textId="77777777" w:rsidR="00E61175" w:rsidRDefault="00E61175" w:rsidP="008F3940">
            <w:pPr>
              <w:spacing w:beforeLines="20" w:before="48" w:afterLines="20" w:after="48"/>
              <w:rPr>
                <w:rFonts w:ascii="Arial" w:hAnsi="Arial" w:cs="Arial"/>
                <w:sz w:val="20"/>
              </w:rPr>
            </w:pPr>
            <w:r>
              <w:rPr>
                <w:rFonts w:ascii="Arial" w:hAnsi="Arial" w:cs="Arial"/>
                <w:sz w:val="20"/>
              </w:rPr>
              <w:t xml:space="preserve">El Acuerdo </w:t>
            </w:r>
            <w:r w:rsidRPr="005949B1">
              <w:rPr>
                <w:rFonts w:ascii="Arial" w:hAnsi="Arial" w:cs="Arial"/>
                <w:sz w:val="20"/>
              </w:rPr>
              <w:t xml:space="preserve">incluye: </w:t>
            </w:r>
          </w:p>
          <w:p w14:paraId="2EBEF2EB" w14:textId="77777777" w:rsidR="00E61175" w:rsidRPr="005949B1" w:rsidRDefault="00E61175" w:rsidP="00E61175">
            <w:pPr>
              <w:numPr>
                <w:ilvl w:val="0"/>
                <w:numId w:val="29"/>
              </w:numPr>
              <w:spacing w:beforeLines="20" w:before="48" w:afterLines="20" w:after="48"/>
              <w:rPr>
                <w:rFonts w:ascii="Arial" w:hAnsi="Arial" w:cs="Arial"/>
                <w:sz w:val="20"/>
              </w:rPr>
            </w:pPr>
            <w:r w:rsidRPr="005949B1">
              <w:rPr>
                <w:rFonts w:ascii="Arial" w:hAnsi="Arial" w:cs="Arial"/>
                <w:sz w:val="20"/>
              </w:rPr>
              <w:t xml:space="preserve">Incorporación de todas las fuentes de ingresos de las </w:t>
            </w:r>
            <w:r>
              <w:rPr>
                <w:rFonts w:ascii="Arial" w:hAnsi="Arial" w:cs="Arial"/>
                <w:sz w:val="20"/>
              </w:rPr>
              <w:t>EEPP</w:t>
            </w:r>
            <w:r w:rsidRPr="005949B1">
              <w:rPr>
                <w:rFonts w:ascii="Arial" w:hAnsi="Arial" w:cs="Arial"/>
                <w:sz w:val="20"/>
              </w:rPr>
              <w:t xml:space="preserve"> a la formulación presupuestaria.</w:t>
            </w:r>
          </w:p>
          <w:p w14:paraId="6E7A0001" w14:textId="77777777" w:rsidR="00E61175" w:rsidRDefault="00E61175" w:rsidP="00E61175">
            <w:pPr>
              <w:numPr>
                <w:ilvl w:val="0"/>
                <w:numId w:val="29"/>
              </w:numPr>
              <w:spacing w:beforeLines="20" w:before="48" w:afterLines="20" w:after="48"/>
              <w:rPr>
                <w:rFonts w:ascii="Arial" w:hAnsi="Arial" w:cs="Arial"/>
                <w:sz w:val="20"/>
              </w:rPr>
            </w:pPr>
            <w:r w:rsidRPr="005949B1">
              <w:rPr>
                <w:rFonts w:ascii="Arial" w:hAnsi="Arial" w:cs="Arial"/>
                <w:sz w:val="20"/>
              </w:rPr>
              <w:t xml:space="preserve">Obligatoriedad de la presentación de la información de las </w:t>
            </w:r>
            <w:r>
              <w:rPr>
                <w:rFonts w:ascii="Arial" w:hAnsi="Arial" w:cs="Arial"/>
                <w:sz w:val="20"/>
              </w:rPr>
              <w:t>EEPP</w:t>
            </w:r>
            <w:r w:rsidRPr="005949B1">
              <w:rPr>
                <w:rFonts w:ascii="Arial" w:hAnsi="Arial" w:cs="Arial"/>
                <w:sz w:val="20"/>
              </w:rPr>
              <w:t xml:space="preserve"> en el sistema integrado de administración financiera del MEF previo a la consideración de la propuesta presupuestaria. </w:t>
            </w:r>
          </w:p>
          <w:p w14:paraId="595F1003" w14:textId="77777777" w:rsidR="00E61175" w:rsidRPr="00F04896" w:rsidRDefault="00E61175" w:rsidP="00E61175">
            <w:pPr>
              <w:numPr>
                <w:ilvl w:val="0"/>
                <w:numId w:val="29"/>
              </w:numPr>
              <w:spacing w:beforeLines="20" w:before="48" w:afterLines="20" w:after="48"/>
              <w:rPr>
                <w:rFonts w:ascii="Arial" w:hAnsi="Arial" w:cs="Arial"/>
                <w:sz w:val="20"/>
              </w:rPr>
            </w:pPr>
            <w:r w:rsidRPr="00124775">
              <w:rPr>
                <w:rFonts w:ascii="Arial" w:hAnsi="Arial" w:cs="Arial"/>
                <w:sz w:val="20"/>
              </w:rPr>
              <w:t xml:space="preserve">Restricción de acceso a fuentes de financiamiento a solo a aquellas </w:t>
            </w:r>
            <w:r w:rsidRPr="00875A55">
              <w:rPr>
                <w:rFonts w:ascii="Arial" w:hAnsi="Arial" w:cs="Arial"/>
                <w:sz w:val="20"/>
              </w:rPr>
              <w:t>EEPP que demuestren capacidad de pago</w:t>
            </w:r>
            <w:r w:rsidRPr="00F04896">
              <w:rPr>
                <w:rFonts w:ascii="Arial" w:hAnsi="Arial" w:cs="Arial"/>
                <w:sz w:val="20"/>
              </w:rPr>
              <w:t>.</w:t>
            </w:r>
          </w:p>
        </w:tc>
      </w:tr>
      <w:tr w:rsidR="00E61175" w:rsidRPr="005949B1" w14:paraId="124C75C2"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336D2060" w14:textId="0850B210"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2: 3.4 </w:t>
            </w:r>
            <w:r w:rsidR="00A15A0F">
              <w:rPr>
                <w:rFonts w:ascii="Arial" w:hAnsi="Arial" w:cs="Arial"/>
                <w:sz w:val="20"/>
              </w:rPr>
              <w:t>Presupuestos institucionales de las</w:t>
            </w:r>
            <w:r w:rsidR="00A15A0F" w:rsidRPr="005949B1">
              <w:rPr>
                <w:rFonts w:ascii="Arial" w:hAnsi="Arial" w:cs="Arial"/>
                <w:sz w:val="20"/>
              </w:rPr>
              <w:t xml:space="preserve"> </w:t>
            </w:r>
            <w:r w:rsidR="00A15A0F">
              <w:rPr>
                <w:rFonts w:ascii="Arial" w:hAnsi="Arial" w:cs="Arial"/>
                <w:sz w:val="20"/>
              </w:rPr>
              <w:t>EEPP</w:t>
            </w:r>
            <w:r w:rsidR="00A15A0F" w:rsidRPr="005949B1">
              <w:rPr>
                <w:rFonts w:ascii="Arial" w:hAnsi="Arial" w:cs="Arial"/>
                <w:sz w:val="20"/>
              </w:rPr>
              <w:t xml:space="preserve"> </w:t>
            </w:r>
            <w:r w:rsidR="00A15A0F">
              <w:rPr>
                <w:rFonts w:ascii="Arial" w:hAnsi="Arial" w:cs="Arial"/>
                <w:sz w:val="20"/>
              </w:rPr>
              <w:t xml:space="preserve">en 2020 </w:t>
            </w:r>
            <w:r>
              <w:rPr>
                <w:rFonts w:ascii="Arial" w:hAnsi="Arial" w:cs="Arial"/>
                <w:sz w:val="20"/>
              </w:rPr>
              <w:t xml:space="preserve">preparados </w:t>
            </w:r>
            <w:r w:rsidRPr="005949B1">
              <w:rPr>
                <w:rFonts w:ascii="Arial" w:hAnsi="Arial" w:cs="Arial"/>
                <w:sz w:val="20"/>
              </w:rPr>
              <w:t xml:space="preserve">de acuerdo </w:t>
            </w:r>
            <w:r>
              <w:rPr>
                <w:rFonts w:ascii="Arial" w:hAnsi="Arial" w:cs="Arial"/>
                <w:sz w:val="20"/>
              </w:rPr>
              <w:t xml:space="preserve">a </w:t>
            </w:r>
            <w:r w:rsidRPr="005949B1">
              <w:rPr>
                <w:rFonts w:ascii="Arial" w:hAnsi="Arial" w:cs="Arial"/>
                <w:sz w:val="20"/>
              </w:rPr>
              <w:t xml:space="preserve">las reformas normativas </w:t>
            </w:r>
            <w:r w:rsidRPr="005949B1">
              <w:rPr>
                <w:rFonts w:ascii="Arial" w:hAnsi="Arial" w:cs="Arial"/>
                <w:sz w:val="20"/>
              </w:rPr>
              <w:lastRenderedPageBreak/>
              <w:t>efectuada</w:t>
            </w:r>
            <w:r>
              <w:rPr>
                <w:rFonts w:ascii="Arial" w:hAnsi="Arial" w:cs="Arial"/>
                <w:sz w:val="20"/>
              </w:rPr>
              <w:t>s a</w:t>
            </w:r>
            <w:r w:rsidRPr="005949B1">
              <w:rPr>
                <w:rFonts w:ascii="Arial" w:hAnsi="Arial" w:cs="Arial"/>
                <w:sz w:val="20"/>
              </w:rPr>
              <w:t xml:space="preserve">l proceso de asignación </w:t>
            </w:r>
            <w:r>
              <w:rPr>
                <w:rFonts w:ascii="Arial" w:hAnsi="Arial" w:cs="Arial"/>
                <w:sz w:val="20"/>
              </w:rPr>
              <w:t>a las EEPP.</w:t>
            </w:r>
            <w:r w:rsidRPr="005949B1">
              <w:rPr>
                <w:rFonts w:ascii="Arial" w:hAnsi="Arial" w:cs="Arial"/>
                <w:sz w:val="20"/>
              </w:rPr>
              <w:t xml:space="preserve"> </w:t>
            </w:r>
          </w:p>
        </w:tc>
        <w:tc>
          <w:tcPr>
            <w:tcW w:w="1430" w:type="dxa"/>
            <w:tcBorders>
              <w:top w:val="single" w:sz="4" w:space="0" w:color="000000"/>
              <w:left w:val="single" w:sz="4" w:space="0" w:color="000000"/>
              <w:bottom w:val="single" w:sz="4" w:space="0" w:color="000000"/>
              <w:right w:val="single" w:sz="4" w:space="0" w:color="000000"/>
            </w:tcBorders>
          </w:tcPr>
          <w:p w14:paraId="7C7FCB2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lastRenderedPageBreak/>
              <w:t xml:space="preserve">Presupuestos </w:t>
            </w:r>
          </w:p>
        </w:tc>
        <w:tc>
          <w:tcPr>
            <w:tcW w:w="990" w:type="dxa"/>
            <w:tcBorders>
              <w:top w:val="single" w:sz="4" w:space="0" w:color="000000"/>
              <w:left w:val="single" w:sz="4" w:space="0" w:color="000000"/>
              <w:bottom w:val="single" w:sz="4" w:space="0" w:color="000000"/>
              <w:right w:val="single" w:sz="4" w:space="0" w:color="000000"/>
            </w:tcBorders>
          </w:tcPr>
          <w:p w14:paraId="4DA2886A"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6F582924"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242F33BB"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41E044E8" w14:textId="77777777" w:rsidR="00E61175" w:rsidRPr="005949B1" w:rsidRDefault="00E61175" w:rsidP="008F3940">
            <w:pPr>
              <w:spacing w:beforeLines="20" w:before="48" w:afterLines="20" w:after="48"/>
              <w:rPr>
                <w:rFonts w:ascii="Arial" w:hAnsi="Arial" w:cs="Arial"/>
                <w:sz w:val="20"/>
              </w:rPr>
            </w:pPr>
            <w:r>
              <w:rPr>
                <w:rFonts w:ascii="Arial" w:hAnsi="Arial" w:cs="Arial"/>
                <w:sz w:val="20"/>
              </w:rPr>
              <w:t>Certificado de recepción, MEF.</w:t>
            </w:r>
          </w:p>
        </w:tc>
        <w:tc>
          <w:tcPr>
            <w:tcW w:w="2710" w:type="dxa"/>
            <w:tcBorders>
              <w:top w:val="single" w:sz="4" w:space="0" w:color="000000"/>
              <w:left w:val="single" w:sz="4" w:space="0" w:color="000000"/>
              <w:bottom w:val="single" w:sz="4" w:space="0" w:color="000000"/>
              <w:right w:val="single" w:sz="4" w:space="0" w:color="000000"/>
            </w:tcBorders>
          </w:tcPr>
          <w:p w14:paraId="53C0460E" w14:textId="77777777" w:rsidR="00E61175" w:rsidRPr="005949B1" w:rsidRDefault="00E61175" w:rsidP="008F3940">
            <w:pPr>
              <w:spacing w:beforeLines="20" w:before="48" w:afterLines="20" w:after="48"/>
              <w:rPr>
                <w:rFonts w:ascii="Arial" w:hAnsi="Arial" w:cs="Arial"/>
                <w:sz w:val="20"/>
              </w:rPr>
            </w:pPr>
          </w:p>
        </w:tc>
      </w:tr>
      <w:tr w:rsidR="00E61175" w:rsidRPr="005949B1" w14:paraId="3F6E8D79"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1A4E51D2"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1: 3.5 </w:t>
            </w:r>
            <w:r>
              <w:rPr>
                <w:rFonts w:ascii="Arial" w:hAnsi="Arial" w:cs="Arial"/>
                <w:bCs/>
                <w:kern w:val="18"/>
                <w:sz w:val="20"/>
                <w:lang w:val="es-ES"/>
              </w:rPr>
              <w:t>D</w:t>
            </w:r>
            <w:r w:rsidRPr="005949B1">
              <w:rPr>
                <w:rFonts w:ascii="Arial" w:hAnsi="Arial" w:cs="Arial"/>
                <w:bCs/>
                <w:kern w:val="18"/>
                <w:sz w:val="20"/>
                <w:lang w:val="es-ES"/>
              </w:rPr>
              <w:t xml:space="preserve">isposición emitida por EMCO para el recorte del 10% de la masa salarial de las </w:t>
            </w:r>
            <w:r>
              <w:rPr>
                <w:rFonts w:ascii="Arial" w:hAnsi="Arial" w:cs="Arial"/>
                <w:bCs/>
                <w:kern w:val="18"/>
                <w:sz w:val="20"/>
                <w:lang w:val="es-ES"/>
              </w:rPr>
              <w:t>EEPP</w:t>
            </w:r>
            <w:r w:rsidRPr="005949B1">
              <w:rPr>
                <w:rFonts w:ascii="Arial" w:hAnsi="Arial" w:cs="Arial"/>
                <w:bCs/>
                <w:kern w:val="18"/>
                <w:sz w:val="20"/>
                <w:lang w:val="es-ES"/>
              </w:rPr>
              <w:t xml:space="preserve"> de la función ejecutiva publicada. </w:t>
            </w:r>
          </w:p>
        </w:tc>
        <w:tc>
          <w:tcPr>
            <w:tcW w:w="1430" w:type="dxa"/>
            <w:tcBorders>
              <w:top w:val="single" w:sz="4" w:space="0" w:color="000000"/>
              <w:left w:val="single" w:sz="4" w:space="0" w:color="000000"/>
              <w:bottom w:val="single" w:sz="4" w:space="0" w:color="000000"/>
              <w:right w:val="single" w:sz="4" w:space="0" w:color="000000"/>
            </w:tcBorders>
          </w:tcPr>
          <w:p w14:paraId="49A59D8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Disposición </w:t>
            </w:r>
          </w:p>
        </w:tc>
        <w:tc>
          <w:tcPr>
            <w:tcW w:w="990" w:type="dxa"/>
            <w:tcBorders>
              <w:top w:val="single" w:sz="4" w:space="0" w:color="000000"/>
              <w:left w:val="single" w:sz="4" w:space="0" w:color="000000"/>
              <w:bottom w:val="single" w:sz="4" w:space="0" w:color="000000"/>
              <w:right w:val="single" w:sz="4" w:space="0" w:color="000000"/>
            </w:tcBorders>
          </w:tcPr>
          <w:p w14:paraId="719A6098"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4A78ABC4"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1262647C"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63B59A33"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Disposición publicada</w:t>
            </w:r>
            <w:r>
              <w:rPr>
                <w:rFonts w:ascii="Arial" w:hAnsi="Arial" w:cs="Arial"/>
                <w:sz w:val="20"/>
              </w:rPr>
              <w:t>, EMCO.</w:t>
            </w:r>
          </w:p>
        </w:tc>
        <w:tc>
          <w:tcPr>
            <w:tcW w:w="2710" w:type="dxa"/>
            <w:tcBorders>
              <w:top w:val="single" w:sz="4" w:space="0" w:color="000000"/>
              <w:left w:val="single" w:sz="4" w:space="0" w:color="000000"/>
              <w:bottom w:val="single" w:sz="4" w:space="0" w:color="000000"/>
              <w:right w:val="single" w:sz="4" w:space="0" w:color="000000"/>
            </w:tcBorders>
          </w:tcPr>
          <w:p w14:paraId="48E9765C" w14:textId="77777777" w:rsidR="00E61175" w:rsidRPr="005949B1" w:rsidRDefault="00E61175" w:rsidP="008F3940">
            <w:pPr>
              <w:spacing w:beforeLines="20" w:before="48" w:afterLines="20" w:after="48"/>
              <w:rPr>
                <w:rFonts w:ascii="Arial" w:hAnsi="Arial" w:cs="Arial"/>
                <w:sz w:val="20"/>
              </w:rPr>
            </w:pPr>
          </w:p>
        </w:tc>
      </w:tr>
      <w:tr w:rsidR="00E61175" w:rsidRPr="005949B1" w14:paraId="03E76BE3" w14:textId="77777777" w:rsidTr="008F3940">
        <w:trPr>
          <w:trHeight w:val="20"/>
        </w:trPr>
        <w:tc>
          <w:tcPr>
            <w:tcW w:w="4055" w:type="dxa"/>
            <w:tcBorders>
              <w:top w:val="single" w:sz="4" w:space="0" w:color="000000"/>
              <w:left w:val="single" w:sz="4" w:space="0" w:color="000000"/>
              <w:bottom w:val="single" w:sz="4" w:space="0" w:color="auto"/>
              <w:right w:val="single" w:sz="4" w:space="0" w:color="000000"/>
            </w:tcBorders>
          </w:tcPr>
          <w:p w14:paraId="0F3643EF"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Tramo 2: 3.5</w:t>
            </w:r>
            <w:r>
              <w:rPr>
                <w:rFonts w:ascii="Arial" w:hAnsi="Arial" w:cs="Arial"/>
                <w:sz w:val="20"/>
              </w:rPr>
              <w:t xml:space="preserve"> a:</w:t>
            </w:r>
            <w:r w:rsidRPr="005949B1">
              <w:rPr>
                <w:rFonts w:ascii="Arial" w:hAnsi="Arial" w:cs="Arial"/>
                <w:sz w:val="20"/>
              </w:rPr>
              <w:t xml:space="preserve"> </w:t>
            </w:r>
            <w:r>
              <w:rPr>
                <w:rFonts w:ascii="Arial" w:hAnsi="Arial" w:cs="Arial"/>
                <w:sz w:val="20"/>
              </w:rPr>
              <w:t>Informe con detalle de implementación de la d</w:t>
            </w:r>
            <w:r w:rsidRPr="005949B1">
              <w:rPr>
                <w:rFonts w:ascii="Arial" w:hAnsi="Arial" w:cs="Arial"/>
                <w:sz w:val="20"/>
              </w:rPr>
              <w:t xml:space="preserve">isposición para el recorte del 10% a la masa salarial de las </w:t>
            </w:r>
            <w:r>
              <w:rPr>
                <w:rFonts w:ascii="Arial" w:hAnsi="Arial" w:cs="Arial"/>
                <w:sz w:val="20"/>
              </w:rPr>
              <w:t>EEPP</w:t>
            </w:r>
            <w:r w:rsidRPr="005949B1">
              <w:rPr>
                <w:rFonts w:ascii="Arial" w:hAnsi="Arial" w:cs="Arial"/>
                <w:sz w:val="20"/>
              </w:rPr>
              <w:t xml:space="preserve"> de la función ejecutiva</w:t>
            </w:r>
            <w:r>
              <w:rPr>
                <w:rFonts w:ascii="Arial" w:hAnsi="Arial" w:cs="Arial"/>
                <w:sz w:val="20"/>
              </w:rPr>
              <w:t>.</w:t>
            </w:r>
            <w:r w:rsidRPr="005949B1">
              <w:rPr>
                <w:rFonts w:ascii="Arial" w:hAnsi="Arial" w:cs="Arial"/>
                <w:sz w:val="20"/>
              </w:rPr>
              <w:t xml:space="preserve"> </w:t>
            </w:r>
          </w:p>
        </w:tc>
        <w:tc>
          <w:tcPr>
            <w:tcW w:w="1430" w:type="dxa"/>
            <w:tcBorders>
              <w:top w:val="single" w:sz="4" w:space="0" w:color="000000"/>
              <w:left w:val="single" w:sz="4" w:space="0" w:color="000000"/>
              <w:bottom w:val="single" w:sz="4" w:space="0" w:color="auto"/>
              <w:right w:val="single" w:sz="4" w:space="0" w:color="000000"/>
            </w:tcBorders>
          </w:tcPr>
          <w:p w14:paraId="2FD8EDA9"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Informe.</w:t>
            </w:r>
          </w:p>
        </w:tc>
        <w:tc>
          <w:tcPr>
            <w:tcW w:w="990" w:type="dxa"/>
            <w:tcBorders>
              <w:top w:val="single" w:sz="4" w:space="0" w:color="000000"/>
              <w:left w:val="single" w:sz="4" w:space="0" w:color="000000"/>
              <w:bottom w:val="single" w:sz="4" w:space="0" w:color="auto"/>
              <w:right w:val="single" w:sz="4" w:space="0" w:color="000000"/>
            </w:tcBorders>
          </w:tcPr>
          <w:p w14:paraId="30222AF6"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auto"/>
              <w:right w:val="single" w:sz="4" w:space="0" w:color="000000"/>
            </w:tcBorders>
          </w:tcPr>
          <w:p w14:paraId="29D6EC8C"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auto"/>
              <w:right w:val="single" w:sz="4" w:space="0" w:color="000000"/>
            </w:tcBorders>
          </w:tcPr>
          <w:p w14:paraId="353D6DC8"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1</w:t>
            </w:r>
          </w:p>
        </w:tc>
        <w:tc>
          <w:tcPr>
            <w:tcW w:w="2070" w:type="dxa"/>
            <w:tcBorders>
              <w:top w:val="single" w:sz="4" w:space="0" w:color="000000"/>
              <w:left w:val="single" w:sz="4" w:space="0" w:color="000000"/>
              <w:bottom w:val="single" w:sz="4" w:space="0" w:color="auto"/>
              <w:right w:val="single" w:sz="4" w:space="0" w:color="000000"/>
            </w:tcBorders>
          </w:tcPr>
          <w:p w14:paraId="10A970F8" w14:textId="77777777" w:rsidR="00E61175" w:rsidRDefault="00E61175" w:rsidP="008F3940">
            <w:pPr>
              <w:spacing w:beforeLines="20" w:before="48" w:afterLines="20" w:after="48"/>
              <w:rPr>
                <w:rFonts w:ascii="Arial" w:hAnsi="Arial" w:cs="Arial"/>
                <w:sz w:val="20"/>
              </w:rPr>
            </w:pPr>
            <w:r>
              <w:rPr>
                <w:rFonts w:ascii="Arial" w:hAnsi="Arial" w:cs="Arial"/>
                <w:sz w:val="20"/>
              </w:rPr>
              <w:t>Certificado de recepción,</w:t>
            </w:r>
            <w:r w:rsidRPr="00BD61E6">
              <w:rPr>
                <w:rFonts w:ascii="Arial" w:hAnsi="Arial" w:cs="Arial"/>
                <w:sz w:val="20"/>
              </w:rPr>
              <w:t xml:space="preserve"> </w:t>
            </w:r>
            <w:r>
              <w:rPr>
                <w:rFonts w:ascii="Arial" w:hAnsi="Arial" w:cs="Arial"/>
                <w:sz w:val="20"/>
              </w:rPr>
              <w:t>MEF.</w:t>
            </w:r>
            <w:r w:rsidRPr="00BD61E6">
              <w:rPr>
                <w:rFonts w:ascii="Arial" w:hAnsi="Arial" w:cs="Arial"/>
                <w:sz w:val="20"/>
              </w:rPr>
              <w:t xml:space="preserve"> </w:t>
            </w:r>
          </w:p>
          <w:p w14:paraId="4F5F8F5E" w14:textId="77777777" w:rsidR="00E61175" w:rsidRPr="005949B1" w:rsidRDefault="00E61175" w:rsidP="008F3940">
            <w:pPr>
              <w:spacing w:beforeLines="20" w:before="48" w:afterLines="20" w:after="48"/>
              <w:rPr>
                <w:rFonts w:ascii="Arial" w:hAnsi="Arial" w:cs="Arial"/>
                <w:sz w:val="20"/>
              </w:rPr>
            </w:pPr>
          </w:p>
        </w:tc>
        <w:tc>
          <w:tcPr>
            <w:tcW w:w="2710" w:type="dxa"/>
            <w:tcBorders>
              <w:top w:val="single" w:sz="4" w:space="0" w:color="000000"/>
              <w:left w:val="single" w:sz="4" w:space="0" w:color="000000"/>
              <w:bottom w:val="single" w:sz="4" w:space="0" w:color="auto"/>
              <w:right w:val="single" w:sz="4" w:space="0" w:color="000000"/>
            </w:tcBorders>
          </w:tcPr>
          <w:p w14:paraId="200BE89C" w14:textId="77777777" w:rsidR="00E61175" w:rsidRPr="005949B1" w:rsidRDefault="00E61175" w:rsidP="008F3940">
            <w:pPr>
              <w:spacing w:beforeLines="20" w:before="48" w:afterLines="20" w:after="48"/>
              <w:rPr>
                <w:rFonts w:ascii="Arial" w:hAnsi="Arial" w:cs="Arial"/>
                <w:sz w:val="20"/>
              </w:rPr>
            </w:pPr>
            <w:r>
              <w:rPr>
                <w:rFonts w:ascii="Arial" w:hAnsi="Arial" w:cs="Arial"/>
                <w:sz w:val="20"/>
              </w:rPr>
              <w:t>El informe de EMCO incluye el detalle de las desvinculaciones de cada EEPP.</w:t>
            </w:r>
          </w:p>
        </w:tc>
      </w:tr>
      <w:tr w:rsidR="00E61175" w:rsidRPr="005949B1" w14:paraId="37B649DE" w14:textId="77777777" w:rsidTr="008F3940">
        <w:trPr>
          <w:trHeight w:val="20"/>
        </w:trPr>
        <w:tc>
          <w:tcPr>
            <w:tcW w:w="4055" w:type="dxa"/>
            <w:tcBorders>
              <w:top w:val="single" w:sz="4" w:space="0" w:color="000000"/>
              <w:left w:val="single" w:sz="4" w:space="0" w:color="000000"/>
              <w:bottom w:val="single" w:sz="4" w:space="0" w:color="auto"/>
              <w:right w:val="single" w:sz="4" w:space="0" w:color="000000"/>
            </w:tcBorders>
          </w:tcPr>
          <w:p w14:paraId="60229451"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Tramo 2: 3.5</w:t>
            </w:r>
            <w:r>
              <w:rPr>
                <w:rFonts w:ascii="Arial" w:hAnsi="Arial" w:cs="Arial"/>
                <w:sz w:val="20"/>
              </w:rPr>
              <w:t xml:space="preserve"> b:</w:t>
            </w:r>
            <w:r w:rsidRPr="005949B1">
              <w:rPr>
                <w:rFonts w:ascii="Arial" w:hAnsi="Arial" w:cs="Arial"/>
                <w:sz w:val="20"/>
              </w:rPr>
              <w:t xml:space="preserve"> </w:t>
            </w:r>
            <w:r>
              <w:rPr>
                <w:rFonts w:ascii="Arial" w:hAnsi="Arial" w:cs="Arial"/>
                <w:sz w:val="20"/>
              </w:rPr>
              <w:t xml:space="preserve">Decretos de </w:t>
            </w:r>
            <w:r w:rsidRPr="005949B1">
              <w:rPr>
                <w:rFonts w:ascii="Arial" w:hAnsi="Arial" w:cs="Arial"/>
                <w:sz w:val="20"/>
              </w:rPr>
              <w:t xml:space="preserve">liquidación de dos </w:t>
            </w:r>
            <w:r>
              <w:rPr>
                <w:rFonts w:ascii="Arial" w:hAnsi="Arial" w:cs="Arial"/>
                <w:sz w:val="20"/>
              </w:rPr>
              <w:t>EEPP</w:t>
            </w:r>
            <w:r w:rsidRPr="005949B1">
              <w:rPr>
                <w:rFonts w:ascii="Arial" w:hAnsi="Arial" w:cs="Arial"/>
                <w:sz w:val="20"/>
              </w:rPr>
              <w:t xml:space="preserve"> de sectores no estratégicos con carácter mercantil </w:t>
            </w:r>
            <w:r>
              <w:rPr>
                <w:rFonts w:ascii="Arial" w:hAnsi="Arial" w:cs="Arial"/>
                <w:sz w:val="20"/>
              </w:rPr>
              <w:t>publicados</w:t>
            </w:r>
            <w:r w:rsidRPr="005949B1">
              <w:rPr>
                <w:rFonts w:ascii="Arial" w:hAnsi="Arial" w:cs="Arial"/>
                <w:sz w:val="20"/>
              </w:rPr>
              <w:t xml:space="preserve">. </w:t>
            </w:r>
          </w:p>
        </w:tc>
        <w:tc>
          <w:tcPr>
            <w:tcW w:w="1430" w:type="dxa"/>
            <w:tcBorders>
              <w:top w:val="single" w:sz="4" w:space="0" w:color="000000"/>
              <w:left w:val="single" w:sz="4" w:space="0" w:color="000000"/>
              <w:bottom w:val="single" w:sz="4" w:space="0" w:color="auto"/>
              <w:right w:val="single" w:sz="4" w:space="0" w:color="000000"/>
            </w:tcBorders>
          </w:tcPr>
          <w:p w14:paraId="29A0D1C0" w14:textId="77777777" w:rsidR="00E61175" w:rsidRDefault="00E61175" w:rsidP="008F3940">
            <w:pPr>
              <w:spacing w:beforeLines="20" w:before="48" w:afterLines="20" w:after="48"/>
              <w:jc w:val="center"/>
              <w:rPr>
                <w:rFonts w:ascii="Arial" w:hAnsi="Arial" w:cs="Arial"/>
                <w:sz w:val="20"/>
              </w:rPr>
            </w:pPr>
            <w:r>
              <w:rPr>
                <w:rFonts w:ascii="Arial" w:hAnsi="Arial" w:cs="Arial"/>
                <w:sz w:val="20"/>
              </w:rPr>
              <w:t>Decretos</w:t>
            </w:r>
          </w:p>
        </w:tc>
        <w:tc>
          <w:tcPr>
            <w:tcW w:w="990" w:type="dxa"/>
            <w:tcBorders>
              <w:top w:val="single" w:sz="4" w:space="0" w:color="000000"/>
              <w:left w:val="single" w:sz="4" w:space="0" w:color="000000"/>
              <w:bottom w:val="single" w:sz="4" w:space="0" w:color="auto"/>
              <w:right w:val="single" w:sz="4" w:space="0" w:color="000000"/>
            </w:tcBorders>
          </w:tcPr>
          <w:p w14:paraId="199B82E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auto"/>
              <w:right w:val="single" w:sz="4" w:space="0" w:color="000000"/>
            </w:tcBorders>
          </w:tcPr>
          <w:p w14:paraId="7DFA7F3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auto"/>
              <w:right w:val="single" w:sz="4" w:space="0" w:color="000000"/>
            </w:tcBorders>
          </w:tcPr>
          <w:p w14:paraId="0DEF0E8A"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2</w:t>
            </w:r>
          </w:p>
        </w:tc>
        <w:tc>
          <w:tcPr>
            <w:tcW w:w="2070" w:type="dxa"/>
            <w:tcBorders>
              <w:top w:val="single" w:sz="4" w:space="0" w:color="000000"/>
              <w:left w:val="single" w:sz="4" w:space="0" w:color="000000"/>
              <w:bottom w:val="single" w:sz="4" w:space="0" w:color="auto"/>
              <w:right w:val="single" w:sz="4" w:space="0" w:color="000000"/>
            </w:tcBorders>
          </w:tcPr>
          <w:p w14:paraId="270D8865" w14:textId="77777777" w:rsidR="00E61175" w:rsidRDefault="00E61175" w:rsidP="008F3940">
            <w:pPr>
              <w:spacing w:beforeLines="20" w:before="48" w:afterLines="20" w:after="48"/>
              <w:rPr>
                <w:rFonts w:ascii="Arial" w:hAnsi="Arial" w:cs="Arial"/>
                <w:sz w:val="20"/>
              </w:rPr>
            </w:pPr>
            <w:r>
              <w:rPr>
                <w:rFonts w:ascii="Arial" w:hAnsi="Arial" w:cs="Arial"/>
                <w:sz w:val="20"/>
                <w:lang w:val="es-ES"/>
              </w:rPr>
              <w:t>Registro</w:t>
            </w:r>
            <w:r w:rsidRPr="002D3D3B">
              <w:rPr>
                <w:rFonts w:ascii="Arial" w:hAnsi="Arial" w:cs="Arial"/>
                <w:sz w:val="20"/>
                <w:lang w:val="es-ES"/>
              </w:rPr>
              <w:t xml:space="preserve"> Oficial</w:t>
            </w:r>
            <w:r>
              <w:rPr>
                <w:rFonts w:ascii="Arial" w:hAnsi="Arial" w:cs="Arial"/>
                <w:sz w:val="20"/>
                <w:lang w:val="es-ES"/>
              </w:rPr>
              <w:t>, PRE.</w:t>
            </w:r>
          </w:p>
        </w:tc>
        <w:tc>
          <w:tcPr>
            <w:tcW w:w="2710" w:type="dxa"/>
            <w:tcBorders>
              <w:top w:val="single" w:sz="4" w:space="0" w:color="000000"/>
              <w:left w:val="single" w:sz="4" w:space="0" w:color="000000"/>
              <w:bottom w:val="single" w:sz="4" w:space="0" w:color="auto"/>
              <w:right w:val="single" w:sz="4" w:space="0" w:color="000000"/>
            </w:tcBorders>
          </w:tcPr>
          <w:p w14:paraId="4D365060" w14:textId="77777777" w:rsidR="00E61175" w:rsidRPr="005949B1" w:rsidRDefault="00E61175" w:rsidP="008F3940">
            <w:pPr>
              <w:spacing w:beforeLines="20" w:before="48" w:afterLines="20" w:after="48"/>
              <w:rPr>
                <w:rFonts w:ascii="Arial" w:hAnsi="Arial" w:cs="Arial"/>
                <w:sz w:val="20"/>
              </w:rPr>
            </w:pPr>
          </w:p>
        </w:tc>
      </w:tr>
      <w:tr w:rsidR="00E61175" w:rsidRPr="005949B1" w14:paraId="7F404F31" w14:textId="77777777" w:rsidTr="008F3940">
        <w:trPr>
          <w:trHeight w:val="20"/>
        </w:trPr>
        <w:tc>
          <w:tcPr>
            <w:tcW w:w="4055" w:type="dxa"/>
            <w:tcBorders>
              <w:top w:val="single" w:sz="4" w:space="0" w:color="000000"/>
              <w:left w:val="single" w:sz="4" w:space="0" w:color="000000"/>
              <w:bottom w:val="single" w:sz="4" w:space="0" w:color="auto"/>
              <w:right w:val="single" w:sz="4" w:space="0" w:color="000000"/>
            </w:tcBorders>
          </w:tcPr>
          <w:p w14:paraId="673C9F11"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1: 3.6 </w:t>
            </w:r>
            <w:r>
              <w:rPr>
                <w:rFonts w:ascii="Arial" w:hAnsi="Arial" w:cs="Arial"/>
                <w:sz w:val="20"/>
              </w:rPr>
              <w:t xml:space="preserve">Decreto </w:t>
            </w:r>
            <w:r w:rsidRPr="005949B1">
              <w:rPr>
                <w:rFonts w:ascii="Arial" w:hAnsi="Arial" w:cs="Arial"/>
                <w:bCs/>
                <w:sz w:val="20"/>
                <w:lang w:val="es-ES"/>
              </w:rPr>
              <w:t>de fusión de Petroecuador y Petroamazonas</w:t>
            </w:r>
            <w:r>
              <w:rPr>
                <w:rFonts w:ascii="Arial" w:hAnsi="Arial" w:cs="Arial"/>
                <w:bCs/>
                <w:sz w:val="20"/>
                <w:lang w:val="es-ES"/>
              </w:rPr>
              <w:t>.</w:t>
            </w:r>
            <w:r w:rsidRPr="005949B1">
              <w:rPr>
                <w:rFonts w:ascii="Arial" w:hAnsi="Arial" w:cs="Arial"/>
                <w:sz w:val="20"/>
              </w:rPr>
              <w:t xml:space="preserve"> </w:t>
            </w:r>
          </w:p>
        </w:tc>
        <w:tc>
          <w:tcPr>
            <w:tcW w:w="1430" w:type="dxa"/>
            <w:tcBorders>
              <w:top w:val="single" w:sz="4" w:space="0" w:color="000000"/>
              <w:left w:val="single" w:sz="4" w:space="0" w:color="000000"/>
              <w:bottom w:val="single" w:sz="4" w:space="0" w:color="auto"/>
              <w:right w:val="single" w:sz="4" w:space="0" w:color="000000"/>
            </w:tcBorders>
          </w:tcPr>
          <w:p w14:paraId="1BAF2BB7"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Decreto </w:t>
            </w:r>
          </w:p>
        </w:tc>
        <w:tc>
          <w:tcPr>
            <w:tcW w:w="990" w:type="dxa"/>
            <w:tcBorders>
              <w:top w:val="single" w:sz="4" w:space="0" w:color="000000"/>
              <w:left w:val="single" w:sz="4" w:space="0" w:color="000000"/>
              <w:bottom w:val="single" w:sz="4" w:space="0" w:color="auto"/>
              <w:right w:val="single" w:sz="4" w:space="0" w:color="000000"/>
            </w:tcBorders>
          </w:tcPr>
          <w:p w14:paraId="2A2CCB7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auto"/>
              <w:right w:val="single" w:sz="4" w:space="0" w:color="000000"/>
            </w:tcBorders>
          </w:tcPr>
          <w:p w14:paraId="1386991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auto"/>
              <w:right w:val="single" w:sz="4" w:space="0" w:color="000000"/>
            </w:tcBorders>
          </w:tcPr>
          <w:p w14:paraId="2DAB6FFB"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auto"/>
              <w:right w:val="single" w:sz="4" w:space="0" w:color="000000"/>
            </w:tcBorders>
          </w:tcPr>
          <w:p w14:paraId="24F3B040" w14:textId="77777777" w:rsidR="00E61175" w:rsidRPr="005949B1" w:rsidRDefault="00E61175" w:rsidP="008F3940">
            <w:pPr>
              <w:spacing w:beforeLines="20" w:before="48" w:afterLines="20" w:after="48"/>
              <w:rPr>
                <w:rFonts w:ascii="Arial" w:hAnsi="Arial" w:cs="Arial"/>
                <w:sz w:val="20"/>
              </w:rPr>
            </w:pPr>
            <w:r>
              <w:rPr>
                <w:rFonts w:ascii="Arial" w:hAnsi="Arial" w:cs="Arial"/>
                <w:sz w:val="20"/>
                <w:lang w:val="es-ES"/>
              </w:rPr>
              <w:t>Registro</w:t>
            </w:r>
            <w:r w:rsidRPr="002D3D3B">
              <w:rPr>
                <w:rFonts w:ascii="Arial" w:hAnsi="Arial" w:cs="Arial"/>
                <w:sz w:val="20"/>
                <w:lang w:val="es-ES"/>
              </w:rPr>
              <w:t xml:space="preserve"> Oficial</w:t>
            </w:r>
            <w:r>
              <w:rPr>
                <w:rFonts w:ascii="Arial" w:hAnsi="Arial" w:cs="Arial"/>
                <w:sz w:val="20"/>
                <w:lang w:val="es-ES"/>
              </w:rPr>
              <w:t>,</w:t>
            </w:r>
            <w:r w:rsidRPr="002D3D3B">
              <w:rPr>
                <w:rFonts w:ascii="Arial" w:hAnsi="Arial" w:cs="Arial"/>
                <w:sz w:val="20"/>
                <w:lang w:val="es-ES"/>
              </w:rPr>
              <w:t xml:space="preserve"> </w:t>
            </w:r>
            <w:r>
              <w:rPr>
                <w:rFonts w:ascii="Arial" w:hAnsi="Arial" w:cs="Arial"/>
                <w:sz w:val="20"/>
                <w:lang w:val="es-ES"/>
              </w:rPr>
              <w:t>PRE.</w:t>
            </w:r>
          </w:p>
        </w:tc>
        <w:tc>
          <w:tcPr>
            <w:tcW w:w="2710" w:type="dxa"/>
            <w:tcBorders>
              <w:top w:val="single" w:sz="4" w:space="0" w:color="000000"/>
              <w:left w:val="single" w:sz="4" w:space="0" w:color="000000"/>
              <w:bottom w:val="single" w:sz="4" w:space="0" w:color="auto"/>
              <w:right w:val="single" w:sz="4" w:space="0" w:color="000000"/>
            </w:tcBorders>
          </w:tcPr>
          <w:p w14:paraId="33BD4657" w14:textId="77777777" w:rsidR="00E61175" w:rsidRPr="005949B1" w:rsidRDefault="00E61175" w:rsidP="008F3940">
            <w:pPr>
              <w:spacing w:beforeLines="20" w:before="48" w:afterLines="20" w:after="48"/>
              <w:rPr>
                <w:rFonts w:ascii="Arial" w:hAnsi="Arial" w:cs="Arial"/>
                <w:sz w:val="20"/>
              </w:rPr>
            </w:pPr>
          </w:p>
        </w:tc>
      </w:tr>
      <w:tr w:rsidR="00E61175" w:rsidRPr="005949B1" w14:paraId="7DF53F2E" w14:textId="77777777" w:rsidTr="008F3940">
        <w:trPr>
          <w:trHeight w:val="20"/>
        </w:trPr>
        <w:tc>
          <w:tcPr>
            <w:tcW w:w="4055" w:type="dxa"/>
            <w:tcBorders>
              <w:top w:val="single" w:sz="4" w:space="0" w:color="000000"/>
              <w:left w:val="single" w:sz="4" w:space="0" w:color="000000"/>
              <w:bottom w:val="single" w:sz="4" w:space="0" w:color="auto"/>
              <w:right w:val="single" w:sz="4" w:space="0" w:color="000000"/>
            </w:tcBorders>
          </w:tcPr>
          <w:p w14:paraId="612B17F7"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2: 3.6 </w:t>
            </w:r>
            <w:r>
              <w:rPr>
                <w:rFonts w:ascii="Arial" w:hAnsi="Arial" w:cs="Arial"/>
                <w:sz w:val="20"/>
              </w:rPr>
              <w:t xml:space="preserve">Informe preliminar con </w:t>
            </w:r>
            <w:r w:rsidRPr="005949B1">
              <w:rPr>
                <w:rFonts w:ascii="Arial" w:hAnsi="Arial" w:cs="Arial"/>
                <w:sz w:val="20"/>
              </w:rPr>
              <w:t xml:space="preserve">el diagnóstico </w:t>
            </w:r>
            <w:r>
              <w:rPr>
                <w:rFonts w:ascii="Arial" w:hAnsi="Arial" w:cs="Arial"/>
                <w:sz w:val="20"/>
              </w:rPr>
              <w:t xml:space="preserve">para </w:t>
            </w:r>
            <w:r w:rsidRPr="005949B1">
              <w:rPr>
                <w:rFonts w:ascii="Arial" w:hAnsi="Arial" w:cs="Arial"/>
                <w:sz w:val="20"/>
              </w:rPr>
              <w:t xml:space="preserve">la fusión de Petroamazonas y Petroecuador. </w:t>
            </w:r>
          </w:p>
        </w:tc>
        <w:tc>
          <w:tcPr>
            <w:tcW w:w="1430" w:type="dxa"/>
            <w:tcBorders>
              <w:top w:val="single" w:sz="4" w:space="0" w:color="000000"/>
              <w:left w:val="single" w:sz="4" w:space="0" w:color="000000"/>
              <w:bottom w:val="single" w:sz="4" w:space="0" w:color="auto"/>
              <w:right w:val="single" w:sz="4" w:space="0" w:color="000000"/>
            </w:tcBorders>
          </w:tcPr>
          <w:p w14:paraId="4D4340A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Informe </w:t>
            </w:r>
          </w:p>
        </w:tc>
        <w:tc>
          <w:tcPr>
            <w:tcW w:w="990" w:type="dxa"/>
            <w:tcBorders>
              <w:top w:val="single" w:sz="4" w:space="0" w:color="000000"/>
              <w:left w:val="single" w:sz="4" w:space="0" w:color="000000"/>
              <w:bottom w:val="single" w:sz="4" w:space="0" w:color="auto"/>
              <w:right w:val="single" w:sz="4" w:space="0" w:color="000000"/>
            </w:tcBorders>
          </w:tcPr>
          <w:p w14:paraId="28147CB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auto"/>
              <w:right w:val="single" w:sz="4" w:space="0" w:color="000000"/>
            </w:tcBorders>
          </w:tcPr>
          <w:p w14:paraId="35026DB3"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auto"/>
              <w:right w:val="single" w:sz="4" w:space="0" w:color="000000"/>
            </w:tcBorders>
          </w:tcPr>
          <w:p w14:paraId="39373C5A"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auto"/>
              <w:right w:val="single" w:sz="4" w:space="0" w:color="000000"/>
            </w:tcBorders>
          </w:tcPr>
          <w:p w14:paraId="171317BF" w14:textId="77777777" w:rsidR="00E61175" w:rsidRPr="005949B1" w:rsidRDefault="00E61175" w:rsidP="008F3940">
            <w:pPr>
              <w:spacing w:beforeLines="20" w:before="48" w:afterLines="20" w:after="48"/>
              <w:rPr>
                <w:rFonts w:ascii="Arial" w:hAnsi="Arial" w:cs="Arial"/>
                <w:sz w:val="20"/>
              </w:rPr>
            </w:pPr>
            <w:r>
              <w:rPr>
                <w:rFonts w:ascii="Arial" w:hAnsi="Arial" w:cs="Arial"/>
                <w:sz w:val="20"/>
              </w:rPr>
              <w:t>Certificado de recepción, Unidad Temporal de Fusión de las Petroleras.</w:t>
            </w:r>
          </w:p>
        </w:tc>
        <w:tc>
          <w:tcPr>
            <w:tcW w:w="2710" w:type="dxa"/>
            <w:tcBorders>
              <w:top w:val="single" w:sz="4" w:space="0" w:color="000000"/>
              <w:left w:val="single" w:sz="4" w:space="0" w:color="000000"/>
              <w:bottom w:val="single" w:sz="4" w:space="0" w:color="auto"/>
              <w:right w:val="single" w:sz="4" w:space="0" w:color="000000"/>
            </w:tcBorders>
          </w:tcPr>
          <w:p w14:paraId="5282C610" w14:textId="77777777" w:rsidR="00E61175" w:rsidRPr="005949B1" w:rsidRDefault="00E61175" w:rsidP="008F3940">
            <w:pPr>
              <w:spacing w:beforeLines="20" w:before="48" w:afterLines="20" w:after="48"/>
              <w:rPr>
                <w:rFonts w:ascii="Arial" w:hAnsi="Arial" w:cs="Arial"/>
                <w:sz w:val="20"/>
              </w:rPr>
            </w:pPr>
            <w:r>
              <w:rPr>
                <w:rFonts w:ascii="Arial" w:hAnsi="Arial" w:cs="Arial"/>
                <w:sz w:val="20"/>
              </w:rPr>
              <w:t>Informe elaborado por la consultora contratada.</w:t>
            </w:r>
          </w:p>
        </w:tc>
      </w:tr>
      <w:tr w:rsidR="00E61175" w:rsidRPr="005949B1" w14:paraId="5CFF7A69" w14:textId="77777777" w:rsidTr="008F3940">
        <w:trPr>
          <w:trHeight w:val="20"/>
        </w:trPr>
        <w:tc>
          <w:tcPr>
            <w:tcW w:w="13145" w:type="dxa"/>
            <w:gridSpan w:val="7"/>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4485D314" w14:textId="1ACBD2F4" w:rsidR="00E61175" w:rsidRPr="005949B1" w:rsidRDefault="00E61175" w:rsidP="008F3940">
            <w:pPr>
              <w:spacing w:beforeLines="20" w:before="48" w:afterLines="20" w:after="48"/>
              <w:rPr>
                <w:rFonts w:ascii="Arial" w:hAnsi="Arial" w:cs="Arial"/>
                <w:sz w:val="20"/>
              </w:rPr>
            </w:pPr>
            <w:r w:rsidRPr="005949B1">
              <w:rPr>
                <w:rFonts w:ascii="Arial" w:hAnsi="Arial" w:cs="Arial"/>
                <w:b/>
                <w:sz w:val="20"/>
                <w:lang w:val="es-ES"/>
              </w:rPr>
              <w:t>Componente IV.</w:t>
            </w:r>
            <w:r w:rsidR="009027B3">
              <w:rPr>
                <w:rFonts w:ascii="Arial" w:hAnsi="Arial" w:cs="Arial"/>
                <w:b/>
                <w:sz w:val="20"/>
                <w:lang w:val="es-ES"/>
              </w:rPr>
              <w:t xml:space="preserve"> </w:t>
            </w:r>
            <w:r w:rsidRPr="005949B1">
              <w:rPr>
                <w:rFonts w:ascii="Arial" w:hAnsi="Arial" w:cs="Arial"/>
                <w:b/>
                <w:bCs/>
                <w:kern w:val="18"/>
                <w:sz w:val="20"/>
              </w:rPr>
              <w:t xml:space="preserve">Mejora en la eficiencia </w:t>
            </w:r>
            <w:r>
              <w:rPr>
                <w:rFonts w:ascii="Arial" w:hAnsi="Arial" w:cs="Arial"/>
                <w:b/>
                <w:bCs/>
                <w:kern w:val="18"/>
                <w:sz w:val="20"/>
              </w:rPr>
              <w:t xml:space="preserve">y transparencia </w:t>
            </w:r>
            <w:r w:rsidRPr="005949B1">
              <w:rPr>
                <w:rFonts w:ascii="Arial" w:hAnsi="Arial" w:cs="Arial"/>
                <w:b/>
                <w:bCs/>
                <w:kern w:val="18"/>
                <w:sz w:val="20"/>
              </w:rPr>
              <w:t>de la política y gestión tributaria</w:t>
            </w:r>
          </w:p>
        </w:tc>
      </w:tr>
      <w:tr w:rsidR="00E61175" w:rsidRPr="005949B1" w14:paraId="6E2CB88C"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5007E74F"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1: 4.1 </w:t>
            </w:r>
            <w:r w:rsidRPr="00BD61E6">
              <w:rPr>
                <w:rFonts w:ascii="Arial" w:hAnsi="Arial" w:cs="Arial"/>
                <w:bCs/>
                <w:kern w:val="18"/>
                <w:sz w:val="20"/>
              </w:rPr>
              <w:t>Convención sobre Asistencia Administrativa Mutua (CAAM)</w:t>
            </w:r>
            <w:r w:rsidRPr="005949B1">
              <w:rPr>
                <w:rFonts w:ascii="Arial" w:hAnsi="Arial" w:cs="Arial"/>
                <w:bCs/>
                <w:sz w:val="20"/>
              </w:rPr>
              <w:t xml:space="preserve"> del Foro Global de la OCDE suscrita mediante declaración, incluyendo e</w:t>
            </w:r>
            <w:r w:rsidRPr="005949B1">
              <w:rPr>
                <w:rFonts w:ascii="Arial" w:hAnsi="Arial" w:cs="Arial"/>
                <w:sz w:val="20"/>
              </w:rPr>
              <w:t>l intercambio de información financiera con fines fiscales tanto a requerimiento (EOIR) como automático (AEIO) suscrita por el Estado.</w:t>
            </w:r>
          </w:p>
        </w:tc>
        <w:tc>
          <w:tcPr>
            <w:tcW w:w="1430" w:type="dxa"/>
            <w:tcBorders>
              <w:top w:val="single" w:sz="4" w:space="0" w:color="000000"/>
              <w:left w:val="single" w:sz="4" w:space="0" w:color="000000"/>
              <w:bottom w:val="single" w:sz="4" w:space="0" w:color="000000"/>
              <w:right w:val="single" w:sz="4" w:space="0" w:color="000000"/>
            </w:tcBorders>
          </w:tcPr>
          <w:p w14:paraId="5A41A162" w14:textId="77777777" w:rsidR="00E61175" w:rsidRPr="005949B1" w:rsidRDefault="00E61175" w:rsidP="008F3940">
            <w:pPr>
              <w:spacing w:beforeLines="20" w:before="48" w:afterLines="20" w:after="48"/>
              <w:jc w:val="center"/>
              <w:rPr>
                <w:rFonts w:ascii="Arial" w:hAnsi="Arial" w:cs="Arial"/>
                <w:sz w:val="20"/>
              </w:rPr>
            </w:pPr>
            <w:r w:rsidRPr="00BD61E6">
              <w:rPr>
                <w:rFonts w:ascii="Arial" w:hAnsi="Arial" w:cs="Arial"/>
                <w:bCs/>
                <w:kern w:val="18"/>
                <w:sz w:val="20"/>
              </w:rPr>
              <w:t xml:space="preserve">Convención </w:t>
            </w:r>
          </w:p>
        </w:tc>
        <w:tc>
          <w:tcPr>
            <w:tcW w:w="990" w:type="dxa"/>
            <w:tcBorders>
              <w:top w:val="single" w:sz="4" w:space="0" w:color="000000"/>
              <w:left w:val="single" w:sz="4" w:space="0" w:color="000000"/>
              <w:bottom w:val="single" w:sz="4" w:space="0" w:color="000000"/>
              <w:right w:val="single" w:sz="4" w:space="0" w:color="000000"/>
            </w:tcBorders>
          </w:tcPr>
          <w:p w14:paraId="22D904B8"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7A96D1B2"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06F7851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60BA6F4B" w14:textId="77777777" w:rsidR="00E61175" w:rsidRPr="005949B1" w:rsidRDefault="00E61175" w:rsidP="008F3940">
            <w:pPr>
              <w:spacing w:beforeLines="20" w:before="48" w:afterLines="20" w:after="48"/>
              <w:rPr>
                <w:rFonts w:ascii="Arial" w:hAnsi="Arial" w:cs="Arial"/>
                <w:sz w:val="20"/>
              </w:rPr>
            </w:pPr>
            <w:r w:rsidRPr="00BD61E6">
              <w:rPr>
                <w:rFonts w:ascii="Arial" w:hAnsi="Arial" w:cs="Arial"/>
                <w:bCs/>
                <w:kern w:val="18"/>
                <w:sz w:val="20"/>
              </w:rPr>
              <w:t>CAAM</w:t>
            </w:r>
            <w:r w:rsidRPr="00BD61E6" w:rsidDel="002E02DE">
              <w:rPr>
                <w:rFonts w:ascii="Arial" w:hAnsi="Arial" w:cs="Arial"/>
                <w:sz w:val="20"/>
              </w:rPr>
              <w:t xml:space="preserve"> </w:t>
            </w:r>
            <w:r>
              <w:rPr>
                <w:rFonts w:ascii="Arial" w:eastAsia="Arial" w:hAnsi="Arial" w:cs="Arial"/>
                <w:sz w:val="20"/>
                <w:lang w:val="es-ES"/>
              </w:rPr>
              <w:t>f</w:t>
            </w:r>
            <w:r w:rsidRPr="00BD61E6">
              <w:rPr>
                <w:rFonts w:ascii="Arial" w:eastAsia="Arial" w:hAnsi="Arial" w:cs="Arial"/>
                <w:sz w:val="20"/>
                <w:lang w:val="es-ES"/>
              </w:rPr>
              <w:t>irmada</w:t>
            </w:r>
            <w:r>
              <w:rPr>
                <w:rFonts w:ascii="Arial" w:eastAsia="Arial" w:hAnsi="Arial" w:cs="Arial"/>
                <w:sz w:val="20"/>
                <w:lang w:val="es-ES"/>
              </w:rPr>
              <w:t>, SRI.</w:t>
            </w:r>
          </w:p>
        </w:tc>
        <w:tc>
          <w:tcPr>
            <w:tcW w:w="2710" w:type="dxa"/>
            <w:tcBorders>
              <w:top w:val="single" w:sz="4" w:space="0" w:color="000000"/>
              <w:left w:val="single" w:sz="4" w:space="0" w:color="000000"/>
              <w:bottom w:val="single" w:sz="4" w:space="0" w:color="000000"/>
              <w:right w:val="single" w:sz="4" w:space="0" w:color="000000"/>
            </w:tcBorders>
          </w:tcPr>
          <w:p w14:paraId="6B4C6E34" w14:textId="77777777" w:rsidR="00E61175" w:rsidRPr="005949B1" w:rsidRDefault="00E61175" w:rsidP="008F3940">
            <w:pPr>
              <w:spacing w:beforeLines="20" w:before="48" w:afterLines="20" w:after="48"/>
              <w:rPr>
                <w:rFonts w:ascii="Arial" w:hAnsi="Arial" w:cs="Arial"/>
                <w:sz w:val="20"/>
              </w:rPr>
            </w:pPr>
          </w:p>
        </w:tc>
      </w:tr>
      <w:tr w:rsidR="00E61175" w:rsidRPr="005949B1" w14:paraId="72F258DA"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44B0D635" w14:textId="77777777" w:rsidR="00E61175" w:rsidRPr="005949B1" w:rsidRDefault="00E61175" w:rsidP="008F3940">
            <w:pPr>
              <w:spacing w:beforeLines="20" w:before="48" w:afterLines="20" w:after="48"/>
              <w:rPr>
                <w:rFonts w:ascii="Arial" w:hAnsi="Arial" w:cs="Arial"/>
                <w:bCs/>
                <w:sz w:val="20"/>
              </w:rPr>
            </w:pPr>
            <w:r w:rsidRPr="005949B1">
              <w:rPr>
                <w:rFonts w:ascii="Arial" w:hAnsi="Arial" w:cs="Arial"/>
                <w:sz w:val="20"/>
              </w:rPr>
              <w:t>Tramo 2: 4.1</w:t>
            </w:r>
            <w:r>
              <w:rPr>
                <w:rFonts w:ascii="Arial" w:hAnsi="Arial" w:cs="Arial"/>
                <w:sz w:val="20"/>
              </w:rPr>
              <w:t xml:space="preserve"> a:</w:t>
            </w:r>
            <w:r w:rsidRPr="005949B1">
              <w:rPr>
                <w:rFonts w:ascii="Arial" w:hAnsi="Arial" w:cs="Arial"/>
                <w:sz w:val="20"/>
              </w:rPr>
              <w:t xml:space="preserve"> </w:t>
            </w:r>
            <w:r w:rsidRPr="005949B1">
              <w:rPr>
                <w:rFonts w:ascii="Arial" w:hAnsi="Arial" w:cs="Arial"/>
                <w:bCs/>
                <w:sz w:val="20"/>
                <w:lang w:val="es-ES"/>
              </w:rPr>
              <w:t xml:space="preserve">CAAM </w:t>
            </w:r>
            <w:r>
              <w:rPr>
                <w:rFonts w:ascii="Arial" w:hAnsi="Arial" w:cs="Arial"/>
                <w:bCs/>
                <w:sz w:val="20"/>
                <w:lang w:val="es-ES"/>
              </w:rPr>
              <w:t>refrendada por la AN.</w:t>
            </w:r>
          </w:p>
        </w:tc>
        <w:tc>
          <w:tcPr>
            <w:tcW w:w="1430" w:type="dxa"/>
            <w:tcBorders>
              <w:top w:val="single" w:sz="4" w:space="0" w:color="000000"/>
              <w:left w:val="single" w:sz="4" w:space="0" w:color="000000"/>
              <w:bottom w:val="single" w:sz="4" w:space="0" w:color="000000"/>
              <w:right w:val="single" w:sz="4" w:space="0" w:color="000000"/>
            </w:tcBorders>
          </w:tcPr>
          <w:p w14:paraId="4F169921" w14:textId="77777777" w:rsidR="00E61175" w:rsidRPr="004508C6" w:rsidRDefault="00E61175" w:rsidP="008F3940">
            <w:pPr>
              <w:spacing w:beforeLines="20" w:before="48" w:afterLines="20" w:after="48"/>
              <w:jc w:val="center"/>
              <w:rPr>
                <w:rFonts w:ascii="Arial" w:hAnsi="Arial" w:cs="Arial"/>
                <w:sz w:val="20"/>
                <w:lang w:val="es-ES"/>
              </w:rPr>
            </w:pPr>
            <w:r w:rsidRPr="004508C6">
              <w:rPr>
                <w:rFonts w:ascii="Arial" w:hAnsi="Arial" w:cs="Arial"/>
                <w:bCs/>
                <w:kern w:val="18"/>
                <w:sz w:val="20"/>
                <w:lang w:val="es-ES"/>
              </w:rPr>
              <w:t>Convención</w:t>
            </w:r>
          </w:p>
        </w:tc>
        <w:tc>
          <w:tcPr>
            <w:tcW w:w="990" w:type="dxa"/>
            <w:tcBorders>
              <w:top w:val="single" w:sz="4" w:space="0" w:color="000000"/>
              <w:left w:val="single" w:sz="4" w:space="0" w:color="000000"/>
              <w:bottom w:val="single" w:sz="4" w:space="0" w:color="000000"/>
              <w:right w:val="single" w:sz="4" w:space="0" w:color="000000"/>
            </w:tcBorders>
          </w:tcPr>
          <w:p w14:paraId="30FD53B7"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01816D53"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5D4BB476"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3C56EC42" w14:textId="77777777" w:rsidR="00E61175" w:rsidRPr="005949B1" w:rsidRDefault="00E61175" w:rsidP="008F3940">
            <w:pPr>
              <w:spacing w:beforeLines="20" w:before="48" w:afterLines="20" w:after="48"/>
              <w:rPr>
                <w:rFonts w:ascii="Arial" w:hAnsi="Arial" w:cs="Arial"/>
                <w:sz w:val="20"/>
              </w:rPr>
            </w:pPr>
            <w:r w:rsidRPr="00DF4C13">
              <w:rPr>
                <w:rFonts w:ascii="Arial" w:eastAsia="Arial" w:hAnsi="Arial" w:cs="Arial"/>
                <w:sz w:val="20"/>
                <w:lang w:val="es-ES"/>
              </w:rPr>
              <w:t xml:space="preserve">Fe de presentación de la </w:t>
            </w:r>
            <w:r>
              <w:rPr>
                <w:rFonts w:ascii="Arial" w:hAnsi="Arial" w:cs="Arial"/>
                <w:sz w:val="20"/>
              </w:rPr>
              <w:t>CAAM a la AN, PRE</w:t>
            </w:r>
            <w:r>
              <w:rPr>
                <w:rFonts w:ascii="Arial" w:hAnsi="Arial" w:cs="Arial"/>
                <w:sz w:val="20"/>
                <w:lang w:val="es-ES"/>
              </w:rPr>
              <w:t>.</w:t>
            </w:r>
          </w:p>
        </w:tc>
        <w:tc>
          <w:tcPr>
            <w:tcW w:w="2710" w:type="dxa"/>
            <w:tcBorders>
              <w:top w:val="single" w:sz="4" w:space="0" w:color="000000"/>
              <w:left w:val="single" w:sz="4" w:space="0" w:color="000000"/>
              <w:bottom w:val="single" w:sz="4" w:space="0" w:color="000000"/>
              <w:right w:val="single" w:sz="4" w:space="0" w:color="000000"/>
            </w:tcBorders>
          </w:tcPr>
          <w:p w14:paraId="6DB279AA" w14:textId="77777777" w:rsidR="00E61175" w:rsidRPr="005949B1" w:rsidRDefault="00E61175" w:rsidP="008F3940">
            <w:pPr>
              <w:spacing w:beforeLines="20" w:before="48" w:afterLines="20" w:after="48"/>
              <w:rPr>
                <w:rFonts w:ascii="Arial" w:hAnsi="Arial" w:cs="Arial"/>
                <w:sz w:val="20"/>
              </w:rPr>
            </w:pPr>
          </w:p>
        </w:tc>
      </w:tr>
      <w:tr w:rsidR="00E61175" w:rsidRPr="005949B1" w14:paraId="7C399F77"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5647AB30"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lastRenderedPageBreak/>
              <w:t xml:space="preserve">Tramo 2: 4.1 </w:t>
            </w:r>
            <w:r>
              <w:rPr>
                <w:rFonts w:ascii="Arial" w:hAnsi="Arial" w:cs="Arial"/>
                <w:sz w:val="20"/>
              </w:rPr>
              <w:t xml:space="preserve">b: Documento de </w:t>
            </w:r>
            <w:r w:rsidRPr="005949B1">
              <w:rPr>
                <w:rFonts w:ascii="Arial" w:hAnsi="Arial" w:cs="Arial"/>
                <w:sz w:val="20"/>
              </w:rPr>
              <w:t xml:space="preserve">Evaluación final positiva del Foro Global completada </w:t>
            </w:r>
            <w:r>
              <w:rPr>
                <w:rFonts w:ascii="Arial" w:hAnsi="Arial" w:cs="Arial"/>
                <w:sz w:val="20"/>
              </w:rPr>
              <w:t xml:space="preserve">sobre al CAAM </w:t>
            </w:r>
            <w:r w:rsidRPr="005949B1">
              <w:rPr>
                <w:rFonts w:ascii="Arial" w:hAnsi="Arial" w:cs="Arial"/>
                <w:sz w:val="20"/>
              </w:rPr>
              <w:t>(con resultado “</w:t>
            </w:r>
            <w:r w:rsidRPr="005949B1">
              <w:rPr>
                <w:rFonts w:ascii="Arial" w:hAnsi="Arial" w:cs="Arial"/>
                <w:i/>
                <w:sz w:val="20"/>
              </w:rPr>
              <w:t>compliant</w:t>
            </w:r>
            <w:r w:rsidRPr="005949B1">
              <w:rPr>
                <w:rFonts w:ascii="Arial" w:hAnsi="Arial" w:cs="Arial"/>
                <w:sz w:val="20"/>
              </w:rPr>
              <w:t>” o “</w:t>
            </w:r>
            <w:r w:rsidRPr="005949B1">
              <w:rPr>
                <w:rFonts w:ascii="Arial" w:hAnsi="Arial" w:cs="Arial"/>
                <w:i/>
                <w:sz w:val="20"/>
              </w:rPr>
              <w:t>largely compliant</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167F445B" w14:textId="77777777" w:rsidR="00E61175" w:rsidRDefault="00E61175" w:rsidP="008F3940">
            <w:pPr>
              <w:spacing w:beforeLines="20" w:before="48" w:afterLines="20" w:after="48"/>
              <w:jc w:val="center"/>
              <w:rPr>
                <w:rFonts w:ascii="Arial" w:hAnsi="Arial" w:cs="Arial"/>
                <w:bCs/>
                <w:kern w:val="18"/>
                <w:sz w:val="20"/>
              </w:rPr>
            </w:pPr>
            <w:r>
              <w:rPr>
                <w:rFonts w:ascii="Arial" w:hAnsi="Arial" w:cs="Arial"/>
                <w:bCs/>
                <w:kern w:val="18"/>
                <w:sz w:val="20"/>
              </w:rPr>
              <w:t>Documento</w:t>
            </w:r>
          </w:p>
        </w:tc>
        <w:tc>
          <w:tcPr>
            <w:tcW w:w="990" w:type="dxa"/>
            <w:tcBorders>
              <w:top w:val="single" w:sz="4" w:space="0" w:color="000000"/>
              <w:left w:val="single" w:sz="4" w:space="0" w:color="000000"/>
              <w:bottom w:val="single" w:sz="4" w:space="0" w:color="000000"/>
              <w:right w:val="single" w:sz="4" w:space="0" w:color="000000"/>
            </w:tcBorders>
          </w:tcPr>
          <w:p w14:paraId="2B6E0A76"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37941B92"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47F28D8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3F2D2813" w14:textId="18689B86" w:rsidR="00E61175" w:rsidRDefault="00E61175" w:rsidP="008F3940">
            <w:pPr>
              <w:spacing w:beforeLines="20" w:before="48" w:afterLines="20" w:after="48"/>
              <w:rPr>
                <w:rFonts w:ascii="Arial" w:hAnsi="Arial" w:cs="Arial"/>
                <w:bCs/>
                <w:kern w:val="18"/>
                <w:sz w:val="20"/>
              </w:rPr>
            </w:pPr>
            <w:r>
              <w:rPr>
                <w:rFonts w:ascii="Arial" w:hAnsi="Arial" w:cs="Arial"/>
                <w:bCs/>
                <w:kern w:val="18"/>
                <w:sz w:val="20"/>
              </w:rPr>
              <w:t xml:space="preserve">Publicación de la </w:t>
            </w:r>
            <w:r w:rsidRPr="00BD61E6">
              <w:rPr>
                <w:rFonts w:ascii="Arial" w:hAnsi="Arial" w:cs="Arial"/>
                <w:bCs/>
                <w:kern w:val="18"/>
                <w:sz w:val="20"/>
              </w:rPr>
              <w:t>Evaluación final</w:t>
            </w:r>
            <w:r w:rsidR="009027B3">
              <w:rPr>
                <w:rFonts w:ascii="Arial" w:hAnsi="Arial" w:cs="Arial"/>
                <w:bCs/>
                <w:kern w:val="18"/>
                <w:sz w:val="20"/>
              </w:rPr>
              <w:t xml:space="preserve"> </w:t>
            </w:r>
            <w:r>
              <w:rPr>
                <w:rFonts w:ascii="Arial" w:hAnsi="Arial" w:cs="Arial"/>
                <w:bCs/>
                <w:kern w:val="18"/>
                <w:sz w:val="20"/>
              </w:rPr>
              <w:t xml:space="preserve">del </w:t>
            </w:r>
            <w:r w:rsidRPr="00BD61E6">
              <w:rPr>
                <w:rFonts w:ascii="Arial" w:hAnsi="Arial" w:cs="Arial"/>
                <w:bCs/>
                <w:kern w:val="18"/>
                <w:sz w:val="20"/>
              </w:rPr>
              <w:t>Foro Global</w:t>
            </w:r>
            <w:r>
              <w:rPr>
                <w:rFonts w:ascii="Arial" w:hAnsi="Arial" w:cs="Arial"/>
                <w:bCs/>
                <w:kern w:val="18"/>
                <w:sz w:val="20"/>
              </w:rPr>
              <w:t>, SRI.</w:t>
            </w:r>
          </w:p>
          <w:p w14:paraId="4267302D" w14:textId="77777777" w:rsidR="00E61175" w:rsidRDefault="00E61175" w:rsidP="008F3940">
            <w:pPr>
              <w:spacing w:beforeLines="20" w:before="48" w:afterLines="20" w:after="48"/>
              <w:rPr>
                <w:rFonts w:ascii="Arial" w:hAnsi="Arial" w:cs="Arial"/>
                <w:bCs/>
                <w:kern w:val="18"/>
                <w:sz w:val="20"/>
              </w:rPr>
            </w:pPr>
          </w:p>
        </w:tc>
        <w:tc>
          <w:tcPr>
            <w:tcW w:w="2710" w:type="dxa"/>
            <w:tcBorders>
              <w:top w:val="single" w:sz="4" w:space="0" w:color="000000"/>
              <w:left w:val="single" w:sz="4" w:space="0" w:color="000000"/>
              <w:bottom w:val="single" w:sz="4" w:space="0" w:color="000000"/>
              <w:right w:val="single" w:sz="4" w:space="0" w:color="000000"/>
            </w:tcBorders>
          </w:tcPr>
          <w:p w14:paraId="0BB00EEF" w14:textId="77777777" w:rsidR="00E61175" w:rsidRPr="005949B1" w:rsidRDefault="00E61175" w:rsidP="008F3940">
            <w:pPr>
              <w:spacing w:beforeLines="20" w:before="48" w:afterLines="20" w:after="48"/>
              <w:rPr>
                <w:rFonts w:ascii="Arial" w:hAnsi="Arial" w:cs="Arial"/>
                <w:sz w:val="20"/>
              </w:rPr>
            </w:pPr>
          </w:p>
        </w:tc>
      </w:tr>
      <w:tr w:rsidR="00E61175" w:rsidRPr="005949B1" w14:paraId="2FA5C742"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49A7A4B9" w14:textId="4FC9CB66"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1: 4.2 </w:t>
            </w:r>
            <w:r w:rsidR="00115A75">
              <w:rPr>
                <w:rFonts w:ascii="Arial" w:hAnsi="Arial" w:cs="Arial"/>
                <w:bCs/>
                <w:sz w:val="20"/>
              </w:rPr>
              <w:t>Ley de Reactivación Económica y</w:t>
            </w:r>
            <w:r w:rsidR="00115A75" w:rsidRPr="005949B1">
              <w:rPr>
                <w:rFonts w:ascii="Arial" w:hAnsi="Arial" w:cs="Arial"/>
                <w:bCs/>
                <w:kern w:val="18"/>
                <w:sz w:val="20"/>
              </w:rPr>
              <w:t xml:space="preserve"> </w:t>
            </w:r>
            <w:r w:rsidRPr="005949B1">
              <w:rPr>
                <w:rFonts w:ascii="Arial" w:hAnsi="Arial" w:cs="Arial"/>
                <w:bCs/>
                <w:kern w:val="18"/>
                <w:sz w:val="20"/>
              </w:rPr>
              <w:t>Resoluci</w:t>
            </w:r>
            <w:r>
              <w:rPr>
                <w:rFonts w:ascii="Arial" w:hAnsi="Arial" w:cs="Arial"/>
                <w:bCs/>
                <w:kern w:val="18"/>
                <w:sz w:val="20"/>
              </w:rPr>
              <w:t>ó</w:t>
            </w:r>
            <w:r w:rsidRPr="005949B1">
              <w:rPr>
                <w:rFonts w:ascii="Arial" w:hAnsi="Arial" w:cs="Arial"/>
                <w:bCs/>
                <w:kern w:val="18"/>
                <w:sz w:val="20"/>
              </w:rPr>
              <w:t xml:space="preserve">n del SRI </w:t>
            </w:r>
            <w:r>
              <w:rPr>
                <w:rFonts w:ascii="Arial" w:hAnsi="Arial" w:cs="Arial"/>
                <w:bCs/>
                <w:kern w:val="18"/>
                <w:sz w:val="20"/>
              </w:rPr>
              <w:t xml:space="preserve">para la </w:t>
            </w:r>
            <w:r w:rsidRPr="005949B1">
              <w:rPr>
                <w:rFonts w:ascii="Arial" w:hAnsi="Arial" w:cs="Arial"/>
                <w:bCs/>
                <w:sz w:val="20"/>
              </w:rPr>
              <w:t xml:space="preserve">Aplicación del </w:t>
            </w:r>
            <w:r w:rsidRPr="005949B1">
              <w:rPr>
                <w:rFonts w:ascii="Arial" w:hAnsi="Arial" w:cs="Arial"/>
                <w:sz w:val="20"/>
              </w:rPr>
              <w:t>Conocimiento del Ultimo Beneficiario de la propiedad según los estándares de transparencia del Foro Global de Intercambio de Transparencia Tributaria aprobad</w:t>
            </w:r>
            <w:r>
              <w:rPr>
                <w:rFonts w:ascii="Arial" w:hAnsi="Arial" w:cs="Arial"/>
                <w:sz w:val="20"/>
              </w:rPr>
              <w:t>a</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3F6716DD" w14:textId="37C943F2" w:rsidR="00E61175" w:rsidRPr="005949B1" w:rsidRDefault="00115A75" w:rsidP="008F3940">
            <w:pPr>
              <w:spacing w:beforeLines="20" w:before="48" w:afterLines="20" w:after="48"/>
              <w:jc w:val="center"/>
              <w:rPr>
                <w:rFonts w:ascii="Arial" w:hAnsi="Arial" w:cs="Arial"/>
                <w:sz w:val="20"/>
              </w:rPr>
            </w:pPr>
            <w:r>
              <w:rPr>
                <w:rFonts w:ascii="Arial" w:hAnsi="Arial" w:cs="Arial"/>
                <w:bCs/>
                <w:sz w:val="20"/>
              </w:rPr>
              <w:t>Ley y</w:t>
            </w:r>
            <w:r w:rsidRPr="005949B1">
              <w:rPr>
                <w:rFonts w:ascii="Arial" w:hAnsi="Arial" w:cs="Arial"/>
                <w:bCs/>
                <w:kern w:val="18"/>
                <w:sz w:val="20"/>
              </w:rPr>
              <w:t xml:space="preserve"> </w:t>
            </w:r>
            <w:r w:rsidR="00E61175" w:rsidRPr="005949B1">
              <w:rPr>
                <w:rFonts w:ascii="Arial" w:hAnsi="Arial" w:cs="Arial"/>
                <w:bCs/>
                <w:kern w:val="18"/>
                <w:sz w:val="20"/>
              </w:rPr>
              <w:t>Resoluci</w:t>
            </w:r>
            <w:r w:rsidR="00E61175">
              <w:rPr>
                <w:rFonts w:ascii="Arial" w:hAnsi="Arial" w:cs="Arial"/>
                <w:bCs/>
                <w:kern w:val="18"/>
                <w:sz w:val="20"/>
              </w:rPr>
              <w:t>ó</w:t>
            </w:r>
            <w:r w:rsidR="00E61175" w:rsidRPr="005949B1">
              <w:rPr>
                <w:rFonts w:ascii="Arial" w:hAnsi="Arial" w:cs="Arial"/>
                <w:bCs/>
                <w:kern w:val="18"/>
                <w:sz w:val="20"/>
              </w:rPr>
              <w:t>n</w:t>
            </w:r>
          </w:p>
        </w:tc>
        <w:tc>
          <w:tcPr>
            <w:tcW w:w="990" w:type="dxa"/>
            <w:tcBorders>
              <w:top w:val="single" w:sz="4" w:space="0" w:color="000000"/>
              <w:left w:val="single" w:sz="4" w:space="0" w:color="000000"/>
              <w:bottom w:val="single" w:sz="4" w:space="0" w:color="000000"/>
              <w:right w:val="single" w:sz="4" w:space="0" w:color="000000"/>
            </w:tcBorders>
          </w:tcPr>
          <w:p w14:paraId="70E4E4F7"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1830B8EA"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2032B31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540E2BA9" w14:textId="72B4D02C" w:rsidR="00E61175" w:rsidRPr="005949B1" w:rsidRDefault="00115A75" w:rsidP="008F3940">
            <w:pPr>
              <w:spacing w:beforeLines="20" w:before="48" w:afterLines="20" w:after="48"/>
              <w:rPr>
                <w:rFonts w:ascii="Arial" w:hAnsi="Arial" w:cs="Arial"/>
                <w:sz w:val="20"/>
              </w:rPr>
            </w:pPr>
            <w:r>
              <w:rPr>
                <w:rFonts w:ascii="Arial" w:hAnsi="Arial" w:cs="Arial"/>
                <w:sz w:val="20"/>
                <w:lang w:val="es-ES"/>
              </w:rPr>
              <w:t>Registro</w:t>
            </w:r>
            <w:r w:rsidRPr="002D3D3B">
              <w:rPr>
                <w:rFonts w:ascii="Arial" w:hAnsi="Arial" w:cs="Arial"/>
                <w:sz w:val="20"/>
                <w:lang w:val="es-ES"/>
              </w:rPr>
              <w:t xml:space="preserve"> Oficial de la </w:t>
            </w:r>
            <w:r>
              <w:rPr>
                <w:rFonts w:ascii="Arial" w:hAnsi="Arial" w:cs="Arial"/>
                <w:sz w:val="20"/>
                <w:lang w:val="es-ES"/>
              </w:rPr>
              <w:t>CCE</w:t>
            </w:r>
            <w:r>
              <w:rPr>
                <w:rFonts w:ascii="Arial" w:hAnsi="Arial" w:cs="Arial"/>
                <w:bCs/>
                <w:sz w:val="20"/>
              </w:rPr>
              <w:t xml:space="preserve"> y </w:t>
            </w:r>
            <w:r w:rsidR="00E61175" w:rsidRPr="00BD61E6">
              <w:rPr>
                <w:rFonts w:ascii="Arial" w:hAnsi="Arial" w:cs="Arial"/>
                <w:bCs/>
                <w:kern w:val="18"/>
                <w:sz w:val="20"/>
                <w:lang w:val="es-ES"/>
              </w:rPr>
              <w:t>Resolución</w:t>
            </w:r>
            <w:r w:rsidR="00E61175">
              <w:rPr>
                <w:rFonts w:ascii="Arial" w:hAnsi="Arial" w:cs="Arial"/>
                <w:sz w:val="20"/>
              </w:rPr>
              <w:t>, SRI.</w:t>
            </w:r>
          </w:p>
        </w:tc>
        <w:tc>
          <w:tcPr>
            <w:tcW w:w="2710" w:type="dxa"/>
            <w:tcBorders>
              <w:top w:val="single" w:sz="4" w:space="0" w:color="000000"/>
              <w:left w:val="single" w:sz="4" w:space="0" w:color="000000"/>
              <w:bottom w:val="single" w:sz="4" w:space="0" w:color="000000"/>
              <w:right w:val="single" w:sz="4" w:space="0" w:color="000000"/>
            </w:tcBorders>
          </w:tcPr>
          <w:p w14:paraId="3EADE137" w14:textId="77777777" w:rsidR="00E61175" w:rsidRPr="005949B1" w:rsidRDefault="00E61175" w:rsidP="008F3940">
            <w:pPr>
              <w:spacing w:beforeLines="20" w:before="48" w:afterLines="20" w:after="48"/>
              <w:rPr>
                <w:rFonts w:ascii="Arial" w:hAnsi="Arial" w:cs="Arial"/>
                <w:sz w:val="20"/>
              </w:rPr>
            </w:pPr>
          </w:p>
        </w:tc>
      </w:tr>
      <w:tr w:rsidR="00E61175" w:rsidRPr="005949B1" w14:paraId="023A532B"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05DA055F" w14:textId="53AA7BB1" w:rsidR="00E61175" w:rsidRPr="005949B1" w:rsidRDefault="00E61175" w:rsidP="008F3940">
            <w:pPr>
              <w:spacing w:beforeLines="20" w:before="48" w:afterLines="20" w:after="48"/>
              <w:rPr>
                <w:rFonts w:ascii="Arial" w:hAnsi="Arial" w:cs="Arial"/>
                <w:bCs/>
                <w:sz w:val="20"/>
              </w:rPr>
            </w:pPr>
            <w:r w:rsidRPr="005949B1">
              <w:rPr>
                <w:rFonts w:ascii="Arial" w:hAnsi="Arial" w:cs="Arial"/>
                <w:sz w:val="20"/>
              </w:rPr>
              <w:t xml:space="preserve">Tramo 2: 4.2 </w:t>
            </w:r>
            <w:r w:rsidR="00115A75" w:rsidRPr="00115A75">
              <w:rPr>
                <w:rFonts w:ascii="Arial" w:hAnsi="Arial" w:cs="Arial"/>
                <w:sz w:val="20"/>
              </w:rPr>
              <w:t>P</w:t>
            </w:r>
            <w:r w:rsidR="00115A75" w:rsidRPr="00115A75">
              <w:rPr>
                <w:rFonts w:ascii="Arial" w:hAnsi="Arial" w:cs="Arial"/>
                <w:bCs/>
                <w:sz w:val="20"/>
              </w:rPr>
              <w:t>rovisiones legales de Conocimiento de Ultimo Beneficiario implementadas</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180CD18D" w14:textId="4E5820D3" w:rsidR="00E61175" w:rsidRPr="005949B1" w:rsidRDefault="00115A75" w:rsidP="008F3940">
            <w:pPr>
              <w:spacing w:beforeLines="20" w:before="48" w:afterLines="20" w:after="48"/>
              <w:jc w:val="center"/>
              <w:rPr>
                <w:rFonts w:ascii="Arial" w:hAnsi="Arial" w:cs="Arial"/>
                <w:sz w:val="20"/>
                <w:lang w:val="es-ES"/>
              </w:rPr>
            </w:pPr>
            <w:r>
              <w:rPr>
                <w:rFonts w:ascii="Arial" w:eastAsia="Arial" w:hAnsi="Arial" w:cs="Arial"/>
                <w:sz w:val="20"/>
                <w:lang w:val="es-ES"/>
              </w:rPr>
              <w:t>Informe</w:t>
            </w:r>
          </w:p>
        </w:tc>
        <w:tc>
          <w:tcPr>
            <w:tcW w:w="990" w:type="dxa"/>
            <w:tcBorders>
              <w:top w:val="single" w:sz="4" w:space="0" w:color="000000"/>
              <w:left w:val="single" w:sz="4" w:space="0" w:color="000000"/>
              <w:bottom w:val="single" w:sz="4" w:space="0" w:color="000000"/>
              <w:right w:val="single" w:sz="4" w:space="0" w:color="000000"/>
            </w:tcBorders>
          </w:tcPr>
          <w:p w14:paraId="3ECFBF0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42DF465B"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0A9AE55B"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735D94CB" w14:textId="04EBA257" w:rsidR="00E61175" w:rsidRPr="005949B1" w:rsidRDefault="00115A75" w:rsidP="008F3940">
            <w:pPr>
              <w:spacing w:beforeLines="20" w:before="48" w:afterLines="20" w:after="48"/>
              <w:rPr>
                <w:rFonts w:ascii="Arial" w:hAnsi="Arial" w:cs="Arial"/>
                <w:sz w:val="20"/>
              </w:rPr>
            </w:pPr>
            <w:r>
              <w:rPr>
                <w:rFonts w:ascii="Arial" w:eastAsia="Arial" w:hAnsi="Arial" w:cs="Arial"/>
                <w:sz w:val="20"/>
                <w:lang w:val="es-ES"/>
              </w:rPr>
              <w:t>Informe, SRI</w:t>
            </w:r>
            <w:r w:rsidR="00E61175">
              <w:rPr>
                <w:rFonts w:ascii="Arial" w:eastAsia="Arial" w:hAnsi="Arial" w:cs="Arial"/>
                <w:sz w:val="20"/>
                <w:lang w:val="es-ES"/>
              </w:rPr>
              <w:t>.</w:t>
            </w:r>
          </w:p>
        </w:tc>
        <w:tc>
          <w:tcPr>
            <w:tcW w:w="2710" w:type="dxa"/>
            <w:tcBorders>
              <w:top w:val="single" w:sz="4" w:space="0" w:color="000000"/>
              <w:left w:val="single" w:sz="4" w:space="0" w:color="000000"/>
              <w:bottom w:val="single" w:sz="4" w:space="0" w:color="000000"/>
              <w:right w:val="single" w:sz="4" w:space="0" w:color="000000"/>
            </w:tcBorders>
          </w:tcPr>
          <w:p w14:paraId="68222D8C" w14:textId="79E18D28" w:rsidR="00E61175" w:rsidRPr="005949B1" w:rsidRDefault="00115A75" w:rsidP="008F3940">
            <w:pPr>
              <w:spacing w:beforeLines="20" w:before="48" w:afterLines="20" w:after="48"/>
              <w:rPr>
                <w:rFonts w:ascii="Arial" w:hAnsi="Arial" w:cs="Arial"/>
                <w:sz w:val="20"/>
              </w:rPr>
            </w:pPr>
            <w:r>
              <w:rPr>
                <w:rFonts w:ascii="Arial" w:hAnsi="Arial" w:cs="Arial"/>
                <w:bCs/>
                <w:kern w:val="18"/>
                <w:sz w:val="20"/>
              </w:rPr>
              <w:t>La implementación se verifica mediante</w:t>
            </w:r>
            <w:r w:rsidRPr="00A2732C">
              <w:rPr>
                <w:rFonts w:ascii="Arial" w:eastAsia="Arial" w:hAnsi="Arial" w:cs="Arial"/>
                <w:sz w:val="20"/>
                <w:lang w:val="es-ES"/>
              </w:rPr>
              <w:t xml:space="preserve"> </w:t>
            </w:r>
            <w:r>
              <w:rPr>
                <w:rFonts w:ascii="Arial" w:eastAsia="Arial" w:hAnsi="Arial" w:cs="Arial"/>
                <w:sz w:val="20"/>
                <w:lang w:val="es-ES"/>
              </w:rPr>
              <w:t>i</w:t>
            </w:r>
            <w:r w:rsidRPr="00A2732C">
              <w:rPr>
                <w:rFonts w:ascii="Arial" w:eastAsia="Arial" w:hAnsi="Arial" w:cs="Arial"/>
                <w:sz w:val="20"/>
                <w:lang w:val="es-ES"/>
              </w:rPr>
              <w:t xml:space="preserve">nforme </w:t>
            </w:r>
            <w:r>
              <w:rPr>
                <w:rFonts w:ascii="Arial" w:eastAsia="Arial" w:hAnsi="Arial" w:cs="Arial"/>
                <w:sz w:val="20"/>
                <w:lang w:val="es-ES"/>
              </w:rPr>
              <w:t xml:space="preserve">de </w:t>
            </w:r>
            <w:r w:rsidRPr="00A2732C">
              <w:rPr>
                <w:rFonts w:ascii="Arial" w:eastAsia="Arial" w:hAnsi="Arial" w:cs="Arial"/>
                <w:sz w:val="20"/>
                <w:lang w:val="es-ES"/>
              </w:rPr>
              <w:t>Control de Partícipes y Socios y de Tarifa presentado por el SRI</w:t>
            </w:r>
          </w:p>
        </w:tc>
      </w:tr>
      <w:tr w:rsidR="00E61175" w:rsidRPr="005949B1" w14:paraId="5802C770"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12953D0A" w14:textId="3CBE1741"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1: 4.3 </w:t>
            </w:r>
            <w:r>
              <w:rPr>
                <w:rFonts w:ascii="Arial" w:hAnsi="Arial" w:cs="Arial"/>
                <w:sz w:val="20"/>
              </w:rPr>
              <w:t xml:space="preserve">Informe con </w:t>
            </w:r>
            <w:r>
              <w:rPr>
                <w:rFonts w:ascii="Arial" w:hAnsi="Arial" w:cs="Arial"/>
                <w:bCs/>
                <w:sz w:val="20"/>
                <w:lang w:val="es-ES"/>
              </w:rPr>
              <w:t>p</w:t>
            </w:r>
            <w:r w:rsidRPr="005949B1">
              <w:rPr>
                <w:rFonts w:ascii="Arial" w:hAnsi="Arial" w:cs="Arial"/>
                <w:bCs/>
                <w:sz w:val="20"/>
                <w:lang w:val="es-ES"/>
              </w:rPr>
              <w:t xml:space="preserve">ropuesta técnica de </w:t>
            </w:r>
            <w:r w:rsidR="00115A75">
              <w:rPr>
                <w:rFonts w:ascii="Arial" w:hAnsi="Arial" w:cs="Arial"/>
                <w:bCs/>
                <w:sz w:val="20"/>
              </w:rPr>
              <w:t>tributación</w:t>
            </w:r>
            <w:r>
              <w:rPr>
                <w:rFonts w:ascii="Arial" w:hAnsi="Arial" w:cs="Arial"/>
                <w:bCs/>
                <w:kern w:val="18"/>
                <w:sz w:val="20"/>
                <w:lang w:val="es-ES"/>
              </w:rPr>
              <w:t xml:space="preserve"> </w:t>
            </w:r>
            <w:r w:rsidRPr="005949B1">
              <w:rPr>
                <w:rFonts w:ascii="Arial" w:hAnsi="Arial" w:cs="Arial"/>
                <w:bCs/>
                <w:kern w:val="18"/>
                <w:sz w:val="20"/>
                <w:lang w:val="es-ES"/>
              </w:rPr>
              <w:t>a los servicios digitales cobrados con tarjeta de crédito preparada</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025366C1"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bCs/>
                <w:sz w:val="20"/>
              </w:rPr>
              <w:t xml:space="preserve">Informe con </w:t>
            </w:r>
            <w:r w:rsidRPr="005949B1">
              <w:rPr>
                <w:rFonts w:ascii="Arial" w:hAnsi="Arial" w:cs="Arial"/>
                <w:bCs/>
                <w:sz w:val="20"/>
              </w:rPr>
              <w:t xml:space="preserve">Propuesta </w:t>
            </w:r>
          </w:p>
        </w:tc>
        <w:tc>
          <w:tcPr>
            <w:tcW w:w="990" w:type="dxa"/>
            <w:tcBorders>
              <w:top w:val="single" w:sz="4" w:space="0" w:color="000000"/>
              <w:left w:val="single" w:sz="4" w:space="0" w:color="000000"/>
              <w:bottom w:val="single" w:sz="4" w:space="0" w:color="000000"/>
              <w:right w:val="single" w:sz="4" w:space="0" w:color="000000"/>
            </w:tcBorders>
          </w:tcPr>
          <w:p w14:paraId="5499B47B"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27ADBFA2"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4F9D786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671FE280" w14:textId="77777777" w:rsidR="00E61175" w:rsidRPr="005949B1" w:rsidRDefault="00E61175" w:rsidP="008F3940">
            <w:pPr>
              <w:spacing w:beforeLines="20" w:before="48" w:afterLines="20" w:after="48"/>
              <w:rPr>
                <w:rFonts w:ascii="Arial" w:hAnsi="Arial" w:cs="Arial"/>
                <w:sz w:val="20"/>
              </w:rPr>
            </w:pPr>
            <w:r>
              <w:rPr>
                <w:rFonts w:ascii="Arial" w:hAnsi="Arial" w:cs="Arial"/>
                <w:bCs/>
                <w:kern w:val="18"/>
                <w:sz w:val="20"/>
                <w:lang w:val="es-ES"/>
              </w:rPr>
              <w:t xml:space="preserve">Certificado de recepción, MEF </w:t>
            </w:r>
          </w:p>
        </w:tc>
        <w:tc>
          <w:tcPr>
            <w:tcW w:w="2710" w:type="dxa"/>
            <w:tcBorders>
              <w:top w:val="single" w:sz="4" w:space="0" w:color="000000"/>
              <w:left w:val="single" w:sz="4" w:space="0" w:color="000000"/>
              <w:bottom w:val="single" w:sz="4" w:space="0" w:color="000000"/>
              <w:right w:val="single" w:sz="4" w:space="0" w:color="000000"/>
            </w:tcBorders>
          </w:tcPr>
          <w:p w14:paraId="4D412A5B" w14:textId="52E039EE" w:rsidR="00E61175" w:rsidRPr="005949B1" w:rsidRDefault="00115A75" w:rsidP="008F3940">
            <w:pPr>
              <w:spacing w:beforeLines="20" w:before="48" w:afterLines="20" w:after="48"/>
              <w:rPr>
                <w:rFonts w:ascii="Arial" w:hAnsi="Arial" w:cs="Arial"/>
                <w:sz w:val="20"/>
              </w:rPr>
            </w:pPr>
            <w:r w:rsidRPr="009D79FA">
              <w:rPr>
                <w:rFonts w:ascii="Arial" w:hAnsi="Arial" w:cs="Arial"/>
                <w:bCs/>
                <w:kern w:val="18"/>
                <w:sz w:val="20"/>
                <w:lang w:val="es-ES"/>
              </w:rPr>
              <w:t>Acta de entrega de la propuesta del SRI, para la tributación de servicios digitales</w:t>
            </w:r>
            <w:r w:rsidR="00E61175">
              <w:rPr>
                <w:rFonts w:ascii="Arial" w:hAnsi="Arial" w:cs="Arial"/>
                <w:bCs/>
                <w:kern w:val="18"/>
                <w:sz w:val="20"/>
                <w:lang w:val="es-ES"/>
              </w:rPr>
              <w:t>.</w:t>
            </w:r>
          </w:p>
        </w:tc>
      </w:tr>
      <w:tr w:rsidR="00E61175" w:rsidRPr="005949B1" w14:paraId="7932524C"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7DAA007B" w14:textId="7F1B48BB"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2: 4.3 </w:t>
            </w:r>
            <w:r w:rsidRPr="005949B1">
              <w:rPr>
                <w:rFonts w:ascii="Arial" w:hAnsi="Arial" w:cs="Arial"/>
                <w:bCs/>
                <w:sz w:val="20"/>
                <w:lang w:val="es-ES"/>
              </w:rPr>
              <w:t xml:space="preserve">Propuesta </w:t>
            </w:r>
            <w:r w:rsidR="00115A75">
              <w:rPr>
                <w:rFonts w:ascii="Arial" w:hAnsi="Arial" w:cs="Arial"/>
                <w:bCs/>
                <w:sz w:val="20"/>
                <w:lang w:val="es-ES"/>
              </w:rPr>
              <w:t xml:space="preserve">técnica de </w:t>
            </w:r>
            <w:r w:rsidR="00115A75">
              <w:rPr>
                <w:rFonts w:ascii="Arial" w:hAnsi="Arial" w:cs="Arial"/>
                <w:bCs/>
                <w:sz w:val="20"/>
              </w:rPr>
              <w:t>tributación</w:t>
            </w:r>
            <w:r w:rsidR="00115A75">
              <w:rPr>
                <w:rFonts w:ascii="Arial" w:hAnsi="Arial" w:cs="Arial"/>
                <w:bCs/>
                <w:kern w:val="18"/>
                <w:sz w:val="20"/>
                <w:lang w:val="es-ES"/>
              </w:rPr>
              <w:t xml:space="preserve"> </w:t>
            </w:r>
            <w:r w:rsidR="00115A75" w:rsidRPr="005949B1">
              <w:rPr>
                <w:rFonts w:ascii="Arial" w:hAnsi="Arial" w:cs="Arial"/>
                <w:bCs/>
                <w:kern w:val="18"/>
                <w:sz w:val="20"/>
                <w:lang w:val="es-ES"/>
              </w:rPr>
              <w:t>a los servicios digitales cobrados con tarjeta de crédito</w:t>
            </w:r>
            <w:r w:rsidR="00115A75" w:rsidRPr="005949B1" w:rsidDel="00115A75">
              <w:rPr>
                <w:rFonts w:ascii="Arial" w:hAnsi="Arial" w:cs="Arial"/>
                <w:bCs/>
                <w:sz w:val="20"/>
                <w:lang w:val="es-ES"/>
              </w:rPr>
              <w:t xml:space="preserve"> </w:t>
            </w:r>
            <w:r w:rsidRPr="005949B1">
              <w:rPr>
                <w:rFonts w:ascii="Arial" w:hAnsi="Arial" w:cs="Arial"/>
                <w:bCs/>
                <w:kern w:val="18"/>
                <w:sz w:val="20"/>
                <w:lang w:val="es-ES"/>
              </w:rPr>
              <w:t xml:space="preserve">incorporada a la propuesta de </w:t>
            </w:r>
            <w:r>
              <w:rPr>
                <w:rFonts w:ascii="Arial" w:hAnsi="Arial" w:cs="Arial"/>
                <w:bCs/>
                <w:kern w:val="18"/>
                <w:sz w:val="20"/>
                <w:lang w:val="es-ES"/>
              </w:rPr>
              <w:t xml:space="preserve">Ley de </w:t>
            </w:r>
            <w:r w:rsidRPr="005949B1">
              <w:rPr>
                <w:rFonts w:ascii="Arial" w:hAnsi="Arial" w:cs="Arial"/>
                <w:bCs/>
                <w:kern w:val="18"/>
                <w:sz w:val="20"/>
                <w:lang w:val="es-ES"/>
              </w:rPr>
              <w:t>reforma tributaria enviada a la AN</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7DE164FE" w14:textId="77777777" w:rsidR="00E61175" w:rsidRPr="005949B1" w:rsidRDefault="00E61175" w:rsidP="008F3940">
            <w:pPr>
              <w:spacing w:beforeLines="20" w:before="48" w:afterLines="20" w:after="48"/>
              <w:jc w:val="center"/>
              <w:rPr>
                <w:rFonts w:ascii="Arial" w:hAnsi="Arial" w:cs="Arial"/>
                <w:sz w:val="20"/>
              </w:rPr>
            </w:pPr>
            <w:r>
              <w:rPr>
                <w:rFonts w:ascii="Arial" w:hAnsi="Arial" w:cs="Arial"/>
                <w:sz w:val="20"/>
              </w:rPr>
              <w:t>Propuesta de Ley</w:t>
            </w:r>
          </w:p>
        </w:tc>
        <w:tc>
          <w:tcPr>
            <w:tcW w:w="990" w:type="dxa"/>
            <w:tcBorders>
              <w:top w:val="single" w:sz="4" w:space="0" w:color="000000"/>
              <w:left w:val="single" w:sz="4" w:space="0" w:color="000000"/>
              <w:bottom w:val="single" w:sz="4" w:space="0" w:color="000000"/>
              <w:right w:val="single" w:sz="4" w:space="0" w:color="000000"/>
            </w:tcBorders>
          </w:tcPr>
          <w:p w14:paraId="4AEC5D48"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68C37A7B"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2E3EAD08"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3580D869" w14:textId="77777777" w:rsidR="00E61175" w:rsidRPr="005949B1" w:rsidRDefault="00E61175" w:rsidP="008F3940">
            <w:pPr>
              <w:spacing w:beforeLines="20" w:before="48" w:afterLines="20" w:after="48"/>
              <w:rPr>
                <w:rFonts w:ascii="Arial" w:hAnsi="Arial" w:cs="Arial"/>
                <w:sz w:val="20"/>
              </w:rPr>
            </w:pPr>
            <w:r w:rsidRPr="00690C77">
              <w:rPr>
                <w:rFonts w:ascii="Arial" w:eastAsia="Arial" w:hAnsi="Arial" w:cs="Arial"/>
                <w:sz w:val="20"/>
                <w:lang w:val="es-ES"/>
              </w:rPr>
              <w:t>Fe de presentación</w:t>
            </w:r>
            <w:r>
              <w:rPr>
                <w:rFonts w:ascii="Arial" w:eastAsia="Arial" w:hAnsi="Arial" w:cs="Arial"/>
                <w:sz w:val="20"/>
                <w:lang w:val="es-ES"/>
              </w:rPr>
              <w:t xml:space="preserve"> de Propuesta de Ley, PRE</w:t>
            </w:r>
            <w:r>
              <w:rPr>
                <w:rFonts w:ascii="Arial" w:hAnsi="Arial" w:cs="Arial"/>
                <w:sz w:val="20"/>
              </w:rPr>
              <w:t>.</w:t>
            </w:r>
          </w:p>
        </w:tc>
        <w:tc>
          <w:tcPr>
            <w:tcW w:w="2710" w:type="dxa"/>
            <w:tcBorders>
              <w:top w:val="single" w:sz="4" w:space="0" w:color="000000"/>
              <w:left w:val="single" w:sz="4" w:space="0" w:color="000000"/>
              <w:bottom w:val="single" w:sz="4" w:space="0" w:color="000000"/>
              <w:right w:val="single" w:sz="4" w:space="0" w:color="000000"/>
            </w:tcBorders>
          </w:tcPr>
          <w:p w14:paraId="2AFAF915" w14:textId="77777777" w:rsidR="00E61175" w:rsidRPr="005949B1" w:rsidRDefault="00E61175" w:rsidP="008F3940">
            <w:pPr>
              <w:spacing w:beforeLines="20" w:before="48" w:afterLines="20" w:after="48"/>
              <w:rPr>
                <w:rFonts w:ascii="Arial" w:hAnsi="Arial" w:cs="Arial"/>
                <w:sz w:val="20"/>
              </w:rPr>
            </w:pPr>
          </w:p>
        </w:tc>
      </w:tr>
      <w:tr w:rsidR="00E61175" w:rsidRPr="005949B1" w14:paraId="4F73708B"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1A8C2C3E" w14:textId="37295F93"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Tramo 1: 4.4</w:t>
            </w:r>
            <w:r w:rsidRPr="005949B1">
              <w:rPr>
                <w:rFonts w:ascii="Arial" w:eastAsiaTheme="minorHAnsi" w:hAnsi="Arial" w:cs="Arial"/>
                <w:bCs/>
                <w:kern w:val="18"/>
                <w:sz w:val="20"/>
              </w:rPr>
              <w:t xml:space="preserve"> </w:t>
            </w:r>
            <w:r w:rsidR="00115A75">
              <w:rPr>
                <w:rFonts w:ascii="Arial" w:hAnsi="Arial" w:cs="Arial"/>
                <w:bCs/>
                <w:kern w:val="18"/>
                <w:sz w:val="20"/>
                <w:lang w:val="es-ES"/>
              </w:rPr>
              <w:t>Convenio de Cooperación Interinstitucional para</w:t>
            </w:r>
            <w:r w:rsidR="00115A75" w:rsidDel="00115A75">
              <w:rPr>
                <w:rFonts w:ascii="Arial" w:eastAsiaTheme="minorHAnsi" w:hAnsi="Arial" w:cs="Arial"/>
                <w:bCs/>
                <w:kern w:val="18"/>
                <w:sz w:val="20"/>
              </w:rPr>
              <w:t xml:space="preserve"> </w:t>
            </w:r>
            <w:r w:rsidR="009027B3">
              <w:rPr>
                <w:rFonts w:ascii="Arial" w:eastAsiaTheme="minorHAnsi" w:hAnsi="Arial" w:cs="Arial"/>
                <w:bCs/>
                <w:kern w:val="18"/>
                <w:sz w:val="20"/>
              </w:rPr>
              <w:t xml:space="preserve"> </w:t>
            </w:r>
            <w:r w:rsidRPr="005949B1">
              <w:rPr>
                <w:rFonts w:ascii="Arial" w:eastAsiaTheme="minorHAnsi" w:hAnsi="Arial" w:cs="Arial"/>
                <w:bCs/>
                <w:kern w:val="18"/>
                <w:sz w:val="20"/>
              </w:rPr>
              <w:t xml:space="preserve">para </w:t>
            </w:r>
            <w:r w:rsidRPr="005949B1">
              <w:rPr>
                <w:rFonts w:ascii="Arial" w:hAnsi="Arial" w:cs="Arial"/>
                <w:bCs/>
                <w:kern w:val="18"/>
                <w:sz w:val="20"/>
              </w:rPr>
              <w:t>la integración de procesos de manejo de datos, control y fiscalización de los contribuyentes</w:t>
            </w:r>
            <w:r w:rsidRPr="005949B1">
              <w:rPr>
                <w:rFonts w:ascii="Arial" w:hAnsi="Arial" w:cs="Arial"/>
                <w:bCs/>
                <w:sz w:val="20"/>
              </w:rPr>
              <w:t xml:space="preserve"> de la administración tributaria (SRI) y aduanera (SENAE)</w:t>
            </w:r>
            <w:r>
              <w:rPr>
                <w:rFonts w:ascii="Arial" w:hAnsi="Arial" w:cs="Arial"/>
                <w:bCs/>
                <w:sz w:val="20"/>
              </w:rPr>
              <w:t xml:space="preserve"> presentado</w:t>
            </w:r>
            <w:r w:rsidRPr="005949B1">
              <w:rPr>
                <w:rFonts w:ascii="Arial" w:hAnsi="Arial" w:cs="Arial"/>
                <w:bCs/>
                <w:sz w:val="20"/>
              </w:rPr>
              <w:t>.</w:t>
            </w:r>
          </w:p>
        </w:tc>
        <w:tc>
          <w:tcPr>
            <w:tcW w:w="1430" w:type="dxa"/>
            <w:tcBorders>
              <w:top w:val="single" w:sz="4" w:space="0" w:color="000000"/>
              <w:left w:val="single" w:sz="4" w:space="0" w:color="000000"/>
              <w:bottom w:val="single" w:sz="4" w:space="0" w:color="000000"/>
              <w:right w:val="single" w:sz="4" w:space="0" w:color="000000"/>
            </w:tcBorders>
          </w:tcPr>
          <w:p w14:paraId="0E89F91A" w14:textId="49446404" w:rsidR="00E61175" w:rsidRPr="005949B1" w:rsidRDefault="00115A75" w:rsidP="008F3940">
            <w:pPr>
              <w:spacing w:beforeLines="20" w:before="48" w:afterLines="20" w:after="48"/>
              <w:jc w:val="center"/>
              <w:rPr>
                <w:rFonts w:ascii="Arial" w:hAnsi="Arial" w:cs="Arial"/>
                <w:sz w:val="20"/>
              </w:rPr>
            </w:pPr>
            <w:r>
              <w:rPr>
                <w:rFonts w:ascii="Arial" w:eastAsiaTheme="minorHAnsi" w:hAnsi="Arial" w:cs="Arial"/>
                <w:bCs/>
                <w:kern w:val="18"/>
                <w:sz w:val="20"/>
              </w:rPr>
              <w:t xml:space="preserve">Convenio </w:t>
            </w:r>
          </w:p>
        </w:tc>
        <w:tc>
          <w:tcPr>
            <w:tcW w:w="990" w:type="dxa"/>
            <w:tcBorders>
              <w:top w:val="single" w:sz="4" w:space="0" w:color="000000"/>
              <w:left w:val="single" w:sz="4" w:space="0" w:color="000000"/>
              <w:bottom w:val="single" w:sz="4" w:space="0" w:color="000000"/>
              <w:right w:val="single" w:sz="4" w:space="0" w:color="000000"/>
            </w:tcBorders>
          </w:tcPr>
          <w:p w14:paraId="5E262539"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786EE02F"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509B5B2B"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73055044" w14:textId="77777777" w:rsidR="00E61175" w:rsidRPr="005949B1" w:rsidRDefault="00E61175" w:rsidP="008F3940">
            <w:pPr>
              <w:spacing w:beforeLines="20" w:before="48" w:afterLines="20" w:after="48"/>
              <w:rPr>
                <w:rFonts w:ascii="Arial" w:hAnsi="Arial" w:cs="Arial"/>
                <w:sz w:val="20"/>
              </w:rPr>
            </w:pPr>
            <w:r>
              <w:rPr>
                <w:rFonts w:ascii="Arial" w:hAnsi="Arial" w:cs="Arial"/>
                <w:bCs/>
                <w:kern w:val="18"/>
                <w:sz w:val="20"/>
              </w:rPr>
              <w:t>Recepción de entrega</w:t>
            </w:r>
            <w:r>
              <w:rPr>
                <w:rFonts w:ascii="Arial" w:hAnsi="Arial" w:cs="Arial"/>
                <w:bCs/>
                <w:kern w:val="18"/>
                <w:sz w:val="20"/>
                <w:lang w:val="es-ES"/>
              </w:rPr>
              <w:t>, MEF.</w:t>
            </w:r>
          </w:p>
        </w:tc>
        <w:tc>
          <w:tcPr>
            <w:tcW w:w="2710" w:type="dxa"/>
            <w:tcBorders>
              <w:top w:val="single" w:sz="4" w:space="0" w:color="000000"/>
              <w:left w:val="single" w:sz="4" w:space="0" w:color="000000"/>
              <w:bottom w:val="single" w:sz="4" w:space="0" w:color="000000"/>
              <w:right w:val="single" w:sz="4" w:space="0" w:color="000000"/>
            </w:tcBorders>
          </w:tcPr>
          <w:p w14:paraId="2DE54421" w14:textId="77777777" w:rsidR="00E61175" w:rsidRPr="005949B1" w:rsidRDefault="00E61175" w:rsidP="008F3940">
            <w:pPr>
              <w:spacing w:beforeLines="20" w:before="48" w:afterLines="20" w:after="48"/>
              <w:rPr>
                <w:rFonts w:ascii="Arial" w:hAnsi="Arial" w:cs="Arial"/>
                <w:sz w:val="20"/>
              </w:rPr>
            </w:pPr>
          </w:p>
        </w:tc>
      </w:tr>
      <w:tr w:rsidR="00E61175" w:rsidRPr="005949B1" w14:paraId="68C2BDC6"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1AB15413"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lastRenderedPageBreak/>
              <w:t>Tramo 2: 4.4</w:t>
            </w:r>
            <w:r w:rsidRPr="005949B1">
              <w:rPr>
                <w:rFonts w:ascii="Arial" w:eastAsiaTheme="minorHAnsi" w:hAnsi="Arial" w:cs="Arial"/>
                <w:bCs/>
                <w:kern w:val="18"/>
                <w:sz w:val="20"/>
              </w:rPr>
              <w:t xml:space="preserve"> </w:t>
            </w:r>
            <w:r w:rsidRPr="005949B1">
              <w:rPr>
                <w:rFonts w:ascii="Arial" w:hAnsi="Arial" w:cs="Arial"/>
                <w:bCs/>
                <w:sz w:val="20"/>
              </w:rPr>
              <w:t>Medidas de integración de procesos de las agencias tributarias implementadas.</w:t>
            </w:r>
          </w:p>
        </w:tc>
        <w:tc>
          <w:tcPr>
            <w:tcW w:w="1430" w:type="dxa"/>
            <w:tcBorders>
              <w:top w:val="single" w:sz="4" w:space="0" w:color="000000"/>
              <w:left w:val="single" w:sz="4" w:space="0" w:color="000000"/>
              <w:bottom w:val="single" w:sz="4" w:space="0" w:color="000000"/>
              <w:right w:val="single" w:sz="4" w:space="0" w:color="000000"/>
            </w:tcBorders>
          </w:tcPr>
          <w:p w14:paraId="1FF30CA2"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 xml:space="preserve">Informe </w:t>
            </w:r>
          </w:p>
        </w:tc>
        <w:tc>
          <w:tcPr>
            <w:tcW w:w="990" w:type="dxa"/>
            <w:tcBorders>
              <w:top w:val="single" w:sz="4" w:space="0" w:color="000000"/>
              <w:left w:val="single" w:sz="4" w:space="0" w:color="000000"/>
              <w:bottom w:val="single" w:sz="4" w:space="0" w:color="000000"/>
              <w:right w:val="single" w:sz="4" w:space="0" w:color="000000"/>
            </w:tcBorders>
          </w:tcPr>
          <w:p w14:paraId="4A38716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7262578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41C3AB5B"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1</w:t>
            </w:r>
          </w:p>
        </w:tc>
        <w:tc>
          <w:tcPr>
            <w:tcW w:w="2070" w:type="dxa"/>
            <w:tcBorders>
              <w:top w:val="single" w:sz="4" w:space="0" w:color="000000"/>
              <w:left w:val="single" w:sz="4" w:space="0" w:color="000000"/>
              <w:bottom w:val="single" w:sz="4" w:space="0" w:color="000000"/>
              <w:right w:val="single" w:sz="4" w:space="0" w:color="000000"/>
            </w:tcBorders>
          </w:tcPr>
          <w:p w14:paraId="0A91A498" w14:textId="77777777" w:rsidR="00E61175" w:rsidRPr="005949B1" w:rsidRDefault="00E61175" w:rsidP="008F3940">
            <w:pPr>
              <w:spacing w:beforeLines="20" w:before="48" w:afterLines="20" w:after="48"/>
              <w:rPr>
                <w:rFonts w:ascii="Arial" w:hAnsi="Arial" w:cs="Arial"/>
                <w:sz w:val="20"/>
              </w:rPr>
            </w:pPr>
            <w:r>
              <w:rPr>
                <w:rFonts w:ascii="Arial" w:hAnsi="Arial" w:cs="Arial"/>
                <w:bCs/>
                <w:kern w:val="18"/>
                <w:sz w:val="20"/>
              </w:rPr>
              <w:t>Recepción de entrega, MEF.</w:t>
            </w:r>
          </w:p>
        </w:tc>
        <w:tc>
          <w:tcPr>
            <w:tcW w:w="2710" w:type="dxa"/>
            <w:tcBorders>
              <w:top w:val="single" w:sz="4" w:space="0" w:color="000000"/>
              <w:left w:val="single" w:sz="4" w:space="0" w:color="000000"/>
              <w:bottom w:val="single" w:sz="4" w:space="0" w:color="000000"/>
              <w:right w:val="single" w:sz="4" w:space="0" w:color="000000"/>
            </w:tcBorders>
          </w:tcPr>
          <w:p w14:paraId="1064093A" w14:textId="0FA7739F" w:rsidR="00E61175" w:rsidRPr="005949B1" w:rsidRDefault="00E61175" w:rsidP="008F3940">
            <w:pPr>
              <w:spacing w:beforeLines="20" w:before="48" w:afterLines="20" w:after="48"/>
              <w:rPr>
                <w:rFonts w:ascii="Arial" w:hAnsi="Arial" w:cs="Arial"/>
                <w:sz w:val="20"/>
              </w:rPr>
            </w:pPr>
            <w:r>
              <w:rPr>
                <w:rFonts w:ascii="Arial" w:hAnsi="Arial" w:cs="Arial"/>
                <w:bCs/>
                <w:kern w:val="18"/>
                <w:sz w:val="20"/>
              </w:rPr>
              <w:t xml:space="preserve">La implementación se verifica mediante informe </w:t>
            </w:r>
            <w:r w:rsidR="00115A75">
              <w:rPr>
                <w:rFonts w:ascii="Arial" w:hAnsi="Arial" w:cs="Arial"/>
                <w:bCs/>
                <w:kern w:val="18"/>
                <w:sz w:val="20"/>
              </w:rPr>
              <w:t xml:space="preserve">semestral </w:t>
            </w:r>
            <w:r>
              <w:rPr>
                <w:rFonts w:ascii="Arial" w:hAnsi="Arial" w:cs="Arial"/>
                <w:bCs/>
                <w:kern w:val="18"/>
                <w:sz w:val="20"/>
              </w:rPr>
              <w:t>elaborado por SRI y SENAE.</w:t>
            </w:r>
          </w:p>
        </w:tc>
      </w:tr>
      <w:tr w:rsidR="00E61175" w:rsidRPr="00182567" w14:paraId="0F42139F"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11F74E9E"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Tramo 1: 4.5</w:t>
            </w:r>
            <w:r w:rsidRPr="005949B1">
              <w:rPr>
                <w:rFonts w:ascii="Arial" w:hAnsi="Arial" w:cs="Arial"/>
                <w:bCs/>
                <w:kern w:val="18"/>
                <w:sz w:val="20"/>
                <w:lang w:val="es-ES"/>
              </w:rPr>
              <w:t xml:space="preserve"> </w:t>
            </w:r>
            <w:r w:rsidRPr="005949B1">
              <w:rPr>
                <w:rFonts w:ascii="Arial" w:hAnsi="Arial" w:cs="Arial"/>
                <w:bCs/>
                <w:kern w:val="18"/>
                <w:sz w:val="20"/>
              </w:rPr>
              <w:t xml:space="preserve">Resoluciones del SRI para fortalecimiento de </w:t>
            </w:r>
            <w:r w:rsidRPr="005949B1">
              <w:rPr>
                <w:rFonts w:ascii="Arial" w:hAnsi="Arial" w:cs="Arial"/>
                <w:bCs/>
                <w:sz w:val="20"/>
                <w:lang w:val="es-ES"/>
              </w:rPr>
              <w:t xml:space="preserve">la eficiencia de los procesos de cumplimiento tributario mediante la </w:t>
            </w:r>
            <w:r w:rsidRPr="005949B1">
              <w:rPr>
                <w:rFonts w:ascii="Arial" w:hAnsi="Arial" w:cs="Arial"/>
                <w:bCs/>
                <w:kern w:val="18"/>
                <w:sz w:val="20"/>
                <w:lang w:val="es-ES"/>
              </w:rPr>
              <w:t>implementación de servicios en línea, emitidas</w:t>
            </w:r>
            <w:r w:rsidRPr="005949B1">
              <w:rPr>
                <w:rFonts w:ascii="Arial" w:hAnsi="Arial" w:cs="Arial"/>
                <w:sz w:val="20"/>
              </w:rPr>
              <w:t>.</w:t>
            </w:r>
          </w:p>
        </w:tc>
        <w:tc>
          <w:tcPr>
            <w:tcW w:w="1430" w:type="dxa"/>
            <w:tcBorders>
              <w:top w:val="single" w:sz="4" w:space="0" w:color="000000"/>
              <w:left w:val="single" w:sz="4" w:space="0" w:color="000000"/>
              <w:bottom w:val="single" w:sz="4" w:space="0" w:color="000000"/>
              <w:right w:val="single" w:sz="4" w:space="0" w:color="000000"/>
            </w:tcBorders>
          </w:tcPr>
          <w:p w14:paraId="578FB646"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bCs/>
                <w:sz w:val="20"/>
              </w:rPr>
              <w:t xml:space="preserve">Resoluciones </w:t>
            </w:r>
          </w:p>
        </w:tc>
        <w:tc>
          <w:tcPr>
            <w:tcW w:w="990" w:type="dxa"/>
            <w:tcBorders>
              <w:top w:val="single" w:sz="4" w:space="0" w:color="000000"/>
              <w:left w:val="single" w:sz="4" w:space="0" w:color="000000"/>
              <w:bottom w:val="single" w:sz="4" w:space="0" w:color="000000"/>
              <w:right w:val="single" w:sz="4" w:space="0" w:color="000000"/>
            </w:tcBorders>
          </w:tcPr>
          <w:p w14:paraId="3F508215"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0E9B33A0"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2017</w:t>
            </w:r>
          </w:p>
        </w:tc>
        <w:tc>
          <w:tcPr>
            <w:tcW w:w="720" w:type="dxa"/>
            <w:tcBorders>
              <w:top w:val="single" w:sz="4" w:space="0" w:color="000000"/>
              <w:left w:val="single" w:sz="4" w:space="0" w:color="000000"/>
              <w:bottom w:val="single" w:sz="4" w:space="0" w:color="000000"/>
              <w:right w:val="single" w:sz="4" w:space="0" w:color="000000"/>
            </w:tcBorders>
          </w:tcPr>
          <w:p w14:paraId="73184C5A"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3</w:t>
            </w:r>
          </w:p>
        </w:tc>
        <w:tc>
          <w:tcPr>
            <w:tcW w:w="2070" w:type="dxa"/>
            <w:tcBorders>
              <w:top w:val="single" w:sz="4" w:space="0" w:color="000000"/>
              <w:left w:val="single" w:sz="4" w:space="0" w:color="000000"/>
              <w:bottom w:val="single" w:sz="4" w:space="0" w:color="000000"/>
              <w:right w:val="single" w:sz="4" w:space="0" w:color="000000"/>
            </w:tcBorders>
          </w:tcPr>
          <w:p w14:paraId="063600A0" w14:textId="77777777" w:rsidR="00E61175" w:rsidRPr="005949B1" w:rsidRDefault="00E61175" w:rsidP="008F3940">
            <w:pPr>
              <w:spacing w:beforeLines="20" w:before="48" w:afterLines="20" w:after="48"/>
              <w:rPr>
                <w:rFonts w:ascii="Arial" w:hAnsi="Arial" w:cs="Arial"/>
                <w:sz w:val="20"/>
              </w:rPr>
            </w:pPr>
            <w:r w:rsidRPr="00BD61E6">
              <w:rPr>
                <w:rFonts w:ascii="Arial" w:hAnsi="Arial" w:cs="Arial"/>
                <w:bCs/>
                <w:kern w:val="18"/>
                <w:sz w:val="20"/>
                <w:lang w:val="es-ES"/>
              </w:rPr>
              <w:t>Resoluci</w:t>
            </w:r>
            <w:r>
              <w:rPr>
                <w:rFonts w:ascii="Arial" w:hAnsi="Arial" w:cs="Arial"/>
                <w:bCs/>
                <w:kern w:val="18"/>
                <w:sz w:val="20"/>
                <w:lang w:val="es-ES"/>
              </w:rPr>
              <w:t>o</w:t>
            </w:r>
            <w:r w:rsidRPr="00BD61E6">
              <w:rPr>
                <w:rFonts w:ascii="Arial" w:hAnsi="Arial" w:cs="Arial"/>
                <w:bCs/>
                <w:kern w:val="18"/>
                <w:sz w:val="20"/>
                <w:lang w:val="es-ES"/>
              </w:rPr>
              <w:t>n</w:t>
            </w:r>
            <w:r>
              <w:rPr>
                <w:rFonts w:ascii="Arial" w:hAnsi="Arial" w:cs="Arial"/>
                <w:bCs/>
                <w:kern w:val="18"/>
                <w:sz w:val="20"/>
                <w:lang w:val="es-ES"/>
              </w:rPr>
              <w:t xml:space="preserve">es </w:t>
            </w:r>
            <w:r>
              <w:rPr>
                <w:rFonts w:ascii="Arial" w:hAnsi="Arial" w:cs="Arial"/>
                <w:sz w:val="20"/>
              </w:rPr>
              <w:t>publicadas, SRI.</w:t>
            </w:r>
          </w:p>
        </w:tc>
        <w:tc>
          <w:tcPr>
            <w:tcW w:w="2710" w:type="dxa"/>
            <w:tcBorders>
              <w:top w:val="single" w:sz="4" w:space="0" w:color="000000"/>
              <w:left w:val="single" w:sz="4" w:space="0" w:color="000000"/>
              <w:bottom w:val="single" w:sz="4" w:space="0" w:color="000000"/>
              <w:right w:val="single" w:sz="4" w:space="0" w:color="000000"/>
            </w:tcBorders>
          </w:tcPr>
          <w:p w14:paraId="60C2AB34" w14:textId="77777777" w:rsidR="00E61175" w:rsidRDefault="00E61175" w:rsidP="008F3940">
            <w:pPr>
              <w:spacing w:beforeLines="20" w:before="48" w:afterLines="20" w:after="48"/>
              <w:rPr>
                <w:rFonts w:ascii="Arial" w:hAnsi="Arial" w:cs="Arial"/>
                <w:bCs/>
                <w:kern w:val="18"/>
                <w:sz w:val="20"/>
                <w:lang w:val="es-ES"/>
              </w:rPr>
            </w:pPr>
            <w:r w:rsidRPr="00BD61E6">
              <w:rPr>
                <w:rFonts w:ascii="Arial" w:hAnsi="Arial" w:cs="Arial"/>
                <w:bCs/>
                <w:kern w:val="18"/>
                <w:sz w:val="20"/>
                <w:lang w:val="es-ES"/>
              </w:rPr>
              <w:t>Resoluci</w:t>
            </w:r>
            <w:r>
              <w:rPr>
                <w:rFonts w:ascii="Arial" w:hAnsi="Arial" w:cs="Arial"/>
                <w:bCs/>
                <w:kern w:val="18"/>
                <w:sz w:val="20"/>
                <w:lang w:val="es-ES"/>
              </w:rPr>
              <w:t>o</w:t>
            </w:r>
            <w:r w:rsidRPr="00BD61E6">
              <w:rPr>
                <w:rFonts w:ascii="Arial" w:hAnsi="Arial" w:cs="Arial"/>
                <w:bCs/>
                <w:kern w:val="18"/>
                <w:sz w:val="20"/>
                <w:lang w:val="es-ES"/>
              </w:rPr>
              <w:t>n</w:t>
            </w:r>
            <w:r>
              <w:rPr>
                <w:rFonts w:ascii="Arial" w:hAnsi="Arial" w:cs="Arial"/>
                <w:bCs/>
                <w:kern w:val="18"/>
                <w:sz w:val="20"/>
                <w:lang w:val="es-ES"/>
              </w:rPr>
              <w:t>es</w:t>
            </w:r>
            <w:r w:rsidRPr="005949B1">
              <w:rPr>
                <w:rFonts w:ascii="Arial" w:hAnsi="Arial" w:cs="Arial"/>
                <w:bCs/>
                <w:kern w:val="18"/>
                <w:sz w:val="20"/>
                <w:lang w:val="es-ES"/>
              </w:rPr>
              <w:t xml:space="preserve"> incluyen:</w:t>
            </w:r>
          </w:p>
          <w:p w14:paraId="272EC2C2" w14:textId="2D6B55D2" w:rsidR="00E61175" w:rsidRPr="005949B1" w:rsidRDefault="00E61175" w:rsidP="008F3940">
            <w:pPr>
              <w:numPr>
                <w:ilvl w:val="0"/>
                <w:numId w:val="28"/>
              </w:numPr>
              <w:spacing w:beforeLines="20" w:before="48" w:afterLines="20" w:after="48"/>
              <w:ind w:left="432"/>
              <w:rPr>
                <w:rFonts w:ascii="Arial" w:hAnsi="Arial" w:cs="Arial"/>
                <w:sz w:val="20"/>
              </w:rPr>
            </w:pPr>
            <w:r w:rsidRPr="005949B1">
              <w:rPr>
                <w:rFonts w:ascii="Arial" w:hAnsi="Arial" w:cs="Arial"/>
                <w:sz w:val="20"/>
              </w:rPr>
              <w:t>Tecnologías de entrega y recepción de información fiscal (formularios en línea)</w:t>
            </w:r>
            <w:r w:rsidR="00115A75">
              <w:rPr>
                <w:rFonts w:ascii="Arial" w:hAnsi="Arial" w:cs="Arial"/>
                <w:sz w:val="20"/>
              </w:rPr>
              <w:t xml:space="preserve"> </w:t>
            </w:r>
            <w:r w:rsidR="00115A75" w:rsidRPr="002714C4">
              <w:rPr>
                <w:rFonts w:ascii="Arial" w:hAnsi="Arial" w:cs="Arial"/>
                <w:sz w:val="20"/>
              </w:rPr>
              <w:t>sistema de pago en línea de obligaciones tributarias</w:t>
            </w:r>
            <w:r w:rsidRPr="005949B1">
              <w:rPr>
                <w:rFonts w:ascii="Arial" w:hAnsi="Arial" w:cs="Arial"/>
                <w:sz w:val="20"/>
              </w:rPr>
              <w:t>.</w:t>
            </w:r>
          </w:p>
          <w:p w14:paraId="47F25049" w14:textId="5FBDD095" w:rsidR="00E61175" w:rsidRDefault="00115A75" w:rsidP="008F3940">
            <w:pPr>
              <w:numPr>
                <w:ilvl w:val="0"/>
                <w:numId w:val="28"/>
              </w:numPr>
              <w:spacing w:beforeLines="20" w:before="48" w:afterLines="20" w:after="48"/>
              <w:ind w:left="432"/>
              <w:rPr>
                <w:rFonts w:ascii="Arial" w:hAnsi="Arial" w:cs="Arial"/>
                <w:sz w:val="20"/>
              </w:rPr>
            </w:pPr>
            <w:r>
              <w:rPr>
                <w:rFonts w:ascii="Arial" w:hAnsi="Arial" w:cs="Arial"/>
                <w:sz w:val="20"/>
              </w:rPr>
              <w:t>Proceso de inscripción</w:t>
            </w:r>
            <w:r w:rsidR="00E61175" w:rsidRPr="005949B1">
              <w:rPr>
                <w:rFonts w:ascii="Arial" w:hAnsi="Arial" w:cs="Arial"/>
                <w:sz w:val="20"/>
              </w:rPr>
              <w:t xml:space="preserve"> en</w:t>
            </w:r>
            <w:r>
              <w:rPr>
                <w:rFonts w:ascii="Arial" w:hAnsi="Arial" w:cs="Arial"/>
                <w:sz w:val="20"/>
              </w:rPr>
              <w:t xml:space="preserve"> el</w:t>
            </w:r>
            <w:r w:rsidR="00E61175" w:rsidRPr="005949B1">
              <w:rPr>
                <w:rFonts w:ascii="Arial" w:hAnsi="Arial" w:cs="Arial"/>
                <w:sz w:val="20"/>
              </w:rPr>
              <w:t xml:space="preserve"> línea al catastro tributario.</w:t>
            </w:r>
          </w:p>
          <w:p w14:paraId="35FEE91F" w14:textId="77777777" w:rsidR="00E61175" w:rsidRPr="00182567" w:rsidRDefault="00E61175" w:rsidP="008F3940">
            <w:pPr>
              <w:numPr>
                <w:ilvl w:val="0"/>
                <w:numId w:val="28"/>
              </w:numPr>
              <w:spacing w:beforeLines="20" w:before="48" w:afterLines="20" w:after="48"/>
              <w:ind w:left="432"/>
              <w:rPr>
                <w:rFonts w:ascii="Arial" w:hAnsi="Arial" w:cs="Arial"/>
                <w:sz w:val="20"/>
              </w:rPr>
            </w:pPr>
            <w:r w:rsidRPr="00182567">
              <w:rPr>
                <w:rFonts w:ascii="Arial" w:hAnsi="Arial" w:cs="Arial"/>
                <w:sz w:val="20"/>
              </w:rPr>
              <w:t>Tecnologías que reduzcan los costes de gestión de cobro de deuda tributaria</w:t>
            </w:r>
            <w:r>
              <w:rPr>
                <w:rFonts w:ascii="Arial" w:hAnsi="Arial" w:cs="Arial"/>
                <w:sz w:val="20"/>
              </w:rPr>
              <w:t>.</w:t>
            </w:r>
          </w:p>
        </w:tc>
      </w:tr>
      <w:tr w:rsidR="00E61175" w:rsidRPr="00182567" w14:paraId="02E4A018" w14:textId="77777777" w:rsidTr="008F3940">
        <w:trPr>
          <w:trHeight w:val="20"/>
        </w:trPr>
        <w:tc>
          <w:tcPr>
            <w:tcW w:w="4055" w:type="dxa"/>
            <w:tcBorders>
              <w:top w:val="single" w:sz="4" w:space="0" w:color="000000"/>
              <w:left w:val="single" w:sz="4" w:space="0" w:color="000000"/>
              <w:bottom w:val="single" w:sz="4" w:space="0" w:color="000000"/>
              <w:right w:val="single" w:sz="4" w:space="0" w:color="000000"/>
            </w:tcBorders>
          </w:tcPr>
          <w:p w14:paraId="74F76791" w14:textId="77777777" w:rsidR="00E61175" w:rsidRPr="005949B1" w:rsidRDefault="00E61175" w:rsidP="008F3940">
            <w:pPr>
              <w:spacing w:beforeLines="20" w:before="48" w:afterLines="20" w:after="48"/>
              <w:rPr>
                <w:rFonts w:ascii="Arial" w:hAnsi="Arial" w:cs="Arial"/>
                <w:sz w:val="20"/>
              </w:rPr>
            </w:pPr>
            <w:r w:rsidRPr="005949B1">
              <w:rPr>
                <w:rFonts w:ascii="Arial" w:hAnsi="Arial" w:cs="Arial"/>
                <w:sz w:val="20"/>
              </w:rPr>
              <w:t xml:space="preserve">Tramo 2: 4.5 </w:t>
            </w:r>
            <w:r w:rsidRPr="005949B1">
              <w:rPr>
                <w:rFonts w:ascii="Arial" w:hAnsi="Arial" w:cs="Arial"/>
                <w:bCs/>
                <w:kern w:val="18"/>
                <w:sz w:val="20"/>
              </w:rPr>
              <w:t xml:space="preserve">Resoluciones del SRI para fortalecimiento de </w:t>
            </w:r>
            <w:r w:rsidRPr="005949B1">
              <w:rPr>
                <w:rFonts w:ascii="Arial" w:hAnsi="Arial" w:cs="Arial"/>
                <w:bCs/>
                <w:sz w:val="20"/>
                <w:lang w:val="es-ES"/>
              </w:rPr>
              <w:t xml:space="preserve">la eficiencia de los procesos de cumplimiento tributario mediante la </w:t>
            </w:r>
            <w:r w:rsidRPr="005949B1">
              <w:rPr>
                <w:rFonts w:ascii="Arial" w:hAnsi="Arial" w:cs="Arial"/>
                <w:bCs/>
                <w:kern w:val="18"/>
                <w:sz w:val="20"/>
                <w:lang w:val="es-ES"/>
              </w:rPr>
              <w:t xml:space="preserve">implementación de servicios en línea, </w:t>
            </w:r>
            <w:r>
              <w:rPr>
                <w:rFonts w:ascii="Arial" w:hAnsi="Arial" w:cs="Arial"/>
                <w:bCs/>
                <w:kern w:val="18"/>
                <w:sz w:val="20"/>
                <w:lang w:val="es-ES"/>
              </w:rPr>
              <w:t>publicadas.</w:t>
            </w:r>
          </w:p>
        </w:tc>
        <w:tc>
          <w:tcPr>
            <w:tcW w:w="1430" w:type="dxa"/>
            <w:tcBorders>
              <w:top w:val="single" w:sz="4" w:space="0" w:color="000000"/>
              <w:left w:val="single" w:sz="4" w:space="0" w:color="000000"/>
              <w:bottom w:val="single" w:sz="4" w:space="0" w:color="000000"/>
              <w:right w:val="single" w:sz="4" w:space="0" w:color="000000"/>
            </w:tcBorders>
          </w:tcPr>
          <w:p w14:paraId="524D1757"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bCs/>
                <w:sz w:val="20"/>
              </w:rPr>
              <w:t xml:space="preserve">Resoluciones </w:t>
            </w:r>
          </w:p>
        </w:tc>
        <w:tc>
          <w:tcPr>
            <w:tcW w:w="990" w:type="dxa"/>
            <w:tcBorders>
              <w:top w:val="single" w:sz="4" w:space="0" w:color="000000"/>
              <w:left w:val="single" w:sz="4" w:space="0" w:color="000000"/>
              <w:bottom w:val="single" w:sz="4" w:space="0" w:color="000000"/>
              <w:right w:val="single" w:sz="4" w:space="0" w:color="000000"/>
            </w:tcBorders>
          </w:tcPr>
          <w:p w14:paraId="72855392"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0</w:t>
            </w:r>
          </w:p>
        </w:tc>
        <w:tc>
          <w:tcPr>
            <w:tcW w:w="1170" w:type="dxa"/>
            <w:tcBorders>
              <w:top w:val="single" w:sz="4" w:space="0" w:color="000000"/>
              <w:left w:val="single" w:sz="4" w:space="0" w:color="000000"/>
              <w:bottom w:val="single" w:sz="4" w:space="0" w:color="000000"/>
              <w:right w:val="single" w:sz="4" w:space="0" w:color="000000"/>
            </w:tcBorders>
          </w:tcPr>
          <w:p w14:paraId="7FE4089D"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2018</w:t>
            </w:r>
          </w:p>
        </w:tc>
        <w:tc>
          <w:tcPr>
            <w:tcW w:w="720" w:type="dxa"/>
            <w:tcBorders>
              <w:top w:val="single" w:sz="4" w:space="0" w:color="000000"/>
              <w:left w:val="single" w:sz="4" w:space="0" w:color="000000"/>
              <w:bottom w:val="single" w:sz="4" w:space="0" w:color="000000"/>
              <w:right w:val="single" w:sz="4" w:space="0" w:color="000000"/>
            </w:tcBorders>
          </w:tcPr>
          <w:p w14:paraId="6A2B638C" w14:textId="77777777" w:rsidR="00E61175" w:rsidRPr="005949B1" w:rsidRDefault="00E61175" w:rsidP="008F3940">
            <w:pPr>
              <w:spacing w:beforeLines="20" w:before="48" w:afterLines="20" w:after="48"/>
              <w:jc w:val="center"/>
              <w:rPr>
                <w:rFonts w:ascii="Arial" w:hAnsi="Arial" w:cs="Arial"/>
                <w:sz w:val="20"/>
              </w:rPr>
            </w:pPr>
            <w:r w:rsidRPr="005949B1">
              <w:rPr>
                <w:rFonts w:ascii="Arial" w:hAnsi="Arial" w:cs="Arial"/>
                <w:sz w:val="20"/>
              </w:rPr>
              <w:t>3</w:t>
            </w:r>
          </w:p>
        </w:tc>
        <w:tc>
          <w:tcPr>
            <w:tcW w:w="2070" w:type="dxa"/>
            <w:tcBorders>
              <w:top w:val="single" w:sz="4" w:space="0" w:color="000000"/>
              <w:left w:val="single" w:sz="4" w:space="0" w:color="000000"/>
              <w:bottom w:val="single" w:sz="4" w:space="0" w:color="000000"/>
              <w:right w:val="single" w:sz="4" w:space="0" w:color="000000"/>
            </w:tcBorders>
          </w:tcPr>
          <w:p w14:paraId="1D96DD16" w14:textId="77777777" w:rsidR="00E61175" w:rsidRPr="005949B1" w:rsidRDefault="00E61175" w:rsidP="008F3940">
            <w:pPr>
              <w:spacing w:beforeLines="20" w:before="48" w:afterLines="20" w:after="48"/>
              <w:rPr>
                <w:rFonts w:ascii="Arial" w:hAnsi="Arial" w:cs="Arial"/>
                <w:sz w:val="20"/>
              </w:rPr>
            </w:pPr>
            <w:r w:rsidRPr="00BD61E6">
              <w:rPr>
                <w:rFonts w:ascii="Arial" w:hAnsi="Arial" w:cs="Arial"/>
                <w:bCs/>
                <w:kern w:val="18"/>
                <w:sz w:val="20"/>
                <w:lang w:val="es-ES"/>
              </w:rPr>
              <w:t>Resoluci</w:t>
            </w:r>
            <w:r>
              <w:rPr>
                <w:rFonts w:ascii="Arial" w:hAnsi="Arial" w:cs="Arial"/>
                <w:bCs/>
                <w:kern w:val="18"/>
                <w:sz w:val="20"/>
                <w:lang w:val="es-ES"/>
              </w:rPr>
              <w:t>o</w:t>
            </w:r>
            <w:r w:rsidRPr="00BD61E6">
              <w:rPr>
                <w:rFonts w:ascii="Arial" w:hAnsi="Arial" w:cs="Arial"/>
                <w:bCs/>
                <w:kern w:val="18"/>
                <w:sz w:val="20"/>
                <w:lang w:val="es-ES"/>
              </w:rPr>
              <w:t>n</w:t>
            </w:r>
            <w:r>
              <w:rPr>
                <w:rFonts w:ascii="Arial" w:hAnsi="Arial" w:cs="Arial"/>
                <w:bCs/>
                <w:kern w:val="18"/>
                <w:sz w:val="20"/>
                <w:lang w:val="es-ES"/>
              </w:rPr>
              <w:t xml:space="preserve">es </w:t>
            </w:r>
            <w:r>
              <w:rPr>
                <w:rFonts w:ascii="Arial" w:hAnsi="Arial" w:cs="Arial"/>
                <w:sz w:val="20"/>
              </w:rPr>
              <w:t>publicadas, SRI.</w:t>
            </w:r>
          </w:p>
        </w:tc>
        <w:tc>
          <w:tcPr>
            <w:tcW w:w="2710" w:type="dxa"/>
            <w:tcBorders>
              <w:top w:val="single" w:sz="4" w:space="0" w:color="000000"/>
              <w:left w:val="single" w:sz="4" w:space="0" w:color="000000"/>
              <w:bottom w:val="single" w:sz="4" w:space="0" w:color="000000"/>
              <w:right w:val="single" w:sz="4" w:space="0" w:color="000000"/>
            </w:tcBorders>
          </w:tcPr>
          <w:p w14:paraId="3FAC45B2" w14:textId="77777777" w:rsidR="00E61175" w:rsidRDefault="00E61175" w:rsidP="008F3940">
            <w:pPr>
              <w:spacing w:beforeLines="20" w:before="48" w:afterLines="20" w:after="48"/>
              <w:rPr>
                <w:rFonts w:ascii="Arial" w:hAnsi="Arial" w:cs="Arial"/>
                <w:bCs/>
                <w:kern w:val="18"/>
                <w:sz w:val="20"/>
                <w:lang w:val="es-ES"/>
              </w:rPr>
            </w:pPr>
            <w:r w:rsidRPr="00BD61E6">
              <w:rPr>
                <w:rFonts w:ascii="Arial" w:hAnsi="Arial" w:cs="Arial"/>
                <w:bCs/>
                <w:kern w:val="18"/>
                <w:sz w:val="20"/>
                <w:lang w:val="es-ES"/>
              </w:rPr>
              <w:t>Resoluci</w:t>
            </w:r>
            <w:r>
              <w:rPr>
                <w:rFonts w:ascii="Arial" w:hAnsi="Arial" w:cs="Arial"/>
                <w:bCs/>
                <w:kern w:val="18"/>
                <w:sz w:val="20"/>
                <w:lang w:val="es-ES"/>
              </w:rPr>
              <w:t>o</w:t>
            </w:r>
            <w:r w:rsidRPr="00BD61E6">
              <w:rPr>
                <w:rFonts w:ascii="Arial" w:hAnsi="Arial" w:cs="Arial"/>
                <w:bCs/>
                <w:kern w:val="18"/>
                <w:sz w:val="20"/>
                <w:lang w:val="es-ES"/>
              </w:rPr>
              <w:t>n</w:t>
            </w:r>
            <w:r>
              <w:rPr>
                <w:rFonts w:ascii="Arial" w:hAnsi="Arial" w:cs="Arial"/>
                <w:bCs/>
                <w:kern w:val="18"/>
                <w:sz w:val="20"/>
                <w:lang w:val="es-ES"/>
              </w:rPr>
              <w:t>es</w:t>
            </w:r>
            <w:r w:rsidRPr="005949B1">
              <w:rPr>
                <w:rFonts w:ascii="Arial" w:hAnsi="Arial" w:cs="Arial"/>
                <w:bCs/>
                <w:kern w:val="18"/>
                <w:sz w:val="20"/>
                <w:lang w:val="es-ES"/>
              </w:rPr>
              <w:t xml:space="preserve"> incluyen:</w:t>
            </w:r>
          </w:p>
          <w:p w14:paraId="4EFA9A0D" w14:textId="3008B034" w:rsidR="00E61175" w:rsidRPr="005949B1" w:rsidRDefault="00115A75" w:rsidP="00E61175">
            <w:pPr>
              <w:numPr>
                <w:ilvl w:val="0"/>
                <w:numId w:val="12"/>
              </w:numPr>
              <w:spacing w:beforeLines="20" w:before="48" w:afterLines="20" w:after="48"/>
              <w:ind w:left="432"/>
              <w:rPr>
                <w:rFonts w:ascii="Arial" w:hAnsi="Arial" w:cs="Arial"/>
                <w:sz w:val="20"/>
              </w:rPr>
            </w:pPr>
            <w:r>
              <w:rPr>
                <w:rFonts w:ascii="Arial" w:hAnsi="Arial" w:cs="Arial"/>
                <w:sz w:val="20"/>
              </w:rPr>
              <w:t xml:space="preserve">Inscripción </w:t>
            </w:r>
            <w:r w:rsidR="00E61175" w:rsidRPr="005949B1">
              <w:rPr>
                <w:rFonts w:ascii="Arial" w:hAnsi="Arial" w:cs="Arial"/>
                <w:sz w:val="20"/>
              </w:rPr>
              <w:t xml:space="preserve"> de sociedades; </w:t>
            </w:r>
          </w:p>
          <w:p w14:paraId="7EF4BD22" w14:textId="76F96C31" w:rsidR="00E61175" w:rsidRDefault="00870F4C" w:rsidP="00E61175">
            <w:pPr>
              <w:numPr>
                <w:ilvl w:val="0"/>
                <w:numId w:val="12"/>
              </w:numPr>
              <w:spacing w:beforeLines="20" w:before="48" w:afterLines="20" w:after="48"/>
              <w:ind w:left="432"/>
              <w:rPr>
                <w:rFonts w:ascii="Arial" w:hAnsi="Arial" w:cs="Arial"/>
                <w:sz w:val="20"/>
              </w:rPr>
            </w:pPr>
            <w:r>
              <w:rPr>
                <w:rFonts w:ascii="Arial" w:hAnsi="Arial" w:cs="Arial"/>
                <w:sz w:val="20"/>
              </w:rPr>
              <w:t>D</w:t>
            </w:r>
            <w:r w:rsidR="00E61175" w:rsidRPr="005949B1">
              <w:rPr>
                <w:rFonts w:ascii="Arial" w:hAnsi="Arial" w:cs="Arial"/>
                <w:sz w:val="20"/>
              </w:rPr>
              <w:t>eclaración de ganancias de capital y regalías mineras.</w:t>
            </w:r>
          </w:p>
          <w:p w14:paraId="0E08CE72" w14:textId="01557902" w:rsidR="00E61175" w:rsidRPr="00182567" w:rsidRDefault="00870F4C" w:rsidP="00E61175">
            <w:pPr>
              <w:numPr>
                <w:ilvl w:val="0"/>
                <w:numId w:val="12"/>
              </w:numPr>
              <w:spacing w:beforeLines="20" w:before="48" w:afterLines="20" w:after="48"/>
              <w:ind w:left="432"/>
              <w:rPr>
                <w:rFonts w:ascii="Arial" w:hAnsi="Arial" w:cs="Arial"/>
                <w:sz w:val="20"/>
              </w:rPr>
            </w:pPr>
            <w:r>
              <w:rPr>
                <w:rFonts w:ascii="Arial" w:hAnsi="Arial" w:cs="Arial"/>
                <w:sz w:val="20"/>
              </w:rPr>
              <w:t>P</w:t>
            </w:r>
            <w:r w:rsidR="00E61175" w:rsidRPr="00182567">
              <w:rPr>
                <w:rFonts w:ascii="Arial" w:hAnsi="Arial" w:cs="Arial"/>
                <w:sz w:val="20"/>
              </w:rPr>
              <w:t>ago en línea de la matriculación vehicular</w:t>
            </w:r>
          </w:p>
        </w:tc>
      </w:tr>
    </w:tbl>
    <w:p w14:paraId="6B09BA51" w14:textId="77777777" w:rsidR="00155EEA" w:rsidRDefault="00155EEA">
      <w:pPr>
        <w:pStyle w:val="FirstHeading"/>
        <w:spacing w:after="0"/>
        <w:rPr>
          <w:rFonts w:ascii="Arial" w:hAnsi="Arial" w:cs="Arial"/>
          <w:sz w:val="22"/>
          <w:szCs w:val="22"/>
        </w:rPr>
        <w:sectPr w:rsidR="00155EEA" w:rsidSect="00416162">
          <w:pgSz w:w="15840" w:h="12240" w:orient="landscape" w:code="1"/>
          <w:pgMar w:top="1800" w:right="1440" w:bottom="1800" w:left="1440" w:header="706" w:footer="706" w:gutter="0"/>
          <w:cols w:space="720"/>
          <w:formProt w:val="0"/>
          <w:titlePg/>
        </w:sectPr>
      </w:pPr>
    </w:p>
    <w:p w14:paraId="25F1CBB1" w14:textId="77777777" w:rsidR="00155EEA" w:rsidRPr="00C0320B" w:rsidRDefault="00C2392C">
      <w:pPr>
        <w:pStyle w:val="FirstHeading"/>
        <w:spacing w:after="0"/>
        <w:rPr>
          <w:rFonts w:ascii="Arial" w:hAnsi="Arial" w:cs="Arial"/>
          <w:sz w:val="22"/>
          <w:szCs w:val="22"/>
        </w:rPr>
      </w:pPr>
      <w:bookmarkStart w:id="7" w:name="_Toc508105577"/>
      <w:r w:rsidRPr="00C0320B">
        <w:rPr>
          <w:rFonts w:ascii="Arial" w:hAnsi="Arial" w:cs="Arial"/>
          <w:sz w:val="22"/>
          <w:szCs w:val="22"/>
        </w:rPr>
        <w:lastRenderedPageBreak/>
        <w:t>B.</w:t>
      </w:r>
      <w:r w:rsidRPr="00C0320B">
        <w:rPr>
          <w:rFonts w:ascii="Arial" w:hAnsi="Arial" w:cs="Arial"/>
          <w:sz w:val="22"/>
          <w:szCs w:val="22"/>
        </w:rPr>
        <w:tab/>
        <w:t>Recolección de Datos e Instrumentos</w:t>
      </w:r>
      <w:bookmarkEnd w:id="7"/>
    </w:p>
    <w:p w14:paraId="48200870" w14:textId="63C9F29E" w:rsidR="00155EEA" w:rsidRPr="00A00470" w:rsidRDefault="00C2392C" w:rsidP="006930D9">
      <w:pPr>
        <w:pStyle w:val="Paragraph"/>
        <w:tabs>
          <w:tab w:val="clear" w:pos="2448"/>
        </w:tabs>
        <w:spacing w:after="0"/>
        <w:ind w:left="720" w:hanging="720"/>
        <w:rPr>
          <w:rFonts w:ascii="Arial" w:hAnsi="Arial" w:cs="Arial"/>
          <w:sz w:val="22"/>
          <w:szCs w:val="22"/>
        </w:rPr>
      </w:pPr>
      <w:r w:rsidRPr="00C0320B">
        <w:rPr>
          <w:rFonts w:ascii="Arial" w:hAnsi="Arial" w:cs="Arial"/>
          <w:sz w:val="22"/>
          <w:szCs w:val="22"/>
        </w:rPr>
        <w:t xml:space="preserve">A nivel de productos, la información será presentada por el </w:t>
      </w:r>
      <w:r w:rsidR="00501064" w:rsidRPr="00C0320B">
        <w:rPr>
          <w:rFonts w:ascii="Arial" w:hAnsi="Arial" w:cs="Arial"/>
          <w:sz w:val="22"/>
          <w:szCs w:val="22"/>
        </w:rPr>
        <w:t xml:space="preserve">MEF </w:t>
      </w:r>
      <w:r w:rsidRPr="00C0320B">
        <w:rPr>
          <w:rFonts w:ascii="Arial" w:hAnsi="Arial" w:cs="Arial"/>
          <w:sz w:val="22"/>
          <w:szCs w:val="22"/>
        </w:rPr>
        <w:t xml:space="preserve">al BID, como parte del proceso de elaboración del informe de cumplimiento de los compromisos contractuales. En dicho informe se verificará el avance o el cumplimiento de cada uno de los indicadores de producto durante el período evaluado y se presentará la documentación de respaldo correspondiente (por ejemplo, evidencia de la publicación de la normativa correspondiente </w:t>
      </w:r>
      <w:r w:rsidRPr="00A00470">
        <w:rPr>
          <w:rFonts w:ascii="Arial" w:hAnsi="Arial" w:cs="Arial"/>
          <w:sz w:val="22"/>
          <w:szCs w:val="22"/>
        </w:rPr>
        <w:t xml:space="preserve">en el Diario Oficial). </w:t>
      </w:r>
    </w:p>
    <w:p w14:paraId="0FF080F0" w14:textId="2242C8DC" w:rsidR="00155EEA" w:rsidRPr="00A00470" w:rsidRDefault="56D17B07" w:rsidP="006930D9">
      <w:pPr>
        <w:pStyle w:val="Paragraph"/>
        <w:tabs>
          <w:tab w:val="clear" w:pos="2448"/>
        </w:tabs>
        <w:spacing w:after="0"/>
        <w:ind w:left="720" w:hanging="720"/>
        <w:rPr>
          <w:rFonts w:ascii="Arial" w:hAnsi="Arial" w:cs="Arial"/>
          <w:sz w:val="22"/>
          <w:szCs w:val="22"/>
        </w:rPr>
      </w:pPr>
      <w:r w:rsidRPr="00A00470">
        <w:rPr>
          <w:rFonts w:ascii="Arial" w:hAnsi="Arial" w:cs="Arial"/>
          <w:sz w:val="22"/>
          <w:szCs w:val="22"/>
        </w:rPr>
        <w:t>Para el monitoreo de los resultados, se utilizará la información publicada en medios oficiales por parte del M</w:t>
      </w:r>
      <w:r w:rsidR="00974FBE" w:rsidRPr="00A00470">
        <w:rPr>
          <w:rFonts w:ascii="Arial" w:hAnsi="Arial" w:cs="Arial"/>
          <w:sz w:val="22"/>
          <w:szCs w:val="22"/>
        </w:rPr>
        <w:t>EF</w:t>
      </w:r>
      <w:r w:rsidR="00A00470" w:rsidRPr="00A00470">
        <w:rPr>
          <w:rFonts w:ascii="Arial" w:hAnsi="Arial" w:cs="Arial"/>
          <w:sz w:val="22"/>
          <w:szCs w:val="22"/>
        </w:rPr>
        <w:t xml:space="preserve"> y</w:t>
      </w:r>
      <w:r w:rsidR="00A00470" w:rsidRPr="00A00470">
        <w:rPr>
          <w:rFonts w:ascii="Arial" w:hAnsi="Arial" w:cs="Arial"/>
          <w:sz w:val="22"/>
          <w:szCs w:val="22"/>
          <w:lang w:val="es-ES_tradnl"/>
        </w:rPr>
        <w:t xml:space="preserve"> SRI</w:t>
      </w:r>
      <w:r w:rsidRPr="00A00470">
        <w:rPr>
          <w:rFonts w:ascii="Arial" w:hAnsi="Arial" w:cs="Arial"/>
          <w:sz w:val="22"/>
          <w:szCs w:val="22"/>
        </w:rPr>
        <w:t>.</w:t>
      </w:r>
    </w:p>
    <w:p w14:paraId="188F3F45" w14:textId="77777777" w:rsidR="00155EEA" w:rsidRPr="006213AB" w:rsidRDefault="00C2392C">
      <w:pPr>
        <w:pStyle w:val="FirstHeading"/>
        <w:spacing w:before="240" w:after="0"/>
        <w:rPr>
          <w:rFonts w:ascii="Arial" w:hAnsi="Arial" w:cs="Arial"/>
          <w:noProof/>
          <w:sz w:val="22"/>
          <w:szCs w:val="22"/>
        </w:rPr>
      </w:pPr>
      <w:bookmarkStart w:id="8" w:name="_Toc508105578"/>
      <w:r w:rsidRPr="006213AB">
        <w:rPr>
          <w:rFonts w:ascii="Arial" w:hAnsi="Arial" w:cs="Arial"/>
          <w:sz w:val="22"/>
          <w:szCs w:val="22"/>
        </w:rPr>
        <w:t>C.</w:t>
      </w:r>
      <w:r w:rsidRPr="006213AB">
        <w:rPr>
          <w:rFonts w:ascii="Arial" w:hAnsi="Arial" w:cs="Arial"/>
          <w:sz w:val="22"/>
          <w:szCs w:val="22"/>
        </w:rPr>
        <w:tab/>
        <w:t>Presentación de Informes</w:t>
      </w:r>
      <w:bookmarkEnd w:id="8"/>
    </w:p>
    <w:p w14:paraId="4A7B09DD" w14:textId="77777777" w:rsidR="00155EEA" w:rsidRPr="006213AB" w:rsidRDefault="56D17B07" w:rsidP="006930D9">
      <w:pPr>
        <w:pStyle w:val="Paragraph"/>
        <w:tabs>
          <w:tab w:val="clear" w:pos="2448"/>
        </w:tabs>
        <w:spacing w:after="0"/>
        <w:ind w:left="720" w:hanging="720"/>
        <w:rPr>
          <w:rFonts w:ascii="Arial" w:hAnsi="Arial" w:cs="Arial"/>
          <w:sz w:val="22"/>
          <w:szCs w:val="22"/>
        </w:rPr>
      </w:pPr>
      <w:r w:rsidRPr="006213AB">
        <w:rPr>
          <w:rFonts w:ascii="Arial" w:hAnsi="Arial" w:cs="Arial"/>
          <w:sz w:val="22"/>
          <w:szCs w:val="22"/>
        </w:rPr>
        <w:t>El principal insumo de monitoreo de la operación será el informe de cumplimiento de los compromisos contractuales del préstamo, a ser entregado posteriormente a la aprobación del Programa por parte del Directorio del Banco, y previo al desembolso de los recursos del préstamo. Este informe deberá verificar el cumplimiento de los compromisos definidos para esta operación en la Matriz de Políticas (ver Anexo II).</w:t>
      </w:r>
    </w:p>
    <w:p w14:paraId="6D364E48" w14:textId="77777777" w:rsidR="00155EEA" w:rsidRPr="006213AB" w:rsidRDefault="00C2392C" w:rsidP="006930D9">
      <w:pPr>
        <w:pStyle w:val="Paragraph"/>
        <w:tabs>
          <w:tab w:val="clear" w:pos="2448"/>
        </w:tabs>
        <w:spacing w:after="0"/>
        <w:ind w:left="720" w:hanging="720"/>
        <w:rPr>
          <w:rFonts w:ascii="Arial" w:hAnsi="Arial" w:cs="Arial"/>
          <w:sz w:val="22"/>
          <w:szCs w:val="22"/>
        </w:rPr>
      </w:pPr>
      <w:r w:rsidRPr="006213AB">
        <w:rPr>
          <w:rFonts w:ascii="Arial" w:hAnsi="Arial" w:cs="Arial"/>
          <w:sz w:val="22"/>
          <w:szCs w:val="22"/>
        </w:rPr>
        <w:t>La evaluación final del programa se realizará al finalizar el plazo de ejecución de</w:t>
      </w:r>
      <w:r w:rsidR="00C10502" w:rsidRPr="006213AB">
        <w:rPr>
          <w:rFonts w:ascii="Arial" w:hAnsi="Arial" w:cs="Arial"/>
          <w:sz w:val="22"/>
          <w:szCs w:val="22"/>
        </w:rPr>
        <w:t>l PBL</w:t>
      </w:r>
      <w:r w:rsidRPr="006213AB">
        <w:rPr>
          <w:rFonts w:ascii="Arial" w:hAnsi="Arial" w:cs="Arial"/>
          <w:sz w:val="22"/>
          <w:szCs w:val="22"/>
        </w:rPr>
        <w:t xml:space="preserve"> y examinará los resultados alcanzados por el programa, medidos en cuanto al logro de las metas y desempeño de los indicadores establecidos en la Matriz de Resultados y los indicadores del cuadro 3</w:t>
      </w:r>
      <w:r w:rsidR="00C10502" w:rsidRPr="006213AB">
        <w:rPr>
          <w:rFonts w:ascii="Arial" w:hAnsi="Arial" w:cs="Arial"/>
          <w:sz w:val="22"/>
          <w:szCs w:val="22"/>
        </w:rPr>
        <w:t xml:space="preserve"> (ver debajo)</w:t>
      </w:r>
      <w:r w:rsidRPr="006213AB">
        <w:rPr>
          <w:rFonts w:ascii="Arial" w:hAnsi="Arial" w:cs="Arial"/>
          <w:sz w:val="22"/>
          <w:szCs w:val="22"/>
        </w:rPr>
        <w:t>.</w:t>
      </w:r>
      <w:r w:rsidR="00C10502" w:rsidRPr="006213AB">
        <w:rPr>
          <w:rFonts w:ascii="Arial" w:hAnsi="Arial" w:cs="Arial"/>
          <w:sz w:val="22"/>
          <w:szCs w:val="22"/>
        </w:rPr>
        <w:t xml:space="preserve"> </w:t>
      </w:r>
    </w:p>
    <w:p w14:paraId="576608AE" w14:textId="77777777" w:rsidR="00155EEA" w:rsidRPr="00757511" w:rsidRDefault="00C2392C">
      <w:pPr>
        <w:pStyle w:val="FirstHeading"/>
        <w:spacing w:before="240" w:after="0"/>
        <w:rPr>
          <w:rFonts w:ascii="Arial" w:hAnsi="Arial" w:cs="Arial"/>
          <w:noProof/>
          <w:sz w:val="22"/>
          <w:szCs w:val="22"/>
        </w:rPr>
      </w:pPr>
      <w:bookmarkStart w:id="9" w:name="_Toc508105579"/>
      <w:r w:rsidRPr="00C0320B">
        <w:rPr>
          <w:rFonts w:ascii="Arial" w:hAnsi="Arial" w:cs="Arial"/>
          <w:sz w:val="22"/>
          <w:szCs w:val="22"/>
        </w:rPr>
        <w:t>D.</w:t>
      </w:r>
      <w:r w:rsidRPr="00C0320B">
        <w:rPr>
          <w:rFonts w:ascii="Arial" w:hAnsi="Arial" w:cs="Arial"/>
          <w:sz w:val="22"/>
          <w:szCs w:val="22"/>
        </w:rPr>
        <w:tab/>
        <w:t xml:space="preserve">Coordinación, Plan de </w:t>
      </w:r>
      <w:r w:rsidRPr="00757511">
        <w:rPr>
          <w:rFonts w:ascii="Arial" w:hAnsi="Arial" w:cs="Arial"/>
          <w:sz w:val="22"/>
          <w:szCs w:val="22"/>
        </w:rPr>
        <w:t>Trabajo y Presupuesto del Seguimiento</w:t>
      </w:r>
      <w:bookmarkEnd w:id="9"/>
    </w:p>
    <w:p w14:paraId="0067E40A" w14:textId="2C74A6F7" w:rsidR="00155EEA" w:rsidRDefault="00C2392C" w:rsidP="006930D9">
      <w:pPr>
        <w:pStyle w:val="Paragraph"/>
        <w:tabs>
          <w:tab w:val="clear" w:pos="2448"/>
        </w:tabs>
        <w:spacing w:after="0"/>
        <w:ind w:left="720" w:hanging="720"/>
        <w:rPr>
          <w:rFonts w:ascii="Arial" w:hAnsi="Arial" w:cs="Arial"/>
          <w:sz w:val="22"/>
          <w:szCs w:val="22"/>
        </w:rPr>
      </w:pPr>
      <w:r w:rsidRPr="00757511">
        <w:rPr>
          <w:rFonts w:ascii="Arial" w:hAnsi="Arial" w:cs="Arial"/>
          <w:sz w:val="22"/>
          <w:szCs w:val="22"/>
        </w:rPr>
        <w:t>Las actividades de monitoreo y elaboración de informes serán coordinadas por el equipo de proyecto de este programa en conjunto con el M</w:t>
      </w:r>
      <w:r w:rsidR="00490B7D" w:rsidRPr="00757511">
        <w:rPr>
          <w:rFonts w:ascii="Arial" w:hAnsi="Arial" w:cs="Arial"/>
          <w:sz w:val="22"/>
          <w:szCs w:val="22"/>
        </w:rPr>
        <w:t>EF</w:t>
      </w:r>
      <w:r w:rsidRPr="00757511">
        <w:rPr>
          <w:rFonts w:ascii="Arial" w:hAnsi="Arial" w:cs="Arial"/>
          <w:sz w:val="22"/>
          <w:szCs w:val="22"/>
        </w:rPr>
        <w:t xml:space="preserve">, con quienes se ha acordado monitorear los indicadores propuestos en este Programa. Se planea realizar </w:t>
      </w:r>
      <w:r w:rsidR="00FA02D9" w:rsidRPr="00757511">
        <w:rPr>
          <w:rFonts w:ascii="Arial" w:hAnsi="Arial" w:cs="Arial"/>
          <w:sz w:val="22"/>
          <w:szCs w:val="22"/>
        </w:rPr>
        <w:t xml:space="preserve">misiones de supervisión </w:t>
      </w:r>
      <w:r w:rsidR="00A0796F">
        <w:rPr>
          <w:rFonts w:ascii="Arial" w:hAnsi="Arial" w:cs="Arial"/>
          <w:sz w:val="22"/>
          <w:szCs w:val="22"/>
        </w:rPr>
        <w:t>semestra</w:t>
      </w:r>
      <w:r w:rsidR="00490B7D" w:rsidRPr="00757511">
        <w:rPr>
          <w:rFonts w:ascii="Arial" w:hAnsi="Arial" w:cs="Arial"/>
          <w:sz w:val="22"/>
          <w:szCs w:val="22"/>
        </w:rPr>
        <w:t>les</w:t>
      </w:r>
      <w:r w:rsidRPr="00757511">
        <w:rPr>
          <w:rFonts w:ascii="Arial" w:hAnsi="Arial" w:cs="Arial"/>
          <w:sz w:val="22"/>
          <w:szCs w:val="22"/>
        </w:rPr>
        <w:t xml:space="preserve"> para</w:t>
      </w:r>
      <w:r w:rsidRPr="00490B7D">
        <w:rPr>
          <w:rFonts w:ascii="Arial" w:hAnsi="Arial" w:cs="Arial"/>
          <w:sz w:val="22"/>
          <w:szCs w:val="22"/>
        </w:rPr>
        <w:t xml:space="preserve"> la discusión del progreso de los indicadores de monitoreo y la verificación del cumplimiento de los mecanismos activadores de</w:t>
      </w:r>
      <w:r w:rsidR="00E63613" w:rsidRPr="00490B7D">
        <w:rPr>
          <w:rFonts w:ascii="Arial" w:hAnsi="Arial" w:cs="Arial"/>
          <w:sz w:val="22"/>
          <w:szCs w:val="22"/>
        </w:rPr>
        <w:t xml:space="preserve"> </w:t>
      </w:r>
      <w:r w:rsidR="00CB50C8" w:rsidRPr="00490B7D">
        <w:rPr>
          <w:rFonts w:ascii="Arial" w:hAnsi="Arial" w:cs="Arial"/>
          <w:sz w:val="22"/>
          <w:szCs w:val="22"/>
        </w:rPr>
        <w:t xml:space="preserve">los </w:t>
      </w:r>
      <w:r w:rsidR="00E63613" w:rsidRPr="00490B7D">
        <w:rPr>
          <w:rFonts w:ascii="Arial" w:hAnsi="Arial" w:cs="Arial"/>
          <w:sz w:val="22"/>
          <w:szCs w:val="22"/>
        </w:rPr>
        <w:t>tramos de desembolso</w:t>
      </w:r>
      <w:r w:rsidR="00CB50C8" w:rsidRPr="00490B7D">
        <w:rPr>
          <w:rFonts w:ascii="Arial" w:hAnsi="Arial" w:cs="Arial"/>
          <w:sz w:val="22"/>
          <w:szCs w:val="22"/>
        </w:rPr>
        <w:t xml:space="preserve"> definidos en </w:t>
      </w:r>
      <w:r w:rsidRPr="00490B7D">
        <w:rPr>
          <w:rFonts w:ascii="Arial" w:hAnsi="Arial" w:cs="Arial"/>
          <w:sz w:val="22"/>
          <w:szCs w:val="22"/>
        </w:rPr>
        <w:t xml:space="preserve">la Matriz de Políticas. </w:t>
      </w:r>
    </w:p>
    <w:p w14:paraId="12361F82" w14:textId="28B9953B" w:rsidR="005E02E6" w:rsidRPr="00490B7D" w:rsidRDefault="00D44610" w:rsidP="006930D9">
      <w:pPr>
        <w:pStyle w:val="Paragraph"/>
        <w:tabs>
          <w:tab w:val="clear" w:pos="2448"/>
        </w:tabs>
        <w:spacing w:after="0"/>
        <w:ind w:left="720" w:hanging="720"/>
        <w:rPr>
          <w:rFonts w:ascii="Arial" w:hAnsi="Arial" w:cs="Arial"/>
          <w:sz w:val="22"/>
          <w:szCs w:val="22"/>
        </w:rPr>
      </w:pPr>
      <w:r w:rsidRPr="00F53CB6">
        <w:rPr>
          <w:rFonts w:ascii="Arial" w:hAnsi="Arial" w:cs="Arial"/>
          <w:sz w:val="22"/>
          <w:szCs w:val="22"/>
        </w:rPr>
        <w:t>El Equipo de proyecto</w:t>
      </w:r>
      <w:r>
        <w:rPr>
          <w:rFonts w:ascii="Arial" w:hAnsi="Arial" w:cs="Arial"/>
          <w:sz w:val="22"/>
          <w:szCs w:val="22"/>
        </w:rPr>
        <w:t xml:space="preserve"> realizará </w:t>
      </w:r>
      <w:r w:rsidR="005E02E6">
        <w:rPr>
          <w:rFonts w:ascii="Arial" w:hAnsi="Arial" w:cs="Arial"/>
          <w:sz w:val="22"/>
          <w:szCs w:val="22"/>
        </w:rPr>
        <w:t xml:space="preserve">misiones de </w:t>
      </w:r>
      <w:r w:rsidR="002F0764">
        <w:rPr>
          <w:rFonts w:ascii="Arial" w:hAnsi="Arial" w:cs="Arial"/>
          <w:sz w:val="22"/>
          <w:szCs w:val="22"/>
        </w:rPr>
        <w:t>supervisión</w:t>
      </w:r>
      <w:r w:rsidR="005E02E6">
        <w:rPr>
          <w:rFonts w:ascii="Arial" w:hAnsi="Arial" w:cs="Arial"/>
          <w:sz w:val="22"/>
          <w:szCs w:val="22"/>
        </w:rPr>
        <w:t xml:space="preserve">, que coincidirán con las </w:t>
      </w:r>
      <w:r w:rsidR="002F0764">
        <w:rPr>
          <w:rFonts w:ascii="Arial" w:hAnsi="Arial" w:cs="Arial"/>
          <w:sz w:val="22"/>
          <w:szCs w:val="22"/>
        </w:rPr>
        <w:t>misiones</w:t>
      </w:r>
      <w:r w:rsidR="005E02E6">
        <w:rPr>
          <w:rFonts w:ascii="Arial" w:hAnsi="Arial" w:cs="Arial"/>
          <w:sz w:val="22"/>
          <w:szCs w:val="22"/>
        </w:rPr>
        <w:t xml:space="preserve"> del FMI durante la </w:t>
      </w:r>
      <w:r w:rsidR="002F0764">
        <w:rPr>
          <w:rFonts w:ascii="Arial" w:hAnsi="Arial" w:cs="Arial"/>
          <w:sz w:val="22"/>
          <w:szCs w:val="22"/>
        </w:rPr>
        <w:t>duración</w:t>
      </w:r>
      <w:r w:rsidR="005E02E6">
        <w:rPr>
          <w:rFonts w:ascii="Arial" w:hAnsi="Arial" w:cs="Arial"/>
          <w:sz w:val="22"/>
          <w:szCs w:val="22"/>
        </w:rPr>
        <w:t xml:space="preserve"> del </w:t>
      </w:r>
      <w:r w:rsidR="002F0764">
        <w:rPr>
          <w:rFonts w:ascii="Arial" w:hAnsi="Arial" w:cs="Arial"/>
          <w:sz w:val="22"/>
          <w:szCs w:val="22"/>
        </w:rPr>
        <w:t xml:space="preserve">SAF, se realizarán en el segundo y cuarto trimestre de cada año. Para elaborar los informes de monitoreo, se recolectarán datos administrativos del MEF y agencias responsables de la implementación de políticas durante dichos trimestres. El análisis y preparación de los informes se realizará de manera inmediatamente posterior a las visitas de la manera detallada en el Cuadro 2. </w:t>
      </w:r>
      <w:r w:rsidRPr="00D44610">
        <w:rPr>
          <w:rFonts w:ascii="Arial" w:hAnsi="Arial" w:cs="Arial"/>
          <w:sz w:val="22"/>
          <w:szCs w:val="22"/>
          <w:lang w:val="es-ES_tradnl"/>
        </w:rPr>
        <w:t>También se apoyará de Misiones de Administración anuales con el objetivo de analizar los avances del proyecto y tratar temas específicos identificados</w:t>
      </w:r>
      <w:r>
        <w:rPr>
          <w:rFonts w:ascii="Arial" w:hAnsi="Arial" w:cs="Arial"/>
          <w:sz w:val="22"/>
          <w:szCs w:val="22"/>
          <w:lang w:val="es-ES_tradnl"/>
        </w:rPr>
        <w:t>.</w:t>
      </w:r>
    </w:p>
    <w:p w14:paraId="2CA40B88" w14:textId="28E8B07A" w:rsidR="00155EEA" w:rsidRPr="00490B7D" w:rsidRDefault="00C2392C" w:rsidP="006930D9">
      <w:pPr>
        <w:pStyle w:val="Paragraph"/>
        <w:tabs>
          <w:tab w:val="clear" w:pos="2448"/>
        </w:tabs>
        <w:spacing w:after="0"/>
        <w:ind w:left="720" w:hanging="720"/>
        <w:rPr>
          <w:rFonts w:ascii="Arial" w:hAnsi="Arial" w:cs="Arial"/>
          <w:sz w:val="22"/>
          <w:szCs w:val="22"/>
        </w:rPr>
      </w:pPr>
      <w:r w:rsidRPr="00490B7D">
        <w:rPr>
          <w:rFonts w:ascii="Arial" w:hAnsi="Arial" w:cs="Arial"/>
          <w:sz w:val="22"/>
          <w:szCs w:val="22"/>
        </w:rPr>
        <w:t>El M</w:t>
      </w:r>
      <w:r w:rsidR="00490B7D" w:rsidRPr="00490B7D">
        <w:rPr>
          <w:rFonts w:ascii="Arial" w:hAnsi="Arial" w:cs="Arial"/>
          <w:sz w:val="22"/>
          <w:szCs w:val="22"/>
        </w:rPr>
        <w:t>EF</w:t>
      </w:r>
      <w:r w:rsidRPr="00490B7D">
        <w:rPr>
          <w:rFonts w:ascii="Arial" w:hAnsi="Arial" w:cs="Arial"/>
          <w:sz w:val="22"/>
          <w:szCs w:val="22"/>
        </w:rPr>
        <w:t xml:space="preserve"> </w:t>
      </w:r>
      <w:r w:rsidR="00490B7D" w:rsidRPr="00490B7D">
        <w:rPr>
          <w:rFonts w:ascii="Arial" w:hAnsi="Arial" w:cs="Arial"/>
          <w:sz w:val="22"/>
          <w:szCs w:val="22"/>
        </w:rPr>
        <w:t>proveerá los datos para la realización de las evaluaciones. Las evaluaciones serán realizadas por especialistas del BID o, de no ser posible por restricciones de tiempo, las mismas serían realizadas por consultores y se financiarían con recursos administrativos.</w:t>
      </w:r>
    </w:p>
    <w:p w14:paraId="2C5B2737" w14:textId="77777777" w:rsidR="00155EEA" w:rsidRDefault="00C2392C">
      <w:pPr>
        <w:spacing w:before="240" w:after="40"/>
        <w:jc w:val="center"/>
        <w:rPr>
          <w:rFonts w:ascii="Arial" w:hAnsi="Arial" w:cs="Arial"/>
          <w:b/>
          <w:sz w:val="22"/>
          <w:szCs w:val="22"/>
          <w:lang w:val="es-ES"/>
        </w:rPr>
      </w:pPr>
      <w:r w:rsidRPr="00775695">
        <w:rPr>
          <w:rFonts w:ascii="Arial" w:hAnsi="Arial" w:cs="Arial"/>
          <w:b/>
          <w:sz w:val="22"/>
          <w:szCs w:val="22"/>
          <w:lang w:val="es-ES"/>
        </w:rPr>
        <w:t xml:space="preserve">Cuadro 2: </w:t>
      </w:r>
      <w:r w:rsidRPr="00775695">
        <w:rPr>
          <w:rFonts w:ascii="Arial" w:hAnsi="Arial" w:cs="Arial"/>
          <w:b/>
          <w:bCs/>
          <w:sz w:val="22"/>
          <w:szCs w:val="22"/>
          <w:lang w:val="es-ES"/>
        </w:rPr>
        <w:t xml:space="preserve">Principales actividades de seguimiento/Productos </w:t>
      </w:r>
      <w:r>
        <w:rPr>
          <w:rFonts w:ascii="Arial" w:hAnsi="Arial" w:cs="Arial"/>
          <w:b/>
          <w:bCs/>
          <w:color w:val="000000"/>
          <w:sz w:val="22"/>
          <w:szCs w:val="22"/>
          <w:lang w:val="es-ES"/>
        </w:rPr>
        <w:t>por actividad</w:t>
      </w:r>
    </w:p>
    <w:tbl>
      <w:tblPr>
        <w:tblW w:w="10070" w:type="dxa"/>
        <w:jc w:val="center"/>
        <w:tblLayout w:type="fixed"/>
        <w:tblLook w:val="04A0" w:firstRow="1" w:lastRow="0" w:firstColumn="1" w:lastColumn="0" w:noHBand="0" w:noVBand="1"/>
      </w:tblPr>
      <w:tblGrid>
        <w:gridCol w:w="1430"/>
        <w:gridCol w:w="1080"/>
        <w:gridCol w:w="1080"/>
        <w:gridCol w:w="1080"/>
        <w:gridCol w:w="1080"/>
        <w:gridCol w:w="1170"/>
        <w:gridCol w:w="1080"/>
        <w:gridCol w:w="990"/>
        <w:gridCol w:w="1080"/>
      </w:tblGrid>
      <w:tr w:rsidR="00417D9A" w:rsidRPr="002F0764" w14:paraId="44A70765" w14:textId="77777777" w:rsidTr="00417D9A">
        <w:trPr>
          <w:trHeight w:val="980"/>
          <w:tblHeader/>
          <w:jc w:val="center"/>
        </w:trPr>
        <w:tc>
          <w:tcPr>
            <w:tcW w:w="143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3FFC43CB" w14:textId="77777777" w:rsidR="005872AB" w:rsidRPr="00417D9A" w:rsidRDefault="005872AB" w:rsidP="005872AB">
            <w:pPr>
              <w:jc w:val="center"/>
              <w:rPr>
                <w:rFonts w:ascii="Arial" w:hAnsi="Arial" w:cs="Arial"/>
                <w:b/>
                <w:bCs/>
                <w:color w:val="000000"/>
                <w:sz w:val="18"/>
                <w:szCs w:val="18"/>
                <w:lang w:val="es-ES"/>
              </w:rPr>
            </w:pPr>
            <w:r w:rsidRPr="00417D9A">
              <w:rPr>
                <w:rFonts w:ascii="Arial" w:hAnsi="Arial" w:cs="Arial"/>
                <w:b/>
                <w:bCs/>
                <w:color w:val="000000"/>
                <w:sz w:val="18"/>
                <w:szCs w:val="18"/>
                <w:lang w:val="es-ES"/>
              </w:rPr>
              <w:lastRenderedPageBreak/>
              <w:t>Actividades y Productos</w:t>
            </w:r>
          </w:p>
        </w:tc>
        <w:tc>
          <w:tcPr>
            <w:tcW w:w="1080" w:type="dxa"/>
            <w:tcBorders>
              <w:top w:val="single" w:sz="8" w:space="0" w:color="000000"/>
              <w:left w:val="nil"/>
              <w:bottom w:val="single" w:sz="8" w:space="0" w:color="000000"/>
              <w:right w:val="single" w:sz="8" w:space="0" w:color="000000"/>
            </w:tcBorders>
            <w:shd w:val="clear" w:color="000000" w:fill="8DB3E2"/>
            <w:vAlign w:val="center"/>
            <w:hideMark/>
          </w:tcPr>
          <w:p w14:paraId="6517F9C1" w14:textId="77777777" w:rsidR="005872AB" w:rsidRDefault="005872AB" w:rsidP="005872AB">
            <w:pPr>
              <w:jc w:val="center"/>
              <w:rPr>
                <w:rFonts w:ascii="Arial" w:hAnsi="Arial" w:cs="Arial"/>
                <w:b/>
                <w:bCs/>
                <w:color w:val="000000"/>
                <w:sz w:val="18"/>
                <w:szCs w:val="18"/>
                <w:lang w:val="es-ES"/>
              </w:rPr>
            </w:pPr>
            <w:r w:rsidRPr="00417D9A">
              <w:rPr>
                <w:rFonts w:ascii="Arial" w:hAnsi="Arial" w:cs="Arial"/>
                <w:b/>
                <w:bCs/>
                <w:color w:val="000000"/>
                <w:sz w:val="18"/>
                <w:szCs w:val="18"/>
                <w:lang w:val="es-ES"/>
              </w:rPr>
              <w:t>2019</w:t>
            </w:r>
          </w:p>
          <w:p w14:paraId="4BC1A247" w14:textId="22763869" w:rsidR="003262DD" w:rsidRPr="00417D9A" w:rsidRDefault="003262DD" w:rsidP="005872AB">
            <w:pPr>
              <w:jc w:val="center"/>
              <w:rPr>
                <w:rFonts w:ascii="Arial" w:hAnsi="Arial" w:cs="Arial"/>
                <w:b/>
                <w:bCs/>
                <w:color w:val="000000"/>
                <w:sz w:val="18"/>
                <w:szCs w:val="18"/>
                <w:lang w:val="en-US"/>
              </w:rPr>
            </w:pPr>
            <w:r>
              <w:rPr>
                <w:rFonts w:ascii="Arial" w:hAnsi="Arial" w:cs="Arial"/>
                <w:b/>
                <w:bCs/>
                <w:color w:val="000000"/>
                <w:sz w:val="18"/>
                <w:szCs w:val="18"/>
                <w:lang w:val="es-ES"/>
              </w:rPr>
              <w:t>Periodo y costo</w:t>
            </w:r>
          </w:p>
        </w:tc>
        <w:tc>
          <w:tcPr>
            <w:tcW w:w="108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4662498F" w14:textId="77777777" w:rsidR="005872AB" w:rsidRDefault="005872AB" w:rsidP="005872AB">
            <w:pPr>
              <w:jc w:val="center"/>
              <w:rPr>
                <w:rFonts w:ascii="Arial" w:hAnsi="Arial" w:cs="Arial"/>
                <w:b/>
                <w:bCs/>
                <w:color w:val="000000"/>
                <w:sz w:val="18"/>
                <w:szCs w:val="18"/>
                <w:lang w:val="es-ES"/>
              </w:rPr>
            </w:pPr>
            <w:r w:rsidRPr="00417D9A">
              <w:rPr>
                <w:rFonts w:ascii="Arial" w:hAnsi="Arial" w:cs="Arial"/>
                <w:b/>
                <w:bCs/>
                <w:color w:val="000000"/>
                <w:sz w:val="18"/>
                <w:szCs w:val="18"/>
                <w:lang w:val="es-ES"/>
              </w:rPr>
              <w:t>2020</w:t>
            </w:r>
          </w:p>
          <w:p w14:paraId="259449F1" w14:textId="43ACCB97" w:rsidR="003262DD" w:rsidRPr="00417D9A" w:rsidRDefault="003262DD" w:rsidP="005872AB">
            <w:pPr>
              <w:jc w:val="center"/>
              <w:rPr>
                <w:rFonts w:ascii="Arial" w:hAnsi="Arial" w:cs="Arial"/>
                <w:b/>
                <w:bCs/>
                <w:color w:val="000000"/>
                <w:sz w:val="18"/>
                <w:szCs w:val="18"/>
                <w:lang w:val="es-ES"/>
              </w:rPr>
            </w:pPr>
            <w:r>
              <w:rPr>
                <w:rFonts w:ascii="Arial" w:hAnsi="Arial" w:cs="Arial"/>
                <w:b/>
                <w:bCs/>
                <w:color w:val="000000"/>
                <w:sz w:val="18"/>
                <w:szCs w:val="18"/>
                <w:lang w:val="es-ES"/>
              </w:rPr>
              <w:t>Periodo y costo</w:t>
            </w:r>
          </w:p>
        </w:tc>
        <w:tc>
          <w:tcPr>
            <w:tcW w:w="108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6401DB39" w14:textId="77777777" w:rsidR="005872AB" w:rsidRDefault="005872AB" w:rsidP="005872AB">
            <w:pPr>
              <w:jc w:val="center"/>
              <w:rPr>
                <w:rFonts w:ascii="Arial" w:hAnsi="Arial" w:cs="Arial"/>
                <w:b/>
                <w:bCs/>
                <w:color w:val="000000"/>
                <w:sz w:val="18"/>
                <w:szCs w:val="18"/>
                <w:lang w:val="es-ES"/>
              </w:rPr>
            </w:pPr>
            <w:r w:rsidRPr="00417D9A">
              <w:rPr>
                <w:rFonts w:ascii="Arial" w:hAnsi="Arial" w:cs="Arial"/>
                <w:b/>
                <w:bCs/>
                <w:color w:val="000000"/>
                <w:sz w:val="18"/>
                <w:szCs w:val="18"/>
                <w:lang w:val="es-ES"/>
              </w:rPr>
              <w:t>2021</w:t>
            </w:r>
          </w:p>
          <w:p w14:paraId="77746E1C" w14:textId="3644084D" w:rsidR="003262DD" w:rsidRPr="00417D9A" w:rsidRDefault="003262DD" w:rsidP="005872AB">
            <w:pPr>
              <w:jc w:val="center"/>
              <w:rPr>
                <w:rFonts w:ascii="Arial" w:hAnsi="Arial" w:cs="Arial"/>
                <w:b/>
                <w:bCs/>
                <w:color w:val="000000"/>
                <w:sz w:val="18"/>
                <w:szCs w:val="18"/>
                <w:lang w:val="es-ES"/>
              </w:rPr>
            </w:pPr>
            <w:r>
              <w:rPr>
                <w:rFonts w:ascii="Arial" w:hAnsi="Arial" w:cs="Arial"/>
                <w:b/>
                <w:bCs/>
                <w:color w:val="000000"/>
                <w:sz w:val="18"/>
                <w:szCs w:val="18"/>
                <w:lang w:val="es-ES"/>
              </w:rPr>
              <w:t>Periodo y costo</w:t>
            </w:r>
          </w:p>
        </w:tc>
        <w:tc>
          <w:tcPr>
            <w:tcW w:w="108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5FA1B582" w14:textId="77777777" w:rsidR="005872AB" w:rsidRDefault="005872AB" w:rsidP="005872AB">
            <w:pPr>
              <w:jc w:val="center"/>
              <w:rPr>
                <w:rFonts w:ascii="Arial" w:hAnsi="Arial" w:cs="Arial"/>
                <w:b/>
                <w:bCs/>
                <w:color w:val="000000"/>
                <w:sz w:val="18"/>
                <w:szCs w:val="18"/>
                <w:lang w:val="es-ES"/>
              </w:rPr>
            </w:pPr>
            <w:r w:rsidRPr="00417D9A">
              <w:rPr>
                <w:rFonts w:ascii="Arial" w:hAnsi="Arial" w:cs="Arial"/>
                <w:b/>
                <w:bCs/>
                <w:color w:val="000000"/>
                <w:sz w:val="18"/>
                <w:szCs w:val="18"/>
                <w:lang w:val="es-ES"/>
              </w:rPr>
              <w:t>2022</w:t>
            </w:r>
          </w:p>
          <w:p w14:paraId="45F872D8" w14:textId="59BD25A6" w:rsidR="003262DD" w:rsidRPr="00417D9A" w:rsidRDefault="003262DD" w:rsidP="005872AB">
            <w:pPr>
              <w:jc w:val="center"/>
              <w:rPr>
                <w:rFonts w:ascii="Arial" w:hAnsi="Arial" w:cs="Arial"/>
                <w:b/>
                <w:bCs/>
                <w:color w:val="000000"/>
                <w:sz w:val="18"/>
                <w:szCs w:val="18"/>
                <w:lang w:val="es-ES"/>
              </w:rPr>
            </w:pPr>
            <w:r>
              <w:rPr>
                <w:rFonts w:ascii="Arial" w:hAnsi="Arial" w:cs="Arial"/>
                <w:b/>
                <w:bCs/>
                <w:color w:val="000000"/>
                <w:sz w:val="18"/>
                <w:szCs w:val="18"/>
                <w:lang w:val="es-ES"/>
              </w:rPr>
              <w:t>Periodo y costo</w:t>
            </w:r>
          </w:p>
        </w:tc>
        <w:tc>
          <w:tcPr>
            <w:tcW w:w="117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497A767B" w14:textId="77777777" w:rsidR="005872AB" w:rsidRDefault="005872AB" w:rsidP="005872AB">
            <w:pPr>
              <w:jc w:val="center"/>
              <w:rPr>
                <w:rFonts w:ascii="Arial" w:hAnsi="Arial" w:cs="Arial"/>
                <w:b/>
                <w:bCs/>
                <w:color w:val="000000"/>
                <w:sz w:val="18"/>
                <w:szCs w:val="18"/>
                <w:lang w:val="es-ES"/>
              </w:rPr>
            </w:pPr>
            <w:r w:rsidRPr="00417D9A">
              <w:rPr>
                <w:rFonts w:ascii="Arial" w:hAnsi="Arial" w:cs="Arial"/>
                <w:b/>
                <w:bCs/>
                <w:color w:val="000000"/>
                <w:sz w:val="18"/>
                <w:szCs w:val="18"/>
                <w:lang w:val="es-ES"/>
              </w:rPr>
              <w:t>2023</w:t>
            </w:r>
          </w:p>
          <w:p w14:paraId="44E56F34" w14:textId="7A201C1B" w:rsidR="003262DD" w:rsidRPr="00417D9A" w:rsidRDefault="003262DD" w:rsidP="005872AB">
            <w:pPr>
              <w:jc w:val="center"/>
              <w:rPr>
                <w:rFonts w:ascii="Arial" w:hAnsi="Arial" w:cs="Arial"/>
                <w:b/>
                <w:bCs/>
                <w:color w:val="000000"/>
                <w:sz w:val="18"/>
                <w:szCs w:val="18"/>
                <w:lang w:val="es-ES"/>
              </w:rPr>
            </w:pPr>
            <w:r>
              <w:rPr>
                <w:rFonts w:ascii="Arial" w:hAnsi="Arial" w:cs="Arial"/>
                <w:b/>
                <w:bCs/>
                <w:color w:val="000000"/>
                <w:sz w:val="18"/>
                <w:szCs w:val="18"/>
                <w:lang w:val="es-ES"/>
              </w:rPr>
              <w:t>Periodo y costo</w:t>
            </w:r>
          </w:p>
        </w:tc>
        <w:tc>
          <w:tcPr>
            <w:tcW w:w="108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30E7F0C3" w14:textId="50493B1C" w:rsidR="005872AB" w:rsidRPr="00417D9A" w:rsidRDefault="005872AB" w:rsidP="005872AB">
            <w:pPr>
              <w:jc w:val="center"/>
              <w:rPr>
                <w:rFonts w:ascii="Arial" w:hAnsi="Arial" w:cs="Arial"/>
                <w:b/>
                <w:bCs/>
                <w:color w:val="000000"/>
                <w:sz w:val="18"/>
                <w:szCs w:val="18"/>
                <w:lang w:val="en-US"/>
              </w:rPr>
            </w:pPr>
            <w:r w:rsidRPr="00417D9A">
              <w:rPr>
                <w:rFonts w:ascii="Arial" w:hAnsi="Arial" w:cs="Arial"/>
                <w:b/>
                <w:bCs/>
                <w:color w:val="000000"/>
                <w:sz w:val="18"/>
                <w:szCs w:val="18"/>
                <w:lang w:val="es-ES"/>
              </w:rPr>
              <w:t>Responsable</w:t>
            </w:r>
          </w:p>
        </w:tc>
        <w:tc>
          <w:tcPr>
            <w:tcW w:w="990" w:type="dxa"/>
            <w:tcBorders>
              <w:top w:val="single" w:sz="8" w:space="0" w:color="000000"/>
              <w:left w:val="nil"/>
              <w:bottom w:val="single" w:sz="8" w:space="0" w:color="000000"/>
              <w:right w:val="single" w:sz="8" w:space="0" w:color="000000"/>
            </w:tcBorders>
            <w:shd w:val="clear" w:color="000000" w:fill="8DB3E2"/>
            <w:vAlign w:val="center"/>
            <w:hideMark/>
          </w:tcPr>
          <w:p w14:paraId="4D0C3EA2" w14:textId="17AA6D0A" w:rsidR="005872AB" w:rsidRPr="00417D9A" w:rsidRDefault="005872AB" w:rsidP="005872AB">
            <w:pPr>
              <w:ind w:left="-50"/>
              <w:jc w:val="center"/>
              <w:rPr>
                <w:rFonts w:ascii="Arial" w:hAnsi="Arial" w:cs="Arial"/>
                <w:b/>
                <w:bCs/>
                <w:color w:val="000000"/>
                <w:sz w:val="18"/>
                <w:szCs w:val="18"/>
                <w:lang w:val="en-US"/>
              </w:rPr>
            </w:pPr>
            <w:r w:rsidRPr="00417D9A">
              <w:rPr>
                <w:rFonts w:ascii="Arial" w:hAnsi="Arial" w:cs="Arial"/>
                <w:b/>
                <w:bCs/>
                <w:color w:val="000000"/>
                <w:sz w:val="18"/>
                <w:szCs w:val="18"/>
                <w:lang w:val="es-ES"/>
              </w:rPr>
              <w:t>Costo US$</w:t>
            </w:r>
          </w:p>
        </w:tc>
        <w:tc>
          <w:tcPr>
            <w:tcW w:w="108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69CBA5DD" w14:textId="0025DB8C" w:rsidR="005872AB" w:rsidRPr="00417D9A" w:rsidRDefault="005872AB" w:rsidP="005872AB">
            <w:pPr>
              <w:jc w:val="center"/>
              <w:rPr>
                <w:rFonts w:ascii="Arial" w:hAnsi="Arial" w:cs="Arial"/>
                <w:b/>
                <w:bCs/>
                <w:color w:val="000000"/>
                <w:sz w:val="18"/>
                <w:szCs w:val="18"/>
                <w:lang w:val="en-US"/>
              </w:rPr>
            </w:pPr>
            <w:r w:rsidRPr="00417D9A">
              <w:rPr>
                <w:rFonts w:ascii="Arial" w:hAnsi="Arial" w:cs="Arial"/>
                <w:b/>
                <w:bCs/>
                <w:color w:val="000000"/>
                <w:sz w:val="18"/>
                <w:szCs w:val="18"/>
                <w:lang w:val="es-ES"/>
              </w:rPr>
              <w:t>Financiamiento</w:t>
            </w:r>
          </w:p>
        </w:tc>
      </w:tr>
      <w:tr w:rsidR="002F0764" w:rsidRPr="002F0764" w14:paraId="64D74E1F" w14:textId="77777777" w:rsidTr="00417D9A">
        <w:trPr>
          <w:trHeight w:val="315"/>
          <w:jc w:val="center"/>
        </w:trPr>
        <w:tc>
          <w:tcPr>
            <w:tcW w:w="14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3500F0" w14:textId="77777777" w:rsidR="002F0764" w:rsidRPr="00417D9A" w:rsidRDefault="002F0764" w:rsidP="002F0764">
            <w:pPr>
              <w:rPr>
                <w:rFonts w:ascii="Arial" w:hAnsi="Arial" w:cs="Arial"/>
                <w:color w:val="000000"/>
                <w:sz w:val="18"/>
                <w:szCs w:val="18"/>
                <w:lang w:val="es-ES"/>
              </w:rPr>
            </w:pPr>
            <w:r w:rsidRPr="00417D9A">
              <w:rPr>
                <w:rFonts w:ascii="Arial" w:hAnsi="Arial" w:cs="Arial"/>
                <w:color w:val="000000"/>
                <w:sz w:val="18"/>
                <w:szCs w:val="18"/>
                <w:lang w:val="es-ES"/>
              </w:rPr>
              <w:t>Misiones de Supervisión</w:t>
            </w:r>
          </w:p>
        </w:tc>
        <w:tc>
          <w:tcPr>
            <w:tcW w:w="1080" w:type="dxa"/>
            <w:tcBorders>
              <w:top w:val="single" w:sz="8" w:space="0" w:color="000000"/>
              <w:left w:val="single" w:sz="8" w:space="0" w:color="000000"/>
              <w:bottom w:val="single" w:sz="4" w:space="0" w:color="000000"/>
              <w:right w:val="single" w:sz="8" w:space="0" w:color="000000"/>
            </w:tcBorders>
            <w:shd w:val="clear" w:color="auto" w:fill="auto"/>
            <w:vAlign w:val="center"/>
          </w:tcPr>
          <w:p w14:paraId="04D67BCE" w14:textId="4FB6B2F7" w:rsidR="002F0764" w:rsidRDefault="002F0764">
            <w:pPr>
              <w:jc w:val="center"/>
              <w:rPr>
                <w:rFonts w:ascii="Arial" w:hAnsi="Arial" w:cs="Arial"/>
                <w:color w:val="000000"/>
                <w:sz w:val="18"/>
                <w:szCs w:val="18"/>
                <w:lang w:val="en-US"/>
              </w:rPr>
            </w:pPr>
            <w:r w:rsidRPr="00417D9A">
              <w:rPr>
                <w:rFonts w:ascii="Arial" w:hAnsi="Arial" w:cs="Arial"/>
                <w:color w:val="000000"/>
                <w:sz w:val="18"/>
                <w:szCs w:val="18"/>
                <w:lang w:val="en-US"/>
              </w:rPr>
              <w:t>2 (</w:t>
            </w:r>
            <w:r w:rsidR="00D44610">
              <w:rPr>
                <w:rFonts w:ascii="Arial" w:hAnsi="Arial" w:cs="Arial"/>
                <w:color w:val="000000"/>
                <w:sz w:val="18"/>
                <w:szCs w:val="18"/>
                <w:lang w:val="en-US"/>
              </w:rPr>
              <w:t xml:space="preserve">trimestre </w:t>
            </w:r>
            <w:r w:rsidRPr="00417D9A">
              <w:rPr>
                <w:rFonts w:ascii="Arial" w:hAnsi="Arial" w:cs="Arial"/>
                <w:color w:val="000000"/>
                <w:sz w:val="18"/>
                <w:szCs w:val="18"/>
                <w:lang w:val="en-US"/>
              </w:rPr>
              <w:t>2-</w:t>
            </w:r>
            <w:r w:rsidRPr="002F0764">
              <w:rPr>
                <w:rFonts w:ascii="Arial" w:hAnsi="Arial" w:cs="Arial"/>
                <w:color w:val="000000"/>
                <w:sz w:val="18"/>
                <w:szCs w:val="18"/>
                <w:lang w:val="en-US"/>
              </w:rPr>
              <w:t>t</w:t>
            </w:r>
            <w:r w:rsidRPr="00417D9A">
              <w:rPr>
                <w:rFonts w:ascii="Arial" w:hAnsi="Arial" w:cs="Arial"/>
                <w:color w:val="000000"/>
                <w:sz w:val="18"/>
                <w:szCs w:val="18"/>
                <w:lang w:val="en-US"/>
              </w:rPr>
              <w:t>4)</w:t>
            </w:r>
          </w:p>
          <w:p w14:paraId="6B71D9B7" w14:textId="49790EB0" w:rsidR="00D44610" w:rsidRPr="00417D9A" w:rsidRDefault="00D44610">
            <w:pPr>
              <w:jc w:val="center"/>
              <w:rPr>
                <w:rFonts w:ascii="Arial" w:hAnsi="Arial" w:cs="Arial"/>
                <w:color w:val="000000"/>
                <w:sz w:val="18"/>
                <w:szCs w:val="18"/>
                <w:lang w:val="en-US"/>
              </w:rPr>
            </w:pPr>
            <w:r>
              <w:rPr>
                <w:rFonts w:ascii="Arial" w:hAnsi="Arial" w:cs="Arial"/>
                <w:color w:val="000000"/>
                <w:sz w:val="18"/>
                <w:szCs w:val="18"/>
                <w:lang w:val="en-US"/>
              </w:rPr>
              <w:t>US$</w:t>
            </w:r>
            <w:r w:rsidRPr="00690C77">
              <w:rPr>
                <w:rFonts w:ascii="Arial" w:hAnsi="Arial" w:cs="Arial"/>
                <w:color w:val="000000"/>
                <w:sz w:val="18"/>
                <w:szCs w:val="18"/>
                <w:lang w:val="en-US"/>
              </w:rPr>
              <w:t>5.000</w:t>
            </w:r>
          </w:p>
        </w:tc>
        <w:tc>
          <w:tcPr>
            <w:tcW w:w="1080" w:type="dxa"/>
            <w:tcBorders>
              <w:top w:val="single" w:sz="8" w:space="0" w:color="000000"/>
              <w:left w:val="single" w:sz="8" w:space="0" w:color="000000"/>
              <w:bottom w:val="single" w:sz="8" w:space="0" w:color="000000"/>
              <w:right w:val="single" w:sz="8" w:space="0" w:color="000000"/>
            </w:tcBorders>
          </w:tcPr>
          <w:p w14:paraId="08613CDA" w14:textId="2EFC99DA" w:rsidR="002F0764" w:rsidRDefault="002F0764">
            <w:pPr>
              <w:jc w:val="center"/>
              <w:rPr>
                <w:rFonts w:ascii="Arial" w:hAnsi="Arial" w:cs="Arial"/>
                <w:sz w:val="18"/>
                <w:szCs w:val="18"/>
              </w:rPr>
            </w:pPr>
            <w:r w:rsidRPr="00417D9A">
              <w:rPr>
                <w:rFonts w:ascii="Arial" w:hAnsi="Arial" w:cs="Arial"/>
                <w:sz w:val="18"/>
                <w:szCs w:val="18"/>
              </w:rPr>
              <w:t>2 (t2-t4)</w:t>
            </w:r>
          </w:p>
          <w:p w14:paraId="59E06725" w14:textId="77777777" w:rsidR="00D44610" w:rsidRDefault="00D44610">
            <w:pPr>
              <w:jc w:val="center"/>
              <w:rPr>
                <w:rFonts w:ascii="Arial" w:hAnsi="Arial" w:cs="Arial"/>
                <w:sz w:val="18"/>
                <w:szCs w:val="18"/>
              </w:rPr>
            </w:pPr>
          </w:p>
          <w:p w14:paraId="43227EC4" w14:textId="77777777" w:rsidR="00D44610" w:rsidRDefault="00D44610">
            <w:pPr>
              <w:jc w:val="center"/>
              <w:rPr>
                <w:rFonts w:ascii="Arial" w:hAnsi="Arial" w:cs="Arial"/>
                <w:sz w:val="18"/>
                <w:szCs w:val="18"/>
              </w:rPr>
            </w:pPr>
          </w:p>
          <w:p w14:paraId="09BA3C4B" w14:textId="1D66045D" w:rsidR="00D44610" w:rsidRPr="00417D9A" w:rsidRDefault="00D44610" w:rsidP="00417D9A">
            <w:pPr>
              <w:rPr>
                <w:rFonts w:ascii="Arial" w:hAnsi="Arial" w:cs="Arial"/>
                <w:color w:val="000000"/>
                <w:sz w:val="18"/>
                <w:szCs w:val="18"/>
                <w:lang w:val="es-ES"/>
              </w:rPr>
            </w:pPr>
            <w:r>
              <w:rPr>
                <w:rFonts w:ascii="Arial" w:hAnsi="Arial" w:cs="Arial"/>
                <w:color w:val="000000"/>
                <w:sz w:val="18"/>
                <w:szCs w:val="18"/>
                <w:lang w:val="en-US"/>
              </w:rPr>
              <w:t>US$</w:t>
            </w:r>
            <w:r w:rsidRPr="00690C77">
              <w:rPr>
                <w:rFonts w:ascii="Arial" w:hAnsi="Arial" w:cs="Arial"/>
                <w:color w:val="000000"/>
                <w:sz w:val="18"/>
                <w:szCs w:val="18"/>
                <w:lang w:val="en-US"/>
              </w:rPr>
              <w:t>5.000</w:t>
            </w:r>
          </w:p>
        </w:tc>
        <w:tc>
          <w:tcPr>
            <w:tcW w:w="1080" w:type="dxa"/>
            <w:tcBorders>
              <w:top w:val="single" w:sz="8" w:space="0" w:color="000000"/>
              <w:left w:val="single" w:sz="8" w:space="0" w:color="000000"/>
              <w:bottom w:val="single" w:sz="8" w:space="0" w:color="000000"/>
              <w:right w:val="single" w:sz="8" w:space="0" w:color="000000"/>
            </w:tcBorders>
          </w:tcPr>
          <w:p w14:paraId="3E62AD23" w14:textId="2BA71E28" w:rsidR="002F0764" w:rsidRDefault="002F0764">
            <w:pPr>
              <w:jc w:val="center"/>
              <w:rPr>
                <w:rFonts w:ascii="Arial" w:hAnsi="Arial" w:cs="Arial"/>
                <w:sz w:val="18"/>
                <w:szCs w:val="18"/>
              </w:rPr>
            </w:pPr>
            <w:r w:rsidRPr="00417D9A">
              <w:rPr>
                <w:rFonts w:ascii="Arial" w:hAnsi="Arial" w:cs="Arial"/>
                <w:sz w:val="18"/>
                <w:szCs w:val="18"/>
              </w:rPr>
              <w:t>2 (t2-t4)</w:t>
            </w:r>
          </w:p>
          <w:p w14:paraId="7FE221B1" w14:textId="77777777" w:rsidR="00D44610" w:rsidRDefault="00D44610">
            <w:pPr>
              <w:jc w:val="center"/>
              <w:rPr>
                <w:rFonts w:ascii="Arial" w:hAnsi="Arial" w:cs="Arial"/>
                <w:sz w:val="18"/>
                <w:szCs w:val="18"/>
              </w:rPr>
            </w:pPr>
          </w:p>
          <w:p w14:paraId="79CE41AC" w14:textId="77777777" w:rsidR="00D44610" w:rsidRDefault="00D44610">
            <w:pPr>
              <w:jc w:val="center"/>
              <w:rPr>
                <w:rFonts w:ascii="Arial" w:hAnsi="Arial" w:cs="Arial"/>
                <w:color w:val="000000"/>
                <w:sz w:val="18"/>
                <w:szCs w:val="18"/>
                <w:lang w:val="en-US"/>
              </w:rPr>
            </w:pPr>
          </w:p>
          <w:p w14:paraId="4DC8CF3F" w14:textId="3199F163" w:rsidR="00D44610" w:rsidRPr="00417D9A" w:rsidRDefault="00D44610">
            <w:pPr>
              <w:jc w:val="center"/>
              <w:rPr>
                <w:rFonts w:ascii="Arial" w:hAnsi="Arial" w:cs="Arial"/>
                <w:color w:val="000000"/>
                <w:sz w:val="18"/>
                <w:szCs w:val="18"/>
                <w:lang w:val="es-ES"/>
              </w:rPr>
            </w:pPr>
            <w:r>
              <w:rPr>
                <w:rFonts w:ascii="Arial" w:hAnsi="Arial" w:cs="Arial"/>
                <w:color w:val="000000"/>
                <w:sz w:val="18"/>
                <w:szCs w:val="18"/>
                <w:lang w:val="en-US"/>
              </w:rPr>
              <w:t>US$</w:t>
            </w:r>
            <w:r w:rsidRPr="00690C77">
              <w:rPr>
                <w:rFonts w:ascii="Arial" w:hAnsi="Arial" w:cs="Arial"/>
                <w:color w:val="000000"/>
                <w:sz w:val="18"/>
                <w:szCs w:val="18"/>
                <w:lang w:val="en-US"/>
              </w:rPr>
              <w:t>5.000</w:t>
            </w:r>
          </w:p>
        </w:tc>
        <w:tc>
          <w:tcPr>
            <w:tcW w:w="1080" w:type="dxa"/>
            <w:tcBorders>
              <w:top w:val="single" w:sz="8" w:space="0" w:color="000000"/>
              <w:left w:val="single" w:sz="8" w:space="0" w:color="000000"/>
              <w:bottom w:val="single" w:sz="8" w:space="0" w:color="000000"/>
              <w:right w:val="single" w:sz="8" w:space="0" w:color="000000"/>
            </w:tcBorders>
          </w:tcPr>
          <w:p w14:paraId="34F5D903" w14:textId="453CB5D4" w:rsidR="002F0764" w:rsidRDefault="002F0764">
            <w:pPr>
              <w:jc w:val="center"/>
              <w:rPr>
                <w:rFonts w:ascii="Arial" w:hAnsi="Arial" w:cs="Arial"/>
                <w:sz w:val="18"/>
                <w:szCs w:val="18"/>
              </w:rPr>
            </w:pPr>
            <w:r w:rsidRPr="00417D9A">
              <w:rPr>
                <w:rFonts w:ascii="Arial" w:hAnsi="Arial" w:cs="Arial"/>
                <w:sz w:val="18"/>
                <w:szCs w:val="18"/>
              </w:rPr>
              <w:t>2 (t2-t4)</w:t>
            </w:r>
          </w:p>
          <w:p w14:paraId="661932AA" w14:textId="77777777" w:rsidR="00D44610" w:rsidRDefault="00D44610">
            <w:pPr>
              <w:jc w:val="center"/>
              <w:rPr>
                <w:rFonts w:ascii="Arial" w:hAnsi="Arial" w:cs="Arial"/>
                <w:sz w:val="18"/>
                <w:szCs w:val="18"/>
              </w:rPr>
            </w:pPr>
          </w:p>
          <w:p w14:paraId="3DA07F63" w14:textId="77777777" w:rsidR="00D44610" w:rsidRDefault="00D44610">
            <w:pPr>
              <w:jc w:val="center"/>
              <w:rPr>
                <w:rFonts w:ascii="Arial" w:hAnsi="Arial" w:cs="Arial"/>
                <w:sz w:val="18"/>
                <w:szCs w:val="18"/>
              </w:rPr>
            </w:pPr>
          </w:p>
          <w:p w14:paraId="1C39950E" w14:textId="5143D49A" w:rsidR="00D44610" w:rsidRPr="00417D9A" w:rsidRDefault="00D44610">
            <w:pPr>
              <w:jc w:val="center"/>
              <w:rPr>
                <w:rFonts w:ascii="Arial" w:hAnsi="Arial" w:cs="Arial"/>
                <w:color w:val="000000"/>
                <w:sz w:val="18"/>
                <w:szCs w:val="18"/>
                <w:lang w:val="es-ES"/>
              </w:rPr>
            </w:pPr>
            <w:r>
              <w:rPr>
                <w:rFonts w:ascii="Arial" w:hAnsi="Arial" w:cs="Arial"/>
                <w:color w:val="000000"/>
                <w:sz w:val="18"/>
                <w:szCs w:val="18"/>
                <w:lang w:val="en-US"/>
              </w:rPr>
              <w:t>US$</w:t>
            </w:r>
            <w:r w:rsidRPr="00690C77">
              <w:rPr>
                <w:rFonts w:ascii="Arial" w:hAnsi="Arial" w:cs="Arial"/>
                <w:color w:val="000000"/>
                <w:sz w:val="18"/>
                <w:szCs w:val="18"/>
                <w:lang w:val="en-US"/>
              </w:rPr>
              <w:t>5.000</w:t>
            </w:r>
          </w:p>
        </w:tc>
        <w:tc>
          <w:tcPr>
            <w:tcW w:w="1170" w:type="dxa"/>
            <w:tcBorders>
              <w:top w:val="single" w:sz="8" w:space="0" w:color="000000"/>
              <w:left w:val="single" w:sz="8" w:space="0" w:color="000000"/>
              <w:bottom w:val="single" w:sz="8" w:space="0" w:color="000000"/>
              <w:right w:val="single" w:sz="8" w:space="0" w:color="000000"/>
            </w:tcBorders>
          </w:tcPr>
          <w:p w14:paraId="5B0313FE" w14:textId="451862ED" w:rsidR="002F0764" w:rsidRDefault="002F0764">
            <w:pPr>
              <w:jc w:val="center"/>
              <w:rPr>
                <w:rFonts w:ascii="Arial" w:hAnsi="Arial" w:cs="Arial"/>
                <w:sz w:val="18"/>
                <w:szCs w:val="18"/>
              </w:rPr>
            </w:pPr>
            <w:r w:rsidRPr="00417D9A">
              <w:rPr>
                <w:rFonts w:ascii="Arial" w:hAnsi="Arial" w:cs="Arial"/>
                <w:sz w:val="18"/>
                <w:szCs w:val="18"/>
              </w:rPr>
              <w:t>2 (t2-t4)</w:t>
            </w:r>
          </w:p>
          <w:p w14:paraId="72587BBB" w14:textId="77777777" w:rsidR="00D44610" w:rsidRDefault="00D44610">
            <w:pPr>
              <w:jc w:val="center"/>
              <w:rPr>
                <w:rFonts w:ascii="Arial" w:hAnsi="Arial" w:cs="Arial"/>
                <w:sz w:val="18"/>
                <w:szCs w:val="18"/>
              </w:rPr>
            </w:pPr>
          </w:p>
          <w:p w14:paraId="6DB20238" w14:textId="77777777" w:rsidR="00D44610" w:rsidRDefault="00D44610">
            <w:pPr>
              <w:jc w:val="center"/>
              <w:rPr>
                <w:rFonts w:ascii="Arial" w:hAnsi="Arial" w:cs="Arial"/>
                <w:sz w:val="18"/>
                <w:szCs w:val="18"/>
              </w:rPr>
            </w:pPr>
          </w:p>
          <w:p w14:paraId="48A7B1A2" w14:textId="610C0033" w:rsidR="00D44610" w:rsidRPr="00417D9A" w:rsidRDefault="00D44610">
            <w:pPr>
              <w:jc w:val="center"/>
              <w:rPr>
                <w:rFonts w:ascii="Arial" w:hAnsi="Arial" w:cs="Arial"/>
                <w:color w:val="000000"/>
                <w:sz w:val="18"/>
                <w:szCs w:val="18"/>
                <w:lang w:val="es-ES"/>
              </w:rPr>
            </w:pPr>
            <w:r>
              <w:rPr>
                <w:rFonts w:ascii="Arial" w:hAnsi="Arial" w:cs="Arial"/>
                <w:color w:val="000000"/>
                <w:sz w:val="18"/>
                <w:szCs w:val="18"/>
                <w:lang w:val="en-US"/>
              </w:rPr>
              <w:t>US$</w:t>
            </w:r>
            <w:r w:rsidRPr="00690C77">
              <w:rPr>
                <w:rFonts w:ascii="Arial" w:hAnsi="Arial" w:cs="Arial"/>
                <w:color w:val="000000"/>
                <w:sz w:val="18"/>
                <w:szCs w:val="18"/>
                <w:lang w:val="en-US"/>
              </w:rPr>
              <w:t>5.000</w:t>
            </w:r>
          </w:p>
        </w:tc>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566A04" w14:textId="539800ED" w:rsidR="002F0764" w:rsidRPr="00417D9A" w:rsidRDefault="00C57C7D">
            <w:pPr>
              <w:jc w:val="center"/>
              <w:rPr>
                <w:rFonts w:ascii="Arial" w:hAnsi="Arial" w:cs="Arial"/>
                <w:color w:val="000000"/>
                <w:sz w:val="18"/>
                <w:szCs w:val="18"/>
                <w:lang w:val="es-ES"/>
              </w:rPr>
            </w:pPr>
            <w:r>
              <w:rPr>
                <w:rFonts w:ascii="Arial" w:hAnsi="Arial" w:cs="Arial"/>
                <w:color w:val="000000"/>
                <w:sz w:val="18"/>
                <w:szCs w:val="18"/>
                <w:lang w:val="es-ES"/>
              </w:rPr>
              <w:t>Equipo de proyecto</w:t>
            </w:r>
            <w:r w:rsidR="00C972FF">
              <w:rPr>
                <w:rFonts w:ascii="Arial" w:hAnsi="Arial" w:cs="Arial"/>
                <w:color w:val="000000"/>
                <w:sz w:val="18"/>
                <w:szCs w:val="18"/>
                <w:lang w:val="es-ES"/>
              </w:rPr>
              <w:t xml:space="preserve">, </w:t>
            </w:r>
            <w:r w:rsidR="002F0764" w:rsidRPr="00417D9A">
              <w:rPr>
                <w:rFonts w:ascii="Arial" w:hAnsi="Arial" w:cs="Arial"/>
                <w:color w:val="000000"/>
                <w:sz w:val="18"/>
                <w:szCs w:val="18"/>
                <w:lang w:val="es-ES"/>
              </w:rPr>
              <w:t>BID</w:t>
            </w:r>
          </w:p>
        </w:tc>
        <w:tc>
          <w:tcPr>
            <w:tcW w:w="990" w:type="dxa"/>
            <w:tcBorders>
              <w:top w:val="single" w:sz="8" w:space="0" w:color="000000"/>
              <w:left w:val="nil"/>
              <w:bottom w:val="single" w:sz="8" w:space="0" w:color="000000"/>
              <w:right w:val="single" w:sz="8" w:space="0" w:color="000000"/>
            </w:tcBorders>
            <w:shd w:val="clear" w:color="auto" w:fill="auto"/>
            <w:vAlign w:val="center"/>
          </w:tcPr>
          <w:p w14:paraId="622E174F" w14:textId="540051EA" w:rsidR="002F0764" w:rsidRPr="00417D9A" w:rsidRDefault="002F0764" w:rsidP="00417D9A">
            <w:pPr>
              <w:ind w:right="220"/>
              <w:jc w:val="center"/>
              <w:rPr>
                <w:rFonts w:ascii="Arial" w:hAnsi="Arial" w:cs="Arial"/>
                <w:color w:val="000000"/>
                <w:sz w:val="18"/>
                <w:szCs w:val="18"/>
                <w:lang w:val="en-US"/>
              </w:rPr>
            </w:pPr>
            <w:r w:rsidRPr="00417D9A">
              <w:rPr>
                <w:rFonts w:ascii="Arial" w:hAnsi="Arial" w:cs="Arial"/>
                <w:color w:val="000000"/>
                <w:sz w:val="18"/>
                <w:szCs w:val="18"/>
                <w:lang w:val="en-US"/>
              </w:rPr>
              <w:t>25.000</w:t>
            </w:r>
          </w:p>
        </w:tc>
        <w:tc>
          <w:tcPr>
            <w:tcW w:w="1080" w:type="dxa"/>
            <w:tcBorders>
              <w:top w:val="single" w:sz="8" w:space="0" w:color="000000"/>
              <w:left w:val="nil"/>
              <w:bottom w:val="single" w:sz="8" w:space="0" w:color="000000"/>
              <w:right w:val="single" w:sz="8" w:space="0" w:color="000000"/>
            </w:tcBorders>
            <w:shd w:val="clear" w:color="auto" w:fill="auto"/>
            <w:vAlign w:val="center"/>
          </w:tcPr>
          <w:p w14:paraId="1D411535" w14:textId="09687458" w:rsidR="002F0764" w:rsidRPr="00417D9A" w:rsidRDefault="002F0764">
            <w:pPr>
              <w:jc w:val="center"/>
              <w:rPr>
                <w:rFonts w:ascii="Arial" w:hAnsi="Arial" w:cs="Arial"/>
                <w:color w:val="000000"/>
                <w:sz w:val="18"/>
                <w:szCs w:val="18"/>
                <w:lang w:val="en-US"/>
              </w:rPr>
            </w:pPr>
            <w:r w:rsidRPr="00417D9A">
              <w:rPr>
                <w:rFonts w:ascii="Arial" w:hAnsi="Arial" w:cs="Arial"/>
                <w:color w:val="000000"/>
                <w:sz w:val="18"/>
                <w:szCs w:val="18"/>
                <w:lang w:val="en-US"/>
              </w:rPr>
              <w:t>FMM/Transaccionales</w:t>
            </w:r>
          </w:p>
        </w:tc>
      </w:tr>
      <w:tr w:rsidR="005E02E6" w:rsidRPr="002F0764" w14:paraId="5B14DE3B" w14:textId="77777777" w:rsidTr="00417D9A">
        <w:trPr>
          <w:trHeight w:val="315"/>
          <w:jc w:val="center"/>
        </w:trPr>
        <w:tc>
          <w:tcPr>
            <w:tcW w:w="1430" w:type="dxa"/>
            <w:tcBorders>
              <w:top w:val="nil"/>
              <w:left w:val="single" w:sz="8" w:space="0" w:color="000000"/>
              <w:bottom w:val="single" w:sz="8" w:space="0" w:color="000000"/>
              <w:right w:val="single" w:sz="8" w:space="0" w:color="000000"/>
            </w:tcBorders>
            <w:shd w:val="clear" w:color="auto" w:fill="auto"/>
            <w:vAlign w:val="center"/>
            <w:hideMark/>
          </w:tcPr>
          <w:p w14:paraId="32DCDA1F" w14:textId="4906FF15" w:rsidR="005872AB" w:rsidRPr="00417D9A" w:rsidRDefault="005872AB" w:rsidP="005872AB">
            <w:pPr>
              <w:rPr>
                <w:rFonts w:ascii="Arial" w:hAnsi="Arial" w:cs="Arial"/>
                <w:color w:val="000000"/>
                <w:sz w:val="18"/>
                <w:szCs w:val="18"/>
                <w:lang w:val="en-US"/>
              </w:rPr>
            </w:pPr>
            <w:r w:rsidRPr="00417D9A">
              <w:rPr>
                <w:rFonts w:ascii="Arial" w:hAnsi="Arial" w:cs="Arial"/>
                <w:color w:val="000000"/>
                <w:sz w:val="18"/>
                <w:szCs w:val="18"/>
                <w:lang w:val="es-ES"/>
              </w:rPr>
              <w:t>Informes de Seguimiento</w:t>
            </w:r>
            <w:r w:rsidR="00A0796F" w:rsidRPr="00417D9A">
              <w:rPr>
                <w:rFonts w:ascii="Arial" w:hAnsi="Arial" w:cs="Arial"/>
                <w:color w:val="000000"/>
                <w:sz w:val="18"/>
                <w:szCs w:val="18"/>
                <w:lang w:val="es-ES"/>
              </w:rPr>
              <w:t xml:space="preserve"> </w:t>
            </w:r>
            <w:r w:rsidR="005E02E6">
              <w:rPr>
                <w:rFonts w:ascii="Arial" w:hAnsi="Arial" w:cs="Arial"/>
                <w:color w:val="000000"/>
                <w:sz w:val="18"/>
                <w:szCs w:val="18"/>
                <w:lang w:val="es-ES"/>
              </w:rPr>
              <w:t>Finalizados</w:t>
            </w:r>
          </w:p>
        </w:tc>
        <w:tc>
          <w:tcPr>
            <w:tcW w:w="1080" w:type="dxa"/>
            <w:tcBorders>
              <w:top w:val="nil"/>
              <w:left w:val="single" w:sz="8" w:space="0" w:color="000000"/>
              <w:bottom w:val="single" w:sz="4" w:space="0" w:color="000000"/>
              <w:right w:val="single" w:sz="8" w:space="0" w:color="000000"/>
            </w:tcBorders>
            <w:shd w:val="clear" w:color="auto" w:fill="auto"/>
            <w:vAlign w:val="center"/>
          </w:tcPr>
          <w:p w14:paraId="0B7F3EE2" w14:textId="77777777" w:rsidR="00D44610" w:rsidRDefault="00D44610">
            <w:pPr>
              <w:jc w:val="center"/>
              <w:rPr>
                <w:rFonts w:ascii="Arial" w:hAnsi="Arial" w:cs="Arial"/>
                <w:color w:val="000000"/>
                <w:sz w:val="18"/>
                <w:szCs w:val="18"/>
                <w:lang w:val="en-US"/>
              </w:rPr>
            </w:pPr>
          </w:p>
          <w:p w14:paraId="5DA8AF73" w14:textId="07440B32" w:rsidR="005872AB" w:rsidRPr="00417D9A" w:rsidRDefault="00D44610">
            <w:pPr>
              <w:jc w:val="center"/>
              <w:rPr>
                <w:rFonts w:ascii="Arial" w:hAnsi="Arial" w:cs="Arial"/>
                <w:color w:val="000000"/>
                <w:sz w:val="18"/>
                <w:szCs w:val="18"/>
                <w:lang w:val="en-US"/>
              </w:rPr>
            </w:pPr>
            <w:r>
              <w:rPr>
                <w:rFonts w:ascii="Arial" w:hAnsi="Arial" w:cs="Arial"/>
                <w:color w:val="000000"/>
                <w:sz w:val="18"/>
                <w:szCs w:val="18"/>
                <w:lang w:val="en-US"/>
              </w:rPr>
              <w:t>US$2</w:t>
            </w:r>
            <w:r w:rsidRPr="00690C77">
              <w:rPr>
                <w:rFonts w:ascii="Arial" w:hAnsi="Arial" w:cs="Arial"/>
                <w:color w:val="000000"/>
                <w:sz w:val="18"/>
                <w:szCs w:val="18"/>
                <w:lang w:val="en-US"/>
              </w:rPr>
              <w:t>.</w:t>
            </w:r>
            <w:r>
              <w:rPr>
                <w:rFonts w:ascii="Arial" w:hAnsi="Arial" w:cs="Arial"/>
                <w:color w:val="000000"/>
                <w:sz w:val="18"/>
                <w:szCs w:val="18"/>
                <w:lang w:val="en-US"/>
              </w:rPr>
              <w:t>5</w:t>
            </w:r>
            <w:r w:rsidRPr="00690C77">
              <w:rPr>
                <w:rFonts w:ascii="Arial" w:hAnsi="Arial" w:cs="Arial"/>
                <w:color w:val="000000"/>
                <w:sz w:val="18"/>
                <w:szCs w:val="18"/>
                <w:lang w:val="en-US"/>
              </w:rPr>
              <w:t>00</w:t>
            </w:r>
          </w:p>
        </w:tc>
        <w:tc>
          <w:tcPr>
            <w:tcW w:w="1080" w:type="dxa"/>
            <w:tcBorders>
              <w:top w:val="nil"/>
              <w:left w:val="single" w:sz="8" w:space="0" w:color="000000"/>
              <w:bottom w:val="single" w:sz="8" w:space="0" w:color="000000"/>
              <w:right w:val="single" w:sz="8" w:space="0" w:color="000000"/>
            </w:tcBorders>
            <w:vAlign w:val="center"/>
          </w:tcPr>
          <w:p w14:paraId="76000A39" w14:textId="10875139" w:rsidR="00D44610" w:rsidRDefault="005E02E6" w:rsidP="00E61175">
            <w:pPr>
              <w:jc w:val="center"/>
              <w:rPr>
                <w:rFonts w:ascii="Arial" w:hAnsi="Arial" w:cs="Arial"/>
                <w:color w:val="000000"/>
                <w:sz w:val="18"/>
                <w:szCs w:val="18"/>
                <w:lang w:val="es-ES"/>
              </w:rPr>
            </w:pPr>
            <w:r w:rsidRPr="005E02E6">
              <w:rPr>
                <w:rFonts w:ascii="Arial" w:hAnsi="Arial" w:cs="Arial"/>
                <w:color w:val="000000"/>
                <w:sz w:val="18"/>
                <w:szCs w:val="18"/>
                <w:lang w:val="es-ES"/>
              </w:rPr>
              <w:t>1(</w:t>
            </w:r>
            <w:r w:rsidR="002F0764">
              <w:rPr>
                <w:rFonts w:ascii="Arial" w:hAnsi="Arial" w:cs="Arial"/>
                <w:color w:val="000000"/>
                <w:sz w:val="18"/>
                <w:szCs w:val="18"/>
                <w:lang w:val="es-ES"/>
              </w:rPr>
              <w:t>t1</w:t>
            </w:r>
            <w:r w:rsidRPr="005E02E6">
              <w:rPr>
                <w:rFonts w:ascii="Arial" w:hAnsi="Arial" w:cs="Arial"/>
                <w:color w:val="000000"/>
                <w:sz w:val="18"/>
                <w:szCs w:val="18"/>
                <w:lang w:val="es-ES"/>
              </w:rPr>
              <w:t>)</w:t>
            </w:r>
          </w:p>
          <w:p w14:paraId="1460B2B2" w14:textId="3243A2DE" w:rsidR="005872AB" w:rsidRPr="00417D9A" w:rsidRDefault="00D44610" w:rsidP="009F301A">
            <w:pPr>
              <w:jc w:val="center"/>
              <w:rPr>
                <w:rFonts w:ascii="Arial" w:hAnsi="Arial" w:cs="Arial"/>
                <w:color w:val="000000"/>
                <w:sz w:val="18"/>
                <w:szCs w:val="18"/>
                <w:lang w:val="es-ES"/>
              </w:rPr>
            </w:pPr>
            <w:r>
              <w:rPr>
                <w:rFonts w:ascii="Arial" w:hAnsi="Arial" w:cs="Arial"/>
                <w:color w:val="000000"/>
                <w:sz w:val="18"/>
                <w:szCs w:val="18"/>
                <w:lang w:val="en-US"/>
              </w:rPr>
              <w:t>US$2</w:t>
            </w:r>
            <w:r w:rsidRPr="00690C77">
              <w:rPr>
                <w:rFonts w:ascii="Arial" w:hAnsi="Arial" w:cs="Arial"/>
                <w:color w:val="000000"/>
                <w:sz w:val="18"/>
                <w:szCs w:val="18"/>
                <w:lang w:val="en-US"/>
              </w:rPr>
              <w:t>.</w:t>
            </w:r>
            <w:r>
              <w:rPr>
                <w:rFonts w:ascii="Arial" w:hAnsi="Arial" w:cs="Arial"/>
                <w:color w:val="000000"/>
                <w:sz w:val="18"/>
                <w:szCs w:val="18"/>
                <w:lang w:val="en-US"/>
              </w:rPr>
              <w:t>5</w:t>
            </w:r>
            <w:r w:rsidRPr="00690C77">
              <w:rPr>
                <w:rFonts w:ascii="Arial" w:hAnsi="Arial" w:cs="Arial"/>
                <w:color w:val="000000"/>
                <w:sz w:val="18"/>
                <w:szCs w:val="18"/>
                <w:lang w:val="en-US"/>
              </w:rPr>
              <w:t>00</w:t>
            </w:r>
          </w:p>
        </w:tc>
        <w:tc>
          <w:tcPr>
            <w:tcW w:w="1080" w:type="dxa"/>
            <w:tcBorders>
              <w:top w:val="nil"/>
              <w:left w:val="single" w:sz="8" w:space="0" w:color="000000"/>
              <w:bottom w:val="single" w:sz="8" w:space="0" w:color="000000"/>
              <w:right w:val="single" w:sz="8" w:space="0" w:color="000000"/>
            </w:tcBorders>
            <w:vAlign w:val="center"/>
          </w:tcPr>
          <w:p w14:paraId="068487C9" w14:textId="14E0BDEA" w:rsidR="005872AB" w:rsidRDefault="005E02E6" w:rsidP="00D44610">
            <w:pPr>
              <w:jc w:val="center"/>
              <w:rPr>
                <w:rFonts w:ascii="Arial" w:hAnsi="Arial" w:cs="Arial"/>
                <w:color w:val="000000"/>
                <w:sz w:val="18"/>
                <w:szCs w:val="18"/>
                <w:lang w:val="es-ES"/>
              </w:rPr>
            </w:pPr>
            <w:r w:rsidRPr="005E02E6">
              <w:rPr>
                <w:rFonts w:ascii="Arial" w:hAnsi="Arial" w:cs="Arial"/>
                <w:color w:val="000000"/>
                <w:sz w:val="18"/>
                <w:szCs w:val="18"/>
                <w:lang w:val="es-ES"/>
              </w:rPr>
              <w:t>1</w:t>
            </w:r>
            <w:r w:rsidR="00D44610">
              <w:rPr>
                <w:rFonts w:ascii="Arial" w:hAnsi="Arial" w:cs="Arial"/>
                <w:color w:val="000000"/>
                <w:sz w:val="18"/>
                <w:szCs w:val="18"/>
                <w:lang w:val="es-ES"/>
              </w:rPr>
              <w:t xml:space="preserve"> </w:t>
            </w:r>
            <w:r w:rsidRPr="005E02E6">
              <w:rPr>
                <w:rFonts w:ascii="Arial" w:hAnsi="Arial" w:cs="Arial"/>
                <w:color w:val="000000"/>
                <w:sz w:val="18"/>
                <w:szCs w:val="18"/>
                <w:lang w:val="es-ES"/>
              </w:rPr>
              <w:t>(</w:t>
            </w:r>
            <w:r>
              <w:rPr>
                <w:rFonts w:ascii="Arial" w:hAnsi="Arial" w:cs="Arial"/>
                <w:color w:val="000000"/>
                <w:sz w:val="18"/>
                <w:szCs w:val="18"/>
                <w:lang w:val="es-ES"/>
              </w:rPr>
              <w:t>t</w:t>
            </w:r>
            <w:r w:rsidR="002F0764">
              <w:rPr>
                <w:rFonts w:ascii="Arial" w:hAnsi="Arial" w:cs="Arial"/>
                <w:color w:val="000000"/>
                <w:sz w:val="18"/>
                <w:szCs w:val="18"/>
                <w:lang w:val="es-ES"/>
              </w:rPr>
              <w:t>1</w:t>
            </w:r>
            <w:r w:rsidRPr="005E02E6">
              <w:rPr>
                <w:rFonts w:ascii="Arial" w:hAnsi="Arial" w:cs="Arial"/>
                <w:color w:val="000000"/>
                <w:sz w:val="18"/>
                <w:szCs w:val="18"/>
                <w:lang w:val="es-ES"/>
              </w:rPr>
              <w:t>)</w:t>
            </w:r>
          </w:p>
          <w:p w14:paraId="03A7522C" w14:textId="2559CFEF" w:rsidR="00D44610" w:rsidRPr="00417D9A" w:rsidRDefault="00D44610" w:rsidP="00E61175">
            <w:pPr>
              <w:jc w:val="center"/>
              <w:rPr>
                <w:rFonts w:ascii="Arial" w:hAnsi="Arial" w:cs="Arial"/>
                <w:color w:val="000000"/>
                <w:sz w:val="18"/>
                <w:szCs w:val="18"/>
                <w:lang w:val="es-ES"/>
              </w:rPr>
            </w:pPr>
            <w:r>
              <w:rPr>
                <w:rFonts w:ascii="Arial" w:hAnsi="Arial" w:cs="Arial"/>
                <w:color w:val="000000"/>
                <w:sz w:val="18"/>
                <w:szCs w:val="18"/>
                <w:lang w:val="en-US"/>
              </w:rPr>
              <w:t>US$2</w:t>
            </w:r>
            <w:r w:rsidRPr="00690C77">
              <w:rPr>
                <w:rFonts w:ascii="Arial" w:hAnsi="Arial" w:cs="Arial"/>
                <w:color w:val="000000"/>
                <w:sz w:val="18"/>
                <w:szCs w:val="18"/>
                <w:lang w:val="en-US"/>
              </w:rPr>
              <w:t>.</w:t>
            </w:r>
            <w:r>
              <w:rPr>
                <w:rFonts w:ascii="Arial" w:hAnsi="Arial" w:cs="Arial"/>
                <w:color w:val="000000"/>
                <w:sz w:val="18"/>
                <w:szCs w:val="18"/>
                <w:lang w:val="en-US"/>
              </w:rPr>
              <w:t>5</w:t>
            </w:r>
            <w:r w:rsidRPr="00690C77">
              <w:rPr>
                <w:rFonts w:ascii="Arial" w:hAnsi="Arial" w:cs="Arial"/>
                <w:color w:val="000000"/>
                <w:sz w:val="18"/>
                <w:szCs w:val="18"/>
                <w:lang w:val="en-US"/>
              </w:rPr>
              <w:t>00</w:t>
            </w:r>
          </w:p>
        </w:tc>
        <w:tc>
          <w:tcPr>
            <w:tcW w:w="1080" w:type="dxa"/>
            <w:tcBorders>
              <w:top w:val="nil"/>
              <w:left w:val="single" w:sz="8" w:space="0" w:color="000000"/>
              <w:bottom w:val="single" w:sz="8" w:space="0" w:color="000000"/>
              <w:right w:val="single" w:sz="8" w:space="0" w:color="000000"/>
            </w:tcBorders>
            <w:vAlign w:val="center"/>
          </w:tcPr>
          <w:p w14:paraId="46E25A61" w14:textId="0CE28504" w:rsidR="005872AB" w:rsidRDefault="005872AB" w:rsidP="00D44610">
            <w:pPr>
              <w:jc w:val="center"/>
              <w:rPr>
                <w:rFonts w:ascii="Arial" w:hAnsi="Arial" w:cs="Arial"/>
                <w:color w:val="000000"/>
                <w:sz w:val="18"/>
                <w:szCs w:val="18"/>
                <w:lang w:val="es-ES"/>
              </w:rPr>
            </w:pPr>
            <w:r w:rsidRPr="00417D9A">
              <w:rPr>
                <w:rFonts w:ascii="Arial" w:hAnsi="Arial" w:cs="Arial"/>
                <w:color w:val="000000"/>
                <w:sz w:val="18"/>
                <w:szCs w:val="18"/>
                <w:lang w:val="es-ES"/>
              </w:rPr>
              <w:t>1</w:t>
            </w:r>
            <w:r w:rsidR="00D44610">
              <w:rPr>
                <w:rFonts w:ascii="Arial" w:hAnsi="Arial" w:cs="Arial"/>
                <w:color w:val="000000"/>
                <w:sz w:val="18"/>
                <w:szCs w:val="18"/>
                <w:lang w:val="es-ES"/>
              </w:rPr>
              <w:t xml:space="preserve"> </w:t>
            </w:r>
            <w:r w:rsidR="00A0796F" w:rsidRPr="00417D9A">
              <w:rPr>
                <w:rFonts w:ascii="Arial" w:hAnsi="Arial" w:cs="Arial"/>
                <w:color w:val="000000"/>
                <w:sz w:val="18"/>
                <w:szCs w:val="18"/>
                <w:lang w:val="es-ES"/>
              </w:rPr>
              <w:t>(</w:t>
            </w:r>
            <w:r w:rsidR="005E02E6">
              <w:rPr>
                <w:rFonts w:ascii="Arial" w:hAnsi="Arial" w:cs="Arial"/>
                <w:color w:val="000000"/>
                <w:sz w:val="18"/>
                <w:szCs w:val="18"/>
                <w:lang w:val="es-ES"/>
              </w:rPr>
              <w:t>t</w:t>
            </w:r>
            <w:r w:rsidR="002F0764">
              <w:rPr>
                <w:rFonts w:ascii="Arial" w:hAnsi="Arial" w:cs="Arial"/>
                <w:color w:val="000000"/>
                <w:sz w:val="18"/>
                <w:szCs w:val="18"/>
                <w:lang w:val="es-ES"/>
              </w:rPr>
              <w:t>1</w:t>
            </w:r>
            <w:r w:rsidR="00A0796F" w:rsidRPr="00417D9A">
              <w:rPr>
                <w:rFonts w:ascii="Arial" w:hAnsi="Arial" w:cs="Arial"/>
                <w:color w:val="000000"/>
                <w:sz w:val="18"/>
                <w:szCs w:val="18"/>
                <w:lang w:val="es-ES"/>
              </w:rPr>
              <w:t>)</w:t>
            </w:r>
          </w:p>
          <w:p w14:paraId="78916406" w14:textId="74B21261" w:rsidR="00D44610" w:rsidRPr="00417D9A" w:rsidRDefault="00D44610" w:rsidP="00E61175">
            <w:pPr>
              <w:jc w:val="center"/>
              <w:rPr>
                <w:rFonts w:ascii="Arial" w:hAnsi="Arial" w:cs="Arial"/>
                <w:color w:val="000000"/>
                <w:sz w:val="18"/>
                <w:szCs w:val="18"/>
                <w:lang w:val="es-ES"/>
              </w:rPr>
            </w:pPr>
            <w:r>
              <w:rPr>
                <w:rFonts w:ascii="Arial" w:hAnsi="Arial" w:cs="Arial"/>
                <w:color w:val="000000"/>
                <w:sz w:val="18"/>
                <w:szCs w:val="18"/>
                <w:lang w:val="en-US"/>
              </w:rPr>
              <w:t>US$2</w:t>
            </w:r>
            <w:r w:rsidRPr="00690C77">
              <w:rPr>
                <w:rFonts w:ascii="Arial" w:hAnsi="Arial" w:cs="Arial"/>
                <w:color w:val="000000"/>
                <w:sz w:val="18"/>
                <w:szCs w:val="18"/>
                <w:lang w:val="en-US"/>
              </w:rPr>
              <w:t>.</w:t>
            </w:r>
            <w:r>
              <w:rPr>
                <w:rFonts w:ascii="Arial" w:hAnsi="Arial" w:cs="Arial"/>
                <w:color w:val="000000"/>
                <w:sz w:val="18"/>
                <w:szCs w:val="18"/>
                <w:lang w:val="en-US"/>
              </w:rPr>
              <w:t>5</w:t>
            </w:r>
            <w:r w:rsidRPr="00690C77">
              <w:rPr>
                <w:rFonts w:ascii="Arial" w:hAnsi="Arial" w:cs="Arial"/>
                <w:color w:val="000000"/>
                <w:sz w:val="18"/>
                <w:szCs w:val="18"/>
                <w:lang w:val="en-US"/>
              </w:rPr>
              <w:t>00</w:t>
            </w:r>
          </w:p>
        </w:tc>
        <w:tc>
          <w:tcPr>
            <w:tcW w:w="1170" w:type="dxa"/>
            <w:tcBorders>
              <w:top w:val="nil"/>
              <w:left w:val="single" w:sz="8" w:space="0" w:color="000000"/>
              <w:bottom w:val="single" w:sz="8" w:space="0" w:color="000000"/>
              <w:right w:val="single" w:sz="8" w:space="0" w:color="000000"/>
            </w:tcBorders>
            <w:vAlign w:val="center"/>
          </w:tcPr>
          <w:p w14:paraId="0CF3C5CE" w14:textId="6915971C" w:rsidR="005872AB" w:rsidRDefault="005872AB" w:rsidP="00D44610">
            <w:pPr>
              <w:jc w:val="center"/>
              <w:rPr>
                <w:rFonts w:ascii="Arial" w:hAnsi="Arial" w:cs="Arial"/>
                <w:color w:val="000000"/>
                <w:sz w:val="18"/>
                <w:szCs w:val="18"/>
                <w:lang w:val="es-ES"/>
              </w:rPr>
            </w:pPr>
            <w:r w:rsidRPr="00417D9A">
              <w:rPr>
                <w:rFonts w:ascii="Arial" w:hAnsi="Arial" w:cs="Arial"/>
                <w:color w:val="000000"/>
                <w:sz w:val="18"/>
                <w:szCs w:val="18"/>
                <w:lang w:val="es-ES"/>
              </w:rPr>
              <w:t>1</w:t>
            </w:r>
            <w:r w:rsidR="00D44610">
              <w:rPr>
                <w:rFonts w:ascii="Arial" w:hAnsi="Arial" w:cs="Arial"/>
                <w:color w:val="000000"/>
                <w:sz w:val="18"/>
                <w:szCs w:val="18"/>
                <w:lang w:val="es-ES"/>
              </w:rPr>
              <w:t xml:space="preserve"> </w:t>
            </w:r>
            <w:r w:rsidR="00A0796F" w:rsidRPr="00417D9A">
              <w:rPr>
                <w:rFonts w:ascii="Arial" w:hAnsi="Arial" w:cs="Arial"/>
                <w:color w:val="000000"/>
                <w:sz w:val="18"/>
                <w:szCs w:val="18"/>
                <w:lang w:val="es-ES"/>
              </w:rPr>
              <w:t>(</w:t>
            </w:r>
            <w:r w:rsidR="005E02E6">
              <w:rPr>
                <w:rFonts w:ascii="Arial" w:hAnsi="Arial" w:cs="Arial"/>
                <w:color w:val="000000"/>
                <w:sz w:val="18"/>
                <w:szCs w:val="18"/>
                <w:lang w:val="es-ES"/>
              </w:rPr>
              <w:t>t</w:t>
            </w:r>
            <w:r w:rsidR="002F0764">
              <w:rPr>
                <w:rFonts w:ascii="Arial" w:hAnsi="Arial" w:cs="Arial"/>
                <w:color w:val="000000"/>
                <w:sz w:val="18"/>
                <w:szCs w:val="18"/>
                <w:lang w:val="es-ES"/>
              </w:rPr>
              <w:t>1</w:t>
            </w:r>
            <w:r w:rsidR="00A0796F" w:rsidRPr="00417D9A">
              <w:rPr>
                <w:rFonts w:ascii="Arial" w:hAnsi="Arial" w:cs="Arial"/>
                <w:color w:val="000000"/>
                <w:sz w:val="18"/>
                <w:szCs w:val="18"/>
                <w:lang w:val="es-ES"/>
              </w:rPr>
              <w:t>)</w:t>
            </w:r>
          </w:p>
          <w:p w14:paraId="5CB41CA5" w14:textId="7EF826E8" w:rsidR="00D44610" w:rsidRPr="00417D9A" w:rsidRDefault="00D44610" w:rsidP="00E61175">
            <w:pPr>
              <w:jc w:val="center"/>
              <w:rPr>
                <w:rFonts w:ascii="Arial" w:hAnsi="Arial" w:cs="Arial"/>
                <w:color w:val="000000"/>
                <w:sz w:val="18"/>
                <w:szCs w:val="18"/>
                <w:lang w:val="es-ES"/>
              </w:rPr>
            </w:pPr>
            <w:r>
              <w:rPr>
                <w:rFonts w:ascii="Arial" w:hAnsi="Arial" w:cs="Arial"/>
                <w:color w:val="000000"/>
                <w:sz w:val="18"/>
                <w:szCs w:val="18"/>
                <w:lang w:val="en-US"/>
              </w:rPr>
              <w:t>US$2</w:t>
            </w:r>
            <w:r w:rsidRPr="00690C77">
              <w:rPr>
                <w:rFonts w:ascii="Arial" w:hAnsi="Arial" w:cs="Arial"/>
                <w:color w:val="000000"/>
                <w:sz w:val="18"/>
                <w:szCs w:val="18"/>
                <w:lang w:val="en-US"/>
              </w:rPr>
              <w:t>.</w:t>
            </w:r>
            <w:r>
              <w:rPr>
                <w:rFonts w:ascii="Arial" w:hAnsi="Arial" w:cs="Arial"/>
                <w:color w:val="000000"/>
                <w:sz w:val="18"/>
                <w:szCs w:val="18"/>
                <w:lang w:val="en-US"/>
              </w:rPr>
              <w:t>5</w:t>
            </w:r>
            <w:r w:rsidRPr="00690C77">
              <w:rPr>
                <w:rFonts w:ascii="Arial" w:hAnsi="Arial" w:cs="Arial"/>
                <w:color w:val="000000"/>
                <w:sz w:val="18"/>
                <w:szCs w:val="18"/>
                <w:lang w:val="en-US"/>
              </w:rPr>
              <w:t>00</w:t>
            </w:r>
          </w:p>
        </w:tc>
        <w:tc>
          <w:tcPr>
            <w:tcW w:w="1080" w:type="dxa"/>
            <w:tcBorders>
              <w:top w:val="nil"/>
              <w:left w:val="single" w:sz="8" w:space="0" w:color="000000"/>
              <w:bottom w:val="single" w:sz="8" w:space="0" w:color="000000"/>
              <w:right w:val="single" w:sz="8" w:space="0" w:color="000000"/>
            </w:tcBorders>
            <w:shd w:val="clear" w:color="auto" w:fill="auto"/>
            <w:vAlign w:val="center"/>
            <w:hideMark/>
          </w:tcPr>
          <w:p w14:paraId="04BBD8CF" w14:textId="7C52F0E6" w:rsidR="005872AB" w:rsidRPr="00417D9A" w:rsidRDefault="00C57C7D">
            <w:pPr>
              <w:jc w:val="center"/>
              <w:rPr>
                <w:rFonts w:ascii="Arial" w:hAnsi="Arial" w:cs="Arial"/>
                <w:color w:val="000000"/>
                <w:sz w:val="18"/>
                <w:szCs w:val="18"/>
                <w:lang w:val="en-US"/>
              </w:rPr>
            </w:pPr>
            <w:r>
              <w:rPr>
                <w:rFonts w:ascii="Arial" w:hAnsi="Arial" w:cs="Arial"/>
                <w:color w:val="000000"/>
                <w:sz w:val="18"/>
                <w:szCs w:val="18"/>
                <w:lang w:val="es-ES"/>
              </w:rPr>
              <w:t>Equipo de proyecto</w:t>
            </w:r>
            <w:r w:rsidR="00C972FF">
              <w:rPr>
                <w:rFonts w:ascii="Arial" w:hAnsi="Arial" w:cs="Arial"/>
                <w:color w:val="000000"/>
                <w:sz w:val="18"/>
                <w:szCs w:val="18"/>
                <w:lang w:val="es-ES"/>
              </w:rPr>
              <w:t xml:space="preserve">, </w:t>
            </w:r>
            <w:r w:rsidR="005872AB" w:rsidRPr="00417D9A">
              <w:rPr>
                <w:rFonts w:ascii="Arial" w:hAnsi="Arial" w:cs="Arial"/>
                <w:color w:val="000000"/>
                <w:sz w:val="18"/>
                <w:szCs w:val="18"/>
                <w:lang w:val="es-ES"/>
              </w:rPr>
              <w:t>BID</w:t>
            </w:r>
          </w:p>
        </w:tc>
        <w:tc>
          <w:tcPr>
            <w:tcW w:w="990" w:type="dxa"/>
            <w:tcBorders>
              <w:top w:val="nil"/>
              <w:left w:val="nil"/>
              <w:bottom w:val="single" w:sz="8" w:space="0" w:color="000000"/>
              <w:right w:val="single" w:sz="8" w:space="0" w:color="000000"/>
            </w:tcBorders>
            <w:shd w:val="clear" w:color="auto" w:fill="auto"/>
            <w:vAlign w:val="center"/>
            <w:hideMark/>
          </w:tcPr>
          <w:p w14:paraId="35794222" w14:textId="5886A1C5" w:rsidR="005872AB" w:rsidRPr="00417D9A" w:rsidRDefault="005872AB" w:rsidP="00417D9A">
            <w:pPr>
              <w:ind w:right="220"/>
              <w:jc w:val="center"/>
              <w:rPr>
                <w:rFonts w:ascii="Arial" w:hAnsi="Arial" w:cs="Arial"/>
                <w:color w:val="000000"/>
                <w:sz w:val="18"/>
                <w:szCs w:val="18"/>
                <w:lang w:val="en-US"/>
              </w:rPr>
            </w:pPr>
            <w:r w:rsidRPr="00417D9A">
              <w:rPr>
                <w:rFonts w:ascii="Arial" w:hAnsi="Arial" w:cs="Arial"/>
                <w:color w:val="000000"/>
                <w:sz w:val="18"/>
                <w:szCs w:val="18"/>
                <w:lang w:val="en-US"/>
              </w:rPr>
              <w:t>12.500</w:t>
            </w:r>
          </w:p>
        </w:tc>
        <w:tc>
          <w:tcPr>
            <w:tcW w:w="1080" w:type="dxa"/>
            <w:tcBorders>
              <w:top w:val="nil"/>
              <w:left w:val="nil"/>
              <w:bottom w:val="single" w:sz="8" w:space="0" w:color="000000"/>
              <w:right w:val="single" w:sz="8" w:space="0" w:color="000000"/>
            </w:tcBorders>
            <w:shd w:val="clear" w:color="auto" w:fill="auto"/>
            <w:vAlign w:val="center"/>
            <w:hideMark/>
          </w:tcPr>
          <w:p w14:paraId="07EAF064" w14:textId="14F09EB2" w:rsidR="005872AB" w:rsidRPr="00417D9A" w:rsidRDefault="00A0796F">
            <w:pPr>
              <w:jc w:val="center"/>
              <w:rPr>
                <w:rFonts w:ascii="Arial" w:hAnsi="Arial" w:cs="Arial"/>
                <w:color w:val="000000"/>
                <w:sz w:val="18"/>
                <w:szCs w:val="18"/>
                <w:lang w:val="en-US"/>
              </w:rPr>
            </w:pPr>
            <w:r w:rsidRPr="00417D9A">
              <w:rPr>
                <w:rFonts w:ascii="Arial" w:hAnsi="Arial" w:cs="Arial"/>
                <w:color w:val="000000"/>
                <w:sz w:val="18"/>
                <w:szCs w:val="18"/>
                <w:lang w:val="en-US"/>
              </w:rPr>
              <w:t>FMM/Transaccionales</w:t>
            </w:r>
          </w:p>
        </w:tc>
      </w:tr>
      <w:tr w:rsidR="002F0764" w:rsidRPr="002F0764" w14:paraId="251C0A35" w14:textId="77777777" w:rsidTr="00417D9A">
        <w:trPr>
          <w:trHeight w:val="315"/>
          <w:jc w:val="center"/>
        </w:trPr>
        <w:tc>
          <w:tcPr>
            <w:tcW w:w="1430" w:type="dxa"/>
            <w:tcBorders>
              <w:top w:val="nil"/>
              <w:left w:val="single" w:sz="8" w:space="0" w:color="000000"/>
              <w:bottom w:val="single" w:sz="8" w:space="0" w:color="000000"/>
              <w:right w:val="single" w:sz="8" w:space="0" w:color="000000"/>
            </w:tcBorders>
            <w:shd w:val="clear" w:color="auto" w:fill="auto"/>
            <w:vAlign w:val="center"/>
          </w:tcPr>
          <w:p w14:paraId="42D19842" w14:textId="42CD9CC5" w:rsidR="002F0764" w:rsidRPr="00417D9A" w:rsidRDefault="002F0764" w:rsidP="00417D9A">
            <w:pPr>
              <w:pStyle w:val="ListParagraph"/>
              <w:numPr>
                <w:ilvl w:val="0"/>
                <w:numId w:val="23"/>
              </w:numPr>
              <w:ind w:left="330" w:hanging="180"/>
              <w:rPr>
                <w:rFonts w:ascii="Arial" w:hAnsi="Arial" w:cs="Arial"/>
                <w:color w:val="000000"/>
                <w:sz w:val="16"/>
                <w:szCs w:val="16"/>
                <w:lang w:val="es-ES"/>
              </w:rPr>
            </w:pPr>
            <w:r w:rsidRPr="00417D9A">
              <w:rPr>
                <w:rFonts w:ascii="Arial" w:hAnsi="Arial" w:cs="Arial"/>
                <w:color w:val="000000"/>
                <w:sz w:val="16"/>
                <w:szCs w:val="16"/>
                <w:lang w:val="es-ES"/>
              </w:rPr>
              <w:t>Recolección de Datos</w:t>
            </w:r>
          </w:p>
        </w:tc>
        <w:tc>
          <w:tcPr>
            <w:tcW w:w="1080" w:type="dxa"/>
            <w:tcBorders>
              <w:top w:val="nil"/>
              <w:left w:val="single" w:sz="8" w:space="0" w:color="000000"/>
              <w:bottom w:val="single" w:sz="4" w:space="0" w:color="000000"/>
              <w:right w:val="single" w:sz="8" w:space="0" w:color="000000"/>
            </w:tcBorders>
            <w:shd w:val="clear" w:color="auto" w:fill="auto"/>
            <w:vAlign w:val="center"/>
          </w:tcPr>
          <w:p w14:paraId="7DCB0253" w14:textId="779243C1" w:rsidR="002F0764" w:rsidRPr="00417D9A" w:rsidRDefault="002F0764">
            <w:pPr>
              <w:jc w:val="center"/>
              <w:rPr>
                <w:rFonts w:ascii="Arial" w:hAnsi="Arial" w:cs="Arial"/>
                <w:color w:val="000000"/>
                <w:sz w:val="16"/>
                <w:szCs w:val="16"/>
                <w:lang w:val="en-US"/>
              </w:rPr>
            </w:pPr>
            <w:r w:rsidRPr="00417D9A">
              <w:rPr>
                <w:rFonts w:ascii="Arial" w:hAnsi="Arial" w:cs="Arial"/>
                <w:color w:val="000000"/>
                <w:sz w:val="16"/>
                <w:szCs w:val="16"/>
                <w:lang w:val="en-US"/>
              </w:rPr>
              <w:t>(t2 y t4)</w:t>
            </w:r>
          </w:p>
        </w:tc>
        <w:tc>
          <w:tcPr>
            <w:tcW w:w="1080" w:type="dxa"/>
            <w:tcBorders>
              <w:top w:val="nil"/>
              <w:left w:val="single" w:sz="8" w:space="0" w:color="000000"/>
              <w:bottom w:val="single" w:sz="8" w:space="0" w:color="000000"/>
              <w:right w:val="single" w:sz="8" w:space="0" w:color="000000"/>
            </w:tcBorders>
          </w:tcPr>
          <w:p w14:paraId="70252EFF" w14:textId="33F94558"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(t2 y t4)</w:t>
            </w:r>
          </w:p>
        </w:tc>
        <w:tc>
          <w:tcPr>
            <w:tcW w:w="1080" w:type="dxa"/>
            <w:tcBorders>
              <w:top w:val="nil"/>
              <w:left w:val="single" w:sz="8" w:space="0" w:color="000000"/>
              <w:bottom w:val="single" w:sz="8" w:space="0" w:color="000000"/>
              <w:right w:val="single" w:sz="8" w:space="0" w:color="000000"/>
            </w:tcBorders>
          </w:tcPr>
          <w:p w14:paraId="5D88EEC9" w14:textId="1EDF3411"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(t2 y t4)</w:t>
            </w:r>
          </w:p>
        </w:tc>
        <w:tc>
          <w:tcPr>
            <w:tcW w:w="1080" w:type="dxa"/>
            <w:tcBorders>
              <w:top w:val="nil"/>
              <w:left w:val="single" w:sz="8" w:space="0" w:color="000000"/>
              <w:bottom w:val="single" w:sz="8" w:space="0" w:color="000000"/>
              <w:right w:val="single" w:sz="8" w:space="0" w:color="000000"/>
            </w:tcBorders>
          </w:tcPr>
          <w:p w14:paraId="693D827D" w14:textId="0AA9D5EC"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(t2 y t4)</w:t>
            </w:r>
          </w:p>
        </w:tc>
        <w:tc>
          <w:tcPr>
            <w:tcW w:w="1170" w:type="dxa"/>
            <w:tcBorders>
              <w:top w:val="nil"/>
              <w:left w:val="single" w:sz="8" w:space="0" w:color="000000"/>
              <w:bottom w:val="single" w:sz="8" w:space="0" w:color="000000"/>
              <w:right w:val="single" w:sz="8" w:space="0" w:color="000000"/>
            </w:tcBorders>
          </w:tcPr>
          <w:p w14:paraId="77C3DDB5" w14:textId="4C5F3FA2"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(t2 y t4)</w:t>
            </w:r>
          </w:p>
        </w:tc>
        <w:tc>
          <w:tcPr>
            <w:tcW w:w="1080" w:type="dxa"/>
            <w:tcBorders>
              <w:top w:val="nil"/>
              <w:left w:val="single" w:sz="8" w:space="0" w:color="000000"/>
              <w:bottom w:val="single" w:sz="8" w:space="0" w:color="000000"/>
              <w:right w:val="single" w:sz="8" w:space="0" w:color="000000"/>
            </w:tcBorders>
            <w:shd w:val="clear" w:color="auto" w:fill="auto"/>
            <w:vAlign w:val="center"/>
          </w:tcPr>
          <w:p w14:paraId="301D62F7" w14:textId="77777777" w:rsidR="002F0764" w:rsidRPr="00417D9A" w:rsidRDefault="002F0764">
            <w:pPr>
              <w:jc w:val="center"/>
              <w:rPr>
                <w:rFonts w:ascii="Arial" w:hAnsi="Arial" w:cs="Arial"/>
                <w:color w:val="000000"/>
                <w:sz w:val="16"/>
                <w:szCs w:val="16"/>
                <w:lang w:val="es-ES"/>
              </w:rPr>
            </w:pPr>
          </w:p>
        </w:tc>
        <w:tc>
          <w:tcPr>
            <w:tcW w:w="990" w:type="dxa"/>
            <w:tcBorders>
              <w:top w:val="nil"/>
              <w:left w:val="nil"/>
              <w:bottom w:val="single" w:sz="8" w:space="0" w:color="000000"/>
              <w:right w:val="single" w:sz="8" w:space="0" w:color="000000"/>
            </w:tcBorders>
            <w:shd w:val="clear" w:color="auto" w:fill="auto"/>
            <w:vAlign w:val="center"/>
          </w:tcPr>
          <w:p w14:paraId="726A5B18" w14:textId="77777777" w:rsidR="002F0764" w:rsidRPr="00417D9A" w:rsidRDefault="002F0764" w:rsidP="00417D9A">
            <w:pPr>
              <w:ind w:right="220"/>
              <w:jc w:val="center"/>
              <w:rPr>
                <w:rFonts w:ascii="Arial" w:hAnsi="Arial" w:cs="Arial"/>
                <w:color w:val="000000"/>
                <w:sz w:val="16"/>
                <w:szCs w:val="16"/>
                <w:lang w:val="en-US"/>
              </w:rPr>
            </w:pPr>
          </w:p>
        </w:tc>
        <w:tc>
          <w:tcPr>
            <w:tcW w:w="1080" w:type="dxa"/>
            <w:tcBorders>
              <w:top w:val="nil"/>
              <w:left w:val="nil"/>
              <w:bottom w:val="single" w:sz="8" w:space="0" w:color="000000"/>
              <w:right w:val="single" w:sz="8" w:space="0" w:color="000000"/>
            </w:tcBorders>
            <w:shd w:val="clear" w:color="auto" w:fill="auto"/>
            <w:vAlign w:val="center"/>
          </w:tcPr>
          <w:p w14:paraId="75359EDA" w14:textId="77777777" w:rsidR="002F0764" w:rsidRPr="00417D9A" w:rsidRDefault="002F0764">
            <w:pPr>
              <w:jc w:val="center"/>
              <w:rPr>
                <w:rFonts w:ascii="Arial" w:hAnsi="Arial" w:cs="Arial"/>
                <w:color w:val="000000"/>
                <w:sz w:val="16"/>
                <w:szCs w:val="16"/>
                <w:lang w:val="en-US"/>
              </w:rPr>
            </w:pPr>
          </w:p>
        </w:tc>
      </w:tr>
      <w:tr w:rsidR="002F0764" w:rsidRPr="002F0764" w14:paraId="0EE2B069" w14:textId="77777777" w:rsidTr="00417D9A">
        <w:trPr>
          <w:trHeight w:val="315"/>
          <w:jc w:val="center"/>
        </w:trPr>
        <w:tc>
          <w:tcPr>
            <w:tcW w:w="1430" w:type="dxa"/>
            <w:tcBorders>
              <w:top w:val="nil"/>
              <w:left w:val="single" w:sz="8" w:space="0" w:color="000000"/>
              <w:bottom w:val="single" w:sz="8" w:space="0" w:color="000000"/>
              <w:right w:val="single" w:sz="8" w:space="0" w:color="000000"/>
            </w:tcBorders>
            <w:shd w:val="clear" w:color="auto" w:fill="auto"/>
            <w:vAlign w:val="center"/>
          </w:tcPr>
          <w:p w14:paraId="6F730BB4" w14:textId="1F533B16" w:rsidR="002F0764" w:rsidRPr="00417D9A" w:rsidRDefault="002F0764" w:rsidP="00417D9A">
            <w:pPr>
              <w:pStyle w:val="ListParagraph"/>
              <w:numPr>
                <w:ilvl w:val="0"/>
                <w:numId w:val="23"/>
              </w:numPr>
              <w:ind w:left="330" w:hanging="180"/>
              <w:rPr>
                <w:rFonts w:ascii="Arial" w:hAnsi="Arial" w:cs="Arial"/>
                <w:color w:val="000000"/>
                <w:sz w:val="16"/>
                <w:szCs w:val="16"/>
                <w:lang w:val="es-ES"/>
              </w:rPr>
            </w:pPr>
            <w:r w:rsidRPr="002F0764">
              <w:rPr>
                <w:rFonts w:ascii="Arial" w:hAnsi="Arial" w:cs="Arial"/>
                <w:color w:val="000000"/>
                <w:sz w:val="16"/>
                <w:szCs w:val="16"/>
                <w:lang w:val="es-ES"/>
              </w:rPr>
              <w:t>Análisis</w:t>
            </w:r>
          </w:p>
        </w:tc>
        <w:tc>
          <w:tcPr>
            <w:tcW w:w="1080" w:type="dxa"/>
            <w:tcBorders>
              <w:top w:val="nil"/>
              <w:left w:val="single" w:sz="8" w:space="0" w:color="000000"/>
              <w:bottom w:val="single" w:sz="4" w:space="0" w:color="000000"/>
              <w:right w:val="single" w:sz="8" w:space="0" w:color="000000"/>
            </w:tcBorders>
            <w:shd w:val="clear" w:color="auto" w:fill="auto"/>
            <w:vAlign w:val="center"/>
          </w:tcPr>
          <w:p w14:paraId="2B94FD3D" w14:textId="06966C09" w:rsidR="002F0764" w:rsidRPr="00417D9A" w:rsidRDefault="002F0764">
            <w:pPr>
              <w:jc w:val="center"/>
              <w:rPr>
                <w:rFonts w:ascii="Arial" w:hAnsi="Arial" w:cs="Arial"/>
                <w:color w:val="000000"/>
                <w:sz w:val="16"/>
                <w:szCs w:val="16"/>
                <w:lang w:val="en-US"/>
              </w:rPr>
            </w:pPr>
            <w:r w:rsidRPr="00417D9A">
              <w:rPr>
                <w:rFonts w:ascii="Arial" w:hAnsi="Arial" w:cs="Arial"/>
                <w:color w:val="000000"/>
                <w:sz w:val="16"/>
                <w:szCs w:val="16"/>
                <w:lang w:val="en-US"/>
              </w:rPr>
              <w:t>(t3 y t4)</w:t>
            </w:r>
          </w:p>
        </w:tc>
        <w:tc>
          <w:tcPr>
            <w:tcW w:w="1080" w:type="dxa"/>
            <w:tcBorders>
              <w:top w:val="nil"/>
              <w:left w:val="single" w:sz="8" w:space="0" w:color="000000"/>
              <w:bottom w:val="single" w:sz="8" w:space="0" w:color="000000"/>
              <w:right w:val="single" w:sz="8" w:space="0" w:color="000000"/>
            </w:tcBorders>
          </w:tcPr>
          <w:p w14:paraId="0DC3E8F3" w14:textId="10C2F5C1"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(t3 y t4)</w:t>
            </w:r>
          </w:p>
        </w:tc>
        <w:tc>
          <w:tcPr>
            <w:tcW w:w="1080" w:type="dxa"/>
            <w:tcBorders>
              <w:top w:val="nil"/>
              <w:left w:val="single" w:sz="8" w:space="0" w:color="000000"/>
              <w:bottom w:val="single" w:sz="8" w:space="0" w:color="000000"/>
              <w:right w:val="single" w:sz="8" w:space="0" w:color="000000"/>
            </w:tcBorders>
          </w:tcPr>
          <w:p w14:paraId="2FCC7950" w14:textId="089360C2"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(t3 y t4)</w:t>
            </w:r>
          </w:p>
        </w:tc>
        <w:tc>
          <w:tcPr>
            <w:tcW w:w="1080" w:type="dxa"/>
            <w:tcBorders>
              <w:top w:val="nil"/>
              <w:left w:val="single" w:sz="8" w:space="0" w:color="000000"/>
              <w:bottom w:val="single" w:sz="8" w:space="0" w:color="000000"/>
              <w:right w:val="single" w:sz="8" w:space="0" w:color="000000"/>
            </w:tcBorders>
          </w:tcPr>
          <w:p w14:paraId="5256AD08" w14:textId="5512E03E"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(t3 y t4)</w:t>
            </w:r>
          </w:p>
        </w:tc>
        <w:tc>
          <w:tcPr>
            <w:tcW w:w="1170" w:type="dxa"/>
            <w:tcBorders>
              <w:top w:val="nil"/>
              <w:left w:val="single" w:sz="8" w:space="0" w:color="000000"/>
              <w:bottom w:val="single" w:sz="8" w:space="0" w:color="000000"/>
              <w:right w:val="single" w:sz="8" w:space="0" w:color="000000"/>
            </w:tcBorders>
          </w:tcPr>
          <w:p w14:paraId="6238E3DF" w14:textId="1AE2C517"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(t3 y t4)</w:t>
            </w:r>
          </w:p>
        </w:tc>
        <w:tc>
          <w:tcPr>
            <w:tcW w:w="1080" w:type="dxa"/>
            <w:tcBorders>
              <w:top w:val="nil"/>
              <w:left w:val="single" w:sz="8" w:space="0" w:color="000000"/>
              <w:bottom w:val="single" w:sz="8" w:space="0" w:color="000000"/>
              <w:right w:val="single" w:sz="8" w:space="0" w:color="000000"/>
            </w:tcBorders>
            <w:shd w:val="clear" w:color="auto" w:fill="auto"/>
            <w:vAlign w:val="center"/>
          </w:tcPr>
          <w:p w14:paraId="3B8AC54B" w14:textId="77777777" w:rsidR="002F0764" w:rsidRPr="00417D9A" w:rsidRDefault="002F0764">
            <w:pPr>
              <w:jc w:val="center"/>
              <w:rPr>
                <w:rFonts w:ascii="Arial" w:hAnsi="Arial" w:cs="Arial"/>
                <w:color w:val="000000"/>
                <w:sz w:val="16"/>
                <w:szCs w:val="16"/>
                <w:lang w:val="es-ES"/>
              </w:rPr>
            </w:pPr>
          </w:p>
        </w:tc>
        <w:tc>
          <w:tcPr>
            <w:tcW w:w="990" w:type="dxa"/>
            <w:tcBorders>
              <w:top w:val="nil"/>
              <w:left w:val="nil"/>
              <w:bottom w:val="single" w:sz="8" w:space="0" w:color="000000"/>
              <w:right w:val="single" w:sz="8" w:space="0" w:color="000000"/>
            </w:tcBorders>
            <w:shd w:val="clear" w:color="auto" w:fill="auto"/>
            <w:vAlign w:val="center"/>
          </w:tcPr>
          <w:p w14:paraId="55BF9B92" w14:textId="77777777" w:rsidR="002F0764" w:rsidRPr="00417D9A" w:rsidRDefault="002F0764" w:rsidP="00417D9A">
            <w:pPr>
              <w:ind w:right="220"/>
              <w:jc w:val="center"/>
              <w:rPr>
                <w:rFonts w:ascii="Arial" w:hAnsi="Arial" w:cs="Arial"/>
                <w:color w:val="000000"/>
                <w:sz w:val="16"/>
                <w:szCs w:val="16"/>
                <w:lang w:val="en-US"/>
              </w:rPr>
            </w:pPr>
          </w:p>
        </w:tc>
        <w:tc>
          <w:tcPr>
            <w:tcW w:w="1080" w:type="dxa"/>
            <w:tcBorders>
              <w:top w:val="nil"/>
              <w:left w:val="nil"/>
              <w:bottom w:val="single" w:sz="8" w:space="0" w:color="000000"/>
              <w:right w:val="single" w:sz="8" w:space="0" w:color="000000"/>
            </w:tcBorders>
            <w:shd w:val="clear" w:color="auto" w:fill="auto"/>
            <w:vAlign w:val="center"/>
          </w:tcPr>
          <w:p w14:paraId="32C01B43" w14:textId="77777777" w:rsidR="002F0764" w:rsidRPr="00417D9A" w:rsidRDefault="002F0764">
            <w:pPr>
              <w:jc w:val="center"/>
              <w:rPr>
                <w:rFonts w:ascii="Arial" w:hAnsi="Arial" w:cs="Arial"/>
                <w:color w:val="000000"/>
                <w:sz w:val="16"/>
                <w:szCs w:val="16"/>
                <w:lang w:val="en-US"/>
              </w:rPr>
            </w:pPr>
          </w:p>
        </w:tc>
      </w:tr>
      <w:tr w:rsidR="002F0764" w:rsidRPr="002F0764" w14:paraId="5680806E" w14:textId="77777777" w:rsidTr="00417D9A">
        <w:trPr>
          <w:trHeight w:val="315"/>
          <w:jc w:val="center"/>
        </w:trPr>
        <w:tc>
          <w:tcPr>
            <w:tcW w:w="1430" w:type="dxa"/>
            <w:tcBorders>
              <w:top w:val="nil"/>
              <w:left w:val="single" w:sz="8" w:space="0" w:color="000000"/>
              <w:bottom w:val="single" w:sz="8" w:space="0" w:color="000000"/>
              <w:right w:val="single" w:sz="8" w:space="0" w:color="000000"/>
            </w:tcBorders>
            <w:shd w:val="clear" w:color="auto" w:fill="auto"/>
            <w:vAlign w:val="center"/>
          </w:tcPr>
          <w:p w14:paraId="4297957A" w14:textId="290ACB01" w:rsidR="002F0764" w:rsidRPr="00417D9A" w:rsidRDefault="002F0764" w:rsidP="00417D9A">
            <w:pPr>
              <w:pStyle w:val="ListParagraph"/>
              <w:numPr>
                <w:ilvl w:val="0"/>
                <w:numId w:val="23"/>
              </w:numPr>
              <w:ind w:left="330" w:hanging="180"/>
              <w:rPr>
                <w:rFonts w:ascii="Arial" w:hAnsi="Arial" w:cs="Arial"/>
                <w:color w:val="000000"/>
                <w:sz w:val="16"/>
                <w:szCs w:val="16"/>
                <w:lang w:val="es-ES"/>
              </w:rPr>
            </w:pPr>
            <w:r w:rsidRPr="00417D9A">
              <w:rPr>
                <w:rFonts w:ascii="Arial" w:hAnsi="Arial" w:cs="Arial"/>
                <w:color w:val="000000"/>
                <w:sz w:val="16"/>
                <w:szCs w:val="16"/>
                <w:lang w:val="es-ES"/>
              </w:rPr>
              <w:t>- Primer borrador</w:t>
            </w:r>
          </w:p>
        </w:tc>
        <w:tc>
          <w:tcPr>
            <w:tcW w:w="1080" w:type="dxa"/>
            <w:tcBorders>
              <w:top w:val="nil"/>
              <w:left w:val="single" w:sz="8" w:space="0" w:color="000000"/>
              <w:bottom w:val="single" w:sz="4" w:space="0" w:color="000000"/>
              <w:right w:val="single" w:sz="8" w:space="0" w:color="000000"/>
            </w:tcBorders>
            <w:shd w:val="clear" w:color="auto" w:fill="auto"/>
            <w:vAlign w:val="center"/>
          </w:tcPr>
          <w:p w14:paraId="4C4E4243" w14:textId="4D9B202C" w:rsidR="002F0764" w:rsidRPr="00417D9A" w:rsidRDefault="002F0764">
            <w:pPr>
              <w:jc w:val="center"/>
              <w:rPr>
                <w:rFonts w:ascii="Arial" w:hAnsi="Arial" w:cs="Arial"/>
                <w:color w:val="000000"/>
                <w:sz w:val="16"/>
                <w:szCs w:val="16"/>
                <w:lang w:val="en-US"/>
              </w:rPr>
            </w:pPr>
            <w:r w:rsidRPr="00417D9A">
              <w:rPr>
                <w:rFonts w:ascii="Arial" w:hAnsi="Arial" w:cs="Arial"/>
                <w:color w:val="000000"/>
                <w:sz w:val="16"/>
                <w:szCs w:val="16"/>
                <w:lang w:val="en-US"/>
              </w:rPr>
              <w:t>(t4)</w:t>
            </w:r>
          </w:p>
        </w:tc>
        <w:tc>
          <w:tcPr>
            <w:tcW w:w="1080" w:type="dxa"/>
            <w:tcBorders>
              <w:top w:val="nil"/>
              <w:left w:val="single" w:sz="8" w:space="0" w:color="000000"/>
              <w:bottom w:val="single" w:sz="8" w:space="0" w:color="000000"/>
              <w:right w:val="single" w:sz="8" w:space="0" w:color="000000"/>
            </w:tcBorders>
          </w:tcPr>
          <w:p w14:paraId="7150CF1E" w14:textId="74749017"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(t4)</w:t>
            </w:r>
          </w:p>
        </w:tc>
        <w:tc>
          <w:tcPr>
            <w:tcW w:w="1080" w:type="dxa"/>
            <w:tcBorders>
              <w:top w:val="nil"/>
              <w:left w:val="single" w:sz="8" w:space="0" w:color="000000"/>
              <w:bottom w:val="single" w:sz="8" w:space="0" w:color="000000"/>
              <w:right w:val="single" w:sz="8" w:space="0" w:color="000000"/>
            </w:tcBorders>
          </w:tcPr>
          <w:p w14:paraId="44269661" w14:textId="6D6F447A"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(t4)</w:t>
            </w:r>
          </w:p>
        </w:tc>
        <w:tc>
          <w:tcPr>
            <w:tcW w:w="1080" w:type="dxa"/>
            <w:tcBorders>
              <w:top w:val="nil"/>
              <w:left w:val="single" w:sz="8" w:space="0" w:color="000000"/>
              <w:bottom w:val="single" w:sz="8" w:space="0" w:color="000000"/>
              <w:right w:val="single" w:sz="8" w:space="0" w:color="000000"/>
            </w:tcBorders>
          </w:tcPr>
          <w:p w14:paraId="1763D10C" w14:textId="753DAF9C"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(t4)</w:t>
            </w:r>
          </w:p>
        </w:tc>
        <w:tc>
          <w:tcPr>
            <w:tcW w:w="1170" w:type="dxa"/>
            <w:tcBorders>
              <w:top w:val="nil"/>
              <w:left w:val="single" w:sz="8" w:space="0" w:color="000000"/>
              <w:bottom w:val="single" w:sz="8" w:space="0" w:color="000000"/>
              <w:right w:val="single" w:sz="8" w:space="0" w:color="000000"/>
            </w:tcBorders>
          </w:tcPr>
          <w:p w14:paraId="6B57699C" w14:textId="03330D90" w:rsidR="002F0764" w:rsidRPr="00417D9A" w:rsidRDefault="002F0764">
            <w:pPr>
              <w:jc w:val="center"/>
              <w:rPr>
                <w:rFonts w:ascii="Arial" w:hAnsi="Arial" w:cs="Arial"/>
                <w:color w:val="000000"/>
                <w:sz w:val="16"/>
                <w:szCs w:val="16"/>
                <w:lang w:val="es-ES"/>
              </w:rPr>
            </w:pPr>
            <w:r w:rsidRPr="00417D9A">
              <w:rPr>
                <w:rFonts w:ascii="Arial" w:hAnsi="Arial" w:cs="Arial"/>
                <w:sz w:val="16"/>
                <w:szCs w:val="16"/>
              </w:rPr>
              <w:t>(t4)</w:t>
            </w:r>
          </w:p>
        </w:tc>
        <w:tc>
          <w:tcPr>
            <w:tcW w:w="1080" w:type="dxa"/>
            <w:tcBorders>
              <w:top w:val="nil"/>
              <w:left w:val="single" w:sz="8" w:space="0" w:color="000000"/>
              <w:bottom w:val="single" w:sz="8" w:space="0" w:color="000000"/>
              <w:right w:val="single" w:sz="8" w:space="0" w:color="000000"/>
            </w:tcBorders>
            <w:shd w:val="clear" w:color="auto" w:fill="auto"/>
            <w:vAlign w:val="center"/>
          </w:tcPr>
          <w:p w14:paraId="137B84FA" w14:textId="77777777" w:rsidR="002F0764" w:rsidRPr="00417D9A" w:rsidRDefault="002F0764">
            <w:pPr>
              <w:jc w:val="center"/>
              <w:rPr>
                <w:rFonts w:ascii="Arial" w:hAnsi="Arial" w:cs="Arial"/>
                <w:color w:val="000000"/>
                <w:sz w:val="16"/>
                <w:szCs w:val="16"/>
                <w:lang w:val="es-ES"/>
              </w:rPr>
            </w:pPr>
          </w:p>
        </w:tc>
        <w:tc>
          <w:tcPr>
            <w:tcW w:w="990" w:type="dxa"/>
            <w:tcBorders>
              <w:top w:val="nil"/>
              <w:left w:val="nil"/>
              <w:bottom w:val="single" w:sz="8" w:space="0" w:color="000000"/>
              <w:right w:val="single" w:sz="8" w:space="0" w:color="000000"/>
            </w:tcBorders>
            <w:shd w:val="clear" w:color="auto" w:fill="auto"/>
            <w:vAlign w:val="center"/>
          </w:tcPr>
          <w:p w14:paraId="04A935AD" w14:textId="77777777" w:rsidR="002F0764" w:rsidRPr="00417D9A" w:rsidRDefault="002F0764" w:rsidP="00417D9A">
            <w:pPr>
              <w:ind w:right="220"/>
              <w:jc w:val="center"/>
              <w:rPr>
                <w:rFonts w:ascii="Arial" w:hAnsi="Arial" w:cs="Arial"/>
                <w:color w:val="000000"/>
                <w:sz w:val="16"/>
                <w:szCs w:val="16"/>
                <w:lang w:val="en-US"/>
              </w:rPr>
            </w:pPr>
          </w:p>
        </w:tc>
        <w:tc>
          <w:tcPr>
            <w:tcW w:w="1080" w:type="dxa"/>
            <w:tcBorders>
              <w:top w:val="nil"/>
              <w:left w:val="nil"/>
              <w:bottom w:val="single" w:sz="8" w:space="0" w:color="000000"/>
              <w:right w:val="single" w:sz="8" w:space="0" w:color="000000"/>
            </w:tcBorders>
            <w:shd w:val="clear" w:color="auto" w:fill="auto"/>
            <w:vAlign w:val="center"/>
          </w:tcPr>
          <w:p w14:paraId="6A7CF2EE" w14:textId="77777777" w:rsidR="002F0764" w:rsidRPr="00417D9A" w:rsidRDefault="002F0764">
            <w:pPr>
              <w:jc w:val="center"/>
              <w:rPr>
                <w:rFonts w:ascii="Arial" w:hAnsi="Arial" w:cs="Arial"/>
                <w:color w:val="000000"/>
                <w:sz w:val="16"/>
                <w:szCs w:val="16"/>
                <w:lang w:val="en-US"/>
              </w:rPr>
            </w:pPr>
          </w:p>
        </w:tc>
      </w:tr>
      <w:tr w:rsidR="00D44610" w:rsidRPr="002F0764" w14:paraId="14007B3A" w14:textId="77777777" w:rsidTr="00417D9A">
        <w:trPr>
          <w:trHeight w:val="525"/>
          <w:jc w:val="center"/>
        </w:trPr>
        <w:tc>
          <w:tcPr>
            <w:tcW w:w="14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9E5639" w14:textId="77777777" w:rsidR="00D44610" w:rsidRPr="00417D9A" w:rsidRDefault="00D44610" w:rsidP="00D44610">
            <w:pPr>
              <w:rPr>
                <w:rFonts w:ascii="Arial" w:hAnsi="Arial" w:cs="Arial"/>
                <w:b/>
                <w:color w:val="000000"/>
                <w:sz w:val="18"/>
                <w:szCs w:val="18"/>
                <w:lang w:val="es-ES"/>
              </w:rPr>
            </w:pPr>
            <w:r w:rsidRPr="00417D9A">
              <w:rPr>
                <w:rFonts w:ascii="Arial" w:hAnsi="Arial" w:cs="Arial"/>
                <w:b/>
                <w:color w:val="000000"/>
                <w:sz w:val="18"/>
                <w:szCs w:val="18"/>
                <w:lang w:val="es-ES"/>
              </w:rPr>
              <w:t>Total</w:t>
            </w:r>
          </w:p>
        </w:tc>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5EABEA" w14:textId="6DD613AF" w:rsidR="00D44610" w:rsidRPr="00417D9A" w:rsidRDefault="00D44610" w:rsidP="00D44610">
            <w:pPr>
              <w:jc w:val="right"/>
              <w:rPr>
                <w:rFonts w:ascii="Arial" w:hAnsi="Arial" w:cs="Arial"/>
                <w:b/>
                <w:color w:val="000000"/>
                <w:sz w:val="18"/>
                <w:szCs w:val="18"/>
                <w:lang w:val="es-ES"/>
              </w:rPr>
            </w:pPr>
            <w:r w:rsidRPr="00417D9A">
              <w:rPr>
                <w:rFonts w:ascii="Arial" w:hAnsi="Arial" w:cs="Arial"/>
                <w:b/>
                <w:color w:val="000000"/>
                <w:sz w:val="18"/>
                <w:szCs w:val="18"/>
                <w:lang w:val="en-US"/>
              </w:rPr>
              <w:t>US$7.500</w:t>
            </w:r>
          </w:p>
        </w:tc>
        <w:tc>
          <w:tcPr>
            <w:tcW w:w="1080" w:type="dxa"/>
            <w:tcBorders>
              <w:top w:val="single" w:sz="8" w:space="0" w:color="000000"/>
              <w:left w:val="single" w:sz="8" w:space="0" w:color="000000"/>
              <w:bottom w:val="single" w:sz="8" w:space="0" w:color="000000"/>
              <w:right w:val="single" w:sz="8" w:space="0" w:color="000000"/>
            </w:tcBorders>
            <w:vAlign w:val="center"/>
          </w:tcPr>
          <w:p w14:paraId="45F5F65E" w14:textId="1A8A9ED5" w:rsidR="00D44610" w:rsidRPr="00417D9A" w:rsidRDefault="00D44610" w:rsidP="00D44610">
            <w:pPr>
              <w:rPr>
                <w:rFonts w:ascii="Arial" w:hAnsi="Arial" w:cs="Arial"/>
                <w:b/>
                <w:color w:val="000000"/>
                <w:sz w:val="18"/>
                <w:szCs w:val="18"/>
                <w:lang w:val="es-ES"/>
              </w:rPr>
            </w:pPr>
            <w:r w:rsidRPr="00417D9A">
              <w:rPr>
                <w:rFonts w:ascii="Arial" w:hAnsi="Arial" w:cs="Arial"/>
                <w:b/>
                <w:color w:val="000000"/>
                <w:sz w:val="18"/>
                <w:szCs w:val="18"/>
                <w:lang w:val="en-US"/>
              </w:rPr>
              <w:t>US$7.500</w:t>
            </w:r>
          </w:p>
        </w:tc>
        <w:tc>
          <w:tcPr>
            <w:tcW w:w="1080" w:type="dxa"/>
            <w:tcBorders>
              <w:top w:val="single" w:sz="8" w:space="0" w:color="000000"/>
              <w:left w:val="single" w:sz="8" w:space="0" w:color="000000"/>
              <w:bottom w:val="single" w:sz="8" w:space="0" w:color="000000"/>
              <w:right w:val="single" w:sz="8" w:space="0" w:color="000000"/>
            </w:tcBorders>
            <w:vAlign w:val="center"/>
          </w:tcPr>
          <w:p w14:paraId="61600AB8" w14:textId="6E4FAB3D" w:rsidR="00D44610" w:rsidRPr="00417D9A" w:rsidRDefault="00D44610" w:rsidP="00D44610">
            <w:pPr>
              <w:rPr>
                <w:rFonts w:ascii="Arial" w:hAnsi="Arial" w:cs="Arial"/>
                <w:b/>
                <w:color w:val="000000"/>
                <w:sz w:val="18"/>
                <w:szCs w:val="18"/>
                <w:lang w:val="es-ES"/>
              </w:rPr>
            </w:pPr>
            <w:r w:rsidRPr="00417D9A">
              <w:rPr>
                <w:rFonts w:ascii="Arial" w:hAnsi="Arial" w:cs="Arial"/>
                <w:b/>
                <w:color w:val="000000"/>
                <w:sz w:val="18"/>
                <w:szCs w:val="18"/>
                <w:lang w:val="en-US"/>
              </w:rPr>
              <w:t>US$7.500</w:t>
            </w:r>
          </w:p>
        </w:tc>
        <w:tc>
          <w:tcPr>
            <w:tcW w:w="1080" w:type="dxa"/>
            <w:tcBorders>
              <w:top w:val="single" w:sz="8" w:space="0" w:color="000000"/>
              <w:left w:val="single" w:sz="8" w:space="0" w:color="000000"/>
              <w:bottom w:val="single" w:sz="8" w:space="0" w:color="000000"/>
              <w:right w:val="single" w:sz="8" w:space="0" w:color="000000"/>
            </w:tcBorders>
            <w:vAlign w:val="center"/>
          </w:tcPr>
          <w:p w14:paraId="1D4D27A8" w14:textId="1217981B" w:rsidR="00D44610" w:rsidRPr="00417D9A" w:rsidRDefault="00D44610" w:rsidP="00D44610">
            <w:pPr>
              <w:rPr>
                <w:rFonts w:ascii="Arial" w:hAnsi="Arial" w:cs="Arial"/>
                <w:b/>
                <w:color w:val="000000"/>
                <w:sz w:val="18"/>
                <w:szCs w:val="18"/>
                <w:lang w:val="es-ES"/>
              </w:rPr>
            </w:pPr>
            <w:r w:rsidRPr="00417D9A">
              <w:rPr>
                <w:rFonts w:ascii="Arial" w:hAnsi="Arial" w:cs="Arial"/>
                <w:b/>
                <w:color w:val="000000"/>
                <w:sz w:val="18"/>
                <w:szCs w:val="18"/>
                <w:lang w:val="en-US"/>
              </w:rPr>
              <w:t>US$7.500</w:t>
            </w:r>
          </w:p>
        </w:tc>
        <w:tc>
          <w:tcPr>
            <w:tcW w:w="1170" w:type="dxa"/>
            <w:tcBorders>
              <w:top w:val="single" w:sz="8" w:space="0" w:color="000000"/>
              <w:left w:val="single" w:sz="8" w:space="0" w:color="000000"/>
              <w:bottom w:val="single" w:sz="8" w:space="0" w:color="000000"/>
              <w:right w:val="single" w:sz="8" w:space="0" w:color="000000"/>
            </w:tcBorders>
            <w:vAlign w:val="center"/>
          </w:tcPr>
          <w:p w14:paraId="07F93D22" w14:textId="159AE9C1" w:rsidR="00D44610" w:rsidRPr="00417D9A" w:rsidRDefault="00D44610" w:rsidP="00D44610">
            <w:pPr>
              <w:rPr>
                <w:rFonts w:ascii="Arial" w:hAnsi="Arial" w:cs="Arial"/>
                <w:b/>
                <w:color w:val="000000"/>
                <w:sz w:val="18"/>
                <w:szCs w:val="18"/>
                <w:lang w:val="es-ES"/>
              </w:rPr>
            </w:pPr>
            <w:r w:rsidRPr="00417D9A">
              <w:rPr>
                <w:rFonts w:ascii="Arial" w:hAnsi="Arial" w:cs="Arial"/>
                <w:b/>
                <w:color w:val="000000"/>
                <w:sz w:val="18"/>
                <w:szCs w:val="18"/>
                <w:lang w:val="en-US"/>
              </w:rPr>
              <w:t>US$7.500</w:t>
            </w:r>
          </w:p>
        </w:tc>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AAF1AD" w14:textId="1357F21A" w:rsidR="00D44610" w:rsidRPr="00417D9A" w:rsidRDefault="00D44610" w:rsidP="00D44610">
            <w:pPr>
              <w:jc w:val="center"/>
              <w:rPr>
                <w:rFonts w:ascii="Arial" w:hAnsi="Arial" w:cs="Arial"/>
                <w:b/>
                <w:color w:val="000000"/>
                <w:sz w:val="18"/>
                <w:szCs w:val="18"/>
                <w:lang w:val="es-ES"/>
              </w:rPr>
            </w:pPr>
            <w:r w:rsidRPr="00417D9A">
              <w:rPr>
                <w:rFonts w:ascii="Arial" w:hAnsi="Arial" w:cs="Arial"/>
                <w:b/>
                <w:color w:val="000000"/>
                <w:sz w:val="18"/>
                <w:szCs w:val="18"/>
                <w:lang w:val="en-US"/>
              </w:rPr>
              <w:t>US$7.500</w:t>
            </w: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06801E" w14:textId="19240A72" w:rsidR="00D44610" w:rsidRPr="00417D9A" w:rsidRDefault="00D44610" w:rsidP="00D44610">
            <w:pPr>
              <w:ind w:right="220"/>
              <w:jc w:val="right"/>
              <w:rPr>
                <w:rFonts w:ascii="Arial" w:hAnsi="Arial" w:cs="Arial"/>
                <w:b/>
                <w:color w:val="000000"/>
                <w:sz w:val="18"/>
                <w:szCs w:val="18"/>
                <w:lang w:val="en-US"/>
              </w:rPr>
            </w:pPr>
            <w:r w:rsidRPr="00417D9A">
              <w:rPr>
                <w:rFonts w:ascii="Arial" w:hAnsi="Arial" w:cs="Arial"/>
                <w:b/>
                <w:color w:val="000000"/>
                <w:sz w:val="18"/>
                <w:szCs w:val="18"/>
                <w:lang w:val="en-US"/>
              </w:rPr>
              <w:t>37.500</w:t>
            </w:r>
          </w:p>
        </w:tc>
        <w:tc>
          <w:tcPr>
            <w:tcW w:w="10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6DEBEC" w14:textId="471E312A" w:rsidR="00D44610" w:rsidRPr="00417D9A" w:rsidRDefault="00D44610" w:rsidP="00D44610">
            <w:pPr>
              <w:jc w:val="center"/>
              <w:rPr>
                <w:rFonts w:ascii="Arial" w:hAnsi="Arial" w:cs="Arial"/>
                <w:color w:val="000000"/>
                <w:sz w:val="18"/>
                <w:szCs w:val="18"/>
                <w:lang w:val="en-US"/>
              </w:rPr>
            </w:pPr>
          </w:p>
        </w:tc>
      </w:tr>
    </w:tbl>
    <w:p w14:paraId="71842647" w14:textId="71AE17F0" w:rsidR="00155EEA" w:rsidRDefault="00C2392C" w:rsidP="006930D9">
      <w:pPr>
        <w:pStyle w:val="Chapter"/>
        <w:tabs>
          <w:tab w:val="clear" w:pos="1440"/>
          <w:tab w:val="clear" w:pos="1800"/>
        </w:tabs>
        <w:spacing w:before="360"/>
        <w:ind w:left="0" w:firstLine="0"/>
        <w:rPr>
          <w:rFonts w:ascii="Arial" w:hAnsi="Arial" w:cs="Arial"/>
          <w:szCs w:val="22"/>
        </w:rPr>
      </w:pPr>
      <w:bookmarkStart w:id="10" w:name="_Toc508105580"/>
      <w:r>
        <w:rPr>
          <w:rFonts w:ascii="Arial" w:hAnsi="Arial" w:cs="Arial"/>
          <w:szCs w:val="22"/>
        </w:rPr>
        <w:t>Evaluación</w:t>
      </w:r>
      <w:bookmarkEnd w:id="10"/>
    </w:p>
    <w:p w14:paraId="75BD5EB3" w14:textId="77777777" w:rsidR="00155EEA" w:rsidRPr="009C0341" w:rsidRDefault="00C2392C">
      <w:pPr>
        <w:pStyle w:val="FirstHeading"/>
        <w:spacing w:after="0"/>
        <w:rPr>
          <w:rFonts w:ascii="Arial" w:hAnsi="Arial" w:cs="Arial"/>
          <w:noProof/>
          <w:sz w:val="22"/>
          <w:szCs w:val="22"/>
        </w:rPr>
      </w:pPr>
      <w:bookmarkStart w:id="11" w:name="_Toc508105581"/>
      <w:r>
        <w:rPr>
          <w:rFonts w:ascii="Arial" w:hAnsi="Arial" w:cs="Arial"/>
          <w:sz w:val="22"/>
          <w:szCs w:val="22"/>
        </w:rPr>
        <w:t>A.</w:t>
      </w:r>
      <w:r>
        <w:rPr>
          <w:rFonts w:ascii="Arial" w:hAnsi="Arial" w:cs="Arial"/>
          <w:sz w:val="22"/>
          <w:szCs w:val="22"/>
        </w:rPr>
        <w:tab/>
      </w:r>
      <w:r>
        <w:rPr>
          <w:rFonts w:ascii="Arial" w:hAnsi="Arial" w:cs="Arial"/>
          <w:noProof/>
          <w:sz w:val="22"/>
          <w:szCs w:val="22"/>
        </w:rPr>
        <w:t xml:space="preserve">Principales Preguntas </w:t>
      </w:r>
      <w:r w:rsidRPr="009C0341">
        <w:rPr>
          <w:rFonts w:ascii="Arial" w:hAnsi="Arial" w:cs="Arial"/>
          <w:noProof/>
          <w:sz w:val="22"/>
          <w:szCs w:val="22"/>
        </w:rPr>
        <w:t>de la Evaluación</w:t>
      </w:r>
      <w:bookmarkEnd w:id="11"/>
    </w:p>
    <w:p w14:paraId="7CE6E6A5" w14:textId="5BF7AC77" w:rsidR="00155EEA" w:rsidRPr="009C0341" w:rsidRDefault="00C2392C" w:rsidP="006930D9">
      <w:pPr>
        <w:pStyle w:val="Paragraph"/>
        <w:tabs>
          <w:tab w:val="clear" w:pos="2448"/>
        </w:tabs>
        <w:spacing w:after="0"/>
        <w:ind w:left="720" w:hanging="756"/>
        <w:rPr>
          <w:rFonts w:ascii="Arial" w:hAnsi="Arial" w:cs="Arial"/>
          <w:sz w:val="22"/>
          <w:szCs w:val="22"/>
        </w:rPr>
      </w:pPr>
      <w:r w:rsidRPr="009C0341">
        <w:rPr>
          <w:rFonts w:ascii="Arial" w:hAnsi="Arial" w:cs="Arial"/>
          <w:sz w:val="22"/>
          <w:szCs w:val="22"/>
        </w:rPr>
        <w:t xml:space="preserve">El objetivo de </w:t>
      </w:r>
      <w:r w:rsidR="00BF3467" w:rsidRPr="009C0341">
        <w:rPr>
          <w:rFonts w:ascii="Arial" w:hAnsi="Arial" w:cs="Arial"/>
          <w:sz w:val="22"/>
          <w:szCs w:val="22"/>
        </w:rPr>
        <w:t xml:space="preserve">este PBL es </w:t>
      </w:r>
      <w:r w:rsidR="00666FA5" w:rsidRPr="009C0341">
        <w:rPr>
          <w:rFonts w:ascii="Arial" w:hAnsi="Arial" w:cs="Arial"/>
          <w:sz w:val="22"/>
          <w:szCs w:val="22"/>
        </w:rPr>
        <w:t xml:space="preserve">contribuir a la estabilidad fiscal </w:t>
      </w:r>
      <w:r w:rsidR="00BF3467" w:rsidRPr="009C0341">
        <w:rPr>
          <w:rFonts w:ascii="Arial" w:hAnsi="Arial" w:cs="Arial"/>
          <w:sz w:val="22"/>
          <w:szCs w:val="22"/>
        </w:rPr>
        <w:t xml:space="preserve">a través de: </w:t>
      </w:r>
      <w:r w:rsidR="00DC0A27" w:rsidRPr="009C0341">
        <w:rPr>
          <w:rFonts w:ascii="Arial" w:hAnsi="Arial" w:cs="Arial"/>
          <w:sz w:val="22"/>
          <w:szCs w:val="22"/>
        </w:rPr>
        <w:t>(i) fortalecer la gestión macro-fiscal; (ii) mejorar la calidad y eficiencia del gasto; y (iii) mejorar la eficiencia y transparencia de política y la gestión tributaria</w:t>
      </w:r>
      <w:r w:rsidR="00BF3467" w:rsidRPr="009C0341">
        <w:rPr>
          <w:rFonts w:ascii="Arial" w:hAnsi="Arial" w:cs="Arial"/>
          <w:sz w:val="22"/>
          <w:szCs w:val="22"/>
        </w:rPr>
        <w:t xml:space="preserve">; esto permitirá </w:t>
      </w:r>
      <w:r w:rsidR="00666FA5" w:rsidRPr="009C0341">
        <w:rPr>
          <w:rFonts w:ascii="Arial" w:hAnsi="Arial" w:cs="Arial"/>
          <w:sz w:val="22"/>
          <w:szCs w:val="22"/>
        </w:rPr>
        <w:t xml:space="preserve">contribuir al crecimiento sostenible y al mantenimiento de los principales indicadores de desarrollo social </w:t>
      </w:r>
      <w:r w:rsidR="00BF3467" w:rsidRPr="009C0341">
        <w:rPr>
          <w:rFonts w:ascii="Arial" w:hAnsi="Arial" w:cs="Arial"/>
          <w:sz w:val="22"/>
          <w:szCs w:val="22"/>
        </w:rPr>
        <w:t xml:space="preserve">de </w:t>
      </w:r>
      <w:r w:rsidR="00666FA5" w:rsidRPr="009C0341">
        <w:rPr>
          <w:rFonts w:ascii="Arial" w:hAnsi="Arial" w:cs="Arial"/>
          <w:sz w:val="22"/>
          <w:szCs w:val="22"/>
        </w:rPr>
        <w:t>Ecuador</w:t>
      </w:r>
      <w:r w:rsidR="00BF3467" w:rsidRPr="009C0341">
        <w:rPr>
          <w:rFonts w:ascii="Arial" w:hAnsi="Arial" w:cs="Arial"/>
          <w:sz w:val="22"/>
          <w:szCs w:val="22"/>
          <w:lang w:val="es-ES_tradnl"/>
        </w:rPr>
        <w:t>.</w:t>
      </w:r>
      <w:r w:rsidRPr="009C0341">
        <w:rPr>
          <w:rFonts w:ascii="Arial" w:hAnsi="Arial" w:cs="Arial"/>
          <w:sz w:val="22"/>
          <w:szCs w:val="22"/>
        </w:rPr>
        <w:t xml:space="preserve"> La evaluación final dará cuenta de la evolución de los indicadores de impacto y resultados contemplados en la Matriz de Resultados del programa (Cuadro 3).</w:t>
      </w:r>
    </w:p>
    <w:p w14:paraId="412B3E41" w14:textId="77777777" w:rsidR="00155EEA" w:rsidRDefault="00155EEA">
      <w:pPr>
        <w:pStyle w:val="Paragraph"/>
        <w:numPr>
          <w:ilvl w:val="0"/>
          <w:numId w:val="0"/>
        </w:numPr>
        <w:spacing w:before="360"/>
        <w:ind w:left="720"/>
        <w:jc w:val="center"/>
        <w:rPr>
          <w:rFonts w:ascii="Arial" w:hAnsi="Arial" w:cs="Arial"/>
          <w:sz w:val="22"/>
          <w:szCs w:val="22"/>
        </w:rPr>
        <w:sectPr w:rsidR="00155EEA">
          <w:pgSz w:w="12240" w:h="15840" w:code="1"/>
          <w:pgMar w:top="1440" w:right="1800" w:bottom="1440" w:left="1800" w:header="706" w:footer="706" w:gutter="0"/>
          <w:cols w:space="720"/>
          <w:formProt w:val="0"/>
          <w:titlePg/>
        </w:sectPr>
      </w:pPr>
    </w:p>
    <w:p w14:paraId="33001643" w14:textId="77777777" w:rsidR="00155EEA" w:rsidRDefault="00C2392C">
      <w:pPr>
        <w:pStyle w:val="Paragraph"/>
        <w:numPr>
          <w:ilvl w:val="0"/>
          <w:numId w:val="0"/>
        </w:numPr>
        <w:spacing w:before="360"/>
        <w:ind w:left="720"/>
        <w:jc w:val="center"/>
        <w:rPr>
          <w:rFonts w:ascii="Arial" w:hAnsi="Arial" w:cs="Arial"/>
          <w:b/>
          <w:sz w:val="20"/>
        </w:rPr>
      </w:pPr>
      <w:r>
        <w:rPr>
          <w:rFonts w:ascii="Arial" w:hAnsi="Arial" w:cs="Arial"/>
          <w:b/>
          <w:sz w:val="22"/>
          <w:szCs w:val="22"/>
        </w:rPr>
        <w:lastRenderedPageBreak/>
        <w:t>Cuadro 3: Indicadores de impacto y resultados</w:t>
      </w:r>
      <w:r>
        <w:rPr>
          <w:rFonts w:ascii="Arial" w:hAnsi="Arial" w:cs="Arial"/>
          <w:b/>
          <w:sz w:val="20"/>
        </w:rPr>
        <w:t xml:space="preserve"> </w:t>
      </w:r>
    </w:p>
    <w:tbl>
      <w:tblPr>
        <w:tblStyle w:val="TableGrid"/>
        <w:tblW w:w="5000" w:type="pct"/>
        <w:tblLayout w:type="fixed"/>
        <w:tblLook w:val="04A0" w:firstRow="1" w:lastRow="0" w:firstColumn="1" w:lastColumn="0" w:noHBand="0" w:noVBand="1"/>
      </w:tblPr>
      <w:tblGrid>
        <w:gridCol w:w="2336"/>
        <w:gridCol w:w="1300"/>
        <w:gridCol w:w="790"/>
        <w:gridCol w:w="901"/>
        <w:gridCol w:w="847"/>
        <w:gridCol w:w="901"/>
        <w:gridCol w:w="3238"/>
        <w:gridCol w:w="1352"/>
        <w:gridCol w:w="1285"/>
      </w:tblGrid>
      <w:tr w:rsidR="008033EB" w14:paraId="4077DDA8" w14:textId="77777777" w:rsidTr="00BE5978">
        <w:trPr>
          <w:trHeight w:val="20"/>
          <w:tblHeader/>
        </w:trPr>
        <w:tc>
          <w:tcPr>
            <w:tcW w:w="902" w:type="pct"/>
            <w:vMerge w:val="restart"/>
            <w:shd w:val="clear" w:color="auto" w:fill="B8CCE4" w:themeFill="accent1" w:themeFillTint="66"/>
            <w:vAlign w:val="center"/>
          </w:tcPr>
          <w:p w14:paraId="2562C93B" w14:textId="77777777" w:rsidR="00155EEA" w:rsidRDefault="00C2392C">
            <w:pPr>
              <w:pStyle w:val="Paragraph"/>
              <w:numPr>
                <w:ilvl w:val="0"/>
                <w:numId w:val="0"/>
              </w:numPr>
              <w:spacing w:before="0" w:after="0"/>
              <w:ind w:left="-107" w:right="-96"/>
              <w:jc w:val="center"/>
              <w:rPr>
                <w:rFonts w:ascii="Arial" w:hAnsi="Arial" w:cs="Arial"/>
                <w:b/>
                <w:sz w:val="20"/>
              </w:rPr>
            </w:pPr>
            <w:r>
              <w:rPr>
                <w:rFonts w:ascii="Arial" w:hAnsi="Arial" w:cs="Arial"/>
                <w:b/>
                <w:sz w:val="20"/>
              </w:rPr>
              <w:t>Indicadores</w:t>
            </w:r>
          </w:p>
        </w:tc>
        <w:tc>
          <w:tcPr>
            <w:tcW w:w="502" w:type="pct"/>
            <w:vMerge w:val="restart"/>
            <w:shd w:val="clear" w:color="auto" w:fill="B8CCE4" w:themeFill="accent1" w:themeFillTint="66"/>
            <w:vAlign w:val="center"/>
          </w:tcPr>
          <w:p w14:paraId="59CE9B72"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Unidad de medida</w:t>
            </w:r>
          </w:p>
        </w:tc>
        <w:tc>
          <w:tcPr>
            <w:tcW w:w="653" w:type="pct"/>
            <w:gridSpan w:val="2"/>
            <w:tcBorders>
              <w:bottom w:val="single" w:sz="4" w:space="0" w:color="auto"/>
            </w:tcBorders>
            <w:shd w:val="clear" w:color="auto" w:fill="B8CCE4" w:themeFill="accent1" w:themeFillTint="66"/>
            <w:vAlign w:val="center"/>
          </w:tcPr>
          <w:p w14:paraId="662E5B66"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Línea de base</w:t>
            </w:r>
          </w:p>
        </w:tc>
        <w:tc>
          <w:tcPr>
            <w:tcW w:w="675" w:type="pct"/>
            <w:gridSpan w:val="2"/>
            <w:shd w:val="clear" w:color="auto" w:fill="B8CCE4" w:themeFill="accent1" w:themeFillTint="66"/>
            <w:vAlign w:val="center"/>
          </w:tcPr>
          <w:p w14:paraId="1B7542FB"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Meta Final</w:t>
            </w:r>
          </w:p>
        </w:tc>
        <w:tc>
          <w:tcPr>
            <w:tcW w:w="1250" w:type="pct"/>
            <w:vMerge w:val="restart"/>
            <w:shd w:val="clear" w:color="auto" w:fill="B8CCE4" w:themeFill="accent1" w:themeFillTint="66"/>
            <w:vAlign w:val="center"/>
          </w:tcPr>
          <w:p w14:paraId="7C975260"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Fuente</w:t>
            </w:r>
          </w:p>
        </w:tc>
        <w:tc>
          <w:tcPr>
            <w:tcW w:w="522" w:type="pct"/>
            <w:vMerge w:val="restart"/>
            <w:shd w:val="clear" w:color="auto" w:fill="B8CCE4" w:themeFill="accent1" w:themeFillTint="66"/>
            <w:vAlign w:val="center"/>
          </w:tcPr>
          <w:p w14:paraId="544019BF"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Frecuencia de relevamiento</w:t>
            </w:r>
          </w:p>
        </w:tc>
        <w:tc>
          <w:tcPr>
            <w:tcW w:w="496" w:type="pct"/>
            <w:vMerge w:val="restart"/>
            <w:shd w:val="clear" w:color="auto" w:fill="B8CCE4" w:themeFill="accent1" w:themeFillTint="66"/>
            <w:vAlign w:val="center"/>
          </w:tcPr>
          <w:p w14:paraId="3A288B61" w14:textId="77777777" w:rsidR="00155EEA" w:rsidRDefault="00C2392C">
            <w:pPr>
              <w:pStyle w:val="Paragraph"/>
              <w:numPr>
                <w:ilvl w:val="0"/>
                <w:numId w:val="0"/>
              </w:numPr>
              <w:spacing w:before="20" w:after="20"/>
              <w:ind w:left="-107" w:right="-96"/>
              <w:jc w:val="center"/>
              <w:rPr>
                <w:rFonts w:ascii="Arial" w:hAnsi="Arial" w:cs="Arial"/>
                <w:b/>
                <w:sz w:val="20"/>
              </w:rPr>
            </w:pPr>
            <w:r>
              <w:rPr>
                <w:rFonts w:ascii="Arial" w:hAnsi="Arial" w:cs="Arial"/>
                <w:b/>
                <w:sz w:val="20"/>
              </w:rPr>
              <w:t>Metodología de evaluación</w:t>
            </w:r>
          </w:p>
        </w:tc>
      </w:tr>
      <w:tr w:rsidR="003E60E9" w14:paraId="18727DAE" w14:textId="77777777" w:rsidTr="00471CBE">
        <w:trPr>
          <w:trHeight w:val="20"/>
          <w:tblHeader/>
        </w:trPr>
        <w:tc>
          <w:tcPr>
            <w:tcW w:w="902" w:type="pct"/>
            <w:vMerge/>
            <w:vAlign w:val="center"/>
          </w:tcPr>
          <w:p w14:paraId="517F5291" w14:textId="77777777" w:rsidR="003E60E9" w:rsidRDefault="003E60E9" w:rsidP="003E60E9">
            <w:pPr>
              <w:pStyle w:val="Paragraph"/>
              <w:numPr>
                <w:ilvl w:val="0"/>
                <w:numId w:val="0"/>
              </w:numPr>
              <w:spacing w:before="0" w:after="0"/>
              <w:jc w:val="center"/>
              <w:rPr>
                <w:rFonts w:ascii="Arial" w:hAnsi="Arial" w:cs="Arial"/>
                <w:sz w:val="20"/>
              </w:rPr>
            </w:pPr>
          </w:p>
        </w:tc>
        <w:tc>
          <w:tcPr>
            <w:tcW w:w="502" w:type="pct"/>
            <w:vMerge/>
            <w:vAlign w:val="center"/>
          </w:tcPr>
          <w:p w14:paraId="1C8F6B08" w14:textId="77777777" w:rsidR="003E60E9" w:rsidRDefault="003E60E9" w:rsidP="003E60E9">
            <w:pPr>
              <w:pStyle w:val="Paragraph"/>
              <w:numPr>
                <w:ilvl w:val="0"/>
                <w:numId w:val="0"/>
              </w:numPr>
              <w:spacing w:before="20" w:after="20"/>
              <w:jc w:val="center"/>
              <w:rPr>
                <w:rFonts w:ascii="Arial" w:hAnsi="Arial" w:cs="Arial"/>
                <w:sz w:val="20"/>
              </w:rPr>
            </w:pPr>
          </w:p>
        </w:tc>
        <w:tc>
          <w:tcPr>
            <w:tcW w:w="305" w:type="pct"/>
            <w:shd w:val="clear" w:color="auto" w:fill="B8CCE4" w:themeFill="accent1" w:themeFillTint="66"/>
            <w:vAlign w:val="center"/>
          </w:tcPr>
          <w:p w14:paraId="4509CA07" w14:textId="77777777" w:rsidR="003E60E9" w:rsidRDefault="003E60E9" w:rsidP="003E60E9">
            <w:pPr>
              <w:pStyle w:val="Paragraph"/>
              <w:numPr>
                <w:ilvl w:val="0"/>
                <w:numId w:val="0"/>
              </w:numPr>
              <w:spacing w:before="20" w:after="20"/>
              <w:jc w:val="center"/>
              <w:rPr>
                <w:rFonts w:ascii="Arial" w:hAnsi="Arial" w:cs="Arial"/>
                <w:b/>
                <w:sz w:val="20"/>
              </w:rPr>
            </w:pPr>
            <w:r>
              <w:rPr>
                <w:rFonts w:ascii="Arial" w:hAnsi="Arial" w:cs="Arial"/>
                <w:b/>
                <w:sz w:val="20"/>
              </w:rPr>
              <w:t>Valor</w:t>
            </w:r>
          </w:p>
        </w:tc>
        <w:tc>
          <w:tcPr>
            <w:tcW w:w="348" w:type="pct"/>
            <w:shd w:val="clear" w:color="auto" w:fill="B8CCE4" w:themeFill="accent1" w:themeFillTint="66"/>
            <w:vAlign w:val="center"/>
          </w:tcPr>
          <w:p w14:paraId="23984A42" w14:textId="77777777" w:rsidR="003E60E9" w:rsidRDefault="003E60E9" w:rsidP="003E60E9">
            <w:pPr>
              <w:pStyle w:val="Paragraph"/>
              <w:numPr>
                <w:ilvl w:val="0"/>
                <w:numId w:val="0"/>
              </w:numPr>
              <w:spacing w:before="20" w:after="20"/>
              <w:jc w:val="center"/>
              <w:rPr>
                <w:rFonts w:ascii="Arial" w:hAnsi="Arial" w:cs="Arial"/>
                <w:b/>
                <w:sz w:val="20"/>
              </w:rPr>
            </w:pPr>
            <w:r>
              <w:rPr>
                <w:rFonts w:ascii="Arial" w:hAnsi="Arial" w:cs="Arial"/>
                <w:b/>
                <w:sz w:val="20"/>
              </w:rPr>
              <w:t>Año</w:t>
            </w:r>
          </w:p>
        </w:tc>
        <w:tc>
          <w:tcPr>
            <w:tcW w:w="327" w:type="pct"/>
            <w:shd w:val="clear" w:color="auto" w:fill="B8CCE4" w:themeFill="accent1" w:themeFillTint="66"/>
            <w:vAlign w:val="center"/>
          </w:tcPr>
          <w:p w14:paraId="2465860B" w14:textId="77777777" w:rsidR="003E60E9" w:rsidRDefault="003E60E9" w:rsidP="003E60E9">
            <w:pPr>
              <w:pStyle w:val="Paragraph"/>
              <w:numPr>
                <w:ilvl w:val="0"/>
                <w:numId w:val="0"/>
              </w:numPr>
              <w:spacing w:before="20" w:after="20"/>
              <w:jc w:val="center"/>
              <w:rPr>
                <w:rFonts w:ascii="Arial" w:hAnsi="Arial" w:cs="Arial"/>
                <w:sz w:val="20"/>
              </w:rPr>
            </w:pPr>
            <w:r>
              <w:rPr>
                <w:rFonts w:ascii="Arial" w:hAnsi="Arial" w:cs="Arial"/>
                <w:b/>
                <w:sz w:val="20"/>
              </w:rPr>
              <w:t>Valor</w:t>
            </w:r>
          </w:p>
        </w:tc>
        <w:tc>
          <w:tcPr>
            <w:tcW w:w="348" w:type="pct"/>
            <w:shd w:val="clear" w:color="auto" w:fill="B8CCE4" w:themeFill="accent1" w:themeFillTint="66"/>
            <w:vAlign w:val="center"/>
          </w:tcPr>
          <w:p w14:paraId="65D41315" w14:textId="6E5201D9" w:rsidR="003E60E9" w:rsidRDefault="003E60E9" w:rsidP="003E60E9">
            <w:pPr>
              <w:pStyle w:val="Paragraph"/>
              <w:numPr>
                <w:ilvl w:val="0"/>
                <w:numId w:val="0"/>
              </w:numPr>
              <w:spacing w:before="20" w:after="20"/>
              <w:jc w:val="center"/>
              <w:rPr>
                <w:rFonts w:ascii="Arial" w:hAnsi="Arial" w:cs="Arial"/>
                <w:sz w:val="20"/>
              </w:rPr>
            </w:pPr>
            <w:r>
              <w:rPr>
                <w:rFonts w:ascii="Arial" w:hAnsi="Arial" w:cs="Arial"/>
                <w:b/>
                <w:sz w:val="20"/>
              </w:rPr>
              <w:t>Año</w:t>
            </w:r>
          </w:p>
        </w:tc>
        <w:tc>
          <w:tcPr>
            <w:tcW w:w="1250" w:type="pct"/>
            <w:vMerge/>
            <w:shd w:val="clear" w:color="auto" w:fill="B8CCE4" w:themeFill="accent1" w:themeFillTint="66"/>
            <w:vAlign w:val="center"/>
          </w:tcPr>
          <w:p w14:paraId="13ED0A96" w14:textId="77777777" w:rsidR="003E60E9" w:rsidRDefault="003E60E9" w:rsidP="003E60E9">
            <w:pPr>
              <w:pStyle w:val="Paragraph"/>
              <w:numPr>
                <w:ilvl w:val="0"/>
                <w:numId w:val="0"/>
              </w:numPr>
              <w:spacing w:before="20" w:after="20"/>
              <w:rPr>
                <w:rFonts w:ascii="Arial" w:hAnsi="Arial" w:cs="Arial"/>
                <w:sz w:val="20"/>
              </w:rPr>
            </w:pPr>
          </w:p>
        </w:tc>
        <w:tc>
          <w:tcPr>
            <w:tcW w:w="522" w:type="pct"/>
            <w:vMerge/>
            <w:shd w:val="clear" w:color="auto" w:fill="B8CCE4" w:themeFill="accent1" w:themeFillTint="66"/>
          </w:tcPr>
          <w:p w14:paraId="07BBDCEF" w14:textId="77777777" w:rsidR="003E60E9" w:rsidRDefault="003E60E9" w:rsidP="003E60E9">
            <w:pPr>
              <w:pStyle w:val="Paragraph"/>
              <w:numPr>
                <w:ilvl w:val="0"/>
                <w:numId w:val="0"/>
              </w:numPr>
              <w:spacing w:before="20" w:after="20"/>
              <w:rPr>
                <w:rFonts w:ascii="Arial" w:hAnsi="Arial" w:cs="Arial"/>
                <w:sz w:val="20"/>
              </w:rPr>
            </w:pPr>
          </w:p>
        </w:tc>
        <w:tc>
          <w:tcPr>
            <w:tcW w:w="496" w:type="pct"/>
            <w:vMerge/>
            <w:shd w:val="clear" w:color="auto" w:fill="B8CCE4" w:themeFill="accent1" w:themeFillTint="66"/>
          </w:tcPr>
          <w:p w14:paraId="4D177864" w14:textId="77777777" w:rsidR="003E60E9" w:rsidRDefault="003E60E9" w:rsidP="003E60E9">
            <w:pPr>
              <w:pStyle w:val="Paragraph"/>
              <w:numPr>
                <w:ilvl w:val="0"/>
                <w:numId w:val="0"/>
              </w:numPr>
              <w:spacing w:before="20" w:after="20"/>
              <w:rPr>
                <w:rFonts w:ascii="Arial" w:hAnsi="Arial" w:cs="Arial"/>
                <w:sz w:val="20"/>
              </w:rPr>
            </w:pPr>
          </w:p>
        </w:tc>
      </w:tr>
      <w:tr w:rsidR="00155EEA" w14:paraId="37076B01" w14:textId="77777777" w:rsidTr="00BE5978">
        <w:trPr>
          <w:trHeight w:val="20"/>
        </w:trPr>
        <w:tc>
          <w:tcPr>
            <w:tcW w:w="5000" w:type="pct"/>
            <w:gridSpan w:val="9"/>
            <w:vAlign w:val="center"/>
          </w:tcPr>
          <w:p w14:paraId="7B4C3E85" w14:textId="77777777" w:rsidR="00155EEA" w:rsidRDefault="00C2392C">
            <w:pPr>
              <w:pStyle w:val="Paragraph"/>
              <w:numPr>
                <w:ilvl w:val="0"/>
                <w:numId w:val="0"/>
              </w:numPr>
              <w:spacing w:before="0" w:after="0"/>
              <w:jc w:val="center"/>
              <w:rPr>
                <w:rFonts w:ascii="Arial" w:hAnsi="Arial" w:cs="Arial"/>
                <w:b/>
                <w:sz w:val="20"/>
              </w:rPr>
            </w:pPr>
            <w:r>
              <w:rPr>
                <w:rFonts w:ascii="Arial" w:hAnsi="Arial" w:cs="Arial"/>
                <w:b/>
                <w:sz w:val="20"/>
              </w:rPr>
              <w:t>INDICADORES DE IMPACTO</w:t>
            </w:r>
          </w:p>
        </w:tc>
      </w:tr>
      <w:tr w:rsidR="00E44702" w14:paraId="51CB2C9B" w14:textId="77777777" w:rsidTr="00DC0A27">
        <w:trPr>
          <w:trHeight w:val="20"/>
        </w:trPr>
        <w:tc>
          <w:tcPr>
            <w:tcW w:w="902" w:type="pct"/>
            <w:vAlign w:val="center"/>
          </w:tcPr>
          <w:p w14:paraId="32A0D46A" w14:textId="777507EE" w:rsidR="00E44702" w:rsidRDefault="00E44702" w:rsidP="00E44702">
            <w:pPr>
              <w:pStyle w:val="ListParagraph"/>
              <w:ind w:left="0"/>
              <w:contextualSpacing w:val="0"/>
              <w:rPr>
                <w:rFonts w:ascii="Arial" w:hAnsi="Arial" w:cs="Arial"/>
                <w:sz w:val="20"/>
              </w:rPr>
            </w:pPr>
            <w:r w:rsidRPr="002B451A">
              <w:rPr>
                <w:rFonts w:ascii="Arial" w:hAnsi="Arial" w:cs="Arial"/>
                <w:sz w:val="20"/>
                <w:lang w:val="es-ES"/>
              </w:rPr>
              <w:t>Balance Primario No Petrolero del SPNF (incluyendo subsidios de los combustibles) / PIB</w:t>
            </w:r>
          </w:p>
        </w:tc>
        <w:tc>
          <w:tcPr>
            <w:tcW w:w="502" w:type="pct"/>
            <w:vAlign w:val="center"/>
          </w:tcPr>
          <w:p w14:paraId="5F01B22F" w14:textId="1CEA25DB" w:rsidR="00E44702" w:rsidRPr="00BE5978" w:rsidRDefault="00E44702" w:rsidP="00E44702">
            <w:pPr>
              <w:pStyle w:val="Paragraph"/>
              <w:numPr>
                <w:ilvl w:val="0"/>
                <w:numId w:val="0"/>
              </w:numPr>
              <w:spacing w:before="20" w:after="20"/>
              <w:jc w:val="center"/>
              <w:rPr>
                <w:rFonts w:ascii="Arial" w:hAnsi="Arial" w:cs="Arial"/>
                <w:sz w:val="20"/>
                <w:lang w:val="es-419"/>
              </w:rPr>
            </w:pPr>
            <w:r w:rsidRPr="002B451A">
              <w:rPr>
                <w:rFonts w:ascii="Arial" w:hAnsi="Arial" w:cs="Arial"/>
                <w:sz w:val="20"/>
              </w:rPr>
              <w:t xml:space="preserve">% </w:t>
            </w:r>
          </w:p>
        </w:tc>
        <w:tc>
          <w:tcPr>
            <w:tcW w:w="305" w:type="pct"/>
            <w:vAlign w:val="center"/>
          </w:tcPr>
          <w:p w14:paraId="5F1DA072" w14:textId="69C81A11" w:rsidR="00E44702" w:rsidRDefault="00E44702" w:rsidP="00E44702">
            <w:pPr>
              <w:spacing w:before="20" w:after="20"/>
              <w:jc w:val="center"/>
              <w:rPr>
                <w:rFonts w:ascii="Arial" w:hAnsi="Arial" w:cs="Arial"/>
                <w:sz w:val="20"/>
              </w:rPr>
            </w:pPr>
            <w:r w:rsidRPr="002B451A">
              <w:rPr>
                <w:rFonts w:ascii="Arial" w:hAnsi="Arial" w:cs="Arial"/>
                <w:sz w:val="20"/>
                <w:lang w:val="es-ES"/>
              </w:rPr>
              <w:t>-5,3</w:t>
            </w:r>
          </w:p>
        </w:tc>
        <w:tc>
          <w:tcPr>
            <w:tcW w:w="348" w:type="pct"/>
            <w:vAlign w:val="center"/>
          </w:tcPr>
          <w:p w14:paraId="0EA11A6C" w14:textId="6BBE1917" w:rsidR="00E44702" w:rsidRDefault="00E44702" w:rsidP="00E44702">
            <w:pPr>
              <w:spacing w:before="20" w:after="20"/>
              <w:jc w:val="center"/>
              <w:rPr>
                <w:rFonts w:ascii="Arial" w:hAnsi="Arial" w:cs="Arial"/>
                <w:sz w:val="20"/>
                <w:lang w:val="es-419" w:eastAsia="zh-CN"/>
              </w:rPr>
            </w:pPr>
            <w:r w:rsidRPr="002B451A">
              <w:rPr>
                <w:rFonts w:ascii="Arial" w:hAnsi="Arial" w:cs="Arial"/>
                <w:sz w:val="20"/>
                <w:lang w:val="es-ES"/>
              </w:rPr>
              <w:t>2018</w:t>
            </w:r>
          </w:p>
        </w:tc>
        <w:tc>
          <w:tcPr>
            <w:tcW w:w="327" w:type="pct"/>
            <w:vAlign w:val="center"/>
          </w:tcPr>
          <w:p w14:paraId="557F4F04" w14:textId="792E65B9" w:rsidR="00E44702" w:rsidRDefault="00E44702" w:rsidP="00E44702">
            <w:pPr>
              <w:spacing w:before="20" w:after="20"/>
              <w:jc w:val="center"/>
              <w:rPr>
                <w:rFonts w:ascii="Arial" w:hAnsi="Arial" w:cs="Arial"/>
                <w:sz w:val="20"/>
              </w:rPr>
            </w:pPr>
            <w:r w:rsidRPr="002B451A">
              <w:rPr>
                <w:rFonts w:ascii="Arial" w:hAnsi="Arial" w:cs="Arial"/>
                <w:sz w:val="20"/>
                <w:lang w:val="es-ES"/>
              </w:rPr>
              <w:t>-0,</w:t>
            </w:r>
            <w:r>
              <w:rPr>
                <w:rFonts w:ascii="Arial" w:hAnsi="Arial" w:cs="Arial"/>
                <w:sz w:val="20"/>
                <w:lang w:val="es-ES"/>
              </w:rPr>
              <w:t>4</w:t>
            </w:r>
          </w:p>
        </w:tc>
        <w:tc>
          <w:tcPr>
            <w:tcW w:w="348" w:type="pct"/>
            <w:vAlign w:val="center"/>
          </w:tcPr>
          <w:p w14:paraId="1007259F" w14:textId="27133AA4" w:rsidR="00E44702" w:rsidRDefault="00E44702" w:rsidP="00E44702">
            <w:pPr>
              <w:spacing w:before="20" w:after="20"/>
              <w:jc w:val="center"/>
              <w:rPr>
                <w:rFonts w:ascii="Arial" w:hAnsi="Arial" w:cs="Arial"/>
                <w:sz w:val="20"/>
              </w:rPr>
            </w:pPr>
            <w:r>
              <w:rPr>
                <w:rFonts w:ascii="Arial" w:hAnsi="Arial" w:cs="Arial"/>
                <w:sz w:val="20"/>
                <w:lang w:val="es-419" w:eastAsia="zh-CN"/>
              </w:rPr>
              <w:t>202</w:t>
            </w:r>
            <w:r w:rsidR="005872AB">
              <w:rPr>
                <w:rFonts w:ascii="Arial" w:hAnsi="Arial" w:cs="Arial"/>
                <w:sz w:val="20"/>
                <w:lang w:val="es-419" w:eastAsia="zh-CN"/>
              </w:rPr>
              <w:t>3</w:t>
            </w:r>
          </w:p>
        </w:tc>
        <w:tc>
          <w:tcPr>
            <w:tcW w:w="1250" w:type="pct"/>
            <w:vAlign w:val="center"/>
          </w:tcPr>
          <w:p w14:paraId="7D3AFE14" w14:textId="583FD3E4" w:rsidR="00E44702" w:rsidRDefault="00E44702" w:rsidP="00E44702">
            <w:pPr>
              <w:spacing w:before="20" w:after="20"/>
              <w:jc w:val="center"/>
              <w:outlineLvl w:val="1"/>
              <w:rPr>
                <w:rFonts w:ascii="Arial" w:hAnsi="Arial" w:cs="Arial"/>
                <w:sz w:val="20"/>
                <w:lang w:val="es-MX"/>
              </w:rPr>
            </w:pPr>
            <w:r w:rsidRPr="00626524">
              <w:rPr>
                <w:rFonts w:ascii="Arial" w:hAnsi="Arial" w:cs="Arial"/>
                <w:sz w:val="20"/>
                <w:lang w:val="es-MX"/>
              </w:rPr>
              <w:t>Informe financiero anual preparado por el MEF.</w:t>
            </w:r>
          </w:p>
        </w:tc>
        <w:tc>
          <w:tcPr>
            <w:tcW w:w="522" w:type="pct"/>
            <w:vAlign w:val="center"/>
          </w:tcPr>
          <w:p w14:paraId="5B3243BE" w14:textId="77777777"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325DC13E" w14:textId="77777777"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Antes y después</w:t>
            </w:r>
          </w:p>
        </w:tc>
      </w:tr>
      <w:tr w:rsidR="00D2325B" w14:paraId="4DF1177E" w14:textId="77777777" w:rsidTr="00BE5978">
        <w:trPr>
          <w:trHeight w:val="20"/>
        </w:trPr>
        <w:tc>
          <w:tcPr>
            <w:tcW w:w="5000" w:type="pct"/>
            <w:gridSpan w:val="9"/>
            <w:vAlign w:val="center"/>
          </w:tcPr>
          <w:p w14:paraId="60FC6665" w14:textId="77777777" w:rsidR="00D2325B" w:rsidRDefault="00D2325B" w:rsidP="00D2325B">
            <w:pPr>
              <w:pStyle w:val="Paragraph"/>
              <w:numPr>
                <w:ilvl w:val="0"/>
                <w:numId w:val="0"/>
              </w:numPr>
              <w:spacing w:before="0" w:after="0"/>
              <w:jc w:val="center"/>
              <w:rPr>
                <w:rFonts w:ascii="Arial" w:hAnsi="Arial" w:cs="Arial"/>
                <w:i/>
                <w:sz w:val="20"/>
              </w:rPr>
            </w:pPr>
            <w:r>
              <w:rPr>
                <w:rFonts w:ascii="Arial" w:hAnsi="Arial" w:cs="Arial"/>
                <w:b/>
                <w:sz w:val="20"/>
              </w:rPr>
              <w:t>INDICADORES DE RESULTADO</w:t>
            </w:r>
          </w:p>
        </w:tc>
      </w:tr>
      <w:tr w:rsidR="00E44702" w14:paraId="17F2DAC2" w14:textId="77777777" w:rsidTr="008033EB">
        <w:trPr>
          <w:trHeight w:val="20"/>
        </w:trPr>
        <w:tc>
          <w:tcPr>
            <w:tcW w:w="902" w:type="pct"/>
            <w:vAlign w:val="center"/>
          </w:tcPr>
          <w:p w14:paraId="351F1EB5" w14:textId="39A485C6" w:rsidR="00E44702" w:rsidRPr="00BE5978" w:rsidRDefault="00E44702" w:rsidP="00E44702">
            <w:pPr>
              <w:pStyle w:val="Paragraph"/>
              <w:numPr>
                <w:ilvl w:val="0"/>
                <w:numId w:val="0"/>
              </w:numPr>
              <w:spacing w:before="0" w:after="0"/>
              <w:jc w:val="left"/>
              <w:rPr>
                <w:rFonts w:ascii="Arial" w:hAnsi="Arial" w:cs="Arial"/>
                <w:sz w:val="20"/>
                <w:lang w:val="es-419"/>
              </w:rPr>
            </w:pPr>
            <w:r w:rsidRPr="0035053C">
              <w:rPr>
                <w:rFonts w:ascii="Arial" w:hAnsi="Arial" w:cs="Arial"/>
                <w:sz w:val="20"/>
                <w:lang w:eastAsia="zh-CN"/>
              </w:rPr>
              <w:t xml:space="preserve">Gasto </w:t>
            </w:r>
            <w:r w:rsidRPr="0035053C">
              <w:rPr>
                <w:rFonts w:ascii="Arial" w:hAnsi="Arial" w:cs="Arial"/>
                <w:bCs/>
                <w:kern w:val="18"/>
                <w:sz w:val="20"/>
              </w:rPr>
              <w:t>público</w:t>
            </w:r>
            <w:r w:rsidRPr="0035053C">
              <w:rPr>
                <w:rFonts w:ascii="Arial" w:hAnsi="Arial" w:cs="Arial"/>
                <w:sz w:val="20"/>
                <w:lang w:eastAsia="zh-CN"/>
              </w:rPr>
              <w:t xml:space="preserve"> / PIB</w:t>
            </w:r>
          </w:p>
        </w:tc>
        <w:tc>
          <w:tcPr>
            <w:tcW w:w="502" w:type="pct"/>
            <w:vAlign w:val="center"/>
          </w:tcPr>
          <w:p w14:paraId="05E9C8BE" w14:textId="3D0A0184" w:rsidR="00E44702" w:rsidRDefault="00E44702" w:rsidP="00E44702">
            <w:pPr>
              <w:spacing w:before="20" w:after="20"/>
              <w:jc w:val="center"/>
              <w:rPr>
                <w:rFonts w:ascii="Arial" w:hAnsi="Arial" w:cs="Arial"/>
                <w:sz w:val="20"/>
                <w:lang w:val="es-419" w:eastAsia="zh-CN"/>
              </w:rPr>
            </w:pPr>
            <w:r w:rsidRPr="0035053C">
              <w:rPr>
                <w:rFonts w:ascii="Arial" w:hAnsi="Arial" w:cs="Arial"/>
                <w:sz w:val="20"/>
                <w:lang w:val="es-ES"/>
              </w:rPr>
              <w:t xml:space="preserve">% </w:t>
            </w:r>
          </w:p>
        </w:tc>
        <w:tc>
          <w:tcPr>
            <w:tcW w:w="305" w:type="pct"/>
            <w:vAlign w:val="center"/>
          </w:tcPr>
          <w:p w14:paraId="74C6E355" w14:textId="5B920E48" w:rsidR="00E44702" w:rsidRDefault="00E44702" w:rsidP="00E44702">
            <w:pPr>
              <w:spacing w:before="20" w:after="20"/>
              <w:jc w:val="center"/>
              <w:rPr>
                <w:rFonts w:ascii="Arial" w:hAnsi="Arial" w:cs="Arial"/>
                <w:sz w:val="20"/>
                <w:lang w:val="es-419" w:eastAsia="zh-CN"/>
              </w:rPr>
            </w:pPr>
            <w:r w:rsidRPr="0035053C">
              <w:rPr>
                <w:rFonts w:ascii="Arial" w:hAnsi="Arial" w:cs="Arial"/>
                <w:sz w:val="20"/>
                <w:lang w:val="es-ES"/>
              </w:rPr>
              <w:t>34,7</w:t>
            </w:r>
          </w:p>
        </w:tc>
        <w:tc>
          <w:tcPr>
            <w:tcW w:w="348" w:type="pct"/>
            <w:vAlign w:val="center"/>
          </w:tcPr>
          <w:p w14:paraId="0D0C2A92" w14:textId="210F7C89" w:rsidR="00E44702" w:rsidRPr="56D17B07" w:rsidRDefault="00E44702" w:rsidP="00E44702">
            <w:pPr>
              <w:spacing w:before="20" w:after="20"/>
              <w:jc w:val="center"/>
              <w:rPr>
                <w:rFonts w:ascii="Arial" w:hAnsi="Arial" w:cs="Arial"/>
                <w:sz w:val="20"/>
                <w:lang w:val="es-419" w:eastAsia="zh-CN"/>
              </w:rPr>
            </w:pPr>
            <w:r w:rsidRPr="0035053C">
              <w:rPr>
                <w:rFonts w:ascii="Arial" w:hAnsi="Arial" w:cs="Arial"/>
                <w:sz w:val="20"/>
                <w:lang w:eastAsia="zh-CN"/>
              </w:rPr>
              <w:t>2018</w:t>
            </w:r>
          </w:p>
        </w:tc>
        <w:tc>
          <w:tcPr>
            <w:tcW w:w="327" w:type="pct"/>
            <w:vAlign w:val="center"/>
          </w:tcPr>
          <w:p w14:paraId="26C9CBBA" w14:textId="4E98F6CC" w:rsidR="00E44702" w:rsidRDefault="00E44702" w:rsidP="00E44702">
            <w:pPr>
              <w:spacing w:before="20" w:after="20"/>
              <w:jc w:val="center"/>
              <w:rPr>
                <w:rFonts w:ascii="Arial" w:eastAsia="Arial" w:hAnsi="Arial" w:cs="Arial"/>
                <w:color w:val="000000"/>
                <w:spacing w:val="-3"/>
                <w:sz w:val="20"/>
                <w:lang w:val="es-ES"/>
              </w:rPr>
            </w:pPr>
            <w:r w:rsidRPr="0035053C">
              <w:rPr>
                <w:rFonts w:ascii="Arial" w:hAnsi="Arial" w:cs="Arial"/>
                <w:sz w:val="20"/>
                <w:lang w:val="es-ES"/>
              </w:rPr>
              <w:t>29,7</w:t>
            </w:r>
          </w:p>
        </w:tc>
        <w:tc>
          <w:tcPr>
            <w:tcW w:w="348" w:type="pct"/>
            <w:vAlign w:val="center"/>
          </w:tcPr>
          <w:p w14:paraId="26996A40" w14:textId="26841A75" w:rsidR="00E44702" w:rsidRDefault="00E44702" w:rsidP="00E44702">
            <w:pPr>
              <w:spacing w:before="20" w:after="20"/>
              <w:jc w:val="center"/>
              <w:rPr>
                <w:rFonts w:ascii="Arial" w:hAnsi="Arial" w:cs="Arial"/>
                <w:sz w:val="20"/>
                <w:lang w:val="es-419" w:eastAsia="zh-CN"/>
              </w:rPr>
            </w:pPr>
            <w:r>
              <w:rPr>
                <w:rFonts w:ascii="Arial" w:hAnsi="Arial" w:cs="Arial"/>
                <w:sz w:val="20"/>
                <w:lang w:eastAsia="zh-CN"/>
              </w:rPr>
              <w:t>202</w:t>
            </w:r>
            <w:r w:rsidR="005872AB">
              <w:rPr>
                <w:rFonts w:ascii="Arial" w:hAnsi="Arial" w:cs="Arial"/>
                <w:sz w:val="20"/>
                <w:lang w:eastAsia="zh-CN"/>
              </w:rPr>
              <w:t>3</w:t>
            </w:r>
          </w:p>
        </w:tc>
        <w:tc>
          <w:tcPr>
            <w:tcW w:w="1250" w:type="pct"/>
            <w:vAlign w:val="center"/>
          </w:tcPr>
          <w:p w14:paraId="668DDE42" w14:textId="687B9707" w:rsidR="00E44702" w:rsidRDefault="00E44702" w:rsidP="00E44702">
            <w:pPr>
              <w:spacing w:before="20" w:after="20"/>
              <w:jc w:val="center"/>
              <w:outlineLvl w:val="1"/>
              <w:rPr>
                <w:rFonts w:ascii="Arial" w:hAnsi="Arial" w:cs="Arial"/>
                <w:sz w:val="20"/>
                <w:lang w:val="es-MX"/>
              </w:rPr>
            </w:pPr>
            <w:r w:rsidRPr="002B451A">
              <w:rPr>
                <w:rFonts w:ascii="Arial" w:hAnsi="Arial" w:cs="Arial"/>
                <w:sz w:val="20"/>
                <w:lang w:val="es-ES"/>
              </w:rPr>
              <w:t>Informe financiero anual preparado por el MEF.</w:t>
            </w:r>
          </w:p>
        </w:tc>
        <w:tc>
          <w:tcPr>
            <w:tcW w:w="522" w:type="pct"/>
            <w:vAlign w:val="center"/>
          </w:tcPr>
          <w:p w14:paraId="6B946EFA" w14:textId="74C7251C"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38726754" w14:textId="4C9F0C36"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Aleatorio</w:t>
            </w:r>
          </w:p>
        </w:tc>
      </w:tr>
      <w:tr w:rsidR="00E44702" w14:paraId="0BACB0A9" w14:textId="77777777" w:rsidTr="008033EB">
        <w:trPr>
          <w:trHeight w:val="20"/>
        </w:trPr>
        <w:tc>
          <w:tcPr>
            <w:tcW w:w="902" w:type="pct"/>
            <w:vAlign w:val="center"/>
          </w:tcPr>
          <w:p w14:paraId="7F236E33" w14:textId="77777777" w:rsidR="00E44702" w:rsidRPr="0035053C" w:rsidRDefault="00E44702" w:rsidP="00E44702">
            <w:pPr>
              <w:autoSpaceDE w:val="0"/>
              <w:autoSpaceDN w:val="0"/>
              <w:adjustRightInd w:val="0"/>
              <w:rPr>
                <w:rFonts w:ascii="Arial" w:hAnsi="Arial" w:cs="Arial"/>
                <w:sz w:val="20"/>
                <w:lang w:val="es-ES" w:eastAsia="zh-CN"/>
              </w:rPr>
            </w:pPr>
            <w:r w:rsidRPr="0035053C">
              <w:rPr>
                <w:rFonts w:ascii="Arial" w:hAnsi="Arial" w:cs="Arial"/>
                <w:sz w:val="20"/>
                <w:lang w:val="es-ES" w:eastAsia="zh-CN"/>
              </w:rPr>
              <w:t>Monto de</w:t>
            </w:r>
          </w:p>
          <w:p w14:paraId="0D4793EA" w14:textId="77777777" w:rsidR="00E44702" w:rsidRPr="0035053C" w:rsidRDefault="00E44702" w:rsidP="00E44702">
            <w:pPr>
              <w:autoSpaceDE w:val="0"/>
              <w:autoSpaceDN w:val="0"/>
              <w:adjustRightInd w:val="0"/>
              <w:rPr>
                <w:rFonts w:ascii="Arial" w:hAnsi="Arial" w:cs="Arial"/>
                <w:sz w:val="20"/>
                <w:lang w:val="es-ES" w:eastAsia="zh-CN"/>
              </w:rPr>
            </w:pPr>
            <w:r w:rsidRPr="0035053C">
              <w:rPr>
                <w:rFonts w:ascii="Arial" w:hAnsi="Arial" w:cs="Arial"/>
                <w:sz w:val="20"/>
                <w:lang w:val="es-ES" w:eastAsia="zh-CN"/>
              </w:rPr>
              <w:t>proyectos APP</w:t>
            </w:r>
          </w:p>
          <w:p w14:paraId="0E023561" w14:textId="77777777" w:rsidR="00E44702" w:rsidRPr="0035053C" w:rsidRDefault="00E44702" w:rsidP="00E44702">
            <w:pPr>
              <w:autoSpaceDE w:val="0"/>
              <w:autoSpaceDN w:val="0"/>
              <w:adjustRightInd w:val="0"/>
              <w:rPr>
                <w:rFonts w:ascii="Arial" w:hAnsi="Arial" w:cs="Arial"/>
                <w:sz w:val="20"/>
                <w:lang w:val="es-ES" w:eastAsia="zh-CN"/>
              </w:rPr>
            </w:pPr>
            <w:r w:rsidRPr="0035053C">
              <w:rPr>
                <w:rFonts w:ascii="Arial" w:hAnsi="Arial" w:cs="Arial"/>
                <w:sz w:val="20"/>
                <w:lang w:val="es-ES" w:eastAsia="zh-CN"/>
              </w:rPr>
              <w:t>nacionales</w:t>
            </w:r>
          </w:p>
          <w:p w14:paraId="05C674A7" w14:textId="77777777" w:rsidR="00E44702" w:rsidRPr="0035053C" w:rsidRDefault="00E44702" w:rsidP="00E44702">
            <w:pPr>
              <w:autoSpaceDE w:val="0"/>
              <w:autoSpaceDN w:val="0"/>
              <w:adjustRightInd w:val="0"/>
              <w:rPr>
                <w:rFonts w:ascii="Arial" w:hAnsi="Arial" w:cs="Arial"/>
                <w:sz w:val="20"/>
                <w:lang w:val="es-ES" w:eastAsia="zh-CN"/>
              </w:rPr>
            </w:pPr>
            <w:r w:rsidRPr="0035053C">
              <w:rPr>
                <w:rFonts w:ascii="Arial" w:hAnsi="Arial" w:cs="Arial"/>
                <w:sz w:val="20"/>
                <w:lang w:val="es-ES" w:eastAsia="zh-CN"/>
              </w:rPr>
              <w:t>estructurados y</w:t>
            </w:r>
          </w:p>
          <w:p w14:paraId="2CE11E53" w14:textId="2975D6CD" w:rsidR="00E44702" w:rsidRDefault="00E44702" w:rsidP="00E44702">
            <w:pPr>
              <w:rPr>
                <w:rFonts w:ascii="Arial" w:hAnsi="Arial" w:cs="Arial"/>
                <w:sz w:val="20"/>
              </w:rPr>
            </w:pPr>
            <w:r w:rsidRPr="0035053C">
              <w:rPr>
                <w:rFonts w:ascii="Arial" w:hAnsi="Arial" w:cs="Arial"/>
                <w:sz w:val="20"/>
                <w:lang w:eastAsia="zh-CN"/>
              </w:rPr>
              <w:t>licitados / PIB</w:t>
            </w:r>
          </w:p>
        </w:tc>
        <w:tc>
          <w:tcPr>
            <w:tcW w:w="502" w:type="pct"/>
            <w:vAlign w:val="center"/>
          </w:tcPr>
          <w:p w14:paraId="53551B4F" w14:textId="2807BFA4" w:rsidR="00E44702" w:rsidRDefault="00E44702" w:rsidP="00E44702">
            <w:pPr>
              <w:spacing w:before="20" w:after="20"/>
              <w:jc w:val="center"/>
              <w:rPr>
                <w:rFonts w:ascii="Arial" w:hAnsi="Arial" w:cs="Arial"/>
                <w:sz w:val="20"/>
                <w:lang w:val="es-ES"/>
              </w:rPr>
            </w:pPr>
            <w:r w:rsidRPr="0035053C">
              <w:rPr>
                <w:rFonts w:ascii="Arial" w:hAnsi="Arial" w:cs="Arial"/>
                <w:sz w:val="20"/>
                <w:lang w:val="es-ES"/>
              </w:rPr>
              <w:t xml:space="preserve">% </w:t>
            </w:r>
          </w:p>
        </w:tc>
        <w:tc>
          <w:tcPr>
            <w:tcW w:w="305" w:type="pct"/>
            <w:vAlign w:val="center"/>
          </w:tcPr>
          <w:p w14:paraId="030598A5" w14:textId="2B7D1BBF" w:rsidR="00E44702" w:rsidRDefault="00E44702" w:rsidP="00E44702">
            <w:pPr>
              <w:spacing w:before="20" w:after="20"/>
              <w:jc w:val="center"/>
              <w:rPr>
                <w:rFonts w:ascii="Arial" w:hAnsi="Arial" w:cs="Arial"/>
                <w:sz w:val="20"/>
                <w:lang w:val="es-ES"/>
              </w:rPr>
            </w:pPr>
            <w:r w:rsidRPr="0035053C">
              <w:rPr>
                <w:rFonts w:ascii="Arial" w:hAnsi="Arial" w:cs="Arial"/>
                <w:sz w:val="20"/>
                <w:lang w:val="es-ES"/>
              </w:rPr>
              <w:t>2,0</w:t>
            </w:r>
          </w:p>
        </w:tc>
        <w:tc>
          <w:tcPr>
            <w:tcW w:w="348" w:type="pct"/>
            <w:vAlign w:val="center"/>
          </w:tcPr>
          <w:p w14:paraId="08BD977C" w14:textId="441B3AB9" w:rsidR="00E44702" w:rsidRDefault="00E44702" w:rsidP="00E44702">
            <w:pPr>
              <w:spacing w:before="20" w:after="20"/>
              <w:jc w:val="center"/>
              <w:rPr>
                <w:rFonts w:ascii="Arial" w:hAnsi="Arial" w:cs="Arial"/>
                <w:sz w:val="20"/>
                <w:lang w:val="es-ES"/>
              </w:rPr>
            </w:pPr>
            <w:r w:rsidRPr="0035053C">
              <w:rPr>
                <w:rFonts w:ascii="Arial" w:hAnsi="Arial" w:cs="Arial"/>
                <w:sz w:val="20"/>
                <w:lang w:eastAsia="zh-CN"/>
              </w:rPr>
              <w:t>2018</w:t>
            </w:r>
          </w:p>
        </w:tc>
        <w:tc>
          <w:tcPr>
            <w:tcW w:w="327" w:type="pct"/>
            <w:vAlign w:val="center"/>
          </w:tcPr>
          <w:p w14:paraId="6C692399" w14:textId="56EA9960" w:rsidR="00E44702" w:rsidRPr="00D95FF0" w:rsidRDefault="00E44702" w:rsidP="00E44702">
            <w:pPr>
              <w:spacing w:before="20" w:after="20"/>
              <w:jc w:val="center"/>
              <w:rPr>
                <w:rFonts w:ascii="Arial" w:hAnsi="Arial" w:cs="Arial"/>
                <w:sz w:val="20"/>
                <w:lang w:val="es-ES"/>
              </w:rPr>
            </w:pPr>
            <w:r w:rsidRPr="0035053C">
              <w:rPr>
                <w:rFonts w:ascii="Arial" w:hAnsi="Arial" w:cs="Arial"/>
                <w:sz w:val="20"/>
                <w:lang w:val="es-ES"/>
              </w:rPr>
              <w:t>3</w:t>
            </w:r>
          </w:p>
        </w:tc>
        <w:tc>
          <w:tcPr>
            <w:tcW w:w="348" w:type="pct"/>
            <w:vAlign w:val="center"/>
          </w:tcPr>
          <w:p w14:paraId="18879438" w14:textId="2035C130" w:rsidR="00E44702" w:rsidRPr="00D95FF0" w:rsidRDefault="00E44702" w:rsidP="00E44702">
            <w:pPr>
              <w:spacing w:before="20" w:after="20"/>
              <w:jc w:val="center"/>
              <w:rPr>
                <w:rFonts w:ascii="Arial" w:hAnsi="Arial" w:cs="Arial"/>
                <w:sz w:val="20"/>
                <w:lang w:val="es-ES"/>
              </w:rPr>
            </w:pPr>
            <w:r>
              <w:rPr>
                <w:rFonts w:ascii="Arial" w:hAnsi="Arial" w:cs="Arial"/>
                <w:sz w:val="20"/>
                <w:lang w:val="es-419" w:eastAsia="zh-CN"/>
              </w:rPr>
              <w:t>202</w:t>
            </w:r>
            <w:r w:rsidR="005872AB">
              <w:rPr>
                <w:rFonts w:ascii="Arial" w:hAnsi="Arial" w:cs="Arial"/>
                <w:sz w:val="20"/>
                <w:lang w:val="es-419" w:eastAsia="zh-CN"/>
              </w:rPr>
              <w:t>3</w:t>
            </w:r>
          </w:p>
        </w:tc>
        <w:tc>
          <w:tcPr>
            <w:tcW w:w="1250" w:type="pct"/>
            <w:vAlign w:val="center"/>
          </w:tcPr>
          <w:p w14:paraId="21F9ADEC" w14:textId="77777777" w:rsidR="00E44702" w:rsidRPr="002B451A" w:rsidRDefault="00E44702" w:rsidP="00E44702">
            <w:pPr>
              <w:pStyle w:val="Paragraph"/>
              <w:numPr>
                <w:ilvl w:val="0"/>
                <w:numId w:val="0"/>
              </w:numPr>
              <w:spacing w:before="20" w:after="20"/>
              <w:jc w:val="center"/>
              <w:rPr>
                <w:rFonts w:ascii="Arial" w:hAnsi="Arial" w:cs="Arial"/>
                <w:sz w:val="20"/>
              </w:rPr>
            </w:pPr>
            <w:r w:rsidRPr="002B451A">
              <w:rPr>
                <w:rFonts w:ascii="Arial" w:hAnsi="Arial" w:cs="Arial"/>
                <w:sz w:val="20"/>
              </w:rPr>
              <w:t>Informe anual de gestión</w:t>
            </w:r>
          </w:p>
          <w:p w14:paraId="0291F30E" w14:textId="77777777" w:rsidR="00E44702" w:rsidRPr="002B451A" w:rsidRDefault="00E44702" w:rsidP="00E44702">
            <w:pPr>
              <w:pStyle w:val="Paragraph"/>
              <w:numPr>
                <w:ilvl w:val="0"/>
                <w:numId w:val="0"/>
              </w:numPr>
              <w:spacing w:before="20" w:after="20"/>
              <w:jc w:val="center"/>
              <w:rPr>
                <w:rFonts w:ascii="Arial" w:hAnsi="Arial" w:cs="Arial"/>
                <w:sz w:val="20"/>
              </w:rPr>
            </w:pPr>
            <w:r w:rsidRPr="002B451A">
              <w:rPr>
                <w:rFonts w:ascii="Arial" w:hAnsi="Arial" w:cs="Arial"/>
                <w:sz w:val="20"/>
              </w:rPr>
              <w:t>de proyectos de APP del</w:t>
            </w:r>
          </w:p>
          <w:p w14:paraId="244DE56A" w14:textId="34261C08" w:rsidR="00E44702" w:rsidRDefault="00E44702" w:rsidP="00E44702">
            <w:pPr>
              <w:pStyle w:val="Paragraph"/>
              <w:numPr>
                <w:ilvl w:val="1"/>
                <w:numId w:val="0"/>
              </w:numPr>
              <w:spacing w:before="20" w:after="20"/>
              <w:jc w:val="center"/>
              <w:rPr>
                <w:rFonts w:ascii="Arial" w:hAnsi="Arial" w:cs="Arial"/>
                <w:sz w:val="20"/>
              </w:rPr>
            </w:pPr>
            <w:r w:rsidRPr="002B451A">
              <w:rPr>
                <w:rFonts w:ascii="Arial" w:hAnsi="Arial" w:cs="Arial"/>
                <w:sz w:val="20"/>
              </w:rPr>
              <w:t>MEF.</w:t>
            </w:r>
          </w:p>
        </w:tc>
        <w:tc>
          <w:tcPr>
            <w:tcW w:w="522" w:type="pct"/>
            <w:vAlign w:val="center"/>
          </w:tcPr>
          <w:p w14:paraId="5B66C868" w14:textId="79B00D95"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112320C4" w14:textId="6AB94463"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Antes y después</w:t>
            </w:r>
          </w:p>
        </w:tc>
      </w:tr>
      <w:tr w:rsidR="00E44702" w14:paraId="70B37203" w14:textId="77777777" w:rsidTr="008033EB">
        <w:trPr>
          <w:trHeight w:val="20"/>
        </w:trPr>
        <w:tc>
          <w:tcPr>
            <w:tcW w:w="902" w:type="pct"/>
            <w:vAlign w:val="center"/>
          </w:tcPr>
          <w:p w14:paraId="0923DA88" w14:textId="507C4A49" w:rsidR="00E44702" w:rsidRPr="002B451A" w:rsidRDefault="00E44702" w:rsidP="00E44702">
            <w:pPr>
              <w:rPr>
                <w:rFonts w:ascii="Arial" w:hAnsi="Arial" w:cs="Arial"/>
                <w:sz w:val="20"/>
                <w:highlight w:val="yellow"/>
                <w:lang w:val="es-ES" w:eastAsia="zh-CN"/>
              </w:rPr>
            </w:pPr>
            <w:r w:rsidRPr="0035053C">
              <w:rPr>
                <w:rFonts w:ascii="Arial" w:hAnsi="Arial" w:cs="Arial"/>
                <w:color w:val="000000" w:themeColor="text1"/>
                <w:sz w:val="20"/>
              </w:rPr>
              <w:t>Número de mujeres en Directorios de EE.PP. / Total de miembros en Directorios de EE.PP.</w:t>
            </w:r>
          </w:p>
        </w:tc>
        <w:tc>
          <w:tcPr>
            <w:tcW w:w="502" w:type="pct"/>
            <w:vAlign w:val="center"/>
          </w:tcPr>
          <w:p w14:paraId="3F83599D" w14:textId="45F0DD84" w:rsidR="00E44702" w:rsidRPr="002B451A" w:rsidRDefault="00E44702" w:rsidP="00E44702">
            <w:pPr>
              <w:spacing w:before="20" w:after="20"/>
              <w:jc w:val="center"/>
              <w:rPr>
                <w:rFonts w:ascii="Arial" w:hAnsi="Arial" w:cs="Arial"/>
                <w:sz w:val="20"/>
                <w:highlight w:val="yellow"/>
                <w:lang w:val="es-ES"/>
              </w:rPr>
            </w:pPr>
            <w:r w:rsidRPr="0035053C">
              <w:rPr>
                <w:rFonts w:ascii="Arial" w:hAnsi="Arial" w:cs="Arial"/>
                <w:sz w:val="20"/>
                <w:lang w:val="es-ES"/>
              </w:rPr>
              <w:t>%</w:t>
            </w:r>
          </w:p>
        </w:tc>
        <w:tc>
          <w:tcPr>
            <w:tcW w:w="305" w:type="pct"/>
            <w:vAlign w:val="center"/>
          </w:tcPr>
          <w:p w14:paraId="2D11BD72" w14:textId="16843B9B" w:rsidR="00E44702" w:rsidRPr="002B451A" w:rsidRDefault="00E44702" w:rsidP="00E44702">
            <w:pPr>
              <w:spacing w:before="20" w:after="20"/>
              <w:jc w:val="center"/>
              <w:rPr>
                <w:rFonts w:ascii="Arial" w:hAnsi="Arial" w:cs="Arial"/>
                <w:sz w:val="20"/>
                <w:highlight w:val="yellow"/>
                <w:lang w:val="es-ES"/>
              </w:rPr>
            </w:pPr>
            <w:r w:rsidRPr="0035053C">
              <w:rPr>
                <w:rFonts w:ascii="Arial" w:hAnsi="Arial" w:cs="Arial"/>
                <w:sz w:val="20"/>
                <w:lang w:val="es-ES"/>
              </w:rPr>
              <w:t>3</w:t>
            </w:r>
          </w:p>
        </w:tc>
        <w:tc>
          <w:tcPr>
            <w:tcW w:w="348" w:type="pct"/>
            <w:vAlign w:val="center"/>
          </w:tcPr>
          <w:p w14:paraId="1C9D76FD" w14:textId="20C705AC" w:rsidR="00E44702" w:rsidRPr="002B451A" w:rsidRDefault="00E44702" w:rsidP="00E44702">
            <w:pPr>
              <w:spacing w:before="20" w:after="20"/>
              <w:jc w:val="center"/>
              <w:rPr>
                <w:rFonts w:ascii="Arial" w:hAnsi="Arial" w:cs="Arial"/>
                <w:sz w:val="20"/>
                <w:highlight w:val="yellow"/>
                <w:lang w:eastAsia="zh-CN"/>
              </w:rPr>
            </w:pPr>
            <w:r w:rsidRPr="0035053C">
              <w:rPr>
                <w:rFonts w:ascii="Arial" w:hAnsi="Arial" w:cs="Arial"/>
                <w:sz w:val="20"/>
                <w:lang w:eastAsia="zh-CN"/>
              </w:rPr>
              <w:t>2018</w:t>
            </w:r>
          </w:p>
        </w:tc>
        <w:tc>
          <w:tcPr>
            <w:tcW w:w="327" w:type="pct"/>
            <w:vAlign w:val="center"/>
          </w:tcPr>
          <w:p w14:paraId="5FEA80B4" w14:textId="585C9135" w:rsidR="00E44702" w:rsidRPr="002B451A" w:rsidRDefault="00E44702" w:rsidP="00E44702">
            <w:pPr>
              <w:pStyle w:val="Paragraph"/>
              <w:numPr>
                <w:ilvl w:val="0"/>
                <w:numId w:val="0"/>
              </w:numPr>
              <w:spacing w:before="20" w:after="20"/>
              <w:jc w:val="center"/>
              <w:rPr>
                <w:rFonts w:ascii="Arial" w:hAnsi="Arial" w:cs="Arial"/>
                <w:sz w:val="20"/>
                <w:highlight w:val="yellow"/>
              </w:rPr>
            </w:pPr>
            <w:r w:rsidRPr="0035053C">
              <w:rPr>
                <w:rFonts w:ascii="Arial" w:hAnsi="Arial" w:cs="Arial"/>
                <w:sz w:val="20"/>
              </w:rPr>
              <w:t>4</w:t>
            </w:r>
            <w:r w:rsidR="00A16046">
              <w:rPr>
                <w:rFonts w:ascii="Arial" w:hAnsi="Arial" w:cs="Arial"/>
                <w:sz w:val="20"/>
              </w:rPr>
              <w:t>0</w:t>
            </w:r>
          </w:p>
        </w:tc>
        <w:tc>
          <w:tcPr>
            <w:tcW w:w="348" w:type="pct"/>
            <w:vAlign w:val="center"/>
          </w:tcPr>
          <w:p w14:paraId="42586D74" w14:textId="62F26621" w:rsidR="00E44702" w:rsidRPr="002B451A" w:rsidRDefault="00E44702" w:rsidP="00E44702">
            <w:pPr>
              <w:pStyle w:val="Paragraph"/>
              <w:numPr>
                <w:ilvl w:val="0"/>
                <w:numId w:val="0"/>
              </w:numPr>
              <w:spacing w:before="20" w:after="20"/>
              <w:jc w:val="center"/>
              <w:rPr>
                <w:rFonts w:ascii="Arial" w:hAnsi="Arial" w:cs="Arial"/>
                <w:sz w:val="20"/>
                <w:highlight w:val="yellow"/>
                <w:lang w:eastAsia="zh-CN"/>
              </w:rPr>
            </w:pPr>
            <w:r>
              <w:rPr>
                <w:rFonts w:ascii="Arial" w:hAnsi="Arial" w:cs="Arial"/>
                <w:sz w:val="20"/>
                <w:lang w:val="es-419" w:eastAsia="zh-CN"/>
              </w:rPr>
              <w:t>202</w:t>
            </w:r>
            <w:r w:rsidR="005872AB">
              <w:rPr>
                <w:rFonts w:ascii="Arial" w:hAnsi="Arial" w:cs="Arial"/>
                <w:sz w:val="20"/>
                <w:lang w:val="es-419" w:eastAsia="zh-CN"/>
              </w:rPr>
              <w:t>3</w:t>
            </w:r>
          </w:p>
        </w:tc>
        <w:tc>
          <w:tcPr>
            <w:tcW w:w="1250" w:type="pct"/>
            <w:vAlign w:val="center"/>
          </w:tcPr>
          <w:p w14:paraId="556BE2D7" w14:textId="111D2289" w:rsidR="00E44702" w:rsidRPr="002B451A" w:rsidRDefault="00E44702" w:rsidP="00E44702">
            <w:pPr>
              <w:pStyle w:val="Paragraph"/>
              <w:numPr>
                <w:ilvl w:val="0"/>
                <w:numId w:val="0"/>
              </w:numPr>
              <w:spacing w:before="20" w:after="20"/>
              <w:jc w:val="center"/>
              <w:rPr>
                <w:rFonts w:ascii="Arial" w:hAnsi="Arial" w:cs="Arial"/>
                <w:sz w:val="20"/>
              </w:rPr>
            </w:pPr>
            <w:r w:rsidRPr="002B451A">
              <w:rPr>
                <w:rFonts w:ascii="Arial" w:hAnsi="Arial" w:cs="Arial"/>
                <w:sz w:val="20"/>
                <w:lang w:val="es-ES_tradnl"/>
              </w:rPr>
              <w:t>Informe anual de la entidad propietaria de las EE.PP.</w:t>
            </w:r>
          </w:p>
        </w:tc>
        <w:tc>
          <w:tcPr>
            <w:tcW w:w="522" w:type="pct"/>
            <w:vAlign w:val="center"/>
          </w:tcPr>
          <w:p w14:paraId="26EA3AEF" w14:textId="3B4A4A97"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02E39ABA" w14:textId="2C1C4CF6"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Antes y después</w:t>
            </w:r>
          </w:p>
        </w:tc>
      </w:tr>
      <w:tr w:rsidR="00E44702" w14:paraId="31CE1838" w14:textId="77777777" w:rsidTr="008033EB">
        <w:trPr>
          <w:trHeight w:val="20"/>
        </w:trPr>
        <w:tc>
          <w:tcPr>
            <w:tcW w:w="902" w:type="pct"/>
            <w:vAlign w:val="center"/>
          </w:tcPr>
          <w:p w14:paraId="195C8A2E" w14:textId="142EAE1C" w:rsidR="00E44702" w:rsidRPr="002B451A" w:rsidRDefault="00987DB8" w:rsidP="00E44702">
            <w:pPr>
              <w:rPr>
                <w:rFonts w:ascii="Arial" w:hAnsi="Arial" w:cs="Arial"/>
                <w:color w:val="000000" w:themeColor="text1"/>
                <w:sz w:val="20"/>
              </w:rPr>
            </w:pPr>
            <w:r w:rsidRPr="00987DB8">
              <w:rPr>
                <w:rFonts w:ascii="Arial" w:hAnsi="Arial" w:cs="Arial"/>
                <w:color w:val="000000" w:themeColor="text1"/>
                <w:sz w:val="20"/>
              </w:rPr>
              <w:t>Número de minutos en tramitar el envío del formulario de declaración por medio magnético</w:t>
            </w:r>
          </w:p>
        </w:tc>
        <w:tc>
          <w:tcPr>
            <w:tcW w:w="502" w:type="pct"/>
            <w:vAlign w:val="center"/>
          </w:tcPr>
          <w:p w14:paraId="0E2DB95E" w14:textId="2070C412" w:rsidR="00E44702" w:rsidRPr="002B451A" w:rsidRDefault="00E44702" w:rsidP="00E44702">
            <w:pPr>
              <w:spacing w:before="20" w:after="20"/>
              <w:jc w:val="center"/>
              <w:rPr>
                <w:rFonts w:ascii="Arial" w:hAnsi="Arial" w:cs="Arial"/>
                <w:sz w:val="20"/>
                <w:lang w:val="es-ES"/>
              </w:rPr>
            </w:pPr>
            <w:r w:rsidRPr="0035053C">
              <w:rPr>
                <w:rFonts w:ascii="Arial" w:hAnsi="Arial" w:cs="Arial"/>
                <w:sz w:val="20"/>
                <w:lang w:val="es-ES"/>
              </w:rPr>
              <w:t>Minutos</w:t>
            </w:r>
          </w:p>
        </w:tc>
        <w:tc>
          <w:tcPr>
            <w:tcW w:w="305" w:type="pct"/>
            <w:vAlign w:val="center"/>
          </w:tcPr>
          <w:p w14:paraId="0B2D0209" w14:textId="2E5D993F" w:rsidR="00E44702" w:rsidRPr="002B451A" w:rsidRDefault="00E44702" w:rsidP="00E44702">
            <w:pPr>
              <w:spacing w:before="20" w:after="20"/>
              <w:jc w:val="center"/>
              <w:rPr>
                <w:rFonts w:ascii="Arial" w:hAnsi="Arial" w:cs="Arial"/>
                <w:sz w:val="20"/>
                <w:lang w:val="es-ES"/>
              </w:rPr>
            </w:pPr>
            <w:r w:rsidRPr="0035053C">
              <w:rPr>
                <w:rFonts w:ascii="Arial" w:hAnsi="Arial" w:cs="Arial"/>
                <w:sz w:val="20"/>
                <w:lang w:val="es-ES"/>
              </w:rPr>
              <w:t>30</w:t>
            </w:r>
          </w:p>
        </w:tc>
        <w:tc>
          <w:tcPr>
            <w:tcW w:w="348" w:type="pct"/>
            <w:vAlign w:val="center"/>
          </w:tcPr>
          <w:p w14:paraId="58B3DBE9" w14:textId="6856C3C2" w:rsidR="00E44702" w:rsidRPr="002B451A" w:rsidRDefault="00E44702" w:rsidP="00E44702">
            <w:pPr>
              <w:spacing w:before="20" w:after="20"/>
              <w:jc w:val="center"/>
              <w:rPr>
                <w:rFonts w:ascii="Arial" w:hAnsi="Arial" w:cs="Arial"/>
                <w:sz w:val="20"/>
                <w:lang w:eastAsia="zh-CN"/>
              </w:rPr>
            </w:pPr>
            <w:r w:rsidRPr="0035053C">
              <w:rPr>
                <w:rFonts w:ascii="Arial" w:hAnsi="Arial" w:cs="Arial"/>
                <w:sz w:val="20"/>
                <w:lang w:eastAsia="zh-CN"/>
              </w:rPr>
              <w:t>2018</w:t>
            </w:r>
          </w:p>
        </w:tc>
        <w:tc>
          <w:tcPr>
            <w:tcW w:w="327" w:type="pct"/>
            <w:vAlign w:val="center"/>
          </w:tcPr>
          <w:p w14:paraId="07086A87" w14:textId="2E7F51E7" w:rsidR="00E44702" w:rsidRPr="002B451A" w:rsidRDefault="00E44702" w:rsidP="00E44702">
            <w:pPr>
              <w:pStyle w:val="Paragraph"/>
              <w:numPr>
                <w:ilvl w:val="0"/>
                <w:numId w:val="0"/>
              </w:numPr>
              <w:spacing w:before="20" w:after="20"/>
              <w:jc w:val="center"/>
              <w:rPr>
                <w:rFonts w:ascii="Arial" w:hAnsi="Arial" w:cs="Arial"/>
                <w:sz w:val="20"/>
                <w:highlight w:val="yellow"/>
              </w:rPr>
            </w:pPr>
            <w:r w:rsidRPr="0035053C">
              <w:rPr>
                <w:rFonts w:ascii="Arial" w:hAnsi="Arial" w:cs="Arial"/>
                <w:sz w:val="20"/>
              </w:rPr>
              <w:t>6</w:t>
            </w:r>
          </w:p>
        </w:tc>
        <w:tc>
          <w:tcPr>
            <w:tcW w:w="348" w:type="pct"/>
            <w:vAlign w:val="center"/>
          </w:tcPr>
          <w:p w14:paraId="68EB75FC" w14:textId="55767F67" w:rsidR="00E44702" w:rsidRDefault="00E44702" w:rsidP="00E44702">
            <w:pPr>
              <w:pStyle w:val="Paragraph"/>
              <w:numPr>
                <w:ilvl w:val="0"/>
                <w:numId w:val="0"/>
              </w:numPr>
              <w:spacing w:before="20" w:after="20"/>
              <w:jc w:val="center"/>
              <w:rPr>
                <w:rFonts w:ascii="Arial" w:hAnsi="Arial" w:cs="Arial"/>
                <w:sz w:val="20"/>
                <w:lang w:val="es-419" w:eastAsia="zh-CN"/>
              </w:rPr>
            </w:pPr>
            <w:r>
              <w:rPr>
                <w:rFonts w:ascii="Arial" w:hAnsi="Arial" w:cs="Arial"/>
                <w:sz w:val="20"/>
                <w:lang w:val="es-419" w:eastAsia="zh-CN"/>
              </w:rPr>
              <w:t>202</w:t>
            </w:r>
            <w:r w:rsidR="005872AB">
              <w:rPr>
                <w:rFonts w:ascii="Arial" w:hAnsi="Arial" w:cs="Arial"/>
                <w:sz w:val="20"/>
                <w:lang w:val="es-419" w:eastAsia="zh-CN"/>
              </w:rPr>
              <w:t>3</w:t>
            </w:r>
          </w:p>
        </w:tc>
        <w:tc>
          <w:tcPr>
            <w:tcW w:w="1250" w:type="pct"/>
            <w:vAlign w:val="center"/>
          </w:tcPr>
          <w:p w14:paraId="2C1A468D" w14:textId="18F3E1E7" w:rsidR="00E44702" w:rsidRPr="002B451A" w:rsidRDefault="00E44702" w:rsidP="00E44702">
            <w:pPr>
              <w:pStyle w:val="Paragraph"/>
              <w:numPr>
                <w:ilvl w:val="0"/>
                <w:numId w:val="0"/>
              </w:numPr>
              <w:spacing w:before="20" w:after="20"/>
              <w:jc w:val="center"/>
              <w:rPr>
                <w:rFonts w:ascii="Arial" w:hAnsi="Arial" w:cs="Arial"/>
                <w:sz w:val="20"/>
                <w:lang w:val="es-ES_tradnl"/>
              </w:rPr>
            </w:pPr>
            <w:r w:rsidRPr="00E44702">
              <w:rPr>
                <w:rFonts w:ascii="Arial" w:hAnsi="Arial" w:cs="Arial"/>
                <w:sz w:val="20"/>
              </w:rPr>
              <w:t>Informe anual preparado por el Servicio de Rentas Internas (SRI).</w:t>
            </w:r>
          </w:p>
        </w:tc>
        <w:tc>
          <w:tcPr>
            <w:tcW w:w="522" w:type="pct"/>
            <w:vAlign w:val="center"/>
          </w:tcPr>
          <w:p w14:paraId="07114852" w14:textId="54C1457E"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3D103500" w14:textId="1593E198" w:rsidR="00E44702" w:rsidRDefault="00E44702" w:rsidP="00E44702">
            <w:pPr>
              <w:pStyle w:val="Paragraph"/>
              <w:numPr>
                <w:ilvl w:val="0"/>
                <w:numId w:val="0"/>
              </w:numPr>
              <w:spacing w:before="20" w:after="20"/>
              <w:jc w:val="center"/>
              <w:rPr>
                <w:rFonts w:ascii="Arial" w:hAnsi="Arial" w:cs="Arial"/>
                <w:sz w:val="20"/>
              </w:rPr>
            </w:pPr>
            <w:r>
              <w:rPr>
                <w:rFonts w:ascii="Arial" w:hAnsi="Arial" w:cs="Arial"/>
                <w:sz w:val="20"/>
              </w:rPr>
              <w:t>Antes y después</w:t>
            </w:r>
          </w:p>
        </w:tc>
      </w:tr>
      <w:tr w:rsidR="00D5428A" w14:paraId="0771517E" w14:textId="77777777" w:rsidTr="008033EB">
        <w:trPr>
          <w:trHeight w:val="20"/>
        </w:trPr>
        <w:tc>
          <w:tcPr>
            <w:tcW w:w="902" w:type="pct"/>
            <w:vAlign w:val="center"/>
          </w:tcPr>
          <w:p w14:paraId="2FAD37BE" w14:textId="0A3DBF49" w:rsidR="00D5428A" w:rsidRPr="00987DB8" w:rsidRDefault="00D5428A" w:rsidP="00D5428A">
            <w:pPr>
              <w:rPr>
                <w:rFonts w:ascii="Arial" w:hAnsi="Arial" w:cs="Arial"/>
                <w:color w:val="000000" w:themeColor="text1"/>
                <w:sz w:val="20"/>
              </w:rPr>
            </w:pPr>
            <w:r w:rsidRPr="00AD73D8">
              <w:rPr>
                <w:rFonts w:ascii="Arial" w:hAnsi="Arial" w:cs="Arial"/>
                <w:color w:val="000000" w:themeColor="text1"/>
                <w:sz w:val="20"/>
              </w:rPr>
              <w:t xml:space="preserve">Recaudación </w:t>
            </w:r>
            <w:r>
              <w:rPr>
                <w:rFonts w:ascii="Arial" w:hAnsi="Arial" w:cs="Arial"/>
                <w:color w:val="000000" w:themeColor="text1"/>
                <w:sz w:val="20"/>
              </w:rPr>
              <w:t>IVA</w:t>
            </w:r>
            <w:r w:rsidRPr="00AD73D8">
              <w:rPr>
                <w:rFonts w:ascii="Arial" w:hAnsi="Arial" w:cs="Arial"/>
                <w:color w:val="000000" w:themeColor="text1"/>
                <w:sz w:val="20"/>
              </w:rPr>
              <w:t xml:space="preserve"> / PIB</w:t>
            </w:r>
          </w:p>
        </w:tc>
        <w:tc>
          <w:tcPr>
            <w:tcW w:w="502" w:type="pct"/>
            <w:vAlign w:val="center"/>
          </w:tcPr>
          <w:p w14:paraId="2340477F" w14:textId="23848918" w:rsidR="00D5428A" w:rsidRPr="0035053C" w:rsidRDefault="00D5428A" w:rsidP="00D5428A">
            <w:pPr>
              <w:spacing w:before="20" w:after="20"/>
              <w:jc w:val="center"/>
              <w:rPr>
                <w:rFonts w:ascii="Arial" w:hAnsi="Arial" w:cs="Arial"/>
                <w:sz w:val="20"/>
                <w:lang w:val="es-ES"/>
              </w:rPr>
            </w:pPr>
            <w:r w:rsidRPr="0035053C">
              <w:rPr>
                <w:rFonts w:ascii="Arial" w:hAnsi="Arial" w:cs="Arial"/>
                <w:sz w:val="20"/>
                <w:lang w:val="es-ES"/>
              </w:rPr>
              <w:t>%</w:t>
            </w:r>
          </w:p>
        </w:tc>
        <w:tc>
          <w:tcPr>
            <w:tcW w:w="305" w:type="pct"/>
            <w:vAlign w:val="center"/>
          </w:tcPr>
          <w:p w14:paraId="740393F2" w14:textId="437D5246" w:rsidR="00D5428A" w:rsidRPr="0035053C" w:rsidRDefault="00D5428A" w:rsidP="00D5428A">
            <w:pPr>
              <w:spacing w:before="20" w:after="20"/>
              <w:jc w:val="center"/>
              <w:rPr>
                <w:rFonts w:ascii="Arial" w:hAnsi="Arial" w:cs="Arial"/>
                <w:sz w:val="20"/>
                <w:lang w:val="es-ES"/>
              </w:rPr>
            </w:pPr>
            <w:r>
              <w:rPr>
                <w:rFonts w:ascii="Arial" w:hAnsi="Arial" w:cs="Arial"/>
                <w:sz w:val="20"/>
                <w:lang w:val="es-ES"/>
              </w:rPr>
              <w:t>6</w:t>
            </w:r>
            <w:r w:rsidR="00417D9A">
              <w:rPr>
                <w:rFonts w:ascii="Arial" w:hAnsi="Arial" w:cs="Arial"/>
                <w:sz w:val="20"/>
                <w:lang w:val="es-ES"/>
              </w:rPr>
              <w:t>,</w:t>
            </w:r>
            <w:r>
              <w:rPr>
                <w:rFonts w:ascii="Arial" w:hAnsi="Arial" w:cs="Arial"/>
                <w:sz w:val="20"/>
                <w:lang w:val="es-ES"/>
              </w:rPr>
              <w:t>05</w:t>
            </w:r>
          </w:p>
        </w:tc>
        <w:tc>
          <w:tcPr>
            <w:tcW w:w="348" w:type="pct"/>
            <w:vAlign w:val="center"/>
          </w:tcPr>
          <w:p w14:paraId="484FAFB0" w14:textId="4B5E937D" w:rsidR="00D5428A" w:rsidRPr="0035053C" w:rsidRDefault="00D5428A" w:rsidP="00D5428A">
            <w:pPr>
              <w:spacing w:before="20" w:after="20"/>
              <w:jc w:val="center"/>
              <w:rPr>
                <w:rFonts w:ascii="Arial" w:hAnsi="Arial" w:cs="Arial"/>
                <w:sz w:val="20"/>
                <w:lang w:eastAsia="zh-CN"/>
              </w:rPr>
            </w:pPr>
            <w:r w:rsidRPr="0035053C">
              <w:rPr>
                <w:rFonts w:ascii="Arial" w:hAnsi="Arial" w:cs="Arial"/>
                <w:sz w:val="20"/>
                <w:lang w:eastAsia="zh-CN"/>
              </w:rPr>
              <w:t>201</w:t>
            </w:r>
            <w:r>
              <w:rPr>
                <w:rFonts w:ascii="Arial" w:hAnsi="Arial" w:cs="Arial"/>
                <w:sz w:val="20"/>
                <w:lang w:eastAsia="zh-CN"/>
              </w:rPr>
              <w:t>7</w:t>
            </w:r>
          </w:p>
        </w:tc>
        <w:tc>
          <w:tcPr>
            <w:tcW w:w="327" w:type="pct"/>
            <w:vAlign w:val="center"/>
          </w:tcPr>
          <w:p w14:paraId="3413C7AF" w14:textId="7A02E047" w:rsidR="00D5428A" w:rsidRPr="0035053C" w:rsidRDefault="00D5428A" w:rsidP="00D5428A">
            <w:pPr>
              <w:pStyle w:val="Paragraph"/>
              <w:numPr>
                <w:ilvl w:val="0"/>
                <w:numId w:val="0"/>
              </w:numPr>
              <w:spacing w:before="20" w:after="20"/>
              <w:jc w:val="center"/>
              <w:rPr>
                <w:rFonts w:ascii="Arial" w:hAnsi="Arial" w:cs="Arial"/>
                <w:sz w:val="20"/>
              </w:rPr>
            </w:pPr>
            <w:r>
              <w:rPr>
                <w:rFonts w:ascii="Arial" w:hAnsi="Arial" w:cs="Arial"/>
                <w:sz w:val="20"/>
              </w:rPr>
              <w:t>6</w:t>
            </w:r>
            <w:r w:rsidR="00417D9A">
              <w:rPr>
                <w:rFonts w:ascii="Arial" w:hAnsi="Arial" w:cs="Arial"/>
                <w:sz w:val="20"/>
              </w:rPr>
              <w:t>,</w:t>
            </w:r>
            <w:r>
              <w:rPr>
                <w:rFonts w:ascii="Arial" w:hAnsi="Arial" w:cs="Arial"/>
                <w:sz w:val="20"/>
              </w:rPr>
              <w:t>0</w:t>
            </w:r>
            <w:r w:rsidR="00C57C7D">
              <w:rPr>
                <w:rFonts w:ascii="Arial" w:hAnsi="Arial" w:cs="Arial"/>
                <w:sz w:val="20"/>
              </w:rPr>
              <w:t>8</w:t>
            </w:r>
          </w:p>
        </w:tc>
        <w:tc>
          <w:tcPr>
            <w:tcW w:w="348" w:type="pct"/>
            <w:vAlign w:val="center"/>
          </w:tcPr>
          <w:p w14:paraId="75E048C2" w14:textId="4868310C" w:rsidR="00D5428A" w:rsidRDefault="00D5428A" w:rsidP="00D5428A">
            <w:pPr>
              <w:pStyle w:val="Paragraph"/>
              <w:numPr>
                <w:ilvl w:val="0"/>
                <w:numId w:val="0"/>
              </w:numPr>
              <w:spacing w:before="20" w:after="20"/>
              <w:jc w:val="center"/>
              <w:rPr>
                <w:rFonts w:ascii="Arial" w:hAnsi="Arial" w:cs="Arial"/>
                <w:sz w:val="20"/>
                <w:lang w:val="es-419" w:eastAsia="zh-CN"/>
              </w:rPr>
            </w:pPr>
            <w:r>
              <w:rPr>
                <w:rFonts w:ascii="Arial" w:hAnsi="Arial" w:cs="Arial"/>
                <w:sz w:val="20"/>
                <w:lang w:val="es-419" w:eastAsia="zh-CN"/>
              </w:rPr>
              <w:t>2023</w:t>
            </w:r>
          </w:p>
        </w:tc>
        <w:tc>
          <w:tcPr>
            <w:tcW w:w="1250" w:type="pct"/>
            <w:vAlign w:val="center"/>
          </w:tcPr>
          <w:p w14:paraId="38541F8E" w14:textId="602E6376" w:rsidR="00D5428A" w:rsidRPr="00E44702" w:rsidRDefault="00D5428A" w:rsidP="00D5428A">
            <w:pPr>
              <w:pStyle w:val="Paragraph"/>
              <w:numPr>
                <w:ilvl w:val="0"/>
                <w:numId w:val="0"/>
              </w:numPr>
              <w:spacing w:before="20" w:after="20"/>
              <w:jc w:val="center"/>
              <w:rPr>
                <w:rFonts w:ascii="Arial" w:hAnsi="Arial" w:cs="Arial"/>
                <w:sz w:val="20"/>
              </w:rPr>
            </w:pPr>
            <w:r w:rsidRPr="00E44702">
              <w:rPr>
                <w:rFonts w:ascii="Arial" w:hAnsi="Arial" w:cs="Arial"/>
                <w:sz w:val="20"/>
              </w:rPr>
              <w:t>Informe anual preparado por el Servicio de Rentas Internas (SRI).</w:t>
            </w:r>
          </w:p>
        </w:tc>
        <w:tc>
          <w:tcPr>
            <w:tcW w:w="522" w:type="pct"/>
            <w:vAlign w:val="center"/>
          </w:tcPr>
          <w:p w14:paraId="0E4B65C7" w14:textId="1761E517" w:rsidR="00D5428A" w:rsidRDefault="00D5428A" w:rsidP="00D5428A">
            <w:pPr>
              <w:pStyle w:val="Paragraph"/>
              <w:numPr>
                <w:ilvl w:val="0"/>
                <w:numId w:val="0"/>
              </w:numPr>
              <w:spacing w:before="20" w:after="20"/>
              <w:jc w:val="center"/>
              <w:rPr>
                <w:rFonts w:ascii="Arial" w:hAnsi="Arial" w:cs="Arial"/>
                <w:sz w:val="20"/>
              </w:rPr>
            </w:pPr>
            <w:r>
              <w:rPr>
                <w:rFonts w:ascii="Arial" w:hAnsi="Arial" w:cs="Arial"/>
                <w:sz w:val="20"/>
              </w:rPr>
              <w:t>Anual</w:t>
            </w:r>
          </w:p>
        </w:tc>
        <w:tc>
          <w:tcPr>
            <w:tcW w:w="496" w:type="pct"/>
            <w:vAlign w:val="center"/>
          </w:tcPr>
          <w:p w14:paraId="7D8C38F0" w14:textId="219E733B" w:rsidR="00D5428A" w:rsidRDefault="00D5428A" w:rsidP="00D5428A">
            <w:pPr>
              <w:pStyle w:val="Paragraph"/>
              <w:numPr>
                <w:ilvl w:val="0"/>
                <w:numId w:val="0"/>
              </w:numPr>
              <w:spacing w:before="20" w:after="20"/>
              <w:jc w:val="center"/>
              <w:rPr>
                <w:rFonts w:ascii="Arial" w:hAnsi="Arial" w:cs="Arial"/>
                <w:sz w:val="20"/>
              </w:rPr>
            </w:pPr>
            <w:r>
              <w:rPr>
                <w:rFonts w:ascii="Arial" w:hAnsi="Arial" w:cs="Arial"/>
                <w:sz w:val="20"/>
              </w:rPr>
              <w:t>Antes y después</w:t>
            </w:r>
          </w:p>
        </w:tc>
      </w:tr>
    </w:tbl>
    <w:p w14:paraId="628CD553" w14:textId="77777777" w:rsidR="00155EEA" w:rsidRDefault="00155EEA">
      <w:pPr>
        <w:rPr>
          <w:lang w:val="es-ES"/>
        </w:rPr>
        <w:sectPr w:rsidR="00155EEA">
          <w:pgSz w:w="15840" w:h="12240" w:orient="landscape" w:code="1"/>
          <w:pgMar w:top="1800" w:right="1440" w:bottom="1800" w:left="1440" w:header="706" w:footer="706" w:gutter="0"/>
          <w:cols w:space="720"/>
          <w:formProt w:val="0"/>
          <w:titlePg/>
        </w:sectPr>
      </w:pPr>
    </w:p>
    <w:p w14:paraId="25DCDA14" w14:textId="58847142" w:rsidR="00155EEA" w:rsidRDefault="00C2392C" w:rsidP="006930D9">
      <w:pPr>
        <w:pStyle w:val="Paragraph"/>
        <w:tabs>
          <w:tab w:val="clear" w:pos="2448"/>
        </w:tabs>
        <w:spacing w:after="0"/>
        <w:ind w:left="720" w:hanging="756"/>
        <w:rPr>
          <w:rFonts w:ascii="Arial" w:hAnsi="Arial" w:cs="Arial"/>
          <w:sz w:val="22"/>
          <w:szCs w:val="22"/>
        </w:rPr>
      </w:pPr>
      <w:r>
        <w:rPr>
          <w:rFonts w:ascii="Arial" w:hAnsi="Arial" w:cs="Arial"/>
          <w:sz w:val="22"/>
          <w:szCs w:val="22"/>
        </w:rPr>
        <w:lastRenderedPageBreak/>
        <w:t>Para la evaluación ex</w:t>
      </w:r>
      <w:r w:rsidR="00CE4F09">
        <w:rPr>
          <w:rFonts w:ascii="Arial" w:hAnsi="Arial" w:cs="Arial"/>
          <w:sz w:val="22"/>
          <w:szCs w:val="22"/>
        </w:rPr>
        <w:t xml:space="preserve"> </w:t>
      </w:r>
      <w:r>
        <w:rPr>
          <w:rFonts w:ascii="Arial" w:hAnsi="Arial" w:cs="Arial"/>
          <w:sz w:val="22"/>
          <w:szCs w:val="22"/>
        </w:rPr>
        <w:t xml:space="preserve">post, las principales preguntas están referidas a si las reformas introducidas lograron el impacto deseado en términos </w:t>
      </w:r>
      <w:r w:rsidR="002E3B35" w:rsidRPr="00504BCD">
        <w:rPr>
          <w:rFonts w:ascii="Arial" w:hAnsi="Arial" w:cs="Arial"/>
          <w:sz w:val="22"/>
          <w:szCs w:val="22"/>
        </w:rPr>
        <w:t xml:space="preserve">de </w:t>
      </w:r>
      <w:r w:rsidRPr="00504BCD">
        <w:rPr>
          <w:rFonts w:ascii="Arial" w:hAnsi="Arial" w:cs="Arial"/>
          <w:sz w:val="22"/>
          <w:szCs w:val="22"/>
        </w:rPr>
        <w:t xml:space="preserve">fortalecer la sostenibilidad </w:t>
      </w:r>
      <w:r w:rsidRPr="00911B23">
        <w:rPr>
          <w:rFonts w:ascii="Arial" w:hAnsi="Arial" w:cs="Arial"/>
          <w:sz w:val="22"/>
          <w:szCs w:val="22"/>
        </w:rPr>
        <w:t xml:space="preserve">fiscal. Asimismo, se </w:t>
      </w:r>
      <w:r w:rsidR="00486375" w:rsidRPr="00911B23">
        <w:rPr>
          <w:rFonts w:ascii="Arial" w:hAnsi="Arial" w:cs="Arial"/>
          <w:sz w:val="22"/>
          <w:szCs w:val="22"/>
        </w:rPr>
        <w:t xml:space="preserve">realizará una evaluación </w:t>
      </w:r>
      <w:r w:rsidR="003D0515" w:rsidRPr="00911B23">
        <w:rPr>
          <w:rFonts w:ascii="Arial" w:hAnsi="Arial" w:cs="Arial"/>
          <w:sz w:val="22"/>
          <w:szCs w:val="22"/>
        </w:rPr>
        <w:t>económica</w:t>
      </w:r>
      <w:r w:rsidR="00486375" w:rsidRPr="00911B23">
        <w:rPr>
          <w:rFonts w:ascii="Arial" w:hAnsi="Arial" w:cs="Arial"/>
          <w:sz w:val="22"/>
          <w:szCs w:val="22"/>
        </w:rPr>
        <w:t xml:space="preserve"> </w:t>
      </w:r>
      <w:r w:rsidR="00911B23" w:rsidRPr="00911B23">
        <w:rPr>
          <w:rFonts w:ascii="Arial" w:hAnsi="Arial" w:cs="Arial"/>
          <w:sz w:val="22"/>
          <w:szCs w:val="22"/>
        </w:rPr>
        <w:t>para identificar el</w:t>
      </w:r>
      <w:r w:rsidR="00F856C0" w:rsidRPr="00911B23">
        <w:rPr>
          <w:rFonts w:ascii="Arial" w:hAnsi="Arial" w:cs="Arial"/>
          <w:sz w:val="22"/>
          <w:szCs w:val="22"/>
        </w:rPr>
        <w:t xml:space="preserve"> </w:t>
      </w:r>
      <w:r w:rsidR="00FB7B8C">
        <w:rPr>
          <w:rFonts w:ascii="Arial" w:hAnsi="Arial" w:cs="Arial"/>
          <w:sz w:val="22"/>
          <w:szCs w:val="22"/>
        </w:rPr>
        <w:t>beneficio financiero</w:t>
      </w:r>
      <w:r w:rsidR="00911B23" w:rsidRPr="00911B23">
        <w:rPr>
          <w:rFonts w:ascii="Arial" w:hAnsi="Arial" w:cs="Arial"/>
          <w:sz w:val="22"/>
          <w:szCs w:val="22"/>
        </w:rPr>
        <w:t xml:space="preserve"> obtenido como resultado </w:t>
      </w:r>
      <w:r w:rsidR="00486375" w:rsidRPr="00911B23">
        <w:rPr>
          <w:rFonts w:ascii="Arial" w:hAnsi="Arial" w:cs="Arial"/>
          <w:sz w:val="22"/>
          <w:szCs w:val="22"/>
        </w:rPr>
        <w:t>de</w:t>
      </w:r>
      <w:r w:rsidRPr="00911B23">
        <w:rPr>
          <w:rFonts w:ascii="Arial" w:hAnsi="Arial" w:cs="Arial"/>
          <w:sz w:val="22"/>
          <w:szCs w:val="22"/>
        </w:rPr>
        <w:t xml:space="preserve"> </w:t>
      </w:r>
      <w:r w:rsidR="00DA460D" w:rsidRPr="00911B23">
        <w:rPr>
          <w:rFonts w:ascii="Arial" w:hAnsi="Arial" w:cs="Arial"/>
          <w:sz w:val="22"/>
          <w:szCs w:val="22"/>
        </w:rPr>
        <w:t xml:space="preserve">las reformas </w:t>
      </w:r>
      <w:r w:rsidR="00B71BCA" w:rsidRPr="00911B23">
        <w:rPr>
          <w:rFonts w:ascii="Arial" w:hAnsi="Arial" w:cs="Arial"/>
          <w:sz w:val="22"/>
          <w:szCs w:val="22"/>
        </w:rPr>
        <w:t>del Programa</w:t>
      </w:r>
      <w:r w:rsidRPr="00911B23">
        <w:rPr>
          <w:rFonts w:ascii="Arial" w:hAnsi="Arial" w:cs="Arial"/>
          <w:sz w:val="22"/>
          <w:szCs w:val="22"/>
        </w:rPr>
        <w:t>.</w:t>
      </w:r>
    </w:p>
    <w:p w14:paraId="24A6F83A" w14:textId="77777777" w:rsidR="00155EEA" w:rsidRPr="00CE1FD6" w:rsidRDefault="00C2392C">
      <w:pPr>
        <w:pStyle w:val="FirstHeading"/>
        <w:spacing w:before="240" w:after="0"/>
        <w:rPr>
          <w:rFonts w:ascii="Arial" w:hAnsi="Arial" w:cs="Arial"/>
          <w:noProof/>
          <w:sz w:val="22"/>
          <w:szCs w:val="22"/>
        </w:rPr>
      </w:pPr>
      <w:bookmarkStart w:id="12" w:name="_Toc508105582"/>
      <w:r>
        <w:rPr>
          <w:rFonts w:ascii="Arial" w:hAnsi="Arial" w:cs="Arial"/>
          <w:sz w:val="22"/>
          <w:szCs w:val="22"/>
        </w:rPr>
        <w:t>B.</w:t>
      </w:r>
      <w:r>
        <w:rPr>
          <w:rFonts w:ascii="Arial" w:hAnsi="Arial" w:cs="Arial"/>
          <w:sz w:val="22"/>
          <w:szCs w:val="22"/>
        </w:rPr>
        <w:tab/>
      </w:r>
      <w:r w:rsidRPr="00CE1FD6">
        <w:rPr>
          <w:rFonts w:ascii="Arial" w:hAnsi="Arial" w:cs="Arial"/>
          <w:sz w:val="22"/>
          <w:szCs w:val="22"/>
        </w:rPr>
        <w:t>Conocimiento Existente</w:t>
      </w:r>
      <w:bookmarkEnd w:id="12"/>
    </w:p>
    <w:p w14:paraId="348D7D12" w14:textId="64C9130F" w:rsidR="00155EEA" w:rsidRPr="00845EED" w:rsidRDefault="00C2392C" w:rsidP="006930D9">
      <w:pPr>
        <w:pStyle w:val="Paragraph"/>
        <w:tabs>
          <w:tab w:val="clear" w:pos="2448"/>
        </w:tabs>
        <w:spacing w:after="0"/>
        <w:ind w:left="720" w:hanging="756"/>
        <w:rPr>
          <w:rFonts w:ascii="Arial" w:hAnsi="Arial" w:cs="Arial"/>
          <w:sz w:val="22"/>
          <w:szCs w:val="22"/>
        </w:rPr>
      </w:pPr>
      <w:r w:rsidRPr="00CE1FD6">
        <w:rPr>
          <w:rFonts w:ascii="Arial" w:hAnsi="Arial" w:cs="Arial"/>
          <w:sz w:val="22"/>
          <w:szCs w:val="22"/>
        </w:rPr>
        <w:t xml:space="preserve">Existen diversos análisis que dan </w:t>
      </w:r>
      <w:r w:rsidRPr="00757511">
        <w:rPr>
          <w:rFonts w:ascii="Arial" w:hAnsi="Arial" w:cs="Arial"/>
          <w:sz w:val="22"/>
          <w:szCs w:val="22"/>
        </w:rPr>
        <w:t xml:space="preserve">cuenta de </w:t>
      </w:r>
      <w:r w:rsidR="002347F8" w:rsidRPr="00757511">
        <w:rPr>
          <w:rFonts w:ascii="Arial" w:hAnsi="Arial" w:cs="Arial"/>
          <w:sz w:val="22"/>
          <w:szCs w:val="22"/>
        </w:rPr>
        <w:t xml:space="preserve">opciones para </w:t>
      </w:r>
      <w:r w:rsidR="00757511" w:rsidRPr="00757511">
        <w:rPr>
          <w:rFonts w:ascii="Arial" w:hAnsi="Arial" w:cs="Arial"/>
          <w:sz w:val="22"/>
          <w:szCs w:val="22"/>
        </w:rPr>
        <w:t>fortalecer la gestión macro-fiscal de Ecuador, mejorar la calidad y eficiencia del gasto, y mejorar la eficiencia y transparencia de política y la gestión tributaria</w:t>
      </w:r>
      <w:r w:rsidR="00063C06" w:rsidRPr="00845EED">
        <w:rPr>
          <w:rFonts w:ascii="Arial" w:hAnsi="Arial" w:cs="Arial"/>
          <w:sz w:val="22"/>
          <w:szCs w:val="22"/>
        </w:rPr>
        <w:t xml:space="preserve">. </w:t>
      </w:r>
      <w:r w:rsidRPr="00845EED">
        <w:rPr>
          <w:rFonts w:ascii="Arial" w:hAnsi="Arial" w:cs="Arial"/>
          <w:sz w:val="22"/>
          <w:szCs w:val="22"/>
          <w:lang w:val="es-AR"/>
        </w:rPr>
        <w:t xml:space="preserve">En lo referente a las medidas </w:t>
      </w:r>
      <w:r w:rsidR="00CA1B54" w:rsidRPr="00845EED">
        <w:rPr>
          <w:rFonts w:ascii="Arial" w:hAnsi="Arial" w:cs="Arial"/>
          <w:sz w:val="22"/>
          <w:szCs w:val="22"/>
          <w:lang w:val="es-AR"/>
        </w:rPr>
        <w:t xml:space="preserve">específicas </w:t>
      </w:r>
      <w:r w:rsidRPr="00845EED">
        <w:rPr>
          <w:rFonts w:ascii="Arial" w:hAnsi="Arial" w:cs="Arial"/>
          <w:sz w:val="22"/>
          <w:szCs w:val="22"/>
          <w:lang w:val="es-AR"/>
        </w:rPr>
        <w:t xml:space="preserve">propuestas para </w:t>
      </w:r>
      <w:r w:rsidR="00CA1B54" w:rsidRPr="00845EED">
        <w:rPr>
          <w:rFonts w:ascii="Arial" w:hAnsi="Arial" w:cs="Arial"/>
          <w:sz w:val="22"/>
          <w:szCs w:val="22"/>
          <w:lang w:val="es-AR"/>
        </w:rPr>
        <w:t xml:space="preserve">el presente proyecto, a </w:t>
      </w:r>
      <w:r w:rsidR="00CE4F09" w:rsidRPr="00845EED">
        <w:rPr>
          <w:rFonts w:ascii="Arial" w:hAnsi="Arial" w:cs="Arial"/>
          <w:sz w:val="22"/>
          <w:szCs w:val="22"/>
          <w:lang w:val="es-AR"/>
        </w:rPr>
        <w:t>continuación,</w:t>
      </w:r>
      <w:r w:rsidRPr="00845EED">
        <w:rPr>
          <w:rFonts w:ascii="Arial" w:hAnsi="Arial" w:cs="Arial"/>
          <w:sz w:val="22"/>
          <w:szCs w:val="22"/>
          <w:lang w:val="es-AR"/>
        </w:rPr>
        <w:t xml:space="preserve"> se describe</w:t>
      </w:r>
      <w:r w:rsidR="00CA1B54" w:rsidRPr="00845EED">
        <w:rPr>
          <w:rFonts w:ascii="Arial" w:hAnsi="Arial" w:cs="Arial"/>
          <w:sz w:val="22"/>
          <w:szCs w:val="22"/>
          <w:lang w:val="es-AR"/>
        </w:rPr>
        <w:t xml:space="preserve"> conocimiento y la </w:t>
      </w:r>
      <w:r w:rsidRPr="00845EED">
        <w:rPr>
          <w:rFonts w:ascii="Arial" w:hAnsi="Arial" w:cs="Arial"/>
          <w:sz w:val="22"/>
          <w:szCs w:val="22"/>
          <w:lang w:val="es-AR"/>
        </w:rPr>
        <w:t xml:space="preserve">evidencia </w:t>
      </w:r>
      <w:r w:rsidR="00CA1B54" w:rsidRPr="00845EED">
        <w:rPr>
          <w:rFonts w:ascii="Arial" w:hAnsi="Arial" w:cs="Arial"/>
          <w:sz w:val="22"/>
          <w:szCs w:val="22"/>
          <w:lang w:val="es-AR"/>
        </w:rPr>
        <w:t xml:space="preserve">referidos a </w:t>
      </w:r>
      <w:r w:rsidRPr="00845EED">
        <w:rPr>
          <w:rFonts w:ascii="Arial" w:hAnsi="Arial" w:cs="Arial"/>
          <w:sz w:val="22"/>
          <w:szCs w:val="22"/>
          <w:lang w:val="es-AR"/>
        </w:rPr>
        <w:t>las distintas áreas de intervención.</w:t>
      </w:r>
    </w:p>
    <w:p w14:paraId="6B9DB6B1" w14:textId="6FEAF1D6" w:rsidR="00ED366E" w:rsidRPr="00ED366E" w:rsidRDefault="00E46789" w:rsidP="006930D9">
      <w:pPr>
        <w:pStyle w:val="Paragraph"/>
        <w:tabs>
          <w:tab w:val="clear" w:pos="2448"/>
        </w:tabs>
        <w:spacing w:after="0"/>
        <w:ind w:left="720" w:hanging="756"/>
        <w:rPr>
          <w:rFonts w:ascii="Arial" w:hAnsi="Arial" w:cs="Arial"/>
          <w:color w:val="FF0000"/>
          <w:sz w:val="22"/>
          <w:szCs w:val="22"/>
        </w:rPr>
      </w:pPr>
      <w:r w:rsidRPr="00ED366E">
        <w:rPr>
          <w:rFonts w:ascii="Arial" w:hAnsi="Arial" w:cs="Arial"/>
          <w:b/>
          <w:sz w:val="22"/>
          <w:szCs w:val="22"/>
        </w:rPr>
        <w:t>Gestión macro-fiscal.</w:t>
      </w:r>
      <w:r w:rsidR="009027B3">
        <w:rPr>
          <w:rFonts w:ascii="Arial" w:hAnsi="Arial" w:cs="Arial"/>
          <w:sz w:val="22"/>
          <w:szCs w:val="22"/>
        </w:rPr>
        <w:t xml:space="preserve"> </w:t>
      </w:r>
      <w:r w:rsidR="00AF1494">
        <w:rPr>
          <w:rFonts w:ascii="Arial" w:hAnsi="Arial" w:cs="Arial"/>
          <w:sz w:val="22"/>
          <w:szCs w:val="22"/>
        </w:rPr>
        <w:t>La presente operación se enfoca en</w:t>
      </w:r>
      <w:r w:rsidR="00152AD0">
        <w:rPr>
          <w:rFonts w:ascii="Arial" w:hAnsi="Arial" w:cs="Arial"/>
          <w:sz w:val="22"/>
          <w:szCs w:val="22"/>
        </w:rPr>
        <w:t xml:space="preserve"> el </w:t>
      </w:r>
      <w:r w:rsidR="00152AD0" w:rsidRPr="00152AD0">
        <w:rPr>
          <w:rFonts w:ascii="Arial" w:hAnsi="Arial" w:cs="Arial"/>
          <w:sz w:val="22"/>
          <w:szCs w:val="22"/>
        </w:rPr>
        <w:t>fortalec</w:t>
      </w:r>
      <w:r w:rsidR="00152AD0">
        <w:rPr>
          <w:rFonts w:ascii="Arial" w:hAnsi="Arial" w:cs="Arial"/>
          <w:sz w:val="22"/>
          <w:szCs w:val="22"/>
        </w:rPr>
        <w:t>imiento</w:t>
      </w:r>
      <w:r w:rsidR="00152AD0" w:rsidRPr="00152AD0">
        <w:rPr>
          <w:rFonts w:ascii="Arial" w:hAnsi="Arial" w:cs="Arial"/>
          <w:sz w:val="22"/>
          <w:szCs w:val="22"/>
        </w:rPr>
        <w:t xml:space="preserve"> </w:t>
      </w:r>
      <w:r w:rsidR="00152AD0">
        <w:rPr>
          <w:rFonts w:ascii="Arial" w:hAnsi="Arial" w:cs="Arial"/>
          <w:sz w:val="22"/>
          <w:szCs w:val="22"/>
        </w:rPr>
        <w:t>d</w:t>
      </w:r>
      <w:r w:rsidR="00152AD0" w:rsidRPr="00152AD0">
        <w:rPr>
          <w:rFonts w:ascii="Arial" w:hAnsi="Arial" w:cs="Arial"/>
          <w:sz w:val="22"/>
          <w:szCs w:val="22"/>
        </w:rPr>
        <w:t xml:space="preserve">el marco de responsabilidad fiscal </w:t>
      </w:r>
      <w:r w:rsidR="003F20E7">
        <w:rPr>
          <w:rFonts w:ascii="Arial" w:hAnsi="Arial" w:cs="Arial"/>
          <w:sz w:val="22"/>
          <w:szCs w:val="22"/>
        </w:rPr>
        <w:t>y la transparencia de las estadísticas de deuda pública</w:t>
      </w:r>
      <w:r w:rsidR="00152AD0" w:rsidRPr="00152AD0">
        <w:rPr>
          <w:rFonts w:ascii="Arial" w:hAnsi="Arial" w:cs="Arial"/>
          <w:sz w:val="22"/>
          <w:szCs w:val="22"/>
        </w:rPr>
        <w:t>.</w:t>
      </w:r>
      <w:r w:rsidR="009027B3">
        <w:rPr>
          <w:rFonts w:ascii="Arial" w:hAnsi="Arial" w:cs="Arial"/>
          <w:sz w:val="22"/>
          <w:szCs w:val="22"/>
        </w:rPr>
        <w:t xml:space="preserve"> </w:t>
      </w:r>
      <w:r w:rsidRPr="00B95768">
        <w:rPr>
          <w:rFonts w:ascii="Arial" w:hAnsi="Arial" w:cs="Arial"/>
          <w:sz w:val="22"/>
          <w:szCs w:val="22"/>
        </w:rPr>
        <w:t xml:space="preserve">La evidencia del impacto de la eficiente </w:t>
      </w:r>
      <w:r w:rsidRPr="00940A4A">
        <w:rPr>
          <w:rFonts w:ascii="Arial" w:hAnsi="Arial" w:cs="Arial"/>
          <w:sz w:val="22"/>
          <w:szCs w:val="22"/>
        </w:rPr>
        <w:t>gestión</w:t>
      </w:r>
      <w:r w:rsidRPr="00B95768">
        <w:rPr>
          <w:rFonts w:ascii="Arial" w:hAnsi="Arial" w:cs="Arial"/>
          <w:sz w:val="22"/>
          <w:szCs w:val="22"/>
        </w:rPr>
        <w:t xml:space="preserve"> fiscal en el crecimiento es a</w:t>
      </w:r>
      <w:r>
        <w:rPr>
          <w:rFonts w:ascii="Arial" w:hAnsi="Arial" w:cs="Arial"/>
          <w:sz w:val="22"/>
          <w:szCs w:val="22"/>
        </w:rPr>
        <w:t>m</w:t>
      </w:r>
      <w:r w:rsidRPr="00B95768">
        <w:rPr>
          <w:rFonts w:ascii="Arial" w:hAnsi="Arial" w:cs="Arial"/>
          <w:sz w:val="22"/>
          <w:szCs w:val="22"/>
        </w:rPr>
        <w:t>plia</w:t>
      </w:r>
      <w:r>
        <w:rPr>
          <w:rStyle w:val="FootnoteReference"/>
          <w:rFonts w:ascii="Arial" w:hAnsi="Arial" w:cs="Arial"/>
          <w:sz w:val="22"/>
          <w:szCs w:val="22"/>
        </w:rPr>
        <w:footnoteReference w:id="4"/>
      </w:r>
      <w:r>
        <w:rPr>
          <w:rFonts w:ascii="Arial" w:hAnsi="Arial" w:cs="Arial"/>
          <w:sz w:val="22"/>
          <w:szCs w:val="22"/>
        </w:rPr>
        <w:t xml:space="preserve">, materializada a través de múltiples canales (incremento </w:t>
      </w:r>
      <w:r w:rsidR="00081894">
        <w:rPr>
          <w:rFonts w:ascii="Arial" w:hAnsi="Arial" w:cs="Arial"/>
          <w:sz w:val="22"/>
          <w:szCs w:val="22"/>
        </w:rPr>
        <w:t xml:space="preserve">del </w:t>
      </w:r>
      <w:r>
        <w:rPr>
          <w:rFonts w:ascii="Arial" w:hAnsi="Arial" w:cs="Arial"/>
          <w:sz w:val="22"/>
          <w:szCs w:val="22"/>
        </w:rPr>
        <w:t xml:space="preserve">ahorro </w:t>
      </w:r>
      <w:r w:rsidR="00081894">
        <w:rPr>
          <w:rFonts w:ascii="Arial" w:hAnsi="Arial" w:cs="Arial"/>
          <w:sz w:val="22"/>
          <w:szCs w:val="22"/>
        </w:rPr>
        <w:t>y la</w:t>
      </w:r>
      <w:r>
        <w:rPr>
          <w:rFonts w:ascii="Arial" w:hAnsi="Arial" w:cs="Arial"/>
          <w:sz w:val="22"/>
          <w:szCs w:val="22"/>
        </w:rPr>
        <w:t xml:space="preserve"> inversión, cambio en incentivos de los agentes económicos, etc.). Más recientemente, la literatura se ha centrado en los efectos del endeudamiento público en el crecimiento (a través del incremento en los tipos de interés debido al aumento del riesgo soberano, en el impacto de las medidas de ajuste en recorte de gasto). A pesar de que dicha relación no es lineal</w:t>
      </w:r>
      <w:r>
        <w:rPr>
          <w:rStyle w:val="FootnoteReference"/>
          <w:rFonts w:ascii="Arial" w:hAnsi="Arial" w:cs="Arial"/>
          <w:sz w:val="22"/>
          <w:szCs w:val="22"/>
        </w:rPr>
        <w:footnoteReference w:id="5"/>
      </w:r>
      <w:r>
        <w:rPr>
          <w:rFonts w:ascii="Arial" w:hAnsi="Arial" w:cs="Arial"/>
          <w:sz w:val="22"/>
          <w:szCs w:val="22"/>
        </w:rPr>
        <w:t>, existe evidencia de que niveles de endeudamiento mayores al 60% para economías en desarrollo pueden acercar a las mismas a niveles de insolvencia</w:t>
      </w:r>
      <w:r>
        <w:rPr>
          <w:rStyle w:val="FootnoteReference"/>
          <w:rFonts w:ascii="Arial" w:hAnsi="Arial" w:cs="Arial"/>
          <w:sz w:val="22"/>
          <w:szCs w:val="22"/>
        </w:rPr>
        <w:footnoteReference w:id="6"/>
      </w:r>
      <w:r>
        <w:rPr>
          <w:rFonts w:ascii="Arial" w:hAnsi="Arial" w:cs="Arial"/>
          <w:sz w:val="22"/>
          <w:szCs w:val="22"/>
        </w:rPr>
        <w:t>, lo que, a su vez, tendría efectos</w:t>
      </w:r>
      <w:r w:rsidR="00081894">
        <w:rPr>
          <w:rFonts w:ascii="Arial" w:hAnsi="Arial" w:cs="Arial"/>
          <w:sz w:val="22"/>
          <w:szCs w:val="22"/>
        </w:rPr>
        <w:t xml:space="preserve"> negativos</w:t>
      </w:r>
      <w:r>
        <w:rPr>
          <w:rFonts w:ascii="Arial" w:hAnsi="Arial" w:cs="Arial"/>
          <w:sz w:val="22"/>
          <w:szCs w:val="22"/>
        </w:rPr>
        <w:t xml:space="preserve"> sobre el crecimiento. De igual manera, </w:t>
      </w:r>
      <w:r w:rsidR="00081894">
        <w:rPr>
          <w:rFonts w:ascii="Arial" w:hAnsi="Arial" w:cs="Arial"/>
          <w:sz w:val="22"/>
          <w:szCs w:val="22"/>
        </w:rPr>
        <w:t xml:space="preserve">los </w:t>
      </w:r>
      <w:r>
        <w:rPr>
          <w:rFonts w:ascii="Arial" w:hAnsi="Arial" w:cs="Arial"/>
          <w:sz w:val="22"/>
          <w:szCs w:val="22"/>
        </w:rPr>
        <w:t>marcos fiscales definidos a través de reglas numéricas pueden reducir los niveles de prociclicidad de la política fiscal</w:t>
      </w:r>
      <w:r>
        <w:rPr>
          <w:rStyle w:val="FootnoteReference"/>
          <w:rFonts w:ascii="Arial" w:hAnsi="Arial" w:cs="Arial"/>
          <w:sz w:val="22"/>
          <w:szCs w:val="22"/>
        </w:rPr>
        <w:footnoteReference w:id="7"/>
      </w:r>
      <w:r w:rsidR="00081894">
        <w:rPr>
          <w:rFonts w:ascii="Arial" w:hAnsi="Arial" w:cs="Arial"/>
          <w:sz w:val="22"/>
          <w:szCs w:val="22"/>
        </w:rPr>
        <w:t xml:space="preserve"> y </w:t>
      </w:r>
      <w:r>
        <w:rPr>
          <w:rFonts w:ascii="Arial" w:hAnsi="Arial" w:cs="Arial"/>
          <w:sz w:val="22"/>
          <w:szCs w:val="22"/>
        </w:rPr>
        <w:t>contribuir a reducir los déficits fiscales y</w:t>
      </w:r>
      <w:r w:rsidR="00081894">
        <w:rPr>
          <w:rFonts w:ascii="Arial" w:hAnsi="Arial" w:cs="Arial"/>
          <w:sz w:val="22"/>
          <w:szCs w:val="22"/>
        </w:rPr>
        <w:t xml:space="preserve">, por ende, </w:t>
      </w:r>
      <w:r>
        <w:rPr>
          <w:rFonts w:ascii="Arial" w:hAnsi="Arial" w:cs="Arial"/>
          <w:sz w:val="22"/>
          <w:szCs w:val="22"/>
        </w:rPr>
        <w:t>a la sostenibilidad</w:t>
      </w:r>
      <w:r>
        <w:rPr>
          <w:rStyle w:val="FootnoteReference"/>
          <w:rFonts w:ascii="Arial" w:hAnsi="Arial" w:cs="Arial"/>
          <w:sz w:val="22"/>
          <w:szCs w:val="22"/>
        </w:rPr>
        <w:footnoteReference w:id="8"/>
      </w:r>
      <w:r>
        <w:rPr>
          <w:rFonts w:ascii="Arial" w:hAnsi="Arial" w:cs="Arial"/>
          <w:sz w:val="22"/>
          <w:szCs w:val="22"/>
        </w:rPr>
        <w:t>.</w:t>
      </w:r>
    </w:p>
    <w:p w14:paraId="445C3C81" w14:textId="4C2E652D" w:rsidR="00CD1077" w:rsidRPr="00CD1077" w:rsidRDefault="00ED366E" w:rsidP="006930D9">
      <w:pPr>
        <w:pStyle w:val="Paragraph"/>
        <w:tabs>
          <w:tab w:val="clear" w:pos="2448"/>
        </w:tabs>
        <w:spacing w:after="0"/>
        <w:ind w:left="720" w:hanging="756"/>
        <w:rPr>
          <w:rFonts w:ascii="Arial" w:hAnsi="Arial" w:cs="Arial"/>
          <w:color w:val="FF0000"/>
          <w:sz w:val="22"/>
          <w:szCs w:val="22"/>
        </w:rPr>
      </w:pPr>
      <w:r>
        <w:rPr>
          <w:rFonts w:ascii="Arial" w:hAnsi="Arial" w:cs="Arial"/>
          <w:b/>
          <w:sz w:val="22"/>
          <w:szCs w:val="22"/>
        </w:rPr>
        <w:t xml:space="preserve">Gestión del gasto </w:t>
      </w:r>
      <w:r w:rsidR="0031701D">
        <w:rPr>
          <w:rFonts w:ascii="Arial" w:hAnsi="Arial" w:cs="Arial"/>
          <w:b/>
          <w:sz w:val="22"/>
          <w:szCs w:val="22"/>
        </w:rPr>
        <w:t>y de la inversión pública</w:t>
      </w:r>
      <w:r>
        <w:rPr>
          <w:rFonts w:ascii="Arial" w:hAnsi="Arial" w:cs="Arial"/>
          <w:b/>
          <w:sz w:val="22"/>
          <w:szCs w:val="22"/>
        </w:rPr>
        <w:t>.</w:t>
      </w:r>
      <w:r w:rsidR="009027B3">
        <w:rPr>
          <w:rFonts w:ascii="Arial" w:hAnsi="Arial" w:cs="Arial"/>
          <w:sz w:val="22"/>
          <w:szCs w:val="22"/>
        </w:rPr>
        <w:t xml:space="preserve"> </w:t>
      </w:r>
      <w:r w:rsidR="009B1D45">
        <w:rPr>
          <w:rFonts w:ascii="Arial" w:hAnsi="Arial" w:cs="Arial"/>
          <w:sz w:val="22"/>
          <w:szCs w:val="22"/>
        </w:rPr>
        <w:t xml:space="preserve">La </w:t>
      </w:r>
      <w:r w:rsidR="0031701D">
        <w:rPr>
          <w:rFonts w:ascii="Arial" w:hAnsi="Arial" w:cs="Arial"/>
          <w:sz w:val="22"/>
          <w:szCs w:val="22"/>
        </w:rPr>
        <w:t>operación apoya la mejora en la calidad y eficiencia del gasto como componente importante para fortalecer la sostenibilidad fiscal.</w:t>
      </w:r>
      <w:r w:rsidR="009027B3">
        <w:rPr>
          <w:rFonts w:ascii="Arial" w:hAnsi="Arial" w:cs="Arial"/>
          <w:sz w:val="22"/>
          <w:szCs w:val="22"/>
        </w:rPr>
        <w:t xml:space="preserve"> </w:t>
      </w:r>
      <w:r w:rsidR="0031701D">
        <w:rPr>
          <w:rFonts w:ascii="Arial" w:hAnsi="Arial" w:cs="Arial"/>
          <w:sz w:val="22"/>
          <w:szCs w:val="22"/>
        </w:rPr>
        <w:t xml:space="preserve">La </w:t>
      </w:r>
      <w:r w:rsidR="009B1D45">
        <w:rPr>
          <w:rFonts w:ascii="Arial" w:hAnsi="Arial" w:cs="Arial"/>
          <w:sz w:val="22"/>
          <w:szCs w:val="22"/>
        </w:rPr>
        <w:t>evidencia reciente para la región apunta a que l</w:t>
      </w:r>
      <w:r w:rsidR="009B1D45" w:rsidRPr="009B1D45">
        <w:rPr>
          <w:rFonts w:ascii="Arial" w:hAnsi="Arial" w:cs="Arial"/>
          <w:sz w:val="22"/>
          <w:szCs w:val="22"/>
        </w:rPr>
        <w:t>os gobiernos de América Latina y el Caribe deben mejorar la política y la gestión del gasto, generando un gasto público inteligente que contribuya al crecimiento y a la equidad</w:t>
      </w:r>
      <w:r w:rsidR="002F5DCF">
        <w:rPr>
          <w:rFonts w:ascii="Arial" w:hAnsi="Arial" w:cs="Arial"/>
          <w:sz w:val="22"/>
          <w:szCs w:val="22"/>
        </w:rPr>
        <w:t>, pero tomando en cuenta la generación de ineficiencias técnicas y asignativas</w:t>
      </w:r>
      <w:r w:rsidR="002F5DCF">
        <w:rPr>
          <w:rStyle w:val="FootnoteReference"/>
          <w:rFonts w:ascii="Arial" w:hAnsi="Arial" w:cs="Arial"/>
          <w:sz w:val="22"/>
          <w:szCs w:val="22"/>
        </w:rPr>
        <w:footnoteReference w:id="9"/>
      </w:r>
      <w:r w:rsidR="009B1D45" w:rsidRPr="009B1D45">
        <w:rPr>
          <w:rFonts w:ascii="Arial" w:hAnsi="Arial" w:cs="Arial"/>
          <w:sz w:val="22"/>
          <w:szCs w:val="22"/>
        </w:rPr>
        <w:t>.</w:t>
      </w:r>
      <w:r>
        <w:rPr>
          <w:rFonts w:ascii="Arial" w:hAnsi="Arial" w:cs="Arial"/>
          <w:sz w:val="22"/>
          <w:szCs w:val="22"/>
        </w:rPr>
        <w:t xml:space="preserve"> </w:t>
      </w:r>
      <w:r w:rsidR="00471CBE">
        <w:rPr>
          <w:rFonts w:ascii="Arial" w:hAnsi="Arial" w:cs="Arial"/>
          <w:sz w:val="22"/>
          <w:szCs w:val="22"/>
        </w:rPr>
        <w:t xml:space="preserve">Para el caso de Ecuador, </w:t>
      </w:r>
      <w:r w:rsidR="00261753">
        <w:rPr>
          <w:rFonts w:ascii="Arial" w:hAnsi="Arial" w:cs="Arial"/>
          <w:sz w:val="22"/>
          <w:szCs w:val="22"/>
        </w:rPr>
        <w:t>se estima</w:t>
      </w:r>
      <w:r w:rsidR="00471CBE">
        <w:rPr>
          <w:rFonts w:ascii="Arial" w:hAnsi="Arial" w:cs="Arial"/>
          <w:sz w:val="22"/>
          <w:szCs w:val="22"/>
        </w:rPr>
        <w:t xml:space="preserve"> que las ineficiencias </w:t>
      </w:r>
      <w:r w:rsidR="00B92BA5">
        <w:rPr>
          <w:rFonts w:ascii="Arial" w:hAnsi="Arial" w:cs="Arial"/>
          <w:sz w:val="22"/>
          <w:szCs w:val="22"/>
        </w:rPr>
        <w:t xml:space="preserve">técnicas </w:t>
      </w:r>
      <w:r w:rsidR="00471CBE">
        <w:rPr>
          <w:rFonts w:ascii="Arial" w:hAnsi="Arial" w:cs="Arial"/>
          <w:sz w:val="22"/>
          <w:szCs w:val="22"/>
        </w:rPr>
        <w:t xml:space="preserve">en el gasto público </w:t>
      </w:r>
      <w:r w:rsidR="00261753">
        <w:rPr>
          <w:rFonts w:ascii="Arial" w:hAnsi="Arial" w:cs="Arial"/>
          <w:sz w:val="22"/>
          <w:szCs w:val="22"/>
        </w:rPr>
        <w:t>representan</w:t>
      </w:r>
      <w:r w:rsidR="00471CBE">
        <w:rPr>
          <w:rFonts w:ascii="Arial" w:hAnsi="Arial" w:cs="Arial"/>
          <w:sz w:val="22"/>
          <w:szCs w:val="22"/>
        </w:rPr>
        <w:t xml:space="preserve"> 7,1% del PIB</w:t>
      </w:r>
      <w:r w:rsidR="00261753">
        <w:rPr>
          <w:rFonts w:ascii="Arial" w:hAnsi="Arial" w:cs="Arial"/>
          <w:sz w:val="22"/>
          <w:szCs w:val="22"/>
        </w:rPr>
        <w:t>, lo cual equivale a aproximadamente 20% del total del gasto</w:t>
      </w:r>
      <w:r w:rsidR="00261753">
        <w:rPr>
          <w:rStyle w:val="FootnoteReference"/>
          <w:rFonts w:ascii="Arial" w:hAnsi="Arial" w:cs="Arial"/>
          <w:sz w:val="22"/>
          <w:szCs w:val="22"/>
        </w:rPr>
        <w:footnoteReference w:id="10"/>
      </w:r>
      <w:r w:rsidR="003A7718">
        <w:rPr>
          <w:rFonts w:ascii="Arial" w:hAnsi="Arial" w:cs="Arial"/>
          <w:sz w:val="22"/>
          <w:szCs w:val="22"/>
        </w:rPr>
        <w:t xml:space="preserve">, por lo que los retornos de políticas enfocadas en </w:t>
      </w:r>
      <w:r w:rsidR="00EA46FF">
        <w:rPr>
          <w:rFonts w:ascii="Arial" w:hAnsi="Arial" w:cs="Arial"/>
          <w:sz w:val="22"/>
          <w:szCs w:val="22"/>
        </w:rPr>
        <w:t>mejorar la calidad y eficiencia del gasto pueden ser significativos</w:t>
      </w:r>
      <w:r w:rsidR="0031701D">
        <w:rPr>
          <w:rFonts w:ascii="Arial" w:hAnsi="Arial" w:cs="Arial"/>
          <w:sz w:val="22"/>
          <w:szCs w:val="22"/>
        </w:rPr>
        <w:t>.</w:t>
      </w:r>
    </w:p>
    <w:p w14:paraId="7914EDE3" w14:textId="56988F3F" w:rsidR="00E46789" w:rsidRPr="00CD1077" w:rsidRDefault="00CD1077" w:rsidP="006930D9">
      <w:pPr>
        <w:pStyle w:val="Paragraph"/>
        <w:tabs>
          <w:tab w:val="clear" w:pos="2448"/>
        </w:tabs>
        <w:spacing w:after="0"/>
        <w:ind w:left="720" w:hanging="756"/>
        <w:rPr>
          <w:rFonts w:ascii="Arial" w:hAnsi="Arial" w:cs="Arial"/>
          <w:color w:val="FF0000"/>
          <w:sz w:val="22"/>
          <w:szCs w:val="22"/>
        </w:rPr>
      </w:pPr>
      <w:r>
        <w:rPr>
          <w:rFonts w:ascii="Arial" w:hAnsi="Arial" w:cs="Arial"/>
          <w:sz w:val="22"/>
          <w:szCs w:val="22"/>
        </w:rPr>
        <w:lastRenderedPageBreak/>
        <w:t>Por otro lado</w:t>
      </w:r>
      <w:r w:rsidR="00E46789">
        <w:rPr>
          <w:rFonts w:ascii="Arial" w:hAnsi="Arial" w:cs="Arial"/>
          <w:sz w:val="22"/>
          <w:szCs w:val="22"/>
        </w:rPr>
        <w:t xml:space="preserve">, </w:t>
      </w:r>
      <w:r w:rsidR="0031701D">
        <w:rPr>
          <w:rFonts w:ascii="Arial" w:hAnsi="Arial" w:cs="Arial"/>
          <w:sz w:val="22"/>
          <w:szCs w:val="22"/>
        </w:rPr>
        <w:t xml:space="preserve">la operación apoya la mejora de la capacidad fiscal para la inversión pública con contribución privada mediante </w:t>
      </w:r>
      <w:r w:rsidR="0031701D" w:rsidRPr="00432B14">
        <w:rPr>
          <w:rFonts w:ascii="Arial" w:hAnsi="Arial" w:cs="Arial"/>
          <w:b/>
          <w:i/>
          <w:sz w:val="22"/>
          <w:szCs w:val="22"/>
        </w:rPr>
        <w:t>asociaciones público-privadas</w:t>
      </w:r>
      <w:r w:rsidR="0031701D">
        <w:rPr>
          <w:rFonts w:ascii="Arial" w:hAnsi="Arial" w:cs="Arial"/>
          <w:sz w:val="22"/>
          <w:szCs w:val="22"/>
        </w:rPr>
        <w:t>.</w:t>
      </w:r>
      <w:r w:rsidR="009027B3">
        <w:rPr>
          <w:rFonts w:ascii="Arial" w:hAnsi="Arial" w:cs="Arial"/>
          <w:sz w:val="22"/>
          <w:szCs w:val="22"/>
        </w:rPr>
        <w:t xml:space="preserve"> </w:t>
      </w:r>
      <w:r w:rsidR="0031701D">
        <w:rPr>
          <w:rFonts w:ascii="Arial" w:hAnsi="Arial" w:cs="Arial"/>
          <w:sz w:val="22"/>
          <w:szCs w:val="22"/>
        </w:rPr>
        <w:t xml:space="preserve">En </w:t>
      </w:r>
      <w:r w:rsidR="007E0F40">
        <w:rPr>
          <w:rFonts w:ascii="Arial" w:hAnsi="Arial" w:cs="Arial"/>
          <w:sz w:val="22"/>
          <w:szCs w:val="22"/>
        </w:rPr>
        <w:t>general</w:t>
      </w:r>
      <w:r w:rsidR="0031701D">
        <w:rPr>
          <w:rFonts w:ascii="Arial" w:hAnsi="Arial" w:cs="Arial"/>
          <w:sz w:val="22"/>
          <w:szCs w:val="22"/>
        </w:rPr>
        <w:t xml:space="preserve">, </w:t>
      </w:r>
      <w:r w:rsidR="001E1609">
        <w:rPr>
          <w:rFonts w:ascii="Arial" w:hAnsi="Arial" w:cs="Arial"/>
          <w:sz w:val="22"/>
          <w:szCs w:val="22"/>
        </w:rPr>
        <w:t xml:space="preserve">la evidencia </w:t>
      </w:r>
      <w:r w:rsidR="0031701D">
        <w:rPr>
          <w:rFonts w:ascii="Arial" w:hAnsi="Arial" w:cs="Arial"/>
          <w:sz w:val="22"/>
          <w:szCs w:val="22"/>
        </w:rPr>
        <w:t xml:space="preserve">sobre gestión del gasto público </w:t>
      </w:r>
      <w:r w:rsidR="001E1609">
        <w:rPr>
          <w:rFonts w:ascii="Arial" w:hAnsi="Arial" w:cs="Arial"/>
          <w:sz w:val="22"/>
          <w:szCs w:val="22"/>
        </w:rPr>
        <w:t>muestra la necesidad de evitar que el recorte al gasto público se centre exclusivamente en el gasto de inversión, debido a que tiene un impacto más perjudicial en el crecimiento</w:t>
      </w:r>
      <w:r w:rsidR="001E1609" w:rsidRPr="00471CBE">
        <w:rPr>
          <w:rStyle w:val="FootnoteReference"/>
          <w:rFonts w:ascii="Arial" w:hAnsi="Arial" w:cs="Arial"/>
          <w:sz w:val="22"/>
          <w:szCs w:val="22"/>
        </w:rPr>
        <w:footnoteReference w:id="11"/>
      </w:r>
      <w:r w:rsidR="001E1609">
        <w:rPr>
          <w:rFonts w:ascii="Arial" w:hAnsi="Arial" w:cs="Arial"/>
          <w:sz w:val="22"/>
          <w:szCs w:val="22"/>
        </w:rPr>
        <w:t>.</w:t>
      </w:r>
      <w:r w:rsidR="009027B3">
        <w:rPr>
          <w:rFonts w:ascii="Arial" w:hAnsi="Arial" w:cs="Arial"/>
          <w:sz w:val="22"/>
          <w:szCs w:val="22"/>
        </w:rPr>
        <w:t xml:space="preserve"> </w:t>
      </w:r>
      <w:r w:rsidR="007E0F40">
        <w:rPr>
          <w:rFonts w:ascii="Arial" w:hAnsi="Arial" w:cs="Arial"/>
          <w:sz w:val="22"/>
          <w:szCs w:val="22"/>
        </w:rPr>
        <w:t>En este sentido, l</w:t>
      </w:r>
      <w:r w:rsidR="00E46789" w:rsidRPr="00013183">
        <w:rPr>
          <w:rFonts w:ascii="Arial" w:hAnsi="Arial" w:cs="Arial"/>
          <w:sz w:val="22"/>
          <w:szCs w:val="22"/>
        </w:rPr>
        <w:t xml:space="preserve">a experiencia muestra que la </w:t>
      </w:r>
      <w:r w:rsidR="00E46789" w:rsidRPr="00A97850">
        <w:rPr>
          <w:rFonts w:ascii="Arial" w:hAnsi="Arial" w:cs="Arial"/>
          <w:sz w:val="22"/>
          <w:szCs w:val="22"/>
        </w:rPr>
        <w:t>participación privada</w:t>
      </w:r>
      <w:r w:rsidR="00E46789" w:rsidRPr="00013183">
        <w:rPr>
          <w:rFonts w:ascii="Arial" w:hAnsi="Arial" w:cs="Arial"/>
          <w:sz w:val="22"/>
          <w:szCs w:val="22"/>
        </w:rPr>
        <w:t xml:space="preserve"> en el financiamiento y gestión de infraestructura puede ofrecer ventajas, tales como</w:t>
      </w:r>
      <w:r w:rsidR="00E46789">
        <w:rPr>
          <w:rStyle w:val="FootnoteReference"/>
          <w:rFonts w:ascii="Arial" w:hAnsi="Arial" w:cs="Arial"/>
          <w:sz w:val="22"/>
          <w:szCs w:val="22"/>
        </w:rPr>
        <w:footnoteReference w:id="12"/>
      </w:r>
      <w:r w:rsidR="00E46789" w:rsidRPr="00013183">
        <w:rPr>
          <w:rFonts w:ascii="Arial" w:hAnsi="Arial" w:cs="Arial"/>
          <w:sz w:val="22"/>
          <w:szCs w:val="22"/>
        </w:rPr>
        <w:t>: (i) mayor eficiencia en la provisión y gestión de los servicios de infraestructura, al incorporar tecnología privada; (ii) innovación a través de la competencia en los procesos de licitación; (iii) recursos para el mantenimiento de la infraestructura; (iv) sostenibilidad financiera, mediante el apalancamiento de recursos financieros del privado; (v) atracción de inversionistas de largo plazo; (vi) la construcción dentro del presupuesto y tiempo de ejecución previsto, y (vii) eficiente transferencia de riesgos de ejecución del proyecto al sector privado, con lo que puede obtenerse valor por dinero en la ejecución de la obra y la gestión del activo.</w:t>
      </w:r>
      <w:r w:rsidR="009027B3">
        <w:rPr>
          <w:rFonts w:ascii="Arial" w:hAnsi="Arial" w:cs="Arial"/>
          <w:sz w:val="22"/>
          <w:szCs w:val="22"/>
        </w:rPr>
        <w:t xml:space="preserve"> </w:t>
      </w:r>
      <w:r w:rsidR="000D10BA">
        <w:rPr>
          <w:rFonts w:ascii="Arial" w:hAnsi="Arial" w:cs="Arial"/>
          <w:sz w:val="22"/>
          <w:szCs w:val="22"/>
        </w:rPr>
        <w:t>Asimismo,</w:t>
      </w:r>
      <w:r w:rsidR="00D22425">
        <w:rPr>
          <w:rFonts w:ascii="Arial" w:hAnsi="Arial" w:cs="Arial"/>
          <w:sz w:val="22"/>
          <w:szCs w:val="22"/>
        </w:rPr>
        <w:t xml:space="preserve"> la literatura recalca la importancia de prestar atención a los </w:t>
      </w:r>
      <w:r w:rsidR="00E62A32">
        <w:rPr>
          <w:rFonts w:ascii="Arial" w:hAnsi="Arial" w:cs="Arial"/>
          <w:sz w:val="22"/>
          <w:szCs w:val="22"/>
        </w:rPr>
        <w:t xml:space="preserve">diferentes tipos de </w:t>
      </w:r>
      <w:r w:rsidR="00D22425">
        <w:rPr>
          <w:rFonts w:ascii="Arial" w:hAnsi="Arial" w:cs="Arial"/>
          <w:sz w:val="22"/>
          <w:szCs w:val="22"/>
        </w:rPr>
        <w:t xml:space="preserve">riesgos </w:t>
      </w:r>
      <w:r w:rsidR="00337F63">
        <w:rPr>
          <w:rFonts w:ascii="Arial" w:hAnsi="Arial" w:cs="Arial"/>
          <w:sz w:val="22"/>
          <w:szCs w:val="22"/>
        </w:rPr>
        <w:t>−</w:t>
      </w:r>
      <w:r w:rsidR="00D22425">
        <w:rPr>
          <w:rFonts w:ascii="Arial" w:hAnsi="Arial" w:cs="Arial"/>
          <w:sz w:val="22"/>
          <w:szCs w:val="22"/>
        </w:rPr>
        <w:t>técnicos, de construcción, operativos, financieros, de incumplimiento, ambientales, sociales, etc.</w:t>
      </w:r>
      <w:r w:rsidR="00337F63">
        <w:rPr>
          <w:rFonts w:ascii="Arial" w:hAnsi="Arial" w:cs="Arial"/>
          <w:sz w:val="22"/>
          <w:szCs w:val="22"/>
        </w:rPr>
        <w:t>−</w:t>
      </w:r>
      <w:r w:rsidR="00D22425">
        <w:rPr>
          <w:rFonts w:ascii="Arial" w:hAnsi="Arial" w:cs="Arial"/>
          <w:sz w:val="22"/>
          <w:szCs w:val="22"/>
        </w:rPr>
        <w:t xml:space="preserve"> asociados con las APP, para evitar sobrecostos y la generación de pasivos contingentes </w:t>
      </w:r>
      <w:r w:rsidR="00A47038">
        <w:rPr>
          <w:rFonts w:ascii="Arial" w:hAnsi="Arial" w:cs="Arial"/>
          <w:sz w:val="22"/>
          <w:szCs w:val="22"/>
        </w:rPr>
        <w:t xml:space="preserve">fiscales </w:t>
      </w:r>
      <w:r w:rsidR="00D22425">
        <w:rPr>
          <w:rFonts w:ascii="Arial" w:hAnsi="Arial" w:cs="Arial"/>
          <w:sz w:val="22"/>
          <w:szCs w:val="22"/>
        </w:rPr>
        <w:t>no explícitos</w:t>
      </w:r>
      <w:r w:rsidR="00FF7A9F">
        <w:rPr>
          <w:rFonts w:ascii="Arial" w:hAnsi="Arial" w:cs="Arial"/>
          <w:sz w:val="22"/>
          <w:szCs w:val="22"/>
        </w:rPr>
        <w:t xml:space="preserve"> (BID, 2017)</w:t>
      </w:r>
      <w:r w:rsidR="00D22425">
        <w:rPr>
          <w:rFonts w:ascii="Arial" w:hAnsi="Arial" w:cs="Arial"/>
          <w:sz w:val="22"/>
          <w:szCs w:val="22"/>
        </w:rPr>
        <w:t>.</w:t>
      </w:r>
      <w:r w:rsidR="009027B3">
        <w:rPr>
          <w:rFonts w:ascii="Arial" w:hAnsi="Arial" w:cs="Arial"/>
          <w:sz w:val="22"/>
          <w:szCs w:val="22"/>
        </w:rPr>
        <w:t xml:space="preserve"> </w:t>
      </w:r>
      <w:r w:rsidR="0031701D">
        <w:rPr>
          <w:rFonts w:ascii="Arial" w:hAnsi="Arial" w:cs="Arial"/>
          <w:sz w:val="22"/>
          <w:szCs w:val="22"/>
        </w:rPr>
        <w:t>L</w:t>
      </w:r>
      <w:r w:rsidR="00FF0674">
        <w:rPr>
          <w:rFonts w:ascii="Arial" w:hAnsi="Arial" w:cs="Arial"/>
          <w:sz w:val="22"/>
          <w:szCs w:val="22"/>
        </w:rPr>
        <w:t xml:space="preserve">as medidas contempladas en esta operación representan una oportunidad de fortalecimiento del marco </w:t>
      </w:r>
      <w:r w:rsidR="00337F63">
        <w:rPr>
          <w:rFonts w:ascii="Arial" w:hAnsi="Arial" w:cs="Arial"/>
          <w:sz w:val="22"/>
          <w:szCs w:val="22"/>
        </w:rPr>
        <w:t xml:space="preserve">regulatorio </w:t>
      </w:r>
      <w:r w:rsidR="00FF0674">
        <w:rPr>
          <w:rFonts w:ascii="Arial" w:hAnsi="Arial" w:cs="Arial"/>
          <w:sz w:val="22"/>
          <w:szCs w:val="22"/>
        </w:rPr>
        <w:t xml:space="preserve">de </w:t>
      </w:r>
      <w:r w:rsidR="00337F63">
        <w:rPr>
          <w:rFonts w:ascii="Arial" w:hAnsi="Arial" w:cs="Arial"/>
          <w:sz w:val="22"/>
          <w:szCs w:val="22"/>
        </w:rPr>
        <w:t xml:space="preserve">las </w:t>
      </w:r>
      <w:r w:rsidR="00FF0674">
        <w:rPr>
          <w:rFonts w:ascii="Arial" w:hAnsi="Arial" w:cs="Arial"/>
          <w:sz w:val="22"/>
          <w:szCs w:val="22"/>
        </w:rPr>
        <w:t xml:space="preserve">APP en el país, </w:t>
      </w:r>
      <w:r w:rsidR="00D22425">
        <w:rPr>
          <w:rFonts w:ascii="Arial" w:hAnsi="Arial" w:cs="Arial"/>
          <w:sz w:val="22"/>
          <w:szCs w:val="22"/>
        </w:rPr>
        <w:t xml:space="preserve">incluyendo la gestión de sus riesgos, </w:t>
      </w:r>
      <w:r w:rsidR="00FF0674">
        <w:rPr>
          <w:rFonts w:ascii="Arial" w:hAnsi="Arial" w:cs="Arial"/>
          <w:sz w:val="22"/>
          <w:szCs w:val="22"/>
        </w:rPr>
        <w:t>en particular tomando en cuenta que Ecuador ocupa el puesto 18 de 19 países latinoamericanos en la medición del Infrascopio 2017.</w:t>
      </w:r>
      <w:r w:rsidR="00FF0674">
        <w:rPr>
          <w:rStyle w:val="FootnoteReference"/>
          <w:rFonts w:ascii="Arial" w:hAnsi="Arial" w:cs="Arial"/>
          <w:sz w:val="22"/>
          <w:szCs w:val="22"/>
        </w:rPr>
        <w:footnoteReference w:id="13"/>
      </w:r>
      <w:r w:rsidR="009027B3">
        <w:rPr>
          <w:rFonts w:ascii="Arial" w:hAnsi="Arial" w:cs="Arial"/>
          <w:sz w:val="22"/>
          <w:szCs w:val="22"/>
        </w:rPr>
        <w:t xml:space="preserve"> </w:t>
      </w:r>
    </w:p>
    <w:p w14:paraId="1702FF25" w14:textId="20B737FB" w:rsidR="00CD1077" w:rsidRPr="005003DB" w:rsidRDefault="00C83004" w:rsidP="006930D9">
      <w:pPr>
        <w:pStyle w:val="Paragraph"/>
        <w:tabs>
          <w:tab w:val="clear" w:pos="2448"/>
        </w:tabs>
        <w:spacing w:after="0"/>
        <w:ind w:left="720" w:hanging="756"/>
        <w:rPr>
          <w:rFonts w:ascii="Arial" w:hAnsi="Arial" w:cs="Arial"/>
          <w:color w:val="FF0000"/>
          <w:sz w:val="22"/>
          <w:szCs w:val="22"/>
        </w:rPr>
      </w:pPr>
      <w:r w:rsidRPr="00B92BA5">
        <w:rPr>
          <w:rFonts w:ascii="Arial" w:hAnsi="Arial" w:cs="Arial"/>
          <w:b/>
          <w:sz w:val="22"/>
          <w:szCs w:val="22"/>
        </w:rPr>
        <w:t>Gestión de Empresas Públicas.</w:t>
      </w:r>
      <w:r>
        <w:rPr>
          <w:rFonts w:ascii="Arial" w:hAnsi="Arial" w:cs="Arial"/>
          <w:sz w:val="22"/>
          <w:szCs w:val="22"/>
        </w:rPr>
        <w:t xml:space="preserve"> </w:t>
      </w:r>
      <w:r w:rsidR="00B92BA5">
        <w:rPr>
          <w:rFonts w:ascii="Arial" w:hAnsi="Arial" w:cs="Arial"/>
          <w:sz w:val="22"/>
          <w:szCs w:val="22"/>
        </w:rPr>
        <w:t>L</w:t>
      </w:r>
      <w:r w:rsidR="0031701D">
        <w:rPr>
          <w:rFonts w:ascii="Arial" w:hAnsi="Arial" w:cs="Arial"/>
          <w:sz w:val="22"/>
          <w:szCs w:val="22"/>
        </w:rPr>
        <w:t xml:space="preserve">a operación contempla el fortalecimiento de gobernanza y gestión de </w:t>
      </w:r>
      <w:r w:rsidR="00CD1077" w:rsidRPr="0010045D">
        <w:rPr>
          <w:rFonts w:ascii="Arial" w:hAnsi="Arial" w:cs="Arial"/>
          <w:sz w:val="22"/>
          <w:szCs w:val="22"/>
        </w:rPr>
        <w:t>EE.PP</w:t>
      </w:r>
      <w:r w:rsidR="0016724C" w:rsidRPr="0010045D">
        <w:rPr>
          <w:rFonts w:ascii="Arial" w:hAnsi="Arial" w:cs="Arial"/>
          <w:sz w:val="22"/>
          <w:szCs w:val="22"/>
        </w:rPr>
        <w:t>.</w:t>
      </w:r>
      <w:r w:rsidR="00B92BA5">
        <w:rPr>
          <w:rFonts w:ascii="Arial" w:hAnsi="Arial" w:cs="Arial"/>
          <w:sz w:val="22"/>
          <w:szCs w:val="22"/>
        </w:rPr>
        <w:t xml:space="preserve"> como un elemento importante dentro del componente de mejora en la calidad y eficiencia del gasto.</w:t>
      </w:r>
      <w:r w:rsidR="009027B3">
        <w:rPr>
          <w:rFonts w:ascii="Arial" w:hAnsi="Arial" w:cs="Arial"/>
          <w:sz w:val="22"/>
          <w:szCs w:val="22"/>
        </w:rPr>
        <w:t xml:space="preserve"> </w:t>
      </w:r>
      <w:r w:rsidR="00F848EA">
        <w:rPr>
          <w:rFonts w:ascii="Arial" w:hAnsi="Arial" w:cs="Arial"/>
          <w:sz w:val="22"/>
          <w:szCs w:val="22"/>
        </w:rPr>
        <w:t xml:space="preserve">En los países en desarrollo, las EE.PP. </w:t>
      </w:r>
      <w:r w:rsidR="00522060">
        <w:rPr>
          <w:rFonts w:ascii="Arial" w:hAnsi="Arial" w:cs="Arial"/>
          <w:sz w:val="22"/>
          <w:szCs w:val="22"/>
        </w:rPr>
        <w:t xml:space="preserve">tienen </w:t>
      </w:r>
      <w:r w:rsidR="00EA46FF">
        <w:rPr>
          <w:rFonts w:ascii="Arial" w:hAnsi="Arial" w:cs="Arial"/>
          <w:sz w:val="22"/>
          <w:szCs w:val="22"/>
        </w:rPr>
        <w:t>un papel significativo</w:t>
      </w:r>
      <w:r w:rsidR="00522060">
        <w:rPr>
          <w:rFonts w:ascii="Arial" w:hAnsi="Arial" w:cs="Arial"/>
          <w:sz w:val="22"/>
          <w:szCs w:val="22"/>
        </w:rPr>
        <w:t>, ya que en muchos casos son proveedoras de servicios básicos como electricidad, agua o transporte.</w:t>
      </w:r>
      <w:r w:rsidR="009027B3">
        <w:rPr>
          <w:rFonts w:ascii="Arial" w:hAnsi="Arial" w:cs="Arial"/>
          <w:sz w:val="22"/>
          <w:szCs w:val="22"/>
        </w:rPr>
        <w:t xml:space="preserve"> </w:t>
      </w:r>
      <w:r w:rsidR="00522060">
        <w:rPr>
          <w:rFonts w:ascii="Arial" w:hAnsi="Arial" w:cs="Arial"/>
          <w:sz w:val="22"/>
          <w:szCs w:val="22"/>
        </w:rPr>
        <w:t>En América Latina y el Caribe, se estima que los activos de las EE.PP. alcanzan 12% del PIB regional</w:t>
      </w:r>
      <w:r w:rsidR="00C420EE">
        <w:rPr>
          <w:rStyle w:val="FootnoteReference"/>
          <w:rFonts w:ascii="Arial" w:hAnsi="Arial" w:cs="Arial"/>
          <w:sz w:val="22"/>
          <w:szCs w:val="22"/>
        </w:rPr>
        <w:footnoteReference w:id="14"/>
      </w:r>
      <w:r w:rsidR="00C420EE">
        <w:rPr>
          <w:rFonts w:ascii="Arial" w:hAnsi="Arial" w:cs="Arial"/>
          <w:sz w:val="22"/>
          <w:szCs w:val="22"/>
        </w:rPr>
        <w:t>.</w:t>
      </w:r>
      <w:r w:rsidR="009027B3">
        <w:rPr>
          <w:rFonts w:ascii="Arial" w:hAnsi="Arial" w:cs="Arial"/>
          <w:sz w:val="22"/>
          <w:szCs w:val="22"/>
        </w:rPr>
        <w:t xml:space="preserve"> </w:t>
      </w:r>
      <w:r w:rsidR="00522060">
        <w:rPr>
          <w:rFonts w:ascii="Arial" w:hAnsi="Arial" w:cs="Arial"/>
          <w:sz w:val="22"/>
          <w:szCs w:val="22"/>
        </w:rPr>
        <w:t>A pesar de su importancia económica, las EE.PP. pueden presentar una serie de problemas</w:t>
      </w:r>
      <w:r w:rsidR="00273FC4">
        <w:rPr>
          <w:rFonts w:ascii="Arial" w:hAnsi="Arial" w:cs="Arial"/>
          <w:sz w:val="22"/>
          <w:szCs w:val="22"/>
        </w:rPr>
        <w:t xml:space="preserve">, </w:t>
      </w:r>
      <w:r w:rsidR="003359CB">
        <w:rPr>
          <w:rFonts w:ascii="Arial" w:hAnsi="Arial" w:cs="Arial"/>
          <w:sz w:val="22"/>
          <w:szCs w:val="22"/>
        </w:rPr>
        <w:t>particularmente</w:t>
      </w:r>
      <w:r w:rsidR="00273FC4">
        <w:rPr>
          <w:rFonts w:ascii="Arial" w:hAnsi="Arial" w:cs="Arial"/>
          <w:sz w:val="22"/>
          <w:szCs w:val="22"/>
        </w:rPr>
        <w:t xml:space="preserve"> el exceso de personal y la generación de costos y riesgos fiscales dada la naturaleza de propiedad pública de dichas entidades</w:t>
      </w:r>
      <w:r w:rsidR="00675E92">
        <w:rPr>
          <w:rStyle w:val="FootnoteReference"/>
          <w:rFonts w:ascii="Arial" w:hAnsi="Arial" w:cs="Arial"/>
          <w:sz w:val="22"/>
          <w:szCs w:val="22"/>
        </w:rPr>
        <w:footnoteReference w:id="15"/>
      </w:r>
      <w:r w:rsidR="00273FC4">
        <w:rPr>
          <w:rFonts w:ascii="Arial" w:hAnsi="Arial" w:cs="Arial"/>
          <w:sz w:val="22"/>
          <w:szCs w:val="22"/>
        </w:rPr>
        <w:t>.</w:t>
      </w:r>
      <w:r w:rsidR="009027B3">
        <w:rPr>
          <w:rFonts w:ascii="Arial" w:hAnsi="Arial" w:cs="Arial"/>
          <w:sz w:val="22"/>
          <w:szCs w:val="22"/>
        </w:rPr>
        <w:t xml:space="preserve"> </w:t>
      </w:r>
      <w:r w:rsidR="00C420EE" w:rsidRPr="00C420EE">
        <w:rPr>
          <w:rFonts w:ascii="Arial" w:hAnsi="Arial" w:cs="Arial"/>
          <w:sz w:val="22"/>
          <w:szCs w:val="22"/>
        </w:rPr>
        <w:t>P</w:t>
      </w:r>
      <w:r w:rsidR="00C420EE">
        <w:rPr>
          <w:rFonts w:ascii="Arial" w:hAnsi="Arial" w:cs="Arial"/>
          <w:sz w:val="22"/>
          <w:szCs w:val="22"/>
        </w:rPr>
        <w:t>or ejemplo, p</w:t>
      </w:r>
      <w:r w:rsidR="00C420EE" w:rsidRPr="00C420EE">
        <w:rPr>
          <w:rFonts w:ascii="Arial" w:hAnsi="Arial" w:cs="Arial"/>
          <w:sz w:val="22"/>
          <w:szCs w:val="22"/>
        </w:rPr>
        <w:t>ara una muestra de 80 países, Bova y otros (2016) encontraron que los pasivos contingentes de EE.PP. representaron el 14% del total de la muestra analizada, mientras que los costos fiscales del salvataje de EE.PP. promediaron 3% del PIB.</w:t>
      </w:r>
      <w:r w:rsidR="009027B3">
        <w:rPr>
          <w:rFonts w:ascii="Arial" w:hAnsi="Arial" w:cs="Arial"/>
          <w:sz w:val="22"/>
          <w:szCs w:val="22"/>
        </w:rPr>
        <w:t xml:space="preserve"> </w:t>
      </w:r>
      <w:r w:rsidR="00273FC4">
        <w:rPr>
          <w:rFonts w:ascii="Arial" w:hAnsi="Arial" w:cs="Arial"/>
          <w:sz w:val="22"/>
          <w:szCs w:val="22"/>
        </w:rPr>
        <w:t xml:space="preserve">En Ecuador, </w:t>
      </w:r>
      <w:r w:rsidR="00C420EE">
        <w:rPr>
          <w:rFonts w:ascii="Arial" w:hAnsi="Arial" w:cs="Arial"/>
          <w:sz w:val="22"/>
          <w:szCs w:val="22"/>
        </w:rPr>
        <w:t>e</w:t>
      </w:r>
      <w:r w:rsidR="00C420EE" w:rsidRPr="00C420EE">
        <w:rPr>
          <w:rFonts w:ascii="Arial" w:hAnsi="Arial" w:cs="Arial"/>
          <w:sz w:val="22"/>
          <w:szCs w:val="22"/>
        </w:rPr>
        <w:t xml:space="preserve">l patrimonio de las 22 EE.PP. representa el 34% del PIB, y el monto estimado de recursos requerido (en asignaciones presupuestarias) para su gestión fue de aproximadamente 4,2% del PIB (2018). El SPNF muestra un superávit de las EE.PP., </w:t>
      </w:r>
      <w:r w:rsidR="00C420EE">
        <w:rPr>
          <w:rFonts w:ascii="Arial" w:hAnsi="Arial" w:cs="Arial"/>
          <w:sz w:val="22"/>
          <w:szCs w:val="22"/>
        </w:rPr>
        <w:t>debido a</w:t>
      </w:r>
      <w:r w:rsidR="00C420EE" w:rsidRPr="00C420EE">
        <w:rPr>
          <w:rFonts w:ascii="Arial" w:hAnsi="Arial" w:cs="Arial"/>
          <w:sz w:val="22"/>
          <w:szCs w:val="22"/>
        </w:rPr>
        <w:t xml:space="preserve"> los resultados de las petroleras y la Corporación Nacional de Telecomunicaciones (CNT), de </w:t>
      </w:r>
      <w:r w:rsidR="00C420EE" w:rsidRPr="00C420EE">
        <w:rPr>
          <w:rFonts w:ascii="Arial" w:hAnsi="Arial" w:cs="Arial"/>
          <w:sz w:val="22"/>
          <w:szCs w:val="22"/>
        </w:rPr>
        <w:lastRenderedPageBreak/>
        <w:t>alrededor del 2% del PIB (2011-2017)</w:t>
      </w:r>
      <w:r w:rsidR="00C420EE">
        <w:rPr>
          <w:rFonts w:ascii="Arial" w:hAnsi="Arial" w:cs="Arial"/>
          <w:sz w:val="22"/>
          <w:szCs w:val="22"/>
        </w:rPr>
        <w:t xml:space="preserve">; sin embargo, </w:t>
      </w:r>
      <w:r w:rsidR="00C420EE" w:rsidRPr="00C420EE">
        <w:rPr>
          <w:rFonts w:ascii="Arial" w:hAnsi="Arial" w:cs="Arial"/>
          <w:sz w:val="22"/>
          <w:szCs w:val="22"/>
        </w:rPr>
        <w:t>el conjunto restante arroja un déficit promedio del 1% durante dicho periodo.</w:t>
      </w:r>
      <w:r w:rsidR="009027B3">
        <w:rPr>
          <w:rFonts w:ascii="Arial" w:hAnsi="Arial" w:cs="Arial"/>
          <w:sz w:val="22"/>
          <w:szCs w:val="22"/>
        </w:rPr>
        <w:t xml:space="preserve"> </w:t>
      </w:r>
      <w:r w:rsidR="00F67CE3">
        <w:rPr>
          <w:rFonts w:ascii="Arial" w:hAnsi="Arial" w:cs="Arial"/>
          <w:sz w:val="22"/>
          <w:szCs w:val="22"/>
        </w:rPr>
        <w:t xml:space="preserve"> </w:t>
      </w:r>
    </w:p>
    <w:p w14:paraId="7494BA0F" w14:textId="5AAD0659" w:rsidR="00600917" w:rsidRPr="00355FFE" w:rsidRDefault="00896443" w:rsidP="00DC432C">
      <w:pPr>
        <w:pStyle w:val="Paragraph"/>
        <w:tabs>
          <w:tab w:val="clear" w:pos="2448"/>
        </w:tabs>
        <w:spacing w:after="0"/>
        <w:ind w:left="720" w:hanging="756"/>
        <w:rPr>
          <w:rFonts w:ascii="Arial" w:hAnsi="Arial" w:cs="Arial"/>
          <w:color w:val="FF0000"/>
          <w:sz w:val="22"/>
          <w:szCs w:val="22"/>
        </w:rPr>
      </w:pPr>
      <w:r w:rsidRPr="00355FFE">
        <w:rPr>
          <w:rFonts w:ascii="Arial" w:hAnsi="Arial" w:cs="Arial"/>
          <w:b/>
          <w:sz w:val="22"/>
        </w:rPr>
        <w:t>Política</w:t>
      </w:r>
      <w:r w:rsidR="0046422A" w:rsidRPr="00355FFE">
        <w:rPr>
          <w:rFonts w:ascii="Arial" w:hAnsi="Arial" w:cs="Arial"/>
          <w:b/>
          <w:sz w:val="22"/>
        </w:rPr>
        <w:t xml:space="preserve"> y gestión tributaria</w:t>
      </w:r>
      <w:r w:rsidR="0046422A" w:rsidRPr="00355FFE">
        <w:rPr>
          <w:rFonts w:ascii="Arial" w:hAnsi="Arial" w:cs="Arial"/>
          <w:sz w:val="22"/>
        </w:rPr>
        <w:t xml:space="preserve">. La </w:t>
      </w:r>
      <w:r w:rsidR="00600917" w:rsidRPr="00355FFE">
        <w:rPr>
          <w:rFonts w:ascii="Arial" w:hAnsi="Arial" w:cs="Arial"/>
          <w:sz w:val="22"/>
        </w:rPr>
        <w:t>presente operación contempla medidas para mejorar la eficiencia de la gestión tributaria, incluyendo el fortalecimiento de las capacidades para el manejo datos, control y fiscalización de los contribuyentes, así como el mejoramiento de los procesos de cumplimiento tributario mediante la implementación de diversos servicios en línea.</w:t>
      </w:r>
      <w:r w:rsidR="009027B3">
        <w:rPr>
          <w:rFonts w:ascii="Arial" w:hAnsi="Arial" w:cs="Arial"/>
          <w:sz w:val="22"/>
        </w:rPr>
        <w:t xml:space="preserve"> </w:t>
      </w:r>
      <w:r w:rsidR="00600917" w:rsidRPr="00355FFE">
        <w:rPr>
          <w:rFonts w:ascii="Arial" w:hAnsi="Arial" w:cs="Arial"/>
          <w:sz w:val="22"/>
        </w:rPr>
        <w:t xml:space="preserve">A nivel teórico, la </w:t>
      </w:r>
      <w:r w:rsidR="00355FFE">
        <w:rPr>
          <w:rFonts w:ascii="Arial" w:hAnsi="Arial" w:cs="Arial"/>
          <w:sz w:val="22"/>
        </w:rPr>
        <w:t xml:space="preserve">literatura ha identificado a la </w:t>
      </w:r>
      <w:r w:rsidR="00600917" w:rsidRPr="00355FFE">
        <w:rPr>
          <w:rFonts w:ascii="Arial" w:hAnsi="Arial" w:cs="Arial"/>
          <w:sz w:val="22"/>
        </w:rPr>
        <w:t>cobertura y calidad de la información como uno de los ejes clave para explicar la gran variación existente en el desempeño recaudatorio entre países (Kleven et al. 2015; Gordon y Li 2009; Kopczuk y Slemrod 2006).</w:t>
      </w:r>
      <w:r w:rsidR="009027B3">
        <w:rPr>
          <w:rFonts w:ascii="Arial" w:hAnsi="Arial" w:cs="Arial"/>
          <w:sz w:val="22"/>
        </w:rPr>
        <w:t xml:space="preserve"> </w:t>
      </w:r>
      <w:r w:rsidR="00D37410">
        <w:rPr>
          <w:rFonts w:ascii="Arial" w:hAnsi="Arial" w:cs="Arial"/>
          <w:sz w:val="22"/>
        </w:rPr>
        <w:t>La</w:t>
      </w:r>
      <w:r w:rsidR="00355FFE" w:rsidRPr="00355FFE">
        <w:rPr>
          <w:rFonts w:ascii="Arial" w:hAnsi="Arial" w:cs="Arial"/>
          <w:sz w:val="22"/>
        </w:rPr>
        <w:t xml:space="preserve"> evidencia empírica existente del impacto de la información sobre el cumplimiento voluntario confirma esta importancia</w:t>
      </w:r>
      <w:r w:rsidR="00D37410">
        <w:rPr>
          <w:rFonts w:ascii="Arial" w:hAnsi="Arial" w:cs="Arial"/>
          <w:sz w:val="22"/>
        </w:rPr>
        <w:t>.</w:t>
      </w:r>
      <w:r w:rsidR="009027B3">
        <w:rPr>
          <w:rFonts w:ascii="Arial" w:hAnsi="Arial" w:cs="Arial"/>
          <w:sz w:val="22"/>
        </w:rPr>
        <w:t xml:space="preserve"> </w:t>
      </w:r>
      <w:r w:rsidR="00D37410">
        <w:rPr>
          <w:rFonts w:ascii="Arial" w:hAnsi="Arial" w:cs="Arial"/>
          <w:sz w:val="22"/>
        </w:rPr>
        <w:t>Por ejemplo, e</w:t>
      </w:r>
      <w:r w:rsidR="00355FFE" w:rsidRPr="00355FFE">
        <w:rPr>
          <w:rFonts w:ascii="Arial" w:hAnsi="Arial" w:cs="Arial"/>
          <w:sz w:val="22"/>
        </w:rPr>
        <w:t xml:space="preserve">n Dinamarca, </w:t>
      </w:r>
      <w:r w:rsidR="00D37410">
        <w:rPr>
          <w:rFonts w:ascii="Arial" w:hAnsi="Arial" w:cs="Arial"/>
          <w:sz w:val="22"/>
        </w:rPr>
        <w:t>se observó una</w:t>
      </w:r>
      <w:r w:rsidR="00355FFE" w:rsidRPr="00355FFE">
        <w:rPr>
          <w:rFonts w:ascii="Arial" w:hAnsi="Arial" w:cs="Arial"/>
          <w:sz w:val="22"/>
        </w:rPr>
        <w:t xml:space="preserve"> alta heterogeneidad en las tasas de evasión dependiendo del esquema informacional asociado a distintas actividades económicas</w:t>
      </w:r>
      <w:r w:rsidR="00D37410">
        <w:rPr>
          <w:rFonts w:ascii="Arial" w:hAnsi="Arial" w:cs="Arial"/>
          <w:sz w:val="22"/>
        </w:rPr>
        <w:t xml:space="preserve"> (</w:t>
      </w:r>
      <w:r w:rsidR="00D37410" w:rsidRPr="00355FFE">
        <w:rPr>
          <w:rFonts w:ascii="Arial" w:hAnsi="Arial" w:cs="Arial"/>
          <w:sz w:val="22"/>
        </w:rPr>
        <w:t>Kleven et al.</w:t>
      </w:r>
      <w:r w:rsidR="00D37410">
        <w:rPr>
          <w:rFonts w:ascii="Arial" w:hAnsi="Arial" w:cs="Arial"/>
          <w:sz w:val="22"/>
        </w:rPr>
        <w:t>,</w:t>
      </w:r>
      <w:r w:rsidR="00D37410" w:rsidRPr="00355FFE">
        <w:rPr>
          <w:rFonts w:ascii="Arial" w:hAnsi="Arial" w:cs="Arial"/>
          <w:sz w:val="22"/>
        </w:rPr>
        <w:t xml:space="preserve"> 2011)</w:t>
      </w:r>
      <w:r w:rsidR="00D37410">
        <w:rPr>
          <w:rFonts w:ascii="Arial" w:hAnsi="Arial" w:cs="Arial"/>
          <w:sz w:val="22"/>
        </w:rPr>
        <w:t>; e</w:t>
      </w:r>
      <w:r w:rsidR="00355FFE" w:rsidRPr="00355FFE">
        <w:rPr>
          <w:rFonts w:ascii="Arial" w:hAnsi="Arial" w:cs="Arial"/>
          <w:sz w:val="22"/>
        </w:rPr>
        <w:t>n Estados Unidos, se encontró que ante una nueva fuente de información (reportes de tarjetas de crédito) disponible al IRS, las empresas pequeñas responden aumentando los niveles de ventas declarados (Slemrod et al. 2015)</w:t>
      </w:r>
      <w:r w:rsidR="00D37410">
        <w:rPr>
          <w:rFonts w:ascii="Arial" w:hAnsi="Arial" w:cs="Arial"/>
          <w:sz w:val="22"/>
        </w:rPr>
        <w:t>; y en España, se mostró que la</w:t>
      </w:r>
      <w:r w:rsidR="00D37410" w:rsidRPr="00D37410">
        <w:rPr>
          <w:rFonts w:ascii="Arial" w:hAnsi="Arial" w:cs="Arial"/>
          <w:sz w:val="22"/>
        </w:rPr>
        <w:t xml:space="preserve"> </w:t>
      </w:r>
      <w:r w:rsidR="00D37410" w:rsidRPr="00355FFE">
        <w:rPr>
          <w:rFonts w:ascii="Arial" w:hAnsi="Arial" w:cs="Arial"/>
          <w:sz w:val="22"/>
        </w:rPr>
        <w:t xml:space="preserve">disponibilidad de información actúa como complemento a las actividades de fiscalización de </w:t>
      </w:r>
      <w:r w:rsidR="00D37410">
        <w:rPr>
          <w:rFonts w:ascii="Arial" w:hAnsi="Arial" w:cs="Arial"/>
          <w:sz w:val="22"/>
        </w:rPr>
        <w:t>los grandes contribuyentes (</w:t>
      </w:r>
      <w:r w:rsidR="00355FFE" w:rsidRPr="00355FFE">
        <w:rPr>
          <w:rFonts w:ascii="Arial" w:hAnsi="Arial" w:cs="Arial"/>
          <w:sz w:val="22"/>
        </w:rPr>
        <w:t>Almunia y Lopez Rodriguez</w:t>
      </w:r>
      <w:r w:rsidR="00D37410">
        <w:rPr>
          <w:rFonts w:ascii="Arial" w:hAnsi="Arial" w:cs="Arial"/>
          <w:sz w:val="22"/>
        </w:rPr>
        <w:t xml:space="preserve">, </w:t>
      </w:r>
      <w:r w:rsidR="00355FFE" w:rsidRPr="00355FFE">
        <w:rPr>
          <w:rFonts w:ascii="Arial" w:hAnsi="Arial" w:cs="Arial"/>
          <w:sz w:val="22"/>
        </w:rPr>
        <w:t>2016).</w:t>
      </w:r>
    </w:p>
    <w:p w14:paraId="1AD93495" w14:textId="2BDCF060" w:rsidR="0046422A" w:rsidRPr="0010045D" w:rsidRDefault="00355FFE" w:rsidP="00D37410">
      <w:pPr>
        <w:pStyle w:val="Paragraph"/>
        <w:tabs>
          <w:tab w:val="clear" w:pos="2448"/>
        </w:tabs>
        <w:spacing w:after="0"/>
        <w:ind w:left="720" w:hanging="756"/>
        <w:rPr>
          <w:rFonts w:ascii="Arial" w:hAnsi="Arial" w:cs="Arial"/>
          <w:color w:val="FF0000"/>
          <w:sz w:val="22"/>
          <w:szCs w:val="22"/>
        </w:rPr>
      </w:pPr>
      <w:r w:rsidRPr="00355FFE">
        <w:rPr>
          <w:rFonts w:ascii="Arial" w:hAnsi="Arial" w:cs="Arial"/>
          <w:sz w:val="22"/>
          <w:szCs w:val="22"/>
        </w:rPr>
        <w:t xml:space="preserve">Con respecto a la evidencia para países en desarrollo, Pomeranz (2015) analiza cómo los flujos de información afectan el cumplimiento con el IVA en Chile a partir de dos experimentos con asignación aleatorizada en una muestra de 400,000 empresas. Un resultado destacado de esta evaluación es el rol que cumple la trazabilidad del IVA (“paper trail”) como mecanismo que favorece el cumplimiento. En la misma dirección, pero a partir de un análisis de diferencias en diferencias, Naritomi (2015) estudia los efectos de la implementación de la Nota Fiscal en el estado de San Pablo, Brasil, a partir de la cual los consumidores son incentivados a exigir sus facturas, y encuentra que el programa aumentó los ingresos declarados en 22%. Aprovechando un experimento natural en Ecuador, Carrillo et al. (2014) muestra las limitantes que enfrentan las </w:t>
      </w:r>
      <w:r w:rsidR="00D37410">
        <w:rPr>
          <w:rFonts w:ascii="Arial" w:hAnsi="Arial" w:cs="Arial"/>
          <w:sz w:val="22"/>
          <w:szCs w:val="22"/>
        </w:rPr>
        <w:t>administraciones tributarias</w:t>
      </w:r>
      <w:r w:rsidRPr="00355FFE">
        <w:rPr>
          <w:rFonts w:ascii="Arial" w:hAnsi="Arial" w:cs="Arial"/>
          <w:sz w:val="22"/>
          <w:szCs w:val="22"/>
        </w:rPr>
        <w:t xml:space="preserve"> para mejorar la recaudación cuando la información de terceros es incompleta. Por último, un estudio experimental en Costa Rica muestra que el acceso a información de terceros puede operar sobre el margen extensivo, ampliando el conjunto de contribuyentes que cumplen con sus obligaciones tributarias (Brockmeyer et al. 2016).</w:t>
      </w:r>
    </w:p>
    <w:p w14:paraId="432DDC5D" w14:textId="77777777" w:rsidR="00155EEA" w:rsidRDefault="00C2392C">
      <w:pPr>
        <w:pStyle w:val="FirstHeading"/>
        <w:spacing w:before="240" w:after="0"/>
        <w:rPr>
          <w:rFonts w:ascii="Arial" w:hAnsi="Arial" w:cs="Arial"/>
          <w:noProof/>
          <w:sz w:val="22"/>
          <w:szCs w:val="22"/>
        </w:rPr>
      </w:pPr>
      <w:bookmarkStart w:id="13" w:name="_Toc508105583"/>
      <w:r>
        <w:rPr>
          <w:rFonts w:ascii="Arial" w:hAnsi="Arial" w:cs="Arial"/>
          <w:sz w:val="22"/>
          <w:szCs w:val="22"/>
        </w:rPr>
        <w:t>C.</w:t>
      </w:r>
      <w:r>
        <w:rPr>
          <w:rFonts w:ascii="Arial" w:hAnsi="Arial" w:cs="Arial"/>
          <w:sz w:val="22"/>
          <w:szCs w:val="22"/>
        </w:rPr>
        <w:tab/>
        <w:t>Metodología de la Evaluación Ex-Post</w:t>
      </w:r>
      <w:bookmarkEnd w:id="13"/>
      <w:r>
        <w:rPr>
          <w:rFonts w:ascii="Arial" w:hAnsi="Arial" w:cs="Arial"/>
          <w:sz w:val="22"/>
          <w:szCs w:val="22"/>
        </w:rPr>
        <w:t xml:space="preserve"> </w:t>
      </w:r>
    </w:p>
    <w:p w14:paraId="721797B5" w14:textId="40B99626" w:rsidR="00803F31" w:rsidRPr="004A485D" w:rsidRDefault="00C2392C" w:rsidP="004A485D">
      <w:pPr>
        <w:pStyle w:val="Paragraph"/>
        <w:tabs>
          <w:tab w:val="clear" w:pos="2448"/>
          <w:tab w:val="num" w:pos="2160"/>
        </w:tabs>
        <w:spacing w:after="0"/>
        <w:ind w:left="720" w:hanging="720"/>
        <w:rPr>
          <w:rFonts w:ascii="Arial" w:hAnsi="Arial" w:cs="Arial"/>
          <w:b/>
          <w:sz w:val="22"/>
          <w:szCs w:val="22"/>
        </w:rPr>
      </w:pPr>
      <w:r>
        <w:rPr>
          <w:rFonts w:ascii="Arial" w:hAnsi="Arial" w:cs="Arial"/>
          <w:sz w:val="22"/>
          <w:szCs w:val="22"/>
        </w:rPr>
        <w:t xml:space="preserve">La </w:t>
      </w:r>
      <w:r>
        <w:rPr>
          <w:rFonts w:ascii="Arial" w:hAnsi="Arial" w:cs="Arial"/>
          <w:b/>
          <w:sz w:val="22"/>
          <w:szCs w:val="22"/>
        </w:rPr>
        <w:t>evaluación ex post</w:t>
      </w:r>
      <w:r>
        <w:rPr>
          <w:rFonts w:ascii="Arial" w:hAnsi="Arial" w:cs="Arial"/>
          <w:sz w:val="22"/>
          <w:szCs w:val="22"/>
        </w:rPr>
        <w:t xml:space="preserve"> del </w:t>
      </w:r>
      <w:r w:rsidR="00754009">
        <w:rPr>
          <w:rFonts w:ascii="Arial" w:hAnsi="Arial" w:cs="Arial"/>
          <w:sz w:val="22"/>
          <w:szCs w:val="22"/>
        </w:rPr>
        <w:t>p</w:t>
      </w:r>
      <w:r>
        <w:rPr>
          <w:rFonts w:ascii="Arial" w:hAnsi="Arial" w:cs="Arial"/>
          <w:sz w:val="22"/>
          <w:szCs w:val="22"/>
        </w:rPr>
        <w:t xml:space="preserve">rograma </w:t>
      </w:r>
      <w:r w:rsidR="00803F31">
        <w:rPr>
          <w:rFonts w:ascii="Arial" w:hAnsi="Arial" w:cs="Arial"/>
          <w:sz w:val="22"/>
          <w:szCs w:val="22"/>
        </w:rPr>
        <w:t>constará de dos partes.</w:t>
      </w:r>
      <w:r w:rsidR="009027B3">
        <w:rPr>
          <w:rFonts w:ascii="Arial" w:hAnsi="Arial" w:cs="Arial"/>
          <w:sz w:val="22"/>
          <w:szCs w:val="22"/>
        </w:rPr>
        <w:t xml:space="preserve"> </w:t>
      </w:r>
      <w:r w:rsidR="00803F31">
        <w:rPr>
          <w:rFonts w:ascii="Arial" w:hAnsi="Arial" w:cs="Arial"/>
          <w:sz w:val="22"/>
          <w:szCs w:val="22"/>
        </w:rPr>
        <w:t>Por un lado, se realizará</w:t>
      </w:r>
      <w:r w:rsidR="00E70C99">
        <w:rPr>
          <w:rFonts w:ascii="Arial" w:hAnsi="Arial" w:cs="Arial"/>
          <w:sz w:val="22"/>
          <w:szCs w:val="22"/>
        </w:rPr>
        <w:t xml:space="preserve"> una evaluación económica de los beneficios financieros públicos obtenidos de la implementación de las reformas incluidas en el programa, </w:t>
      </w:r>
      <w:r w:rsidRPr="00F504EF">
        <w:rPr>
          <w:rFonts w:ascii="Arial" w:hAnsi="Arial" w:cs="Arial"/>
          <w:sz w:val="22"/>
          <w:szCs w:val="22"/>
        </w:rPr>
        <w:t xml:space="preserve">a fin de corroborar </w:t>
      </w:r>
      <w:r w:rsidR="008B6BC8" w:rsidRPr="00F504EF">
        <w:rPr>
          <w:rFonts w:ascii="Arial" w:hAnsi="Arial" w:cs="Arial"/>
          <w:sz w:val="22"/>
          <w:szCs w:val="22"/>
        </w:rPr>
        <w:t xml:space="preserve">el fortalecimiento de la sostenibilidad </w:t>
      </w:r>
      <w:r w:rsidR="00F504EF" w:rsidRPr="00E70C99">
        <w:rPr>
          <w:rFonts w:ascii="Arial" w:hAnsi="Arial" w:cs="Arial"/>
          <w:sz w:val="22"/>
          <w:szCs w:val="22"/>
        </w:rPr>
        <w:t>fiscal.</w:t>
      </w:r>
      <w:r w:rsidR="009027B3">
        <w:rPr>
          <w:rFonts w:ascii="Arial" w:hAnsi="Arial" w:cs="Arial"/>
          <w:sz w:val="22"/>
          <w:szCs w:val="22"/>
        </w:rPr>
        <w:t xml:space="preserve"> </w:t>
      </w:r>
      <w:r w:rsidR="00E70C99" w:rsidRPr="00E70C99">
        <w:rPr>
          <w:rFonts w:ascii="Arial" w:hAnsi="Arial" w:cs="Arial"/>
          <w:sz w:val="22"/>
          <w:szCs w:val="22"/>
        </w:rPr>
        <w:t>Este</w:t>
      </w:r>
      <w:r w:rsidR="00F504EF" w:rsidRPr="00E70C99">
        <w:rPr>
          <w:rFonts w:ascii="Arial" w:hAnsi="Arial" w:cs="Arial"/>
          <w:sz w:val="22"/>
          <w:szCs w:val="22"/>
        </w:rPr>
        <w:t xml:space="preserve"> análisis </w:t>
      </w:r>
      <w:r w:rsidR="00E70C99" w:rsidRPr="00E70C99">
        <w:rPr>
          <w:rFonts w:ascii="Arial" w:hAnsi="Arial" w:cs="Arial"/>
          <w:sz w:val="22"/>
          <w:szCs w:val="22"/>
        </w:rPr>
        <w:t>se enfocará en la estimación d</w:t>
      </w:r>
      <w:r w:rsidR="00F504EF" w:rsidRPr="00E70C99">
        <w:rPr>
          <w:rFonts w:ascii="Arial" w:hAnsi="Arial" w:cs="Arial"/>
          <w:sz w:val="22"/>
          <w:szCs w:val="22"/>
        </w:rPr>
        <w:t>el ahorro financiero fiscal (AFF).</w:t>
      </w:r>
      <w:r w:rsidR="009027B3">
        <w:rPr>
          <w:rFonts w:ascii="Arial" w:hAnsi="Arial" w:cs="Arial"/>
          <w:sz w:val="22"/>
          <w:szCs w:val="22"/>
        </w:rPr>
        <w:t xml:space="preserve"> </w:t>
      </w:r>
      <w:r w:rsidR="00C12204" w:rsidRPr="00C12204">
        <w:rPr>
          <w:rFonts w:ascii="Arial" w:hAnsi="Arial" w:cs="Arial"/>
          <w:sz w:val="22"/>
          <w:szCs w:val="22"/>
        </w:rPr>
        <w:t>Por otro lado, se analizará el impacto de ciertas medidas específicas que forman parte del Programa.</w:t>
      </w:r>
    </w:p>
    <w:p w14:paraId="4AA3AC81" w14:textId="3CBA5AD4" w:rsidR="00F504EF" w:rsidRPr="00C12204" w:rsidRDefault="00F504EF" w:rsidP="00E70C99">
      <w:pPr>
        <w:pStyle w:val="Paragraph"/>
        <w:tabs>
          <w:tab w:val="clear" w:pos="2448"/>
          <w:tab w:val="num" w:pos="2160"/>
        </w:tabs>
        <w:spacing w:after="0"/>
        <w:ind w:left="720" w:hanging="720"/>
        <w:rPr>
          <w:rFonts w:ascii="Arial" w:hAnsi="Arial" w:cs="Arial"/>
          <w:b/>
          <w:sz w:val="22"/>
          <w:szCs w:val="22"/>
        </w:rPr>
      </w:pPr>
      <w:r w:rsidRPr="00E70C99">
        <w:rPr>
          <w:rFonts w:ascii="Arial" w:hAnsi="Arial" w:cs="Arial"/>
          <w:sz w:val="22"/>
          <w:szCs w:val="22"/>
        </w:rPr>
        <w:t xml:space="preserve">El AFF es la </w:t>
      </w:r>
      <w:r>
        <w:rPr>
          <w:rFonts w:ascii="Arial" w:hAnsi="Arial" w:cs="Arial"/>
          <w:sz w:val="22"/>
          <w:szCs w:val="22"/>
        </w:rPr>
        <w:t xml:space="preserve">reducción del costo financiero de un gobierno debido a una menor deuda más el efecto de la reducción en la tasa de interés que paga por esta deuda que se dejó de colocar, consecuencia de la implementación de cambios en la política pública. Para estimar el AFF ex post se utilizará la metodología </w:t>
      </w:r>
      <w:r w:rsidRPr="00C26464">
        <w:rPr>
          <w:rFonts w:ascii="Arial" w:hAnsi="Arial" w:cs="Arial"/>
          <w:sz w:val="22"/>
          <w:szCs w:val="22"/>
        </w:rPr>
        <w:t xml:space="preserve">descrita en Acosta y otros (2017). Para esto será necesario analizar la evolución del </w:t>
      </w:r>
      <w:r w:rsidRPr="00C26464">
        <w:rPr>
          <w:rFonts w:ascii="Arial" w:hAnsi="Arial" w:cs="Arial"/>
          <w:sz w:val="22"/>
          <w:szCs w:val="22"/>
        </w:rPr>
        <w:lastRenderedPageBreak/>
        <w:t xml:space="preserve">balance fiscal y de la deuda pública </w:t>
      </w:r>
      <w:r w:rsidR="00DC432C">
        <w:rPr>
          <w:rFonts w:ascii="Arial" w:hAnsi="Arial" w:cs="Arial"/>
          <w:sz w:val="22"/>
          <w:szCs w:val="22"/>
        </w:rPr>
        <w:t xml:space="preserve">del SPNF </w:t>
      </w:r>
      <w:r w:rsidRPr="00C26464">
        <w:rPr>
          <w:rFonts w:ascii="Arial" w:hAnsi="Arial" w:cs="Arial"/>
          <w:sz w:val="22"/>
          <w:szCs w:val="22"/>
        </w:rPr>
        <w:t>en el escenario con reformas y compararlo con un contrafactual sin reformas. Los datos fiscales para el escenario con reformas serán provistos por el MEF. Para el escenario contrafactual sin reformas serán utilizadas las proyecciones presentadas por el FMI en su Artículo IV de 2016. E</w:t>
      </w:r>
      <w:r>
        <w:rPr>
          <w:rFonts w:ascii="Arial" w:hAnsi="Arial" w:cs="Arial"/>
          <w:sz w:val="22"/>
          <w:szCs w:val="22"/>
        </w:rPr>
        <w:t xml:space="preserve">ste </w:t>
      </w:r>
      <w:r w:rsidRPr="00C12204">
        <w:rPr>
          <w:rFonts w:ascii="Arial" w:hAnsi="Arial" w:cs="Arial"/>
          <w:sz w:val="22"/>
          <w:szCs w:val="22"/>
        </w:rPr>
        <w:t>análisis del AFF se incluirá en Informe de Terminación de Proyecto (PCR, por sus siglas en inglés) y será realizado por funcionarios del BID, posiblemente contando con el apoyo de un consultor contratado para este fin.</w:t>
      </w:r>
    </w:p>
    <w:p w14:paraId="543B3EB9" w14:textId="2D7E85C7" w:rsidR="00803F31" w:rsidRPr="00C12204" w:rsidRDefault="003E3991" w:rsidP="004A485D">
      <w:pPr>
        <w:pStyle w:val="Paragraph"/>
        <w:tabs>
          <w:tab w:val="clear" w:pos="2448"/>
          <w:tab w:val="num" w:pos="2160"/>
        </w:tabs>
        <w:ind w:left="720" w:hanging="720"/>
        <w:rPr>
          <w:rFonts w:ascii="Arial" w:hAnsi="Arial" w:cs="Arial"/>
          <w:b/>
          <w:sz w:val="22"/>
          <w:szCs w:val="22"/>
        </w:rPr>
      </w:pPr>
      <w:r>
        <w:rPr>
          <w:rFonts w:ascii="Arial" w:hAnsi="Arial" w:cs="Arial"/>
          <w:sz w:val="22"/>
          <w:szCs w:val="22"/>
        </w:rPr>
        <w:t>Adicionalmente</w:t>
      </w:r>
      <w:r w:rsidR="00C12204" w:rsidRPr="00C12204">
        <w:rPr>
          <w:rFonts w:ascii="Arial" w:hAnsi="Arial" w:cs="Arial"/>
          <w:sz w:val="22"/>
          <w:szCs w:val="22"/>
        </w:rPr>
        <w:t>, como parte de la evaluación ex post de la operación se analizará el impacto de ciertas medidas específicas introducidas dentro del nuevo marco regulatorio tributario. En específico, se propone un análisis d</w:t>
      </w:r>
      <w:r w:rsidR="00401196" w:rsidRPr="00C12204">
        <w:rPr>
          <w:rFonts w:ascii="Arial" w:hAnsi="Arial" w:cs="Arial"/>
          <w:sz w:val="22"/>
          <w:szCs w:val="22"/>
        </w:rPr>
        <w:t xml:space="preserve">el caso del sistema de retención del IVA a los servicios digitales cobrados con tarjeta de crédito, </w:t>
      </w:r>
      <w:r w:rsidR="00C12204" w:rsidRPr="00C12204">
        <w:rPr>
          <w:rFonts w:ascii="Arial" w:hAnsi="Arial" w:cs="Arial"/>
          <w:sz w:val="22"/>
          <w:szCs w:val="22"/>
        </w:rPr>
        <w:t xml:space="preserve">el cual </w:t>
      </w:r>
      <w:r w:rsidR="00401196" w:rsidRPr="00C12204">
        <w:rPr>
          <w:rFonts w:ascii="Arial" w:hAnsi="Arial" w:cs="Arial"/>
          <w:sz w:val="22"/>
          <w:szCs w:val="22"/>
        </w:rPr>
        <w:t xml:space="preserve">se espera que el mismo contribuya a aumentar la recaudación de este impuesto para el grupo de </w:t>
      </w:r>
      <w:r w:rsidR="005D3FE5" w:rsidRPr="00C12204">
        <w:rPr>
          <w:rFonts w:ascii="Arial" w:hAnsi="Arial" w:cs="Arial"/>
          <w:sz w:val="22"/>
          <w:szCs w:val="22"/>
        </w:rPr>
        <w:t>servicios</w:t>
      </w:r>
      <w:r w:rsidR="00401196" w:rsidRPr="00C12204">
        <w:rPr>
          <w:rFonts w:ascii="Arial" w:hAnsi="Arial" w:cs="Arial"/>
          <w:sz w:val="22"/>
          <w:szCs w:val="22"/>
        </w:rPr>
        <w:t xml:space="preserve"> sujetos a dicha retención. </w:t>
      </w:r>
      <w:r w:rsidR="00C12204" w:rsidRPr="00C12204">
        <w:rPr>
          <w:rFonts w:ascii="Arial" w:hAnsi="Arial" w:cs="Arial"/>
          <w:sz w:val="22"/>
          <w:szCs w:val="22"/>
        </w:rPr>
        <w:t>Para ello</w:t>
      </w:r>
      <w:r w:rsidR="005D3FE5" w:rsidRPr="00C12204">
        <w:rPr>
          <w:rFonts w:ascii="Arial" w:hAnsi="Arial" w:cs="Arial"/>
          <w:sz w:val="22"/>
          <w:szCs w:val="22"/>
        </w:rPr>
        <w:t>, se propone la realización de un estudio cuyo enfoque sea la evaluación de esta medida</w:t>
      </w:r>
      <w:r w:rsidR="00401196" w:rsidRPr="00C12204">
        <w:rPr>
          <w:rFonts w:ascii="Arial" w:hAnsi="Arial" w:cs="Arial"/>
          <w:sz w:val="22"/>
          <w:szCs w:val="22"/>
        </w:rPr>
        <w:t xml:space="preserve">. </w:t>
      </w:r>
      <w:r w:rsidR="004A485D">
        <w:rPr>
          <w:rFonts w:ascii="Arial" w:hAnsi="Arial" w:cs="Arial"/>
          <w:sz w:val="22"/>
          <w:szCs w:val="22"/>
        </w:rPr>
        <w:t>Dicho</w:t>
      </w:r>
      <w:r w:rsidR="004A485D" w:rsidRPr="004A485D">
        <w:rPr>
          <w:rFonts w:ascii="Arial" w:hAnsi="Arial" w:cs="Arial"/>
          <w:sz w:val="22"/>
          <w:szCs w:val="22"/>
        </w:rPr>
        <w:t xml:space="preserve"> estudio contribuirá al análisis del resultado </w:t>
      </w:r>
      <w:r w:rsidR="002C2641">
        <w:rPr>
          <w:rFonts w:ascii="Arial" w:hAnsi="Arial" w:cs="Arial"/>
          <w:sz w:val="22"/>
          <w:szCs w:val="22"/>
        </w:rPr>
        <w:t>5</w:t>
      </w:r>
      <w:r w:rsidR="004A485D" w:rsidRPr="004A485D">
        <w:rPr>
          <w:rFonts w:ascii="Arial" w:hAnsi="Arial" w:cs="Arial"/>
          <w:sz w:val="22"/>
          <w:szCs w:val="22"/>
        </w:rPr>
        <w:t xml:space="preserve"> de la Matriz de Resultados (</w:t>
      </w:r>
      <w:r w:rsidR="002C2641">
        <w:rPr>
          <w:rFonts w:ascii="Arial" w:hAnsi="Arial" w:cs="Arial"/>
          <w:sz w:val="22"/>
          <w:szCs w:val="22"/>
        </w:rPr>
        <w:t>aumento de la recaudación del IVA</w:t>
      </w:r>
      <w:r w:rsidR="004A485D" w:rsidRPr="004A485D">
        <w:rPr>
          <w:rFonts w:ascii="Arial" w:hAnsi="Arial" w:cs="Arial"/>
          <w:sz w:val="22"/>
          <w:szCs w:val="22"/>
        </w:rPr>
        <w:t>).</w:t>
      </w:r>
    </w:p>
    <w:p w14:paraId="25DCE1E3" w14:textId="546BFE27" w:rsidR="00155EEA" w:rsidRPr="00C12204" w:rsidRDefault="00C2392C">
      <w:pPr>
        <w:pStyle w:val="FirstHeading"/>
        <w:spacing w:before="240" w:after="0"/>
        <w:rPr>
          <w:rFonts w:ascii="Arial" w:hAnsi="Arial" w:cs="Arial"/>
          <w:sz w:val="22"/>
          <w:szCs w:val="22"/>
        </w:rPr>
      </w:pPr>
      <w:bookmarkStart w:id="14" w:name="_Toc508105584"/>
      <w:r w:rsidRPr="00C12204">
        <w:rPr>
          <w:rFonts w:ascii="Arial" w:hAnsi="Arial" w:cs="Arial"/>
          <w:sz w:val="22"/>
          <w:szCs w:val="22"/>
        </w:rPr>
        <w:t>D.</w:t>
      </w:r>
      <w:r w:rsidRPr="00C12204">
        <w:rPr>
          <w:rFonts w:ascii="Arial" w:hAnsi="Arial" w:cs="Arial"/>
          <w:sz w:val="22"/>
          <w:szCs w:val="22"/>
        </w:rPr>
        <w:tab/>
        <w:t>Aspectos Técnicos de la Metodología</w:t>
      </w:r>
      <w:r w:rsidR="00C12204" w:rsidRPr="00C12204">
        <w:rPr>
          <w:rFonts w:ascii="Arial" w:hAnsi="Arial" w:cs="Arial"/>
          <w:sz w:val="22"/>
          <w:szCs w:val="22"/>
        </w:rPr>
        <w:t>s</w:t>
      </w:r>
      <w:r w:rsidRPr="00C12204">
        <w:rPr>
          <w:rFonts w:ascii="Arial" w:hAnsi="Arial" w:cs="Arial"/>
          <w:sz w:val="22"/>
          <w:szCs w:val="22"/>
        </w:rPr>
        <w:t xml:space="preserve"> Seleccionada</w:t>
      </w:r>
      <w:bookmarkEnd w:id="14"/>
      <w:r w:rsidR="00C12204" w:rsidRPr="00C12204">
        <w:rPr>
          <w:rFonts w:ascii="Arial" w:hAnsi="Arial" w:cs="Arial"/>
          <w:sz w:val="22"/>
          <w:szCs w:val="22"/>
        </w:rPr>
        <w:t>s</w:t>
      </w:r>
    </w:p>
    <w:p w14:paraId="697DDD12" w14:textId="1C96DAC7" w:rsidR="00803F31" w:rsidRPr="00C12204" w:rsidRDefault="00803F31" w:rsidP="00F54A29">
      <w:pPr>
        <w:rPr>
          <w:lang w:val="es-ES"/>
        </w:rPr>
      </w:pPr>
    </w:p>
    <w:p w14:paraId="3162DBC8" w14:textId="2AC1F591" w:rsidR="00640274" w:rsidRPr="00B16C68" w:rsidRDefault="00C12204" w:rsidP="00315F0C">
      <w:pPr>
        <w:pStyle w:val="Paragraph"/>
        <w:tabs>
          <w:tab w:val="clear" w:pos="2448"/>
        </w:tabs>
        <w:ind w:left="720" w:hanging="756"/>
        <w:rPr>
          <w:rFonts w:ascii="Arial" w:hAnsi="Arial" w:cs="Arial"/>
          <w:sz w:val="22"/>
          <w:szCs w:val="22"/>
        </w:rPr>
      </w:pPr>
      <w:r w:rsidRPr="00C12204">
        <w:rPr>
          <w:rFonts w:ascii="Arial" w:hAnsi="Arial" w:cs="Arial"/>
          <w:b/>
          <w:sz w:val="22"/>
          <w:szCs w:val="22"/>
        </w:rPr>
        <w:t>Ahorro Financiero Fiscal.</w:t>
      </w:r>
      <w:r>
        <w:rPr>
          <w:rFonts w:ascii="Arial" w:hAnsi="Arial" w:cs="Arial"/>
          <w:sz w:val="22"/>
          <w:szCs w:val="22"/>
        </w:rPr>
        <w:t xml:space="preserve"> </w:t>
      </w:r>
      <w:r w:rsidR="00B16C68" w:rsidRPr="00B16C68">
        <w:rPr>
          <w:rFonts w:ascii="Arial" w:hAnsi="Arial" w:cs="Arial"/>
          <w:sz w:val="22"/>
          <w:szCs w:val="22"/>
        </w:rPr>
        <w:t>Como se mencionó</w:t>
      </w:r>
      <w:r w:rsidR="00B16C68">
        <w:rPr>
          <w:rFonts w:ascii="Arial" w:hAnsi="Arial" w:cs="Arial"/>
          <w:sz w:val="22"/>
          <w:szCs w:val="22"/>
        </w:rPr>
        <w:t xml:space="preserve"> en la sección anterior</w:t>
      </w:r>
      <w:r w:rsidR="00B16C68" w:rsidRPr="00B16C68">
        <w:rPr>
          <w:rFonts w:ascii="Arial" w:hAnsi="Arial" w:cs="Arial"/>
          <w:sz w:val="22"/>
          <w:szCs w:val="22"/>
        </w:rPr>
        <w:t>, e</w:t>
      </w:r>
      <w:r w:rsidR="00640C85" w:rsidRPr="00B16C68">
        <w:rPr>
          <w:rFonts w:ascii="Arial" w:hAnsi="Arial" w:cs="Arial"/>
          <w:sz w:val="22"/>
          <w:szCs w:val="22"/>
        </w:rPr>
        <w:t xml:space="preserve">xisten dos vías a través de la cuales un programa de consolidación reduce el costo financiero de un gobierno. Por un lado, los mayores balances fiscales alcanzados llevan a menores necesidades de financiamiento, por lo que el nivel de endeudamiento del gobierno se ve reducido. De esta forma, al tener un menor nivel de deuda, el gobierno tendrá menores gastos relacionados al pago de intereses. Por otro lado, los mayores balances fiscales afectan, a través de diversos canales, el costo del financiamiento para el gobierno. Es decir, se produce un cambio en la tasa de interés que el gobierno paga por su deuda. Uno de estos canales es, por ejemplo, a través del riesgo crediticio soberano. El menor nivel de endeudamiento consecuencia del programa de consolidación fiscal reduce el riesgo de la deuda soberana, lo que puede reducir el costo de financiamiento del gobierno. </w:t>
      </w:r>
      <w:r w:rsidR="007855DA">
        <w:rPr>
          <w:rFonts w:ascii="Arial" w:hAnsi="Arial" w:cs="Arial"/>
          <w:sz w:val="22"/>
          <w:szCs w:val="22"/>
        </w:rPr>
        <w:t>Por tanto</w:t>
      </w:r>
      <w:r w:rsidR="00640C85" w:rsidRPr="00B16C68">
        <w:rPr>
          <w:rFonts w:ascii="Arial" w:hAnsi="Arial" w:cs="Arial"/>
          <w:sz w:val="22"/>
          <w:szCs w:val="22"/>
        </w:rPr>
        <w:t>, el ahorro financiero consecuencia de un programa de consolidación fiscal es igual a la reducción en los pagos de intereses consecuencia del menor endeudamiento más el efecto de la reducción en la tasa de interés que el gobierno paga por su deuda. Al valor presente de estos flujos futuros de ahorros se denomina Ahorro Financiero Fiscal (AFF).</w:t>
      </w:r>
      <w:r w:rsidR="009027B3">
        <w:rPr>
          <w:rFonts w:ascii="Arial" w:hAnsi="Arial" w:cs="Arial"/>
          <w:sz w:val="22"/>
          <w:szCs w:val="22"/>
        </w:rPr>
        <w:t xml:space="preserve"> </w:t>
      </w:r>
      <w:r w:rsidR="007855DA">
        <w:rPr>
          <w:rFonts w:ascii="Arial" w:hAnsi="Arial" w:cs="Arial"/>
          <w:sz w:val="22"/>
          <w:szCs w:val="22"/>
        </w:rPr>
        <w:t xml:space="preserve">A </w:t>
      </w:r>
      <w:r w:rsidR="00392DEC">
        <w:rPr>
          <w:rFonts w:ascii="Arial" w:hAnsi="Arial" w:cs="Arial"/>
          <w:sz w:val="22"/>
          <w:szCs w:val="22"/>
        </w:rPr>
        <w:t>continuación,</w:t>
      </w:r>
      <w:r w:rsidR="007855DA">
        <w:rPr>
          <w:rFonts w:ascii="Arial" w:hAnsi="Arial" w:cs="Arial"/>
          <w:sz w:val="22"/>
          <w:szCs w:val="22"/>
        </w:rPr>
        <w:t xml:space="preserve"> se describe la metodología utilizada para su estimación</w:t>
      </w:r>
      <w:r w:rsidR="00392DEC" w:rsidRPr="00392DEC">
        <w:rPr>
          <w:rStyle w:val="FootnoteReference"/>
          <w:rFonts w:ascii="Arial" w:hAnsi="Arial" w:cs="Arial"/>
          <w:sz w:val="22"/>
          <w:szCs w:val="22"/>
        </w:rPr>
        <w:footnoteReference w:id="16"/>
      </w:r>
      <w:r w:rsidR="007855DA">
        <w:rPr>
          <w:rFonts w:ascii="Arial" w:hAnsi="Arial" w:cs="Arial"/>
          <w:sz w:val="22"/>
          <w:szCs w:val="22"/>
        </w:rPr>
        <w:t>.</w:t>
      </w:r>
    </w:p>
    <w:p w14:paraId="28511E69" w14:textId="22B115BB" w:rsidR="00640274" w:rsidRPr="00185406" w:rsidRDefault="00640274" w:rsidP="00185406">
      <w:pPr>
        <w:pStyle w:val="Paragraph"/>
        <w:tabs>
          <w:tab w:val="clear" w:pos="2448"/>
        </w:tabs>
        <w:ind w:left="720" w:hanging="763"/>
        <w:rPr>
          <w:rFonts w:ascii="Arial" w:hAnsi="Arial" w:cs="Arial"/>
          <w:sz w:val="22"/>
          <w:szCs w:val="22"/>
        </w:rPr>
      </w:pPr>
      <w:r w:rsidRPr="00185406">
        <w:rPr>
          <w:rFonts w:ascii="Arial" w:hAnsi="Arial" w:cs="Arial"/>
          <w:i/>
          <w:sz w:val="22"/>
          <w:szCs w:val="22"/>
        </w:rPr>
        <w:t>Efecto sobre el balance primario y la evolución de la deuda</w:t>
      </w:r>
      <w:r w:rsidRPr="00185406">
        <w:rPr>
          <w:rFonts w:ascii="Arial" w:hAnsi="Arial" w:cs="Arial"/>
          <w:sz w:val="22"/>
          <w:szCs w:val="22"/>
        </w:rPr>
        <w:t>.</w:t>
      </w:r>
      <w:r w:rsidR="009027B3">
        <w:rPr>
          <w:rFonts w:ascii="Arial" w:hAnsi="Arial" w:cs="Arial"/>
          <w:sz w:val="22"/>
          <w:szCs w:val="22"/>
        </w:rPr>
        <w:t xml:space="preserve"> </w:t>
      </w:r>
      <w:r w:rsidRPr="00185406">
        <w:rPr>
          <w:rFonts w:ascii="Arial" w:hAnsi="Arial" w:cs="Arial"/>
          <w:sz w:val="22"/>
          <w:szCs w:val="22"/>
        </w:rPr>
        <w:t>El primer paso en la estimación del AFF es calcular el efecto que tiene un programa de consolidación fiscal en el balance primario de un gobierno, el cual se define como la diferencia entre los ingresos y los gastos del sector público</w:t>
      </w:r>
      <w:r w:rsidR="00DC432C">
        <w:rPr>
          <w:rStyle w:val="FootnoteReference"/>
          <w:rFonts w:ascii="Arial" w:hAnsi="Arial" w:cs="Arial"/>
          <w:sz w:val="22"/>
          <w:szCs w:val="22"/>
        </w:rPr>
        <w:footnoteReference w:id="17"/>
      </w:r>
      <w:r w:rsidRPr="00185406">
        <w:rPr>
          <w:rFonts w:ascii="Arial" w:hAnsi="Arial" w:cs="Arial"/>
          <w:sz w:val="22"/>
          <w:szCs w:val="22"/>
        </w:rPr>
        <w:t>, excluyendo el pago de intereses sobre la deuda. Una vez determinado el impacto del programa en dicho balance, se realiza una estimación de dos trayectorias del balance público. La primera trayectoria se estima considerando el status quo, es decir, en ausencia del programa de consolidación fiscal, mientras la segunda es la nueva trayectoria de balance primario incorporando los efectos del programa de consolidación.</w:t>
      </w:r>
      <w:r w:rsidR="009027B3">
        <w:rPr>
          <w:rFonts w:ascii="Arial" w:hAnsi="Arial" w:cs="Arial"/>
          <w:sz w:val="22"/>
          <w:szCs w:val="22"/>
        </w:rPr>
        <w:t xml:space="preserve"> </w:t>
      </w:r>
      <w:r w:rsidRPr="00185406">
        <w:rPr>
          <w:rFonts w:ascii="Arial" w:hAnsi="Arial" w:cs="Arial"/>
          <w:sz w:val="22"/>
          <w:szCs w:val="22"/>
        </w:rPr>
        <w:t xml:space="preserve">Para </w:t>
      </w:r>
      <w:r w:rsidRPr="00185406">
        <w:rPr>
          <w:rFonts w:ascii="Arial" w:hAnsi="Arial" w:cs="Arial"/>
          <w:sz w:val="22"/>
          <w:szCs w:val="22"/>
        </w:rPr>
        <w:lastRenderedPageBreak/>
        <w:t xml:space="preserve">obtener el cambio en la trayectoria de balances primarios, se trabaja bajo el supuesto de que el efecto del programa de consolidación fiscal sobre el balance primario en un año dado </w:t>
      </w:r>
      <w:r w:rsidRPr="00185406">
        <w:rPr>
          <w:rFonts w:ascii="Arial" w:hAnsi="Arial" w:cs="Arial"/>
          <w:i/>
          <w:sz w:val="22"/>
          <w:szCs w:val="22"/>
        </w:rPr>
        <w:t>t</w:t>
      </w:r>
      <w:r w:rsidRPr="00185406">
        <w:rPr>
          <w:rFonts w:ascii="Arial" w:hAnsi="Arial" w:cs="Arial"/>
          <w:sz w:val="22"/>
          <w:szCs w:val="22"/>
        </w:rPr>
        <w:t xml:space="preserve"> viene dado por </w:t>
      </w:r>
      <m:oMath>
        <m:sSubSup>
          <m:sSubSupPr>
            <m:ctrlPr>
              <w:rPr>
                <w:rFonts w:ascii="Cambria Math" w:hAnsi="Cambria Math"/>
                <w:i/>
                <w:sz w:val="22"/>
                <w:szCs w:val="22"/>
              </w:rPr>
            </m:ctrlPr>
          </m:sSubSupPr>
          <m:e>
            <m:r>
              <w:rPr>
                <w:rFonts w:ascii="Cambria Math" w:hAnsi="Cambria Math"/>
                <w:sz w:val="22"/>
                <w:szCs w:val="22"/>
              </w:rPr>
              <m:t>ϑ</m:t>
            </m:r>
          </m:e>
          <m:sub>
            <m:r>
              <w:rPr>
                <w:rFonts w:ascii="Cambria Math" w:hAnsi="Cambria Math"/>
                <w:sz w:val="22"/>
                <w:szCs w:val="22"/>
              </w:rPr>
              <m:t>t</m:t>
            </m:r>
          </m:sub>
          <m:sup/>
        </m:sSubSup>
      </m:oMath>
      <w:r w:rsidRPr="00185406">
        <w:rPr>
          <w:rFonts w:ascii="Arial" w:hAnsi="Arial" w:cs="Arial"/>
          <w:sz w:val="22"/>
          <w:szCs w:val="22"/>
        </w:rPr>
        <w:t>. Entonces, el balance primario en el escenario de implementación del programa de consolidación está definido como:</w:t>
      </w:r>
    </w:p>
    <w:p w14:paraId="2036A747" w14:textId="3BE4BE5B" w:rsidR="00640274" w:rsidRPr="00185406" w:rsidRDefault="00D91B6F" w:rsidP="00D91B6F">
      <w:pPr>
        <w:tabs>
          <w:tab w:val="center" w:pos="4680"/>
          <w:tab w:val="right" w:pos="8640"/>
        </w:tabs>
        <w:spacing w:after="120" w:line="276" w:lineRule="auto"/>
        <w:ind w:left="720"/>
        <w:jc w:val="center"/>
        <w:rPr>
          <w:sz w:val="22"/>
          <w:szCs w:val="22"/>
        </w:rPr>
      </w:pPr>
      <w:r>
        <w:rPr>
          <w:rFonts w:ascii="Arial" w:hAnsi="Arial" w:cs="Arial"/>
          <w:sz w:val="22"/>
          <w:szCs w:val="22"/>
          <w:lang w:val="es-ES"/>
        </w:rPr>
        <w:tab/>
      </w:r>
      <m:oMath>
        <m:sSubSup>
          <m:sSubSupPr>
            <m:ctrlPr>
              <w:rPr>
                <w:rFonts w:ascii="Cambria Math" w:hAnsi="Cambria Math"/>
                <w:i/>
                <w:sz w:val="22"/>
                <w:szCs w:val="22"/>
                <w:lang w:val="es-ES"/>
              </w:rPr>
            </m:ctrlPr>
          </m:sSubSupPr>
          <m:e>
            <m:r>
              <w:rPr>
                <w:rFonts w:ascii="Cambria Math" w:hAnsi="Cambria Math"/>
                <w:sz w:val="22"/>
                <w:szCs w:val="22"/>
                <w:lang w:val="es-ES"/>
              </w:rPr>
              <m:t>F</m:t>
            </m:r>
          </m:e>
          <m:sub>
            <m:r>
              <w:rPr>
                <w:rFonts w:ascii="Cambria Math" w:hAnsi="Cambria Math"/>
                <w:sz w:val="22"/>
                <w:szCs w:val="22"/>
                <w:lang w:val="es-ES"/>
              </w:rPr>
              <m:t>t</m:t>
            </m:r>
          </m:sub>
          <m:sup>
            <m:r>
              <w:rPr>
                <w:rFonts w:ascii="Cambria Math" w:hAnsi="Cambria Math"/>
                <w:sz w:val="22"/>
                <w:szCs w:val="22"/>
                <w:lang w:val="es-ES"/>
              </w:rPr>
              <m:t>ϑ</m:t>
            </m:r>
          </m:sup>
        </m:sSubSup>
        <m:r>
          <w:rPr>
            <w:rFonts w:ascii="Cambria Math" w:hAnsi="Cambria Math"/>
            <w:sz w:val="22"/>
            <w:szCs w:val="22"/>
          </w:rPr>
          <m:t>=</m:t>
        </m:r>
        <m:sSubSup>
          <m:sSubSupPr>
            <m:ctrlPr>
              <w:rPr>
                <w:rFonts w:ascii="Cambria Math" w:hAnsi="Cambria Math"/>
                <w:i/>
                <w:sz w:val="22"/>
                <w:szCs w:val="22"/>
                <w:lang w:val="es-ES"/>
              </w:rPr>
            </m:ctrlPr>
          </m:sSubSupPr>
          <m:e>
            <m:r>
              <w:rPr>
                <w:rFonts w:ascii="Cambria Math" w:hAnsi="Cambria Math"/>
                <w:sz w:val="22"/>
                <w:szCs w:val="22"/>
                <w:lang w:val="es-ES"/>
              </w:rPr>
              <m:t>F</m:t>
            </m:r>
          </m:e>
          <m:sub>
            <m:r>
              <w:rPr>
                <w:rFonts w:ascii="Cambria Math" w:hAnsi="Cambria Math"/>
                <w:sz w:val="22"/>
                <w:szCs w:val="22"/>
                <w:lang w:val="es-ES"/>
              </w:rPr>
              <m:t>t</m:t>
            </m:r>
          </m:sub>
          <m:sup/>
        </m:sSubSup>
        <m:r>
          <w:rPr>
            <w:rFonts w:ascii="Cambria Math" w:hAnsi="Cambria Math"/>
            <w:sz w:val="22"/>
            <w:szCs w:val="22"/>
          </w:rPr>
          <m:t xml:space="preserve">+ </m:t>
        </m:r>
        <m:sSubSup>
          <m:sSubSupPr>
            <m:ctrlPr>
              <w:rPr>
                <w:rFonts w:ascii="Cambria Math" w:hAnsi="Cambria Math"/>
                <w:i/>
                <w:sz w:val="22"/>
                <w:szCs w:val="22"/>
                <w:lang w:val="es-ES"/>
              </w:rPr>
            </m:ctrlPr>
          </m:sSubSupPr>
          <m:e>
            <m:r>
              <w:rPr>
                <w:rFonts w:ascii="Cambria Math" w:hAnsi="Cambria Math"/>
                <w:sz w:val="22"/>
                <w:szCs w:val="22"/>
                <w:lang w:val="es-ES"/>
              </w:rPr>
              <m:t>ϑ</m:t>
            </m:r>
          </m:e>
          <m:sub>
            <m:r>
              <w:rPr>
                <w:rFonts w:ascii="Cambria Math" w:hAnsi="Cambria Math"/>
                <w:sz w:val="22"/>
                <w:szCs w:val="22"/>
                <w:lang w:val="es-ES"/>
              </w:rPr>
              <m:t>t</m:t>
            </m:r>
          </m:sub>
          <m:sup/>
        </m:sSubSup>
      </m:oMath>
      <w:r>
        <w:rPr>
          <w:sz w:val="22"/>
          <w:szCs w:val="22"/>
        </w:rPr>
        <w:tab/>
      </w:r>
      <w:r w:rsidR="00640274" w:rsidRPr="00B37101">
        <w:rPr>
          <w:rFonts w:ascii="Arial" w:hAnsi="Arial" w:cs="Arial"/>
          <w:sz w:val="22"/>
          <w:szCs w:val="22"/>
        </w:rPr>
        <w:t>(1)</w:t>
      </w:r>
    </w:p>
    <w:p w14:paraId="2AFF3193" w14:textId="5B4CF3DE" w:rsidR="00640274" w:rsidRPr="00185406" w:rsidRDefault="00640274" w:rsidP="00185406">
      <w:pPr>
        <w:spacing w:line="276" w:lineRule="auto"/>
        <w:ind w:left="720"/>
        <w:jc w:val="both"/>
        <w:rPr>
          <w:sz w:val="22"/>
          <w:szCs w:val="22"/>
        </w:rPr>
      </w:pPr>
      <w:r w:rsidRPr="00185406">
        <w:rPr>
          <w:rFonts w:ascii="Arial" w:hAnsi="Arial" w:cs="Arial"/>
          <w:sz w:val="22"/>
          <w:szCs w:val="22"/>
        </w:rPr>
        <w:t>donde</w:t>
      </w:r>
      <w:r w:rsidR="00185406">
        <w:rPr>
          <w:rFonts w:ascii="Arial" w:hAnsi="Arial" w:cs="Arial"/>
          <w:sz w:val="22"/>
          <w:szCs w:val="22"/>
        </w:rPr>
        <w:t xml:space="preserve">, </w:t>
      </w:r>
      <m:oMath>
        <m:sSubSup>
          <m:sSubSupPr>
            <m:ctrlPr>
              <w:rPr>
                <w:rFonts w:ascii="Cambria Math" w:hAnsi="Cambria Math"/>
                <w:i/>
                <w:sz w:val="22"/>
                <w:szCs w:val="22"/>
                <w:lang w:val="es-ES"/>
              </w:rPr>
            </m:ctrlPr>
          </m:sSubSupPr>
          <m:e>
            <m:r>
              <w:rPr>
                <w:rFonts w:ascii="Cambria Math" w:hAnsi="Cambria Math"/>
                <w:sz w:val="22"/>
                <w:szCs w:val="22"/>
                <w:lang w:val="es-ES"/>
              </w:rPr>
              <m:t>F</m:t>
            </m:r>
          </m:e>
          <m:sub>
            <m:r>
              <w:rPr>
                <w:rFonts w:ascii="Cambria Math" w:hAnsi="Cambria Math"/>
                <w:sz w:val="22"/>
                <w:szCs w:val="22"/>
                <w:lang w:val="es-ES"/>
              </w:rPr>
              <m:t>t</m:t>
            </m:r>
          </m:sub>
          <m:sup>
            <m:r>
              <w:rPr>
                <w:rFonts w:ascii="Cambria Math" w:hAnsi="Cambria Math"/>
                <w:sz w:val="22"/>
                <w:szCs w:val="22"/>
                <w:lang w:val="es-ES"/>
              </w:rPr>
              <m:t>ϑ</m:t>
            </m:r>
          </m:sup>
        </m:sSubSup>
      </m:oMath>
      <w:r w:rsidRPr="00185406">
        <w:rPr>
          <w:sz w:val="22"/>
          <w:szCs w:val="22"/>
        </w:rPr>
        <w:t xml:space="preserve"> </w:t>
      </w:r>
      <w:r w:rsidRPr="00185406">
        <w:rPr>
          <w:rFonts w:ascii="Arial" w:hAnsi="Arial" w:cs="Arial"/>
          <w:sz w:val="22"/>
          <w:szCs w:val="22"/>
        </w:rPr>
        <w:t>es el balance primario con la implementación del programa de consolidación fiscal</w:t>
      </w:r>
      <w:r w:rsidR="00185406">
        <w:rPr>
          <w:rFonts w:ascii="Arial" w:hAnsi="Arial" w:cs="Arial"/>
          <w:sz w:val="22"/>
          <w:szCs w:val="22"/>
        </w:rPr>
        <w:t xml:space="preserve"> y </w:t>
      </w:r>
      <m:oMath>
        <m:sSubSup>
          <m:sSubSupPr>
            <m:ctrlPr>
              <w:rPr>
                <w:rFonts w:ascii="Cambria Math" w:hAnsi="Cambria Math"/>
                <w:i/>
                <w:sz w:val="22"/>
                <w:szCs w:val="22"/>
                <w:lang w:val="es-ES"/>
              </w:rPr>
            </m:ctrlPr>
          </m:sSubSupPr>
          <m:e>
            <m:r>
              <w:rPr>
                <w:rFonts w:ascii="Cambria Math" w:hAnsi="Cambria Math"/>
                <w:sz w:val="22"/>
                <w:szCs w:val="22"/>
                <w:lang w:val="es-ES"/>
              </w:rPr>
              <m:t>F</m:t>
            </m:r>
          </m:e>
          <m:sub>
            <m:r>
              <w:rPr>
                <w:rFonts w:ascii="Cambria Math" w:hAnsi="Cambria Math"/>
                <w:sz w:val="22"/>
                <w:szCs w:val="22"/>
                <w:lang w:val="es-ES"/>
              </w:rPr>
              <m:t>t</m:t>
            </m:r>
          </m:sub>
          <m:sup/>
        </m:sSubSup>
      </m:oMath>
      <w:r w:rsidRPr="00185406">
        <w:rPr>
          <w:sz w:val="22"/>
          <w:szCs w:val="22"/>
        </w:rPr>
        <w:t xml:space="preserve"> </w:t>
      </w:r>
      <w:r w:rsidRPr="00185406">
        <w:rPr>
          <w:rFonts w:ascii="Arial" w:hAnsi="Arial" w:cs="Arial"/>
          <w:sz w:val="22"/>
          <w:szCs w:val="22"/>
        </w:rPr>
        <w:t>es el balance primario sin la implementación del programa de consolidación.</w:t>
      </w:r>
    </w:p>
    <w:p w14:paraId="27FAA1B6" w14:textId="7E9B5D8E" w:rsidR="00C52398" w:rsidRDefault="00185406" w:rsidP="00B37101">
      <w:pPr>
        <w:pStyle w:val="Paragraph"/>
        <w:tabs>
          <w:tab w:val="clear" w:pos="2448"/>
        </w:tabs>
        <w:ind w:left="720" w:hanging="763"/>
      </w:pPr>
      <w:r w:rsidRPr="00B37101">
        <w:rPr>
          <w:rFonts w:ascii="Arial" w:hAnsi="Arial" w:cs="Arial"/>
          <w:sz w:val="22"/>
          <w:szCs w:val="22"/>
        </w:rPr>
        <w:t>Una vez determinado el cambio en la trayectoria en el balance primario, el segundo paso consiste en evaluar el impacto que este cambio tiene en la trayectoria de la deuda pública. Tradicionalmente, la relación entre la deuda pública y el balance público se ha analizado mediante una ecuación que describe la dinámica de la deuda a lo largo del tiempo. Por ejemplo, uno de los enfoques más comunes para describir esta dinámica es la metodología empleada en el análisis de política fiscal y de sostenibilidad de deuda, denominada DSA por sus siglas en inglés (</w:t>
      </w:r>
      <w:r w:rsidRPr="00B37101">
        <w:rPr>
          <w:rFonts w:ascii="Arial" w:hAnsi="Arial" w:cs="Arial"/>
          <w:i/>
          <w:sz w:val="22"/>
          <w:szCs w:val="22"/>
        </w:rPr>
        <w:t>Debt Sustainability Analysis</w:t>
      </w:r>
      <w:r w:rsidRPr="00B37101">
        <w:rPr>
          <w:rFonts w:ascii="Arial" w:hAnsi="Arial" w:cs="Arial"/>
          <w:sz w:val="22"/>
          <w:szCs w:val="22"/>
        </w:rPr>
        <w:t>).</w:t>
      </w:r>
      <w:r w:rsidRPr="00185406">
        <w:rPr>
          <w:rStyle w:val="FootnoteReference"/>
          <w:rFonts w:ascii="Arial" w:hAnsi="Arial" w:cs="Arial"/>
          <w:sz w:val="22"/>
          <w:szCs w:val="22"/>
        </w:rPr>
        <w:footnoteReference w:id="18"/>
      </w:r>
      <w:r w:rsidRPr="00B37101">
        <w:rPr>
          <w:rFonts w:ascii="Arial" w:hAnsi="Arial" w:cs="Arial"/>
          <w:sz w:val="22"/>
          <w:szCs w:val="22"/>
        </w:rPr>
        <w:t xml:space="preserve"> En este tipo de análisis, el monto de la deuda total del sector público en un momento dado está determinado por el monto de deuda emitido en la moneda local, el monto de deuda emitida en divisa foránea y el tipo de cambio. </w:t>
      </w:r>
      <w:r w:rsidR="00B37101">
        <w:rPr>
          <w:rFonts w:ascii="Arial" w:hAnsi="Arial" w:cs="Arial"/>
          <w:sz w:val="22"/>
          <w:szCs w:val="22"/>
        </w:rPr>
        <w:t>Bajo este marco conceptual y u</w:t>
      </w:r>
      <w:r w:rsidR="00C52398" w:rsidRPr="00B37101">
        <w:rPr>
          <w:rFonts w:ascii="Arial" w:hAnsi="Arial" w:cs="Arial"/>
          <w:sz w:val="22"/>
          <w:szCs w:val="22"/>
        </w:rPr>
        <w:t>tilizando las</w:t>
      </w:r>
      <w:r w:rsidR="006047E7" w:rsidRPr="00B37101">
        <w:rPr>
          <w:rFonts w:ascii="Arial" w:hAnsi="Arial" w:cs="Arial"/>
          <w:sz w:val="22"/>
          <w:szCs w:val="22"/>
        </w:rPr>
        <w:t xml:space="preserve"> fórmulas específicas </w:t>
      </w:r>
      <w:r w:rsidR="00C52398" w:rsidRPr="00B37101">
        <w:rPr>
          <w:rFonts w:ascii="Arial" w:hAnsi="Arial" w:cs="Arial"/>
          <w:sz w:val="22"/>
          <w:szCs w:val="22"/>
        </w:rPr>
        <w:t>para el cálculo de l</w:t>
      </w:r>
      <w:r w:rsidR="006047E7" w:rsidRPr="00B37101">
        <w:rPr>
          <w:rFonts w:ascii="Arial" w:hAnsi="Arial" w:cs="Arial"/>
          <w:sz w:val="22"/>
          <w:szCs w:val="22"/>
        </w:rPr>
        <w:t xml:space="preserve">as trayectorias de la deuda </w:t>
      </w:r>
      <w:r w:rsidR="00C52398" w:rsidRPr="00B37101">
        <w:rPr>
          <w:rFonts w:ascii="Arial" w:hAnsi="Arial" w:cs="Arial"/>
          <w:sz w:val="22"/>
          <w:szCs w:val="22"/>
        </w:rPr>
        <w:t>sin</w:t>
      </w:r>
      <w:r w:rsidR="006047E7" w:rsidRPr="00B37101">
        <w:rPr>
          <w:rFonts w:ascii="Arial" w:hAnsi="Arial" w:cs="Arial"/>
          <w:sz w:val="22"/>
          <w:szCs w:val="22"/>
        </w:rPr>
        <w:t xml:space="preserve"> y </w:t>
      </w:r>
      <w:r w:rsidR="00C52398" w:rsidRPr="00B37101">
        <w:rPr>
          <w:rFonts w:ascii="Arial" w:hAnsi="Arial" w:cs="Arial"/>
          <w:sz w:val="22"/>
          <w:szCs w:val="22"/>
        </w:rPr>
        <w:t>co</w:t>
      </w:r>
      <w:r w:rsidR="006047E7" w:rsidRPr="00B37101">
        <w:rPr>
          <w:rFonts w:ascii="Arial" w:hAnsi="Arial" w:cs="Arial"/>
          <w:sz w:val="22"/>
          <w:szCs w:val="22"/>
        </w:rPr>
        <w:t>n programa de consolidación fiscal (</w:t>
      </w:r>
      <m:oMath>
        <m:sSubSup>
          <m:sSubSupPr>
            <m:ctrlPr>
              <w:rPr>
                <w:rFonts w:ascii="Cambria Math" w:hAnsi="Cambria Math" w:cs="Arial"/>
                <w:sz w:val="22"/>
                <w:szCs w:val="22"/>
              </w:rPr>
            </m:ctrlPr>
          </m:sSubSupPr>
          <m:e>
            <m:r>
              <w:rPr>
                <w:rFonts w:ascii="Cambria Math" w:hAnsi="Cambria Math" w:cs="Arial"/>
                <w:sz w:val="22"/>
                <w:szCs w:val="22"/>
              </w:rPr>
              <m:t>d</m:t>
            </m:r>
          </m:e>
          <m:sub>
            <m:r>
              <w:rPr>
                <w:rFonts w:ascii="Cambria Math" w:hAnsi="Cambria Math" w:cs="Arial"/>
                <w:sz w:val="22"/>
                <w:szCs w:val="22"/>
              </w:rPr>
              <m:t>t</m:t>
            </m:r>
          </m:sub>
          <m:sup/>
        </m:sSubSup>
        <m:r>
          <m:rPr>
            <m:sty m:val="p"/>
          </m:rPr>
          <w:rPr>
            <w:rFonts w:ascii="Cambria Math" w:hAnsi="Cambria Math" w:cs="Arial"/>
            <w:sz w:val="22"/>
            <w:szCs w:val="22"/>
          </w:rPr>
          <m:t xml:space="preserve"> y </m:t>
        </m:r>
        <m:sSubSup>
          <m:sSubSupPr>
            <m:ctrlPr>
              <w:rPr>
                <w:rFonts w:ascii="Cambria Math" w:hAnsi="Cambria Math" w:cs="Arial"/>
                <w:sz w:val="22"/>
                <w:szCs w:val="22"/>
              </w:rPr>
            </m:ctrlPr>
          </m:sSubSupPr>
          <m:e>
            <m:r>
              <w:rPr>
                <w:rFonts w:ascii="Cambria Math" w:hAnsi="Cambria Math" w:cs="Arial"/>
                <w:sz w:val="22"/>
                <w:szCs w:val="22"/>
              </w:rPr>
              <m:t>d</m:t>
            </m:r>
          </m:e>
          <m:sub>
            <m:r>
              <w:rPr>
                <w:rFonts w:ascii="Cambria Math" w:hAnsi="Cambria Math" w:cs="Arial"/>
                <w:sz w:val="22"/>
                <w:szCs w:val="22"/>
              </w:rPr>
              <m:t>t</m:t>
            </m:r>
          </m:sub>
          <m:sup>
            <m:r>
              <w:rPr>
                <w:rFonts w:ascii="Cambria Math" w:hAnsi="Cambria Math" w:cs="Arial"/>
                <w:sz w:val="22"/>
                <w:szCs w:val="22"/>
              </w:rPr>
              <m:t>ϑ</m:t>
            </m:r>
          </m:sup>
        </m:sSubSup>
      </m:oMath>
      <w:r w:rsidR="006047E7" w:rsidRPr="00B37101">
        <w:rPr>
          <w:rFonts w:ascii="Arial" w:hAnsi="Arial" w:cs="Arial"/>
          <w:sz w:val="22"/>
          <w:szCs w:val="22"/>
        </w:rPr>
        <w:t>, respectivamente</w:t>
      </w:r>
      <w:r w:rsidR="00C52398">
        <w:rPr>
          <w:rStyle w:val="FootnoteReference"/>
          <w:rFonts w:ascii="Arial" w:hAnsi="Arial" w:cs="Arial"/>
          <w:sz w:val="22"/>
          <w:szCs w:val="22"/>
        </w:rPr>
        <w:footnoteReference w:id="19"/>
      </w:r>
      <w:r w:rsidR="006047E7" w:rsidRPr="00B37101">
        <w:rPr>
          <w:rFonts w:ascii="Arial" w:hAnsi="Arial" w:cs="Arial"/>
          <w:sz w:val="22"/>
          <w:szCs w:val="22"/>
        </w:rPr>
        <w:t xml:space="preserve">), </w:t>
      </w:r>
      <w:r w:rsidR="00C52398" w:rsidRPr="00B37101">
        <w:rPr>
          <w:rFonts w:ascii="Arial" w:hAnsi="Arial" w:cs="Arial"/>
          <w:sz w:val="22"/>
          <w:szCs w:val="22"/>
        </w:rPr>
        <w:t xml:space="preserve">es posible calcular </w:t>
      </w:r>
      <w:r w:rsidR="006047E7" w:rsidRPr="00B37101">
        <w:rPr>
          <w:rFonts w:ascii="Arial" w:hAnsi="Arial" w:cs="Arial"/>
          <w:sz w:val="22"/>
          <w:szCs w:val="22"/>
        </w:rPr>
        <w:t>el cambio en el nivel de deuda consecuencia del programa de consolidación</w:t>
      </w:r>
      <w:r w:rsidR="00C52398" w:rsidRPr="00B37101">
        <w:rPr>
          <w:rFonts w:ascii="Arial" w:hAnsi="Arial" w:cs="Arial"/>
          <w:sz w:val="22"/>
          <w:szCs w:val="22"/>
        </w:rPr>
        <w:t xml:space="preserve"> de la siguiente manera:</w:t>
      </w:r>
      <w:r w:rsidR="009027B3">
        <w:rPr>
          <w:rFonts w:ascii="Arial" w:hAnsi="Arial" w:cs="Arial"/>
          <w:sz w:val="22"/>
          <w:szCs w:val="22"/>
        </w:rPr>
        <w:t xml:space="preserve"> </w:t>
      </w:r>
    </w:p>
    <w:p w14:paraId="45889375" w14:textId="580CE8DC" w:rsidR="006047E7" w:rsidRPr="006047E7" w:rsidRDefault="006047E7" w:rsidP="00C52398">
      <w:pPr>
        <w:tabs>
          <w:tab w:val="center" w:pos="4680"/>
          <w:tab w:val="right" w:pos="8640"/>
        </w:tabs>
        <w:spacing w:after="120" w:line="276" w:lineRule="auto"/>
        <w:ind w:left="720"/>
        <w:rPr>
          <w:rFonts w:ascii="Arial" w:hAnsi="Arial" w:cs="Arial"/>
          <w:sz w:val="22"/>
          <w:szCs w:val="22"/>
          <w:lang w:val="es-ES"/>
        </w:rPr>
      </w:pPr>
      <w:r>
        <w:rPr>
          <w:sz w:val="22"/>
          <w:szCs w:val="22"/>
          <w:lang w:val="es-ES"/>
        </w:rPr>
        <w:tab/>
      </w:r>
      <m:oMath>
        <m:sSubSup>
          <m:sSubSupPr>
            <m:ctrlPr>
              <w:rPr>
                <w:rFonts w:ascii="Cambria Math" w:hAnsi="Cambria Math" w:cs="Arial"/>
                <w:sz w:val="22"/>
                <w:szCs w:val="22"/>
                <w:lang w:val="es-ES"/>
              </w:rPr>
            </m:ctrlPr>
          </m:sSubSupPr>
          <m:e>
            <m:r>
              <m:rPr>
                <m:sty m:val="p"/>
              </m:rPr>
              <w:rPr>
                <w:rFonts w:ascii="Cambria Math" w:hAnsi="Cambria Math" w:cs="Arial"/>
                <w:sz w:val="22"/>
                <w:szCs w:val="22"/>
                <w:lang w:val="es-ES"/>
              </w:rPr>
              <m:t>∆</m:t>
            </m:r>
            <m:r>
              <w:rPr>
                <w:rFonts w:ascii="Cambria Math" w:hAnsi="Cambria Math" w:cs="Arial"/>
                <w:sz w:val="22"/>
                <w:szCs w:val="22"/>
                <w:lang w:val="es-ES"/>
              </w:rPr>
              <m:t>d</m:t>
            </m:r>
          </m:e>
          <m:sub>
            <m:r>
              <w:rPr>
                <w:rFonts w:ascii="Cambria Math" w:hAnsi="Cambria Math" w:cs="Arial"/>
                <w:sz w:val="22"/>
                <w:szCs w:val="22"/>
                <w:lang w:val="es-ES"/>
              </w:rPr>
              <m:t>t</m:t>
            </m:r>
          </m:sub>
          <m:sup/>
        </m:sSubSup>
        <m:r>
          <m:rPr>
            <m:sty m:val="p"/>
          </m:rPr>
          <w:rPr>
            <w:rFonts w:ascii="Cambria Math" w:hAnsi="Cambria Math" w:cs="Arial"/>
            <w:sz w:val="22"/>
            <w:szCs w:val="22"/>
            <w:lang w:val="es-ES"/>
          </w:rPr>
          <m:t>=</m:t>
        </m:r>
        <m:sSubSup>
          <m:sSubSupPr>
            <m:ctrlPr>
              <w:rPr>
                <w:rFonts w:ascii="Cambria Math" w:hAnsi="Cambria Math" w:cs="Arial"/>
                <w:sz w:val="22"/>
                <w:szCs w:val="22"/>
                <w:lang w:val="es-ES"/>
              </w:rPr>
            </m:ctrlPr>
          </m:sSubSupPr>
          <m:e>
            <m:r>
              <w:rPr>
                <w:rFonts w:ascii="Cambria Math" w:hAnsi="Cambria Math" w:cs="Arial"/>
                <w:sz w:val="22"/>
                <w:szCs w:val="22"/>
                <w:lang w:val="es-ES"/>
              </w:rPr>
              <m:t>d</m:t>
            </m:r>
          </m:e>
          <m:sub>
            <m:r>
              <w:rPr>
                <w:rFonts w:ascii="Cambria Math" w:hAnsi="Cambria Math" w:cs="Arial"/>
                <w:sz w:val="22"/>
                <w:szCs w:val="22"/>
                <w:lang w:val="es-ES"/>
              </w:rPr>
              <m:t>t</m:t>
            </m:r>
          </m:sub>
          <m:sup/>
        </m:sSubSup>
        <m:r>
          <m:rPr>
            <m:sty m:val="p"/>
          </m:rPr>
          <w:rPr>
            <w:rFonts w:ascii="Cambria Math" w:hAnsi="Cambria Math" w:cs="Arial"/>
            <w:sz w:val="22"/>
            <w:szCs w:val="22"/>
            <w:lang w:val="es-ES"/>
          </w:rPr>
          <m:t xml:space="preserve">- </m:t>
        </m:r>
        <m:sSubSup>
          <m:sSubSupPr>
            <m:ctrlPr>
              <w:rPr>
                <w:rFonts w:ascii="Cambria Math" w:hAnsi="Cambria Math" w:cs="Arial"/>
                <w:sz w:val="22"/>
                <w:szCs w:val="22"/>
                <w:lang w:val="es-ES"/>
              </w:rPr>
            </m:ctrlPr>
          </m:sSubSupPr>
          <m:e>
            <m:r>
              <w:rPr>
                <w:rFonts w:ascii="Cambria Math" w:hAnsi="Cambria Math" w:cs="Arial"/>
                <w:sz w:val="22"/>
                <w:szCs w:val="22"/>
                <w:lang w:val="es-ES"/>
              </w:rPr>
              <m:t>d</m:t>
            </m:r>
          </m:e>
          <m:sub>
            <m:r>
              <w:rPr>
                <w:rFonts w:ascii="Cambria Math" w:hAnsi="Cambria Math" w:cs="Arial"/>
                <w:sz w:val="22"/>
                <w:szCs w:val="22"/>
                <w:lang w:val="es-ES"/>
              </w:rPr>
              <m:t>t</m:t>
            </m:r>
          </m:sub>
          <m:sup>
            <m:r>
              <w:rPr>
                <w:rFonts w:ascii="Cambria Math" w:hAnsi="Cambria Math" w:cs="Arial"/>
                <w:sz w:val="22"/>
                <w:szCs w:val="22"/>
                <w:lang w:val="es-ES"/>
              </w:rPr>
              <m:t>ϑ</m:t>
            </m:r>
          </m:sup>
        </m:sSubSup>
      </m:oMath>
      <w:r w:rsidRPr="006047E7">
        <w:rPr>
          <w:rFonts w:ascii="Arial" w:hAnsi="Arial" w:cs="Arial"/>
          <w:sz w:val="22"/>
          <w:szCs w:val="22"/>
          <w:lang w:val="es-ES"/>
        </w:rPr>
        <w:t xml:space="preserve"> </w:t>
      </w:r>
      <w:r>
        <w:rPr>
          <w:rFonts w:ascii="Arial" w:hAnsi="Arial" w:cs="Arial"/>
          <w:sz w:val="22"/>
          <w:szCs w:val="22"/>
          <w:lang w:val="es-ES"/>
        </w:rPr>
        <w:tab/>
      </w:r>
      <w:r w:rsidRPr="006047E7">
        <w:rPr>
          <w:rFonts w:ascii="Arial" w:hAnsi="Arial" w:cs="Arial"/>
          <w:sz w:val="22"/>
          <w:szCs w:val="22"/>
          <w:lang w:val="es-ES"/>
        </w:rPr>
        <w:t>(</w:t>
      </w:r>
      <w:r w:rsidR="00B37101">
        <w:rPr>
          <w:rFonts w:ascii="Arial" w:hAnsi="Arial" w:cs="Arial"/>
          <w:sz w:val="22"/>
          <w:szCs w:val="22"/>
          <w:lang w:val="es-ES"/>
        </w:rPr>
        <w:t>2</w:t>
      </w:r>
      <w:r w:rsidRPr="006047E7">
        <w:rPr>
          <w:rFonts w:ascii="Arial" w:hAnsi="Arial" w:cs="Arial"/>
          <w:sz w:val="22"/>
          <w:szCs w:val="22"/>
          <w:lang w:val="es-ES"/>
        </w:rPr>
        <w:t>)</w:t>
      </w:r>
    </w:p>
    <w:p w14:paraId="19433626" w14:textId="70ACB2E9" w:rsidR="006047E7" w:rsidRDefault="00B37101" w:rsidP="00B37101">
      <w:pPr>
        <w:pStyle w:val="Paragraph"/>
        <w:numPr>
          <w:ilvl w:val="0"/>
          <w:numId w:val="0"/>
        </w:numPr>
        <w:spacing w:after="0"/>
        <w:ind w:left="720"/>
        <w:rPr>
          <w:rFonts w:ascii="Arial" w:hAnsi="Arial" w:cs="Arial"/>
          <w:sz w:val="22"/>
          <w:szCs w:val="22"/>
        </w:rPr>
      </w:pPr>
      <w:r>
        <w:rPr>
          <w:rFonts w:ascii="Arial" w:hAnsi="Arial" w:cs="Arial"/>
          <w:sz w:val="22"/>
          <w:szCs w:val="22"/>
        </w:rPr>
        <w:t>donde</w:t>
      </w:r>
      <w:r w:rsidR="006047E7" w:rsidRPr="006047E7">
        <w:rPr>
          <w:rFonts w:ascii="Arial" w:hAnsi="Arial" w:cs="Arial"/>
          <w:sz w:val="22"/>
          <w:szCs w:val="22"/>
        </w:rPr>
        <w:t xml:space="preserve">, </w:t>
      </w:r>
      <m:oMath>
        <m:sSubSup>
          <m:sSubSupPr>
            <m:ctrlPr>
              <w:rPr>
                <w:rFonts w:ascii="Cambria Math" w:hAnsi="Cambria Math" w:cs="Arial"/>
                <w:sz w:val="22"/>
                <w:szCs w:val="22"/>
              </w:rPr>
            </m:ctrlPr>
          </m:sSubSupPr>
          <m:e>
            <m:r>
              <m:rPr>
                <m:sty m:val="p"/>
              </m:rPr>
              <w:rPr>
                <w:rFonts w:ascii="Cambria Math" w:hAnsi="Cambria Math" w:cs="Arial"/>
                <w:sz w:val="22"/>
                <w:szCs w:val="22"/>
              </w:rPr>
              <m:t>∆</m:t>
            </m:r>
            <m:r>
              <w:rPr>
                <w:rFonts w:ascii="Cambria Math" w:hAnsi="Cambria Math" w:cs="Arial"/>
                <w:sz w:val="22"/>
                <w:szCs w:val="22"/>
              </w:rPr>
              <m:t>d</m:t>
            </m:r>
          </m:e>
          <m:sub>
            <m:r>
              <w:rPr>
                <w:rFonts w:ascii="Cambria Math" w:hAnsi="Cambria Math" w:cs="Arial"/>
                <w:sz w:val="22"/>
                <w:szCs w:val="22"/>
              </w:rPr>
              <m:t>t</m:t>
            </m:r>
          </m:sub>
          <m:sup/>
        </m:sSubSup>
        <m:r>
          <m:rPr>
            <m:sty m:val="p"/>
          </m:rPr>
          <w:rPr>
            <w:rFonts w:ascii="Cambria Math" w:hAnsi="Cambria Math" w:cs="Arial"/>
            <w:sz w:val="22"/>
            <w:szCs w:val="22"/>
          </w:rPr>
          <m:t xml:space="preserve"> </m:t>
        </m:r>
      </m:oMath>
      <w:r w:rsidR="006047E7" w:rsidRPr="006047E7">
        <w:rPr>
          <w:rFonts w:ascii="Arial" w:hAnsi="Arial" w:cs="Arial"/>
          <w:sz w:val="22"/>
          <w:szCs w:val="22"/>
        </w:rPr>
        <w:t>es el primer factor considerado en el cálculo del ahorro financiero fiscal. Consecuencia del menor nivel de endeudamiento, para una tasa de interés dada, el gobierno enfrentará menores pagos de intereses y obtendrá, por lo tanto, un ahorro financiero</w:t>
      </w:r>
      <w:r>
        <w:rPr>
          <w:rFonts w:ascii="Arial" w:hAnsi="Arial" w:cs="Arial"/>
          <w:sz w:val="22"/>
          <w:szCs w:val="22"/>
        </w:rPr>
        <w:t>.</w:t>
      </w:r>
    </w:p>
    <w:p w14:paraId="2C588FAE" w14:textId="1868B2FD" w:rsidR="00B37101" w:rsidRPr="00024403" w:rsidRDefault="00B37101" w:rsidP="00B37101">
      <w:pPr>
        <w:pStyle w:val="Paragraph"/>
        <w:tabs>
          <w:tab w:val="clear" w:pos="2448"/>
        </w:tabs>
        <w:ind w:left="720" w:hanging="763"/>
        <w:rPr>
          <w:rFonts w:ascii="Arial" w:hAnsi="Arial" w:cs="Arial"/>
          <w:sz w:val="22"/>
          <w:szCs w:val="22"/>
        </w:rPr>
      </w:pPr>
      <w:r w:rsidRPr="00185406">
        <w:rPr>
          <w:rFonts w:ascii="Arial" w:hAnsi="Arial" w:cs="Arial"/>
          <w:i/>
          <w:sz w:val="22"/>
          <w:szCs w:val="22"/>
        </w:rPr>
        <w:t xml:space="preserve">Efecto </w:t>
      </w:r>
      <w:r w:rsidR="00C04A35">
        <w:rPr>
          <w:rFonts w:ascii="Arial" w:hAnsi="Arial" w:cs="Arial"/>
          <w:i/>
          <w:sz w:val="22"/>
          <w:szCs w:val="22"/>
        </w:rPr>
        <w:t>del nivel de deuda en las tasas de interés</w:t>
      </w:r>
      <w:r w:rsidRPr="00B37101">
        <w:rPr>
          <w:rFonts w:ascii="Arial" w:hAnsi="Arial" w:cs="Arial"/>
          <w:i/>
          <w:sz w:val="22"/>
          <w:szCs w:val="22"/>
        </w:rPr>
        <w:t>.</w:t>
      </w:r>
      <w:r w:rsidR="009027B3">
        <w:rPr>
          <w:rFonts w:ascii="Arial" w:hAnsi="Arial" w:cs="Arial"/>
          <w:i/>
          <w:sz w:val="22"/>
          <w:szCs w:val="22"/>
        </w:rPr>
        <w:t xml:space="preserve"> </w:t>
      </w:r>
      <w:r w:rsidR="005F2F4E" w:rsidRPr="005F2F4E">
        <w:rPr>
          <w:rFonts w:ascii="Arial" w:hAnsi="Arial" w:cs="Arial"/>
          <w:sz w:val="22"/>
          <w:szCs w:val="22"/>
        </w:rPr>
        <w:t>La segunda fuente de reducción en el costo financiero es el efecto que tiene el programa de consolidación fiscal en la tasa de interés sobre la deuda del gobierno y</w:t>
      </w:r>
      <w:r w:rsidR="007B0ECC">
        <w:rPr>
          <w:rFonts w:ascii="Arial" w:hAnsi="Arial" w:cs="Arial"/>
          <w:sz w:val="22"/>
          <w:szCs w:val="22"/>
        </w:rPr>
        <w:t>,</w:t>
      </w:r>
      <w:r w:rsidR="005F2F4E" w:rsidRPr="005F2F4E">
        <w:rPr>
          <w:rFonts w:ascii="Arial" w:hAnsi="Arial" w:cs="Arial"/>
          <w:sz w:val="22"/>
          <w:szCs w:val="22"/>
        </w:rPr>
        <w:t xml:space="preserve"> por ende</w:t>
      </w:r>
      <w:r w:rsidR="007B0ECC">
        <w:rPr>
          <w:rFonts w:ascii="Arial" w:hAnsi="Arial" w:cs="Arial"/>
          <w:sz w:val="22"/>
          <w:szCs w:val="22"/>
        </w:rPr>
        <w:t>,</w:t>
      </w:r>
      <w:r w:rsidR="005F2F4E" w:rsidRPr="005F2F4E">
        <w:rPr>
          <w:rFonts w:ascii="Arial" w:hAnsi="Arial" w:cs="Arial"/>
          <w:sz w:val="22"/>
          <w:szCs w:val="22"/>
        </w:rPr>
        <w:t xml:space="preserve"> en el costo promedio de la deuda soberana.</w:t>
      </w:r>
      <w:r w:rsidR="005F2F4E">
        <w:rPr>
          <w:rStyle w:val="FootnoteReference"/>
          <w:rFonts w:ascii="Arial" w:hAnsi="Arial" w:cs="Arial"/>
          <w:sz w:val="22"/>
          <w:szCs w:val="22"/>
        </w:rPr>
        <w:footnoteReference w:id="20"/>
      </w:r>
      <w:r w:rsidR="009027B3">
        <w:rPr>
          <w:rFonts w:ascii="Arial" w:hAnsi="Arial" w:cs="Arial"/>
          <w:sz w:val="22"/>
          <w:szCs w:val="22"/>
        </w:rPr>
        <w:t xml:space="preserve"> </w:t>
      </w:r>
      <w:r w:rsidR="007B0ECC" w:rsidRPr="007B0ECC">
        <w:rPr>
          <w:rFonts w:ascii="Arial" w:hAnsi="Arial" w:cs="Arial"/>
          <w:sz w:val="22"/>
          <w:szCs w:val="22"/>
        </w:rPr>
        <w:t>En términos generales, la relación entre el déficit público y la tasa de interés puede entenderse al analizar los componentes de la tasa de interés nominal que paga un gobierno sobre su deuda</w:t>
      </w:r>
      <w:r w:rsidR="007B0ECC">
        <w:rPr>
          <w:rFonts w:ascii="Arial" w:hAnsi="Arial" w:cs="Arial"/>
          <w:sz w:val="22"/>
          <w:szCs w:val="22"/>
        </w:rPr>
        <w:t>, que incluyen la tasa de interés real, la tasa de inflación esperada, la prima de riesgo crediticio, así como otras primas usualmente incluidas (de liquidez, de plazo, etc.).</w:t>
      </w:r>
      <w:r w:rsidR="009027B3">
        <w:rPr>
          <w:rFonts w:ascii="Arial" w:hAnsi="Arial" w:cs="Arial"/>
          <w:sz w:val="22"/>
          <w:szCs w:val="22"/>
        </w:rPr>
        <w:t xml:space="preserve"> </w:t>
      </w:r>
      <w:r w:rsidR="007B0ECC" w:rsidRPr="007B0ECC">
        <w:rPr>
          <w:rFonts w:ascii="Arial" w:hAnsi="Arial" w:cs="Arial"/>
          <w:sz w:val="22"/>
          <w:szCs w:val="22"/>
        </w:rPr>
        <w:t xml:space="preserve">El efecto del programa de consolidación fiscal en la tasa de interés se da por el impacto que el mismo tiene en el balance primario y en el nivel de deuda del gobierno. Este efecto se da por distintos canales de transmisión a las tasas de interés, los cuales vienen </w:t>
      </w:r>
      <w:r w:rsidR="007B0ECC" w:rsidRPr="007B0ECC">
        <w:rPr>
          <w:rFonts w:ascii="Arial" w:hAnsi="Arial" w:cs="Arial"/>
          <w:sz w:val="22"/>
          <w:szCs w:val="22"/>
        </w:rPr>
        <w:lastRenderedPageBreak/>
        <w:t>determinados por los componentes anteriormente mencionados</w:t>
      </w:r>
      <w:r w:rsidR="007B0ECC">
        <w:rPr>
          <w:rFonts w:ascii="Arial" w:hAnsi="Arial" w:cs="Arial"/>
          <w:sz w:val="22"/>
          <w:szCs w:val="22"/>
        </w:rPr>
        <w:t>.</w:t>
      </w:r>
      <w:r w:rsidR="009027B3">
        <w:rPr>
          <w:rFonts w:ascii="Arial" w:hAnsi="Arial" w:cs="Arial"/>
          <w:sz w:val="22"/>
          <w:szCs w:val="22"/>
        </w:rPr>
        <w:t xml:space="preserve"> </w:t>
      </w:r>
      <w:r w:rsidR="007B0ECC" w:rsidRPr="007B0ECC">
        <w:rPr>
          <w:rFonts w:ascii="Arial" w:hAnsi="Arial" w:cs="Arial"/>
          <w:sz w:val="22"/>
          <w:szCs w:val="22"/>
        </w:rPr>
        <w:t xml:space="preserve">Como consecuencia de estos canales de transmisión, un programa de consolidación fiscal que involucre la reducción del déficit público, y por ende de la deuda pública, llevará a una reducción en la tasa de interés que un gobierno paga sobre su deuda. </w:t>
      </w:r>
      <w:r w:rsidR="007B0ECC" w:rsidRPr="00024403">
        <w:rPr>
          <w:rFonts w:ascii="Arial" w:hAnsi="Arial" w:cs="Arial"/>
          <w:sz w:val="22"/>
          <w:szCs w:val="22"/>
        </w:rPr>
        <w:t xml:space="preserve">Asumiendo que existe una relación monotónicamente creciente entre deuda pública y tasa de interés, esta relación </w:t>
      </w:r>
      <w:r w:rsidR="00024403" w:rsidRPr="00024403">
        <w:rPr>
          <w:rFonts w:ascii="Arial" w:hAnsi="Arial" w:cs="Arial"/>
          <w:sz w:val="22"/>
          <w:szCs w:val="22"/>
        </w:rPr>
        <w:t xml:space="preserve">puede expresarse </w:t>
      </w:r>
      <w:r w:rsidR="007B0ECC" w:rsidRPr="00024403">
        <w:rPr>
          <w:rFonts w:ascii="Arial" w:hAnsi="Arial" w:cs="Arial"/>
          <w:sz w:val="22"/>
          <w:szCs w:val="22"/>
        </w:rPr>
        <w:t>a través de una función</w:t>
      </w:r>
      <w:r w:rsidR="00DC432C">
        <w:rPr>
          <w:rFonts w:ascii="Arial" w:hAnsi="Arial" w:cs="Arial"/>
          <w:sz w:val="22"/>
          <w:szCs w:val="22"/>
        </w:rPr>
        <w:t>,</w:t>
      </w:r>
      <w:r w:rsidR="009027B3">
        <w:rPr>
          <w:rFonts w:ascii="Arial" w:hAnsi="Arial" w:cs="Arial"/>
          <w:sz w:val="22"/>
          <w:szCs w:val="22"/>
        </w:rPr>
        <w:t xml:space="preserve"> </w:t>
      </w:r>
      <m:oMath>
        <m:r>
          <w:rPr>
            <w:rFonts w:ascii="Cambria Math" w:hAnsi="Cambria Math"/>
            <w:sz w:val="22"/>
            <w:szCs w:val="22"/>
          </w:rPr>
          <m:t>f(∙</m:t>
        </m:r>
        <m:r>
          <m:rPr>
            <m:sty m:val="p"/>
          </m:rPr>
          <w:rPr>
            <w:rFonts w:ascii="Cambria Math" w:hAnsi="Cambria Math"/>
            <w:sz w:val="22"/>
            <w:szCs w:val="22"/>
          </w:rPr>
          <m:t>)</m:t>
        </m:r>
      </m:oMath>
      <w:r w:rsidR="00DC432C">
        <w:rPr>
          <w:rFonts w:ascii="Arial" w:hAnsi="Arial" w:cs="Arial"/>
          <w:sz w:val="22"/>
          <w:szCs w:val="22"/>
        </w:rPr>
        <w:t xml:space="preserve">, </w:t>
      </w:r>
      <w:r w:rsidR="007B0ECC" w:rsidRPr="00024403">
        <w:rPr>
          <w:rFonts w:ascii="Arial" w:hAnsi="Arial" w:cs="Arial"/>
          <w:sz w:val="22"/>
          <w:szCs w:val="22"/>
        </w:rPr>
        <w:t>como</w:t>
      </w:r>
      <w:r w:rsidR="00024403" w:rsidRPr="00024403">
        <w:rPr>
          <w:rFonts w:ascii="Arial" w:hAnsi="Arial" w:cs="Arial"/>
          <w:sz w:val="22"/>
          <w:szCs w:val="22"/>
        </w:rPr>
        <w:t>:</w:t>
      </w:r>
    </w:p>
    <w:p w14:paraId="121EC2C2" w14:textId="05E0A325" w:rsidR="00024403" w:rsidRPr="00024403" w:rsidRDefault="00024403" w:rsidP="00024403">
      <w:pPr>
        <w:tabs>
          <w:tab w:val="center" w:pos="4680"/>
          <w:tab w:val="right" w:pos="8640"/>
        </w:tabs>
        <w:spacing w:after="120" w:line="276" w:lineRule="auto"/>
        <w:ind w:left="720"/>
        <w:rPr>
          <w:rFonts w:ascii="Arial" w:hAnsi="Arial" w:cs="Arial"/>
          <w:sz w:val="22"/>
          <w:szCs w:val="22"/>
          <w:lang w:val="es-ES"/>
        </w:rPr>
      </w:pPr>
      <w:r>
        <w:rPr>
          <w:rFonts w:ascii="Arial" w:hAnsi="Arial" w:cs="Arial"/>
          <w:sz w:val="22"/>
          <w:szCs w:val="22"/>
          <w:lang w:val="es-ES"/>
        </w:rPr>
        <w:tab/>
      </w:r>
      <m:oMath>
        <m:sSubSup>
          <m:sSubSupPr>
            <m:ctrlPr>
              <w:rPr>
                <w:rFonts w:ascii="Cambria Math" w:hAnsi="Cambria Math"/>
                <w:sz w:val="22"/>
                <w:szCs w:val="22"/>
                <w:lang w:val="es-ES"/>
              </w:rPr>
            </m:ctrlPr>
          </m:sSubSupPr>
          <m:e>
            <m:r>
              <w:rPr>
                <w:rFonts w:ascii="Cambria Math" w:hAnsi="Cambria Math"/>
                <w:sz w:val="22"/>
                <w:szCs w:val="22"/>
                <w:lang w:val="es-ES"/>
              </w:rPr>
              <m:t>i</m:t>
            </m:r>
          </m:e>
          <m:sub>
            <m:r>
              <w:rPr>
                <w:rFonts w:ascii="Cambria Math" w:hAnsi="Cambria Math"/>
                <w:sz w:val="22"/>
                <w:szCs w:val="22"/>
                <w:lang w:val="es-ES"/>
              </w:rPr>
              <m:t>t</m:t>
            </m:r>
          </m:sub>
          <m:sup/>
        </m:sSubSup>
        <m:sSubSup>
          <m:sSubSupPr>
            <m:ctrlPr>
              <w:rPr>
                <w:rFonts w:ascii="Cambria Math" w:hAnsi="Cambria Math"/>
                <w:sz w:val="22"/>
                <w:szCs w:val="22"/>
                <w:lang w:val="es-ES"/>
              </w:rPr>
            </m:ctrlPr>
          </m:sSubSupPr>
          <m:e>
            <m:r>
              <m:rPr>
                <m:sty m:val="p"/>
              </m:rPr>
              <w:rPr>
                <w:rFonts w:ascii="Cambria Math" w:hAnsi="Cambria Math"/>
                <w:sz w:val="22"/>
                <w:szCs w:val="22"/>
                <w:lang w:val="es-ES"/>
              </w:rPr>
              <m:t>(</m:t>
            </m:r>
            <m:r>
              <w:rPr>
                <w:rFonts w:ascii="Cambria Math" w:hAnsi="Cambria Math"/>
                <w:sz w:val="22"/>
                <w:szCs w:val="22"/>
                <w:lang w:val="es-ES"/>
              </w:rPr>
              <m:t>d</m:t>
            </m:r>
          </m:e>
          <m:sub>
            <m:r>
              <w:rPr>
                <w:rFonts w:ascii="Cambria Math" w:hAnsi="Cambria Math"/>
                <w:sz w:val="22"/>
                <w:szCs w:val="22"/>
                <w:lang w:val="es-ES"/>
              </w:rPr>
              <m:t>t</m:t>
            </m:r>
          </m:sub>
          <m:sup/>
        </m:sSubSup>
        <m:r>
          <m:rPr>
            <m:sty m:val="p"/>
          </m:rPr>
          <w:rPr>
            <w:rFonts w:ascii="Cambria Math" w:hAnsi="Cambria Math"/>
            <w:sz w:val="22"/>
            <w:szCs w:val="22"/>
            <w:lang w:val="es-ES"/>
          </w:rPr>
          <m:t>)=</m:t>
        </m:r>
        <m:sSubSup>
          <m:sSubSupPr>
            <m:ctrlPr>
              <w:rPr>
                <w:rFonts w:ascii="Cambria Math" w:hAnsi="Cambria Math"/>
                <w:sz w:val="22"/>
                <w:szCs w:val="22"/>
                <w:lang w:val="es-ES"/>
              </w:rPr>
            </m:ctrlPr>
          </m:sSubSupPr>
          <m:e>
            <m:r>
              <w:rPr>
                <w:rFonts w:ascii="Cambria Math" w:hAnsi="Cambria Math"/>
                <w:sz w:val="22"/>
                <w:szCs w:val="22"/>
                <w:lang w:val="es-ES"/>
              </w:rPr>
              <m:t>f</m:t>
            </m:r>
            <m:r>
              <m:rPr>
                <m:sty m:val="p"/>
              </m:rPr>
              <w:rPr>
                <w:rFonts w:ascii="Cambria Math" w:hAnsi="Cambria Math"/>
                <w:sz w:val="22"/>
                <w:szCs w:val="22"/>
                <w:lang w:val="es-ES"/>
              </w:rPr>
              <m:t>(</m:t>
            </m:r>
            <m:r>
              <w:rPr>
                <w:rFonts w:ascii="Cambria Math" w:hAnsi="Cambria Math"/>
                <w:sz w:val="22"/>
                <w:szCs w:val="22"/>
                <w:lang w:val="es-ES"/>
              </w:rPr>
              <m:t>d</m:t>
            </m:r>
          </m:e>
          <m:sub>
            <m:r>
              <w:rPr>
                <w:rFonts w:ascii="Cambria Math" w:hAnsi="Cambria Math"/>
                <w:sz w:val="22"/>
                <w:szCs w:val="22"/>
                <w:lang w:val="es-ES"/>
              </w:rPr>
              <m:t>t</m:t>
            </m:r>
          </m:sub>
          <m:sup/>
        </m:sSubSup>
        <m:r>
          <m:rPr>
            <m:sty m:val="p"/>
          </m:rPr>
          <w:rPr>
            <w:rFonts w:ascii="Cambria Math" w:hAnsi="Cambria Math"/>
            <w:sz w:val="22"/>
            <w:szCs w:val="22"/>
            <w:lang w:val="es-ES"/>
          </w:rPr>
          <m:t>)</m:t>
        </m:r>
      </m:oMath>
      <w:r>
        <w:rPr>
          <w:sz w:val="22"/>
          <w:szCs w:val="22"/>
          <w:lang w:val="es-ES"/>
        </w:rPr>
        <w:tab/>
      </w:r>
      <w:r w:rsidRPr="00024403">
        <w:rPr>
          <w:rFonts w:ascii="Arial" w:hAnsi="Arial" w:cs="Arial"/>
          <w:sz w:val="22"/>
          <w:szCs w:val="22"/>
          <w:lang w:val="es-ES"/>
        </w:rPr>
        <w:t>(3)</w:t>
      </w:r>
    </w:p>
    <w:p w14:paraId="6F04EEA7" w14:textId="46C5EBF8" w:rsidR="0004682B" w:rsidRDefault="00DC432C" w:rsidP="00B37101">
      <w:pPr>
        <w:pStyle w:val="Paragraph"/>
        <w:tabs>
          <w:tab w:val="clear" w:pos="2448"/>
        </w:tabs>
        <w:ind w:left="720" w:hanging="763"/>
        <w:rPr>
          <w:rFonts w:ascii="Arial" w:hAnsi="Arial" w:cs="Arial"/>
          <w:sz w:val="22"/>
          <w:szCs w:val="22"/>
        </w:rPr>
      </w:pPr>
      <w:r>
        <w:rPr>
          <w:rFonts w:ascii="Arial" w:hAnsi="Arial" w:cs="Arial"/>
          <w:sz w:val="22"/>
          <w:szCs w:val="22"/>
        </w:rPr>
        <w:t>La ecuación (3) indica que el nivel de la tasa de interés es una función incremental del nivel de deuda pública.</w:t>
      </w:r>
      <w:r w:rsidR="009027B3">
        <w:rPr>
          <w:rFonts w:ascii="Arial" w:hAnsi="Arial" w:cs="Arial"/>
          <w:sz w:val="22"/>
          <w:szCs w:val="22"/>
        </w:rPr>
        <w:t xml:space="preserve"> </w:t>
      </w:r>
      <w:r w:rsidR="00024403" w:rsidRPr="0004682B">
        <w:rPr>
          <w:rFonts w:ascii="Arial" w:hAnsi="Arial" w:cs="Arial"/>
          <w:sz w:val="22"/>
          <w:szCs w:val="22"/>
        </w:rPr>
        <w:t>El</w:t>
      </w:r>
      <w:r w:rsidR="00024403">
        <w:rPr>
          <w:rFonts w:ascii="Arial" w:hAnsi="Arial" w:cs="Arial"/>
          <w:sz w:val="22"/>
          <w:szCs w:val="22"/>
        </w:rPr>
        <w:t xml:space="preserve"> Gráfico 1 </w:t>
      </w:r>
      <w:r>
        <w:rPr>
          <w:rFonts w:ascii="Arial" w:hAnsi="Arial" w:cs="Arial"/>
          <w:sz w:val="22"/>
          <w:szCs w:val="22"/>
        </w:rPr>
        <w:t xml:space="preserve">ilustra </w:t>
      </w:r>
      <w:r w:rsidR="00024403">
        <w:rPr>
          <w:rFonts w:ascii="Arial" w:hAnsi="Arial" w:cs="Arial"/>
          <w:sz w:val="22"/>
          <w:szCs w:val="22"/>
        </w:rPr>
        <w:t>esta relación</w:t>
      </w:r>
      <w:r w:rsidR="00024403" w:rsidRPr="00A7612E">
        <w:rPr>
          <w:rFonts w:ascii="Arial" w:hAnsi="Arial" w:cs="Arial"/>
          <w:sz w:val="22"/>
          <w:szCs w:val="22"/>
        </w:rPr>
        <w:t>.</w:t>
      </w:r>
      <w:r w:rsidR="009027B3">
        <w:rPr>
          <w:rFonts w:ascii="Arial" w:hAnsi="Arial" w:cs="Arial"/>
          <w:sz w:val="22"/>
          <w:szCs w:val="22"/>
        </w:rPr>
        <w:t xml:space="preserve"> </w:t>
      </w:r>
      <w:r w:rsidR="00024403" w:rsidRPr="00A7612E">
        <w:rPr>
          <w:rFonts w:ascii="Arial" w:hAnsi="Arial" w:cs="Arial"/>
          <w:sz w:val="22"/>
          <w:szCs w:val="22"/>
        </w:rPr>
        <w:t>Bajo el supuesto de que</w:t>
      </w:r>
      <w:r w:rsidR="00024403">
        <w:rPr>
          <w:rFonts w:ascii="Arial" w:hAnsi="Arial" w:cs="Arial"/>
          <w:sz w:val="22"/>
          <w:szCs w:val="22"/>
        </w:rPr>
        <w:t xml:space="preserve"> el programa de consolidación genera una reducción de</w:t>
      </w:r>
      <w:r w:rsidR="00024403" w:rsidRPr="00A7612E">
        <w:rPr>
          <w:rFonts w:ascii="Arial" w:hAnsi="Arial" w:cs="Arial"/>
          <w:sz w:val="22"/>
          <w:szCs w:val="22"/>
        </w:rPr>
        <w:t xml:space="preserve"> la tasa de interés de </w:t>
      </w:r>
      <m:oMath>
        <m:sSubSup>
          <m:sSubSupPr>
            <m:ctrlPr>
              <w:rPr>
                <w:rFonts w:ascii="Cambria Math" w:hAnsi="Cambria Math"/>
                <w:sz w:val="22"/>
                <w:szCs w:val="22"/>
              </w:rPr>
            </m:ctrlPr>
          </m:sSubSupPr>
          <m:e>
            <m:r>
              <w:rPr>
                <w:rFonts w:ascii="Cambria Math" w:hAnsi="Cambria Math"/>
                <w:sz w:val="22"/>
                <w:szCs w:val="22"/>
              </w:rPr>
              <m:t>i</m:t>
            </m:r>
          </m:e>
          <m:sub>
            <m:r>
              <w:rPr>
                <w:rFonts w:ascii="Cambria Math" w:hAnsi="Cambria Math"/>
                <w:sz w:val="22"/>
                <w:szCs w:val="22"/>
              </w:rPr>
              <m:t>t</m:t>
            </m:r>
          </m:sub>
          <m:sup/>
        </m:sSubSup>
      </m:oMath>
      <w:r w:rsidR="00024403" w:rsidRPr="00A7612E">
        <w:rPr>
          <w:rFonts w:ascii="Arial" w:hAnsi="Arial" w:cs="Arial"/>
          <w:sz w:val="22"/>
          <w:szCs w:val="22"/>
        </w:rPr>
        <w:t xml:space="preserve"> a </w:t>
      </w:r>
      <m:oMath>
        <m:sSubSup>
          <m:sSubSupPr>
            <m:ctrlPr>
              <w:rPr>
                <w:rFonts w:ascii="Cambria Math" w:hAnsi="Cambria Math"/>
                <w:sz w:val="22"/>
                <w:szCs w:val="22"/>
              </w:rPr>
            </m:ctrlPr>
          </m:sSubSupPr>
          <m:e>
            <m:r>
              <w:rPr>
                <w:rFonts w:ascii="Cambria Math" w:hAnsi="Cambria Math"/>
                <w:sz w:val="22"/>
                <w:szCs w:val="22"/>
              </w:rPr>
              <m:t>i</m:t>
            </m:r>
          </m:e>
          <m:sub>
            <m:r>
              <w:rPr>
                <w:rFonts w:ascii="Cambria Math" w:hAnsi="Cambria Math"/>
                <w:sz w:val="22"/>
                <w:szCs w:val="22"/>
              </w:rPr>
              <m:t>t</m:t>
            </m:r>
          </m:sub>
          <m:sup>
            <m:r>
              <m:rPr>
                <m:sty m:val="p"/>
              </m:rPr>
              <w:rPr>
                <w:rFonts w:ascii="Cambria Math" w:hAnsi="Cambria Math"/>
                <w:sz w:val="22"/>
                <w:szCs w:val="22"/>
              </w:rPr>
              <m:t>ϑ</m:t>
            </m:r>
          </m:sup>
        </m:sSubSup>
      </m:oMath>
      <w:r w:rsidR="00024403" w:rsidRPr="00A7612E">
        <w:rPr>
          <w:rFonts w:ascii="Arial" w:hAnsi="Arial" w:cs="Arial"/>
          <w:sz w:val="22"/>
          <w:szCs w:val="22"/>
        </w:rPr>
        <w:t xml:space="preserve">, el triángulo etiquetado con el número I representa la reducción en el pago de intereses, consecuencia de la deuda que se dejó de emitir </w:t>
      </w:r>
      <w:r w:rsidR="00024403">
        <w:rPr>
          <w:rFonts w:ascii="Arial" w:hAnsi="Arial" w:cs="Arial"/>
          <w:sz w:val="22"/>
          <w:szCs w:val="22"/>
        </w:rPr>
        <w:t>debido al programa</w:t>
      </w:r>
      <w:r w:rsidR="00024403" w:rsidRPr="00A7612E">
        <w:rPr>
          <w:rFonts w:ascii="Arial" w:hAnsi="Arial" w:cs="Arial"/>
          <w:sz w:val="22"/>
          <w:szCs w:val="22"/>
        </w:rPr>
        <w:t>. Por otro lado, el rectángulo etiquetado con el número II representa el ahorro que se</w:t>
      </w:r>
      <w:r w:rsidR="00024403" w:rsidRPr="0004682B">
        <w:rPr>
          <w:rFonts w:ascii="Arial" w:hAnsi="Arial" w:cs="Arial"/>
          <w:sz w:val="22"/>
          <w:szCs w:val="22"/>
        </w:rPr>
        <w:t xml:space="preserve"> obtuvo por el no aumento de la tasa de interés</w:t>
      </w:r>
      <w:r w:rsidR="00024403">
        <w:rPr>
          <w:rStyle w:val="FootnoteReference"/>
          <w:rFonts w:ascii="Arial" w:hAnsi="Arial" w:cs="Arial"/>
          <w:sz w:val="22"/>
          <w:szCs w:val="22"/>
        </w:rPr>
        <w:footnoteReference w:id="21"/>
      </w:r>
      <w:r w:rsidR="00024403" w:rsidRPr="0004682B">
        <w:rPr>
          <w:rFonts w:ascii="Arial" w:hAnsi="Arial" w:cs="Arial"/>
          <w:sz w:val="22"/>
          <w:szCs w:val="22"/>
        </w:rPr>
        <w:t>.</w:t>
      </w:r>
    </w:p>
    <w:p w14:paraId="2662D75C" w14:textId="31FA5DEA" w:rsidR="00C12204" w:rsidRPr="00F13913" w:rsidRDefault="00C12204" w:rsidP="00C12204">
      <w:pPr>
        <w:pStyle w:val="Paragraph"/>
        <w:tabs>
          <w:tab w:val="clear" w:pos="2448"/>
        </w:tabs>
        <w:ind w:left="720" w:hanging="763"/>
        <w:rPr>
          <w:rFonts w:ascii="Arial" w:hAnsi="Arial" w:cs="Arial"/>
          <w:sz w:val="22"/>
          <w:szCs w:val="22"/>
        </w:rPr>
      </w:pPr>
      <w:r>
        <w:rPr>
          <w:rFonts w:ascii="Arial" w:hAnsi="Arial" w:cs="Arial"/>
          <w:i/>
          <w:sz w:val="22"/>
          <w:szCs w:val="22"/>
        </w:rPr>
        <w:t>Ahorro Financiero Fiscal</w:t>
      </w:r>
      <w:r w:rsidRPr="00B37101">
        <w:rPr>
          <w:rFonts w:ascii="Arial" w:hAnsi="Arial" w:cs="Arial"/>
          <w:i/>
          <w:sz w:val="22"/>
          <w:szCs w:val="22"/>
        </w:rPr>
        <w:t>.</w:t>
      </w:r>
      <w:r w:rsidR="009027B3">
        <w:rPr>
          <w:rFonts w:ascii="Arial" w:hAnsi="Arial" w:cs="Arial"/>
          <w:i/>
          <w:sz w:val="22"/>
          <w:szCs w:val="22"/>
        </w:rPr>
        <w:t xml:space="preserve"> </w:t>
      </w:r>
      <w:r w:rsidRPr="00F13913">
        <w:rPr>
          <w:rFonts w:ascii="Arial" w:hAnsi="Arial" w:cs="Arial"/>
          <w:sz w:val="22"/>
          <w:szCs w:val="22"/>
        </w:rPr>
        <w:t xml:space="preserve">El AFF está definido por los ahorros generados en todos los periodos posteriores a la implementación del programa. Para esto, el AFF se calcula usando el valor presente neto de estos ahorros por los </w:t>
      </w:r>
      <w:r w:rsidRPr="00F13913">
        <w:rPr>
          <w:rFonts w:ascii="Arial" w:hAnsi="Arial" w:cs="Arial"/>
          <w:i/>
          <w:sz w:val="22"/>
          <w:szCs w:val="22"/>
        </w:rPr>
        <w:t>N</w:t>
      </w:r>
      <w:r w:rsidRPr="00F13913">
        <w:rPr>
          <w:rFonts w:ascii="Arial" w:hAnsi="Arial" w:cs="Arial"/>
          <w:sz w:val="22"/>
          <w:szCs w:val="22"/>
        </w:rPr>
        <w:t xml:space="preserve"> periodos que se vaya </w:t>
      </w:r>
      <w:r>
        <w:rPr>
          <w:rFonts w:ascii="Arial" w:hAnsi="Arial" w:cs="Arial"/>
          <w:sz w:val="22"/>
          <w:szCs w:val="22"/>
        </w:rPr>
        <w:t xml:space="preserve">a </w:t>
      </w:r>
      <w:r w:rsidRPr="00F13913">
        <w:rPr>
          <w:rFonts w:ascii="Arial" w:hAnsi="Arial" w:cs="Arial"/>
          <w:sz w:val="22"/>
          <w:szCs w:val="22"/>
        </w:rPr>
        <w:t>evaluar el impacto del programa de consolidación. Por tal motivo, el AFF se define</w:t>
      </w:r>
      <w:r>
        <w:rPr>
          <w:rFonts w:ascii="Arial" w:hAnsi="Arial" w:cs="Arial"/>
          <w:sz w:val="22"/>
          <w:szCs w:val="22"/>
        </w:rPr>
        <w:t xml:space="preserve"> como:</w:t>
      </w:r>
    </w:p>
    <w:p w14:paraId="38ECBA84" w14:textId="77777777" w:rsidR="00C12204" w:rsidRPr="00F13913" w:rsidRDefault="00C12204" w:rsidP="00C12204">
      <w:pPr>
        <w:tabs>
          <w:tab w:val="center" w:pos="4680"/>
          <w:tab w:val="right" w:pos="8640"/>
        </w:tabs>
        <w:spacing w:before="120" w:after="120" w:line="276" w:lineRule="auto"/>
        <w:ind w:left="720"/>
        <w:rPr>
          <w:rFonts w:ascii="Arial" w:hAnsi="Arial" w:cs="Arial"/>
          <w:sz w:val="22"/>
          <w:szCs w:val="22"/>
          <w:lang w:val="es-ES"/>
        </w:rPr>
      </w:pPr>
      <w:r>
        <w:rPr>
          <w:rFonts w:ascii="Arial" w:hAnsi="Arial" w:cs="Arial"/>
          <w:iCs/>
          <w:sz w:val="22"/>
          <w:szCs w:val="22"/>
          <w:lang w:val="es-ES"/>
        </w:rPr>
        <w:tab/>
      </w:r>
      <m:oMath>
        <m:r>
          <w:rPr>
            <w:rFonts w:ascii="Cambria Math" w:hAnsi="Cambria Math" w:cs="Arial"/>
            <w:sz w:val="22"/>
            <w:szCs w:val="22"/>
            <w:lang w:val="es-ES"/>
          </w:rPr>
          <m:t>AFF</m:t>
        </m:r>
        <m:r>
          <m:rPr>
            <m:sty m:val="p"/>
          </m:rPr>
          <w:rPr>
            <w:rFonts w:ascii="Cambria Math" w:hAnsi="Cambria Math" w:cs="Arial"/>
            <w:sz w:val="22"/>
            <w:szCs w:val="22"/>
            <w:lang w:val="es-ES"/>
          </w:rPr>
          <m:t xml:space="preserve"> = </m:t>
        </m:r>
        <m:nary>
          <m:naryPr>
            <m:chr m:val="∑"/>
            <m:limLoc m:val="undOvr"/>
            <m:ctrlPr>
              <w:rPr>
                <w:rFonts w:ascii="Cambria Math" w:hAnsi="Cambria Math" w:cs="Arial"/>
                <w:sz w:val="22"/>
                <w:szCs w:val="22"/>
                <w:lang w:val="es-ES"/>
              </w:rPr>
            </m:ctrlPr>
          </m:naryPr>
          <m:sub>
            <m:r>
              <w:rPr>
                <w:rFonts w:ascii="Cambria Math" w:hAnsi="Cambria Math" w:cs="Arial"/>
                <w:sz w:val="22"/>
                <w:szCs w:val="22"/>
                <w:lang w:val="es-ES"/>
              </w:rPr>
              <m:t>j</m:t>
            </m:r>
            <m:r>
              <m:rPr>
                <m:sty m:val="p"/>
              </m:rPr>
              <w:rPr>
                <w:rFonts w:ascii="Cambria Math" w:hAnsi="Cambria Math" w:cs="Arial"/>
                <w:sz w:val="22"/>
                <w:szCs w:val="22"/>
                <w:lang w:val="es-ES"/>
              </w:rPr>
              <m:t>=1</m:t>
            </m:r>
          </m:sub>
          <m:sup>
            <m:r>
              <w:rPr>
                <w:rFonts w:ascii="Cambria Math" w:hAnsi="Cambria Math" w:cs="Arial"/>
                <w:sz w:val="22"/>
                <w:szCs w:val="22"/>
                <w:lang w:val="es-ES"/>
              </w:rPr>
              <m:t>N</m:t>
            </m:r>
          </m:sup>
          <m:e>
            <m:f>
              <m:fPr>
                <m:ctrlPr>
                  <w:rPr>
                    <w:rFonts w:ascii="Cambria Math" w:hAnsi="Cambria Math" w:cs="Arial"/>
                    <w:sz w:val="22"/>
                    <w:szCs w:val="22"/>
                    <w:lang w:val="es-ES"/>
                  </w:rPr>
                </m:ctrlPr>
              </m:fPr>
              <m:num>
                <m:sSubSup>
                  <m:sSubSupPr>
                    <m:ctrlPr>
                      <w:rPr>
                        <w:rFonts w:ascii="Cambria Math" w:hAnsi="Cambria Math" w:cs="Arial"/>
                        <w:sz w:val="22"/>
                        <w:szCs w:val="22"/>
                        <w:lang w:val="es-ES"/>
                      </w:rPr>
                    </m:ctrlPr>
                  </m:sSubSupPr>
                  <m:e>
                    <m:r>
                      <m:rPr>
                        <m:sty m:val="p"/>
                      </m:rPr>
                      <w:rPr>
                        <w:rFonts w:ascii="Cambria Math" w:hAnsi="Cambria Math" w:cs="Arial"/>
                        <w:sz w:val="22"/>
                        <w:szCs w:val="22"/>
                        <w:lang w:val="es-ES"/>
                      </w:rPr>
                      <m:t>∆</m:t>
                    </m:r>
                    <m:r>
                      <w:rPr>
                        <w:rFonts w:ascii="Cambria Math" w:hAnsi="Cambria Math" w:cs="Arial"/>
                        <w:sz w:val="22"/>
                        <w:szCs w:val="22"/>
                        <w:lang w:val="es-ES"/>
                      </w:rPr>
                      <m:t>d</m:t>
                    </m:r>
                  </m:e>
                  <m:sub>
                    <m:r>
                      <w:rPr>
                        <w:rFonts w:ascii="Cambria Math" w:hAnsi="Cambria Math" w:cs="Arial"/>
                        <w:sz w:val="22"/>
                        <w:szCs w:val="22"/>
                        <w:lang w:val="es-ES"/>
                      </w:rPr>
                      <m:t>t</m:t>
                    </m:r>
                  </m:sub>
                  <m:sup/>
                </m:sSubSup>
              </m:num>
              <m:den>
                <m:sSup>
                  <m:sSupPr>
                    <m:ctrlPr>
                      <w:rPr>
                        <w:rFonts w:ascii="Cambria Math" w:hAnsi="Cambria Math" w:cs="Arial"/>
                        <w:sz w:val="22"/>
                        <w:szCs w:val="22"/>
                        <w:lang w:val="es-ES"/>
                      </w:rPr>
                    </m:ctrlPr>
                  </m:sSupPr>
                  <m:e>
                    <m:d>
                      <m:dPr>
                        <m:ctrlPr>
                          <w:rPr>
                            <w:rFonts w:ascii="Cambria Math" w:hAnsi="Cambria Math" w:cs="Arial"/>
                            <w:sz w:val="22"/>
                            <w:szCs w:val="22"/>
                            <w:lang w:val="es-ES"/>
                          </w:rPr>
                        </m:ctrlPr>
                      </m:dPr>
                      <m:e>
                        <m:r>
                          <m:rPr>
                            <m:sty m:val="p"/>
                          </m:rPr>
                          <w:rPr>
                            <w:rFonts w:ascii="Cambria Math" w:hAnsi="Cambria Math" w:cs="Arial"/>
                            <w:sz w:val="22"/>
                            <w:szCs w:val="22"/>
                            <w:lang w:val="es-ES"/>
                          </w:rPr>
                          <m:t>1+</m:t>
                        </m:r>
                        <m:sSubSup>
                          <m:sSubSupPr>
                            <m:ctrlPr>
                              <w:rPr>
                                <w:rFonts w:ascii="Cambria Math" w:hAnsi="Cambria Math" w:cs="Arial"/>
                                <w:sz w:val="22"/>
                                <w:szCs w:val="22"/>
                                <w:lang w:val="es-ES"/>
                              </w:rPr>
                            </m:ctrlPr>
                          </m:sSubSupPr>
                          <m:e>
                            <m:r>
                              <w:rPr>
                                <w:rFonts w:ascii="Cambria Math" w:hAnsi="Cambria Math" w:cs="Arial"/>
                                <w:sz w:val="22"/>
                                <w:szCs w:val="22"/>
                                <w:lang w:val="es-ES"/>
                              </w:rPr>
                              <m:t>r</m:t>
                            </m:r>
                          </m:e>
                          <m:sub>
                            <m:r>
                              <w:rPr>
                                <w:rFonts w:ascii="Cambria Math" w:hAnsi="Cambria Math" w:cs="Arial"/>
                                <w:sz w:val="22"/>
                                <w:szCs w:val="22"/>
                                <w:lang w:val="es-ES"/>
                              </w:rPr>
                              <m:t>t</m:t>
                            </m:r>
                          </m:sub>
                          <m:sup/>
                        </m:sSubSup>
                      </m:e>
                    </m:d>
                  </m:e>
                  <m:sup>
                    <m:r>
                      <w:rPr>
                        <w:rFonts w:ascii="Cambria Math" w:hAnsi="Cambria Math" w:cs="Arial"/>
                        <w:sz w:val="22"/>
                        <w:szCs w:val="22"/>
                        <w:lang w:val="es-ES"/>
                      </w:rPr>
                      <m:t>j</m:t>
                    </m:r>
                  </m:sup>
                </m:sSup>
              </m:den>
            </m:f>
          </m:e>
        </m:nary>
        <m:r>
          <m:rPr>
            <m:sty m:val="p"/>
          </m:rPr>
          <w:rPr>
            <w:rFonts w:ascii="Cambria Math" w:hAnsi="Cambria Math" w:cs="Arial"/>
            <w:sz w:val="22"/>
            <w:szCs w:val="22"/>
            <w:lang w:val="es-ES"/>
          </w:rPr>
          <m:t xml:space="preserve"> . </m:t>
        </m:r>
        <m:r>
          <w:rPr>
            <w:rFonts w:ascii="Cambria Math" w:hAnsi="Cambria Math" w:cs="Arial"/>
            <w:sz w:val="22"/>
            <w:szCs w:val="22"/>
            <w:lang w:val="es-ES"/>
          </w:rPr>
          <m:t>i</m:t>
        </m:r>
        <m:r>
          <m:rPr>
            <m:sty m:val="p"/>
          </m:rPr>
          <w:rPr>
            <w:rFonts w:ascii="Cambria Math" w:hAnsi="Cambria Math" w:cs="Arial"/>
            <w:sz w:val="22"/>
            <w:szCs w:val="22"/>
            <w:lang w:val="es-ES"/>
          </w:rPr>
          <m:t>(</m:t>
        </m:r>
        <m:r>
          <w:rPr>
            <w:rFonts w:ascii="Cambria Math" w:hAnsi="Cambria Math" w:cs="Arial"/>
            <w:sz w:val="22"/>
            <w:szCs w:val="22"/>
            <w:lang w:val="es-ES"/>
          </w:rPr>
          <m:t>d</m:t>
        </m:r>
        <m:r>
          <m:rPr>
            <m:sty m:val="p"/>
          </m:rPr>
          <w:rPr>
            <w:rFonts w:ascii="Cambria Math" w:hAnsi="Cambria Math" w:cs="Arial"/>
            <w:sz w:val="22"/>
            <w:szCs w:val="22"/>
            <w:lang w:val="es-ES"/>
          </w:rPr>
          <m:t>)</m:t>
        </m:r>
        <m:d>
          <m:dPr>
            <m:begChr m:val="["/>
            <m:endChr m:val="]"/>
            <m:ctrlPr>
              <w:rPr>
                <w:rFonts w:ascii="Cambria Math" w:hAnsi="Cambria Math" w:cs="Arial"/>
                <w:sz w:val="22"/>
                <w:szCs w:val="22"/>
                <w:lang w:val="es-ES"/>
              </w:rPr>
            </m:ctrlPr>
          </m:dPr>
          <m:e>
            <m:r>
              <m:rPr>
                <m:sty m:val="p"/>
              </m:rPr>
              <w:rPr>
                <w:rFonts w:ascii="Cambria Math" w:hAnsi="Cambria Math" w:cs="Arial"/>
                <w:sz w:val="22"/>
                <w:szCs w:val="22"/>
                <w:lang w:val="es-ES"/>
              </w:rPr>
              <m:t>1+</m:t>
            </m:r>
            <m:f>
              <m:fPr>
                <m:ctrlPr>
                  <w:rPr>
                    <w:rFonts w:ascii="Cambria Math" w:hAnsi="Cambria Math" w:cs="Arial"/>
                    <w:sz w:val="22"/>
                    <w:szCs w:val="22"/>
                    <w:lang w:val="es-ES"/>
                  </w:rPr>
                </m:ctrlPr>
              </m:fPr>
              <m:num>
                <m:sSubSup>
                  <m:sSubSupPr>
                    <m:ctrlPr>
                      <w:rPr>
                        <w:rFonts w:ascii="Cambria Math" w:hAnsi="Cambria Math" w:cs="Arial"/>
                        <w:sz w:val="22"/>
                        <w:szCs w:val="22"/>
                        <w:lang w:val="es-ES"/>
                      </w:rPr>
                    </m:ctrlPr>
                  </m:sSubSupPr>
                  <m:e>
                    <m:r>
                      <w:rPr>
                        <w:rFonts w:ascii="Cambria Math" w:hAnsi="Cambria Math" w:cs="Arial"/>
                        <w:sz w:val="22"/>
                        <w:szCs w:val="22"/>
                        <w:lang w:val="es-ES"/>
                      </w:rPr>
                      <m:t>θ</m:t>
                    </m:r>
                  </m:e>
                  <m:sub>
                    <m:r>
                      <w:rPr>
                        <w:rFonts w:ascii="Cambria Math" w:hAnsi="Cambria Math" w:cs="Arial"/>
                        <w:sz w:val="22"/>
                        <w:szCs w:val="22"/>
                        <w:lang w:val="es-ES"/>
                      </w:rPr>
                      <m:t>t</m:t>
                    </m:r>
                  </m:sub>
                  <m:sup/>
                </m:sSubSup>
              </m:num>
              <m:den>
                <m:sSub>
                  <m:sSubPr>
                    <m:ctrlPr>
                      <w:rPr>
                        <w:rFonts w:ascii="Cambria Math" w:hAnsi="Cambria Math" w:cs="Arial"/>
                        <w:sz w:val="22"/>
                        <w:szCs w:val="22"/>
                        <w:lang w:val="es-ES"/>
                      </w:rPr>
                    </m:ctrlPr>
                  </m:sSubPr>
                  <m:e>
                    <m:r>
                      <w:rPr>
                        <w:rFonts w:ascii="Cambria Math" w:hAnsi="Cambria Math" w:cs="Arial"/>
                        <w:sz w:val="22"/>
                        <w:szCs w:val="22"/>
                        <w:lang w:val="es-ES"/>
                      </w:rPr>
                      <m:t>ε</m:t>
                    </m:r>
                  </m:e>
                  <m:sub>
                    <m:r>
                      <w:rPr>
                        <w:rFonts w:ascii="Cambria Math" w:hAnsi="Cambria Math" w:cs="Arial"/>
                        <w:sz w:val="22"/>
                        <w:szCs w:val="22"/>
                        <w:lang w:val="es-ES"/>
                      </w:rPr>
                      <m:t>d</m:t>
                    </m:r>
                  </m:sub>
                </m:sSub>
              </m:den>
            </m:f>
          </m:e>
        </m:d>
      </m:oMath>
      <w:r w:rsidRPr="00F13913">
        <w:rPr>
          <w:rFonts w:ascii="Arial" w:hAnsi="Arial" w:cs="Arial"/>
          <w:sz w:val="22"/>
          <w:szCs w:val="22"/>
          <w:lang w:val="es-ES"/>
        </w:rPr>
        <w:t xml:space="preserve"> </w:t>
      </w:r>
      <w:r w:rsidRPr="00F13913">
        <w:rPr>
          <w:rFonts w:ascii="Arial" w:hAnsi="Arial" w:cs="Arial"/>
          <w:sz w:val="22"/>
          <w:szCs w:val="22"/>
          <w:lang w:val="es-ES"/>
        </w:rPr>
        <w:tab/>
        <w:t>(</w:t>
      </w:r>
      <w:r>
        <w:rPr>
          <w:rFonts w:ascii="Arial" w:hAnsi="Arial" w:cs="Arial"/>
          <w:sz w:val="22"/>
          <w:szCs w:val="22"/>
          <w:lang w:val="es-ES"/>
        </w:rPr>
        <w:t>4</w:t>
      </w:r>
      <w:r w:rsidRPr="00F13913">
        <w:rPr>
          <w:rFonts w:ascii="Arial" w:hAnsi="Arial" w:cs="Arial"/>
          <w:sz w:val="22"/>
          <w:szCs w:val="22"/>
          <w:lang w:val="es-ES"/>
        </w:rPr>
        <w:t>)</w:t>
      </w:r>
    </w:p>
    <w:p w14:paraId="7D8D076D" w14:textId="4B21C779" w:rsidR="00C12204" w:rsidRPr="00C12204" w:rsidRDefault="00C12204" w:rsidP="00C12204">
      <w:pPr>
        <w:pStyle w:val="Paragraph"/>
        <w:numPr>
          <w:ilvl w:val="0"/>
          <w:numId w:val="0"/>
        </w:numPr>
        <w:ind w:left="720"/>
        <w:rPr>
          <w:rFonts w:ascii="Arial" w:hAnsi="Arial" w:cs="Arial"/>
          <w:sz w:val="22"/>
          <w:szCs w:val="22"/>
          <w:lang w:val="es-419"/>
        </w:rPr>
      </w:pPr>
      <w:r w:rsidRPr="001A7D39">
        <w:rPr>
          <w:rFonts w:ascii="Arial" w:hAnsi="Arial" w:cs="Arial"/>
          <w:sz w:val="22"/>
          <w:szCs w:val="22"/>
          <w:lang w:val="es-419"/>
        </w:rPr>
        <w:t xml:space="preserve">donde, </w:t>
      </w:r>
      <m:oMath>
        <m:r>
          <w:rPr>
            <w:rFonts w:ascii="Cambria Math" w:hAnsi="Cambria Math"/>
            <w:sz w:val="22"/>
            <w:szCs w:val="22"/>
            <w:lang w:val="pt-BR"/>
          </w:rPr>
          <m:t>i</m:t>
        </m:r>
        <m:r>
          <w:rPr>
            <w:rFonts w:ascii="Cambria Math" w:hAnsi="Cambria Math"/>
            <w:sz w:val="22"/>
            <w:szCs w:val="22"/>
          </w:rPr>
          <m:t>(</m:t>
        </m:r>
        <m:r>
          <w:rPr>
            <w:rFonts w:ascii="Cambria Math" w:hAnsi="Cambria Math"/>
            <w:sz w:val="22"/>
            <w:szCs w:val="22"/>
            <w:lang w:val="pt-BR"/>
          </w:rPr>
          <m:t>d</m:t>
        </m:r>
        <m:r>
          <w:rPr>
            <w:rFonts w:ascii="Cambria Math" w:hAnsi="Cambria Math"/>
            <w:sz w:val="22"/>
            <w:szCs w:val="22"/>
          </w:rPr>
          <m:t>)</m:t>
        </m:r>
      </m:oMath>
      <w:r>
        <w:rPr>
          <w:rFonts w:ascii="Arial" w:hAnsi="Arial" w:cs="Arial"/>
          <w:sz w:val="22"/>
          <w:szCs w:val="22"/>
        </w:rPr>
        <w:t xml:space="preserve"> representa </w:t>
      </w:r>
      <w:r w:rsidRPr="001A7D39">
        <w:rPr>
          <w:rFonts w:ascii="Arial" w:hAnsi="Arial" w:cs="Arial"/>
          <w:sz w:val="22"/>
          <w:szCs w:val="22"/>
          <w:lang w:val="es-419"/>
        </w:rPr>
        <w:t>el costo promedio de la deuda pública</w:t>
      </w:r>
      <w:r>
        <w:rPr>
          <w:rFonts w:ascii="Arial" w:hAnsi="Arial" w:cs="Arial"/>
          <w:sz w:val="22"/>
          <w:szCs w:val="22"/>
          <w:lang w:val="es-419"/>
        </w:rPr>
        <w:t xml:space="preserve">, </w:t>
      </w:r>
      <m:oMath>
        <m:sSubSup>
          <m:sSubSupPr>
            <m:ctrlPr>
              <w:rPr>
                <w:rFonts w:ascii="Cambria Math" w:hAnsi="Cambria Math" w:cs="Arial"/>
                <w:sz w:val="22"/>
                <w:szCs w:val="22"/>
                <w:lang w:val="es-419"/>
              </w:rPr>
            </m:ctrlPr>
          </m:sSubSupPr>
          <m:e>
            <m:r>
              <w:rPr>
                <w:rFonts w:ascii="Cambria Math" w:hAnsi="Cambria Math" w:cs="Arial"/>
                <w:sz w:val="22"/>
                <w:szCs w:val="22"/>
                <w:lang w:val="es-419"/>
              </w:rPr>
              <m:t>r</m:t>
            </m:r>
          </m:e>
          <m:sub>
            <m:r>
              <w:rPr>
                <w:rFonts w:ascii="Cambria Math" w:hAnsi="Cambria Math" w:cs="Arial"/>
                <w:sz w:val="22"/>
                <w:szCs w:val="22"/>
                <w:lang w:val="es-419"/>
              </w:rPr>
              <m:t>t</m:t>
            </m:r>
          </m:sub>
          <m:sup/>
        </m:sSubSup>
      </m:oMath>
      <w:r w:rsidRPr="001A7D39">
        <w:rPr>
          <w:rFonts w:ascii="Arial" w:hAnsi="Arial" w:cs="Arial"/>
          <w:sz w:val="22"/>
          <w:szCs w:val="22"/>
          <w:lang w:val="es-419"/>
        </w:rPr>
        <w:t xml:space="preserve"> la tasa real de interés real que surge de ajustar la tasa de interés </w:t>
      </w:r>
      <w:r>
        <w:rPr>
          <w:rFonts w:ascii="Arial" w:hAnsi="Arial" w:cs="Arial"/>
          <w:sz w:val="22"/>
          <w:szCs w:val="22"/>
          <w:lang w:val="es-419"/>
        </w:rPr>
        <w:t xml:space="preserve">de </w:t>
      </w:r>
      <w:r w:rsidRPr="001A7D39">
        <w:rPr>
          <w:rFonts w:ascii="Arial" w:hAnsi="Arial" w:cs="Arial"/>
          <w:sz w:val="22"/>
          <w:szCs w:val="22"/>
          <w:lang w:val="es-419"/>
        </w:rPr>
        <w:t xml:space="preserve">las últimas colocaciones por la inflación internacional, </w:t>
      </w:r>
      <m:oMath>
        <m:sSubSup>
          <m:sSubSupPr>
            <m:ctrlPr>
              <w:rPr>
                <w:rFonts w:ascii="Cambria Math" w:hAnsi="Cambria Math"/>
                <w:sz w:val="22"/>
                <w:szCs w:val="22"/>
              </w:rPr>
            </m:ctrlPr>
          </m:sSubSupPr>
          <m:e>
            <m:r>
              <w:rPr>
                <w:rFonts w:ascii="Cambria Math" w:hAnsi="Cambria Math"/>
                <w:sz w:val="22"/>
                <w:szCs w:val="22"/>
              </w:rPr>
              <m:t>θ</m:t>
            </m:r>
          </m:e>
          <m:sub>
            <m:r>
              <w:rPr>
                <w:rFonts w:ascii="Cambria Math" w:hAnsi="Cambria Math"/>
                <w:sz w:val="22"/>
                <w:szCs w:val="22"/>
              </w:rPr>
              <m:t>t</m:t>
            </m:r>
          </m:sub>
          <m:sup/>
        </m:sSubSup>
      </m:oMath>
      <w:r w:rsidRPr="001A7D39">
        <w:rPr>
          <w:rFonts w:ascii="Arial" w:hAnsi="Arial" w:cs="Arial"/>
          <w:sz w:val="22"/>
          <w:szCs w:val="22"/>
        </w:rPr>
        <w:t xml:space="preserve"> </w:t>
      </w:r>
      <w:r w:rsidRPr="001A7D39">
        <w:rPr>
          <w:rFonts w:ascii="Arial" w:hAnsi="Arial" w:cs="Arial"/>
          <w:sz w:val="22"/>
          <w:szCs w:val="22"/>
          <w:lang w:val="es-ES_tradnl"/>
        </w:rPr>
        <w:t>el porcentaje de la deuda total emitida a tasa de interés variable</w:t>
      </w:r>
      <w:r>
        <w:rPr>
          <w:rFonts w:ascii="Arial" w:hAnsi="Arial" w:cs="Arial"/>
          <w:sz w:val="22"/>
          <w:szCs w:val="22"/>
          <w:lang w:val="es-ES_tradnl"/>
        </w:rPr>
        <w:t xml:space="preserve"> </w:t>
      </w:r>
      <w:r w:rsidRPr="001A7D39">
        <w:rPr>
          <w:rFonts w:ascii="Arial" w:hAnsi="Arial" w:cs="Arial"/>
          <w:sz w:val="22"/>
          <w:szCs w:val="22"/>
          <w:lang w:val="es-ES_tradnl"/>
        </w:rPr>
        <w:t xml:space="preserve">y </w:t>
      </w:r>
      <m:oMath>
        <m:sSub>
          <m:sSubPr>
            <m:ctrlPr>
              <w:rPr>
                <w:rFonts w:ascii="Cambria Math" w:hAnsi="Cambria Math"/>
                <w:i/>
                <w:sz w:val="22"/>
                <w:szCs w:val="22"/>
                <w:lang w:val="pt-BR"/>
              </w:rPr>
            </m:ctrlPr>
          </m:sSubPr>
          <m:e>
            <m:r>
              <w:rPr>
                <w:rFonts w:ascii="Cambria Math" w:hAnsi="Cambria Math"/>
                <w:sz w:val="22"/>
                <w:szCs w:val="22"/>
                <w:lang w:val="pt-BR"/>
              </w:rPr>
              <m:t>ε</m:t>
            </m:r>
          </m:e>
          <m:sub>
            <m:r>
              <w:rPr>
                <w:rFonts w:ascii="Cambria Math" w:hAnsi="Cambria Math"/>
                <w:sz w:val="22"/>
                <w:szCs w:val="22"/>
                <w:lang w:val="pt-BR"/>
              </w:rPr>
              <m:t>d</m:t>
            </m:r>
            <m:r>
              <w:rPr>
                <w:rFonts w:ascii="Cambria Math" w:hAnsi="Cambria Math"/>
                <w:sz w:val="22"/>
                <w:szCs w:val="22"/>
                <w:lang w:val="es-MX"/>
              </w:rPr>
              <m:t xml:space="preserve"> </m:t>
            </m:r>
          </m:sub>
        </m:sSub>
      </m:oMath>
      <w:r w:rsidRPr="001A7D39">
        <w:rPr>
          <w:rFonts w:ascii="Arial" w:hAnsi="Arial" w:cs="Arial"/>
          <w:sz w:val="22"/>
          <w:szCs w:val="22"/>
          <w:lang w:val="es-419"/>
        </w:rPr>
        <w:t xml:space="preserve"> la elasticidad de la tasa de interés respecto al ratio deuda-PIB</w:t>
      </w:r>
      <w:r>
        <w:rPr>
          <w:rFonts w:ascii="Arial" w:hAnsi="Arial" w:cs="Arial"/>
          <w:sz w:val="22"/>
          <w:szCs w:val="22"/>
          <w:lang w:val="es-419"/>
        </w:rPr>
        <w:t>.</w:t>
      </w:r>
      <w:r>
        <w:rPr>
          <w:rStyle w:val="FootnoteReference"/>
          <w:rFonts w:ascii="Arial" w:hAnsi="Arial" w:cs="Arial"/>
          <w:sz w:val="22"/>
          <w:szCs w:val="22"/>
          <w:lang w:val="es-419"/>
        </w:rPr>
        <w:footnoteReference w:id="22"/>
      </w:r>
    </w:p>
    <w:p w14:paraId="7AF7AB1F" w14:textId="77777777" w:rsidR="003262DD" w:rsidRDefault="003262DD" w:rsidP="00C12204">
      <w:pPr>
        <w:spacing w:before="360" w:after="120" w:line="276" w:lineRule="auto"/>
        <w:jc w:val="center"/>
        <w:rPr>
          <w:rFonts w:ascii="Arial" w:hAnsi="Arial" w:cs="Arial"/>
          <w:b/>
          <w:sz w:val="20"/>
          <w:szCs w:val="22"/>
          <w:lang w:val="es-MX"/>
        </w:rPr>
      </w:pPr>
      <w:bookmarkStart w:id="15" w:name="_Hlk5788243"/>
    </w:p>
    <w:p w14:paraId="0FE6EAC9" w14:textId="72B73EF8" w:rsidR="007B0ECC" w:rsidRPr="0004682B" w:rsidRDefault="007B0ECC" w:rsidP="00C12204">
      <w:pPr>
        <w:spacing w:before="360" w:after="120" w:line="276" w:lineRule="auto"/>
        <w:jc w:val="center"/>
        <w:rPr>
          <w:rFonts w:ascii="Arial" w:hAnsi="Arial" w:cs="Arial"/>
          <w:b/>
          <w:sz w:val="20"/>
          <w:szCs w:val="22"/>
          <w:lang w:val="es-MX"/>
        </w:rPr>
      </w:pPr>
      <w:r w:rsidRPr="0004682B">
        <w:rPr>
          <w:rFonts w:ascii="Arial" w:hAnsi="Arial" w:cs="Arial"/>
          <w:b/>
          <w:sz w:val="20"/>
          <w:szCs w:val="22"/>
          <w:lang w:val="es-MX"/>
        </w:rPr>
        <w:t>Gráfic</w:t>
      </w:r>
      <w:r w:rsidR="0004682B" w:rsidRPr="0004682B">
        <w:rPr>
          <w:rFonts w:ascii="Arial" w:hAnsi="Arial" w:cs="Arial"/>
          <w:b/>
          <w:sz w:val="20"/>
          <w:szCs w:val="22"/>
          <w:lang w:val="es-MX"/>
        </w:rPr>
        <w:t>o</w:t>
      </w:r>
      <w:r w:rsidRPr="0004682B">
        <w:rPr>
          <w:rFonts w:ascii="Arial" w:hAnsi="Arial" w:cs="Arial"/>
          <w:b/>
          <w:sz w:val="20"/>
          <w:szCs w:val="22"/>
          <w:lang w:val="es-MX"/>
        </w:rPr>
        <w:t xml:space="preserve"> 1. Relación entre el nivel de endeudamiento y la tasa de interés </w:t>
      </w:r>
    </w:p>
    <w:p w14:paraId="28C9E761" w14:textId="77777777" w:rsidR="007B0ECC" w:rsidRPr="000A398E" w:rsidRDefault="007B0ECC" w:rsidP="007B0ECC">
      <w:pPr>
        <w:spacing w:line="276" w:lineRule="auto"/>
      </w:pPr>
      <w:r>
        <w:rPr>
          <w:b/>
        </w:rPr>
        <w:tab/>
      </w:r>
      <w:r>
        <w:rPr>
          <w:b/>
        </w:rPr>
        <w:tab/>
      </w:r>
      <w:r>
        <w:rPr>
          <w:b/>
        </w:rPr>
        <w:tab/>
      </w:r>
      <w:r>
        <w:rPr>
          <w:b/>
        </w:rPr>
        <w:tab/>
      </w:r>
      <w:r>
        <w:rPr>
          <w:b/>
        </w:rPr>
        <w:tab/>
      </w:r>
      <w:r>
        <w:rPr>
          <w:b/>
        </w:rPr>
        <w:tab/>
      </w:r>
    </w:p>
    <w:p w14:paraId="64BE3D37" w14:textId="77777777" w:rsidR="007B0ECC" w:rsidRPr="00442D94" w:rsidRDefault="007B0ECC" w:rsidP="007B0ECC">
      <w:pPr>
        <w:tabs>
          <w:tab w:val="left" w:pos="3510"/>
        </w:tabs>
        <w:spacing w:line="276" w:lineRule="auto"/>
      </w:pPr>
      <w:r>
        <w:rPr>
          <w:noProof/>
          <w:lang w:val="en-US"/>
        </w:rPr>
        <w:lastRenderedPageBreak/>
        <mc:AlternateContent>
          <mc:Choice Requires="wps">
            <w:drawing>
              <wp:anchor distT="0" distB="0" distL="114300" distR="114300" simplePos="0" relativeHeight="251672576" behindDoc="0" locked="0" layoutInCell="1" allowOverlap="1" wp14:anchorId="0D823CDB" wp14:editId="58656676">
                <wp:simplePos x="0" y="0"/>
                <wp:positionH relativeFrom="column">
                  <wp:posOffset>1841500</wp:posOffset>
                </wp:positionH>
                <wp:positionV relativeFrom="paragraph">
                  <wp:posOffset>186690</wp:posOffset>
                </wp:positionV>
                <wp:extent cx="2009775" cy="1492250"/>
                <wp:effectExtent l="0" t="0" r="28575" b="12700"/>
                <wp:wrapNone/>
                <wp:docPr id="19"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9775" cy="1492250"/>
                        </a:xfrm>
                        <a:custGeom>
                          <a:avLst/>
                          <a:gdLst>
                            <a:gd name="T0" fmla="*/ 0 w 1865013"/>
                            <a:gd name="T1" fmla="*/ 14848 h 1492002"/>
                            <a:gd name="T2" fmla="*/ 9597 w 1865013"/>
                            <a:gd name="T3" fmla="*/ 12675 h 1492002"/>
                            <a:gd name="T4" fmla="*/ 18650 w 1865013"/>
                            <a:gd name="T5" fmla="*/ 0 h 1492002"/>
                            <a:gd name="T6" fmla="*/ 0 60000 65536"/>
                            <a:gd name="T7" fmla="*/ 0 60000 65536"/>
                            <a:gd name="T8" fmla="*/ 0 60000 65536"/>
                            <a:gd name="T9" fmla="*/ 0 w 1865013"/>
                            <a:gd name="T10" fmla="*/ 0 h 1492002"/>
                            <a:gd name="T11" fmla="*/ 1865013 w 1865013"/>
                            <a:gd name="T12" fmla="*/ 1492002 h 1492002"/>
                          </a:gdLst>
                          <a:ahLst/>
                          <a:cxnLst>
                            <a:cxn ang="T6">
                              <a:pos x="T0" y="T1"/>
                            </a:cxn>
                            <a:cxn ang="T7">
                              <a:pos x="T2" y="T3"/>
                            </a:cxn>
                            <a:cxn ang="T8">
                              <a:pos x="T4" y="T5"/>
                            </a:cxn>
                          </a:cxnLst>
                          <a:rect l="T9" t="T10" r="T11" b="T12"/>
                          <a:pathLst>
                            <a:path w="1865013" h="1492002">
                              <a:moveTo>
                                <a:pt x="0" y="1484768"/>
                              </a:moveTo>
                              <a:cubicBezTo>
                                <a:pt x="324416" y="1499857"/>
                                <a:pt x="648832" y="1514946"/>
                                <a:pt x="959667" y="1267485"/>
                              </a:cubicBezTo>
                              <a:cubicBezTo>
                                <a:pt x="1270502" y="1020024"/>
                                <a:pt x="1712613" y="208230"/>
                                <a:pt x="1865013" y="0"/>
                              </a:cubicBezTo>
                            </a:path>
                          </a:pathLst>
                        </a:custGeom>
                        <a:noFill/>
                        <a:ln w="254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7A030B2" w14:textId="77777777" w:rsidR="008F3940" w:rsidRDefault="008F3940" w:rsidP="007B0ECC">
                            <w:pPr>
                              <w:jc w:val="center"/>
                            </w:pPr>
                          </w:p>
                          <w:p w14:paraId="1778F036" w14:textId="77777777" w:rsidR="008F3940" w:rsidRDefault="008F3940" w:rsidP="007B0ECC">
                            <w:pPr>
                              <w:jc w:val="center"/>
                            </w:pPr>
                          </w:p>
                          <w:p w14:paraId="15A40F67" w14:textId="77777777" w:rsidR="008F3940" w:rsidRDefault="008F3940" w:rsidP="007B0ECC">
                            <w:pPr>
                              <w:jc w:val="center"/>
                            </w:pPr>
                          </w:p>
                          <w:p w14:paraId="51EF9658" w14:textId="77777777" w:rsidR="008F3940" w:rsidRDefault="008F3940" w:rsidP="007B0ECC">
                            <w:pPr>
                              <w:jc w:val="center"/>
                            </w:pPr>
                          </w:p>
                          <w:p w14:paraId="6F678316" w14:textId="77777777" w:rsidR="008F3940" w:rsidRDefault="008F3940" w:rsidP="007B0ECC">
                            <w:pPr>
                              <w:jc w:val="center"/>
                            </w:pPr>
                          </w:p>
                          <w:p w14:paraId="711CCA04" w14:textId="77777777" w:rsidR="008F3940" w:rsidRDefault="008F3940" w:rsidP="007B0ECC">
                            <w:pPr>
                              <w:jc w:val="center"/>
                            </w:pPr>
                          </w:p>
                          <w:p w14:paraId="787EF25C" w14:textId="77777777" w:rsidR="008F3940" w:rsidRDefault="008F3940" w:rsidP="007B0ECC">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D823CDB" id="Freeform 8" o:spid="_x0000_s1026" style="position:absolute;margin-left:145pt;margin-top:14.7pt;width:158.25pt;height:1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865013,14920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" adj="-11796480,,5400" path="m,1484768v324416,15089,648832,30178,959667,-217283c1270502,1020024,1712613,208230,1865013,e" filled="f" strokecolor="black [3213]" strokeweight="2pt">
                <v:stroke joinstyle="miter"/>
                <v:formulas/>
                <v:path arrowok="t" o:connecttype="custom" o:connectlocs="0,14850;10342,12677;20098,0" o:connectangles="0,0,0" textboxrect="0,0,1865013,1492002"/>
                <v:textbox>
                  <w:txbxContent>
                    <w:p w14:paraId="37A030B2" w14:textId="77777777" w:rsidR="008F3940" w:rsidRDefault="008F3940" w:rsidP="007B0ECC">
                      <w:pPr>
                        <w:jc w:val="center"/>
                      </w:pPr>
                    </w:p>
                    <w:p w14:paraId="1778F036" w14:textId="77777777" w:rsidR="008F3940" w:rsidRDefault="008F3940" w:rsidP="007B0ECC">
                      <w:pPr>
                        <w:jc w:val="center"/>
                      </w:pPr>
                    </w:p>
                    <w:p w14:paraId="15A40F67" w14:textId="77777777" w:rsidR="008F3940" w:rsidRDefault="008F3940" w:rsidP="007B0ECC">
                      <w:pPr>
                        <w:jc w:val="center"/>
                      </w:pPr>
                    </w:p>
                    <w:p w14:paraId="51EF9658" w14:textId="77777777" w:rsidR="008F3940" w:rsidRDefault="008F3940" w:rsidP="007B0ECC">
                      <w:pPr>
                        <w:jc w:val="center"/>
                      </w:pPr>
                    </w:p>
                    <w:p w14:paraId="6F678316" w14:textId="77777777" w:rsidR="008F3940" w:rsidRDefault="008F3940" w:rsidP="007B0ECC">
                      <w:pPr>
                        <w:jc w:val="center"/>
                      </w:pPr>
                    </w:p>
                    <w:p w14:paraId="711CCA04" w14:textId="77777777" w:rsidR="008F3940" w:rsidRDefault="008F3940" w:rsidP="007B0ECC">
                      <w:pPr>
                        <w:jc w:val="center"/>
                      </w:pPr>
                    </w:p>
                    <w:p w14:paraId="787EF25C" w14:textId="77777777" w:rsidR="008F3940" w:rsidRDefault="008F3940" w:rsidP="007B0ECC">
                      <w:pPr>
                        <w:jc w:val="center"/>
                      </w:pP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518B2F4" wp14:editId="5F961EAB">
                <wp:simplePos x="0" y="0"/>
                <wp:positionH relativeFrom="column">
                  <wp:posOffset>1111250</wp:posOffset>
                </wp:positionH>
                <wp:positionV relativeFrom="paragraph">
                  <wp:posOffset>148590</wp:posOffset>
                </wp:positionV>
                <wp:extent cx="246380" cy="266700"/>
                <wp:effectExtent l="0" t="0" r="4445" b="3810"/>
                <wp:wrapNone/>
                <wp:docPr id="18"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4BDD1" w14:textId="77777777" w:rsidR="008F3940" w:rsidRDefault="008F3940" w:rsidP="007B0ECC">
                            <w:pPr>
                              <w:pStyle w:val="NormalWeb"/>
                              <w:spacing w:before="0" w:beforeAutospacing="0" w:after="0" w:afterAutospacing="0"/>
                            </w:pPr>
                            <w:r>
                              <w:rPr>
                                <w:b/>
                                <w:bCs/>
                                <w:i/>
                                <w:iCs/>
                              </w:rPr>
                              <w:t>i</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18B2F4" id="_x0000_t202" coordsize="21600,21600" o:spt="202" path="m,l,21600r21600,l21600,xe">
                <v:stroke joinstyle="miter"/>
                <v:path gradientshapeok="t" o:connecttype="rect"/>
              </v:shapetype>
              <v:shape id="TextBox 23" o:spid="_x0000_s1027" type="#_x0000_t202" style="position:absolute;margin-left:87.5pt;margin-top:11.7pt;width:19.4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" filled="f" stroked="f">
                <v:textbox style="mso-fit-shape-to-text:t">
                  <w:txbxContent>
                    <w:p w14:paraId="3924BDD1" w14:textId="77777777" w:rsidR="008F3940" w:rsidRDefault="008F3940" w:rsidP="007B0ECC">
                      <w:pPr>
                        <w:pStyle w:val="NormalWeb"/>
                        <w:spacing w:before="0" w:beforeAutospacing="0" w:after="0" w:afterAutospacing="0"/>
                      </w:pPr>
                      <w:r>
                        <w:rPr>
                          <w:b/>
                          <w:bCs/>
                          <w:i/>
                          <w:iCs/>
                        </w:rPr>
                        <w:t>i</w:t>
                      </w:r>
                    </w:p>
                  </w:txbxContent>
                </v:textbox>
              </v:shape>
            </w:pict>
          </mc:Fallback>
        </mc:AlternateContent>
      </w:r>
      <w:r>
        <w:tab/>
      </w:r>
      <w:r>
        <w:tab/>
      </w:r>
      <w:r>
        <w:tab/>
      </w:r>
      <w:r>
        <w:tab/>
      </w:r>
      <w:r>
        <w:tab/>
      </w:r>
      <w:r>
        <w:tab/>
      </w:r>
      <m:oMath>
        <m:sSubSup>
          <m:sSubSupPr>
            <m:ctrlPr>
              <w:rPr>
                <w:rFonts w:ascii="Cambria Math" w:hAnsi="Cambria Math"/>
              </w:rPr>
            </m:ctrlPr>
          </m:sSubSupPr>
          <m:e>
            <m:r>
              <w:rPr>
                <w:rFonts w:ascii="Cambria Math" w:hAnsi="Cambria Math"/>
              </w:rPr>
              <m:t>f(d</m:t>
            </m:r>
          </m:e>
          <m:sub>
            <m:r>
              <w:rPr>
                <w:rFonts w:ascii="Cambria Math" w:hAnsi="Cambria Math"/>
              </w:rPr>
              <m:t>t</m:t>
            </m:r>
          </m:sub>
          <m:sup/>
        </m:sSubSup>
        <m:r>
          <m:rPr>
            <m:sty m:val="p"/>
          </m:rPr>
          <w:rPr>
            <w:rFonts w:ascii="Cambria Math" w:hAnsi="Cambria Math"/>
          </w:rPr>
          <m:t>)</m:t>
        </m:r>
      </m:oMath>
    </w:p>
    <w:p w14:paraId="713F6408" w14:textId="77777777" w:rsidR="007B0ECC" w:rsidRDefault="007B0ECC" w:rsidP="007B0ECC">
      <w:pPr>
        <w:spacing w:line="276" w:lineRule="auto"/>
        <w:jc w:val="both"/>
      </w:pPr>
      <w:r>
        <w:rPr>
          <w:noProof/>
          <w:lang w:val="en-US"/>
        </w:rPr>
        <mc:AlternateContent>
          <mc:Choice Requires="wpg">
            <w:drawing>
              <wp:anchor distT="0" distB="0" distL="114300" distR="114300" simplePos="0" relativeHeight="251663360" behindDoc="0" locked="0" layoutInCell="1" allowOverlap="1" wp14:anchorId="1D2372C5" wp14:editId="73F6B193">
                <wp:simplePos x="0" y="0"/>
                <wp:positionH relativeFrom="column">
                  <wp:posOffset>1357630</wp:posOffset>
                </wp:positionH>
                <wp:positionV relativeFrom="paragraph">
                  <wp:posOffset>7620</wp:posOffset>
                </wp:positionV>
                <wp:extent cx="1879600" cy="2286000"/>
                <wp:effectExtent l="33655" t="17145" r="10795" b="11430"/>
                <wp:wrapNone/>
                <wp:docPr id="14"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9600" cy="2286000"/>
                          <a:chOff x="2082" y="7225"/>
                          <a:chExt cx="2960" cy="3600"/>
                        </a:xfrm>
                      </wpg:grpSpPr>
                      <wps:wsp>
                        <wps:cNvPr id="15" name="Straight Arrow Connector 6"/>
                        <wps:cNvCnPr>
                          <a:cxnSpLocks noChangeShapeType="1"/>
                        </wps:cNvCnPr>
                        <wps:spPr bwMode="auto">
                          <a:xfrm flipV="1">
                            <a:off x="2082" y="7225"/>
                            <a:ext cx="71" cy="3600"/>
                          </a:xfrm>
                          <a:prstGeom prst="straightConnector1">
                            <a:avLst/>
                          </a:prstGeom>
                          <a:noFill/>
                          <a:ln w="9525">
                            <a:solidFill>
                              <a:schemeClr val="tx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6" name="Straight Connector 9"/>
                        <wps:cNvCnPr/>
                        <wps:spPr bwMode="auto">
                          <a:xfrm>
                            <a:off x="2082" y="8544"/>
                            <a:ext cx="2960" cy="1"/>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7" name="Straight Connector 10"/>
                        <wps:cNvCnPr/>
                        <wps:spPr bwMode="auto">
                          <a:xfrm>
                            <a:off x="2083" y="9062"/>
                            <a:ext cx="2571" cy="1"/>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75FDB8" id="Group 115" o:spid="_x0000_s1026" style="position:absolute;margin-left:106.9pt;margin-top:.6pt;width:148pt;height:180pt;z-index:251663360" coordorigin="2082,7225" coordsize="2960,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">
                <v:shapetype id="_x0000_t32" coordsize="21600,21600" o:spt="32" o:oned="t" path="m,l21600,21600e" filled="f">
                  <v:path arrowok="t" fillok="f" o:connecttype="none"/>
                  <o:lock v:ext="edit" shapetype="t"/>
                </v:shapetype>
                <v:shape id="Straight Arrow Connector 6" o:spid="_x0000_s1027" type="#_x0000_t32" style="position:absolute;left:2082;top:7225;width:71;height:36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" strokecolor="black [3213]">
                  <v:stroke endarrow="open"/>
                </v:shape>
                <v:line id="Straight Connector 9" o:spid="_x0000_s1028" style="position:absolute;visibility:visible;mso-wrap-style:square" from="2082,8544" to="5042,8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" strokecolor="black [3213]">
                  <v:stroke dashstyle="dash"/>
                </v:line>
                <v:line id="Straight Connector 10" o:spid="_x0000_s1029" style="position:absolute;visibility:visible;mso-wrap-style:square" from="2083,9062" to="4654,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" strokecolor="black [3213]">
                  <v:stroke dashstyle="dash"/>
                </v:line>
              </v:group>
            </w:pict>
          </mc:Fallback>
        </mc:AlternateContent>
      </w:r>
    </w:p>
    <w:p w14:paraId="27ED8D2E" w14:textId="77777777" w:rsidR="007B0ECC" w:rsidRDefault="007B0ECC" w:rsidP="007B0ECC">
      <w:pPr>
        <w:spacing w:line="276" w:lineRule="auto"/>
        <w:jc w:val="both"/>
      </w:pPr>
    </w:p>
    <w:p w14:paraId="5F4DE45E" w14:textId="77777777" w:rsidR="007B0ECC" w:rsidRDefault="007B0ECC" w:rsidP="007B0ECC">
      <w:pPr>
        <w:spacing w:line="276" w:lineRule="auto"/>
        <w:jc w:val="both"/>
      </w:pPr>
      <w:r>
        <w:rPr>
          <w:noProof/>
          <w:lang w:val="en-US"/>
        </w:rPr>
        <mc:AlternateContent>
          <mc:Choice Requires="wps">
            <w:drawing>
              <wp:anchor distT="0" distB="0" distL="114300" distR="114300" simplePos="0" relativeHeight="251670528" behindDoc="0" locked="0" layoutInCell="1" allowOverlap="1" wp14:anchorId="5A075594" wp14:editId="666AEE4C">
                <wp:simplePos x="0" y="0"/>
                <wp:positionH relativeFrom="column">
                  <wp:posOffset>2891790</wp:posOffset>
                </wp:positionH>
                <wp:positionV relativeFrom="paragraph">
                  <wp:posOffset>120650</wp:posOffset>
                </wp:positionV>
                <wp:extent cx="292100" cy="266700"/>
                <wp:effectExtent l="0" t="0" r="0" b="3175"/>
                <wp:wrapNone/>
                <wp:docPr id="13"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2C148" w14:textId="77777777" w:rsidR="008F3940" w:rsidRPr="00066582" w:rsidRDefault="008F3940" w:rsidP="007B0ECC">
                            <w:pPr>
                              <w:rPr>
                                <w:lang w:val="en-US"/>
                              </w:rPr>
                            </w:pPr>
                            <w:r>
                              <w:t>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A075594" id="Text Box 144" o:spid="_x0000_s1028" type="#_x0000_t202" style="position:absolute;left:0;text-align:left;margin-left:227.7pt;margin-top:9.5pt;width:23pt;height:21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Knktg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" filled="f" stroked="f">
                <v:textbox style="mso-fit-shape-to-text:t">
                  <w:txbxContent>
                    <w:p w14:paraId="5192C148" w14:textId="77777777" w:rsidR="008F3940" w:rsidRPr="00066582" w:rsidRDefault="008F3940" w:rsidP="007B0ECC">
                      <w:pPr>
                        <w:rPr>
                          <w:lang w:val="en-US"/>
                        </w:rPr>
                      </w:pPr>
                      <w:r>
                        <w:t>I</w:t>
                      </w:r>
                    </w:p>
                  </w:txbxContent>
                </v:textbox>
              </v:shape>
            </w:pict>
          </mc:Fallback>
        </mc:AlternateContent>
      </w:r>
    </w:p>
    <w:p w14:paraId="4A3ECF00" w14:textId="77777777" w:rsidR="007B0ECC" w:rsidRDefault="007B0ECC" w:rsidP="007B0ECC">
      <w:pPr>
        <w:spacing w:line="276" w:lineRule="auto"/>
        <w:jc w:val="both"/>
      </w:pPr>
      <w:r>
        <w:rPr>
          <w:noProof/>
          <w:lang w:val="en-US"/>
        </w:rPr>
        <mc:AlternateContent>
          <mc:Choice Requires="wps">
            <w:drawing>
              <wp:anchor distT="0" distB="0" distL="114300" distR="114300" simplePos="0" relativeHeight="251660288" behindDoc="0" locked="0" layoutInCell="1" allowOverlap="1" wp14:anchorId="2F44CA27" wp14:editId="7D0C0D43">
                <wp:simplePos x="0" y="0"/>
                <wp:positionH relativeFrom="column">
                  <wp:posOffset>2894013</wp:posOffset>
                </wp:positionH>
                <wp:positionV relativeFrom="paragraph">
                  <wp:posOffset>172402</wp:posOffset>
                </wp:positionV>
                <wp:extent cx="320040" cy="327025"/>
                <wp:effectExtent l="53657" t="0" r="0" b="57467"/>
                <wp:wrapNone/>
                <wp:docPr id="8"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165586">
                          <a:off x="0" y="0"/>
                          <a:ext cx="320040" cy="327025"/>
                        </a:xfrm>
                        <a:prstGeom prst="triangle">
                          <a:avLst>
                            <a:gd name="adj" fmla="val 50000"/>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219F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39" o:spid="_x0000_s1026" type="#_x0000_t5" style="position:absolute;margin-left:227.9pt;margin-top:13.55pt;width:25.2pt;height:25.75pt;rotation:4549931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" fillcolor="#d8d8d8 [2732]" stroked="f"/>
            </w:pict>
          </mc:Fallback>
        </mc:AlternateContent>
      </w:r>
      <w:r>
        <w:rPr>
          <w:noProof/>
          <w:lang w:val="en-US"/>
        </w:rPr>
        <mc:AlternateContent>
          <mc:Choice Requires="wps">
            <w:drawing>
              <wp:anchor distT="0" distB="0" distL="114300" distR="114300" simplePos="0" relativeHeight="251661312" behindDoc="0" locked="0" layoutInCell="1" allowOverlap="1" wp14:anchorId="5265AE09" wp14:editId="21D28249">
                <wp:simplePos x="0" y="0"/>
                <wp:positionH relativeFrom="column">
                  <wp:posOffset>2903538</wp:posOffset>
                </wp:positionH>
                <wp:positionV relativeFrom="paragraph">
                  <wp:posOffset>155892</wp:posOffset>
                </wp:positionV>
                <wp:extent cx="320040" cy="327025"/>
                <wp:effectExtent l="72707" t="0" r="318" b="57467"/>
                <wp:wrapNone/>
                <wp:docPr id="9" name="AutoShap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802241">
                          <a:off x="0" y="0"/>
                          <a:ext cx="320040" cy="327025"/>
                        </a:xfrm>
                        <a:prstGeom prst="triangle">
                          <a:avLst>
                            <a:gd name="adj" fmla="val 50000"/>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D315F" id="AutoShape 140" o:spid="_x0000_s1026" type="#_x0000_t5" style="position:absolute;margin-left:228.65pt;margin-top:12.25pt;width:25.2pt;height:25.75pt;rotation:4153061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" fillcolor="#d8d8d8 [2732]" stroked="f"/>
            </w:pict>
          </mc:Fallback>
        </mc:AlternateContent>
      </w:r>
    </w:p>
    <w:p w14:paraId="66981F92" w14:textId="77777777" w:rsidR="007B0ECC" w:rsidRDefault="007B0ECC" w:rsidP="007B0ECC">
      <w:pPr>
        <w:ind w:left="720" w:firstLine="720"/>
        <w:jc w:val="both"/>
      </w:pPr>
      <w:r>
        <w:rPr>
          <w:noProof/>
          <w:lang w:val="en-US"/>
        </w:rPr>
        <mc:AlternateContent>
          <mc:Choice Requires="wps">
            <w:drawing>
              <wp:anchor distT="0" distB="0" distL="114300" distR="114300" simplePos="0" relativeHeight="251666432" behindDoc="0" locked="0" layoutInCell="1" allowOverlap="1" wp14:anchorId="23DCFD64" wp14:editId="6FF1BB1E">
                <wp:simplePos x="0" y="0"/>
                <wp:positionH relativeFrom="column">
                  <wp:posOffset>3256280</wp:posOffset>
                </wp:positionH>
                <wp:positionV relativeFrom="paragraph">
                  <wp:posOffset>71755</wp:posOffset>
                </wp:positionV>
                <wp:extent cx="0" cy="1429385"/>
                <wp:effectExtent l="0" t="0" r="19050" b="0"/>
                <wp:wrapNone/>
                <wp:docPr id="6"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29385"/>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BB3D5B" id="Straight Connector 11"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4pt,5.65pt" to="256.4pt,1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" strokecolor="black [3213]">
                <v:stroke dashstyle="dash"/>
              </v:line>
            </w:pict>
          </mc:Fallback>
        </mc:AlternateContent>
      </w:r>
      <w:r>
        <w:rPr>
          <w:noProof/>
          <w:lang w:val="en-US"/>
        </w:rPr>
        <mc:AlternateContent>
          <mc:Choice Requires="wps">
            <w:drawing>
              <wp:anchor distT="0" distB="0" distL="114300" distR="114300" simplePos="0" relativeHeight="251667456" behindDoc="0" locked="0" layoutInCell="1" allowOverlap="1" wp14:anchorId="27A46D47" wp14:editId="6A010E8A">
                <wp:simplePos x="0" y="0"/>
                <wp:positionH relativeFrom="column">
                  <wp:posOffset>2959735</wp:posOffset>
                </wp:positionH>
                <wp:positionV relativeFrom="paragraph">
                  <wp:posOffset>62230</wp:posOffset>
                </wp:positionV>
                <wp:extent cx="0" cy="1451610"/>
                <wp:effectExtent l="0" t="0" r="19050" b="0"/>
                <wp:wrapNone/>
                <wp:docPr id="10"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1610"/>
                        </a:xfrm>
                        <a:prstGeom prst="line">
                          <a:avLst/>
                        </a:prstGeom>
                        <a:noFill/>
                        <a:ln w="9525">
                          <a:solidFill>
                            <a:schemeClr val="tx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BA7F3" id="Straight Connector 1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05pt,4.9pt" to="233.05pt,1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" strokecolor="black [3213]">
                <v:stroke dashstyle="dash"/>
              </v:line>
            </w:pict>
          </mc:Fallback>
        </mc:AlternateContent>
      </w:r>
      <w:r>
        <w:rPr>
          <w:noProof/>
          <w:lang w:val="en-US"/>
        </w:rPr>
        <mc:AlternateContent>
          <mc:Choice Requires="wps">
            <w:drawing>
              <wp:anchor distT="0" distB="0" distL="114300" distR="114300" simplePos="0" relativeHeight="251659264" behindDoc="0" locked="0" layoutInCell="1" allowOverlap="1" wp14:anchorId="4597A47E" wp14:editId="658E3FE0">
                <wp:simplePos x="0" y="0"/>
                <wp:positionH relativeFrom="column">
                  <wp:posOffset>1389380</wp:posOffset>
                </wp:positionH>
                <wp:positionV relativeFrom="paragraph">
                  <wp:posOffset>39370</wp:posOffset>
                </wp:positionV>
                <wp:extent cx="1570355" cy="329565"/>
                <wp:effectExtent l="0" t="0" r="0" b="0"/>
                <wp:wrapNone/>
                <wp:docPr id="7"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0355" cy="329565"/>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4E2F2" id="Rectangle 138" o:spid="_x0000_s1026" style="position:absolute;margin-left:109.4pt;margin-top:3.1pt;width:123.65pt;height:2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" fillcolor="#d8d8d8 [2732]" stroked="f"/>
            </w:pict>
          </mc:Fallback>
        </mc:AlternateContent>
      </w:r>
      <w:r>
        <w:rPr>
          <w:noProof/>
          <w:lang w:val="en-US"/>
        </w:rPr>
        <mc:AlternateContent>
          <mc:Choice Requires="wps">
            <w:drawing>
              <wp:anchor distT="0" distB="0" distL="114300" distR="114300" simplePos="0" relativeHeight="251669504" behindDoc="0" locked="0" layoutInCell="1" allowOverlap="1" wp14:anchorId="1D3566DE" wp14:editId="24B81B1B">
                <wp:simplePos x="0" y="0"/>
                <wp:positionH relativeFrom="column">
                  <wp:posOffset>1967865</wp:posOffset>
                </wp:positionH>
                <wp:positionV relativeFrom="paragraph">
                  <wp:posOffset>149860</wp:posOffset>
                </wp:positionV>
                <wp:extent cx="295910" cy="265430"/>
                <wp:effectExtent l="0" t="0" r="0" b="1270"/>
                <wp:wrapNone/>
                <wp:docPr id="1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DD681" w14:textId="77777777" w:rsidR="008F3940" w:rsidRDefault="008F3940" w:rsidP="007B0ECC">
                            <w:r>
                              <w:t>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566DE" id="Text Box 143" o:spid="_x0000_s1029" type="#_x0000_t202" style="position:absolute;left:0;text-align:left;margin-left:154.95pt;margin-top:11.8pt;width:23.3pt;height:2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wOFuQIAAMI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" filled="f" stroked="f">
                <v:textbox>
                  <w:txbxContent>
                    <w:p w14:paraId="060DD681" w14:textId="77777777" w:rsidR="008F3940" w:rsidRDefault="008F3940" w:rsidP="007B0ECC">
                      <w:r>
                        <w:t>II</w:t>
                      </w:r>
                    </w:p>
                  </w:txbxContent>
                </v:textbox>
              </v:shape>
            </w:pict>
          </mc:Fallback>
        </mc:AlternateContent>
      </w:r>
      <w:r>
        <w:rPr>
          <w:noProof/>
          <w:lang w:val="en-US"/>
        </w:rPr>
        <mc:AlternateContent>
          <mc:Choice Requires="wps">
            <w:drawing>
              <wp:anchor distT="0" distB="0" distL="114300" distR="114300" simplePos="0" relativeHeight="251671552" behindDoc="0" locked="0" layoutInCell="1" allowOverlap="1" wp14:anchorId="45F4A716" wp14:editId="55BACD62">
                <wp:simplePos x="0" y="0"/>
                <wp:positionH relativeFrom="column">
                  <wp:posOffset>3054985</wp:posOffset>
                </wp:positionH>
                <wp:positionV relativeFrom="paragraph">
                  <wp:posOffset>36830</wp:posOffset>
                </wp:positionV>
                <wp:extent cx="0" cy="205740"/>
                <wp:effectExtent l="54610" t="8255" r="59690" b="14605"/>
                <wp:wrapNone/>
                <wp:docPr id="12"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8FCD4B" id="AutoShape 145" o:spid="_x0000_s1026" type="#_x0000_t32" style="position:absolute;margin-left:240.55pt;margin-top:2.9pt;width:0;height:1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gXRNQIAAF8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">
                <v:stroke endarrow="block"/>
              </v:shape>
            </w:pict>
          </mc:Fallback>
        </mc:AlternateContent>
      </w:r>
      <w:r>
        <w:rPr>
          <w:noProof/>
          <w:lang w:val="en-US"/>
        </w:rPr>
        <mc:AlternateContent>
          <mc:Choice Requires="wpg">
            <w:drawing>
              <wp:anchor distT="0" distB="0" distL="114300" distR="114300" simplePos="0" relativeHeight="251662336" behindDoc="0" locked="0" layoutInCell="1" allowOverlap="1" wp14:anchorId="7A6612FF" wp14:editId="38F3BE24">
                <wp:simplePos x="0" y="0"/>
                <wp:positionH relativeFrom="column">
                  <wp:posOffset>2959735</wp:posOffset>
                </wp:positionH>
                <wp:positionV relativeFrom="paragraph">
                  <wp:posOffset>36830</wp:posOffset>
                </wp:positionV>
                <wp:extent cx="510540" cy="640080"/>
                <wp:effectExtent l="0" t="0" r="0" b="0"/>
                <wp:wrapNone/>
                <wp:docPr id="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640080"/>
                          <a:chOff x="0" y="0"/>
                          <a:chExt cx="5105" cy="6400"/>
                        </a:xfrm>
                      </wpg:grpSpPr>
                      <wps:wsp>
                        <wps:cNvPr id="4" name="Text Box 2"/>
                        <wps:cNvSpPr txBox="1">
                          <a:spLocks noChangeArrowheads="1"/>
                        </wps:cNvSpPr>
                        <wps:spPr bwMode="auto">
                          <a:xfrm>
                            <a:off x="0" y="3810"/>
                            <a:ext cx="2724" cy="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AC331" w14:textId="77777777" w:rsidR="008F3940" w:rsidRPr="00237170" w:rsidRDefault="008F3940" w:rsidP="007B0ECC">
                              <w:pPr>
                                <w:rPr>
                                  <w:sz w:val="20"/>
                                </w:rPr>
                              </w:pPr>
                              <w:r w:rsidRPr="00237170">
                                <w:rPr>
                                  <w:sz w:val="20"/>
                                </w:rPr>
                                <w:t>A</w:t>
                              </w:r>
                            </w:p>
                          </w:txbxContent>
                        </wps:txbx>
                        <wps:bodyPr rot="0" vert="horz" wrap="square" lIns="91440" tIns="45720" rIns="91440" bIns="45720" anchor="t" anchorCtr="0" upright="1">
                          <a:noAutofit/>
                        </wps:bodyPr>
                      </wps:wsp>
                      <wps:wsp>
                        <wps:cNvPr id="5" name="Text Box 2"/>
                        <wps:cNvSpPr txBox="1">
                          <a:spLocks noChangeArrowheads="1"/>
                        </wps:cNvSpPr>
                        <wps:spPr bwMode="auto">
                          <a:xfrm>
                            <a:off x="2381" y="0"/>
                            <a:ext cx="2724" cy="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F0EB5" w14:textId="77777777" w:rsidR="008F3940" w:rsidRPr="00237170" w:rsidRDefault="008F3940" w:rsidP="007B0ECC">
                              <w:pPr>
                                <w:rPr>
                                  <w:sz w:val="20"/>
                                </w:rPr>
                              </w:pPr>
                              <w:r w:rsidRPr="00237170">
                                <w:rPr>
                                  <w:sz w:val="20"/>
                                </w:rPr>
                                <w:t>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6612FF" id="Group 8" o:spid="_x0000_s1030" style="position:absolute;left:0;text-align:left;margin-left:233.05pt;margin-top:2.9pt;width:40.2pt;height:50.4pt;z-index:251662336" coordsize="5105,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">
                <v:shape id="Text Box 2" o:spid="_x0000_s1031" type="#_x0000_t202" style="position:absolute;top:3810;width:2724;height:2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BEAC331" w14:textId="77777777" w:rsidR="008F3940" w:rsidRPr="00237170" w:rsidRDefault="008F3940" w:rsidP="007B0ECC">
                        <w:pPr>
                          <w:rPr>
                            <w:sz w:val="20"/>
                          </w:rPr>
                        </w:pPr>
                        <w:r w:rsidRPr="00237170">
                          <w:rPr>
                            <w:sz w:val="20"/>
                          </w:rPr>
                          <w:t>A</w:t>
                        </w:r>
                      </w:p>
                    </w:txbxContent>
                  </v:textbox>
                </v:shape>
                <v:shape id="Text Box 2" o:spid="_x0000_s1032" type="#_x0000_t202" style="position:absolute;left:2381;width:2724;height:2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584F0EB5" w14:textId="77777777" w:rsidR="008F3940" w:rsidRPr="00237170" w:rsidRDefault="008F3940" w:rsidP="007B0ECC">
                        <w:pPr>
                          <w:rPr>
                            <w:sz w:val="20"/>
                          </w:rPr>
                        </w:pPr>
                        <w:r w:rsidRPr="00237170">
                          <w:rPr>
                            <w:sz w:val="20"/>
                          </w:rPr>
                          <w:t>B</w:t>
                        </w:r>
                      </w:p>
                    </w:txbxContent>
                  </v:textbox>
                </v:shape>
              </v:group>
            </w:pict>
          </mc:Fallback>
        </mc:AlternateContent>
      </w:r>
      <w:r>
        <w:rPr>
          <w:noProof/>
        </w:rPr>
        <w:t xml:space="preserve"> </w:t>
      </w:r>
      <m:oMath>
        <m:r>
          <m:rPr>
            <m:sty m:val="p"/>
          </m:rPr>
          <w:rPr>
            <w:rFonts w:ascii="Cambria Math" w:hAnsi="Cambria Math"/>
            <w:noProof/>
          </w:rPr>
          <m:t xml:space="preserve"> </m:t>
        </m:r>
        <m:sSubSup>
          <m:sSubSupPr>
            <m:ctrlPr>
              <w:rPr>
                <w:rFonts w:ascii="Cambria Math" w:hAnsi="Cambria Math"/>
              </w:rPr>
            </m:ctrlPr>
          </m:sSubSupPr>
          <m:e>
            <m:r>
              <w:rPr>
                <w:rFonts w:ascii="Cambria Math" w:hAnsi="Cambria Math"/>
              </w:rPr>
              <m:t>i</m:t>
            </m:r>
          </m:e>
          <m:sub>
            <m:r>
              <w:rPr>
                <w:rFonts w:ascii="Cambria Math" w:hAnsi="Cambria Math"/>
              </w:rPr>
              <m:t>t</m:t>
            </m:r>
          </m:sub>
          <m:sup/>
        </m:sSubSup>
      </m:oMath>
    </w:p>
    <w:p w14:paraId="75000571" w14:textId="77777777" w:rsidR="007B0ECC" w:rsidRDefault="007B0ECC" w:rsidP="007B0ECC">
      <w:pPr>
        <w:spacing w:before="240"/>
        <w:ind w:left="1440" w:firstLine="720"/>
        <w:jc w:val="both"/>
      </w:pPr>
      <m:oMathPara>
        <m:oMathParaPr>
          <m:jc m:val="left"/>
        </m:oMathParaPr>
        <m:oMath>
          <m:r>
            <w:rPr>
              <w:rFonts w:ascii="Cambria Math" w:hAnsi="Cambria Math"/>
            </w:rPr>
            <m:t xml:space="preserve">  </m:t>
          </m:r>
          <m:sSubSup>
            <m:sSubSupPr>
              <m:ctrlPr>
                <w:rPr>
                  <w:rFonts w:ascii="Cambria Math" w:hAnsi="Cambria Math"/>
                </w:rPr>
              </m:ctrlPr>
            </m:sSubSupPr>
            <m:e>
              <m:r>
                <w:rPr>
                  <w:rFonts w:ascii="Cambria Math" w:hAnsi="Cambria Math"/>
                </w:rPr>
                <m:t>i</m:t>
              </m:r>
            </m:e>
            <m:sub>
              <m:r>
                <w:rPr>
                  <w:rFonts w:ascii="Cambria Math" w:hAnsi="Cambria Math"/>
                </w:rPr>
                <m:t>t</m:t>
              </m:r>
            </m:sub>
            <m:sup>
              <m:r>
                <m:rPr>
                  <m:sty m:val="p"/>
                </m:rPr>
                <w:rPr>
                  <w:rFonts w:ascii="Cambria Math" w:hAnsi="Cambria Math"/>
                </w:rPr>
                <m:t>ϑ</m:t>
              </m:r>
            </m:sup>
          </m:sSubSup>
        </m:oMath>
      </m:oMathPara>
    </w:p>
    <w:p w14:paraId="1CDDC55A" w14:textId="77777777" w:rsidR="007B0ECC" w:rsidRDefault="007B0ECC" w:rsidP="007B0ECC">
      <w:pPr>
        <w:spacing w:line="276" w:lineRule="auto"/>
        <w:jc w:val="both"/>
      </w:pPr>
    </w:p>
    <w:p w14:paraId="02E8C692" w14:textId="77777777" w:rsidR="007B0ECC" w:rsidRDefault="007B0ECC" w:rsidP="007B0ECC">
      <w:pPr>
        <w:spacing w:line="276" w:lineRule="auto"/>
        <w:jc w:val="both"/>
      </w:pPr>
    </w:p>
    <w:p w14:paraId="37167D58" w14:textId="77777777" w:rsidR="007B0ECC" w:rsidRDefault="007B0ECC" w:rsidP="007B0ECC">
      <w:pPr>
        <w:spacing w:line="276" w:lineRule="auto"/>
        <w:jc w:val="both"/>
      </w:pPr>
    </w:p>
    <w:p w14:paraId="74D37C8C" w14:textId="77777777" w:rsidR="007B0ECC" w:rsidRDefault="007B0ECC" w:rsidP="007B0ECC">
      <w:pPr>
        <w:spacing w:line="276" w:lineRule="auto"/>
        <w:jc w:val="both"/>
      </w:pPr>
    </w:p>
    <w:p w14:paraId="705E070F" w14:textId="77777777" w:rsidR="007B0ECC" w:rsidRDefault="007B0ECC" w:rsidP="007B0ECC">
      <w:pPr>
        <w:spacing w:line="276" w:lineRule="auto"/>
        <w:jc w:val="both"/>
      </w:pPr>
      <w:r>
        <w:rPr>
          <w:noProof/>
          <w:lang w:val="en-US"/>
        </w:rPr>
        <mc:AlternateContent>
          <mc:Choice Requires="wps">
            <w:drawing>
              <wp:anchor distT="0" distB="0" distL="114300" distR="114300" simplePos="0" relativeHeight="251668480" behindDoc="0" locked="0" layoutInCell="1" allowOverlap="1" wp14:anchorId="79D24E81" wp14:editId="141AAC7E">
                <wp:simplePos x="0" y="0"/>
                <wp:positionH relativeFrom="column">
                  <wp:posOffset>1357630</wp:posOffset>
                </wp:positionH>
                <wp:positionV relativeFrom="paragraph">
                  <wp:posOffset>147955</wp:posOffset>
                </wp:positionV>
                <wp:extent cx="2667635" cy="635"/>
                <wp:effectExtent l="0" t="76200" r="18415" b="113665"/>
                <wp:wrapNone/>
                <wp:docPr id="2"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635" cy="635"/>
                        </a:xfrm>
                        <a:prstGeom prst="straightConnector1">
                          <a:avLst/>
                        </a:prstGeom>
                        <a:noFill/>
                        <a:ln w="9525">
                          <a:solidFill>
                            <a:schemeClr val="tx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E0CFD7" id="Straight Arrow Connector 7" o:spid="_x0000_s1026" type="#_x0000_t32" style="position:absolute;margin-left:106.9pt;margin-top:11.65pt;width:210.05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" strokecolor="black [3213]">
                <v:stroke endarrow="open"/>
              </v:shape>
            </w:pict>
          </mc:Fallback>
        </mc:AlternateContent>
      </w:r>
      <w:r>
        <w:rPr>
          <w:noProof/>
          <w:lang w:val="en-US"/>
        </w:rPr>
        <mc:AlternateContent>
          <mc:Choice Requires="wps">
            <w:drawing>
              <wp:anchor distT="0" distB="0" distL="114300" distR="114300" simplePos="0" relativeHeight="251664384" behindDoc="0" locked="0" layoutInCell="1" allowOverlap="1" wp14:anchorId="5E581A8A" wp14:editId="74FF05E2">
                <wp:simplePos x="0" y="0"/>
                <wp:positionH relativeFrom="column">
                  <wp:posOffset>3729990</wp:posOffset>
                </wp:positionH>
                <wp:positionV relativeFrom="paragraph">
                  <wp:posOffset>151765</wp:posOffset>
                </wp:positionV>
                <wp:extent cx="246380" cy="266700"/>
                <wp:effectExtent l="0" t="0" r="0" b="0"/>
                <wp:wrapNone/>
                <wp:docPr id="1"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422C6" w14:textId="77777777" w:rsidR="008F3940" w:rsidRPr="00887EEC" w:rsidRDefault="008F3940" w:rsidP="007B0ECC">
                            <w:pPr>
                              <w:rPr>
                                <w:b/>
                                <w:i/>
                              </w:rPr>
                            </w:pPr>
                            <w:r w:rsidRPr="00887EEC">
                              <w:rPr>
                                <w:b/>
                                <w:i/>
                              </w:rPr>
                              <w:t>d</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E581A8A" id="TextBox 24" o:spid="_x0000_s1033" type="#_x0000_t202" style="position:absolute;left:0;text-align:left;margin-left:293.7pt;margin-top:11.95pt;width:19.4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HttwIAAL8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" filled="f" stroked="f">
                <v:textbox style="mso-fit-shape-to-text:t">
                  <w:txbxContent>
                    <w:p w14:paraId="6BF422C6" w14:textId="77777777" w:rsidR="008F3940" w:rsidRPr="00887EEC" w:rsidRDefault="008F3940" w:rsidP="007B0ECC">
                      <w:pPr>
                        <w:rPr>
                          <w:b/>
                          <w:i/>
                        </w:rPr>
                      </w:pPr>
                      <w:r w:rsidRPr="00887EEC">
                        <w:rPr>
                          <w:b/>
                          <w:i/>
                        </w:rPr>
                        <w:t>d</w:t>
                      </w:r>
                    </w:p>
                  </w:txbxContent>
                </v:textbox>
              </v:shape>
            </w:pict>
          </mc:Fallback>
        </mc:AlternateContent>
      </w:r>
    </w:p>
    <w:p w14:paraId="6241C28F" w14:textId="77777777" w:rsidR="007B0ECC" w:rsidRDefault="007B0ECC" w:rsidP="007B0ECC">
      <w:pPr>
        <w:spacing w:line="276" w:lineRule="auto"/>
        <w:jc w:val="both"/>
      </w:pPr>
    </w:p>
    <w:bookmarkEnd w:id="15"/>
    <w:p w14:paraId="3F08A1F0" w14:textId="6218404B" w:rsidR="00C12204" w:rsidRDefault="00C12204" w:rsidP="00C12204">
      <w:pPr>
        <w:spacing w:line="276" w:lineRule="auto"/>
        <w:jc w:val="both"/>
        <w:rPr>
          <w:rFonts w:ascii="Arial" w:hAnsi="Arial" w:cs="Arial"/>
          <w:noProof/>
          <w:sz w:val="18"/>
        </w:rPr>
      </w:pPr>
    </w:p>
    <w:p w14:paraId="4939385F" w14:textId="77777777" w:rsidR="00C12204" w:rsidRDefault="00C12204" w:rsidP="00C12204">
      <w:pPr>
        <w:spacing w:after="240" w:line="276" w:lineRule="auto"/>
        <w:jc w:val="both"/>
        <w:rPr>
          <w:rFonts w:ascii="Arial" w:hAnsi="Arial" w:cs="Arial"/>
          <w:noProof/>
          <w:sz w:val="18"/>
        </w:rPr>
      </w:pPr>
      <w:r w:rsidRPr="0004682B">
        <w:rPr>
          <w:rFonts w:ascii="Arial" w:hAnsi="Arial" w:cs="Arial"/>
          <w:noProof/>
          <w:sz w:val="18"/>
        </w:rPr>
        <w:tab/>
      </w:r>
      <w:r w:rsidRPr="0004682B">
        <w:rPr>
          <w:rFonts w:ascii="Arial" w:hAnsi="Arial" w:cs="Arial"/>
          <w:noProof/>
          <w:sz w:val="18"/>
        </w:rPr>
        <w:tab/>
        <w:t>Fuente: Acosta y otros (2017).</w:t>
      </w:r>
      <w:r w:rsidRPr="0004682B">
        <w:rPr>
          <w:rFonts w:ascii="Arial" w:hAnsi="Arial" w:cs="Arial"/>
          <w:noProof/>
          <w:sz w:val="18"/>
        </w:rPr>
        <w:tab/>
      </w:r>
    </w:p>
    <w:p w14:paraId="0FD1C863" w14:textId="350AA300" w:rsidR="007B0ECC" w:rsidRPr="0004682B" w:rsidRDefault="007B0ECC" w:rsidP="00894029">
      <w:pPr>
        <w:spacing w:after="240" w:line="276" w:lineRule="auto"/>
        <w:jc w:val="both"/>
        <w:rPr>
          <w:rFonts w:ascii="Arial" w:hAnsi="Arial" w:cs="Arial"/>
          <w:sz w:val="18"/>
        </w:rPr>
      </w:pPr>
      <w:r w:rsidRPr="0004682B">
        <w:rPr>
          <w:rFonts w:ascii="Arial" w:hAnsi="Arial" w:cs="Arial"/>
          <w:noProof/>
          <w:sz w:val="18"/>
        </w:rPr>
        <w:tab/>
        <w:t xml:space="preserve"> </w:t>
      </w:r>
    </w:p>
    <w:p w14:paraId="21E63D92" w14:textId="5A0C6151" w:rsidR="00FC2E3C" w:rsidRDefault="00C12204" w:rsidP="00F54A29">
      <w:pPr>
        <w:pStyle w:val="Paragraph"/>
        <w:tabs>
          <w:tab w:val="clear" w:pos="2448"/>
        </w:tabs>
        <w:ind w:left="720" w:hanging="756"/>
        <w:rPr>
          <w:rFonts w:ascii="Arial" w:hAnsi="Arial" w:cs="Arial"/>
          <w:sz w:val="22"/>
          <w:szCs w:val="22"/>
        </w:rPr>
      </w:pPr>
      <w:r w:rsidRPr="00C12204">
        <w:rPr>
          <w:rFonts w:ascii="Arial" w:hAnsi="Arial" w:cs="Arial"/>
          <w:b/>
          <w:sz w:val="22"/>
          <w:szCs w:val="22"/>
        </w:rPr>
        <w:t>Evaluación del impacto del sistema de retención del IVA a servicios digitales.</w:t>
      </w:r>
      <w:r w:rsidR="009027B3">
        <w:rPr>
          <w:rFonts w:ascii="Arial" w:hAnsi="Arial" w:cs="Arial"/>
          <w:sz w:val="22"/>
          <w:szCs w:val="22"/>
        </w:rPr>
        <w:t xml:space="preserve"> </w:t>
      </w:r>
      <w:r w:rsidR="00E667C5" w:rsidRPr="00C12204">
        <w:rPr>
          <w:rFonts w:ascii="Arial" w:hAnsi="Arial" w:cs="Arial"/>
          <w:sz w:val="22"/>
          <w:szCs w:val="22"/>
        </w:rPr>
        <w:t>Como ya se ha indicado en secciones anteriores, el componente IV del programa apoya la mejora en la eficiencia y transparencia de la política y gestión tributaria.</w:t>
      </w:r>
      <w:r w:rsidR="009027B3">
        <w:rPr>
          <w:rFonts w:ascii="Arial" w:hAnsi="Arial" w:cs="Arial"/>
          <w:sz w:val="22"/>
          <w:szCs w:val="22"/>
        </w:rPr>
        <w:t xml:space="preserve"> </w:t>
      </w:r>
      <w:r w:rsidR="00E667C5" w:rsidRPr="00C12204">
        <w:rPr>
          <w:rFonts w:ascii="Arial" w:hAnsi="Arial" w:cs="Arial"/>
          <w:sz w:val="22"/>
          <w:szCs w:val="22"/>
        </w:rPr>
        <w:t>Dicho componente incluye la aprobación de un sistema de retención del IVA a los servicios digitales cobrados con tarjeta de crédito.</w:t>
      </w:r>
      <w:r w:rsidR="00FC2E3C" w:rsidRPr="00C12204">
        <w:rPr>
          <w:vertAlign w:val="superscript"/>
        </w:rPr>
        <w:footnoteReference w:id="23"/>
      </w:r>
      <w:r w:rsidR="009027B3">
        <w:rPr>
          <w:rFonts w:ascii="Arial" w:hAnsi="Arial" w:cs="Arial"/>
          <w:sz w:val="22"/>
          <w:szCs w:val="22"/>
          <w:vertAlign w:val="superscript"/>
        </w:rPr>
        <w:t xml:space="preserve"> </w:t>
      </w:r>
      <w:r w:rsidR="00FC2E3C" w:rsidRPr="00C12204">
        <w:rPr>
          <w:rFonts w:ascii="Arial" w:hAnsi="Arial" w:cs="Arial"/>
          <w:sz w:val="22"/>
          <w:szCs w:val="22"/>
        </w:rPr>
        <w:t>Para evaluar el impacto de este sistema, se propone utilizar la metodología de diferencias en diferencias, según se describe a continuación.</w:t>
      </w:r>
    </w:p>
    <w:p w14:paraId="575FE7B6" w14:textId="27FE37A5" w:rsidR="00FC2E3C" w:rsidRDefault="00FC2E3C" w:rsidP="00F54A29">
      <w:pPr>
        <w:pStyle w:val="Paragraph"/>
        <w:tabs>
          <w:tab w:val="clear" w:pos="2448"/>
        </w:tabs>
        <w:ind w:left="720" w:hanging="756"/>
        <w:rPr>
          <w:rFonts w:ascii="Arial" w:hAnsi="Arial" w:cs="Arial"/>
          <w:sz w:val="22"/>
          <w:szCs w:val="22"/>
        </w:rPr>
      </w:pPr>
      <w:r w:rsidRPr="00C12204">
        <w:rPr>
          <w:rFonts w:ascii="Arial" w:hAnsi="Arial" w:cs="Arial"/>
          <w:i/>
          <w:sz w:val="22"/>
          <w:szCs w:val="22"/>
        </w:rPr>
        <w:t>Descripción de la metodología</w:t>
      </w:r>
      <w:r>
        <w:rPr>
          <w:rFonts w:ascii="Arial" w:hAnsi="Arial" w:cs="Arial"/>
          <w:sz w:val="22"/>
          <w:szCs w:val="22"/>
        </w:rPr>
        <w:t xml:space="preserve">: </w:t>
      </w:r>
      <w:r w:rsidR="002A4B46" w:rsidRPr="002A4B46">
        <w:rPr>
          <w:rFonts w:ascii="Arial" w:hAnsi="Arial" w:cs="Arial"/>
          <w:sz w:val="22"/>
          <w:szCs w:val="22"/>
        </w:rPr>
        <w:t xml:space="preserve">El objetivo de la evaluación será </w:t>
      </w:r>
      <w:r w:rsidR="002A4B46">
        <w:rPr>
          <w:rFonts w:ascii="Arial" w:hAnsi="Arial" w:cs="Arial"/>
          <w:sz w:val="22"/>
          <w:szCs w:val="22"/>
        </w:rPr>
        <w:t>evaluar el impacto de la implementación del sistema de retención del IVA a los servicios digitales en la recaudación proveniente de estos servicios</w:t>
      </w:r>
      <w:r w:rsidR="002A4B46" w:rsidRPr="002A4B46">
        <w:rPr>
          <w:rFonts w:ascii="Arial" w:hAnsi="Arial" w:cs="Arial"/>
          <w:sz w:val="22"/>
          <w:szCs w:val="22"/>
        </w:rPr>
        <w:t xml:space="preserve">. </w:t>
      </w:r>
      <w:r w:rsidR="002A4B46">
        <w:rPr>
          <w:rFonts w:ascii="Arial" w:hAnsi="Arial" w:cs="Arial"/>
          <w:sz w:val="22"/>
          <w:szCs w:val="22"/>
        </w:rPr>
        <w:t>Para ello, se propone utilizar la metodología de diferencias en diferencias</w:t>
      </w:r>
      <w:r w:rsidR="005D3FE5">
        <w:rPr>
          <w:rFonts w:ascii="Arial" w:hAnsi="Arial" w:cs="Arial"/>
          <w:sz w:val="22"/>
          <w:szCs w:val="22"/>
        </w:rPr>
        <w:t xml:space="preserve">, la cual </w:t>
      </w:r>
      <w:r w:rsidR="005D3FE5" w:rsidRPr="00B6469D">
        <w:rPr>
          <w:rFonts w:ascii="Arial" w:hAnsi="Arial" w:cs="Arial"/>
          <w:sz w:val="22"/>
          <w:szCs w:val="22"/>
        </w:rPr>
        <w:t>evaluará e</w:t>
      </w:r>
      <w:r w:rsidRPr="00B6469D">
        <w:rPr>
          <w:rFonts w:ascii="Arial" w:hAnsi="Arial" w:cs="Arial"/>
          <w:sz w:val="22"/>
          <w:szCs w:val="22"/>
        </w:rPr>
        <w:t>l impacto de</w:t>
      </w:r>
      <w:r w:rsidR="005D3FE5" w:rsidRPr="00C12204">
        <w:rPr>
          <w:rFonts w:ascii="Arial" w:hAnsi="Arial" w:cs="Arial"/>
          <w:sz w:val="22"/>
          <w:szCs w:val="22"/>
        </w:rPr>
        <w:t xml:space="preserve"> la medida </w:t>
      </w:r>
      <w:r w:rsidRPr="00B6469D">
        <w:rPr>
          <w:rFonts w:ascii="Arial" w:hAnsi="Arial" w:cs="Arial"/>
          <w:sz w:val="22"/>
          <w:szCs w:val="22"/>
        </w:rPr>
        <w:t>calculando una doble diferencia</w:t>
      </w:r>
      <w:r w:rsidR="00D96BDA">
        <w:rPr>
          <w:rFonts w:ascii="Arial" w:hAnsi="Arial" w:cs="Arial"/>
          <w:sz w:val="22"/>
          <w:szCs w:val="22"/>
        </w:rPr>
        <w:t>: primero,</w:t>
      </w:r>
      <w:r w:rsidRPr="00B6469D">
        <w:rPr>
          <w:rFonts w:ascii="Arial" w:hAnsi="Arial" w:cs="Arial"/>
          <w:sz w:val="22"/>
          <w:szCs w:val="22"/>
        </w:rPr>
        <w:t xml:space="preserve"> entre dos puntos determinados en el tiempo (antes y después</w:t>
      </w:r>
      <w:r w:rsidR="005D3FE5" w:rsidRPr="00C12204">
        <w:rPr>
          <w:rFonts w:ascii="Arial" w:hAnsi="Arial" w:cs="Arial"/>
          <w:sz w:val="22"/>
          <w:szCs w:val="22"/>
        </w:rPr>
        <w:t xml:space="preserve"> de la implementación del sistema</w:t>
      </w:r>
      <w:r w:rsidRPr="00B6469D">
        <w:rPr>
          <w:rFonts w:ascii="Arial" w:hAnsi="Arial" w:cs="Arial"/>
          <w:sz w:val="22"/>
          <w:szCs w:val="22"/>
        </w:rPr>
        <w:t>) y</w:t>
      </w:r>
      <w:r w:rsidR="00D96BDA">
        <w:rPr>
          <w:rFonts w:ascii="Arial" w:hAnsi="Arial" w:cs="Arial"/>
          <w:sz w:val="22"/>
          <w:szCs w:val="22"/>
        </w:rPr>
        <w:t>, segundo,</w:t>
      </w:r>
      <w:r w:rsidRPr="00B6469D">
        <w:rPr>
          <w:rFonts w:ascii="Arial" w:hAnsi="Arial" w:cs="Arial"/>
          <w:sz w:val="22"/>
          <w:szCs w:val="22"/>
        </w:rPr>
        <w:t xml:space="preserve"> entre los grupos de </w:t>
      </w:r>
      <w:r w:rsidR="005D3FE5" w:rsidRPr="00C12204">
        <w:rPr>
          <w:rFonts w:ascii="Arial" w:hAnsi="Arial" w:cs="Arial"/>
          <w:sz w:val="22"/>
          <w:szCs w:val="22"/>
        </w:rPr>
        <w:t>comparación</w:t>
      </w:r>
      <w:r w:rsidR="00E971A7" w:rsidRPr="00C12204">
        <w:rPr>
          <w:rFonts w:ascii="Arial" w:hAnsi="Arial" w:cs="Arial"/>
          <w:sz w:val="22"/>
          <w:szCs w:val="22"/>
        </w:rPr>
        <w:t xml:space="preserve"> (servicios </w:t>
      </w:r>
      <w:r w:rsidR="00B6469D" w:rsidRPr="00C12204">
        <w:rPr>
          <w:rFonts w:ascii="Arial" w:hAnsi="Arial" w:cs="Arial"/>
          <w:sz w:val="22"/>
          <w:szCs w:val="22"/>
        </w:rPr>
        <w:t xml:space="preserve">digitales </w:t>
      </w:r>
      <w:r w:rsidR="00E971A7" w:rsidRPr="00C12204">
        <w:rPr>
          <w:rFonts w:ascii="Arial" w:hAnsi="Arial" w:cs="Arial"/>
          <w:sz w:val="22"/>
          <w:szCs w:val="22"/>
        </w:rPr>
        <w:t xml:space="preserve">con y sin retención </w:t>
      </w:r>
      <w:r w:rsidR="00B6469D" w:rsidRPr="00C12204">
        <w:rPr>
          <w:rFonts w:ascii="Arial" w:hAnsi="Arial" w:cs="Arial"/>
          <w:sz w:val="22"/>
          <w:szCs w:val="22"/>
        </w:rPr>
        <w:t>del IVA)</w:t>
      </w:r>
      <w:r w:rsidRPr="00B6469D">
        <w:rPr>
          <w:rFonts w:ascii="Arial" w:hAnsi="Arial" w:cs="Arial"/>
          <w:sz w:val="22"/>
          <w:szCs w:val="22"/>
        </w:rPr>
        <w:t>.</w:t>
      </w:r>
      <w:r w:rsidR="009027B3">
        <w:rPr>
          <w:rFonts w:ascii="Arial" w:hAnsi="Arial" w:cs="Arial"/>
          <w:sz w:val="22"/>
          <w:szCs w:val="22"/>
        </w:rPr>
        <w:t xml:space="preserve"> </w:t>
      </w:r>
    </w:p>
    <w:p w14:paraId="77382A81" w14:textId="447BB38E" w:rsidR="00FC2E3C" w:rsidRDefault="00FC2E3C" w:rsidP="00F54A29">
      <w:pPr>
        <w:pStyle w:val="Paragraph"/>
        <w:tabs>
          <w:tab w:val="clear" w:pos="2448"/>
        </w:tabs>
        <w:ind w:left="720" w:hanging="756"/>
        <w:rPr>
          <w:rFonts w:ascii="Arial" w:hAnsi="Arial" w:cs="Arial"/>
          <w:sz w:val="22"/>
          <w:szCs w:val="22"/>
        </w:rPr>
      </w:pPr>
      <w:r w:rsidRPr="00C12204">
        <w:rPr>
          <w:rFonts w:ascii="Arial" w:hAnsi="Arial" w:cs="Arial"/>
          <w:i/>
          <w:sz w:val="22"/>
          <w:szCs w:val="22"/>
        </w:rPr>
        <w:t>Tratamiento y grupo de control</w:t>
      </w:r>
      <w:r>
        <w:rPr>
          <w:rFonts w:ascii="Arial" w:hAnsi="Arial" w:cs="Arial"/>
          <w:sz w:val="22"/>
          <w:szCs w:val="22"/>
        </w:rPr>
        <w:t>:</w:t>
      </w:r>
      <w:r w:rsidR="009027B3">
        <w:rPr>
          <w:rFonts w:ascii="Arial" w:hAnsi="Arial" w:cs="Arial"/>
          <w:sz w:val="22"/>
          <w:szCs w:val="22"/>
        </w:rPr>
        <w:t xml:space="preserve"> </w:t>
      </w:r>
      <w:r w:rsidR="00304830">
        <w:rPr>
          <w:rFonts w:ascii="Arial" w:hAnsi="Arial" w:cs="Arial"/>
          <w:sz w:val="22"/>
          <w:szCs w:val="22"/>
        </w:rPr>
        <w:t xml:space="preserve">Para poder </w:t>
      </w:r>
      <w:r w:rsidR="00B6469D">
        <w:rPr>
          <w:rFonts w:ascii="Arial" w:hAnsi="Arial" w:cs="Arial"/>
          <w:sz w:val="22"/>
          <w:szCs w:val="22"/>
        </w:rPr>
        <w:t>aplicar</w:t>
      </w:r>
      <w:r w:rsidR="00EA6562">
        <w:rPr>
          <w:rFonts w:ascii="Arial" w:hAnsi="Arial" w:cs="Arial"/>
          <w:sz w:val="22"/>
          <w:szCs w:val="22"/>
        </w:rPr>
        <w:t xml:space="preserve"> la metodología</w:t>
      </w:r>
      <w:r w:rsidR="00A10A54">
        <w:rPr>
          <w:rFonts w:ascii="Arial" w:hAnsi="Arial" w:cs="Arial"/>
          <w:sz w:val="22"/>
          <w:szCs w:val="22"/>
        </w:rPr>
        <w:t xml:space="preserve">, se </w:t>
      </w:r>
      <w:r w:rsidR="00B6469D">
        <w:rPr>
          <w:rFonts w:ascii="Arial" w:hAnsi="Arial" w:cs="Arial"/>
          <w:sz w:val="22"/>
          <w:szCs w:val="22"/>
        </w:rPr>
        <w:t>aprovechará el hecho de que el sistema de retención no se implementará simultáneamente en todos los servicios digitales en la etapa inicial.</w:t>
      </w:r>
      <w:r w:rsidR="009027B3">
        <w:rPr>
          <w:rFonts w:ascii="Arial" w:hAnsi="Arial" w:cs="Arial"/>
          <w:sz w:val="22"/>
          <w:szCs w:val="22"/>
        </w:rPr>
        <w:t xml:space="preserve"> </w:t>
      </w:r>
      <w:r w:rsidR="00B6469D">
        <w:rPr>
          <w:rFonts w:ascii="Arial" w:hAnsi="Arial" w:cs="Arial"/>
          <w:sz w:val="22"/>
          <w:szCs w:val="22"/>
        </w:rPr>
        <w:t>Esto permitirá crear</w:t>
      </w:r>
      <w:r w:rsidR="00A10A54">
        <w:rPr>
          <w:rFonts w:ascii="Arial" w:hAnsi="Arial" w:cs="Arial"/>
          <w:sz w:val="22"/>
          <w:szCs w:val="22"/>
        </w:rPr>
        <w:t xml:space="preserve"> dos grupos</w:t>
      </w:r>
      <w:r w:rsidR="00395685">
        <w:rPr>
          <w:rFonts w:ascii="Arial" w:hAnsi="Arial" w:cs="Arial"/>
          <w:sz w:val="22"/>
          <w:szCs w:val="22"/>
        </w:rPr>
        <w:t xml:space="preserve"> de comparación</w:t>
      </w:r>
      <w:r w:rsidR="00A10A54">
        <w:rPr>
          <w:rFonts w:ascii="Arial" w:hAnsi="Arial" w:cs="Arial"/>
          <w:sz w:val="22"/>
          <w:szCs w:val="22"/>
        </w:rPr>
        <w:t>.</w:t>
      </w:r>
      <w:r w:rsidR="009027B3">
        <w:rPr>
          <w:rFonts w:ascii="Arial" w:hAnsi="Arial" w:cs="Arial"/>
          <w:sz w:val="22"/>
          <w:szCs w:val="22"/>
        </w:rPr>
        <w:t xml:space="preserve"> </w:t>
      </w:r>
      <w:r w:rsidR="00A10A54">
        <w:rPr>
          <w:rFonts w:ascii="Arial" w:hAnsi="Arial" w:cs="Arial"/>
          <w:sz w:val="22"/>
          <w:szCs w:val="22"/>
        </w:rPr>
        <w:t xml:space="preserve">El grupo de control estará constituido por los </w:t>
      </w:r>
      <w:r w:rsidR="00DA01A1">
        <w:rPr>
          <w:rFonts w:ascii="Arial" w:hAnsi="Arial" w:cs="Arial"/>
          <w:sz w:val="22"/>
          <w:szCs w:val="22"/>
        </w:rPr>
        <w:t xml:space="preserve">servicios digitales </w:t>
      </w:r>
      <w:r w:rsidR="00B6469D">
        <w:rPr>
          <w:rFonts w:ascii="Arial" w:hAnsi="Arial" w:cs="Arial"/>
          <w:sz w:val="22"/>
          <w:szCs w:val="22"/>
        </w:rPr>
        <w:t xml:space="preserve">que no están </w:t>
      </w:r>
      <w:r w:rsidR="00DA01A1">
        <w:rPr>
          <w:rFonts w:ascii="Arial" w:hAnsi="Arial" w:cs="Arial"/>
          <w:sz w:val="22"/>
          <w:szCs w:val="22"/>
        </w:rPr>
        <w:t xml:space="preserve">sujetos a retención del IVA </w:t>
      </w:r>
      <w:r w:rsidR="00B6469D">
        <w:rPr>
          <w:rFonts w:ascii="Arial" w:hAnsi="Arial" w:cs="Arial"/>
          <w:sz w:val="22"/>
          <w:szCs w:val="22"/>
        </w:rPr>
        <w:t>al inicio</w:t>
      </w:r>
      <w:r w:rsidR="00DA01A1">
        <w:rPr>
          <w:rFonts w:ascii="Arial" w:hAnsi="Arial" w:cs="Arial"/>
          <w:sz w:val="22"/>
          <w:szCs w:val="22"/>
        </w:rPr>
        <w:t xml:space="preserve"> de la implementación del sistema.</w:t>
      </w:r>
      <w:r w:rsidR="009027B3">
        <w:rPr>
          <w:rFonts w:ascii="Arial" w:hAnsi="Arial" w:cs="Arial"/>
          <w:sz w:val="22"/>
          <w:szCs w:val="22"/>
        </w:rPr>
        <w:t xml:space="preserve"> </w:t>
      </w:r>
      <w:r w:rsidR="00DA01A1">
        <w:rPr>
          <w:rFonts w:ascii="Arial" w:hAnsi="Arial" w:cs="Arial"/>
          <w:sz w:val="22"/>
          <w:szCs w:val="22"/>
        </w:rPr>
        <w:t xml:space="preserve">En </w:t>
      </w:r>
      <w:r w:rsidR="00DA01A1">
        <w:rPr>
          <w:rFonts w:ascii="Arial" w:hAnsi="Arial" w:cs="Arial"/>
          <w:sz w:val="22"/>
          <w:szCs w:val="22"/>
        </w:rPr>
        <w:lastRenderedPageBreak/>
        <w:t>contraposición, el grupo de tratamiento comprenderá los servicios digitales que a partir de la implementación del sistema están sujetos a retención.</w:t>
      </w:r>
      <w:r w:rsidR="009027B3">
        <w:rPr>
          <w:rFonts w:ascii="Arial" w:hAnsi="Arial" w:cs="Arial"/>
          <w:sz w:val="22"/>
          <w:szCs w:val="22"/>
        </w:rPr>
        <w:t xml:space="preserve"> </w:t>
      </w:r>
    </w:p>
    <w:p w14:paraId="67194D19" w14:textId="62B6A896" w:rsidR="00940363" w:rsidRDefault="00940363" w:rsidP="00F54A29">
      <w:pPr>
        <w:pStyle w:val="Paragraph"/>
        <w:tabs>
          <w:tab w:val="clear" w:pos="2448"/>
        </w:tabs>
        <w:ind w:left="720" w:hanging="756"/>
        <w:rPr>
          <w:rFonts w:ascii="Arial" w:hAnsi="Arial" w:cs="Arial"/>
          <w:sz w:val="22"/>
          <w:szCs w:val="22"/>
        </w:rPr>
      </w:pPr>
      <w:r w:rsidRPr="00C12204">
        <w:rPr>
          <w:rFonts w:ascii="Arial" w:hAnsi="Arial" w:cs="Arial"/>
          <w:i/>
          <w:sz w:val="22"/>
          <w:szCs w:val="22"/>
        </w:rPr>
        <w:t>Recopilación de datos</w:t>
      </w:r>
      <w:r>
        <w:rPr>
          <w:rFonts w:ascii="Arial" w:hAnsi="Arial" w:cs="Arial"/>
          <w:sz w:val="22"/>
          <w:szCs w:val="22"/>
        </w:rPr>
        <w:t>:</w:t>
      </w:r>
      <w:r w:rsidR="00EA6562">
        <w:rPr>
          <w:rFonts w:ascii="Arial" w:hAnsi="Arial" w:cs="Arial"/>
          <w:sz w:val="22"/>
          <w:szCs w:val="22"/>
        </w:rPr>
        <w:t xml:space="preserve"> Se utilizarán datos administrativos </w:t>
      </w:r>
      <w:r w:rsidR="00395685">
        <w:rPr>
          <w:rFonts w:ascii="Arial" w:hAnsi="Arial" w:cs="Arial"/>
          <w:sz w:val="22"/>
          <w:szCs w:val="22"/>
        </w:rPr>
        <w:t xml:space="preserve">provistos por el SRI </w:t>
      </w:r>
      <w:r w:rsidR="002A4B46">
        <w:rPr>
          <w:rFonts w:ascii="Arial" w:hAnsi="Arial" w:cs="Arial"/>
          <w:sz w:val="22"/>
          <w:szCs w:val="22"/>
        </w:rPr>
        <w:t xml:space="preserve">para una muestra aleatoria </w:t>
      </w:r>
      <w:r w:rsidR="00EA6562">
        <w:rPr>
          <w:rFonts w:ascii="Arial" w:hAnsi="Arial" w:cs="Arial"/>
          <w:sz w:val="22"/>
          <w:szCs w:val="22"/>
        </w:rPr>
        <w:t>de las transacciones de servicios digitales y pago del IVA para el periodo antes y después de la implementación del sistema de retención.</w:t>
      </w:r>
    </w:p>
    <w:p w14:paraId="15F315EF" w14:textId="58A42C8B" w:rsidR="00FC2E3C" w:rsidRDefault="00FC2E3C" w:rsidP="00F54A29">
      <w:pPr>
        <w:pStyle w:val="Paragraph"/>
        <w:tabs>
          <w:tab w:val="clear" w:pos="2448"/>
        </w:tabs>
        <w:ind w:left="720" w:hanging="756"/>
        <w:rPr>
          <w:rFonts w:ascii="Arial" w:hAnsi="Arial" w:cs="Arial"/>
          <w:sz w:val="22"/>
          <w:szCs w:val="22"/>
        </w:rPr>
      </w:pPr>
      <w:r w:rsidRPr="00C12204">
        <w:rPr>
          <w:rFonts w:ascii="Arial" w:hAnsi="Arial" w:cs="Arial"/>
          <w:i/>
          <w:sz w:val="22"/>
          <w:szCs w:val="22"/>
        </w:rPr>
        <w:t>Estimación de</w:t>
      </w:r>
      <w:r w:rsidR="00940363" w:rsidRPr="00C12204">
        <w:rPr>
          <w:rFonts w:ascii="Arial" w:hAnsi="Arial" w:cs="Arial"/>
          <w:i/>
          <w:sz w:val="22"/>
          <w:szCs w:val="22"/>
        </w:rPr>
        <w:t>l impacto causal</w:t>
      </w:r>
      <w:r w:rsidR="00940363">
        <w:rPr>
          <w:rFonts w:ascii="Arial" w:hAnsi="Arial" w:cs="Arial"/>
          <w:sz w:val="22"/>
          <w:szCs w:val="22"/>
        </w:rPr>
        <w:t>:</w:t>
      </w:r>
      <w:r w:rsidR="00DA01A1">
        <w:rPr>
          <w:rFonts w:ascii="Arial" w:hAnsi="Arial" w:cs="Arial"/>
          <w:sz w:val="22"/>
          <w:szCs w:val="22"/>
        </w:rPr>
        <w:t xml:space="preserve"> Para la evaluación del impacto causal de la implementación del sistema de retención, se utilizará </w:t>
      </w:r>
      <w:r w:rsidR="00395685">
        <w:rPr>
          <w:rFonts w:ascii="Arial" w:hAnsi="Arial" w:cs="Arial"/>
          <w:sz w:val="22"/>
          <w:szCs w:val="22"/>
        </w:rPr>
        <w:t>se utilizará el siguiente modelo econométrico:</w:t>
      </w:r>
      <w:r w:rsidR="009027B3">
        <w:rPr>
          <w:rFonts w:ascii="Arial" w:hAnsi="Arial" w:cs="Arial"/>
          <w:sz w:val="22"/>
          <w:szCs w:val="22"/>
        </w:rPr>
        <w:t xml:space="preserve"> </w:t>
      </w:r>
    </w:p>
    <w:p w14:paraId="3383941A" w14:textId="6B93A214" w:rsidR="00940363" w:rsidRPr="00C12204" w:rsidRDefault="00940363" w:rsidP="00C12204">
      <w:pPr>
        <w:tabs>
          <w:tab w:val="center" w:pos="4680"/>
          <w:tab w:val="right" w:pos="8640"/>
        </w:tabs>
        <w:spacing w:before="240" w:after="240" w:line="276" w:lineRule="auto"/>
        <w:ind w:left="720"/>
        <w:rPr>
          <w:rFonts w:ascii="Arial" w:hAnsi="Arial" w:cs="Arial"/>
          <w:iCs/>
          <w:sz w:val="22"/>
          <w:szCs w:val="22"/>
          <w:lang w:val="es-ES"/>
        </w:rPr>
      </w:pPr>
      <w:r>
        <w:rPr>
          <w:rFonts w:ascii="Arial" w:hAnsi="Arial" w:cs="Arial"/>
          <w:iCs/>
          <w:sz w:val="22"/>
          <w:szCs w:val="22"/>
          <w:lang w:val="es-ES"/>
        </w:rPr>
        <w:tab/>
      </w:r>
      <m:oMath>
        <m:sSub>
          <m:sSubPr>
            <m:ctrlPr>
              <w:rPr>
                <w:rFonts w:ascii="Cambria Math" w:hAnsi="Cambria Math" w:cs="Arial"/>
                <w:i/>
                <w:iCs/>
                <w:sz w:val="22"/>
                <w:szCs w:val="22"/>
                <w:lang w:val="es-ES"/>
              </w:rPr>
            </m:ctrlPr>
          </m:sSubPr>
          <m:e>
            <m:r>
              <w:rPr>
                <w:rFonts w:ascii="Cambria Math" w:hAnsi="Cambria Math" w:cs="Arial"/>
                <w:sz w:val="22"/>
                <w:szCs w:val="22"/>
                <w:lang w:val="es-ES"/>
              </w:rPr>
              <m:t>Y</m:t>
            </m:r>
          </m:e>
          <m:sub>
            <m:r>
              <w:rPr>
                <w:rFonts w:ascii="Cambria Math" w:hAnsi="Cambria Math" w:cs="Arial"/>
                <w:sz w:val="22"/>
                <w:szCs w:val="22"/>
                <w:lang w:val="es-ES"/>
              </w:rPr>
              <m:t>ijt</m:t>
            </m:r>
          </m:sub>
        </m:sSub>
        <m:r>
          <m:rPr>
            <m:sty m:val="p"/>
          </m:rPr>
          <w:rPr>
            <w:rFonts w:ascii="Cambria Math" w:hAnsi="Cambria Math" w:cs="Arial"/>
            <w:sz w:val="22"/>
            <w:szCs w:val="22"/>
            <w:lang w:val="es-ES"/>
          </w:rPr>
          <m:t xml:space="preserve"> = </m:t>
        </m:r>
        <m:sSub>
          <m:sSubPr>
            <m:ctrlPr>
              <w:rPr>
                <w:rFonts w:ascii="Cambria Math" w:hAnsi="Cambria Math" w:cs="Arial"/>
                <w:i/>
                <w:iCs/>
                <w:sz w:val="22"/>
                <w:szCs w:val="22"/>
                <w:lang w:val="es-ES"/>
              </w:rPr>
            </m:ctrlPr>
          </m:sSubPr>
          <m:e>
            <m:r>
              <w:rPr>
                <w:rFonts w:ascii="Cambria Math" w:hAnsi="Cambria Math" w:cs="Arial"/>
                <w:sz w:val="22"/>
                <w:szCs w:val="22"/>
                <w:lang w:val="es-ES"/>
              </w:rPr>
              <m:t>β</m:t>
            </m:r>
          </m:e>
          <m:sub>
            <m:r>
              <w:rPr>
                <w:rFonts w:ascii="Cambria Math" w:hAnsi="Cambria Math" w:cs="Arial"/>
                <w:sz w:val="22"/>
                <w:szCs w:val="22"/>
                <w:lang w:val="es-ES"/>
              </w:rPr>
              <m:t>0</m:t>
            </m:r>
          </m:sub>
        </m:sSub>
        <m:r>
          <m:rPr>
            <m:sty m:val="p"/>
          </m:rPr>
          <w:rPr>
            <w:rFonts w:ascii="Cambria Math" w:hAnsi="Cambria Math" w:cs="Arial"/>
            <w:sz w:val="22"/>
            <w:szCs w:val="22"/>
            <w:lang w:val="es-ES"/>
          </w:rPr>
          <m:t>+</m:t>
        </m:r>
        <m:sSub>
          <m:sSubPr>
            <m:ctrlPr>
              <w:rPr>
                <w:rFonts w:ascii="Cambria Math" w:hAnsi="Cambria Math" w:cs="Arial"/>
                <w:i/>
                <w:iCs/>
                <w:sz w:val="22"/>
                <w:szCs w:val="22"/>
                <w:lang w:val="es-ES"/>
              </w:rPr>
            </m:ctrlPr>
          </m:sSubPr>
          <m:e>
            <m:r>
              <w:rPr>
                <w:rFonts w:ascii="Cambria Math" w:hAnsi="Cambria Math" w:cs="Arial"/>
                <w:sz w:val="22"/>
                <w:szCs w:val="22"/>
                <w:lang w:val="es-ES"/>
              </w:rPr>
              <m:t>β</m:t>
            </m:r>
          </m:e>
          <m:sub>
            <m:r>
              <w:rPr>
                <w:rFonts w:ascii="Cambria Math" w:hAnsi="Cambria Math" w:cs="Arial"/>
                <w:sz w:val="22"/>
                <w:szCs w:val="22"/>
                <w:lang w:val="es-ES"/>
              </w:rPr>
              <m:t>1</m:t>
            </m:r>
          </m:sub>
        </m:sSub>
        <m:sSub>
          <m:sSubPr>
            <m:ctrlPr>
              <w:rPr>
                <w:rFonts w:ascii="Cambria Math" w:hAnsi="Cambria Math" w:cs="Arial"/>
                <w:i/>
                <w:iCs/>
                <w:sz w:val="22"/>
                <w:szCs w:val="22"/>
                <w:lang w:val="es-ES"/>
              </w:rPr>
            </m:ctrlPr>
          </m:sSubPr>
          <m:e>
            <m:r>
              <w:rPr>
                <w:rFonts w:ascii="Cambria Math" w:hAnsi="Cambria Math" w:cs="Arial"/>
                <w:sz w:val="22"/>
                <w:szCs w:val="22"/>
                <w:lang w:val="es-ES"/>
              </w:rPr>
              <m:t>INI</m:t>
            </m:r>
          </m:e>
          <m:sub>
            <m:r>
              <w:rPr>
                <w:rFonts w:ascii="Cambria Math" w:hAnsi="Cambria Math" w:cs="Arial"/>
                <w:sz w:val="22"/>
                <w:szCs w:val="22"/>
                <w:lang w:val="es-ES"/>
              </w:rPr>
              <m:t>ij</m:t>
            </m:r>
          </m:sub>
        </m:sSub>
        <m:r>
          <w:rPr>
            <w:rFonts w:ascii="Cambria Math" w:hAnsi="Cambria Math" w:cs="Arial"/>
            <w:sz w:val="22"/>
            <w:szCs w:val="22"/>
            <w:lang w:val="es-ES"/>
          </w:rPr>
          <m:t>+</m:t>
        </m:r>
        <m:sSub>
          <m:sSubPr>
            <m:ctrlPr>
              <w:rPr>
                <w:rFonts w:ascii="Cambria Math" w:hAnsi="Cambria Math" w:cs="Arial"/>
                <w:i/>
                <w:iCs/>
                <w:sz w:val="22"/>
                <w:szCs w:val="22"/>
                <w:lang w:val="es-ES"/>
              </w:rPr>
            </m:ctrlPr>
          </m:sSubPr>
          <m:e>
            <m:r>
              <w:rPr>
                <w:rFonts w:ascii="Cambria Math" w:hAnsi="Cambria Math" w:cs="Arial"/>
                <w:sz w:val="22"/>
                <w:szCs w:val="22"/>
                <w:lang w:val="es-ES"/>
              </w:rPr>
              <m:t>β</m:t>
            </m:r>
          </m:e>
          <m:sub>
            <m:r>
              <w:rPr>
                <w:rFonts w:ascii="Cambria Math" w:hAnsi="Cambria Math" w:cs="Arial"/>
                <w:sz w:val="22"/>
                <w:szCs w:val="22"/>
                <w:lang w:val="es-ES"/>
              </w:rPr>
              <m:t>2</m:t>
            </m:r>
          </m:sub>
        </m:sSub>
        <m:sSub>
          <m:sSubPr>
            <m:ctrlPr>
              <w:rPr>
                <w:rFonts w:ascii="Cambria Math" w:hAnsi="Cambria Math" w:cs="Arial"/>
                <w:i/>
                <w:iCs/>
                <w:sz w:val="22"/>
                <w:szCs w:val="22"/>
                <w:lang w:val="es-ES"/>
              </w:rPr>
            </m:ctrlPr>
          </m:sSubPr>
          <m:e>
            <m:r>
              <w:rPr>
                <w:rFonts w:ascii="Cambria Math" w:hAnsi="Cambria Math" w:cs="Arial"/>
                <w:sz w:val="22"/>
                <w:szCs w:val="22"/>
                <w:lang w:val="es-ES"/>
              </w:rPr>
              <m:t>RET</m:t>
            </m:r>
          </m:e>
          <m:sub>
            <m:r>
              <w:rPr>
                <w:rFonts w:ascii="Cambria Math" w:hAnsi="Cambria Math" w:cs="Arial"/>
                <w:sz w:val="22"/>
                <w:szCs w:val="22"/>
                <w:lang w:val="es-ES"/>
              </w:rPr>
              <m:t>t</m:t>
            </m:r>
          </m:sub>
        </m:sSub>
        <m:r>
          <w:rPr>
            <w:rFonts w:ascii="Cambria Math" w:hAnsi="Cambria Math" w:cs="Arial"/>
            <w:sz w:val="22"/>
            <w:szCs w:val="22"/>
            <w:lang w:val="es-ES"/>
          </w:rPr>
          <m:t>+</m:t>
        </m:r>
        <m:sSub>
          <m:sSubPr>
            <m:ctrlPr>
              <w:rPr>
                <w:rFonts w:ascii="Cambria Math" w:hAnsi="Cambria Math" w:cs="Arial"/>
                <w:i/>
                <w:iCs/>
                <w:sz w:val="22"/>
                <w:szCs w:val="22"/>
                <w:lang w:val="es-ES"/>
              </w:rPr>
            </m:ctrlPr>
          </m:sSubPr>
          <m:e>
            <m:r>
              <w:rPr>
                <w:rFonts w:ascii="Cambria Math" w:hAnsi="Cambria Math" w:cs="Arial"/>
                <w:sz w:val="22"/>
                <w:szCs w:val="22"/>
                <w:lang w:val="es-ES"/>
              </w:rPr>
              <m:t>β</m:t>
            </m:r>
          </m:e>
          <m:sub>
            <m:r>
              <w:rPr>
                <w:rFonts w:ascii="Cambria Math" w:hAnsi="Cambria Math" w:cs="Arial"/>
                <w:sz w:val="22"/>
                <w:szCs w:val="22"/>
                <w:lang w:val="es-ES"/>
              </w:rPr>
              <m:t>3</m:t>
            </m:r>
          </m:sub>
        </m:sSub>
        <m:d>
          <m:dPr>
            <m:ctrlPr>
              <w:rPr>
                <w:rFonts w:ascii="Cambria Math" w:hAnsi="Cambria Math" w:cs="Arial"/>
                <w:i/>
                <w:iCs/>
                <w:sz w:val="22"/>
                <w:szCs w:val="22"/>
                <w:lang w:val="es-ES"/>
              </w:rPr>
            </m:ctrlPr>
          </m:dPr>
          <m:e>
            <m:sSub>
              <m:sSubPr>
                <m:ctrlPr>
                  <w:rPr>
                    <w:rFonts w:ascii="Cambria Math" w:hAnsi="Cambria Math" w:cs="Arial"/>
                    <w:i/>
                    <w:iCs/>
                    <w:sz w:val="22"/>
                    <w:szCs w:val="22"/>
                    <w:lang w:val="es-ES"/>
                  </w:rPr>
                </m:ctrlPr>
              </m:sSubPr>
              <m:e>
                <m:r>
                  <w:rPr>
                    <w:rFonts w:ascii="Cambria Math" w:hAnsi="Cambria Math" w:cs="Arial"/>
                    <w:sz w:val="22"/>
                    <w:szCs w:val="22"/>
                    <w:lang w:val="es-ES"/>
                  </w:rPr>
                  <m:t>INI</m:t>
                </m:r>
              </m:e>
              <m:sub>
                <m:r>
                  <w:rPr>
                    <w:rFonts w:ascii="Cambria Math" w:hAnsi="Cambria Math" w:cs="Arial"/>
                    <w:sz w:val="22"/>
                    <w:szCs w:val="22"/>
                    <w:lang w:val="es-ES"/>
                  </w:rPr>
                  <m:t>ij</m:t>
                </m:r>
              </m:sub>
            </m:sSub>
            <m:r>
              <w:rPr>
                <w:rFonts w:ascii="Cambria Math" w:hAnsi="Cambria Math" w:cs="Arial"/>
                <w:sz w:val="22"/>
                <w:szCs w:val="22"/>
                <w:lang w:val="es-ES"/>
              </w:rPr>
              <m:t xml:space="preserve"> X </m:t>
            </m:r>
            <m:sSub>
              <m:sSubPr>
                <m:ctrlPr>
                  <w:rPr>
                    <w:rFonts w:ascii="Cambria Math" w:hAnsi="Cambria Math" w:cs="Arial"/>
                    <w:i/>
                    <w:iCs/>
                    <w:sz w:val="22"/>
                    <w:szCs w:val="22"/>
                    <w:lang w:val="es-ES"/>
                  </w:rPr>
                </m:ctrlPr>
              </m:sSubPr>
              <m:e>
                <m:r>
                  <w:rPr>
                    <w:rFonts w:ascii="Cambria Math" w:hAnsi="Cambria Math" w:cs="Arial"/>
                    <w:sz w:val="22"/>
                    <w:szCs w:val="22"/>
                    <w:lang w:val="es-ES"/>
                  </w:rPr>
                  <m:t>RET</m:t>
                </m:r>
              </m:e>
              <m:sub>
                <m:r>
                  <w:rPr>
                    <w:rFonts w:ascii="Cambria Math" w:hAnsi="Cambria Math" w:cs="Arial"/>
                    <w:sz w:val="22"/>
                    <w:szCs w:val="22"/>
                    <w:lang w:val="es-ES"/>
                  </w:rPr>
                  <m:t>t</m:t>
                </m:r>
              </m:sub>
            </m:sSub>
          </m:e>
        </m:d>
        <m:r>
          <w:rPr>
            <w:rFonts w:ascii="Cambria Math" w:hAnsi="Cambria Math" w:cs="Arial"/>
            <w:sz w:val="22"/>
            <w:szCs w:val="22"/>
            <w:lang w:val="es-ES"/>
          </w:rPr>
          <m:t>+Φ</m:t>
        </m:r>
        <m:sSub>
          <m:sSubPr>
            <m:ctrlPr>
              <w:rPr>
                <w:rFonts w:ascii="Cambria Math" w:hAnsi="Cambria Math" w:cs="Arial"/>
                <w:i/>
                <w:iCs/>
                <w:sz w:val="22"/>
                <w:szCs w:val="22"/>
                <w:lang w:val="es-ES"/>
              </w:rPr>
            </m:ctrlPr>
          </m:sSubPr>
          <m:e>
            <m:r>
              <w:rPr>
                <w:rFonts w:ascii="Cambria Math" w:hAnsi="Cambria Math" w:cs="Arial"/>
                <w:sz w:val="22"/>
                <w:szCs w:val="22"/>
                <w:lang w:val="es-ES"/>
              </w:rPr>
              <m:t>X</m:t>
            </m:r>
          </m:e>
          <m:sub>
            <m:r>
              <w:rPr>
                <w:rFonts w:ascii="Cambria Math" w:hAnsi="Cambria Math" w:cs="Arial"/>
                <w:sz w:val="22"/>
                <w:szCs w:val="22"/>
                <w:lang w:val="es-ES"/>
              </w:rPr>
              <m:t>ijt</m:t>
            </m:r>
          </m:sub>
        </m:sSub>
        <m:r>
          <w:rPr>
            <w:rFonts w:ascii="Cambria Math" w:hAnsi="Cambria Math" w:cs="Arial"/>
            <w:sz w:val="22"/>
            <w:szCs w:val="22"/>
            <w:lang w:val="es-ES"/>
          </w:rPr>
          <m:t>+</m:t>
        </m:r>
        <m:sSub>
          <m:sSubPr>
            <m:ctrlPr>
              <w:rPr>
                <w:rFonts w:ascii="Cambria Math" w:hAnsi="Cambria Math" w:cs="Arial"/>
                <w:i/>
                <w:iCs/>
                <w:sz w:val="22"/>
                <w:szCs w:val="22"/>
                <w:lang w:val="es-ES"/>
              </w:rPr>
            </m:ctrlPr>
          </m:sSubPr>
          <m:e>
            <m:r>
              <w:rPr>
                <w:rFonts w:ascii="Cambria Math" w:hAnsi="Cambria Math" w:cs="Arial"/>
                <w:sz w:val="22"/>
                <w:szCs w:val="22"/>
                <w:lang w:val="es-ES"/>
              </w:rPr>
              <m:t>e</m:t>
            </m:r>
          </m:e>
          <m:sub>
            <m:r>
              <w:rPr>
                <w:rFonts w:ascii="Cambria Math" w:hAnsi="Cambria Math" w:cs="Arial"/>
                <w:sz w:val="22"/>
                <w:szCs w:val="22"/>
                <w:lang w:val="es-ES"/>
              </w:rPr>
              <m:t>ijt</m:t>
            </m:r>
          </m:sub>
        </m:sSub>
      </m:oMath>
      <w:r w:rsidRPr="00C12204">
        <w:rPr>
          <w:rFonts w:ascii="Arial" w:hAnsi="Arial" w:cs="Arial"/>
          <w:iCs/>
          <w:sz w:val="22"/>
          <w:szCs w:val="22"/>
          <w:lang w:val="es-ES"/>
        </w:rPr>
        <w:t xml:space="preserve"> </w:t>
      </w:r>
      <w:r w:rsidRPr="00C12204">
        <w:rPr>
          <w:rFonts w:ascii="Arial" w:hAnsi="Arial" w:cs="Arial"/>
          <w:iCs/>
          <w:sz w:val="22"/>
          <w:szCs w:val="22"/>
          <w:lang w:val="es-ES"/>
        </w:rPr>
        <w:tab/>
        <w:t>(</w:t>
      </w:r>
      <w:r w:rsidR="00395685">
        <w:rPr>
          <w:rFonts w:ascii="Arial" w:hAnsi="Arial" w:cs="Arial"/>
          <w:iCs/>
          <w:sz w:val="22"/>
          <w:szCs w:val="22"/>
          <w:lang w:val="es-ES"/>
        </w:rPr>
        <w:t>5</w:t>
      </w:r>
      <w:r w:rsidRPr="00C12204">
        <w:rPr>
          <w:rFonts w:ascii="Arial" w:hAnsi="Arial" w:cs="Arial"/>
          <w:iCs/>
          <w:sz w:val="22"/>
          <w:szCs w:val="22"/>
          <w:lang w:val="es-ES"/>
        </w:rPr>
        <w:t>)</w:t>
      </w:r>
    </w:p>
    <w:p w14:paraId="6E43A0FA" w14:textId="2D4DC828" w:rsidR="00940363" w:rsidRPr="00C12204" w:rsidRDefault="00395685" w:rsidP="00940363">
      <w:pPr>
        <w:pStyle w:val="Paragraph"/>
        <w:numPr>
          <w:ilvl w:val="0"/>
          <w:numId w:val="0"/>
        </w:numPr>
        <w:ind w:left="720"/>
        <w:rPr>
          <w:rFonts w:ascii="Arial" w:hAnsi="Arial" w:cs="Arial"/>
          <w:sz w:val="22"/>
          <w:szCs w:val="22"/>
        </w:rPr>
      </w:pPr>
      <w:r>
        <w:rPr>
          <w:rFonts w:ascii="Arial" w:hAnsi="Arial" w:cs="Arial"/>
          <w:sz w:val="22"/>
          <w:szCs w:val="22"/>
        </w:rPr>
        <w:t xml:space="preserve">en el cual, </w:t>
      </w:r>
      <m:oMath>
        <m:sSub>
          <m:sSubPr>
            <m:ctrlPr>
              <w:rPr>
                <w:rFonts w:ascii="Cambria Math" w:hAnsi="Cambria Math" w:cs="Arial"/>
                <w:i/>
                <w:iCs/>
                <w:sz w:val="22"/>
                <w:szCs w:val="22"/>
              </w:rPr>
            </m:ctrlPr>
          </m:sSubPr>
          <m:e>
            <m:r>
              <w:rPr>
                <w:rFonts w:ascii="Cambria Math" w:hAnsi="Cambria Math" w:cs="Arial"/>
                <w:sz w:val="22"/>
                <w:szCs w:val="22"/>
              </w:rPr>
              <m:t>Y</m:t>
            </m:r>
          </m:e>
          <m:sub>
            <m:r>
              <w:rPr>
                <w:rFonts w:ascii="Cambria Math" w:hAnsi="Cambria Math" w:cs="Arial"/>
                <w:sz w:val="22"/>
                <w:szCs w:val="22"/>
              </w:rPr>
              <m:t>ijt</m:t>
            </m:r>
          </m:sub>
        </m:sSub>
      </m:oMath>
      <w:r>
        <w:rPr>
          <w:rFonts w:ascii="Arial" w:hAnsi="Arial" w:cs="Arial"/>
          <w:iCs/>
          <w:sz w:val="22"/>
          <w:szCs w:val="22"/>
        </w:rPr>
        <w:t xml:space="preserve"> captura el pago de IVA para el servicio digital </w:t>
      </w:r>
      <w:r w:rsidRPr="00C12204">
        <w:rPr>
          <w:rFonts w:ascii="Arial" w:hAnsi="Arial" w:cs="Arial"/>
          <w:i/>
          <w:iCs/>
          <w:sz w:val="22"/>
          <w:szCs w:val="22"/>
        </w:rPr>
        <w:t>j</w:t>
      </w:r>
      <w:r>
        <w:rPr>
          <w:rFonts w:ascii="Arial" w:hAnsi="Arial" w:cs="Arial"/>
          <w:iCs/>
          <w:sz w:val="22"/>
          <w:szCs w:val="22"/>
        </w:rPr>
        <w:t xml:space="preserve"> por parte del contribuyente </w:t>
      </w:r>
      <w:r w:rsidRPr="00C12204">
        <w:rPr>
          <w:rFonts w:ascii="Arial" w:hAnsi="Arial" w:cs="Arial"/>
          <w:i/>
          <w:iCs/>
          <w:sz w:val="22"/>
          <w:szCs w:val="22"/>
        </w:rPr>
        <w:t>i</w:t>
      </w:r>
      <w:r>
        <w:rPr>
          <w:rFonts w:ascii="Arial" w:hAnsi="Arial" w:cs="Arial"/>
          <w:iCs/>
          <w:sz w:val="22"/>
          <w:szCs w:val="22"/>
        </w:rPr>
        <w:t xml:space="preserve"> en el periodo </w:t>
      </w:r>
      <w:r>
        <w:rPr>
          <w:rFonts w:ascii="Arial" w:hAnsi="Arial" w:cs="Arial"/>
          <w:i/>
          <w:iCs/>
          <w:sz w:val="22"/>
          <w:szCs w:val="22"/>
        </w:rPr>
        <w:t>t</w:t>
      </w:r>
      <w:r>
        <w:rPr>
          <w:rFonts w:ascii="Arial" w:hAnsi="Arial" w:cs="Arial"/>
          <w:iCs/>
          <w:sz w:val="22"/>
          <w:szCs w:val="22"/>
        </w:rPr>
        <w:t xml:space="preserve">, </w:t>
      </w:r>
      <m:oMath>
        <m:sSub>
          <m:sSubPr>
            <m:ctrlPr>
              <w:rPr>
                <w:rFonts w:ascii="Cambria Math" w:hAnsi="Cambria Math" w:cs="Arial"/>
                <w:i/>
                <w:iCs/>
                <w:sz w:val="22"/>
                <w:szCs w:val="22"/>
              </w:rPr>
            </m:ctrlPr>
          </m:sSubPr>
          <m:e>
            <m:r>
              <w:rPr>
                <w:rFonts w:ascii="Cambria Math" w:hAnsi="Cambria Math" w:cs="Arial"/>
                <w:sz w:val="22"/>
                <w:szCs w:val="22"/>
              </w:rPr>
              <m:t>INI</m:t>
            </m:r>
          </m:e>
          <m:sub>
            <m:r>
              <w:rPr>
                <w:rFonts w:ascii="Cambria Math" w:hAnsi="Cambria Math" w:cs="Arial"/>
                <w:sz w:val="22"/>
                <w:szCs w:val="22"/>
              </w:rPr>
              <m:t>ij</m:t>
            </m:r>
          </m:sub>
        </m:sSub>
      </m:oMath>
      <w:r>
        <w:rPr>
          <w:rFonts w:ascii="Arial" w:hAnsi="Arial" w:cs="Arial"/>
          <w:i/>
          <w:iCs/>
          <w:sz w:val="22"/>
          <w:szCs w:val="22"/>
        </w:rPr>
        <w:t xml:space="preserve"> </w:t>
      </w:r>
      <w:r>
        <w:rPr>
          <w:rFonts w:ascii="Arial" w:hAnsi="Arial" w:cs="Arial"/>
          <w:iCs/>
          <w:sz w:val="22"/>
          <w:szCs w:val="22"/>
        </w:rPr>
        <w:t xml:space="preserve">es una variable dicotómica igual a uno si el servicio digital </w:t>
      </w:r>
      <w:r w:rsidRPr="00C12204">
        <w:rPr>
          <w:rFonts w:ascii="Arial" w:hAnsi="Arial" w:cs="Arial"/>
          <w:i/>
          <w:iCs/>
          <w:sz w:val="22"/>
          <w:szCs w:val="22"/>
        </w:rPr>
        <w:t>j</w:t>
      </w:r>
      <w:r>
        <w:rPr>
          <w:rFonts w:ascii="Arial" w:hAnsi="Arial" w:cs="Arial"/>
          <w:iCs/>
          <w:sz w:val="22"/>
          <w:szCs w:val="22"/>
        </w:rPr>
        <w:t xml:space="preserve"> pagado por el contribuyente </w:t>
      </w:r>
      <w:r w:rsidRPr="00C12204">
        <w:rPr>
          <w:rFonts w:ascii="Arial" w:hAnsi="Arial" w:cs="Arial"/>
          <w:i/>
          <w:iCs/>
          <w:sz w:val="22"/>
          <w:szCs w:val="22"/>
        </w:rPr>
        <w:t>i</w:t>
      </w:r>
      <w:r>
        <w:rPr>
          <w:rFonts w:ascii="Arial" w:hAnsi="Arial" w:cs="Arial"/>
          <w:iCs/>
          <w:sz w:val="22"/>
          <w:szCs w:val="22"/>
        </w:rPr>
        <w:t xml:space="preserve"> es sujeto a</w:t>
      </w:r>
      <w:r w:rsidR="00B6469D">
        <w:rPr>
          <w:rFonts w:ascii="Arial" w:hAnsi="Arial" w:cs="Arial"/>
          <w:iCs/>
          <w:sz w:val="22"/>
          <w:szCs w:val="22"/>
        </w:rPr>
        <w:t>l sistema de</w:t>
      </w:r>
      <w:r>
        <w:rPr>
          <w:rFonts w:ascii="Arial" w:hAnsi="Arial" w:cs="Arial"/>
          <w:iCs/>
          <w:sz w:val="22"/>
          <w:szCs w:val="22"/>
        </w:rPr>
        <w:t xml:space="preserve"> retención </w:t>
      </w:r>
      <w:r w:rsidR="00B6469D">
        <w:rPr>
          <w:rFonts w:ascii="Arial" w:hAnsi="Arial" w:cs="Arial"/>
          <w:iCs/>
          <w:sz w:val="22"/>
          <w:szCs w:val="22"/>
        </w:rPr>
        <w:t>desde el</w:t>
      </w:r>
      <w:r>
        <w:rPr>
          <w:rFonts w:ascii="Arial" w:hAnsi="Arial" w:cs="Arial"/>
          <w:iCs/>
          <w:sz w:val="22"/>
          <w:szCs w:val="22"/>
        </w:rPr>
        <w:t xml:space="preserve"> periodo </w:t>
      </w:r>
      <w:r w:rsidR="00B6469D" w:rsidRPr="00C12204">
        <w:rPr>
          <w:rFonts w:ascii="Arial" w:hAnsi="Arial" w:cs="Arial"/>
          <w:iCs/>
          <w:sz w:val="22"/>
          <w:szCs w:val="22"/>
        </w:rPr>
        <w:t>inicial</w:t>
      </w:r>
      <w:r>
        <w:rPr>
          <w:rFonts w:ascii="Arial" w:hAnsi="Arial" w:cs="Arial"/>
          <w:iCs/>
          <w:sz w:val="22"/>
          <w:szCs w:val="22"/>
        </w:rPr>
        <w:t xml:space="preserve">, </w:t>
      </w:r>
      <m:oMath>
        <m:sSub>
          <m:sSubPr>
            <m:ctrlPr>
              <w:rPr>
                <w:rFonts w:ascii="Cambria Math" w:hAnsi="Cambria Math" w:cs="Arial"/>
                <w:i/>
                <w:iCs/>
                <w:sz w:val="22"/>
                <w:szCs w:val="22"/>
              </w:rPr>
            </m:ctrlPr>
          </m:sSubPr>
          <m:e>
            <m:r>
              <w:rPr>
                <w:rFonts w:ascii="Cambria Math" w:hAnsi="Cambria Math" w:cs="Arial"/>
                <w:sz w:val="22"/>
                <w:szCs w:val="22"/>
              </w:rPr>
              <m:t>RET</m:t>
            </m:r>
          </m:e>
          <m:sub>
            <m:r>
              <w:rPr>
                <w:rFonts w:ascii="Cambria Math" w:hAnsi="Cambria Math" w:cs="Arial"/>
                <w:sz w:val="22"/>
                <w:szCs w:val="22"/>
              </w:rPr>
              <m:t>t</m:t>
            </m:r>
          </m:sub>
        </m:sSub>
      </m:oMath>
      <w:r w:rsidR="00B6469D">
        <w:rPr>
          <w:rFonts w:ascii="Arial" w:hAnsi="Arial" w:cs="Arial"/>
          <w:iCs/>
          <w:sz w:val="22"/>
          <w:szCs w:val="22"/>
        </w:rPr>
        <w:t xml:space="preserve"> es una variable dicotómica</w:t>
      </w:r>
      <w:r w:rsidR="00922DE7">
        <w:rPr>
          <w:rFonts w:ascii="Arial" w:hAnsi="Arial" w:cs="Arial"/>
          <w:iCs/>
          <w:sz w:val="22"/>
          <w:szCs w:val="22"/>
        </w:rPr>
        <w:t xml:space="preserve"> igual a uno para los periodos posteriores a la implementación inicial del sistema de retención, </w:t>
      </w:r>
      <m:oMath>
        <m:sSub>
          <m:sSubPr>
            <m:ctrlPr>
              <w:rPr>
                <w:rFonts w:ascii="Cambria Math" w:hAnsi="Cambria Math" w:cs="Arial"/>
                <w:i/>
                <w:iCs/>
                <w:sz w:val="22"/>
                <w:szCs w:val="22"/>
              </w:rPr>
            </m:ctrlPr>
          </m:sSubPr>
          <m:e>
            <m:r>
              <w:rPr>
                <w:rFonts w:ascii="Cambria Math" w:hAnsi="Cambria Math" w:cs="Arial"/>
                <w:sz w:val="22"/>
                <w:szCs w:val="22"/>
              </w:rPr>
              <m:t>X</m:t>
            </m:r>
          </m:e>
          <m:sub>
            <m:r>
              <w:rPr>
                <w:rFonts w:ascii="Cambria Math" w:hAnsi="Cambria Math" w:cs="Arial"/>
                <w:sz w:val="22"/>
                <w:szCs w:val="22"/>
              </w:rPr>
              <m:t>ijt</m:t>
            </m:r>
          </m:sub>
        </m:sSub>
      </m:oMath>
      <w:r w:rsidR="00922DE7">
        <w:rPr>
          <w:rFonts w:ascii="Arial" w:hAnsi="Arial" w:cs="Arial"/>
          <w:iCs/>
          <w:sz w:val="22"/>
          <w:szCs w:val="22"/>
        </w:rPr>
        <w:t xml:space="preserve"> es un vector de variables de control, y </w:t>
      </w:r>
      <m:oMath>
        <m:sSub>
          <m:sSubPr>
            <m:ctrlPr>
              <w:rPr>
                <w:rFonts w:ascii="Cambria Math" w:hAnsi="Cambria Math" w:cs="Arial"/>
                <w:i/>
                <w:iCs/>
                <w:sz w:val="22"/>
                <w:szCs w:val="22"/>
              </w:rPr>
            </m:ctrlPr>
          </m:sSubPr>
          <m:e>
            <m:r>
              <w:rPr>
                <w:rFonts w:ascii="Cambria Math" w:hAnsi="Cambria Math" w:cs="Arial"/>
                <w:sz w:val="22"/>
                <w:szCs w:val="22"/>
              </w:rPr>
              <m:t>e</m:t>
            </m:r>
          </m:e>
          <m:sub>
            <m:r>
              <w:rPr>
                <w:rFonts w:ascii="Cambria Math" w:hAnsi="Cambria Math" w:cs="Arial"/>
                <w:sz w:val="22"/>
                <w:szCs w:val="22"/>
              </w:rPr>
              <m:t>ijt</m:t>
            </m:r>
          </m:sub>
        </m:sSub>
      </m:oMath>
      <w:r w:rsidR="00922DE7">
        <w:rPr>
          <w:rFonts w:ascii="Arial" w:hAnsi="Arial" w:cs="Arial"/>
          <w:iCs/>
          <w:sz w:val="22"/>
          <w:szCs w:val="22"/>
        </w:rPr>
        <w:t xml:space="preserve"> es el término de error.</w:t>
      </w:r>
      <w:r w:rsidR="009027B3">
        <w:rPr>
          <w:rFonts w:ascii="Arial" w:hAnsi="Arial" w:cs="Arial"/>
          <w:iCs/>
          <w:sz w:val="22"/>
          <w:szCs w:val="22"/>
        </w:rPr>
        <w:t xml:space="preserve"> </w:t>
      </w:r>
      <w:r w:rsidR="00922DE7">
        <w:rPr>
          <w:rFonts w:ascii="Arial" w:hAnsi="Arial" w:cs="Arial"/>
          <w:iCs/>
          <w:sz w:val="22"/>
          <w:szCs w:val="22"/>
        </w:rPr>
        <w:t xml:space="preserve">Bajo este modelo, nuestro parámetro de interés es el coeficiente </w:t>
      </w:r>
      <m:oMath>
        <m:sSub>
          <m:sSubPr>
            <m:ctrlPr>
              <w:rPr>
                <w:rFonts w:ascii="Cambria Math" w:hAnsi="Cambria Math" w:cs="Arial"/>
                <w:i/>
                <w:iCs/>
                <w:sz w:val="22"/>
                <w:szCs w:val="22"/>
              </w:rPr>
            </m:ctrlPr>
          </m:sSubPr>
          <m:e>
            <m:r>
              <w:rPr>
                <w:rFonts w:ascii="Cambria Math" w:hAnsi="Cambria Math" w:cs="Arial"/>
                <w:sz w:val="22"/>
                <w:szCs w:val="22"/>
              </w:rPr>
              <m:t>β</m:t>
            </m:r>
          </m:e>
          <m:sub>
            <m:r>
              <w:rPr>
                <w:rFonts w:ascii="Cambria Math" w:hAnsi="Cambria Math" w:cs="Arial"/>
                <w:sz w:val="22"/>
                <w:szCs w:val="22"/>
              </w:rPr>
              <m:t>3</m:t>
            </m:r>
          </m:sub>
        </m:sSub>
      </m:oMath>
      <w:r w:rsidR="00922DE7">
        <w:rPr>
          <w:rFonts w:ascii="Arial" w:hAnsi="Arial" w:cs="Arial"/>
          <w:iCs/>
          <w:sz w:val="22"/>
          <w:szCs w:val="22"/>
        </w:rPr>
        <w:t>, cuya estimación captura el impacto del sistema de retención del IVA para servicios digitales en la recaudación.</w:t>
      </w:r>
    </w:p>
    <w:p w14:paraId="51985AA4" w14:textId="40028E36" w:rsidR="00155EEA" w:rsidRDefault="00C2392C" w:rsidP="007B0ECC">
      <w:pPr>
        <w:pStyle w:val="FirstHeading"/>
        <w:rPr>
          <w:rFonts w:ascii="Arial" w:hAnsi="Arial" w:cs="Arial"/>
          <w:noProof/>
          <w:sz w:val="22"/>
          <w:szCs w:val="22"/>
        </w:rPr>
      </w:pPr>
      <w:r>
        <w:rPr>
          <w:rFonts w:ascii="Arial" w:hAnsi="Arial" w:cs="Arial"/>
          <w:sz w:val="22"/>
          <w:szCs w:val="22"/>
        </w:rPr>
        <w:t>E.</w:t>
      </w:r>
      <w:r>
        <w:rPr>
          <w:rFonts w:ascii="Arial" w:hAnsi="Arial" w:cs="Arial"/>
          <w:sz w:val="22"/>
          <w:szCs w:val="22"/>
        </w:rPr>
        <w:tab/>
        <w:t>Coordinación, Plan de Trabajo y Presupuesto de la Evaluación</w:t>
      </w:r>
    </w:p>
    <w:p w14:paraId="5FA1D34D" w14:textId="3ACE4691" w:rsidR="004A5794" w:rsidRDefault="004A5794" w:rsidP="006930D9">
      <w:pPr>
        <w:pStyle w:val="Paragraph"/>
        <w:tabs>
          <w:tab w:val="clear" w:pos="2448"/>
        </w:tabs>
        <w:ind w:left="720" w:hanging="756"/>
        <w:rPr>
          <w:rFonts w:ascii="Arial" w:hAnsi="Arial" w:cs="Arial"/>
          <w:sz w:val="22"/>
          <w:szCs w:val="22"/>
        </w:rPr>
      </w:pPr>
      <w:r>
        <w:rPr>
          <w:rFonts w:ascii="Arial" w:hAnsi="Arial" w:cs="Arial"/>
          <w:b/>
          <w:sz w:val="22"/>
          <w:szCs w:val="22"/>
        </w:rPr>
        <w:t xml:space="preserve">Recolección de </w:t>
      </w:r>
      <w:r w:rsidRPr="00C12204">
        <w:rPr>
          <w:rFonts w:ascii="Arial" w:hAnsi="Arial" w:cs="Arial"/>
          <w:b/>
          <w:sz w:val="22"/>
          <w:szCs w:val="22"/>
        </w:rPr>
        <w:t>datos</w:t>
      </w:r>
      <w:r w:rsidRPr="00C12204">
        <w:rPr>
          <w:rFonts w:ascii="Arial" w:hAnsi="Arial" w:cs="Arial"/>
          <w:sz w:val="22"/>
          <w:szCs w:val="22"/>
        </w:rPr>
        <w:t xml:space="preserve">. El plan de evaluación será ejecutado por el BID en estrecha coordinación con el equipo </w:t>
      </w:r>
      <w:r w:rsidR="00DC2649" w:rsidRPr="00C12204">
        <w:rPr>
          <w:rFonts w:ascii="Arial" w:hAnsi="Arial" w:cs="Arial"/>
          <w:sz w:val="22"/>
          <w:szCs w:val="22"/>
        </w:rPr>
        <w:t>del MEF</w:t>
      </w:r>
      <w:r w:rsidR="00C12204" w:rsidRPr="00C12204">
        <w:rPr>
          <w:rFonts w:ascii="Arial" w:hAnsi="Arial" w:cs="Arial"/>
          <w:sz w:val="22"/>
          <w:szCs w:val="22"/>
        </w:rPr>
        <w:t xml:space="preserve"> y SRI</w:t>
      </w:r>
      <w:r w:rsidRPr="00C12204">
        <w:rPr>
          <w:rFonts w:ascii="Arial" w:hAnsi="Arial" w:cs="Arial"/>
          <w:sz w:val="22"/>
          <w:szCs w:val="22"/>
        </w:rPr>
        <w:t xml:space="preserve">. Los plazos y el presupuesto asignado a cada una de las evaluaciones de impacto y su fuente de financiamiento se detallan en el Cuadro </w:t>
      </w:r>
      <w:r w:rsidR="00B468BD" w:rsidRPr="00C12204">
        <w:rPr>
          <w:rFonts w:ascii="Arial" w:hAnsi="Arial" w:cs="Arial"/>
          <w:sz w:val="22"/>
          <w:szCs w:val="22"/>
        </w:rPr>
        <w:t>5.</w:t>
      </w:r>
    </w:p>
    <w:p w14:paraId="1675FE9F" w14:textId="47B5DA5A" w:rsidR="00B16D9F" w:rsidRDefault="00B16D9F" w:rsidP="00B16D9F">
      <w:pPr>
        <w:pStyle w:val="Paragraph"/>
        <w:numPr>
          <w:ilvl w:val="0"/>
          <w:numId w:val="0"/>
        </w:numPr>
        <w:ind w:left="2448" w:hanging="1296"/>
        <w:rPr>
          <w:rFonts w:ascii="Arial" w:hAnsi="Arial" w:cs="Arial"/>
          <w:b/>
          <w:sz w:val="22"/>
          <w:szCs w:val="22"/>
        </w:rPr>
      </w:pPr>
    </w:p>
    <w:p w14:paraId="5517960A" w14:textId="77777777" w:rsidR="004A485D" w:rsidRDefault="004A485D">
      <w:pPr>
        <w:spacing w:after="200" w:line="276" w:lineRule="auto"/>
        <w:rPr>
          <w:rFonts w:ascii="Arial" w:hAnsi="Arial" w:cs="Arial"/>
          <w:b/>
          <w:sz w:val="20"/>
          <w:lang w:val="es-ES"/>
        </w:rPr>
      </w:pPr>
      <w:r>
        <w:rPr>
          <w:rFonts w:ascii="Arial" w:hAnsi="Arial" w:cs="Arial"/>
          <w:b/>
          <w:sz w:val="20"/>
          <w:lang w:val="es-ES"/>
        </w:rPr>
        <w:br w:type="page"/>
      </w:r>
    </w:p>
    <w:p w14:paraId="369261F1" w14:textId="3037507D" w:rsidR="00155EEA" w:rsidRPr="006930D9" w:rsidRDefault="00C2392C" w:rsidP="006930D9">
      <w:pPr>
        <w:spacing w:before="120" w:after="120"/>
        <w:jc w:val="center"/>
        <w:rPr>
          <w:rFonts w:ascii="Arial" w:hAnsi="Arial" w:cs="Arial"/>
          <w:b/>
          <w:sz w:val="20"/>
          <w:lang w:val="es-ES"/>
        </w:rPr>
      </w:pPr>
      <w:r w:rsidRPr="006930D9">
        <w:rPr>
          <w:rFonts w:ascii="Arial" w:hAnsi="Arial" w:cs="Arial"/>
          <w:b/>
          <w:sz w:val="20"/>
          <w:lang w:val="es-ES"/>
        </w:rPr>
        <w:lastRenderedPageBreak/>
        <w:t xml:space="preserve">Cuadro </w:t>
      </w:r>
      <w:r w:rsidR="003D0515">
        <w:rPr>
          <w:rFonts w:ascii="Arial" w:hAnsi="Arial" w:cs="Arial"/>
          <w:b/>
          <w:sz w:val="20"/>
          <w:lang w:val="es-ES"/>
        </w:rPr>
        <w:t>4</w:t>
      </w:r>
      <w:r w:rsidRPr="006930D9">
        <w:rPr>
          <w:rFonts w:ascii="Arial" w:hAnsi="Arial" w:cs="Arial"/>
          <w:b/>
          <w:sz w:val="20"/>
          <w:lang w:val="es-ES"/>
        </w:rPr>
        <w:t xml:space="preserve">: </w:t>
      </w:r>
      <w:r w:rsidRPr="006930D9">
        <w:rPr>
          <w:rFonts w:ascii="Arial" w:hAnsi="Arial" w:cs="Arial"/>
          <w:b/>
          <w:bCs/>
          <w:color w:val="000000"/>
          <w:sz w:val="20"/>
          <w:lang w:val="es-ES"/>
        </w:rPr>
        <w:t>Principales actividades de evaluación</w:t>
      </w:r>
    </w:p>
    <w:tbl>
      <w:tblPr>
        <w:tblW w:w="9890" w:type="dxa"/>
        <w:jc w:val="center"/>
        <w:tblLayout w:type="fixed"/>
        <w:tblLook w:val="04A0" w:firstRow="1" w:lastRow="0" w:firstColumn="1" w:lastColumn="0" w:noHBand="0" w:noVBand="1"/>
      </w:tblPr>
      <w:tblGrid>
        <w:gridCol w:w="1970"/>
        <w:gridCol w:w="720"/>
        <w:gridCol w:w="720"/>
        <w:gridCol w:w="720"/>
        <w:gridCol w:w="720"/>
        <w:gridCol w:w="900"/>
        <w:gridCol w:w="1530"/>
        <w:gridCol w:w="900"/>
        <w:gridCol w:w="1710"/>
      </w:tblGrid>
      <w:tr w:rsidR="00417D9A" w14:paraId="1E586907" w14:textId="77777777" w:rsidTr="00417D9A">
        <w:trPr>
          <w:trHeight w:val="980"/>
          <w:tblHeader/>
          <w:jc w:val="center"/>
        </w:trPr>
        <w:tc>
          <w:tcPr>
            <w:tcW w:w="197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28C4269B" w14:textId="77777777" w:rsidR="002913C5" w:rsidRDefault="002913C5" w:rsidP="002913C5">
            <w:pPr>
              <w:jc w:val="center"/>
              <w:rPr>
                <w:rFonts w:ascii="Arial" w:hAnsi="Arial" w:cs="Arial"/>
                <w:b/>
                <w:bCs/>
                <w:color w:val="000000"/>
                <w:sz w:val="20"/>
                <w:lang w:val="es-ES"/>
              </w:rPr>
            </w:pPr>
            <w:r>
              <w:rPr>
                <w:rFonts w:ascii="Arial" w:hAnsi="Arial" w:cs="Arial"/>
                <w:b/>
                <w:bCs/>
                <w:color w:val="000000"/>
                <w:sz w:val="20"/>
                <w:lang w:val="es-ES"/>
              </w:rPr>
              <w:t>Actividades y Productos</w:t>
            </w:r>
          </w:p>
        </w:tc>
        <w:tc>
          <w:tcPr>
            <w:tcW w:w="720" w:type="dxa"/>
            <w:tcBorders>
              <w:top w:val="single" w:sz="8" w:space="0" w:color="000000"/>
              <w:left w:val="nil"/>
              <w:bottom w:val="single" w:sz="8" w:space="0" w:color="000000"/>
              <w:right w:val="single" w:sz="8" w:space="0" w:color="000000"/>
            </w:tcBorders>
            <w:shd w:val="clear" w:color="000000" w:fill="8DB3E2"/>
            <w:vAlign w:val="center"/>
            <w:hideMark/>
          </w:tcPr>
          <w:p w14:paraId="0809C9CD" w14:textId="2948F5C1" w:rsidR="002913C5" w:rsidRDefault="002913C5" w:rsidP="002913C5">
            <w:pPr>
              <w:jc w:val="center"/>
              <w:rPr>
                <w:rFonts w:ascii="Arial" w:hAnsi="Arial" w:cs="Arial"/>
                <w:b/>
                <w:bCs/>
                <w:color w:val="000000"/>
                <w:sz w:val="20"/>
                <w:lang w:val="en-US"/>
              </w:rPr>
            </w:pPr>
            <w:r>
              <w:rPr>
                <w:rFonts w:ascii="Arial" w:hAnsi="Arial" w:cs="Arial"/>
                <w:b/>
                <w:bCs/>
                <w:color w:val="000000"/>
                <w:sz w:val="20"/>
                <w:lang w:val="es-ES"/>
              </w:rPr>
              <w:t>2019</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494DAD49" w14:textId="20E4C57C" w:rsidR="002913C5" w:rsidRDefault="002913C5" w:rsidP="002913C5">
            <w:pPr>
              <w:jc w:val="center"/>
              <w:rPr>
                <w:rFonts w:ascii="Arial" w:hAnsi="Arial" w:cs="Arial"/>
                <w:b/>
                <w:bCs/>
                <w:color w:val="000000"/>
                <w:sz w:val="20"/>
                <w:lang w:val="es-ES"/>
              </w:rPr>
            </w:pPr>
            <w:r>
              <w:rPr>
                <w:rFonts w:ascii="Arial" w:hAnsi="Arial" w:cs="Arial"/>
                <w:b/>
                <w:bCs/>
                <w:color w:val="000000"/>
                <w:sz w:val="20"/>
                <w:lang w:val="es-ES"/>
              </w:rPr>
              <w:t>2020</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0BCAC118" w14:textId="4F1A69DE" w:rsidR="002913C5" w:rsidRDefault="002913C5" w:rsidP="002913C5">
            <w:pPr>
              <w:jc w:val="center"/>
              <w:rPr>
                <w:rFonts w:ascii="Arial" w:hAnsi="Arial" w:cs="Arial"/>
                <w:b/>
                <w:bCs/>
                <w:color w:val="000000"/>
                <w:sz w:val="20"/>
                <w:lang w:val="es-ES"/>
              </w:rPr>
            </w:pPr>
            <w:r>
              <w:rPr>
                <w:rFonts w:ascii="Arial" w:hAnsi="Arial" w:cs="Arial"/>
                <w:b/>
                <w:bCs/>
                <w:color w:val="000000"/>
                <w:sz w:val="20"/>
                <w:lang w:val="es-ES"/>
              </w:rPr>
              <w:t>2021</w:t>
            </w:r>
          </w:p>
        </w:tc>
        <w:tc>
          <w:tcPr>
            <w:tcW w:w="72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25791D43" w14:textId="44DFE8C8" w:rsidR="002913C5" w:rsidRDefault="002913C5" w:rsidP="002913C5">
            <w:pPr>
              <w:jc w:val="center"/>
              <w:rPr>
                <w:rFonts w:ascii="Arial" w:hAnsi="Arial" w:cs="Arial"/>
                <w:b/>
                <w:bCs/>
                <w:color w:val="000000"/>
                <w:sz w:val="20"/>
                <w:lang w:val="es-ES"/>
              </w:rPr>
            </w:pPr>
            <w:r>
              <w:rPr>
                <w:rFonts w:ascii="Arial" w:hAnsi="Arial" w:cs="Arial"/>
                <w:b/>
                <w:bCs/>
                <w:color w:val="000000"/>
                <w:sz w:val="20"/>
                <w:lang w:val="es-ES"/>
              </w:rPr>
              <w:t>2022</w:t>
            </w:r>
          </w:p>
        </w:tc>
        <w:tc>
          <w:tcPr>
            <w:tcW w:w="900" w:type="dxa"/>
            <w:tcBorders>
              <w:top w:val="single" w:sz="8" w:space="0" w:color="000000"/>
              <w:left w:val="single" w:sz="8" w:space="0" w:color="000000"/>
              <w:bottom w:val="single" w:sz="8" w:space="0" w:color="000000"/>
              <w:right w:val="single" w:sz="8" w:space="0" w:color="000000"/>
            </w:tcBorders>
            <w:shd w:val="clear" w:color="000000" w:fill="8DB3E2"/>
            <w:vAlign w:val="center"/>
          </w:tcPr>
          <w:p w14:paraId="27F1CECD" w14:textId="47C0AB1F" w:rsidR="002913C5" w:rsidRDefault="002913C5" w:rsidP="002913C5">
            <w:pPr>
              <w:jc w:val="center"/>
              <w:rPr>
                <w:rFonts w:ascii="Arial" w:hAnsi="Arial" w:cs="Arial"/>
                <w:b/>
                <w:bCs/>
                <w:color w:val="000000"/>
                <w:sz w:val="20"/>
                <w:lang w:val="es-ES"/>
              </w:rPr>
            </w:pPr>
            <w:r>
              <w:rPr>
                <w:rFonts w:ascii="Arial" w:hAnsi="Arial" w:cs="Arial"/>
                <w:b/>
                <w:bCs/>
                <w:color w:val="000000"/>
                <w:sz w:val="20"/>
                <w:lang w:val="es-ES"/>
              </w:rPr>
              <w:t>2023</w:t>
            </w:r>
          </w:p>
        </w:tc>
        <w:tc>
          <w:tcPr>
            <w:tcW w:w="153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02974998" w14:textId="1E40AA05" w:rsidR="002913C5" w:rsidRDefault="002913C5" w:rsidP="002913C5">
            <w:pPr>
              <w:jc w:val="center"/>
              <w:rPr>
                <w:rFonts w:ascii="Arial" w:hAnsi="Arial" w:cs="Arial"/>
                <w:b/>
                <w:bCs/>
                <w:color w:val="000000"/>
                <w:sz w:val="20"/>
                <w:lang w:val="en-US"/>
              </w:rPr>
            </w:pPr>
            <w:r>
              <w:rPr>
                <w:rFonts w:ascii="Arial" w:hAnsi="Arial" w:cs="Arial"/>
                <w:b/>
                <w:bCs/>
                <w:color w:val="000000"/>
                <w:sz w:val="20"/>
                <w:lang w:val="es-ES"/>
              </w:rPr>
              <w:t>Responsable</w:t>
            </w:r>
          </w:p>
        </w:tc>
        <w:tc>
          <w:tcPr>
            <w:tcW w:w="900" w:type="dxa"/>
            <w:tcBorders>
              <w:top w:val="single" w:sz="8" w:space="0" w:color="000000"/>
              <w:left w:val="nil"/>
              <w:bottom w:val="single" w:sz="8" w:space="0" w:color="000000"/>
              <w:right w:val="single" w:sz="8" w:space="0" w:color="000000"/>
            </w:tcBorders>
            <w:shd w:val="clear" w:color="000000" w:fill="8DB3E2"/>
            <w:vAlign w:val="center"/>
            <w:hideMark/>
          </w:tcPr>
          <w:p w14:paraId="677AA797" w14:textId="77777777" w:rsidR="002913C5" w:rsidRDefault="002913C5" w:rsidP="002913C5">
            <w:pPr>
              <w:jc w:val="center"/>
              <w:rPr>
                <w:rFonts w:ascii="Arial" w:hAnsi="Arial" w:cs="Arial"/>
                <w:b/>
                <w:bCs/>
                <w:color w:val="000000"/>
                <w:sz w:val="20"/>
                <w:lang w:val="en-US"/>
              </w:rPr>
            </w:pPr>
            <w:r>
              <w:rPr>
                <w:rFonts w:ascii="Arial" w:hAnsi="Arial" w:cs="Arial"/>
                <w:b/>
                <w:bCs/>
                <w:color w:val="000000"/>
                <w:sz w:val="20"/>
                <w:lang w:val="es-ES"/>
              </w:rPr>
              <w:t>Costo</w:t>
            </w:r>
          </w:p>
          <w:p w14:paraId="00EF0BC3" w14:textId="677C36ED" w:rsidR="002913C5" w:rsidRDefault="002913C5" w:rsidP="002913C5">
            <w:pPr>
              <w:jc w:val="center"/>
              <w:rPr>
                <w:rFonts w:ascii="Arial" w:hAnsi="Arial" w:cs="Arial"/>
                <w:b/>
                <w:bCs/>
                <w:color w:val="000000"/>
                <w:sz w:val="20"/>
                <w:lang w:val="en-US"/>
              </w:rPr>
            </w:pPr>
            <w:r>
              <w:rPr>
                <w:rFonts w:ascii="Arial" w:hAnsi="Arial" w:cs="Arial"/>
                <w:b/>
                <w:bCs/>
                <w:color w:val="000000"/>
                <w:sz w:val="20"/>
                <w:lang w:val="es-ES"/>
              </w:rPr>
              <w:t>US$</w:t>
            </w:r>
          </w:p>
        </w:tc>
        <w:tc>
          <w:tcPr>
            <w:tcW w:w="1710" w:type="dxa"/>
            <w:tcBorders>
              <w:top w:val="single" w:sz="8" w:space="0" w:color="000000"/>
              <w:left w:val="single" w:sz="8" w:space="0" w:color="000000"/>
              <w:bottom w:val="single" w:sz="8" w:space="0" w:color="000000"/>
              <w:right w:val="single" w:sz="8" w:space="0" w:color="000000"/>
            </w:tcBorders>
            <w:shd w:val="clear" w:color="000000" w:fill="8DB3E2"/>
            <w:vAlign w:val="center"/>
            <w:hideMark/>
          </w:tcPr>
          <w:p w14:paraId="6DA2EC84" w14:textId="31C731B2" w:rsidR="002913C5" w:rsidRDefault="002913C5" w:rsidP="002913C5">
            <w:pPr>
              <w:jc w:val="center"/>
              <w:rPr>
                <w:rFonts w:ascii="Arial" w:hAnsi="Arial" w:cs="Arial"/>
                <w:b/>
                <w:bCs/>
                <w:color w:val="000000"/>
                <w:sz w:val="20"/>
                <w:lang w:val="en-US"/>
              </w:rPr>
            </w:pPr>
            <w:r>
              <w:rPr>
                <w:rFonts w:ascii="Arial" w:hAnsi="Arial" w:cs="Arial"/>
                <w:b/>
                <w:bCs/>
                <w:color w:val="000000"/>
                <w:sz w:val="20"/>
                <w:lang w:val="es-ES"/>
              </w:rPr>
              <w:t>Financiamiento</w:t>
            </w:r>
          </w:p>
        </w:tc>
      </w:tr>
      <w:tr w:rsidR="002913C5" w14:paraId="31A272D3" w14:textId="77777777" w:rsidTr="00417D9A">
        <w:trPr>
          <w:trHeight w:val="525"/>
          <w:jc w:val="center"/>
        </w:trPr>
        <w:tc>
          <w:tcPr>
            <w:tcW w:w="197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6C93C14" w14:textId="77777777" w:rsidR="002913C5" w:rsidRDefault="002913C5" w:rsidP="002913C5">
            <w:pPr>
              <w:rPr>
                <w:rFonts w:ascii="Arial" w:hAnsi="Arial" w:cs="Arial"/>
                <w:color w:val="000000"/>
                <w:sz w:val="20"/>
                <w:lang w:val="es-ES"/>
              </w:rPr>
            </w:pPr>
            <w:r>
              <w:rPr>
                <w:rFonts w:ascii="Arial" w:hAnsi="Arial" w:cs="Arial"/>
                <w:color w:val="000000"/>
                <w:sz w:val="20"/>
                <w:lang w:val="es-ES"/>
              </w:rPr>
              <w:t xml:space="preserve">Evaluación ex post del Programa </w:t>
            </w:r>
          </w:p>
        </w:tc>
        <w:tc>
          <w:tcPr>
            <w:tcW w:w="7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12BA8A" w14:textId="77777777" w:rsidR="002913C5" w:rsidRDefault="002913C5" w:rsidP="002913C5">
            <w:pPr>
              <w:jc w:val="right"/>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777BCF0B" w14:textId="77777777" w:rsidR="002913C5" w:rsidRPr="000C44E4" w:rsidRDefault="002913C5" w:rsidP="002913C5">
            <w:pPr>
              <w:jc w:val="center"/>
              <w:rPr>
                <w:rFonts w:ascii="Arial" w:hAnsi="Arial" w:cs="Arial"/>
                <w:bCs/>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4C2D3DE3" w14:textId="43FDB7AA" w:rsidR="002913C5" w:rsidRPr="000C44E4" w:rsidRDefault="002913C5" w:rsidP="002913C5">
            <w:pPr>
              <w:jc w:val="center"/>
              <w:rPr>
                <w:rFonts w:ascii="Arial" w:hAnsi="Arial" w:cs="Arial"/>
                <w:bCs/>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4E423779" w14:textId="7C5E63F2" w:rsidR="002913C5" w:rsidRPr="000C44E4" w:rsidRDefault="002913C5" w:rsidP="002913C5">
            <w:pPr>
              <w:jc w:val="center"/>
              <w:rPr>
                <w:rFonts w:ascii="Arial" w:hAnsi="Arial" w:cs="Arial"/>
                <w:bCs/>
                <w:color w:val="000000"/>
                <w:sz w:val="20"/>
                <w:lang w:val="es-ES"/>
              </w:rPr>
            </w:pPr>
          </w:p>
        </w:tc>
        <w:tc>
          <w:tcPr>
            <w:tcW w:w="900" w:type="dxa"/>
            <w:tcBorders>
              <w:top w:val="single" w:sz="8" w:space="0" w:color="000000"/>
              <w:left w:val="single" w:sz="8" w:space="0" w:color="000000"/>
              <w:bottom w:val="single" w:sz="8" w:space="0" w:color="000000"/>
              <w:right w:val="single" w:sz="8" w:space="0" w:color="000000"/>
            </w:tcBorders>
            <w:vAlign w:val="center"/>
          </w:tcPr>
          <w:p w14:paraId="5A2C6ACD" w14:textId="326455F4" w:rsidR="002913C5" w:rsidRDefault="002913C5" w:rsidP="002913C5">
            <w:pPr>
              <w:ind w:left="-648" w:right="256"/>
              <w:jc w:val="right"/>
              <w:rPr>
                <w:rFonts w:ascii="Arial" w:hAnsi="Arial" w:cs="Arial"/>
                <w:color w:val="000000"/>
                <w:sz w:val="20"/>
                <w:lang w:val="es-ES"/>
              </w:rPr>
            </w:pPr>
            <w:r>
              <w:rPr>
                <w:rFonts w:ascii="Arial" w:hAnsi="Arial" w:cs="Arial"/>
                <w:color w:val="000000"/>
                <w:sz w:val="20"/>
                <w:lang w:val="es-ES"/>
              </w:rPr>
              <w:t>1</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50A3294" w14:textId="11180B8A" w:rsidR="002913C5" w:rsidRDefault="00C972FF" w:rsidP="002913C5">
            <w:pPr>
              <w:jc w:val="center"/>
              <w:rPr>
                <w:rFonts w:ascii="Arial" w:hAnsi="Arial" w:cs="Arial"/>
                <w:color w:val="000000"/>
                <w:sz w:val="20"/>
                <w:lang w:val="en-US"/>
              </w:rPr>
            </w:pPr>
            <w:r>
              <w:rPr>
                <w:rFonts w:ascii="Arial" w:hAnsi="Arial" w:cs="Arial"/>
                <w:color w:val="000000"/>
                <w:sz w:val="20"/>
                <w:lang w:val="es-ES"/>
              </w:rPr>
              <w:t xml:space="preserve">FMM, </w:t>
            </w:r>
            <w:r w:rsidR="002913C5">
              <w:rPr>
                <w:rFonts w:ascii="Arial" w:hAnsi="Arial" w:cs="Arial"/>
                <w:color w:val="000000"/>
                <w:sz w:val="20"/>
                <w:lang w:val="es-ES"/>
              </w:rPr>
              <w:t>BID</w:t>
            </w:r>
          </w:p>
        </w:tc>
        <w:tc>
          <w:tcPr>
            <w:tcW w:w="900" w:type="dxa"/>
            <w:tcBorders>
              <w:top w:val="single" w:sz="8" w:space="0" w:color="000000"/>
              <w:left w:val="nil"/>
              <w:bottom w:val="single" w:sz="8" w:space="0" w:color="000000"/>
              <w:right w:val="single" w:sz="8" w:space="0" w:color="000000"/>
            </w:tcBorders>
            <w:shd w:val="clear" w:color="auto" w:fill="auto"/>
            <w:vAlign w:val="center"/>
            <w:hideMark/>
          </w:tcPr>
          <w:p w14:paraId="23435E7D" w14:textId="41CA5620" w:rsidR="002913C5" w:rsidRDefault="002913C5" w:rsidP="002913C5">
            <w:pPr>
              <w:ind w:left="-291" w:right="73"/>
              <w:jc w:val="right"/>
              <w:rPr>
                <w:rFonts w:ascii="Arial" w:hAnsi="Arial" w:cs="Arial"/>
                <w:color w:val="000000"/>
                <w:sz w:val="20"/>
                <w:lang w:val="en-US"/>
              </w:rPr>
            </w:pPr>
            <w:r>
              <w:rPr>
                <w:rFonts w:ascii="Arial" w:hAnsi="Arial" w:cs="Arial"/>
                <w:color w:val="000000"/>
                <w:sz w:val="20"/>
                <w:lang w:val="en-US"/>
              </w:rPr>
              <w:t>10.000</w:t>
            </w:r>
          </w:p>
        </w:tc>
        <w:tc>
          <w:tcPr>
            <w:tcW w:w="1710" w:type="dxa"/>
            <w:tcBorders>
              <w:top w:val="single" w:sz="8" w:space="0" w:color="000000"/>
              <w:left w:val="nil"/>
              <w:bottom w:val="single" w:sz="8" w:space="0" w:color="000000"/>
              <w:right w:val="single" w:sz="8" w:space="0" w:color="000000"/>
            </w:tcBorders>
            <w:shd w:val="clear" w:color="auto" w:fill="auto"/>
            <w:vAlign w:val="center"/>
            <w:hideMark/>
          </w:tcPr>
          <w:p w14:paraId="6A8CABA9" w14:textId="1C048372" w:rsidR="002913C5" w:rsidRDefault="00C972FF" w:rsidP="002913C5">
            <w:pPr>
              <w:jc w:val="center"/>
              <w:rPr>
                <w:rFonts w:ascii="Arial" w:hAnsi="Arial" w:cs="Arial"/>
                <w:color w:val="000000"/>
                <w:sz w:val="20"/>
                <w:lang w:val="en-US"/>
              </w:rPr>
            </w:pPr>
            <w:r>
              <w:rPr>
                <w:rFonts w:ascii="Arial" w:hAnsi="Arial" w:cs="Arial"/>
                <w:color w:val="000000"/>
                <w:sz w:val="20"/>
                <w:lang w:val="en-US"/>
              </w:rPr>
              <w:t>FMM,</w:t>
            </w:r>
            <w:r w:rsidR="009027B3">
              <w:rPr>
                <w:rFonts w:ascii="Arial" w:hAnsi="Arial" w:cs="Arial"/>
                <w:color w:val="000000"/>
                <w:sz w:val="20"/>
                <w:lang w:val="en-US"/>
              </w:rPr>
              <w:t xml:space="preserve"> </w:t>
            </w:r>
            <w:r>
              <w:rPr>
                <w:rFonts w:ascii="Arial" w:hAnsi="Arial" w:cs="Arial"/>
                <w:color w:val="000000"/>
                <w:sz w:val="20"/>
                <w:lang w:val="en-US"/>
              </w:rPr>
              <w:t>Transaccionales</w:t>
            </w:r>
          </w:p>
        </w:tc>
      </w:tr>
      <w:tr w:rsidR="002A4B46" w14:paraId="7F5DEA44" w14:textId="77777777" w:rsidTr="00417D9A">
        <w:trPr>
          <w:trHeight w:val="525"/>
          <w:jc w:val="center"/>
        </w:trPr>
        <w:tc>
          <w:tcPr>
            <w:tcW w:w="19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D16A9E" w14:textId="4E4A7A51" w:rsidR="002A4B46" w:rsidRDefault="002A4B46" w:rsidP="002913C5">
            <w:pPr>
              <w:rPr>
                <w:rFonts w:ascii="Arial" w:hAnsi="Arial" w:cs="Arial"/>
                <w:color w:val="000000"/>
                <w:sz w:val="20"/>
                <w:lang w:val="es-ES"/>
              </w:rPr>
            </w:pPr>
            <w:r>
              <w:rPr>
                <w:rFonts w:ascii="Arial" w:hAnsi="Arial" w:cs="Arial"/>
                <w:color w:val="000000"/>
                <w:sz w:val="20"/>
                <w:lang w:val="es-ES"/>
              </w:rPr>
              <w:t>Evaluaciones de medidas específicas del Programa</w:t>
            </w:r>
          </w:p>
        </w:tc>
        <w:tc>
          <w:tcPr>
            <w:tcW w:w="7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F41034" w14:textId="77777777" w:rsidR="002A4B46" w:rsidRDefault="002A4B46" w:rsidP="002913C5">
            <w:pPr>
              <w:jc w:val="right"/>
              <w:rPr>
                <w:rFonts w:ascii="Arial" w:hAnsi="Arial" w:cs="Arial"/>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751E8ECD" w14:textId="77777777" w:rsidR="002A4B46" w:rsidRPr="000C44E4" w:rsidRDefault="002A4B46" w:rsidP="002913C5">
            <w:pPr>
              <w:jc w:val="center"/>
              <w:rPr>
                <w:rFonts w:ascii="Arial" w:hAnsi="Arial" w:cs="Arial"/>
                <w:bCs/>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30594EAD" w14:textId="77777777" w:rsidR="002A4B46" w:rsidRPr="000C44E4" w:rsidRDefault="002A4B46" w:rsidP="002913C5">
            <w:pPr>
              <w:jc w:val="center"/>
              <w:rPr>
                <w:rFonts w:ascii="Arial" w:hAnsi="Arial" w:cs="Arial"/>
                <w:bCs/>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6D2C1498" w14:textId="77777777" w:rsidR="002A4B46" w:rsidRPr="000C44E4" w:rsidRDefault="002A4B46" w:rsidP="002913C5">
            <w:pPr>
              <w:jc w:val="center"/>
              <w:rPr>
                <w:rFonts w:ascii="Arial" w:hAnsi="Arial" w:cs="Arial"/>
                <w:bCs/>
                <w:color w:val="000000"/>
                <w:sz w:val="20"/>
                <w:lang w:val="es-ES"/>
              </w:rPr>
            </w:pPr>
          </w:p>
        </w:tc>
        <w:tc>
          <w:tcPr>
            <w:tcW w:w="900" w:type="dxa"/>
            <w:tcBorders>
              <w:top w:val="single" w:sz="8" w:space="0" w:color="000000"/>
              <w:left w:val="single" w:sz="8" w:space="0" w:color="000000"/>
              <w:bottom w:val="single" w:sz="8" w:space="0" w:color="000000"/>
              <w:right w:val="single" w:sz="8" w:space="0" w:color="000000"/>
            </w:tcBorders>
            <w:vAlign w:val="center"/>
          </w:tcPr>
          <w:p w14:paraId="4F1EEB93" w14:textId="1A434FF1" w:rsidR="002A4B46" w:rsidRDefault="002A4B46" w:rsidP="002913C5">
            <w:pPr>
              <w:ind w:left="-648" w:right="256"/>
              <w:jc w:val="right"/>
              <w:rPr>
                <w:rFonts w:ascii="Arial" w:hAnsi="Arial" w:cs="Arial"/>
                <w:color w:val="000000"/>
                <w:sz w:val="20"/>
                <w:lang w:val="es-ES"/>
              </w:rPr>
            </w:pPr>
            <w:r>
              <w:rPr>
                <w:rFonts w:ascii="Arial" w:hAnsi="Arial" w:cs="Arial"/>
                <w:color w:val="000000"/>
                <w:sz w:val="20"/>
                <w:lang w:val="es-ES"/>
              </w:rPr>
              <w:t>1</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405704" w14:textId="2A8CBD37" w:rsidR="002A4B46" w:rsidRDefault="00C972FF" w:rsidP="002913C5">
            <w:pPr>
              <w:jc w:val="center"/>
              <w:rPr>
                <w:rFonts w:ascii="Arial" w:hAnsi="Arial" w:cs="Arial"/>
                <w:color w:val="000000"/>
                <w:sz w:val="20"/>
                <w:lang w:val="es-ES"/>
              </w:rPr>
            </w:pPr>
            <w:r>
              <w:rPr>
                <w:rFonts w:ascii="Arial" w:hAnsi="Arial" w:cs="Arial"/>
                <w:color w:val="000000"/>
                <w:sz w:val="20"/>
                <w:lang w:val="es-ES"/>
              </w:rPr>
              <w:t xml:space="preserve">FMM, </w:t>
            </w:r>
            <w:r w:rsidR="002A4B46">
              <w:rPr>
                <w:rFonts w:ascii="Arial" w:hAnsi="Arial" w:cs="Arial"/>
                <w:color w:val="000000"/>
                <w:sz w:val="20"/>
                <w:lang w:val="es-ES"/>
              </w:rPr>
              <w:t>BID</w:t>
            </w:r>
          </w:p>
        </w:tc>
        <w:tc>
          <w:tcPr>
            <w:tcW w:w="900" w:type="dxa"/>
            <w:tcBorders>
              <w:top w:val="single" w:sz="8" w:space="0" w:color="000000"/>
              <w:left w:val="nil"/>
              <w:bottom w:val="single" w:sz="8" w:space="0" w:color="000000"/>
              <w:right w:val="single" w:sz="8" w:space="0" w:color="000000"/>
            </w:tcBorders>
            <w:shd w:val="clear" w:color="auto" w:fill="auto"/>
            <w:vAlign w:val="center"/>
          </w:tcPr>
          <w:p w14:paraId="6F5734E1" w14:textId="7E89F398" w:rsidR="002A4B46" w:rsidRPr="00C12204" w:rsidRDefault="002A4B46" w:rsidP="002913C5">
            <w:pPr>
              <w:ind w:left="-291" w:right="73"/>
              <w:jc w:val="right"/>
              <w:rPr>
                <w:rFonts w:ascii="Arial" w:hAnsi="Arial" w:cs="Arial"/>
                <w:color w:val="000000"/>
                <w:sz w:val="20"/>
                <w:lang w:val="es-419"/>
              </w:rPr>
            </w:pPr>
            <w:r>
              <w:rPr>
                <w:rFonts w:ascii="Arial" w:hAnsi="Arial" w:cs="Arial"/>
                <w:color w:val="000000"/>
                <w:sz w:val="20"/>
                <w:lang w:val="es-419"/>
              </w:rPr>
              <w:t>2</w:t>
            </w:r>
            <w:r w:rsidR="002B53D6">
              <w:rPr>
                <w:rFonts w:ascii="Arial" w:hAnsi="Arial" w:cs="Arial"/>
                <w:color w:val="000000"/>
                <w:sz w:val="20"/>
                <w:lang w:val="es-419"/>
              </w:rPr>
              <w:t>0</w:t>
            </w:r>
            <w:r>
              <w:rPr>
                <w:rFonts w:ascii="Arial" w:hAnsi="Arial" w:cs="Arial"/>
                <w:color w:val="000000"/>
                <w:sz w:val="20"/>
                <w:lang w:val="es-419"/>
              </w:rPr>
              <w:t>,000</w:t>
            </w:r>
          </w:p>
        </w:tc>
        <w:tc>
          <w:tcPr>
            <w:tcW w:w="1710" w:type="dxa"/>
            <w:tcBorders>
              <w:top w:val="single" w:sz="8" w:space="0" w:color="000000"/>
              <w:left w:val="nil"/>
              <w:bottom w:val="single" w:sz="8" w:space="0" w:color="000000"/>
              <w:right w:val="single" w:sz="8" w:space="0" w:color="000000"/>
            </w:tcBorders>
            <w:shd w:val="clear" w:color="auto" w:fill="auto"/>
            <w:vAlign w:val="center"/>
          </w:tcPr>
          <w:p w14:paraId="7F948276" w14:textId="2768445E" w:rsidR="002A4B46" w:rsidRPr="00C12204" w:rsidRDefault="00C972FF" w:rsidP="002913C5">
            <w:pPr>
              <w:jc w:val="center"/>
              <w:rPr>
                <w:rFonts w:ascii="Arial" w:hAnsi="Arial" w:cs="Arial"/>
                <w:color w:val="000000"/>
                <w:sz w:val="20"/>
                <w:lang w:val="es-419"/>
              </w:rPr>
            </w:pPr>
            <w:r>
              <w:rPr>
                <w:rFonts w:ascii="Arial" w:hAnsi="Arial" w:cs="Arial"/>
                <w:color w:val="000000"/>
                <w:sz w:val="20"/>
                <w:lang w:val="es-419"/>
              </w:rPr>
              <w:t xml:space="preserve">FMM, </w:t>
            </w:r>
            <w:r>
              <w:rPr>
                <w:rFonts w:ascii="Arial" w:hAnsi="Arial" w:cs="Arial"/>
                <w:color w:val="000000"/>
                <w:sz w:val="20"/>
                <w:lang w:val="en-US"/>
              </w:rPr>
              <w:t>Transaccionales</w:t>
            </w:r>
          </w:p>
        </w:tc>
      </w:tr>
      <w:tr w:rsidR="002913C5" w14:paraId="06D1B7A6" w14:textId="77777777" w:rsidTr="00417D9A">
        <w:trPr>
          <w:trHeight w:val="525"/>
          <w:jc w:val="center"/>
        </w:trPr>
        <w:tc>
          <w:tcPr>
            <w:tcW w:w="19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6186CF" w14:textId="77777777" w:rsidR="002913C5" w:rsidRDefault="002913C5" w:rsidP="002913C5">
            <w:pPr>
              <w:rPr>
                <w:rFonts w:ascii="Arial" w:hAnsi="Arial" w:cs="Arial"/>
                <w:b/>
                <w:color w:val="000000"/>
                <w:sz w:val="20"/>
                <w:lang w:val="es-ES"/>
              </w:rPr>
            </w:pPr>
            <w:r>
              <w:rPr>
                <w:rFonts w:ascii="Arial" w:hAnsi="Arial" w:cs="Arial"/>
                <w:b/>
                <w:color w:val="000000"/>
                <w:sz w:val="20"/>
                <w:lang w:val="es-ES"/>
              </w:rPr>
              <w:t>Total</w:t>
            </w:r>
          </w:p>
        </w:tc>
        <w:tc>
          <w:tcPr>
            <w:tcW w:w="72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7D919C" w14:textId="77777777" w:rsidR="002913C5" w:rsidRDefault="002913C5" w:rsidP="002913C5">
            <w:pPr>
              <w:jc w:val="right"/>
              <w:rPr>
                <w:rFonts w:ascii="Arial" w:hAnsi="Arial" w:cs="Arial"/>
                <w:b/>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1BEC94D3" w14:textId="77777777" w:rsidR="002913C5" w:rsidRPr="000C44E4" w:rsidRDefault="002913C5" w:rsidP="002913C5">
            <w:pPr>
              <w:jc w:val="center"/>
              <w:rPr>
                <w:rFonts w:ascii="Arial" w:hAnsi="Arial" w:cs="Arial"/>
                <w:bCs/>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3C0F8496" w14:textId="6CE4ADCD" w:rsidR="002913C5" w:rsidRPr="000C44E4" w:rsidRDefault="002913C5" w:rsidP="002913C5">
            <w:pPr>
              <w:jc w:val="center"/>
              <w:rPr>
                <w:rFonts w:ascii="Arial" w:hAnsi="Arial" w:cs="Arial"/>
                <w:bCs/>
                <w:color w:val="000000"/>
                <w:sz w:val="20"/>
                <w:lang w:val="es-ES"/>
              </w:rPr>
            </w:pPr>
          </w:p>
        </w:tc>
        <w:tc>
          <w:tcPr>
            <w:tcW w:w="720" w:type="dxa"/>
            <w:tcBorders>
              <w:top w:val="single" w:sz="8" w:space="0" w:color="000000"/>
              <w:left w:val="single" w:sz="8" w:space="0" w:color="000000"/>
              <w:bottom w:val="single" w:sz="8" w:space="0" w:color="000000"/>
              <w:right w:val="single" w:sz="8" w:space="0" w:color="000000"/>
            </w:tcBorders>
            <w:vAlign w:val="center"/>
          </w:tcPr>
          <w:p w14:paraId="7BF1CBAA" w14:textId="45006AD7" w:rsidR="002913C5" w:rsidRPr="000C44E4" w:rsidRDefault="002913C5" w:rsidP="002913C5">
            <w:pPr>
              <w:jc w:val="center"/>
              <w:rPr>
                <w:rFonts w:ascii="Arial" w:hAnsi="Arial" w:cs="Arial"/>
                <w:bCs/>
                <w:color w:val="000000"/>
                <w:sz w:val="20"/>
                <w:lang w:val="es-ES"/>
              </w:rPr>
            </w:pPr>
          </w:p>
        </w:tc>
        <w:tc>
          <w:tcPr>
            <w:tcW w:w="900" w:type="dxa"/>
            <w:tcBorders>
              <w:top w:val="single" w:sz="8" w:space="0" w:color="000000"/>
              <w:left w:val="single" w:sz="8" w:space="0" w:color="000000"/>
              <w:bottom w:val="single" w:sz="8" w:space="0" w:color="000000"/>
              <w:right w:val="single" w:sz="8" w:space="0" w:color="000000"/>
            </w:tcBorders>
            <w:vAlign w:val="center"/>
          </w:tcPr>
          <w:p w14:paraId="36C5E70F" w14:textId="2960CCFB" w:rsidR="002913C5" w:rsidRPr="002913C5" w:rsidRDefault="00325E66" w:rsidP="002913C5">
            <w:pPr>
              <w:rPr>
                <w:rFonts w:ascii="Arial" w:hAnsi="Arial" w:cs="Arial"/>
                <w:b/>
                <w:sz w:val="20"/>
                <w:lang w:val="es-ES"/>
              </w:rPr>
            </w:pPr>
            <w:r>
              <w:rPr>
                <w:rFonts w:ascii="Arial" w:hAnsi="Arial" w:cs="Arial"/>
                <w:b/>
                <w:sz w:val="20"/>
                <w:lang w:val="en-US"/>
              </w:rPr>
              <w:t>30</w:t>
            </w:r>
            <w:r w:rsidRPr="003822D9">
              <w:rPr>
                <w:rFonts w:ascii="Arial" w:hAnsi="Arial" w:cs="Arial"/>
                <w:b/>
                <w:sz w:val="20"/>
                <w:lang w:val="en-US"/>
              </w:rPr>
              <w:t>.000</w:t>
            </w:r>
          </w:p>
        </w:tc>
        <w:tc>
          <w:tcPr>
            <w:tcW w:w="153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3DE92A" w14:textId="77777777" w:rsidR="002913C5" w:rsidRPr="002913C5" w:rsidRDefault="002913C5" w:rsidP="002913C5">
            <w:pPr>
              <w:jc w:val="center"/>
              <w:rPr>
                <w:rFonts w:ascii="Arial" w:hAnsi="Arial" w:cs="Arial"/>
                <w:b/>
                <w:sz w:val="20"/>
                <w:lang w:val="es-ES"/>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26CB5F" w14:textId="43663920" w:rsidR="002913C5" w:rsidRPr="003822D9" w:rsidRDefault="002A4B46" w:rsidP="002913C5">
            <w:pPr>
              <w:ind w:left="-291" w:right="73"/>
              <w:jc w:val="right"/>
              <w:rPr>
                <w:rFonts w:ascii="Arial" w:hAnsi="Arial" w:cs="Arial"/>
                <w:b/>
                <w:sz w:val="20"/>
                <w:lang w:val="en-US"/>
              </w:rPr>
            </w:pPr>
            <w:r>
              <w:rPr>
                <w:rFonts w:ascii="Arial" w:hAnsi="Arial" w:cs="Arial"/>
                <w:b/>
                <w:sz w:val="20"/>
                <w:lang w:val="en-US"/>
              </w:rPr>
              <w:t>3</w:t>
            </w:r>
            <w:r w:rsidR="002B53D6">
              <w:rPr>
                <w:rFonts w:ascii="Arial" w:hAnsi="Arial" w:cs="Arial"/>
                <w:b/>
                <w:sz w:val="20"/>
                <w:lang w:val="en-US"/>
              </w:rPr>
              <w:t>0</w:t>
            </w:r>
            <w:r w:rsidR="002913C5" w:rsidRPr="003822D9">
              <w:rPr>
                <w:rFonts w:ascii="Arial" w:hAnsi="Arial" w:cs="Arial"/>
                <w:b/>
                <w:sz w:val="20"/>
                <w:lang w:val="en-US"/>
              </w:rPr>
              <w:t>.000</w:t>
            </w:r>
          </w:p>
        </w:tc>
        <w:tc>
          <w:tcPr>
            <w:tcW w:w="17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E54D08F" w14:textId="77777777" w:rsidR="002913C5" w:rsidRDefault="002913C5" w:rsidP="002913C5">
            <w:pPr>
              <w:jc w:val="center"/>
              <w:rPr>
                <w:rFonts w:ascii="Arial" w:hAnsi="Arial" w:cs="Arial"/>
                <w:color w:val="000000"/>
                <w:sz w:val="20"/>
                <w:lang w:val="en-US"/>
              </w:rPr>
            </w:pPr>
            <w:r>
              <w:rPr>
                <w:rFonts w:ascii="Arial" w:hAnsi="Arial" w:cs="Arial"/>
                <w:color w:val="000000"/>
                <w:sz w:val="20"/>
                <w:lang w:val="en-US"/>
              </w:rPr>
              <w:t>BID</w:t>
            </w:r>
          </w:p>
        </w:tc>
      </w:tr>
    </w:tbl>
    <w:p w14:paraId="367F0989" w14:textId="77777777" w:rsidR="00B50154" w:rsidRDefault="00B50154">
      <w:pPr>
        <w:spacing w:after="200" w:line="276" w:lineRule="auto"/>
        <w:rPr>
          <w:rFonts w:ascii="Arial" w:hAnsi="Arial" w:cs="Arial"/>
          <w:b/>
          <w:sz w:val="22"/>
          <w:szCs w:val="22"/>
          <w:lang w:val="es-ES"/>
        </w:rPr>
      </w:pPr>
    </w:p>
    <w:p w14:paraId="429DA962" w14:textId="77777777" w:rsidR="00B50154" w:rsidRDefault="00B50154">
      <w:pPr>
        <w:spacing w:after="200" w:line="276" w:lineRule="auto"/>
        <w:rPr>
          <w:rFonts w:ascii="Arial" w:hAnsi="Arial" w:cs="Arial"/>
          <w:b/>
          <w:sz w:val="22"/>
          <w:szCs w:val="22"/>
          <w:lang w:val="es-ES"/>
        </w:rPr>
      </w:pPr>
      <w:r>
        <w:rPr>
          <w:rFonts w:ascii="Arial" w:hAnsi="Arial" w:cs="Arial"/>
          <w:b/>
          <w:sz w:val="22"/>
          <w:szCs w:val="22"/>
          <w:lang w:val="es-ES"/>
        </w:rPr>
        <w:br w:type="page"/>
      </w:r>
    </w:p>
    <w:p w14:paraId="3577DB8F" w14:textId="77777777" w:rsidR="00155EEA" w:rsidRPr="00F40C75" w:rsidRDefault="00C2392C">
      <w:pPr>
        <w:spacing w:after="120" w:line="276" w:lineRule="auto"/>
        <w:rPr>
          <w:rFonts w:ascii="Arial" w:hAnsi="Arial" w:cs="Arial"/>
          <w:b/>
          <w:sz w:val="22"/>
          <w:szCs w:val="22"/>
          <w:lang w:val="es-MX"/>
        </w:rPr>
      </w:pPr>
      <w:r w:rsidRPr="00F40C75">
        <w:rPr>
          <w:rFonts w:ascii="Arial" w:hAnsi="Arial" w:cs="Arial"/>
          <w:b/>
          <w:sz w:val="22"/>
          <w:szCs w:val="22"/>
          <w:lang w:val="es-MX"/>
        </w:rPr>
        <w:lastRenderedPageBreak/>
        <w:t>Referencias</w:t>
      </w:r>
    </w:p>
    <w:p w14:paraId="77688732" w14:textId="7BD9FF6B" w:rsidR="00401021" w:rsidRPr="00301AA2" w:rsidRDefault="00401021" w:rsidP="00401021">
      <w:pPr>
        <w:spacing w:after="60" w:line="276" w:lineRule="auto"/>
        <w:ind w:left="720" w:hanging="720"/>
        <w:jc w:val="both"/>
        <w:rPr>
          <w:rFonts w:ascii="Arial" w:hAnsi="Arial" w:cs="Arial"/>
          <w:sz w:val="22"/>
          <w:szCs w:val="22"/>
          <w:lang w:val="en-US"/>
        </w:rPr>
      </w:pPr>
      <w:r>
        <w:rPr>
          <w:rFonts w:ascii="Arial" w:hAnsi="Arial" w:cs="Arial"/>
          <w:sz w:val="22"/>
          <w:szCs w:val="22"/>
          <w:lang w:val="es-MX"/>
        </w:rPr>
        <w:t xml:space="preserve">Acosta, J.; Barreix, A.; y Rasteletti, A. 2017. </w:t>
      </w:r>
      <w:r w:rsidRPr="0007120C">
        <w:rPr>
          <w:rFonts w:ascii="Arial" w:hAnsi="Arial" w:cs="Arial"/>
          <w:i/>
          <w:sz w:val="22"/>
          <w:szCs w:val="22"/>
          <w:lang w:val="es-MX"/>
        </w:rPr>
        <w:t>Metodología de Estimación del Ahorro Financiero Fiscal</w:t>
      </w:r>
      <w:r>
        <w:rPr>
          <w:rFonts w:ascii="Arial" w:hAnsi="Arial" w:cs="Arial"/>
          <w:sz w:val="22"/>
          <w:szCs w:val="22"/>
          <w:lang w:val="es-MX"/>
        </w:rPr>
        <w:t xml:space="preserve">. </w:t>
      </w:r>
      <w:r w:rsidRPr="00301AA2">
        <w:rPr>
          <w:rFonts w:ascii="Arial" w:hAnsi="Arial" w:cs="Arial"/>
          <w:sz w:val="22"/>
          <w:szCs w:val="22"/>
          <w:lang w:val="en-US"/>
        </w:rPr>
        <w:t>BID Mimeo.</w:t>
      </w:r>
    </w:p>
    <w:p w14:paraId="68D6FC71" w14:textId="791A2789" w:rsidR="002E65BE" w:rsidRDefault="002E65BE" w:rsidP="002E65BE">
      <w:pPr>
        <w:spacing w:after="60" w:line="276" w:lineRule="auto"/>
        <w:ind w:left="720" w:hanging="720"/>
        <w:jc w:val="both"/>
        <w:rPr>
          <w:rFonts w:ascii="Arial" w:hAnsi="Arial" w:cs="Arial"/>
          <w:sz w:val="22"/>
          <w:szCs w:val="22"/>
          <w:lang w:val="en-US"/>
        </w:rPr>
      </w:pPr>
      <w:r w:rsidRPr="00301AA2">
        <w:rPr>
          <w:rFonts w:ascii="Arial" w:hAnsi="Arial" w:cs="Arial"/>
          <w:sz w:val="22"/>
          <w:szCs w:val="22"/>
          <w:lang w:val="en-US"/>
        </w:rPr>
        <w:t xml:space="preserve">Acosta-Ormachea, S., y A. Morozumi. 2013. </w:t>
      </w:r>
      <w:r w:rsidRPr="002E65BE">
        <w:rPr>
          <w:rFonts w:ascii="Arial" w:hAnsi="Arial" w:cs="Arial"/>
          <w:i/>
          <w:sz w:val="22"/>
          <w:szCs w:val="22"/>
          <w:lang w:val="en-US"/>
        </w:rPr>
        <w:t>Can a Government Enhance Long-Run Growth by Changing the Composition of Public Expenditure?</w:t>
      </w:r>
      <w:r w:rsidRPr="002E65BE">
        <w:rPr>
          <w:rFonts w:ascii="Arial" w:hAnsi="Arial" w:cs="Arial"/>
          <w:sz w:val="22"/>
          <w:szCs w:val="22"/>
          <w:lang w:val="en-US"/>
        </w:rPr>
        <w:t xml:space="preserve"> IMF Working Paper No. WP/13/162.</w:t>
      </w:r>
    </w:p>
    <w:p w14:paraId="6AD82D91" w14:textId="29B49E02" w:rsidR="00F67204" w:rsidRDefault="00F67204" w:rsidP="00F67204">
      <w:pPr>
        <w:spacing w:after="60" w:line="276" w:lineRule="auto"/>
        <w:ind w:left="720" w:hanging="720"/>
        <w:jc w:val="both"/>
        <w:rPr>
          <w:rFonts w:ascii="Arial" w:hAnsi="Arial" w:cs="Arial"/>
          <w:sz w:val="22"/>
          <w:szCs w:val="22"/>
          <w:lang w:val="en-US"/>
        </w:rPr>
      </w:pPr>
      <w:r w:rsidRPr="00301AA2">
        <w:rPr>
          <w:rFonts w:ascii="Arial" w:hAnsi="Arial" w:cs="Arial"/>
          <w:sz w:val="22"/>
          <w:szCs w:val="22"/>
          <w:lang w:val="en-US"/>
        </w:rPr>
        <w:t xml:space="preserve">Adam, C., y Bevan, D. 2005. </w:t>
      </w:r>
      <w:r w:rsidRPr="00F67204">
        <w:rPr>
          <w:rFonts w:ascii="Arial" w:hAnsi="Arial" w:cs="Arial"/>
          <w:i/>
          <w:sz w:val="22"/>
          <w:szCs w:val="22"/>
          <w:lang w:val="en-US"/>
        </w:rPr>
        <w:t>Fiscal deficits and growth in developing countries</w:t>
      </w:r>
      <w:r>
        <w:rPr>
          <w:rFonts w:ascii="Arial" w:hAnsi="Arial" w:cs="Arial"/>
          <w:sz w:val="22"/>
          <w:szCs w:val="22"/>
          <w:lang w:val="en-US"/>
        </w:rPr>
        <w:t>. Journal of Public Economics, 2005, vol. 89, issue 4, 571-597.</w:t>
      </w:r>
    </w:p>
    <w:p w14:paraId="111E865A" w14:textId="505B581C" w:rsidR="002647F4" w:rsidRDefault="002647F4" w:rsidP="00F67204">
      <w:pPr>
        <w:spacing w:after="60" w:line="276" w:lineRule="auto"/>
        <w:ind w:left="720" w:hanging="720"/>
        <w:jc w:val="both"/>
        <w:rPr>
          <w:rFonts w:ascii="Arial" w:hAnsi="Arial" w:cs="Arial"/>
          <w:sz w:val="22"/>
          <w:szCs w:val="22"/>
          <w:lang w:val="en-US"/>
        </w:rPr>
      </w:pPr>
      <w:r w:rsidRPr="00301AA2">
        <w:rPr>
          <w:rFonts w:ascii="Arial" w:hAnsi="Arial" w:cs="Arial"/>
          <w:sz w:val="22"/>
          <w:szCs w:val="22"/>
          <w:lang w:val="en-US"/>
        </w:rPr>
        <w:t>Aisen, A. y Hauner, D. 2008</w:t>
      </w:r>
      <w:r w:rsidR="00A16C21" w:rsidRPr="00301AA2">
        <w:rPr>
          <w:rFonts w:ascii="Arial" w:hAnsi="Arial" w:cs="Arial"/>
          <w:sz w:val="22"/>
          <w:szCs w:val="22"/>
          <w:lang w:val="en-US"/>
        </w:rPr>
        <w:t>.</w:t>
      </w:r>
      <w:r w:rsidRPr="00301AA2">
        <w:rPr>
          <w:rFonts w:ascii="Arial" w:hAnsi="Arial" w:cs="Arial"/>
          <w:sz w:val="22"/>
          <w:szCs w:val="22"/>
          <w:lang w:val="en-US"/>
        </w:rPr>
        <w:t xml:space="preserve"> </w:t>
      </w:r>
      <w:r w:rsidRPr="00A16C21">
        <w:rPr>
          <w:rFonts w:ascii="Arial" w:hAnsi="Arial" w:cs="Arial"/>
          <w:i/>
          <w:sz w:val="22"/>
          <w:szCs w:val="22"/>
          <w:lang w:val="en-US"/>
        </w:rPr>
        <w:t>Budget Deficits y Interest Rates: A Fresh Perspective</w:t>
      </w:r>
      <w:r w:rsidR="00A16C21">
        <w:rPr>
          <w:rFonts w:ascii="Arial" w:hAnsi="Arial" w:cs="Arial"/>
          <w:sz w:val="22"/>
          <w:szCs w:val="22"/>
          <w:lang w:val="en-US"/>
        </w:rPr>
        <w:t>.</w:t>
      </w:r>
      <w:r w:rsidRPr="002647F4">
        <w:rPr>
          <w:rFonts w:ascii="Arial" w:hAnsi="Arial" w:cs="Arial"/>
          <w:sz w:val="22"/>
          <w:szCs w:val="22"/>
          <w:lang w:val="en-US"/>
        </w:rPr>
        <w:t xml:space="preserve"> IMF Working Paper, WP/08/42.</w:t>
      </w:r>
    </w:p>
    <w:p w14:paraId="6A06F426" w14:textId="43DDBABA" w:rsidR="00155EEA" w:rsidRPr="00301AA2" w:rsidRDefault="00C2392C">
      <w:pPr>
        <w:spacing w:after="60" w:line="276" w:lineRule="auto"/>
        <w:ind w:left="720" w:hanging="720"/>
        <w:jc w:val="both"/>
        <w:rPr>
          <w:rFonts w:ascii="Arial" w:hAnsi="Arial" w:cs="Arial"/>
          <w:sz w:val="22"/>
          <w:szCs w:val="22"/>
          <w:lang w:val="es-419"/>
        </w:rPr>
      </w:pPr>
      <w:r w:rsidRPr="002637A6">
        <w:rPr>
          <w:rFonts w:ascii="Arial" w:hAnsi="Arial" w:cs="Arial"/>
          <w:sz w:val="22"/>
          <w:szCs w:val="22"/>
          <w:lang w:val="en-US"/>
        </w:rPr>
        <w:t xml:space="preserve">Badinger, H., y Reuter, W. 2017. </w:t>
      </w:r>
      <w:r w:rsidRPr="002637A6">
        <w:rPr>
          <w:rFonts w:ascii="Arial" w:hAnsi="Arial" w:cs="Arial"/>
          <w:i/>
          <w:sz w:val="22"/>
          <w:szCs w:val="22"/>
          <w:lang w:val="en-US"/>
        </w:rPr>
        <w:t>The Case for Fiscal Rules</w:t>
      </w:r>
      <w:r w:rsidRPr="002637A6">
        <w:rPr>
          <w:rFonts w:ascii="Arial" w:hAnsi="Arial" w:cs="Arial"/>
          <w:sz w:val="22"/>
          <w:szCs w:val="22"/>
          <w:lang w:val="en-US"/>
        </w:rPr>
        <w:t xml:space="preserve">. </w:t>
      </w:r>
      <w:r w:rsidRPr="00301AA2">
        <w:rPr>
          <w:rFonts w:ascii="Arial" w:hAnsi="Arial" w:cs="Arial"/>
          <w:sz w:val="22"/>
          <w:szCs w:val="22"/>
          <w:lang w:val="es-419"/>
        </w:rPr>
        <w:t>Economic Modelling, Vol. 60: pp. 334-343.</w:t>
      </w:r>
    </w:p>
    <w:p w14:paraId="464962F1" w14:textId="743368E1" w:rsidR="009E04E2" w:rsidRDefault="009E04E2" w:rsidP="00D263FE">
      <w:pPr>
        <w:spacing w:after="60" w:line="276" w:lineRule="auto"/>
        <w:ind w:left="720" w:hanging="720"/>
        <w:jc w:val="both"/>
        <w:rPr>
          <w:rFonts w:ascii="Arial" w:hAnsi="Arial" w:cs="Arial"/>
          <w:sz w:val="22"/>
          <w:szCs w:val="22"/>
          <w:lang w:val="es-419"/>
        </w:rPr>
      </w:pPr>
      <w:r w:rsidRPr="00865DD5">
        <w:rPr>
          <w:rFonts w:ascii="Arial" w:hAnsi="Arial" w:cs="Arial"/>
          <w:sz w:val="22"/>
          <w:szCs w:val="22"/>
          <w:lang w:val="es-419"/>
        </w:rPr>
        <w:t>Banco Interamericano de Desarrollo. 201</w:t>
      </w:r>
      <w:r w:rsidR="00D263FE">
        <w:rPr>
          <w:rFonts w:ascii="Arial" w:hAnsi="Arial" w:cs="Arial"/>
          <w:sz w:val="22"/>
          <w:szCs w:val="22"/>
          <w:lang w:val="es-419"/>
        </w:rPr>
        <w:t>5</w:t>
      </w:r>
      <w:r w:rsidRPr="00865DD5">
        <w:rPr>
          <w:rFonts w:ascii="Arial" w:hAnsi="Arial" w:cs="Arial"/>
          <w:sz w:val="22"/>
          <w:szCs w:val="22"/>
          <w:lang w:val="es-419"/>
        </w:rPr>
        <w:t xml:space="preserve">. </w:t>
      </w:r>
      <w:r w:rsidRPr="009E04E2">
        <w:rPr>
          <w:rFonts w:ascii="Arial" w:hAnsi="Arial" w:cs="Arial"/>
          <w:i/>
          <w:sz w:val="22"/>
          <w:szCs w:val="22"/>
          <w:lang w:val="es-419"/>
        </w:rPr>
        <w:t>Gobernanza, desempeño y</w:t>
      </w:r>
      <w:r>
        <w:rPr>
          <w:rFonts w:ascii="Arial" w:hAnsi="Arial" w:cs="Arial"/>
          <w:i/>
          <w:sz w:val="22"/>
          <w:szCs w:val="22"/>
          <w:lang w:val="es-419"/>
        </w:rPr>
        <w:t xml:space="preserve"> </w:t>
      </w:r>
      <w:r w:rsidRPr="009E04E2">
        <w:rPr>
          <w:rFonts w:ascii="Arial" w:hAnsi="Arial" w:cs="Arial"/>
          <w:i/>
          <w:sz w:val="22"/>
          <w:szCs w:val="22"/>
          <w:lang w:val="es-419"/>
        </w:rPr>
        <w:t>mejores prácticas de las</w:t>
      </w:r>
      <w:r>
        <w:rPr>
          <w:rFonts w:ascii="Arial" w:hAnsi="Arial" w:cs="Arial"/>
          <w:i/>
          <w:sz w:val="22"/>
          <w:szCs w:val="22"/>
          <w:lang w:val="es-419"/>
        </w:rPr>
        <w:t xml:space="preserve"> </w:t>
      </w:r>
      <w:r w:rsidRPr="009E04E2">
        <w:rPr>
          <w:rFonts w:ascii="Arial" w:hAnsi="Arial" w:cs="Arial"/>
          <w:i/>
          <w:sz w:val="22"/>
          <w:szCs w:val="22"/>
          <w:lang w:val="es-419"/>
        </w:rPr>
        <w:t>reformas de empresas públicas</w:t>
      </w:r>
      <w:r>
        <w:rPr>
          <w:rFonts w:ascii="Arial" w:hAnsi="Arial" w:cs="Arial"/>
          <w:i/>
          <w:sz w:val="22"/>
          <w:szCs w:val="22"/>
          <w:lang w:val="es-419"/>
        </w:rPr>
        <w:t xml:space="preserve"> </w:t>
      </w:r>
      <w:r w:rsidRPr="009E04E2">
        <w:rPr>
          <w:rFonts w:ascii="Arial" w:hAnsi="Arial" w:cs="Arial"/>
          <w:i/>
          <w:sz w:val="22"/>
          <w:szCs w:val="22"/>
          <w:lang w:val="es-419"/>
        </w:rPr>
        <w:t>en América Latina, el Caribe y</w:t>
      </w:r>
      <w:r>
        <w:rPr>
          <w:rFonts w:ascii="Arial" w:hAnsi="Arial" w:cs="Arial"/>
          <w:i/>
          <w:sz w:val="22"/>
          <w:szCs w:val="22"/>
          <w:lang w:val="es-419"/>
        </w:rPr>
        <w:t xml:space="preserve"> </w:t>
      </w:r>
      <w:r w:rsidRPr="009E04E2">
        <w:rPr>
          <w:rFonts w:ascii="Arial" w:hAnsi="Arial" w:cs="Arial"/>
          <w:i/>
          <w:sz w:val="22"/>
          <w:szCs w:val="22"/>
          <w:lang w:val="es-419"/>
        </w:rPr>
        <w:t>Corea</w:t>
      </w:r>
      <w:r w:rsidRPr="00865DD5">
        <w:rPr>
          <w:rFonts w:ascii="Arial" w:hAnsi="Arial" w:cs="Arial"/>
          <w:sz w:val="22"/>
          <w:szCs w:val="22"/>
          <w:lang w:val="es-419"/>
        </w:rPr>
        <w:t xml:space="preserve">. </w:t>
      </w:r>
      <w:r w:rsidR="00D263FE" w:rsidRPr="00D263FE">
        <w:rPr>
          <w:rFonts w:ascii="Arial" w:hAnsi="Arial" w:cs="Arial"/>
          <w:sz w:val="22"/>
          <w:szCs w:val="22"/>
          <w:lang w:val="es-419"/>
        </w:rPr>
        <w:t>Informe del foro y resultados de la</w:t>
      </w:r>
      <w:r w:rsidR="00D263FE">
        <w:rPr>
          <w:rFonts w:ascii="Arial" w:hAnsi="Arial" w:cs="Arial"/>
          <w:sz w:val="22"/>
          <w:szCs w:val="22"/>
          <w:lang w:val="es-419"/>
        </w:rPr>
        <w:t xml:space="preserve"> </w:t>
      </w:r>
      <w:r w:rsidR="00D263FE" w:rsidRPr="00D263FE">
        <w:rPr>
          <w:rFonts w:ascii="Arial" w:hAnsi="Arial" w:cs="Arial"/>
          <w:sz w:val="22"/>
          <w:szCs w:val="22"/>
          <w:lang w:val="es-419"/>
        </w:rPr>
        <w:t>conferencia internacional realizados</w:t>
      </w:r>
      <w:r w:rsidR="00D263FE">
        <w:rPr>
          <w:rFonts w:ascii="Arial" w:hAnsi="Arial" w:cs="Arial"/>
          <w:sz w:val="22"/>
          <w:szCs w:val="22"/>
          <w:lang w:val="es-419"/>
        </w:rPr>
        <w:t xml:space="preserve"> </w:t>
      </w:r>
      <w:r w:rsidR="00D263FE" w:rsidRPr="00D263FE">
        <w:rPr>
          <w:rFonts w:ascii="Arial" w:hAnsi="Arial" w:cs="Arial"/>
          <w:sz w:val="22"/>
          <w:szCs w:val="22"/>
          <w:lang w:val="es-419"/>
        </w:rPr>
        <w:t>del 5 al 8 de noviembre de 2013 en</w:t>
      </w:r>
      <w:r w:rsidR="00D263FE">
        <w:rPr>
          <w:rFonts w:ascii="Arial" w:hAnsi="Arial" w:cs="Arial"/>
          <w:sz w:val="22"/>
          <w:szCs w:val="22"/>
          <w:lang w:val="es-419"/>
        </w:rPr>
        <w:t xml:space="preserve"> </w:t>
      </w:r>
      <w:r w:rsidR="00D263FE" w:rsidRPr="00D263FE">
        <w:rPr>
          <w:rFonts w:ascii="Arial" w:hAnsi="Arial" w:cs="Arial"/>
          <w:sz w:val="22"/>
          <w:szCs w:val="22"/>
          <w:lang w:val="es-419"/>
        </w:rPr>
        <w:t>Seúl, Corea</w:t>
      </w:r>
      <w:r w:rsidRPr="007063E3">
        <w:rPr>
          <w:rFonts w:ascii="Arial" w:hAnsi="Arial" w:cs="Arial"/>
          <w:sz w:val="22"/>
          <w:szCs w:val="22"/>
          <w:lang w:val="es-419"/>
        </w:rPr>
        <w:t>.</w:t>
      </w:r>
      <w:r w:rsidR="009027B3">
        <w:rPr>
          <w:rFonts w:ascii="Arial" w:hAnsi="Arial" w:cs="Arial"/>
          <w:sz w:val="22"/>
          <w:szCs w:val="22"/>
          <w:lang w:val="es-419"/>
        </w:rPr>
        <w:t xml:space="preserve"> </w:t>
      </w:r>
      <w:r w:rsidR="00D263FE">
        <w:rPr>
          <w:rFonts w:ascii="Arial" w:hAnsi="Arial" w:cs="Arial"/>
          <w:sz w:val="22"/>
          <w:szCs w:val="22"/>
          <w:lang w:val="es-419"/>
        </w:rPr>
        <w:t>Documento para Discusión No. IDB-DP-388</w:t>
      </w:r>
    </w:p>
    <w:p w14:paraId="2C513C33" w14:textId="6BAEE833" w:rsidR="00865DD5" w:rsidRDefault="00865DD5">
      <w:pPr>
        <w:spacing w:after="60" w:line="276" w:lineRule="auto"/>
        <w:ind w:left="720" w:hanging="720"/>
        <w:jc w:val="both"/>
        <w:rPr>
          <w:rFonts w:ascii="Arial" w:hAnsi="Arial" w:cs="Arial"/>
          <w:sz w:val="22"/>
          <w:szCs w:val="22"/>
          <w:lang w:val="es-419"/>
        </w:rPr>
      </w:pPr>
      <w:r w:rsidRPr="00865DD5">
        <w:rPr>
          <w:rFonts w:ascii="Arial" w:hAnsi="Arial" w:cs="Arial"/>
          <w:sz w:val="22"/>
          <w:szCs w:val="22"/>
          <w:lang w:val="es-419"/>
        </w:rPr>
        <w:t xml:space="preserve">Banco Interamericano de Desarrollo. 2016. </w:t>
      </w:r>
      <w:r w:rsidRPr="00865DD5">
        <w:rPr>
          <w:rFonts w:ascii="Arial" w:hAnsi="Arial" w:cs="Arial"/>
          <w:i/>
          <w:sz w:val="22"/>
          <w:szCs w:val="22"/>
          <w:lang w:val="es-419"/>
        </w:rPr>
        <w:t>Tiempo de decisiones. América Latina y el Caribe ante sus desafíos</w:t>
      </w:r>
      <w:r w:rsidRPr="00865DD5">
        <w:rPr>
          <w:rFonts w:ascii="Arial" w:hAnsi="Arial" w:cs="Arial"/>
          <w:sz w:val="22"/>
          <w:szCs w:val="22"/>
          <w:lang w:val="es-419"/>
        </w:rPr>
        <w:t xml:space="preserve">. </w:t>
      </w:r>
      <w:r w:rsidRPr="007063E3">
        <w:rPr>
          <w:rFonts w:ascii="Arial" w:hAnsi="Arial" w:cs="Arial"/>
          <w:sz w:val="22"/>
          <w:szCs w:val="22"/>
          <w:lang w:val="es-419"/>
        </w:rPr>
        <w:t>Informe macroeconómico de América Latina y el Caribe.</w:t>
      </w:r>
    </w:p>
    <w:p w14:paraId="1C1FA6A1" w14:textId="3FF408D5" w:rsidR="00FF7A9F" w:rsidRDefault="00FF7A9F" w:rsidP="00FF7A9F">
      <w:pPr>
        <w:spacing w:after="60" w:line="276" w:lineRule="auto"/>
        <w:ind w:left="720" w:hanging="720"/>
        <w:jc w:val="both"/>
        <w:rPr>
          <w:rFonts w:ascii="Arial" w:hAnsi="Arial" w:cs="Arial"/>
          <w:sz w:val="22"/>
          <w:szCs w:val="22"/>
          <w:lang w:val="es-419"/>
        </w:rPr>
      </w:pPr>
      <w:r w:rsidRPr="00865DD5">
        <w:rPr>
          <w:rFonts w:ascii="Arial" w:hAnsi="Arial" w:cs="Arial"/>
          <w:sz w:val="22"/>
          <w:szCs w:val="22"/>
          <w:lang w:val="es-419"/>
        </w:rPr>
        <w:t>Banco Interamericano de Desarrollo. 201</w:t>
      </w:r>
      <w:r>
        <w:rPr>
          <w:rFonts w:ascii="Arial" w:hAnsi="Arial" w:cs="Arial"/>
          <w:sz w:val="22"/>
          <w:szCs w:val="22"/>
          <w:lang w:val="es-419"/>
        </w:rPr>
        <w:t>7</w:t>
      </w:r>
      <w:r w:rsidRPr="00865DD5">
        <w:rPr>
          <w:rFonts w:ascii="Arial" w:hAnsi="Arial" w:cs="Arial"/>
          <w:sz w:val="22"/>
          <w:szCs w:val="22"/>
          <w:lang w:val="es-419"/>
        </w:rPr>
        <w:t xml:space="preserve">. </w:t>
      </w:r>
      <w:r>
        <w:rPr>
          <w:rFonts w:ascii="Arial" w:hAnsi="Arial" w:cs="Arial"/>
          <w:i/>
          <w:sz w:val="22"/>
          <w:szCs w:val="22"/>
          <w:lang w:val="es-419"/>
        </w:rPr>
        <w:t>Evaluación de las Asociaciones Público-Privadas en Infraestructura</w:t>
      </w:r>
      <w:r w:rsidRPr="00865DD5">
        <w:rPr>
          <w:rFonts w:ascii="Arial" w:hAnsi="Arial" w:cs="Arial"/>
          <w:sz w:val="22"/>
          <w:szCs w:val="22"/>
          <w:lang w:val="es-419"/>
        </w:rPr>
        <w:t xml:space="preserve">. </w:t>
      </w:r>
      <w:r>
        <w:rPr>
          <w:rFonts w:ascii="Arial" w:hAnsi="Arial" w:cs="Arial"/>
          <w:sz w:val="22"/>
          <w:szCs w:val="22"/>
          <w:lang w:val="es-419"/>
        </w:rPr>
        <w:t xml:space="preserve">Oficina de Evaluación y Supervisión (OVE). </w:t>
      </w:r>
    </w:p>
    <w:p w14:paraId="04B1760A" w14:textId="1A8B98E8" w:rsidR="007063E3" w:rsidRPr="00DB2FC0" w:rsidRDefault="007063E3" w:rsidP="00F67CE3">
      <w:pPr>
        <w:spacing w:after="60" w:line="276" w:lineRule="auto"/>
        <w:ind w:left="720" w:hanging="720"/>
        <w:jc w:val="both"/>
        <w:rPr>
          <w:rFonts w:ascii="Arial" w:hAnsi="Arial" w:cs="Arial"/>
          <w:sz w:val="22"/>
          <w:szCs w:val="22"/>
          <w:lang w:val="es-MX"/>
        </w:rPr>
      </w:pPr>
      <w:r w:rsidRPr="00DB2FC0">
        <w:rPr>
          <w:rFonts w:ascii="Arial" w:hAnsi="Arial" w:cs="Arial"/>
          <w:sz w:val="22"/>
          <w:szCs w:val="22"/>
          <w:lang w:val="es-MX"/>
        </w:rPr>
        <w:t>Banco Mundial, Banco Asiático de Desarrollo y B</w:t>
      </w:r>
      <w:r w:rsidR="00DB2FC0" w:rsidRPr="00DB2FC0">
        <w:rPr>
          <w:rFonts w:ascii="Arial" w:hAnsi="Arial" w:cs="Arial"/>
          <w:sz w:val="22"/>
          <w:szCs w:val="22"/>
          <w:lang w:val="es-MX"/>
        </w:rPr>
        <w:t>anco Inter</w:t>
      </w:r>
      <w:r w:rsidR="00DB2FC0">
        <w:rPr>
          <w:rFonts w:ascii="Arial" w:hAnsi="Arial" w:cs="Arial"/>
          <w:sz w:val="22"/>
          <w:szCs w:val="22"/>
          <w:lang w:val="es-MX"/>
        </w:rPr>
        <w:t>a</w:t>
      </w:r>
      <w:r w:rsidR="00DB2FC0" w:rsidRPr="00DB2FC0">
        <w:rPr>
          <w:rFonts w:ascii="Arial" w:hAnsi="Arial" w:cs="Arial"/>
          <w:sz w:val="22"/>
          <w:szCs w:val="22"/>
          <w:lang w:val="es-MX"/>
        </w:rPr>
        <w:t xml:space="preserve">mericano de Desarrollo. </w:t>
      </w:r>
      <w:r w:rsidRPr="00DB2FC0">
        <w:rPr>
          <w:rFonts w:ascii="Arial" w:hAnsi="Arial" w:cs="Arial"/>
          <w:sz w:val="22"/>
          <w:szCs w:val="22"/>
          <w:lang w:val="es-MX"/>
        </w:rPr>
        <w:t>2014c</w:t>
      </w:r>
      <w:r w:rsidR="00DB2FC0" w:rsidRPr="00DB2FC0">
        <w:rPr>
          <w:rFonts w:ascii="Arial" w:hAnsi="Arial" w:cs="Arial"/>
          <w:sz w:val="22"/>
          <w:szCs w:val="22"/>
          <w:lang w:val="es-MX"/>
        </w:rPr>
        <w:t xml:space="preserve">. </w:t>
      </w:r>
      <w:r w:rsidR="00DB2FC0" w:rsidRPr="00DB2FC0">
        <w:rPr>
          <w:rFonts w:ascii="Arial" w:hAnsi="Arial" w:cs="Arial"/>
          <w:i/>
          <w:sz w:val="22"/>
          <w:szCs w:val="22"/>
          <w:lang w:val="es-MX"/>
        </w:rPr>
        <w:t>Asociaciones</w:t>
      </w:r>
      <w:r w:rsidR="00DB2FC0">
        <w:rPr>
          <w:rFonts w:ascii="Arial" w:hAnsi="Arial" w:cs="Arial"/>
          <w:i/>
          <w:sz w:val="22"/>
          <w:szCs w:val="22"/>
          <w:lang w:val="es-MX"/>
        </w:rPr>
        <w:t xml:space="preserve"> Público-Privadas: Guía de Referencia. Versión 2.0</w:t>
      </w:r>
      <w:r w:rsidR="00DB2FC0">
        <w:rPr>
          <w:rFonts w:ascii="Arial" w:hAnsi="Arial" w:cs="Arial"/>
          <w:sz w:val="22"/>
          <w:szCs w:val="22"/>
          <w:lang w:val="es-MX"/>
        </w:rPr>
        <w:t xml:space="preserve">. </w:t>
      </w:r>
    </w:p>
    <w:p w14:paraId="44CCE2ED" w14:textId="13DE87EB" w:rsidR="00FE118F" w:rsidRDefault="00FE118F" w:rsidP="00F67CE3">
      <w:pPr>
        <w:spacing w:after="60" w:line="276" w:lineRule="auto"/>
        <w:ind w:left="720" w:hanging="720"/>
        <w:jc w:val="both"/>
        <w:rPr>
          <w:rFonts w:ascii="Arial" w:hAnsi="Arial" w:cs="Arial"/>
          <w:sz w:val="22"/>
          <w:szCs w:val="22"/>
          <w:lang w:val="es-MX"/>
        </w:rPr>
      </w:pPr>
      <w:r w:rsidRPr="00FE118F">
        <w:rPr>
          <w:rFonts w:ascii="Arial" w:hAnsi="Arial" w:cs="Arial"/>
          <w:sz w:val="22"/>
          <w:szCs w:val="22"/>
          <w:lang w:val="es-MX"/>
        </w:rPr>
        <w:t xml:space="preserve">Benitez y Pessino. 2019. </w:t>
      </w:r>
      <w:r w:rsidRPr="00FE118F">
        <w:rPr>
          <w:rFonts w:ascii="Arial" w:hAnsi="Arial" w:cs="Arial"/>
          <w:i/>
          <w:sz w:val="22"/>
          <w:szCs w:val="22"/>
          <w:lang w:val="es-MX"/>
        </w:rPr>
        <w:t>Hacia un gasto inteligente para América Latina y el Caribe</w:t>
      </w:r>
      <w:r w:rsidRPr="00FE118F">
        <w:rPr>
          <w:rFonts w:ascii="Arial" w:hAnsi="Arial" w:cs="Arial"/>
          <w:sz w:val="22"/>
          <w:szCs w:val="22"/>
          <w:lang w:val="es-MX"/>
        </w:rPr>
        <w:t>. Disponible en: https://blogs.iadb.org/gestion-fiscal/es/hacia-un-gasto-inteligente-para-america-latina-y-el-caribe/</w:t>
      </w:r>
    </w:p>
    <w:p w14:paraId="463A3F18" w14:textId="02CF9335" w:rsidR="00D579CF" w:rsidRPr="00301AA2" w:rsidRDefault="00D579CF" w:rsidP="00F67CE3">
      <w:pPr>
        <w:spacing w:after="60" w:line="276" w:lineRule="auto"/>
        <w:ind w:left="720" w:hanging="720"/>
        <w:jc w:val="both"/>
        <w:rPr>
          <w:rFonts w:ascii="Arial" w:hAnsi="Arial" w:cs="Arial"/>
          <w:sz w:val="22"/>
          <w:szCs w:val="22"/>
          <w:lang w:val="en-US"/>
        </w:rPr>
      </w:pPr>
      <w:r w:rsidRPr="00D579CF">
        <w:rPr>
          <w:rFonts w:ascii="Arial" w:hAnsi="Arial" w:cs="Arial"/>
          <w:sz w:val="22"/>
          <w:szCs w:val="22"/>
          <w:lang w:val="es-MX"/>
        </w:rPr>
        <w:t xml:space="preserve">Borensztein, </w:t>
      </w:r>
      <w:r>
        <w:rPr>
          <w:rFonts w:ascii="Arial" w:hAnsi="Arial" w:cs="Arial"/>
          <w:sz w:val="22"/>
          <w:szCs w:val="22"/>
          <w:lang w:val="es-MX"/>
        </w:rPr>
        <w:t xml:space="preserve">E.; </w:t>
      </w:r>
      <w:r w:rsidRPr="00D579CF">
        <w:rPr>
          <w:rFonts w:ascii="Arial" w:hAnsi="Arial" w:cs="Arial"/>
          <w:sz w:val="22"/>
          <w:szCs w:val="22"/>
          <w:lang w:val="es-MX"/>
        </w:rPr>
        <w:t>Cavallo, E</w:t>
      </w:r>
      <w:r>
        <w:rPr>
          <w:rFonts w:ascii="Arial" w:hAnsi="Arial" w:cs="Arial"/>
          <w:sz w:val="22"/>
          <w:szCs w:val="22"/>
          <w:lang w:val="es-MX"/>
        </w:rPr>
        <w:t>.</w:t>
      </w:r>
      <w:r w:rsidR="002647F4">
        <w:rPr>
          <w:rFonts w:ascii="Arial" w:hAnsi="Arial" w:cs="Arial"/>
          <w:sz w:val="22"/>
          <w:szCs w:val="22"/>
          <w:lang w:val="es-MX"/>
        </w:rPr>
        <w:t xml:space="preserve">; </w:t>
      </w:r>
      <w:r w:rsidRPr="00D579CF">
        <w:rPr>
          <w:rFonts w:ascii="Arial" w:hAnsi="Arial" w:cs="Arial"/>
          <w:sz w:val="22"/>
          <w:szCs w:val="22"/>
          <w:lang w:val="es-MX"/>
        </w:rPr>
        <w:t>Cifuentes, P</w:t>
      </w:r>
      <w:r>
        <w:rPr>
          <w:rFonts w:ascii="Arial" w:hAnsi="Arial" w:cs="Arial"/>
          <w:sz w:val="22"/>
          <w:szCs w:val="22"/>
          <w:lang w:val="es-MX"/>
        </w:rPr>
        <w:t>.</w:t>
      </w:r>
      <w:r w:rsidR="002647F4">
        <w:rPr>
          <w:rFonts w:ascii="Arial" w:hAnsi="Arial" w:cs="Arial"/>
          <w:sz w:val="22"/>
          <w:szCs w:val="22"/>
          <w:lang w:val="es-MX"/>
        </w:rPr>
        <w:t>;</w:t>
      </w:r>
      <w:r w:rsidRPr="00D579CF">
        <w:rPr>
          <w:rFonts w:ascii="Arial" w:hAnsi="Arial" w:cs="Arial"/>
          <w:sz w:val="22"/>
          <w:szCs w:val="22"/>
          <w:lang w:val="es-MX"/>
        </w:rPr>
        <w:t xml:space="preserve"> </w:t>
      </w:r>
      <w:r w:rsidR="002647F4" w:rsidRPr="00D579CF">
        <w:rPr>
          <w:rFonts w:ascii="Arial" w:hAnsi="Arial" w:cs="Arial"/>
          <w:sz w:val="22"/>
          <w:szCs w:val="22"/>
          <w:lang w:val="es-MX"/>
        </w:rPr>
        <w:t>y Valencia</w:t>
      </w:r>
      <w:r w:rsidRPr="00D579CF">
        <w:rPr>
          <w:rFonts w:ascii="Arial" w:hAnsi="Arial" w:cs="Arial"/>
          <w:sz w:val="22"/>
          <w:szCs w:val="22"/>
          <w:lang w:val="es-MX"/>
        </w:rPr>
        <w:t xml:space="preserve">, </w:t>
      </w:r>
      <w:r>
        <w:rPr>
          <w:rFonts w:ascii="Arial" w:hAnsi="Arial" w:cs="Arial"/>
          <w:sz w:val="22"/>
          <w:szCs w:val="22"/>
          <w:lang w:val="es-MX"/>
        </w:rPr>
        <w:t>O.</w:t>
      </w:r>
      <w:r w:rsidR="009027B3">
        <w:rPr>
          <w:rFonts w:ascii="Arial" w:hAnsi="Arial" w:cs="Arial"/>
          <w:sz w:val="22"/>
          <w:szCs w:val="22"/>
          <w:lang w:val="es-MX"/>
        </w:rPr>
        <w:t xml:space="preserve"> </w:t>
      </w:r>
      <w:r w:rsidRPr="00D579CF">
        <w:rPr>
          <w:rFonts w:ascii="Arial" w:hAnsi="Arial" w:cs="Arial"/>
          <w:sz w:val="22"/>
          <w:szCs w:val="22"/>
          <w:lang w:val="en-US"/>
        </w:rPr>
        <w:t>2013</w:t>
      </w:r>
      <w:r>
        <w:rPr>
          <w:rFonts w:ascii="Arial" w:hAnsi="Arial" w:cs="Arial"/>
          <w:sz w:val="22"/>
          <w:szCs w:val="22"/>
          <w:lang w:val="en-US"/>
        </w:rPr>
        <w:t>.</w:t>
      </w:r>
      <w:r w:rsidR="009027B3">
        <w:rPr>
          <w:rFonts w:ascii="Arial" w:hAnsi="Arial" w:cs="Arial"/>
          <w:sz w:val="22"/>
          <w:szCs w:val="22"/>
          <w:lang w:val="en-US"/>
        </w:rPr>
        <w:t xml:space="preserve"> </w:t>
      </w:r>
      <w:r w:rsidRPr="00D579CF">
        <w:rPr>
          <w:rFonts w:ascii="Arial" w:hAnsi="Arial" w:cs="Arial"/>
          <w:i/>
          <w:sz w:val="22"/>
          <w:szCs w:val="22"/>
          <w:lang w:val="en-US"/>
        </w:rPr>
        <w:t>Integrated Template for Debt Sustainability Analysis: Version 2.0, Instruction Manual</w:t>
      </w:r>
      <w:r w:rsidRPr="00D579CF">
        <w:rPr>
          <w:rFonts w:ascii="Arial" w:hAnsi="Arial" w:cs="Arial"/>
          <w:sz w:val="22"/>
          <w:szCs w:val="22"/>
          <w:lang w:val="en-US"/>
        </w:rPr>
        <w:t xml:space="preserve">. </w:t>
      </w:r>
      <w:r w:rsidRPr="00301AA2">
        <w:rPr>
          <w:rFonts w:ascii="Arial" w:hAnsi="Arial" w:cs="Arial"/>
          <w:sz w:val="22"/>
          <w:szCs w:val="22"/>
          <w:lang w:val="en-US"/>
        </w:rPr>
        <w:t>IDB Technical Note 576.</w:t>
      </w:r>
    </w:p>
    <w:p w14:paraId="7512C689" w14:textId="1C7F317C" w:rsidR="00675E92" w:rsidRPr="004A485D" w:rsidRDefault="00675E92" w:rsidP="00675E92">
      <w:pPr>
        <w:spacing w:after="60" w:line="276" w:lineRule="auto"/>
        <w:ind w:left="720" w:hanging="720"/>
        <w:jc w:val="both"/>
        <w:rPr>
          <w:rFonts w:ascii="Arial" w:hAnsi="Arial" w:cs="Arial"/>
          <w:sz w:val="22"/>
          <w:szCs w:val="22"/>
          <w:lang w:val="es-419"/>
        </w:rPr>
      </w:pPr>
      <w:r w:rsidRPr="00675E92">
        <w:rPr>
          <w:rFonts w:ascii="Arial" w:hAnsi="Arial" w:cs="Arial"/>
          <w:sz w:val="22"/>
          <w:szCs w:val="22"/>
          <w:lang w:val="en-US"/>
        </w:rPr>
        <w:t xml:space="preserve">Bova, E., Ruiz-Arranz, M., Toscani, F. and Ture, H.E. 2016. </w:t>
      </w:r>
      <w:r w:rsidRPr="00675E92">
        <w:rPr>
          <w:rFonts w:ascii="Arial" w:hAnsi="Arial" w:cs="Arial"/>
          <w:i/>
          <w:sz w:val="22"/>
          <w:szCs w:val="22"/>
          <w:lang w:val="en-US"/>
        </w:rPr>
        <w:t>The Fiscal Costs of Contingent Liabilities: A New Dataset</w:t>
      </w:r>
      <w:r>
        <w:rPr>
          <w:rFonts w:ascii="Arial" w:hAnsi="Arial" w:cs="Arial"/>
          <w:sz w:val="22"/>
          <w:szCs w:val="22"/>
          <w:lang w:val="en-US"/>
        </w:rPr>
        <w:t>.</w:t>
      </w:r>
      <w:r w:rsidRPr="00675E92">
        <w:rPr>
          <w:rFonts w:ascii="Arial" w:hAnsi="Arial" w:cs="Arial"/>
          <w:sz w:val="22"/>
          <w:szCs w:val="22"/>
          <w:lang w:val="en-US"/>
        </w:rPr>
        <w:t xml:space="preserve"> </w:t>
      </w:r>
      <w:r w:rsidRPr="004A485D">
        <w:rPr>
          <w:rFonts w:ascii="Arial" w:hAnsi="Arial" w:cs="Arial"/>
          <w:sz w:val="22"/>
          <w:szCs w:val="22"/>
          <w:lang w:val="es-419"/>
        </w:rPr>
        <w:t>IMF Working Paper, WP/16/14</w:t>
      </w:r>
      <w:r w:rsidR="00781559" w:rsidRPr="004A485D">
        <w:rPr>
          <w:rFonts w:ascii="Arial" w:hAnsi="Arial" w:cs="Arial"/>
          <w:sz w:val="22"/>
          <w:szCs w:val="22"/>
          <w:lang w:val="es-419"/>
        </w:rPr>
        <w:t>.</w:t>
      </w:r>
    </w:p>
    <w:p w14:paraId="0B83B947" w14:textId="067CCDFE" w:rsidR="00B16D9F" w:rsidRPr="004A485D" w:rsidRDefault="00B16D9F" w:rsidP="00B16D9F">
      <w:pPr>
        <w:spacing w:after="60" w:line="276" w:lineRule="auto"/>
        <w:ind w:left="720" w:hanging="720"/>
        <w:jc w:val="both"/>
        <w:rPr>
          <w:rFonts w:ascii="Arial" w:hAnsi="Arial" w:cs="Arial"/>
          <w:sz w:val="22"/>
          <w:szCs w:val="22"/>
          <w:lang w:val="en-US"/>
        </w:rPr>
      </w:pPr>
      <w:r w:rsidRPr="00B16D9F">
        <w:rPr>
          <w:rFonts w:ascii="Arial" w:hAnsi="Arial" w:cs="Arial"/>
          <w:sz w:val="22"/>
          <w:szCs w:val="22"/>
          <w:lang w:val="es-419"/>
        </w:rPr>
        <w:t>Comisión Económica para América Latina y el Caribe</w:t>
      </w:r>
      <w:r>
        <w:rPr>
          <w:rFonts w:ascii="Arial" w:hAnsi="Arial" w:cs="Arial"/>
          <w:sz w:val="22"/>
          <w:szCs w:val="22"/>
          <w:lang w:val="es-419"/>
        </w:rPr>
        <w:t>. 2019.</w:t>
      </w:r>
      <w:r w:rsidR="009027B3">
        <w:rPr>
          <w:rFonts w:ascii="Arial" w:hAnsi="Arial" w:cs="Arial"/>
          <w:sz w:val="22"/>
          <w:szCs w:val="22"/>
          <w:lang w:val="es-419"/>
        </w:rPr>
        <w:t xml:space="preserve"> </w:t>
      </w:r>
      <w:r w:rsidRPr="00B16D9F">
        <w:rPr>
          <w:rFonts w:ascii="Arial" w:hAnsi="Arial" w:cs="Arial"/>
          <w:i/>
          <w:sz w:val="22"/>
          <w:szCs w:val="22"/>
          <w:lang w:val="es-419"/>
        </w:rPr>
        <w:t>Panorama Fiscal de América Latina y el Caribe, 2019</w:t>
      </w:r>
      <w:r>
        <w:rPr>
          <w:rFonts w:ascii="Arial" w:hAnsi="Arial" w:cs="Arial"/>
          <w:i/>
          <w:sz w:val="22"/>
          <w:szCs w:val="22"/>
          <w:lang w:val="es-419"/>
        </w:rPr>
        <w:t>.</w:t>
      </w:r>
      <w:r w:rsidR="009027B3">
        <w:rPr>
          <w:rFonts w:ascii="Arial" w:hAnsi="Arial" w:cs="Arial"/>
          <w:i/>
          <w:sz w:val="22"/>
          <w:szCs w:val="22"/>
          <w:lang w:val="es-419"/>
        </w:rPr>
        <w:t xml:space="preserve"> </w:t>
      </w:r>
      <w:r w:rsidRPr="004A485D">
        <w:rPr>
          <w:rFonts w:ascii="Arial" w:hAnsi="Arial" w:cs="Arial"/>
          <w:sz w:val="22"/>
          <w:szCs w:val="22"/>
          <w:lang w:val="en-US"/>
        </w:rPr>
        <w:t>LC/PUB.2019/8-P, Santiago.</w:t>
      </w:r>
    </w:p>
    <w:p w14:paraId="07A92FBE" w14:textId="0FBE1DA3" w:rsidR="00D3506A" w:rsidRDefault="00D3506A" w:rsidP="00D3506A">
      <w:pPr>
        <w:spacing w:after="60" w:line="276" w:lineRule="auto"/>
        <w:ind w:left="720" w:hanging="720"/>
        <w:jc w:val="both"/>
        <w:rPr>
          <w:rFonts w:ascii="Arial" w:hAnsi="Arial" w:cs="Arial"/>
          <w:sz w:val="22"/>
          <w:szCs w:val="22"/>
          <w:lang w:val="en-US"/>
        </w:rPr>
      </w:pPr>
      <w:r w:rsidRPr="004A485D">
        <w:rPr>
          <w:rFonts w:ascii="Arial" w:hAnsi="Arial" w:cs="Arial"/>
          <w:sz w:val="22"/>
          <w:szCs w:val="22"/>
          <w:lang w:val="en-US"/>
        </w:rPr>
        <w:t xml:space="preserve">Cespedes, L., y A. Velasco. </w:t>
      </w:r>
      <w:r w:rsidRPr="00D3506A">
        <w:rPr>
          <w:rFonts w:ascii="Arial" w:hAnsi="Arial" w:cs="Arial"/>
          <w:sz w:val="22"/>
          <w:szCs w:val="22"/>
          <w:lang w:val="en-US"/>
        </w:rPr>
        <w:t xml:space="preserve">2014. </w:t>
      </w:r>
      <w:r w:rsidRPr="00F53380">
        <w:rPr>
          <w:rFonts w:ascii="Arial" w:hAnsi="Arial" w:cs="Arial"/>
          <w:i/>
          <w:sz w:val="22"/>
          <w:szCs w:val="22"/>
          <w:lang w:val="en-US"/>
        </w:rPr>
        <w:t>Was this time different? Fiscal policy in commodity republics</w:t>
      </w:r>
      <w:r w:rsidRPr="00D3506A">
        <w:rPr>
          <w:rFonts w:ascii="Arial" w:hAnsi="Arial" w:cs="Arial"/>
          <w:sz w:val="22"/>
          <w:szCs w:val="22"/>
          <w:lang w:val="en-US"/>
        </w:rPr>
        <w:t>. Journal of Development Economics, Vol. 106, pp. 92–106.</w:t>
      </w:r>
    </w:p>
    <w:p w14:paraId="316AE871" w14:textId="7B03A270" w:rsidR="003B4B2E" w:rsidRDefault="003B4B2E" w:rsidP="00D3506A">
      <w:pPr>
        <w:spacing w:after="60" w:line="276" w:lineRule="auto"/>
        <w:ind w:left="720" w:hanging="720"/>
        <w:jc w:val="both"/>
        <w:rPr>
          <w:rFonts w:ascii="Arial" w:hAnsi="Arial" w:cs="Arial"/>
          <w:sz w:val="22"/>
          <w:szCs w:val="22"/>
          <w:lang w:val="es-419"/>
        </w:rPr>
      </w:pPr>
      <w:r w:rsidRPr="00301AA2">
        <w:rPr>
          <w:rFonts w:ascii="Arial" w:hAnsi="Arial" w:cs="Arial"/>
          <w:sz w:val="22"/>
          <w:szCs w:val="22"/>
          <w:lang w:val="en-US"/>
        </w:rPr>
        <w:t xml:space="preserve">Cueva, S., Mosquera, R. y Ortiz, MC. 2018. </w:t>
      </w:r>
      <w:r w:rsidRPr="003B4B2E">
        <w:rPr>
          <w:rFonts w:ascii="Arial" w:hAnsi="Arial" w:cs="Arial"/>
          <w:i/>
          <w:sz w:val="22"/>
          <w:szCs w:val="22"/>
          <w:lang w:val="es-419"/>
        </w:rPr>
        <w:t>Ciclicalidad de la política fiscal desde la dolarización</w:t>
      </w:r>
      <w:r w:rsidRPr="003B4B2E">
        <w:rPr>
          <w:rFonts w:ascii="Arial" w:hAnsi="Arial" w:cs="Arial"/>
          <w:sz w:val="22"/>
          <w:szCs w:val="22"/>
          <w:lang w:val="es-419"/>
        </w:rPr>
        <w:t xml:space="preserve">. En Díaz-Cassou y Ruiz-Arranz (Eds,) Reformas y desarrollo en el Ecuador contemporáneo. </w:t>
      </w:r>
      <w:r w:rsidRPr="00F67CE3">
        <w:rPr>
          <w:rFonts w:ascii="Arial" w:hAnsi="Arial" w:cs="Arial"/>
          <w:sz w:val="22"/>
          <w:szCs w:val="22"/>
          <w:lang w:val="es-419"/>
        </w:rPr>
        <w:t>Banco Interamericano de Desarrollo IDB-BK-202.</w:t>
      </w:r>
    </w:p>
    <w:p w14:paraId="557B939A" w14:textId="0B16133B" w:rsidR="00001506" w:rsidRPr="00C12204" w:rsidRDefault="007232D1" w:rsidP="00D3506A">
      <w:pPr>
        <w:spacing w:after="60" w:line="276" w:lineRule="auto"/>
        <w:ind w:left="720" w:hanging="720"/>
        <w:jc w:val="both"/>
        <w:rPr>
          <w:rFonts w:ascii="Arial" w:hAnsi="Arial" w:cs="Arial"/>
          <w:sz w:val="22"/>
          <w:szCs w:val="22"/>
          <w:lang w:val="en-US"/>
        </w:rPr>
      </w:pPr>
      <w:r w:rsidRPr="00803F31">
        <w:rPr>
          <w:rFonts w:ascii="Arial" w:hAnsi="Arial" w:cs="Arial"/>
          <w:sz w:val="22"/>
          <w:szCs w:val="22"/>
          <w:lang w:val="es-419"/>
        </w:rPr>
        <w:t>Dell’Erba, S., Hausmann, R.y Panizza, U.</w:t>
      </w:r>
      <w:r w:rsidRPr="00C12204">
        <w:rPr>
          <w:rFonts w:ascii="Arial" w:hAnsi="Arial" w:cs="Arial"/>
          <w:sz w:val="22"/>
          <w:szCs w:val="22"/>
          <w:lang w:val="es-419"/>
        </w:rPr>
        <w:t xml:space="preserve"> 2013.</w:t>
      </w:r>
      <w:r w:rsidRPr="00803F31">
        <w:rPr>
          <w:rFonts w:ascii="Arial" w:hAnsi="Arial" w:cs="Arial"/>
          <w:sz w:val="22"/>
          <w:szCs w:val="22"/>
          <w:lang w:val="es-419"/>
        </w:rPr>
        <w:t xml:space="preserve"> </w:t>
      </w:r>
      <w:r w:rsidRPr="00C12204">
        <w:rPr>
          <w:rFonts w:ascii="Arial" w:hAnsi="Arial" w:cs="Arial"/>
          <w:i/>
          <w:sz w:val="22"/>
          <w:szCs w:val="22"/>
          <w:lang w:val="en-US"/>
        </w:rPr>
        <w:t>Debt Composition, y Sovereign Spreads in Emerging y Advanced Economies</w:t>
      </w:r>
      <w:r w:rsidRPr="00C12204">
        <w:rPr>
          <w:rFonts w:ascii="Arial" w:hAnsi="Arial" w:cs="Arial"/>
          <w:sz w:val="22"/>
          <w:szCs w:val="22"/>
          <w:lang w:val="en-US"/>
        </w:rPr>
        <w:t>. Harvard's Center for International Development. Working Paper N</w:t>
      </w:r>
      <w:r>
        <w:rPr>
          <w:rFonts w:ascii="Arial" w:hAnsi="Arial" w:cs="Arial"/>
          <w:sz w:val="22"/>
          <w:szCs w:val="22"/>
          <w:lang w:val="en-US"/>
        </w:rPr>
        <w:t>o</w:t>
      </w:r>
      <w:r w:rsidRPr="00C12204">
        <w:rPr>
          <w:rFonts w:ascii="Arial" w:hAnsi="Arial" w:cs="Arial"/>
          <w:sz w:val="22"/>
          <w:szCs w:val="22"/>
          <w:lang w:val="en-US"/>
        </w:rPr>
        <w:t>. 263.</w:t>
      </w:r>
    </w:p>
    <w:p w14:paraId="19C19D75" w14:textId="7CF74B5B" w:rsidR="00A70C19" w:rsidRPr="00544884" w:rsidRDefault="00A70C19" w:rsidP="00D3506A">
      <w:pPr>
        <w:spacing w:after="60" w:line="276" w:lineRule="auto"/>
        <w:ind w:left="720" w:hanging="720"/>
        <w:jc w:val="both"/>
        <w:rPr>
          <w:rFonts w:ascii="Arial" w:hAnsi="Arial" w:cs="Arial"/>
          <w:sz w:val="22"/>
          <w:szCs w:val="22"/>
          <w:lang w:val="en-US"/>
        </w:rPr>
      </w:pPr>
      <w:r w:rsidRPr="00C12204">
        <w:rPr>
          <w:rFonts w:ascii="Arial" w:hAnsi="Arial" w:cs="Arial"/>
          <w:sz w:val="22"/>
          <w:szCs w:val="22"/>
          <w:lang w:val="en-US"/>
        </w:rPr>
        <w:lastRenderedPageBreak/>
        <w:t xml:space="preserve">FMI. 2011. </w:t>
      </w:r>
      <w:r w:rsidRPr="00C12204">
        <w:rPr>
          <w:rFonts w:ascii="Arial" w:hAnsi="Arial" w:cs="Arial"/>
          <w:i/>
          <w:sz w:val="22"/>
          <w:szCs w:val="22"/>
          <w:lang w:val="en-US"/>
        </w:rPr>
        <w:t>Modernizing the Framework for Fiscal Policy y Public Debt Sustainability Analysis.</w:t>
      </w:r>
      <w:r w:rsidRPr="00C12204">
        <w:rPr>
          <w:rFonts w:ascii="Arial" w:hAnsi="Arial" w:cs="Arial"/>
          <w:sz w:val="22"/>
          <w:szCs w:val="22"/>
          <w:lang w:val="en-US"/>
        </w:rPr>
        <w:t xml:space="preserve"> </w:t>
      </w:r>
      <w:r w:rsidRPr="005F5F9C">
        <w:rPr>
          <w:rFonts w:ascii="Arial" w:hAnsi="Arial" w:cs="Arial"/>
          <w:sz w:val="22"/>
          <w:szCs w:val="22"/>
          <w:lang w:val="en-US"/>
        </w:rPr>
        <w:t>Agosto 2011, Washington, D.C. Disponible en:</w:t>
      </w:r>
      <w:r w:rsidR="009027B3">
        <w:rPr>
          <w:rFonts w:ascii="Arial" w:hAnsi="Arial" w:cs="Arial"/>
          <w:sz w:val="22"/>
          <w:szCs w:val="22"/>
          <w:lang w:val="en-US"/>
        </w:rPr>
        <w:t xml:space="preserve"> </w:t>
      </w:r>
      <w:hyperlink r:id="rId23" w:history="1">
        <w:r w:rsidRPr="005F5F9C">
          <w:rPr>
            <w:rStyle w:val="Hyperlink"/>
            <w:rFonts w:ascii="Arial" w:hAnsi="Arial" w:cs="Arial"/>
            <w:sz w:val="22"/>
            <w:szCs w:val="22"/>
            <w:lang w:val="en-US"/>
          </w:rPr>
          <w:t>http://www.imf.org/external/np/pp/eng/2011/080511.pdf</w:t>
        </w:r>
      </w:hyperlink>
      <w:r w:rsidRPr="005F5F9C">
        <w:rPr>
          <w:rFonts w:ascii="Arial" w:hAnsi="Arial" w:cs="Arial"/>
          <w:sz w:val="22"/>
          <w:szCs w:val="22"/>
          <w:lang w:val="en-US"/>
        </w:rPr>
        <w:t xml:space="preserve"> </w:t>
      </w:r>
    </w:p>
    <w:p w14:paraId="20EEF83B" w14:textId="4BEBA179" w:rsidR="00F9723D" w:rsidRPr="00E465A2" w:rsidRDefault="00F9723D" w:rsidP="00F9723D">
      <w:pPr>
        <w:spacing w:after="60" w:line="276" w:lineRule="auto"/>
        <w:ind w:left="720" w:hanging="720"/>
        <w:jc w:val="both"/>
        <w:rPr>
          <w:rFonts w:ascii="Arial" w:hAnsi="Arial" w:cs="Arial"/>
          <w:sz w:val="22"/>
          <w:szCs w:val="22"/>
          <w:lang w:val="en-US"/>
        </w:rPr>
      </w:pPr>
      <w:r w:rsidRPr="00A70C19">
        <w:rPr>
          <w:rFonts w:ascii="Arial" w:hAnsi="Arial" w:cs="Arial"/>
          <w:sz w:val="22"/>
          <w:szCs w:val="22"/>
          <w:lang w:val="en-US"/>
        </w:rPr>
        <w:t xml:space="preserve">FMI. 2012. </w:t>
      </w:r>
      <w:r w:rsidRPr="00E465A2">
        <w:rPr>
          <w:rFonts w:ascii="Arial" w:hAnsi="Arial" w:cs="Arial"/>
          <w:i/>
          <w:sz w:val="22"/>
          <w:szCs w:val="22"/>
          <w:lang w:val="en-US"/>
        </w:rPr>
        <w:t>World Economic Outlook October 2012</w:t>
      </w:r>
      <w:r w:rsidRPr="00E465A2">
        <w:rPr>
          <w:rFonts w:ascii="Arial" w:hAnsi="Arial" w:cs="Arial"/>
          <w:sz w:val="22"/>
          <w:szCs w:val="22"/>
          <w:lang w:val="en-US"/>
        </w:rPr>
        <w:t xml:space="preserve">. </w:t>
      </w:r>
      <w:r w:rsidR="00917BA7" w:rsidRPr="00301AA2">
        <w:rPr>
          <w:rFonts w:ascii="Arial" w:hAnsi="Arial" w:cs="Arial"/>
          <w:sz w:val="22"/>
          <w:szCs w:val="22"/>
          <w:lang w:val="en-US"/>
        </w:rPr>
        <w:t xml:space="preserve">Washington, D.C.: </w:t>
      </w:r>
      <w:r w:rsidRPr="00E465A2">
        <w:rPr>
          <w:rFonts w:ascii="Arial" w:hAnsi="Arial" w:cs="Arial"/>
          <w:sz w:val="22"/>
          <w:szCs w:val="22"/>
          <w:lang w:val="en-US"/>
        </w:rPr>
        <w:t>FMI.</w:t>
      </w:r>
    </w:p>
    <w:p w14:paraId="53395D67" w14:textId="27BC97BB" w:rsidR="00486375" w:rsidRPr="00E465A2" w:rsidRDefault="00486375" w:rsidP="00486375">
      <w:pPr>
        <w:spacing w:after="60" w:line="276" w:lineRule="auto"/>
        <w:ind w:left="720" w:hanging="720"/>
        <w:jc w:val="both"/>
        <w:rPr>
          <w:rFonts w:ascii="Arial" w:hAnsi="Arial" w:cs="Arial"/>
          <w:sz w:val="22"/>
          <w:szCs w:val="22"/>
          <w:lang w:val="en-US"/>
        </w:rPr>
      </w:pPr>
      <w:r w:rsidRPr="00E465A2">
        <w:rPr>
          <w:rFonts w:ascii="Arial" w:hAnsi="Arial" w:cs="Arial"/>
          <w:sz w:val="22"/>
          <w:szCs w:val="22"/>
          <w:lang w:val="en-US"/>
        </w:rPr>
        <w:t>FMI</w:t>
      </w:r>
      <w:r w:rsidR="00F9723D" w:rsidRPr="00E465A2">
        <w:rPr>
          <w:rFonts w:ascii="Arial" w:hAnsi="Arial" w:cs="Arial"/>
          <w:sz w:val="22"/>
          <w:szCs w:val="22"/>
          <w:lang w:val="en-US"/>
        </w:rPr>
        <w:t xml:space="preserve">. </w:t>
      </w:r>
      <w:r w:rsidRPr="00E465A2">
        <w:rPr>
          <w:rFonts w:ascii="Arial" w:hAnsi="Arial" w:cs="Arial"/>
          <w:sz w:val="22"/>
          <w:szCs w:val="22"/>
          <w:lang w:val="en-US"/>
        </w:rPr>
        <w:t xml:space="preserve">2014. </w:t>
      </w:r>
      <w:r w:rsidRPr="00E465A2">
        <w:rPr>
          <w:rFonts w:ascii="Arial" w:hAnsi="Arial" w:cs="Arial"/>
          <w:i/>
          <w:sz w:val="22"/>
          <w:szCs w:val="22"/>
          <w:lang w:val="en-US"/>
        </w:rPr>
        <w:t>Revised guidelines for public debt management</w:t>
      </w:r>
      <w:r w:rsidR="003B1AED" w:rsidRPr="00E465A2">
        <w:rPr>
          <w:rFonts w:ascii="Arial" w:hAnsi="Arial" w:cs="Arial"/>
          <w:sz w:val="22"/>
          <w:szCs w:val="22"/>
          <w:lang w:val="en-US"/>
        </w:rPr>
        <w:t>.</w:t>
      </w:r>
      <w:r w:rsidRPr="00E465A2">
        <w:rPr>
          <w:rFonts w:ascii="Arial" w:hAnsi="Arial" w:cs="Arial"/>
          <w:sz w:val="22"/>
          <w:szCs w:val="22"/>
          <w:lang w:val="en-US"/>
        </w:rPr>
        <w:t xml:space="preserve"> IMF Policy Paper.</w:t>
      </w:r>
    </w:p>
    <w:p w14:paraId="5AC124FD" w14:textId="252DFFEF" w:rsidR="00486375" w:rsidRPr="00E465A2" w:rsidRDefault="00486375" w:rsidP="00486375">
      <w:pPr>
        <w:spacing w:after="60" w:line="276" w:lineRule="auto"/>
        <w:ind w:left="720" w:hanging="720"/>
        <w:jc w:val="both"/>
        <w:rPr>
          <w:rFonts w:ascii="Arial" w:hAnsi="Arial" w:cs="Arial"/>
          <w:sz w:val="22"/>
          <w:szCs w:val="22"/>
          <w:lang w:val="en-US"/>
        </w:rPr>
      </w:pPr>
      <w:r w:rsidRPr="00E465A2">
        <w:rPr>
          <w:rFonts w:ascii="Arial" w:hAnsi="Arial" w:cs="Arial"/>
          <w:sz w:val="22"/>
          <w:szCs w:val="22"/>
          <w:lang w:val="en-US"/>
        </w:rPr>
        <w:t>FMI</w:t>
      </w:r>
      <w:r w:rsidR="00F9723D" w:rsidRPr="00E465A2">
        <w:rPr>
          <w:rFonts w:ascii="Arial" w:hAnsi="Arial" w:cs="Arial"/>
          <w:sz w:val="22"/>
          <w:szCs w:val="22"/>
          <w:lang w:val="en-US"/>
        </w:rPr>
        <w:t xml:space="preserve">. </w:t>
      </w:r>
      <w:r w:rsidRPr="00E465A2">
        <w:rPr>
          <w:rFonts w:ascii="Arial" w:hAnsi="Arial" w:cs="Arial"/>
          <w:sz w:val="22"/>
          <w:szCs w:val="22"/>
          <w:lang w:val="en-US"/>
        </w:rPr>
        <w:t xml:space="preserve">2015. </w:t>
      </w:r>
      <w:r w:rsidRPr="00E465A2">
        <w:rPr>
          <w:rFonts w:ascii="Arial" w:hAnsi="Arial" w:cs="Arial"/>
          <w:i/>
          <w:sz w:val="22"/>
          <w:szCs w:val="22"/>
          <w:lang w:val="en-US"/>
        </w:rPr>
        <w:t>Making Public Investment More Efficient</w:t>
      </w:r>
      <w:r w:rsidRPr="00E465A2">
        <w:rPr>
          <w:rFonts w:ascii="Arial" w:hAnsi="Arial" w:cs="Arial"/>
          <w:sz w:val="22"/>
          <w:szCs w:val="22"/>
          <w:lang w:val="en-US"/>
        </w:rPr>
        <w:t>. IMF Policy Papers Series.</w:t>
      </w:r>
    </w:p>
    <w:p w14:paraId="4AED8BCA" w14:textId="563B2DC9" w:rsidR="006A7CCC" w:rsidRPr="00301AA2" w:rsidRDefault="006A7CCC" w:rsidP="006A7CCC">
      <w:pPr>
        <w:spacing w:after="60" w:line="276" w:lineRule="auto"/>
        <w:ind w:left="720" w:hanging="720"/>
        <w:jc w:val="both"/>
        <w:rPr>
          <w:rFonts w:ascii="Arial" w:hAnsi="Arial" w:cs="Arial"/>
          <w:sz w:val="22"/>
          <w:szCs w:val="22"/>
          <w:lang w:val="es-419"/>
        </w:rPr>
      </w:pPr>
      <w:r w:rsidRPr="00301AA2">
        <w:rPr>
          <w:rFonts w:ascii="Arial" w:hAnsi="Arial" w:cs="Arial"/>
          <w:sz w:val="22"/>
          <w:szCs w:val="22"/>
          <w:lang w:val="en-US"/>
        </w:rPr>
        <w:t xml:space="preserve">Hallerberg, M., C. Scartascini, y E. Stein. </w:t>
      </w:r>
      <w:r w:rsidRPr="006A7CCC">
        <w:rPr>
          <w:rFonts w:ascii="Arial" w:hAnsi="Arial" w:cs="Arial"/>
          <w:sz w:val="22"/>
          <w:szCs w:val="22"/>
          <w:lang w:val="en-US"/>
        </w:rPr>
        <w:t xml:space="preserve">2009a. </w:t>
      </w:r>
      <w:r w:rsidRPr="006A7CCC">
        <w:rPr>
          <w:rFonts w:ascii="Arial" w:hAnsi="Arial" w:cs="Arial"/>
          <w:i/>
          <w:sz w:val="22"/>
          <w:szCs w:val="22"/>
          <w:lang w:val="en-US"/>
        </w:rPr>
        <w:t>Who Decides the Budget? A Political Economy Analysis of the Budget Process in Latin America</w:t>
      </w:r>
      <w:r w:rsidRPr="006A7CCC">
        <w:rPr>
          <w:rFonts w:ascii="Arial" w:hAnsi="Arial" w:cs="Arial"/>
          <w:sz w:val="22"/>
          <w:szCs w:val="22"/>
          <w:lang w:val="en-US"/>
        </w:rPr>
        <w:t xml:space="preserve">. </w:t>
      </w:r>
      <w:r w:rsidRPr="00301AA2">
        <w:rPr>
          <w:rFonts w:ascii="Arial" w:hAnsi="Arial" w:cs="Arial"/>
          <w:sz w:val="22"/>
          <w:szCs w:val="22"/>
          <w:lang w:val="es-419"/>
        </w:rPr>
        <w:t>Cambridge, MA: Harvard University Press.</w:t>
      </w:r>
    </w:p>
    <w:p w14:paraId="54CD19A0" w14:textId="15F4E252" w:rsidR="00F67CE3" w:rsidRDefault="00F67CE3" w:rsidP="00F67CE3">
      <w:pPr>
        <w:spacing w:after="60" w:line="276" w:lineRule="auto"/>
        <w:ind w:left="720" w:hanging="720"/>
        <w:jc w:val="both"/>
        <w:rPr>
          <w:rFonts w:ascii="Arial" w:hAnsi="Arial" w:cs="Arial"/>
          <w:sz w:val="22"/>
          <w:szCs w:val="22"/>
          <w:lang w:val="en-US"/>
        </w:rPr>
      </w:pPr>
      <w:r w:rsidRPr="00F67CE3">
        <w:rPr>
          <w:rFonts w:ascii="Arial" w:hAnsi="Arial" w:cs="Arial"/>
          <w:sz w:val="22"/>
          <w:szCs w:val="22"/>
          <w:lang w:val="es-419"/>
        </w:rPr>
        <w:t xml:space="preserve">Infrascope (2017). </w:t>
      </w:r>
      <w:r w:rsidRPr="00F67CE3">
        <w:rPr>
          <w:rFonts w:ascii="Arial" w:hAnsi="Arial" w:cs="Arial"/>
          <w:i/>
          <w:sz w:val="22"/>
          <w:szCs w:val="22"/>
          <w:lang w:val="es-419"/>
        </w:rPr>
        <w:t>Evaluando el entorno para las asociaciones público</w:t>
      </w:r>
      <w:r>
        <w:rPr>
          <w:rFonts w:ascii="Arial" w:hAnsi="Arial" w:cs="Arial"/>
          <w:i/>
          <w:sz w:val="22"/>
          <w:szCs w:val="22"/>
          <w:lang w:val="es-419"/>
        </w:rPr>
        <w:t>-</w:t>
      </w:r>
      <w:r w:rsidRPr="00F67CE3">
        <w:rPr>
          <w:rFonts w:ascii="Arial" w:hAnsi="Arial" w:cs="Arial"/>
          <w:i/>
          <w:sz w:val="22"/>
          <w:szCs w:val="22"/>
          <w:lang w:val="es-419"/>
        </w:rPr>
        <w:t>privadas para América Latina y el Caribe</w:t>
      </w:r>
      <w:r w:rsidRPr="00F67CE3">
        <w:rPr>
          <w:rFonts w:ascii="Arial" w:hAnsi="Arial" w:cs="Arial"/>
          <w:sz w:val="22"/>
          <w:szCs w:val="22"/>
          <w:lang w:val="es-419"/>
        </w:rPr>
        <w:t xml:space="preserve">. </w:t>
      </w:r>
      <w:r w:rsidRPr="00F67CE3">
        <w:rPr>
          <w:rFonts w:ascii="Arial" w:hAnsi="Arial" w:cs="Arial"/>
          <w:sz w:val="22"/>
          <w:szCs w:val="22"/>
          <w:lang w:val="en-US"/>
        </w:rPr>
        <w:t xml:space="preserve">The Economist Intelligence Unit. </w:t>
      </w:r>
    </w:p>
    <w:p w14:paraId="125F91A9" w14:textId="33792FC9" w:rsidR="00A17FE9" w:rsidRDefault="00A17FE9">
      <w:pPr>
        <w:spacing w:after="60" w:line="276" w:lineRule="auto"/>
        <w:ind w:left="720" w:hanging="720"/>
        <w:jc w:val="both"/>
        <w:rPr>
          <w:rFonts w:ascii="Arial" w:hAnsi="Arial" w:cs="Arial"/>
          <w:sz w:val="22"/>
          <w:szCs w:val="22"/>
          <w:lang w:val="en-US"/>
        </w:rPr>
      </w:pPr>
      <w:r w:rsidRPr="00A17FE9">
        <w:rPr>
          <w:rFonts w:ascii="Arial" w:hAnsi="Arial" w:cs="Arial"/>
          <w:sz w:val="22"/>
          <w:szCs w:val="22"/>
          <w:lang w:val="en-US"/>
        </w:rPr>
        <w:t>Laubach, T. 2003</w:t>
      </w:r>
      <w:r>
        <w:rPr>
          <w:rFonts w:ascii="Arial" w:hAnsi="Arial" w:cs="Arial"/>
          <w:sz w:val="22"/>
          <w:szCs w:val="22"/>
          <w:lang w:val="en-US"/>
        </w:rPr>
        <w:t xml:space="preserve">. </w:t>
      </w:r>
      <w:r w:rsidRPr="00A17FE9">
        <w:rPr>
          <w:rFonts w:ascii="Arial" w:hAnsi="Arial" w:cs="Arial"/>
          <w:i/>
          <w:sz w:val="22"/>
          <w:szCs w:val="22"/>
          <w:lang w:val="en-US"/>
        </w:rPr>
        <w:t>New Evidence on the Interest Rate Effects of Budget Deficits y Debt</w:t>
      </w:r>
      <w:r>
        <w:rPr>
          <w:rFonts w:ascii="Arial" w:hAnsi="Arial" w:cs="Arial"/>
          <w:i/>
          <w:sz w:val="22"/>
          <w:szCs w:val="22"/>
          <w:lang w:val="en-US"/>
        </w:rPr>
        <w:t>.</w:t>
      </w:r>
      <w:r w:rsidRPr="00A17FE9">
        <w:rPr>
          <w:rFonts w:ascii="Arial" w:hAnsi="Arial" w:cs="Arial"/>
          <w:sz w:val="22"/>
          <w:szCs w:val="22"/>
          <w:lang w:val="en-US"/>
        </w:rPr>
        <w:t xml:space="preserve"> Federal Reserve Board Finance y Economics Discussion Series, Vol. 12.</w:t>
      </w:r>
    </w:p>
    <w:p w14:paraId="2D6D6321" w14:textId="3439397F" w:rsidR="00155EEA" w:rsidRPr="00F608D4" w:rsidRDefault="00C2392C">
      <w:pPr>
        <w:spacing w:after="60" w:line="276" w:lineRule="auto"/>
        <w:ind w:left="720" w:hanging="720"/>
        <w:jc w:val="both"/>
        <w:rPr>
          <w:rFonts w:ascii="Arial" w:hAnsi="Arial" w:cs="Arial"/>
          <w:sz w:val="22"/>
          <w:szCs w:val="22"/>
          <w:lang w:val="es-419"/>
        </w:rPr>
      </w:pPr>
      <w:r w:rsidRPr="00F608D4">
        <w:rPr>
          <w:rFonts w:ascii="Arial" w:hAnsi="Arial" w:cs="Arial"/>
          <w:sz w:val="22"/>
          <w:szCs w:val="22"/>
          <w:lang w:val="en-US"/>
        </w:rPr>
        <w:t xml:space="preserve">Lee, S.; Park, H.; Seo, M.; y Shin, Y. 2017. </w:t>
      </w:r>
      <w:r w:rsidRPr="00F608D4">
        <w:rPr>
          <w:rFonts w:ascii="Arial" w:hAnsi="Arial" w:cs="Arial"/>
          <w:i/>
          <w:sz w:val="22"/>
          <w:szCs w:val="22"/>
          <w:lang w:val="en-US"/>
        </w:rPr>
        <w:t>Testing for a debt-threshold effect on output growth</w:t>
      </w:r>
      <w:r w:rsidRPr="00F608D4">
        <w:rPr>
          <w:rFonts w:ascii="Arial" w:hAnsi="Arial" w:cs="Arial"/>
          <w:sz w:val="22"/>
          <w:szCs w:val="22"/>
          <w:lang w:val="en-US"/>
        </w:rPr>
        <w:t xml:space="preserve">. </w:t>
      </w:r>
      <w:r w:rsidRPr="00F608D4">
        <w:rPr>
          <w:rFonts w:ascii="Arial" w:hAnsi="Arial" w:cs="Arial"/>
          <w:sz w:val="22"/>
          <w:szCs w:val="22"/>
          <w:lang w:val="es-419"/>
        </w:rPr>
        <w:t xml:space="preserve">Fiscal studies. 2017 Dec, 38(4):701-717. </w:t>
      </w:r>
    </w:p>
    <w:p w14:paraId="237AE5D9" w14:textId="3612EA34" w:rsidR="00E00BCA" w:rsidRPr="00E00BCA" w:rsidRDefault="00E00BCA" w:rsidP="00D3506A">
      <w:pPr>
        <w:spacing w:after="60" w:line="276" w:lineRule="auto"/>
        <w:ind w:left="720" w:hanging="720"/>
        <w:jc w:val="both"/>
        <w:rPr>
          <w:rFonts w:ascii="Arial" w:hAnsi="Arial" w:cs="Arial"/>
          <w:sz w:val="22"/>
          <w:szCs w:val="22"/>
          <w:lang w:val="es-MX"/>
        </w:rPr>
      </w:pPr>
      <w:r w:rsidRPr="00E00BCA">
        <w:rPr>
          <w:rFonts w:ascii="Arial" w:hAnsi="Arial" w:cs="Arial"/>
          <w:sz w:val="22"/>
          <w:szCs w:val="22"/>
          <w:lang w:val="es-MX"/>
        </w:rPr>
        <w:t>Moreno de Azevedo Sánchez</w:t>
      </w:r>
      <w:r>
        <w:rPr>
          <w:rFonts w:ascii="Arial" w:hAnsi="Arial" w:cs="Arial"/>
          <w:sz w:val="22"/>
          <w:szCs w:val="22"/>
          <w:lang w:val="es-MX"/>
        </w:rPr>
        <w:t xml:space="preserve">, E. 2016. </w:t>
      </w:r>
      <w:r>
        <w:rPr>
          <w:rFonts w:ascii="Arial" w:hAnsi="Arial" w:cs="Arial"/>
          <w:i/>
          <w:sz w:val="22"/>
          <w:szCs w:val="22"/>
          <w:lang w:val="es-MX"/>
        </w:rPr>
        <w:t>Gestión de empresas públicas: Las ventajas de los modelos centralizados</w:t>
      </w:r>
      <w:r>
        <w:rPr>
          <w:rFonts w:ascii="Arial" w:hAnsi="Arial" w:cs="Arial"/>
          <w:sz w:val="22"/>
          <w:szCs w:val="22"/>
          <w:lang w:val="es-MX"/>
        </w:rPr>
        <w:t xml:space="preserve">. </w:t>
      </w:r>
      <w:r w:rsidRPr="00E00BCA">
        <w:rPr>
          <w:rFonts w:ascii="Arial" w:hAnsi="Arial" w:cs="Arial"/>
          <w:sz w:val="22"/>
          <w:szCs w:val="22"/>
          <w:lang w:val="es-419"/>
        </w:rPr>
        <w:t>Documento para Discusión No. IDB-DP-</w:t>
      </w:r>
      <w:r>
        <w:rPr>
          <w:rFonts w:ascii="Arial" w:hAnsi="Arial" w:cs="Arial"/>
          <w:sz w:val="22"/>
          <w:szCs w:val="22"/>
          <w:lang w:val="es-419"/>
        </w:rPr>
        <w:t>454</w:t>
      </w:r>
      <w:r w:rsidRPr="00E00BCA">
        <w:rPr>
          <w:rFonts w:ascii="Arial" w:hAnsi="Arial" w:cs="Arial"/>
          <w:sz w:val="22"/>
          <w:szCs w:val="22"/>
          <w:lang w:val="es-419"/>
        </w:rPr>
        <w:t>.</w:t>
      </w:r>
      <w:r w:rsidR="009027B3">
        <w:rPr>
          <w:rFonts w:ascii="Arial" w:hAnsi="Arial" w:cs="Arial"/>
          <w:sz w:val="22"/>
          <w:szCs w:val="22"/>
          <w:lang w:val="es-419"/>
        </w:rPr>
        <w:t xml:space="preserve"> </w:t>
      </w:r>
      <w:r w:rsidRPr="00E00BCA">
        <w:rPr>
          <w:rFonts w:ascii="Arial" w:hAnsi="Arial" w:cs="Arial"/>
          <w:sz w:val="22"/>
          <w:szCs w:val="22"/>
          <w:lang w:val="es-419"/>
        </w:rPr>
        <w:t>Washington, D.C.: BID.</w:t>
      </w:r>
    </w:p>
    <w:p w14:paraId="452C3A07" w14:textId="35E4BEDD" w:rsidR="002E65BE" w:rsidRDefault="002E65BE" w:rsidP="00D3506A">
      <w:pPr>
        <w:spacing w:after="60" w:line="276" w:lineRule="auto"/>
        <w:ind w:left="720" w:hanging="720"/>
        <w:jc w:val="both"/>
        <w:rPr>
          <w:rFonts w:ascii="Arial" w:hAnsi="Arial" w:cs="Arial"/>
          <w:sz w:val="22"/>
          <w:szCs w:val="22"/>
          <w:lang w:val="en-US"/>
        </w:rPr>
      </w:pPr>
      <w:r w:rsidRPr="002E65BE">
        <w:rPr>
          <w:rFonts w:ascii="Arial" w:hAnsi="Arial" w:cs="Arial"/>
          <w:sz w:val="22"/>
          <w:szCs w:val="22"/>
          <w:lang w:val="es-MX"/>
        </w:rPr>
        <w:t xml:space="preserve">Panizza, U., y A. Presbitero. </w:t>
      </w:r>
      <w:r w:rsidRPr="002E65BE">
        <w:rPr>
          <w:rFonts w:ascii="Arial" w:hAnsi="Arial" w:cs="Arial"/>
          <w:sz w:val="22"/>
          <w:szCs w:val="22"/>
          <w:lang w:val="en-US"/>
        </w:rPr>
        <w:t>2012.</w:t>
      </w:r>
      <w:r w:rsidRPr="002E65BE">
        <w:rPr>
          <w:rFonts w:ascii="Arial" w:hAnsi="Arial" w:cs="Arial"/>
          <w:i/>
          <w:sz w:val="22"/>
          <w:szCs w:val="22"/>
          <w:lang w:val="en-US"/>
        </w:rPr>
        <w:t xml:space="preserve"> Public Debt and Economic Growth: Is There a Causal Effect? </w:t>
      </w:r>
      <w:r w:rsidRPr="002E65BE">
        <w:rPr>
          <w:rFonts w:ascii="Arial" w:hAnsi="Arial" w:cs="Arial"/>
          <w:sz w:val="22"/>
          <w:szCs w:val="22"/>
          <w:lang w:val="en-US"/>
        </w:rPr>
        <w:t>MoFiR Working Paper No. 65.</w:t>
      </w:r>
    </w:p>
    <w:p w14:paraId="248E7E90" w14:textId="2DE9422C" w:rsidR="005F57CF" w:rsidRDefault="005F57CF" w:rsidP="00D3506A">
      <w:pPr>
        <w:spacing w:after="60" w:line="276" w:lineRule="auto"/>
        <w:ind w:left="720" w:hanging="720"/>
        <w:jc w:val="both"/>
        <w:rPr>
          <w:rFonts w:ascii="Arial" w:hAnsi="Arial" w:cs="Arial"/>
          <w:sz w:val="22"/>
          <w:szCs w:val="22"/>
          <w:lang w:val="en-US"/>
        </w:rPr>
      </w:pPr>
      <w:r w:rsidRPr="005F57CF">
        <w:rPr>
          <w:rFonts w:ascii="Arial" w:hAnsi="Arial" w:cs="Arial"/>
          <w:sz w:val="22"/>
          <w:szCs w:val="22"/>
          <w:lang w:val="en-US"/>
        </w:rPr>
        <w:t xml:space="preserve">Schaechter, A., T. Kinda, N. Budina, y A. Weber. 2012. </w:t>
      </w:r>
      <w:r w:rsidRPr="005F57CF">
        <w:rPr>
          <w:rFonts w:ascii="Arial" w:hAnsi="Arial" w:cs="Arial"/>
          <w:i/>
          <w:sz w:val="22"/>
          <w:szCs w:val="22"/>
          <w:lang w:val="en-US"/>
        </w:rPr>
        <w:t>Fiscal Rules in Response to the Crisis: Toward the “Next-Generation” Rules. A New Dataset</w:t>
      </w:r>
      <w:r w:rsidRPr="005F57CF">
        <w:rPr>
          <w:rFonts w:ascii="Arial" w:hAnsi="Arial" w:cs="Arial"/>
          <w:sz w:val="22"/>
          <w:szCs w:val="22"/>
          <w:lang w:val="en-US"/>
        </w:rPr>
        <w:t>. Documento de trabajo WP/12/187. Washington, D.C.: FMI.</w:t>
      </w:r>
    </w:p>
    <w:p w14:paraId="689C6022" w14:textId="0EAFA862" w:rsidR="00217444" w:rsidRPr="005F5F9C" w:rsidRDefault="00217444" w:rsidP="00D3506A">
      <w:pPr>
        <w:spacing w:after="60" w:line="276" w:lineRule="auto"/>
        <w:ind w:left="720" w:hanging="720"/>
        <w:jc w:val="both"/>
        <w:rPr>
          <w:rFonts w:ascii="Arial" w:hAnsi="Arial" w:cs="Arial"/>
          <w:sz w:val="22"/>
          <w:szCs w:val="22"/>
          <w:lang w:val="en-US"/>
        </w:rPr>
      </w:pPr>
      <w:r w:rsidRPr="00217444">
        <w:rPr>
          <w:rFonts w:ascii="Arial" w:hAnsi="Arial" w:cs="Arial"/>
          <w:sz w:val="22"/>
          <w:szCs w:val="22"/>
          <w:lang w:val="en-US"/>
        </w:rPr>
        <w:t xml:space="preserve">Ter-Minassian, T. 2010. </w:t>
      </w:r>
      <w:r w:rsidRPr="00217444">
        <w:rPr>
          <w:rFonts w:ascii="Arial" w:hAnsi="Arial" w:cs="Arial"/>
          <w:i/>
          <w:sz w:val="22"/>
          <w:szCs w:val="22"/>
          <w:lang w:val="en-US"/>
        </w:rPr>
        <w:t>Preconditions for a successful introduction of structural balance-based rules in Latin America and the Caribbean: a framework paper</w:t>
      </w:r>
      <w:r w:rsidRPr="00217444">
        <w:rPr>
          <w:rFonts w:ascii="Arial" w:hAnsi="Arial" w:cs="Arial"/>
          <w:sz w:val="22"/>
          <w:szCs w:val="22"/>
          <w:lang w:val="en-US"/>
        </w:rPr>
        <w:t xml:space="preserve">. </w:t>
      </w:r>
      <w:r w:rsidRPr="005F5F9C">
        <w:rPr>
          <w:rFonts w:ascii="Arial" w:hAnsi="Arial" w:cs="Arial"/>
          <w:sz w:val="22"/>
          <w:szCs w:val="22"/>
          <w:lang w:val="en-US"/>
        </w:rPr>
        <w:t>Docu</w:t>
      </w:r>
      <w:r w:rsidRPr="00544884">
        <w:rPr>
          <w:rFonts w:ascii="Arial" w:hAnsi="Arial" w:cs="Arial"/>
          <w:sz w:val="22"/>
          <w:szCs w:val="22"/>
          <w:lang w:val="en-US"/>
        </w:rPr>
        <w:t xml:space="preserve">mento </w:t>
      </w:r>
      <w:r w:rsidR="007537A0" w:rsidRPr="005F5F9C">
        <w:rPr>
          <w:rFonts w:ascii="Arial" w:hAnsi="Arial" w:cs="Arial"/>
          <w:sz w:val="22"/>
          <w:szCs w:val="22"/>
          <w:lang w:val="en-US"/>
        </w:rPr>
        <w:t xml:space="preserve">para Discusión No. </w:t>
      </w:r>
      <w:r w:rsidRPr="005F5F9C">
        <w:rPr>
          <w:rFonts w:ascii="Arial" w:hAnsi="Arial" w:cs="Arial"/>
          <w:sz w:val="22"/>
          <w:szCs w:val="22"/>
          <w:lang w:val="en-US"/>
        </w:rPr>
        <w:t>IDB-DP-157.</w:t>
      </w:r>
      <w:r w:rsidR="009027B3">
        <w:rPr>
          <w:rFonts w:ascii="Arial" w:hAnsi="Arial" w:cs="Arial"/>
          <w:sz w:val="22"/>
          <w:szCs w:val="22"/>
          <w:lang w:val="en-US"/>
        </w:rPr>
        <w:t xml:space="preserve"> </w:t>
      </w:r>
      <w:r w:rsidRPr="005F5F9C">
        <w:rPr>
          <w:rFonts w:ascii="Arial" w:hAnsi="Arial" w:cs="Arial"/>
          <w:sz w:val="22"/>
          <w:szCs w:val="22"/>
          <w:lang w:val="en-US"/>
        </w:rPr>
        <w:t>Washington, D.C.: BID.</w:t>
      </w:r>
    </w:p>
    <w:p w14:paraId="3DEEF5C6" w14:textId="532605A3" w:rsidR="00486375" w:rsidRPr="00865DD5" w:rsidRDefault="00C87176" w:rsidP="00486375">
      <w:pPr>
        <w:spacing w:after="60" w:line="276" w:lineRule="auto"/>
        <w:ind w:left="720" w:hanging="720"/>
        <w:jc w:val="both"/>
        <w:rPr>
          <w:rFonts w:ascii="Arial" w:hAnsi="Arial" w:cs="Arial"/>
          <w:color w:val="FF0000"/>
          <w:sz w:val="22"/>
          <w:szCs w:val="22"/>
          <w:lang w:val="en-US"/>
        </w:rPr>
      </w:pPr>
      <w:r w:rsidRPr="00C87176">
        <w:rPr>
          <w:rFonts w:ascii="Arial" w:hAnsi="Arial" w:cs="Arial"/>
          <w:sz w:val="22"/>
          <w:szCs w:val="22"/>
          <w:lang w:val="en-US"/>
        </w:rPr>
        <w:t xml:space="preserve">Ter-Minassian, T. 2015. </w:t>
      </w:r>
      <w:r w:rsidRPr="002E65BE">
        <w:rPr>
          <w:rFonts w:ascii="Arial" w:hAnsi="Arial" w:cs="Arial"/>
          <w:i/>
          <w:sz w:val="22"/>
          <w:szCs w:val="22"/>
          <w:lang w:val="en-US"/>
        </w:rPr>
        <w:t>Fiscal Policy and Economic Growth: An Overview of Theory and Empirical Evidence</w:t>
      </w:r>
      <w:r w:rsidRPr="00C87176">
        <w:rPr>
          <w:rFonts w:ascii="Arial" w:hAnsi="Arial" w:cs="Arial"/>
          <w:sz w:val="22"/>
          <w:szCs w:val="22"/>
          <w:lang w:val="en-US"/>
        </w:rPr>
        <w:t xml:space="preserve">. </w:t>
      </w:r>
      <w:r w:rsidRPr="00865DD5">
        <w:rPr>
          <w:rFonts w:ascii="Arial" w:hAnsi="Arial" w:cs="Arial"/>
          <w:sz w:val="22"/>
          <w:szCs w:val="22"/>
          <w:lang w:val="en-US"/>
        </w:rPr>
        <w:t>Mimeo.</w:t>
      </w:r>
      <w:r w:rsidR="00486375" w:rsidRPr="00865DD5">
        <w:rPr>
          <w:rFonts w:ascii="Arial" w:hAnsi="Arial" w:cs="Arial"/>
          <w:color w:val="FF0000"/>
          <w:sz w:val="22"/>
          <w:szCs w:val="22"/>
          <w:lang w:val="en-US"/>
        </w:rPr>
        <w:t xml:space="preserve"> </w:t>
      </w:r>
    </w:p>
    <w:p w14:paraId="7930FC3A" w14:textId="03DB62C4" w:rsidR="0002162E" w:rsidRPr="0002162E" w:rsidRDefault="0002162E" w:rsidP="0002162E">
      <w:pPr>
        <w:spacing w:after="60" w:line="276" w:lineRule="auto"/>
        <w:ind w:left="720" w:hanging="720"/>
        <w:jc w:val="both"/>
        <w:rPr>
          <w:rFonts w:ascii="Arial" w:hAnsi="Arial" w:cs="Arial"/>
          <w:color w:val="FF0000"/>
          <w:sz w:val="22"/>
          <w:szCs w:val="22"/>
          <w:lang w:val="es-419"/>
        </w:rPr>
      </w:pPr>
      <w:r w:rsidRPr="00C87176">
        <w:rPr>
          <w:rFonts w:ascii="Arial" w:hAnsi="Arial" w:cs="Arial"/>
          <w:sz w:val="22"/>
          <w:szCs w:val="22"/>
          <w:lang w:val="en-US"/>
        </w:rPr>
        <w:t>Ter-Minassian, T. 201</w:t>
      </w:r>
      <w:r>
        <w:rPr>
          <w:rFonts w:ascii="Arial" w:hAnsi="Arial" w:cs="Arial"/>
          <w:sz w:val="22"/>
          <w:szCs w:val="22"/>
          <w:lang w:val="en-US"/>
        </w:rPr>
        <w:t>7</w:t>
      </w:r>
      <w:r w:rsidRPr="00C87176">
        <w:rPr>
          <w:rFonts w:ascii="Arial" w:hAnsi="Arial" w:cs="Arial"/>
          <w:sz w:val="22"/>
          <w:szCs w:val="22"/>
          <w:lang w:val="en-US"/>
        </w:rPr>
        <w:t xml:space="preserve">. </w:t>
      </w:r>
      <w:r>
        <w:rPr>
          <w:rFonts w:ascii="Arial" w:hAnsi="Arial" w:cs="Arial"/>
          <w:i/>
          <w:sz w:val="22"/>
          <w:szCs w:val="22"/>
          <w:lang w:val="en-US"/>
        </w:rPr>
        <w:t>Identifying and Mitigating Fiscal Risks from State-Owned Enterprises (SOEs)</w:t>
      </w:r>
      <w:r w:rsidRPr="00C87176">
        <w:rPr>
          <w:rFonts w:ascii="Arial" w:hAnsi="Arial" w:cs="Arial"/>
          <w:sz w:val="22"/>
          <w:szCs w:val="22"/>
          <w:lang w:val="en-US"/>
        </w:rPr>
        <w:t xml:space="preserve">. </w:t>
      </w:r>
      <w:r w:rsidRPr="0002162E">
        <w:rPr>
          <w:rFonts w:ascii="Arial" w:hAnsi="Arial" w:cs="Arial"/>
          <w:sz w:val="22"/>
          <w:szCs w:val="22"/>
          <w:lang w:val="es-419"/>
        </w:rPr>
        <w:t>Documento para Discusión No. IDB-DP-546.</w:t>
      </w:r>
      <w:r w:rsidR="009027B3">
        <w:rPr>
          <w:rFonts w:ascii="Arial" w:hAnsi="Arial" w:cs="Arial"/>
          <w:color w:val="FF0000"/>
          <w:sz w:val="22"/>
          <w:szCs w:val="22"/>
          <w:lang w:val="es-419"/>
        </w:rPr>
        <w:t xml:space="preserve"> </w:t>
      </w:r>
      <w:r w:rsidRPr="0002162E">
        <w:rPr>
          <w:rFonts w:ascii="Arial" w:hAnsi="Arial" w:cs="Arial"/>
          <w:sz w:val="22"/>
          <w:szCs w:val="22"/>
          <w:lang w:val="es-419"/>
        </w:rPr>
        <w:t>Washington, D.C.: BID.</w:t>
      </w:r>
    </w:p>
    <w:p w14:paraId="3070FE1F" w14:textId="77777777" w:rsidR="00D3506A" w:rsidRPr="0002162E" w:rsidRDefault="00D3506A" w:rsidP="00C87176">
      <w:pPr>
        <w:spacing w:after="60" w:line="276" w:lineRule="auto"/>
        <w:ind w:left="720" w:hanging="720"/>
        <w:jc w:val="both"/>
        <w:rPr>
          <w:rFonts w:ascii="Arial" w:hAnsi="Arial" w:cs="Arial"/>
          <w:color w:val="FF0000"/>
          <w:sz w:val="22"/>
          <w:szCs w:val="22"/>
          <w:lang w:val="es-419"/>
        </w:rPr>
      </w:pPr>
    </w:p>
    <w:sectPr w:rsidR="00D3506A" w:rsidRPr="0002162E">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77160" w14:textId="77777777" w:rsidR="0081554F" w:rsidRDefault="0081554F">
      <w:r>
        <w:separator/>
      </w:r>
    </w:p>
  </w:endnote>
  <w:endnote w:type="continuationSeparator" w:id="0">
    <w:p w14:paraId="6FDB0886" w14:textId="77777777" w:rsidR="0081554F" w:rsidRDefault="0081554F">
      <w:r>
        <w:continuationSeparator/>
      </w:r>
    </w:p>
  </w:endnote>
  <w:endnote w:type="continuationNotice" w:id="1">
    <w:p w14:paraId="5F3D1993" w14:textId="77777777" w:rsidR="0081554F" w:rsidRDefault="008155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005FA" w14:textId="77777777" w:rsidR="008F3940" w:rsidRDefault="008F3940">
    <w:pPr>
      <w:pStyle w:val="Footer"/>
      <w:framePr w:wrap="around" w:vAnchor="text" w:hAnchor="margin" w:xAlign="right" w:y="1"/>
      <w:rPr>
        <w:rStyle w:val="PageNumber"/>
      </w:rPr>
    </w:pPr>
  </w:p>
  <w:p w14:paraId="5B11EC9C" w14:textId="77777777" w:rsidR="008F3940" w:rsidRDefault="008F39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968F4" w14:textId="77777777" w:rsidR="008F3940" w:rsidRDefault="008F39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6A46C" w14:textId="77777777" w:rsidR="008F3940" w:rsidRDefault="008F3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5A059" w14:textId="77777777" w:rsidR="0081554F" w:rsidRDefault="0081554F">
      <w:r>
        <w:separator/>
      </w:r>
    </w:p>
  </w:footnote>
  <w:footnote w:type="continuationSeparator" w:id="0">
    <w:p w14:paraId="757ED419" w14:textId="77777777" w:rsidR="0081554F" w:rsidRDefault="0081554F">
      <w:r>
        <w:continuationSeparator/>
      </w:r>
    </w:p>
  </w:footnote>
  <w:footnote w:type="continuationNotice" w:id="1">
    <w:p w14:paraId="7877F49B" w14:textId="77777777" w:rsidR="0081554F" w:rsidRDefault="0081554F"/>
  </w:footnote>
  <w:footnote w:id="2">
    <w:p w14:paraId="6B2A0899" w14:textId="3AE27DD2" w:rsidR="008F3940" w:rsidRPr="00417D9A" w:rsidRDefault="008F3940" w:rsidP="00890044">
      <w:pPr>
        <w:pStyle w:val="FootnoteText"/>
        <w:rPr>
          <w:rFonts w:ascii="Arial" w:hAnsi="Arial" w:cs="Arial"/>
          <w:sz w:val="18"/>
          <w:szCs w:val="18"/>
          <w:lang w:val="es-ES"/>
        </w:rPr>
      </w:pPr>
      <w:r w:rsidRPr="00417D9A">
        <w:rPr>
          <w:rStyle w:val="FootnoteReference"/>
          <w:rFonts w:ascii="Arial" w:hAnsi="Arial" w:cs="Arial"/>
          <w:sz w:val="18"/>
          <w:szCs w:val="18"/>
        </w:rPr>
        <w:footnoteRef/>
      </w:r>
      <w:r w:rsidRPr="00417D9A">
        <w:rPr>
          <w:rFonts w:ascii="Arial" w:hAnsi="Arial" w:cs="Arial"/>
          <w:sz w:val="18"/>
          <w:szCs w:val="18"/>
          <w:lang w:val="es-ES"/>
        </w:rPr>
        <w:t xml:space="preserve"> </w:t>
      </w:r>
      <w:r>
        <w:rPr>
          <w:rFonts w:ascii="Arial" w:hAnsi="Arial" w:cs="Arial"/>
          <w:sz w:val="18"/>
          <w:szCs w:val="18"/>
          <w:lang w:val="es-ES"/>
        </w:rPr>
        <w:tab/>
      </w:r>
      <w:r w:rsidRPr="00417D9A">
        <w:rPr>
          <w:rFonts w:ascii="Arial" w:hAnsi="Arial" w:cs="Arial"/>
          <w:sz w:val="18"/>
          <w:szCs w:val="18"/>
          <w:lang w:val="es-ES"/>
        </w:rPr>
        <w:t>Lineamientos de la OECD sobre Propiedad y Gobierno Corporativo de EE.PP, son un conjunto de principios y prácticas de administración de las EEPP que los países de la OECD promueven para ser aplicados por los Gobiernos. Su objetivo es el mejor funcionamiento del Estado en general y de un óptimo desempeño de las EEPP. Directrices de la OCDE sobre el Gobierno Corporativo de las Empresas Públicas, Edición 2015, Éditions OCDE.</w:t>
      </w:r>
    </w:p>
  </w:footnote>
  <w:footnote w:id="3">
    <w:p w14:paraId="14E7B10B" w14:textId="77777777" w:rsidR="008F3940" w:rsidRPr="000A0DD4" w:rsidRDefault="008F3940" w:rsidP="00E61175">
      <w:pPr>
        <w:pStyle w:val="FootnoteText"/>
        <w:ind w:left="270" w:hanging="270"/>
        <w:rPr>
          <w:rFonts w:ascii="Arial" w:hAnsi="Arial" w:cs="Arial"/>
          <w:sz w:val="18"/>
          <w:szCs w:val="18"/>
        </w:rPr>
      </w:pPr>
      <w:r w:rsidRPr="000A0DD4">
        <w:rPr>
          <w:rStyle w:val="FootnoteReference"/>
          <w:rFonts w:ascii="Arial" w:hAnsi="Arial" w:cs="Arial"/>
          <w:sz w:val="18"/>
          <w:szCs w:val="18"/>
        </w:rPr>
        <w:footnoteRef/>
      </w:r>
      <w:r w:rsidRPr="000A0DD4">
        <w:rPr>
          <w:rFonts w:ascii="Arial" w:hAnsi="Arial" w:cs="Arial"/>
          <w:sz w:val="18"/>
          <w:szCs w:val="18"/>
        </w:rPr>
        <w:t xml:space="preserve"> </w:t>
      </w:r>
      <w:r w:rsidRPr="000A0DD4">
        <w:rPr>
          <w:rFonts w:ascii="Arial" w:hAnsi="Arial" w:cs="Arial"/>
          <w:sz w:val="18"/>
          <w:szCs w:val="18"/>
        </w:rPr>
        <w:tab/>
        <w:t>Se estableció el año base como 2017 debido a que algunos productos se cumplieron en 2018.</w:t>
      </w:r>
    </w:p>
  </w:footnote>
  <w:footnote w:id="4">
    <w:p w14:paraId="4D39FADE" w14:textId="728AE1BE" w:rsidR="008F3940" w:rsidRPr="009F301A" w:rsidRDefault="008F3940" w:rsidP="009F301A">
      <w:pPr>
        <w:pStyle w:val="FootnoteText"/>
        <w:spacing w:after="0"/>
        <w:contextualSpacing/>
        <w:rPr>
          <w:rFonts w:ascii="Arial" w:hAnsi="Arial" w:cs="Arial"/>
          <w:sz w:val="18"/>
          <w:szCs w:val="18"/>
          <w:lang w:val="es-419"/>
        </w:rPr>
      </w:pPr>
      <w:r w:rsidRPr="009F301A">
        <w:rPr>
          <w:rStyle w:val="FootnoteReference"/>
          <w:rFonts w:ascii="Arial" w:hAnsi="Arial" w:cs="Arial"/>
          <w:sz w:val="18"/>
          <w:szCs w:val="18"/>
        </w:rPr>
        <w:footnoteRef/>
      </w:r>
      <w:r w:rsidRPr="009F301A">
        <w:rPr>
          <w:rFonts w:ascii="Arial" w:hAnsi="Arial" w:cs="Arial"/>
          <w:sz w:val="18"/>
          <w:szCs w:val="18"/>
          <w:lang w:val="es-419"/>
        </w:rPr>
        <w:t xml:space="preserve"> </w:t>
      </w:r>
      <w:r>
        <w:rPr>
          <w:rFonts w:ascii="Arial" w:hAnsi="Arial" w:cs="Arial"/>
          <w:sz w:val="18"/>
          <w:szCs w:val="18"/>
          <w:lang w:val="es-419"/>
        </w:rPr>
        <w:tab/>
      </w:r>
      <w:r w:rsidRPr="009F301A">
        <w:rPr>
          <w:rFonts w:ascii="Arial" w:hAnsi="Arial" w:cs="Arial"/>
          <w:sz w:val="18"/>
          <w:szCs w:val="18"/>
          <w:lang w:val="es-419"/>
        </w:rPr>
        <w:t>Ter-Minassian, T (2015).</w:t>
      </w:r>
    </w:p>
  </w:footnote>
  <w:footnote w:id="5">
    <w:p w14:paraId="4459F702" w14:textId="7ECC40C1" w:rsidR="008F3940" w:rsidRPr="009F301A" w:rsidRDefault="008F3940" w:rsidP="009F301A">
      <w:pPr>
        <w:pStyle w:val="FootnoteText"/>
        <w:spacing w:after="0"/>
        <w:contextualSpacing/>
        <w:rPr>
          <w:rFonts w:ascii="Arial" w:hAnsi="Arial" w:cs="Arial"/>
          <w:sz w:val="18"/>
          <w:szCs w:val="18"/>
          <w:lang w:val="es-419"/>
        </w:rPr>
      </w:pPr>
      <w:r w:rsidRPr="009F301A">
        <w:rPr>
          <w:rStyle w:val="FootnoteReference"/>
          <w:rFonts w:ascii="Arial" w:hAnsi="Arial" w:cs="Arial"/>
          <w:sz w:val="18"/>
          <w:szCs w:val="18"/>
        </w:rPr>
        <w:footnoteRef/>
      </w:r>
      <w:r w:rsidRPr="009F301A">
        <w:rPr>
          <w:rFonts w:ascii="Arial" w:hAnsi="Arial" w:cs="Arial"/>
          <w:sz w:val="18"/>
          <w:szCs w:val="18"/>
          <w:lang w:val="es-419"/>
        </w:rPr>
        <w:t xml:space="preserve"> </w:t>
      </w:r>
      <w:r>
        <w:rPr>
          <w:rFonts w:ascii="Arial" w:hAnsi="Arial" w:cs="Arial"/>
          <w:sz w:val="18"/>
          <w:szCs w:val="18"/>
          <w:lang w:val="es-419"/>
        </w:rPr>
        <w:tab/>
      </w:r>
      <w:r w:rsidRPr="009F301A">
        <w:rPr>
          <w:rFonts w:ascii="Arial" w:hAnsi="Arial" w:cs="Arial"/>
          <w:sz w:val="18"/>
          <w:szCs w:val="18"/>
          <w:lang w:val="es-419"/>
        </w:rPr>
        <w:t>Panizza, U., y A. Presbitero (2012).</w:t>
      </w:r>
    </w:p>
  </w:footnote>
  <w:footnote w:id="6">
    <w:p w14:paraId="4A65D1D5" w14:textId="7CDD38FA" w:rsidR="008F3940" w:rsidRPr="009F301A" w:rsidRDefault="008F3940" w:rsidP="009F301A">
      <w:pPr>
        <w:pStyle w:val="FootnoteText"/>
        <w:spacing w:after="0"/>
        <w:contextualSpacing/>
        <w:rPr>
          <w:rFonts w:ascii="Arial" w:hAnsi="Arial" w:cs="Arial"/>
          <w:sz w:val="18"/>
          <w:szCs w:val="18"/>
          <w:lang w:val="es-419"/>
        </w:rPr>
      </w:pPr>
      <w:r w:rsidRPr="009F301A">
        <w:rPr>
          <w:rStyle w:val="FootnoteReference"/>
          <w:rFonts w:ascii="Arial" w:hAnsi="Arial" w:cs="Arial"/>
          <w:sz w:val="18"/>
          <w:szCs w:val="18"/>
        </w:rPr>
        <w:footnoteRef/>
      </w:r>
      <w:r w:rsidRPr="009F301A">
        <w:rPr>
          <w:rFonts w:ascii="Arial" w:hAnsi="Arial" w:cs="Arial"/>
          <w:sz w:val="18"/>
          <w:szCs w:val="18"/>
          <w:lang w:val="es-419"/>
        </w:rPr>
        <w:t xml:space="preserve"> </w:t>
      </w:r>
      <w:r>
        <w:rPr>
          <w:rFonts w:ascii="Arial" w:hAnsi="Arial" w:cs="Arial"/>
          <w:sz w:val="18"/>
          <w:szCs w:val="18"/>
          <w:lang w:val="es-419"/>
        </w:rPr>
        <w:tab/>
      </w:r>
      <w:r w:rsidRPr="009F301A">
        <w:rPr>
          <w:rFonts w:ascii="Arial" w:hAnsi="Arial" w:cs="Arial"/>
          <w:sz w:val="18"/>
          <w:szCs w:val="18"/>
          <w:lang w:val="es-419"/>
        </w:rPr>
        <w:t>FMI (2012).</w:t>
      </w:r>
    </w:p>
  </w:footnote>
  <w:footnote w:id="7">
    <w:p w14:paraId="3F2FA482" w14:textId="4DDFBB3E" w:rsidR="008F3940" w:rsidRPr="009F301A" w:rsidRDefault="008F3940" w:rsidP="009F301A">
      <w:pPr>
        <w:pStyle w:val="FootnoteText"/>
        <w:spacing w:after="0"/>
        <w:contextualSpacing/>
        <w:rPr>
          <w:rFonts w:ascii="Arial" w:hAnsi="Arial" w:cs="Arial"/>
          <w:sz w:val="18"/>
          <w:szCs w:val="18"/>
          <w:lang w:val="es-419"/>
        </w:rPr>
      </w:pPr>
      <w:r w:rsidRPr="009F301A">
        <w:rPr>
          <w:rStyle w:val="FootnoteReference"/>
          <w:rFonts w:ascii="Arial" w:hAnsi="Arial" w:cs="Arial"/>
          <w:sz w:val="18"/>
          <w:szCs w:val="18"/>
        </w:rPr>
        <w:footnoteRef/>
      </w:r>
      <w:r w:rsidRPr="009F301A">
        <w:rPr>
          <w:rFonts w:ascii="Arial" w:hAnsi="Arial" w:cs="Arial"/>
          <w:sz w:val="18"/>
          <w:szCs w:val="18"/>
        </w:rPr>
        <w:t xml:space="preserve"> </w:t>
      </w:r>
      <w:r>
        <w:rPr>
          <w:rFonts w:ascii="Arial" w:hAnsi="Arial" w:cs="Arial"/>
          <w:sz w:val="18"/>
          <w:szCs w:val="18"/>
        </w:rPr>
        <w:tab/>
      </w:r>
      <w:r w:rsidRPr="009F301A">
        <w:rPr>
          <w:rFonts w:ascii="Arial" w:hAnsi="Arial" w:cs="Arial"/>
          <w:sz w:val="18"/>
          <w:szCs w:val="18"/>
        </w:rPr>
        <w:t>Cespedes, L., y A. Velasco (</w:t>
      </w:r>
      <w:r w:rsidRPr="009F301A">
        <w:rPr>
          <w:rFonts w:ascii="Arial" w:hAnsi="Arial" w:cs="Arial"/>
          <w:sz w:val="18"/>
          <w:szCs w:val="18"/>
          <w:lang w:val="es-419"/>
        </w:rPr>
        <w:t>2014).</w:t>
      </w:r>
    </w:p>
  </w:footnote>
  <w:footnote w:id="8">
    <w:p w14:paraId="21C6D7AF" w14:textId="1B1F0D12" w:rsidR="008F3940" w:rsidRPr="009F301A" w:rsidRDefault="008F3940" w:rsidP="009F301A">
      <w:pPr>
        <w:pStyle w:val="FootnoteText"/>
        <w:spacing w:after="0"/>
        <w:contextualSpacing/>
        <w:rPr>
          <w:rFonts w:ascii="Arial" w:hAnsi="Arial" w:cs="Arial"/>
          <w:sz w:val="18"/>
          <w:szCs w:val="18"/>
          <w:lang w:val="es-419"/>
        </w:rPr>
      </w:pPr>
      <w:r w:rsidRPr="009F301A">
        <w:rPr>
          <w:rStyle w:val="FootnoteReference"/>
          <w:rFonts w:ascii="Arial" w:hAnsi="Arial" w:cs="Arial"/>
          <w:sz w:val="18"/>
          <w:szCs w:val="18"/>
        </w:rPr>
        <w:footnoteRef/>
      </w:r>
      <w:r w:rsidRPr="009F301A">
        <w:rPr>
          <w:rFonts w:ascii="Arial" w:hAnsi="Arial" w:cs="Arial"/>
          <w:sz w:val="18"/>
          <w:szCs w:val="18"/>
          <w:lang w:val="fr-FR"/>
        </w:rPr>
        <w:t xml:space="preserve"> </w:t>
      </w:r>
      <w:r>
        <w:rPr>
          <w:rFonts w:ascii="Arial" w:hAnsi="Arial" w:cs="Arial"/>
          <w:sz w:val="18"/>
          <w:szCs w:val="18"/>
          <w:lang w:val="fr-FR"/>
        </w:rPr>
        <w:tab/>
      </w:r>
      <w:r w:rsidRPr="009F301A">
        <w:rPr>
          <w:rFonts w:ascii="Arial" w:hAnsi="Arial" w:cs="Arial"/>
          <w:sz w:val="18"/>
          <w:szCs w:val="18"/>
          <w:lang w:val="fr-FR"/>
        </w:rPr>
        <w:t xml:space="preserve">Hallerberg, M., C. Scartascini, y E. Stein. </w:t>
      </w:r>
      <w:r w:rsidRPr="009F301A">
        <w:rPr>
          <w:rFonts w:ascii="Arial" w:hAnsi="Arial" w:cs="Arial"/>
          <w:sz w:val="18"/>
          <w:szCs w:val="18"/>
        </w:rPr>
        <w:t>(</w:t>
      </w:r>
      <w:r w:rsidRPr="009F301A">
        <w:rPr>
          <w:rFonts w:ascii="Arial" w:hAnsi="Arial" w:cs="Arial"/>
          <w:sz w:val="18"/>
          <w:szCs w:val="18"/>
          <w:lang w:val="es-419"/>
        </w:rPr>
        <w:t>2009a).</w:t>
      </w:r>
    </w:p>
  </w:footnote>
  <w:footnote w:id="9">
    <w:p w14:paraId="69D6D16E" w14:textId="11453353" w:rsidR="008F3940" w:rsidRPr="009F301A" w:rsidRDefault="008F3940" w:rsidP="009F301A">
      <w:pPr>
        <w:pStyle w:val="FootnoteText"/>
        <w:spacing w:after="0"/>
        <w:contextualSpacing/>
        <w:rPr>
          <w:rFonts w:ascii="Arial" w:hAnsi="Arial" w:cs="Arial"/>
          <w:sz w:val="18"/>
          <w:szCs w:val="18"/>
        </w:rPr>
      </w:pPr>
      <w:r w:rsidRPr="009F301A">
        <w:rPr>
          <w:rStyle w:val="FootnoteReference"/>
          <w:rFonts w:ascii="Arial" w:hAnsi="Arial" w:cs="Arial"/>
          <w:sz w:val="18"/>
          <w:szCs w:val="18"/>
        </w:rPr>
        <w:footnoteRef/>
      </w:r>
      <w:r w:rsidRPr="009F301A">
        <w:rPr>
          <w:rFonts w:ascii="Arial" w:hAnsi="Arial" w:cs="Arial"/>
          <w:sz w:val="18"/>
          <w:szCs w:val="18"/>
        </w:rPr>
        <w:t xml:space="preserve"> </w:t>
      </w:r>
      <w:r>
        <w:rPr>
          <w:rFonts w:ascii="Arial" w:hAnsi="Arial" w:cs="Arial"/>
          <w:sz w:val="18"/>
          <w:szCs w:val="18"/>
        </w:rPr>
        <w:tab/>
      </w:r>
      <w:r w:rsidRPr="009F301A">
        <w:rPr>
          <w:rFonts w:ascii="Arial" w:hAnsi="Arial" w:cs="Arial"/>
          <w:sz w:val="18"/>
          <w:szCs w:val="18"/>
        </w:rPr>
        <w:t>Por ineficiencia asignativa se entiende la asignación de los recursos públicos sin maximizar el retorno social, la equidad y el crecimiento económico.  Por su parte, la ineficiencia técnica implica que los países utilizan más recursos de los necesarios para proveer un bien o servicio de una calidad dada (Izquierdo y otros, 2018).</w:t>
      </w:r>
    </w:p>
  </w:footnote>
  <w:footnote w:id="10">
    <w:p w14:paraId="20E70F6B" w14:textId="26CEAB14" w:rsidR="008F3940" w:rsidRPr="00261753" w:rsidRDefault="008F3940" w:rsidP="009F301A">
      <w:pPr>
        <w:pStyle w:val="FootnoteText"/>
        <w:spacing w:after="0"/>
        <w:contextualSpacing/>
      </w:pPr>
      <w:r w:rsidRPr="009F301A">
        <w:rPr>
          <w:rStyle w:val="FootnoteReference"/>
          <w:rFonts w:ascii="Arial" w:hAnsi="Arial" w:cs="Arial"/>
          <w:sz w:val="18"/>
          <w:szCs w:val="18"/>
        </w:rPr>
        <w:footnoteRef/>
      </w:r>
      <w:r w:rsidRPr="009F301A">
        <w:rPr>
          <w:rFonts w:ascii="Arial" w:hAnsi="Arial" w:cs="Arial"/>
          <w:sz w:val="18"/>
          <w:szCs w:val="18"/>
        </w:rPr>
        <w:t xml:space="preserve"> </w:t>
      </w:r>
      <w:r>
        <w:rPr>
          <w:rFonts w:ascii="Arial" w:hAnsi="Arial" w:cs="Arial"/>
          <w:sz w:val="18"/>
          <w:szCs w:val="18"/>
        </w:rPr>
        <w:tab/>
      </w:r>
      <w:r w:rsidRPr="009F301A">
        <w:rPr>
          <w:rFonts w:ascii="Arial" w:hAnsi="Arial" w:cs="Arial"/>
          <w:sz w:val="18"/>
          <w:szCs w:val="18"/>
        </w:rPr>
        <w:t>Benitez y Pessino (2019).</w:t>
      </w:r>
      <w:r>
        <w:t xml:space="preserve"> </w:t>
      </w:r>
    </w:p>
  </w:footnote>
  <w:footnote w:id="11">
    <w:p w14:paraId="55EE44B0" w14:textId="39E87269" w:rsidR="008F3940" w:rsidRPr="003262DD" w:rsidRDefault="008F3940" w:rsidP="003262DD">
      <w:pPr>
        <w:pStyle w:val="FootnoteText"/>
        <w:spacing w:after="0"/>
        <w:contextualSpacing/>
        <w:rPr>
          <w:rFonts w:ascii="Arial" w:hAnsi="Arial" w:cs="Arial"/>
          <w:sz w:val="18"/>
          <w:szCs w:val="18"/>
          <w:lang w:val="es-419"/>
        </w:rPr>
      </w:pPr>
      <w:r w:rsidRPr="003262DD">
        <w:rPr>
          <w:rStyle w:val="FootnoteReference"/>
          <w:rFonts w:ascii="Arial" w:hAnsi="Arial" w:cs="Arial"/>
          <w:sz w:val="18"/>
          <w:szCs w:val="18"/>
        </w:rPr>
        <w:footnoteRef/>
      </w:r>
      <w:r w:rsidRPr="003262DD">
        <w:rPr>
          <w:rFonts w:ascii="Arial" w:hAnsi="Arial" w:cs="Arial"/>
          <w:sz w:val="18"/>
          <w:szCs w:val="18"/>
          <w:lang w:val="es-419"/>
        </w:rPr>
        <w:t xml:space="preserve"> </w:t>
      </w:r>
      <w:r>
        <w:rPr>
          <w:rFonts w:ascii="Arial" w:hAnsi="Arial" w:cs="Arial"/>
          <w:sz w:val="18"/>
          <w:szCs w:val="18"/>
          <w:lang w:val="es-419"/>
        </w:rPr>
        <w:tab/>
      </w:r>
      <w:r w:rsidRPr="003262DD">
        <w:rPr>
          <w:rFonts w:ascii="Arial" w:hAnsi="Arial" w:cs="Arial"/>
          <w:sz w:val="18"/>
          <w:szCs w:val="18"/>
          <w:lang w:val="es-419"/>
        </w:rPr>
        <w:t>Acosta-Ormachea, S., y A. Morozumi (2013).</w:t>
      </w:r>
    </w:p>
  </w:footnote>
  <w:footnote w:id="12">
    <w:p w14:paraId="7DF22196" w14:textId="257A01EF" w:rsidR="008F3940" w:rsidRPr="003262DD" w:rsidRDefault="008F3940" w:rsidP="003262DD">
      <w:pPr>
        <w:pStyle w:val="FootnoteText"/>
        <w:spacing w:after="0"/>
        <w:contextualSpacing/>
        <w:rPr>
          <w:rFonts w:ascii="Arial" w:hAnsi="Arial" w:cs="Arial"/>
          <w:sz w:val="18"/>
          <w:szCs w:val="18"/>
        </w:rPr>
      </w:pPr>
      <w:r w:rsidRPr="003262DD">
        <w:rPr>
          <w:rStyle w:val="FootnoteReference"/>
          <w:rFonts w:ascii="Arial" w:hAnsi="Arial" w:cs="Arial"/>
          <w:sz w:val="18"/>
          <w:szCs w:val="18"/>
        </w:rPr>
        <w:footnoteRef/>
      </w:r>
      <w:r w:rsidRPr="003262DD">
        <w:rPr>
          <w:rFonts w:ascii="Arial" w:hAnsi="Arial" w:cs="Arial"/>
          <w:sz w:val="18"/>
          <w:szCs w:val="18"/>
        </w:rPr>
        <w:t xml:space="preserve"> </w:t>
      </w:r>
      <w:r>
        <w:rPr>
          <w:rFonts w:ascii="Arial" w:hAnsi="Arial" w:cs="Arial"/>
          <w:sz w:val="18"/>
          <w:szCs w:val="18"/>
        </w:rPr>
        <w:tab/>
      </w:r>
      <w:r w:rsidRPr="003262DD">
        <w:rPr>
          <w:rFonts w:ascii="Arial" w:hAnsi="Arial" w:cs="Arial"/>
          <w:sz w:val="18"/>
          <w:szCs w:val="18"/>
        </w:rPr>
        <w:t>Canadá (Canadian Council for PPP, 2015) y Reino Unido (Banco Mundial, Banco Asiático de Desarrollo y BID, 2014c) destacan en el desarrollo de marco normativo, institucional e implementación de proyectos APP en infraestructura productiva y social.</w:t>
      </w:r>
    </w:p>
  </w:footnote>
  <w:footnote w:id="13">
    <w:p w14:paraId="65686D89" w14:textId="70C656E3" w:rsidR="008F3940" w:rsidRPr="003262DD" w:rsidRDefault="008F3940" w:rsidP="003262DD">
      <w:pPr>
        <w:pStyle w:val="FootnoteText"/>
        <w:spacing w:after="0"/>
        <w:contextualSpacing/>
        <w:rPr>
          <w:rFonts w:ascii="Arial" w:hAnsi="Arial" w:cs="Arial"/>
          <w:sz w:val="18"/>
          <w:szCs w:val="18"/>
          <w:lang w:val="es-419"/>
        </w:rPr>
      </w:pPr>
      <w:r w:rsidRPr="003262DD">
        <w:rPr>
          <w:rStyle w:val="FootnoteReference"/>
          <w:rFonts w:ascii="Arial" w:hAnsi="Arial" w:cs="Arial"/>
          <w:sz w:val="18"/>
          <w:szCs w:val="18"/>
        </w:rPr>
        <w:footnoteRef/>
      </w:r>
      <w:r w:rsidRPr="003262DD">
        <w:rPr>
          <w:rFonts w:ascii="Arial" w:hAnsi="Arial" w:cs="Arial"/>
          <w:sz w:val="18"/>
          <w:szCs w:val="18"/>
        </w:rPr>
        <w:t xml:space="preserve"> </w:t>
      </w:r>
      <w:r>
        <w:rPr>
          <w:rFonts w:ascii="Arial" w:hAnsi="Arial" w:cs="Arial"/>
          <w:sz w:val="18"/>
          <w:szCs w:val="18"/>
        </w:rPr>
        <w:tab/>
      </w:r>
      <w:r w:rsidRPr="003262DD">
        <w:rPr>
          <w:rFonts w:ascii="Arial" w:hAnsi="Arial" w:cs="Arial"/>
          <w:sz w:val="18"/>
          <w:szCs w:val="18"/>
        </w:rPr>
        <w:t xml:space="preserve"> otras limitantes, el informe resalta para el caso específico de Ecuador que el Comité Interinstitucional de Asociaciones Público-Privadas, creado en 2015, aún presenta debilidades técnicas que dificultan el apoyo a entidades públicas en las fases de desarrollo de los proyectos APP, la elaboración de lineamientos, manuales y metodologías específicas que guíen el proceso de evaluación (Infrascopio 2017).</w:t>
      </w:r>
    </w:p>
  </w:footnote>
  <w:footnote w:id="14">
    <w:p w14:paraId="65BBB4B3" w14:textId="040040CC" w:rsidR="008F3940" w:rsidRPr="003262DD" w:rsidRDefault="008F3940" w:rsidP="003262DD">
      <w:pPr>
        <w:pStyle w:val="FootnoteText"/>
        <w:spacing w:after="0"/>
        <w:contextualSpacing/>
        <w:rPr>
          <w:rFonts w:ascii="Arial" w:hAnsi="Arial" w:cs="Arial"/>
          <w:sz w:val="18"/>
          <w:szCs w:val="18"/>
        </w:rPr>
      </w:pPr>
      <w:r w:rsidRPr="003262DD">
        <w:rPr>
          <w:rStyle w:val="FootnoteReference"/>
          <w:rFonts w:ascii="Arial" w:hAnsi="Arial" w:cs="Arial"/>
          <w:sz w:val="18"/>
          <w:szCs w:val="18"/>
        </w:rPr>
        <w:footnoteRef/>
      </w:r>
      <w:r w:rsidRPr="003262DD">
        <w:rPr>
          <w:rFonts w:ascii="Arial" w:hAnsi="Arial" w:cs="Arial"/>
          <w:sz w:val="18"/>
          <w:szCs w:val="18"/>
        </w:rPr>
        <w:t xml:space="preserve"> </w:t>
      </w:r>
      <w:r>
        <w:rPr>
          <w:rFonts w:ascii="Arial" w:hAnsi="Arial" w:cs="Arial"/>
          <w:sz w:val="18"/>
          <w:szCs w:val="18"/>
        </w:rPr>
        <w:tab/>
      </w:r>
      <w:r w:rsidRPr="003262DD">
        <w:rPr>
          <w:rFonts w:ascii="Arial" w:hAnsi="Arial" w:cs="Arial"/>
          <w:sz w:val="18"/>
          <w:szCs w:val="18"/>
        </w:rPr>
        <w:t>Moreno de Azevedo Sánchez (2016).</w:t>
      </w:r>
    </w:p>
  </w:footnote>
  <w:footnote w:id="15">
    <w:p w14:paraId="3A3E0747" w14:textId="18C28F2E" w:rsidR="008F3940" w:rsidRPr="007770BB" w:rsidRDefault="008F3940" w:rsidP="003262DD">
      <w:pPr>
        <w:pStyle w:val="FootnoteText"/>
        <w:spacing w:after="0"/>
        <w:contextualSpacing/>
      </w:pPr>
      <w:r w:rsidRPr="003262DD">
        <w:rPr>
          <w:rStyle w:val="FootnoteReference"/>
          <w:rFonts w:ascii="Arial" w:hAnsi="Arial" w:cs="Arial"/>
          <w:sz w:val="18"/>
          <w:szCs w:val="18"/>
        </w:rPr>
        <w:footnoteRef/>
      </w:r>
      <w:r w:rsidRPr="003262DD">
        <w:rPr>
          <w:rFonts w:ascii="Arial" w:hAnsi="Arial" w:cs="Arial"/>
          <w:sz w:val="18"/>
          <w:szCs w:val="18"/>
        </w:rPr>
        <w:t xml:space="preserve">  </w:t>
      </w:r>
      <w:r>
        <w:rPr>
          <w:rFonts w:ascii="Arial" w:hAnsi="Arial" w:cs="Arial"/>
          <w:sz w:val="18"/>
          <w:szCs w:val="18"/>
        </w:rPr>
        <w:tab/>
      </w:r>
      <w:r w:rsidRPr="003262DD">
        <w:rPr>
          <w:rFonts w:ascii="Arial" w:hAnsi="Arial" w:cs="Arial"/>
          <w:sz w:val="18"/>
          <w:szCs w:val="18"/>
        </w:rPr>
        <w:t>Para una discusión amplia del tema, véase Ter-Minassian (2017).</w:t>
      </w:r>
    </w:p>
  </w:footnote>
  <w:footnote w:id="16">
    <w:p w14:paraId="208045AF" w14:textId="13DD6772" w:rsidR="008F3940" w:rsidRPr="003262DD" w:rsidRDefault="008F3940" w:rsidP="003262DD">
      <w:pPr>
        <w:pStyle w:val="FootnoteText"/>
        <w:spacing w:after="0"/>
        <w:contextualSpacing/>
        <w:rPr>
          <w:rFonts w:ascii="Arial" w:hAnsi="Arial" w:cs="Arial"/>
          <w:sz w:val="18"/>
          <w:szCs w:val="18"/>
          <w:lang w:val="es-419"/>
        </w:rPr>
      </w:pPr>
      <w:r w:rsidRPr="003262DD">
        <w:rPr>
          <w:rStyle w:val="FootnoteReference"/>
          <w:rFonts w:ascii="Arial" w:hAnsi="Arial" w:cs="Arial"/>
          <w:sz w:val="18"/>
          <w:szCs w:val="18"/>
        </w:rPr>
        <w:footnoteRef/>
      </w:r>
      <w:r w:rsidRPr="003262DD">
        <w:rPr>
          <w:rFonts w:ascii="Arial" w:hAnsi="Arial" w:cs="Arial"/>
          <w:sz w:val="18"/>
          <w:szCs w:val="18"/>
        </w:rPr>
        <w:t xml:space="preserve"> </w:t>
      </w:r>
      <w:r w:rsidR="00D712DE">
        <w:rPr>
          <w:rFonts w:ascii="Arial" w:hAnsi="Arial" w:cs="Arial"/>
          <w:sz w:val="18"/>
          <w:szCs w:val="18"/>
        </w:rPr>
        <w:tab/>
      </w:r>
      <w:r w:rsidRPr="003262DD">
        <w:rPr>
          <w:rFonts w:ascii="Arial" w:hAnsi="Arial" w:cs="Arial"/>
          <w:sz w:val="18"/>
          <w:szCs w:val="18"/>
          <w:lang w:val="es-419"/>
        </w:rPr>
        <w:t>Esta sección resume la metodología descrita en Acosta y otros (2017).</w:t>
      </w:r>
    </w:p>
  </w:footnote>
  <w:footnote w:id="17">
    <w:p w14:paraId="2ED5213F" w14:textId="2FD645A6" w:rsidR="008F3940" w:rsidRPr="00290127" w:rsidRDefault="008F3940" w:rsidP="003262DD">
      <w:pPr>
        <w:pStyle w:val="FootnoteText"/>
        <w:spacing w:after="0"/>
        <w:contextualSpacing/>
      </w:pPr>
      <w:r w:rsidRPr="003262DD">
        <w:rPr>
          <w:rStyle w:val="FootnoteReference"/>
          <w:rFonts w:ascii="Arial" w:hAnsi="Arial" w:cs="Arial"/>
          <w:sz w:val="18"/>
          <w:szCs w:val="18"/>
        </w:rPr>
        <w:footnoteRef/>
      </w:r>
      <w:r w:rsidRPr="003262DD">
        <w:rPr>
          <w:rFonts w:ascii="Arial" w:hAnsi="Arial" w:cs="Arial"/>
          <w:sz w:val="18"/>
          <w:szCs w:val="18"/>
        </w:rPr>
        <w:t xml:space="preserve"> </w:t>
      </w:r>
      <w:r w:rsidR="00D712DE">
        <w:rPr>
          <w:rFonts w:ascii="Arial" w:hAnsi="Arial" w:cs="Arial"/>
          <w:sz w:val="18"/>
          <w:szCs w:val="18"/>
        </w:rPr>
        <w:tab/>
      </w:r>
      <w:r w:rsidRPr="003262DD">
        <w:rPr>
          <w:rFonts w:ascii="Arial" w:hAnsi="Arial" w:cs="Arial"/>
          <w:sz w:val="18"/>
          <w:szCs w:val="18"/>
        </w:rPr>
        <w:t>Para la aplicación de esta metodología se utilizarán datos a nivel del SPNF.</w:t>
      </w:r>
    </w:p>
  </w:footnote>
  <w:footnote w:id="18">
    <w:p w14:paraId="446BD3CD" w14:textId="467FDD04" w:rsidR="008F3940" w:rsidRPr="003262DD" w:rsidRDefault="008F3940" w:rsidP="003262DD">
      <w:pPr>
        <w:pStyle w:val="FootnoteText"/>
        <w:spacing w:after="0"/>
        <w:contextualSpacing/>
        <w:rPr>
          <w:rFonts w:ascii="Arial" w:hAnsi="Arial" w:cs="Arial"/>
          <w:sz w:val="18"/>
          <w:szCs w:val="18"/>
        </w:rPr>
      </w:pPr>
      <w:r w:rsidRPr="003262DD">
        <w:rPr>
          <w:rStyle w:val="FootnoteReference"/>
          <w:rFonts w:ascii="Arial" w:hAnsi="Arial" w:cs="Arial"/>
          <w:sz w:val="18"/>
          <w:szCs w:val="18"/>
        </w:rPr>
        <w:footnoteRef/>
      </w:r>
      <w:r w:rsidRPr="003262DD">
        <w:rPr>
          <w:rFonts w:ascii="Arial" w:hAnsi="Arial" w:cs="Arial"/>
          <w:sz w:val="18"/>
          <w:szCs w:val="18"/>
        </w:rPr>
        <w:t xml:space="preserve"> </w:t>
      </w:r>
      <w:r>
        <w:rPr>
          <w:rFonts w:ascii="Arial" w:hAnsi="Arial" w:cs="Arial"/>
          <w:sz w:val="18"/>
          <w:szCs w:val="18"/>
        </w:rPr>
        <w:tab/>
      </w:r>
      <w:r w:rsidRPr="003262DD">
        <w:rPr>
          <w:rFonts w:ascii="Arial" w:hAnsi="Arial" w:cs="Arial"/>
          <w:sz w:val="18"/>
          <w:szCs w:val="18"/>
        </w:rPr>
        <w:t xml:space="preserve">La metodología utilizada por el Banco Interamericano de Desarrollo se describe en Borensztein et al. (2013). La metodología utilizada por el Fondo Monetario Internacional (FMI, 2011) se encuentra disponible en </w:t>
      </w:r>
      <w:hyperlink r:id="rId1" w:history="1">
        <w:r w:rsidRPr="003262DD">
          <w:rPr>
            <w:rStyle w:val="Hyperlink"/>
            <w:rFonts w:ascii="Arial" w:hAnsi="Arial" w:cs="Arial"/>
            <w:sz w:val="18"/>
            <w:szCs w:val="18"/>
          </w:rPr>
          <w:t>http://www.imf.org/external/np/pp/eng/2011/080511.pdf</w:t>
        </w:r>
      </w:hyperlink>
    </w:p>
  </w:footnote>
  <w:footnote w:id="19">
    <w:p w14:paraId="159F72B8" w14:textId="324ECE5A" w:rsidR="008F3940" w:rsidRPr="003262DD" w:rsidRDefault="008F3940" w:rsidP="003262DD">
      <w:pPr>
        <w:pStyle w:val="FootnoteText"/>
        <w:spacing w:after="0"/>
        <w:contextualSpacing/>
        <w:rPr>
          <w:rFonts w:ascii="Arial" w:hAnsi="Arial" w:cs="Arial"/>
          <w:sz w:val="18"/>
          <w:szCs w:val="18"/>
          <w:lang w:val="es-419"/>
        </w:rPr>
      </w:pPr>
      <w:r w:rsidRPr="003262DD">
        <w:rPr>
          <w:rStyle w:val="FootnoteReference"/>
          <w:rFonts w:ascii="Arial" w:hAnsi="Arial" w:cs="Arial"/>
          <w:sz w:val="18"/>
          <w:szCs w:val="18"/>
        </w:rPr>
        <w:footnoteRef/>
      </w:r>
      <w:r w:rsidRPr="003262DD">
        <w:rPr>
          <w:rFonts w:ascii="Arial" w:hAnsi="Arial" w:cs="Arial"/>
          <w:sz w:val="18"/>
          <w:szCs w:val="18"/>
        </w:rPr>
        <w:t xml:space="preserve"> </w:t>
      </w:r>
      <w:r>
        <w:rPr>
          <w:rFonts w:ascii="Arial" w:hAnsi="Arial" w:cs="Arial"/>
          <w:sz w:val="18"/>
          <w:szCs w:val="18"/>
        </w:rPr>
        <w:tab/>
      </w:r>
      <w:r w:rsidRPr="003262DD">
        <w:rPr>
          <w:rFonts w:ascii="Arial" w:hAnsi="Arial" w:cs="Arial"/>
          <w:sz w:val="18"/>
          <w:szCs w:val="18"/>
        </w:rPr>
        <w:t xml:space="preserve">Los indicadores de deuda están expresados como porcentajes del Producto Interno Bruto del año de referencia.  </w:t>
      </w:r>
      <w:r w:rsidRPr="003262DD">
        <w:rPr>
          <w:rFonts w:ascii="Arial" w:hAnsi="Arial" w:cs="Arial"/>
          <w:sz w:val="18"/>
          <w:szCs w:val="18"/>
          <w:lang w:val="es-419"/>
        </w:rPr>
        <w:t>Para el detalle de las fórmulas aquí referidas, véase Acosta y otros (2017).</w:t>
      </w:r>
    </w:p>
  </w:footnote>
  <w:footnote w:id="20">
    <w:p w14:paraId="0884898E" w14:textId="144F1BC1" w:rsidR="008F3940" w:rsidRPr="005F2F4E" w:rsidRDefault="008F3940" w:rsidP="003262DD">
      <w:pPr>
        <w:pStyle w:val="FootnoteText"/>
        <w:spacing w:after="0"/>
        <w:contextualSpacing/>
        <w:rPr>
          <w:lang w:val="es-419"/>
        </w:rPr>
      </w:pPr>
      <w:r w:rsidRPr="003262DD">
        <w:rPr>
          <w:rStyle w:val="FootnoteReference"/>
          <w:rFonts w:ascii="Arial" w:hAnsi="Arial" w:cs="Arial"/>
          <w:sz w:val="18"/>
          <w:szCs w:val="18"/>
        </w:rPr>
        <w:footnoteRef/>
      </w:r>
      <w:r w:rsidRPr="003262DD">
        <w:rPr>
          <w:rFonts w:ascii="Arial" w:hAnsi="Arial" w:cs="Arial"/>
          <w:sz w:val="18"/>
          <w:szCs w:val="18"/>
        </w:rPr>
        <w:t xml:space="preserve"> </w:t>
      </w:r>
      <w:r>
        <w:rPr>
          <w:rFonts w:ascii="Arial" w:hAnsi="Arial" w:cs="Arial"/>
          <w:sz w:val="18"/>
          <w:szCs w:val="18"/>
        </w:rPr>
        <w:tab/>
      </w:r>
      <w:r w:rsidRPr="003262DD">
        <w:rPr>
          <w:rFonts w:ascii="Arial" w:hAnsi="Arial" w:cs="Arial"/>
          <w:sz w:val="18"/>
          <w:szCs w:val="18"/>
        </w:rPr>
        <w:t>P</w:t>
      </w:r>
      <w:r w:rsidRPr="003262DD">
        <w:rPr>
          <w:rFonts w:ascii="Arial" w:hAnsi="Arial" w:cs="Arial"/>
          <w:sz w:val="18"/>
          <w:szCs w:val="18"/>
          <w:lang w:val="es-419"/>
        </w:rPr>
        <w:t>ara referencias sobre la evidencia empírica que vincula al nivel de la deuda y las tasas de interés, véase Laubach (2003) y Aisen y Hauner (2008).</w:t>
      </w:r>
    </w:p>
  </w:footnote>
  <w:footnote w:id="21">
    <w:p w14:paraId="640881AD" w14:textId="0880E3EA" w:rsidR="008F3940" w:rsidRPr="003262DD" w:rsidRDefault="008F3940" w:rsidP="003262DD">
      <w:pPr>
        <w:pStyle w:val="FootnoteText"/>
        <w:spacing w:after="0"/>
        <w:contextualSpacing/>
        <w:rPr>
          <w:rFonts w:ascii="Arial" w:hAnsi="Arial" w:cs="Arial"/>
          <w:sz w:val="18"/>
          <w:szCs w:val="18"/>
          <w:lang w:val="es-419"/>
        </w:rPr>
      </w:pPr>
      <w:r w:rsidRPr="003262DD">
        <w:rPr>
          <w:rStyle w:val="FootnoteReference"/>
          <w:rFonts w:ascii="Arial" w:hAnsi="Arial" w:cs="Arial"/>
          <w:sz w:val="18"/>
          <w:szCs w:val="18"/>
        </w:rPr>
        <w:footnoteRef/>
      </w:r>
      <w:r w:rsidRPr="003262DD">
        <w:rPr>
          <w:rFonts w:ascii="Arial" w:hAnsi="Arial" w:cs="Arial"/>
          <w:sz w:val="18"/>
          <w:szCs w:val="18"/>
        </w:rPr>
        <w:t xml:space="preserve"> </w:t>
      </w:r>
      <w:r>
        <w:rPr>
          <w:rFonts w:ascii="Arial" w:hAnsi="Arial" w:cs="Arial"/>
          <w:sz w:val="18"/>
          <w:szCs w:val="18"/>
        </w:rPr>
        <w:tab/>
      </w:r>
      <w:r w:rsidRPr="003262DD">
        <w:rPr>
          <w:rFonts w:ascii="Arial" w:hAnsi="Arial" w:cs="Arial"/>
          <w:sz w:val="18"/>
          <w:szCs w:val="18"/>
        </w:rPr>
        <w:t>Si bien la representación gráfica anterior facilita el entendimiento de la metodología, la misma no toma en consideración que parte de la deuda pública puede estar emitida a tasa fija, siendo por lo tanto insensible a cambios en los niveles de endeudamiento. En la práctica, y dado que los países cuentan en su mayoría con una proporción de su deuda emitida a tasa fija, es necesario utilizar tanto el costo promedio de la deuda como su costo marginal para calcular el efecto del cambio en el pago de intereses de la deuda (véase Acosta y otros, 2017).  Asimismo, para ambos cálculos se asume que la tasa sin programa corresponde a la tasa de interés promedio de la deuda a tasa fija emitida hasta un periodo antes del inicio del programa, mientras que la tasa de interés con el programa corresponde a la tasa promedio verificada en las emisiones de deuda durante el periodo evaluado.</w:t>
      </w:r>
    </w:p>
  </w:footnote>
  <w:footnote w:id="22">
    <w:p w14:paraId="0969B7F3" w14:textId="53B449CB" w:rsidR="008F3940" w:rsidRPr="001A7D39" w:rsidRDefault="008F3940" w:rsidP="003262DD">
      <w:pPr>
        <w:pStyle w:val="FootnoteText"/>
        <w:spacing w:after="0"/>
        <w:contextualSpacing/>
        <w:rPr>
          <w:lang w:val="es-419"/>
        </w:rPr>
      </w:pPr>
      <w:r w:rsidRPr="003262DD">
        <w:rPr>
          <w:rStyle w:val="FootnoteReference"/>
          <w:rFonts w:ascii="Arial" w:hAnsi="Arial" w:cs="Arial"/>
          <w:sz w:val="18"/>
          <w:szCs w:val="18"/>
        </w:rPr>
        <w:footnoteRef/>
      </w:r>
      <w:r w:rsidRPr="003262DD">
        <w:rPr>
          <w:rFonts w:ascii="Arial" w:hAnsi="Arial" w:cs="Arial"/>
          <w:sz w:val="18"/>
          <w:szCs w:val="18"/>
        </w:rPr>
        <w:t xml:space="preserve"> </w:t>
      </w:r>
      <w:r>
        <w:rPr>
          <w:rFonts w:ascii="Arial" w:hAnsi="Arial" w:cs="Arial"/>
          <w:sz w:val="18"/>
          <w:szCs w:val="18"/>
        </w:rPr>
        <w:tab/>
      </w:r>
      <w:r w:rsidRPr="003262DD">
        <w:rPr>
          <w:rFonts w:ascii="Arial" w:hAnsi="Arial" w:cs="Arial"/>
          <w:sz w:val="18"/>
          <w:szCs w:val="18"/>
          <w:lang w:val="es-419"/>
        </w:rPr>
        <w:t>Para las definiciones precisas de cada variable véase Acosta y otros (2017).  En la práctica, el valor estimado de la elasticidad de la tasa de interés respecto al ratio deuda-PIB proviene de estudios empíricos.  Para el presente análisis, se propone utilizar el valor reportado por Dell’Erba, Hausmann y Panizza (2013).</w:t>
      </w:r>
    </w:p>
  </w:footnote>
  <w:footnote w:id="23">
    <w:p w14:paraId="211906BA" w14:textId="7C821277" w:rsidR="008F3940" w:rsidRPr="009F301A" w:rsidRDefault="008F3940">
      <w:pPr>
        <w:pStyle w:val="FootnoteText"/>
        <w:rPr>
          <w:rFonts w:ascii="Arial" w:hAnsi="Arial" w:cs="Arial"/>
          <w:sz w:val="18"/>
          <w:szCs w:val="18"/>
          <w:lang w:val="es-419"/>
        </w:rPr>
      </w:pPr>
      <w:r w:rsidRPr="009F301A">
        <w:rPr>
          <w:rStyle w:val="FootnoteReference"/>
          <w:rFonts w:ascii="Arial" w:hAnsi="Arial" w:cs="Arial"/>
          <w:sz w:val="18"/>
          <w:szCs w:val="18"/>
        </w:rPr>
        <w:footnoteRef/>
      </w:r>
      <w:r w:rsidRPr="009F301A">
        <w:rPr>
          <w:rFonts w:ascii="Arial" w:hAnsi="Arial" w:cs="Arial"/>
          <w:sz w:val="18"/>
          <w:szCs w:val="18"/>
        </w:rPr>
        <w:t xml:space="preserve"> </w:t>
      </w:r>
      <w:r w:rsidR="00381E21">
        <w:rPr>
          <w:rFonts w:ascii="Arial" w:hAnsi="Arial" w:cs="Arial"/>
          <w:sz w:val="18"/>
          <w:szCs w:val="18"/>
        </w:rPr>
        <w:tab/>
      </w:r>
      <w:bookmarkStart w:id="16" w:name="_GoBack"/>
      <w:bookmarkEnd w:id="16"/>
      <w:r w:rsidRPr="009F301A">
        <w:rPr>
          <w:rFonts w:ascii="Arial" w:hAnsi="Arial" w:cs="Arial"/>
          <w:sz w:val="18"/>
          <w:szCs w:val="18"/>
          <w:lang w:val="es-419"/>
        </w:rPr>
        <w:t>Por servicios digitales se entienden aquellos prestados a través de internet, o de cualquier adaptación o aplicación de los protocolos, las plataformas o la tecnología utilizada por internet, u otra red, a través de la que se presten servicios similares que, por su naturaleza, estén básicamente automatizados y requieran una intervención humana mínima, independientemente del dispositivo utilizado para su descarga, visualización o utilización.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E55E" w14:textId="77777777" w:rsidR="008F3940" w:rsidRDefault="008F3940">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2A100DE2" w14:textId="77777777" w:rsidR="008F3940" w:rsidRDefault="008F3940">
    <w:pPr>
      <w:pStyle w:val="Header"/>
      <w:ind w:right="360"/>
      <w:jc w:val="both"/>
      <w:rPr>
        <w:rStyle w:val="PageNumber"/>
        <w:snapToGrid w:val="0"/>
      </w:rPr>
    </w:pPr>
    <w:r>
      <w:rPr>
        <w:rStyle w:val="PageNumber"/>
        <w:snapToGrid w:val="0"/>
      </w:rPr>
      <w:tab/>
    </w:r>
  </w:p>
  <w:p w14:paraId="44F15C8F" w14:textId="77777777" w:rsidR="008F3940" w:rsidRDefault="008F3940">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6A4D7" w14:textId="77777777" w:rsidR="008F3940" w:rsidRDefault="008F3940">
    <w:pPr>
      <w:pStyle w:val="Header"/>
      <w:jc w:val="center"/>
      <w:rPr>
        <w:rFonts w:ascii="Arial" w:hAnsi="Arial" w:cs="Arial"/>
        <w:snapToGrid w:val="0"/>
        <w:sz w:val="18"/>
      </w:rPr>
    </w:pPr>
    <w:r>
      <w:rPr>
        <w:rFonts w:ascii="Arial" w:hAnsi="Arial" w:cs="Arial"/>
        <w:snapToGrid w:val="0"/>
        <w:sz w:val="18"/>
      </w:rPr>
      <w:t xml:space="preserve">- </w:t>
    </w:r>
    <w:r>
      <w:rPr>
        <w:rFonts w:ascii="Arial" w:hAnsi="Arial" w:cs="Arial"/>
        <w:snapToGrid w:val="0"/>
        <w:sz w:val="18"/>
      </w:rPr>
      <w:fldChar w:fldCharType="begin"/>
    </w:r>
    <w:r>
      <w:rPr>
        <w:rFonts w:ascii="Arial" w:hAnsi="Arial" w:cs="Arial"/>
        <w:snapToGrid w:val="0"/>
        <w:sz w:val="18"/>
      </w:rPr>
      <w:instrText xml:space="preserve"> PAGE </w:instrText>
    </w:r>
    <w:r>
      <w:rPr>
        <w:rFonts w:ascii="Arial" w:hAnsi="Arial" w:cs="Arial"/>
        <w:snapToGrid w:val="0"/>
        <w:sz w:val="18"/>
      </w:rPr>
      <w:fldChar w:fldCharType="separate"/>
    </w:r>
    <w:r>
      <w:rPr>
        <w:rFonts w:ascii="Arial" w:hAnsi="Arial" w:cs="Arial"/>
        <w:noProof/>
        <w:snapToGrid w:val="0"/>
        <w:sz w:val="18"/>
      </w:rPr>
      <w:t>ii</w:t>
    </w:r>
    <w:r>
      <w:rPr>
        <w:rFonts w:ascii="Arial" w:hAnsi="Arial" w:cs="Arial"/>
        <w:snapToGrid w:val="0"/>
        <w:sz w:val="18"/>
      </w:rPr>
      <w:fldChar w:fldCharType="end"/>
    </w:r>
    <w:r>
      <w:rPr>
        <w:rFonts w:ascii="Arial" w:hAnsi="Arial" w:cs="Arial"/>
        <w:snapToGrid w:val="0"/>
        <w:sz w:val="18"/>
      </w:rPr>
      <w:t xml:space="preserve"> - </w:t>
    </w:r>
  </w:p>
  <w:p w14:paraId="30AE813B" w14:textId="77777777" w:rsidR="008F3940" w:rsidRDefault="008F3940">
    <w:pPr>
      <w:pStyle w:val="Header"/>
      <w:jc w:val="center"/>
    </w:pPr>
  </w:p>
  <w:p w14:paraId="31A085F5" w14:textId="77777777" w:rsidR="008F3940" w:rsidRDefault="008F3940">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18958" w14:textId="77777777" w:rsidR="008F3940" w:rsidRDefault="008F39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9276C" w14:textId="77777777" w:rsidR="008F3940" w:rsidRDefault="008F3940">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912725391"/>
      <w:docPartObj>
        <w:docPartGallery w:val="Page Numbers (Top of Page)"/>
        <w:docPartUnique/>
      </w:docPartObj>
    </w:sdtPr>
    <w:sdtEndPr>
      <w:rPr>
        <w:noProof/>
      </w:rPr>
    </w:sdtEndPr>
    <w:sdtContent>
      <w:p w14:paraId="49D5B33B" w14:textId="5CA09908" w:rsidR="008F3940" w:rsidRPr="00416162" w:rsidRDefault="008F3940">
        <w:pPr>
          <w:pStyle w:val="Header"/>
          <w:jc w:val="center"/>
          <w:rPr>
            <w:rFonts w:ascii="Arial" w:hAnsi="Arial" w:cs="Arial"/>
            <w:sz w:val="18"/>
            <w:szCs w:val="18"/>
          </w:rPr>
        </w:pPr>
        <w:r w:rsidRPr="00416162">
          <w:rPr>
            <w:rFonts w:ascii="Arial" w:hAnsi="Arial" w:cs="Arial"/>
            <w:sz w:val="18"/>
            <w:szCs w:val="18"/>
          </w:rPr>
          <w:t xml:space="preserve">- </w:t>
        </w:r>
        <w:r w:rsidRPr="00416162">
          <w:rPr>
            <w:rFonts w:ascii="Arial" w:hAnsi="Arial" w:cs="Arial"/>
            <w:sz w:val="18"/>
            <w:szCs w:val="18"/>
          </w:rPr>
          <w:fldChar w:fldCharType="begin"/>
        </w:r>
        <w:r w:rsidRPr="00416162">
          <w:rPr>
            <w:rFonts w:ascii="Arial" w:hAnsi="Arial" w:cs="Arial"/>
            <w:sz w:val="18"/>
            <w:szCs w:val="18"/>
          </w:rPr>
          <w:instrText xml:space="preserve"> PAGE   \* MERGEFORMAT </w:instrText>
        </w:r>
        <w:r w:rsidRPr="00416162">
          <w:rPr>
            <w:rFonts w:ascii="Arial" w:hAnsi="Arial" w:cs="Arial"/>
            <w:sz w:val="18"/>
            <w:szCs w:val="18"/>
          </w:rPr>
          <w:fldChar w:fldCharType="separate"/>
        </w:r>
        <w:r w:rsidRPr="00416162">
          <w:rPr>
            <w:rFonts w:ascii="Arial" w:hAnsi="Arial" w:cs="Arial"/>
            <w:noProof/>
            <w:sz w:val="18"/>
            <w:szCs w:val="18"/>
          </w:rPr>
          <w:t>2</w:t>
        </w:r>
        <w:r w:rsidRPr="00416162">
          <w:rPr>
            <w:rFonts w:ascii="Arial" w:hAnsi="Arial" w:cs="Arial"/>
            <w:noProof/>
            <w:sz w:val="18"/>
            <w:szCs w:val="18"/>
          </w:rPr>
          <w:fldChar w:fldCharType="end"/>
        </w:r>
        <w:r w:rsidRPr="00416162">
          <w:rPr>
            <w:rFonts w:ascii="Arial" w:hAnsi="Arial" w:cs="Arial"/>
            <w:noProof/>
            <w:sz w:val="18"/>
            <w:szCs w:val="18"/>
          </w:rPr>
          <w:t xml:space="preserve"> -</w:t>
        </w:r>
      </w:p>
    </w:sdtContent>
  </w:sdt>
  <w:p w14:paraId="313AF4FF" w14:textId="77777777" w:rsidR="008F3940" w:rsidRDefault="008F3940">
    <w:pPr>
      <w:pStyle w:val="Header"/>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DFED9" w14:textId="77777777" w:rsidR="008F3940" w:rsidRDefault="008F394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F5814"/>
    <w:multiLevelType w:val="multilevel"/>
    <w:tmpl w:val="C4ACA540"/>
    <w:lvl w:ilvl="0">
      <w:start w:val="1"/>
      <w:numFmt w:val="lowerLetter"/>
      <w:lvlText w:val="%1."/>
      <w:lvlJc w:val="left"/>
      <w:pPr>
        <w:ind w:left="720" w:hanging="360"/>
      </w:pPr>
      <w:rPr>
        <w:rFonts w:ascii="Arial" w:eastAsiaTheme="minorHAnsi" w:hAnsi="Arial" w:cs="Arial"/>
      </w:rPr>
    </w:lvl>
    <w:lvl w:ilvl="1">
      <w:start w:val="3"/>
      <w:numFmt w:val="decimal"/>
      <w:isLgl/>
      <w:lvlText w:val="%1.%2"/>
      <w:lvlJc w:val="left"/>
      <w:pPr>
        <w:ind w:left="732" w:hanging="372"/>
      </w:pPr>
      <w:rPr>
        <w:rFonts w:hint="default"/>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A756BB"/>
    <w:multiLevelType w:val="hybridMultilevel"/>
    <w:tmpl w:val="2FC8669E"/>
    <w:lvl w:ilvl="0" w:tplc="FDAA0A3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2FD"/>
    <w:multiLevelType w:val="hybridMultilevel"/>
    <w:tmpl w:val="9CCCD92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640368"/>
    <w:multiLevelType w:val="hybridMultilevel"/>
    <w:tmpl w:val="1D8CFA16"/>
    <w:lvl w:ilvl="0" w:tplc="A574EDD2">
      <w:start w:val="1"/>
      <w:numFmt w:val="lowerLetter"/>
      <w:lvlText w:val="%1."/>
      <w:lvlJc w:val="left"/>
      <w:pPr>
        <w:ind w:left="408" w:hanging="40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6634EF"/>
    <w:multiLevelType w:val="hybridMultilevel"/>
    <w:tmpl w:val="75B8B5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5C7DB5"/>
    <w:multiLevelType w:val="hybridMultilevel"/>
    <w:tmpl w:val="1D8CFA16"/>
    <w:lvl w:ilvl="0" w:tplc="A574EDD2">
      <w:start w:val="1"/>
      <w:numFmt w:val="lowerLetter"/>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2F73B8"/>
    <w:multiLevelType w:val="hybridMultilevel"/>
    <w:tmpl w:val="8F96F80A"/>
    <w:lvl w:ilvl="0" w:tplc="3DE84640">
      <w:start w:val="1"/>
      <w:numFmt w:val="lowerLetter"/>
      <w:lvlText w:val="%1."/>
      <w:lvlJc w:val="left"/>
      <w:pPr>
        <w:ind w:left="1092" w:hanging="360"/>
      </w:pPr>
      <w:rPr>
        <w:rFonts w:hint="default"/>
      </w:rPr>
    </w:lvl>
    <w:lvl w:ilvl="1" w:tplc="04090019" w:tentative="1">
      <w:start w:val="1"/>
      <w:numFmt w:val="lowerLetter"/>
      <w:lvlText w:val="%2."/>
      <w:lvlJc w:val="left"/>
      <w:pPr>
        <w:ind w:left="1812" w:hanging="360"/>
      </w:pPr>
    </w:lvl>
    <w:lvl w:ilvl="2" w:tplc="0409001B" w:tentative="1">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7" w15:restartNumberingAfterBreak="0">
    <w:nsid w:val="304B6AD4"/>
    <w:multiLevelType w:val="hybridMultilevel"/>
    <w:tmpl w:val="1D8CFA16"/>
    <w:lvl w:ilvl="0" w:tplc="A574EDD2">
      <w:start w:val="1"/>
      <w:numFmt w:val="lowerLetter"/>
      <w:lvlText w:val="%1."/>
      <w:lvlJc w:val="left"/>
      <w:pPr>
        <w:ind w:left="408" w:hanging="40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15:restartNumberingAfterBreak="0">
    <w:nsid w:val="33C42F03"/>
    <w:multiLevelType w:val="hybridMultilevel"/>
    <w:tmpl w:val="01B83AFE"/>
    <w:lvl w:ilvl="0" w:tplc="72DA9316">
      <w:start w:val="1"/>
      <w:numFmt w:val="decimal"/>
      <w:lvlText w:val="%1."/>
      <w:lvlJc w:val="left"/>
      <w:pPr>
        <w:ind w:left="49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90463"/>
    <w:multiLevelType w:val="multilevel"/>
    <w:tmpl w:val="4F68B60A"/>
    <w:lvl w:ilvl="0">
      <w:start w:val="1"/>
      <w:numFmt w:val="upperRoman"/>
      <w:lvlRestart w:val="0"/>
      <w:lvlText w:val="%1."/>
      <w:lvlJc w:val="center"/>
      <w:pPr>
        <w:tabs>
          <w:tab w:val="num" w:pos="2088"/>
        </w:tabs>
        <w:ind w:left="1440" w:firstLine="288"/>
      </w:pPr>
      <w:rPr>
        <w:rFonts w:hint="default"/>
        <w:b/>
        <w:i w:val="0"/>
      </w:rPr>
    </w:lvl>
    <w:lvl w:ilvl="1">
      <w:start w:val="1"/>
      <w:numFmt w:val="decimal"/>
      <w:isLgl/>
      <w:lvlText w:val="%1.%2"/>
      <w:lvlJc w:val="left"/>
      <w:pPr>
        <w:tabs>
          <w:tab w:val="num" w:pos="1926"/>
        </w:tabs>
        <w:ind w:left="1926" w:hanging="1296"/>
      </w:pPr>
      <w:rPr>
        <w:rFonts w:ascii="Arial" w:hAnsi="Arial" w:cs="Arial" w:hint="default"/>
        <w:b w:val="0"/>
        <w:color w:val="auto"/>
        <w:sz w:val="22"/>
        <w:szCs w:val="22"/>
      </w:rPr>
    </w:lvl>
    <w:lvl w:ilvl="2">
      <w:start w:val="1"/>
      <w:numFmt w:val="lowerRoman"/>
      <w:lvlText w:val="(%3)"/>
      <w:lvlJc w:val="left"/>
      <w:pPr>
        <w:tabs>
          <w:tab w:val="num" w:pos="1142"/>
        </w:tabs>
        <w:ind w:left="1142" w:hanging="432"/>
      </w:pPr>
      <w:rPr>
        <w:rFonts w:cs="Times New Roman" w:hint="default"/>
        <w:b w:val="0"/>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11" w15:restartNumberingAfterBreak="0">
    <w:nsid w:val="359B4991"/>
    <w:multiLevelType w:val="multilevel"/>
    <w:tmpl w:val="E9782DB2"/>
    <w:lvl w:ilvl="0">
      <w:start w:val="1"/>
      <w:numFmt w:val="upperRoman"/>
      <w:lvlRestart w:val="0"/>
      <w:pStyle w:val="Chapter"/>
      <w:lvlText w:val="%1."/>
      <w:lvlJc w:val="center"/>
      <w:pPr>
        <w:tabs>
          <w:tab w:val="num" w:pos="1800"/>
        </w:tabs>
        <w:ind w:left="1152" w:firstLine="288"/>
      </w:pPr>
      <w:rPr>
        <w:rFonts w:hint="default"/>
        <w:b/>
        <w:i w:val="0"/>
      </w:rPr>
    </w:lvl>
    <w:lvl w:ilvl="1">
      <w:start w:val="1"/>
      <w:numFmt w:val="decimal"/>
      <w:pStyle w:val="Paragraph"/>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pStyle w:val="subpar"/>
      <w:lvlText w:val="%3."/>
      <w:lvlJc w:val="left"/>
      <w:pPr>
        <w:tabs>
          <w:tab w:val="num" w:pos="2304"/>
        </w:tabs>
        <w:ind w:left="2304" w:hanging="432"/>
      </w:pPr>
      <w:rPr>
        <w:rFonts w:hint="default"/>
      </w:rPr>
    </w:lvl>
    <w:lvl w:ilvl="3">
      <w:start w:val="1"/>
      <w:numFmt w:val="lowerRoman"/>
      <w:pStyle w:val="SubSubPar"/>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12" w15:restartNumberingAfterBreak="0">
    <w:nsid w:val="36831083"/>
    <w:multiLevelType w:val="multilevel"/>
    <w:tmpl w:val="2FAC3D04"/>
    <w:lvl w:ilvl="0">
      <w:start w:val="1"/>
      <w:numFmt w:val="upperRoman"/>
      <w:lvlRestart w:val="0"/>
      <w:lvlText w:val="%1."/>
      <w:lvlJc w:val="center"/>
      <w:pPr>
        <w:tabs>
          <w:tab w:val="num" w:pos="2088"/>
        </w:tabs>
        <w:ind w:left="1440" w:firstLine="288"/>
      </w:pPr>
      <w:rPr>
        <w:rFonts w:hint="default"/>
        <w:b/>
        <w:i w:val="0"/>
      </w:rPr>
    </w:lvl>
    <w:lvl w:ilvl="1">
      <w:start w:val="1"/>
      <w:numFmt w:val="decimal"/>
      <w:isLgl/>
      <w:lvlText w:val="%1.%2"/>
      <w:lvlJc w:val="left"/>
      <w:pPr>
        <w:tabs>
          <w:tab w:val="num" w:pos="1926"/>
        </w:tabs>
        <w:ind w:left="1926" w:hanging="1296"/>
      </w:pPr>
      <w:rPr>
        <w:rFonts w:ascii="Arial" w:hAnsi="Arial" w:cs="Arial" w:hint="default"/>
        <w:b w:val="0"/>
        <w:color w:val="auto"/>
        <w:sz w:val="22"/>
        <w:szCs w:val="22"/>
      </w:rPr>
    </w:lvl>
    <w:lvl w:ilvl="2">
      <w:start w:val="1"/>
      <w:numFmt w:val="lowerRoman"/>
      <w:lvlText w:val="(%3)"/>
      <w:lvlJc w:val="left"/>
      <w:pPr>
        <w:tabs>
          <w:tab w:val="num" w:pos="1142"/>
        </w:tabs>
        <w:ind w:left="1142" w:hanging="432"/>
      </w:pPr>
      <w:rPr>
        <w:rFonts w:cs="Times New Roman" w:hint="default"/>
        <w:b w:val="0"/>
        <w:color w:val="auto"/>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13" w15:restartNumberingAfterBreak="0">
    <w:nsid w:val="394553BE"/>
    <w:multiLevelType w:val="hybridMultilevel"/>
    <w:tmpl w:val="1B784974"/>
    <w:lvl w:ilvl="0" w:tplc="E318A734">
      <w:start w:val="3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2D2659"/>
    <w:multiLevelType w:val="multilevel"/>
    <w:tmpl w:val="7D7472F0"/>
    <w:lvl w:ilvl="0">
      <w:start w:val="1"/>
      <w:numFmt w:val="upperRoman"/>
      <w:lvlRestart w:val="0"/>
      <w:lvlText w:val="%1."/>
      <w:lvlJc w:val="center"/>
      <w:pPr>
        <w:tabs>
          <w:tab w:val="num" w:pos="2088"/>
        </w:tabs>
        <w:ind w:left="1440" w:firstLine="288"/>
      </w:pPr>
      <w:rPr>
        <w:rFonts w:hint="default"/>
        <w:b/>
        <w:i w:val="0"/>
      </w:rPr>
    </w:lvl>
    <w:lvl w:ilvl="1">
      <w:start w:val="5"/>
      <w:numFmt w:val="decimal"/>
      <w:isLgl/>
      <w:lvlText w:val="%1.%2"/>
      <w:lvlJc w:val="left"/>
      <w:pPr>
        <w:tabs>
          <w:tab w:val="num" w:pos="2736"/>
        </w:tabs>
        <w:ind w:left="2736" w:hanging="1296"/>
      </w:pPr>
      <w:rPr>
        <w:rFonts w:hint="default"/>
        <w:b w:val="0"/>
        <w:color w:val="auto"/>
        <w:lang w:val="es-ES"/>
      </w:rPr>
    </w:lvl>
    <w:lvl w:ilvl="2">
      <w:start w:val="1"/>
      <w:numFmt w:val="lowerLetter"/>
      <w:lvlText w:val="%3."/>
      <w:lvlJc w:val="left"/>
      <w:pPr>
        <w:tabs>
          <w:tab w:val="num" w:pos="2592"/>
        </w:tabs>
        <w:ind w:left="2592" w:hanging="432"/>
      </w:pPr>
      <w:rPr>
        <w:rFonts w:hint="default"/>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15" w15:restartNumberingAfterBreak="0">
    <w:nsid w:val="40CC1B7D"/>
    <w:multiLevelType w:val="hybridMultilevel"/>
    <w:tmpl w:val="6A14DC6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46A67E8"/>
    <w:multiLevelType w:val="hybridMultilevel"/>
    <w:tmpl w:val="1D8CFA16"/>
    <w:lvl w:ilvl="0" w:tplc="A574EDD2">
      <w:start w:val="1"/>
      <w:numFmt w:val="lowerLetter"/>
      <w:lvlText w:val="%1."/>
      <w:lvlJc w:val="left"/>
      <w:pPr>
        <w:ind w:left="408" w:hanging="40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CB92935"/>
    <w:multiLevelType w:val="multilevel"/>
    <w:tmpl w:val="392CC0E4"/>
    <w:lvl w:ilvl="0">
      <w:start w:val="1"/>
      <w:numFmt w:val="none"/>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2"/>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4904E7A"/>
    <w:multiLevelType w:val="hybridMultilevel"/>
    <w:tmpl w:val="15C227D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C3C2C49"/>
    <w:multiLevelType w:val="hybridMultilevel"/>
    <w:tmpl w:val="1D8CFA16"/>
    <w:lvl w:ilvl="0" w:tplc="A574EDD2">
      <w:start w:val="1"/>
      <w:numFmt w:val="lowerLetter"/>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C91FE6"/>
    <w:multiLevelType w:val="hybridMultilevel"/>
    <w:tmpl w:val="1D8CFA16"/>
    <w:lvl w:ilvl="0" w:tplc="A574EDD2">
      <w:start w:val="1"/>
      <w:numFmt w:val="lowerLetter"/>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12563B"/>
    <w:multiLevelType w:val="hybridMultilevel"/>
    <w:tmpl w:val="1D8CFA16"/>
    <w:lvl w:ilvl="0" w:tplc="A574EDD2">
      <w:start w:val="1"/>
      <w:numFmt w:val="lowerLetter"/>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F928DC"/>
    <w:multiLevelType w:val="hybridMultilevel"/>
    <w:tmpl w:val="1D8CFA16"/>
    <w:lvl w:ilvl="0" w:tplc="A574EDD2">
      <w:start w:val="1"/>
      <w:numFmt w:val="lowerLetter"/>
      <w:lvlText w:val="%1."/>
      <w:lvlJc w:val="left"/>
      <w:pPr>
        <w:ind w:left="408" w:hanging="40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99240F1"/>
    <w:multiLevelType w:val="hybridMultilevel"/>
    <w:tmpl w:val="1CE495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14D5447"/>
    <w:multiLevelType w:val="multilevel"/>
    <w:tmpl w:val="C4ACA540"/>
    <w:lvl w:ilvl="0">
      <w:start w:val="1"/>
      <w:numFmt w:val="lowerLetter"/>
      <w:lvlText w:val="%1."/>
      <w:lvlJc w:val="left"/>
      <w:pPr>
        <w:ind w:left="720" w:hanging="360"/>
      </w:pPr>
      <w:rPr>
        <w:rFonts w:ascii="Arial" w:eastAsiaTheme="minorHAnsi" w:hAnsi="Arial" w:cs="Arial"/>
      </w:rPr>
    </w:lvl>
    <w:lvl w:ilvl="1">
      <w:start w:val="3"/>
      <w:numFmt w:val="decimal"/>
      <w:isLgl/>
      <w:lvlText w:val="%1.%2"/>
      <w:lvlJc w:val="left"/>
      <w:pPr>
        <w:ind w:left="732" w:hanging="372"/>
      </w:pPr>
      <w:rPr>
        <w:rFonts w:hint="default"/>
        <w:lang w:val="es-ES_tradn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1363A3"/>
    <w:multiLevelType w:val="hybridMultilevel"/>
    <w:tmpl w:val="1D8CFA16"/>
    <w:lvl w:ilvl="0" w:tplc="A574EDD2">
      <w:start w:val="1"/>
      <w:numFmt w:val="lowerLetter"/>
      <w:lvlText w:val="%1."/>
      <w:lvlJc w:val="left"/>
      <w:pPr>
        <w:ind w:left="768" w:hanging="4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571DAF"/>
    <w:multiLevelType w:val="multilevel"/>
    <w:tmpl w:val="75140B7C"/>
    <w:lvl w:ilvl="0">
      <w:start w:val="1"/>
      <w:numFmt w:val="upperRoman"/>
      <w:lvlRestart w:val="0"/>
      <w:lvlText w:val="%1."/>
      <w:lvlJc w:val="center"/>
      <w:pPr>
        <w:tabs>
          <w:tab w:val="num" w:pos="2088"/>
        </w:tabs>
        <w:ind w:left="1440" w:firstLine="288"/>
      </w:pPr>
      <w:rPr>
        <w:rFonts w:hint="default"/>
        <w:b/>
        <w:i w:val="0"/>
      </w:rPr>
    </w:lvl>
    <w:lvl w:ilvl="1">
      <w:start w:val="1"/>
      <w:numFmt w:val="decimal"/>
      <w:isLgl/>
      <w:lvlText w:val="%1.%2"/>
      <w:lvlJc w:val="left"/>
      <w:pPr>
        <w:tabs>
          <w:tab w:val="num" w:pos="1926"/>
        </w:tabs>
        <w:ind w:left="1926" w:hanging="1296"/>
      </w:pPr>
      <w:rPr>
        <w:rFonts w:ascii="Arial" w:hAnsi="Arial" w:cs="Arial" w:hint="default"/>
        <w:b w:val="0"/>
        <w:color w:val="auto"/>
        <w:sz w:val="22"/>
        <w:szCs w:val="22"/>
      </w:rPr>
    </w:lvl>
    <w:lvl w:ilvl="2">
      <w:start w:val="1"/>
      <w:numFmt w:val="lowerRoman"/>
      <w:lvlText w:val="(%3)"/>
      <w:lvlJc w:val="left"/>
      <w:pPr>
        <w:tabs>
          <w:tab w:val="num" w:pos="1142"/>
        </w:tabs>
        <w:ind w:left="1142" w:hanging="432"/>
      </w:pPr>
      <w:rPr>
        <w:rFonts w:cs="Times New Roman" w:hint="default"/>
        <w:b w:val="0"/>
        <w:color w:val="auto"/>
      </w:rPr>
    </w:lvl>
    <w:lvl w:ilvl="3">
      <w:start w:val="1"/>
      <w:numFmt w:val="lowerRoman"/>
      <w:lvlText w:val="%4."/>
      <w:lvlJc w:val="right"/>
      <w:pPr>
        <w:tabs>
          <w:tab w:val="num" w:pos="3024"/>
        </w:tabs>
        <w:ind w:left="3024" w:hanging="288"/>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27" w15:restartNumberingAfterBreak="0">
    <w:nsid w:val="7C1F7BFE"/>
    <w:multiLevelType w:val="hybridMultilevel"/>
    <w:tmpl w:val="005885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1"/>
  </w:num>
  <w:num w:numId="3">
    <w:abstractNumId w:val="14"/>
  </w:num>
  <w:num w:numId="4">
    <w:abstractNumId w:val="4"/>
  </w:num>
  <w:num w:numId="5">
    <w:abstractNumId w:val="18"/>
  </w:num>
  <w:num w:numId="6">
    <w:abstractNumId w:val="1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6"/>
  </w:num>
  <w:num w:numId="9">
    <w:abstractNumId w:val="21"/>
  </w:num>
  <w:num w:numId="10">
    <w:abstractNumId w:val="19"/>
  </w:num>
  <w:num w:numId="11">
    <w:abstractNumId w:val="25"/>
  </w:num>
  <w:num w:numId="12">
    <w:abstractNumId w:val="5"/>
  </w:num>
  <w:num w:numId="13">
    <w:abstractNumId w:val="1"/>
  </w:num>
  <w:num w:numId="14">
    <w:abstractNumId w:val="26"/>
  </w:num>
  <w:num w:numId="15">
    <w:abstractNumId w:val="12"/>
  </w:num>
  <w:num w:numId="16">
    <w:abstractNumId w:val="11"/>
  </w:num>
  <w:num w:numId="17">
    <w:abstractNumId w:val="17"/>
  </w:num>
  <w:num w:numId="18">
    <w:abstractNumId w:val="7"/>
  </w:num>
  <w:num w:numId="19">
    <w:abstractNumId w:val="6"/>
  </w:num>
  <w:num w:numId="20">
    <w:abstractNumId w:val="11"/>
  </w:num>
  <w:num w:numId="21">
    <w:abstractNumId w:val="11"/>
  </w:num>
  <w:num w:numId="22">
    <w:abstractNumId w:val="11"/>
  </w:num>
  <w:num w:numId="23">
    <w:abstractNumId w:val="13"/>
  </w:num>
  <w:num w:numId="24">
    <w:abstractNumId w:val="23"/>
  </w:num>
  <w:num w:numId="25">
    <w:abstractNumId w:val="15"/>
  </w:num>
  <w:num w:numId="26">
    <w:abstractNumId w:val="27"/>
  </w:num>
  <w:num w:numId="27">
    <w:abstractNumId w:val="2"/>
  </w:num>
  <w:num w:numId="28">
    <w:abstractNumId w:val="20"/>
  </w:num>
  <w:num w:numId="29">
    <w:abstractNumId w:val="22"/>
  </w:num>
  <w:num w:numId="30">
    <w:abstractNumId w:val="3"/>
  </w:num>
  <w:num w:numId="31">
    <w:abstractNumId w:val="24"/>
  </w:num>
  <w:num w:numId="32">
    <w:abstractNumId w:val="0"/>
  </w:num>
  <w:num w:numId="33">
    <w:abstractNumId w:val="9"/>
  </w:num>
  <w:num w:numId="34">
    <w:abstractNumId w:val="11"/>
  </w:num>
  <w:num w:numId="3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384491E"/>
    <w:rsid w:val="00000942"/>
    <w:rsid w:val="00001506"/>
    <w:rsid w:val="00015106"/>
    <w:rsid w:val="0002162E"/>
    <w:rsid w:val="00024403"/>
    <w:rsid w:val="000323EC"/>
    <w:rsid w:val="00036CCD"/>
    <w:rsid w:val="00037230"/>
    <w:rsid w:val="00043908"/>
    <w:rsid w:val="0004682B"/>
    <w:rsid w:val="0005107E"/>
    <w:rsid w:val="00055B47"/>
    <w:rsid w:val="00063C06"/>
    <w:rsid w:val="0006640A"/>
    <w:rsid w:val="0007120C"/>
    <w:rsid w:val="00076D7E"/>
    <w:rsid w:val="00081894"/>
    <w:rsid w:val="00087171"/>
    <w:rsid w:val="000873DC"/>
    <w:rsid w:val="00090CB8"/>
    <w:rsid w:val="00090EA8"/>
    <w:rsid w:val="00090EDA"/>
    <w:rsid w:val="000A7D5E"/>
    <w:rsid w:val="000B0EE9"/>
    <w:rsid w:val="000B39F6"/>
    <w:rsid w:val="000C44E4"/>
    <w:rsid w:val="000C7126"/>
    <w:rsid w:val="000D10BA"/>
    <w:rsid w:val="000D5FC9"/>
    <w:rsid w:val="000E0C74"/>
    <w:rsid w:val="000E1B5C"/>
    <w:rsid w:val="000F0ACD"/>
    <w:rsid w:val="000F296E"/>
    <w:rsid w:val="0010045D"/>
    <w:rsid w:val="0011157B"/>
    <w:rsid w:val="00112681"/>
    <w:rsid w:val="0011516C"/>
    <w:rsid w:val="00115272"/>
    <w:rsid w:val="00115A75"/>
    <w:rsid w:val="00123D5E"/>
    <w:rsid w:val="00124D07"/>
    <w:rsid w:val="00137C34"/>
    <w:rsid w:val="0014322D"/>
    <w:rsid w:val="00152AD0"/>
    <w:rsid w:val="00154849"/>
    <w:rsid w:val="00154D7D"/>
    <w:rsid w:val="00155EEA"/>
    <w:rsid w:val="00165FE9"/>
    <w:rsid w:val="001661E0"/>
    <w:rsid w:val="00166573"/>
    <w:rsid w:val="00166F9B"/>
    <w:rsid w:val="0016724C"/>
    <w:rsid w:val="0017029D"/>
    <w:rsid w:val="00173DFA"/>
    <w:rsid w:val="00182BEC"/>
    <w:rsid w:val="00185406"/>
    <w:rsid w:val="001865DF"/>
    <w:rsid w:val="00190FC2"/>
    <w:rsid w:val="00192188"/>
    <w:rsid w:val="001A2A88"/>
    <w:rsid w:val="001A5340"/>
    <w:rsid w:val="001A6138"/>
    <w:rsid w:val="001A7D39"/>
    <w:rsid w:val="001B08BF"/>
    <w:rsid w:val="001B1189"/>
    <w:rsid w:val="001B6BD1"/>
    <w:rsid w:val="001C220A"/>
    <w:rsid w:val="001D503E"/>
    <w:rsid w:val="001D62D7"/>
    <w:rsid w:val="001E1609"/>
    <w:rsid w:val="001E1FA3"/>
    <w:rsid w:val="001E339A"/>
    <w:rsid w:val="001F0C89"/>
    <w:rsid w:val="001F5135"/>
    <w:rsid w:val="001F548D"/>
    <w:rsid w:val="001F6FA1"/>
    <w:rsid w:val="002001CE"/>
    <w:rsid w:val="002024FE"/>
    <w:rsid w:val="00206891"/>
    <w:rsid w:val="00217444"/>
    <w:rsid w:val="0022107D"/>
    <w:rsid w:val="0022602D"/>
    <w:rsid w:val="00226106"/>
    <w:rsid w:val="002347F8"/>
    <w:rsid w:val="0024665E"/>
    <w:rsid w:val="00261753"/>
    <w:rsid w:val="002637A6"/>
    <w:rsid w:val="002647F4"/>
    <w:rsid w:val="00273FC4"/>
    <w:rsid w:val="00276239"/>
    <w:rsid w:val="00281685"/>
    <w:rsid w:val="00285C73"/>
    <w:rsid w:val="00290127"/>
    <w:rsid w:val="002913C5"/>
    <w:rsid w:val="00293656"/>
    <w:rsid w:val="002A429F"/>
    <w:rsid w:val="002A4B46"/>
    <w:rsid w:val="002B53D6"/>
    <w:rsid w:val="002C2641"/>
    <w:rsid w:val="002C55A7"/>
    <w:rsid w:val="002D1D72"/>
    <w:rsid w:val="002E0A11"/>
    <w:rsid w:val="002E12A1"/>
    <w:rsid w:val="002E3B35"/>
    <w:rsid w:val="002E65BE"/>
    <w:rsid w:val="002E726D"/>
    <w:rsid w:val="002F0764"/>
    <w:rsid w:val="002F5DCF"/>
    <w:rsid w:val="00301AA2"/>
    <w:rsid w:val="00304830"/>
    <w:rsid w:val="00307D4B"/>
    <w:rsid w:val="003108C5"/>
    <w:rsid w:val="00315F0C"/>
    <w:rsid w:val="0031701D"/>
    <w:rsid w:val="003234BB"/>
    <w:rsid w:val="00325E66"/>
    <w:rsid w:val="003262DD"/>
    <w:rsid w:val="003359CB"/>
    <w:rsid w:val="00337F63"/>
    <w:rsid w:val="00343115"/>
    <w:rsid w:val="003454BC"/>
    <w:rsid w:val="00346CAF"/>
    <w:rsid w:val="00350A30"/>
    <w:rsid w:val="00352991"/>
    <w:rsid w:val="00355FFE"/>
    <w:rsid w:val="00356171"/>
    <w:rsid w:val="00362A46"/>
    <w:rsid w:val="00374DB0"/>
    <w:rsid w:val="00381E21"/>
    <w:rsid w:val="003822D9"/>
    <w:rsid w:val="00382CB6"/>
    <w:rsid w:val="00384CD3"/>
    <w:rsid w:val="00385B42"/>
    <w:rsid w:val="003865AA"/>
    <w:rsid w:val="00392DEC"/>
    <w:rsid w:val="00395685"/>
    <w:rsid w:val="003A5C5B"/>
    <w:rsid w:val="003A7718"/>
    <w:rsid w:val="003B0706"/>
    <w:rsid w:val="003B1AED"/>
    <w:rsid w:val="003B4B2E"/>
    <w:rsid w:val="003D0515"/>
    <w:rsid w:val="003E3991"/>
    <w:rsid w:val="003E43D2"/>
    <w:rsid w:val="003E60E9"/>
    <w:rsid w:val="003F20E7"/>
    <w:rsid w:val="003F75B9"/>
    <w:rsid w:val="003F7D00"/>
    <w:rsid w:val="00401021"/>
    <w:rsid w:val="00401196"/>
    <w:rsid w:val="00401743"/>
    <w:rsid w:val="00401C3D"/>
    <w:rsid w:val="00402B9F"/>
    <w:rsid w:val="00406791"/>
    <w:rsid w:val="0041089B"/>
    <w:rsid w:val="0041118D"/>
    <w:rsid w:val="0041515F"/>
    <w:rsid w:val="00416162"/>
    <w:rsid w:val="00417D9A"/>
    <w:rsid w:val="0042004A"/>
    <w:rsid w:val="00422AFF"/>
    <w:rsid w:val="004267E4"/>
    <w:rsid w:val="00432B14"/>
    <w:rsid w:val="004352B9"/>
    <w:rsid w:val="004366CA"/>
    <w:rsid w:val="00440088"/>
    <w:rsid w:val="004463BF"/>
    <w:rsid w:val="004467C6"/>
    <w:rsid w:val="00450EBC"/>
    <w:rsid w:val="004526E9"/>
    <w:rsid w:val="0046422A"/>
    <w:rsid w:val="00471CBE"/>
    <w:rsid w:val="00481F37"/>
    <w:rsid w:val="00486375"/>
    <w:rsid w:val="004872B2"/>
    <w:rsid w:val="00490B7D"/>
    <w:rsid w:val="00491AB9"/>
    <w:rsid w:val="004965D6"/>
    <w:rsid w:val="004A1A89"/>
    <w:rsid w:val="004A485D"/>
    <w:rsid w:val="004A5794"/>
    <w:rsid w:val="004A5C5B"/>
    <w:rsid w:val="004B1B3C"/>
    <w:rsid w:val="004B2BCD"/>
    <w:rsid w:val="004C7119"/>
    <w:rsid w:val="004D457F"/>
    <w:rsid w:val="004D4D15"/>
    <w:rsid w:val="004D729F"/>
    <w:rsid w:val="005003DB"/>
    <w:rsid w:val="00500404"/>
    <w:rsid w:val="00501064"/>
    <w:rsid w:val="00504BCD"/>
    <w:rsid w:val="00505E8E"/>
    <w:rsid w:val="00514B27"/>
    <w:rsid w:val="00517FE8"/>
    <w:rsid w:val="00522060"/>
    <w:rsid w:val="0052642C"/>
    <w:rsid w:val="00531EA4"/>
    <w:rsid w:val="00540ABD"/>
    <w:rsid w:val="0054268F"/>
    <w:rsid w:val="00544884"/>
    <w:rsid w:val="00551FE6"/>
    <w:rsid w:val="005702E3"/>
    <w:rsid w:val="005748B5"/>
    <w:rsid w:val="00575667"/>
    <w:rsid w:val="005816F5"/>
    <w:rsid w:val="00583688"/>
    <w:rsid w:val="005872AB"/>
    <w:rsid w:val="005B098D"/>
    <w:rsid w:val="005C3860"/>
    <w:rsid w:val="005D3017"/>
    <w:rsid w:val="005D3FE5"/>
    <w:rsid w:val="005D5903"/>
    <w:rsid w:val="005E02E6"/>
    <w:rsid w:val="005E35F1"/>
    <w:rsid w:val="005E5950"/>
    <w:rsid w:val="005F2F4E"/>
    <w:rsid w:val="005F57CF"/>
    <w:rsid w:val="005F5F9C"/>
    <w:rsid w:val="005F5FCC"/>
    <w:rsid w:val="005F7AC7"/>
    <w:rsid w:val="00600917"/>
    <w:rsid w:val="00603389"/>
    <w:rsid w:val="006047E7"/>
    <w:rsid w:val="00605C80"/>
    <w:rsid w:val="00610D8E"/>
    <w:rsid w:val="006152CA"/>
    <w:rsid w:val="0061580B"/>
    <w:rsid w:val="00620C61"/>
    <w:rsid w:val="006213AB"/>
    <w:rsid w:val="00626524"/>
    <w:rsid w:val="00631D3A"/>
    <w:rsid w:val="006401D3"/>
    <w:rsid w:val="00640274"/>
    <w:rsid w:val="00640C85"/>
    <w:rsid w:val="0064444F"/>
    <w:rsid w:val="006444BF"/>
    <w:rsid w:val="0065391C"/>
    <w:rsid w:val="006547BE"/>
    <w:rsid w:val="00655AE7"/>
    <w:rsid w:val="00656142"/>
    <w:rsid w:val="0065771F"/>
    <w:rsid w:val="00666FA5"/>
    <w:rsid w:val="00667261"/>
    <w:rsid w:val="00673F07"/>
    <w:rsid w:val="00675E92"/>
    <w:rsid w:val="00682773"/>
    <w:rsid w:val="0069209F"/>
    <w:rsid w:val="006930D9"/>
    <w:rsid w:val="00693A70"/>
    <w:rsid w:val="00695D6D"/>
    <w:rsid w:val="006A47F6"/>
    <w:rsid w:val="006A7CCC"/>
    <w:rsid w:val="006B4AC3"/>
    <w:rsid w:val="006B7725"/>
    <w:rsid w:val="006C71FC"/>
    <w:rsid w:val="006D0164"/>
    <w:rsid w:val="006D109B"/>
    <w:rsid w:val="006D1940"/>
    <w:rsid w:val="006D4172"/>
    <w:rsid w:val="006D480A"/>
    <w:rsid w:val="006E3E65"/>
    <w:rsid w:val="006F28F4"/>
    <w:rsid w:val="00702881"/>
    <w:rsid w:val="007055AD"/>
    <w:rsid w:val="00705A40"/>
    <w:rsid w:val="007063E3"/>
    <w:rsid w:val="00712468"/>
    <w:rsid w:val="007232D1"/>
    <w:rsid w:val="00730179"/>
    <w:rsid w:val="00733AFB"/>
    <w:rsid w:val="00736C49"/>
    <w:rsid w:val="00736F55"/>
    <w:rsid w:val="007413F2"/>
    <w:rsid w:val="00742B8B"/>
    <w:rsid w:val="00745275"/>
    <w:rsid w:val="00746F14"/>
    <w:rsid w:val="007526A5"/>
    <w:rsid w:val="007537A0"/>
    <w:rsid w:val="00754009"/>
    <w:rsid w:val="007574FD"/>
    <w:rsid w:val="00757511"/>
    <w:rsid w:val="007626FD"/>
    <w:rsid w:val="007631F6"/>
    <w:rsid w:val="00763E34"/>
    <w:rsid w:val="00764131"/>
    <w:rsid w:val="007739AC"/>
    <w:rsid w:val="007741DC"/>
    <w:rsid w:val="00775695"/>
    <w:rsid w:val="007770BB"/>
    <w:rsid w:val="00777AFC"/>
    <w:rsid w:val="00781559"/>
    <w:rsid w:val="007855DA"/>
    <w:rsid w:val="007B0ECC"/>
    <w:rsid w:val="007B2D4D"/>
    <w:rsid w:val="007B3393"/>
    <w:rsid w:val="007B5534"/>
    <w:rsid w:val="007B703C"/>
    <w:rsid w:val="007B7ECF"/>
    <w:rsid w:val="007C5648"/>
    <w:rsid w:val="007C57C5"/>
    <w:rsid w:val="007C7F08"/>
    <w:rsid w:val="007D3A1A"/>
    <w:rsid w:val="007D5E08"/>
    <w:rsid w:val="007E0907"/>
    <w:rsid w:val="007E0F40"/>
    <w:rsid w:val="007E1B23"/>
    <w:rsid w:val="007E2597"/>
    <w:rsid w:val="007E388A"/>
    <w:rsid w:val="007E6E6C"/>
    <w:rsid w:val="007F2C8E"/>
    <w:rsid w:val="008033EB"/>
    <w:rsid w:val="00803F31"/>
    <w:rsid w:val="0081554F"/>
    <w:rsid w:val="00823002"/>
    <w:rsid w:val="008339A8"/>
    <w:rsid w:val="00834916"/>
    <w:rsid w:val="00835FAB"/>
    <w:rsid w:val="00841030"/>
    <w:rsid w:val="00845A5B"/>
    <w:rsid w:val="00845EED"/>
    <w:rsid w:val="00851A99"/>
    <w:rsid w:val="008541AD"/>
    <w:rsid w:val="00860425"/>
    <w:rsid w:val="008627C0"/>
    <w:rsid w:val="00865DD5"/>
    <w:rsid w:val="008674E8"/>
    <w:rsid w:val="00870F4C"/>
    <w:rsid w:val="008710BD"/>
    <w:rsid w:val="008729FA"/>
    <w:rsid w:val="00880198"/>
    <w:rsid w:val="008802FA"/>
    <w:rsid w:val="008857AE"/>
    <w:rsid w:val="008872BF"/>
    <w:rsid w:val="00890044"/>
    <w:rsid w:val="0089238D"/>
    <w:rsid w:val="00894029"/>
    <w:rsid w:val="00896443"/>
    <w:rsid w:val="008A1B43"/>
    <w:rsid w:val="008A6751"/>
    <w:rsid w:val="008B3BA4"/>
    <w:rsid w:val="008B3F59"/>
    <w:rsid w:val="008B6BC8"/>
    <w:rsid w:val="008D7F43"/>
    <w:rsid w:val="008E2F67"/>
    <w:rsid w:val="008E48A0"/>
    <w:rsid w:val="008E5F77"/>
    <w:rsid w:val="008F3940"/>
    <w:rsid w:val="009027B3"/>
    <w:rsid w:val="00903236"/>
    <w:rsid w:val="0090667B"/>
    <w:rsid w:val="00907BD6"/>
    <w:rsid w:val="00911B23"/>
    <w:rsid w:val="00912CA0"/>
    <w:rsid w:val="0091534E"/>
    <w:rsid w:val="00917BA7"/>
    <w:rsid w:val="00922DE7"/>
    <w:rsid w:val="0092643F"/>
    <w:rsid w:val="00940363"/>
    <w:rsid w:val="0094743A"/>
    <w:rsid w:val="00950EF1"/>
    <w:rsid w:val="00955B9D"/>
    <w:rsid w:val="00970926"/>
    <w:rsid w:val="009709DA"/>
    <w:rsid w:val="00970B10"/>
    <w:rsid w:val="0097118B"/>
    <w:rsid w:val="00973AA7"/>
    <w:rsid w:val="00974FBE"/>
    <w:rsid w:val="0098375E"/>
    <w:rsid w:val="009841EF"/>
    <w:rsid w:val="00985445"/>
    <w:rsid w:val="00987DB8"/>
    <w:rsid w:val="009A13D7"/>
    <w:rsid w:val="009A7713"/>
    <w:rsid w:val="009B039C"/>
    <w:rsid w:val="009B1D45"/>
    <w:rsid w:val="009B245E"/>
    <w:rsid w:val="009B5C87"/>
    <w:rsid w:val="009B718C"/>
    <w:rsid w:val="009B7741"/>
    <w:rsid w:val="009C0341"/>
    <w:rsid w:val="009C6A8D"/>
    <w:rsid w:val="009D4025"/>
    <w:rsid w:val="009E04E2"/>
    <w:rsid w:val="009F0802"/>
    <w:rsid w:val="009F301A"/>
    <w:rsid w:val="00A00470"/>
    <w:rsid w:val="00A0796F"/>
    <w:rsid w:val="00A10A54"/>
    <w:rsid w:val="00A15A0F"/>
    <w:rsid w:val="00A16046"/>
    <w:rsid w:val="00A16C21"/>
    <w:rsid w:val="00A17FE9"/>
    <w:rsid w:val="00A247E0"/>
    <w:rsid w:val="00A248EE"/>
    <w:rsid w:val="00A323CD"/>
    <w:rsid w:val="00A47038"/>
    <w:rsid w:val="00A52612"/>
    <w:rsid w:val="00A5332F"/>
    <w:rsid w:val="00A57997"/>
    <w:rsid w:val="00A65100"/>
    <w:rsid w:val="00A703BA"/>
    <w:rsid w:val="00A70C19"/>
    <w:rsid w:val="00A72397"/>
    <w:rsid w:val="00A73DA2"/>
    <w:rsid w:val="00A74167"/>
    <w:rsid w:val="00A74FB8"/>
    <w:rsid w:val="00A7612E"/>
    <w:rsid w:val="00A906C6"/>
    <w:rsid w:val="00A92F12"/>
    <w:rsid w:val="00A9494A"/>
    <w:rsid w:val="00A97850"/>
    <w:rsid w:val="00AA5797"/>
    <w:rsid w:val="00AA6682"/>
    <w:rsid w:val="00AC4707"/>
    <w:rsid w:val="00AD01FF"/>
    <w:rsid w:val="00AD0684"/>
    <w:rsid w:val="00AD1029"/>
    <w:rsid w:val="00AE3571"/>
    <w:rsid w:val="00AE4853"/>
    <w:rsid w:val="00AE5FCD"/>
    <w:rsid w:val="00AE60AF"/>
    <w:rsid w:val="00AF0A0E"/>
    <w:rsid w:val="00AF1494"/>
    <w:rsid w:val="00AF4D39"/>
    <w:rsid w:val="00B02FDE"/>
    <w:rsid w:val="00B04E2E"/>
    <w:rsid w:val="00B16C68"/>
    <w:rsid w:val="00B16D9F"/>
    <w:rsid w:val="00B2203C"/>
    <w:rsid w:val="00B2663E"/>
    <w:rsid w:val="00B26D98"/>
    <w:rsid w:val="00B313C7"/>
    <w:rsid w:val="00B33A4B"/>
    <w:rsid w:val="00B369EC"/>
    <w:rsid w:val="00B37101"/>
    <w:rsid w:val="00B37557"/>
    <w:rsid w:val="00B45A83"/>
    <w:rsid w:val="00B468BD"/>
    <w:rsid w:val="00B50154"/>
    <w:rsid w:val="00B505C6"/>
    <w:rsid w:val="00B50EBE"/>
    <w:rsid w:val="00B60A98"/>
    <w:rsid w:val="00B6469D"/>
    <w:rsid w:val="00B7020F"/>
    <w:rsid w:val="00B7032B"/>
    <w:rsid w:val="00B71BCA"/>
    <w:rsid w:val="00B7468B"/>
    <w:rsid w:val="00B8144D"/>
    <w:rsid w:val="00B86D0D"/>
    <w:rsid w:val="00B91AB1"/>
    <w:rsid w:val="00B92BA5"/>
    <w:rsid w:val="00B95B19"/>
    <w:rsid w:val="00BA75E1"/>
    <w:rsid w:val="00BB1E08"/>
    <w:rsid w:val="00BC4DD9"/>
    <w:rsid w:val="00BD3F9E"/>
    <w:rsid w:val="00BE2C0A"/>
    <w:rsid w:val="00BE33B5"/>
    <w:rsid w:val="00BE5978"/>
    <w:rsid w:val="00BE5D44"/>
    <w:rsid w:val="00BE7361"/>
    <w:rsid w:val="00BF1395"/>
    <w:rsid w:val="00BF27E1"/>
    <w:rsid w:val="00BF3467"/>
    <w:rsid w:val="00BF5BA6"/>
    <w:rsid w:val="00C0320B"/>
    <w:rsid w:val="00C04A35"/>
    <w:rsid w:val="00C10502"/>
    <w:rsid w:val="00C12204"/>
    <w:rsid w:val="00C2392C"/>
    <w:rsid w:val="00C26464"/>
    <w:rsid w:val="00C27DF3"/>
    <w:rsid w:val="00C4207E"/>
    <w:rsid w:val="00C420EE"/>
    <w:rsid w:val="00C52398"/>
    <w:rsid w:val="00C56565"/>
    <w:rsid w:val="00C57C7D"/>
    <w:rsid w:val="00C6026A"/>
    <w:rsid w:val="00C64358"/>
    <w:rsid w:val="00C662D9"/>
    <w:rsid w:val="00C66341"/>
    <w:rsid w:val="00C76233"/>
    <w:rsid w:val="00C76EF1"/>
    <w:rsid w:val="00C81ACB"/>
    <w:rsid w:val="00C82948"/>
    <w:rsid w:val="00C83004"/>
    <w:rsid w:val="00C85E20"/>
    <w:rsid w:val="00C8664B"/>
    <w:rsid w:val="00C87176"/>
    <w:rsid w:val="00C94FAD"/>
    <w:rsid w:val="00C972FF"/>
    <w:rsid w:val="00CA1B54"/>
    <w:rsid w:val="00CA3A25"/>
    <w:rsid w:val="00CA5A81"/>
    <w:rsid w:val="00CA6EB4"/>
    <w:rsid w:val="00CB1C61"/>
    <w:rsid w:val="00CB3E8F"/>
    <w:rsid w:val="00CB50C8"/>
    <w:rsid w:val="00CB5F1F"/>
    <w:rsid w:val="00CC4AB7"/>
    <w:rsid w:val="00CD1077"/>
    <w:rsid w:val="00CE1FD6"/>
    <w:rsid w:val="00CE29A5"/>
    <w:rsid w:val="00CE4F09"/>
    <w:rsid w:val="00CF1E08"/>
    <w:rsid w:val="00D059E7"/>
    <w:rsid w:val="00D063D7"/>
    <w:rsid w:val="00D0732A"/>
    <w:rsid w:val="00D1450C"/>
    <w:rsid w:val="00D177EE"/>
    <w:rsid w:val="00D21748"/>
    <w:rsid w:val="00D22425"/>
    <w:rsid w:val="00D2325B"/>
    <w:rsid w:val="00D24AF4"/>
    <w:rsid w:val="00D263FE"/>
    <w:rsid w:val="00D3506A"/>
    <w:rsid w:val="00D37410"/>
    <w:rsid w:val="00D44610"/>
    <w:rsid w:val="00D44790"/>
    <w:rsid w:val="00D452B9"/>
    <w:rsid w:val="00D5428A"/>
    <w:rsid w:val="00D54435"/>
    <w:rsid w:val="00D579CF"/>
    <w:rsid w:val="00D712DE"/>
    <w:rsid w:val="00D75958"/>
    <w:rsid w:val="00D80DD4"/>
    <w:rsid w:val="00D81DD9"/>
    <w:rsid w:val="00D83BA5"/>
    <w:rsid w:val="00D91424"/>
    <w:rsid w:val="00D916BB"/>
    <w:rsid w:val="00D91B6F"/>
    <w:rsid w:val="00D95FF0"/>
    <w:rsid w:val="00D96BDA"/>
    <w:rsid w:val="00D97082"/>
    <w:rsid w:val="00DA01A1"/>
    <w:rsid w:val="00DA460D"/>
    <w:rsid w:val="00DA4808"/>
    <w:rsid w:val="00DA55B2"/>
    <w:rsid w:val="00DB2FC0"/>
    <w:rsid w:val="00DC0A27"/>
    <w:rsid w:val="00DC2649"/>
    <w:rsid w:val="00DC432C"/>
    <w:rsid w:val="00DC6102"/>
    <w:rsid w:val="00DD0801"/>
    <w:rsid w:val="00DD2ADC"/>
    <w:rsid w:val="00DD7358"/>
    <w:rsid w:val="00DE3402"/>
    <w:rsid w:val="00DF5B20"/>
    <w:rsid w:val="00DF60B8"/>
    <w:rsid w:val="00DF7750"/>
    <w:rsid w:val="00DF788F"/>
    <w:rsid w:val="00E00BCA"/>
    <w:rsid w:val="00E06623"/>
    <w:rsid w:val="00E1098D"/>
    <w:rsid w:val="00E1515A"/>
    <w:rsid w:val="00E161C9"/>
    <w:rsid w:val="00E22148"/>
    <w:rsid w:val="00E273E5"/>
    <w:rsid w:val="00E44702"/>
    <w:rsid w:val="00E465A2"/>
    <w:rsid w:val="00E46789"/>
    <w:rsid w:val="00E52867"/>
    <w:rsid w:val="00E545D6"/>
    <w:rsid w:val="00E61175"/>
    <w:rsid w:val="00E62250"/>
    <w:rsid w:val="00E62A32"/>
    <w:rsid w:val="00E62CC4"/>
    <w:rsid w:val="00E63613"/>
    <w:rsid w:val="00E667C5"/>
    <w:rsid w:val="00E70C99"/>
    <w:rsid w:val="00E72CB1"/>
    <w:rsid w:val="00E7382F"/>
    <w:rsid w:val="00E76FD8"/>
    <w:rsid w:val="00E8123B"/>
    <w:rsid w:val="00E81AB5"/>
    <w:rsid w:val="00E82B0F"/>
    <w:rsid w:val="00E87392"/>
    <w:rsid w:val="00E94F8C"/>
    <w:rsid w:val="00E971A7"/>
    <w:rsid w:val="00EA46FF"/>
    <w:rsid w:val="00EA6562"/>
    <w:rsid w:val="00EC20D8"/>
    <w:rsid w:val="00EC5E93"/>
    <w:rsid w:val="00ED1D2C"/>
    <w:rsid w:val="00ED366E"/>
    <w:rsid w:val="00EE1FA1"/>
    <w:rsid w:val="00EE6378"/>
    <w:rsid w:val="00F02AD5"/>
    <w:rsid w:val="00F129BD"/>
    <w:rsid w:val="00F13913"/>
    <w:rsid w:val="00F15B2E"/>
    <w:rsid w:val="00F238FA"/>
    <w:rsid w:val="00F24ED1"/>
    <w:rsid w:val="00F263D3"/>
    <w:rsid w:val="00F2727F"/>
    <w:rsid w:val="00F30A38"/>
    <w:rsid w:val="00F35FBC"/>
    <w:rsid w:val="00F40507"/>
    <w:rsid w:val="00F40C75"/>
    <w:rsid w:val="00F46CBE"/>
    <w:rsid w:val="00F504EF"/>
    <w:rsid w:val="00F53380"/>
    <w:rsid w:val="00F54A29"/>
    <w:rsid w:val="00F55610"/>
    <w:rsid w:val="00F608D4"/>
    <w:rsid w:val="00F60B9A"/>
    <w:rsid w:val="00F64262"/>
    <w:rsid w:val="00F67204"/>
    <w:rsid w:val="00F67CE3"/>
    <w:rsid w:val="00F70A8B"/>
    <w:rsid w:val="00F80A60"/>
    <w:rsid w:val="00F83A75"/>
    <w:rsid w:val="00F848EA"/>
    <w:rsid w:val="00F856C0"/>
    <w:rsid w:val="00F9723D"/>
    <w:rsid w:val="00FA02D9"/>
    <w:rsid w:val="00FA0673"/>
    <w:rsid w:val="00FA0F31"/>
    <w:rsid w:val="00FA1702"/>
    <w:rsid w:val="00FA4B77"/>
    <w:rsid w:val="00FA6759"/>
    <w:rsid w:val="00FB33C5"/>
    <w:rsid w:val="00FB7B8C"/>
    <w:rsid w:val="00FC2E3C"/>
    <w:rsid w:val="00FC3B58"/>
    <w:rsid w:val="00FD0B8B"/>
    <w:rsid w:val="00FD61A1"/>
    <w:rsid w:val="00FE118F"/>
    <w:rsid w:val="00FE3FCD"/>
    <w:rsid w:val="00FE5874"/>
    <w:rsid w:val="00FE78D4"/>
    <w:rsid w:val="00FF0674"/>
    <w:rsid w:val="00FF4B66"/>
    <w:rsid w:val="00FF5B3C"/>
    <w:rsid w:val="00FF7A9F"/>
    <w:rsid w:val="3384491E"/>
    <w:rsid w:val="56D17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4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
    <w:basedOn w:val="Normal"/>
    <w:next w:val="Normal"/>
    <w:link w:val="Heading1Char"/>
    <w:qFormat/>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pPr>
      <w:keepNext/>
      <w:spacing w:before="240" w:after="60"/>
      <w:outlineLvl w:val="2"/>
    </w:pPr>
    <w:rPr>
      <w:rFonts w:ascii="Arial" w:hAnsi="Arial"/>
    </w:rPr>
  </w:style>
  <w:style w:type="paragraph" w:styleId="Heading4">
    <w:name w:val="heading 4"/>
    <w:aliases w:val="Heading 4.a"/>
    <w:basedOn w:val="Normal"/>
    <w:next w:val="Normal"/>
    <w:link w:val="Heading4Char"/>
    <w:qFormat/>
    <w:pPr>
      <w:keepNext/>
      <w:spacing w:before="240" w:after="60"/>
      <w:outlineLvl w:val="3"/>
    </w:pPr>
    <w:rPr>
      <w:rFonts w:ascii="Arial" w:hAnsi="Arial"/>
      <w:b/>
    </w:rPr>
  </w:style>
  <w:style w:type="paragraph" w:styleId="Heading5">
    <w:name w:val="heading 5"/>
    <w:aliases w:val="Heading 5.(i)"/>
    <w:basedOn w:val="Normal"/>
    <w:next w:val="Normal"/>
    <w:link w:val="Heading5Char"/>
    <w:unhideWhenUsed/>
    <w:qFormat/>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rPr>
  </w:style>
  <w:style w:type="paragraph" w:customStyle="1" w:styleId="ABBR">
    <w:name w:val="ABBR"/>
    <w:basedOn w:val="Annex"/>
  </w:style>
  <w:style w:type="paragraph" w:customStyle="1" w:styleId="AbbrDesc">
    <w:name w:val="AbbrDesc"/>
    <w:basedOn w:val="Normal"/>
    <w:pPr>
      <w:tabs>
        <w:tab w:val="left" w:pos="3060"/>
      </w:tabs>
      <w:jc w:val="both"/>
    </w:pPr>
  </w:style>
  <w:style w:type="paragraph" w:styleId="BodyText">
    <w:name w:val="Body Text"/>
    <w:basedOn w:val="Normal"/>
    <w:link w:val="BodyTextChar"/>
    <w:pPr>
      <w:tabs>
        <w:tab w:val="left" w:pos="3060"/>
      </w:tabs>
      <w:jc w:val="center"/>
    </w:pPr>
  </w:style>
  <w:style w:type="character" w:customStyle="1" w:styleId="BodyTextChar">
    <w:name w:val="Body Text Char"/>
    <w:basedOn w:val="DefaultParagraphFont"/>
    <w:link w:val="BodyText"/>
    <w:rPr>
      <w:rFonts w:ascii="Times New Roman" w:eastAsia="Times New Roman" w:hAnsi="Times New Roman" w:cs="Times New Roman"/>
      <w:sz w:val="24"/>
      <w:szCs w:val="20"/>
    </w:rPr>
  </w:style>
  <w:style w:type="paragraph" w:customStyle="1" w:styleId="Chapter">
    <w:name w:val="Chapter"/>
    <w:basedOn w:val="Normal"/>
    <w:next w:val="Normal"/>
    <w:uiPriority w:val="99"/>
    <w:pPr>
      <w:keepNext/>
      <w:numPr>
        <w:numId w:val="2"/>
      </w:numPr>
      <w:tabs>
        <w:tab w:val="left" w:pos="1440"/>
      </w:tabs>
      <w:spacing w:before="240" w:after="240"/>
      <w:jc w:val="center"/>
    </w:pPr>
    <w:rPr>
      <w:b/>
      <w:smallCaps/>
      <w:lang w:val="es-ES"/>
    </w:rPr>
  </w:style>
  <w:style w:type="paragraph" w:customStyle="1" w:styleId="FirstHeading">
    <w:name w:val="FirstHeading"/>
    <w:basedOn w:val="Normal"/>
    <w:next w:val="Normal"/>
    <w:pPr>
      <w:keepNext/>
      <w:numPr>
        <w:numId w:val="1"/>
      </w:numPr>
      <w:tabs>
        <w:tab w:val="left" w:pos="0"/>
        <w:tab w:val="left" w:pos="86"/>
      </w:tabs>
      <w:spacing w:before="120" w:after="120"/>
      <w:ind w:left="720"/>
    </w:pPr>
    <w:rPr>
      <w:b/>
      <w:lang w:val="es-ES"/>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f"/>
    <w:basedOn w:val="Normal"/>
    <w:link w:val="FootnoteTextChar"/>
    <w:qFormat/>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Pr>
      <w:rFonts w:ascii="Times New Roman" w:eastAsia="Times New Roman" w:hAnsi="Times New Roman" w:cs="Times New Roman"/>
      <w:spacing w:val="-3"/>
      <w:sz w:val="20"/>
      <w:szCs w:val="20"/>
      <w:lang w:val="es-ES_tradnl"/>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0"/>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uiPriority w:val="99"/>
    <w:qFormat/>
    <w:pPr>
      <w:numPr>
        <w:ilvl w:val="1"/>
        <w:numId w:val="2"/>
      </w:numPr>
      <w:spacing w:before="120"/>
      <w:jc w:val="both"/>
      <w:outlineLvl w:val="1"/>
    </w:pPr>
    <w:rPr>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pPr>
      <w:numPr>
        <w:ilvl w:val="2"/>
      </w:numPr>
      <w:tabs>
        <w:tab w:val="clear" w:pos="5976"/>
        <w:tab w:val="num" w:pos="1872"/>
      </w:tabs>
      <w:ind w:left="1872"/>
    </w:pPr>
  </w:style>
  <w:style w:type="paragraph" w:customStyle="1" w:styleId="Subheading2">
    <w:name w:val="Subheading2"/>
    <w:basedOn w:val="SecHeading"/>
    <w:pPr>
      <w:numPr>
        <w:ilvl w:val="3"/>
      </w:numPr>
      <w:tabs>
        <w:tab w:val="clear" w:pos="6480"/>
        <w:tab w:val="num" w:pos="2376"/>
      </w:tabs>
      <w:ind w:left="2376"/>
    </w:pPr>
  </w:style>
  <w:style w:type="paragraph" w:customStyle="1" w:styleId="subpar">
    <w:name w:val="subpar"/>
    <w:basedOn w:val="BodyTextIndent3"/>
    <w:uiPriority w:val="99"/>
    <w:pPr>
      <w:numPr>
        <w:ilvl w:val="2"/>
        <w:numId w:val="2"/>
      </w:numPr>
      <w:spacing w:before="120"/>
      <w:jc w:val="both"/>
      <w:outlineLvl w:val="2"/>
    </w:pPr>
    <w:rPr>
      <w:szCs w:val="20"/>
    </w:rPr>
  </w:style>
  <w:style w:type="paragraph" w:customStyle="1" w:styleId="SubSubPar">
    <w:name w:val="SubSubPar"/>
    <w:basedOn w:val="subpar"/>
    <w:pPr>
      <w:numPr>
        <w:ilvl w:val="3"/>
      </w:numPr>
      <w:tabs>
        <w:tab w:val="clear" w:pos="2736"/>
        <w:tab w:val="left" w:pos="0"/>
        <w:tab w:val="num" w:pos="1296"/>
      </w:tabs>
    </w:pPr>
  </w:style>
  <w:style w:type="paragraph" w:styleId="TOC1">
    <w:name w:val="toc 1"/>
    <w:basedOn w:val="Normal"/>
    <w:next w:val="Normal"/>
    <w:autoRedefine/>
    <w:uiPriority w:val="39"/>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lang w:val="es-ES"/>
    </w:rPr>
  </w:style>
  <w:style w:type="character" w:styleId="Hyperlink">
    <w:name w:val="Hyperlink"/>
    <w:basedOn w:val="DefaultParagraphFont"/>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SUPERS"/>
    <w:basedOn w:val="DefaultParagraphFont"/>
    <w:link w:val="Char2"/>
    <w:uiPriority w:val="99"/>
    <w:qFormat/>
    <w:rPr>
      <w:vertAlign w:val="superscript"/>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24"/>
      <w:szCs w:val="16"/>
      <w:lang w:val="es-ES_tradnl"/>
    </w:rPr>
  </w:style>
  <w:style w:type="paragraph" w:customStyle="1" w:styleId="Regtable">
    <w:name w:val="Regtable"/>
    <w:basedOn w:val="Normal"/>
    <w:link w:val="RegtableChar"/>
    <w:pPr>
      <w:keepLines/>
      <w:framePr w:wrap="around" w:vAnchor="text" w:hAnchor="text" w:y="1"/>
      <w:spacing w:before="20" w:after="20"/>
    </w:pPr>
    <w:rPr>
      <w:sz w:val="20"/>
    </w:rPr>
  </w:style>
  <w:style w:type="character" w:customStyle="1" w:styleId="RegtableChar">
    <w:name w:val="Regtable Char"/>
    <w:basedOn w:val="DefaultParagraphFont"/>
    <w:link w:val="Regtable"/>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
    <w:basedOn w:val="DefaultParagraphFont"/>
    <w:link w:val="Heading1"/>
    <w:rPr>
      <w:rFonts w:ascii="Arial" w:eastAsia="Times New Roman" w:hAnsi="Arial" w:cs="Times New Roman"/>
      <w:b/>
      <w:kern w:val="28"/>
      <w:sz w:val="28"/>
      <w:szCs w:val="20"/>
    </w:rPr>
  </w:style>
  <w:style w:type="character" w:customStyle="1" w:styleId="Heading2Char">
    <w:name w:val="Heading 2 Char"/>
    <w:basedOn w:val="DefaultParagraphFont"/>
    <w:link w:val="Heading2"/>
    <w:rPr>
      <w:rFonts w:ascii="Arial" w:eastAsia="Times New Roman" w:hAnsi="Arial" w:cs="Times New Roman"/>
      <w:b/>
      <w:i/>
      <w:sz w:val="24"/>
      <w:szCs w:val="20"/>
    </w:rPr>
  </w:style>
  <w:style w:type="character" w:customStyle="1" w:styleId="Heading3Char">
    <w:name w:val="Heading 3 Char"/>
    <w:basedOn w:val="DefaultParagraphFont"/>
    <w:link w:val="Heading3"/>
    <w:rPr>
      <w:rFonts w:ascii="Arial" w:eastAsia="Times New Roman" w:hAnsi="Arial" w:cs="Times New Roman"/>
      <w:sz w:val="24"/>
      <w:szCs w:val="20"/>
      <w:lang w:val="es-ES_tradnl"/>
    </w:rPr>
  </w:style>
  <w:style w:type="character" w:customStyle="1" w:styleId="Heading4Char">
    <w:name w:val="Heading 4 Char"/>
    <w:aliases w:val="Heading 4.a Char"/>
    <w:basedOn w:val="DefaultParagraphFont"/>
    <w:link w:val="Heading4"/>
    <w:rPr>
      <w:rFonts w:ascii="Arial" w:eastAsia="Times New Roman" w:hAnsi="Arial" w:cs="Times New Roman"/>
      <w:b/>
      <w:sz w:val="24"/>
      <w:szCs w:val="20"/>
      <w:lang w:val="es-ES_tradnl"/>
    </w:rPr>
  </w:style>
  <w:style w:type="paragraph" w:styleId="ListParagraph">
    <w:name w:val="List Paragraph"/>
    <w:basedOn w:val="Normal"/>
    <w:link w:val="ListParagraphChar"/>
    <w:uiPriority w:val="34"/>
    <w:qFormat/>
    <w:pPr>
      <w:ind w:left="720"/>
      <w:contextualSpacing/>
    </w:pPr>
  </w:style>
  <w:style w:type="paragraph" w:customStyle="1" w:styleId="xl29">
    <w:name w:val="xl29"/>
    <w:basedOn w:val="Normal"/>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Pr>
      <w:rFonts w:ascii="Times New Roman" w:eastAsia="Times New Roman" w:hAnsi="Times New Roman"/>
      <w:spacing w:val="-3"/>
    </w:rPr>
  </w:style>
  <w:style w:type="character" w:customStyle="1" w:styleId="ParagraphChar">
    <w:name w:val="Paragraph Char"/>
    <w:aliases w:val="p Char,PARAGRAPH Char,PG Char,pa Char,at Char,paragraph Char"/>
    <w:basedOn w:val="BodyTextIndentChar"/>
    <w:link w:val="Paragraph"/>
    <w:rPr>
      <w:rFonts w:ascii="Times New Roman" w:eastAsia="Times New Roman" w:hAnsi="Times New Roman" w:cs="Times New Roman"/>
      <w:sz w:val="24"/>
      <w:szCs w:val="20"/>
      <w:lang w:val="es-ES"/>
    </w:rPr>
  </w:style>
  <w:style w:type="character" w:customStyle="1" w:styleId="BalloonTextChar1">
    <w:name w:val="Balloon Text Char1"/>
    <w:basedOn w:val="DefaultParagraphFont"/>
    <w:uiPriority w:val="99"/>
    <w:semiHidden/>
    <w:rPr>
      <w:rFonts w:ascii="Tahoma" w:eastAsia="Times New Roman" w:hAnsi="Tahoma" w:cs="Tahoma"/>
      <w:sz w:val="16"/>
      <w:szCs w:val="16"/>
    </w:rPr>
  </w:style>
  <w:style w:type="character" w:styleId="CommentReference">
    <w:name w:val="annotation reference"/>
    <w:basedOn w:val="DefaultParagraphFont"/>
    <w:uiPriority w:val="99"/>
    <w:rPr>
      <w:rFonts w:cs="Times New Roman"/>
      <w:sz w:val="16"/>
      <w:szCs w:val="16"/>
    </w:rPr>
  </w:style>
  <w:style w:type="character" w:customStyle="1" w:styleId="apple-converted-space">
    <w:name w:val="apple-converted-space"/>
    <w:basedOn w:val="DefaultParagraphFont"/>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uerpo2">
    <w:name w:val="cuerpo2"/>
    <w:basedOn w:val="Normal"/>
    <w:pPr>
      <w:spacing w:before="100" w:beforeAutospacing="1" w:after="100" w:afterAutospacing="1"/>
    </w:pPr>
    <w:rPr>
      <w:szCs w:val="24"/>
      <w:lang w:val="en-US"/>
    </w:r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Pr>
      <w:i/>
      <w:iCs/>
    </w:rPr>
  </w:style>
  <w:style w:type="paragraph" w:customStyle="1" w:styleId="AutoNumpara">
    <w:name w:val="AutoNumpara"/>
    <w:basedOn w:val="BodyTextIndent"/>
    <w:pPr>
      <w:tabs>
        <w:tab w:val="num" w:pos="360"/>
      </w:tabs>
      <w:spacing w:before="120"/>
      <w:jc w:val="both"/>
    </w:pPr>
    <w:rPr>
      <w:noProof/>
      <w:spacing w:val="-2"/>
    </w:rPr>
  </w:style>
  <w:style w:type="paragraph" w:customStyle="1" w:styleId="bullets">
    <w:name w:val="bullets"/>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Pr>
      <w:rFonts w:ascii="Calibri" w:eastAsia="Calibri" w:hAnsi="Calibri" w:cs="Times New Roman"/>
      <w:lang w:val="es-ES_tradnl"/>
    </w:rPr>
  </w:style>
  <w:style w:type="paragraph" w:customStyle="1" w:styleId="heading-b24">
    <w:name w:val="heading-b24"/>
    <w:basedOn w:val="Normal"/>
    <w:next w:val="Normal"/>
    <w:pPr>
      <w:spacing w:after="600"/>
      <w:jc w:val="center"/>
    </w:pPr>
    <w:rPr>
      <w:rFonts w:ascii="Times New Roman Bold" w:hAnsi="Times New Roman Bold"/>
      <w:b/>
      <w:smallCaps/>
      <w:spacing w:val="-3"/>
    </w:rPr>
  </w:style>
  <w:style w:type="paragraph" w:styleId="NoSpacing">
    <w:name w:val="No Spacing"/>
    <w:uiPriority w:val="1"/>
    <w:qFormat/>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Pr>
      <w:color w:val="808080"/>
      <w:shd w:val="clear" w:color="auto" w:fill="E6E6E6"/>
    </w:rPr>
  </w:style>
  <w:style w:type="character" w:styleId="Strong">
    <w:name w:val="Strong"/>
    <w:basedOn w:val="DefaultParagraphFont"/>
    <w:uiPriority w:val="22"/>
    <w:qFormat/>
    <w:rPr>
      <w:b/>
      <w:bCs/>
    </w:rPr>
  </w:style>
  <w:style w:type="character" w:customStyle="1" w:styleId="ListParagraphChar">
    <w:name w:val="List Paragraph Char"/>
    <w:link w:val="ListParagraph"/>
    <w:uiPriority w:val="34"/>
    <w:locked/>
    <w:rPr>
      <w:rFonts w:ascii="Times New Roman" w:eastAsia="Times New Roman" w:hAnsi="Times New Roman" w:cs="Times New Roman"/>
      <w:sz w:val="24"/>
      <w:szCs w:val="20"/>
      <w:lang w:val="es-ES_tradnl"/>
    </w:rPr>
  </w:style>
  <w:style w:type="character" w:styleId="PlaceholderText">
    <w:name w:val="Placeholder Text"/>
    <w:basedOn w:val="DefaultParagraphFont"/>
    <w:uiPriority w:val="99"/>
    <w:semiHidden/>
    <w:rPr>
      <w:color w:val="808080"/>
    </w:rPr>
  </w:style>
  <w:style w:type="paragraph" w:customStyle="1" w:styleId="Char2">
    <w:name w:val="Char2"/>
    <w:basedOn w:val="Normal"/>
    <w:link w:val="FootnoteReference"/>
    <w:uiPriority w:val="99"/>
    <w:rsid w:val="0046422A"/>
    <w:pPr>
      <w:spacing w:after="160" w:line="240" w:lineRule="exact"/>
    </w:pPr>
    <w:rPr>
      <w:rFonts w:asciiTheme="minorHAnsi" w:eastAsiaTheme="minorHAnsi" w:hAnsiTheme="minorHAnsi" w:cstheme="minorBidi"/>
      <w:sz w:val="22"/>
      <w:szCs w:val="22"/>
      <w:vertAlign w:val="superscript"/>
      <w:lang w:val="en-US"/>
    </w:rPr>
  </w:style>
  <w:style w:type="table" w:customStyle="1" w:styleId="TableGrid3">
    <w:name w:val="Table Grid3"/>
    <w:basedOn w:val="TableNormal"/>
    <w:uiPriority w:val="59"/>
    <w:rsid w:val="00BF5BA6"/>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Text">
    <w:name w:val="Table Text"/>
    <w:basedOn w:val="Normal"/>
    <w:rsid w:val="00626524"/>
    <w:pPr>
      <w:spacing w:line="280" w:lineRule="atLeast"/>
      <w:jc w:val="both"/>
    </w:pPr>
    <w:rPr>
      <w:rFonts w:ascii="Arial" w:hAnsi="Arial"/>
      <w:sz w:val="16"/>
      <w:lang w:val="en-GB" w:eastAsia="fr-FR"/>
    </w:rPr>
  </w:style>
  <w:style w:type="paragraph" w:styleId="NormalWeb">
    <w:name w:val="Normal (Web)"/>
    <w:basedOn w:val="Normal"/>
    <w:uiPriority w:val="99"/>
    <w:semiHidden/>
    <w:unhideWhenUsed/>
    <w:rsid w:val="007B0ECC"/>
    <w:pPr>
      <w:spacing w:before="100" w:beforeAutospacing="1" w:after="100" w:afterAutospacing="1"/>
    </w:pPr>
    <w:rPr>
      <w:rFonts w:eastAsiaTheme="minorEastAsi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7519">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7887876">
      <w:bodyDiv w:val="1"/>
      <w:marLeft w:val="0"/>
      <w:marRight w:val="0"/>
      <w:marTop w:val="0"/>
      <w:marBottom w:val="0"/>
      <w:divBdr>
        <w:top w:val="none" w:sz="0" w:space="0" w:color="auto"/>
        <w:left w:val="none" w:sz="0" w:space="0" w:color="auto"/>
        <w:bottom w:val="none" w:sz="0" w:space="0" w:color="auto"/>
        <w:right w:val="none" w:sz="0" w:space="0" w:color="auto"/>
      </w:divBdr>
      <w:divsChild>
        <w:div w:id="1937664996">
          <w:marLeft w:val="0"/>
          <w:marRight w:val="0"/>
          <w:marTop w:val="0"/>
          <w:marBottom w:val="0"/>
          <w:divBdr>
            <w:top w:val="none" w:sz="0" w:space="0" w:color="auto"/>
            <w:left w:val="none" w:sz="0" w:space="0" w:color="auto"/>
            <w:bottom w:val="none" w:sz="0" w:space="0" w:color="auto"/>
            <w:right w:val="none" w:sz="0" w:space="0" w:color="auto"/>
          </w:divBdr>
        </w:div>
        <w:div w:id="809322959">
          <w:marLeft w:val="0"/>
          <w:marRight w:val="0"/>
          <w:marTop w:val="0"/>
          <w:marBottom w:val="0"/>
          <w:divBdr>
            <w:top w:val="none" w:sz="0" w:space="0" w:color="auto"/>
            <w:left w:val="none" w:sz="0" w:space="0" w:color="auto"/>
            <w:bottom w:val="none" w:sz="0" w:space="0" w:color="auto"/>
            <w:right w:val="none" w:sz="0" w:space="0" w:color="auto"/>
          </w:divBdr>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033921728">
      <w:bodyDiv w:val="1"/>
      <w:marLeft w:val="0"/>
      <w:marRight w:val="0"/>
      <w:marTop w:val="0"/>
      <w:marBottom w:val="0"/>
      <w:divBdr>
        <w:top w:val="none" w:sz="0" w:space="0" w:color="auto"/>
        <w:left w:val="none" w:sz="0" w:space="0" w:color="auto"/>
        <w:bottom w:val="none" w:sz="0" w:space="0" w:color="auto"/>
        <w:right w:val="none" w:sz="0" w:space="0" w:color="auto"/>
      </w:divBdr>
    </w:div>
    <w:div w:id="1320108772">
      <w:bodyDiv w:val="1"/>
      <w:marLeft w:val="0"/>
      <w:marRight w:val="0"/>
      <w:marTop w:val="0"/>
      <w:marBottom w:val="0"/>
      <w:divBdr>
        <w:top w:val="none" w:sz="0" w:space="0" w:color="auto"/>
        <w:left w:val="none" w:sz="0" w:space="0" w:color="auto"/>
        <w:bottom w:val="none" w:sz="0" w:space="0" w:color="auto"/>
        <w:right w:val="none" w:sz="0" w:space="0" w:color="auto"/>
      </w:divBdr>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 w:id="1851604896">
      <w:bodyDiv w:val="1"/>
      <w:marLeft w:val="0"/>
      <w:marRight w:val="0"/>
      <w:marTop w:val="0"/>
      <w:marBottom w:val="0"/>
      <w:divBdr>
        <w:top w:val="none" w:sz="0" w:space="0" w:color="auto"/>
        <w:left w:val="none" w:sz="0" w:space="0" w:color="auto"/>
        <w:bottom w:val="none" w:sz="0" w:space="0" w:color="auto"/>
        <w:right w:val="none" w:sz="0" w:space="0" w:color="auto"/>
      </w:divBdr>
    </w:div>
    <w:div w:id="210456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imf.org/external/np/pp/eng/2011/080511.pdf" TargetMode="Externa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www.imf.org/external/np/pp/eng/2011/0805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C9B46AB589ADB458F60887230EEA2B6" ma:contentTypeVersion="2478" ma:contentTypeDescription="A content type to manage public (operations) IDB documents" ma:contentTypeScope="" ma:versionID="8f83bd292598583bb31bd86ecb625da5">
  <xsd:schema xmlns:xsd="http://www.w3.org/2001/XMLSchema" xmlns:xs="http://www.w3.org/2001/XMLSchema" xmlns:p="http://schemas.microsoft.com/office/2006/metadata/properties" xmlns:ns2="cdc7663a-08f0-4737-9e8c-148ce897a09c" targetNamespace="http://schemas.microsoft.com/office/2006/metadata/properties" ma:root="true" ma:fieldsID="36732a318c86ba943dc8de26496fcd6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Diana Champi</Other_x0020_Author>
    <Migration_x0020_Info xmlns="cdc7663a-08f0-4737-9e8c-148ce897a09c" xsi:nil="true"/>
    <Approval_x0020_Number xmlns="cdc7663a-08f0-4737-9e8c-148ce897a09c">4825/OC-EC;</Approval_x0020_Number>
    <Phase xmlns="cdc7663a-08f0-4737-9e8c-148ce897a09c">ACTIVE</Phase>
    <Document_x0020_Author xmlns="cdc7663a-08f0-4737-9e8c-148ce897a09c">Gomez Reino, Juan Luis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136</Value>
      <Value>32</Value>
      <Value>3</Value>
      <Value>45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EC-L1252</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R0002888285</Record_x0020_Number>
    <_dlc_DocId xmlns="cdc7663a-08f0-4737-9e8c-148ce897a09c">EZSHARE-1396919263-7</_dlc_DocId>
    <_dlc_DocIdUrl xmlns="cdc7663a-08f0-4737-9e8c-148ce897a09c">
      <Url>https://idbg.sharepoint.com/teams/EZ-EC-LON/EC-L1252/_layouts/15/DocIdRedir.aspx?ID=EZSHARE-1396919263-7</Url>
      <Description>EZSHARE-1396919263-7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36ABD-AEA6-44AB-80C9-5C0E8CF45A85}">
  <ds:schemaRefs>
    <ds:schemaRef ds:uri="http://schemas.microsoft.com/sharepoint/v3/contenttype/forms"/>
  </ds:schemaRefs>
</ds:datastoreItem>
</file>

<file path=customXml/itemProps2.xml><?xml version="1.0" encoding="utf-8"?>
<ds:datastoreItem xmlns:ds="http://schemas.openxmlformats.org/officeDocument/2006/customXml" ds:itemID="{C0BC29F1-97EA-4A86-B560-C1F30B7B8BB4}">
  <ds:schemaRefs>
    <ds:schemaRef ds:uri="http://schemas.microsoft.com/sharepoint/events"/>
  </ds:schemaRefs>
</ds:datastoreItem>
</file>

<file path=customXml/itemProps3.xml><?xml version="1.0" encoding="utf-8"?>
<ds:datastoreItem xmlns:ds="http://schemas.openxmlformats.org/officeDocument/2006/customXml" ds:itemID="{86A42374-F400-4D7A-882D-897843CF9E4E}"/>
</file>

<file path=customXml/itemProps4.xml><?xml version="1.0" encoding="utf-8"?>
<ds:datastoreItem xmlns:ds="http://schemas.openxmlformats.org/officeDocument/2006/customXml" ds:itemID="{16BA824C-96C3-4ABA-A5B2-CAFB5D350CFF}">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35BEF613-C30B-4EE7-AB2D-8D2D332DD30A}"/>
</file>

<file path=customXml/itemProps6.xml><?xml version="1.0" encoding="utf-8"?>
<ds:datastoreItem xmlns:ds="http://schemas.openxmlformats.org/officeDocument/2006/customXml" ds:itemID="{062AEBA5-AD65-42BD-B078-1EB604DE2037}"/>
</file>

<file path=customXml/itemProps7.xml><?xml version="1.0" encoding="utf-8"?>
<ds:datastoreItem xmlns:ds="http://schemas.openxmlformats.org/officeDocument/2006/customXml" ds:itemID="{C2DE4F4B-A7B9-4CA1-B1A2-ECBB7D204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9068</Words>
  <Characters>51690</Characters>
  <Application>Microsoft Office Word</Application>
  <DocSecurity>0</DocSecurity>
  <Lines>430</Lines>
  <Paragraphs>121</Paragraphs>
  <ScaleCrop>false</ScaleCrop>
  <HeadingPairs>
    <vt:vector size="4" baseType="variant">
      <vt:variant>
        <vt:lpstr>Title</vt:lpstr>
      </vt:variant>
      <vt:variant>
        <vt:i4>1</vt:i4>
      </vt:variant>
      <vt:variant>
        <vt:lpstr>Headings</vt:lpstr>
      </vt:variant>
      <vt:variant>
        <vt:i4>61</vt:i4>
      </vt:variant>
    </vt:vector>
  </HeadingPairs>
  <TitlesOfParts>
    <vt:vector size="62" baseType="lpstr">
      <vt:lpstr/>
      <vt:lpstr>        Documento del Banco Interamericano de Desarrollo</vt:lpstr>
      <vt:lpstr/>
      <vt:lpstr/>
      <vt:lpstr>    El objetivo de este préstamo en apoyo de reformas de política de dos tramos (PBL</vt:lpstr>
      <vt:lpstr>    El PBL se estructura en cuatro componentes. El primero tiene el objetivo de mant</vt:lpstr>
      <vt:lpstr>    Componente I. Estabilidad macroeconómica. El objetivo es mantener un contexto ma</vt:lpstr>
      <vt:lpstr>    Componente II. Fortalecimiento del marco de responsabilidad fiscal y de la trans</vt:lpstr>
      <vt:lpstr>    Fortalecimiento del marco de responsabilidad fiscal. Para el primer tramo se est</vt:lpstr>
      <vt:lpstr>    Para el segundo tramo se establece: fortalecimiento del marco de responsabilidad</vt:lpstr>
      <vt:lpstr>    Fortalecimiento de la transparencia en las estadísticas de deuda pública. Para e</vt:lpstr>
      <vt:lpstr>    Para el segundo tramo se establece: fortalecimiento de la transparencia en las e</vt:lpstr>
      <vt:lpstr>    Componente III. Mejora en la calidad y eficiencia del gasto. El objetivo de este</vt:lpstr>
      <vt:lpstr>    Fortalecimiento institucional. Para el primer tramo, se establece: fortalecimien</vt:lpstr>
      <vt:lpstr>    Para el segundo tramo se establece: fortalecimiento de la DNCGP en el MEF, a tra</vt:lpstr>
      <vt:lpstr>    Mejora de la capacidad fiscal para IP con contribución privada mediante APP. Par</vt:lpstr>
      <vt:lpstr>    Para el segundo tramo se establece: mejora de la capacidad fiscal para la IP con</vt:lpstr>
      <vt:lpstr>    Fortalecimiento de la gestión y control del Estado sobre las EEPP de la función </vt:lpstr>
      <vt:lpstr>    Para el segundo tramo se establece: (i) fortalecimiento de la gestión y control </vt:lpstr>
      <vt:lpstr>    Componente IV. Mejora en la eficiencia y transparencia de la política y gestión </vt:lpstr>
      <vt:lpstr>    Mejorar de la transparencia de la gestión tributaria. Para el primer tramo, se e</vt:lpstr>
      <vt:lpstr>    Para el segundo tramo se establece: (i) implementación de la CAAM, incluyendo: (</vt:lpstr>
      <vt:lpstr>    Mejorar de la eficiencia de la gestión tributaria. Para el primer tramo, se esta</vt:lpstr>
      <vt:lpstr>    Para el segundo tramo se establece: (i) incorporación de la propuesta técnica de</vt:lpstr>
      <vt:lpstr>    A lo largo de la ejecución del presente PBL, se hará seguimiento continuo a los </vt:lpstr>
      <vt:lpstr>    A nivel de productos, la información será presentada por el MEF al BID, como par</vt:lpstr>
      <vt:lpstr>    Para el monitoreo de los resultados, se utilizará la información publicada en me</vt:lpstr>
      <vt:lpstr>    El principal insumo de monitoreo de la operación será el informe de cumplimiento</vt:lpstr>
      <vt:lpstr>    La evaluación final del programa se realizará al finalizar el plazo de ejecución</vt:lpstr>
      <vt:lpstr>    Las actividades de monitoreo y elaboración de informes serán coordinadas por el </vt:lpstr>
      <vt:lpstr>    El Equipo de proyecto realizará misiones de supervisión, que coincidirán con las</vt:lpstr>
      <vt:lpstr>    El MEF proveerá los datos para la realización de las evaluaciones. Las evaluacio</vt:lpstr>
      <vt:lpstr>    El objetivo de este PBL es contribuir a la estabilidad fiscal a través de: (i) f</vt:lpstr>
      <vt:lpstr>    </vt:lpstr>
      <vt:lpstr>    Cuadro 3: Indicadores de impacto y resultados </vt:lpstr>
      <vt:lpstr>    Para la evaluación ex post, las principales preguntas están referidas a si las r</vt:lpstr>
      <vt:lpstr>    Existen diversos análisis que dan cuenta de opciones para fortalecer la gestión </vt:lpstr>
      <vt:lpstr>    Gestión macro-fiscal.  La presente operación se enfoca en el fortalecimiento del</vt:lpstr>
      <vt:lpstr>    Gestión del gasto y de la inversión pública.  La operación apoya la mejora en la</vt:lpstr>
      <vt:lpstr>    Por otro lado, la operación apoya la mejora de la capacidad fiscal para la inver</vt:lpstr>
      <vt:lpstr>    Gestión de Empresas Públicas. La operación contempla el fortalecimiento de gober</vt:lpstr>
      <vt:lpstr>    Política y gestión tributaria. La presente operación contempla medidas para mejo</vt:lpstr>
      <vt:lpstr>    Con respecto a la evidencia para países en desarrollo, Pomeranz (2015) analiza c</vt:lpstr>
      <vt:lpstr>    La evaluación ex post del programa constará de dos partes.  Por un lado, se real</vt:lpstr>
      <vt:lpstr>    El AFF es la reducción del costo financiero de un gobierno debido a una menor de</vt:lpstr>
      <vt:lpstr>    Adicionalmente, como parte de la evaluación ex post de la operación se analizará</vt:lpstr>
      <vt:lpstr>    Ahorro Financiero Fiscal. Como se mencionó en la sección anterior, existen dos v</vt:lpstr>
      <vt:lpstr>    Efecto sobre el balance primario y la evolución de la deuda.  El primer paso en </vt:lpstr>
      <vt:lpstr>    Una vez determinado el cambio en la trayectoria en el balance primario, el segun</vt:lpstr>
      <vt:lpstr>    donde, ,∆𝑑-𝑡-. es el primer factor considerado en el cálculo del ahorro financ</vt:lpstr>
      <vt:lpstr>    Efecto del nivel de deuda en las tasas de interés.  La segunda fuente de reducci</vt:lpstr>
      <vt:lpstr>    La ecuación (3) indica que el nivel de la tasa de interés es una función increme</vt:lpstr>
      <vt:lpstr>    Ahorro Financiero Fiscal.  El AFF está definido por los ahorros generados en tod</vt:lpstr>
      <vt:lpstr>    donde, 𝑖(𝑑) representa el costo promedio de la deuda pública, ,𝑟-𝑡-. la tasa</vt:lpstr>
      <vt:lpstr>    Evaluación del impacto del sistema de retención del IVA a servicios digitales.  </vt:lpstr>
      <vt:lpstr>    Descripción de la metodología: El objetivo de la evaluación será evaluar el impa</vt:lpstr>
      <vt:lpstr>    Tratamiento y grupo de control:  Para poder aplicar la metodología, se aprovecha</vt:lpstr>
      <vt:lpstr>    Recopilación de datos: Se utilizarán datos administrativos provistos por el SRI </vt:lpstr>
      <vt:lpstr>    Estimación del impacto causal: Para la evaluación del impacto causal de la imple</vt:lpstr>
      <vt:lpstr>    en el cual, ,𝑌-𝑖𝑗𝑡. captura el pago de IVA para el servicio digital j por pa</vt:lpstr>
      <vt:lpstr>    Recolección de datos. El plan de evaluación será ejecutado por el BID en estrech</vt:lpstr>
      <vt:lpstr>    </vt:lpstr>
    </vt:vector>
  </TitlesOfParts>
  <Company/>
  <LinksUpToDate>false</LinksUpToDate>
  <CharactersWithSpaces>60637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2019-06-10T17:56:00Z</dcterms:created>
  <dcterms:modified xsi:type="dcterms:W3CDTF">2019-06-12T19:53:00Z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136;#FISCAL POLICY FOR SUSTAINABILITY AND GROWTH|6e15b5e0-ae82-4b06-920a-eef6dd27cc8b</vt:lpwstr>
  </property>
  <property fmtid="{D5CDD505-2E9C-101B-9397-08002B2CF9AE}" pid="6" name="Fund IDB">
    <vt:lpwstr/>
  </property>
  <property fmtid="{D5CDD505-2E9C-101B-9397-08002B2CF9AE}" pid="7" name="Country">
    <vt:lpwstr>32;#Ecuador|8f163189-00fa-4e7c-827d-28fb5798781c</vt:lpwstr>
  </property>
  <property fmtid="{D5CDD505-2E9C-101B-9397-08002B2CF9AE}" pid="8" name="Sector IDB">
    <vt:lpwstr>45;#REFORM / MODERNIZATION OF THE STATE|c8fda4a7-691a-4c65-b227-9825197b5cd2</vt:lpwstr>
  </property>
  <property fmtid="{D5CDD505-2E9C-101B-9397-08002B2CF9AE}" pid="9" name="Function Operations IDB">
    <vt:lpwstr>3;#Monitoring and Reporting|df3c2aa1-d63e-41aa-b1f5-bb15dee691ca</vt:lpwstr>
  </property>
  <property fmtid="{D5CDD505-2E9C-101B-9397-08002B2CF9AE}" pid="10" name="_dlc_DocIdItemGuid">
    <vt:lpwstr>9231c4bc-f78a-4333-bd98-683133df7aae</vt:lpwstr>
  </property>
  <property fmtid="{D5CDD505-2E9C-101B-9397-08002B2CF9AE}" pid="12" name="Disclosure Activity">
    <vt:lpwstr>Electronic Links</vt:lpwstr>
  </property>
  <property fmtid="{D5CDD505-2E9C-101B-9397-08002B2CF9AE}" pid="18" name="Disclosed">
    <vt:bool>false</vt:bool>
  </property>
  <property fmtid="{D5CDD505-2E9C-101B-9397-08002B2CF9AE}" pid="19" name="ContentTypeId">
    <vt:lpwstr>0x0101001A458A224826124E8B45B1D613300CFC009C9B46AB589ADB458F60887230EEA2B6</vt:lpwstr>
  </property>
</Properties>
</file>