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05A88" w14:textId="77777777" w:rsidR="00BE13E5" w:rsidRDefault="00BE13E5" w:rsidP="00BF5444">
      <w:pPr>
        <w:jc w:val="center"/>
        <w:rPr>
          <w:rFonts w:ascii="Arial" w:hAnsi="Arial" w:cs="Arial"/>
          <w:sz w:val="28"/>
          <w:szCs w:val="28"/>
          <w:lang w:val="es-ES"/>
        </w:rPr>
      </w:pPr>
      <w:bookmarkStart w:id="0" w:name="_GoBack"/>
      <w:bookmarkEnd w:id="0"/>
    </w:p>
    <w:p w14:paraId="556E0B71" w14:textId="77777777" w:rsidR="00BE13E5" w:rsidRDefault="00BE13E5" w:rsidP="00BF5444">
      <w:pPr>
        <w:jc w:val="center"/>
        <w:rPr>
          <w:rFonts w:ascii="Arial" w:hAnsi="Arial" w:cs="Arial"/>
          <w:sz w:val="28"/>
          <w:szCs w:val="28"/>
          <w:lang w:val="es-ES"/>
        </w:rPr>
      </w:pPr>
    </w:p>
    <w:p w14:paraId="79B9C770" w14:textId="77777777" w:rsidR="00BE13E5" w:rsidRDefault="00BE13E5" w:rsidP="00BF5444">
      <w:pPr>
        <w:jc w:val="center"/>
        <w:rPr>
          <w:rFonts w:ascii="Arial" w:hAnsi="Arial" w:cs="Arial"/>
          <w:sz w:val="28"/>
          <w:szCs w:val="28"/>
          <w:lang w:val="es-ES"/>
        </w:rPr>
      </w:pPr>
    </w:p>
    <w:p w14:paraId="67250846" w14:textId="77777777" w:rsidR="00BE13E5" w:rsidRDefault="00BE13E5" w:rsidP="00BF5444">
      <w:pPr>
        <w:jc w:val="center"/>
        <w:rPr>
          <w:rFonts w:ascii="Arial" w:hAnsi="Arial" w:cs="Arial"/>
          <w:sz w:val="28"/>
          <w:szCs w:val="28"/>
          <w:lang w:val="es-ES"/>
        </w:rPr>
      </w:pPr>
    </w:p>
    <w:p w14:paraId="0684AEBF" w14:textId="77777777" w:rsidR="007A2F3E" w:rsidRPr="00F64E64" w:rsidRDefault="007A2F3E">
      <w:pPr>
        <w:jc w:val="center"/>
        <w:rPr>
          <w:rFonts w:ascii="Arial" w:hAnsi="Arial" w:cs="Arial"/>
          <w:lang w:val="es-ES"/>
        </w:rPr>
      </w:pPr>
      <w:r w:rsidRPr="00F64E64">
        <w:rPr>
          <w:rFonts w:ascii="Arial" w:hAnsi="Arial" w:cs="Arial"/>
          <w:lang w:val="es-ES"/>
        </w:rPr>
        <w:t>Documento del Banco Interamericano de Desarrollo</w:t>
      </w:r>
    </w:p>
    <w:p w14:paraId="2B307888" w14:textId="77777777" w:rsidR="007A2F3E" w:rsidRPr="00C22824" w:rsidRDefault="007A2F3E" w:rsidP="007A2F3E">
      <w:pPr>
        <w:keepNext/>
        <w:jc w:val="center"/>
        <w:outlineLvl w:val="0"/>
        <w:rPr>
          <w:rFonts w:ascii="Arial" w:hAnsi="Arial" w:cs="Arial"/>
          <w:sz w:val="28"/>
          <w:szCs w:val="28"/>
          <w:lang w:val="es-ES"/>
        </w:rPr>
      </w:pPr>
    </w:p>
    <w:p w14:paraId="7D8CB426" w14:textId="77777777" w:rsidR="007A2F3E" w:rsidRPr="00C22824" w:rsidRDefault="007A2F3E" w:rsidP="007A2F3E">
      <w:pPr>
        <w:keepNext/>
        <w:jc w:val="center"/>
        <w:rPr>
          <w:rFonts w:ascii="Arial" w:hAnsi="Arial" w:cs="Arial"/>
          <w:sz w:val="28"/>
          <w:szCs w:val="28"/>
          <w:lang w:val="es-ES"/>
        </w:rPr>
      </w:pPr>
    </w:p>
    <w:p w14:paraId="19E7FF3B" w14:textId="77777777" w:rsidR="007A2F3E" w:rsidRPr="00F64E64" w:rsidRDefault="007A2F3E">
      <w:pPr>
        <w:keepNext/>
        <w:jc w:val="center"/>
        <w:rPr>
          <w:rFonts w:ascii="Arial" w:hAnsi="Arial" w:cs="Arial"/>
          <w:b/>
          <w:bCs/>
          <w:smallCaps/>
          <w:sz w:val="28"/>
          <w:szCs w:val="28"/>
          <w:lang w:val="es-ES"/>
        </w:rPr>
      </w:pPr>
      <w:r w:rsidRPr="00F64E64">
        <w:rPr>
          <w:rFonts w:ascii="Arial" w:hAnsi="Arial" w:cs="Arial"/>
          <w:b/>
          <w:bCs/>
          <w:smallCaps/>
          <w:sz w:val="28"/>
          <w:szCs w:val="28"/>
          <w:lang w:val="es-ES"/>
        </w:rPr>
        <w:t>Bolivia</w:t>
      </w:r>
    </w:p>
    <w:p w14:paraId="743743C9" w14:textId="77777777" w:rsidR="007A2F3E" w:rsidRPr="00C22824" w:rsidRDefault="007A2F3E" w:rsidP="007A2F3E">
      <w:pPr>
        <w:keepNext/>
        <w:jc w:val="center"/>
        <w:rPr>
          <w:rFonts w:ascii="Arial" w:hAnsi="Arial" w:cs="Arial"/>
          <w:b/>
          <w:smallCaps/>
          <w:sz w:val="28"/>
          <w:szCs w:val="28"/>
          <w:lang w:val="es-ES"/>
        </w:rPr>
      </w:pPr>
    </w:p>
    <w:p w14:paraId="07306F8F" w14:textId="77777777" w:rsidR="007A2F3E" w:rsidRPr="00C22824" w:rsidRDefault="007A2F3E" w:rsidP="007A2F3E">
      <w:pPr>
        <w:keepNext/>
        <w:jc w:val="center"/>
        <w:rPr>
          <w:rFonts w:ascii="Arial" w:hAnsi="Arial" w:cs="Arial"/>
          <w:b/>
          <w:smallCaps/>
          <w:sz w:val="28"/>
          <w:szCs w:val="28"/>
          <w:lang w:val="es-ES"/>
        </w:rPr>
      </w:pPr>
    </w:p>
    <w:p w14:paraId="68346609" w14:textId="77777777" w:rsidR="007A2F3E" w:rsidRPr="00C22824" w:rsidRDefault="007A2F3E" w:rsidP="007A2F3E">
      <w:pPr>
        <w:keepNext/>
        <w:jc w:val="center"/>
        <w:rPr>
          <w:rFonts w:ascii="Arial" w:hAnsi="Arial" w:cs="Arial"/>
          <w:b/>
          <w:smallCaps/>
          <w:sz w:val="28"/>
          <w:szCs w:val="28"/>
          <w:lang w:val="es-ES"/>
        </w:rPr>
      </w:pPr>
    </w:p>
    <w:p w14:paraId="3D3B641A" w14:textId="77777777" w:rsidR="007A2F3E" w:rsidRPr="00C22824" w:rsidRDefault="007A2F3E" w:rsidP="007A2F3E">
      <w:pPr>
        <w:keepNext/>
        <w:jc w:val="center"/>
        <w:rPr>
          <w:rFonts w:ascii="Arial" w:hAnsi="Arial" w:cs="Arial"/>
          <w:b/>
          <w:smallCaps/>
          <w:sz w:val="28"/>
          <w:szCs w:val="28"/>
          <w:lang w:val="es-ES"/>
        </w:rPr>
      </w:pPr>
    </w:p>
    <w:p w14:paraId="2A7C0473" w14:textId="77777777" w:rsidR="007A2F3E" w:rsidRPr="00F64E64" w:rsidRDefault="007A2F3E">
      <w:pPr>
        <w:keepNext/>
        <w:jc w:val="center"/>
        <w:rPr>
          <w:rFonts w:ascii="Arial" w:hAnsi="Arial" w:cs="Arial"/>
          <w:b/>
          <w:bCs/>
          <w:smallCaps/>
          <w:sz w:val="28"/>
          <w:szCs w:val="28"/>
          <w:lang w:val="es-ES"/>
        </w:rPr>
      </w:pPr>
      <w:r w:rsidRPr="00F64E64">
        <w:rPr>
          <w:rFonts w:ascii="Arial" w:hAnsi="Arial" w:cs="Arial"/>
          <w:b/>
          <w:bCs/>
          <w:smallCaps/>
          <w:sz w:val="28"/>
          <w:szCs w:val="28"/>
          <w:lang w:val="es-ES"/>
        </w:rPr>
        <w:t>Programa de Reforma de Políticas del Sector Transporte</w:t>
      </w:r>
      <w:r w:rsidR="00E57F9A" w:rsidRPr="00F64E64">
        <w:rPr>
          <w:rFonts w:ascii="Arial" w:hAnsi="Arial" w:cs="Arial"/>
          <w:b/>
          <w:bCs/>
          <w:smallCaps/>
          <w:sz w:val="28"/>
          <w:szCs w:val="28"/>
          <w:lang w:val="es-ES"/>
        </w:rPr>
        <w:t xml:space="preserve"> II</w:t>
      </w:r>
    </w:p>
    <w:p w14:paraId="72C382CC" w14:textId="77777777" w:rsidR="007A2F3E" w:rsidRPr="00C22824" w:rsidRDefault="007A2F3E" w:rsidP="007A2F3E">
      <w:pPr>
        <w:keepNext/>
        <w:jc w:val="center"/>
        <w:rPr>
          <w:rFonts w:ascii="Arial" w:hAnsi="Arial" w:cs="Arial"/>
          <w:b/>
          <w:smallCaps/>
          <w:sz w:val="28"/>
          <w:szCs w:val="28"/>
          <w:lang w:val="es-ES"/>
        </w:rPr>
      </w:pPr>
    </w:p>
    <w:p w14:paraId="517DAFD7" w14:textId="77777777" w:rsidR="007A2F3E" w:rsidRPr="00C22824" w:rsidRDefault="007A2F3E" w:rsidP="007A2F3E">
      <w:pPr>
        <w:keepNext/>
        <w:jc w:val="center"/>
        <w:rPr>
          <w:rFonts w:ascii="Arial" w:hAnsi="Arial" w:cs="Arial"/>
          <w:b/>
          <w:smallCaps/>
          <w:sz w:val="28"/>
          <w:szCs w:val="28"/>
          <w:lang w:val="es-ES"/>
        </w:rPr>
      </w:pPr>
    </w:p>
    <w:p w14:paraId="5DCF9BF4" w14:textId="77777777" w:rsidR="007A2F3E" w:rsidRPr="00C22824" w:rsidRDefault="007A2F3E" w:rsidP="007A2F3E">
      <w:pPr>
        <w:keepNext/>
        <w:jc w:val="center"/>
        <w:rPr>
          <w:rFonts w:ascii="Arial" w:hAnsi="Arial" w:cs="Arial"/>
          <w:smallCaps/>
          <w:sz w:val="28"/>
          <w:szCs w:val="28"/>
          <w:lang w:val="es-ES"/>
        </w:rPr>
      </w:pPr>
      <w:r w:rsidRPr="00F64E64">
        <w:rPr>
          <w:rFonts w:ascii="Arial" w:hAnsi="Arial" w:cs="Arial"/>
          <w:b/>
          <w:bCs/>
          <w:smallCaps/>
          <w:sz w:val="28"/>
          <w:szCs w:val="28"/>
          <w:lang w:val="es-ES"/>
        </w:rPr>
        <w:t>(BO-L1</w:t>
      </w:r>
      <w:r w:rsidR="00E57F9A" w:rsidRPr="00F64E64">
        <w:rPr>
          <w:rFonts w:ascii="Arial" w:hAnsi="Arial" w:cs="Arial"/>
          <w:b/>
          <w:bCs/>
          <w:smallCaps/>
          <w:sz w:val="28"/>
          <w:szCs w:val="28"/>
          <w:lang w:val="es-ES"/>
        </w:rPr>
        <w:t>112</w:t>
      </w:r>
      <w:r w:rsidRPr="00F64E64">
        <w:rPr>
          <w:rFonts w:ascii="Arial" w:hAnsi="Arial" w:cs="Arial"/>
          <w:b/>
          <w:bCs/>
          <w:smallCaps/>
          <w:sz w:val="28"/>
          <w:szCs w:val="28"/>
          <w:lang w:val="es-ES"/>
        </w:rPr>
        <w:t>)</w:t>
      </w:r>
    </w:p>
    <w:p w14:paraId="009EB91C" w14:textId="77777777" w:rsidR="007A2F3E" w:rsidRPr="00C22824" w:rsidRDefault="007A2F3E" w:rsidP="007A2F3E">
      <w:pPr>
        <w:keepNext/>
        <w:jc w:val="center"/>
        <w:rPr>
          <w:rFonts w:ascii="Arial" w:hAnsi="Arial" w:cs="Arial"/>
          <w:smallCaps/>
          <w:sz w:val="28"/>
          <w:szCs w:val="28"/>
          <w:lang w:val="es-ES"/>
        </w:rPr>
      </w:pPr>
    </w:p>
    <w:p w14:paraId="64301600" w14:textId="77777777" w:rsidR="007A2F3E" w:rsidRPr="00C22824" w:rsidRDefault="007A2F3E" w:rsidP="007A2F3E">
      <w:pPr>
        <w:keepNext/>
        <w:jc w:val="center"/>
        <w:rPr>
          <w:rFonts w:ascii="Arial" w:hAnsi="Arial" w:cs="Arial"/>
          <w:smallCaps/>
          <w:sz w:val="28"/>
          <w:szCs w:val="28"/>
          <w:lang w:val="es-ES"/>
        </w:rPr>
      </w:pPr>
    </w:p>
    <w:p w14:paraId="23C8EBFF" w14:textId="77777777" w:rsidR="007A2F3E" w:rsidRPr="00C22824" w:rsidRDefault="007A2F3E" w:rsidP="00BF5444">
      <w:pPr>
        <w:jc w:val="center"/>
        <w:rPr>
          <w:rFonts w:ascii="Arial" w:hAnsi="Arial" w:cs="Arial"/>
          <w:sz w:val="28"/>
          <w:szCs w:val="28"/>
          <w:lang w:val="es-ES"/>
        </w:rPr>
      </w:pPr>
    </w:p>
    <w:p w14:paraId="6E126D73" w14:textId="77777777" w:rsidR="007A2F3E" w:rsidRPr="00F64E64" w:rsidRDefault="007A2F3E">
      <w:pPr>
        <w:jc w:val="center"/>
        <w:rPr>
          <w:rFonts w:ascii="Arial" w:hAnsi="Arial" w:cs="Arial"/>
          <w:b/>
          <w:bCs/>
          <w:smallCaps/>
          <w:sz w:val="28"/>
          <w:szCs w:val="28"/>
          <w:lang w:val="es-ES"/>
        </w:rPr>
      </w:pPr>
      <w:r w:rsidRPr="00F64E64">
        <w:rPr>
          <w:rFonts w:ascii="Arial" w:hAnsi="Arial" w:cs="Arial"/>
          <w:b/>
          <w:bCs/>
          <w:smallCaps/>
          <w:sz w:val="28"/>
          <w:szCs w:val="28"/>
          <w:lang w:val="es-ES"/>
        </w:rPr>
        <w:t>Plan de Monitoreo y Evaluación</w:t>
      </w:r>
    </w:p>
    <w:p w14:paraId="53FDD07C" w14:textId="77777777" w:rsidR="007A2F3E" w:rsidRPr="00C22824" w:rsidRDefault="007A2F3E" w:rsidP="007A2F3E">
      <w:pPr>
        <w:keepNext/>
        <w:jc w:val="center"/>
        <w:rPr>
          <w:rFonts w:ascii="Arial" w:hAnsi="Arial" w:cs="Arial"/>
          <w:lang w:val="es-ES"/>
        </w:rPr>
      </w:pPr>
    </w:p>
    <w:p w14:paraId="4B33FAB1" w14:textId="77777777" w:rsidR="007A2F3E" w:rsidRPr="00C22824" w:rsidRDefault="007A2F3E" w:rsidP="007A2F3E">
      <w:pPr>
        <w:keepNext/>
        <w:jc w:val="center"/>
        <w:rPr>
          <w:rFonts w:ascii="Arial" w:hAnsi="Arial" w:cs="Arial"/>
          <w:lang w:val="es-ES"/>
        </w:rPr>
      </w:pPr>
    </w:p>
    <w:p w14:paraId="24252362" w14:textId="77777777" w:rsidR="007A2F3E" w:rsidRDefault="007A2F3E" w:rsidP="007A2F3E">
      <w:pPr>
        <w:keepNext/>
        <w:tabs>
          <w:tab w:val="left" w:pos="1440"/>
          <w:tab w:val="left" w:pos="3060"/>
        </w:tabs>
        <w:jc w:val="center"/>
        <w:rPr>
          <w:rFonts w:ascii="Arial" w:hAnsi="Arial" w:cs="Arial"/>
          <w:lang w:val="es-ES"/>
        </w:rPr>
      </w:pPr>
    </w:p>
    <w:p w14:paraId="12ABF5CF" w14:textId="77777777" w:rsidR="005F711A" w:rsidRDefault="005F711A" w:rsidP="007A2F3E">
      <w:pPr>
        <w:keepNext/>
        <w:tabs>
          <w:tab w:val="left" w:pos="1440"/>
          <w:tab w:val="left" w:pos="3060"/>
        </w:tabs>
        <w:jc w:val="center"/>
        <w:rPr>
          <w:rFonts w:ascii="Arial" w:hAnsi="Arial" w:cs="Arial"/>
          <w:lang w:val="es-ES"/>
        </w:rPr>
      </w:pPr>
    </w:p>
    <w:p w14:paraId="6A01C776" w14:textId="77777777" w:rsidR="005F711A" w:rsidRDefault="005F711A" w:rsidP="007A2F3E">
      <w:pPr>
        <w:keepNext/>
        <w:tabs>
          <w:tab w:val="left" w:pos="1440"/>
          <w:tab w:val="left" w:pos="3060"/>
        </w:tabs>
        <w:jc w:val="center"/>
        <w:rPr>
          <w:rFonts w:ascii="Arial" w:hAnsi="Arial" w:cs="Arial"/>
          <w:lang w:val="es-ES"/>
        </w:rPr>
      </w:pPr>
    </w:p>
    <w:p w14:paraId="614DDBB9" w14:textId="77777777" w:rsidR="005F711A" w:rsidRDefault="005F711A" w:rsidP="007A2F3E">
      <w:pPr>
        <w:keepNext/>
        <w:tabs>
          <w:tab w:val="left" w:pos="1440"/>
          <w:tab w:val="left" w:pos="3060"/>
        </w:tabs>
        <w:jc w:val="center"/>
        <w:rPr>
          <w:rFonts w:ascii="Arial" w:hAnsi="Arial" w:cs="Arial"/>
          <w:lang w:val="es-ES"/>
        </w:rPr>
      </w:pPr>
    </w:p>
    <w:p w14:paraId="7140F3E7" w14:textId="77777777" w:rsidR="005F711A" w:rsidRDefault="005F711A" w:rsidP="007A2F3E">
      <w:pPr>
        <w:keepNext/>
        <w:tabs>
          <w:tab w:val="left" w:pos="1440"/>
          <w:tab w:val="left" w:pos="3060"/>
        </w:tabs>
        <w:jc w:val="center"/>
        <w:rPr>
          <w:rFonts w:ascii="Arial" w:hAnsi="Arial" w:cs="Arial"/>
          <w:lang w:val="es-ES"/>
        </w:rPr>
      </w:pPr>
    </w:p>
    <w:p w14:paraId="63D9DF33" w14:textId="77777777" w:rsidR="005F711A" w:rsidRDefault="005F711A" w:rsidP="007A2F3E">
      <w:pPr>
        <w:keepNext/>
        <w:tabs>
          <w:tab w:val="left" w:pos="1440"/>
          <w:tab w:val="left" w:pos="3060"/>
        </w:tabs>
        <w:jc w:val="center"/>
        <w:rPr>
          <w:rFonts w:ascii="Arial" w:hAnsi="Arial" w:cs="Arial"/>
          <w:lang w:val="es-ES"/>
        </w:rPr>
      </w:pPr>
    </w:p>
    <w:p w14:paraId="38549227" w14:textId="77777777" w:rsidR="005F711A" w:rsidRDefault="005F711A" w:rsidP="007A2F3E">
      <w:pPr>
        <w:keepNext/>
        <w:tabs>
          <w:tab w:val="left" w:pos="1440"/>
          <w:tab w:val="left" w:pos="3060"/>
        </w:tabs>
        <w:jc w:val="center"/>
        <w:rPr>
          <w:rFonts w:ascii="Arial" w:hAnsi="Arial" w:cs="Arial"/>
          <w:lang w:val="es-ES"/>
        </w:rPr>
      </w:pPr>
    </w:p>
    <w:p w14:paraId="1F77A7DB" w14:textId="77777777" w:rsidR="005F711A" w:rsidRDefault="005F711A" w:rsidP="007A2F3E">
      <w:pPr>
        <w:keepNext/>
        <w:tabs>
          <w:tab w:val="left" w:pos="1440"/>
          <w:tab w:val="left" w:pos="3060"/>
        </w:tabs>
        <w:jc w:val="center"/>
        <w:rPr>
          <w:rFonts w:ascii="Arial" w:hAnsi="Arial" w:cs="Arial"/>
          <w:lang w:val="es-ES"/>
        </w:rPr>
      </w:pPr>
    </w:p>
    <w:p w14:paraId="3A184EDC" w14:textId="77777777" w:rsidR="005F711A" w:rsidRDefault="005F711A" w:rsidP="007A2F3E">
      <w:pPr>
        <w:keepNext/>
        <w:tabs>
          <w:tab w:val="left" w:pos="1440"/>
          <w:tab w:val="left" w:pos="3060"/>
        </w:tabs>
        <w:jc w:val="center"/>
        <w:rPr>
          <w:rFonts w:ascii="Arial" w:hAnsi="Arial" w:cs="Arial"/>
          <w:lang w:val="es-ES"/>
        </w:rPr>
      </w:pPr>
    </w:p>
    <w:p w14:paraId="519611E2" w14:textId="77777777" w:rsidR="005F711A" w:rsidRPr="00C22824" w:rsidRDefault="005F711A" w:rsidP="007A2F3E">
      <w:pPr>
        <w:keepNext/>
        <w:tabs>
          <w:tab w:val="left" w:pos="1440"/>
          <w:tab w:val="left" w:pos="3060"/>
        </w:tabs>
        <w:jc w:val="center"/>
        <w:rPr>
          <w:rFonts w:ascii="Arial" w:hAnsi="Arial" w:cs="Arial"/>
          <w:lang w:val="es-ES"/>
        </w:rPr>
      </w:pPr>
    </w:p>
    <w:p w14:paraId="2FF8AC39" w14:textId="19CA1E02" w:rsidR="00D23722" w:rsidRPr="00C22824" w:rsidRDefault="00D23722" w:rsidP="00D23722">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sidRPr="00C22824">
        <w:rPr>
          <w:rFonts w:ascii="Arial" w:hAnsi="Arial" w:cs="Arial"/>
          <w:sz w:val="22"/>
          <w:szCs w:val="22"/>
          <w:lang w:val="es-ES"/>
        </w:rPr>
        <w:t>Este documento fue preparado por el equipo de proyecto integrado por: Raúl Rodríguez-Molina (INE/TSP) Jefe de Equipo; Rafael Capristán (TSP/CPE)</w:t>
      </w:r>
      <w:r w:rsidR="00035AE4">
        <w:rPr>
          <w:rFonts w:ascii="Arial" w:hAnsi="Arial" w:cs="Arial"/>
          <w:sz w:val="22"/>
          <w:szCs w:val="22"/>
          <w:lang w:val="es-ES"/>
        </w:rPr>
        <w:t xml:space="preserve"> Jefe de Equipo Alterno</w:t>
      </w:r>
      <w:r w:rsidRPr="00C22824">
        <w:rPr>
          <w:rFonts w:ascii="Arial" w:hAnsi="Arial" w:cs="Arial"/>
          <w:sz w:val="22"/>
          <w:szCs w:val="22"/>
          <w:lang w:val="es-ES"/>
        </w:rPr>
        <w:t xml:space="preserve">; Shirley Cañete y Jorge Tapia (TSP/CBO); Alejandro Taddia, Laureen Montes Calero y Agustina Cocha (INE/TSP); </w:t>
      </w:r>
      <w:r w:rsidR="00035AE4">
        <w:rPr>
          <w:rFonts w:ascii="Arial" w:hAnsi="Arial" w:cs="Arial"/>
          <w:sz w:val="22"/>
          <w:szCs w:val="22"/>
          <w:lang w:val="es-ES"/>
        </w:rPr>
        <w:t xml:space="preserve">Louis-François Chrétien </w:t>
      </w:r>
      <w:r w:rsidRPr="00C22824">
        <w:rPr>
          <w:rFonts w:ascii="Arial" w:hAnsi="Arial" w:cs="Arial"/>
          <w:sz w:val="22"/>
          <w:szCs w:val="22"/>
          <w:lang w:val="es-ES"/>
        </w:rPr>
        <w:t>(LEG/SGO); Jorge Cossio (CAN/CBO); Carolina Escudero (FMP/CBO); Marlene Arguello (FMP/CVE) y Tahon Renaud (VPS/ESG).</w:t>
      </w:r>
    </w:p>
    <w:p w14:paraId="43149209" w14:textId="77777777" w:rsidR="00666520" w:rsidRPr="00C22824" w:rsidRDefault="00666520" w:rsidP="00D23722">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lang w:val="es-ES"/>
        </w:rPr>
        <w:sectPr w:rsidR="00666520" w:rsidRPr="00C22824" w:rsidSect="00666520">
          <w:headerReference w:type="default" r:id="rId14"/>
          <w:footerReference w:type="default" r:id="rId15"/>
          <w:pgSz w:w="12240" w:h="15840"/>
          <w:pgMar w:top="1440" w:right="1627" w:bottom="1440" w:left="1440" w:header="720" w:footer="720" w:gutter="0"/>
          <w:cols w:space="720"/>
          <w:titlePg/>
          <w:docGrid w:linePitch="360"/>
        </w:sectPr>
      </w:pPr>
    </w:p>
    <w:p w14:paraId="6DBA02AD" w14:textId="1B7A6F82" w:rsidR="00C41116" w:rsidRPr="00F64E64" w:rsidRDefault="007726B5" w:rsidP="00F64E64">
      <w:pPr>
        <w:pStyle w:val="ColorfulList-Accent11"/>
        <w:spacing w:after="0" w:line="360" w:lineRule="auto"/>
        <w:ind w:left="0"/>
        <w:jc w:val="center"/>
        <w:rPr>
          <w:rFonts w:ascii="Arial" w:hAnsi="Arial" w:cs="Arial"/>
          <w:b/>
          <w:bCs/>
          <w:smallCaps/>
          <w:sz w:val="24"/>
          <w:szCs w:val="24"/>
          <w:lang w:val="es-ES"/>
        </w:rPr>
      </w:pPr>
      <w:r w:rsidRPr="00F64E64">
        <w:rPr>
          <w:rFonts w:ascii="Arial" w:hAnsi="Arial" w:cs="Arial"/>
          <w:b/>
          <w:bCs/>
          <w:smallCaps/>
          <w:sz w:val="24"/>
          <w:szCs w:val="24"/>
          <w:lang w:val="es-ES"/>
        </w:rPr>
        <w:lastRenderedPageBreak/>
        <w:t>Contenido</w:t>
      </w:r>
    </w:p>
    <w:sdt>
      <w:sdtPr>
        <w:rPr>
          <w:rFonts w:ascii="Calibri" w:eastAsia="Calibri" w:hAnsi="Calibri" w:cs="Times New Roman"/>
          <w:b w:val="0"/>
          <w:bCs w:val="0"/>
          <w:color w:val="auto"/>
          <w:sz w:val="22"/>
          <w:szCs w:val="22"/>
          <w:lang w:val="es-ES" w:eastAsia="en-US"/>
        </w:rPr>
        <w:id w:val="-533500227"/>
        <w:docPartObj>
          <w:docPartGallery w:val="Table of Contents"/>
          <w:docPartUnique/>
        </w:docPartObj>
      </w:sdtPr>
      <w:sdtEndPr>
        <w:rPr>
          <w:rFonts w:ascii="Times New Roman" w:eastAsiaTheme="minorHAnsi" w:hAnsi="Times New Roman"/>
          <w:noProof/>
          <w:sz w:val="24"/>
          <w:szCs w:val="24"/>
        </w:rPr>
      </w:sdtEndPr>
      <w:sdtContent>
        <w:p w14:paraId="14059E5C" w14:textId="77777777" w:rsidR="00BF5444" w:rsidRPr="00C22824" w:rsidRDefault="00BF5444">
          <w:pPr>
            <w:pStyle w:val="TOCHeading"/>
            <w:rPr>
              <w:lang w:val="es-ES"/>
            </w:rPr>
          </w:pPr>
        </w:p>
        <w:p w14:paraId="111AD060" w14:textId="77777777" w:rsidR="00B109A7" w:rsidRDefault="00BF5444">
          <w:pPr>
            <w:pStyle w:val="TOC1"/>
            <w:rPr>
              <w:rFonts w:asciiTheme="minorHAnsi" w:eastAsiaTheme="minorEastAsia" w:hAnsiTheme="minorHAnsi" w:cstheme="minorBidi"/>
              <w:noProof/>
            </w:rPr>
          </w:pPr>
          <w:r w:rsidRPr="00C22824">
            <w:rPr>
              <w:lang w:val="es-ES"/>
            </w:rPr>
            <w:fldChar w:fldCharType="begin"/>
          </w:r>
          <w:r w:rsidRPr="00C22824">
            <w:rPr>
              <w:lang w:val="es-ES"/>
            </w:rPr>
            <w:instrText xml:space="preserve"> TOC \o "1-3" \h \z \u </w:instrText>
          </w:r>
          <w:r w:rsidRPr="00C22824">
            <w:rPr>
              <w:lang w:val="es-ES"/>
            </w:rPr>
            <w:fldChar w:fldCharType="separate"/>
          </w:r>
          <w:hyperlink w:anchor="_Toc468954025" w:history="1">
            <w:r w:rsidR="00B109A7" w:rsidRPr="000A7456">
              <w:rPr>
                <w:rStyle w:val="Hyperlink"/>
                <w:rFonts w:ascii="Arial" w:hAnsi="Arial" w:cs="Arial"/>
                <w:b/>
                <w:noProof/>
                <w:lang w:val="es-ES"/>
              </w:rPr>
              <w:t>I.</w:t>
            </w:r>
            <w:r w:rsidR="00B109A7">
              <w:rPr>
                <w:rFonts w:asciiTheme="minorHAnsi" w:eastAsiaTheme="minorEastAsia" w:hAnsiTheme="minorHAnsi" w:cstheme="minorBidi"/>
                <w:noProof/>
              </w:rPr>
              <w:tab/>
            </w:r>
            <w:r w:rsidR="00B109A7" w:rsidRPr="000A7456">
              <w:rPr>
                <w:rStyle w:val="Hyperlink"/>
                <w:rFonts w:ascii="Arial" w:hAnsi="Arial" w:cs="Arial"/>
                <w:b/>
                <w:noProof/>
                <w:lang w:val="es-ES"/>
              </w:rPr>
              <w:t>Introducción</w:t>
            </w:r>
            <w:r w:rsidR="00B109A7">
              <w:rPr>
                <w:noProof/>
                <w:webHidden/>
              </w:rPr>
              <w:tab/>
            </w:r>
            <w:r w:rsidR="00B109A7">
              <w:rPr>
                <w:noProof/>
                <w:webHidden/>
              </w:rPr>
              <w:fldChar w:fldCharType="begin"/>
            </w:r>
            <w:r w:rsidR="00B109A7">
              <w:rPr>
                <w:noProof/>
                <w:webHidden/>
              </w:rPr>
              <w:instrText xml:space="preserve"> PAGEREF _Toc468954025 \h </w:instrText>
            </w:r>
            <w:r w:rsidR="00B109A7">
              <w:rPr>
                <w:noProof/>
                <w:webHidden/>
              </w:rPr>
            </w:r>
            <w:r w:rsidR="00B109A7">
              <w:rPr>
                <w:noProof/>
                <w:webHidden/>
              </w:rPr>
              <w:fldChar w:fldCharType="separate"/>
            </w:r>
            <w:r w:rsidR="00DF2ED4">
              <w:rPr>
                <w:noProof/>
                <w:webHidden/>
              </w:rPr>
              <w:t>3</w:t>
            </w:r>
            <w:r w:rsidR="00B109A7">
              <w:rPr>
                <w:noProof/>
                <w:webHidden/>
              </w:rPr>
              <w:fldChar w:fldCharType="end"/>
            </w:r>
          </w:hyperlink>
        </w:p>
        <w:p w14:paraId="4CB8BE54" w14:textId="1B499AF1" w:rsidR="00B109A7" w:rsidRDefault="00F64E64">
          <w:pPr>
            <w:pStyle w:val="TOC1"/>
            <w:rPr>
              <w:rFonts w:asciiTheme="minorHAnsi" w:eastAsiaTheme="minorEastAsia" w:hAnsiTheme="minorHAnsi" w:cstheme="minorBidi"/>
              <w:noProof/>
            </w:rPr>
          </w:pPr>
          <w:hyperlink w:anchor="_Toc468954026" w:history="1">
            <w:r w:rsidR="00B109A7" w:rsidRPr="000A7456">
              <w:rPr>
                <w:rStyle w:val="Hyperlink"/>
                <w:rFonts w:ascii="Arial" w:hAnsi="Arial" w:cs="Arial"/>
                <w:b/>
                <w:noProof/>
                <w:lang w:val="es-ES"/>
              </w:rPr>
              <w:t>II.</w:t>
            </w:r>
            <w:r w:rsidR="00B109A7">
              <w:rPr>
                <w:rFonts w:asciiTheme="minorHAnsi" w:eastAsiaTheme="minorEastAsia" w:hAnsiTheme="minorHAnsi" w:cstheme="minorBidi"/>
                <w:noProof/>
              </w:rPr>
              <w:tab/>
            </w:r>
            <w:r w:rsidR="00B109A7" w:rsidRPr="000A7456">
              <w:rPr>
                <w:rStyle w:val="Hyperlink"/>
                <w:rFonts w:ascii="Arial" w:hAnsi="Arial" w:cs="Arial"/>
                <w:b/>
                <w:noProof/>
                <w:lang w:val="es-ES"/>
              </w:rPr>
              <w:t>Monitoreo del Programa.</w:t>
            </w:r>
            <w:r w:rsidR="00B109A7">
              <w:rPr>
                <w:noProof/>
                <w:webHidden/>
              </w:rPr>
              <w:tab/>
            </w:r>
            <w:r w:rsidR="00B109A7">
              <w:rPr>
                <w:noProof/>
                <w:webHidden/>
              </w:rPr>
              <w:fldChar w:fldCharType="begin"/>
            </w:r>
            <w:r w:rsidR="00B109A7">
              <w:rPr>
                <w:noProof/>
                <w:webHidden/>
              </w:rPr>
              <w:instrText xml:space="preserve"> PAGEREF _Toc468954026 \h </w:instrText>
            </w:r>
            <w:r w:rsidR="00B109A7">
              <w:rPr>
                <w:noProof/>
                <w:webHidden/>
              </w:rPr>
            </w:r>
            <w:r w:rsidR="00B109A7">
              <w:rPr>
                <w:noProof/>
                <w:webHidden/>
              </w:rPr>
              <w:fldChar w:fldCharType="separate"/>
            </w:r>
            <w:r w:rsidR="00DF2ED4">
              <w:rPr>
                <w:noProof/>
                <w:webHidden/>
              </w:rPr>
              <w:t>3</w:t>
            </w:r>
            <w:r w:rsidR="00B109A7">
              <w:rPr>
                <w:noProof/>
                <w:webHidden/>
              </w:rPr>
              <w:fldChar w:fldCharType="end"/>
            </w:r>
          </w:hyperlink>
        </w:p>
        <w:p w14:paraId="666A72FB" w14:textId="77777777" w:rsidR="00B109A7" w:rsidRPr="008946DE" w:rsidRDefault="00F64E64" w:rsidP="008946DE">
          <w:pPr>
            <w:pStyle w:val="TOC2"/>
            <w:tabs>
              <w:tab w:val="left" w:pos="660"/>
              <w:tab w:val="right" w:leader="dot" w:pos="9163"/>
            </w:tabs>
            <w:ind w:firstLine="140"/>
            <w:rPr>
              <w:rFonts w:asciiTheme="minorHAnsi" w:eastAsiaTheme="minorEastAsia" w:hAnsiTheme="minorHAnsi" w:cstheme="minorBidi"/>
              <w:noProof/>
            </w:rPr>
          </w:pPr>
          <w:hyperlink w:anchor="_Toc468954027" w:history="1">
            <w:r w:rsidR="00B109A7" w:rsidRPr="008946DE">
              <w:rPr>
                <w:rStyle w:val="Hyperlink"/>
                <w:rFonts w:ascii="Arial" w:hAnsi="Arial" w:cs="Arial"/>
                <w:noProof/>
                <w:lang w:val="es-ES"/>
              </w:rPr>
              <w:t>a.</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Indicadores de Producto</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_Toc468954027 \h </w:instrText>
            </w:r>
            <w:r w:rsidR="00B109A7" w:rsidRPr="008946DE">
              <w:rPr>
                <w:noProof/>
                <w:webHidden/>
              </w:rPr>
            </w:r>
            <w:r w:rsidR="00B109A7" w:rsidRPr="008946DE">
              <w:rPr>
                <w:noProof/>
                <w:webHidden/>
              </w:rPr>
              <w:fldChar w:fldCharType="separate"/>
            </w:r>
            <w:r w:rsidR="00DF2ED4">
              <w:rPr>
                <w:noProof/>
                <w:webHidden/>
              </w:rPr>
              <w:t>4</w:t>
            </w:r>
            <w:r w:rsidR="00B109A7" w:rsidRPr="008946DE">
              <w:rPr>
                <w:noProof/>
                <w:webHidden/>
              </w:rPr>
              <w:fldChar w:fldCharType="end"/>
            </w:r>
          </w:hyperlink>
        </w:p>
        <w:p w14:paraId="1CC9F88D" w14:textId="77777777" w:rsidR="00B109A7" w:rsidRPr="008946DE" w:rsidRDefault="00F64E64" w:rsidP="008946DE">
          <w:pPr>
            <w:pStyle w:val="TOC2"/>
            <w:tabs>
              <w:tab w:val="left" w:pos="660"/>
              <w:tab w:val="right" w:leader="dot" w:pos="9163"/>
            </w:tabs>
            <w:ind w:firstLine="140"/>
            <w:rPr>
              <w:rFonts w:asciiTheme="minorHAnsi" w:eastAsiaTheme="minorEastAsia" w:hAnsiTheme="minorHAnsi" w:cstheme="minorBidi"/>
              <w:noProof/>
            </w:rPr>
          </w:pPr>
          <w:hyperlink w:anchor="_Toc468954028" w:history="1">
            <w:r w:rsidR="00B109A7" w:rsidRPr="008946DE">
              <w:rPr>
                <w:rStyle w:val="Hyperlink"/>
                <w:rFonts w:ascii="Arial" w:hAnsi="Arial" w:cs="Arial"/>
                <w:noProof/>
                <w:lang w:val="es-ES"/>
              </w:rPr>
              <w:t>b.</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Cronograma de Actividades y Presupuesto Asociado.</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_Toc468954028 \h </w:instrText>
            </w:r>
            <w:r w:rsidR="00B109A7" w:rsidRPr="008946DE">
              <w:rPr>
                <w:noProof/>
                <w:webHidden/>
              </w:rPr>
            </w:r>
            <w:r w:rsidR="00B109A7" w:rsidRPr="008946DE">
              <w:rPr>
                <w:noProof/>
                <w:webHidden/>
              </w:rPr>
              <w:fldChar w:fldCharType="separate"/>
            </w:r>
            <w:r w:rsidR="00DF2ED4">
              <w:rPr>
                <w:noProof/>
                <w:webHidden/>
              </w:rPr>
              <w:t>7</w:t>
            </w:r>
            <w:r w:rsidR="00B109A7" w:rsidRPr="008946DE">
              <w:rPr>
                <w:noProof/>
                <w:webHidden/>
              </w:rPr>
              <w:fldChar w:fldCharType="end"/>
            </w:r>
          </w:hyperlink>
        </w:p>
        <w:p w14:paraId="0B510C3F" w14:textId="77777777" w:rsidR="00B109A7" w:rsidRDefault="00F64E64">
          <w:pPr>
            <w:pStyle w:val="TOC1"/>
            <w:rPr>
              <w:rFonts w:asciiTheme="minorHAnsi" w:eastAsiaTheme="minorEastAsia" w:hAnsiTheme="minorHAnsi" w:cstheme="minorBidi"/>
              <w:noProof/>
            </w:rPr>
          </w:pPr>
          <w:hyperlink w:anchor="_Toc468954029" w:history="1">
            <w:r w:rsidR="00B109A7" w:rsidRPr="000A7456">
              <w:rPr>
                <w:rStyle w:val="Hyperlink"/>
                <w:rFonts w:ascii="Arial" w:hAnsi="Arial" w:cs="Arial"/>
                <w:b/>
                <w:noProof/>
                <w:lang w:val="es-ES"/>
              </w:rPr>
              <w:t>III.</w:t>
            </w:r>
            <w:r w:rsidR="00B109A7">
              <w:rPr>
                <w:rFonts w:asciiTheme="minorHAnsi" w:eastAsiaTheme="minorEastAsia" w:hAnsiTheme="minorHAnsi" w:cstheme="minorBidi"/>
                <w:noProof/>
              </w:rPr>
              <w:tab/>
            </w:r>
            <w:r w:rsidR="00B109A7" w:rsidRPr="000A7456">
              <w:rPr>
                <w:rStyle w:val="Hyperlink"/>
                <w:rFonts w:ascii="Arial" w:hAnsi="Arial" w:cs="Arial"/>
                <w:b/>
                <w:noProof/>
                <w:lang w:val="es-ES"/>
              </w:rPr>
              <w:t>Evaluación del Programa</w:t>
            </w:r>
            <w:r w:rsidR="00B109A7">
              <w:rPr>
                <w:noProof/>
                <w:webHidden/>
              </w:rPr>
              <w:tab/>
            </w:r>
            <w:r w:rsidR="00B109A7">
              <w:rPr>
                <w:noProof/>
                <w:webHidden/>
              </w:rPr>
              <w:fldChar w:fldCharType="begin"/>
            </w:r>
            <w:r w:rsidR="00B109A7">
              <w:rPr>
                <w:noProof/>
                <w:webHidden/>
              </w:rPr>
              <w:instrText xml:space="preserve"> PAGEREF _Toc468954029 \h </w:instrText>
            </w:r>
            <w:r w:rsidR="00B109A7">
              <w:rPr>
                <w:noProof/>
                <w:webHidden/>
              </w:rPr>
            </w:r>
            <w:r w:rsidR="00B109A7">
              <w:rPr>
                <w:noProof/>
                <w:webHidden/>
              </w:rPr>
              <w:fldChar w:fldCharType="separate"/>
            </w:r>
            <w:r w:rsidR="00DF2ED4">
              <w:rPr>
                <w:noProof/>
                <w:webHidden/>
              </w:rPr>
              <w:t>8</w:t>
            </w:r>
            <w:r w:rsidR="00B109A7">
              <w:rPr>
                <w:noProof/>
                <w:webHidden/>
              </w:rPr>
              <w:fldChar w:fldCharType="end"/>
            </w:r>
          </w:hyperlink>
        </w:p>
        <w:p w14:paraId="3F4F8A41" w14:textId="71C9D0D0" w:rsidR="00B109A7" w:rsidRPr="008946DE" w:rsidRDefault="00F64E64" w:rsidP="008946DE">
          <w:pPr>
            <w:pStyle w:val="TOC2"/>
            <w:tabs>
              <w:tab w:val="left" w:pos="660"/>
              <w:tab w:val="right" w:leader="dot" w:pos="9163"/>
            </w:tabs>
            <w:ind w:left="360"/>
            <w:rPr>
              <w:rFonts w:asciiTheme="minorHAnsi" w:eastAsiaTheme="minorEastAsia" w:hAnsiTheme="minorHAnsi" w:cstheme="minorBidi"/>
              <w:noProof/>
            </w:rPr>
          </w:pPr>
          <w:hyperlink w:anchor="_Toc468954031" w:history="1">
            <w:r w:rsidR="00B109A7" w:rsidRPr="008946DE">
              <w:rPr>
                <w:rStyle w:val="Hyperlink"/>
                <w:rFonts w:ascii="Arial" w:hAnsi="Arial" w:cs="Arial"/>
                <w:noProof/>
                <w:lang w:val="es-ES"/>
              </w:rPr>
              <w:t>a.</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Preguntas de Evaluación.</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_Toc468954031 \h </w:instrText>
            </w:r>
            <w:r w:rsidR="00B109A7" w:rsidRPr="008946DE">
              <w:rPr>
                <w:noProof/>
                <w:webHidden/>
              </w:rPr>
            </w:r>
            <w:r w:rsidR="00B109A7" w:rsidRPr="008946DE">
              <w:rPr>
                <w:noProof/>
                <w:webHidden/>
              </w:rPr>
              <w:fldChar w:fldCharType="separate"/>
            </w:r>
            <w:r w:rsidR="00DF2ED4">
              <w:rPr>
                <w:noProof/>
                <w:webHidden/>
              </w:rPr>
              <w:t>8</w:t>
            </w:r>
            <w:r w:rsidR="00B109A7" w:rsidRPr="008946DE">
              <w:rPr>
                <w:noProof/>
                <w:webHidden/>
              </w:rPr>
              <w:fldChar w:fldCharType="end"/>
            </w:r>
          </w:hyperlink>
        </w:p>
        <w:p w14:paraId="6977B062" w14:textId="665C9D6B" w:rsidR="00B109A7" w:rsidRPr="008946DE" w:rsidRDefault="00F64E64" w:rsidP="008946DE">
          <w:pPr>
            <w:pStyle w:val="TOC2"/>
            <w:tabs>
              <w:tab w:val="left" w:pos="660"/>
              <w:tab w:val="right" w:leader="dot" w:pos="9163"/>
            </w:tabs>
            <w:ind w:left="360"/>
            <w:rPr>
              <w:rFonts w:asciiTheme="minorHAnsi" w:eastAsiaTheme="minorEastAsia" w:hAnsiTheme="minorHAnsi" w:cstheme="minorBidi"/>
              <w:noProof/>
            </w:rPr>
          </w:pPr>
          <w:hyperlink w:anchor="_Toc468954066" w:history="1">
            <w:r w:rsidR="00B109A7" w:rsidRPr="008946DE">
              <w:rPr>
                <w:rStyle w:val="Hyperlink"/>
                <w:rFonts w:ascii="Arial" w:hAnsi="Arial" w:cs="Arial"/>
                <w:noProof/>
                <w:lang w:val="es-ES"/>
              </w:rPr>
              <w:t>b.</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Indicadores Principales para la Evaluación</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_Toc468954066 \h </w:instrText>
            </w:r>
            <w:r w:rsidR="00B109A7" w:rsidRPr="008946DE">
              <w:rPr>
                <w:noProof/>
                <w:webHidden/>
              </w:rPr>
            </w:r>
            <w:r w:rsidR="00B109A7" w:rsidRPr="008946DE">
              <w:rPr>
                <w:noProof/>
                <w:webHidden/>
              </w:rPr>
              <w:fldChar w:fldCharType="separate"/>
            </w:r>
            <w:r w:rsidR="00DF2ED4">
              <w:rPr>
                <w:noProof/>
                <w:webHidden/>
              </w:rPr>
              <w:t>10</w:t>
            </w:r>
            <w:r w:rsidR="00B109A7" w:rsidRPr="008946DE">
              <w:rPr>
                <w:noProof/>
                <w:webHidden/>
              </w:rPr>
              <w:fldChar w:fldCharType="end"/>
            </w:r>
          </w:hyperlink>
        </w:p>
        <w:p w14:paraId="2FB69876" w14:textId="0A0FF441" w:rsidR="00B109A7" w:rsidRPr="008946DE" w:rsidRDefault="00F64E64" w:rsidP="008946DE">
          <w:pPr>
            <w:pStyle w:val="TOC2"/>
            <w:tabs>
              <w:tab w:val="left" w:pos="660"/>
              <w:tab w:val="right" w:leader="dot" w:pos="9163"/>
            </w:tabs>
            <w:ind w:left="360"/>
            <w:rPr>
              <w:rFonts w:asciiTheme="minorHAnsi" w:eastAsiaTheme="minorEastAsia" w:hAnsiTheme="minorHAnsi" w:cstheme="minorBidi"/>
              <w:noProof/>
            </w:rPr>
          </w:pPr>
          <w:hyperlink w:anchor="_Toc468954067" w:history="1">
            <w:r w:rsidR="00B109A7" w:rsidRPr="008946DE">
              <w:rPr>
                <w:rStyle w:val="Hyperlink"/>
                <w:rFonts w:ascii="Arial" w:hAnsi="Arial" w:cs="Arial"/>
                <w:noProof/>
                <w:lang w:val="es-ES"/>
              </w:rPr>
              <w:t>c.</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Conocimiento sectorial previo</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_Toc468954067 \h </w:instrText>
            </w:r>
            <w:r w:rsidR="00B109A7" w:rsidRPr="008946DE">
              <w:rPr>
                <w:noProof/>
                <w:webHidden/>
              </w:rPr>
            </w:r>
            <w:r w:rsidR="00B109A7" w:rsidRPr="008946DE">
              <w:rPr>
                <w:noProof/>
                <w:webHidden/>
              </w:rPr>
              <w:fldChar w:fldCharType="separate"/>
            </w:r>
            <w:r w:rsidR="00DF2ED4">
              <w:rPr>
                <w:noProof/>
                <w:webHidden/>
              </w:rPr>
              <w:t>18</w:t>
            </w:r>
            <w:r w:rsidR="00B109A7" w:rsidRPr="008946DE">
              <w:rPr>
                <w:noProof/>
                <w:webHidden/>
              </w:rPr>
              <w:fldChar w:fldCharType="end"/>
            </w:r>
          </w:hyperlink>
        </w:p>
        <w:p w14:paraId="0B03C02F" w14:textId="211A280C" w:rsidR="00B109A7" w:rsidRPr="008946DE" w:rsidRDefault="00F64E64" w:rsidP="008946DE">
          <w:pPr>
            <w:pStyle w:val="TOC2"/>
            <w:tabs>
              <w:tab w:val="left" w:pos="660"/>
              <w:tab w:val="right" w:leader="dot" w:pos="9163"/>
            </w:tabs>
            <w:ind w:left="360"/>
            <w:rPr>
              <w:rFonts w:asciiTheme="minorHAnsi" w:eastAsiaTheme="minorEastAsia" w:hAnsiTheme="minorHAnsi" w:cstheme="minorBidi"/>
              <w:noProof/>
            </w:rPr>
          </w:pPr>
          <w:hyperlink w:anchor="_Toc468954100" w:history="1">
            <w:r w:rsidR="00B109A7" w:rsidRPr="008946DE">
              <w:rPr>
                <w:rStyle w:val="Hyperlink"/>
                <w:rFonts w:ascii="Arial" w:hAnsi="Arial" w:cs="Arial"/>
                <w:noProof/>
                <w:lang w:val="es-ES"/>
              </w:rPr>
              <w:t>d.</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Metodología de Evaluación</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_Toc468954100 \h </w:instrText>
            </w:r>
            <w:r w:rsidR="00B109A7" w:rsidRPr="008946DE">
              <w:rPr>
                <w:noProof/>
                <w:webHidden/>
              </w:rPr>
            </w:r>
            <w:r w:rsidR="00B109A7" w:rsidRPr="008946DE">
              <w:rPr>
                <w:noProof/>
                <w:webHidden/>
              </w:rPr>
              <w:fldChar w:fldCharType="separate"/>
            </w:r>
            <w:r w:rsidR="00DF2ED4">
              <w:rPr>
                <w:noProof/>
                <w:webHidden/>
              </w:rPr>
              <w:t>20</w:t>
            </w:r>
            <w:r w:rsidR="00B109A7" w:rsidRPr="008946DE">
              <w:rPr>
                <w:noProof/>
                <w:webHidden/>
              </w:rPr>
              <w:fldChar w:fldCharType="end"/>
            </w:r>
          </w:hyperlink>
        </w:p>
        <w:p w14:paraId="29F09255" w14:textId="037F2450" w:rsidR="00B109A7" w:rsidRPr="008946DE" w:rsidRDefault="00F64E64" w:rsidP="008946DE">
          <w:pPr>
            <w:pStyle w:val="TOC2"/>
            <w:tabs>
              <w:tab w:val="left" w:pos="660"/>
              <w:tab w:val="right" w:leader="dot" w:pos="9163"/>
            </w:tabs>
            <w:ind w:left="360"/>
            <w:rPr>
              <w:rFonts w:asciiTheme="minorHAnsi" w:eastAsiaTheme="minorEastAsia" w:hAnsiTheme="minorHAnsi" w:cstheme="minorBidi"/>
              <w:noProof/>
            </w:rPr>
          </w:pPr>
          <w:hyperlink w:anchor="_Toc468954101" w:history="1">
            <w:r w:rsidR="00B109A7" w:rsidRPr="008946DE">
              <w:rPr>
                <w:rStyle w:val="Hyperlink"/>
                <w:rFonts w:ascii="Arial" w:hAnsi="Arial" w:cs="Arial"/>
                <w:noProof/>
                <w:lang w:val="es-ES"/>
              </w:rPr>
              <w:t>e.</w:t>
            </w:r>
            <w:r w:rsidR="00B109A7" w:rsidRPr="008946DE">
              <w:rPr>
                <w:rFonts w:asciiTheme="minorHAnsi" w:eastAsiaTheme="minorEastAsia" w:hAnsiTheme="minorHAnsi" w:cstheme="minorBidi"/>
                <w:noProof/>
              </w:rPr>
              <w:tab/>
            </w:r>
            <w:r w:rsidR="00B109A7" w:rsidRPr="008946DE">
              <w:rPr>
                <w:rStyle w:val="Hyperlink"/>
                <w:rFonts w:ascii="Arial" w:hAnsi="Arial" w:cs="Arial"/>
                <w:noProof/>
                <w:lang w:val="es-ES"/>
              </w:rPr>
              <w:t>Cronograma de Actividades y Presupuesto Asociado</w:t>
            </w:r>
            <w:r w:rsidR="00B109A7" w:rsidRPr="008946DE">
              <w:rPr>
                <w:noProof/>
                <w:webHidden/>
              </w:rPr>
              <w:tab/>
            </w:r>
            <w:r w:rsidR="00B109A7" w:rsidRPr="008946DE">
              <w:rPr>
                <w:noProof/>
                <w:webHidden/>
              </w:rPr>
              <w:fldChar w:fldCharType="begin"/>
            </w:r>
            <w:r w:rsidR="00B109A7" w:rsidRPr="00B109A7">
              <w:rPr>
                <w:noProof/>
                <w:webHidden/>
              </w:rPr>
              <w:instrText xml:space="preserve"> PAGEREF _Toc468954101 \h </w:instrText>
            </w:r>
            <w:r w:rsidR="00B109A7" w:rsidRPr="008946DE">
              <w:rPr>
                <w:noProof/>
                <w:webHidden/>
              </w:rPr>
            </w:r>
            <w:r w:rsidR="00B109A7" w:rsidRPr="008946DE">
              <w:rPr>
                <w:noProof/>
                <w:webHidden/>
              </w:rPr>
              <w:fldChar w:fldCharType="separate"/>
            </w:r>
            <w:r w:rsidR="00DF2ED4">
              <w:rPr>
                <w:noProof/>
                <w:webHidden/>
              </w:rPr>
              <w:t>24</w:t>
            </w:r>
            <w:r w:rsidR="00B109A7" w:rsidRPr="008946DE">
              <w:rPr>
                <w:noProof/>
                <w:webHidden/>
              </w:rPr>
              <w:fldChar w:fldCharType="end"/>
            </w:r>
          </w:hyperlink>
        </w:p>
        <w:p w14:paraId="0D2A96C2" w14:textId="3FA0BD45" w:rsidR="00B109A7" w:rsidRDefault="00F64E64">
          <w:pPr>
            <w:pStyle w:val="TOC1"/>
            <w:rPr>
              <w:rFonts w:asciiTheme="minorHAnsi" w:eastAsiaTheme="minorEastAsia" w:hAnsiTheme="minorHAnsi" w:cstheme="minorBidi"/>
              <w:noProof/>
            </w:rPr>
          </w:pPr>
          <w:hyperlink w:anchor="_Toc468954102" w:history="1">
            <w:r w:rsidR="00B109A7" w:rsidRPr="000A7456">
              <w:rPr>
                <w:rStyle w:val="Hyperlink"/>
                <w:rFonts w:ascii="Arial" w:hAnsi="Arial" w:cs="Arial"/>
                <w:b/>
                <w:noProof/>
                <w:lang w:val="es-ES"/>
              </w:rPr>
              <w:t>V.</w:t>
            </w:r>
            <w:r w:rsidR="00B109A7">
              <w:rPr>
                <w:rFonts w:asciiTheme="minorHAnsi" w:eastAsiaTheme="minorEastAsia" w:hAnsiTheme="minorHAnsi" w:cstheme="minorBidi"/>
                <w:noProof/>
              </w:rPr>
              <w:tab/>
            </w:r>
            <w:r w:rsidR="00B109A7" w:rsidRPr="000A7456">
              <w:rPr>
                <w:rStyle w:val="Hyperlink"/>
                <w:rFonts w:ascii="Arial" w:hAnsi="Arial" w:cs="Arial"/>
                <w:b/>
                <w:noProof/>
                <w:lang w:val="es-ES"/>
              </w:rPr>
              <w:t>Anexos</w:t>
            </w:r>
            <w:r w:rsidR="00B109A7">
              <w:rPr>
                <w:noProof/>
                <w:webHidden/>
              </w:rPr>
              <w:tab/>
            </w:r>
            <w:r w:rsidR="00B109A7">
              <w:rPr>
                <w:noProof/>
                <w:webHidden/>
              </w:rPr>
              <w:fldChar w:fldCharType="begin"/>
            </w:r>
            <w:r w:rsidR="00B109A7">
              <w:rPr>
                <w:noProof/>
                <w:webHidden/>
              </w:rPr>
              <w:instrText xml:space="preserve"> PAGEREF _Toc468954102 \h </w:instrText>
            </w:r>
            <w:r w:rsidR="00B109A7">
              <w:rPr>
                <w:noProof/>
                <w:webHidden/>
              </w:rPr>
            </w:r>
            <w:r w:rsidR="00B109A7">
              <w:rPr>
                <w:noProof/>
                <w:webHidden/>
              </w:rPr>
              <w:fldChar w:fldCharType="separate"/>
            </w:r>
            <w:r w:rsidR="00DF2ED4">
              <w:rPr>
                <w:noProof/>
                <w:webHidden/>
              </w:rPr>
              <w:t>26</w:t>
            </w:r>
            <w:r w:rsidR="00B109A7">
              <w:rPr>
                <w:noProof/>
                <w:webHidden/>
              </w:rPr>
              <w:fldChar w:fldCharType="end"/>
            </w:r>
          </w:hyperlink>
        </w:p>
        <w:p w14:paraId="1DC73C74" w14:textId="77777777" w:rsidR="00BF5444" w:rsidRPr="00C22824" w:rsidRDefault="00BF5444">
          <w:pPr>
            <w:rPr>
              <w:lang w:val="es-ES"/>
            </w:rPr>
          </w:pPr>
          <w:r w:rsidRPr="00C22824">
            <w:rPr>
              <w:b/>
              <w:bCs/>
              <w:noProof/>
              <w:lang w:val="es-ES"/>
            </w:rPr>
            <w:fldChar w:fldCharType="end"/>
          </w:r>
        </w:p>
      </w:sdtContent>
    </w:sdt>
    <w:p w14:paraId="7F6700B5" w14:textId="77777777" w:rsidR="00C41116" w:rsidRPr="00C22824" w:rsidRDefault="00C41116" w:rsidP="00C41116">
      <w:pPr>
        <w:pStyle w:val="ColorfulList-Accent11"/>
        <w:spacing w:after="0" w:line="360" w:lineRule="auto"/>
        <w:ind w:left="1080"/>
        <w:jc w:val="center"/>
        <w:rPr>
          <w:rFonts w:ascii="Arial" w:hAnsi="Arial" w:cs="Arial"/>
          <w:sz w:val="24"/>
          <w:szCs w:val="24"/>
          <w:lang w:val="es-ES"/>
        </w:rPr>
      </w:pPr>
    </w:p>
    <w:p w14:paraId="6965F7B4" w14:textId="77777777" w:rsidR="007726B5" w:rsidRPr="00C22824" w:rsidRDefault="007726B5" w:rsidP="00C41116">
      <w:pPr>
        <w:pStyle w:val="ColorfulList-Accent11"/>
        <w:spacing w:after="0" w:line="360" w:lineRule="auto"/>
        <w:ind w:left="0"/>
        <w:jc w:val="both"/>
        <w:rPr>
          <w:rFonts w:ascii="Arial" w:hAnsi="Arial" w:cs="Arial"/>
          <w:sz w:val="24"/>
          <w:szCs w:val="24"/>
          <w:lang w:val="es-ES"/>
        </w:rPr>
      </w:pPr>
    </w:p>
    <w:p w14:paraId="304B801D" w14:textId="77777777" w:rsidR="00C41116" w:rsidRPr="00C22824" w:rsidRDefault="00C41116" w:rsidP="00C41116">
      <w:pPr>
        <w:pStyle w:val="ColorfulList-Accent11"/>
        <w:spacing w:after="0" w:line="360" w:lineRule="auto"/>
        <w:ind w:left="1440"/>
        <w:jc w:val="both"/>
        <w:rPr>
          <w:rFonts w:ascii="Arial" w:hAnsi="Arial" w:cs="Arial"/>
          <w:sz w:val="24"/>
          <w:szCs w:val="24"/>
          <w:lang w:val="es-ES"/>
        </w:rPr>
      </w:pPr>
    </w:p>
    <w:p w14:paraId="3508E082" w14:textId="77777777" w:rsidR="00C41116" w:rsidRPr="00C22824" w:rsidRDefault="00C41116" w:rsidP="00C41116">
      <w:pPr>
        <w:pStyle w:val="ColorfulList-Accent11"/>
        <w:spacing w:after="0" w:line="360" w:lineRule="auto"/>
        <w:ind w:left="1080"/>
        <w:jc w:val="center"/>
        <w:rPr>
          <w:rFonts w:ascii="Arial" w:hAnsi="Arial" w:cs="Arial"/>
          <w:lang w:val="es-ES"/>
        </w:rPr>
      </w:pPr>
    </w:p>
    <w:p w14:paraId="30999AEB" w14:textId="77777777" w:rsidR="00C41116" w:rsidRPr="00C22824" w:rsidRDefault="00C41116" w:rsidP="00C41116">
      <w:pPr>
        <w:pStyle w:val="ColorfulList-Accent11"/>
        <w:spacing w:after="0" w:line="360" w:lineRule="auto"/>
        <w:ind w:left="1080"/>
        <w:jc w:val="center"/>
        <w:rPr>
          <w:rFonts w:ascii="Arial" w:hAnsi="Arial" w:cs="Arial"/>
          <w:lang w:val="es-ES"/>
        </w:rPr>
      </w:pPr>
    </w:p>
    <w:p w14:paraId="0FD8EBFC" w14:textId="77777777" w:rsidR="00C41116" w:rsidRPr="00C22824" w:rsidRDefault="00C41116" w:rsidP="00C41116">
      <w:pPr>
        <w:pStyle w:val="ColorfulList-Accent11"/>
        <w:spacing w:after="0" w:line="360" w:lineRule="auto"/>
        <w:ind w:left="1080"/>
        <w:jc w:val="center"/>
        <w:rPr>
          <w:rFonts w:ascii="Arial" w:hAnsi="Arial" w:cs="Arial"/>
          <w:lang w:val="es-ES"/>
        </w:rPr>
      </w:pPr>
    </w:p>
    <w:p w14:paraId="0FE1E862" w14:textId="77777777" w:rsidR="00C41116" w:rsidRPr="00C22824" w:rsidRDefault="00C41116" w:rsidP="00C41116">
      <w:pPr>
        <w:pStyle w:val="ColorfulList-Accent11"/>
        <w:spacing w:after="0" w:line="360" w:lineRule="auto"/>
        <w:ind w:left="0"/>
        <w:rPr>
          <w:rFonts w:ascii="Arial" w:hAnsi="Arial" w:cs="Arial"/>
          <w:lang w:val="es-ES"/>
        </w:rPr>
      </w:pPr>
    </w:p>
    <w:p w14:paraId="689CB62A" w14:textId="77777777" w:rsidR="00BF5444" w:rsidRPr="00C22824" w:rsidRDefault="00BF5444" w:rsidP="00C41116">
      <w:pPr>
        <w:pStyle w:val="ColorfulList-Accent11"/>
        <w:spacing w:after="0" w:line="360" w:lineRule="auto"/>
        <w:ind w:left="0"/>
        <w:rPr>
          <w:rFonts w:ascii="Arial" w:hAnsi="Arial" w:cs="Arial"/>
          <w:lang w:val="es-ES"/>
        </w:rPr>
      </w:pPr>
    </w:p>
    <w:p w14:paraId="5F055CCC" w14:textId="77777777" w:rsidR="00C41116" w:rsidRPr="00C22824" w:rsidRDefault="00C41116" w:rsidP="00C41116">
      <w:pPr>
        <w:pStyle w:val="ColorfulList-Accent11"/>
        <w:spacing w:after="0" w:line="360" w:lineRule="auto"/>
        <w:ind w:left="0"/>
        <w:jc w:val="center"/>
        <w:rPr>
          <w:rFonts w:ascii="Arial" w:eastAsia="Arial Unicode MS" w:hAnsi="Arial" w:cs="Arial"/>
          <w:bCs/>
          <w:smallCaps/>
          <w:lang w:val="es-ES"/>
        </w:rPr>
      </w:pPr>
    </w:p>
    <w:p w14:paraId="6BC5DB65" w14:textId="77777777" w:rsidR="00BF5444" w:rsidRPr="00C22824" w:rsidRDefault="00BF5444" w:rsidP="00C41116">
      <w:pPr>
        <w:pStyle w:val="ColorfulList-Accent11"/>
        <w:spacing w:after="0" w:line="360" w:lineRule="auto"/>
        <w:ind w:left="0"/>
        <w:jc w:val="center"/>
        <w:rPr>
          <w:rFonts w:ascii="Arial" w:eastAsia="Arial Unicode MS" w:hAnsi="Arial" w:cs="Arial"/>
          <w:bCs/>
          <w:smallCaps/>
          <w:lang w:val="es-ES"/>
        </w:rPr>
      </w:pPr>
    </w:p>
    <w:p w14:paraId="207E9101" w14:textId="77777777" w:rsidR="00BF5444" w:rsidRPr="00C22824" w:rsidRDefault="00BF5444" w:rsidP="00C41116">
      <w:pPr>
        <w:pStyle w:val="ColorfulList-Accent11"/>
        <w:spacing w:after="0" w:line="360" w:lineRule="auto"/>
        <w:ind w:left="0"/>
        <w:jc w:val="center"/>
        <w:rPr>
          <w:rFonts w:ascii="Arial" w:eastAsia="Arial Unicode MS" w:hAnsi="Arial" w:cs="Arial"/>
          <w:bCs/>
          <w:smallCaps/>
          <w:lang w:val="es-ES"/>
        </w:rPr>
      </w:pPr>
    </w:p>
    <w:p w14:paraId="328D88A3" w14:textId="77777777" w:rsidR="00BF5444" w:rsidRPr="00C22824" w:rsidRDefault="00BF5444" w:rsidP="00C41116">
      <w:pPr>
        <w:pStyle w:val="ColorfulList-Accent11"/>
        <w:spacing w:after="0" w:line="360" w:lineRule="auto"/>
        <w:ind w:left="0"/>
        <w:jc w:val="center"/>
        <w:rPr>
          <w:rFonts w:ascii="Arial" w:eastAsia="Arial Unicode MS" w:hAnsi="Arial" w:cs="Arial"/>
          <w:bCs/>
          <w:smallCaps/>
          <w:lang w:val="es-ES"/>
        </w:rPr>
      </w:pPr>
    </w:p>
    <w:p w14:paraId="7ABFB4AC" w14:textId="77777777" w:rsidR="00BF5444" w:rsidRPr="00C22824" w:rsidRDefault="00BF5444" w:rsidP="00C41116">
      <w:pPr>
        <w:pStyle w:val="ColorfulList-Accent11"/>
        <w:spacing w:after="0" w:line="360" w:lineRule="auto"/>
        <w:ind w:left="0"/>
        <w:jc w:val="center"/>
        <w:rPr>
          <w:rFonts w:ascii="Arial" w:eastAsia="Arial Unicode MS" w:hAnsi="Arial" w:cs="Arial"/>
          <w:bCs/>
          <w:smallCaps/>
          <w:lang w:val="es-ES"/>
        </w:rPr>
      </w:pPr>
    </w:p>
    <w:p w14:paraId="48AC7C0E" w14:textId="77777777" w:rsidR="00666520" w:rsidRPr="00C22824" w:rsidRDefault="00666520" w:rsidP="00BF5444">
      <w:pPr>
        <w:pStyle w:val="ColorfulList-Accent11"/>
        <w:numPr>
          <w:ilvl w:val="0"/>
          <w:numId w:val="13"/>
        </w:numPr>
        <w:tabs>
          <w:tab w:val="left" w:pos="540"/>
        </w:tabs>
        <w:spacing w:after="0" w:line="360" w:lineRule="auto"/>
        <w:ind w:hanging="1080"/>
        <w:jc w:val="both"/>
        <w:outlineLvl w:val="0"/>
        <w:rPr>
          <w:rFonts w:ascii="Arial" w:hAnsi="Arial" w:cs="Arial"/>
          <w:b/>
          <w:sz w:val="24"/>
          <w:lang w:val="es-ES"/>
        </w:rPr>
        <w:sectPr w:rsidR="00666520" w:rsidRPr="00C22824" w:rsidSect="00666520">
          <w:pgSz w:w="12240" w:h="15840"/>
          <w:pgMar w:top="1440" w:right="1627" w:bottom="1440" w:left="1440" w:header="720" w:footer="720" w:gutter="0"/>
          <w:cols w:space="720"/>
          <w:titlePg/>
          <w:docGrid w:linePitch="360"/>
        </w:sectPr>
      </w:pPr>
    </w:p>
    <w:p w14:paraId="2783140F" w14:textId="77EC8B64" w:rsidR="007A2F3E" w:rsidRPr="00F64E64" w:rsidRDefault="007A2F3E" w:rsidP="00F64E64">
      <w:pPr>
        <w:pStyle w:val="ColorfulList-Accent11"/>
        <w:numPr>
          <w:ilvl w:val="0"/>
          <w:numId w:val="13"/>
        </w:numPr>
        <w:tabs>
          <w:tab w:val="left" w:pos="540"/>
        </w:tabs>
        <w:spacing w:after="0"/>
        <w:ind w:hanging="1080"/>
        <w:jc w:val="both"/>
        <w:outlineLvl w:val="0"/>
        <w:rPr>
          <w:rFonts w:ascii="Arial" w:hAnsi="Arial" w:cs="Arial"/>
          <w:b/>
          <w:bCs/>
          <w:sz w:val="24"/>
          <w:szCs w:val="24"/>
          <w:lang w:val="es-ES"/>
        </w:rPr>
      </w:pPr>
      <w:bookmarkStart w:id="1" w:name="_Toc468954025"/>
      <w:r w:rsidRPr="00F64E64">
        <w:rPr>
          <w:rFonts w:ascii="Arial" w:hAnsi="Arial" w:cs="Arial"/>
          <w:b/>
          <w:bCs/>
          <w:sz w:val="24"/>
          <w:szCs w:val="24"/>
          <w:lang w:val="es-ES"/>
        </w:rPr>
        <w:lastRenderedPageBreak/>
        <w:t>Introducción</w:t>
      </w:r>
      <w:bookmarkEnd w:id="1"/>
    </w:p>
    <w:p w14:paraId="6AA55ABD" w14:textId="77777777" w:rsidR="00BA4881" w:rsidRPr="00C22824" w:rsidRDefault="00BA4881" w:rsidP="00F32849">
      <w:pPr>
        <w:pStyle w:val="Title"/>
        <w:tabs>
          <w:tab w:val="clear" w:pos="1440"/>
          <w:tab w:val="clear" w:pos="3060"/>
        </w:tabs>
        <w:spacing w:line="276" w:lineRule="auto"/>
        <w:jc w:val="both"/>
        <w:outlineLvl w:val="9"/>
        <w:rPr>
          <w:rFonts w:ascii="Arial" w:hAnsi="Arial" w:cs="Arial"/>
          <w:lang w:val="es-ES"/>
        </w:rPr>
      </w:pPr>
    </w:p>
    <w:p w14:paraId="6496F5F3" w14:textId="04F6AE93" w:rsidR="00D577A2" w:rsidRDefault="00D577A2"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 xml:space="preserve">El </w:t>
      </w:r>
      <w:r w:rsidR="00BA4881" w:rsidRPr="00C22824">
        <w:rPr>
          <w:rFonts w:ascii="Arial" w:hAnsi="Arial" w:cs="Arial"/>
          <w:lang w:val="es-ES"/>
        </w:rPr>
        <w:t xml:space="preserve">Programa de Reforma de Políticas del Sector Transporte II </w:t>
      </w:r>
      <w:r w:rsidR="00235351" w:rsidRPr="00C22824">
        <w:rPr>
          <w:rFonts w:ascii="Arial" w:hAnsi="Arial" w:cs="Arial"/>
          <w:lang w:val="es-ES"/>
        </w:rPr>
        <w:t xml:space="preserve">(BO-L1112) </w:t>
      </w:r>
      <w:r w:rsidR="00BA4881" w:rsidRPr="00C22824">
        <w:rPr>
          <w:rFonts w:ascii="Arial" w:hAnsi="Arial" w:cs="Arial"/>
          <w:lang w:val="es-ES"/>
        </w:rPr>
        <w:t>es la segunda operación de una serie de tres préstamos programáticos de apoyo a reformas de política (Programmatic Policy Based Program-PBP)</w:t>
      </w:r>
      <w:r w:rsidR="00235351" w:rsidRPr="00C22824">
        <w:rPr>
          <w:rFonts w:ascii="Arial" w:hAnsi="Arial" w:cs="Arial"/>
          <w:lang w:val="es-ES"/>
        </w:rPr>
        <w:t xml:space="preserve"> del sector transporte</w:t>
      </w:r>
      <w:r w:rsidR="00DA6FE8" w:rsidRPr="00C22824">
        <w:rPr>
          <w:rFonts w:ascii="Arial" w:hAnsi="Arial" w:cs="Arial"/>
          <w:lang w:val="es-ES"/>
        </w:rPr>
        <w:t xml:space="preserve"> de Bolivia</w:t>
      </w:r>
      <w:r w:rsidR="00BA4881" w:rsidRPr="00C22824">
        <w:rPr>
          <w:rFonts w:ascii="Arial" w:hAnsi="Arial" w:cs="Arial"/>
          <w:lang w:val="es-ES"/>
        </w:rPr>
        <w:t xml:space="preserve">. El Programa tiene como objetivo general, contribuir </w:t>
      </w:r>
      <w:r w:rsidRPr="00C22824">
        <w:rPr>
          <w:rFonts w:ascii="Arial" w:hAnsi="Arial" w:cs="Arial"/>
          <w:lang w:val="es-ES"/>
        </w:rPr>
        <w:t xml:space="preserve">a la mejora de la capacidad institucional del sector transporte en Bolivia a través del desarrollo e implementación del marco reglamentario, regulatorio y técnico de la Ley General de Transporte (Ley 165), </w:t>
      </w:r>
      <w:r w:rsidR="00A9542F" w:rsidRPr="00BE13E5">
        <w:rPr>
          <w:rFonts w:ascii="Arial" w:hAnsi="Arial" w:cs="Arial"/>
          <w:lang w:val="es-ES"/>
        </w:rPr>
        <w:t>cuya aplicación contribuirá</w:t>
      </w:r>
      <w:r w:rsidR="00A9542F" w:rsidRPr="00C22824">
        <w:rPr>
          <w:rFonts w:ascii="Arial" w:hAnsi="Arial" w:cs="Arial"/>
          <w:lang w:val="es-ES"/>
        </w:rPr>
        <w:t xml:space="preserve"> a la mejora de la productividad nacional</w:t>
      </w:r>
      <w:r w:rsidR="00A9542F">
        <w:rPr>
          <w:rFonts w:ascii="Arial" w:hAnsi="Arial" w:cs="Arial"/>
          <w:lang w:val="es-ES"/>
        </w:rPr>
        <w:t>,</w:t>
      </w:r>
      <w:r w:rsidR="00A9542F" w:rsidRPr="00C22824">
        <w:rPr>
          <w:rFonts w:ascii="Arial" w:hAnsi="Arial" w:cs="Arial"/>
          <w:lang w:val="es-ES"/>
        </w:rPr>
        <w:t xml:space="preserve"> </w:t>
      </w:r>
      <w:r w:rsidR="00A9542F">
        <w:rPr>
          <w:rFonts w:ascii="Arial" w:hAnsi="Arial" w:cs="Arial"/>
          <w:lang w:val="es-ES"/>
        </w:rPr>
        <w:t xml:space="preserve">la </w:t>
      </w:r>
      <w:r w:rsidR="00A9542F" w:rsidRPr="00C22824">
        <w:rPr>
          <w:rFonts w:ascii="Arial" w:hAnsi="Arial" w:cs="Arial"/>
          <w:lang w:val="es-ES"/>
        </w:rPr>
        <w:t>integración regional</w:t>
      </w:r>
      <w:r w:rsidR="00A9542F">
        <w:rPr>
          <w:rFonts w:ascii="Arial" w:hAnsi="Arial" w:cs="Arial"/>
          <w:lang w:val="es-ES"/>
        </w:rPr>
        <w:t xml:space="preserve"> y la sostenibilidad ambiental</w:t>
      </w:r>
      <w:r w:rsidRPr="00C22824">
        <w:rPr>
          <w:rFonts w:ascii="Arial" w:hAnsi="Arial" w:cs="Arial"/>
          <w:lang w:val="es-ES"/>
        </w:rPr>
        <w:t>. Los objetivos específicos son la mejora de la calidad de la infraestructura de transporte, a través de la implementación de mecanismos de planificación estratégica plurianual; y la mejora de los servicios asociados, a través de la adopción de marcos normativos y regulatorios adecuados a la demanda, orientados a la eficiencia, calidad, seguridad y sostenibilidad.</w:t>
      </w:r>
    </w:p>
    <w:p w14:paraId="24B39E0A" w14:textId="77777777" w:rsidR="00F82E41" w:rsidRPr="00C22824" w:rsidRDefault="00F82E41" w:rsidP="00F32849">
      <w:pPr>
        <w:pStyle w:val="Title"/>
        <w:tabs>
          <w:tab w:val="clear" w:pos="1440"/>
          <w:tab w:val="clear" w:pos="3060"/>
        </w:tabs>
        <w:spacing w:line="276" w:lineRule="auto"/>
        <w:jc w:val="both"/>
        <w:outlineLvl w:val="9"/>
        <w:rPr>
          <w:rFonts w:ascii="Arial" w:hAnsi="Arial" w:cs="Arial"/>
          <w:lang w:val="es-ES"/>
        </w:rPr>
      </w:pPr>
    </w:p>
    <w:p w14:paraId="7AD25961" w14:textId="0336470C" w:rsidR="009A29AA" w:rsidRPr="00C22824" w:rsidRDefault="007A2F3E"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En términos agregados, el programa beneficiará al gobierno a través del desarrollo e implementación del nuevo marco normativo, y a toda la población al contribuir a la mejora de la calidad de la infraestructura y los servicios de transporte</w:t>
      </w:r>
      <w:r w:rsidR="006E43A2" w:rsidRPr="00C22824">
        <w:rPr>
          <w:rFonts w:ascii="Arial" w:hAnsi="Arial" w:cs="Arial"/>
          <w:lang w:val="es-ES"/>
        </w:rPr>
        <w:t xml:space="preserve">. </w:t>
      </w:r>
      <w:r w:rsidR="009A29AA" w:rsidRPr="00C22824">
        <w:rPr>
          <w:rFonts w:ascii="Arial" w:hAnsi="Arial" w:cs="Arial"/>
          <w:lang w:val="es-ES"/>
        </w:rPr>
        <w:t xml:space="preserve">Los principales resultados esperados para el programa incluyen: </w:t>
      </w:r>
      <w:r w:rsidR="00A9542F" w:rsidRPr="000D0CBE">
        <w:rPr>
          <w:rFonts w:ascii="Arial" w:hAnsi="Arial" w:cs="Arial"/>
          <w:lang w:val="es-ES"/>
        </w:rPr>
        <w:t>(i) incremento de la planificación plurianual del sector; (ii) mejora de la calidad de la infraestructura y los servicios de transporte; y (iii) promoción de la sostenibilidad ambiental. Dichos resultados contribuirán a alcanzar los siguientes impactos: (i) incremento en el uso del transporte terrestre, férreo, aéreo y acuático; (ii) reducción de la tasa de mortalidad por accidentes viales; y (iii) mejora de la eficiencia del transporte terrestre.</w:t>
      </w:r>
      <w:r w:rsidR="009A29AA" w:rsidRPr="00C22824">
        <w:rPr>
          <w:rFonts w:ascii="Arial" w:hAnsi="Arial" w:cs="Arial"/>
          <w:lang w:val="es-ES"/>
        </w:rPr>
        <w:t xml:space="preserve"> Los principales productos esperados son: i) nuevos reglamentos y regulaciones aprobados; y </w:t>
      </w:r>
      <w:r w:rsidR="001E04B7">
        <w:rPr>
          <w:rFonts w:ascii="Arial" w:hAnsi="Arial" w:cs="Arial"/>
          <w:lang w:val="es-ES"/>
        </w:rPr>
        <w:t>(</w:t>
      </w:r>
      <w:r w:rsidR="009A29AA" w:rsidRPr="00C22824">
        <w:rPr>
          <w:rFonts w:ascii="Arial" w:hAnsi="Arial" w:cs="Arial"/>
          <w:lang w:val="es-ES"/>
        </w:rPr>
        <w:t xml:space="preserve">ii) herramientas de planificación y gestión en proceso, elaboradas y/o implementadas. </w:t>
      </w:r>
    </w:p>
    <w:p w14:paraId="16C1A392" w14:textId="77777777" w:rsidR="00235351" w:rsidRPr="00C22824" w:rsidRDefault="00235351" w:rsidP="00F32849">
      <w:pPr>
        <w:pStyle w:val="Title"/>
        <w:tabs>
          <w:tab w:val="clear" w:pos="1440"/>
          <w:tab w:val="clear" w:pos="3060"/>
        </w:tabs>
        <w:spacing w:line="276" w:lineRule="auto"/>
        <w:jc w:val="both"/>
        <w:outlineLvl w:val="9"/>
        <w:rPr>
          <w:rFonts w:ascii="Arial" w:hAnsi="Arial" w:cs="Arial"/>
          <w:lang w:val="es-ES"/>
        </w:rPr>
      </w:pPr>
    </w:p>
    <w:p w14:paraId="1DACC7B2" w14:textId="10CD15C7" w:rsidR="008A2ABA" w:rsidRPr="00C22824" w:rsidRDefault="00235351"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 xml:space="preserve">El Banco y el </w:t>
      </w:r>
      <w:r w:rsidR="00A367DD" w:rsidRPr="00C22824">
        <w:rPr>
          <w:rFonts w:ascii="Arial" w:hAnsi="Arial" w:cs="Arial"/>
          <w:lang w:val="es-ES"/>
        </w:rPr>
        <w:t>Gobierno de Bolivia (</w:t>
      </w:r>
      <w:r w:rsidRPr="00C22824">
        <w:rPr>
          <w:rFonts w:ascii="Arial" w:hAnsi="Arial" w:cs="Arial"/>
          <w:lang w:val="es-ES"/>
        </w:rPr>
        <w:t>GdB</w:t>
      </w:r>
      <w:r w:rsidR="00A367DD" w:rsidRPr="00C22824">
        <w:rPr>
          <w:rFonts w:ascii="Arial" w:hAnsi="Arial" w:cs="Arial"/>
          <w:lang w:val="es-ES"/>
        </w:rPr>
        <w:t>)</w:t>
      </w:r>
      <w:r w:rsidRPr="00C22824">
        <w:rPr>
          <w:rFonts w:ascii="Arial" w:hAnsi="Arial" w:cs="Arial"/>
          <w:lang w:val="es-ES"/>
        </w:rPr>
        <w:t xml:space="preserve"> acordaron utilizar la Matriz de Política, la Matriz de Medios de Verificación y la Matriz de Resultados como herramientas para el seguimiento y evaluación de la operación. </w:t>
      </w:r>
      <w:r w:rsidR="00E31657">
        <w:rPr>
          <w:rFonts w:ascii="Arial" w:hAnsi="Arial" w:cs="Arial"/>
          <w:lang w:val="es-ES"/>
        </w:rPr>
        <w:t xml:space="preserve">En cuanto a la evaluación del Programa, la metodología </w:t>
      </w:r>
      <w:r w:rsidR="00BE13E5">
        <w:rPr>
          <w:rFonts w:ascii="Arial" w:hAnsi="Arial" w:cs="Arial"/>
          <w:lang w:val="es-ES"/>
        </w:rPr>
        <w:t>a utilizar incluirá</w:t>
      </w:r>
      <w:r w:rsidR="00E31657">
        <w:rPr>
          <w:rFonts w:ascii="Arial" w:hAnsi="Arial" w:cs="Arial"/>
          <w:lang w:val="es-ES"/>
        </w:rPr>
        <w:t>: (i) un análisis reflexivo de los</w:t>
      </w:r>
      <w:r w:rsidR="00E31657" w:rsidRPr="00E31657">
        <w:rPr>
          <w:rFonts w:ascii="Arial" w:hAnsi="Arial" w:cs="Arial"/>
          <w:lang w:val="es-ES"/>
        </w:rPr>
        <w:t xml:space="preserve"> indicadores definidos en la</w:t>
      </w:r>
      <w:r w:rsidR="00BE13E5">
        <w:rPr>
          <w:rFonts w:ascii="Arial" w:hAnsi="Arial" w:cs="Arial"/>
          <w:lang w:val="es-ES"/>
        </w:rPr>
        <w:t xml:space="preserve"> matriz </w:t>
      </w:r>
      <w:r w:rsidR="00E31657" w:rsidRPr="00E31657">
        <w:rPr>
          <w:rFonts w:ascii="Arial" w:hAnsi="Arial" w:cs="Arial"/>
          <w:lang w:val="es-ES"/>
        </w:rPr>
        <w:t>de</w:t>
      </w:r>
      <w:r w:rsidR="00BE13E5">
        <w:rPr>
          <w:rFonts w:ascii="Arial" w:hAnsi="Arial" w:cs="Arial"/>
          <w:lang w:val="es-ES"/>
        </w:rPr>
        <w:t xml:space="preserve"> política y de resultados</w:t>
      </w:r>
      <w:r w:rsidR="00E31657">
        <w:rPr>
          <w:rFonts w:ascii="Arial" w:hAnsi="Arial" w:cs="Arial"/>
          <w:lang w:val="es-ES"/>
        </w:rPr>
        <w:t xml:space="preserve">; y (ii) </w:t>
      </w:r>
      <w:r w:rsidR="00E31657" w:rsidRPr="00E31657">
        <w:rPr>
          <w:rFonts w:ascii="Arial" w:hAnsi="Arial" w:cs="Arial"/>
          <w:lang w:val="es-ES"/>
        </w:rPr>
        <w:t>un análisis económico ex post</w:t>
      </w:r>
      <w:r w:rsidR="00E31657">
        <w:rPr>
          <w:rFonts w:ascii="Arial" w:hAnsi="Arial" w:cs="Arial"/>
          <w:lang w:val="es-ES"/>
        </w:rPr>
        <w:t xml:space="preserve"> del Programa</w:t>
      </w:r>
      <w:r w:rsidR="00E31657" w:rsidRPr="00E31657">
        <w:rPr>
          <w:rFonts w:ascii="Arial" w:hAnsi="Arial" w:cs="Arial"/>
          <w:lang w:val="es-ES"/>
        </w:rPr>
        <w:t>.</w:t>
      </w:r>
      <w:r w:rsidR="00E31657">
        <w:rPr>
          <w:rFonts w:ascii="Arial" w:hAnsi="Arial" w:cs="Arial"/>
          <w:lang w:val="es-ES"/>
        </w:rPr>
        <w:t xml:space="preserve"> </w:t>
      </w:r>
      <w:r w:rsidR="007A2F3E" w:rsidRPr="00C22824">
        <w:rPr>
          <w:rFonts w:ascii="Arial" w:hAnsi="Arial" w:cs="Arial"/>
          <w:lang w:val="es-ES"/>
        </w:rPr>
        <w:t xml:space="preserve">El presente </w:t>
      </w:r>
      <w:r w:rsidR="00BA4881" w:rsidRPr="00C22824">
        <w:rPr>
          <w:rFonts w:ascii="Arial" w:hAnsi="Arial" w:cs="Arial"/>
          <w:lang w:val="es-ES"/>
        </w:rPr>
        <w:t xml:space="preserve">documento describe las actividades de monitoreo y evaluación </w:t>
      </w:r>
      <w:r w:rsidRPr="00C22824">
        <w:rPr>
          <w:rFonts w:ascii="Arial" w:hAnsi="Arial" w:cs="Arial"/>
          <w:lang w:val="es-ES"/>
        </w:rPr>
        <w:t xml:space="preserve">de los </w:t>
      </w:r>
      <w:r w:rsidR="00BA4881" w:rsidRPr="00C22824">
        <w:rPr>
          <w:rFonts w:ascii="Arial" w:hAnsi="Arial" w:cs="Arial"/>
          <w:lang w:val="es-ES"/>
        </w:rPr>
        <w:t>compromisos de pol</w:t>
      </w:r>
      <w:r w:rsidR="006E43A2" w:rsidRPr="00C22824">
        <w:rPr>
          <w:rFonts w:ascii="Arial" w:hAnsi="Arial" w:cs="Arial"/>
          <w:lang w:val="es-ES"/>
        </w:rPr>
        <w:t>ítica y resultados del Programa</w:t>
      </w:r>
      <w:r w:rsidRPr="00C22824">
        <w:rPr>
          <w:rFonts w:ascii="Arial" w:hAnsi="Arial" w:cs="Arial"/>
          <w:lang w:val="es-ES"/>
        </w:rPr>
        <w:t xml:space="preserve">. </w:t>
      </w:r>
    </w:p>
    <w:p w14:paraId="0875BF39" w14:textId="77777777" w:rsidR="008A2ABA" w:rsidRPr="00C22824" w:rsidRDefault="008A2ABA" w:rsidP="00F32849">
      <w:pPr>
        <w:pStyle w:val="ColorfulList-Accent11"/>
        <w:spacing w:after="0"/>
        <w:ind w:left="1080"/>
        <w:jc w:val="both"/>
        <w:rPr>
          <w:rFonts w:ascii="Arial" w:hAnsi="Arial" w:cs="Arial"/>
          <w:b/>
          <w:lang w:val="es-ES"/>
        </w:rPr>
      </w:pPr>
    </w:p>
    <w:p w14:paraId="2835B318" w14:textId="250C3FAC" w:rsidR="007A2F3E" w:rsidRPr="00F64E64" w:rsidRDefault="007A2F3E" w:rsidP="00F64E64">
      <w:pPr>
        <w:pStyle w:val="ColorfulList-Accent11"/>
        <w:numPr>
          <w:ilvl w:val="0"/>
          <w:numId w:val="13"/>
        </w:numPr>
        <w:tabs>
          <w:tab w:val="left" w:pos="540"/>
        </w:tabs>
        <w:spacing w:after="0"/>
        <w:ind w:hanging="1080"/>
        <w:jc w:val="both"/>
        <w:outlineLvl w:val="0"/>
        <w:rPr>
          <w:rFonts w:ascii="Arial" w:hAnsi="Arial" w:cs="Arial"/>
          <w:b/>
          <w:bCs/>
          <w:sz w:val="24"/>
          <w:szCs w:val="24"/>
          <w:lang w:val="es-ES"/>
        </w:rPr>
      </w:pPr>
      <w:bookmarkStart w:id="2" w:name="_Toc468954026"/>
      <w:r w:rsidRPr="00F64E64">
        <w:rPr>
          <w:rFonts w:ascii="Arial" w:hAnsi="Arial" w:cs="Arial"/>
          <w:b/>
          <w:bCs/>
          <w:sz w:val="24"/>
          <w:szCs w:val="24"/>
          <w:lang w:val="es-ES"/>
        </w:rPr>
        <w:t xml:space="preserve">Monitoreo del </w:t>
      </w:r>
      <w:r w:rsidR="00A9542F" w:rsidRPr="00F64E64">
        <w:rPr>
          <w:rFonts w:ascii="Arial" w:hAnsi="Arial" w:cs="Arial"/>
          <w:b/>
          <w:bCs/>
          <w:sz w:val="24"/>
          <w:szCs w:val="24"/>
          <w:lang w:val="es-ES"/>
        </w:rPr>
        <w:t>P</w:t>
      </w:r>
      <w:r w:rsidRPr="00F64E64">
        <w:rPr>
          <w:rFonts w:ascii="Arial" w:hAnsi="Arial" w:cs="Arial"/>
          <w:b/>
          <w:bCs/>
          <w:sz w:val="24"/>
          <w:szCs w:val="24"/>
          <w:lang w:val="es-ES"/>
        </w:rPr>
        <w:t>rograma</w:t>
      </w:r>
      <w:r w:rsidR="00F32849" w:rsidRPr="00F64E64">
        <w:rPr>
          <w:rFonts w:ascii="Arial" w:hAnsi="Arial" w:cs="Arial"/>
          <w:b/>
          <w:bCs/>
          <w:sz w:val="24"/>
          <w:szCs w:val="24"/>
          <w:lang w:val="es-ES"/>
        </w:rPr>
        <w:t>.</w:t>
      </w:r>
      <w:bookmarkEnd w:id="2"/>
    </w:p>
    <w:p w14:paraId="53D8FEE3" w14:textId="77777777" w:rsidR="00F32849" w:rsidRPr="00C22824" w:rsidRDefault="00F32849" w:rsidP="00F32849">
      <w:pPr>
        <w:pStyle w:val="ColorfulList-Accent11"/>
        <w:tabs>
          <w:tab w:val="left" w:pos="540"/>
        </w:tabs>
        <w:spacing w:after="0"/>
        <w:ind w:left="1080"/>
        <w:jc w:val="both"/>
        <w:outlineLvl w:val="0"/>
        <w:rPr>
          <w:rFonts w:ascii="Arial" w:hAnsi="Arial" w:cs="Arial"/>
          <w:b/>
          <w:sz w:val="24"/>
          <w:lang w:val="es-ES"/>
        </w:rPr>
      </w:pPr>
    </w:p>
    <w:p w14:paraId="05E010EE" w14:textId="52E17097" w:rsidR="00937F53" w:rsidRPr="00F64E64" w:rsidRDefault="00937F53"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 xml:space="preserve">Las actividades de monitoreo tienen como objetivo: i) verificar el cumplimiento de los compromisos de política del Gobierno de Bolivia establecidos en la matriz de políticas; y ii) verificar el alcance de las metas e indicadores establecidos en la matriz de políticas y en la de resultados. </w:t>
      </w:r>
      <w:r w:rsidR="00D33267" w:rsidRPr="00C22824">
        <w:rPr>
          <w:rFonts w:ascii="Arial" w:hAnsi="Arial" w:cs="Arial"/>
          <w:lang w:val="es-ES"/>
        </w:rPr>
        <w:t xml:space="preserve">Los indicadores de la Matriz de Resultados guiarán el monitoreo </w:t>
      </w:r>
      <w:r w:rsidR="00D33267" w:rsidRPr="00C22824">
        <w:rPr>
          <w:rFonts w:ascii="Arial" w:hAnsi="Arial" w:cs="Arial"/>
          <w:lang w:val="es-ES"/>
        </w:rPr>
        <w:lastRenderedPageBreak/>
        <w:t xml:space="preserve">del progreso en la implementación del programa y permitirán su evaluación a la finalización de la última operación programática. </w:t>
      </w:r>
      <w:r w:rsidRPr="00F64E64">
        <w:rPr>
          <w:rFonts w:ascii="Arial" w:hAnsi="Arial" w:cs="Arial"/>
          <w:lang w:val="es-ES"/>
        </w:rPr>
        <w:t>Los medios de verificación serán la fuente de información que determinará el cumpli</w:t>
      </w:r>
      <w:r w:rsidR="00D33267" w:rsidRPr="00F64E64">
        <w:rPr>
          <w:rFonts w:ascii="Arial" w:hAnsi="Arial" w:cs="Arial"/>
          <w:lang w:val="es-ES"/>
        </w:rPr>
        <w:t>miento de las metas de política</w:t>
      </w:r>
      <w:r w:rsidRPr="00F64E64">
        <w:rPr>
          <w:rFonts w:ascii="Arial" w:hAnsi="Arial" w:cs="Arial"/>
          <w:lang w:val="es-ES"/>
        </w:rPr>
        <w:t>.</w:t>
      </w:r>
      <w:r w:rsidR="00D33267" w:rsidRPr="00C22824">
        <w:rPr>
          <w:rFonts w:ascii="Arial" w:hAnsi="Arial" w:cs="Arial"/>
          <w:lang w:val="es-ES"/>
        </w:rPr>
        <w:t xml:space="preserve"> </w:t>
      </w:r>
      <w:r w:rsidR="00A42EB4" w:rsidRPr="00C22824">
        <w:rPr>
          <w:rFonts w:ascii="Arial" w:hAnsi="Arial" w:cs="Arial"/>
          <w:lang w:val="es-ES"/>
        </w:rPr>
        <w:t>El Organismo Ejecutor</w:t>
      </w:r>
      <w:r w:rsidR="00A42EB4" w:rsidRPr="00C22824">
        <w:rPr>
          <w:rStyle w:val="FootnoteReference"/>
          <w:rFonts w:ascii="Arial" w:hAnsi="Arial" w:cs="Arial"/>
          <w:lang w:val="es-ES"/>
        </w:rPr>
        <w:footnoteReference w:id="1"/>
      </w:r>
      <w:r w:rsidR="00A42EB4" w:rsidRPr="00C22824">
        <w:rPr>
          <w:rFonts w:ascii="Arial" w:hAnsi="Arial" w:cs="Arial"/>
          <w:lang w:val="es-ES"/>
        </w:rPr>
        <w:t xml:space="preserve"> y el Banco han acordado monitorear la ejecución del programa a partir de reuniones de seguimiento anual.</w:t>
      </w:r>
    </w:p>
    <w:p w14:paraId="7FF633ED" w14:textId="77777777" w:rsidR="00937F53" w:rsidRPr="00C22824" w:rsidRDefault="00937F53" w:rsidP="00F32849">
      <w:pPr>
        <w:pStyle w:val="Title"/>
        <w:tabs>
          <w:tab w:val="clear" w:pos="1440"/>
          <w:tab w:val="clear" w:pos="3060"/>
        </w:tabs>
        <w:spacing w:line="276" w:lineRule="auto"/>
        <w:jc w:val="both"/>
        <w:outlineLvl w:val="9"/>
        <w:rPr>
          <w:rFonts w:ascii="Arial" w:hAnsi="Arial" w:cs="Arial"/>
          <w:lang w:val="es-ES"/>
        </w:rPr>
      </w:pPr>
    </w:p>
    <w:p w14:paraId="5D7FE042" w14:textId="6DD17AB9" w:rsidR="00C41116" w:rsidRPr="00F64E64" w:rsidRDefault="008457A4" w:rsidP="00F64E64">
      <w:pPr>
        <w:pStyle w:val="ColorfulList-Accent11"/>
        <w:numPr>
          <w:ilvl w:val="1"/>
          <w:numId w:val="13"/>
        </w:numPr>
        <w:spacing w:after="0"/>
        <w:ind w:left="360"/>
        <w:jc w:val="both"/>
        <w:outlineLvl w:val="1"/>
        <w:rPr>
          <w:rFonts w:ascii="Arial" w:hAnsi="Arial" w:cs="Arial"/>
          <w:b/>
          <w:bCs/>
          <w:sz w:val="24"/>
          <w:szCs w:val="24"/>
          <w:lang w:val="es-ES"/>
        </w:rPr>
      </w:pPr>
      <w:bookmarkStart w:id="3" w:name="_Toc468954027"/>
      <w:r w:rsidRPr="00F64E64">
        <w:rPr>
          <w:rFonts w:ascii="Arial" w:hAnsi="Arial" w:cs="Arial"/>
          <w:b/>
          <w:bCs/>
          <w:sz w:val="24"/>
          <w:szCs w:val="24"/>
          <w:lang w:val="es-ES"/>
        </w:rPr>
        <w:t>Indicadores</w:t>
      </w:r>
      <w:r w:rsidR="00DC3A4A" w:rsidRPr="00F64E64">
        <w:rPr>
          <w:rFonts w:ascii="Arial" w:hAnsi="Arial" w:cs="Arial"/>
          <w:b/>
          <w:bCs/>
          <w:sz w:val="24"/>
          <w:szCs w:val="24"/>
          <w:lang w:val="es-ES"/>
        </w:rPr>
        <w:t xml:space="preserve"> de P</w:t>
      </w:r>
      <w:r w:rsidR="00666520" w:rsidRPr="00F64E64">
        <w:rPr>
          <w:rFonts w:ascii="Arial" w:hAnsi="Arial" w:cs="Arial"/>
          <w:b/>
          <w:bCs/>
          <w:sz w:val="24"/>
          <w:szCs w:val="24"/>
          <w:lang w:val="es-ES"/>
        </w:rPr>
        <w:t>roducto</w:t>
      </w:r>
      <w:bookmarkEnd w:id="3"/>
    </w:p>
    <w:p w14:paraId="71282A76" w14:textId="77777777" w:rsidR="00DC3A4A" w:rsidRPr="00C22824" w:rsidRDefault="00DC3A4A" w:rsidP="00F32849">
      <w:pPr>
        <w:pStyle w:val="ColorfulList-Accent11"/>
        <w:spacing w:after="0"/>
        <w:ind w:left="360"/>
        <w:jc w:val="both"/>
        <w:outlineLvl w:val="1"/>
        <w:rPr>
          <w:rFonts w:ascii="Arial" w:hAnsi="Arial" w:cs="Arial"/>
          <w:b/>
          <w:lang w:val="es-ES"/>
        </w:rPr>
      </w:pPr>
    </w:p>
    <w:p w14:paraId="45D05AC0" w14:textId="42ED7803" w:rsidR="008457A4" w:rsidRDefault="00A367DD"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Los indicadores de</w:t>
      </w:r>
      <w:r w:rsidR="007A2F3E" w:rsidRPr="00C22824">
        <w:rPr>
          <w:rFonts w:ascii="Arial" w:hAnsi="Arial" w:cs="Arial"/>
          <w:lang w:val="es-ES"/>
        </w:rPr>
        <w:t xml:space="preserve"> producto </w:t>
      </w:r>
      <w:r w:rsidRPr="00C22824">
        <w:rPr>
          <w:rFonts w:ascii="Arial" w:hAnsi="Arial" w:cs="Arial"/>
          <w:lang w:val="es-ES"/>
        </w:rPr>
        <w:t xml:space="preserve">incluidos en la Matriz de Resultados, </w:t>
      </w:r>
      <w:r w:rsidR="007A2F3E" w:rsidRPr="00C22824">
        <w:rPr>
          <w:rFonts w:ascii="Arial" w:hAnsi="Arial" w:cs="Arial"/>
          <w:lang w:val="es-ES"/>
        </w:rPr>
        <w:t xml:space="preserve">corresponden a los compromisos establecidos y detallados en la Matriz de Política y </w:t>
      </w:r>
      <w:r w:rsidRPr="00C22824">
        <w:rPr>
          <w:rFonts w:ascii="Arial" w:hAnsi="Arial" w:cs="Arial"/>
          <w:lang w:val="es-ES"/>
        </w:rPr>
        <w:t xml:space="preserve">en </w:t>
      </w:r>
      <w:r w:rsidR="007A2F3E" w:rsidRPr="00C22824">
        <w:rPr>
          <w:rFonts w:ascii="Arial" w:hAnsi="Arial" w:cs="Arial"/>
          <w:lang w:val="es-ES"/>
        </w:rPr>
        <w:t xml:space="preserve">la Matriz de Medios de Verificación. </w:t>
      </w:r>
    </w:p>
    <w:p w14:paraId="3045E8D6" w14:textId="77777777" w:rsidR="001B49A9" w:rsidRPr="00C22824" w:rsidRDefault="001B49A9" w:rsidP="00F32849">
      <w:pPr>
        <w:pStyle w:val="ColorfulList-Accent11"/>
        <w:spacing w:after="0"/>
        <w:ind w:left="0"/>
        <w:jc w:val="both"/>
        <w:rPr>
          <w:rFonts w:ascii="Arial" w:hAnsi="Arial" w:cs="Arial"/>
          <w:b/>
          <w:lang w:val="es-ES"/>
        </w:rPr>
      </w:pPr>
    </w:p>
    <w:p w14:paraId="372DA2D8" w14:textId="3F8E2C97" w:rsidR="001D1D8F" w:rsidRPr="00F64E64" w:rsidRDefault="001D1D8F" w:rsidP="00F64E64">
      <w:pPr>
        <w:pStyle w:val="Caption"/>
        <w:keepNext/>
        <w:spacing w:after="0" w:line="276" w:lineRule="auto"/>
        <w:jc w:val="center"/>
        <w:rPr>
          <w:rFonts w:ascii="Arial" w:hAnsi="Arial" w:cs="Arial"/>
          <w:b/>
          <w:bCs/>
          <w:i w:val="0"/>
          <w:iCs w:val="0"/>
          <w:color w:val="000000" w:themeColor="text1"/>
          <w:lang w:val="es-ES"/>
        </w:rPr>
      </w:pPr>
      <w:r w:rsidRPr="00F64E64">
        <w:rPr>
          <w:rFonts w:ascii="Arial" w:hAnsi="Arial" w:cs="Arial"/>
          <w:b/>
          <w:bCs/>
          <w:i w:val="0"/>
          <w:iCs w:val="0"/>
          <w:color w:val="000000" w:themeColor="text1"/>
          <w:lang w:val="es-ES"/>
        </w:rPr>
        <w:t xml:space="preserve">Tabla </w:t>
      </w:r>
      <w:r w:rsidRPr="00F64E64">
        <w:fldChar w:fldCharType="begin"/>
      </w:r>
      <w:r w:rsidRPr="00C22824">
        <w:rPr>
          <w:rFonts w:ascii="Arial" w:hAnsi="Arial" w:cs="Arial"/>
          <w:b/>
          <w:i w:val="0"/>
          <w:color w:val="000000" w:themeColor="text1"/>
          <w:lang w:val="es-ES"/>
        </w:rPr>
        <w:instrText xml:space="preserve"> SEQ Tabla \* ARABIC </w:instrText>
      </w:r>
      <w:r w:rsidRPr="3C87D50B">
        <w:rPr>
          <w:rFonts w:ascii="Arial" w:hAnsi="Arial" w:cs="Arial"/>
          <w:b/>
          <w:i w:val="0"/>
          <w:color w:val="000000" w:themeColor="text1"/>
          <w:lang w:val="es-ES"/>
        </w:rPr>
        <w:fldChar w:fldCharType="separate"/>
      </w:r>
      <w:r w:rsidR="000A6E76" w:rsidRPr="00F64E64">
        <w:rPr>
          <w:rFonts w:ascii="Arial" w:hAnsi="Arial" w:cs="Arial"/>
          <w:b/>
          <w:bCs/>
          <w:i w:val="0"/>
          <w:iCs w:val="0"/>
          <w:noProof/>
          <w:color w:val="000000" w:themeColor="text1"/>
          <w:lang w:val="es-ES"/>
        </w:rPr>
        <w:t>1</w:t>
      </w:r>
      <w:r w:rsidRPr="00F64E64">
        <w:fldChar w:fldCharType="end"/>
      </w:r>
      <w:r w:rsidR="00C627BC" w:rsidRPr="00F64E64">
        <w:rPr>
          <w:rFonts w:ascii="Arial" w:hAnsi="Arial" w:cs="Arial"/>
          <w:b/>
          <w:bCs/>
          <w:i w:val="0"/>
          <w:iCs w:val="0"/>
          <w:color w:val="000000" w:themeColor="text1"/>
          <w:lang w:val="es-ES"/>
        </w:rPr>
        <w:t>.</w:t>
      </w:r>
      <w:r w:rsidRPr="00F64E64">
        <w:rPr>
          <w:rFonts w:ascii="Arial" w:hAnsi="Arial" w:cs="Arial"/>
          <w:b/>
          <w:bCs/>
          <w:i w:val="0"/>
          <w:iCs w:val="0"/>
          <w:color w:val="000000" w:themeColor="text1"/>
          <w:lang w:val="es-ES"/>
        </w:rPr>
        <w:t xml:space="preserve"> Indicadores de Productos</w:t>
      </w:r>
    </w:p>
    <w:tbl>
      <w:tblPr>
        <w:tblW w:w="10890" w:type="dxa"/>
        <w:tblInd w:w="-6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28"/>
        <w:gridCol w:w="1461"/>
        <w:gridCol w:w="1055"/>
        <w:gridCol w:w="810"/>
        <w:gridCol w:w="4336"/>
      </w:tblGrid>
      <w:tr w:rsidR="001D1D8F" w:rsidRPr="00B64519" w14:paraId="060EF0A1" w14:textId="77777777" w:rsidTr="00F64E64">
        <w:trPr>
          <w:trHeight w:val="320"/>
          <w:tblHeader/>
        </w:trPr>
        <w:tc>
          <w:tcPr>
            <w:tcW w:w="3228" w:type="dxa"/>
            <w:shd w:val="clear" w:color="auto" w:fill="BFBFBF" w:themeFill="background1" w:themeFillShade="BF"/>
            <w:vAlign w:val="center"/>
            <w:hideMark/>
          </w:tcPr>
          <w:p w14:paraId="3505A1E8" w14:textId="77777777" w:rsidR="001D1D8F" w:rsidRPr="00B64519" w:rsidRDefault="001D1D8F" w:rsidP="00DA2367">
            <w:pPr>
              <w:jc w:val="center"/>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Indicador de Producto</w:t>
            </w:r>
          </w:p>
        </w:tc>
        <w:tc>
          <w:tcPr>
            <w:tcW w:w="1461" w:type="dxa"/>
            <w:shd w:val="clear" w:color="auto" w:fill="BFBFBF" w:themeFill="background1" w:themeFillShade="BF"/>
            <w:vAlign w:val="center"/>
            <w:hideMark/>
          </w:tcPr>
          <w:p w14:paraId="342115CD" w14:textId="77777777" w:rsidR="001D1D8F" w:rsidRPr="001640F5" w:rsidRDefault="001D1D8F" w:rsidP="00DA2367">
            <w:pPr>
              <w:jc w:val="center"/>
              <w:rPr>
                <w:rFonts w:ascii="Arial" w:eastAsia="Times New Roman" w:hAnsi="Arial" w:cs="Arial"/>
                <w:b/>
                <w:bCs/>
                <w:color w:val="000000"/>
                <w:sz w:val="20"/>
                <w:szCs w:val="20"/>
                <w:lang w:val="es-ES"/>
              </w:rPr>
            </w:pPr>
            <w:r w:rsidRPr="001640F5">
              <w:rPr>
                <w:rFonts w:ascii="Arial" w:eastAsia="Times New Roman" w:hAnsi="Arial" w:cs="Arial"/>
                <w:b/>
                <w:bCs/>
                <w:color w:val="000000"/>
                <w:sz w:val="20"/>
                <w:szCs w:val="20"/>
                <w:lang w:val="es-ES"/>
              </w:rPr>
              <w:t xml:space="preserve">Responsable </w:t>
            </w:r>
          </w:p>
        </w:tc>
        <w:tc>
          <w:tcPr>
            <w:tcW w:w="1055" w:type="dxa"/>
            <w:shd w:val="clear" w:color="auto" w:fill="BFBFBF" w:themeFill="background1" w:themeFillShade="BF"/>
            <w:vAlign w:val="center"/>
            <w:hideMark/>
          </w:tcPr>
          <w:p w14:paraId="744E2F1D" w14:textId="77777777" w:rsidR="001D1D8F" w:rsidRPr="001640F5" w:rsidRDefault="001D1D8F" w:rsidP="00DA2367">
            <w:pPr>
              <w:jc w:val="center"/>
              <w:rPr>
                <w:rFonts w:ascii="Arial" w:eastAsia="Times New Roman" w:hAnsi="Arial" w:cs="Arial"/>
                <w:b/>
                <w:bCs/>
                <w:color w:val="000000"/>
                <w:sz w:val="20"/>
                <w:szCs w:val="20"/>
                <w:lang w:val="es-ES"/>
              </w:rPr>
            </w:pPr>
            <w:r w:rsidRPr="001640F5">
              <w:rPr>
                <w:rFonts w:ascii="Arial" w:eastAsia="Times New Roman" w:hAnsi="Arial" w:cs="Arial"/>
                <w:b/>
                <w:bCs/>
                <w:color w:val="000000"/>
                <w:sz w:val="20"/>
                <w:szCs w:val="20"/>
                <w:lang w:val="es-ES"/>
              </w:rPr>
              <w:t>Línea de Base</w:t>
            </w:r>
          </w:p>
        </w:tc>
        <w:tc>
          <w:tcPr>
            <w:tcW w:w="810" w:type="dxa"/>
            <w:shd w:val="clear" w:color="auto" w:fill="BFBFBF" w:themeFill="background1" w:themeFillShade="BF"/>
            <w:vAlign w:val="center"/>
            <w:hideMark/>
          </w:tcPr>
          <w:p w14:paraId="76725CF9" w14:textId="1144FC42" w:rsidR="001D1D8F" w:rsidRPr="00E31657" w:rsidRDefault="001D1D8F" w:rsidP="006279F0">
            <w:pPr>
              <w:jc w:val="right"/>
              <w:rPr>
                <w:rFonts w:ascii="Arial" w:eastAsia="Times New Roman" w:hAnsi="Arial" w:cs="Arial"/>
                <w:b/>
                <w:bCs/>
                <w:color w:val="000000"/>
                <w:sz w:val="20"/>
                <w:szCs w:val="20"/>
                <w:lang w:val="es-ES"/>
              </w:rPr>
            </w:pPr>
            <w:r w:rsidRPr="00E31657">
              <w:rPr>
                <w:rFonts w:ascii="Arial" w:eastAsia="Times New Roman" w:hAnsi="Arial" w:cs="Arial"/>
                <w:b/>
                <w:bCs/>
                <w:color w:val="000000"/>
                <w:sz w:val="20"/>
                <w:szCs w:val="20"/>
                <w:lang w:val="es-ES"/>
              </w:rPr>
              <w:t>Meta (2017)</w:t>
            </w:r>
          </w:p>
        </w:tc>
        <w:tc>
          <w:tcPr>
            <w:tcW w:w="4336" w:type="dxa"/>
            <w:shd w:val="clear" w:color="auto" w:fill="BFBFBF" w:themeFill="background1" w:themeFillShade="BF"/>
            <w:vAlign w:val="center"/>
            <w:hideMark/>
          </w:tcPr>
          <w:p w14:paraId="1C65BCF6" w14:textId="77777777" w:rsidR="001D1D8F" w:rsidRPr="00E31657" w:rsidRDefault="001D1D8F" w:rsidP="00DA2367">
            <w:pPr>
              <w:jc w:val="center"/>
              <w:rPr>
                <w:rFonts w:ascii="Arial" w:eastAsia="Times New Roman" w:hAnsi="Arial" w:cs="Arial"/>
                <w:b/>
                <w:bCs/>
                <w:color w:val="000000"/>
                <w:sz w:val="20"/>
                <w:szCs w:val="20"/>
                <w:lang w:val="es-ES"/>
              </w:rPr>
            </w:pPr>
            <w:r w:rsidRPr="00E31657">
              <w:rPr>
                <w:rFonts w:ascii="Arial" w:eastAsia="Times New Roman" w:hAnsi="Arial" w:cs="Arial"/>
                <w:b/>
                <w:bCs/>
                <w:color w:val="000000"/>
                <w:sz w:val="20"/>
                <w:szCs w:val="20"/>
                <w:lang w:val="es-ES"/>
              </w:rPr>
              <w:t>Medio de Verificación</w:t>
            </w:r>
          </w:p>
        </w:tc>
      </w:tr>
      <w:tr w:rsidR="001D1D8F" w:rsidRPr="00F64E64" w14:paraId="46509D9A" w14:textId="77777777" w:rsidTr="00F64E64">
        <w:trPr>
          <w:trHeight w:val="73"/>
        </w:trPr>
        <w:tc>
          <w:tcPr>
            <w:tcW w:w="10890" w:type="dxa"/>
            <w:gridSpan w:val="5"/>
            <w:shd w:val="clear" w:color="auto" w:fill="D9D9D9" w:themeFill="background1" w:themeFillShade="D9"/>
            <w:vAlign w:val="center"/>
            <w:hideMark/>
          </w:tcPr>
          <w:p w14:paraId="0631FA01" w14:textId="4805BBDB" w:rsidR="001D1D8F" w:rsidRPr="001640F5" w:rsidRDefault="001D1D8F" w:rsidP="00DA2367">
            <w:pPr>
              <w:jc w:val="both"/>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COMPONENTE 2. MARCO NORMATIVO Y REGULATORIO</w:t>
            </w:r>
            <w:r w:rsidR="00035AE4" w:rsidRPr="001640F5">
              <w:rPr>
                <w:rFonts w:ascii="Arial" w:eastAsia="Times New Roman" w:hAnsi="Arial" w:cs="Arial"/>
                <w:b/>
                <w:bCs/>
                <w:color w:val="000000"/>
                <w:sz w:val="20"/>
                <w:szCs w:val="20"/>
                <w:lang w:val="es-ES"/>
              </w:rPr>
              <w:t>.</w:t>
            </w:r>
          </w:p>
        </w:tc>
      </w:tr>
      <w:tr w:rsidR="001D1D8F" w:rsidRPr="00B64519" w14:paraId="2A2F9C75" w14:textId="77777777" w:rsidTr="00F64E64">
        <w:trPr>
          <w:trHeight w:val="320"/>
        </w:trPr>
        <w:tc>
          <w:tcPr>
            <w:tcW w:w="10890" w:type="dxa"/>
            <w:gridSpan w:val="5"/>
            <w:shd w:val="clear" w:color="auto" w:fill="D9D9D9" w:themeFill="background1" w:themeFillShade="D9"/>
            <w:vAlign w:val="center"/>
            <w:hideMark/>
          </w:tcPr>
          <w:p w14:paraId="1DBB015A" w14:textId="1F04972E" w:rsidR="001D1D8F" w:rsidRPr="001640F5" w:rsidRDefault="001D1D8F" w:rsidP="00DA2367">
            <w:pPr>
              <w:jc w:val="both"/>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 xml:space="preserve">2.1 MARCO NORMATIVO </w:t>
            </w:r>
            <w:r w:rsidR="00035AE4" w:rsidRPr="001640F5">
              <w:rPr>
                <w:rFonts w:ascii="Arial" w:eastAsia="Times New Roman" w:hAnsi="Arial" w:cs="Arial"/>
                <w:b/>
                <w:bCs/>
                <w:color w:val="000000"/>
                <w:sz w:val="20"/>
                <w:szCs w:val="20"/>
                <w:lang w:val="es-ES"/>
              </w:rPr>
              <w:t>GENERAL.</w:t>
            </w:r>
          </w:p>
        </w:tc>
      </w:tr>
      <w:tr w:rsidR="001D1D8F" w:rsidRPr="00F64E64" w14:paraId="6CDD0141" w14:textId="77777777" w:rsidTr="00F64E64">
        <w:trPr>
          <w:trHeight w:val="73"/>
        </w:trPr>
        <w:tc>
          <w:tcPr>
            <w:tcW w:w="3228" w:type="dxa"/>
            <w:shd w:val="clear" w:color="auto" w:fill="auto"/>
            <w:vAlign w:val="center"/>
            <w:hideMark/>
          </w:tcPr>
          <w:p w14:paraId="7F920845" w14:textId="6A79ECAA"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Consejo de Coordinación Sectorial de Transporte (CCS</w:t>
            </w:r>
            <w:r w:rsidRPr="00B64519">
              <w:rPr>
                <w:rFonts w:ascii="Arial" w:eastAsia="Times New Roman" w:hAnsi="Arial" w:cs="Arial"/>
                <w:color w:val="000000"/>
                <w:sz w:val="20"/>
                <w:szCs w:val="20"/>
                <w:lang w:val="es-ES"/>
              </w:rPr>
              <w:noBreakHyphen/>
              <w:t xml:space="preserve">TRANS) </w:t>
            </w:r>
            <w:r w:rsidR="00BE0E1A">
              <w:rPr>
                <w:rFonts w:ascii="Arial" w:eastAsia="Times New Roman" w:hAnsi="Arial" w:cs="Arial"/>
                <w:color w:val="000000"/>
                <w:sz w:val="20"/>
                <w:szCs w:val="20"/>
                <w:lang w:val="es-ES"/>
              </w:rPr>
              <w:t>operativo</w:t>
            </w:r>
            <w:r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2054421E" w14:textId="0403B400" w:rsidR="001D1D8F" w:rsidRPr="001640F5" w:rsidRDefault="008716B6" w:rsidP="00DA2367">
            <w:pPr>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5B7946E6"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56A1C2C4"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6B9B18C"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Certificación emitida por el VMT dirigida al Banco acompañando el Acta de la primera Reunión del CCS-TRANS.</w:t>
            </w:r>
          </w:p>
        </w:tc>
      </w:tr>
      <w:tr w:rsidR="001D1D8F" w:rsidRPr="00F64E64" w14:paraId="7A9FE76A" w14:textId="77777777" w:rsidTr="00F64E64">
        <w:trPr>
          <w:trHeight w:val="320"/>
        </w:trPr>
        <w:tc>
          <w:tcPr>
            <w:tcW w:w="3228" w:type="dxa"/>
            <w:shd w:val="clear" w:color="auto" w:fill="auto"/>
            <w:vAlign w:val="center"/>
            <w:hideMark/>
          </w:tcPr>
          <w:p w14:paraId="7585F9B2" w14:textId="2C845B72" w:rsidR="001D1D8F" w:rsidRPr="001640F5" w:rsidRDefault="00A9542F" w:rsidP="00DA2367">
            <w:pPr>
              <w:jc w:val="both"/>
              <w:rPr>
                <w:rFonts w:ascii="Arial" w:eastAsia="Times New Roman" w:hAnsi="Arial" w:cs="Arial"/>
                <w:color w:val="000000"/>
                <w:sz w:val="20"/>
                <w:szCs w:val="20"/>
                <w:lang w:val="es-ES"/>
              </w:rPr>
            </w:pPr>
            <w:r w:rsidRPr="006715E2">
              <w:rPr>
                <w:rFonts w:ascii="Arial" w:hAnsi="Arial" w:cs="Arial"/>
                <w:sz w:val="20"/>
                <w:szCs w:val="20"/>
                <w:lang w:val="es-ES"/>
              </w:rPr>
              <w:t>Informe de avance de elaboración del Plan Nacional Sectorial de Transportes (PLANAST) conforme a los lineamientos estipulados en la Ley 165, aprobado.</w:t>
            </w:r>
          </w:p>
        </w:tc>
        <w:tc>
          <w:tcPr>
            <w:tcW w:w="1461" w:type="dxa"/>
            <w:shd w:val="clear" w:color="auto" w:fill="auto"/>
            <w:vAlign w:val="center"/>
            <w:hideMark/>
          </w:tcPr>
          <w:p w14:paraId="2FC90ED6" w14:textId="01006AA6"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4F4AF43E"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0988D9D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62192B53" w14:textId="74321050" w:rsidR="001D1D8F" w:rsidRPr="00E31657" w:rsidRDefault="00A9542F" w:rsidP="00DA2367">
            <w:pPr>
              <w:jc w:val="both"/>
              <w:rPr>
                <w:rFonts w:ascii="Arial" w:eastAsia="Times New Roman" w:hAnsi="Arial" w:cs="Arial"/>
                <w:color w:val="000000"/>
                <w:sz w:val="20"/>
                <w:szCs w:val="20"/>
                <w:lang w:val="es-ES"/>
              </w:rPr>
            </w:pPr>
            <w:r w:rsidRPr="006715E2">
              <w:rPr>
                <w:rFonts w:ascii="Arial" w:hAnsi="Arial" w:cs="Arial"/>
                <w:sz w:val="20"/>
                <w:szCs w:val="20"/>
                <w:lang w:val="es-ES"/>
              </w:rPr>
              <w:t>Certificación emitida por el VMT dirigida al Banco acompañando un informe de avance de elaboración del PLANAST conforme a los lineamientos estipulados en la Ley Nº 165.</w:t>
            </w:r>
          </w:p>
        </w:tc>
      </w:tr>
      <w:tr w:rsidR="001D1D8F" w:rsidRPr="00F64E64" w14:paraId="6C2152AC" w14:textId="77777777" w:rsidTr="00F64E64">
        <w:trPr>
          <w:trHeight w:val="520"/>
        </w:trPr>
        <w:tc>
          <w:tcPr>
            <w:tcW w:w="10890" w:type="dxa"/>
            <w:gridSpan w:val="5"/>
            <w:shd w:val="clear" w:color="auto" w:fill="D9D9D9" w:themeFill="background1" w:themeFillShade="D9"/>
            <w:vAlign w:val="center"/>
            <w:hideMark/>
          </w:tcPr>
          <w:p w14:paraId="637DCCA9" w14:textId="75057D68" w:rsidR="001D1D8F" w:rsidRPr="001640F5" w:rsidRDefault="001D1D8F" w:rsidP="00DA2367">
            <w:pPr>
              <w:jc w:val="both"/>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 xml:space="preserve">2.2 MARCO REGULATORIO Y </w:t>
            </w:r>
            <w:r w:rsidRPr="001640F5">
              <w:rPr>
                <w:rFonts w:ascii="Arial" w:eastAsia="Times New Roman" w:hAnsi="Arial" w:cs="Arial"/>
                <w:b/>
                <w:bCs/>
                <w:color w:val="000000"/>
                <w:sz w:val="20"/>
                <w:szCs w:val="20"/>
                <w:lang w:val="es-ES"/>
              </w:rPr>
              <w:t>NORMATIVO PARA EL TRANSPORTE TERRESTRE</w:t>
            </w:r>
            <w:r w:rsidR="00035AE4" w:rsidRPr="001640F5">
              <w:rPr>
                <w:rFonts w:ascii="Arial" w:eastAsia="Times New Roman" w:hAnsi="Arial" w:cs="Arial"/>
                <w:b/>
                <w:bCs/>
                <w:color w:val="000000"/>
                <w:sz w:val="20"/>
                <w:szCs w:val="20"/>
                <w:lang w:val="es-ES"/>
              </w:rPr>
              <w:t>.</w:t>
            </w:r>
          </w:p>
        </w:tc>
      </w:tr>
      <w:tr w:rsidR="001D1D8F" w:rsidRPr="00F64E64" w14:paraId="36F68291" w14:textId="77777777" w:rsidTr="00F64E64">
        <w:trPr>
          <w:trHeight w:val="300"/>
        </w:trPr>
        <w:tc>
          <w:tcPr>
            <w:tcW w:w="3228" w:type="dxa"/>
            <w:shd w:val="clear" w:color="auto" w:fill="auto"/>
            <w:vAlign w:val="center"/>
            <w:hideMark/>
          </w:tcPr>
          <w:p w14:paraId="556D842C" w14:textId="4CEF352D" w:rsidR="001D1D8F" w:rsidRPr="001640F5" w:rsidRDefault="00035AE4" w:rsidP="00DA2367">
            <w:pPr>
              <w:jc w:val="both"/>
              <w:rPr>
                <w:rFonts w:ascii="Arial" w:eastAsia="Times New Roman" w:hAnsi="Arial" w:cs="Arial"/>
                <w:color w:val="000000"/>
                <w:sz w:val="20"/>
                <w:szCs w:val="20"/>
                <w:lang w:val="es-ES"/>
              </w:rPr>
            </w:pPr>
            <w:r w:rsidRPr="00B64519">
              <w:rPr>
                <w:rFonts w:ascii="Arial" w:hAnsi="Arial" w:cs="Arial"/>
                <w:sz w:val="20"/>
                <w:szCs w:val="20"/>
                <w:lang w:val="es-ES"/>
              </w:rPr>
              <w:t>Reglament</w:t>
            </w:r>
            <w:r w:rsidR="00BE0E1A">
              <w:rPr>
                <w:rFonts w:ascii="Arial" w:hAnsi="Arial" w:cs="Arial"/>
                <w:sz w:val="20"/>
                <w:szCs w:val="20"/>
                <w:lang w:val="es-ES"/>
              </w:rPr>
              <w:t>ación regulatoria para</w:t>
            </w:r>
            <w:r w:rsidRPr="00B64519">
              <w:rPr>
                <w:rFonts w:ascii="Arial" w:hAnsi="Arial" w:cs="Arial"/>
                <w:sz w:val="20"/>
                <w:szCs w:val="20"/>
                <w:lang w:val="es-ES"/>
              </w:rPr>
              <w:t xml:space="preserve"> la </w:t>
            </w:r>
            <w:r w:rsidR="00BE0E1A">
              <w:rPr>
                <w:rFonts w:ascii="Arial" w:hAnsi="Arial" w:cs="Arial"/>
                <w:sz w:val="20"/>
                <w:szCs w:val="20"/>
                <w:lang w:val="es-ES"/>
              </w:rPr>
              <w:t>m</w:t>
            </w:r>
            <w:r w:rsidRPr="00B64519">
              <w:rPr>
                <w:rFonts w:ascii="Arial" w:hAnsi="Arial" w:cs="Arial"/>
                <w:sz w:val="20"/>
                <w:szCs w:val="20"/>
                <w:lang w:val="es-ES"/>
              </w:rPr>
              <w:t xml:space="preserve">odalidad </w:t>
            </w:r>
            <w:r w:rsidR="00BE0E1A">
              <w:rPr>
                <w:rFonts w:ascii="Arial" w:hAnsi="Arial" w:cs="Arial"/>
                <w:sz w:val="20"/>
                <w:szCs w:val="20"/>
                <w:lang w:val="es-ES"/>
              </w:rPr>
              <w:t>t</w:t>
            </w:r>
            <w:r w:rsidRPr="00B64519">
              <w:rPr>
                <w:rFonts w:ascii="Arial" w:hAnsi="Arial" w:cs="Arial"/>
                <w:sz w:val="20"/>
                <w:szCs w:val="20"/>
                <w:lang w:val="es-ES"/>
              </w:rPr>
              <w:t xml:space="preserve">ransporte </w:t>
            </w:r>
            <w:r w:rsidR="00BE0E1A">
              <w:rPr>
                <w:rFonts w:ascii="Arial" w:hAnsi="Arial" w:cs="Arial"/>
                <w:sz w:val="20"/>
                <w:szCs w:val="20"/>
                <w:lang w:val="es-ES"/>
              </w:rPr>
              <w:t>t</w:t>
            </w:r>
            <w:r w:rsidRPr="00B64519">
              <w:rPr>
                <w:rFonts w:ascii="Arial" w:hAnsi="Arial" w:cs="Arial"/>
                <w:sz w:val="20"/>
                <w:szCs w:val="20"/>
                <w:lang w:val="es-ES"/>
              </w:rPr>
              <w:t xml:space="preserve">errestre </w:t>
            </w:r>
            <w:r w:rsidR="001D1D8F" w:rsidRPr="001640F5">
              <w:rPr>
                <w:rFonts w:ascii="Arial" w:eastAsia="Times New Roman" w:hAnsi="Arial" w:cs="Arial"/>
                <w:color w:val="000000"/>
                <w:sz w:val="20"/>
                <w:szCs w:val="20"/>
                <w:lang w:val="es-ES"/>
              </w:rPr>
              <w:t>aprobad</w:t>
            </w:r>
            <w:r w:rsidR="3C87D50B" w:rsidRPr="001640F5">
              <w:rPr>
                <w:rFonts w:ascii="Arial" w:eastAsia="Times New Roman" w:hAnsi="Arial" w:cs="Arial"/>
                <w:color w:val="000000"/>
                <w:sz w:val="20"/>
                <w:szCs w:val="20"/>
                <w:lang w:val="es-ES"/>
              </w:rPr>
              <w:t>a</w:t>
            </w:r>
            <w:r w:rsidR="001D1D8F"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65747734" w14:textId="3B7D1135"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400E0352"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4A23D2C"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0F11BFC4" w14:textId="0FD7E46E" w:rsidR="001D1D8F" w:rsidRPr="00E31657" w:rsidRDefault="00907985"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Resolución Ministerial emitida por el MOPSV,</w:t>
            </w:r>
            <w:r w:rsidR="00787AB6">
              <w:rPr>
                <w:rFonts w:ascii="Arial" w:eastAsia="Times New Roman" w:hAnsi="Arial" w:cs="Arial"/>
                <w:color w:val="000000"/>
                <w:sz w:val="20"/>
                <w:szCs w:val="20"/>
                <w:lang w:val="es-ES"/>
              </w:rPr>
              <w:t xml:space="preserve"> aprobando el</w:t>
            </w:r>
            <w:r w:rsidR="001D1D8F" w:rsidRPr="00E31657">
              <w:rPr>
                <w:rFonts w:ascii="Arial" w:eastAsia="Times New Roman" w:hAnsi="Arial" w:cs="Arial"/>
                <w:color w:val="000000"/>
                <w:sz w:val="20"/>
                <w:szCs w:val="20"/>
                <w:lang w:val="es-ES"/>
              </w:rPr>
              <w:t xml:space="preserve"> Reglamento</w:t>
            </w:r>
            <w:r w:rsidR="005A3847" w:rsidRPr="00F64E64">
              <w:rPr>
                <w:lang w:val="es-ES"/>
              </w:rPr>
              <w:t xml:space="preserve"> </w:t>
            </w:r>
            <w:r w:rsidR="005A3847" w:rsidRPr="005A3847">
              <w:rPr>
                <w:rFonts w:ascii="Arial" w:eastAsia="Times New Roman" w:hAnsi="Arial" w:cs="Arial"/>
                <w:color w:val="000000"/>
                <w:sz w:val="20"/>
                <w:szCs w:val="20"/>
                <w:lang w:val="es-ES"/>
              </w:rPr>
              <w:t>Regulatorio para la Modalidad de Transporte Terrestre de Pasajeros y Carga</w:t>
            </w:r>
            <w:r w:rsidR="001D1D8F" w:rsidRPr="00E31657">
              <w:rPr>
                <w:rFonts w:ascii="Arial" w:eastAsia="Times New Roman" w:hAnsi="Arial" w:cs="Arial"/>
                <w:color w:val="000000"/>
                <w:sz w:val="20"/>
                <w:szCs w:val="20"/>
                <w:lang w:val="es-ES"/>
              </w:rPr>
              <w:t>.</w:t>
            </w:r>
          </w:p>
        </w:tc>
      </w:tr>
      <w:tr w:rsidR="001D1D8F" w:rsidRPr="00F64E64" w14:paraId="46D900F4" w14:textId="77777777" w:rsidTr="00F64E64">
        <w:trPr>
          <w:trHeight w:val="304"/>
        </w:trPr>
        <w:tc>
          <w:tcPr>
            <w:tcW w:w="3228" w:type="dxa"/>
            <w:shd w:val="clear" w:color="auto" w:fill="auto"/>
            <w:vAlign w:val="center"/>
            <w:hideMark/>
          </w:tcPr>
          <w:p w14:paraId="29FBCFA4" w14:textId="3FA8B7D6" w:rsidR="001D1D8F" w:rsidRPr="001640F5" w:rsidRDefault="001D1D8F" w:rsidP="00B64519">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Anteproyecto de Ley del Sistema </w:t>
            </w:r>
            <w:r w:rsidRPr="001640F5">
              <w:rPr>
                <w:rFonts w:ascii="Arial" w:eastAsia="Times New Roman" w:hAnsi="Arial" w:cs="Arial"/>
                <w:color w:val="000000"/>
                <w:sz w:val="20"/>
                <w:szCs w:val="20"/>
                <w:lang w:val="es-ES"/>
              </w:rPr>
              <w:t>Nacional de Revisión Técnica Vehicular</w:t>
            </w:r>
            <w:r w:rsidR="00B64519" w:rsidRPr="001640F5">
              <w:rPr>
                <w:rFonts w:ascii="Arial" w:eastAsia="Times New Roman" w:hAnsi="Arial" w:cs="Arial"/>
                <w:color w:val="000000"/>
                <w:sz w:val="20"/>
                <w:szCs w:val="20"/>
                <w:lang w:val="es-ES"/>
              </w:rPr>
              <w:t xml:space="preserve"> remitido</w:t>
            </w:r>
            <w:r w:rsidRPr="001640F5">
              <w:rPr>
                <w:rFonts w:ascii="Arial" w:eastAsia="Times New Roman" w:hAnsi="Arial" w:cs="Arial"/>
                <w:color w:val="000000"/>
                <w:sz w:val="20"/>
                <w:szCs w:val="20"/>
                <w:lang w:val="es-ES"/>
              </w:rPr>
              <w:t xml:space="preserve"> a la Asamblea Legislativa.</w:t>
            </w:r>
          </w:p>
        </w:tc>
        <w:tc>
          <w:tcPr>
            <w:tcW w:w="1461" w:type="dxa"/>
            <w:shd w:val="clear" w:color="auto" w:fill="auto"/>
            <w:vAlign w:val="center"/>
            <w:hideMark/>
          </w:tcPr>
          <w:p w14:paraId="3C598DB0" w14:textId="3F226DA7" w:rsidR="001D1D8F" w:rsidRPr="00E31657" w:rsidRDefault="008716B6" w:rsidP="00DA2367">
            <w:pPr>
              <w:jc w:val="both"/>
              <w:rPr>
                <w:rFonts w:ascii="Arial" w:eastAsia="Times New Roman" w:hAnsi="Arial" w:cs="Arial"/>
                <w:color w:val="000000"/>
                <w:sz w:val="20"/>
                <w:szCs w:val="20"/>
                <w:lang w:val="es-ES"/>
              </w:rPr>
            </w:pPr>
            <w:r w:rsidRPr="00E31657">
              <w:rPr>
                <w:rFonts w:ascii="Arial" w:hAnsi="Arial" w:cs="Arial"/>
                <w:sz w:val="20"/>
                <w:szCs w:val="20"/>
                <w:lang w:val="es-ES"/>
              </w:rPr>
              <w:t>VMT-MOPSV</w:t>
            </w:r>
          </w:p>
        </w:tc>
        <w:tc>
          <w:tcPr>
            <w:tcW w:w="1055" w:type="dxa"/>
            <w:shd w:val="clear" w:color="auto" w:fill="auto"/>
            <w:vAlign w:val="center"/>
            <w:hideMark/>
          </w:tcPr>
          <w:p w14:paraId="529D5AE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9B4173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0CEBA300" w14:textId="686304B5" w:rsidR="001D1D8F" w:rsidRPr="00B64519" w:rsidRDefault="001D1D8F" w:rsidP="00DA2367">
            <w:pPr>
              <w:jc w:val="both"/>
              <w:rPr>
                <w:rFonts w:ascii="Arial" w:eastAsia="Times New Roman" w:hAnsi="Arial" w:cs="Arial"/>
                <w:color w:val="000000"/>
                <w:sz w:val="20"/>
                <w:szCs w:val="20"/>
                <w:lang w:val="es-ES"/>
              </w:rPr>
            </w:pPr>
            <w:r w:rsidRPr="00CB2816">
              <w:rPr>
                <w:rFonts w:ascii="Arial" w:eastAsia="Times New Roman" w:hAnsi="Arial" w:cs="Arial"/>
                <w:color w:val="000000"/>
                <w:sz w:val="20"/>
                <w:szCs w:val="20"/>
                <w:lang w:val="es-ES"/>
              </w:rPr>
              <w:t>Nota de remisión del Anteproyecto de Ley del Sistema Nacional de Revisión Técnica Vehicu</w:t>
            </w:r>
            <w:r w:rsidRPr="00B64519">
              <w:rPr>
                <w:rFonts w:ascii="Arial" w:eastAsia="Times New Roman" w:hAnsi="Arial" w:cs="Arial"/>
                <w:color w:val="000000"/>
                <w:sz w:val="20"/>
                <w:szCs w:val="20"/>
                <w:lang w:val="es-ES"/>
              </w:rPr>
              <w:t>lar por parte del Ministerio de la Presidencia, con el sello de recepción de la Asamblea Legislativa incluyendo el Anteproyecto de Ley.</w:t>
            </w:r>
          </w:p>
        </w:tc>
      </w:tr>
      <w:tr w:rsidR="001D1D8F" w:rsidRPr="00F64E64" w14:paraId="1B383CA6" w14:textId="77777777" w:rsidTr="00F64E64">
        <w:trPr>
          <w:trHeight w:val="610"/>
        </w:trPr>
        <w:tc>
          <w:tcPr>
            <w:tcW w:w="3228" w:type="dxa"/>
            <w:shd w:val="clear" w:color="auto" w:fill="auto"/>
            <w:vAlign w:val="center"/>
            <w:hideMark/>
          </w:tcPr>
          <w:p w14:paraId="0E067533" w14:textId="4C79B4F9"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Reglament</w:t>
            </w:r>
            <w:r w:rsidR="2A9C513E" w:rsidRPr="00B64519">
              <w:rPr>
                <w:rFonts w:ascii="Arial" w:eastAsia="Times New Roman" w:hAnsi="Arial" w:cs="Arial"/>
                <w:color w:val="000000"/>
                <w:sz w:val="20"/>
                <w:szCs w:val="20"/>
                <w:lang w:val="es-ES"/>
              </w:rPr>
              <w:t>ación</w:t>
            </w:r>
            <w:r w:rsidRPr="00B64519">
              <w:rPr>
                <w:rFonts w:ascii="Arial" w:eastAsia="Times New Roman" w:hAnsi="Arial" w:cs="Arial"/>
                <w:color w:val="000000"/>
                <w:sz w:val="20"/>
                <w:szCs w:val="20"/>
                <w:lang w:val="es-ES"/>
              </w:rPr>
              <w:t xml:space="preserve"> para la </w:t>
            </w:r>
            <w:r w:rsidR="00652E2B">
              <w:rPr>
                <w:rFonts w:ascii="Arial" w:eastAsia="Times New Roman" w:hAnsi="Arial" w:cs="Arial"/>
                <w:color w:val="000000"/>
                <w:sz w:val="20"/>
                <w:szCs w:val="20"/>
                <w:lang w:val="es-ES"/>
              </w:rPr>
              <w:t>i</w:t>
            </w:r>
            <w:r w:rsidRPr="00B64519">
              <w:rPr>
                <w:rFonts w:ascii="Arial" w:eastAsia="Times New Roman" w:hAnsi="Arial" w:cs="Arial"/>
                <w:color w:val="000000"/>
                <w:sz w:val="20"/>
                <w:szCs w:val="20"/>
                <w:lang w:val="es-ES"/>
              </w:rPr>
              <w:t xml:space="preserve">nternación (importación) de </w:t>
            </w:r>
            <w:r w:rsidR="005A3847">
              <w:rPr>
                <w:rFonts w:ascii="Arial" w:eastAsia="Times New Roman" w:hAnsi="Arial" w:cs="Arial"/>
                <w:color w:val="000000"/>
                <w:sz w:val="20"/>
                <w:szCs w:val="20"/>
                <w:lang w:val="es-ES"/>
              </w:rPr>
              <w:t>v</w:t>
            </w:r>
            <w:r w:rsidRPr="00B64519">
              <w:rPr>
                <w:rFonts w:ascii="Arial" w:eastAsia="Times New Roman" w:hAnsi="Arial" w:cs="Arial"/>
                <w:color w:val="000000"/>
                <w:sz w:val="20"/>
                <w:szCs w:val="20"/>
                <w:lang w:val="es-ES"/>
              </w:rPr>
              <w:t xml:space="preserve">ehículos bajo normas </w:t>
            </w:r>
            <w:r w:rsidR="005A3847">
              <w:rPr>
                <w:rFonts w:ascii="Arial" w:eastAsia="Times New Roman" w:hAnsi="Arial" w:cs="Arial"/>
                <w:color w:val="000000"/>
                <w:sz w:val="20"/>
                <w:szCs w:val="20"/>
                <w:lang w:val="es-ES"/>
              </w:rPr>
              <w:t>Euro o equivalentes</w:t>
            </w:r>
            <w:r w:rsidRPr="00B64519">
              <w:rPr>
                <w:rFonts w:ascii="Arial" w:eastAsia="Times New Roman" w:hAnsi="Arial" w:cs="Arial"/>
                <w:color w:val="000000"/>
                <w:sz w:val="20"/>
                <w:szCs w:val="20"/>
                <w:lang w:val="es-ES"/>
              </w:rPr>
              <w:t xml:space="preserve"> aprobad</w:t>
            </w:r>
            <w:r w:rsidR="6BB8B17A" w:rsidRPr="00B64519">
              <w:rPr>
                <w:rFonts w:ascii="Arial" w:eastAsia="Times New Roman" w:hAnsi="Arial" w:cs="Arial"/>
                <w:color w:val="000000"/>
                <w:sz w:val="20"/>
                <w:szCs w:val="20"/>
                <w:lang w:val="es-ES"/>
              </w:rPr>
              <w:t>a</w:t>
            </w:r>
            <w:r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28CACFDD" w14:textId="7966ECB3" w:rsidR="001D1D8F" w:rsidRPr="00E31657" w:rsidRDefault="008716B6" w:rsidP="008716B6">
            <w:pPr>
              <w:spacing w:after="200" w:line="0" w:lineRule="atLeast"/>
              <w:jc w:val="center"/>
              <w:rPr>
                <w:rFonts w:ascii="Arial" w:eastAsia="Calibri" w:hAnsi="Arial" w:cs="Arial"/>
                <w:sz w:val="20"/>
                <w:szCs w:val="20"/>
                <w:lang w:val="es-ES"/>
              </w:rPr>
            </w:pPr>
            <w:r w:rsidRPr="001640F5">
              <w:rPr>
                <w:rFonts w:ascii="Arial" w:hAnsi="Arial" w:cs="Arial"/>
                <w:sz w:val="20"/>
                <w:szCs w:val="20"/>
                <w:lang w:val="es-ES"/>
              </w:rPr>
              <w:t>VMT-MOPSV-MMAyA</w:t>
            </w:r>
          </w:p>
        </w:tc>
        <w:tc>
          <w:tcPr>
            <w:tcW w:w="1055" w:type="dxa"/>
            <w:shd w:val="clear" w:color="auto" w:fill="auto"/>
            <w:vAlign w:val="center"/>
            <w:hideMark/>
          </w:tcPr>
          <w:p w14:paraId="07951CD1"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E7F34FF"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712107E1" w14:textId="74208AB2" w:rsidR="001D1D8F" w:rsidRPr="00E31657" w:rsidRDefault="00787AB6"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Resolución Ministerial emitida por el MOPSV, aprobando el</w:t>
            </w:r>
            <w:r w:rsidRPr="00E31657">
              <w:rPr>
                <w:rFonts w:ascii="Arial" w:eastAsia="Times New Roman" w:hAnsi="Arial" w:cs="Arial"/>
                <w:color w:val="000000"/>
                <w:sz w:val="20"/>
                <w:szCs w:val="20"/>
                <w:lang w:val="es-ES"/>
              </w:rPr>
              <w:t xml:space="preserve"> </w:t>
            </w:r>
            <w:r w:rsidR="001D1D8F" w:rsidRPr="00E31657">
              <w:rPr>
                <w:rFonts w:ascii="Arial" w:eastAsia="Times New Roman" w:hAnsi="Arial" w:cs="Arial"/>
                <w:color w:val="000000"/>
                <w:sz w:val="20"/>
                <w:szCs w:val="20"/>
                <w:lang w:val="es-ES"/>
              </w:rPr>
              <w:t>Reglamento</w:t>
            </w:r>
            <w:r w:rsidR="005A3847" w:rsidRPr="00F64E64">
              <w:rPr>
                <w:lang w:val="es-ES"/>
              </w:rPr>
              <w:t xml:space="preserve"> </w:t>
            </w:r>
            <w:r w:rsidR="005A3847" w:rsidRPr="005A3847">
              <w:rPr>
                <w:rFonts w:ascii="Arial" w:eastAsia="Times New Roman" w:hAnsi="Arial" w:cs="Arial"/>
                <w:color w:val="000000"/>
                <w:sz w:val="20"/>
                <w:szCs w:val="20"/>
                <w:lang w:val="es-ES"/>
              </w:rPr>
              <w:t>para la Emisión de las Autorizaciones Previas para Vehículos Automotores Nuevos</w:t>
            </w:r>
            <w:r w:rsidR="001D1D8F" w:rsidRPr="00E31657">
              <w:rPr>
                <w:rFonts w:ascii="Arial" w:eastAsia="Times New Roman" w:hAnsi="Arial" w:cs="Arial"/>
                <w:color w:val="000000"/>
                <w:sz w:val="20"/>
                <w:szCs w:val="20"/>
                <w:lang w:val="es-ES"/>
              </w:rPr>
              <w:t>.</w:t>
            </w:r>
          </w:p>
        </w:tc>
      </w:tr>
      <w:tr w:rsidR="001D1D8F" w:rsidRPr="00F64E64" w14:paraId="438197B6" w14:textId="77777777" w:rsidTr="00F64E64">
        <w:trPr>
          <w:trHeight w:val="1240"/>
        </w:trPr>
        <w:tc>
          <w:tcPr>
            <w:tcW w:w="3228" w:type="dxa"/>
            <w:shd w:val="clear" w:color="auto" w:fill="auto"/>
            <w:vAlign w:val="center"/>
            <w:hideMark/>
          </w:tcPr>
          <w:p w14:paraId="577B7429" w14:textId="6D7854FD"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lastRenderedPageBreak/>
              <w:t>Reglament</w:t>
            </w:r>
            <w:r w:rsidR="00652E2B">
              <w:rPr>
                <w:rFonts w:ascii="Arial" w:eastAsia="Times New Roman" w:hAnsi="Arial" w:cs="Arial"/>
                <w:color w:val="000000"/>
                <w:sz w:val="20"/>
                <w:szCs w:val="20"/>
                <w:lang w:val="es-ES"/>
              </w:rPr>
              <w:t>ación</w:t>
            </w:r>
            <w:r w:rsidRPr="00B64519">
              <w:rPr>
                <w:rFonts w:ascii="Arial" w:eastAsia="Times New Roman" w:hAnsi="Arial" w:cs="Arial"/>
                <w:color w:val="000000"/>
                <w:sz w:val="20"/>
                <w:szCs w:val="20"/>
                <w:lang w:val="es-ES"/>
              </w:rPr>
              <w:t xml:space="preserve"> para el </w:t>
            </w:r>
            <w:r w:rsidR="005A3847">
              <w:rPr>
                <w:rFonts w:ascii="Arial" w:eastAsia="Times New Roman" w:hAnsi="Arial" w:cs="Arial"/>
                <w:color w:val="000000"/>
                <w:sz w:val="20"/>
                <w:szCs w:val="20"/>
                <w:lang w:val="es-ES"/>
              </w:rPr>
              <w:t>t</w:t>
            </w:r>
            <w:r w:rsidRPr="00B64519">
              <w:rPr>
                <w:rFonts w:ascii="Arial" w:eastAsia="Times New Roman" w:hAnsi="Arial" w:cs="Arial"/>
                <w:color w:val="000000"/>
                <w:sz w:val="20"/>
                <w:szCs w:val="20"/>
                <w:lang w:val="es-ES"/>
              </w:rPr>
              <w:t xml:space="preserve">ransporte de </w:t>
            </w:r>
            <w:r w:rsidR="005A3847">
              <w:rPr>
                <w:rFonts w:ascii="Arial" w:eastAsia="Times New Roman" w:hAnsi="Arial" w:cs="Arial"/>
                <w:color w:val="000000"/>
                <w:sz w:val="20"/>
                <w:szCs w:val="20"/>
                <w:lang w:val="es-ES"/>
              </w:rPr>
              <w:t>mercancías</w:t>
            </w:r>
            <w:r w:rsidR="005A3847" w:rsidRPr="00B64519">
              <w:rPr>
                <w:rFonts w:ascii="Arial" w:eastAsia="Times New Roman" w:hAnsi="Arial" w:cs="Arial"/>
                <w:color w:val="000000"/>
                <w:sz w:val="20"/>
                <w:szCs w:val="20"/>
                <w:lang w:val="es-ES"/>
              </w:rPr>
              <w:t xml:space="preserve"> </w:t>
            </w:r>
            <w:r w:rsidR="005A3847">
              <w:rPr>
                <w:rFonts w:ascii="Arial" w:eastAsia="Times New Roman" w:hAnsi="Arial" w:cs="Arial"/>
                <w:color w:val="000000"/>
                <w:sz w:val="20"/>
                <w:szCs w:val="20"/>
                <w:lang w:val="es-ES"/>
              </w:rPr>
              <w:t>p</w:t>
            </w:r>
            <w:r w:rsidRPr="00B64519">
              <w:rPr>
                <w:rFonts w:ascii="Arial" w:eastAsia="Times New Roman" w:hAnsi="Arial" w:cs="Arial"/>
                <w:color w:val="000000"/>
                <w:sz w:val="20"/>
                <w:szCs w:val="20"/>
                <w:lang w:val="es-ES"/>
              </w:rPr>
              <w:t xml:space="preserve">eligrosas por </w:t>
            </w:r>
            <w:r w:rsidR="005A3847">
              <w:rPr>
                <w:rFonts w:ascii="Arial" w:eastAsia="Times New Roman" w:hAnsi="Arial" w:cs="Arial"/>
                <w:color w:val="000000"/>
                <w:sz w:val="20"/>
                <w:szCs w:val="20"/>
                <w:lang w:val="es-ES"/>
              </w:rPr>
              <w:t>c</w:t>
            </w:r>
            <w:r w:rsidRPr="00B64519">
              <w:rPr>
                <w:rFonts w:ascii="Arial" w:eastAsia="Times New Roman" w:hAnsi="Arial" w:cs="Arial"/>
                <w:color w:val="000000"/>
                <w:sz w:val="20"/>
                <w:szCs w:val="20"/>
                <w:lang w:val="es-ES"/>
              </w:rPr>
              <w:t>arreteras armonizado con la normativa regional/internacional acordada en el MERCOSUR</w:t>
            </w:r>
            <w:r w:rsidR="00B64519" w:rsidRPr="001640F5">
              <w:rPr>
                <w:rFonts w:ascii="Arial" w:eastAsia="Times New Roman" w:hAnsi="Arial" w:cs="Arial"/>
                <w:color w:val="000000"/>
                <w:sz w:val="20"/>
                <w:szCs w:val="20"/>
                <w:lang w:val="es-ES"/>
              </w:rPr>
              <w:t xml:space="preserve"> aprobad</w:t>
            </w:r>
            <w:r w:rsidR="00652E2B">
              <w:rPr>
                <w:rFonts w:ascii="Arial" w:eastAsia="Times New Roman" w:hAnsi="Arial" w:cs="Arial"/>
                <w:color w:val="000000"/>
                <w:sz w:val="20"/>
                <w:szCs w:val="20"/>
                <w:lang w:val="es-ES"/>
              </w:rPr>
              <w:t>a</w:t>
            </w:r>
            <w:r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36242A27" w14:textId="206E3690" w:rsidR="001D1D8F" w:rsidRPr="00E31657" w:rsidRDefault="008716B6" w:rsidP="00DA2367">
            <w:pPr>
              <w:jc w:val="both"/>
              <w:rPr>
                <w:rFonts w:ascii="Arial" w:eastAsia="Times New Roman" w:hAnsi="Arial" w:cs="Arial"/>
                <w:color w:val="000000"/>
                <w:sz w:val="20"/>
                <w:szCs w:val="20"/>
                <w:lang w:val="es-ES"/>
              </w:rPr>
            </w:pPr>
            <w:r w:rsidRPr="00E31657">
              <w:rPr>
                <w:rFonts w:ascii="Arial" w:hAnsi="Arial" w:cs="Arial"/>
                <w:sz w:val="20"/>
                <w:szCs w:val="20"/>
                <w:lang w:val="es-ES"/>
              </w:rPr>
              <w:t>VMT-MOPSV</w:t>
            </w:r>
          </w:p>
        </w:tc>
        <w:tc>
          <w:tcPr>
            <w:tcW w:w="1055" w:type="dxa"/>
            <w:shd w:val="clear" w:color="auto" w:fill="auto"/>
            <w:vAlign w:val="center"/>
            <w:hideMark/>
          </w:tcPr>
          <w:p w14:paraId="2471EB2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415791A9"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77BCD58" w14:textId="39773F42" w:rsidR="001D1D8F" w:rsidRPr="00CB2816" w:rsidRDefault="001D1D8F" w:rsidP="00DA2367">
            <w:pPr>
              <w:jc w:val="both"/>
              <w:rPr>
                <w:rFonts w:ascii="Arial" w:eastAsia="Times New Roman" w:hAnsi="Arial" w:cs="Arial"/>
                <w:color w:val="000000"/>
                <w:sz w:val="20"/>
                <w:szCs w:val="20"/>
                <w:lang w:val="es-ES"/>
              </w:rPr>
            </w:pPr>
            <w:r w:rsidRPr="00CB2816">
              <w:rPr>
                <w:rFonts w:ascii="Arial" w:eastAsia="Times New Roman" w:hAnsi="Arial" w:cs="Arial"/>
                <w:color w:val="000000"/>
                <w:sz w:val="20"/>
                <w:szCs w:val="20"/>
                <w:lang w:val="es-ES"/>
              </w:rPr>
              <w:t>Decreto supremo publicado en la Gaceta Oficial de Bolivia acompañado del Reglamento</w:t>
            </w:r>
            <w:r w:rsidR="005A3847">
              <w:rPr>
                <w:rFonts w:ascii="Arial" w:eastAsia="Times New Roman" w:hAnsi="Arial" w:cs="Arial"/>
                <w:color w:val="000000"/>
                <w:sz w:val="20"/>
                <w:szCs w:val="20"/>
                <w:lang w:val="es-ES"/>
              </w:rPr>
              <w:t>,</w:t>
            </w:r>
            <w:r w:rsidR="005A3847" w:rsidRPr="00F64E64">
              <w:rPr>
                <w:lang w:val="es-ES"/>
              </w:rPr>
              <w:t xml:space="preserve"> </w:t>
            </w:r>
            <w:r w:rsidR="005A3847" w:rsidRPr="005A3847">
              <w:rPr>
                <w:rFonts w:ascii="Arial" w:eastAsia="Times New Roman" w:hAnsi="Arial" w:cs="Arial"/>
                <w:color w:val="000000"/>
                <w:sz w:val="20"/>
                <w:szCs w:val="20"/>
                <w:lang w:val="es-ES"/>
              </w:rPr>
              <w:t>acompañado del Reglamento de Transporte de Mercancías Peligrosas por Carretera y Vía Férrea</w:t>
            </w:r>
            <w:r w:rsidRPr="00CB2816">
              <w:rPr>
                <w:rFonts w:ascii="Arial" w:eastAsia="Times New Roman" w:hAnsi="Arial" w:cs="Arial"/>
                <w:color w:val="000000"/>
                <w:sz w:val="20"/>
                <w:szCs w:val="20"/>
                <w:lang w:val="es-ES"/>
              </w:rPr>
              <w:t>.</w:t>
            </w:r>
          </w:p>
        </w:tc>
      </w:tr>
      <w:tr w:rsidR="001D1D8F" w:rsidRPr="00F64E64" w14:paraId="0AEF294D" w14:textId="77777777" w:rsidTr="00F64E64">
        <w:trPr>
          <w:trHeight w:val="520"/>
        </w:trPr>
        <w:tc>
          <w:tcPr>
            <w:tcW w:w="3228" w:type="dxa"/>
            <w:shd w:val="clear" w:color="auto" w:fill="auto"/>
            <w:vAlign w:val="center"/>
            <w:hideMark/>
          </w:tcPr>
          <w:p w14:paraId="5DA60CCA" w14:textId="21CA6613" w:rsidR="001D1D8F" w:rsidRPr="001640F5" w:rsidRDefault="00251B76" w:rsidP="00DA2367">
            <w:pPr>
              <w:jc w:val="both"/>
              <w:rPr>
                <w:rFonts w:ascii="Arial" w:eastAsia="Times New Roman" w:hAnsi="Arial" w:cs="Arial"/>
                <w:color w:val="000000"/>
                <w:sz w:val="20"/>
                <w:szCs w:val="20"/>
                <w:lang w:val="es-ES"/>
              </w:rPr>
            </w:pPr>
            <w:r w:rsidRPr="00787AB6">
              <w:rPr>
                <w:rFonts w:ascii="Arial" w:hAnsi="Arial" w:cs="Arial"/>
                <w:sz w:val="20"/>
                <w:szCs w:val="20"/>
                <w:lang w:val="es-ES"/>
              </w:rPr>
              <w:t xml:space="preserve">Procedimiento de certificación de habilitación para el transporte de </w:t>
            </w:r>
            <w:r w:rsidR="005A3847">
              <w:rPr>
                <w:rFonts w:ascii="Arial" w:hAnsi="Arial" w:cs="Arial"/>
                <w:sz w:val="20"/>
                <w:szCs w:val="20"/>
                <w:lang w:val="es-ES"/>
              </w:rPr>
              <w:t>mercancías</w:t>
            </w:r>
            <w:r w:rsidRPr="00787AB6">
              <w:rPr>
                <w:rFonts w:ascii="Arial" w:hAnsi="Arial" w:cs="Arial"/>
                <w:sz w:val="20"/>
                <w:szCs w:val="20"/>
                <w:lang w:val="es-ES"/>
              </w:rPr>
              <w:t xml:space="preserve"> peligrosas </w:t>
            </w:r>
            <w:r w:rsidR="00652E2B">
              <w:rPr>
                <w:rFonts w:ascii="Arial" w:hAnsi="Arial" w:cs="Arial"/>
                <w:sz w:val="20"/>
                <w:szCs w:val="20"/>
                <w:lang w:val="es-ES"/>
              </w:rPr>
              <w:t xml:space="preserve">por carretera </w:t>
            </w:r>
            <w:r w:rsidRPr="00787AB6">
              <w:rPr>
                <w:rFonts w:ascii="Arial" w:hAnsi="Arial" w:cs="Arial"/>
                <w:sz w:val="20"/>
                <w:szCs w:val="20"/>
                <w:lang w:val="es-ES"/>
              </w:rPr>
              <w:t>aprobado.</w:t>
            </w:r>
          </w:p>
        </w:tc>
        <w:tc>
          <w:tcPr>
            <w:tcW w:w="1461" w:type="dxa"/>
            <w:shd w:val="clear" w:color="auto" w:fill="auto"/>
            <w:vAlign w:val="center"/>
            <w:hideMark/>
          </w:tcPr>
          <w:p w14:paraId="46457BE5" w14:textId="300FF432"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72AEEA36"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3B5C1AA5"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776FDB0" w14:textId="6CBAB0EE"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 xml:space="preserve">Resolución Ministerial emitida por el MOPSV, aprobando el procedimiento </w:t>
            </w:r>
            <w:r w:rsidR="0016288A">
              <w:rPr>
                <w:rFonts w:ascii="Arial" w:eastAsia="Times New Roman" w:hAnsi="Arial" w:cs="Arial"/>
                <w:color w:val="000000"/>
                <w:sz w:val="20"/>
                <w:szCs w:val="20"/>
                <w:lang w:val="es-ES"/>
              </w:rPr>
              <w:t>para la e</w:t>
            </w:r>
            <w:r w:rsidR="005A3847" w:rsidRPr="005A3847">
              <w:rPr>
                <w:rFonts w:ascii="Arial" w:eastAsia="Times New Roman" w:hAnsi="Arial" w:cs="Arial"/>
                <w:color w:val="000000"/>
                <w:sz w:val="20"/>
                <w:szCs w:val="20"/>
                <w:lang w:val="es-ES"/>
              </w:rPr>
              <w:t>misión del certificado de habilitación u homologación para el transporte de mercancías peligrosas</w:t>
            </w:r>
            <w:r w:rsidRPr="00E31657">
              <w:rPr>
                <w:rFonts w:ascii="Arial" w:eastAsia="Times New Roman" w:hAnsi="Arial" w:cs="Arial"/>
                <w:color w:val="000000"/>
                <w:sz w:val="20"/>
                <w:szCs w:val="20"/>
                <w:lang w:val="es-ES"/>
              </w:rPr>
              <w:t>.</w:t>
            </w:r>
          </w:p>
        </w:tc>
      </w:tr>
      <w:tr w:rsidR="001D1D8F" w:rsidRPr="00F64E64" w14:paraId="02E52ADD" w14:textId="77777777" w:rsidTr="00F64E64">
        <w:trPr>
          <w:trHeight w:val="448"/>
        </w:trPr>
        <w:tc>
          <w:tcPr>
            <w:tcW w:w="3228" w:type="dxa"/>
            <w:shd w:val="clear" w:color="auto" w:fill="auto"/>
            <w:vAlign w:val="center"/>
            <w:hideMark/>
          </w:tcPr>
          <w:p w14:paraId="141012B7"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Marco Normativo de acuerdo al Plan Nacional de Seguridad Vial elaborado.</w:t>
            </w:r>
          </w:p>
        </w:tc>
        <w:tc>
          <w:tcPr>
            <w:tcW w:w="1461" w:type="dxa"/>
            <w:shd w:val="clear" w:color="auto" w:fill="auto"/>
            <w:vAlign w:val="center"/>
            <w:hideMark/>
          </w:tcPr>
          <w:p w14:paraId="47AAC29C" w14:textId="1E6E64A2" w:rsidR="001D1D8F" w:rsidRPr="00E31657" w:rsidRDefault="008716B6" w:rsidP="008716B6">
            <w:pPr>
              <w:spacing w:after="200" w:line="0" w:lineRule="atLeast"/>
              <w:jc w:val="center"/>
              <w:rPr>
                <w:rFonts w:ascii="Arial" w:eastAsia="Calibri" w:hAnsi="Arial" w:cs="Arial"/>
                <w:sz w:val="20"/>
                <w:szCs w:val="20"/>
                <w:lang w:val="es-ES"/>
              </w:rPr>
            </w:pPr>
            <w:r w:rsidRPr="001640F5">
              <w:rPr>
                <w:rFonts w:ascii="Arial" w:hAnsi="Arial" w:cs="Arial"/>
                <w:sz w:val="20"/>
                <w:szCs w:val="20"/>
                <w:lang w:val="es-ES"/>
              </w:rPr>
              <w:t>VMT-MOPSV VMSC-MG</w:t>
            </w:r>
          </w:p>
        </w:tc>
        <w:tc>
          <w:tcPr>
            <w:tcW w:w="1055" w:type="dxa"/>
            <w:shd w:val="clear" w:color="auto" w:fill="auto"/>
            <w:vAlign w:val="center"/>
            <w:hideMark/>
          </w:tcPr>
          <w:p w14:paraId="7CF8A32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6996F54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F4C083E" w14:textId="06904F8B"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 xml:space="preserve">Comunicación emitida por el MOPSV dirigida al Banco acompañando </w:t>
            </w:r>
            <w:r w:rsidR="0016288A">
              <w:rPr>
                <w:rFonts w:ascii="Arial" w:eastAsia="Times New Roman" w:hAnsi="Arial" w:cs="Arial"/>
                <w:color w:val="000000"/>
                <w:sz w:val="20"/>
                <w:szCs w:val="20"/>
                <w:lang w:val="es-ES"/>
              </w:rPr>
              <w:t xml:space="preserve">los documentos que conforman </w:t>
            </w:r>
            <w:r w:rsidRPr="00E31657">
              <w:rPr>
                <w:rFonts w:ascii="Arial" w:eastAsia="Times New Roman" w:hAnsi="Arial" w:cs="Arial"/>
                <w:color w:val="000000"/>
                <w:sz w:val="20"/>
                <w:szCs w:val="20"/>
                <w:lang w:val="es-ES"/>
              </w:rPr>
              <w:t>el Marco Normativo.</w:t>
            </w:r>
          </w:p>
        </w:tc>
      </w:tr>
      <w:tr w:rsidR="001D1D8F" w:rsidRPr="00F64E64" w14:paraId="390F7A71" w14:textId="77777777" w:rsidTr="00F64E64">
        <w:trPr>
          <w:trHeight w:val="808"/>
        </w:trPr>
        <w:tc>
          <w:tcPr>
            <w:tcW w:w="3228" w:type="dxa"/>
            <w:shd w:val="clear" w:color="auto" w:fill="auto"/>
            <w:vAlign w:val="center"/>
            <w:hideMark/>
          </w:tcPr>
          <w:p w14:paraId="2CAA08D3"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Manual de Prevención de Accidentes en Carretera aprobado.</w:t>
            </w:r>
          </w:p>
        </w:tc>
        <w:tc>
          <w:tcPr>
            <w:tcW w:w="1461" w:type="dxa"/>
            <w:shd w:val="clear" w:color="auto" w:fill="auto"/>
            <w:vAlign w:val="center"/>
            <w:hideMark/>
          </w:tcPr>
          <w:p w14:paraId="12214466" w14:textId="06031DC1"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VMSC-MG</w:t>
            </w:r>
          </w:p>
        </w:tc>
        <w:tc>
          <w:tcPr>
            <w:tcW w:w="1055" w:type="dxa"/>
            <w:shd w:val="clear" w:color="auto" w:fill="auto"/>
            <w:vAlign w:val="center"/>
            <w:hideMark/>
          </w:tcPr>
          <w:p w14:paraId="2149BAF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2495B11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DB80E76"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Ministerial emitida por el Ministerio de Gobierno acompañada del Manual.</w:t>
            </w:r>
          </w:p>
        </w:tc>
      </w:tr>
      <w:tr w:rsidR="001D1D8F" w:rsidRPr="00F64E64" w14:paraId="6C1A4D29" w14:textId="77777777" w:rsidTr="00F64E64">
        <w:trPr>
          <w:trHeight w:val="1078"/>
        </w:trPr>
        <w:tc>
          <w:tcPr>
            <w:tcW w:w="3228" w:type="dxa"/>
            <w:shd w:val="clear" w:color="auto" w:fill="auto"/>
            <w:vAlign w:val="center"/>
            <w:hideMark/>
          </w:tcPr>
          <w:p w14:paraId="21D91606"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Programa de Implementación para el Equipamiento de Estaciones de Control de Pesos y Dimensiones Vehiculares en la RVF aprobado.</w:t>
            </w:r>
          </w:p>
        </w:tc>
        <w:tc>
          <w:tcPr>
            <w:tcW w:w="1461" w:type="dxa"/>
            <w:shd w:val="clear" w:color="auto" w:fill="auto"/>
            <w:vAlign w:val="center"/>
            <w:hideMark/>
          </w:tcPr>
          <w:p w14:paraId="202E96E9" w14:textId="30A07008"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ABC-MOPSV</w:t>
            </w:r>
          </w:p>
        </w:tc>
        <w:tc>
          <w:tcPr>
            <w:tcW w:w="1055" w:type="dxa"/>
            <w:shd w:val="clear" w:color="auto" w:fill="auto"/>
            <w:vAlign w:val="center"/>
            <w:hideMark/>
          </w:tcPr>
          <w:p w14:paraId="36601AFF"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1FF884E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C0E4FDB" w14:textId="5E2A96FA" w:rsidR="001D1D8F" w:rsidRPr="00B64519"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la Presidencia de ABC dirigida al Banco, acompañand</w:t>
            </w:r>
            <w:r w:rsidR="00353DED" w:rsidRPr="00E31657">
              <w:rPr>
                <w:rFonts w:ascii="Arial" w:eastAsia="Times New Roman" w:hAnsi="Arial" w:cs="Arial"/>
                <w:color w:val="000000"/>
                <w:sz w:val="20"/>
                <w:szCs w:val="20"/>
                <w:lang w:val="es-ES"/>
              </w:rPr>
              <w:t xml:space="preserve">o y certificando la aprobación </w:t>
            </w:r>
            <w:r w:rsidRPr="00CB2816">
              <w:rPr>
                <w:rFonts w:ascii="Arial" w:eastAsia="Times New Roman" w:hAnsi="Arial" w:cs="Arial"/>
                <w:color w:val="000000"/>
                <w:sz w:val="20"/>
                <w:szCs w:val="20"/>
                <w:lang w:val="es-ES"/>
              </w:rPr>
              <w:t>del Plan Integral de Implementación del Sistema Inteligente de Transporte en la RVF, que incluye un programa de imple</w:t>
            </w:r>
            <w:r w:rsidRPr="00B64519">
              <w:rPr>
                <w:rFonts w:ascii="Arial" w:eastAsia="Times New Roman" w:hAnsi="Arial" w:cs="Arial"/>
                <w:color w:val="000000"/>
                <w:sz w:val="20"/>
                <w:szCs w:val="20"/>
                <w:lang w:val="es-ES"/>
              </w:rPr>
              <w:t>mentación para equipamiento de estaciones de control de pesos y dimensiones vehiculares en la RVF.</w:t>
            </w:r>
          </w:p>
        </w:tc>
      </w:tr>
      <w:tr w:rsidR="001D1D8F" w:rsidRPr="00F64E64" w14:paraId="65727CAE" w14:textId="77777777" w:rsidTr="00F64E64">
        <w:trPr>
          <w:trHeight w:val="73"/>
        </w:trPr>
        <w:tc>
          <w:tcPr>
            <w:tcW w:w="3228" w:type="dxa"/>
            <w:shd w:val="clear" w:color="auto" w:fill="auto"/>
            <w:vAlign w:val="center"/>
            <w:hideMark/>
          </w:tcPr>
          <w:p w14:paraId="480F1E79" w14:textId="41F317D9" w:rsidR="001D1D8F" w:rsidRPr="001640F5" w:rsidRDefault="001D1D8F" w:rsidP="00DA6B5C">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Anteproyecto de Ley del Derecho de Vía </w:t>
            </w:r>
            <w:r w:rsidR="00652E2B">
              <w:rPr>
                <w:rFonts w:ascii="Arial" w:eastAsia="Times New Roman" w:hAnsi="Arial" w:cs="Arial"/>
                <w:color w:val="000000"/>
                <w:sz w:val="20"/>
                <w:szCs w:val="20"/>
                <w:lang w:val="es-ES"/>
              </w:rPr>
              <w:t xml:space="preserve">y del Registro de Dominio Vial </w:t>
            </w:r>
            <w:r w:rsidRPr="00B64519">
              <w:rPr>
                <w:rFonts w:ascii="Arial" w:eastAsia="Times New Roman" w:hAnsi="Arial" w:cs="Arial"/>
                <w:color w:val="000000"/>
                <w:sz w:val="20"/>
                <w:szCs w:val="20"/>
                <w:lang w:val="es-ES"/>
              </w:rPr>
              <w:t>remitid</w:t>
            </w:r>
            <w:r w:rsidR="00652E2B">
              <w:rPr>
                <w:rFonts w:ascii="Arial" w:eastAsia="Times New Roman" w:hAnsi="Arial" w:cs="Arial"/>
                <w:color w:val="000000"/>
                <w:sz w:val="20"/>
                <w:szCs w:val="20"/>
                <w:lang w:val="es-ES"/>
              </w:rPr>
              <w:t>o</w:t>
            </w:r>
            <w:r w:rsidRPr="00B64519">
              <w:rPr>
                <w:rFonts w:ascii="Arial" w:eastAsia="Times New Roman" w:hAnsi="Arial" w:cs="Arial"/>
                <w:color w:val="000000"/>
                <w:sz w:val="20"/>
                <w:szCs w:val="20"/>
                <w:lang w:val="es-ES"/>
              </w:rPr>
              <w:t xml:space="preserve"> a la Asamblea Legislativa.</w:t>
            </w:r>
          </w:p>
        </w:tc>
        <w:tc>
          <w:tcPr>
            <w:tcW w:w="1461" w:type="dxa"/>
            <w:shd w:val="clear" w:color="auto" w:fill="auto"/>
            <w:vAlign w:val="center"/>
            <w:hideMark/>
          </w:tcPr>
          <w:p w14:paraId="0710D61C" w14:textId="65FD10DC" w:rsidR="001D1D8F" w:rsidRPr="00E31657"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ABC-VMT-MOPSV</w:t>
            </w:r>
          </w:p>
        </w:tc>
        <w:tc>
          <w:tcPr>
            <w:tcW w:w="1055" w:type="dxa"/>
            <w:shd w:val="clear" w:color="auto" w:fill="auto"/>
            <w:vAlign w:val="center"/>
            <w:hideMark/>
          </w:tcPr>
          <w:p w14:paraId="2BF2B4F5"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1914EB1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28C24F4" w14:textId="25E6B195" w:rsidR="001D1D8F" w:rsidRPr="00B64519"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 xml:space="preserve">Nota de remisión del Anteproyecto de Ley del Derecho de Vía </w:t>
            </w:r>
            <w:r w:rsidR="0016288A">
              <w:rPr>
                <w:rFonts w:ascii="Arial" w:eastAsia="Times New Roman" w:hAnsi="Arial" w:cs="Arial"/>
                <w:color w:val="000000"/>
                <w:sz w:val="20"/>
                <w:szCs w:val="20"/>
                <w:lang w:val="es-ES"/>
              </w:rPr>
              <w:t>y del Registro de Dominio Vial</w:t>
            </w:r>
            <w:r w:rsidRPr="00E31657">
              <w:rPr>
                <w:rFonts w:ascii="Arial" w:eastAsia="Times New Roman" w:hAnsi="Arial" w:cs="Arial"/>
                <w:color w:val="000000"/>
                <w:sz w:val="20"/>
                <w:szCs w:val="20"/>
                <w:lang w:val="es-ES"/>
              </w:rPr>
              <w:t xml:space="preserve"> por parte del Ministerio de la Presidencia,</w:t>
            </w:r>
            <w:r w:rsidR="00C627BC" w:rsidRPr="00CB2816">
              <w:rPr>
                <w:rFonts w:ascii="Arial" w:eastAsia="Times New Roman" w:hAnsi="Arial" w:cs="Arial"/>
                <w:color w:val="000000"/>
                <w:sz w:val="20"/>
                <w:szCs w:val="20"/>
                <w:lang w:val="es-ES"/>
              </w:rPr>
              <w:t xml:space="preserve"> con el sello de recepción de l</w:t>
            </w:r>
            <w:r w:rsidRPr="00B64519">
              <w:rPr>
                <w:rFonts w:ascii="Arial" w:eastAsia="Times New Roman" w:hAnsi="Arial" w:cs="Arial"/>
                <w:color w:val="000000"/>
                <w:sz w:val="20"/>
                <w:szCs w:val="20"/>
                <w:lang w:val="es-ES"/>
              </w:rPr>
              <w:t>a Asamblea Legislativa, acompañada por el Anteproyecto de Ley.</w:t>
            </w:r>
          </w:p>
        </w:tc>
      </w:tr>
      <w:tr w:rsidR="001D1D8F" w:rsidRPr="00F64E64" w14:paraId="7245BD12" w14:textId="77777777" w:rsidTr="00F64E64">
        <w:trPr>
          <w:trHeight w:val="73"/>
        </w:trPr>
        <w:tc>
          <w:tcPr>
            <w:tcW w:w="10890" w:type="dxa"/>
            <w:gridSpan w:val="5"/>
            <w:shd w:val="clear" w:color="auto" w:fill="D9D9D9" w:themeFill="background1" w:themeFillShade="D9"/>
            <w:vAlign w:val="center"/>
            <w:hideMark/>
          </w:tcPr>
          <w:p w14:paraId="74260975" w14:textId="77777777" w:rsidR="001D1D8F" w:rsidRPr="001640F5" w:rsidRDefault="001D1D8F" w:rsidP="00DA2367">
            <w:pPr>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2.3. MARCO REGULATORIO Y NORMATIVO PARA EL TRANSPORTE FERROVIARIO.</w:t>
            </w:r>
            <w:r w:rsidRPr="00B64519">
              <w:rPr>
                <w:rFonts w:ascii="Arial" w:eastAsia="Times New Roman" w:hAnsi="Arial" w:cs="Arial"/>
                <w:color w:val="000000"/>
                <w:sz w:val="20"/>
                <w:szCs w:val="20"/>
                <w:lang w:val="es-ES"/>
              </w:rPr>
              <w:t> </w:t>
            </w:r>
          </w:p>
        </w:tc>
      </w:tr>
      <w:tr w:rsidR="001D1D8F" w:rsidRPr="00F64E64" w14:paraId="2B6B6101" w14:textId="77777777" w:rsidTr="00F64E64">
        <w:trPr>
          <w:trHeight w:val="73"/>
        </w:trPr>
        <w:tc>
          <w:tcPr>
            <w:tcW w:w="3228" w:type="dxa"/>
            <w:shd w:val="clear" w:color="auto" w:fill="auto"/>
            <w:vAlign w:val="center"/>
            <w:hideMark/>
          </w:tcPr>
          <w:p w14:paraId="78734735" w14:textId="3813EF58" w:rsidR="001D1D8F" w:rsidRPr="001640F5" w:rsidRDefault="00035AE4" w:rsidP="00DA2367">
            <w:pPr>
              <w:jc w:val="both"/>
              <w:rPr>
                <w:rFonts w:ascii="Arial" w:eastAsia="Times New Roman" w:hAnsi="Arial" w:cs="Arial"/>
                <w:color w:val="000000"/>
                <w:sz w:val="20"/>
                <w:szCs w:val="20"/>
                <w:lang w:val="es-ES"/>
              </w:rPr>
            </w:pPr>
            <w:r w:rsidRPr="00B64519">
              <w:rPr>
                <w:rFonts w:ascii="Arial" w:hAnsi="Arial" w:cs="Arial"/>
                <w:sz w:val="20"/>
                <w:szCs w:val="20"/>
                <w:lang w:val="es-ES"/>
              </w:rPr>
              <w:t>Reglament</w:t>
            </w:r>
            <w:r w:rsidR="00652E2B">
              <w:rPr>
                <w:rFonts w:ascii="Arial" w:hAnsi="Arial" w:cs="Arial"/>
                <w:sz w:val="20"/>
                <w:szCs w:val="20"/>
                <w:lang w:val="es-ES"/>
              </w:rPr>
              <w:t>ación regulatoria para</w:t>
            </w:r>
            <w:r w:rsidRPr="00B64519">
              <w:rPr>
                <w:rFonts w:ascii="Arial" w:hAnsi="Arial" w:cs="Arial"/>
                <w:sz w:val="20"/>
                <w:szCs w:val="20"/>
                <w:lang w:val="es-ES"/>
              </w:rPr>
              <w:t xml:space="preserve"> la </w:t>
            </w:r>
            <w:r w:rsidR="00652E2B">
              <w:rPr>
                <w:rFonts w:ascii="Arial" w:hAnsi="Arial" w:cs="Arial"/>
                <w:sz w:val="20"/>
                <w:szCs w:val="20"/>
                <w:lang w:val="es-ES"/>
              </w:rPr>
              <w:t>m</w:t>
            </w:r>
            <w:r w:rsidRPr="00B64519">
              <w:rPr>
                <w:rFonts w:ascii="Arial" w:hAnsi="Arial" w:cs="Arial"/>
                <w:sz w:val="20"/>
                <w:szCs w:val="20"/>
                <w:lang w:val="es-ES"/>
              </w:rPr>
              <w:t xml:space="preserve">odalidad de </w:t>
            </w:r>
            <w:r w:rsidR="00652E2B">
              <w:rPr>
                <w:rFonts w:ascii="Arial" w:hAnsi="Arial" w:cs="Arial"/>
                <w:sz w:val="20"/>
                <w:szCs w:val="20"/>
                <w:lang w:val="es-ES"/>
              </w:rPr>
              <w:t>t</w:t>
            </w:r>
            <w:r w:rsidRPr="00B64519">
              <w:rPr>
                <w:rFonts w:ascii="Arial" w:hAnsi="Arial" w:cs="Arial"/>
                <w:sz w:val="20"/>
                <w:szCs w:val="20"/>
                <w:lang w:val="es-ES"/>
              </w:rPr>
              <w:t xml:space="preserve">ransporte </w:t>
            </w:r>
            <w:r w:rsidR="00652E2B">
              <w:rPr>
                <w:rFonts w:ascii="Arial" w:hAnsi="Arial" w:cs="Arial"/>
                <w:sz w:val="20"/>
                <w:szCs w:val="20"/>
                <w:lang w:val="es-ES"/>
              </w:rPr>
              <w:t>f</w:t>
            </w:r>
            <w:r w:rsidRPr="00B64519">
              <w:rPr>
                <w:rFonts w:ascii="Arial" w:hAnsi="Arial" w:cs="Arial"/>
                <w:sz w:val="20"/>
                <w:szCs w:val="20"/>
                <w:lang w:val="es-ES"/>
              </w:rPr>
              <w:t>erroviario</w:t>
            </w:r>
            <w:r w:rsidRPr="001640F5">
              <w:rPr>
                <w:rFonts w:ascii="Arial" w:eastAsia="Times New Roman" w:hAnsi="Arial" w:cs="Arial"/>
                <w:color w:val="000000"/>
                <w:sz w:val="20"/>
                <w:szCs w:val="20"/>
                <w:lang w:val="es-ES"/>
              </w:rPr>
              <w:t xml:space="preserve"> </w:t>
            </w:r>
            <w:r w:rsidR="001D1D8F" w:rsidRPr="001640F5">
              <w:rPr>
                <w:rFonts w:ascii="Arial" w:eastAsia="Times New Roman" w:hAnsi="Arial" w:cs="Arial"/>
                <w:color w:val="000000"/>
                <w:sz w:val="20"/>
                <w:szCs w:val="20"/>
                <w:lang w:val="es-ES"/>
              </w:rPr>
              <w:t>aprobad</w:t>
            </w:r>
            <w:r w:rsidR="6BB8B17A" w:rsidRPr="001640F5">
              <w:rPr>
                <w:rFonts w:ascii="Arial" w:eastAsia="Times New Roman" w:hAnsi="Arial" w:cs="Arial"/>
                <w:color w:val="000000"/>
                <w:sz w:val="20"/>
                <w:szCs w:val="20"/>
                <w:lang w:val="es-ES"/>
              </w:rPr>
              <w:t>a</w:t>
            </w:r>
            <w:r w:rsidR="001D1D8F"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797FBD34" w14:textId="23838155"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348A64F5"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3C4FE89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609ABDAC" w14:textId="6FD1D95C" w:rsidR="001D1D8F" w:rsidRPr="00E31657" w:rsidRDefault="00787AB6"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Resolución Ministerial emitida por el MOPSV,</w:t>
            </w:r>
            <w:r w:rsidRPr="00E31657">
              <w:rPr>
                <w:rFonts w:ascii="Arial" w:eastAsia="Times New Roman" w:hAnsi="Arial" w:cs="Arial"/>
                <w:color w:val="000000"/>
                <w:sz w:val="20"/>
                <w:szCs w:val="20"/>
                <w:lang w:val="es-ES"/>
              </w:rPr>
              <w:t xml:space="preserve"> </w:t>
            </w:r>
            <w:r>
              <w:rPr>
                <w:rFonts w:ascii="Arial" w:eastAsia="Times New Roman" w:hAnsi="Arial" w:cs="Arial"/>
                <w:color w:val="000000"/>
                <w:sz w:val="20"/>
                <w:szCs w:val="20"/>
                <w:lang w:val="es-ES"/>
              </w:rPr>
              <w:t xml:space="preserve">aprobando el </w:t>
            </w:r>
            <w:r w:rsidR="001D1D8F" w:rsidRPr="00E31657">
              <w:rPr>
                <w:rFonts w:ascii="Arial" w:eastAsia="Times New Roman" w:hAnsi="Arial" w:cs="Arial"/>
                <w:color w:val="000000"/>
                <w:sz w:val="20"/>
                <w:szCs w:val="20"/>
                <w:lang w:val="es-ES"/>
              </w:rPr>
              <w:t>Reglamento</w:t>
            </w:r>
            <w:r w:rsidR="0016288A" w:rsidRPr="00F64E64">
              <w:rPr>
                <w:lang w:val="es-ES"/>
              </w:rPr>
              <w:t xml:space="preserve"> </w:t>
            </w:r>
            <w:r w:rsidR="0016288A" w:rsidRPr="0016288A">
              <w:rPr>
                <w:rFonts w:ascii="Arial" w:eastAsia="Times New Roman" w:hAnsi="Arial" w:cs="Arial"/>
                <w:color w:val="000000"/>
                <w:sz w:val="20"/>
                <w:szCs w:val="20"/>
                <w:lang w:val="es-ES"/>
              </w:rPr>
              <w:t>Regulatorio para la Modalidad de Transporte Ferroviario</w:t>
            </w:r>
            <w:r w:rsidR="001D1D8F" w:rsidRPr="00E31657">
              <w:rPr>
                <w:rFonts w:ascii="Arial" w:eastAsia="Times New Roman" w:hAnsi="Arial" w:cs="Arial"/>
                <w:color w:val="000000"/>
                <w:sz w:val="20"/>
                <w:szCs w:val="20"/>
                <w:lang w:val="es-ES"/>
              </w:rPr>
              <w:t>.</w:t>
            </w:r>
          </w:p>
        </w:tc>
      </w:tr>
      <w:tr w:rsidR="001D1D8F" w:rsidRPr="00F64E64" w14:paraId="3E9CD229" w14:textId="77777777" w:rsidTr="00F64E64">
        <w:trPr>
          <w:trHeight w:val="79"/>
        </w:trPr>
        <w:tc>
          <w:tcPr>
            <w:tcW w:w="3228" w:type="dxa"/>
            <w:shd w:val="clear" w:color="auto" w:fill="auto"/>
            <w:vAlign w:val="center"/>
            <w:hideMark/>
          </w:tcPr>
          <w:p w14:paraId="51751DF5"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Manual Ambiental para la Construcción de Vías Férreas aprobado. </w:t>
            </w:r>
          </w:p>
        </w:tc>
        <w:tc>
          <w:tcPr>
            <w:tcW w:w="1461" w:type="dxa"/>
            <w:shd w:val="clear" w:color="auto" w:fill="auto"/>
            <w:vAlign w:val="center"/>
            <w:hideMark/>
          </w:tcPr>
          <w:p w14:paraId="150B1B7F" w14:textId="7555211C"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662A824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07D56911"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212C6148"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Ministerial emitida por el MOPSV acompañada del Manual.</w:t>
            </w:r>
          </w:p>
        </w:tc>
      </w:tr>
      <w:tr w:rsidR="001D1D8F" w:rsidRPr="00F64E64" w14:paraId="26657270" w14:textId="77777777" w:rsidTr="00F64E64">
        <w:trPr>
          <w:trHeight w:val="799"/>
        </w:trPr>
        <w:tc>
          <w:tcPr>
            <w:tcW w:w="3228" w:type="dxa"/>
            <w:shd w:val="clear" w:color="auto" w:fill="auto"/>
            <w:vAlign w:val="center"/>
            <w:hideMark/>
          </w:tcPr>
          <w:p w14:paraId="213741EB" w14:textId="288A415B" w:rsidR="001D1D8F" w:rsidRPr="00B64519"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Reglament</w:t>
            </w:r>
            <w:r w:rsidR="00652E2B">
              <w:rPr>
                <w:rFonts w:ascii="Arial" w:eastAsia="Times New Roman" w:hAnsi="Arial" w:cs="Arial"/>
                <w:color w:val="000000"/>
                <w:sz w:val="20"/>
                <w:szCs w:val="20"/>
                <w:lang w:val="es-ES"/>
              </w:rPr>
              <w:t>ación</w:t>
            </w:r>
            <w:r w:rsidRPr="00B64519">
              <w:rPr>
                <w:rFonts w:ascii="Arial" w:eastAsia="Times New Roman" w:hAnsi="Arial" w:cs="Arial"/>
                <w:color w:val="000000"/>
                <w:sz w:val="20"/>
                <w:szCs w:val="20"/>
                <w:lang w:val="es-ES"/>
              </w:rPr>
              <w:t xml:space="preserve"> para el </w:t>
            </w:r>
            <w:r w:rsidR="00652E2B">
              <w:rPr>
                <w:rFonts w:ascii="Arial" w:eastAsia="Times New Roman" w:hAnsi="Arial" w:cs="Arial"/>
                <w:color w:val="000000"/>
                <w:sz w:val="20"/>
                <w:szCs w:val="20"/>
                <w:lang w:val="es-ES"/>
              </w:rPr>
              <w:t>t</w:t>
            </w:r>
            <w:r w:rsidRPr="00B64519">
              <w:rPr>
                <w:rFonts w:ascii="Arial" w:eastAsia="Times New Roman" w:hAnsi="Arial" w:cs="Arial"/>
                <w:color w:val="000000"/>
                <w:sz w:val="20"/>
                <w:szCs w:val="20"/>
                <w:lang w:val="es-ES"/>
              </w:rPr>
              <w:t xml:space="preserve">ransporte de </w:t>
            </w:r>
            <w:r w:rsidR="00652E2B">
              <w:rPr>
                <w:rFonts w:ascii="Arial" w:eastAsia="Times New Roman" w:hAnsi="Arial" w:cs="Arial"/>
                <w:color w:val="000000"/>
                <w:sz w:val="20"/>
                <w:szCs w:val="20"/>
                <w:lang w:val="es-ES"/>
              </w:rPr>
              <w:t>mercancías p</w:t>
            </w:r>
            <w:r w:rsidRPr="00B64519">
              <w:rPr>
                <w:rFonts w:ascii="Arial" w:eastAsia="Times New Roman" w:hAnsi="Arial" w:cs="Arial"/>
                <w:color w:val="000000"/>
                <w:sz w:val="20"/>
                <w:szCs w:val="20"/>
                <w:lang w:val="es-ES"/>
              </w:rPr>
              <w:t xml:space="preserve">eligrosas por </w:t>
            </w:r>
            <w:r w:rsidR="00652E2B">
              <w:rPr>
                <w:rFonts w:ascii="Arial" w:eastAsia="Times New Roman" w:hAnsi="Arial" w:cs="Arial"/>
                <w:color w:val="000000"/>
                <w:sz w:val="20"/>
                <w:szCs w:val="20"/>
                <w:lang w:val="es-ES"/>
              </w:rPr>
              <w:t>v</w:t>
            </w:r>
            <w:r w:rsidRPr="00B64519">
              <w:rPr>
                <w:rFonts w:ascii="Arial" w:eastAsia="Times New Roman" w:hAnsi="Arial" w:cs="Arial"/>
                <w:color w:val="000000"/>
                <w:sz w:val="20"/>
                <w:szCs w:val="20"/>
                <w:lang w:val="es-ES"/>
              </w:rPr>
              <w:t xml:space="preserve">ías </w:t>
            </w:r>
            <w:r w:rsidR="00652E2B">
              <w:rPr>
                <w:rFonts w:ascii="Arial" w:eastAsia="Times New Roman" w:hAnsi="Arial" w:cs="Arial"/>
                <w:color w:val="000000"/>
                <w:sz w:val="20"/>
                <w:szCs w:val="20"/>
                <w:lang w:val="es-ES"/>
              </w:rPr>
              <w:t>f</w:t>
            </w:r>
            <w:r w:rsidRPr="00B64519">
              <w:rPr>
                <w:rFonts w:ascii="Arial" w:eastAsia="Times New Roman" w:hAnsi="Arial" w:cs="Arial"/>
                <w:color w:val="000000"/>
                <w:sz w:val="20"/>
                <w:szCs w:val="20"/>
                <w:lang w:val="es-ES"/>
              </w:rPr>
              <w:t>érreas armonizado con la normativa regional/internacional acordada en el MERCOSUR</w:t>
            </w:r>
            <w:r w:rsidR="00B64519" w:rsidRPr="00B64519">
              <w:rPr>
                <w:rFonts w:ascii="Arial" w:eastAsia="Times New Roman" w:hAnsi="Arial" w:cs="Arial"/>
                <w:color w:val="000000"/>
                <w:sz w:val="20"/>
                <w:szCs w:val="20"/>
                <w:lang w:val="es-ES"/>
              </w:rPr>
              <w:t xml:space="preserve"> </w:t>
            </w:r>
            <w:r w:rsidR="00B64519" w:rsidRPr="00E31657">
              <w:rPr>
                <w:rFonts w:ascii="Arial" w:hAnsi="Arial" w:cs="Arial"/>
                <w:sz w:val="20"/>
                <w:szCs w:val="20"/>
                <w:lang w:val="es-ES"/>
              </w:rPr>
              <w:t>aprobad</w:t>
            </w:r>
            <w:r w:rsidR="6BB8B17A" w:rsidRPr="00E31657">
              <w:rPr>
                <w:rFonts w:ascii="Arial" w:hAnsi="Arial" w:cs="Arial"/>
                <w:sz w:val="20"/>
                <w:szCs w:val="20"/>
                <w:lang w:val="es-ES"/>
              </w:rPr>
              <w:t>a</w:t>
            </w:r>
            <w:r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5FE891BC" w14:textId="158FEC7C"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782BD06E" w14:textId="77777777" w:rsidR="001D1D8F" w:rsidRPr="001640F5" w:rsidRDefault="001D1D8F" w:rsidP="00DA2367">
            <w:pPr>
              <w:jc w:val="center"/>
              <w:rPr>
                <w:rFonts w:ascii="Arial" w:eastAsia="Times New Roman" w:hAnsi="Arial" w:cs="Arial"/>
                <w:color w:val="000000"/>
                <w:sz w:val="20"/>
                <w:szCs w:val="20"/>
                <w:lang w:val="es-ES"/>
              </w:rPr>
            </w:pPr>
            <w:r w:rsidRPr="001640F5">
              <w:rPr>
                <w:rFonts w:ascii="Arial" w:eastAsia="Times New Roman" w:hAnsi="Arial" w:cs="Arial"/>
                <w:color w:val="000000"/>
                <w:sz w:val="20"/>
                <w:szCs w:val="20"/>
                <w:lang w:val="es-ES"/>
              </w:rPr>
              <w:t>0</w:t>
            </w:r>
          </w:p>
        </w:tc>
        <w:tc>
          <w:tcPr>
            <w:tcW w:w="810" w:type="dxa"/>
            <w:shd w:val="clear" w:color="auto" w:fill="auto"/>
            <w:vAlign w:val="center"/>
            <w:hideMark/>
          </w:tcPr>
          <w:p w14:paraId="43E804D2"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370DC5AE" w14:textId="511F9FFE"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Decreto supremo publicado en la Gaceta Oficial de Bolivia acompañado del Reglamento</w:t>
            </w:r>
            <w:r w:rsidR="0016288A" w:rsidRPr="00F64E64">
              <w:rPr>
                <w:lang w:val="es-ES"/>
              </w:rPr>
              <w:t xml:space="preserve"> </w:t>
            </w:r>
            <w:r w:rsidR="0016288A" w:rsidRPr="0016288A">
              <w:rPr>
                <w:rFonts w:ascii="Arial" w:eastAsia="Times New Roman" w:hAnsi="Arial" w:cs="Arial"/>
                <w:color w:val="000000"/>
                <w:sz w:val="20"/>
                <w:szCs w:val="20"/>
                <w:lang w:val="es-ES"/>
              </w:rPr>
              <w:t>de T</w:t>
            </w:r>
            <w:r w:rsidR="0016288A">
              <w:rPr>
                <w:rFonts w:ascii="Arial" w:eastAsia="Times New Roman" w:hAnsi="Arial" w:cs="Arial"/>
                <w:color w:val="000000"/>
                <w:sz w:val="20"/>
                <w:szCs w:val="20"/>
                <w:lang w:val="es-ES"/>
              </w:rPr>
              <w:t>ransporte de Mercancías Peligro</w:t>
            </w:r>
            <w:r w:rsidR="0016288A" w:rsidRPr="0016288A">
              <w:rPr>
                <w:rFonts w:ascii="Arial" w:eastAsia="Times New Roman" w:hAnsi="Arial" w:cs="Arial"/>
                <w:color w:val="000000"/>
                <w:sz w:val="20"/>
                <w:szCs w:val="20"/>
                <w:lang w:val="es-ES"/>
              </w:rPr>
              <w:t>sas por Carretera y Vía Férrea</w:t>
            </w:r>
            <w:r w:rsidRPr="00E31657">
              <w:rPr>
                <w:rFonts w:ascii="Arial" w:eastAsia="Times New Roman" w:hAnsi="Arial" w:cs="Arial"/>
                <w:color w:val="000000"/>
                <w:sz w:val="20"/>
                <w:szCs w:val="20"/>
                <w:lang w:val="es-ES"/>
              </w:rPr>
              <w:t>.</w:t>
            </w:r>
          </w:p>
        </w:tc>
      </w:tr>
      <w:tr w:rsidR="001D1D8F" w:rsidRPr="00F64E64" w14:paraId="239DF978" w14:textId="77777777" w:rsidTr="00F64E64">
        <w:trPr>
          <w:trHeight w:val="997"/>
        </w:trPr>
        <w:tc>
          <w:tcPr>
            <w:tcW w:w="3228" w:type="dxa"/>
            <w:shd w:val="clear" w:color="auto" w:fill="auto"/>
            <w:vAlign w:val="center"/>
            <w:hideMark/>
          </w:tcPr>
          <w:p w14:paraId="1CE3FE71" w14:textId="150D714E" w:rsidR="001D1D8F" w:rsidRPr="001640F5" w:rsidRDefault="00251B76" w:rsidP="00251B76">
            <w:pPr>
              <w:jc w:val="both"/>
              <w:rPr>
                <w:rFonts w:ascii="Arial" w:eastAsia="Times New Roman" w:hAnsi="Arial" w:cs="Arial"/>
                <w:color w:val="000000"/>
                <w:sz w:val="20"/>
                <w:szCs w:val="20"/>
                <w:lang w:val="es-ES"/>
              </w:rPr>
            </w:pPr>
            <w:r w:rsidRPr="00787AB6">
              <w:rPr>
                <w:rFonts w:ascii="Arial" w:hAnsi="Arial" w:cs="Arial"/>
                <w:sz w:val="20"/>
                <w:szCs w:val="20"/>
                <w:lang w:val="es-ES"/>
              </w:rPr>
              <w:t xml:space="preserve">Procedimiento de certificación de habilitación para el transporte de </w:t>
            </w:r>
            <w:r w:rsidR="00652E2B">
              <w:rPr>
                <w:rFonts w:ascii="Arial" w:hAnsi="Arial" w:cs="Arial"/>
                <w:sz w:val="20"/>
                <w:szCs w:val="20"/>
                <w:lang w:val="es-ES"/>
              </w:rPr>
              <w:t>mercancías</w:t>
            </w:r>
            <w:r w:rsidRPr="00787AB6">
              <w:rPr>
                <w:rFonts w:ascii="Arial" w:hAnsi="Arial" w:cs="Arial"/>
                <w:sz w:val="20"/>
                <w:szCs w:val="20"/>
                <w:lang w:val="es-ES"/>
              </w:rPr>
              <w:t xml:space="preserve"> peligrosas </w:t>
            </w:r>
            <w:r w:rsidR="00652E2B">
              <w:rPr>
                <w:rFonts w:ascii="Arial" w:hAnsi="Arial" w:cs="Arial"/>
                <w:sz w:val="20"/>
                <w:szCs w:val="20"/>
                <w:lang w:val="es-ES"/>
              </w:rPr>
              <w:t xml:space="preserve">por vías férreas </w:t>
            </w:r>
            <w:r w:rsidRPr="00787AB6">
              <w:rPr>
                <w:rFonts w:ascii="Arial" w:hAnsi="Arial" w:cs="Arial"/>
                <w:sz w:val="20"/>
                <w:szCs w:val="20"/>
                <w:lang w:val="es-ES"/>
              </w:rPr>
              <w:t>aprobado</w:t>
            </w:r>
            <w:r w:rsidR="001D1D8F"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71A50106" w14:textId="5F4A64C1"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62254A6C"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4BA50C31"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5D1906A" w14:textId="3FC06D84"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 xml:space="preserve">Resolución Ministerial emitida por el MOPSV, aprobando el procedimiento </w:t>
            </w:r>
            <w:r w:rsidR="0016288A" w:rsidRPr="0016288A">
              <w:rPr>
                <w:rFonts w:ascii="Arial" w:eastAsia="Times New Roman" w:hAnsi="Arial" w:cs="Arial"/>
                <w:color w:val="000000"/>
                <w:sz w:val="20"/>
                <w:szCs w:val="20"/>
                <w:lang w:val="es-ES"/>
              </w:rPr>
              <w:t>para la emisión del certificado de habilitación u homologación para el transporte de mercancías peligrosas</w:t>
            </w:r>
            <w:r w:rsidRPr="00E31657">
              <w:rPr>
                <w:rFonts w:ascii="Arial" w:eastAsia="Times New Roman" w:hAnsi="Arial" w:cs="Arial"/>
                <w:color w:val="000000"/>
                <w:sz w:val="20"/>
                <w:szCs w:val="20"/>
                <w:lang w:val="es-ES"/>
              </w:rPr>
              <w:t>.</w:t>
            </w:r>
          </w:p>
        </w:tc>
      </w:tr>
      <w:tr w:rsidR="001D1D8F" w:rsidRPr="00F64E64" w14:paraId="6220B74E" w14:textId="77777777" w:rsidTr="00F64E64">
        <w:trPr>
          <w:trHeight w:val="320"/>
        </w:trPr>
        <w:tc>
          <w:tcPr>
            <w:tcW w:w="10890" w:type="dxa"/>
            <w:gridSpan w:val="5"/>
            <w:shd w:val="clear" w:color="auto" w:fill="D9D9D9" w:themeFill="background1" w:themeFillShade="D9"/>
            <w:vAlign w:val="center"/>
            <w:hideMark/>
          </w:tcPr>
          <w:p w14:paraId="7E782497" w14:textId="77777777" w:rsidR="001D1D8F" w:rsidRPr="00B64519" w:rsidRDefault="001D1D8F" w:rsidP="00DA2367">
            <w:pPr>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2.4. MARCO REGULATORIO Y NORMATIVO PARA EL TRANSPORTE AÉREO.</w:t>
            </w:r>
          </w:p>
        </w:tc>
      </w:tr>
      <w:tr w:rsidR="001D1D8F" w:rsidRPr="00F64E64" w14:paraId="0DC0AE41" w14:textId="77777777" w:rsidTr="00F64E64">
        <w:trPr>
          <w:trHeight w:val="511"/>
        </w:trPr>
        <w:tc>
          <w:tcPr>
            <w:tcW w:w="3228" w:type="dxa"/>
            <w:shd w:val="clear" w:color="auto" w:fill="auto"/>
            <w:vAlign w:val="center"/>
            <w:hideMark/>
          </w:tcPr>
          <w:p w14:paraId="1C250E52" w14:textId="5A3F1C34" w:rsidR="001D1D8F" w:rsidRPr="001640F5" w:rsidRDefault="00035AE4" w:rsidP="00DA2367">
            <w:pPr>
              <w:jc w:val="both"/>
              <w:rPr>
                <w:rFonts w:ascii="Arial" w:eastAsia="Times New Roman" w:hAnsi="Arial" w:cs="Arial"/>
                <w:color w:val="000000"/>
                <w:sz w:val="20"/>
                <w:szCs w:val="20"/>
                <w:lang w:val="es-ES"/>
              </w:rPr>
            </w:pPr>
            <w:r w:rsidRPr="00B64519">
              <w:rPr>
                <w:rFonts w:ascii="Arial" w:hAnsi="Arial" w:cs="Arial"/>
                <w:sz w:val="20"/>
                <w:szCs w:val="20"/>
                <w:lang w:val="es-ES"/>
              </w:rPr>
              <w:t>Reglament</w:t>
            </w:r>
            <w:r w:rsidR="00652E2B">
              <w:rPr>
                <w:rFonts w:ascii="Arial" w:hAnsi="Arial" w:cs="Arial"/>
                <w:sz w:val="20"/>
                <w:szCs w:val="20"/>
                <w:lang w:val="es-ES"/>
              </w:rPr>
              <w:t>ación r</w:t>
            </w:r>
            <w:r w:rsidRPr="00B64519">
              <w:rPr>
                <w:rFonts w:ascii="Arial" w:hAnsi="Arial" w:cs="Arial"/>
                <w:sz w:val="20"/>
                <w:szCs w:val="20"/>
                <w:lang w:val="es-ES"/>
              </w:rPr>
              <w:t>egulatori</w:t>
            </w:r>
            <w:r w:rsidR="00652E2B">
              <w:rPr>
                <w:rFonts w:ascii="Arial" w:hAnsi="Arial" w:cs="Arial"/>
                <w:sz w:val="20"/>
                <w:szCs w:val="20"/>
                <w:lang w:val="es-ES"/>
              </w:rPr>
              <w:t>a</w:t>
            </w:r>
            <w:r w:rsidRPr="00B64519">
              <w:rPr>
                <w:rFonts w:ascii="Arial" w:hAnsi="Arial" w:cs="Arial"/>
                <w:sz w:val="20"/>
                <w:szCs w:val="20"/>
                <w:lang w:val="es-ES"/>
              </w:rPr>
              <w:t xml:space="preserve"> para la </w:t>
            </w:r>
            <w:r w:rsidR="00652E2B">
              <w:rPr>
                <w:rFonts w:ascii="Arial" w:hAnsi="Arial" w:cs="Arial"/>
                <w:sz w:val="20"/>
                <w:szCs w:val="20"/>
                <w:lang w:val="es-ES"/>
              </w:rPr>
              <w:t>m</w:t>
            </w:r>
            <w:r w:rsidRPr="00B64519">
              <w:rPr>
                <w:rFonts w:ascii="Arial" w:hAnsi="Arial" w:cs="Arial"/>
                <w:sz w:val="20"/>
                <w:szCs w:val="20"/>
                <w:lang w:val="es-ES"/>
              </w:rPr>
              <w:t xml:space="preserve">odalidad de </w:t>
            </w:r>
            <w:r w:rsidR="00652E2B">
              <w:rPr>
                <w:rFonts w:ascii="Arial" w:hAnsi="Arial" w:cs="Arial"/>
                <w:sz w:val="20"/>
                <w:szCs w:val="20"/>
                <w:lang w:val="es-ES"/>
              </w:rPr>
              <w:t>t</w:t>
            </w:r>
            <w:r w:rsidRPr="00B64519">
              <w:rPr>
                <w:rFonts w:ascii="Arial" w:hAnsi="Arial" w:cs="Arial"/>
                <w:sz w:val="20"/>
                <w:szCs w:val="20"/>
                <w:lang w:val="es-ES"/>
              </w:rPr>
              <w:t xml:space="preserve">ransporte </w:t>
            </w:r>
            <w:r w:rsidR="00652E2B">
              <w:rPr>
                <w:rFonts w:ascii="Arial" w:hAnsi="Arial" w:cs="Arial"/>
                <w:sz w:val="20"/>
                <w:szCs w:val="20"/>
                <w:lang w:val="es-ES"/>
              </w:rPr>
              <w:t>a</w:t>
            </w:r>
            <w:r w:rsidRPr="00B64519">
              <w:rPr>
                <w:rFonts w:ascii="Arial" w:hAnsi="Arial" w:cs="Arial"/>
                <w:sz w:val="20"/>
                <w:szCs w:val="20"/>
                <w:lang w:val="es-ES"/>
              </w:rPr>
              <w:t xml:space="preserve">éreo de </w:t>
            </w:r>
            <w:r w:rsidR="00652E2B">
              <w:rPr>
                <w:rFonts w:ascii="Arial" w:hAnsi="Arial" w:cs="Arial"/>
                <w:sz w:val="20"/>
                <w:szCs w:val="20"/>
                <w:lang w:val="es-ES"/>
              </w:rPr>
              <w:t>p</w:t>
            </w:r>
            <w:r w:rsidRPr="00B64519">
              <w:rPr>
                <w:rFonts w:ascii="Arial" w:hAnsi="Arial" w:cs="Arial"/>
                <w:sz w:val="20"/>
                <w:szCs w:val="20"/>
                <w:lang w:val="es-ES"/>
              </w:rPr>
              <w:t xml:space="preserve">asajeros, </w:t>
            </w:r>
            <w:r w:rsidR="00652E2B">
              <w:rPr>
                <w:rFonts w:ascii="Arial" w:hAnsi="Arial" w:cs="Arial"/>
                <w:sz w:val="20"/>
                <w:szCs w:val="20"/>
                <w:lang w:val="es-ES"/>
              </w:rPr>
              <w:t>s</w:t>
            </w:r>
            <w:r w:rsidRPr="00B64519">
              <w:rPr>
                <w:rFonts w:ascii="Arial" w:hAnsi="Arial" w:cs="Arial"/>
                <w:sz w:val="20"/>
                <w:szCs w:val="20"/>
                <w:lang w:val="es-ES"/>
              </w:rPr>
              <w:t xml:space="preserve">ervicios </w:t>
            </w:r>
            <w:r w:rsidR="00652E2B">
              <w:rPr>
                <w:rFonts w:ascii="Arial" w:hAnsi="Arial" w:cs="Arial"/>
                <w:sz w:val="20"/>
                <w:szCs w:val="20"/>
                <w:lang w:val="es-ES"/>
              </w:rPr>
              <w:lastRenderedPageBreak/>
              <w:t>a</w:t>
            </w:r>
            <w:r w:rsidRPr="00B64519">
              <w:rPr>
                <w:rFonts w:ascii="Arial" w:hAnsi="Arial" w:cs="Arial"/>
                <w:sz w:val="20"/>
                <w:szCs w:val="20"/>
                <w:lang w:val="es-ES"/>
              </w:rPr>
              <w:t xml:space="preserve">eroportuarios, </w:t>
            </w:r>
            <w:r w:rsidR="00652E2B">
              <w:rPr>
                <w:rFonts w:ascii="Arial" w:hAnsi="Arial" w:cs="Arial"/>
                <w:sz w:val="20"/>
                <w:szCs w:val="20"/>
                <w:lang w:val="es-ES"/>
              </w:rPr>
              <w:t>c</w:t>
            </w:r>
            <w:r w:rsidRPr="00B64519">
              <w:rPr>
                <w:rFonts w:ascii="Arial" w:hAnsi="Arial" w:cs="Arial"/>
                <w:sz w:val="20"/>
                <w:szCs w:val="20"/>
                <w:lang w:val="es-ES"/>
              </w:rPr>
              <w:t xml:space="preserve">arga y </w:t>
            </w:r>
            <w:r w:rsidR="00652E2B">
              <w:rPr>
                <w:rFonts w:ascii="Arial" w:hAnsi="Arial" w:cs="Arial"/>
                <w:sz w:val="20"/>
                <w:szCs w:val="20"/>
                <w:lang w:val="es-ES"/>
              </w:rPr>
              <w:t>c</w:t>
            </w:r>
            <w:r w:rsidRPr="00B64519">
              <w:rPr>
                <w:rFonts w:ascii="Arial" w:hAnsi="Arial" w:cs="Arial"/>
                <w:sz w:val="20"/>
                <w:szCs w:val="20"/>
                <w:lang w:val="es-ES"/>
              </w:rPr>
              <w:t xml:space="preserve">arga </w:t>
            </w:r>
            <w:r w:rsidR="00652E2B">
              <w:rPr>
                <w:rFonts w:ascii="Arial" w:hAnsi="Arial" w:cs="Arial"/>
                <w:sz w:val="20"/>
                <w:szCs w:val="20"/>
                <w:lang w:val="es-ES"/>
              </w:rPr>
              <w:t>p</w:t>
            </w:r>
            <w:r w:rsidRPr="00B64519">
              <w:rPr>
                <w:rFonts w:ascii="Arial" w:hAnsi="Arial" w:cs="Arial"/>
                <w:sz w:val="20"/>
                <w:szCs w:val="20"/>
                <w:lang w:val="es-ES"/>
              </w:rPr>
              <w:t>ostal</w:t>
            </w:r>
            <w:r w:rsidRPr="00B64519">
              <w:rPr>
                <w:rFonts w:ascii="Arial" w:eastAsia="Times New Roman" w:hAnsi="Arial" w:cs="Arial"/>
                <w:color w:val="000000"/>
                <w:sz w:val="20"/>
                <w:szCs w:val="20"/>
                <w:lang w:val="es-ES"/>
              </w:rPr>
              <w:t xml:space="preserve"> </w:t>
            </w:r>
            <w:r w:rsidR="001D1D8F" w:rsidRPr="00B64519">
              <w:rPr>
                <w:rFonts w:ascii="Arial" w:eastAsia="Times New Roman" w:hAnsi="Arial" w:cs="Arial"/>
                <w:color w:val="000000"/>
                <w:sz w:val="20"/>
                <w:szCs w:val="20"/>
                <w:lang w:val="es-ES"/>
              </w:rPr>
              <w:t>aprobad</w:t>
            </w:r>
            <w:r w:rsidR="6BB8B17A" w:rsidRPr="00B64519">
              <w:rPr>
                <w:rFonts w:ascii="Arial" w:eastAsia="Times New Roman" w:hAnsi="Arial" w:cs="Arial"/>
                <w:color w:val="000000"/>
                <w:sz w:val="20"/>
                <w:szCs w:val="20"/>
                <w:lang w:val="es-ES"/>
              </w:rPr>
              <w:t>a</w:t>
            </w:r>
            <w:r w:rsidR="001D1D8F"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54A3113E" w14:textId="06205415"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lastRenderedPageBreak/>
              <w:t>VMT-MOPSV</w:t>
            </w:r>
          </w:p>
        </w:tc>
        <w:tc>
          <w:tcPr>
            <w:tcW w:w="1055" w:type="dxa"/>
            <w:shd w:val="clear" w:color="auto" w:fill="auto"/>
            <w:vAlign w:val="center"/>
            <w:hideMark/>
          </w:tcPr>
          <w:p w14:paraId="0ED94CDF"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4166B63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C694675" w14:textId="4229E8C8" w:rsidR="001D1D8F" w:rsidRPr="00E31657" w:rsidRDefault="00787AB6"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Resolución Ministerial emitida por el MOPSV,</w:t>
            </w:r>
            <w:r w:rsidRPr="00E31657">
              <w:rPr>
                <w:rFonts w:ascii="Arial" w:eastAsia="Times New Roman" w:hAnsi="Arial" w:cs="Arial"/>
                <w:color w:val="000000"/>
                <w:sz w:val="20"/>
                <w:szCs w:val="20"/>
                <w:lang w:val="es-ES"/>
              </w:rPr>
              <w:t xml:space="preserve"> </w:t>
            </w:r>
            <w:r>
              <w:rPr>
                <w:rFonts w:ascii="Arial" w:eastAsia="Times New Roman" w:hAnsi="Arial" w:cs="Arial"/>
                <w:color w:val="000000"/>
                <w:sz w:val="20"/>
                <w:szCs w:val="20"/>
                <w:lang w:val="es-ES"/>
              </w:rPr>
              <w:t xml:space="preserve">aprobando el </w:t>
            </w:r>
            <w:r w:rsidR="001D1D8F" w:rsidRPr="00E31657">
              <w:rPr>
                <w:rFonts w:ascii="Arial" w:eastAsia="Times New Roman" w:hAnsi="Arial" w:cs="Arial"/>
                <w:color w:val="000000"/>
                <w:sz w:val="20"/>
                <w:szCs w:val="20"/>
                <w:lang w:val="es-ES"/>
              </w:rPr>
              <w:t>Reglamento</w:t>
            </w:r>
            <w:r w:rsidR="0016288A" w:rsidRPr="00F64E64">
              <w:rPr>
                <w:lang w:val="es-ES"/>
              </w:rPr>
              <w:t xml:space="preserve"> </w:t>
            </w:r>
            <w:r w:rsidR="0016288A" w:rsidRPr="0016288A">
              <w:rPr>
                <w:rFonts w:ascii="Arial" w:eastAsia="Times New Roman" w:hAnsi="Arial" w:cs="Arial"/>
                <w:color w:val="000000"/>
                <w:sz w:val="20"/>
                <w:szCs w:val="20"/>
                <w:lang w:val="es-ES"/>
              </w:rPr>
              <w:t>Regulatorio para la Modalidad de Transporte Aéreo</w:t>
            </w:r>
            <w:r w:rsidR="001D1D8F" w:rsidRPr="00E31657">
              <w:rPr>
                <w:rFonts w:ascii="Arial" w:eastAsia="Times New Roman" w:hAnsi="Arial" w:cs="Arial"/>
                <w:color w:val="000000"/>
                <w:sz w:val="20"/>
                <w:szCs w:val="20"/>
                <w:lang w:val="es-ES"/>
              </w:rPr>
              <w:t>.</w:t>
            </w:r>
          </w:p>
        </w:tc>
      </w:tr>
      <w:tr w:rsidR="001D1D8F" w:rsidRPr="00F64E64" w14:paraId="48C55A90" w14:textId="77777777" w:rsidTr="00F64E64">
        <w:trPr>
          <w:trHeight w:val="511"/>
        </w:trPr>
        <w:tc>
          <w:tcPr>
            <w:tcW w:w="3228" w:type="dxa"/>
            <w:shd w:val="clear" w:color="auto" w:fill="auto"/>
            <w:vAlign w:val="center"/>
            <w:hideMark/>
          </w:tcPr>
          <w:p w14:paraId="33E9AC7C" w14:textId="5093459A"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Guía para la preparación de planes maestros </w:t>
            </w:r>
            <w:r w:rsidR="00652E2B">
              <w:rPr>
                <w:rFonts w:ascii="Arial" w:eastAsia="Times New Roman" w:hAnsi="Arial" w:cs="Arial"/>
                <w:color w:val="000000"/>
                <w:sz w:val="20"/>
                <w:szCs w:val="20"/>
                <w:lang w:val="es-ES"/>
              </w:rPr>
              <w:t>aeroportuarios</w:t>
            </w:r>
            <w:r w:rsidRPr="00B64519">
              <w:rPr>
                <w:rFonts w:ascii="Arial" w:eastAsia="Times New Roman" w:hAnsi="Arial" w:cs="Arial"/>
                <w:color w:val="000000"/>
                <w:sz w:val="20"/>
                <w:szCs w:val="20"/>
                <w:lang w:val="es-ES"/>
              </w:rPr>
              <w:t xml:space="preserve"> aprobada. </w:t>
            </w:r>
          </w:p>
        </w:tc>
        <w:tc>
          <w:tcPr>
            <w:tcW w:w="1461" w:type="dxa"/>
            <w:shd w:val="clear" w:color="auto" w:fill="auto"/>
            <w:vAlign w:val="center"/>
            <w:hideMark/>
          </w:tcPr>
          <w:p w14:paraId="268AE5B8" w14:textId="252C3270"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399B811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1DB305A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77EC8C0A"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Ministerial emitida por el MOPSV acompañada de la guía.</w:t>
            </w:r>
          </w:p>
        </w:tc>
      </w:tr>
      <w:tr w:rsidR="001D1D8F" w:rsidRPr="00F64E64" w14:paraId="4450A368" w14:textId="77777777" w:rsidTr="00F64E64">
        <w:trPr>
          <w:trHeight w:val="682"/>
        </w:trPr>
        <w:tc>
          <w:tcPr>
            <w:tcW w:w="3228" w:type="dxa"/>
            <w:shd w:val="clear" w:color="auto" w:fill="auto"/>
            <w:vAlign w:val="center"/>
            <w:hideMark/>
          </w:tcPr>
          <w:p w14:paraId="563014C3"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Actualización de la Reglamentación Aeronáutica Boliviana (</w:t>
            </w:r>
            <w:r w:rsidRPr="001640F5">
              <w:rPr>
                <w:rFonts w:ascii="Arial" w:eastAsia="Times New Roman" w:hAnsi="Arial" w:cs="Arial"/>
                <w:color w:val="000000"/>
                <w:sz w:val="20"/>
                <w:szCs w:val="20"/>
                <w:lang w:val="es-ES"/>
              </w:rPr>
              <w:t>RAB’s) aprobada.</w:t>
            </w:r>
          </w:p>
        </w:tc>
        <w:tc>
          <w:tcPr>
            <w:tcW w:w="1461" w:type="dxa"/>
            <w:shd w:val="clear" w:color="auto" w:fill="auto"/>
            <w:vAlign w:val="center"/>
            <w:hideMark/>
          </w:tcPr>
          <w:p w14:paraId="0D995D80" w14:textId="75BFB48E"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4FA4B71D"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D11B58A"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2B6E5F74"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Resoluciones Administrativas emitidas por la DGAC acompañadas de la actualización de la Reglamentación.</w:t>
            </w:r>
          </w:p>
        </w:tc>
      </w:tr>
      <w:tr w:rsidR="001D1D8F" w:rsidRPr="00F64E64" w14:paraId="417465EB" w14:textId="77777777" w:rsidTr="00F64E64">
        <w:trPr>
          <w:trHeight w:val="520"/>
        </w:trPr>
        <w:tc>
          <w:tcPr>
            <w:tcW w:w="3228" w:type="dxa"/>
            <w:shd w:val="clear" w:color="auto" w:fill="auto"/>
            <w:vAlign w:val="center"/>
            <w:hideMark/>
          </w:tcPr>
          <w:p w14:paraId="6499A472" w14:textId="440101D0"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Anteproyecto de Ley de Aeronáutica Civil del Estado Plurinacional de Bolivia remitida a</w:t>
            </w:r>
            <w:r w:rsidR="00652E2B">
              <w:rPr>
                <w:rFonts w:ascii="Arial" w:eastAsia="Times New Roman" w:hAnsi="Arial" w:cs="Arial"/>
                <w:color w:val="000000"/>
                <w:sz w:val="20"/>
                <w:szCs w:val="20"/>
                <w:lang w:val="es-ES"/>
              </w:rPr>
              <w:t>l Ministerio de la</w:t>
            </w:r>
            <w:r w:rsidRPr="00B64519">
              <w:rPr>
                <w:rFonts w:ascii="Arial" w:eastAsia="Times New Roman" w:hAnsi="Arial" w:cs="Arial"/>
                <w:color w:val="000000"/>
                <w:sz w:val="20"/>
                <w:szCs w:val="20"/>
                <w:lang w:val="es-ES"/>
              </w:rPr>
              <w:t xml:space="preserve"> </w:t>
            </w:r>
            <w:r w:rsidR="00787AB6">
              <w:rPr>
                <w:rFonts w:ascii="Arial" w:eastAsia="Times New Roman" w:hAnsi="Arial" w:cs="Arial"/>
                <w:color w:val="000000"/>
                <w:sz w:val="20"/>
                <w:szCs w:val="20"/>
                <w:lang w:val="es-ES"/>
              </w:rPr>
              <w:t>Presidencia</w:t>
            </w:r>
            <w:r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7546972E" w14:textId="51247DA6"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3022C3E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40C19ED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EF6E9CE" w14:textId="65AC4C16"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 xml:space="preserve">Nota de remisión del Anteproyecto de Ley de Aeronáutica Civil del Estado Plurinacional de Bolivia por parte del </w:t>
            </w:r>
            <w:r w:rsidR="00787AB6">
              <w:rPr>
                <w:rFonts w:ascii="Arial" w:eastAsia="Times New Roman" w:hAnsi="Arial" w:cs="Arial"/>
                <w:color w:val="000000"/>
                <w:sz w:val="20"/>
                <w:szCs w:val="20"/>
                <w:lang w:val="es-ES"/>
              </w:rPr>
              <w:t xml:space="preserve">MOPSV al Ministerio de la Presidencia para su tratamiento en la Unidad de Análisis de Políticas Sociales y Económicas (UDAPE), adjuntando el </w:t>
            </w:r>
            <w:r w:rsidRPr="00E31657">
              <w:rPr>
                <w:rFonts w:ascii="Arial" w:eastAsia="Times New Roman" w:hAnsi="Arial" w:cs="Arial"/>
                <w:color w:val="000000"/>
                <w:sz w:val="20"/>
                <w:szCs w:val="20"/>
                <w:lang w:val="es-ES"/>
              </w:rPr>
              <w:t>Anteproyecto de Ley</w:t>
            </w:r>
            <w:r w:rsidR="00787AB6">
              <w:rPr>
                <w:rFonts w:ascii="Arial" w:eastAsia="Times New Roman" w:hAnsi="Arial" w:cs="Arial"/>
                <w:color w:val="000000"/>
                <w:sz w:val="20"/>
                <w:szCs w:val="20"/>
                <w:lang w:val="es-ES"/>
              </w:rPr>
              <w:t xml:space="preserve"> </w:t>
            </w:r>
            <w:r w:rsidR="00787AB6" w:rsidRPr="00E31657">
              <w:rPr>
                <w:rFonts w:ascii="Arial" w:eastAsia="Times New Roman" w:hAnsi="Arial" w:cs="Arial"/>
                <w:color w:val="000000"/>
                <w:sz w:val="20"/>
                <w:szCs w:val="20"/>
                <w:lang w:val="es-ES"/>
              </w:rPr>
              <w:t>de Aeronáutica Civil del Estado Plurinacional de Bolivia</w:t>
            </w:r>
            <w:r w:rsidRPr="00E31657">
              <w:rPr>
                <w:rFonts w:ascii="Arial" w:eastAsia="Times New Roman" w:hAnsi="Arial" w:cs="Arial"/>
                <w:color w:val="000000"/>
                <w:sz w:val="20"/>
                <w:szCs w:val="20"/>
                <w:lang w:val="es-ES"/>
              </w:rPr>
              <w:t>.</w:t>
            </w:r>
          </w:p>
        </w:tc>
      </w:tr>
      <w:tr w:rsidR="001D1D8F" w:rsidRPr="00F64E64" w14:paraId="06184F22" w14:textId="77777777" w:rsidTr="00F64E64">
        <w:trPr>
          <w:trHeight w:val="466"/>
        </w:trPr>
        <w:tc>
          <w:tcPr>
            <w:tcW w:w="3228" w:type="dxa"/>
            <w:shd w:val="clear" w:color="auto" w:fill="auto"/>
            <w:vAlign w:val="center"/>
            <w:hideMark/>
          </w:tcPr>
          <w:p w14:paraId="2976B94C"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Guía de Gestión Ambiental para la operación de aeropuertos aprobada.</w:t>
            </w:r>
          </w:p>
        </w:tc>
        <w:tc>
          <w:tcPr>
            <w:tcW w:w="1461" w:type="dxa"/>
            <w:shd w:val="clear" w:color="auto" w:fill="auto"/>
            <w:vAlign w:val="center"/>
            <w:hideMark/>
          </w:tcPr>
          <w:p w14:paraId="4AAF52AE" w14:textId="7AFBAC7B"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4303AE49"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F41EE86"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F6879E0"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Ministerial emitida por el MOPSV acompañada de la Guía.</w:t>
            </w:r>
          </w:p>
        </w:tc>
      </w:tr>
      <w:tr w:rsidR="001D1D8F" w:rsidRPr="00F64E64" w14:paraId="47C54A9A" w14:textId="77777777" w:rsidTr="00F64E64">
        <w:trPr>
          <w:trHeight w:val="610"/>
        </w:trPr>
        <w:tc>
          <w:tcPr>
            <w:tcW w:w="3228" w:type="dxa"/>
            <w:shd w:val="clear" w:color="auto" w:fill="auto"/>
            <w:vAlign w:val="center"/>
            <w:hideMark/>
          </w:tcPr>
          <w:p w14:paraId="6DA08D23" w14:textId="1C5F3CA5" w:rsidR="001D1D8F" w:rsidRPr="00B64519"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Guía de Gestión del Mantenimiento Sostenible del área de movimiento de aeronaves en aeropuertos</w:t>
            </w:r>
            <w:r w:rsidR="00B64519" w:rsidRPr="00B64519">
              <w:rPr>
                <w:rFonts w:ascii="Arial" w:eastAsia="Times New Roman" w:hAnsi="Arial" w:cs="Arial"/>
                <w:color w:val="000000"/>
                <w:sz w:val="20"/>
                <w:szCs w:val="20"/>
                <w:lang w:val="es-ES"/>
              </w:rPr>
              <w:t xml:space="preserve"> </w:t>
            </w:r>
            <w:r w:rsidR="00B64519" w:rsidRPr="001640F5">
              <w:rPr>
                <w:rFonts w:ascii="Arial" w:hAnsi="Arial" w:cs="Arial"/>
                <w:sz w:val="20"/>
                <w:szCs w:val="20"/>
                <w:lang w:val="es-ES"/>
              </w:rPr>
              <w:t>aprobada</w:t>
            </w:r>
            <w:r w:rsidRPr="00B64519">
              <w:rPr>
                <w:rFonts w:ascii="Arial" w:eastAsia="Times New Roman" w:hAnsi="Arial" w:cs="Arial"/>
                <w:color w:val="000000"/>
                <w:sz w:val="20"/>
                <w:szCs w:val="20"/>
                <w:lang w:val="es-ES"/>
              </w:rPr>
              <w:t>.</w:t>
            </w:r>
          </w:p>
        </w:tc>
        <w:tc>
          <w:tcPr>
            <w:tcW w:w="1461" w:type="dxa"/>
            <w:shd w:val="clear" w:color="auto" w:fill="auto"/>
            <w:vAlign w:val="center"/>
            <w:hideMark/>
          </w:tcPr>
          <w:p w14:paraId="435363FD" w14:textId="4F842F3B"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712FA684"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4C140C5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382A3F25"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Ministerial emitida por el MOPSV acompañada de la Guía.</w:t>
            </w:r>
          </w:p>
        </w:tc>
      </w:tr>
      <w:tr w:rsidR="001D1D8F" w:rsidRPr="00F64E64" w14:paraId="4DBCDC11" w14:textId="77777777" w:rsidTr="00F64E64">
        <w:trPr>
          <w:trHeight w:val="601"/>
        </w:trPr>
        <w:tc>
          <w:tcPr>
            <w:tcW w:w="3228" w:type="dxa"/>
            <w:shd w:val="clear" w:color="auto" w:fill="auto"/>
            <w:vAlign w:val="center"/>
            <w:hideMark/>
          </w:tcPr>
          <w:p w14:paraId="76CBDFD1"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Plan de Inversión para Mantenimiento de Aeropuertos elaborado. </w:t>
            </w:r>
          </w:p>
        </w:tc>
        <w:tc>
          <w:tcPr>
            <w:tcW w:w="1461" w:type="dxa"/>
            <w:shd w:val="clear" w:color="auto" w:fill="auto"/>
            <w:vAlign w:val="center"/>
            <w:hideMark/>
          </w:tcPr>
          <w:p w14:paraId="06564805" w14:textId="4266CFD5"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37159B4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52F35DEB"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D66D9C2"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el MOPSV dirigida al Banco, acompañando el Plan de Inversión.</w:t>
            </w:r>
          </w:p>
        </w:tc>
      </w:tr>
      <w:tr w:rsidR="001D1D8F" w:rsidRPr="00F64E64" w14:paraId="3F58B04C" w14:textId="77777777" w:rsidTr="00F64E64">
        <w:trPr>
          <w:trHeight w:val="268"/>
        </w:trPr>
        <w:tc>
          <w:tcPr>
            <w:tcW w:w="3228" w:type="dxa"/>
            <w:shd w:val="clear" w:color="auto" w:fill="auto"/>
            <w:vAlign w:val="center"/>
            <w:hideMark/>
          </w:tcPr>
          <w:p w14:paraId="615343ED"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Actualización del Plan Nacional de Navegación Aérea aprobado.</w:t>
            </w:r>
          </w:p>
        </w:tc>
        <w:tc>
          <w:tcPr>
            <w:tcW w:w="1461" w:type="dxa"/>
            <w:shd w:val="clear" w:color="auto" w:fill="auto"/>
            <w:vAlign w:val="center"/>
            <w:hideMark/>
          </w:tcPr>
          <w:p w14:paraId="5261CD70" w14:textId="1A086F2F" w:rsidR="001D1D8F" w:rsidRPr="001640F5" w:rsidRDefault="008716B6" w:rsidP="00DA2367">
            <w:pPr>
              <w:jc w:val="both"/>
              <w:rPr>
                <w:rFonts w:ascii="Arial" w:eastAsia="Times New Roman" w:hAnsi="Arial" w:cs="Arial"/>
                <w:color w:val="000000"/>
                <w:sz w:val="20"/>
                <w:szCs w:val="20"/>
                <w:lang w:val="es-ES"/>
              </w:rPr>
            </w:pPr>
            <w:r w:rsidRPr="001640F5">
              <w:rPr>
                <w:rFonts w:ascii="Arial" w:hAnsi="Arial" w:cs="Arial"/>
                <w:sz w:val="20"/>
                <w:szCs w:val="20"/>
                <w:lang w:val="es-ES"/>
              </w:rPr>
              <w:t>VMT-MOPSV</w:t>
            </w:r>
          </w:p>
        </w:tc>
        <w:tc>
          <w:tcPr>
            <w:tcW w:w="1055" w:type="dxa"/>
            <w:shd w:val="clear" w:color="auto" w:fill="auto"/>
            <w:vAlign w:val="center"/>
            <w:hideMark/>
          </w:tcPr>
          <w:p w14:paraId="0D13229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32220F8F"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FBBB697"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Resolución Administrativa emitida por la DGAC, acompañada del Plan.</w:t>
            </w:r>
          </w:p>
        </w:tc>
      </w:tr>
      <w:tr w:rsidR="001D1D8F" w:rsidRPr="00F64E64" w14:paraId="12922632" w14:textId="77777777" w:rsidTr="00F64E64">
        <w:trPr>
          <w:trHeight w:val="115"/>
        </w:trPr>
        <w:tc>
          <w:tcPr>
            <w:tcW w:w="10890" w:type="dxa"/>
            <w:gridSpan w:val="5"/>
            <w:shd w:val="clear" w:color="auto" w:fill="D9D9D9" w:themeFill="background1" w:themeFillShade="D9"/>
            <w:vAlign w:val="center"/>
            <w:hideMark/>
          </w:tcPr>
          <w:p w14:paraId="48702D99" w14:textId="77777777" w:rsidR="001D1D8F" w:rsidRPr="00B64519" w:rsidRDefault="001D1D8F" w:rsidP="00DA2367">
            <w:pPr>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2.5. MARCO REGULATORIO Y NORMATIVO PARA EL TRANSPORTE ACUÁTICO.</w:t>
            </w:r>
          </w:p>
        </w:tc>
      </w:tr>
      <w:tr w:rsidR="001D1D8F" w:rsidRPr="00F64E64" w14:paraId="23C9BEC3" w14:textId="77777777" w:rsidTr="00F64E64">
        <w:trPr>
          <w:trHeight w:val="178"/>
        </w:trPr>
        <w:tc>
          <w:tcPr>
            <w:tcW w:w="3228" w:type="dxa"/>
            <w:shd w:val="clear" w:color="auto" w:fill="auto"/>
            <w:vAlign w:val="center"/>
            <w:hideMark/>
          </w:tcPr>
          <w:p w14:paraId="0BCFF6F4" w14:textId="216CDC98" w:rsidR="001D1D8F" w:rsidRPr="001640F5" w:rsidRDefault="00035AE4" w:rsidP="00DA2367">
            <w:pPr>
              <w:jc w:val="both"/>
              <w:rPr>
                <w:rFonts w:ascii="Arial" w:eastAsia="Times New Roman" w:hAnsi="Arial" w:cs="Arial"/>
                <w:color w:val="000000"/>
                <w:sz w:val="20"/>
                <w:szCs w:val="20"/>
                <w:lang w:val="es-ES"/>
              </w:rPr>
            </w:pPr>
            <w:r w:rsidRPr="00B64519">
              <w:rPr>
                <w:rFonts w:ascii="Arial" w:hAnsi="Arial" w:cs="Arial"/>
                <w:sz w:val="20"/>
                <w:szCs w:val="20"/>
                <w:lang w:val="es-ES"/>
              </w:rPr>
              <w:t>Reglament</w:t>
            </w:r>
            <w:r w:rsidR="00652E2B">
              <w:rPr>
                <w:rFonts w:ascii="Arial" w:hAnsi="Arial" w:cs="Arial"/>
                <w:sz w:val="20"/>
                <w:szCs w:val="20"/>
                <w:lang w:val="es-ES"/>
              </w:rPr>
              <w:t>ación</w:t>
            </w:r>
            <w:r w:rsidRPr="00B64519">
              <w:rPr>
                <w:rFonts w:ascii="Arial" w:hAnsi="Arial" w:cs="Arial"/>
                <w:sz w:val="20"/>
                <w:szCs w:val="20"/>
                <w:lang w:val="es-ES"/>
              </w:rPr>
              <w:t xml:space="preserve"> </w:t>
            </w:r>
            <w:r w:rsidR="00652E2B">
              <w:rPr>
                <w:rFonts w:ascii="Arial" w:hAnsi="Arial" w:cs="Arial"/>
                <w:sz w:val="20"/>
                <w:szCs w:val="20"/>
                <w:lang w:val="es-ES"/>
              </w:rPr>
              <w:t>r</w:t>
            </w:r>
            <w:r w:rsidRPr="00B64519">
              <w:rPr>
                <w:rFonts w:ascii="Arial" w:hAnsi="Arial" w:cs="Arial"/>
                <w:sz w:val="20"/>
                <w:szCs w:val="20"/>
                <w:lang w:val="es-ES"/>
              </w:rPr>
              <w:t>egulatori</w:t>
            </w:r>
            <w:r w:rsidR="00652E2B">
              <w:rPr>
                <w:rFonts w:ascii="Arial" w:hAnsi="Arial" w:cs="Arial"/>
                <w:sz w:val="20"/>
                <w:szCs w:val="20"/>
                <w:lang w:val="es-ES"/>
              </w:rPr>
              <w:t>a</w:t>
            </w:r>
            <w:r w:rsidRPr="00B64519">
              <w:rPr>
                <w:rFonts w:ascii="Arial" w:hAnsi="Arial" w:cs="Arial"/>
                <w:sz w:val="20"/>
                <w:szCs w:val="20"/>
                <w:lang w:val="es-ES"/>
              </w:rPr>
              <w:t xml:space="preserve"> </w:t>
            </w:r>
            <w:r w:rsidR="00652E2B">
              <w:rPr>
                <w:rFonts w:ascii="Arial" w:hAnsi="Arial" w:cs="Arial"/>
                <w:sz w:val="20"/>
                <w:szCs w:val="20"/>
                <w:lang w:val="es-ES"/>
              </w:rPr>
              <w:t>para</w:t>
            </w:r>
            <w:r w:rsidR="00652E2B" w:rsidRPr="00B64519">
              <w:rPr>
                <w:rFonts w:ascii="Arial" w:hAnsi="Arial" w:cs="Arial"/>
                <w:sz w:val="20"/>
                <w:szCs w:val="20"/>
                <w:lang w:val="es-ES"/>
              </w:rPr>
              <w:t xml:space="preserve"> </w:t>
            </w:r>
            <w:r w:rsidRPr="00B64519">
              <w:rPr>
                <w:rFonts w:ascii="Arial" w:hAnsi="Arial" w:cs="Arial"/>
                <w:sz w:val="20"/>
                <w:szCs w:val="20"/>
                <w:lang w:val="es-ES"/>
              </w:rPr>
              <w:t xml:space="preserve">la </w:t>
            </w:r>
            <w:r w:rsidR="00652E2B">
              <w:rPr>
                <w:rFonts w:ascii="Arial" w:hAnsi="Arial" w:cs="Arial"/>
                <w:sz w:val="20"/>
                <w:szCs w:val="20"/>
                <w:lang w:val="es-ES"/>
              </w:rPr>
              <w:t>m</w:t>
            </w:r>
            <w:r w:rsidRPr="00B64519">
              <w:rPr>
                <w:rFonts w:ascii="Arial" w:hAnsi="Arial" w:cs="Arial"/>
                <w:sz w:val="20"/>
                <w:szCs w:val="20"/>
                <w:lang w:val="es-ES"/>
              </w:rPr>
              <w:t xml:space="preserve">odalidad de </w:t>
            </w:r>
            <w:r w:rsidR="00652E2B">
              <w:rPr>
                <w:rFonts w:ascii="Arial" w:hAnsi="Arial" w:cs="Arial"/>
                <w:sz w:val="20"/>
                <w:szCs w:val="20"/>
                <w:lang w:val="es-ES"/>
              </w:rPr>
              <w:t>t</w:t>
            </w:r>
            <w:r w:rsidRPr="00B64519">
              <w:rPr>
                <w:rFonts w:ascii="Arial" w:hAnsi="Arial" w:cs="Arial"/>
                <w:sz w:val="20"/>
                <w:szCs w:val="20"/>
                <w:lang w:val="es-ES"/>
              </w:rPr>
              <w:t xml:space="preserve">ransporte </w:t>
            </w:r>
            <w:r w:rsidR="00652E2B">
              <w:rPr>
                <w:rFonts w:ascii="Arial" w:hAnsi="Arial" w:cs="Arial"/>
                <w:sz w:val="20"/>
                <w:szCs w:val="20"/>
                <w:lang w:val="es-ES"/>
              </w:rPr>
              <w:t>a</w:t>
            </w:r>
            <w:r w:rsidRPr="00B64519">
              <w:rPr>
                <w:rFonts w:ascii="Arial" w:hAnsi="Arial" w:cs="Arial"/>
                <w:sz w:val="20"/>
                <w:szCs w:val="20"/>
                <w:lang w:val="es-ES"/>
              </w:rPr>
              <w:t>cuático</w:t>
            </w:r>
            <w:r w:rsidRPr="001640F5">
              <w:rPr>
                <w:rFonts w:ascii="Arial" w:eastAsia="Times New Roman" w:hAnsi="Arial" w:cs="Arial"/>
                <w:color w:val="000000"/>
                <w:sz w:val="20"/>
                <w:szCs w:val="20"/>
                <w:lang w:val="es-ES"/>
              </w:rPr>
              <w:t xml:space="preserve"> </w:t>
            </w:r>
            <w:r w:rsidR="001D1D8F" w:rsidRPr="001640F5">
              <w:rPr>
                <w:rFonts w:ascii="Arial" w:eastAsia="Times New Roman" w:hAnsi="Arial" w:cs="Arial"/>
                <w:color w:val="000000"/>
                <w:sz w:val="20"/>
                <w:szCs w:val="20"/>
                <w:lang w:val="es-ES"/>
              </w:rPr>
              <w:t>aprobad</w:t>
            </w:r>
            <w:r w:rsidR="00652E2B">
              <w:rPr>
                <w:rFonts w:ascii="Arial" w:eastAsia="Times New Roman" w:hAnsi="Arial" w:cs="Arial"/>
                <w:color w:val="000000"/>
                <w:sz w:val="20"/>
                <w:szCs w:val="20"/>
                <w:lang w:val="es-ES"/>
              </w:rPr>
              <w:t>a</w:t>
            </w:r>
            <w:r w:rsidR="001D1D8F"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44419740" w14:textId="5AD4E2BD" w:rsidR="001D1D8F" w:rsidRPr="00E31657" w:rsidRDefault="008716B6" w:rsidP="00DA2367">
            <w:pPr>
              <w:jc w:val="both"/>
              <w:rPr>
                <w:rFonts w:ascii="Arial" w:eastAsia="Times New Roman" w:hAnsi="Arial" w:cs="Arial"/>
                <w:color w:val="000000"/>
                <w:sz w:val="20"/>
                <w:szCs w:val="20"/>
                <w:lang w:val="es-ES"/>
              </w:rPr>
            </w:pPr>
            <w:r w:rsidRPr="00E31657">
              <w:rPr>
                <w:rFonts w:ascii="Arial" w:hAnsi="Arial" w:cs="Arial"/>
                <w:sz w:val="20"/>
                <w:szCs w:val="20"/>
                <w:lang w:val="es-ES"/>
              </w:rPr>
              <w:t>VMT-MOPSV</w:t>
            </w:r>
          </w:p>
        </w:tc>
        <w:tc>
          <w:tcPr>
            <w:tcW w:w="1055" w:type="dxa"/>
            <w:shd w:val="clear" w:color="auto" w:fill="auto"/>
            <w:vAlign w:val="center"/>
            <w:hideMark/>
          </w:tcPr>
          <w:p w14:paraId="23545D53"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68D0248"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1A9D68CA" w14:textId="68578A5C" w:rsidR="001D1D8F" w:rsidRPr="00CB2816" w:rsidRDefault="00787AB6"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Resolución Ministerial emitida por el MOPSV,</w:t>
            </w:r>
            <w:r w:rsidRPr="00E31657">
              <w:rPr>
                <w:rFonts w:ascii="Arial" w:eastAsia="Times New Roman" w:hAnsi="Arial" w:cs="Arial"/>
                <w:color w:val="000000"/>
                <w:sz w:val="20"/>
                <w:szCs w:val="20"/>
                <w:lang w:val="es-ES"/>
              </w:rPr>
              <w:t xml:space="preserve"> </w:t>
            </w:r>
            <w:r>
              <w:rPr>
                <w:rFonts w:ascii="Arial" w:eastAsia="Times New Roman" w:hAnsi="Arial" w:cs="Arial"/>
                <w:color w:val="000000"/>
                <w:sz w:val="20"/>
                <w:szCs w:val="20"/>
                <w:lang w:val="es-ES"/>
              </w:rPr>
              <w:t>aprobando el</w:t>
            </w:r>
            <w:r w:rsidRPr="00CB2816">
              <w:rPr>
                <w:rFonts w:ascii="Arial" w:eastAsia="Times New Roman" w:hAnsi="Arial" w:cs="Arial"/>
                <w:color w:val="000000"/>
                <w:sz w:val="20"/>
                <w:szCs w:val="20"/>
                <w:lang w:val="es-ES"/>
              </w:rPr>
              <w:t xml:space="preserve"> </w:t>
            </w:r>
            <w:r w:rsidR="001D1D8F" w:rsidRPr="00CB2816">
              <w:rPr>
                <w:rFonts w:ascii="Arial" w:eastAsia="Times New Roman" w:hAnsi="Arial" w:cs="Arial"/>
                <w:color w:val="000000"/>
                <w:sz w:val="20"/>
                <w:szCs w:val="20"/>
                <w:lang w:val="es-ES"/>
              </w:rPr>
              <w:t>Reglamento</w:t>
            </w:r>
            <w:r w:rsidR="0016288A" w:rsidRPr="00F64E64">
              <w:rPr>
                <w:lang w:val="es-ES"/>
              </w:rPr>
              <w:t xml:space="preserve"> </w:t>
            </w:r>
            <w:r w:rsidR="0016288A" w:rsidRPr="0016288A">
              <w:rPr>
                <w:rFonts w:ascii="Arial" w:eastAsia="Times New Roman" w:hAnsi="Arial" w:cs="Arial"/>
                <w:color w:val="000000"/>
                <w:sz w:val="20"/>
                <w:szCs w:val="20"/>
                <w:lang w:val="es-ES"/>
              </w:rPr>
              <w:t>Regulatorio de la Modalidad de Transporte Acuático</w:t>
            </w:r>
            <w:r w:rsidR="001D1D8F" w:rsidRPr="00CB2816">
              <w:rPr>
                <w:rFonts w:ascii="Arial" w:eastAsia="Times New Roman" w:hAnsi="Arial" w:cs="Arial"/>
                <w:color w:val="000000"/>
                <w:sz w:val="20"/>
                <w:szCs w:val="20"/>
                <w:lang w:val="es-ES"/>
              </w:rPr>
              <w:t>.</w:t>
            </w:r>
          </w:p>
        </w:tc>
      </w:tr>
      <w:tr w:rsidR="001D1D8F" w:rsidRPr="00F64E64" w14:paraId="26B311C7" w14:textId="77777777" w:rsidTr="00F64E64">
        <w:trPr>
          <w:trHeight w:val="2320"/>
        </w:trPr>
        <w:tc>
          <w:tcPr>
            <w:tcW w:w="3228" w:type="dxa"/>
            <w:shd w:val="clear" w:color="auto" w:fill="auto"/>
            <w:vAlign w:val="center"/>
            <w:hideMark/>
          </w:tcPr>
          <w:p w14:paraId="0DA80D38" w14:textId="20D5718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Reglament</w:t>
            </w:r>
            <w:r w:rsidR="00652E2B">
              <w:rPr>
                <w:rFonts w:ascii="Arial" w:eastAsia="Times New Roman" w:hAnsi="Arial" w:cs="Arial"/>
                <w:color w:val="000000"/>
                <w:sz w:val="20"/>
                <w:szCs w:val="20"/>
                <w:lang w:val="es-ES"/>
              </w:rPr>
              <w:t xml:space="preserve">ación </w:t>
            </w:r>
            <w:r w:rsidRPr="00B64519">
              <w:rPr>
                <w:rFonts w:ascii="Arial" w:eastAsia="Times New Roman" w:hAnsi="Arial" w:cs="Arial"/>
                <w:color w:val="000000"/>
                <w:sz w:val="20"/>
                <w:szCs w:val="20"/>
                <w:lang w:val="es-ES"/>
              </w:rPr>
              <w:t xml:space="preserve">de la Ley General de Transporte para la modalidad de </w:t>
            </w:r>
            <w:r w:rsidR="004B6646">
              <w:rPr>
                <w:rFonts w:ascii="Arial" w:eastAsia="Times New Roman" w:hAnsi="Arial" w:cs="Arial"/>
                <w:color w:val="000000"/>
                <w:sz w:val="20"/>
                <w:szCs w:val="20"/>
                <w:lang w:val="es-ES"/>
              </w:rPr>
              <w:t>t</w:t>
            </w:r>
            <w:r w:rsidRPr="00B64519">
              <w:rPr>
                <w:rFonts w:ascii="Arial" w:eastAsia="Times New Roman" w:hAnsi="Arial" w:cs="Arial"/>
                <w:color w:val="000000"/>
                <w:sz w:val="20"/>
                <w:szCs w:val="20"/>
                <w:lang w:val="es-ES"/>
              </w:rPr>
              <w:t xml:space="preserve">ransporte </w:t>
            </w:r>
            <w:r w:rsidR="004B6646">
              <w:rPr>
                <w:rFonts w:ascii="Arial" w:eastAsia="Times New Roman" w:hAnsi="Arial" w:cs="Arial"/>
                <w:color w:val="000000"/>
                <w:sz w:val="20"/>
                <w:szCs w:val="20"/>
                <w:lang w:val="es-ES"/>
              </w:rPr>
              <w:t>a</w:t>
            </w:r>
            <w:r w:rsidRPr="00B64519">
              <w:rPr>
                <w:rFonts w:ascii="Arial" w:eastAsia="Times New Roman" w:hAnsi="Arial" w:cs="Arial"/>
                <w:color w:val="000000"/>
                <w:sz w:val="20"/>
                <w:szCs w:val="20"/>
                <w:lang w:val="es-ES"/>
              </w:rPr>
              <w:t xml:space="preserve">cuático en temas de cargas peligrosas, clasificación y categorización de puertos, registro y arqueo, actividad naviero mercante, seguridad y prestación de servicios en puertos, la </w:t>
            </w:r>
            <w:r w:rsidRPr="001640F5">
              <w:rPr>
                <w:rFonts w:ascii="Arial" w:eastAsia="Times New Roman" w:hAnsi="Arial" w:cs="Arial"/>
                <w:color w:val="000000"/>
                <w:sz w:val="20"/>
                <w:szCs w:val="20"/>
                <w:lang w:val="es-ES"/>
              </w:rPr>
              <w:t>protección del medio ambiente en puertos y vías navegables, y autoridad competente de vías navegables aprobad</w:t>
            </w:r>
            <w:r w:rsidR="61035E3E" w:rsidRPr="001640F5">
              <w:rPr>
                <w:rFonts w:ascii="Arial" w:eastAsia="Times New Roman" w:hAnsi="Arial" w:cs="Arial"/>
                <w:color w:val="000000"/>
                <w:sz w:val="20"/>
                <w:szCs w:val="20"/>
                <w:lang w:val="es-ES"/>
              </w:rPr>
              <w:t>a</w:t>
            </w:r>
            <w:r w:rsidRPr="001640F5">
              <w:rPr>
                <w:rFonts w:ascii="Arial" w:eastAsia="Times New Roman" w:hAnsi="Arial" w:cs="Arial"/>
                <w:color w:val="000000"/>
                <w:sz w:val="20"/>
                <w:szCs w:val="20"/>
                <w:lang w:val="es-ES"/>
              </w:rPr>
              <w:t xml:space="preserve">. </w:t>
            </w:r>
          </w:p>
        </w:tc>
        <w:tc>
          <w:tcPr>
            <w:tcW w:w="1461" w:type="dxa"/>
            <w:shd w:val="clear" w:color="auto" w:fill="auto"/>
            <w:vAlign w:val="center"/>
            <w:hideMark/>
          </w:tcPr>
          <w:p w14:paraId="030FD0AC" w14:textId="31A1D6E5" w:rsidR="001D1D8F" w:rsidRPr="00E31657" w:rsidRDefault="008716B6" w:rsidP="00DA2367">
            <w:pPr>
              <w:jc w:val="both"/>
              <w:rPr>
                <w:rFonts w:ascii="Arial" w:eastAsia="Times New Roman" w:hAnsi="Arial" w:cs="Arial"/>
                <w:color w:val="000000"/>
                <w:sz w:val="20"/>
                <w:szCs w:val="20"/>
                <w:lang w:val="es-ES"/>
              </w:rPr>
            </w:pPr>
            <w:r w:rsidRPr="00E31657">
              <w:rPr>
                <w:rFonts w:ascii="Arial" w:hAnsi="Arial" w:cs="Arial"/>
                <w:sz w:val="20"/>
                <w:szCs w:val="20"/>
                <w:lang w:val="es-ES"/>
              </w:rPr>
              <w:t>VMT-MOPSV</w:t>
            </w:r>
          </w:p>
        </w:tc>
        <w:tc>
          <w:tcPr>
            <w:tcW w:w="1055" w:type="dxa"/>
            <w:shd w:val="clear" w:color="auto" w:fill="auto"/>
            <w:vAlign w:val="center"/>
            <w:hideMark/>
          </w:tcPr>
          <w:p w14:paraId="10C51A39"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748BB7FA"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2F1DD64D" w14:textId="68B99A14" w:rsidR="001D1D8F" w:rsidRPr="00CB2816" w:rsidRDefault="001D1D8F" w:rsidP="00DA2367">
            <w:pPr>
              <w:jc w:val="both"/>
              <w:rPr>
                <w:rFonts w:ascii="Arial" w:eastAsia="Times New Roman" w:hAnsi="Arial" w:cs="Arial"/>
                <w:color w:val="000000"/>
                <w:sz w:val="20"/>
                <w:szCs w:val="20"/>
                <w:lang w:val="es-ES"/>
              </w:rPr>
            </w:pPr>
            <w:r w:rsidRPr="00CB2816">
              <w:rPr>
                <w:rFonts w:ascii="Arial" w:eastAsia="Times New Roman" w:hAnsi="Arial" w:cs="Arial"/>
                <w:color w:val="000000"/>
                <w:sz w:val="20"/>
                <w:szCs w:val="20"/>
                <w:lang w:val="es-ES"/>
              </w:rPr>
              <w:t>Decreto supremo publicado en la Gaceta Oficial de Bolivia acompañado del Reglamento</w:t>
            </w:r>
            <w:r w:rsidR="0016288A" w:rsidRPr="00F64E64">
              <w:rPr>
                <w:lang w:val="es-ES"/>
              </w:rPr>
              <w:t xml:space="preserve"> </w:t>
            </w:r>
            <w:r w:rsidR="0016288A" w:rsidRPr="0016288A">
              <w:rPr>
                <w:rFonts w:ascii="Arial" w:eastAsia="Times New Roman" w:hAnsi="Arial" w:cs="Arial"/>
                <w:color w:val="000000"/>
                <w:sz w:val="20"/>
                <w:szCs w:val="20"/>
                <w:lang w:val="es-ES"/>
              </w:rPr>
              <w:t>Técnico a la Ley No 165</w:t>
            </w:r>
            <w:r w:rsidRPr="00CB2816">
              <w:rPr>
                <w:rFonts w:ascii="Arial" w:eastAsia="Times New Roman" w:hAnsi="Arial" w:cs="Arial"/>
                <w:color w:val="000000"/>
                <w:sz w:val="20"/>
                <w:szCs w:val="20"/>
                <w:lang w:val="es-ES"/>
              </w:rPr>
              <w:t>.</w:t>
            </w:r>
          </w:p>
        </w:tc>
      </w:tr>
      <w:tr w:rsidR="001D1D8F" w:rsidRPr="00B64519" w14:paraId="13C42496" w14:textId="77777777" w:rsidTr="00F64E64">
        <w:trPr>
          <w:trHeight w:val="73"/>
        </w:trPr>
        <w:tc>
          <w:tcPr>
            <w:tcW w:w="10890" w:type="dxa"/>
            <w:gridSpan w:val="5"/>
            <w:shd w:val="clear" w:color="auto" w:fill="D9D9D9" w:themeFill="background1" w:themeFillShade="D9"/>
            <w:vAlign w:val="center"/>
            <w:hideMark/>
          </w:tcPr>
          <w:p w14:paraId="3EBDD5E9" w14:textId="5AC6814A" w:rsidR="001D1D8F" w:rsidRPr="001640F5" w:rsidRDefault="001D1D8F" w:rsidP="00035AE4">
            <w:pPr>
              <w:rPr>
                <w:rFonts w:ascii="Arial" w:eastAsia="Times New Roman" w:hAnsi="Arial" w:cs="Arial"/>
                <w:b/>
                <w:bCs/>
                <w:color w:val="000000"/>
                <w:sz w:val="20"/>
                <w:szCs w:val="20"/>
                <w:lang w:val="es-ES"/>
              </w:rPr>
            </w:pPr>
            <w:r w:rsidRPr="00B64519">
              <w:rPr>
                <w:rFonts w:ascii="Arial" w:eastAsia="Times New Roman" w:hAnsi="Arial" w:cs="Arial"/>
                <w:b/>
                <w:bCs/>
                <w:color w:val="000000"/>
                <w:sz w:val="20"/>
                <w:szCs w:val="20"/>
                <w:lang w:val="es-ES"/>
              </w:rPr>
              <w:t xml:space="preserve">2.6. </w:t>
            </w:r>
            <w:r w:rsidR="00035AE4" w:rsidRPr="00B64519">
              <w:rPr>
                <w:rFonts w:ascii="Arial" w:eastAsia="Times New Roman" w:hAnsi="Arial" w:cs="Arial"/>
                <w:b/>
                <w:bCs/>
                <w:color w:val="000000"/>
                <w:sz w:val="20"/>
                <w:szCs w:val="20"/>
                <w:lang w:val="es-ES"/>
              </w:rPr>
              <w:t>INTERVENCIONES EN INFRAESTRUCTURA VIAL</w:t>
            </w:r>
            <w:r w:rsidRPr="001640F5">
              <w:rPr>
                <w:rFonts w:ascii="Arial" w:eastAsia="Times New Roman" w:hAnsi="Arial" w:cs="Arial"/>
                <w:b/>
                <w:bCs/>
                <w:color w:val="000000"/>
                <w:sz w:val="20"/>
                <w:szCs w:val="20"/>
                <w:lang w:val="es-ES"/>
              </w:rPr>
              <w:t>.</w:t>
            </w:r>
          </w:p>
        </w:tc>
      </w:tr>
      <w:tr w:rsidR="001D1D8F" w:rsidRPr="00F64E64" w14:paraId="7CE26FA6" w14:textId="77777777" w:rsidTr="00F64E64">
        <w:trPr>
          <w:trHeight w:val="268"/>
        </w:trPr>
        <w:tc>
          <w:tcPr>
            <w:tcW w:w="3228" w:type="dxa"/>
            <w:shd w:val="clear" w:color="auto" w:fill="auto"/>
            <w:vAlign w:val="center"/>
            <w:hideMark/>
          </w:tcPr>
          <w:p w14:paraId="66BC5945" w14:textId="46A16070" w:rsidR="001D1D8F" w:rsidRPr="001640F5" w:rsidRDefault="00B64519" w:rsidP="00DA2367">
            <w:pPr>
              <w:jc w:val="both"/>
              <w:rPr>
                <w:rFonts w:ascii="Arial" w:eastAsia="Times New Roman" w:hAnsi="Arial" w:cs="Arial"/>
                <w:color w:val="000000"/>
                <w:sz w:val="20"/>
                <w:szCs w:val="20"/>
                <w:lang w:val="es-ES"/>
              </w:rPr>
            </w:pPr>
            <w:r w:rsidRPr="001640F5">
              <w:rPr>
                <w:rFonts w:ascii="Arial" w:eastAsia="Times New Roman" w:hAnsi="Arial" w:cs="Arial"/>
                <w:color w:val="000000"/>
                <w:sz w:val="20"/>
                <w:szCs w:val="20"/>
                <w:lang w:val="es-ES"/>
              </w:rPr>
              <w:t>Proceso de contratación para el Sistema de Gestión Vial iniciado.</w:t>
            </w:r>
          </w:p>
        </w:tc>
        <w:tc>
          <w:tcPr>
            <w:tcW w:w="1461" w:type="dxa"/>
            <w:shd w:val="clear" w:color="auto" w:fill="auto"/>
            <w:vAlign w:val="center"/>
            <w:hideMark/>
          </w:tcPr>
          <w:p w14:paraId="62B9908B" w14:textId="267944AA" w:rsidR="001D1D8F" w:rsidRPr="001640F5" w:rsidRDefault="008716B6" w:rsidP="00DA2367">
            <w:pPr>
              <w:jc w:val="both"/>
              <w:rPr>
                <w:rFonts w:ascii="Arial" w:eastAsia="Times New Roman" w:hAnsi="Arial" w:cs="Arial"/>
                <w:color w:val="000000"/>
                <w:sz w:val="20"/>
                <w:szCs w:val="20"/>
                <w:highlight w:val="yellow"/>
                <w:lang w:val="es-ES"/>
              </w:rPr>
            </w:pPr>
            <w:r w:rsidRPr="001640F5">
              <w:rPr>
                <w:rFonts w:ascii="Arial" w:hAnsi="Arial" w:cs="Arial"/>
                <w:sz w:val="20"/>
                <w:szCs w:val="20"/>
                <w:lang w:val="es-ES"/>
              </w:rPr>
              <w:t>ABC-MOPSV</w:t>
            </w:r>
          </w:p>
        </w:tc>
        <w:tc>
          <w:tcPr>
            <w:tcW w:w="1055" w:type="dxa"/>
            <w:shd w:val="clear" w:color="auto" w:fill="auto"/>
            <w:vAlign w:val="center"/>
            <w:hideMark/>
          </w:tcPr>
          <w:p w14:paraId="03EB1498"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6C81B48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46F695ED"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la Presidencia de ABC al Banco informando del inicio del proceso de contratación, acompañando las cartas de invitación que incluyan los TdRs, enviadas a las firmas consultoras de la lista corta para la presentación de propuestas.</w:t>
            </w:r>
          </w:p>
        </w:tc>
      </w:tr>
      <w:tr w:rsidR="001D1D8F" w:rsidRPr="00F64E64" w14:paraId="107FDCC9" w14:textId="77777777" w:rsidTr="00F64E64">
        <w:trPr>
          <w:trHeight w:val="340"/>
        </w:trPr>
        <w:tc>
          <w:tcPr>
            <w:tcW w:w="3228" w:type="dxa"/>
            <w:shd w:val="clear" w:color="auto" w:fill="auto"/>
            <w:vAlign w:val="center"/>
            <w:hideMark/>
          </w:tcPr>
          <w:p w14:paraId="15E2293F" w14:textId="77777777" w:rsidR="001D1D8F" w:rsidRPr="00B64519"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lastRenderedPageBreak/>
              <w:t>Sistema de registro y clasificación de conteos vehiculares completo.</w:t>
            </w:r>
          </w:p>
        </w:tc>
        <w:tc>
          <w:tcPr>
            <w:tcW w:w="1461" w:type="dxa"/>
            <w:shd w:val="clear" w:color="auto" w:fill="auto"/>
            <w:vAlign w:val="center"/>
            <w:hideMark/>
          </w:tcPr>
          <w:p w14:paraId="205505C5" w14:textId="20A40C11" w:rsidR="001D1D8F" w:rsidRPr="001640F5" w:rsidRDefault="008716B6" w:rsidP="00DA2367">
            <w:pPr>
              <w:jc w:val="both"/>
              <w:rPr>
                <w:rFonts w:ascii="Arial" w:eastAsia="Times New Roman" w:hAnsi="Arial" w:cs="Arial"/>
                <w:color w:val="000000"/>
                <w:sz w:val="20"/>
                <w:szCs w:val="20"/>
                <w:highlight w:val="yellow"/>
                <w:lang w:val="es-ES"/>
              </w:rPr>
            </w:pPr>
            <w:r w:rsidRPr="001640F5">
              <w:rPr>
                <w:rFonts w:ascii="Arial" w:hAnsi="Arial" w:cs="Arial"/>
                <w:sz w:val="20"/>
                <w:szCs w:val="20"/>
                <w:lang w:val="es-ES"/>
              </w:rPr>
              <w:t>ABC-MOPSV</w:t>
            </w:r>
          </w:p>
        </w:tc>
        <w:tc>
          <w:tcPr>
            <w:tcW w:w="1055" w:type="dxa"/>
            <w:shd w:val="clear" w:color="auto" w:fill="auto"/>
            <w:vAlign w:val="center"/>
            <w:hideMark/>
          </w:tcPr>
          <w:p w14:paraId="78CB0CA9"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20B1B525"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C7F08C2"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la Presidencia de ABC al Banco, acompañando el informe sobre conteos vehiculares registrados en la gestión 2015 de acuerdo al Procedimiento de Registro de Conteo Vehicular implementado.</w:t>
            </w:r>
          </w:p>
        </w:tc>
      </w:tr>
      <w:tr w:rsidR="001D1D8F" w:rsidRPr="00F64E64" w14:paraId="530E659C" w14:textId="77777777" w:rsidTr="00F64E64">
        <w:trPr>
          <w:trHeight w:val="925"/>
        </w:trPr>
        <w:tc>
          <w:tcPr>
            <w:tcW w:w="3228" w:type="dxa"/>
            <w:shd w:val="clear" w:color="auto" w:fill="auto"/>
            <w:vAlign w:val="center"/>
            <w:hideMark/>
          </w:tcPr>
          <w:p w14:paraId="1445CA7D" w14:textId="138BBD82"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Sistema de gestión para registro y clasificación de accidentes completo y actualizado</w:t>
            </w:r>
            <w:r w:rsidR="00B64519"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5475CB1E" w14:textId="678786BF" w:rsidR="001D1D8F" w:rsidRPr="001640F5" w:rsidRDefault="008716B6" w:rsidP="00DA2367">
            <w:pPr>
              <w:jc w:val="both"/>
              <w:rPr>
                <w:rFonts w:ascii="Arial" w:eastAsia="Times New Roman" w:hAnsi="Arial" w:cs="Arial"/>
                <w:color w:val="000000"/>
                <w:sz w:val="20"/>
                <w:szCs w:val="20"/>
                <w:highlight w:val="yellow"/>
                <w:lang w:val="es-ES"/>
              </w:rPr>
            </w:pPr>
            <w:r w:rsidRPr="001640F5">
              <w:rPr>
                <w:rFonts w:ascii="Arial" w:hAnsi="Arial" w:cs="Arial"/>
                <w:sz w:val="20"/>
                <w:szCs w:val="20"/>
                <w:lang w:val="es-ES"/>
              </w:rPr>
              <w:t>ABC-MOPSV</w:t>
            </w:r>
          </w:p>
        </w:tc>
        <w:tc>
          <w:tcPr>
            <w:tcW w:w="1055" w:type="dxa"/>
            <w:shd w:val="clear" w:color="auto" w:fill="auto"/>
            <w:vAlign w:val="center"/>
            <w:hideMark/>
          </w:tcPr>
          <w:p w14:paraId="45FE1018"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3EBC4C86"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8D0886B" w14:textId="77777777"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la Presidencia de ABC al Banco, acompañando el informe de accidentalidad de la gestión 2015, de acuerdo al Procedimiento de Registro de Accidentes de Tránsito implementado.</w:t>
            </w:r>
          </w:p>
        </w:tc>
      </w:tr>
      <w:tr w:rsidR="001D1D8F" w:rsidRPr="00F64E64" w14:paraId="5793AB78" w14:textId="77777777" w:rsidTr="00F64E64">
        <w:trPr>
          <w:trHeight w:val="394"/>
        </w:trPr>
        <w:tc>
          <w:tcPr>
            <w:tcW w:w="3228" w:type="dxa"/>
            <w:shd w:val="clear" w:color="auto" w:fill="auto"/>
            <w:vAlign w:val="center"/>
            <w:hideMark/>
          </w:tcPr>
          <w:p w14:paraId="6A5CEB5C" w14:textId="3770F97F" w:rsidR="001D1D8F" w:rsidRPr="001640F5" w:rsidRDefault="004B6646" w:rsidP="00DA2367">
            <w:pPr>
              <w:jc w:val="both"/>
              <w:rPr>
                <w:rFonts w:ascii="Arial" w:eastAsia="Times New Roman" w:hAnsi="Arial" w:cs="Arial"/>
                <w:color w:val="000000"/>
                <w:sz w:val="20"/>
                <w:szCs w:val="20"/>
                <w:lang w:val="es-ES"/>
              </w:rPr>
            </w:pPr>
            <w:r>
              <w:rPr>
                <w:rFonts w:ascii="Arial" w:eastAsia="Times New Roman" w:hAnsi="Arial" w:cs="Arial"/>
                <w:color w:val="000000"/>
                <w:sz w:val="20"/>
                <w:szCs w:val="20"/>
                <w:lang w:val="es-ES"/>
              </w:rPr>
              <w:t xml:space="preserve">Procedimiento </w:t>
            </w:r>
            <w:r w:rsidR="001D1D8F" w:rsidRPr="00B64519">
              <w:rPr>
                <w:rFonts w:ascii="Arial" w:eastAsia="Times New Roman" w:hAnsi="Arial" w:cs="Arial"/>
                <w:color w:val="000000"/>
                <w:sz w:val="20"/>
                <w:szCs w:val="20"/>
                <w:lang w:val="es-ES"/>
              </w:rPr>
              <w:t xml:space="preserve">para la liberación del derecho de vía en la RVF que incluye tipologías, aspectos </w:t>
            </w:r>
            <w:r w:rsidR="001D1D8F" w:rsidRPr="001640F5">
              <w:rPr>
                <w:rFonts w:ascii="Arial" w:eastAsia="Times New Roman" w:hAnsi="Arial" w:cs="Arial"/>
                <w:color w:val="000000"/>
                <w:sz w:val="20"/>
                <w:szCs w:val="20"/>
                <w:lang w:val="es-ES"/>
              </w:rPr>
              <w:t>geométricos, cobertura vegetal y ocupación</w:t>
            </w:r>
            <w:r w:rsidR="00B64519" w:rsidRPr="001640F5">
              <w:rPr>
                <w:rFonts w:ascii="Arial" w:eastAsia="Times New Roman" w:hAnsi="Arial" w:cs="Arial"/>
                <w:color w:val="000000"/>
                <w:sz w:val="20"/>
                <w:szCs w:val="20"/>
                <w:lang w:val="es-ES"/>
              </w:rPr>
              <w:t xml:space="preserve"> elaborada</w:t>
            </w:r>
            <w:r w:rsidR="001D1D8F" w:rsidRPr="001640F5">
              <w:rPr>
                <w:rFonts w:ascii="Arial" w:eastAsia="Times New Roman" w:hAnsi="Arial" w:cs="Arial"/>
                <w:color w:val="000000"/>
                <w:sz w:val="20"/>
                <w:szCs w:val="20"/>
                <w:lang w:val="es-ES"/>
              </w:rPr>
              <w:t>.</w:t>
            </w:r>
          </w:p>
        </w:tc>
        <w:tc>
          <w:tcPr>
            <w:tcW w:w="1461" w:type="dxa"/>
            <w:shd w:val="clear" w:color="auto" w:fill="auto"/>
            <w:vAlign w:val="center"/>
            <w:hideMark/>
          </w:tcPr>
          <w:p w14:paraId="09BE1286" w14:textId="77B9B0F5" w:rsidR="001D1D8F" w:rsidRPr="00E31657" w:rsidRDefault="008716B6" w:rsidP="00DA2367">
            <w:pPr>
              <w:jc w:val="both"/>
              <w:rPr>
                <w:rFonts w:ascii="Arial" w:eastAsia="Times New Roman" w:hAnsi="Arial" w:cs="Arial"/>
                <w:color w:val="000000"/>
                <w:sz w:val="20"/>
                <w:szCs w:val="20"/>
                <w:highlight w:val="yellow"/>
                <w:lang w:val="es-ES"/>
              </w:rPr>
            </w:pPr>
            <w:r w:rsidRPr="00E31657">
              <w:rPr>
                <w:rFonts w:ascii="Arial" w:hAnsi="Arial" w:cs="Arial"/>
                <w:sz w:val="20"/>
                <w:szCs w:val="20"/>
                <w:lang w:val="es-ES"/>
              </w:rPr>
              <w:t>ABC-MOPSV</w:t>
            </w:r>
          </w:p>
        </w:tc>
        <w:tc>
          <w:tcPr>
            <w:tcW w:w="1055" w:type="dxa"/>
            <w:shd w:val="clear" w:color="auto" w:fill="auto"/>
            <w:vAlign w:val="center"/>
            <w:hideMark/>
          </w:tcPr>
          <w:p w14:paraId="5BD959F2"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3C5C8CC1"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45909AE9" w14:textId="77777777" w:rsidR="001D1D8F" w:rsidRPr="00CB2816" w:rsidRDefault="001D1D8F" w:rsidP="00DA2367">
            <w:pPr>
              <w:jc w:val="both"/>
              <w:rPr>
                <w:rFonts w:ascii="Arial" w:eastAsia="Times New Roman" w:hAnsi="Arial" w:cs="Arial"/>
                <w:color w:val="000000"/>
                <w:sz w:val="20"/>
                <w:szCs w:val="20"/>
                <w:lang w:val="es-ES"/>
              </w:rPr>
            </w:pPr>
            <w:r w:rsidRPr="00CB2816">
              <w:rPr>
                <w:rFonts w:ascii="Arial" w:eastAsia="Times New Roman" w:hAnsi="Arial" w:cs="Arial"/>
                <w:color w:val="000000"/>
                <w:sz w:val="20"/>
                <w:szCs w:val="20"/>
                <w:lang w:val="es-ES"/>
              </w:rPr>
              <w:t>Comunicación emitida por la Presidencia de ABC al Banco, acompañando el procedimiento para la liberación del derecho de vía en la RVF.</w:t>
            </w:r>
          </w:p>
        </w:tc>
      </w:tr>
      <w:tr w:rsidR="001D1D8F" w:rsidRPr="00F64E64" w14:paraId="2F0643BA" w14:textId="77777777" w:rsidTr="00F64E64">
        <w:trPr>
          <w:trHeight w:val="664"/>
        </w:trPr>
        <w:tc>
          <w:tcPr>
            <w:tcW w:w="3228" w:type="dxa"/>
            <w:shd w:val="clear" w:color="auto" w:fill="auto"/>
            <w:vAlign w:val="center"/>
            <w:hideMark/>
          </w:tcPr>
          <w:p w14:paraId="5725F7BB" w14:textId="77777777" w:rsidR="001D1D8F" w:rsidRPr="001640F5" w:rsidRDefault="001D1D8F" w:rsidP="00DA2367">
            <w:pPr>
              <w:jc w:val="both"/>
              <w:rPr>
                <w:rFonts w:ascii="Arial" w:eastAsia="Times New Roman" w:hAnsi="Arial" w:cs="Arial"/>
                <w:color w:val="000000"/>
                <w:sz w:val="20"/>
                <w:szCs w:val="20"/>
                <w:lang w:val="es-ES"/>
              </w:rPr>
            </w:pPr>
            <w:r w:rsidRPr="00B64519">
              <w:rPr>
                <w:rFonts w:ascii="Arial" w:eastAsia="Times New Roman" w:hAnsi="Arial" w:cs="Arial"/>
                <w:color w:val="000000"/>
                <w:sz w:val="20"/>
                <w:szCs w:val="20"/>
                <w:lang w:val="es-ES"/>
              </w:rPr>
              <w:t xml:space="preserve">Guía para la identificación y evaluación de pasivos </w:t>
            </w:r>
            <w:r w:rsidRPr="001640F5">
              <w:rPr>
                <w:rFonts w:ascii="Arial" w:eastAsia="Times New Roman" w:hAnsi="Arial" w:cs="Arial"/>
                <w:color w:val="000000"/>
                <w:sz w:val="20"/>
                <w:szCs w:val="20"/>
                <w:lang w:val="es-ES"/>
              </w:rPr>
              <w:t>ambientales en proyectos viales elaborada.</w:t>
            </w:r>
          </w:p>
        </w:tc>
        <w:tc>
          <w:tcPr>
            <w:tcW w:w="1461" w:type="dxa"/>
            <w:shd w:val="clear" w:color="auto" w:fill="auto"/>
            <w:vAlign w:val="center"/>
            <w:hideMark/>
          </w:tcPr>
          <w:p w14:paraId="669D924E" w14:textId="42298F1C" w:rsidR="001D1D8F" w:rsidRPr="001640F5" w:rsidRDefault="008716B6" w:rsidP="00DA2367">
            <w:pPr>
              <w:jc w:val="both"/>
              <w:rPr>
                <w:rFonts w:ascii="Arial" w:eastAsia="Times New Roman" w:hAnsi="Arial" w:cs="Arial"/>
                <w:color w:val="000000"/>
                <w:sz w:val="20"/>
                <w:szCs w:val="20"/>
                <w:highlight w:val="yellow"/>
                <w:lang w:val="es-ES"/>
              </w:rPr>
            </w:pPr>
            <w:r w:rsidRPr="001640F5">
              <w:rPr>
                <w:rFonts w:ascii="Arial" w:hAnsi="Arial" w:cs="Arial"/>
                <w:sz w:val="20"/>
                <w:szCs w:val="20"/>
                <w:lang w:val="es-ES"/>
              </w:rPr>
              <w:t>ABC-MOPSV</w:t>
            </w:r>
          </w:p>
        </w:tc>
        <w:tc>
          <w:tcPr>
            <w:tcW w:w="1055" w:type="dxa"/>
            <w:shd w:val="clear" w:color="auto" w:fill="auto"/>
            <w:vAlign w:val="center"/>
            <w:hideMark/>
          </w:tcPr>
          <w:p w14:paraId="46029E37"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0</w:t>
            </w:r>
          </w:p>
        </w:tc>
        <w:tc>
          <w:tcPr>
            <w:tcW w:w="810" w:type="dxa"/>
            <w:shd w:val="clear" w:color="auto" w:fill="auto"/>
            <w:vAlign w:val="center"/>
            <w:hideMark/>
          </w:tcPr>
          <w:p w14:paraId="6D7C82B0" w14:textId="77777777" w:rsidR="001D1D8F" w:rsidRPr="00E31657" w:rsidRDefault="001D1D8F" w:rsidP="00DA2367">
            <w:pPr>
              <w:jc w:val="center"/>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1</w:t>
            </w:r>
          </w:p>
        </w:tc>
        <w:tc>
          <w:tcPr>
            <w:tcW w:w="4336" w:type="dxa"/>
            <w:shd w:val="clear" w:color="auto" w:fill="auto"/>
            <w:vAlign w:val="center"/>
            <w:hideMark/>
          </w:tcPr>
          <w:p w14:paraId="5CAE8A8E" w14:textId="0420527C" w:rsidR="001D1D8F" w:rsidRPr="00E31657" w:rsidRDefault="001D1D8F" w:rsidP="00DA2367">
            <w:pPr>
              <w:jc w:val="both"/>
              <w:rPr>
                <w:rFonts w:ascii="Arial" w:eastAsia="Times New Roman" w:hAnsi="Arial" w:cs="Arial"/>
                <w:color w:val="000000"/>
                <w:sz w:val="20"/>
                <w:szCs w:val="20"/>
                <w:lang w:val="es-ES"/>
              </w:rPr>
            </w:pPr>
            <w:r w:rsidRPr="00E31657">
              <w:rPr>
                <w:rFonts w:ascii="Arial" w:eastAsia="Times New Roman" w:hAnsi="Arial" w:cs="Arial"/>
                <w:color w:val="000000"/>
                <w:sz w:val="20"/>
                <w:szCs w:val="20"/>
                <w:lang w:val="es-ES"/>
              </w:rPr>
              <w:t>Comunicación emitida por la Presidencia de ABC al Banco, acompañando la guía para la identificación y evaluación de pasivos ambientales en proyectos viales.</w:t>
            </w:r>
          </w:p>
        </w:tc>
      </w:tr>
    </w:tbl>
    <w:p w14:paraId="050223ED" w14:textId="77777777" w:rsidR="001B49A9" w:rsidRPr="00C22824" w:rsidRDefault="001B49A9" w:rsidP="00F32849">
      <w:pPr>
        <w:pStyle w:val="ColorfulList-Accent11"/>
        <w:spacing w:after="0"/>
        <w:ind w:left="0"/>
        <w:jc w:val="both"/>
        <w:rPr>
          <w:rFonts w:ascii="Arial" w:hAnsi="Arial" w:cs="Arial"/>
          <w:b/>
          <w:lang w:val="es-ES"/>
        </w:rPr>
      </w:pPr>
    </w:p>
    <w:p w14:paraId="2D97955A" w14:textId="76E607CA" w:rsidR="007A2F3E" w:rsidRPr="00F64E64" w:rsidRDefault="00A42EB4" w:rsidP="00F64E64">
      <w:pPr>
        <w:pStyle w:val="ColorfulList-Accent11"/>
        <w:numPr>
          <w:ilvl w:val="1"/>
          <w:numId w:val="13"/>
        </w:numPr>
        <w:spacing w:after="0"/>
        <w:ind w:left="360"/>
        <w:jc w:val="both"/>
        <w:outlineLvl w:val="1"/>
        <w:rPr>
          <w:rFonts w:ascii="Arial" w:hAnsi="Arial" w:cs="Arial"/>
          <w:b/>
          <w:bCs/>
          <w:lang w:val="es-ES"/>
        </w:rPr>
      </w:pPr>
      <w:bookmarkStart w:id="4" w:name="_Toc468954028"/>
      <w:r w:rsidRPr="00F64E64">
        <w:rPr>
          <w:rFonts w:ascii="Arial" w:hAnsi="Arial" w:cs="Arial"/>
          <w:b/>
          <w:bCs/>
          <w:lang w:val="es-ES"/>
        </w:rPr>
        <w:t>Cronograma de Actividades y Presupuesto A</w:t>
      </w:r>
      <w:r w:rsidR="007A2F3E" w:rsidRPr="00F64E64">
        <w:rPr>
          <w:rFonts w:ascii="Arial" w:hAnsi="Arial" w:cs="Arial"/>
          <w:b/>
          <w:bCs/>
          <w:lang w:val="es-ES"/>
        </w:rPr>
        <w:t>sociado</w:t>
      </w:r>
      <w:r w:rsidRPr="00F64E64">
        <w:rPr>
          <w:rFonts w:ascii="Arial" w:hAnsi="Arial" w:cs="Arial"/>
          <w:b/>
          <w:bCs/>
          <w:lang w:val="es-ES"/>
        </w:rPr>
        <w:t>.</w:t>
      </w:r>
      <w:bookmarkEnd w:id="4"/>
    </w:p>
    <w:p w14:paraId="2B21DD36" w14:textId="77777777" w:rsidR="00A42EB4" w:rsidRPr="00C22824" w:rsidRDefault="00A42EB4" w:rsidP="00F32849">
      <w:pPr>
        <w:pStyle w:val="Title"/>
        <w:tabs>
          <w:tab w:val="clear" w:pos="1440"/>
          <w:tab w:val="clear" w:pos="3060"/>
        </w:tabs>
        <w:spacing w:line="276" w:lineRule="auto"/>
        <w:jc w:val="both"/>
        <w:outlineLvl w:val="9"/>
        <w:rPr>
          <w:rFonts w:ascii="Arial" w:hAnsi="Arial" w:cs="Arial"/>
          <w:lang w:val="es-ES"/>
        </w:rPr>
      </w:pPr>
    </w:p>
    <w:p w14:paraId="10A75AFF" w14:textId="6F2564B5" w:rsidR="00F91562" w:rsidRDefault="00A42EB4"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Considerando que esta operación es un PBP</w:t>
      </w:r>
      <w:r w:rsidR="00D30BB2">
        <w:rPr>
          <w:rFonts w:ascii="Arial" w:hAnsi="Arial" w:cs="Arial"/>
          <w:lang w:val="es-ES"/>
        </w:rPr>
        <w:t xml:space="preserve"> y</w:t>
      </w:r>
      <w:r w:rsidRPr="00C22824">
        <w:rPr>
          <w:rFonts w:ascii="Arial" w:hAnsi="Arial" w:cs="Arial"/>
          <w:lang w:val="es-ES"/>
        </w:rPr>
        <w:t xml:space="preserve"> todos los productos serán alcanzados al momento de realizarse el desembolso</w:t>
      </w:r>
      <w:r w:rsidR="00BE13E5">
        <w:rPr>
          <w:rFonts w:ascii="Arial" w:hAnsi="Arial" w:cs="Arial"/>
          <w:lang w:val="es-ES"/>
        </w:rPr>
        <w:t xml:space="preserve"> en 2017</w:t>
      </w:r>
      <w:r w:rsidRPr="00C22824">
        <w:rPr>
          <w:rFonts w:ascii="Arial" w:hAnsi="Arial" w:cs="Arial"/>
          <w:lang w:val="es-ES"/>
        </w:rPr>
        <w:t>,</w:t>
      </w:r>
      <w:r w:rsidR="00D30BB2">
        <w:rPr>
          <w:rFonts w:ascii="Arial" w:hAnsi="Arial" w:cs="Arial"/>
          <w:lang w:val="es-ES"/>
        </w:rPr>
        <w:t xml:space="preserve"> las actividades de monitoreo corresponden a la verificación del cumplimiento de los </w:t>
      </w:r>
      <w:r w:rsidR="00BE13E5">
        <w:rPr>
          <w:rFonts w:ascii="Arial" w:hAnsi="Arial" w:cs="Arial"/>
          <w:lang w:val="es-ES"/>
        </w:rPr>
        <w:t xml:space="preserve">compromisos </w:t>
      </w:r>
      <w:r w:rsidR="00BE13E5" w:rsidRPr="00C22824">
        <w:rPr>
          <w:rFonts w:ascii="Arial" w:hAnsi="Arial" w:cs="Arial"/>
          <w:lang w:val="es-ES"/>
        </w:rPr>
        <w:t>establecidos en la matriz de políticas</w:t>
      </w:r>
      <w:r w:rsidR="00BE13E5">
        <w:rPr>
          <w:rFonts w:ascii="Arial" w:hAnsi="Arial" w:cs="Arial"/>
          <w:lang w:val="es-ES"/>
        </w:rPr>
        <w:t xml:space="preserve"> y del alcance de los indicadores incluidos en la matriz de resultados</w:t>
      </w:r>
      <w:r w:rsidR="00D30BB2">
        <w:rPr>
          <w:rFonts w:ascii="Arial" w:hAnsi="Arial" w:cs="Arial"/>
          <w:lang w:val="es-ES"/>
        </w:rPr>
        <w:t xml:space="preserve">, que al formar parte de la preparación de la operación </w:t>
      </w:r>
      <w:r w:rsidR="00D30BB2" w:rsidRPr="00C22824">
        <w:rPr>
          <w:rFonts w:ascii="Arial" w:hAnsi="Arial" w:cs="Arial"/>
          <w:lang w:val="es-ES"/>
        </w:rPr>
        <w:t>están financiados a través del presupuesto administrativo de preparación</w:t>
      </w:r>
      <w:r w:rsidR="00BE13E5">
        <w:rPr>
          <w:rFonts w:ascii="Arial" w:hAnsi="Arial" w:cs="Arial"/>
          <w:lang w:val="es-ES"/>
        </w:rPr>
        <w:t xml:space="preserve"> (Ver Tabla 2)</w:t>
      </w:r>
      <w:r w:rsidR="00D30BB2">
        <w:rPr>
          <w:rFonts w:ascii="Arial" w:hAnsi="Arial" w:cs="Arial"/>
          <w:lang w:val="es-ES"/>
        </w:rPr>
        <w:t xml:space="preserve">. </w:t>
      </w:r>
      <w:r w:rsidR="00BE13E5">
        <w:rPr>
          <w:rFonts w:ascii="Arial" w:hAnsi="Arial" w:cs="Arial"/>
          <w:lang w:val="es-ES"/>
        </w:rPr>
        <w:t>N</w:t>
      </w:r>
      <w:r w:rsidRPr="00C22824">
        <w:rPr>
          <w:rFonts w:ascii="Arial" w:hAnsi="Arial" w:cs="Arial"/>
          <w:lang w:val="es-ES"/>
        </w:rPr>
        <w:t>o se requieren actividades adicionales de monitoreo</w:t>
      </w:r>
      <w:r w:rsidR="00F91562">
        <w:rPr>
          <w:rFonts w:ascii="Arial" w:hAnsi="Arial" w:cs="Arial"/>
          <w:lang w:val="es-ES"/>
        </w:rPr>
        <w:t>.</w:t>
      </w:r>
    </w:p>
    <w:p w14:paraId="2B21CD3C" w14:textId="77777777" w:rsidR="00D30BB2" w:rsidRDefault="00D30BB2" w:rsidP="00D30BB2">
      <w:pPr>
        <w:pStyle w:val="Title"/>
        <w:tabs>
          <w:tab w:val="clear" w:pos="1440"/>
          <w:tab w:val="clear" w:pos="3060"/>
        </w:tabs>
        <w:spacing w:line="276" w:lineRule="auto"/>
        <w:jc w:val="both"/>
        <w:outlineLvl w:val="9"/>
        <w:rPr>
          <w:rFonts w:ascii="Arial" w:hAnsi="Arial" w:cs="Arial"/>
          <w:lang w:val="es-ES"/>
        </w:rPr>
      </w:pPr>
    </w:p>
    <w:p w14:paraId="280955B1" w14:textId="3EDFF8B3" w:rsidR="005F711A" w:rsidRPr="00F64E64" w:rsidRDefault="005F711A" w:rsidP="00F64E64">
      <w:pPr>
        <w:pStyle w:val="Caption"/>
        <w:keepNext/>
        <w:spacing w:after="0" w:line="276" w:lineRule="auto"/>
        <w:jc w:val="center"/>
        <w:rPr>
          <w:rFonts w:ascii="Arial" w:hAnsi="Arial" w:cs="Arial"/>
          <w:b/>
          <w:bCs/>
          <w:i w:val="0"/>
          <w:iCs w:val="0"/>
          <w:color w:val="000000" w:themeColor="text1"/>
          <w:lang w:val="es-ES"/>
        </w:rPr>
      </w:pPr>
      <w:r w:rsidRPr="00F64E64">
        <w:rPr>
          <w:rFonts w:ascii="Arial" w:hAnsi="Arial" w:cs="Arial"/>
          <w:b/>
          <w:bCs/>
          <w:i w:val="0"/>
          <w:iCs w:val="0"/>
          <w:color w:val="000000" w:themeColor="text1"/>
          <w:lang w:val="es-ES"/>
        </w:rPr>
        <w:t xml:space="preserve">Tabla </w:t>
      </w:r>
      <w:r w:rsidRPr="00F64E64">
        <w:fldChar w:fldCharType="begin"/>
      </w:r>
      <w:r w:rsidRPr="005F711A">
        <w:rPr>
          <w:rFonts w:ascii="Arial" w:hAnsi="Arial" w:cs="Arial"/>
          <w:b/>
          <w:i w:val="0"/>
          <w:color w:val="000000" w:themeColor="text1"/>
          <w:lang w:val="es-ES"/>
        </w:rPr>
        <w:instrText xml:space="preserve"> SEQ Tabla \* ARABIC </w:instrText>
      </w:r>
      <w:r w:rsidRPr="3C87D50B">
        <w:rPr>
          <w:rFonts w:ascii="Arial" w:hAnsi="Arial" w:cs="Arial"/>
          <w:b/>
          <w:i w:val="0"/>
          <w:color w:val="000000" w:themeColor="text1"/>
          <w:lang w:val="es-ES"/>
        </w:rPr>
        <w:fldChar w:fldCharType="separate"/>
      </w:r>
      <w:r w:rsidR="000A6E76" w:rsidRPr="00F64E64">
        <w:rPr>
          <w:rFonts w:ascii="Arial" w:hAnsi="Arial" w:cs="Arial"/>
          <w:b/>
          <w:bCs/>
          <w:i w:val="0"/>
          <w:iCs w:val="0"/>
          <w:noProof/>
          <w:color w:val="000000" w:themeColor="text1"/>
          <w:lang w:val="es-ES"/>
        </w:rPr>
        <w:t>2</w:t>
      </w:r>
      <w:r w:rsidRPr="00F64E64">
        <w:fldChar w:fldCharType="end"/>
      </w:r>
      <w:r w:rsidRPr="00F64E64">
        <w:rPr>
          <w:rFonts w:ascii="Arial" w:hAnsi="Arial" w:cs="Arial"/>
          <w:b/>
          <w:bCs/>
          <w:i w:val="0"/>
          <w:iCs w:val="0"/>
          <w:color w:val="000000" w:themeColor="text1"/>
          <w:lang w:val="es-ES"/>
        </w:rPr>
        <w:t>. Cronograma de Actividades de Monitoreo y Presupuesto</w:t>
      </w:r>
    </w:p>
    <w:tbl>
      <w:tblPr>
        <w:tblW w:w="4275" w:type="pct"/>
        <w:jc w:val="center"/>
        <w:tblLayout w:type="fixed"/>
        <w:tblLook w:val="04A0" w:firstRow="1" w:lastRow="0" w:firstColumn="1" w:lastColumn="0" w:noHBand="0" w:noVBand="1"/>
      </w:tblPr>
      <w:tblGrid>
        <w:gridCol w:w="4053"/>
        <w:gridCol w:w="703"/>
        <w:gridCol w:w="703"/>
        <w:gridCol w:w="2371"/>
      </w:tblGrid>
      <w:tr w:rsidR="00434C66" w:rsidRPr="00F82E41" w14:paraId="4D387F25" w14:textId="77777777" w:rsidTr="00F64E64">
        <w:trPr>
          <w:trHeight w:val="250"/>
          <w:jc w:val="center"/>
        </w:trPr>
        <w:tc>
          <w:tcPr>
            <w:tcW w:w="2588" w:type="pct"/>
            <w:tcBorders>
              <w:top w:val="single" w:sz="8" w:space="0" w:color="auto"/>
              <w:left w:val="single" w:sz="8" w:space="0" w:color="auto"/>
              <w:bottom w:val="single" w:sz="8" w:space="0" w:color="000000" w:themeColor="text1"/>
              <w:right w:val="single" w:sz="8" w:space="0" w:color="auto"/>
            </w:tcBorders>
            <w:shd w:val="clear" w:color="auto" w:fill="D9D9D9" w:themeFill="background1" w:themeFillShade="D9"/>
            <w:noWrap/>
            <w:vAlign w:val="center"/>
            <w:hideMark/>
          </w:tcPr>
          <w:p w14:paraId="752C0B85" w14:textId="400E3A24" w:rsidR="00D30BB2" w:rsidRPr="00646F1C" w:rsidRDefault="00D30BB2" w:rsidP="00F91562">
            <w:pPr>
              <w:spacing w:line="0" w:lineRule="atLeast"/>
              <w:jc w:val="center"/>
              <w:rPr>
                <w:rFonts w:ascii="Arial" w:hAnsi="Arial" w:cs="Arial"/>
                <w:b/>
                <w:bCs/>
                <w:color w:val="000000"/>
                <w:sz w:val="20"/>
                <w:szCs w:val="20"/>
                <w:lang w:val="es-ES"/>
              </w:rPr>
            </w:pPr>
            <w:r w:rsidRPr="00646F1C">
              <w:rPr>
                <w:rFonts w:ascii="Arial" w:hAnsi="Arial" w:cs="Arial"/>
                <w:b/>
                <w:bCs/>
                <w:color w:val="000000"/>
                <w:sz w:val="20"/>
                <w:szCs w:val="20"/>
                <w:lang w:val="es-ES"/>
              </w:rPr>
              <w:t>Actividad</w:t>
            </w:r>
            <w:r w:rsidR="005F711A" w:rsidRPr="00646F1C">
              <w:rPr>
                <w:rFonts w:ascii="Arial" w:hAnsi="Arial" w:cs="Arial"/>
                <w:b/>
                <w:bCs/>
                <w:color w:val="000000"/>
                <w:sz w:val="20"/>
                <w:szCs w:val="20"/>
                <w:lang w:val="es-ES"/>
              </w:rPr>
              <w:t xml:space="preserve"> de Monitoreo </w:t>
            </w:r>
          </w:p>
        </w:tc>
        <w:tc>
          <w:tcPr>
            <w:tcW w:w="449" w:type="pct"/>
            <w:tcBorders>
              <w:top w:val="single" w:sz="8" w:space="0" w:color="auto"/>
              <w:left w:val="nil"/>
              <w:right w:val="single" w:sz="8" w:space="0" w:color="000000" w:themeColor="text1"/>
            </w:tcBorders>
            <w:shd w:val="clear" w:color="auto" w:fill="D9D9D9" w:themeFill="background1" w:themeFillShade="D9"/>
            <w:noWrap/>
            <w:vAlign w:val="center"/>
            <w:hideMark/>
          </w:tcPr>
          <w:p w14:paraId="35C2F503" w14:textId="77777777" w:rsidR="00D30BB2" w:rsidRPr="00F82E41" w:rsidRDefault="00D30BB2" w:rsidP="00F91562">
            <w:pPr>
              <w:spacing w:line="0" w:lineRule="atLeast"/>
              <w:jc w:val="center"/>
              <w:rPr>
                <w:rFonts w:ascii="Arial" w:hAnsi="Arial" w:cs="Arial"/>
                <w:b/>
                <w:bCs/>
                <w:color w:val="000000"/>
                <w:sz w:val="20"/>
                <w:szCs w:val="20"/>
                <w:lang w:val="es-ES"/>
              </w:rPr>
            </w:pPr>
            <w:r w:rsidRPr="00F82E41">
              <w:rPr>
                <w:rFonts w:ascii="Arial" w:hAnsi="Arial" w:cs="Arial"/>
                <w:b/>
                <w:bCs/>
                <w:color w:val="000000"/>
                <w:sz w:val="20"/>
                <w:szCs w:val="20"/>
                <w:lang w:val="es-ES"/>
              </w:rPr>
              <w:t>2016</w:t>
            </w:r>
          </w:p>
        </w:tc>
        <w:tc>
          <w:tcPr>
            <w:tcW w:w="449" w:type="pct"/>
            <w:tcBorders>
              <w:top w:val="single" w:sz="8" w:space="0" w:color="auto"/>
              <w:left w:val="nil"/>
              <w:right w:val="single" w:sz="8" w:space="0" w:color="000000" w:themeColor="text1"/>
            </w:tcBorders>
            <w:shd w:val="clear" w:color="auto" w:fill="D9D9D9" w:themeFill="background1" w:themeFillShade="D9"/>
            <w:noWrap/>
            <w:vAlign w:val="center"/>
            <w:hideMark/>
          </w:tcPr>
          <w:p w14:paraId="133E4C22" w14:textId="429FE4F1" w:rsidR="00D30BB2" w:rsidRPr="00F82E41" w:rsidRDefault="00D30BB2" w:rsidP="00F91562">
            <w:pPr>
              <w:spacing w:line="0" w:lineRule="atLeast"/>
              <w:jc w:val="center"/>
              <w:rPr>
                <w:rFonts w:ascii="Arial" w:hAnsi="Arial" w:cs="Arial"/>
                <w:b/>
                <w:bCs/>
                <w:color w:val="000000"/>
                <w:sz w:val="20"/>
                <w:szCs w:val="20"/>
                <w:lang w:val="es-ES"/>
              </w:rPr>
            </w:pPr>
            <w:r w:rsidRPr="00F82E41">
              <w:rPr>
                <w:rFonts w:ascii="Arial" w:hAnsi="Arial" w:cs="Arial"/>
                <w:b/>
                <w:bCs/>
                <w:color w:val="000000"/>
                <w:sz w:val="20"/>
                <w:szCs w:val="20"/>
                <w:lang w:val="es-ES"/>
              </w:rPr>
              <w:t>2017</w:t>
            </w:r>
          </w:p>
        </w:tc>
        <w:tc>
          <w:tcPr>
            <w:tcW w:w="151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7492C61" w14:textId="7E012A67" w:rsidR="00D30BB2" w:rsidRPr="00F82E41" w:rsidRDefault="00D30BB2">
            <w:pPr>
              <w:spacing w:line="0" w:lineRule="atLeast"/>
              <w:jc w:val="center"/>
              <w:rPr>
                <w:rFonts w:ascii="Arial" w:hAnsi="Arial" w:cs="Arial"/>
                <w:b/>
                <w:bCs/>
                <w:color w:val="000000"/>
                <w:sz w:val="20"/>
                <w:szCs w:val="20"/>
                <w:lang w:val="es-ES"/>
              </w:rPr>
            </w:pPr>
            <w:r w:rsidRPr="00F82E41">
              <w:rPr>
                <w:rFonts w:ascii="Arial" w:hAnsi="Arial" w:cs="Arial"/>
                <w:b/>
                <w:bCs/>
                <w:color w:val="000000"/>
                <w:sz w:val="20"/>
                <w:szCs w:val="20"/>
                <w:lang w:val="es-ES"/>
              </w:rPr>
              <w:t>Costo</w:t>
            </w:r>
            <w:r w:rsidR="0030047A" w:rsidRPr="00F82E41">
              <w:rPr>
                <w:rFonts w:ascii="Arial" w:hAnsi="Arial" w:cs="Arial"/>
                <w:b/>
                <w:bCs/>
                <w:color w:val="000000"/>
                <w:sz w:val="20"/>
                <w:szCs w:val="20"/>
                <w:lang w:val="es-ES"/>
              </w:rPr>
              <w:t xml:space="preserve"> </w:t>
            </w:r>
          </w:p>
        </w:tc>
      </w:tr>
      <w:tr w:rsidR="00A9542F" w:rsidRPr="00F82E41" w14:paraId="3FCB62B7" w14:textId="77777777" w:rsidTr="00F64E64">
        <w:trPr>
          <w:trHeight w:val="745"/>
          <w:jc w:val="center"/>
        </w:trPr>
        <w:tc>
          <w:tcPr>
            <w:tcW w:w="2588" w:type="pct"/>
            <w:tcBorders>
              <w:top w:val="nil"/>
              <w:left w:val="single" w:sz="8" w:space="0" w:color="auto"/>
              <w:bottom w:val="single" w:sz="8" w:space="0" w:color="auto"/>
              <w:right w:val="single" w:sz="8" w:space="0" w:color="auto"/>
            </w:tcBorders>
            <w:shd w:val="clear" w:color="auto" w:fill="auto"/>
            <w:noWrap/>
            <w:vAlign w:val="center"/>
          </w:tcPr>
          <w:p w14:paraId="0B729CAA" w14:textId="0BCF5B3C" w:rsidR="00A9542F" w:rsidRPr="00F82E41" w:rsidRDefault="00A9542F" w:rsidP="008946DE">
            <w:pPr>
              <w:spacing w:line="0" w:lineRule="atLeast"/>
              <w:jc w:val="both"/>
              <w:rPr>
                <w:rFonts w:ascii="Arial" w:hAnsi="Arial" w:cs="Arial"/>
                <w:color w:val="000000"/>
                <w:sz w:val="20"/>
                <w:szCs w:val="20"/>
                <w:lang w:val="es-ES"/>
              </w:rPr>
            </w:pPr>
            <w:r w:rsidRPr="00F64E64">
              <w:rPr>
                <w:rFonts w:ascii="Arial" w:hAnsi="Arial" w:cs="Arial"/>
                <w:color w:val="000000"/>
                <w:sz w:val="20"/>
                <w:szCs w:val="20"/>
                <w:lang w:val="es-ES"/>
              </w:rPr>
              <w:t xml:space="preserve">Apoyo a la verificación </w:t>
            </w:r>
            <w:r w:rsidRPr="00646F1C">
              <w:rPr>
                <w:rFonts w:ascii="Arial" w:hAnsi="Arial" w:cs="Arial"/>
                <w:color w:val="000000"/>
                <w:sz w:val="20"/>
                <w:szCs w:val="20"/>
                <w:lang w:val="es-ES"/>
              </w:rPr>
              <w:t>del Cumplimiento de Condiciones de Políticas</w:t>
            </w:r>
            <w:r w:rsidRPr="00F82E41">
              <w:rPr>
                <w:rFonts w:ascii="Arial" w:hAnsi="Arial" w:cs="Arial"/>
                <w:color w:val="000000"/>
                <w:sz w:val="20"/>
                <w:szCs w:val="20"/>
                <w:lang w:val="es-ES"/>
              </w:rPr>
              <w:t>, mediante consultorías externas.</w:t>
            </w:r>
          </w:p>
        </w:tc>
        <w:tc>
          <w:tcPr>
            <w:tcW w:w="898" w:type="pct"/>
            <w:gridSpan w:val="2"/>
            <w:tcBorders>
              <w:top w:val="single" w:sz="8" w:space="0" w:color="auto"/>
              <w:left w:val="nil"/>
              <w:bottom w:val="single" w:sz="8" w:space="0" w:color="auto"/>
              <w:right w:val="single" w:sz="8" w:space="0" w:color="auto"/>
            </w:tcBorders>
            <w:shd w:val="clear" w:color="auto" w:fill="auto"/>
            <w:noWrap/>
            <w:vAlign w:val="center"/>
          </w:tcPr>
          <w:p w14:paraId="21E737AB" w14:textId="11AA77CC" w:rsidR="00A9542F" w:rsidRPr="00F64E64" w:rsidRDefault="00A9542F">
            <w:pPr>
              <w:jc w:val="center"/>
              <w:rPr>
                <w:rFonts w:ascii="Arial" w:hAnsi="Arial" w:cs="Arial"/>
                <w:sz w:val="20"/>
                <w:szCs w:val="20"/>
                <w:lang w:val="es-ES"/>
              </w:rPr>
            </w:pPr>
            <w:r w:rsidRPr="00F64E64">
              <w:rPr>
                <w:rFonts w:ascii="Arial" w:hAnsi="Arial" w:cs="Arial"/>
                <w:sz w:val="20"/>
                <w:szCs w:val="20"/>
                <w:lang w:val="es-ES"/>
              </w:rPr>
              <w:t>2</w:t>
            </w:r>
          </w:p>
        </w:tc>
        <w:tc>
          <w:tcPr>
            <w:tcW w:w="1514" w:type="pct"/>
            <w:tcBorders>
              <w:top w:val="nil"/>
              <w:left w:val="single" w:sz="8" w:space="0" w:color="auto"/>
              <w:bottom w:val="single" w:sz="8" w:space="0" w:color="auto"/>
              <w:right w:val="single" w:sz="8" w:space="0" w:color="auto"/>
            </w:tcBorders>
            <w:shd w:val="clear" w:color="auto" w:fill="auto"/>
            <w:noWrap/>
            <w:vAlign w:val="center"/>
          </w:tcPr>
          <w:p w14:paraId="53A22501" w14:textId="6806DA9C" w:rsidR="00A9542F" w:rsidRPr="00F82E41" w:rsidRDefault="00A9542F" w:rsidP="00F91562">
            <w:pPr>
              <w:spacing w:line="0" w:lineRule="atLeast"/>
              <w:jc w:val="center"/>
              <w:rPr>
                <w:rFonts w:ascii="Arial" w:hAnsi="Arial" w:cs="Arial"/>
                <w:color w:val="000000"/>
                <w:sz w:val="20"/>
                <w:szCs w:val="20"/>
                <w:lang w:val="es-ES"/>
              </w:rPr>
            </w:pPr>
            <w:r w:rsidRPr="00F82E41">
              <w:rPr>
                <w:rFonts w:ascii="Arial" w:hAnsi="Arial" w:cs="Arial"/>
                <w:color w:val="000000"/>
                <w:sz w:val="20"/>
                <w:szCs w:val="20"/>
                <w:lang w:val="es-ES"/>
              </w:rPr>
              <w:t>US$ 80.000</w:t>
            </w:r>
          </w:p>
          <w:p w14:paraId="0F0B4E66" w14:textId="7467919E" w:rsidR="00A9542F" w:rsidRPr="00F82E41" w:rsidRDefault="00A9542F">
            <w:pPr>
              <w:spacing w:line="0" w:lineRule="atLeast"/>
              <w:jc w:val="center"/>
              <w:rPr>
                <w:rFonts w:ascii="Arial" w:hAnsi="Arial" w:cs="Arial"/>
                <w:color w:val="000000"/>
                <w:sz w:val="20"/>
                <w:szCs w:val="20"/>
                <w:lang w:val="es-ES"/>
              </w:rPr>
            </w:pPr>
          </w:p>
        </w:tc>
      </w:tr>
      <w:tr w:rsidR="00A9542F" w:rsidRPr="00F82E41" w14:paraId="08E2FD16" w14:textId="77777777" w:rsidTr="00F64E64">
        <w:trPr>
          <w:trHeight w:val="745"/>
          <w:jc w:val="center"/>
        </w:trPr>
        <w:tc>
          <w:tcPr>
            <w:tcW w:w="2588" w:type="pct"/>
            <w:tcBorders>
              <w:top w:val="nil"/>
              <w:left w:val="single" w:sz="8" w:space="0" w:color="auto"/>
              <w:bottom w:val="single" w:sz="8" w:space="0" w:color="auto"/>
              <w:right w:val="single" w:sz="8" w:space="0" w:color="auto"/>
            </w:tcBorders>
            <w:shd w:val="clear" w:color="auto" w:fill="auto"/>
            <w:noWrap/>
            <w:vAlign w:val="center"/>
            <w:hideMark/>
          </w:tcPr>
          <w:p w14:paraId="7896E124" w14:textId="2A8B7A92" w:rsidR="00A9542F" w:rsidRPr="00F82E41" w:rsidRDefault="00A9542F" w:rsidP="008946DE">
            <w:pPr>
              <w:spacing w:line="0" w:lineRule="atLeast"/>
              <w:jc w:val="both"/>
              <w:rPr>
                <w:rFonts w:ascii="Arial" w:hAnsi="Arial" w:cs="Arial"/>
                <w:color w:val="000000"/>
                <w:sz w:val="20"/>
                <w:szCs w:val="20"/>
                <w:lang w:val="es-ES"/>
              </w:rPr>
            </w:pPr>
            <w:r w:rsidRPr="00646F1C">
              <w:rPr>
                <w:rFonts w:ascii="Arial" w:hAnsi="Arial" w:cs="Arial"/>
                <w:color w:val="000000"/>
                <w:sz w:val="20"/>
                <w:szCs w:val="20"/>
                <w:lang w:val="es-ES"/>
              </w:rPr>
              <w:t xml:space="preserve">Videoconferencias de seguimiento al </w:t>
            </w:r>
            <w:r w:rsidRPr="00F82E41">
              <w:rPr>
                <w:rFonts w:ascii="Arial" w:hAnsi="Arial" w:cs="Arial"/>
                <w:color w:val="000000"/>
                <w:sz w:val="20"/>
                <w:szCs w:val="20"/>
                <w:lang w:val="es-ES"/>
              </w:rPr>
              <w:t>Cumplimiento de Condiciones de Políticas.</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4F481A0A" w14:textId="719ABFF1" w:rsidR="00A9542F" w:rsidRPr="000D0CBE" w:rsidRDefault="00A9542F" w:rsidP="000D0CBE">
            <w:pPr>
              <w:jc w:val="center"/>
              <w:rPr>
                <w:rFonts w:ascii="Arial" w:hAnsi="Arial" w:cs="Arial"/>
                <w:sz w:val="20"/>
                <w:szCs w:val="20"/>
                <w:lang w:val="es-ES"/>
              </w:rPr>
            </w:pPr>
            <w:r w:rsidRPr="000D0CBE">
              <w:rPr>
                <w:rFonts w:ascii="Arial" w:hAnsi="Arial" w:cs="Arial"/>
                <w:sz w:val="20"/>
                <w:szCs w:val="20"/>
                <w:lang w:val="es-ES"/>
              </w:rPr>
              <w:t>6</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1C1BC422" w14:textId="58C26C99" w:rsidR="00A9542F" w:rsidRPr="00F64E64" w:rsidRDefault="00A9542F">
            <w:pPr>
              <w:jc w:val="center"/>
              <w:rPr>
                <w:rFonts w:ascii="Arial" w:hAnsi="Arial" w:cs="Arial"/>
                <w:sz w:val="20"/>
                <w:szCs w:val="20"/>
                <w:lang w:val="es-ES"/>
              </w:rPr>
            </w:pPr>
            <w:r w:rsidRPr="00F64E64">
              <w:rPr>
                <w:rFonts w:ascii="Arial" w:hAnsi="Arial" w:cs="Arial"/>
                <w:sz w:val="20"/>
                <w:szCs w:val="20"/>
                <w:lang w:val="es-ES"/>
              </w:rPr>
              <w:t>3</w:t>
            </w:r>
          </w:p>
        </w:tc>
        <w:tc>
          <w:tcPr>
            <w:tcW w:w="1514" w:type="pct"/>
            <w:tcBorders>
              <w:top w:val="nil"/>
              <w:left w:val="single" w:sz="8" w:space="0" w:color="auto"/>
              <w:bottom w:val="single" w:sz="8" w:space="0" w:color="auto"/>
              <w:right w:val="single" w:sz="8" w:space="0" w:color="auto"/>
            </w:tcBorders>
            <w:shd w:val="clear" w:color="auto" w:fill="auto"/>
            <w:noWrap/>
            <w:vAlign w:val="center"/>
          </w:tcPr>
          <w:p w14:paraId="3733092B" w14:textId="2CEBBCE7" w:rsidR="00A9542F" w:rsidRPr="00F82E41" w:rsidRDefault="00A9542F" w:rsidP="00F91562">
            <w:pPr>
              <w:spacing w:line="0" w:lineRule="atLeast"/>
              <w:jc w:val="center"/>
              <w:rPr>
                <w:rFonts w:ascii="Arial" w:hAnsi="Arial" w:cs="Arial"/>
                <w:color w:val="000000"/>
                <w:sz w:val="20"/>
                <w:szCs w:val="20"/>
                <w:lang w:val="es-ES"/>
              </w:rPr>
            </w:pPr>
            <w:r w:rsidRPr="00F82E41">
              <w:rPr>
                <w:rFonts w:ascii="Arial" w:hAnsi="Arial" w:cs="Arial"/>
                <w:color w:val="000000"/>
                <w:sz w:val="20"/>
                <w:szCs w:val="20"/>
                <w:lang w:val="es-ES"/>
              </w:rPr>
              <w:t>US$ 2.000</w:t>
            </w:r>
          </w:p>
          <w:p w14:paraId="3BF38931" w14:textId="444A549B" w:rsidR="00A9542F" w:rsidRPr="00F82E41" w:rsidRDefault="00A9542F" w:rsidP="00F91562">
            <w:pPr>
              <w:spacing w:line="0" w:lineRule="atLeast"/>
              <w:jc w:val="center"/>
              <w:rPr>
                <w:rFonts w:ascii="Arial" w:hAnsi="Arial" w:cs="Arial"/>
                <w:color w:val="000000"/>
                <w:sz w:val="20"/>
                <w:szCs w:val="20"/>
                <w:lang w:val="es-ES"/>
              </w:rPr>
            </w:pPr>
          </w:p>
        </w:tc>
      </w:tr>
      <w:tr w:rsidR="00A9542F" w:rsidRPr="00F82E41" w14:paraId="6B44D3B6" w14:textId="77777777" w:rsidTr="00F64E64">
        <w:trPr>
          <w:trHeight w:val="394"/>
          <w:jc w:val="center"/>
        </w:trPr>
        <w:tc>
          <w:tcPr>
            <w:tcW w:w="2588"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713F822" w14:textId="5F21D514" w:rsidR="00A9542F" w:rsidRPr="00F82E41" w:rsidRDefault="00A9542F" w:rsidP="008946DE">
            <w:pPr>
              <w:spacing w:line="0" w:lineRule="atLeast"/>
              <w:jc w:val="both"/>
              <w:rPr>
                <w:rFonts w:ascii="Arial" w:hAnsi="Arial" w:cs="Arial"/>
                <w:color w:val="000000"/>
                <w:sz w:val="20"/>
                <w:szCs w:val="20"/>
                <w:lang w:val="es-ES"/>
              </w:rPr>
            </w:pPr>
            <w:r w:rsidRPr="00646F1C">
              <w:rPr>
                <w:rFonts w:ascii="Arial" w:hAnsi="Arial" w:cs="Arial"/>
                <w:color w:val="000000"/>
                <w:sz w:val="20"/>
                <w:szCs w:val="20"/>
                <w:lang w:val="es-ES"/>
              </w:rPr>
              <w:t xml:space="preserve">Misiones de seguimiento al </w:t>
            </w:r>
            <w:r w:rsidRPr="00BB0222">
              <w:rPr>
                <w:rFonts w:ascii="Arial" w:hAnsi="Arial" w:cs="Arial"/>
                <w:color w:val="000000"/>
                <w:sz w:val="20"/>
                <w:szCs w:val="20"/>
                <w:lang w:val="es-ES"/>
              </w:rPr>
              <w:t>Cumplimiento de Condiciones de Políticas</w:t>
            </w:r>
            <w:r w:rsidRPr="00F82E41">
              <w:rPr>
                <w:rFonts w:ascii="Arial" w:hAnsi="Arial" w:cs="Arial"/>
                <w:color w:val="000000"/>
                <w:sz w:val="20"/>
                <w:szCs w:val="20"/>
                <w:lang w:val="es-ES"/>
              </w:rPr>
              <w:t>.</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2422DA3D" w14:textId="35CD0093" w:rsidR="00A9542F" w:rsidRPr="000D0CBE" w:rsidRDefault="00A9542F" w:rsidP="000D0CBE">
            <w:pPr>
              <w:jc w:val="center"/>
              <w:rPr>
                <w:rFonts w:ascii="Arial" w:hAnsi="Arial" w:cs="Arial"/>
                <w:sz w:val="20"/>
                <w:szCs w:val="20"/>
              </w:rPr>
            </w:pPr>
            <w:r w:rsidRPr="000D0CBE">
              <w:rPr>
                <w:rFonts w:ascii="Arial" w:hAnsi="Arial" w:cs="Arial"/>
                <w:sz w:val="20"/>
                <w:szCs w:val="20"/>
              </w:rPr>
              <w:t>4</w:t>
            </w:r>
          </w:p>
        </w:tc>
        <w:tc>
          <w:tcPr>
            <w:tcW w:w="449" w:type="pct"/>
            <w:tcBorders>
              <w:top w:val="single" w:sz="8" w:space="0" w:color="auto"/>
              <w:left w:val="nil"/>
              <w:bottom w:val="single" w:sz="8" w:space="0" w:color="auto"/>
              <w:right w:val="single" w:sz="8" w:space="0" w:color="auto"/>
            </w:tcBorders>
            <w:shd w:val="clear" w:color="auto" w:fill="auto"/>
            <w:noWrap/>
            <w:vAlign w:val="center"/>
          </w:tcPr>
          <w:p w14:paraId="681B1E3D" w14:textId="149BDCD3" w:rsidR="00A9542F" w:rsidRPr="000D0CBE" w:rsidRDefault="00A9542F" w:rsidP="000D0CBE">
            <w:pPr>
              <w:jc w:val="center"/>
              <w:rPr>
                <w:rFonts w:ascii="Arial" w:hAnsi="Arial" w:cs="Arial"/>
                <w:sz w:val="20"/>
                <w:szCs w:val="20"/>
              </w:rPr>
            </w:pPr>
            <w:r w:rsidRPr="000D0CBE">
              <w:rPr>
                <w:rFonts w:ascii="Arial" w:hAnsi="Arial" w:cs="Arial"/>
                <w:sz w:val="20"/>
                <w:szCs w:val="20"/>
              </w:rPr>
              <w:t>1</w:t>
            </w:r>
          </w:p>
        </w:tc>
        <w:tc>
          <w:tcPr>
            <w:tcW w:w="1514" w:type="pct"/>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4F1B742D" w14:textId="4CC53F2F" w:rsidR="00A9542F" w:rsidRPr="00F82E41" w:rsidRDefault="00A9542F">
            <w:pPr>
              <w:spacing w:line="0" w:lineRule="atLeast"/>
              <w:jc w:val="center"/>
              <w:rPr>
                <w:rFonts w:ascii="Arial" w:hAnsi="Arial" w:cs="Arial"/>
                <w:color w:val="000000"/>
                <w:sz w:val="20"/>
                <w:szCs w:val="20"/>
                <w:lang w:val="es-ES"/>
              </w:rPr>
            </w:pPr>
            <w:r w:rsidRPr="00F82E41">
              <w:rPr>
                <w:rFonts w:ascii="Arial" w:hAnsi="Arial" w:cs="Arial"/>
                <w:color w:val="000000"/>
                <w:sz w:val="20"/>
                <w:szCs w:val="20"/>
                <w:lang w:val="es-ES"/>
              </w:rPr>
              <w:t>US$ 40.000</w:t>
            </w:r>
          </w:p>
        </w:tc>
      </w:tr>
      <w:tr w:rsidR="00F91562" w:rsidRPr="00F82E41" w14:paraId="12AEE4AB" w14:textId="77777777" w:rsidTr="00F64E64">
        <w:trPr>
          <w:trHeight w:val="394"/>
          <w:jc w:val="center"/>
        </w:trPr>
        <w:tc>
          <w:tcPr>
            <w:tcW w:w="3486" w:type="pct"/>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142E7D3E" w14:textId="25E19FFB" w:rsidR="00F91562" w:rsidRPr="00F64E64" w:rsidRDefault="00F91562" w:rsidP="00F64E64">
            <w:pPr>
              <w:spacing w:line="0" w:lineRule="atLeast"/>
              <w:jc w:val="right"/>
              <w:rPr>
                <w:rFonts w:ascii="Arial" w:hAnsi="Arial" w:cs="Arial"/>
                <w:b/>
                <w:bCs/>
                <w:color w:val="000000"/>
                <w:sz w:val="20"/>
                <w:szCs w:val="20"/>
                <w:lang w:val="es-ES"/>
              </w:rPr>
            </w:pPr>
            <w:r w:rsidRPr="00F64E64">
              <w:rPr>
                <w:rFonts w:ascii="Arial" w:hAnsi="Arial" w:cs="Arial"/>
                <w:b/>
                <w:bCs/>
                <w:color w:val="000000"/>
                <w:sz w:val="20"/>
                <w:szCs w:val="20"/>
                <w:lang w:val="es-ES"/>
              </w:rPr>
              <w:t>Total</w:t>
            </w:r>
          </w:p>
        </w:tc>
        <w:tc>
          <w:tcPr>
            <w:tcW w:w="1514" w:type="pct"/>
            <w:tcBorders>
              <w:top w:val="single" w:sz="8" w:space="0" w:color="auto"/>
              <w:left w:val="single" w:sz="8" w:space="0" w:color="auto"/>
              <w:bottom w:val="single" w:sz="8" w:space="0" w:color="auto"/>
              <w:right w:val="single" w:sz="8" w:space="0" w:color="auto"/>
            </w:tcBorders>
            <w:shd w:val="clear" w:color="auto" w:fill="FFFFFF" w:themeFill="background1"/>
            <w:noWrap/>
            <w:vAlign w:val="center"/>
          </w:tcPr>
          <w:p w14:paraId="7AB5273A" w14:textId="124693D9" w:rsidR="00F91562" w:rsidRPr="00BB0222" w:rsidRDefault="00F91562">
            <w:pPr>
              <w:spacing w:line="0" w:lineRule="atLeast"/>
              <w:jc w:val="center"/>
              <w:rPr>
                <w:rFonts w:ascii="Arial" w:hAnsi="Arial" w:cs="Arial"/>
                <w:color w:val="000000"/>
                <w:sz w:val="20"/>
                <w:szCs w:val="20"/>
                <w:lang w:val="es-ES"/>
              </w:rPr>
            </w:pPr>
            <w:r w:rsidRPr="00646F1C">
              <w:rPr>
                <w:rFonts w:ascii="Arial" w:hAnsi="Arial" w:cs="Arial"/>
                <w:color w:val="000000"/>
                <w:sz w:val="20"/>
                <w:szCs w:val="20"/>
                <w:lang w:val="es-ES"/>
              </w:rPr>
              <w:t>US$ 1</w:t>
            </w:r>
            <w:r w:rsidR="0030047A" w:rsidRPr="00646F1C">
              <w:rPr>
                <w:rFonts w:ascii="Arial" w:hAnsi="Arial" w:cs="Arial"/>
                <w:color w:val="000000"/>
                <w:sz w:val="20"/>
                <w:szCs w:val="20"/>
                <w:lang w:val="es-ES"/>
              </w:rPr>
              <w:t>22</w:t>
            </w:r>
            <w:r w:rsidRPr="00646F1C">
              <w:rPr>
                <w:rFonts w:ascii="Arial" w:hAnsi="Arial" w:cs="Arial"/>
                <w:color w:val="000000"/>
                <w:sz w:val="20"/>
                <w:szCs w:val="20"/>
                <w:lang w:val="es-ES"/>
              </w:rPr>
              <w:t>.000</w:t>
            </w:r>
          </w:p>
        </w:tc>
      </w:tr>
    </w:tbl>
    <w:p w14:paraId="684F5639" w14:textId="77777777" w:rsidR="00D30BB2" w:rsidRPr="00C22824" w:rsidRDefault="00D30BB2" w:rsidP="00A42EB4">
      <w:pPr>
        <w:pStyle w:val="Title"/>
        <w:tabs>
          <w:tab w:val="clear" w:pos="1440"/>
          <w:tab w:val="clear" w:pos="3060"/>
        </w:tabs>
        <w:spacing w:line="276" w:lineRule="auto"/>
        <w:jc w:val="both"/>
        <w:outlineLvl w:val="9"/>
        <w:rPr>
          <w:rFonts w:ascii="Arial" w:hAnsi="Arial" w:cs="Arial"/>
          <w:szCs w:val="24"/>
          <w:lang w:val="es-ES"/>
        </w:rPr>
      </w:pPr>
    </w:p>
    <w:p w14:paraId="681FC437" w14:textId="0FFD36C4" w:rsidR="00C41116" w:rsidRPr="00F64E64" w:rsidRDefault="00A42EB4"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Para el</w:t>
      </w:r>
      <w:r w:rsidRPr="00F64E64">
        <w:rPr>
          <w:rFonts w:ascii="Arial" w:hAnsi="Arial" w:cs="Arial"/>
          <w:lang w:val="es-ES"/>
        </w:rPr>
        <w:t xml:space="preserve"> monitoreo de las metas incluidas en la Matriz de política y en la Matriz de Medios de Verificación, el MOPSV tendrá las siguientes responsabilidades: i) entregar los informes y la evidencia del cumplimiento de las condiciones de la operación, así como los demás informes que el Banco pueda requerir; ii) impulsar acciones asociadas </w:t>
      </w:r>
      <w:r w:rsidRPr="00F64E64">
        <w:rPr>
          <w:rFonts w:ascii="Arial" w:hAnsi="Arial" w:cs="Arial"/>
          <w:lang w:val="es-ES"/>
        </w:rPr>
        <w:lastRenderedPageBreak/>
        <w:t xml:space="preserve">al logro de los objetivos de política definidos en el Programa; y iii) reunir, archivar y entregar al Banco toda la información, indicadores y parámetros que contribuyan a que el prestatario y el Banco puedan dar seguimiento, medir y evaluar los resultados del programa. </w:t>
      </w:r>
      <w:r w:rsidRPr="00C22824">
        <w:rPr>
          <w:rFonts w:ascii="Arial" w:hAnsi="Arial" w:cs="Arial"/>
          <w:lang w:val="es-ES"/>
        </w:rPr>
        <w:t>El MOPSV coordinará el cumplimiento oportuno de los compromisos correspondientes a la segunda operación, así como de los demás compromisos y alcances, y será responsable de proveer información sobre los avances respecto a la Matriz de Política y Matriz de Resultados, así como de remitir al Banco las evidencias de los medios de verificación. Por el lado del Banco, la responsabilidad de la supervisión técnica del programa será de la División de Transporte (INE/TSP), a través de los especialistas sectoriales en Bolivia (TSP/CBO).</w:t>
      </w:r>
      <w:r w:rsidRPr="00F64E64">
        <w:rPr>
          <w:rFonts w:ascii="Arial" w:hAnsi="Arial" w:cs="Arial"/>
          <w:lang w:val="es-ES"/>
        </w:rPr>
        <w:t xml:space="preserve"> </w:t>
      </w:r>
    </w:p>
    <w:p w14:paraId="25B75590" w14:textId="77777777" w:rsidR="00C41116" w:rsidRPr="00C22824" w:rsidRDefault="00C41116" w:rsidP="00F32849">
      <w:pPr>
        <w:pStyle w:val="ColorfulList-Accent11"/>
        <w:spacing w:after="0"/>
        <w:rPr>
          <w:rFonts w:ascii="Arial" w:hAnsi="Arial" w:cs="Arial"/>
          <w:color w:val="000000"/>
          <w:lang w:val="es-ES"/>
        </w:rPr>
      </w:pPr>
    </w:p>
    <w:p w14:paraId="2894F468" w14:textId="53C28814" w:rsidR="00C41116" w:rsidRPr="00F64E64" w:rsidRDefault="00BF5444" w:rsidP="00F64E64">
      <w:pPr>
        <w:pStyle w:val="ColorfulList-Accent11"/>
        <w:numPr>
          <w:ilvl w:val="0"/>
          <w:numId w:val="13"/>
        </w:numPr>
        <w:tabs>
          <w:tab w:val="left" w:pos="540"/>
        </w:tabs>
        <w:spacing w:after="0"/>
        <w:ind w:left="540" w:hanging="540"/>
        <w:jc w:val="both"/>
        <w:outlineLvl w:val="0"/>
        <w:rPr>
          <w:rFonts w:ascii="Arial" w:hAnsi="Arial" w:cs="Arial"/>
          <w:b/>
          <w:bCs/>
          <w:sz w:val="24"/>
          <w:szCs w:val="24"/>
          <w:lang w:val="es-ES"/>
        </w:rPr>
      </w:pPr>
      <w:bookmarkStart w:id="5" w:name="_Toc468954029"/>
      <w:r w:rsidRPr="00F64E64">
        <w:rPr>
          <w:rFonts w:ascii="Arial" w:hAnsi="Arial" w:cs="Arial"/>
          <w:b/>
          <w:bCs/>
          <w:sz w:val="24"/>
          <w:szCs w:val="24"/>
          <w:lang w:val="es-ES"/>
        </w:rPr>
        <w:t xml:space="preserve">Evaluación </w:t>
      </w:r>
      <w:r w:rsidR="00A9542F" w:rsidRPr="00F64E64">
        <w:rPr>
          <w:rFonts w:ascii="Arial" w:hAnsi="Arial" w:cs="Arial"/>
          <w:b/>
          <w:bCs/>
          <w:sz w:val="24"/>
          <w:szCs w:val="24"/>
          <w:lang w:val="es-ES"/>
        </w:rPr>
        <w:t>del Programa</w:t>
      </w:r>
      <w:bookmarkEnd w:id="5"/>
    </w:p>
    <w:p w14:paraId="757110D8" w14:textId="77777777" w:rsidR="00C41116" w:rsidRPr="00C22824" w:rsidRDefault="00C41116" w:rsidP="00F32849">
      <w:pPr>
        <w:pStyle w:val="ColorfulList-Accent11"/>
        <w:spacing w:after="0"/>
        <w:ind w:left="0"/>
        <w:jc w:val="both"/>
        <w:rPr>
          <w:rFonts w:ascii="Arial" w:hAnsi="Arial" w:cs="Arial"/>
          <w:lang w:val="es-ES"/>
        </w:rPr>
      </w:pPr>
    </w:p>
    <w:p w14:paraId="1D705BA0" w14:textId="59116756" w:rsidR="00434C66" w:rsidRPr="00C22824" w:rsidRDefault="00A42EB4"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El objetivo de la evaluación será determinar los resultados del Programa (consiste en tres operaciones a ser desarrolladas en forma independiente pero técnicamente relacionadas), en cuanto a</w:t>
      </w:r>
      <w:r w:rsidR="00A9542F" w:rsidRPr="00C22824">
        <w:rPr>
          <w:rFonts w:ascii="Arial" w:hAnsi="Arial" w:cs="Arial"/>
          <w:lang w:val="es-ES"/>
        </w:rPr>
        <w:t>: i) contribuir a la mejora de la capacidad institucional del sector transporte en Bolivia</w:t>
      </w:r>
      <w:r w:rsidR="00A9542F">
        <w:rPr>
          <w:rFonts w:ascii="Arial" w:hAnsi="Arial" w:cs="Arial"/>
          <w:lang w:val="es-ES"/>
        </w:rPr>
        <w:t xml:space="preserve">; ii) contribuir a la mejora de la integración económica, la productividad y la sostenibilidad ambiental de Bolivia; y iii) contribuir a la </w:t>
      </w:r>
      <w:r w:rsidR="00A9542F" w:rsidRPr="00C22824">
        <w:rPr>
          <w:rFonts w:ascii="Arial" w:hAnsi="Arial" w:cs="Arial"/>
          <w:lang w:val="es-ES"/>
        </w:rPr>
        <w:t xml:space="preserve">mejora de la calidad de la infraestructura </w:t>
      </w:r>
      <w:r w:rsidR="00A9542F">
        <w:rPr>
          <w:rFonts w:ascii="Arial" w:hAnsi="Arial" w:cs="Arial"/>
          <w:lang w:val="es-ES"/>
        </w:rPr>
        <w:t>y de</w:t>
      </w:r>
      <w:r w:rsidR="00A9542F" w:rsidRPr="00C22824">
        <w:rPr>
          <w:rFonts w:ascii="Arial" w:hAnsi="Arial" w:cs="Arial"/>
          <w:lang w:val="es-ES"/>
        </w:rPr>
        <w:t xml:space="preserve"> los servicios asociados</w:t>
      </w:r>
      <w:r w:rsidR="00A9542F">
        <w:rPr>
          <w:rFonts w:ascii="Arial" w:hAnsi="Arial" w:cs="Arial"/>
          <w:lang w:val="es-ES"/>
        </w:rPr>
        <w:t xml:space="preserve"> de transporte.</w:t>
      </w:r>
    </w:p>
    <w:p w14:paraId="2E03E9C6" w14:textId="77777777" w:rsidR="00A42EB4" w:rsidRDefault="00A42EB4" w:rsidP="00A42EB4">
      <w:pPr>
        <w:pStyle w:val="Title"/>
        <w:tabs>
          <w:tab w:val="clear" w:pos="1440"/>
          <w:tab w:val="clear" w:pos="3060"/>
        </w:tabs>
        <w:spacing w:line="276" w:lineRule="auto"/>
        <w:jc w:val="both"/>
        <w:outlineLvl w:val="9"/>
        <w:rPr>
          <w:rFonts w:ascii="Arial" w:hAnsi="Arial" w:cs="Arial"/>
          <w:lang w:val="es-ES"/>
        </w:rPr>
      </w:pPr>
    </w:p>
    <w:p w14:paraId="24F195BF" w14:textId="001B4E7E" w:rsidR="007A2F3E" w:rsidRPr="00F64E64" w:rsidRDefault="00A42EB4" w:rsidP="00F64E64">
      <w:pPr>
        <w:pStyle w:val="ColorfulList-Accent11"/>
        <w:numPr>
          <w:ilvl w:val="1"/>
          <w:numId w:val="13"/>
        </w:numPr>
        <w:spacing w:after="0"/>
        <w:ind w:left="360"/>
        <w:jc w:val="both"/>
        <w:outlineLvl w:val="1"/>
        <w:rPr>
          <w:rFonts w:ascii="Arial" w:hAnsi="Arial" w:cs="Arial"/>
          <w:b/>
          <w:bCs/>
          <w:lang w:val="es-ES"/>
        </w:rPr>
      </w:pPr>
      <w:bookmarkStart w:id="6" w:name="_Toc468893926"/>
      <w:bookmarkStart w:id="7" w:name="_Toc468954030"/>
      <w:bookmarkStart w:id="8" w:name="_Toc468954031"/>
      <w:bookmarkEnd w:id="6"/>
      <w:bookmarkEnd w:id="7"/>
      <w:r w:rsidRPr="00F64E64">
        <w:rPr>
          <w:rFonts w:ascii="Arial" w:hAnsi="Arial" w:cs="Arial"/>
          <w:b/>
          <w:bCs/>
          <w:lang w:val="es-ES"/>
        </w:rPr>
        <w:t>Preguntas de E</w:t>
      </w:r>
      <w:r w:rsidR="007A2F3E" w:rsidRPr="00F64E64">
        <w:rPr>
          <w:rFonts w:ascii="Arial" w:hAnsi="Arial" w:cs="Arial"/>
          <w:b/>
          <w:bCs/>
          <w:lang w:val="es-ES"/>
        </w:rPr>
        <w:t>valuación</w:t>
      </w:r>
      <w:r w:rsidRPr="00F64E64">
        <w:rPr>
          <w:rFonts w:ascii="Arial" w:hAnsi="Arial" w:cs="Arial"/>
          <w:b/>
          <w:bCs/>
          <w:lang w:val="es-ES"/>
        </w:rPr>
        <w:t>.</w:t>
      </w:r>
      <w:bookmarkEnd w:id="8"/>
      <w:r w:rsidRPr="00F64E64">
        <w:rPr>
          <w:rFonts w:ascii="Arial" w:hAnsi="Arial" w:cs="Arial"/>
          <w:b/>
          <w:bCs/>
          <w:lang w:val="es-ES"/>
        </w:rPr>
        <w:t xml:space="preserve"> </w:t>
      </w:r>
    </w:p>
    <w:p w14:paraId="1A6DC495" w14:textId="77777777" w:rsidR="00A42EB4" w:rsidRPr="00C22824" w:rsidRDefault="00A42EB4" w:rsidP="00A42EB4">
      <w:pPr>
        <w:pStyle w:val="ColorfulList-Accent11"/>
        <w:spacing w:after="0"/>
        <w:ind w:left="360"/>
        <w:jc w:val="both"/>
        <w:outlineLvl w:val="1"/>
        <w:rPr>
          <w:rFonts w:ascii="Arial" w:hAnsi="Arial" w:cs="Arial"/>
          <w:b/>
          <w:lang w:val="es-ES"/>
        </w:rPr>
      </w:pPr>
    </w:p>
    <w:p w14:paraId="630A87DE" w14:textId="79665C94" w:rsidR="007A2F3E" w:rsidRDefault="00A42EB4"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 xml:space="preserve">A fin de verificar los resultados alcanzados con la implementación del Programa, se realizará una evaluación ex post que considerará las siguientes </w:t>
      </w:r>
      <w:r w:rsidR="007A2F3E" w:rsidRPr="00C22824">
        <w:rPr>
          <w:rFonts w:ascii="Arial" w:hAnsi="Arial" w:cs="Arial"/>
          <w:lang w:val="es-ES"/>
        </w:rPr>
        <w:t>preguntas de evaluación</w:t>
      </w:r>
      <w:r w:rsidR="009C0BEF" w:rsidRPr="00C22824">
        <w:rPr>
          <w:rFonts w:ascii="Arial" w:hAnsi="Arial" w:cs="Arial"/>
          <w:lang w:val="es-ES"/>
        </w:rPr>
        <w:t xml:space="preserve"> de las actividades apoyadas por el Programa</w:t>
      </w:r>
      <w:r w:rsidR="007A2F3E" w:rsidRPr="00C22824">
        <w:rPr>
          <w:rFonts w:ascii="Arial" w:hAnsi="Arial" w:cs="Arial"/>
          <w:lang w:val="es-ES"/>
        </w:rPr>
        <w:t>:</w:t>
      </w:r>
    </w:p>
    <w:p w14:paraId="65D69279" w14:textId="77777777" w:rsidR="00A42EB4" w:rsidRDefault="00A42EB4" w:rsidP="00A42EB4">
      <w:pPr>
        <w:pStyle w:val="Title"/>
        <w:tabs>
          <w:tab w:val="clear" w:pos="1440"/>
          <w:tab w:val="clear" w:pos="3060"/>
        </w:tabs>
        <w:spacing w:line="276" w:lineRule="auto"/>
        <w:jc w:val="both"/>
        <w:outlineLvl w:val="9"/>
        <w:rPr>
          <w:rFonts w:ascii="Arial" w:hAnsi="Arial" w:cs="Arial"/>
          <w:lang w:val="es-ES"/>
        </w:rPr>
      </w:pPr>
    </w:p>
    <w:p w14:paraId="099FAD9C" w14:textId="2ADBAD7E" w:rsidR="00FE2DE0" w:rsidRDefault="00FE2DE0"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sidRPr="00C22824">
        <w:rPr>
          <w:rFonts w:ascii="Arial" w:hAnsi="Arial" w:cs="Arial"/>
          <w:lang w:val="es-ES"/>
        </w:rPr>
        <w:t>¿</w:t>
      </w:r>
      <w:r w:rsidR="00F13F8A">
        <w:rPr>
          <w:rFonts w:ascii="Arial" w:hAnsi="Arial" w:cs="Arial"/>
          <w:lang w:val="es-ES"/>
        </w:rPr>
        <w:t>Se ha contribuido a</w:t>
      </w:r>
      <w:r>
        <w:rPr>
          <w:rFonts w:ascii="Arial" w:hAnsi="Arial" w:cs="Arial"/>
          <w:lang w:val="es-ES"/>
        </w:rPr>
        <w:t xml:space="preserve"> incrementar</w:t>
      </w:r>
      <w:r w:rsidRPr="00C22824">
        <w:rPr>
          <w:rFonts w:ascii="Arial" w:hAnsi="Arial" w:cs="Arial"/>
          <w:lang w:val="es-ES"/>
        </w:rPr>
        <w:t xml:space="preserve"> </w:t>
      </w:r>
      <w:r>
        <w:rPr>
          <w:rFonts w:ascii="Arial" w:hAnsi="Arial" w:cs="Arial"/>
          <w:lang w:val="es-ES"/>
        </w:rPr>
        <w:t>la</w:t>
      </w:r>
      <w:r w:rsidRPr="00C22824">
        <w:rPr>
          <w:rFonts w:ascii="Arial" w:hAnsi="Arial" w:cs="Arial"/>
          <w:lang w:val="es-ES"/>
        </w:rPr>
        <w:t xml:space="preserve"> planificación integral con visión plurianual que oriente la identificación, programación y priorización de las inversiones en el sector transporte?</w:t>
      </w:r>
    </w:p>
    <w:p w14:paraId="246B3D53" w14:textId="4125345D" w:rsidR="00FE2DE0" w:rsidRPr="000B7C64" w:rsidRDefault="00F13F8A"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Pr>
          <w:rFonts w:ascii="Arial" w:hAnsi="Arial" w:cs="Arial"/>
          <w:lang w:val="es-ES"/>
        </w:rPr>
        <w:t>¿</w:t>
      </w:r>
      <w:r w:rsidR="00FE2DE0">
        <w:rPr>
          <w:rFonts w:ascii="Arial" w:hAnsi="Arial" w:cs="Arial"/>
          <w:lang w:val="es-ES"/>
        </w:rPr>
        <w:t>Se ha contribuid</w:t>
      </w:r>
      <w:r w:rsidR="007223CD">
        <w:rPr>
          <w:rFonts w:ascii="Arial" w:hAnsi="Arial" w:cs="Arial"/>
          <w:lang w:val="es-ES"/>
        </w:rPr>
        <w:t xml:space="preserve">o al incremento en el uso del transporte </w:t>
      </w:r>
      <w:r w:rsidR="00FE2DE0">
        <w:rPr>
          <w:rFonts w:ascii="Arial" w:hAnsi="Arial" w:cs="Arial"/>
          <w:lang w:val="es-ES"/>
        </w:rPr>
        <w:t>terrestre</w:t>
      </w:r>
      <w:r w:rsidR="007223CD">
        <w:rPr>
          <w:rFonts w:ascii="Arial" w:hAnsi="Arial" w:cs="Arial"/>
          <w:lang w:val="es-ES"/>
        </w:rPr>
        <w:t>,</w:t>
      </w:r>
      <w:r w:rsidR="00EF02EB">
        <w:rPr>
          <w:rFonts w:ascii="Arial" w:hAnsi="Arial" w:cs="Arial"/>
          <w:lang w:val="es-ES"/>
        </w:rPr>
        <w:t xml:space="preserve"> </w:t>
      </w:r>
      <w:r w:rsidR="007223CD">
        <w:rPr>
          <w:rFonts w:ascii="Arial" w:hAnsi="Arial" w:cs="Arial"/>
          <w:lang w:val="es-ES"/>
        </w:rPr>
        <w:t xml:space="preserve">férreo, acuático </w:t>
      </w:r>
      <w:r w:rsidR="00B53EC3">
        <w:rPr>
          <w:rFonts w:ascii="Arial" w:hAnsi="Arial" w:cs="Arial"/>
          <w:lang w:val="es-ES"/>
        </w:rPr>
        <w:t xml:space="preserve">y </w:t>
      </w:r>
      <w:r w:rsidR="007223CD">
        <w:rPr>
          <w:rFonts w:ascii="Arial" w:hAnsi="Arial" w:cs="Arial"/>
          <w:lang w:val="es-ES"/>
        </w:rPr>
        <w:t>aéreo</w:t>
      </w:r>
      <w:r w:rsidR="00EF02EB">
        <w:rPr>
          <w:rFonts w:ascii="Arial" w:hAnsi="Arial" w:cs="Arial"/>
          <w:lang w:val="es-ES"/>
        </w:rPr>
        <w:t>?</w:t>
      </w:r>
    </w:p>
    <w:p w14:paraId="5DAA4D69" w14:textId="4B56AE39" w:rsidR="004178D7" w:rsidRPr="00C9362F" w:rsidRDefault="00F13F8A"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Pr>
          <w:rFonts w:ascii="Arial" w:hAnsi="Arial" w:cs="Arial"/>
          <w:lang w:val="es-ES"/>
        </w:rPr>
        <w:t>¿</w:t>
      </w:r>
      <w:r w:rsidR="004178D7">
        <w:rPr>
          <w:rFonts w:ascii="Arial" w:hAnsi="Arial" w:cs="Arial"/>
          <w:lang w:val="es-ES"/>
        </w:rPr>
        <w:t xml:space="preserve">Se ha contribuido a </w:t>
      </w:r>
      <w:r w:rsidR="004178D7" w:rsidRPr="00C22824">
        <w:rPr>
          <w:rFonts w:ascii="Arial" w:hAnsi="Arial" w:cs="Arial"/>
          <w:lang w:val="es-ES"/>
        </w:rPr>
        <w:t>mejorar la calidad</w:t>
      </w:r>
      <w:r w:rsidR="004178D7">
        <w:rPr>
          <w:rFonts w:ascii="Arial" w:hAnsi="Arial" w:cs="Arial"/>
          <w:lang w:val="es-ES"/>
        </w:rPr>
        <w:t xml:space="preserve"> de la infraestructura y los servicios de transporte? </w:t>
      </w:r>
    </w:p>
    <w:p w14:paraId="2E0D11A6" w14:textId="17A54EA0" w:rsidR="004178D7" w:rsidRDefault="00F13F8A"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Pr>
          <w:rFonts w:ascii="Arial" w:hAnsi="Arial" w:cs="Arial"/>
          <w:lang w:val="es-ES"/>
        </w:rPr>
        <w:t>¿Se h</w:t>
      </w:r>
      <w:r w:rsidR="004178D7">
        <w:rPr>
          <w:rFonts w:ascii="Arial" w:hAnsi="Arial" w:cs="Arial"/>
          <w:lang w:val="es-ES"/>
        </w:rPr>
        <w:t xml:space="preserve">a contribuido a mejorar la </w:t>
      </w:r>
      <w:r w:rsidR="004178D7" w:rsidRPr="00C22824">
        <w:rPr>
          <w:rFonts w:ascii="Arial" w:hAnsi="Arial" w:cs="Arial"/>
          <w:lang w:val="es-ES"/>
        </w:rPr>
        <w:t xml:space="preserve">seguridad </w:t>
      </w:r>
      <w:r w:rsidR="004178D7">
        <w:rPr>
          <w:rFonts w:ascii="Arial" w:hAnsi="Arial" w:cs="Arial"/>
          <w:lang w:val="es-ES"/>
        </w:rPr>
        <w:t xml:space="preserve">del transporte terrestre, ferroviario, aéreo y fluvial? </w:t>
      </w:r>
    </w:p>
    <w:p w14:paraId="0FA8A926" w14:textId="580C5336" w:rsidR="00EF02EB" w:rsidRDefault="007A2F3E"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sidRPr="00C22824">
        <w:rPr>
          <w:rFonts w:ascii="Arial" w:hAnsi="Arial" w:cs="Arial"/>
          <w:lang w:val="es-ES"/>
        </w:rPr>
        <w:t xml:space="preserve">¿Se ha contribuido </w:t>
      </w:r>
      <w:r w:rsidR="009C0BEF" w:rsidRPr="00C22824">
        <w:rPr>
          <w:rFonts w:ascii="Arial" w:hAnsi="Arial" w:cs="Arial"/>
          <w:lang w:val="es-ES"/>
        </w:rPr>
        <w:t>a</w:t>
      </w:r>
      <w:r w:rsidR="00EF02EB">
        <w:rPr>
          <w:rFonts w:ascii="Arial" w:hAnsi="Arial" w:cs="Arial"/>
          <w:lang w:val="es-ES"/>
        </w:rPr>
        <w:t xml:space="preserve"> </w:t>
      </w:r>
      <w:r w:rsidR="004178D7">
        <w:rPr>
          <w:rFonts w:ascii="Arial" w:hAnsi="Arial" w:cs="Arial"/>
          <w:lang w:val="es-ES"/>
        </w:rPr>
        <w:t>mejorar la efici</w:t>
      </w:r>
      <w:r w:rsidR="00F13F8A">
        <w:rPr>
          <w:rFonts w:ascii="Arial" w:hAnsi="Arial" w:cs="Arial"/>
          <w:lang w:val="es-ES"/>
        </w:rPr>
        <w:t>encia del transporte terrestre?</w:t>
      </w:r>
    </w:p>
    <w:p w14:paraId="58B26DAF" w14:textId="317CABD8" w:rsidR="00EF02EB" w:rsidRDefault="00F13F8A" w:rsidP="00F64E64">
      <w:pPr>
        <w:pStyle w:val="Title"/>
        <w:numPr>
          <w:ilvl w:val="0"/>
          <w:numId w:val="29"/>
        </w:numPr>
        <w:tabs>
          <w:tab w:val="clear" w:pos="1440"/>
          <w:tab w:val="clear" w:pos="3060"/>
        </w:tabs>
        <w:spacing w:line="276" w:lineRule="auto"/>
        <w:ind w:left="450" w:hanging="450"/>
        <w:jc w:val="both"/>
        <w:rPr>
          <w:rFonts w:ascii="Arial" w:hAnsi="Arial" w:cs="Arial"/>
          <w:lang w:val="es-ES"/>
        </w:rPr>
      </w:pPr>
      <w:r>
        <w:rPr>
          <w:rFonts w:ascii="Arial" w:hAnsi="Arial" w:cs="Arial"/>
          <w:lang w:val="es-ES"/>
        </w:rPr>
        <w:t>¿</w:t>
      </w:r>
      <w:r w:rsidR="00FE2DE0">
        <w:rPr>
          <w:rFonts w:ascii="Arial" w:hAnsi="Arial" w:cs="Arial"/>
          <w:lang w:val="es-ES"/>
        </w:rPr>
        <w:t xml:space="preserve">Se ha contribuido a </w:t>
      </w:r>
      <w:r w:rsidR="004178D7">
        <w:rPr>
          <w:rFonts w:ascii="Arial" w:hAnsi="Arial" w:cs="Arial"/>
          <w:lang w:val="es-ES"/>
        </w:rPr>
        <w:t xml:space="preserve">promover la sostenibilidad ambiental a través de </w:t>
      </w:r>
      <w:r w:rsidR="00FE2DE0">
        <w:rPr>
          <w:rFonts w:ascii="Arial" w:hAnsi="Arial" w:cs="Arial"/>
          <w:lang w:val="es-ES"/>
        </w:rPr>
        <w:t>la reducción de las emisiones</w:t>
      </w:r>
      <w:r w:rsidR="00EF02EB">
        <w:rPr>
          <w:rFonts w:ascii="Arial" w:hAnsi="Arial" w:cs="Arial"/>
          <w:lang w:val="es-ES"/>
        </w:rPr>
        <w:t xml:space="preserve"> del parque </w:t>
      </w:r>
      <w:r w:rsidR="00D014AC">
        <w:rPr>
          <w:rFonts w:ascii="Arial" w:hAnsi="Arial" w:cs="Arial"/>
          <w:lang w:val="es-ES"/>
        </w:rPr>
        <w:t xml:space="preserve">automotor </w:t>
      </w:r>
      <w:r w:rsidR="00EF02EB">
        <w:rPr>
          <w:rFonts w:ascii="Arial" w:hAnsi="Arial" w:cs="Arial"/>
          <w:lang w:val="es-ES"/>
        </w:rPr>
        <w:t>vehicular</w:t>
      </w:r>
      <w:r w:rsidR="00FE2DE0">
        <w:rPr>
          <w:rFonts w:ascii="Arial" w:hAnsi="Arial" w:cs="Arial"/>
          <w:lang w:val="es-ES"/>
        </w:rPr>
        <w:t>?</w:t>
      </w:r>
    </w:p>
    <w:p w14:paraId="7C8B01F4" w14:textId="77777777" w:rsidR="00A9542F" w:rsidRDefault="00A9542F" w:rsidP="000D0CBE">
      <w:pPr>
        <w:pStyle w:val="Title"/>
        <w:tabs>
          <w:tab w:val="clear" w:pos="1440"/>
          <w:tab w:val="clear" w:pos="3060"/>
        </w:tabs>
        <w:spacing w:line="276" w:lineRule="auto"/>
        <w:ind w:left="450"/>
        <w:jc w:val="both"/>
        <w:outlineLvl w:val="9"/>
        <w:rPr>
          <w:rFonts w:ascii="Arial" w:hAnsi="Arial" w:cs="Arial"/>
          <w:lang w:val="es-ES"/>
        </w:rPr>
      </w:pPr>
    </w:p>
    <w:p w14:paraId="7024BA82" w14:textId="77777777" w:rsidR="00A9542F" w:rsidRPr="00F64E64" w:rsidRDefault="00A9542F" w:rsidP="00F64E64">
      <w:pPr>
        <w:pStyle w:val="Caption"/>
        <w:keepNext/>
        <w:spacing w:after="0" w:line="276" w:lineRule="auto"/>
        <w:jc w:val="center"/>
        <w:rPr>
          <w:rFonts w:ascii="Arial" w:hAnsi="Arial" w:cs="Arial"/>
          <w:b/>
          <w:bCs/>
          <w:i w:val="0"/>
          <w:iCs w:val="0"/>
          <w:color w:val="000000"/>
          <w:lang w:val="es-ES"/>
        </w:rPr>
      </w:pPr>
      <w:r w:rsidRPr="00F64E64">
        <w:rPr>
          <w:rFonts w:ascii="Arial" w:hAnsi="Arial" w:cs="Arial"/>
          <w:b/>
          <w:bCs/>
          <w:i w:val="0"/>
          <w:iCs w:val="0"/>
          <w:color w:val="000000"/>
          <w:lang w:val="es-ES"/>
        </w:rPr>
        <w:t xml:space="preserve">Tabla </w:t>
      </w:r>
      <w:r w:rsidRPr="00F64E64">
        <w:fldChar w:fldCharType="begin"/>
      </w:r>
      <w:r w:rsidRPr="006715E2">
        <w:rPr>
          <w:rFonts w:ascii="Arial" w:hAnsi="Arial" w:cs="Arial"/>
          <w:b/>
          <w:i w:val="0"/>
          <w:color w:val="000000"/>
          <w:lang w:val="es-ES"/>
        </w:rPr>
        <w:instrText xml:space="preserve"> SEQ Tabla \* ARABIC </w:instrText>
      </w:r>
      <w:r w:rsidRPr="3C87D50B">
        <w:rPr>
          <w:rFonts w:ascii="Arial" w:hAnsi="Arial" w:cs="Arial"/>
          <w:b/>
          <w:i w:val="0"/>
          <w:color w:val="000000"/>
          <w:lang w:val="es-ES"/>
        </w:rPr>
        <w:fldChar w:fldCharType="separate"/>
      </w:r>
      <w:r w:rsidR="000A6E76" w:rsidRPr="00F64E64">
        <w:rPr>
          <w:rFonts w:ascii="Arial" w:hAnsi="Arial" w:cs="Arial"/>
          <w:b/>
          <w:bCs/>
          <w:i w:val="0"/>
          <w:iCs w:val="0"/>
          <w:noProof/>
          <w:color w:val="000000"/>
          <w:lang w:val="es-ES"/>
        </w:rPr>
        <w:t>3</w:t>
      </w:r>
      <w:r w:rsidRPr="00F64E64">
        <w:fldChar w:fldCharType="end"/>
      </w:r>
      <w:r w:rsidRPr="00F64E64">
        <w:rPr>
          <w:rFonts w:ascii="Arial" w:hAnsi="Arial" w:cs="Arial"/>
          <w:b/>
          <w:bCs/>
          <w:i w:val="0"/>
          <w:iCs w:val="0"/>
          <w:color w:val="000000"/>
          <w:lang w:val="es-ES"/>
        </w:rPr>
        <w:t>. Relación de las Preguntas de Evaluación con los Indicadores de la Matriz de Resultados.</w:t>
      </w:r>
    </w:p>
    <w:tbl>
      <w:tblPr>
        <w:tblW w:w="1099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3960"/>
        <w:gridCol w:w="3870"/>
      </w:tblGrid>
      <w:tr w:rsidR="00A9542F" w:rsidRPr="006715E2" w14:paraId="773F604E" w14:textId="77777777" w:rsidTr="00F64E64">
        <w:tc>
          <w:tcPr>
            <w:tcW w:w="3168" w:type="dxa"/>
            <w:shd w:val="clear" w:color="auto" w:fill="F2F2F2" w:themeFill="background1" w:themeFillShade="F2"/>
          </w:tcPr>
          <w:p w14:paraId="4C1412C0" w14:textId="77777777" w:rsidR="00A9542F" w:rsidRPr="00F64E64" w:rsidRDefault="00A9542F" w:rsidP="00F64E64">
            <w:pPr>
              <w:pStyle w:val="Title"/>
              <w:tabs>
                <w:tab w:val="clear" w:pos="1440"/>
                <w:tab w:val="clear" w:pos="3060"/>
              </w:tabs>
              <w:spacing w:line="0" w:lineRule="atLeast"/>
              <w:rPr>
                <w:rFonts w:ascii="Arial" w:hAnsi="Arial" w:cs="Arial"/>
                <w:b/>
                <w:bCs/>
                <w:sz w:val="20"/>
                <w:lang w:val="es-ES"/>
              </w:rPr>
            </w:pPr>
            <w:r w:rsidRPr="00F64E64">
              <w:rPr>
                <w:rFonts w:ascii="Arial" w:hAnsi="Arial" w:cs="Arial"/>
                <w:b/>
                <w:bCs/>
                <w:sz w:val="20"/>
                <w:lang w:val="es-ES"/>
              </w:rPr>
              <w:t>Pregunta de Evaluación</w:t>
            </w:r>
          </w:p>
        </w:tc>
        <w:tc>
          <w:tcPr>
            <w:tcW w:w="3960" w:type="dxa"/>
            <w:shd w:val="clear" w:color="auto" w:fill="F2F2F2" w:themeFill="background1" w:themeFillShade="F2"/>
          </w:tcPr>
          <w:p w14:paraId="392028FE" w14:textId="77777777" w:rsidR="00A9542F" w:rsidRPr="00F64E64" w:rsidRDefault="00A9542F" w:rsidP="00F64E64">
            <w:pPr>
              <w:pStyle w:val="Title"/>
              <w:tabs>
                <w:tab w:val="clear" w:pos="1440"/>
                <w:tab w:val="clear" w:pos="3060"/>
              </w:tabs>
              <w:spacing w:line="0" w:lineRule="atLeast"/>
              <w:rPr>
                <w:rFonts w:ascii="Arial" w:hAnsi="Arial" w:cs="Arial"/>
                <w:b/>
                <w:bCs/>
                <w:sz w:val="20"/>
                <w:lang w:val="es-ES"/>
              </w:rPr>
            </w:pPr>
            <w:r w:rsidRPr="00F64E64">
              <w:rPr>
                <w:rFonts w:ascii="Arial" w:hAnsi="Arial" w:cs="Arial"/>
                <w:b/>
                <w:bCs/>
                <w:sz w:val="20"/>
                <w:lang w:val="es-ES"/>
              </w:rPr>
              <w:t>Indicadores de Impacto Asociados</w:t>
            </w:r>
          </w:p>
        </w:tc>
        <w:tc>
          <w:tcPr>
            <w:tcW w:w="3870" w:type="dxa"/>
            <w:shd w:val="clear" w:color="auto" w:fill="F2F2F2" w:themeFill="background1" w:themeFillShade="F2"/>
          </w:tcPr>
          <w:p w14:paraId="21D15890" w14:textId="77777777" w:rsidR="00A9542F" w:rsidRPr="00F64E64" w:rsidRDefault="00A9542F" w:rsidP="00F64E64">
            <w:pPr>
              <w:pStyle w:val="Title"/>
              <w:tabs>
                <w:tab w:val="clear" w:pos="1440"/>
                <w:tab w:val="clear" w:pos="3060"/>
              </w:tabs>
              <w:spacing w:line="0" w:lineRule="atLeast"/>
              <w:rPr>
                <w:rFonts w:ascii="Arial" w:hAnsi="Arial" w:cs="Arial"/>
                <w:b/>
                <w:bCs/>
                <w:sz w:val="20"/>
                <w:lang w:val="es-ES"/>
              </w:rPr>
            </w:pPr>
            <w:r w:rsidRPr="00F64E64">
              <w:rPr>
                <w:rFonts w:ascii="Arial" w:hAnsi="Arial" w:cs="Arial"/>
                <w:b/>
                <w:bCs/>
                <w:sz w:val="20"/>
                <w:lang w:val="es-ES"/>
              </w:rPr>
              <w:t>Indicadores de Resultado Asociados</w:t>
            </w:r>
          </w:p>
        </w:tc>
      </w:tr>
      <w:tr w:rsidR="00A9542F" w:rsidRPr="00F64E64" w14:paraId="186BC869" w14:textId="77777777" w:rsidTr="2A9C513E">
        <w:tc>
          <w:tcPr>
            <w:tcW w:w="3168" w:type="dxa"/>
            <w:shd w:val="clear" w:color="auto" w:fill="auto"/>
          </w:tcPr>
          <w:p w14:paraId="555E81ED"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lastRenderedPageBreak/>
              <w:t>¿Se ha contribuido a incrementar la planificación integral con visión plurianual que oriente la identificación, programación y priorización de las inversiones en el sector transporte?</w:t>
            </w:r>
          </w:p>
        </w:tc>
        <w:tc>
          <w:tcPr>
            <w:tcW w:w="3960" w:type="dxa"/>
          </w:tcPr>
          <w:p w14:paraId="25AB4906"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 xml:space="preserve">No se incluyen indicadores de impacto asociados a esta pregunta de evaluación. </w:t>
            </w:r>
          </w:p>
        </w:tc>
        <w:tc>
          <w:tcPr>
            <w:tcW w:w="3870" w:type="dxa"/>
            <w:shd w:val="clear" w:color="auto" w:fill="auto"/>
          </w:tcPr>
          <w:p w14:paraId="371D428C"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Porcentaje de intervenciones sectoriales basadas en planificación plurianual.</w:t>
            </w:r>
          </w:p>
          <w:p w14:paraId="788EC6C1"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planes maestros de aeropuertos actualizados de acuerdo a la Guía para la preparación de planes maestros de transporte aéreo.</w:t>
            </w:r>
          </w:p>
        </w:tc>
      </w:tr>
      <w:tr w:rsidR="00A9542F" w:rsidRPr="00F64E64" w14:paraId="68C4173F" w14:textId="77777777" w:rsidTr="2A9C513E">
        <w:tc>
          <w:tcPr>
            <w:tcW w:w="3168" w:type="dxa"/>
            <w:shd w:val="clear" w:color="auto" w:fill="auto"/>
          </w:tcPr>
          <w:p w14:paraId="79F42601"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t>¿Se ha contribuido al incremento en el uso del transporte terrestre, férreo, acuático y aéreo?</w:t>
            </w:r>
          </w:p>
        </w:tc>
        <w:tc>
          <w:tcPr>
            <w:tcW w:w="3960" w:type="dxa"/>
          </w:tcPr>
          <w:p w14:paraId="2662E79B"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Índice de Cantidad (Laspeyres) del Transporte de Carga Carretero Interdepartamental.</w:t>
            </w:r>
          </w:p>
          <w:p w14:paraId="3B5BE6B9"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Toneladas de carga de exportación transportadas por la red terrestre.</w:t>
            </w:r>
          </w:p>
          <w:p w14:paraId="4FAF10A3"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Toneladas de carga transportadas por la red férrea.</w:t>
            </w:r>
          </w:p>
          <w:p w14:paraId="0A1E175B"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Toneladas de carga de exportación transportadas por la red férrea.</w:t>
            </w:r>
          </w:p>
          <w:p w14:paraId="3F72C53E"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Índice de Cantidad (Laspeyres) del Transporte Aéreo Nacional de carga.</w:t>
            </w:r>
          </w:p>
          <w:p w14:paraId="3105A46E"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Índice de Cantidad (Laspeyres) del Transporte Aéreo Internacional de carga.</w:t>
            </w:r>
          </w:p>
          <w:p w14:paraId="4081DFAF"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Índice de Cantidad (Laspeyres) del Transporte Aéreo Nacional de pasajeros.</w:t>
            </w:r>
          </w:p>
          <w:p w14:paraId="516F209A"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Índice de Cantidad (Laspeyres) del Transporte Aéreo Internacional de pasajeros.</w:t>
            </w:r>
          </w:p>
          <w:p w14:paraId="2F42A098"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Toneladas de carga de exportación transportadas por la red fluvial.</w:t>
            </w:r>
          </w:p>
        </w:tc>
        <w:tc>
          <w:tcPr>
            <w:tcW w:w="3870" w:type="dxa"/>
            <w:shd w:val="clear" w:color="auto" w:fill="auto"/>
          </w:tcPr>
          <w:p w14:paraId="2A17A93B"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 xml:space="preserve">No se incluyen indicadores de resultado asociados a esta pregunta de evaluación. </w:t>
            </w:r>
          </w:p>
        </w:tc>
      </w:tr>
      <w:tr w:rsidR="00A9542F" w:rsidRPr="00F64E64" w14:paraId="5388C06B" w14:textId="77777777" w:rsidTr="2A9C513E">
        <w:tc>
          <w:tcPr>
            <w:tcW w:w="3168" w:type="dxa"/>
            <w:shd w:val="clear" w:color="auto" w:fill="auto"/>
          </w:tcPr>
          <w:p w14:paraId="45BCAB6C"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t xml:space="preserve">¿Se ha contribuido a mejorar la calidad de la infraestructura y los servicios de transporte? </w:t>
            </w:r>
          </w:p>
        </w:tc>
        <w:tc>
          <w:tcPr>
            <w:tcW w:w="3960" w:type="dxa"/>
          </w:tcPr>
          <w:p w14:paraId="72091869"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No se incluyen indicadores de impacto asociados a esta pregunta de evaluación.</w:t>
            </w:r>
          </w:p>
        </w:tc>
        <w:tc>
          <w:tcPr>
            <w:tcW w:w="3870" w:type="dxa"/>
            <w:shd w:val="clear" w:color="auto" w:fill="auto"/>
          </w:tcPr>
          <w:p w14:paraId="61FA6D9A"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reclamos directos respecto al servicio prestado (incluyendo atención, condiciones de los vehículos, servicio terminal) recibidos anualmente.</w:t>
            </w:r>
          </w:p>
          <w:p w14:paraId="5F4B97B7"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Edad media de la flota vehicular en el país.</w:t>
            </w:r>
          </w:p>
          <w:p w14:paraId="72084176"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Porcentaje de la RVF en condiciones buenas, regulares y malas.</w:t>
            </w:r>
          </w:p>
          <w:p w14:paraId="41C440FB"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puestos de control de pesos en la RVF en operación.</w:t>
            </w:r>
          </w:p>
          <w:p w14:paraId="20FDB36E"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reclamos directos relacionados con la calidad del servicio aéreo (incluyendo atención, equipaje, y encomiendas) recibidos anualmente.</w:t>
            </w:r>
          </w:p>
          <w:p w14:paraId="3FD9390F"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reclamos directos por cancelación de vuelos recibidos anualmente.</w:t>
            </w:r>
          </w:p>
          <w:p w14:paraId="0B6ED3D6"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reclamos directos por la puntualidad de vuelos recibidos anualmente.</w:t>
            </w:r>
          </w:p>
          <w:p w14:paraId="35C174FC"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 xml:space="preserve">Porcentaje de aeródromos de uso público certificados para atender operaciones de transporte aéreo público.  </w:t>
            </w:r>
          </w:p>
          <w:p w14:paraId="59B1C2E2"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lastRenderedPageBreak/>
              <w:t>Porcentaje de aeropuertos en operación que aplican medidas de mitigación ambiental.</w:t>
            </w:r>
          </w:p>
          <w:p w14:paraId="138E420E"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 xml:space="preserve">Porcentaje de operadores de transporte acuático de pasajeros que tienen seguro de terceros. </w:t>
            </w:r>
          </w:p>
        </w:tc>
      </w:tr>
      <w:tr w:rsidR="00A9542F" w:rsidRPr="00F64E64" w14:paraId="79EC19FC" w14:textId="77777777" w:rsidTr="2A9C513E">
        <w:tc>
          <w:tcPr>
            <w:tcW w:w="3168" w:type="dxa"/>
            <w:shd w:val="clear" w:color="auto" w:fill="auto"/>
          </w:tcPr>
          <w:p w14:paraId="404A9E97"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lastRenderedPageBreak/>
              <w:t>¿Se ha contribuido a mejorar la seguridad del transporte terrestre, ferroviario, aéreo y fluvial?</w:t>
            </w:r>
          </w:p>
        </w:tc>
        <w:tc>
          <w:tcPr>
            <w:tcW w:w="3960" w:type="dxa"/>
          </w:tcPr>
          <w:p w14:paraId="09B2D8E8" w14:textId="6D0B97F1" w:rsidR="00DF2ED4" w:rsidRPr="00F64E64" w:rsidRDefault="00DF2ED4"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Tasa de crecimiento anual del número de fallecidos en accidentes viales.</w:t>
            </w:r>
          </w:p>
        </w:tc>
        <w:tc>
          <w:tcPr>
            <w:tcW w:w="3870" w:type="dxa"/>
            <w:shd w:val="clear" w:color="auto" w:fill="auto"/>
          </w:tcPr>
          <w:p w14:paraId="2D37EBCA"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Número de descarrilamientos anuales  reportados en las redes ferroviarias oriental y occidental.</w:t>
            </w:r>
            <w:r w:rsidRPr="00F64E64">
              <w:rPr>
                <w:rFonts w:ascii="Arial" w:hAnsi="Arial" w:cs="Arial"/>
                <w:sz w:val="20"/>
                <w:lang w:val="es-ES"/>
              </w:rPr>
              <w:t xml:space="preserve"> </w:t>
            </w:r>
          </w:p>
          <w:p w14:paraId="555D5E00" w14:textId="67090E40"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00F64E64">
              <w:rPr>
                <w:rFonts w:ascii="Arial" w:hAnsi="Arial" w:cs="Arial"/>
                <w:sz w:val="20"/>
                <w:lang w:val="es-ES"/>
              </w:rPr>
              <w:t xml:space="preserve">Porcentaje de </w:t>
            </w:r>
            <w:r w:rsidR="00126BA3" w:rsidRPr="00F64E64">
              <w:rPr>
                <w:rFonts w:ascii="Arial" w:hAnsi="Arial" w:cs="Arial"/>
                <w:sz w:val="20"/>
                <w:lang w:val="es-ES"/>
              </w:rPr>
              <w:t xml:space="preserve">las </w:t>
            </w:r>
            <w:r w:rsidRPr="00F64E64">
              <w:rPr>
                <w:rFonts w:ascii="Arial" w:hAnsi="Arial" w:cs="Arial"/>
                <w:sz w:val="20"/>
                <w:lang w:val="es-ES"/>
              </w:rPr>
              <w:t xml:space="preserve">intervenciones </w:t>
            </w:r>
            <w:r w:rsidRPr="2A9C513E">
              <w:rPr>
                <w:rFonts w:ascii="Arial" w:hAnsi="Arial" w:cs="Arial"/>
                <w:sz w:val="20"/>
                <w:lang w:val="es-ES"/>
              </w:rPr>
              <w:t>de seguridad vial</w:t>
            </w:r>
            <w:r w:rsidRPr="00F64E64">
              <w:rPr>
                <w:rFonts w:ascii="Arial" w:hAnsi="Arial" w:cs="Arial"/>
                <w:sz w:val="20"/>
                <w:lang w:val="es-ES"/>
              </w:rPr>
              <w:t xml:space="preserve"> identificadas por el Programa de Puntos Críticos de la ABC</w:t>
            </w:r>
            <w:r w:rsidR="0026544B" w:rsidRPr="00F64E64">
              <w:rPr>
                <w:rFonts w:ascii="Arial" w:hAnsi="Arial" w:cs="Arial"/>
                <w:sz w:val="20"/>
                <w:lang w:val="es-ES"/>
              </w:rPr>
              <w:t xml:space="preserve"> ejecutadas</w:t>
            </w:r>
            <w:r w:rsidRPr="00F64E64">
              <w:rPr>
                <w:rFonts w:ascii="Arial" w:hAnsi="Arial" w:cs="Arial"/>
                <w:sz w:val="20"/>
                <w:lang w:val="es-ES"/>
              </w:rPr>
              <w:t>.</w:t>
            </w:r>
          </w:p>
        </w:tc>
      </w:tr>
      <w:tr w:rsidR="00A9542F" w:rsidRPr="00F64E64" w14:paraId="67A7D1B8" w14:textId="77777777" w:rsidTr="2A9C513E">
        <w:tc>
          <w:tcPr>
            <w:tcW w:w="3168" w:type="dxa"/>
            <w:shd w:val="clear" w:color="auto" w:fill="auto"/>
          </w:tcPr>
          <w:p w14:paraId="71ADDFA4"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t>¿Se ha contribuido a mejorar la eficiencia del transporte terrestre?</w:t>
            </w:r>
          </w:p>
          <w:p w14:paraId="3669839A" w14:textId="77777777" w:rsidR="00A9542F" w:rsidRPr="000709CA" w:rsidRDefault="00A9542F" w:rsidP="00A9542F">
            <w:pPr>
              <w:pStyle w:val="Title"/>
              <w:tabs>
                <w:tab w:val="clear" w:pos="1440"/>
                <w:tab w:val="clear" w:pos="3060"/>
              </w:tabs>
              <w:spacing w:line="0" w:lineRule="atLeast"/>
              <w:jc w:val="both"/>
              <w:outlineLvl w:val="9"/>
              <w:rPr>
                <w:rFonts w:ascii="Arial" w:hAnsi="Arial" w:cs="Arial"/>
                <w:sz w:val="20"/>
                <w:lang w:val="es-ES"/>
              </w:rPr>
            </w:pPr>
          </w:p>
        </w:tc>
        <w:tc>
          <w:tcPr>
            <w:tcW w:w="3960" w:type="dxa"/>
          </w:tcPr>
          <w:p w14:paraId="23DE93C5"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Costos operativos totales de la Red Vial Fundamental.</w:t>
            </w:r>
          </w:p>
        </w:tc>
        <w:tc>
          <w:tcPr>
            <w:tcW w:w="3870" w:type="dxa"/>
            <w:shd w:val="clear" w:color="auto" w:fill="auto"/>
          </w:tcPr>
          <w:p w14:paraId="2CD7A37E"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Costo unitario de mantenimiento y rehabilitación de carreteras.</w:t>
            </w:r>
          </w:p>
        </w:tc>
      </w:tr>
      <w:tr w:rsidR="00A9542F" w:rsidRPr="00F64E64" w14:paraId="4F5D38E2" w14:textId="77777777" w:rsidTr="2A9C513E">
        <w:tc>
          <w:tcPr>
            <w:tcW w:w="3168" w:type="dxa"/>
            <w:shd w:val="clear" w:color="auto" w:fill="auto"/>
          </w:tcPr>
          <w:p w14:paraId="2C255B7C" w14:textId="77777777" w:rsidR="00A9542F" w:rsidRPr="00F64E64" w:rsidRDefault="00A9542F" w:rsidP="00F64E64">
            <w:pPr>
              <w:pStyle w:val="Title"/>
              <w:numPr>
                <w:ilvl w:val="0"/>
                <w:numId w:val="30"/>
              </w:numPr>
              <w:tabs>
                <w:tab w:val="clear" w:pos="1440"/>
                <w:tab w:val="clear" w:pos="3060"/>
              </w:tabs>
              <w:spacing w:line="0" w:lineRule="atLeast"/>
              <w:ind w:left="270" w:hanging="270"/>
              <w:jc w:val="both"/>
              <w:rPr>
                <w:rFonts w:ascii="Arial" w:hAnsi="Arial" w:cs="Arial"/>
                <w:sz w:val="20"/>
                <w:lang w:val="es-ES"/>
              </w:rPr>
            </w:pPr>
            <w:r w:rsidRPr="3C87D50B">
              <w:rPr>
                <w:rFonts w:ascii="Arial" w:hAnsi="Arial" w:cs="Arial"/>
                <w:sz w:val="20"/>
                <w:lang w:val="es-ES"/>
              </w:rPr>
              <w:t>¿Se ha contribuido a promover la sostenibilidad ambiental a través de la reducción de las emisiones del parque automotor vehicular?</w:t>
            </w:r>
          </w:p>
        </w:tc>
        <w:tc>
          <w:tcPr>
            <w:tcW w:w="3960" w:type="dxa"/>
          </w:tcPr>
          <w:p w14:paraId="30335D25"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 xml:space="preserve">No se incluyen indicadores de impacto asociados a esta pregunta de evaluación. </w:t>
            </w:r>
          </w:p>
        </w:tc>
        <w:tc>
          <w:tcPr>
            <w:tcW w:w="3870" w:type="dxa"/>
            <w:shd w:val="clear" w:color="auto" w:fill="auto"/>
          </w:tcPr>
          <w:p w14:paraId="3D8917A7" w14:textId="77777777" w:rsidR="00A9542F" w:rsidRPr="00F64E64" w:rsidRDefault="00A9542F" w:rsidP="00F64E64">
            <w:pPr>
              <w:pStyle w:val="Title"/>
              <w:numPr>
                <w:ilvl w:val="0"/>
                <w:numId w:val="31"/>
              </w:numPr>
              <w:tabs>
                <w:tab w:val="clear" w:pos="1440"/>
                <w:tab w:val="clear" w:pos="3060"/>
              </w:tabs>
              <w:spacing w:line="0" w:lineRule="atLeast"/>
              <w:ind w:left="256" w:hanging="270"/>
              <w:jc w:val="both"/>
              <w:rPr>
                <w:rFonts w:ascii="Arial" w:hAnsi="Arial" w:cs="Arial"/>
                <w:sz w:val="20"/>
                <w:lang w:val="es-ES"/>
              </w:rPr>
            </w:pPr>
            <w:r w:rsidRPr="3C87D50B">
              <w:rPr>
                <w:rFonts w:ascii="Arial" w:hAnsi="Arial" w:cs="Arial"/>
                <w:sz w:val="20"/>
                <w:lang w:val="es-ES"/>
              </w:rPr>
              <w:t>Toneladas de emisiones producidas anualmente por vehículos de pasajeros  y de carga.</w:t>
            </w:r>
          </w:p>
        </w:tc>
      </w:tr>
    </w:tbl>
    <w:p w14:paraId="45E5DEEC" w14:textId="3D5C0DE6" w:rsidR="007A2F3E" w:rsidRPr="00F64E64" w:rsidRDefault="007A2F3E" w:rsidP="00F64E64">
      <w:pPr>
        <w:pStyle w:val="ColorfulList-Accent11"/>
        <w:numPr>
          <w:ilvl w:val="1"/>
          <w:numId w:val="13"/>
        </w:numPr>
        <w:spacing w:after="0"/>
        <w:ind w:left="360"/>
        <w:jc w:val="both"/>
        <w:outlineLvl w:val="1"/>
        <w:rPr>
          <w:rFonts w:ascii="Arial" w:hAnsi="Arial" w:cs="Arial"/>
          <w:b/>
          <w:bCs/>
          <w:lang w:val="es-ES"/>
        </w:rPr>
      </w:pPr>
      <w:bookmarkStart w:id="9" w:name="_Toc468893960"/>
      <w:bookmarkStart w:id="10" w:name="_Toc468954064"/>
      <w:bookmarkStart w:id="11" w:name="_Toc468893961"/>
      <w:bookmarkStart w:id="12" w:name="_Toc468954065"/>
      <w:bookmarkStart w:id="13" w:name="_Toc468954066"/>
      <w:bookmarkEnd w:id="9"/>
      <w:bookmarkEnd w:id="10"/>
      <w:bookmarkEnd w:id="11"/>
      <w:bookmarkEnd w:id="12"/>
      <w:r w:rsidRPr="00F64E64">
        <w:rPr>
          <w:rFonts w:ascii="Arial" w:hAnsi="Arial" w:cs="Arial"/>
          <w:b/>
          <w:bCs/>
          <w:lang w:val="es-ES"/>
        </w:rPr>
        <w:t xml:space="preserve">Indicadores </w:t>
      </w:r>
      <w:r w:rsidR="00B04E9F" w:rsidRPr="00F64E64">
        <w:rPr>
          <w:rFonts w:ascii="Arial" w:hAnsi="Arial" w:cs="Arial"/>
          <w:b/>
          <w:bCs/>
          <w:lang w:val="es-ES"/>
        </w:rPr>
        <w:t>Principales para la Evaluación</w:t>
      </w:r>
      <w:bookmarkEnd w:id="13"/>
    </w:p>
    <w:p w14:paraId="0F8DFD96" w14:textId="77777777" w:rsidR="00B04E9F" w:rsidRPr="00C22824" w:rsidRDefault="00B04E9F" w:rsidP="002A34B5">
      <w:pPr>
        <w:pStyle w:val="Title"/>
        <w:tabs>
          <w:tab w:val="clear" w:pos="1440"/>
          <w:tab w:val="clear" w:pos="3060"/>
        </w:tabs>
        <w:spacing w:line="276" w:lineRule="auto"/>
        <w:jc w:val="both"/>
        <w:outlineLvl w:val="9"/>
        <w:rPr>
          <w:rFonts w:ascii="Arial" w:hAnsi="Arial" w:cs="Arial"/>
          <w:lang w:val="es-ES"/>
        </w:rPr>
      </w:pPr>
    </w:p>
    <w:p w14:paraId="2BEEF32F" w14:textId="1E870E17" w:rsidR="00C22824" w:rsidRPr="00C22824" w:rsidRDefault="007A2F3E"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 xml:space="preserve">Se definieron indicadores de </w:t>
      </w:r>
      <w:r w:rsidR="00A9542F">
        <w:rPr>
          <w:rFonts w:ascii="Arial" w:hAnsi="Arial" w:cs="Arial"/>
          <w:lang w:val="es-ES"/>
        </w:rPr>
        <w:t xml:space="preserve">impacto y </w:t>
      </w:r>
      <w:r w:rsidRPr="00C22824">
        <w:rPr>
          <w:rFonts w:ascii="Arial" w:hAnsi="Arial" w:cs="Arial"/>
          <w:lang w:val="es-ES"/>
        </w:rPr>
        <w:t>resultado por cada modo de transporte, tomando en consideración las acciones de política y la situaci</w:t>
      </w:r>
      <w:r w:rsidR="00B04E9F" w:rsidRPr="00C22824">
        <w:rPr>
          <w:rFonts w:ascii="Arial" w:hAnsi="Arial" w:cs="Arial"/>
          <w:lang w:val="es-ES"/>
        </w:rPr>
        <w:t>ón actual (línea de base) de cad</w:t>
      </w:r>
      <w:r w:rsidRPr="00C22824">
        <w:rPr>
          <w:rFonts w:ascii="Arial" w:hAnsi="Arial" w:cs="Arial"/>
          <w:lang w:val="es-ES"/>
        </w:rPr>
        <w:t xml:space="preserve">a caso en particular. </w:t>
      </w:r>
      <w:r w:rsidR="00035AE4" w:rsidRPr="00F64E64">
        <w:rPr>
          <w:rFonts w:ascii="Arial" w:hAnsi="Arial" w:cs="Arial"/>
          <w:lang w:val="es-ES"/>
        </w:rPr>
        <w:t xml:space="preserve">Considerando una aprobación de la tercera operación en el año 2019, la obtención de los resultados esperados ha sido fijada en 2020, fecha en la que se habrá podido medir un ciclo completo anual tras la implementación de las reformas. </w:t>
      </w:r>
      <w:r w:rsidRPr="00C22824">
        <w:rPr>
          <w:rFonts w:ascii="Arial" w:hAnsi="Arial" w:cs="Arial"/>
          <w:lang w:val="es-ES"/>
        </w:rPr>
        <w:t xml:space="preserve">Los </w:t>
      </w:r>
      <w:r w:rsidR="00B04E9F" w:rsidRPr="00C22824">
        <w:rPr>
          <w:rFonts w:ascii="Arial" w:hAnsi="Arial" w:cs="Arial"/>
          <w:lang w:val="es-ES"/>
        </w:rPr>
        <w:t xml:space="preserve">indicadores </w:t>
      </w:r>
      <w:r w:rsidR="004652EA">
        <w:rPr>
          <w:rFonts w:ascii="Arial" w:hAnsi="Arial" w:cs="Arial"/>
          <w:lang w:val="es-ES"/>
        </w:rPr>
        <w:t xml:space="preserve">que serán considerados en </w:t>
      </w:r>
      <w:r w:rsidR="00B04E9F" w:rsidRPr="00C22824">
        <w:rPr>
          <w:rFonts w:ascii="Arial" w:hAnsi="Arial" w:cs="Arial"/>
          <w:lang w:val="es-ES"/>
        </w:rPr>
        <w:t>la evaluación del Programa</w:t>
      </w:r>
      <w:r w:rsidR="004652EA">
        <w:rPr>
          <w:rFonts w:ascii="Arial" w:hAnsi="Arial" w:cs="Arial"/>
          <w:lang w:val="es-ES"/>
        </w:rPr>
        <w:t xml:space="preserve"> incluyen</w:t>
      </w:r>
      <w:r w:rsidR="00B04E9F" w:rsidRPr="00C22824">
        <w:rPr>
          <w:rFonts w:ascii="Arial" w:hAnsi="Arial" w:cs="Arial"/>
          <w:lang w:val="es-ES"/>
        </w:rPr>
        <w:t>:</w:t>
      </w:r>
      <w:r w:rsidR="0099408D">
        <w:rPr>
          <w:rFonts w:ascii="Arial" w:hAnsi="Arial" w:cs="Arial"/>
          <w:lang w:val="es-ES"/>
        </w:rPr>
        <w:t xml:space="preserve"> </w:t>
      </w:r>
    </w:p>
    <w:p w14:paraId="08F419EF" w14:textId="77777777" w:rsidR="00C22824" w:rsidRPr="00C22824" w:rsidRDefault="00C22824" w:rsidP="00B04E9F">
      <w:pPr>
        <w:pStyle w:val="ColorfulList-Accent11"/>
        <w:spacing w:after="0"/>
        <w:ind w:left="0"/>
        <w:jc w:val="center"/>
        <w:rPr>
          <w:rFonts w:ascii="Arial" w:hAnsi="Arial" w:cs="Arial"/>
          <w:sz w:val="20"/>
          <w:szCs w:val="20"/>
          <w:lang w:val="es-ES"/>
        </w:rPr>
      </w:pPr>
    </w:p>
    <w:p w14:paraId="103627C4" w14:textId="3E344E30" w:rsidR="00C22824" w:rsidRPr="00F64E64" w:rsidRDefault="00C22824" w:rsidP="00F64E64">
      <w:pPr>
        <w:pStyle w:val="Caption"/>
        <w:keepNext/>
        <w:spacing w:after="0" w:line="276" w:lineRule="auto"/>
        <w:jc w:val="center"/>
        <w:rPr>
          <w:rFonts w:ascii="Arial" w:hAnsi="Arial" w:cs="Arial"/>
          <w:b/>
          <w:bCs/>
          <w:i w:val="0"/>
          <w:iCs w:val="0"/>
          <w:color w:val="000000" w:themeColor="text1"/>
          <w:lang w:val="es-ES"/>
        </w:rPr>
      </w:pPr>
      <w:r w:rsidRPr="00F64E64">
        <w:rPr>
          <w:rFonts w:ascii="Arial" w:hAnsi="Arial" w:cs="Arial"/>
          <w:b/>
          <w:bCs/>
          <w:i w:val="0"/>
          <w:iCs w:val="0"/>
          <w:color w:val="000000" w:themeColor="text1"/>
          <w:lang w:val="es-ES"/>
        </w:rPr>
        <w:t xml:space="preserve">Tabla </w:t>
      </w:r>
      <w:r w:rsidRPr="00F64E64">
        <w:fldChar w:fldCharType="begin"/>
      </w:r>
      <w:r w:rsidRPr="00C22824">
        <w:rPr>
          <w:rFonts w:ascii="Arial" w:hAnsi="Arial" w:cs="Arial"/>
          <w:b/>
          <w:i w:val="0"/>
          <w:color w:val="000000" w:themeColor="text1"/>
          <w:lang w:val="es-ES"/>
        </w:rPr>
        <w:instrText xml:space="preserve"> SEQ Tabla \* ARABIC </w:instrText>
      </w:r>
      <w:r w:rsidRPr="3C87D50B">
        <w:rPr>
          <w:rFonts w:ascii="Arial" w:hAnsi="Arial" w:cs="Arial"/>
          <w:b/>
          <w:i w:val="0"/>
          <w:color w:val="000000" w:themeColor="text1"/>
          <w:lang w:val="es-ES"/>
        </w:rPr>
        <w:fldChar w:fldCharType="separate"/>
      </w:r>
      <w:r w:rsidR="000A6E76" w:rsidRPr="00F64E64">
        <w:rPr>
          <w:rFonts w:ascii="Arial" w:hAnsi="Arial" w:cs="Arial"/>
          <w:b/>
          <w:bCs/>
          <w:i w:val="0"/>
          <w:iCs w:val="0"/>
          <w:noProof/>
          <w:color w:val="000000" w:themeColor="text1"/>
          <w:lang w:val="es-ES"/>
        </w:rPr>
        <w:t>4</w:t>
      </w:r>
      <w:r w:rsidRPr="00F64E64">
        <w:fldChar w:fldCharType="end"/>
      </w:r>
      <w:r w:rsidRPr="00F64E64">
        <w:rPr>
          <w:rFonts w:ascii="Arial" w:hAnsi="Arial" w:cs="Arial"/>
          <w:b/>
          <w:bCs/>
          <w:i w:val="0"/>
          <w:iCs w:val="0"/>
          <w:color w:val="000000" w:themeColor="text1"/>
          <w:lang w:val="es-ES"/>
        </w:rPr>
        <w:t>: Indicadores de Resultado</w:t>
      </w:r>
    </w:p>
    <w:tbl>
      <w:tblPr>
        <w:tblW w:w="10080" w:type="dxa"/>
        <w:tblInd w:w="-2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700"/>
        <w:gridCol w:w="5490"/>
        <w:gridCol w:w="1890"/>
      </w:tblGrid>
      <w:tr w:rsidR="00477E0A" w:rsidRPr="00477E0A" w14:paraId="27BB7D57" w14:textId="77777777" w:rsidTr="00F64E64">
        <w:trPr>
          <w:trHeight w:val="320"/>
          <w:tblHeader/>
        </w:trPr>
        <w:tc>
          <w:tcPr>
            <w:tcW w:w="2700" w:type="dxa"/>
            <w:shd w:val="clear" w:color="auto" w:fill="BFBFBF" w:themeFill="background1" w:themeFillShade="BF"/>
            <w:noWrap/>
            <w:vAlign w:val="center"/>
            <w:hideMark/>
          </w:tcPr>
          <w:p w14:paraId="58244152" w14:textId="77777777" w:rsidR="00035AE4" w:rsidRPr="000D0CBE" w:rsidRDefault="00035AE4" w:rsidP="00C22824">
            <w:pPr>
              <w:jc w:val="center"/>
              <w:rPr>
                <w:rFonts w:ascii="Arial" w:eastAsia="Times New Roman" w:hAnsi="Arial" w:cs="Arial"/>
                <w:b/>
                <w:bCs/>
                <w:sz w:val="20"/>
                <w:szCs w:val="20"/>
                <w:lang w:val="es-ES"/>
              </w:rPr>
            </w:pPr>
            <w:r w:rsidRPr="000D0CBE">
              <w:rPr>
                <w:rFonts w:ascii="Arial" w:eastAsia="Times New Roman" w:hAnsi="Arial" w:cs="Arial"/>
                <w:b/>
                <w:bCs/>
                <w:sz w:val="20"/>
                <w:szCs w:val="20"/>
                <w:lang w:val="es-ES"/>
              </w:rPr>
              <w:t>Indicador</w:t>
            </w:r>
          </w:p>
        </w:tc>
        <w:tc>
          <w:tcPr>
            <w:tcW w:w="5490" w:type="dxa"/>
            <w:shd w:val="clear" w:color="auto" w:fill="BFBFBF" w:themeFill="background1" w:themeFillShade="BF"/>
          </w:tcPr>
          <w:p w14:paraId="3C8876FC" w14:textId="34AE5F7E" w:rsidR="00035AE4" w:rsidRPr="000D0CBE" w:rsidRDefault="00035AE4" w:rsidP="00C22824">
            <w:pPr>
              <w:jc w:val="center"/>
              <w:rPr>
                <w:rFonts w:ascii="Arial" w:eastAsia="Times New Roman" w:hAnsi="Arial" w:cs="Arial"/>
                <w:b/>
                <w:bCs/>
                <w:sz w:val="20"/>
                <w:szCs w:val="20"/>
                <w:lang w:val="es-ES"/>
              </w:rPr>
            </w:pPr>
            <w:r w:rsidRPr="000D0CBE">
              <w:rPr>
                <w:rFonts w:ascii="Arial" w:eastAsia="Times New Roman" w:hAnsi="Arial" w:cs="Arial"/>
                <w:b/>
                <w:bCs/>
                <w:sz w:val="20"/>
                <w:szCs w:val="20"/>
                <w:lang w:val="es-ES"/>
              </w:rPr>
              <w:t>Metodología de Cálculo</w:t>
            </w:r>
          </w:p>
        </w:tc>
        <w:tc>
          <w:tcPr>
            <w:tcW w:w="1890" w:type="dxa"/>
            <w:shd w:val="clear" w:color="auto" w:fill="BFBFBF" w:themeFill="background1" w:themeFillShade="BF"/>
            <w:noWrap/>
            <w:vAlign w:val="center"/>
            <w:hideMark/>
          </w:tcPr>
          <w:p w14:paraId="01EACCB2" w14:textId="452BCDF1" w:rsidR="00035AE4" w:rsidRPr="000D0CBE" w:rsidRDefault="00035AE4" w:rsidP="00C22824">
            <w:pPr>
              <w:jc w:val="center"/>
              <w:rPr>
                <w:rFonts w:ascii="Arial" w:eastAsia="Times New Roman" w:hAnsi="Arial" w:cs="Arial"/>
                <w:b/>
                <w:bCs/>
                <w:sz w:val="20"/>
                <w:szCs w:val="20"/>
                <w:lang w:val="es-ES"/>
              </w:rPr>
            </w:pPr>
            <w:r w:rsidRPr="000D0CBE">
              <w:rPr>
                <w:rFonts w:ascii="Arial" w:eastAsia="Times New Roman" w:hAnsi="Arial" w:cs="Arial"/>
                <w:b/>
                <w:bCs/>
                <w:sz w:val="20"/>
                <w:szCs w:val="20"/>
                <w:lang w:val="es-ES"/>
              </w:rPr>
              <w:t>Medio de Verificación</w:t>
            </w:r>
          </w:p>
        </w:tc>
      </w:tr>
      <w:tr w:rsidR="00477E0A" w:rsidRPr="00477E0A" w14:paraId="6C55C207" w14:textId="77777777" w:rsidTr="00F64E64">
        <w:trPr>
          <w:trHeight w:val="178"/>
        </w:trPr>
        <w:tc>
          <w:tcPr>
            <w:tcW w:w="10080" w:type="dxa"/>
            <w:gridSpan w:val="3"/>
            <w:shd w:val="clear" w:color="auto" w:fill="F2F2F2" w:themeFill="background1" w:themeFillShade="F2"/>
            <w:noWrap/>
            <w:vAlign w:val="center"/>
          </w:tcPr>
          <w:p w14:paraId="05B78429" w14:textId="7E6C9834" w:rsidR="00FF05A3" w:rsidRPr="00F64E64" w:rsidRDefault="00FF05A3">
            <w:pPr>
              <w:jc w:val="both"/>
              <w:rPr>
                <w:rFonts w:ascii="Arial" w:eastAsia="Times New Roman" w:hAnsi="Arial" w:cs="Arial"/>
                <w:b/>
                <w:bCs/>
                <w:sz w:val="20"/>
                <w:szCs w:val="20"/>
                <w:lang w:val="es-ES"/>
              </w:rPr>
            </w:pPr>
            <w:r w:rsidRPr="00F64E64">
              <w:rPr>
                <w:rFonts w:ascii="Arial" w:eastAsia="Times New Roman" w:hAnsi="Arial" w:cs="Arial"/>
                <w:b/>
                <w:bCs/>
                <w:sz w:val="20"/>
                <w:szCs w:val="20"/>
                <w:lang w:val="es-ES"/>
              </w:rPr>
              <w:t>IMPACTO</w:t>
            </w:r>
          </w:p>
        </w:tc>
      </w:tr>
      <w:tr w:rsidR="00477E0A" w:rsidRPr="00477E0A" w14:paraId="3B4BB443" w14:textId="77777777" w:rsidTr="00F64E64">
        <w:trPr>
          <w:trHeight w:val="178"/>
        </w:trPr>
        <w:tc>
          <w:tcPr>
            <w:tcW w:w="2700" w:type="dxa"/>
            <w:shd w:val="clear" w:color="auto" w:fill="auto"/>
            <w:noWrap/>
            <w:vAlign w:val="center"/>
          </w:tcPr>
          <w:p w14:paraId="54589BB2" w14:textId="14234D02"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Índice de Cantidad (Laspeyres) del Transporte de Carga Carretero Interdepartamental.</w:t>
            </w:r>
          </w:p>
        </w:tc>
        <w:tc>
          <w:tcPr>
            <w:tcW w:w="5490" w:type="dxa"/>
          </w:tcPr>
          <w:p w14:paraId="294DF635" w14:textId="77777777" w:rsidR="00444365" w:rsidRPr="00477E0A" w:rsidRDefault="00444365" w:rsidP="00444365">
            <w:pPr>
              <w:tabs>
                <w:tab w:val="left" w:pos="-720"/>
              </w:tabs>
              <w:suppressAutoHyphens/>
              <w:jc w:val="both"/>
              <w:rPr>
                <w:rFonts w:ascii="Arial" w:hAnsi="Arial" w:cs="Arial"/>
                <w:sz w:val="20"/>
                <w:szCs w:val="20"/>
                <w:lang w:val="es-ES"/>
              </w:rPr>
            </w:pPr>
            <w:r w:rsidRPr="00477E0A">
              <w:rPr>
                <w:rFonts w:ascii="Arial" w:hAnsi="Arial" w:cs="Arial"/>
                <w:sz w:val="20"/>
                <w:szCs w:val="20"/>
                <w:lang w:val="es-ES"/>
              </w:rPr>
              <w:t xml:space="preserve">El Instituto Nacional de Estadísticas (INE) de Bolivia calcula anualmente el Índice de Cantidad (Laspeyres) del Transporte de Carga Carretero Interdepartamental, como un indicador de la evolución del volumen transportado de carga a nivel departamental. La información para el cálculo del indicador se obtiene a partir de los registros administrativos del Organismo Operativo de Tránsito dependiente de Policía Nacional, quienes recopilan información sobre el número de carga, origen y destino del recorrido, y por departamento en los retenes policiales. La información comprende geográficamente dos rutas: Troncal (La Paz, Santa Cruz y Cochabamba) y Complementaria (Oruro, Tarija, Potosí, Chuquisaca, Beni y Pando). </w:t>
            </w:r>
          </w:p>
          <w:p w14:paraId="2EEB16BD" w14:textId="77777777" w:rsidR="00444365" w:rsidRPr="000D0CBE" w:rsidRDefault="00444365" w:rsidP="00444365">
            <w:pPr>
              <w:tabs>
                <w:tab w:val="left" w:pos="-720"/>
              </w:tabs>
              <w:suppressAutoHyphens/>
              <w:jc w:val="both"/>
              <w:rPr>
                <w:rFonts w:ascii="Arial" w:eastAsia="Times New Roman" w:hAnsi="Arial" w:cs="Arial"/>
                <w:sz w:val="20"/>
                <w:szCs w:val="20"/>
                <w:lang w:val="es-ES"/>
              </w:rPr>
            </w:pPr>
          </w:p>
          <w:p w14:paraId="0BD40F14" w14:textId="77777777" w:rsidR="00444365" w:rsidRPr="008946DE" w:rsidRDefault="00444365" w:rsidP="00444365">
            <w:pPr>
              <w:jc w:val="both"/>
              <w:rPr>
                <w:rFonts w:ascii="Arial" w:eastAsia="Times New Roman" w:hAnsi="Arial" w:cs="Arial"/>
                <w:i/>
                <w:sz w:val="16"/>
                <w:szCs w:val="16"/>
                <w:lang w:val="es-ES"/>
              </w:rPr>
            </w:pPr>
            <m:oMathPara>
              <m:oMathParaPr>
                <m:jc m:val="left"/>
              </m:oMathParaPr>
              <m:oMath>
                <m:r>
                  <m:rPr>
                    <m:sty m:val="bi"/>
                  </m:rPr>
                  <w:rPr>
                    <w:rFonts w:ascii="Cambria Math" w:hAnsi="Cambria Math" w:cs="Arial"/>
                    <w:sz w:val="16"/>
                    <w:szCs w:val="16"/>
                    <w:lang w:val="es-ES"/>
                  </w:rPr>
                  <w:lastRenderedPageBreak/>
                  <m:t>Í</m:t>
                </m:r>
                <m:r>
                  <m:rPr>
                    <m:sty m:val="bi"/>
                  </m:rPr>
                  <w:rPr>
                    <w:rFonts w:ascii="Cambria Math" w:hAnsi="Cambria Math" w:cs="Arial"/>
                    <w:sz w:val="16"/>
                    <w:szCs w:val="16"/>
                  </w:rPr>
                  <m:t>ndice</m:t>
                </m:r>
                <m:r>
                  <m:rPr>
                    <m:sty m:val="bi"/>
                  </m:rPr>
                  <w:rPr>
                    <w:rFonts w:ascii="Cambria Math" w:hAnsi="Cambria Math" w:cs="Arial"/>
                    <w:sz w:val="16"/>
                    <w:szCs w:val="16"/>
                    <w:lang w:val="es-ES"/>
                  </w:rPr>
                  <m:t xml:space="preserve"> </m:t>
                </m:r>
                <m:r>
                  <m:rPr>
                    <m:sty m:val="bi"/>
                  </m:rPr>
                  <w:rPr>
                    <w:rFonts w:ascii="Cambria Math" w:hAnsi="Cambria Math" w:cs="Arial"/>
                    <w:sz w:val="16"/>
                    <w:szCs w:val="16"/>
                  </w:rPr>
                  <m:t>de</m:t>
                </m:r>
                <m:r>
                  <m:rPr>
                    <m:sty m:val="bi"/>
                  </m:rPr>
                  <w:rPr>
                    <w:rFonts w:ascii="Cambria Math" w:hAnsi="Cambria Math" w:cs="Arial"/>
                    <w:sz w:val="16"/>
                    <w:szCs w:val="16"/>
                    <w:lang w:val="es-ES"/>
                  </w:rPr>
                  <m:t xml:space="preserve"> </m:t>
                </m:r>
                <m:r>
                  <m:rPr>
                    <m:sty m:val="bi"/>
                  </m:rPr>
                  <w:rPr>
                    <w:rFonts w:ascii="Cambria Math" w:hAnsi="Cambria Math" w:cs="Arial"/>
                    <w:sz w:val="16"/>
                    <w:szCs w:val="16"/>
                  </w:rPr>
                  <m:t>Cantidad de Transporte Terrestre</m:t>
                </m:r>
                <m:r>
                  <m:rPr>
                    <m:sty m:val="bi"/>
                  </m:rPr>
                  <w:rPr>
                    <w:rFonts w:ascii="Cambria Math" w:hAnsi="Cambria Math" w:cs="Arial"/>
                    <w:sz w:val="16"/>
                    <w:szCs w:val="16"/>
                    <w:lang w:val="es-ES"/>
                  </w:rPr>
                  <m:t>=</m:t>
                </m:r>
                <m:d>
                  <m:dPr>
                    <m:ctrlPr>
                      <w:rPr>
                        <w:rFonts w:ascii="Cambria Math" w:hAnsi="Cambria Math" w:cs="Arial"/>
                        <w:i/>
                        <w:sz w:val="16"/>
                        <w:szCs w:val="16"/>
                        <w:lang w:val="es-ES"/>
                      </w:rPr>
                    </m:ctrlPr>
                  </m:dPr>
                  <m:e>
                    <m:f>
                      <m:fPr>
                        <m:ctrlPr>
                          <w:rPr>
                            <w:rFonts w:ascii="Cambria Math" w:hAnsi="Cambria Math" w:cs="Arial"/>
                            <w:i/>
                            <w:sz w:val="16"/>
                            <w:szCs w:val="16"/>
                            <w:lang w:val="es-ES"/>
                          </w:rPr>
                        </m:ctrlPr>
                      </m:fPr>
                      <m:num>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m:t>
                        </m:r>
                        <m:r>
                          <w:rPr>
                            <w:rFonts w:ascii="Cambria Math" w:hAnsi="Cambria Math" w:cs="Arial"/>
                            <w:sz w:val="16"/>
                            <w:szCs w:val="16"/>
                            <w:lang w:val="es-ES"/>
                          </w:rPr>
                          <m:t xml:space="preserve">  </m:t>
                        </m:r>
                        <m:r>
                          <w:rPr>
                            <w:rFonts w:ascii="Cambria Math" w:hAnsi="Cambria Math" w:cs="Arial"/>
                            <w:sz w:val="16"/>
                            <w:szCs w:val="16"/>
                            <w:lang w:val="pt-BR"/>
                          </w:rPr>
                          <m:t>por</m:t>
                        </m:r>
                        <m:r>
                          <w:rPr>
                            <w:rFonts w:ascii="Cambria Math" w:hAnsi="Cambria Math" w:cs="Arial"/>
                            <w:sz w:val="16"/>
                            <w:szCs w:val="16"/>
                            <w:lang w:val="es-ES"/>
                          </w:rPr>
                          <m:t xml:space="preserve"> </m:t>
                        </m:r>
                        <m:r>
                          <w:rPr>
                            <w:rFonts w:ascii="Cambria Math" w:hAnsi="Cambria Math" w:cs="Arial"/>
                            <w:sz w:val="16"/>
                            <w:szCs w:val="16"/>
                          </w:rPr>
                          <m:t>tipo</m:t>
                        </m:r>
                        <m:r>
                          <w:rPr>
                            <w:rFonts w:ascii="Cambria Math" w:hAnsi="Cambria Math" w:cs="Arial"/>
                            <w:sz w:val="16"/>
                            <w:szCs w:val="16"/>
                            <w:lang w:val="es-ES"/>
                          </w:rPr>
                          <m:t xml:space="preserve"> </m:t>
                        </m:r>
                        <m:r>
                          <w:rPr>
                            <w:rFonts w:ascii="Cambria Math" w:hAnsi="Cambria Math" w:cs="Arial"/>
                            <w:sz w:val="16"/>
                            <w:szCs w:val="16"/>
                          </w:rPr>
                          <m:t>de</m:t>
                        </m:r>
                        <m:r>
                          <w:rPr>
                            <w:rFonts w:ascii="Cambria Math" w:hAnsi="Cambria Math" w:cs="Arial"/>
                            <w:sz w:val="16"/>
                            <w:szCs w:val="16"/>
                            <w:lang w:val="es-ES"/>
                          </w:rPr>
                          <m:t xml:space="preserve"> </m:t>
                        </m:r>
                        <m:r>
                          <w:rPr>
                            <w:rFonts w:ascii="Cambria Math" w:hAnsi="Cambria Math" w:cs="Arial"/>
                            <w:sz w:val="16"/>
                            <w:szCs w:val="16"/>
                          </w:rPr>
                          <m:t>servicio</m:t>
                        </m:r>
                        <m:r>
                          <w:rPr>
                            <w:rFonts w:ascii="Cambria Math" w:hAnsi="Cambria Math" w:cs="Arial"/>
                            <w:sz w:val="16"/>
                            <w:szCs w:val="16"/>
                            <w:lang w:val="es-ES"/>
                          </w:rPr>
                          <m:t>/</m:t>
                        </m:r>
                        <m:r>
                          <w:rPr>
                            <w:rFonts w:ascii="Cambria Math" w:hAnsi="Cambria Math" w:cs="Arial"/>
                            <w:sz w:val="16"/>
                            <w:szCs w:val="16"/>
                            <w:lang w:val="pt-BR"/>
                          </w:rPr>
                          <m:t>f</m:t>
                        </m:r>
                        <m:r>
                          <w:rPr>
                            <w:rFonts w:ascii="Cambria Math" w:hAnsi="Cambria Math" w:cs="Arial"/>
                            <w:sz w:val="16"/>
                            <w:szCs w:val="16"/>
                          </w:rPr>
                          <m:t>lujo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base</m:t>
                        </m:r>
                      </m:num>
                      <m:den>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m:t>
                        </m:r>
                        <m:r>
                          <w:rPr>
                            <w:rFonts w:ascii="Cambria Math" w:hAnsi="Cambria Math" w:cs="Arial"/>
                            <w:sz w:val="16"/>
                            <w:szCs w:val="16"/>
                            <w:lang w:val="es-ES"/>
                          </w:rPr>
                          <m:t xml:space="preserve"> </m:t>
                        </m:r>
                        <m:r>
                          <w:rPr>
                            <w:rFonts w:ascii="Cambria Math" w:hAnsi="Cambria Math" w:cs="Arial"/>
                            <w:sz w:val="16"/>
                            <w:szCs w:val="16"/>
                          </w:rPr>
                          <m:t>tipo</m:t>
                        </m:r>
                        <m:r>
                          <w:rPr>
                            <w:rFonts w:ascii="Cambria Math" w:hAnsi="Cambria Math" w:cs="Arial"/>
                            <w:sz w:val="16"/>
                            <w:szCs w:val="16"/>
                            <w:lang w:val="es-ES"/>
                          </w:rPr>
                          <m:t xml:space="preserve"> </m:t>
                        </m:r>
                        <m:r>
                          <w:rPr>
                            <w:rFonts w:ascii="Cambria Math" w:hAnsi="Cambria Math" w:cs="Arial"/>
                            <w:sz w:val="16"/>
                            <w:szCs w:val="16"/>
                          </w:rPr>
                          <m:t>de</m:t>
                        </m:r>
                        <m:r>
                          <w:rPr>
                            <w:rFonts w:ascii="Cambria Math" w:hAnsi="Cambria Math" w:cs="Arial"/>
                            <w:sz w:val="16"/>
                            <w:szCs w:val="16"/>
                            <w:lang w:val="es-ES"/>
                          </w:rPr>
                          <m:t xml:space="preserve"> </m:t>
                        </m:r>
                        <m:r>
                          <w:rPr>
                            <w:rFonts w:ascii="Cambria Math" w:hAnsi="Cambria Math" w:cs="Arial"/>
                            <w:sz w:val="16"/>
                            <w:szCs w:val="16"/>
                          </w:rPr>
                          <m:t>servicio</m:t>
                        </m:r>
                        <m:r>
                          <w:rPr>
                            <w:rFonts w:ascii="Cambria Math" w:hAnsi="Cambria Math" w:cs="Arial"/>
                            <w:sz w:val="16"/>
                            <w:szCs w:val="16"/>
                            <w:lang w:val="es-ES"/>
                          </w:rPr>
                          <m:t>/</m:t>
                        </m:r>
                        <m:r>
                          <w:rPr>
                            <w:rFonts w:ascii="Cambria Math" w:hAnsi="Cambria Math" w:cs="Arial"/>
                            <w:sz w:val="16"/>
                            <w:szCs w:val="16"/>
                            <w:lang w:val="pt-BR"/>
                          </w:rPr>
                          <m:t>f</m:t>
                        </m:r>
                        <m:r>
                          <w:rPr>
                            <w:rFonts w:ascii="Cambria Math" w:hAnsi="Cambria Math" w:cs="Arial"/>
                            <w:sz w:val="16"/>
                            <w:szCs w:val="16"/>
                          </w:rPr>
                          <m:t>lujo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t</m:t>
                        </m:r>
                      </m:den>
                    </m:f>
                  </m:e>
                </m:d>
              </m:oMath>
            </m:oMathPara>
          </w:p>
          <w:p w14:paraId="61533181" w14:textId="77777777" w:rsidR="00444365" w:rsidRPr="000D0CBE" w:rsidRDefault="00444365" w:rsidP="00444365">
            <w:pPr>
              <w:jc w:val="both"/>
              <w:rPr>
                <w:rFonts w:ascii="Arial" w:eastAsia="Times New Roman" w:hAnsi="Arial" w:cs="Arial"/>
                <w:i/>
                <w:sz w:val="20"/>
                <w:szCs w:val="20"/>
                <w:lang w:val="es-ES"/>
              </w:rPr>
            </w:pPr>
          </w:p>
          <w:p w14:paraId="4F9F0764" w14:textId="5362012A" w:rsidR="00444365" w:rsidRPr="00787AB6" w:rsidRDefault="00444365" w:rsidP="00444365">
            <w:pPr>
              <w:jc w:val="both"/>
              <w:rPr>
                <w:rFonts w:ascii="Arial" w:eastAsia="Times New Roman" w:hAnsi="Arial" w:cs="Arial"/>
                <w:sz w:val="16"/>
                <w:szCs w:val="16"/>
                <w:lang w:val="es-ES"/>
              </w:rPr>
            </w:pPr>
            <w:r w:rsidRPr="00787AB6">
              <w:rPr>
                <w:rFonts w:ascii="Arial" w:eastAsia="Times New Roman" w:hAnsi="Arial" w:cs="Arial"/>
                <w:sz w:val="16"/>
                <w:szCs w:val="16"/>
                <w:lang w:val="es-ES"/>
              </w:rPr>
              <w:t xml:space="preserve">*/ Ponderado por tipo de servicio/ flujo en período base (Ver detalle metodológico en </w:t>
            </w:r>
            <w:hyperlink r:id="rId16" w:history="1">
              <w:r w:rsidRPr="00787AB6">
                <w:rPr>
                  <w:rStyle w:val="Hyperlink"/>
                  <w:rFonts w:ascii="Arial" w:eastAsia="Times New Roman" w:hAnsi="Arial" w:cs="Arial"/>
                  <w:color w:val="auto"/>
                  <w:sz w:val="16"/>
                  <w:szCs w:val="16"/>
                  <w:lang w:val="es-ES"/>
                </w:rPr>
                <w:t>EEO#</w:t>
              </w:r>
              <w:r w:rsidR="00723001" w:rsidRPr="00787AB6">
                <w:rPr>
                  <w:rStyle w:val="Hyperlink"/>
                  <w:rFonts w:ascii="Arial" w:eastAsia="Times New Roman" w:hAnsi="Arial" w:cs="Arial"/>
                  <w:color w:val="auto"/>
                  <w:sz w:val="16"/>
                  <w:szCs w:val="16"/>
                  <w:lang w:val="es-ES"/>
                </w:rPr>
                <w:t>1</w:t>
              </w:r>
              <w:r w:rsidRPr="00787AB6">
                <w:rPr>
                  <w:rStyle w:val="Hyperlink"/>
                  <w:rFonts w:ascii="Arial" w:eastAsia="Times New Roman" w:hAnsi="Arial" w:cs="Arial"/>
                  <w:color w:val="auto"/>
                  <w:sz w:val="16"/>
                  <w:szCs w:val="16"/>
                  <w:lang w:val="es-ES"/>
                </w:rPr>
                <w:t>1</w:t>
              </w:r>
            </w:hyperlink>
            <w:r w:rsidRPr="00787AB6">
              <w:rPr>
                <w:rFonts w:ascii="Arial" w:eastAsia="Times New Roman" w:hAnsi="Arial" w:cs="Arial"/>
                <w:sz w:val="16"/>
                <w:szCs w:val="16"/>
                <w:lang w:val="es-ES"/>
              </w:rPr>
              <w:t>)</w:t>
            </w:r>
          </w:p>
          <w:p w14:paraId="22EB65E4" w14:textId="77777777" w:rsidR="00444365" w:rsidRPr="00477E0A" w:rsidRDefault="00444365" w:rsidP="00444365">
            <w:pPr>
              <w:jc w:val="both"/>
              <w:rPr>
                <w:rFonts w:ascii="Arial" w:hAnsi="Arial" w:cs="Arial"/>
                <w:sz w:val="20"/>
                <w:szCs w:val="20"/>
                <w:lang w:val="es-ES"/>
              </w:rPr>
            </w:pPr>
          </w:p>
          <w:p w14:paraId="6659E323" w14:textId="405210C1" w:rsidR="00444365"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la implementación de las reformas en el marco regulatorio y reglamentario de transporte terrestre, contribuirán a incrementar el índice de cantidad del transporte de carga carretera interdepartamental en 3 puntos respecto a la línea de base.</w:t>
            </w:r>
          </w:p>
        </w:tc>
        <w:tc>
          <w:tcPr>
            <w:tcW w:w="1890" w:type="dxa"/>
            <w:shd w:val="clear" w:color="auto" w:fill="auto"/>
            <w:noWrap/>
            <w:vAlign w:val="center"/>
          </w:tcPr>
          <w:p w14:paraId="216BB000" w14:textId="00C9A5C0"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lastRenderedPageBreak/>
              <w:t xml:space="preserve">Publicación Anual del Instituto Nacional de Estadísticas de Bolivia. </w:t>
            </w:r>
          </w:p>
        </w:tc>
      </w:tr>
      <w:tr w:rsidR="00477E0A" w:rsidRPr="00477E0A" w14:paraId="60D74DF4" w14:textId="77777777" w:rsidTr="00F64E64">
        <w:trPr>
          <w:trHeight w:val="178"/>
        </w:trPr>
        <w:tc>
          <w:tcPr>
            <w:tcW w:w="2700" w:type="dxa"/>
            <w:shd w:val="clear" w:color="auto" w:fill="auto"/>
            <w:noWrap/>
            <w:vAlign w:val="center"/>
          </w:tcPr>
          <w:p w14:paraId="624F3405" w14:textId="52E87637"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Toneladas anuales de carga de exportación transportadas por la red terrestre.</w:t>
            </w:r>
          </w:p>
        </w:tc>
        <w:tc>
          <w:tcPr>
            <w:tcW w:w="5490" w:type="dxa"/>
          </w:tcPr>
          <w:p w14:paraId="3B0BF00D" w14:textId="77777777" w:rsidR="00444365" w:rsidRPr="00F64E64" w:rsidRDefault="00444365">
            <w:pPr>
              <w:jc w:val="both"/>
              <w:rPr>
                <w:rFonts w:ascii="Arial" w:hAnsi="Arial" w:cs="Arial"/>
                <w:sz w:val="20"/>
                <w:szCs w:val="20"/>
                <w:lang w:val="es-ES"/>
              </w:rPr>
            </w:pPr>
            <w:r w:rsidRPr="00477E0A">
              <w:rPr>
                <w:rFonts w:ascii="Arial" w:hAnsi="Arial" w:cs="Arial"/>
                <w:sz w:val="20"/>
                <w:szCs w:val="20"/>
                <w:lang w:val="es-ES"/>
              </w:rPr>
              <w:t>El Instituto Nacional de Estadísticas (INE) calcula este indicador como la sumatoria anual de las exportaciones de bienes de Bolivia transportadas por la red terrestre.</w:t>
            </w:r>
            <w:r w:rsidRPr="00F64E64">
              <w:rPr>
                <w:rFonts w:ascii="Arial" w:hAnsi="Arial" w:cs="Arial"/>
                <w:sz w:val="20"/>
                <w:szCs w:val="20"/>
                <w:lang w:val="es-ES"/>
              </w:rPr>
              <w:t xml:space="preserve"> </w:t>
            </w:r>
          </w:p>
          <w:p w14:paraId="54050062" w14:textId="77777777" w:rsidR="00444365" w:rsidRPr="00477E0A" w:rsidRDefault="00444365" w:rsidP="00444365">
            <w:pPr>
              <w:jc w:val="both"/>
              <w:rPr>
                <w:rFonts w:ascii="Arial" w:hAnsi="Arial" w:cs="Arial"/>
                <w:sz w:val="20"/>
                <w:szCs w:val="20"/>
                <w:lang w:val="es-ES"/>
              </w:rPr>
            </w:pPr>
          </w:p>
          <w:p w14:paraId="138BA12D" w14:textId="23A901B5" w:rsidR="00444365"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contribuirán a incrementar en un 10% la carga transportada por esta vía respecto a la línea de base.</w:t>
            </w:r>
          </w:p>
        </w:tc>
        <w:tc>
          <w:tcPr>
            <w:tcW w:w="1890" w:type="dxa"/>
            <w:shd w:val="clear" w:color="auto" w:fill="auto"/>
            <w:noWrap/>
            <w:vAlign w:val="center"/>
          </w:tcPr>
          <w:p w14:paraId="6EB2EA66" w14:textId="33AC425C"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Publicación Anual del Instituto Nacional de Estadísticas de Bolivia.</w:t>
            </w:r>
          </w:p>
        </w:tc>
      </w:tr>
      <w:tr w:rsidR="00477E0A" w:rsidRPr="00477E0A" w14:paraId="490B28EE" w14:textId="77777777" w:rsidTr="00F64E64">
        <w:trPr>
          <w:trHeight w:val="178"/>
        </w:trPr>
        <w:tc>
          <w:tcPr>
            <w:tcW w:w="2700" w:type="dxa"/>
            <w:shd w:val="clear" w:color="auto" w:fill="auto"/>
            <w:noWrap/>
            <w:vAlign w:val="center"/>
          </w:tcPr>
          <w:p w14:paraId="43264D36" w14:textId="396196DC"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Costos operativos totales de la Red Vial Fundamental.</w:t>
            </w:r>
          </w:p>
        </w:tc>
        <w:tc>
          <w:tcPr>
            <w:tcW w:w="5490" w:type="dxa"/>
          </w:tcPr>
          <w:p w14:paraId="6FE53A54" w14:textId="37A9C5A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Se parte del estado actual de la red vial y del cronograma de obras de rehabilitación, para proyectar la mejora gradual del estado de la red y la respectiva evolución de los costos operativos por KM. Se realiza una proyección del Tiempo Medio Diario Anual (TMDA) en base al PBI y PBI per-cápita y posteriormente aplicando dicha proyección del TMDA a la evolución del estado de las rutas y la cantidad de kilómetros que recorren los vehículos en promedio con lo cual se obtiene la distancia recorrida sobre los diferentes tipos de rutas (medido por su IRI), según la tipología vehicular. Haciendo</w:t>
            </w:r>
            <w:r w:rsidRPr="000D0CBE">
              <w:rPr>
                <w:rFonts w:ascii="Arial" w:hAnsi="Arial" w:cs="Arial"/>
                <w:sz w:val="20"/>
                <w:szCs w:val="20"/>
                <w:lang w:val="es-ES"/>
              </w:rPr>
              <w:t xml:space="preserve"> uso de los costos operativos computados por el Banco Mundial en el Programa Red en base a modelo HDMIII y Modelo RED para tipo de vías Onduladas (Y) y Ripio (B)</w:t>
            </w:r>
            <w:r w:rsidRPr="00477E0A">
              <w:rPr>
                <w:rFonts w:ascii="Arial" w:hAnsi="Arial" w:cs="Arial"/>
                <w:sz w:val="20"/>
                <w:szCs w:val="20"/>
                <w:lang w:val="es-ES"/>
              </w:rPr>
              <w:t xml:space="preserve">, se calculan </w:t>
            </w:r>
            <w:r w:rsidRPr="000D0CBE">
              <w:rPr>
                <w:rFonts w:ascii="Arial" w:hAnsi="Arial" w:cs="Arial"/>
                <w:sz w:val="20"/>
                <w:szCs w:val="20"/>
                <w:lang w:val="es-ES"/>
              </w:rPr>
              <w:t>los costos unitarios por km</w:t>
            </w:r>
            <w:r w:rsidRPr="00477E0A">
              <w:rPr>
                <w:rFonts w:ascii="Arial" w:hAnsi="Arial" w:cs="Arial"/>
                <w:sz w:val="20"/>
                <w:szCs w:val="20"/>
                <w:lang w:val="es-ES"/>
              </w:rPr>
              <w:t>.</w:t>
            </w:r>
          </w:p>
          <w:p w14:paraId="47FBA280" w14:textId="77777777" w:rsidR="00444365" w:rsidRPr="00477E0A" w:rsidRDefault="00444365" w:rsidP="00444365">
            <w:pPr>
              <w:jc w:val="both"/>
              <w:rPr>
                <w:rFonts w:ascii="Arial" w:hAnsi="Arial" w:cs="Arial"/>
                <w:sz w:val="20"/>
                <w:szCs w:val="20"/>
                <w:lang w:val="es-ES"/>
              </w:rPr>
            </w:pPr>
          </w:p>
          <w:p w14:paraId="2F6CF758" w14:textId="1B95D741" w:rsidR="00444365" w:rsidRPr="00477E0A" w:rsidRDefault="00444365" w:rsidP="00EC3150">
            <w:pPr>
              <w:jc w:val="both"/>
              <w:rPr>
                <w:rFonts w:ascii="Arial" w:hAnsi="Arial" w:cs="Arial"/>
                <w:sz w:val="20"/>
                <w:szCs w:val="20"/>
                <w:lang w:val="es-ES"/>
              </w:rPr>
            </w:pPr>
            <w:r w:rsidRPr="00477E0A">
              <w:rPr>
                <w:rFonts w:ascii="Arial" w:hAnsi="Arial" w:cs="Arial"/>
                <w:sz w:val="20"/>
                <w:szCs w:val="20"/>
                <w:lang w:val="es-ES"/>
              </w:rPr>
              <w:t>La meta se ha definido de acuerdo a las proyecciones de la evaluación económica.</w:t>
            </w:r>
          </w:p>
        </w:tc>
        <w:tc>
          <w:tcPr>
            <w:tcW w:w="1890" w:type="dxa"/>
            <w:shd w:val="clear" w:color="auto" w:fill="auto"/>
            <w:noWrap/>
            <w:vAlign w:val="center"/>
          </w:tcPr>
          <w:p w14:paraId="0259C5F0" w14:textId="5E6F886A"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Evaluación Económica del Programa.</w:t>
            </w:r>
          </w:p>
        </w:tc>
      </w:tr>
      <w:tr w:rsidR="00477E0A" w:rsidRPr="00F64E64" w14:paraId="472014AC" w14:textId="77777777" w:rsidTr="00F64E64">
        <w:trPr>
          <w:trHeight w:val="178"/>
        </w:trPr>
        <w:tc>
          <w:tcPr>
            <w:tcW w:w="2700" w:type="dxa"/>
            <w:shd w:val="clear" w:color="auto" w:fill="auto"/>
            <w:noWrap/>
            <w:vAlign w:val="center"/>
          </w:tcPr>
          <w:p w14:paraId="4C2E1AC3" w14:textId="1326A9A7" w:rsidR="00444365" w:rsidRPr="00F64E64" w:rsidRDefault="00E646E4">
            <w:pPr>
              <w:jc w:val="both"/>
              <w:rPr>
                <w:rFonts w:ascii="Arial" w:eastAsia="Times New Roman" w:hAnsi="Arial" w:cs="Arial"/>
                <w:b/>
                <w:bCs/>
                <w:sz w:val="20"/>
                <w:szCs w:val="20"/>
                <w:lang w:val="es-ES"/>
              </w:rPr>
            </w:pPr>
            <w:r w:rsidRPr="00F64E64">
              <w:rPr>
                <w:rFonts w:ascii="Arial" w:hAnsi="Arial" w:cs="Arial"/>
                <w:b/>
                <w:bCs/>
                <w:sz w:val="20"/>
                <w:szCs w:val="20"/>
                <w:lang w:val="es-ES"/>
              </w:rPr>
              <w:t>Tasa de crecimiento anual del número de fallecidos en accidentes viales.</w:t>
            </w:r>
          </w:p>
        </w:tc>
        <w:tc>
          <w:tcPr>
            <w:tcW w:w="5490" w:type="dxa"/>
          </w:tcPr>
          <w:p w14:paraId="5E625EBD" w14:textId="6AB2CAD5" w:rsidR="00444365" w:rsidRPr="000D0CBE" w:rsidRDefault="00444365" w:rsidP="00444365">
            <w:pPr>
              <w:jc w:val="both"/>
              <w:rPr>
                <w:rFonts w:ascii="Arial" w:eastAsia="Times New Roman" w:hAnsi="Arial" w:cs="Arial"/>
                <w:sz w:val="20"/>
                <w:szCs w:val="20"/>
                <w:lang w:val="es-ES"/>
              </w:rPr>
            </w:pPr>
            <w:r w:rsidRPr="000D0CBE">
              <w:rPr>
                <w:rFonts w:ascii="Arial" w:eastAsia="Times New Roman" w:hAnsi="Arial" w:cs="Arial"/>
                <w:sz w:val="20"/>
                <w:szCs w:val="20"/>
                <w:lang w:val="es-ES"/>
              </w:rPr>
              <w:t xml:space="preserve">La Policía Nacional registra y compila el número de personas </w:t>
            </w:r>
            <w:r w:rsidR="00EA5229">
              <w:rPr>
                <w:rFonts w:ascii="Arial" w:eastAsia="Times New Roman" w:hAnsi="Arial" w:cs="Arial"/>
                <w:sz w:val="20"/>
                <w:szCs w:val="20"/>
                <w:lang w:val="es-ES"/>
              </w:rPr>
              <w:t>fallecidas</w:t>
            </w:r>
            <w:r w:rsidRPr="000D0CBE">
              <w:rPr>
                <w:rFonts w:ascii="Arial" w:eastAsia="Times New Roman" w:hAnsi="Arial" w:cs="Arial"/>
                <w:sz w:val="20"/>
                <w:szCs w:val="20"/>
                <w:lang w:val="es-ES"/>
              </w:rPr>
              <w:t xml:space="preserve"> en accidentes de tránsito a nivel nacional. Los datos de Población están disponibles en el Instituto Nacional de Estadísticas de Bolivia.</w:t>
            </w:r>
          </w:p>
          <w:p w14:paraId="7ED95591" w14:textId="77777777" w:rsidR="00444365" w:rsidRPr="000D0CBE" w:rsidRDefault="00444365" w:rsidP="00444365">
            <w:pPr>
              <w:jc w:val="both"/>
              <w:rPr>
                <w:rFonts w:ascii="Arial" w:eastAsia="Times New Roman" w:hAnsi="Arial" w:cs="Arial"/>
                <w:sz w:val="20"/>
                <w:szCs w:val="20"/>
                <w:lang w:val="es-ES"/>
              </w:rPr>
            </w:pPr>
          </w:p>
          <w:p w14:paraId="72B4A4DE" w14:textId="658F7FA2" w:rsidR="00444365" w:rsidRPr="008946DE" w:rsidRDefault="00444365" w:rsidP="00444365">
            <w:pPr>
              <w:jc w:val="both"/>
              <w:rPr>
                <w:rFonts w:ascii="Arial" w:eastAsia="Times New Roman" w:hAnsi="Arial" w:cs="Arial"/>
                <w:sz w:val="16"/>
                <w:szCs w:val="16"/>
                <w:lang w:val="es-ES"/>
              </w:rPr>
            </w:pPr>
            <m:oMathPara>
              <m:oMath>
                <m:r>
                  <w:rPr>
                    <w:rFonts w:ascii="Cambria Math" w:eastAsia="Times New Roman" w:hAnsi="Cambria Math" w:cs="Arial"/>
                    <w:sz w:val="16"/>
                    <w:szCs w:val="16"/>
                    <w:lang w:val="es-ES"/>
                  </w:rPr>
                  <m:t>Tasa de Crecimiento Anual de Fallecidos en Accidentes Viales=</m:t>
                </m:r>
                <m:f>
                  <m:fPr>
                    <m:ctrlPr>
                      <w:rPr>
                        <w:rFonts w:ascii="Cambria Math" w:eastAsia="Times New Roman" w:hAnsi="Cambria Math" w:cs="Arial"/>
                        <w:i/>
                        <w:sz w:val="16"/>
                        <w:szCs w:val="16"/>
                        <w:lang w:val="es-ES"/>
                      </w:rPr>
                    </m:ctrlPr>
                  </m:fPr>
                  <m:num>
                    <m:d>
                      <m:dPr>
                        <m:endChr m:val=""/>
                        <m:ctrlPr>
                          <w:rPr>
                            <w:rFonts w:ascii="Cambria Math" w:eastAsia="Times New Roman" w:hAnsi="Cambria Math" w:cs="Arial"/>
                            <w:i/>
                            <w:sz w:val="16"/>
                            <w:szCs w:val="16"/>
                            <w:lang w:val="es-ES"/>
                          </w:rPr>
                        </m:ctrlPr>
                      </m:dPr>
                      <m:e>
                        <m:sSub>
                          <m:sSubPr>
                            <m:ctrlPr>
                              <w:rPr>
                                <w:rFonts w:ascii="Cambria Math" w:eastAsia="Times New Roman" w:hAnsi="Cambria Math" w:cs="Arial"/>
                                <w:i/>
                                <w:sz w:val="16"/>
                                <w:szCs w:val="16"/>
                                <w:lang w:val="es-ES"/>
                              </w:rPr>
                            </m:ctrlPr>
                          </m:sSubPr>
                          <m:e>
                            <m:r>
                              <w:rPr>
                                <w:rFonts w:ascii="Cambria Math" w:eastAsia="Times New Roman" w:hAnsi="Cambria Math" w:cs="Arial"/>
                                <w:sz w:val="16"/>
                                <w:szCs w:val="16"/>
                                <w:lang w:val="es-ES"/>
                              </w:rPr>
                              <m:t>Número Muertes Acc. Viales</m:t>
                            </m:r>
                          </m:e>
                          <m:sub>
                            <m:r>
                              <w:rPr>
                                <w:rFonts w:ascii="Cambria Math" w:eastAsia="Times New Roman" w:hAnsi="Cambria Math" w:cs="Arial"/>
                                <w:sz w:val="16"/>
                                <w:szCs w:val="16"/>
                                <w:lang w:val="es-ES"/>
                              </w:rPr>
                              <m:t>t</m:t>
                            </m:r>
                          </m:sub>
                        </m:sSub>
                        <m:r>
                          <w:rPr>
                            <w:rFonts w:ascii="Cambria Math" w:eastAsia="Times New Roman" w:hAnsi="Cambria Math" w:cs="Arial"/>
                            <w:sz w:val="16"/>
                            <w:szCs w:val="16"/>
                            <w:lang w:val="es-ES"/>
                          </w:rPr>
                          <m:t>-</m:t>
                        </m:r>
                      </m:e>
                    </m:d>
                    <m:d>
                      <m:dPr>
                        <m:begChr m:val=""/>
                        <m:ctrlPr>
                          <w:rPr>
                            <w:rFonts w:ascii="Cambria Math" w:eastAsia="Times New Roman" w:hAnsi="Cambria Math" w:cs="Arial"/>
                            <w:i/>
                            <w:sz w:val="16"/>
                            <w:szCs w:val="16"/>
                            <w:lang w:val="es-ES"/>
                          </w:rPr>
                        </m:ctrlPr>
                      </m:dPr>
                      <m:e>
                        <m:sSub>
                          <m:sSubPr>
                            <m:ctrlPr>
                              <w:rPr>
                                <w:rFonts w:ascii="Cambria Math" w:eastAsia="Times New Roman" w:hAnsi="Cambria Math" w:cs="Arial"/>
                                <w:i/>
                                <w:sz w:val="16"/>
                                <w:szCs w:val="16"/>
                                <w:lang w:val="es-ES"/>
                              </w:rPr>
                            </m:ctrlPr>
                          </m:sSubPr>
                          <m:e>
                            <m:r>
                              <w:rPr>
                                <w:rFonts w:ascii="Cambria Math" w:eastAsia="Times New Roman" w:hAnsi="Cambria Math" w:cs="Arial"/>
                                <w:sz w:val="16"/>
                                <w:szCs w:val="16"/>
                                <w:lang w:val="es-ES"/>
                              </w:rPr>
                              <m:t xml:space="preserve">Número Muertes Acc. Viales </m:t>
                            </m:r>
                          </m:e>
                          <m:sub>
                            <m:r>
                              <w:rPr>
                                <w:rFonts w:ascii="Cambria Math" w:eastAsia="Times New Roman" w:hAnsi="Cambria Math" w:cs="Arial"/>
                                <w:sz w:val="16"/>
                                <w:szCs w:val="16"/>
                                <w:lang w:val="es-ES"/>
                              </w:rPr>
                              <m:t>t-1</m:t>
                            </m:r>
                          </m:sub>
                        </m:sSub>
                      </m:e>
                    </m:d>
                  </m:num>
                  <m:den>
                    <m:sSub>
                      <m:sSubPr>
                        <m:ctrlPr>
                          <w:rPr>
                            <w:rFonts w:ascii="Cambria Math" w:eastAsia="Times New Roman" w:hAnsi="Cambria Math" w:cs="Arial"/>
                            <w:i/>
                            <w:sz w:val="16"/>
                            <w:szCs w:val="16"/>
                            <w:lang w:val="es-ES"/>
                          </w:rPr>
                        </m:ctrlPr>
                      </m:sSubPr>
                      <m:e>
                        <m:r>
                          <w:rPr>
                            <w:rFonts w:ascii="Cambria Math" w:eastAsia="Times New Roman" w:hAnsi="Cambria Math" w:cs="Arial"/>
                            <w:sz w:val="16"/>
                            <w:szCs w:val="16"/>
                            <w:lang w:val="es-ES"/>
                          </w:rPr>
                          <m:t>Número de Muertes Acc. Viales</m:t>
                        </m:r>
                      </m:e>
                      <m:sub>
                        <m:r>
                          <w:rPr>
                            <w:rFonts w:ascii="Cambria Math" w:eastAsia="Times New Roman" w:hAnsi="Cambria Math" w:cs="Arial"/>
                            <w:sz w:val="16"/>
                            <w:szCs w:val="16"/>
                            <w:lang w:val="es-ES"/>
                          </w:rPr>
                          <m:t>t-1</m:t>
                        </m:r>
                      </m:sub>
                    </m:sSub>
                  </m:den>
                </m:f>
                <m:d>
                  <m:dPr>
                    <m:ctrlPr>
                      <w:rPr>
                        <w:rFonts w:ascii="Cambria Math" w:eastAsia="Times New Roman" w:hAnsi="Cambria Math" w:cs="Arial"/>
                        <w:i/>
                        <w:sz w:val="16"/>
                        <w:szCs w:val="16"/>
                        <w:lang w:val="es-ES"/>
                      </w:rPr>
                    </m:ctrlPr>
                  </m:dPr>
                  <m:e>
                    <m:r>
                      <w:rPr>
                        <w:rFonts w:ascii="Cambria Math" w:eastAsia="Times New Roman" w:hAnsi="Cambria Math" w:cs="Arial"/>
                        <w:sz w:val="16"/>
                        <w:szCs w:val="16"/>
                        <w:lang w:val="es-ES"/>
                      </w:rPr>
                      <m:t>100</m:t>
                    </m:r>
                  </m:e>
                </m:d>
              </m:oMath>
            </m:oMathPara>
          </w:p>
          <w:p w14:paraId="478A2EF2" w14:textId="77777777" w:rsidR="0018548E" w:rsidRPr="00477E0A" w:rsidRDefault="0018548E" w:rsidP="00EC3150">
            <w:pPr>
              <w:jc w:val="both"/>
              <w:rPr>
                <w:rFonts w:ascii="Arial" w:hAnsi="Arial" w:cs="Arial"/>
                <w:sz w:val="20"/>
                <w:szCs w:val="20"/>
                <w:lang w:val="es-ES"/>
              </w:rPr>
            </w:pPr>
          </w:p>
          <w:p w14:paraId="1FC595B1" w14:textId="7E16B0D1" w:rsidR="00444365" w:rsidRPr="00477E0A" w:rsidRDefault="0018548E" w:rsidP="00EC3150">
            <w:pPr>
              <w:jc w:val="both"/>
              <w:rPr>
                <w:rFonts w:ascii="Arial" w:hAnsi="Arial" w:cs="Arial"/>
                <w:sz w:val="20"/>
                <w:szCs w:val="20"/>
                <w:lang w:val="es-ES"/>
              </w:rPr>
            </w:pPr>
            <w:r w:rsidRPr="00477E0A">
              <w:rPr>
                <w:rFonts w:ascii="Arial" w:hAnsi="Arial" w:cs="Arial"/>
                <w:sz w:val="20"/>
                <w:szCs w:val="20"/>
                <w:lang w:val="es-ES"/>
              </w:rPr>
              <w:t>La meta se ha definido de acuerdo a las proyecciones de la evaluación económica.</w:t>
            </w:r>
          </w:p>
        </w:tc>
        <w:tc>
          <w:tcPr>
            <w:tcW w:w="1890" w:type="dxa"/>
            <w:shd w:val="clear" w:color="auto" w:fill="auto"/>
            <w:noWrap/>
            <w:vAlign w:val="center"/>
          </w:tcPr>
          <w:p w14:paraId="7A0C5B86" w14:textId="1725C8F8"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Reporte anual publicado por la Policía Nacional.</w:t>
            </w:r>
          </w:p>
        </w:tc>
      </w:tr>
      <w:tr w:rsidR="00477E0A" w:rsidRPr="00477E0A" w14:paraId="7BB6C04C" w14:textId="77777777" w:rsidTr="00F64E64">
        <w:trPr>
          <w:trHeight w:val="178"/>
        </w:trPr>
        <w:tc>
          <w:tcPr>
            <w:tcW w:w="2700" w:type="dxa"/>
            <w:shd w:val="clear" w:color="auto" w:fill="auto"/>
            <w:noWrap/>
            <w:vAlign w:val="center"/>
          </w:tcPr>
          <w:p w14:paraId="34C5E107" w14:textId="46A4376E"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Toneladas de carga transportadas por la red férrea.</w:t>
            </w:r>
          </w:p>
        </w:tc>
        <w:tc>
          <w:tcPr>
            <w:tcW w:w="5490" w:type="dxa"/>
          </w:tcPr>
          <w:p w14:paraId="24EF3F6B"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La Empresa Ferroviaria Andina S.A. (FCA) y Ferroviaria Oriental S.A. (FOSA) reportan anualmente el total de toneladas de carga transportadas por cada red férrea. </w:t>
            </w:r>
          </w:p>
          <w:p w14:paraId="0960B827" w14:textId="77777777" w:rsidR="00444365" w:rsidRPr="00477E0A" w:rsidRDefault="00444365" w:rsidP="00444365">
            <w:pPr>
              <w:jc w:val="both"/>
              <w:rPr>
                <w:rFonts w:ascii="Arial" w:hAnsi="Arial" w:cs="Arial"/>
                <w:sz w:val="20"/>
                <w:szCs w:val="20"/>
                <w:lang w:val="es-ES"/>
              </w:rPr>
            </w:pPr>
          </w:p>
          <w:p w14:paraId="26569B84" w14:textId="3CEBF316" w:rsidR="00444365"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ferroviario, contribuirán a incrementar en un 10% la carga transportada por la red respecto a la línea de base.</w:t>
            </w:r>
          </w:p>
        </w:tc>
        <w:tc>
          <w:tcPr>
            <w:tcW w:w="1890" w:type="dxa"/>
            <w:shd w:val="clear" w:color="auto" w:fill="auto"/>
            <w:noWrap/>
            <w:vAlign w:val="center"/>
          </w:tcPr>
          <w:p w14:paraId="6398E5DA" w14:textId="3DC84890"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Memoria Anual de FOSA y FCA, recopilada por el VMT.</w:t>
            </w:r>
          </w:p>
        </w:tc>
      </w:tr>
      <w:tr w:rsidR="00477E0A" w:rsidRPr="00477E0A" w14:paraId="3BB6367D" w14:textId="77777777" w:rsidTr="00F64E64">
        <w:trPr>
          <w:trHeight w:val="178"/>
        </w:trPr>
        <w:tc>
          <w:tcPr>
            <w:tcW w:w="2700" w:type="dxa"/>
            <w:shd w:val="clear" w:color="auto" w:fill="auto"/>
            <w:noWrap/>
            <w:vAlign w:val="center"/>
          </w:tcPr>
          <w:p w14:paraId="2CFC173A" w14:textId="47949374"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Toneladas de carga de exportación transportadas por la red férrea.</w:t>
            </w:r>
          </w:p>
        </w:tc>
        <w:tc>
          <w:tcPr>
            <w:tcW w:w="5490" w:type="dxa"/>
          </w:tcPr>
          <w:p w14:paraId="29E9AC7F" w14:textId="77777777" w:rsidR="00444365" w:rsidRPr="00477E0A" w:rsidRDefault="00444365" w:rsidP="00444365">
            <w:pPr>
              <w:jc w:val="both"/>
              <w:rPr>
                <w:rFonts w:ascii="Arial" w:hAnsi="Arial" w:cs="Arial"/>
                <w:sz w:val="20"/>
                <w:szCs w:val="20"/>
                <w:lang w:val="es-ES"/>
              </w:rPr>
            </w:pPr>
            <w:r w:rsidRPr="00477E0A">
              <w:rPr>
                <w:rFonts w:ascii="Arial" w:eastAsia="Calibri" w:hAnsi="Arial" w:cs="Arial"/>
                <w:sz w:val="20"/>
                <w:szCs w:val="20"/>
                <w:lang w:val="es-ES"/>
              </w:rPr>
              <w:t xml:space="preserve">La Aduana Nacional de Bolivia, a través de la </w:t>
            </w:r>
            <w:r w:rsidRPr="00477E0A">
              <w:rPr>
                <w:rFonts w:ascii="Arial" w:hAnsi="Arial" w:cs="Arial"/>
                <w:sz w:val="20"/>
                <w:szCs w:val="20"/>
                <w:lang w:val="es-ES"/>
              </w:rPr>
              <w:t>Declaración Única de Exportación</w:t>
            </w:r>
            <w:r w:rsidRPr="00477E0A">
              <w:rPr>
                <w:rFonts w:ascii="Arial" w:eastAsia="Calibri" w:hAnsi="Arial" w:cs="Arial"/>
                <w:sz w:val="20"/>
                <w:szCs w:val="20"/>
                <w:lang w:val="es-ES"/>
              </w:rPr>
              <w:t xml:space="preserve"> (DUE), registra las exportaciones </w:t>
            </w:r>
            <w:r w:rsidRPr="00477E0A">
              <w:rPr>
                <w:rFonts w:ascii="Arial" w:hAnsi="Arial" w:cs="Arial"/>
                <w:sz w:val="20"/>
                <w:szCs w:val="20"/>
                <w:lang w:val="es-ES"/>
              </w:rPr>
              <w:t xml:space="preserve">de mercancías </w:t>
            </w:r>
            <w:r w:rsidRPr="00477E0A">
              <w:rPr>
                <w:rFonts w:ascii="Arial" w:eastAsia="Calibri" w:hAnsi="Arial" w:cs="Arial"/>
                <w:sz w:val="20"/>
                <w:szCs w:val="20"/>
                <w:lang w:val="es-ES"/>
              </w:rPr>
              <w:t>de Bolivia por modo de transporte</w:t>
            </w:r>
            <w:r w:rsidRPr="00477E0A">
              <w:rPr>
                <w:rFonts w:ascii="Arial" w:hAnsi="Arial" w:cs="Arial"/>
                <w:sz w:val="20"/>
                <w:szCs w:val="20"/>
                <w:lang w:val="es-ES"/>
              </w:rPr>
              <w:t>, expresadas en dólares y en kilos</w:t>
            </w:r>
            <w:r w:rsidRPr="00477E0A">
              <w:rPr>
                <w:rFonts w:ascii="Arial" w:eastAsia="Calibri" w:hAnsi="Arial" w:cs="Arial"/>
                <w:sz w:val="20"/>
                <w:szCs w:val="20"/>
                <w:lang w:val="es-ES"/>
              </w:rPr>
              <w:t xml:space="preserve">. </w:t>
            </w:r>
            <w:r w:rsidRPr="00477E0A">
              <w:rPr>
                <w:rFonts w:ascii="Arial" w:hAnsi="Arial" w:cs="Arial"/>
                <w:sz w:val="20"/>
                <w:szCs w:val="20"/>
                <w:lang w:val="es-ES"/>
              </w:rPr>
              <w:t xml:space="preserve">INE reporta las exportaciones de bienes transportadas por Bolivia anualmente por la red férrea. </w:t>
            </w:r>
          </w:p>
          <w:p w14:paraId="048B586F" w14:textId="77777777" w:rsidR="00444365" w:rsidRPr="00477E0A" w:rsidRDefault="00444365" w:rsidP="00444365">
            <w:pPr>
              <w:jc w:val="both"/>
              <w:rPr>
                <w:rFonts w:ascii="Arial" w:hAnsi="Arial" w:cs="Arial"/>
                <w:sz w:val="20"/>
                <w:szCs w:val="20"/>
                <w:lang w:val="es-ES"/>
              </w:rPr>
            </w:pPr>
          </w:p>
          <w:p w14:paraId="5E13CA09" w14:textId="04523461" w:rsidR="00444365"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ferroviario, contribuirán a incrementar en un 5% la carga de exportación transportada en la red férrea respecto a la línea de base.</w:t>
            </w:r>
          </w:p>
        </w:tc>
        <w:tc>
          <w:tcPr>
            <w:tcW w:w="1890" w:type="dxa"/>
            <w:shd w:val="clear" w:color="auto" w:fill="auto"/>
            <w:noWrap/>
            <w:vAlign w:val="center"/>
          </w:tcPr>
          <w:p w14:paraId="383A9D6D" w14:textId="6ACE4C40"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Publicación Anual del Instituto Nacional de Estadísticas de Bolivia.</w:t>
            </w:r>
          </w:p>
        </w:tc>
      </w:tr>
      <w:tr w:rsidR="00477E0A" w:rsidRPr="00477E0A" w14:paraId="4A77928B" w14:textId="77777777" w:rsidTr="00F64E64">
        <w:trPr>
          <w:trHeight w:val="178"/>
        </w:trPr>
        <w:tc>
          <w:tcPr>
            <w:tcW w:w="2700" w:type="dxa"/>
            <w:shd w:val="clear" w:color="auto" w:fill="auto"/>
            <w:noWrap/>
          </w:tcPr>
          <w:p w14:paraId="585535B8" w14:textId="6A9B0E2C"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lastRenderedPageBreak/>
              <w:t>Índice de Cantidad del Transporte Aéreo de Carga.</w:t>
            </w:r>
          </w:p>
        </w:tc>
        <w:tc>
          <w:tcPr>
            <w:tcW w:w="5490" w:type="dxa"/>
          </w:tcPr>
          <w:p w14:paraId="597BAE2F" w14:textId="40476CA9"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El Instituto Nacional de Estadísticas (INE) de Bolivia calcula anualmente el Índice de Cantidad (Laspeyres) del Transporte Aéreo de carga, como un indicador de la evolución del volumen transportado de carga a nivel nacional e internacional. La información para el cálculo del indicador se obtiene de las empresas aéreas, quienes recopilan información sobre el número de carga, tipo de vuelo, número de vuelo, kilómetros recorrido, distancia unitaria, origen y destino del vuelo. La información comprende geográficamente a nivel nacional, las rutas Troncal (La Paz, Cochabamba y Santa Cruz), Principal (Sucre, Tarija, Puerto Suaréz y Trinidad) y Secundaria (Riberalta, Yacuiba, Camiri, Guayaramerín, Magdalena, Rurrenabaque, San Joaqu</w:t>
            </w:r>
            <w:r w:rsidR="00126BA3">
              <w:rPr>
                <w:rFonts w:ascii="Arial" w:hAnsi="Arial" w:cs="Arial"/>
                <w:sz w:val="20"/>
                <w:szCs w:val="20"/>
                <w:lang w:val="es-ES"/>
              </w:rPr>
              <w:t>í</w:t>
            </w:r>
            <w:r w:rsidRPr="00477E0A">
              <w:rPr>
                <w:rFonts w:ascii="Arial" w:hAnsi="Arial" w:cs="Arial"/>
                <w:sz w:val="20"/>
                <w:szCs w:val="20"/>
                <w:lang w:val="es-ES"/>
              </w:rPr>
              <w:t>n, San Ignacio de Velasco, San Ramón y San Borja). La ruta internacional se refiere al tráfico que tiene como origen o destino Bolivia.</w:t>
            </w:r>
          </w:p>
          <w:p w14:paraId="78D6391B" w14:textId="77777777" w:rsidR="00444365" w:rsidRPr="00477E0A" w:rsidRDefault="00444365" w:rsidP="00444365">
            <w:pPr>
              <w:tabs>
                <w:tab w:val="left" w:pos="-720"/>
              </w:tabs>
              <w:suppressAutoHyphens/>
              <w:jc w:val="both"/>
              <w:rPr>
                <w:rFonts w:ascii="Arial" w:hAnsi="Arial" w:cs="Arial"/>
                <w:sz w:val="20"/>
                <w:szCs w:val="20"/>
                <w:lang w:val="es-ES_tradnl"/>
              </w:rPr>
            </w:pPr>
          </w:p>
          <w:p w14:paraId="4D59C090" w14:textId="77777777" w:rsidR="00444365" w:rsidRPr="008946DE" w:rsidRDefault="00444365" w:rsidP="00444365">
            <w:pPr>
              <w:jc w:val="both"/>
              <w:rPr>
                <w:rFonts w:ascii="Arial" w:eastAsia="Times New Roman" w:hAnsi="Arial" w:cs="Arial"/>
                <w:i/>
                <w:sz w:val="16"/>
                <w:szCs w:val="16"/>
                <w:lang w:val="es-ES"/>
              </w:rPr>
            </w:pPr>
            <m:oMathPara>
              <m:oMathParaPr>
                <m:jc m:val="left"/>
              </m:oMathParaPr>
              <m:oMath>
                <m:r>
                  <m:rPr>
                    <m:sty m:val="bi"/>
                  </m:rPr>
                  <w:rPr>
                    <w:rFonts w:ascii="Cambria Math" w:hAnsi="Cambria Math" w:cs="Arial" w:hint="eastAsia"/>
                    <w:sz w:val="16"/>
                    <w:szCs w:val="16"/>
                    <w:lang w:val="es-ES"/>
                  </w:rPr>
                  <m:t>Í</m:t>
                </m:r>
                <m:r>
                  <m:rPr>
                    <m:sty m:val="bi"/>
                  </m:rPr>
                  <w:rPr>
                    <w:rFonts w:ascii="Cambria Math" w:hAnsi="Cambria Math" w:cs="Arial"/>
                    <w:sz w:val="16"/>
                    <w:szCs w:val="16"/>
                  </w:rPr>
                  <m:t>ndice</m:t>
                </m:r>
                <m:r>
                  <m:rPr>
                    <m:sty m:val="bi"/>
                  </m:rPr>
                  <w:rPr>
                    <w:rFonts w:ascii="Cambria Math" w:hAnsi="Cambria Math" w:cs="Arial"/>
                    <w:sz w:val="16"/>
                    <w:szCs w:val="16"/>
                    <w:lang w:val="es-ES"/>
                  </w:rPr>
                  <m:t xml:space="preserve"> </m:t>
                </m:r>
                <m:r>
                  <m:rPr>
                    <m:sty m:val="bi"/>
                  </m:rPr>
                  <w:rPr>
                    <w:rFonts w:ascii="Cambria Math" w:hAnsi="Cambria Math" w:cs="Arial"/>
                    <w:sz w:val="16"/>
                    <w:szCs w:val="16"/>
                  </w:rPr>
                  <m:t>de</m:t>
                </m:r>
                <m:r>
                  <m:rPr>
                    <m:sty m:val="bi"/>
                  </m:rPr>
                  <w:rPr>
                    <w:rFonts w:ascii="Cambria Math" w:hAnsi="Cambria Math" w:cs="Arial"/>
                    <w:sz w:val="16"/>
                    <w:szCs w:val="16"/>
                    <w:lang w:val="es-ES"/>
                  </w:rPr>
                  <m:t xml:space="preserve"> </m:t>
                </m:r>
                <m:r>
                  <m:rPr>
                    <m:sty m:val="bi"/>
                  </m:rPr>
                  <w:rPr>
                    <w:rFonts w:ascii="Cambria Math" w:hAnsi="Cambria Math" w:cs="Arial"/>
                    <w:sz w:val="16"/>
                    <w:szCs w:val="16"/>
                  </w:rPr>
                  <m:t>Cantidad</m:t>
                </m:r>
                <m:r>
                  <m:rPr>
                    <m:sty m:val="bi"/>
                  </m:rPr>
                  <w:rPr>
                    <w:rFonts w:ascii="Cambria Math" w:hAnsi="Cambria Math" w:cs="Arial"/>
                    <w:sz w:val="16"/>
                    <w:szCs w:val="16"/>
                    <w:lang w:val="es-ES"/>
                  </w:rPr>
                  <m:t>=</m:t>
                </m:r>
                <m:d>
                  <m:dPr>
                    <m:ctrlPr>
                      <w:rPr>
                        <w:rFonts w:ascii="Cambria Math" w:hAnsi="Cambria Math" w:cs="Arial"/>
                        <w:i/>
                        <w:sz w:val="16"/>
                        <w:szCs w:val="16"/>
                        <w:lang w:val="es-ES"/>
                      </w:rPr>
                    </m:ctrlPr>
                  </m:dPr>
                  <m:e>
                    <m:f>
                      <m:fPr>
                        <m:ctrlPr>
                          <w:rPr>
                            <w:rFonts w:ascii="Cambria Math" w:hAnsi="Cambria Math" w:cs="Arial"/>
                            <w:i/>
                            <w:sz w:val="16"/>
                            <w:szCs w:val="16"/>
                            <w:lang w:val="es-ES"/>
                          </w:rPr>
                        </m:ctrlPr>
                      </m:fPr>
                      <m:num>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m:t>
                        </m:r>
                        <m:r>
                          <w:rPr>
                            <w:rFonts w:ascii="Cambria Math" w:hAnsi="Cambria Math" w:cs="Arial"/>
                            <w:sz w:val="16"/>
                            <w:szCs w:val="16"/>
                            <w:lang w:val="es-ES"/>
                          </w:rPr>
                          <m:t xml:space="preserve">  </m:t>
                        </m:r>
                        <m:r>
                          <w:rPr>
                            <w:rFonts w:ascii="Cambria Math" w:hAnsi="Cambria Math" w:cs="Arial"/>
                            <w:sz w:val="16"/>
                            <w:szCs w:val="16"/>
                            <w:lang w:val="pt-BR"/>
                          </w:rPr>
                          <m:t>por</m:t>
                        </m:r>
                        <m:r>
                          <w:rPr>
                            <w:rFonts w:ascii="Cambria Math" w:hAnsi="Cambria Math" w:cs="Arial"/>
                            <w:sz w:val="16"/>
                            <w:szCs w:val="16"/>
                            <w:lang w:val="es-ES"/>
                          </w:rPr>
                          <m:t xml:space="preserve"> </m:t>
                        </m:r>
                        <m:r>
                          <w:rPr>
                            <w:rFonts w:ascii="Cambria Math" w:hAnsi="Cambria Math" w:cs="Arial"/>
                            <w:sz w:val="16"/>
                            <w:szCs w:val="16"/>
                          </w:rPr>
                          <m:t>ruta</m:t>
                        </m:r>
                        <m:r>
                          <w:rPr>
                            <w:rFonts w:ascii="Cambria Math" w:hAnsi="Cambria Math" w:cs="Arial"/>
                            <w:sz w:val="16"/>
                            <w:szCs w:val="16"/>
                            <w:lang w:val="es-ES"/>
                          </w:rPr>
                          <m:t>/</m:t>
                        </m:r>
                        <m:r>
                          <w:rPr>
                            <w:rFonts w:ascii="Cambria Math" w:hAnsi="Cambria Math" w:cs="Arial"/>
                            <w:sz w:val="16"/>
                            <w:szCs w:val="16"/>
                            <w:lang w:val="pt-BR"/>
                          </w:rPr>
                          <m:t>servicio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hint="eastAsia"/>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base</m:t>
                        </m:r>
                      </m:num>
                      <m:den>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 por</m:t>
                        </m:r>
                        <m:r>
                          <w:rPr>
                            <w:rFonts w:ascii="Cambria Math" w:hAnsi="Cambria Math" w:cs="Arial"/>
                            <w:sz w:val="16"/>
                            <w:szCs w:val="16"/>
                            <w:lang w:val="es-ES"/>
                          </w:rPr>
                          <m:t xml:space="preserve"> </m:t>
                        </m:r>
                        <m:r>
                          <w:rPr>
                            <w:rFonts w:ascii="Cambria Math" w:hAnsi="Cambria Math" w:cs="Arial"/>
                            <w:sz w:val="16"/>
                            <w:szCs w:val="16"/>
                          </w:rPr>
                          <m:t>ruta</m:t>
                        </m:r>
                        <m:r>
                          <w:rPr>
                            <w:rFonts w:ascii="Cambria Math" w:hAnsi="Cambria Math" w:cs="Arial"/>
                            <w:sz w:val="16"/>
                            <w:szCs w:val="16"/>
                            <w:lang w:val="es-ES"/>
                          </w:rPr>
                          <m:t>/</m:t>
                        </m:r>
                        <m:r>
                          <w:rPr>
                            <w:rFonts w:ascii="Cambria Math" w:hAnsi="Cambria Math" w:cs="Arial"/>
                            <w:sz w:val="16"/>
                            <w:szCs w:val="16"/>
                            <w:lang w:val="pt-BR"/>
                          </w:rPr>
                          <m:t>servicio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hint="eastAsia"/>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t</m:t>
                        </m:r>
                      </m:den>
                    </m:f>
                  </m:e>
                </m:d>
                <m:r>
                  <m:rPr>
                    <m:sty m:val="p"/>
                  </m:rPr>
                  <w:rPr>
                    <w:rFonts w:ascii="Cambria Math" w:hAnsi="Cambria Math" w:cs="Arial"/>
                    <w:spacing w:val="-3"/>
                    <w:sz w:val="16"/>
                    <w:szCs w:val="16"/>
                    <w:lang w:val="es-ES"/>
                  </w:rPr>
                  <m:t xml:space="preserve"> </m:t>
                </m:r>
              </m:oMath>
            </m:oMathPara>
          </w:p>
          <w:p w14:paraId="073D229E" w14:textId="77777777" w:rsidR="00444365" w:rsidRPr="008946DE" w:rsidRDefault="00444365" w:rsidP="00444365">
            <w:pPr>
              <w:jc w:val="both"/>
              <w:rPr>
                <w:rFonts w:ascii="Arial" w:eastAsia="Times New Roman" w:hAnsi="Arial" w:cs="Arial"/>
                <w:sz w:val="16"/>
                <w:szCs w:val="16"/>
                <w:lang w:val="es-ES"/>
              </w:rPr>
            </w:pPr>
          </w:p>
          <w:p w14:paraId="0A5758AD" w14:textId="62E702C4" w:rsidR="00444365" w:rsidRPr="008946DE" w:rsidRDefault="00444365" w:rsidP="00EC3150">
            <w:pPr>
              <w:jc w:val="both"/>
              <w:rPr>
                <w:rFonts w:ascii="Arial" w:eastAsia="Times New Roman" w:hAnsi="Arial" w:cs="Arial"/>
                <w:sz w:val="16"/>
                <w:szCs w:val="16"/>
                <w:lang w:val="es-ES"/>
              </w:rPr>
            </w:pPr>
            <w:r w:rsidRPr="008946DE">
              <w:rPr>
                <w:rFonts w:ascii="Arial" w:eastAsia="Times New Roman" w:hAnsi="Arial" w:cs="Arial"/>
                <w:sz w:val="16"/>
                <w:szCs w:val="16"/>
                <w:lang w:val="es-ES"/>
              </w:rPr>
              <w:t xml:space="preserve">*/ Ponderado por empresa, tipo de servicio en período base (Ver detalle metodológico en </w:t>
            </w:r>
            <w:hyperlink r:id="rId17" w:history="1">
              <w:r w:rsidRPr="008946DE">
                <w:rPr>
                  <w:rStyle w:val="Hyperlink"/>
                  <w:rFonts w:ascii="Arial" w:eastAsia="Times New Roman" w:hAnsi="Arial" w:cs="Arial"/>
                  <w:color w:val="auto"/>
                  <w:sz w:val="16"/>
                  <w:szCs w:val="16"/>
                  <w:lang w:val="es-ES"/>
                </w:rPr>
                <w:t>EEO#</w:t>
              </w:r>
              <w:r w:rsidR="00723001">
                <w:rPr>
                  <w:rStyle w:val="Hyperlink"/>
                  <w:rFonts w:ascii="Arial" w:eastAsia="Times New Roman" w:hAnsi="Arial" w:cs="Arial"/>
                  <w:color w:val="auto"/>
                  <w:sz w:val="16"/>
                  <w:szCs w:val="16"/>
                  <w:lang w:val="es-ES"/>
                </w:rPr>
                <w:t>1</w:t>
              </w:r>
              <w:r w:rsidRPr="008946DE">
                <w:rPr>
                  <w:rStyle w:val="Hyperlink"/>
                  <w:rFonts w:ascii="Arial" w:eastAsia="Times New Roman" w:hAnsi="Arial" w:cs="Arial"/>
                  <w:color w:val="auto"/>
                  <w:sz w:val="16"/>
                  <w:szCs w:val="16"/>
                  <w:lang w:val="es-ES"/>
                </w:rPr>
                <w:t>1</w:t>
              </w:r>
            </w:hyperlink>
            <w:r w:rsidRPr="008946DE">
              <w:rPr>
                <w:rFonts w:ascii="Arial" w:eastAsia="Times New Roman" w:hAnsi="Arial" w:cs="Arial"/>
                <w:sz w:val="16"/>
                <w:szCs w:val="16"/>
                <w:lang w:val="es-ES"/>
              </w:rPr>
              <w:t>)</w:t>
            </w:r>
          </w:p>
          <w:p w14:paraId="79A95493" w14:textId="77777777" w:rsidR="0018548E" w:rsidRPr="000D0CBE" w:rsidRDefault="0018548E" w:rsidP="00EC3150">
            <w:pPr>
              <w:jc w:val="both"/>
              <w:rPr>
                <w:rFonts w:ascii="Arial" w:hAnsi="Arial" w:cs="Arial"/>
                <w:sz w:val="20"/>
                <w:szCs w:val="20"/>
                <w:lang w:val="es-ES"/>
              </w:rPr>
            </w:pPr>
          </w:p>
          <w:p w14:paraId="57FACBA7" w14:textId="53F1ADE7" w:rsidR="0018548E"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aéreo, contribuirán a incrementar el índice de cantidad del transporte de pasajeros nacional e internacional en 2 puntos cada uno, respecto a la línea de base.</w:t>
            </w:r>
          </w:p>
        </w:tc>
        <w:tc>
          <w:tcPr>
            <w:tcW w:w="1890" w:type="dxa"/>
            <w:shd w:val="clear" w:color="auto" w:fill="auto"/>
            <w:noWrap/>
            <w:vAlign w:val="center"/>
          </w:tcPr>
          <w:p w14:paraId="4B63B084" w14:textId="0BADE156"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Publicación Anual del Instituto Nacional de Estadísticas de Bolivia.</w:t>
            </w:r>
          </w:p>
        </w:tc>
      </w:tr>
      <w:tr w:rsidR="00477E0A" w:rsidRPr="00477E0A" w14:paraId="7A8AE710" w14:textId="77777777" w:rsidTr="00F64E64">
        <w:trPr>
          <w:trHeight w:val="178"/>
        </w:trPr>
        <w:tc>
          <w:tcPr>
            <w:tcW w:w="2700" w:type="dxa"/>
            <w:shd w:val="clear" w:color="auto" w:fill="auto"/>
            <w:noWrap/>
          </w:tcPr>
          <w:p w14:paraId="3ED67011" w14:textId="28AA5B23"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 xml:space="preserve">Índice de Cantidad del Transporte Aéreo de Pasajeros. </w:t>
            </w:r>
          </w:p>
        </w:tc>
        <w:tc>
          <w:tcPr>
            <w:tcW w:w="5490" w:type="dxa"/>
          </w:tcPr>
          <w:p w14:paraId="2A771EB7"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El Instituto Nacional de Estadísticas (INE) de Bolivia calcula anualmente el Índice de Cantidad (Laspeyres) del Transporte Aéreo de pasajeros, como un indicador de la evolución del volumen transportado de pasajeros a nivel nacional e internacional. La información para el cálculo del indicador se obtiene de las empresas aéreas, quienes recopilan información sobre el número de pasajeros, tipo de vuelo, número de vuelo, kilómetros recorrido, distancia unitaria, origen y destino del vuelo. La información comprende geográficamente a nivel nacional, las rutas Troncal (La Paz, Cochabamba y Santa Cruz), Principal (Sucre, Tarija, Puerto Suaréz y Trinidad) y Secundaria (Riberalta, Yacuiba, Camiri, Guayaramerín, Magdalena, Rurrenabaque, San Joaquñin, San Ignacio de Velasco, San Ramón y San Borja). La ruta internacional se refiere al tráfico que tiene como origen o destino Bolivia.</w:t>
            </w:r>
          </w:p>
          <w:p w14:paraId="36E21385" w14:textId="77777777" w:rsidR="00444365" w:rsidRPr="00477E0A" w:rsidRDefault="00444365" w:rsidP="00444365">
            <w:pPr>
              <w:tabs>
                <w:tab w:val="left" w:pos="-720"/>
              </w:tabs>
              <w:suppressAutoHyphens/>
              <w:jc w:val="both"/>
              <w:rPr>
                <w:rFonts w:ascii="Arial" w:hAnsi="Arial" w:cs="Arial"/>
                <w:sz w:val="20"/>
                <w:szCs w:val="20"/>
                <w:lang w:val="es-ES_tradnl"/>
              </w:rPr>
            </w:pPr>
          </w:p>
          <w:p w14:paraId="1A13A245" w14:textId="77777777" w:rsidR="00444365" w:rsidRPr="008946DE" w:rsidRDefault="00444365" w:rsidP="00444365">
            <w:pPr>
              <w:jc w:val="both"/>
              <w:rPr>
                <w:rFonts w:ascii="Arial" w:eastAsia="Times New Roman" w:hAnsi="Arial" w:cs="Arial"/>
                <w:i/>
                <w:sz w:val="16"/>
                <w:szCs w:val="16"/>
                <w:lang w:val="es-ES"/>
              </w:rPr>
            </w:pPr>
            <m:oMathPara>
              <m:oMathParaPr>
                <m:jc m:val="left"/>
              </m:oMathParaPr>
              <m:oMath>
                <m:r>
                  <m:rPr>
                    <m:sty m:val="bi"/>
                  </m:rPr>
                  <w:rPr>
                    <w:rFonts w:ascii="Cambria Math" w:hAnsi="Cambria Math" w:cs="Arial" w:hint="eastAsia"/>
                    <w:sz w:val="16"/>
                    <w:szCs w:val="16"/>
                    <w:lang w:val="es-ES"/>
                  </w:rPr>
                  <m:t>Í</m:t>
                </m:r>
                <m:r>
                  <m:rPr>
                    <m:sty m:val="bi"/>
                  </m:rPr>
                  <w:rPr>
                    <w:rFonts w:ascii="Cambria Math" w:hAnsi="Cambria Math" w:cs="Arial"/>
                    <w:sz w:val="16"/>
                    <w:szCs w:val="16"/>
                  </w:rPr>
                  <m:t>ndice</m:t>
                </m:r>
                <m:r>
                  <m:rPr>
                    <m:sty m:val="bi"/>
                  </m:rPr>
                  <w:rPr>
                    <w:rFonts w:ascii="Cambria Math" w:hAnsi="Cambria Math" w:cs="Arial"/>
                    <w:sz w:val="16"/>
                    <w:szCs w:val="16"/>
                    <w:lang w:val="es-ES"/>
                  </w:rPr>
                  <m:t xml:space="preserve"> </m:t>
                </m:r>
                <m:r>
                  <m:rPr>
                    <m:sty m:val="bi"/>
                  </m:rPr>
                  <w:rPr>
                    <w:rFonts w:ascii="Cambria Math" w:hAnsi="Cambria Math" w:cs="Arial"/>
                    <w:sz w:val="16"/>
                    <w:szCs w:val="16"/>
                  </w:rPr>
                  <m:t>de</m:t>
                </m:r>
                <m:r>
                  <m:rPr>
                    <m:sty m:val="bi"/>
                  </m:rPr>
                  <w:rPr>
                    <w:rFonts w:ascii="Cambria Math" w:hAnsi="Cambria Math" w:cs="Arial"/>
                    <w:sz w:val="16"/>
                    <w:szCs w:val="16"/>
                    <w:lang w:val="es-ES"/>
                  </w:rPr>
                  <m:t xml:space="preserve"> </m:t>
                </m:r>
                <m:r>
                  <m:rPr>
                    <m:sty m:val="bi"/>
                  </m:rPr>
                  <w:rPr>
                    <w:rFonts w:ascii="Cambria Math" w:hAnsi="Cambria Math" w:cs="Arial"/>
                    <w:sz w:val="16"/>
                    <w:szCs w:val="16"/>
                  </w:rPr>
                  <m:t>Cantidad</m:t>
                </m:r>
                <m:r>
                  <m:rPr>
                    <m:sty m:val="bi"/>
                  </m:rPr>
                  <w:rPr>
                    <w:rFonts w:ascii="Cambria Math" w:hAnsi="Cambria Math" w:cs="Arial"/>
                    <w:sz w:val="16"/>
                    <w:szCs w:val="16"/>
                    <w:lang w:val="es-ES"/>
                  </w:rPr>
                  <m:t>=</m:t>
                </m:r>
                <m:d>
                  <m:dPr>
                    <m:ctrlPr>
                      <w:rPr>
                        <w:rFonts w:ascii="Cambria Math" w:hAnsi="Cambria Math" w:cs="Arial"/>
                        <w:i/>
                        <w:sz w:val="16"/>
                        <w:szCs w:val="16"/>
                        <w:lang w:val="es-ES"/>
                      </w:rPr>
                    </m:ctrlPr>
                  </m:dPr>
                  <m:e>
                    <m:f>
                      <m:fPr>
                        <m:ctrlPr>
                          <w:rPr>
                            <w:rFonts w:ascii="Cambria Math" w:hAnsi="Cambria Math" w:cs="Arial"/>
                            <w:i/>
                            <w:sz w:val="16"/>
                            <w:szCs w:val="16"/>
                            <w:lang w:val="es-ES"/>
                          </w:rPr>
                        </m:ctrlPr>
                      </m:fPr>
                      <m:num>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m:t>
                        </m:r>
                        <m:r>
                          <w:rPr>
                            <w:rFonts w:ascii="Cambria Math" w:hAnsi="Cambria Math" w:cs="Arial"/>
                            <w:sz w:val="16"/>
                            <w:szCs w:val="16"/>
                            <w:lang w:val="es-ES"/>
                          </w:rPr>
                          <m:t xml:space="preserve">  </m:t>
                        </m:r>
                        <m:r>
                          <w:rPr>
                            <w:rFonts w:ascii="Cambria Math" w:hAnsi="Cambria Math" w:cs="Arial"/>
                            <w:sz w:val="16"/>
                            <w:szCs w:val="16"/>
                            <w:lang w:val="pt-BR"/>
                          </w:rPr>
                          <m:t>por</m:t>
                        </m:r>
                        <m:r>
                          <w:rPr>
                            <w:rFonts w:ascii="Cambria Math" w:hAnsi="Cambria Math" w:cs="Arial"/>
                            <w:sz w:val="16"/>
                            <w:szCs w:val="16"/>
                            <w:lang w:val="es-ES"/>
                          </w:rPr>
                          <m:t xml:space="preserve"> </m:t>
                        </m:r>
                        <m:r>
                          <w:rPr>
                            <w:rFonts w:ascii="Cambria Math" w:hAnsi="Cambria Math" w:cs="Arial"/>
                            <w:sz w:val="16"/>
                            <w:szCs w:val="16"/>
                          </w:rPr>
                          <m:t>ruta</m:t>
                        </m:r>
                        <m:r>
                          <w:rPr>
                            <w:rFonts w:ascii="Cambria Math" w:hAnsi="Cambria Math" w:cs="Arial"/>
                            <w:sz w:val="16"/>
                            <w:szCs w:val="16"/>
                            <w:lang w:val="es-ES"/>
                          </w:rPr>
                          <m:t>/</m:t>
                        </m:r>
                        <m:r>
                          <w:rPr>
                            <w:rFonts w:ascii="Cambria Math" w:hAnsi="Cambria Math" w:cs="Arial"/>
                            <w:sz w:val="16"/>
                            <w:szCs w:val="16"/>
                            <w:lang w:val="pt-BR"/>
                          </w:rPr>
                          <m:t>servicio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hint="eastAsia"/>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base</m:t>
                        </m:r>
                      </m:num>
                      <m:den>
                        <m:r>
                          <w:rPr>
                            <w:rFonts w:ascii="Cambria Math" w:hAnsi="Cambria Math" w:cs="Arial"/>
                            <w:sz w:val="16"/>
                            <w:szCs w:val="16"/>
                          </w:rPr>
                          <m:t>Cantidad</m:t>
                        </m:r>
                        <m:r>
                          <w:rPr>
                            <w:rFonts w:ascii="Cambria Math" w:hAnsi="Cambria Math" w:cs="Arial"/>
                            <w:sz w:val="16"/>
                            <w:szCs w:val="16"/>
                            <w:lang w:val="es-ES"/>
                          </w:rPr>
                          <m:t xml:space="preserve">  </m:t>
                        </m:r>
                        <m:r>
                          <w:rPr>
                            <w:rFonts w:ascii="Cambria Math" w:hAnsi="Cambria Math" w:cs="Arial"/>
                            <w:sz w:val="16"/>
                            <w:szCs w:val="16"/>
                          </w:rPr>
                          <m:t>transportada por</m:t>
                        </m:r>
                        <m:r>
                          <w:rPr>
                            <w:rFonts w:ascii="Cambria Math" w:hAnsi="Cambria Math" w:cs="Arial"/>
                            <w:sz w:val="16"/>
                            <w:szCs w:val="16"/>
                            <w:lang w:val="es-ES"/>
                          </w:rPr>
                          <m:t xml:space="preserve"> </m:t>
                        </m:r>
                        <m:r>
                          <w:rPr>
                            <w:rFonts w:ascii="Cambria Math" w:hAnsi="Cambria Math" w:cs="Arial"/>
                            <w:sz w:val="16"/>
                            <w:szCs w:val="16"/>
                          </w:rPr>
                          <m:t>ruta</m:t>
                        </m:r>
                        <m:r>
                          <w:rPr>
                            <w:rFonts w:ascii="Cambria Math" w:hAnsi="Cambria Math" w:cs="Arial"/>
                            <w:sz w:val="16"/>
                            <w:szCs w:val="16"/>
                            <w:lang w:val="es-ES"/>
                          </w:rPr>
                          <m:t>/</m:t>
                        </m:r>
                        <m:r>
                          <w:rPr>
                            <w:rFonts w:ascii="Cambria Math" w:hAnsi="Cambria Math" w:cs="Arial"/>
                            <w:sz w:val="16"/>
                            <w:szCs w:val="16"/>
                            <w:lang w:val="pt-BR"/>
                          </w:rPr>
                          <m:t>servicio</m:t>
                        </m:r>
                        <m:r>
                          <w:rPr>
                            <w:rFonts w:ascii="Cambria Math" w:hAnsi="Cambria Math" w:cs="Arial"/>
                            <w:sz w:val="16"/>
                            <w:szCs w:val="16"/>
                            <w:lang w:val="es-ES"/>
                          </w:rPr>
                          <m:t xml:space="preserve"> </m:t>
                        </m:r>
                        <m:r>
                          <w:rPr>
                            <w:rFonts w:ascii="Cambria Math" w:hAnsi="Cambria Math" w:cs="Arial"/>
                            <w:sz w:val="16"/>
                            <w:szCs w:val="16"/>
                          </w:rPr>
                          <m:t>en</m:t>
                        </m:r>
                        <m:r>
                          <w:rPr>
                            <w:rFonts w:ascii="Cambria Math" w:hAnsi="Cambria Math" w:cs="Arial"/>
                            <w:sz w:val="16"/>
                            <w:szCs w:val="16"/>
                            <w:lang w:val="es-ES"/>
                          </w:rPr>
                          <m:t xml:space="preserve">  </m:t>
                        </m:r>
                        <m:r>
                          <w:rPr>
                            <w:rFonts w:ascii="Cambria Math" w:hAnsi="Cambria Math" w:cs="Arial"/>
                            <w:sz w:val="16"/>
                            <w:szCs w:val="16"/>
                          </w:rPr>
                          <m:t>per</m:t>
                        </m:r>
                        <m:r>
                          <w:rPr>
                            <w:rFonts w:ascii="Cambria Math" w:hAnsi="Cambria Math" w:cs="Arial" w:hint="eastAsia"/>
                            <w:sz w:val="16"/>
                            <w:szCs w:val="16"/>
                            <w:lang w:val="es-ES"/>
                          </w:rPr>
                          <m:t>í</m:t>
                        </m:r>
                        <m:r>
                          <w:rPr>
                            <w:rFonts w:ascii="Cambria Math" w:hAnsi="Cambria Math" w:cs="Arial"/>
                            <w:sz w:val="16"/>
                            <w:szCs w:val="16"/>
                          </w:rPr>
                          <m:t>odo</m:t>
                        </m:r>
                        <m:r>
                          <w:rPr>
                            <w:rFonts w:ascii="Cambria Math" w:hAnsi="Cambria Math" w:cs="Arial"/>
                            <w:sz w:val="16"/>
                            <w:szCs w:val="16"/>
                            <w:lang w:val="es-ES"/>
                          </w:rPr>
                          <m:t xml:space="preserve">  </m:t>
                        </m:r>
                        <m:r>
                          <w:rPr>
                            <w:rFonts w:ascii="Cambria Math" w:hAnsi="Cambria Math" w:cs="Arial"/>
                            <w:sz w:val="16"/>
                            <w:szCs w:val="16"/>
                          </w:rPr>
                          <m:t>t</m:t>
                        </m:r>
                      </m:den>
                    </m:f>
                  </m:e>
                </m:d>
                <m:r>
                  <m:rPr>
                    <m:sty m:val="p"/>
                  </m:rPr>
                  <w:rPr>
                    <w:rFonts w:ascii="Cambria Math" w:hAnsi="Cambria Math" w:cs="Arial"/>
                    <w:spacing w:val="-3"/>
                    <w:sz w:val="16"/>
                    <w:szCs w:val="16"/>
                    <w:lang w:val="es-ES"/>
                  </w:rPr>
                  <m:t xml:space="preserve"> </m:t>
                </m:r>
              </m:oMath>
            </m:oMathPara>
          </w:p>
          <w:p w14:paraId="7E44F972" w14:textId="77777777" w:rsidR="00444365" w:rsidRPr="000D0CBE" w:rsidRDefault="00444365" w:rsidP="00444365">
            <w:pPr>
              <w:jc w:val="both"/>
              <w:rPr>
                <w:rFonts w:ascii="Arial" w:eastAsia="Times New Roman" w:hAnsi="Arial" w:cs="Arial"/>
                <w:i/>
                <w:sz w:val="20"/>
                <w:szCs w:val="20"/>
                <w:lang w:val="es-ES"/>
              </w:rPr>
            </w:pPr>
          </w:p>
          <w:p w14:paraId="4DB039AD" w14:textId="0A9A2E8F" w:rsidR="00444365" w:rsidRDefault="00444365" w:rsidP="00EC3150">
            <w:pPr>
              <w:jc w:val="both"/>
              <w:rPr>
                <w:rFonts w:ascii="Arial" w:eastAsia="Times New Roman" w:hAnsi="Arial" w:cs="Arial"/>
                <w:sz w:val="16"/>
                <w:szCs w:val="16"/>
                <w:lang w:val="es-ES"/>
              </w:rPr>
            </w:pPr>
            <w:r w:rsidRPr="008946DE">
              <w:rPr>
                <w:rFonts w:ascii="Arial" w:eastAsia="Times New Roman" w:hAnsi="Arial" w:cs="Arial"/>
                <w:sz w:val="16"/>
                <w:szCs w:val="16"/>
                <w:lang w:val="es-ES"/>
              </w:rPr>
              <w:t xml:space="preserve">*/ Ponderado por empresa, tipo de servicio en período base (Ver detalle metodológico en </w:t>
            </w:r>
            <w:hyperlink r:id="rId18" w:history="1">
              <w:r w:rsidRPr="008946DE">
                <w:rPr>
                  <w:rStyle w:val="Hyperlink"/>
                  <w:rFonts w:ascii="Arial" w:eastAsia="Times New Roman" w:hAnsi="Arial" w:cs="Arial"/>
                  <w:color w:val="auto"/>
                  <w:sz w:val="16"/>
                  <w:szCs w:val="16"/>
                  <w:lang w:val="es-ES"/>
                </w:rPr>
                <w:t>EEO#</w:t>
              </w:r>
              <w:r w:rsidR="00126BA3">
                <w:rPr>
                  <w:rStyle w:val="Hyperlink"/>
                  <w:rFonts w:ascii="Arial" w:eastAsia="Times New Roman" w:hAnsi="Arial" w:cs="Arial"/>
                  <w:color w:val="auto"/>
                  <w:sz w:val="16"/>
                  <w:szCs w:val="16"/>
                  <w:lang w:val="es-ES"/>
                </w:rPr>
                <w:t>1</w:t>
              </w:r>
              <w:r w:rsidRPr="008946DE">
                <w:rPr>
                  <w:rStyle w:val="Hyperlink"/>
                  <w:rFonts w:ascii="Arial" w:eastAsia="Times New Roman" w:hAnsi="Arial" w:cs="Arial"/>
                  <w:color w:val="auto"/>
                  <w:sz w:val="16"/>
                  <w:szCs w:val="16"/>
                  <w:lang w:val="es-ES"/>
                </w:rPr>
                <w:t>1</w:t>
              </w:r>
            </w:hyperlink>
            <w:r w:rsidRPr="008946DE">
              <w:rPr>
                <w:rFonts w:ascii="Arial" w:eastAsia="Times New Roman" w:hAnsi="Arial" w:cs="Arial"/>
                <w:sz w:val="16"/>
                <w:szCs w:val="16"/>
                <w:lang w:val="es-ES"/>
              </w:rPr>
              <w:t>)</w:t>
            </w:r>
          </w:p>
          <w:p w14:paraId="46C79534" w14:textId="77777777" w:rsidR="008E3914" w:rsidRPr="008946DE" w:rsidRDefault="008E3914" w:rsidP="00EC3150">
            <w:pPr>
              <w:jc w:val="both"/>
              <w:rPr>
                <w:rFonts w:ascii="Arial" w:eastAsia="Times New Roman" w:hAnsi="Arial" w:cs="Arial"/>
                <w:sz w:val="16"/>
                <w:szCs w:val="16"/>
                <w:lang w:val="es-ES"/>
              </w:rPr>
            </w:pPr>
          </w:p>
          <w:p w14:paraId="439621A1" w14:textId="7CA17CA8" w:rsidR="0018548E"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 xml:space="preserve">El GdB estima que la implementación de las reformas en el marco regulatorio y reglamentario de transporte aéreo, contribuirán a incrementar el índice de cantidad del </w:t>
            </w:r>
            <w:r w:rsidRPr="000D0CBE">
              <w:rPr>
                <w:rFonts w:ascii="Arial" w:hAnsi="Arial" w:cs="Arial"/>
                <w:sz w:val="20"/>
                <w:szCs w:val="20"/>
                <w:lang w:val="es-ES"/>
              </w:rPr>
              <w:lastRenderedPageBreak/>
              <w:t>transporte de carga nacional e internacional en 3 puntos cada uno, respecto a la línea de base.</w:t>
            </w:r>
          </w:p>
        </w:tc>
        <w:tc>
          <w:tcPr>
            <w:tcW w:w="1890" w:type="dxa"/>
            <w:shd w:val="clear" w:color="auto" w:fill="auto"/>
            <w:noWrap/>
            <w:vAlign w:val="center"/>
          </w:tcPr>
          <w:p w14:paraId="7194F514" w14:textId="40190495"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lastRenderedPageBreak/>
              <w:t>Publicación Anual del Instituto Nacional de Estadísticas de Bolivia.</w:t>
            </w:r>
          </w:p>
        </w:tc>
      </w:tr>
      <w:tr w:rsidR="00477E0A" w:rsidRPr="00F64E64" w14:paraId="4B493078" w14:textId="77777777" w:rsidTr="00F64E64">
        <w:trPr>
          <w:trHeight w:val="178"/>
        </w:trPr>
        <w:tc>
          <w:tcPr>
            <w:tcW w:w="2700" w:type="dxa"/>
            <w:shd w:val="clear" w:color="auto" w:fill="auto"/>
            <w:noWrap/>
            <w:vAlign w:val="center"/>
          </w:tcPr>
          <w:p w14:paraId="3DCF591C" w14:textId="58AD1A3C"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Toneladas de carga transportadas por la red fluvial.</w:t>
            </w:r>
          </w:p>
        </w:tc>
        <w:tc>
          <w:tcPr>
            <w:tcW w:w="5490" w:type="dxa"/>
          </w:tcPr>
          <w:p w14:paraId="03D4504F"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La Dirección General de Intereses Marítimos, Fluviales, Lacustres y Marina Mercante recopila las estadísticas de las toneladas de carga de exportación transportadas por la red fluvial. </w:t>
            </w:r>
          </w:p>
          <w:p w14:paraId="03199861" w14:textId="77777777" w:rsidR="00444365" w:rsidRPr="00477E0A" w:rsidRDefault="00444365" w:rsidP="00444365">
            <w:pPr>
              <w:jc w:val="both"/>
              <w:rPr>
                <w:rFonts w:ascii="Arial" w:hAnsi="Arial" w:cs="Arial"/>
                <w:sz w:val="20"/>
                <w:szCs w:val="20"/>
                <w:lang w:val="es-ES"/>
              </w:rPr>
            </w:pPr>
          </w:p>
          <w:p w14:paraId="569A4A3B" w14:textId="19BF80E8" w:rsidR="00444365" w:rsidRPr="00477E0A" w:rsidRDefault="0018548E" w:rsidP="00EC3150">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acuático, facilitarán las intervenciones en la calidad de las vías navegables y servicios, lo que contribuirá a incrementar en un 10% la carga transportada de exportación por esta vía, respecto a la línea de base.</w:t>
            </w:r>
          </w:p>
        </w:tc>
        <w:tc>
          <w:tcPr>
            <w:tcW w:w="1890" w:type="dxa"/>
            <w:shd w:val="clear" w:color="auto" w:fill="auto"/>
            <w:noWrap/>
            <w:vAlign w:val="center"/>
          </w:tcPr>
          <w:p w14:paraId="781EA913" w14:textId="3DBAE5D5" w:rsidR="00444365" w:rsidRPr="000D0CBE" w:rsidRDefault="00444365" w:rsidP="00C22824">
            <w:pPr>
              <w:jc w:val="both"/>
              <w:rPr>
                <w:rFonts w:ascii="Arial" w:eastAsia="Times New Roman" w:hAnsi="Arial" w:cs="Arial"/>
                <w:sz w:val="20"/>
                <w:szCs w:val="20"/>
                <w:lang w:val="pt-BR"/>
              </w:rPr>
            </w:pPr>
            <w:r w:rsidRPr="000D0CBE">
              <w:rPr>
                <w:rFonts w:ascii="Arial" w:eastAsia="Times New Roman" w:hAnsi="Arial" w:cs="Arial"/>
                <w:sz w:val="20"/>
                <w:szCs w:val="20"/>
                <w:lang w:val="pt-BR"/>
              </w:rPr>
              <w:t>Reporte anual publicado por INE.</w:t>
            </w:r>
          </w:p>
        </w:tc>
      </w:tr>
      <w:tr w:rsidR="00477E0A" w:rsidRPr="00F64E64" w14:paraId="34F012DD" w14:textId="77777777" w:rsidTr="00F64E64">
        <w:trPr>
          <w:trHeight w:val="178"/>
        </w:trPr>
        <w:tc>
          <w:tcPr>
            <w:tcW w:w="2700" w:type="dxa"/>
            <w:shd w:val="clear" w:color="auto" w:fill="auto"/>
            <w:noWrap/>
            <w:vAlign w:val="center"/>
          </w:tcPr>
          <w:p w14:paraId="51D53B18" w14:textId="27EF9228"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Costos anuales de mantenimiento y rehabilitación de carreteras.</w:t>
            </w:r>
          </w:p>
        </w:tc>
        <w:tc>
          <w:tcPr>
            <w:tcW w:w="5490" w:type="dxa"/>
          </w:tcPr>
          <w:p w14:paraId="1DDB9490" w14:textId="77777777" w:rsidR="00101A19" w:rsidRPr="00F64E64" w:rsidRDefault="00101A19">
            <w:pPr>
              <w:jc w:val="both"/>
              <w:rPr>
                <w:rFonts w:ascii="Arial" w:hAnsi="Arial" w:cs="Arial"/>
                <w:sz w:val="20"/>
                <w:szCs w:val="20"/>
                <w:lang w:val="es-ES"/>
              </w:rPr>
            </w:pPr>
            <w:r w:rsidRPr="00F64E64">
              <w:rPr>
                <w:rFonts w:ascii="Arial" w:hAnsi="Arial" w:cs="Arial"/>
                <w:sz w:val="20"/>
                <w:szCs w:val="20"/>
                <w:lang w:val="es-ES"/>
              </w:rPr>
              <w:t>Las rehabilitaciones tendrán como objetivo solucionar los problemas estructurales en su totalidad y además mejorar las condiciones de superficie de las carreteras. Para éste cálculo, se utilizan los estudios de rugosidad que presenta ABC y que determinan la calidad  de las vías. El objetivo de los costos de rehabilitación es lograr que la totalidad de las vías tenga una condición Regular con IRI ≤ 5. Para calcular el costo de las obras se utilizaron valores internacionales: un costo de obras de estructura de 700.000 USD/Km y un costo de obras en superficie de 250.000 USD/Km. Para los costos de mantenimiento, se ha partido del valor referido por la ABC, donde se establece que en el año 2014 se destinaron aproximadamente U$$105 millones en programas de conservación para un total de 12.746 mil km de carreteras; esto equivale a un costo de mantenimiento de U$D 8,203/km.</w:t>
            </w:r>
          </w:p>
          <w:p w14:paraId="0BDF0D11" w14:textId="77777777" w:rsidR="0018548E" w:rsidRPr="00477E0A" w:rsidRDefault="0018548E">
            <w:pPr>
              <w:jc w:val="both"/>
              <w:rPr>
                <w:rFonts w:ascii="Arial" w:hAnsi="Arial" w:cs="Arial"/>
                <w:sz w:val="20"/>
                <w:szCs w:val="20"/>
                <w:lang w:val="es-ES_tradnl"/>
              </w:rPr>
            </w:pPr>
          </w:p>
          <w:p w14:paraId="7C48D6D7" w14:textId="0704F3DC" w:rsidR="0018548E" w:rsidRPr="00F64E64" w:rsidRDefault="0018548E">
            <w:pPr>
              <w:jc w:val="both"/>
              <w:rPr>
                <w:rFonts w:ascii="Arial" w:hAnsi="Arial" w:cs="Arial"/>
                <w:sz w:val="20"/>
                <w:szCs w:val="20"/>
                <w:lang w:val="es-ES"/>
              </w:rPr>
            </w:pPr>
            <w:r w:rsidRPr="000D0CBE">
              <w:rPr>
                <w:rFonts w:ascii="Arial" w:hAnsi="Arial" w:cs="Arial"/>
                <w:sz w:val="20"/>
                <w:szCs w:val="20"/>
                <w:lang w:val="es-ES"/>
              </w:rPr>
              <w:t>La meta se ha definido de acuerdo a las proyecciones de la evaluación económica del Programa.</w:t>
            </w:r>
          </w:p>
        </w:tc>
        <w:tc>
          <w:tcPr>
            <w:tcW w:w="1890" w:type="dxa"/>
            <w:shd w:val="clear" w:color="auto" w:fill="auto"/>
            <w:noWrap/>
            <w:vAlign w:val="center"/>
          </w:tcPr>
          <w:p w14:paraId="1166EF1E" w14:textId="77777777" w:rsidR="00444365" w:rsidRPr="000D0CBE" w:rsidRDefault="00444365" w:rsidP="00C22824">
            <w:pPr>
              <w:jc w:val="both"/>
              <w:rPr>
                <w:rFonts w:ascii="Arial" w:eastAsia="Times New Roman" w:hAnsi="Arial" w:cs="Arial"/>
                <w:sz w:val="20"/>
                <w:szCs w:val="20"/>
                <w:lang w:val="es-ES_tradnl"/>
              </w:rPr>
            </w:pPr>
          </w:p>
        </w:tc>
      </w:tr>
      <w:tr w:rsidR="00477E0A" w:rsidRPr="00477E0A" w14:paraId="6AAF50DE" w14:textId="77777777" w:rsidTr="00F64E64">
        <w:trPr>
          <w:trHeight w:val="53"/>
        </w:trPr>
        <w:tc>
          <w:tcPr>
            <w:tcW w:w="10080" w:type="dxa"/>
            <w:gridSpan w:val="3"/>
            <w:shd w:val="clear" w:color="auto" w:fill="F2F2F2" w:themeFill="background1" w:themeFillShade="F2"/>
            <w:noWrap/>
            <w:vAlign w:val="center"/>
          </w:tcPr>
          <w:p w14:paraId="7129C674" w14:textId="4DBE9B4A" w:rsidR="00444365" w:rsidRPr="00F64E64" w:rsidRDefault="00444365">
            <w:pPr>
              <w:jc w:val="both"/>
              <w:rPr>
                <w:rFonts w:ascii="Arial" w:eastAsia="Times New Roman" w:hAnsi="Arial" w:cs="Arial"/>
                <w:b/>
                <w:bCs/>
                <w:sz w:val="20"/>
                <w:szCs w:val="20"/>
                <w:lang w:val="es-ES"/>
              </w:rPr>
            </w:pPr>
            <w:r w:rsidRPr="00F64E64">
              <w:rPr>
                <w:rFonts w:ascii="Arial" w:eastAsia="Times New Roman" w:hAnsi="Arial" w:cs="Arial"/>
                <w:b/>
                <w:bCs/>
                <w:sz w:val="20"/>
                <w:szCs w:val="20"/>
                <w:lang w:val="es-ES"/>
              </w:rPr>
              <w:t>RESULTADOS</w:t>
            </w:r>
          </w:p>
        </w:tc>
      </w:tr>
      <w:tr w:rsidR="00477E0A" w:rsidRPr="00F64E64" w14:paraId="20F28BAF" w14:textId="77777777" w:rsidTr="00F64E64">
        <w:trPr>
          <w:trHeight w:val="53"/>
        </w:trPr>
        <w:tc>
          <w:tcPr>
            <w:tcW w:w="2700" w:type="dxa"/>
            <w:shd w:val="clear" w:color="auto" w:fill="auto"/>
            <w:noWrap/>
            <w:vAlign w:val="center"/>
          </w:tcPr>
          <w:p w14:paraId="6F8CA05C" w14:textId="7BD75FF0" w:rsidR="00444365" w:rsidRPr="00F64E64" w:rsidRDefault="00444365">
            <w:pPr>
              <w:jc w:val="both"/>
              <w:rPr>
                <w:rFonts w:ascii="Arial" w:hAnsi="Arial" w:cs="Arial"/>
                <w:b/>
                <w:bCs/>
                <w:sz w:val="20"/>
                <w:szCs w:val="20"/>
                <w:lang w:val="es-ES"/>
              </w:rPr>
            </w:pPr>
            <w:r w:rsidRPr="00F64E64">
              <w:rPr>
                <w:rFonts w:ascii="Arial" w:eastAsia="Times New Roman" w:hAnsi="Arial" w:cs="Arial"/>
                <w:b/>
                <w:bCs/>
                <w:sz w:val="20"/>
                <w:szCs w:val="20"/>
                <w:lang w:val="es-ES"/>
              </w:rPr>
              <w:t>Porcentaje de intervenciones sectoriales basadas en planificación plurianual.</w:t>
            </w:r>
          </w:p>
        </w:tc>
        <w:tc>
          <w:tcPr>
            <w:tcW w:w="5490" w:type="dxa"/>
          </w:tcPr>
          <w:p w14:paraId="10886C62"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El PLANAST establece las demandas de intervención que son la base para la planificación plurianual, mientras que el Plan Operativo Anual (POA) del VMT incluye el total de intervenciones del VMT. El indicador se calculará como la diferencia entre el número de intervenciones del POA y el número de intervenciones en el POA correspondientes a lo definido en el PLANAST, a fin de establecer el porcentaje de intervenciones sectoriales basada en la planificación plurianual. </w:t>
            </w:r>
          </w:p>
          <w:p w14:paraId="5CB2982F" w14:textId="77777777" w:rsidR="00444365" w:rsidRPr="000D0CBE" w:rsidRDefault="00444365" w:rsidP="00444365">
            <w:pPr>
              <w:jc w:val="both"/>
              <w:rPr>
                <w:rFonts w:ascii="Arial" w:eastAsia="Times New Roman" w:hAnsi="Arial" w:cs="Arial"/>
                <w:sz w:val="20"/>
                <w:szCs w:val="20"/>
                <w:lang w:val="es-ES"/>
              </w:rPr>
            </w:pPr>
          </w:p>
          <w:p w14:paraId="4A851FD6" w14:textId="77777777" w:rsidR="00444365" w:rsidRPr="008946DE" w:rsidRDefault="00444365" w:rsidP="00444365">
            <w:pPr>
              <w:jc w:val="both"/>
              <w:rPr>
                <w:rFonts w:ascii="Arial" w:eastAsia="Times New Roman" w:hAnsi="Arial" w:cs="Arial"/>
                <w:sz w:val="16"/>
                <w:szCs w:val="16"/>
                <w:lang w:val="es-ES"/>
              </w:rPr>
            </w:pPr>
            <m:oMathPara>
              <m:oMath>
                <m:r>
                  <w:rPr>
                    <w:rFonts w:ascii="Cambria Math" w:eastAsia="Times New Roman" w:hAnsi="Cambria Math" w:cs="Arial"/>
                    <w:sz w:val="18"/>
                    <w:szCs w:val="16"/>
                    <w:lang w:val="es-ES"/>
                  </w:rPr>
                  <m:t>% planificaci</m:t>
                </m:r>
                <m:r>
                  <w:rPr>
                    <w:rFonts w:ascii="Cambria Math" w:eastAsia="Times New Roman" w:hAnsi="Cambria Math" w:cs="Arial" w:hint="eastAsia"/>
                    <w:sz w:val="18"/>
                    <w:szCs w:val="16"/>
                    <w:lang w:val="es-ES"/>
                  </w:rPr>
                  <m:t>ó</m:t>
                </m:r>
                <m:r>
                  <w:rPr>
                    <w:rFonts w:ascii="Cambria Math" w:eastAsia="Times New Roman" w:hAnsi="Cambria Math" w:cs="Arial"/>
                    <w:sz w:val="18"/>
                    <w:szCs w:val="16"/>
                    <w:lang w:val="es-ES"/>
                  </w:rPr>
                  <m:t xml:space="preserve">n plurianual= </m:t>
                </m:r>
                <m:d>
                  <m:dPr>
                    <m:ctrlPr>
                      <w:rPr>
                        <w:rFonts w:ascii="Cambria Math" w:eastAsia="Times New Roman" w:hAnsi="Cambria Math" w:cs="Arial"/>
                        <w:i/>
                        <w:sz w:val="18"/>
                        <w:szCs w:val="16"/>
                        <w:lang w:val="es-ES"/>
                      </w:rPr>
                    </m:ctrlPr>
                  </m:dPr>
                  <m:e>
                    <m:f>
                      <m:fPr>
                        <m:ctrlPr>
                          <w:rPr>
                            <w:rFonts w:ascii="Cambria Math" w:eastAsia="Times New Roman" w:hAnsi="Cambria Math" w:cs="Arial"/>
                            <w:i/>
                            <w:sz w:val="18"/>
                            <w:szCs w:val="16"/>
                            <w:lang w:val="es-ES"/>
                          </w:rPr>
                        </m:ctrlPr>
                      </m:fPr>
                      <m:num>
                        <m:r>
                          <w:rPr>
                            <w:rFonts w:ascii="Cambria Math" w:eastAsia="Times New Roman" w:hAnsi="Cambria Math" w:cs="Arial"/>
                            <w:sz w:val="18"/>
                            <w:szCs w:val="16"/>
                            <w:lang w:val="es-ES"/>
                          </w:rPr>
                          <m:t>N</m:t>
                        </m:r>
                        <m:r>
                          <w:rPr>
                            <w:rFonts w:ascii="Cambria Math" w:eastAsia="Times New Roman" w:hAnsi="Cambria Math" w:cs="Arial" w:hint="eastAsia"/>
                            <w:sz w:val="18"/>
                            <w:szCs w:val="16"/>
                            <w:lang w:val="es-ES"/>
                          </w:rPr>
                          <m:t>ú</m:t>
                        </m:r>
                        <m:r>
                          <w:rPr>
                            <w:rFonts w:ascii="Cambria Math" w:eastAsia="Times New Roman" w:hAnsi="Cambria Math" w:cs="Arial"/>
                            <w:sz w:val="18"/>
                            <w:szCs w:val="16"/>
                            <w:lang w:val="es-ES"/>
                          </w:rPr>
                          <m:t>mero de intervenciones PLANAST en POA</m:t>
                        </m:r>
                      </m:num>
                      <m:den>
                        <m:r>
                          <w:rPr>
                            <w:rFonts w:ascii="Cambria Math" w:eastAsia="Times New Roman" w:hAnsi="Cambria Math" w:cs="Arial"/>
                            <w:sz w:val="18"/>
                            <w:szCs w:val="16"/>
                            <w:lang w:val="es-ES"/>
                          </w:rPr>
                          <m:t>N</m:t>
                        </m:r>
                        <m:r>
                          <w:rPr>
                            <w:rFonts w:ascii="Cambria Math" w:eastAsia="Times New Roman" w:hAnsi="Cambria Math" w:cs="Arial" w:hint="eastAsia"/>
                            <w:sz w:val="18"/>
                            <w:szCs w:val="16"/>
                            <w:lang w:val="es-ES"/>
                          </w:rPr>
                          <m:t>ú</m:t>
                        </m:r>
                        <m:r>
                          <w:rPr>
                            <w:rFonts w:ascii="Cambria Math" w:eastAsia="Times New Roman" w:hAnsi="Cambria Math" w:cs="Arial"/>
                            <w:sz w:val="18"/>
                            <w:szCs w:val="16"/>
                            <w:lang w:val="es-ES"/>
                          </w:rPr>
                          <m:t>mero de intervenciones en POA</m:t>
                        </m:r>
                      </m:den>
                    </m:f>
                  </m:e>
                </m:d>
                <m:r>
                  <w:rPr>
                    <w:rFonts w:ascii="Cambria Math" w:eastAsia="Times New Roman" w:hAnsi="Cambria Math" w:cs="Arial"/>
                    <w:sz w:val="18"/>
                    <w:szCs w:val="16"/>
                    <w:lang w:val="es-ES"/>
                  </w:rPr>
                  <m:t>*100</m:t>
                </m:r>
              </m:oMath>
            </m:oMathPara>
          </w:p>
          <w:p w14:paraId="702329A2" w14:textId="77777777" w:rsidR="00444365" w:rsidRPr="000D0CBE" w:rsidRDefault="00444365" w:rsidP="00444365">
            <w:pPr>
              <w:jc w:val="both"/>
              <w:rPr>
                <w:rFonts w:ascii="Arial" w:eastAsia="Times New Roman" w:hAnsi="Arial" w:cs="Arial"/>
                <w:sz w:val="20"/>
                <w:szCs w:val="20"/>
                <w:lang w:val="es-ES"/>
              </w:rPr>
            </w:pPr>
          </w:p>
          <w:p w14:paraId="00F0E3EF" w14:textId="10012457" w:rsidR="00444365" w:rsidRPr="00477E0A" w:rsidRDefault="00444365" w:rsidP="00F01806">
            <w:pPr>
              <w:jc w:val="both"/>
              <w:rPr>
                <w:rFonts w:ascii="Arial" w:hAnsi="Arial" w:cs="Arial"/>
                <w:sz w:val="20"/>
                <w:szCs w:val="20"/>
                <w:lang w:val="es-ES"/>
              </w:rPr>
            </w:pPr>
            <w:r w:rsidRPr="00477E0A">
              <w:rPr>
                <w:rFonts w:ascii="Arial" w:hAnsi="Arial" w:cs="Arial"/>
                <w:sz w:val="20"/>
                <w:szCs w:val="20"/>
                <w:lang w:val="es-ES"/>
              </w:rPr>
              <w:t xml:space="preserve">La meta se ha determinado en función de la experiencia regional observada en países como Paraguay, donde tras la verificación de la ejecución del Plan Maestro de Transporte el nivel de implementación efectiva fue del 80%. </w:t>
            </w:r>
          </w:p>
        </w:tc>
        <w:tc>
          <w:tcPr>
            <w:tcW w:w="1890" w:type="dxa"/>
            <w:shd w:val="clear" w:color="auto" w:fill="auto"/>
            <w:noWrap/>
            <w:vAlign w:val="center"/>
          </w:tcPr>
          <w:p w14:paraId="3464FAB4" w14:textId="16DBD415"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Documentación anual publicada por el MOPSV.</w:t>
            </w:r>
          </w:p>
        </w:tc>
      </w:tr>
      <w:tr w:rsidR="00477E0A" w:rsidRPr="00F64E64" w14:paraId="59CB2733" w14:textId="77777777" w:rsidTr="00F64E64">
        <w:trPr>
          <w:trHeight w:val="53"/>
        </w:trPr>
        <w:tc>
          <w:tcPr>
            <w:tcW w:w="2700" w:type="dxa"/>
            <w:shd w:val="clear" w:color="auto" w:fill="auto"/>
            <w:noWrap/>
            <w:vAlign w:val="center"/>
          </w:tcPr>
          <w:p w14:paraId="13E571B6" w14:textId="3ED3072E" w:rsidR="00444365" w:rsidRPr="00F64E64" w:rsidRDefault="00444365">
            <w:pPr>
              <w:jc w:val="both"/>
              <w:rPr>
                <w:rFonts w:ascii="Arial" w:hAnsi="Arial" w:cs="Arial"/>
                <w:b/>
                <w:bCs/>
                <w:sz w:val="20"/>
                <w:szCs w:val="20"/>
                <w:lang w:val="es-ES"/>
              </w:rPr>
            </w:pPr>
            <w:r w:rsidRPr="00F64E64">
              <w:rPr>
                <w:rFonts w:ascii="Arial" w:hAnsi="Arial" w:cs="Arial"/>
                <w:b/>
                <w:bCs/>
                <w:sz w:val="20"/>
                <w:szCs w:val="20"/>
                <w:lang w:val="es-ES"/>
              </w:rPr>
              <w:t xml:space="preserve">Número de reclamos directos respecto al </w:t>
            </w:r>
            <w:r w:rsidRPr="00F64E64">
              <w:rPr>
                <w:rFonts w:ascii="Arial" w:hAnsi="Arial" w:cs="Arial"/>
                <w:b/>
                <w:bCs/>
                <w:sz w:val="20"/>
                <w:szCs w:val="20"/>
                <w:lang w:val="es-ES"/>
              </w:rPr>
              <w:lastRenderedPageBreak/>
              <w:t>servicio prestado (incluyendo atención, condiciones de los vehículos, servicio terminal) recibidos anualmente.</w:t>
            </w:r>
          </w:p>
        </w:tc>
        <w:tc>
          <w:tcPr>
            <w:tcW w:w="5490" w:type="dxa"/>
          </w:tcPr>
          <w:p w14:paraId="40C73FF6" w14:textId="77777777" w:rsidR="00444365" w:rsidRPr="000D0CBE" w:rsidRDefault="00444365" w:rsidP="00444365">
            <w:pPr>
              <w:jc w:val="both"/>
              <w:rPr>
                <w:rFonts w:ascii="Arial" w:eastAsia="Times New Roman" w:hAnsi="Arial" w:cs="Arial"/>
                <w:sz w:val="20"/>
                <w:szCs w:val="20"/>
                <w:lang w:val="es-ES"/>
              </w:rPr>
            </w:pPr>
            <w:r w:rsidRPr="000D0CBE">
              <w:rPr>
                <w:rFonts w:ascii="Arial" w:eastAsia="Times New Roman" w:hAnsi="Arial" w:cs="Arial"/>
                <w:sz w:val="20"/>
                <w:szCs w:val="20"/>
                <w:lang w:val="es-ES"/>
              </w:rPr>
              <w:lastRenderedPageBreak/>
              <w:t xml:space="preserve">La Oficina de Consumidor (ODECO) de la Autoridad de Regulación y Fiscalización de Telecomunicaciones y </w:t>
            </w:r>
            <w:r w:rsidRPr="000D0CBE">
              <w:rPr>
                <w:rFonts w:ascii="Arial" w:eastAsia="Times New Roman" w:hAnsi="Arial" w:cs="Arial"/>
                <w:sz w:val="20"/>
                <w:szCs w:val="20"/>
                <w:lang w:val="es-ES"/>
              </w:rPr>
              <w:lastRenderedPageBreak/>
              <w:t xml:space="preserve">Transporte (ATT) compila y sistematiza los reclamos directos presentados por los usuarios por cualquier deficiencia en la prestación del servicio, a través de la presentación de los formularios en las oficinas de la ODECO/ATT. El indicador se calcula como la sumatoria de los reclamos presentados por los usuarios de los servicios de transporte terrestre durante cada año calendario, en relación a la atención, las condiciones de los vehículos, y los servicios en las terminales. </w:t>
            </w:r>
          </w:p>
          <w:p w14:paraId="36ED8873" w14:textId="77777777" w:rsidR="00444365" w:rsidRPr="000D0CBE" w:rsidRDefault="00444365" w:rsidP="00444365">
            <w:pPr>
              <w:jc w:val="both"/>
              <w:rPr>
                <w:rFonts w:ascii="Arial" w:eastAsia="Times New Roman" w:hAnsi="Arial" w:cs="Arial"/>
                <w:sz w:val="20"/>
                <w:szCs w:val="20"/>
                <w:lang w:val="es-ES"/>
              </w:rPr>
            </w:pPr>
          </w:p>
          <w:p w14:paraId="644806A1" w14:textId="48D66442" w:rsidR="00444365" w:rsidRPr="00477E0A" w:rsidRDefault="0018548E" w:rsidP="00F01806">
            <w:pPr>
              <w:jc w:val="both"/>
              <w:rPr>
                <w:rFonts w:ascii="Arial" w:hAnsi="Arial" w:cs="Arial"/>
                <w:sz w:val="20"/>
                <w:szCs w:val="20"/>
                <w:lang w:val="es-ES"/>
              </w:rPr>
            </w:pPr>
            <w:r w:rsidRPr="000D0CBE">
              <w:rPr>
                <w:rFonts w:ascii="Arial" w:hAnsi="Arial" w:cs="Arial"/>
                <w:sz w:val="20"/>
                <w:szCs w:val="20"/>
                <w:lang w:val="es-ES"/>
              </w:rPr>
              <w:t>El GdB estima que la implementación de las reformas en el marco regulatorio y reglamentario de transporte terrestre, contribuirán a alcanzar una reducción en los reclamos directos respecto a la línea de base del 50%.</w:t>
            </w:r>
          </w:p>
        </w:tc>
        <w:tc>
          <w:tcPr>
            <w:tcW w:w="1890" w:type="dxa"/>
            <w:shd w:val="clear" w:color="auto" w:fill="auto"/>
            <w:noWrap/>
            <w:vAlign w:val="center"/>
          </w:tcPr>
          <w:p w14:paraId="3A3336D4" w14:textId="6096B966"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lastRenderedPageBreak/>
              <w:t xml:space="preserve">Documentación anual publicada </w:t>
            </w:r>
            <w:r w:rsidRPr="000D0CBE">
              <w:rPr>
                <w:rFonts w:ascii="Arial" w:eastAsia="Times New Roman" w:hAnsi="Arial" w:cs="Arial"/>
                <w:sz w:val="20"/>
                <w:szCs w:val="20"/>
                <w:lang w:val="es-ES"/>
              </w:rPr>
              <w:lastRenderedPageBreak/>
              <w:t>por la Oficina de Consumidor de la ATT.</w:t>
            </w:r>
          </w:p>
        </w:tc>
      </w:tr>
      <w:tr w:rsidR="00477E0A" w:rsidRPr="00F64E64" w14:paraId="4A09F8DA" w14:textId="77777777" w:rsidTr="00F64E64">
        <w:trPr>
          <w:trHeight w:val="53"/>
        </w:trPr>
        <w:tc>
          <w:tcPr>
            <w:tcW w:w="2700" w:type="dxa"/>
            <w:shd w:val="clear" w:color="auto" w:fill="auto"/>
            <w:noWrap/>
            <w:vAlign w:val="center"/>
          </w:tcPr>
          <w:p w14:paraId="61ABB49B" w14:textId="710A584B" w:rsidR="00444365" w:rsidRPr="00F64E64" w:rsidRDefault="00444365">
            <w:pPr>
              <w:jc w:val="both"/>
              <w:rPr>
                <w:rFonts w:ascii="Arial" w:hAnsi="Arial" w:cs="Arial"/>
                <w:b/>
                <w:bCs/>
                <w:sz w:val="20"/>
                <w:szCs w:val="20"/>
                <w:lang w:val="es-ES"/>
              </w:rPr>
            </w:pPr>
            <w:r w:rsidRPr="00F64E64">
              <w:rPr>
                <w:rFonts w:ascii="Arial" w:eastAsia="Times New Roman" w:hAnsi="Arial" w:cs="Arial"/>
                <w:b/>
                <w:bCs/>
                <w:sz w:val="20"/>
                <w:szCs w:val="20"/>
                <w:lang w:val="es-ES"/>
              </w:rPr>
              <w:lastRenderedPageBreak/>
              <w:t xml:space="preserve">Edad media de la flota </w:t>
            </w:r>
            <w:r w:rsidRPr="00F64E64">
              <w:rPr>
                <w:rFonts w:ascii="Arial" w:hAnsi="Arial" w:cs="Arial"/>
                <w:b/>
                <w:bCs/>
                <w:sz w:val="20"/>
                <w:szCs w:val="20"/>
                <w:lang w:val="es-ES"/>
              </w:rPr>
              <w:t>vehicular en el país</w:t>
            </w:r>
            <w:r w:rsidRPr="00F64E64">
              <w:rPr>
                <w:rFonts w:ascii="Arial" w:eastAsia="Times New Roman" w:hAnsi="Arial" w:cs="Arial"/>
                <w:b/>
                <w:bCs/>
                <w:sz w:val="20"/>
                <w:szCs w:val="20"/>
                <w:lang w:val="es-ES"/>
              </w:rPr>
              <w:t>.</w:t>
            </w:r>
          </w:p>
        </w:tc>
        <w:tc>
          <w:tcPr>
            <w:tcW w:w="5490" w:type="dxa"/>
          </w:tcPr>
          <w:p w14:paraId="34EA195A"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El registro único para la administración tributaria municipal consolida y publica las estadísticas del parque vehicular de Bolivia, por tipo de vehículo y año del modelo. El indicador se calcula como el promedio ponderado del parque automotor del país. </w:t>
            </w:r>
          </w:p>
          <w:p w14:paraId="13DB5EF3" w14:textId="77777777" w:rsidR="00444365" w:rsidRPr="00477E0A" w:rsidRDefault="00444365" w:rsidP="00444365">
            <w:pPr>
              <w:jc w:val="both"/>
              <w:rPr>
                <w:rFonts w:ascii="Arial" w:hAnsi="Arial" w:cs="Arial"/>
                <w:sz w:val="20"/>
                <w:szCs w:val="20"/>
                <w:lang w:val="es-ES"/>
              </w:rPr>
            </w:pPr>
          </w:p>
          <w:p w14:paraId="61D64E2B" w14:textId="77777777" w:rsidR="00444365" w:rsidRPr="000D0CBE" w:rsidRDefault="00444365" w:rsidP="00444365">
            <w:pPr>
              <w:rPr>
                <w:rFonts w:ascii="Arial" w:hAnsi="Arial" w:cs="Arial"/>
                <w:sz w:val="20"/>
                <w:szCs w:val="20"/>
                <w:lang w:val="es-ES"/>
              </w:rPr>
            </w:pPr>
            <m:oMath>
              <m:r>
                <m:rPr>
                  <m:sty m:val="p"/>
                </m:rPr>
                <w:rPr>
                  <w:rFonts w:ascii="Cambria Math" w:hAnsi="Cambria Math" w:cs="Arial"/>
                  <w:sz w:val="20"/>
                  <w:szCs w:val="20"/>
                  <w:lang w:val="es-ES_tradnl"/>
                </w:rPr>
                <m:t xml:space="preserve">Edad media= </m:t>
              </m:r>
              <m:f>
                <m:fPr>
                  <m:ctrlPr>
                    <w:rPr>
                      <w:rFonts w:ascii="Cambria Math" w:hAnsi="Cambria Math" w:cs="Arial"/>
                      <w:sz w:val="20"/>
                      <w:szCs w:val="20"/>
                      <w:lang w:val="es-ES"/>
                    </w:rPr>
                  </m:ctrlPr>
                </m:fPr>
                <m:num>
                  <m:nary>
                    <m:naryPr>
                      <m:chr m:val="∑"/>
                      <m:ctrlPr>
                        <w:rPr>
                          <w:rFonts w:ascii="Cambria Math" w:hAnsi="Cambria Math" w:cs="Arial"/>
                          <w:sz w:val="20"/>
                          <w:szCs w:val="20"/>
                          <w:lang w:val="es-ES"/>
                        </w:rPr>
                      </m:ctrlPr>
                    </m:naryPr>
                    <m:sub>
                      <m:r>
                        <m:rPr>
                          <m:sty m:val="p"/>
                        </m:rPr>
                        <w:rPr>
                          <w:rFonts w:ascii="Cambria Math" w:hAnsi="Cambria Math" w:cs="Arial"/>
                          <w:sz w:val="20"/>
                          <w:szCs w:val="20"/>
                          <w:lang w:val="es-ES_tradnl"/>
                        </w:rPr>
                        <m:t>i=1</m:t>
                      </m:r>
                    </m:sub>
                    <m:sup>
                      <m:r>
                        <m:rPr>
                          <m:sty m:val="p"/>
                        </m:rPr>
                        <w:rPr>
                          <w:rFonts w:ascii="Cambria Math" w:hAnsi="Cambria Math" w:cs="Arial"/>
                          <w:sz w:val="20"/>
                          <w:szCs w:val="20"/>
                          <w:lang w:val="es-ES_tradnl"/>
                        </w:rPr>
                        <m:t>n</m:t>
                      </m:r>
                    </m:sup>
                    <m:e>
                      <m:sSub>
                        <m:sSubPr>
                          <m:ctrlPr>
                            <w:rPr>
                              <w:rFonts w:ascii="Cambria Math" w:hAnsi="Cambria Math" w:cs="Arial"/>
                              <w:sz w:val="20"/>
                              <w:szCs w:val="20"/>
                              <w:lang w:val="es-ES"/>
                            </w:rPr>
                          </m:ctrlPr>
                        </m:sSubPr>
                        <m:e>
                          <m:r>
                            <m:rPr>
                              <m:sty m:val="p"/>
                            </m:rPr>
                            <w:rPr>
                              <w:rFonts w:ascii="Cambria Math" w:hAnsi="Cambria Math" w:cs="Arial"/>
                              <w:sz w:val="20"/>
                              <w:szCs w:val="20"/>
                              <w:lang w:val="es-ES_tradnl"/>
                            </w:rPr>
                            <m:t>C</m:t>
                          </m:r>
                        </m:e>
                        <m:sub>
                          <m:r>
                            <m:rPr>
                              <m:sty m:val="p"/>
                            </m:rPr>
                            <w:rPr>
                              <w:rFonts w:ascii="Cambria Math" w:hAnsi="Cambria Math" w:cs="Arial"/>
                              <w:sz w:val="20"/>
                              <w:szCs w:val="20"/>
                              <w:lang w:val="es-ES_tradnl"/>
                            </w:rPr>
                            <m:t>i</m:t>
                          </m:r>
                        </m:sub>
                      </m:sSub>
                      <m:sSub>
                        <m:sSubPr>
                          <m:ctrlPr>
                            <w:rPr>
                              <w:rFonts w:ascii="Cambria Math" w:hAnsi="Cambria Math" w:cs="Arial"/>
                              <w:sz w:val="20"/>
                              <w:szCs w:val="20"/>
                              <w:lang w:val="es-ES"/>
                            </w:rPr>
                          </m:ctrlPr>
                        </m:sSubPr>
                        <m:e>
                          <m:r>
                            <m:rPr>
                              <m:sty m:val="p"/>
                            </m:rPr>
                            <w:rPr>
                              <w:rFonts w:ascii="Cambria Math" w:hAnsi="Cambria Math" w:cs="Arial"/>
                              <w:sz w:val="20"/>
                              <w:szCs w:val="20"/>
                              <w:lang w:val="es-ES_tradnl"/>
                            </w:rPr>
                            <m:t>X</m:t>
                          </m:r>
                        </m:e>
                        <m:sub>
                          <m:r>
                            <m:rPr>
                              <m:sty m:val="p"/>
                            </m:rPr>
                            <w:rPr>
                              <w:rFonts w:ascii="Cambria Math" w:hAnsi="Cambria Math" w:cs="Arial"/>
                              <w:sz w:val="20"/>
                              <w:szCs w:val="20"/>
                              <w:lang w:val="es-ES_tradnl"/>
                            </w:rPr>
                            <m:t>i</m:t>
                          </m:r>
                        </m:sub>
                      </m:sSub>
                    </m:e>
                  </m:nary>
                </m:num>
                <m:den>
                  <m:nary>
                    <m:naryPr>
                      <m:chr m:val="∑"/>
                      <m:ctrlPr>
                        <w:rPr>
                          <w:rFonts w:ascii="Cambria Math" w:hAnsi="Cambria Math" w:cs="Arial"/>
                          <w:sz w:val="20"/>
                          <w:szCs w:val="20"/>
                          <w:lang w:val="es-ES"/>
                        </w:rPr>
                      </m:ctrlPr>
                    </m:naryPr>
                    <m:sub>
                      <m:r>
                        <m:rPr>
                          <m:sty m:val="p"/>
                        </m:rPr>
                        <w:rPr>
                          <w:rFonts w:ascii="Cambria Math" w:hAnsi="Cambria Math" w:cs="Arial"/>
                          <w:sz w:val="20"/>
                          <w:szCs w:val="20"/>
                          <w:lang w:val="es-ES_tradnl"/>
                        </w:rPr>
                        <m:t>i=0</m:t>
                      </m:r>
                    </m:sub>
                    <m:sup>
                      <m:r>
                        <m:rPr>
                          <m:sty m:val="p"/>
                        </m:rPr>
                        <w:rPr>
                          <w:rFonts w:ascii="Cambria Math" w:hAnsi="Cambria Math" w:cs="Arial"/>
                          <w:sz w:val="20"/>
                          <w:szCs w:val="20"/>
                          <w:lang w:val="es-ES_tradnl"/>
                        </w:rPr>
                        <m:t>n</m:t>
                      </m:r>
                    </m:sup>
                    <m:e>
                      <m:sSub>
                        <m:sSubPr>
                          <m:ctrlPr>
                            <w:rPr>
                              <w:rFonts w:ascii="Cambria Math" w:hAnsi="Cambria Math" w:cs="Arial"/>
                              <w:sz w:val="20"/>
                              <w:szCs w:val="20"/>
                              <w:lang w:val="es-ES"/>
                            </w:rPr>
                          </m:ctrlPr>
                        </m:sSubPr>
                        <m:e>
                          <m:r>
                            <m:rPr>
                              <m:sty m:val="p"/>
                            </m:rPr>
                            <w:rPr>
                              <w:rFonts w:ascii="Cambria Math" w:hAnsi="Cambria Math" w:cs="Arial"/>
                              <w:sz w:val="20"/>
                              <w:szCs w:val="20"/>
                              <w:lang w:val="es-ES_tradnl"/>
                            </w:rPr>
                            <m:t>X</m:t>
                          </m:r>
                        </m:e>
                        <m:sub>
                          <m:r>
                            <m:rPr>
                              <m:sty m:val="p"/>
                            </m:rPr>
                            <w:rPr>
                              <w:rFonts w:ascii="Cambria Math" w:hAnsi="Cambria Math" w:cs="Arial"/>
                              <w:sz w:val="20"/>
                              <w:szCs w:val="20"/>
                              <w:lang w:val="es-ES_tradnl"/>
                            </w:rPr>
                            <m:t>i</m:t>
                          </m:r>
                        </m:sub>
                      </m:sSub>
                    </m:e>
                  </m:nary>
                </m:den>
              </m:f>
            </m:oMath>
            <w:r w:rsidRPr="000D0CBE">
              <w:rPr>
                <w:rFonts w:ascii="Arial" w:hAnsi="Arial" w:cs="Arial"/>
                <w:sz w:val="20"/>
                <w:szCs w:val="20"/>
                <w:lang w:val="es-ES"/>
              </w:rPr>
              <w:t>, donde:</w:t>
            </w:r>
          </w:p>
          <w:p w14:paraId="7581A2CE"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C= Antigüedad en años; X= Cantidad de vehículos; n= Número de datos.</w:t>
            </w:r>
          </w:p>
          <w:p w14:paraId="094FBB37" w14:textId="77777777" w:rsidR="00444365" w:rsidRPr="00477E0A" w:rsidRDefault="00444365" w:rsidP="00444365">
            <w:pPr>
              <w:jc w:val="both"/>
              <w:rPr>
                <w:rFonts w:ascii="Arial" w:hAnsi="Arial" w:cs="Arial"/>
                <w:sz w:val="20"/>
                <w:szCs w:val="20"/>
                <w:lang w:val="es-ES"/>
              </w:rPr>
            </w:pPr>
          </w:p>
          <w:p w14:paraId="133C796D" w14:textId="52CDE28E" w:rsidR="00444365" w:rsidRPr="00477E0A" w:rsidRDefault="00444365" w:rsidP="00F01806">
            <w:pPr>
              <w:jc w:val="both"/>
              <w:rPr>
                <w:rFonts w:ascii="Arial" w:hAnsi="Arial" w:cs="Arial"/>
                <w:sz w:val="20"/>
                <w:szCs w:val="20"/>
                <w:lang w:val="es-ES"/>
              </w:rPr>
            </w:pPr>
            <w:r w:rsidRPr="00477E0A">
              <w:rPr>
                <w:rFonts w:ascii="Arial" w:hAnsi="Arial" w:cs="Arial"/>
                <w:sz w:val="20"/>
                <w:szCs w:val="20"/>
                <w:lang w:val="es-ES"/>
              </w:rPr>
              <w:t>La meta se ha definido considerando la normativa internacional, en cuanto el Acuerdo Transporte Internacional Terrestre al que Bolivia está adscrito (BO, PE, BR, PR, AR, CH) recomienda que los vehículos en circulación no superen los 15 años de antigüedad; así como la implementación de políticas para regular las importaciones de vehículos usados.</w:t>
            </w:r>
          </w:p>
        </w:tc>
        <w:tc>
          <w:tcPr>
            <w:tcW w:w="1890" w:type="dxa"/>
            <w:shd w:val="clear" w:color="auto" w:fill="auto"/>
            <w:noWrap/>
            <w:vAlign w:val="center"/>
          </w:tcPr>
          <w:p w14:paraId="120AF948" w14:textId="3F79368E"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Documentación anual publicada por el MOPSV.</w:t>
            </w:r>
          </w:p>
        </w:tc>
      </w:tr>
      <w:tr w:rsidR="00477E0A" w:rsidRPr="00477E0A" w14:paraId="0E786696" w14:textId="77777777" w:rsidTr="00F64E64">
        <w:trPr>
          <w:trHeight w:val="53"/>
        </w:trPr>
        <w:tc>
          <w:tcPr>
            <w:tcW w:w="2700" w:type="dxa"/>
            <w:shd w:val="clear" w:color="auto" w:fill="auto"/>
            <w:noWrap/>
            <w:vAlign w:val="center"/>
          </w:tcPr>
          <w:p w14:paraId="7B9C97C9" w14:textId="2ED2B6DC" w:rsidR="00444365" w:rsidRPr="00F64E64" w:rsidRDefault="00444365">
            <w:pPr>
              <w:jc w:val="both"/>
              <w:rPr>
                <w:rFonts w:ascii="Arial" w:hAnsi="Arial" w:cs="Arial"/>
                <w:b/>
                <w:bCs/>
                <w:sz w:val="20"/>
                <w:szCs w:val="20"/>
                <w:lang w:val="es-ES"/>
              </w:rPr>
            </w:pPr>
            <w:r w:rsidRPr="00F64E64">
              <w:rPr>
                <w:rFonts w:ascii="Arial" w:eastAsia="Times New Roman" w:hAnsi="Arial" w:cs="Arial"/>
                <w:b/>
                <w:bCs/>
                <w:sz w:val="20"/>
                <w:szCs w:val="20"/>
                <w:lang w:val="es-ES"/>
              </w:rPr>
              <w:t>Porcentaje de la RVF en condiciones buenas, regulares y malas</w:t>
            </w:r>
          </w:p>
        </w:tc>
        <w:tc>
          <w:tcPr>
            <w:tcW w:w="5490" w:type="dxa"/>
          </w:tcPr>
          <w:p w14:paraId="64BDE532" w14:textId="66728B9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El estado de la red ha sido definido en la Evaluación Económica del Programa según el IRI: bueno (IRI ≤</w:t>
            </w:r>
            <w:r w:rsidR="007C2075" w:rsidRPr="00477E0A">
              <w:rPr>
                <w:rFonts w:ascii="Arial" w:hAnsi="Arial" w:cs="Arial"/>
                <w:sz w:val="20"/>
                <w:szCs w:val="20"/>
                <w:lang w:val="es-ES"/>
              </w:rPr>
              <w:t xml:space="preserve"> 2</w:t>
            </w:r>
            <w:r w:rsidRPr="00477E0A">
              <w:rPr>
                <w:rFonts w:ascii="Arial" w:hAnsi="Arial" w:cs="Arial"/>
                <w:sz w:val="20"/>
                <w:szCs w:val="20"/>
                <w:lang w:val="es-ES"/>
              </w:rPr>
              <w:t xml:space="preserve">), </w:t>
            </w:r>
            <w:r w:rsidR="007C2075" w:rsidRPr="00477E0A">
              <w:rPr>
                <w:rFonts w:ascii="Arial" w:hAnsi="Arial" w:cs="Arial"/>
                <w:sz w:val="20"/>
                <w:szCs w:val="20"/>
                <w:lang w:val="es-ES"/>
              </w:rPr>
              <w:t>regular (IRI entre 2 y 5), malo (IRI entre</w:t>
            </w:r>
            <w:r w:rsidRPr="00477E0A">
              <w:rPr>
                <w:rFonts w:ascii="Arial" w:hAnsi="Arial" w:cs="Arial"/>
                <w:sz w:val="20"/>
                <w:szCs w:val="20"/>
                <w:lang w:val="es-ES"/>
              </w:rPr>
              <w:t xml:space="preserve"> 5</w:t>
            </w:r>
            <w:r w:rsidR="007C2075" w:rsidRPr="00477E0A">
              <w:rPr>
                <w:rFonts w:ascii="Arial" w:hAnsi="Arial" w:cs="Arial"/>
                <w:sz w:val="20"/>
                <w:szCs w:val="20"/>
                <w:lang w:val="es-ES"/>
              </w:rPr>
              <w:t xml:space="preserve"> y 7</w:t>
            </w:r>
            <w:r w:rsidRPr="00477E0A">
              <w:rPr>
                <w:rFonts w:ascii="Arial" w:hAnsi="Arial" w:cs="Arial"/>
                <w:sz w:val="20"/>
                <w:szCs w:val="20"/>
                <w:lang w:val="es-ES"/>
              </w:rPr>
              <w:t>) y muy m</w:t>
            </w:r>
            <w:r w:rsidR="007C2075" w:rsidRPr="00477E0A">
              <w:rPr>
                <w:rFonts w:ascii="Arial" w:hAnsi="Arial" w:cs="Arial"/>
                <w:sz w:val="20"/>
                <w:szCs w:val="20"/>
                <w:lang w:val="es-ES"/>
              </w:rPr>
              <w:t>alo (IRI ≥ 7</w:t>
            </w:r>
            <w:r w:rsidRPr="00477E0A">
              <w:rPr>
                <w:rFonts w:ascii="Arial" w:hAnsi="Arial" w:cs="Arial"/>
                <w:sz w:val="20"/>
                <w:szCs w:val="20"/>
                <w:lang w:val="es-ES"/>
              </w:rPr>
              <w:t xml:space="preserve">), con datos de la ABC. Para efectos de monitoreo y evaluación las categorías malo y muy malo se han unido en una misma categoría. </w:t>
            </w:r>
          </w:p>
          <w:p w14:paraId="640E8FBF" w14:textId="77777777" w:rsidR="00444365" w:rsidRPr="00477E0A" w:rsidRDefault="00444365" w:rsidP="00444365">
            <w:pPr>
              <w:jc w:val="both"/>
              <w:rPr>
                <w:rFonts w:ascii="Arial" w:hAnsi="Arial" w:cs="Arial"/>
                <w:sz w:val="20"/>
                <w:szCs w:val="20"/>
                <w:lang w:val="es-ES"/>
              </w:rPr>
            </w:pPr>
          </w:p>
          <w:p w14:paraId="4625E2DE" w14:textId="77777777" w:rsidR="00444365" w:rsidRPr="000D0CBE" w:rsidRDefault="00444365" w:rsidP="00444365">
            <w:pPr>
              <w:jc w:val="both"/>
              <w:rPr>
                <w:rFonts w:ascii="Arial" w:hAnsi="Arial" w:cs="Arial"/>
                <w:sz w:val="20"/>
                <w:szCs w:val="20"/>
                <w:lang w:val="es-AR"/>
              </w:rPr>
            </w:pPr>
            <m:oMathPara>
              <m:oMath>
                <m:r>
                  <w:rPr>
                    <w:rFonts w:ascii="Cambria Math" w:eastAsia="Times New Roman" w:hAnsi="Cambria Math" w:cs="Arial"/>
                    <w:sz w:val="20"/>
                    <w:szCs w:val="20"/>
                    <w:lang w:val="es-ES"/>
                  </w:rPr>
                  <m:t>% RVF en condici</m:t>
                </m:r>
                <m:r>
                  <w:rPr>
                    <w:rFonts w:ascii="Cambria Math" w:eastAsia="Times New Roman" w:hAnsi="Cambria Math" w:cs="Arial" w:hint="eastAsia"/>
                    <w:sz w:val="20"/>
                    <w:szCs w:val="20"/>
                    <w:lang w:val="es-ES"/>
                  </w:rPr>
                  <m:t>ó</m:t>
                </m:r>
                <m:r>
                  <w:rPr>
                    <w:rFonts w:ascii="Cambria Math" w:eastAsia="Times New Roman" w:hAnsi="Cambria Math" w:cs="Arial"/>
                    <w:sz w:val="20"/>
                    <w:szCs w:val="20"/>
                    <w:lang w:val="es-ES"/>
                  </w:rPr>
                  <m:t>n buena, regular o mala=</m:t>
                </m:r>
                <m:d>
                  <m:dPr>
                    <m:ctrlPr>
                      <w:rPr>
                        <w:rFonts w:ascii="Cambria Math" w:eastAsia="Times New Roman" w:hAnsi="Cambria Math" w:cs="Arial"/>
                        <w:i/>
                        <w:sz w:val="20"/>
                        <w:szCs w:val="20"/>
                        <w:lang w:val="es-ES"/>
                      </w:rPr>
                    </m:ctrlPr>
                  </m:dPr>
                  <m:e>
                    <m:f>
                      <m:fPr>
                        <m:ctrlPr>
                          <w:rPr>
                            <w:rFonts w:ascii="Cambria Math" w:eastAsia="Times New Roman" w:hAnsi="Cambria Math" w:cs="Arial"/>
                            <w:i/>
                            <w:sz w:val="20"/>
                            <w:szCs w:val="20"/>
                            <w:lang w:val="es-ES"/>
                          </w:rPr>
                        </m:ctrlPr>
                      </m:fPr>
                      <m:num>
                        <m:r>
                          <m:rPr>
                            <m:sty m:val="p"/>
                          </m:rPr>
                          <w:rPr>
                            <w:rFonts w:ascii="Cambria Math" w:eastAsia="Times New Roman" w:hAnsi="Cambria Math" w:cs="Arial"/>
                            <w:sz w:val="20"/>
                            <w:szCs w:val="20"/>
                            <w:lang w:val="es-ES"/>
                          </w:rPr>
                          <m:t>km RVF en condici</m:t>
                        </m:r>
                        <m:r>
                          <m:rPr>
                            <m:sty m:val="p"/>
                          </m:rPr>
                          <w:rPr>
                            <w:rFonts w:ascii="Cambria Math" w:eastAsia="Times New Roman" w:hAnsi="Cambria Math" w:cs="Arial" w:hint="eastAsia"/>
                            <w:sz w:val="20"/>
                            <w:szCs w:val="20"/>
                            <w:lang w:val="es-ES"/>
                          </w:rPr>
                          <m:t>ó</m:t>
                        </m:r>
                        <m:r>
                          <m:rPr>
                            <m:sty m:val="p"/>
                          </m:rPr>
                          <w:rPr>
                            <w:rFonts w:ascii="Cambria Math" w:eastAsia="Times New Roman" w:hAnsi="Cambria Math" w:cs="Arial"/>
                            <w:sz w:val="20"/>
                            <w:szCs w:val="20"/>
                            <w:lang w:val="es-ES"/>
                          </w:rPr>
                          <m:t>n buena, regular o mala</m:t>
                        </m:r>
                      </m:num>
                      <m:den>
                        <m:r>
                          <m:rPr>
                            <m:sty m:val="p"/>
                          </m:rPr>
                          <w:rPr>
                            <w:rFonts w:ascii="Cambria Math" w:eastAsia="Times New Roman" w:hAnsi="Cambria Math" w:cs="Arial"/>
                            <w:sz w:val="20"/>
                            <w:szCs w:val="20"/>
                            <w:lang w:val="es-ES"/>
                          </w:rPr>
                          <m:t>total km RVF</m:t>
                        </m:r>
                      </m:den>
                    </m:f>
                  </m:e>
                </m:d>
                <m:r>
                  <w:rPr>
                    <w:rFonts w:ascii="Cambria Math" w:eastAsia="Times New Roman" w:hAnsi="Cambria Math" w:cs="Arial"/>
                    <w:sz w:val="20"/>
                    <w:szCs w:val="20"/>
                    <w:lang w:val="es-ES"/>
                  </w:rPr>
                  <m:t>*100</m:t>
                </m:r>
              </m:oMath>
            </m:oMathPara>
          </w:p>
          <w:p w14:paraId="367D46BA" w14:textId="77777777" w:rsidR="00444365" w:rsidRPr="000D0CBE" w:rsidRDefault="00444365" w:rsidP="00444365">
            <w:pPr>
              <w:jc w:val="both"/>
              <w:rPr>
                <w:rFonts w:ascii="Arial" w:eastAsia="Times New Roman" w:hAnsi="Arial" w:cs="Arial"/>
                <w:sz w:val="20"/>
                <w:szCs w:val="20"/>
                <w:lang w:val="es-ES"/>
              </w:rPr>
            </w:pPr>
          </w:p>
          <w:p w14:paraId="7F0F0C82" w14:textId="77777777"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A partir de la implementación del Sistema de Gestión Vial, éste reportará anualmente el estado (bueno, regular o malo) de la RVF en base al IRI y ensayos deflectométricos. </w:t>
            </w:r>
          </w:p>
          <w:p w14:paraId="7F5FC73E" w14:textId="77777777" w:rsidR="00444365" w:rsidRPr="00477E0A" w:rsidRDefault="00444365" w:rsidP="00444365">
            <w:pPr>
              <w:jc w:val="both"/>
              <w:rPr>
                <w:rFonts w:ascii="Arial" w:hAnsi="Arial" w:cs="Arial"/>
                <w:sz w:val="20"/>
                <w:szCs w:val="20"/>
                <w:lang w:val="es-ES"/>
              </w:rPr>
            </w:pPr>
          </w:p>
          <w:p w14:paraId="4177FCFF" w14:textId="186B84A5" w:rsidR="00444365" w:rsidRPr="00477E0A" w:rsidRDefault="00444365" w:rsidP="00F01806">
            <w:pPr>
              <w:jc w:val="both"/>
              <w:rPr>
                <w:rFonts w:ascii="Arial" w:hAnsi="Arial" w:cs="Arial"/>
                <w:sz w:val="20"/>
                <w:szCs w:val="20"/>
                <w:lang w:val="es-ES"/>
              </w:rPr>
            </w:pPr>
            <w:r w:rsidRPr="00477E0A">
              <w:rPr>
                <w:rFonts w:ascii="Arial" w:hAnsi="Arial" w:cs="Arial"/>
                <w:sz w:val="20"/>
                <w:szCs w:val="20"/>
                <w:lang w:val="es-ES"/>
              </w:rPr>
              <w:t>La meta se ha definido de acuerdo a las proyecciones de la evaluación económica.</w:t>
            </w:r>
          </w:p>
        </w:tc>
        <w:tc>
          <w:tcPr>
            <w:tcW w:w="1890" w:type="dxa"/>
            <w:shd w:val="clear" w:color="auto" w:fill="auto"/>
            <w:noWrap/>
            <w:vAlign w:val="center"/>
          </w:tcPr>
          <w:p w14:paraId="33318998" w14:textId="6FCC6FCD"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Documentación anual publicada por ABC.</w:t>
            </w:r>
          </w:p>
        </w:tc>
      </w:tr>
      <w:tr w:rsidR="00477E0A" w:rsidRPr="00F64E64" w14:paraId="41758D87" w14:textId="77777777" w:rsidTr="00F64E64">
        <w:trPr>
          <w:trHeight w:val="53"/>
        </w:trPr>
        <w:tc>
          <w:tcPr>
            <w:tcW w:w="2700" w:type="dxa"/>
            <w:shd w:val="clear" w:color="auto" w:fill="auto"/>
            <w:noWrap/>
            <w:vAlign w:val="center"/>
          </w:tcPr>
          <w:p w14:paraId="3C043E37" w14:textId="10E9FEB7" w:rsidR="00444365" w:rsidRPr="00F64E64" w:rsidRDefault="00444365">
            <w:pPr>
              <w:jc w:val="both"/>
              <w:rPr>
                <w:rFonts w:ascii="Arial" w:hAnsi="Arial" w:cs="Arial"/>
                <w:b/>
                <w:bCs/>
                <w:sz w:val="20"/>
                <w:szCs w:val="20"/>
                <w:lang w:val="es-ES"/>
              </w:rPr>
            </w:pPr>
            <w:r w:rsidRPr="00F64E64">
              <w:rPr>
                <w:rFonts w:ascii="Arial" w:eastAsia="Times New Roman" w:hAnsi="Arial" w:cs="Arial"/>
                <w:b/>
                <w:bCs/>
                <w:sz w:val="20"/>
                <w:szCs w:val="20"/>
                <w:lang w:val="es-ES"/>
              </w:rPr>
              <w:t>Número de puestos de control de pesos en la RVF en operación.</w:t>
            </w:r>
          </w:p>
        </w:tc>
        <w:tc>
          <w:tcPr>
            <w:tcW w:w="5490" w:type="dxa"/>
          </w:tcPr>
          <w:p w14:paraId="7BDD73E4" w14:textId="4890A3E2" w:rsidR="00444365" w:rsidRPr="00477E0A" w:rsidRDefault="00444365" w:rsidP="00444365">
            <w:pPr>
              <w:jc w:val="both"/>
              <w:rPr>
                <w:rFonts w:ascii="Arial" w:hAnsi="Arial" w:cs="Arial"/>
                <w:sz w:val="20"/>
                <w:szCs w:val="20"/>
                <w:lang w:val="es-ES"/>
              </w:rPr>
            </w:pPr>
            <w:r w:rsidRPr="00477E0A">
              <w:rPr>
                <w:rFonts w:ascii="Arial" w:hAnsi="Arial" w:cs="Arial"/>
                <w:sz w:val="20"/>
                <w:szCs w:val="20"/>
                <w:lang w:val="es-ES"/>
              </w:rPr>
              <w:t xml:space="preserve">El </w:t>
            </w:r>
            <w:r w:rsidR="007C2075" w:rsidRPr="000D0CBE">
              <w:rPr>
                <w:rFonts w:ascii="Arial" w:hAnsi="Arial" w:cs="Arial"/>
                <w:sz w:val="20"/>
                <w:szCs w:val="20"/>
                <w:lang w:val="es-ES"/>
              </w:rPr>
              <w:t xml:space="preserve">Plan Integral de Implementación del Sistema Inteligente de Transporte en la Red Vial Fundamental (ITS-RVF), </w:t>
            </w:r>
            <w:r w:rsidRPr="00477E0A">
              <w:rPr>
                <w:rFonts w:ascii="Arial" w:hAnsi="Arial" w:cs="Arial"/>
                <w:sz w:val="20"/>
                <w:szCs w:val="20"/>
                <w:lang w:val="es-ES"/>
              </w:rPr>
              <w:t xml:space="preserve">aprobado en 2016 </w:t>
            </w:r>
            <w:r w:rsidRPr="000D0CBE">
              <w:rPr>
                <w:rFonts w:ascii="Arial" w:eastAsia="Times New Roman" w:hAnsi="Arial" w:cs="Arial"/>
                <w:sz w:val="20"/>
                <w:szCs w:val="20"/>
                <w:lang w:val="es-ES"/>
              </w:rPr>
              <w:t>en el marco de la operación BO-L1112,</w:t>
            </w:r>
            <w:r w:rsidRPr="00477E0A">
              <w:rPr>
                <w:rFonts w:ascii="Arial" w:hAnsi="Arial" w:cs="Arial"/>
                <w:sz w:val="20"/>
                <w:szCs w:val="20"/>
                <w:lang w:val="es-ES"/>
              </w:rPr>
              <w:t xml:space="preserve"> establece que la ABC monitoreará los puestos de control de </w:t>
            </w:r>
            <w:r w:rsidRPr="00477E0A">
              <w:rPr>
                <w:rFonts w:ascii="Arial" w:hAnsi="Arial" w:cs="Arial"/>
                <w:sz w:val="20"/>
                <w:szCs w:val="20"/>
                <w:lang w:val="es-ES"/>
              </w:rPr>
              <w:lastRenderedPageBreak/>
              <w:t>peso en operación periódicamente y emitirá un informe anual con el registro de los puestos en operación.</w:t>
            </w:r>
          </w:p>
          <w:p w14:paraId="79B3E19E" w14:textId="77777777" w:rsidR="00444365" w:rsidRPr="00477E0A" w:rsidRDefault="00444365" w:rsidP="00444365">
            <w:pPr>
              <w:jc w:val="both"/>
              <w:rPr>
                <w:rFonts w:ascii="Arial" w:hAnsi="Arial" w:cs="Arial"/>
                <w:sz w:val="20"/>
                <w:szCs w:val="20"/>
                <w:lang w:val="es-ES"/>
              </w:rPr>
            </w:pPr>
          </w:p>
          <w:p w14:paraId="09D3A6E4" w14:textId="0D48A437" w:rsidR="00444365" w:rsidRPr="00477E0A" w:rsidRDefault="007C2075">
            <w:pPr>
              <w:jc w:val="both"/>
              <w:rPr>
                <w:rFonts w:ascii="Arial" w:hAnsi="Arial" w:cs="Arial"/>
                <w:sz w:val="20"/>
                <w:szCs w:val="20"/>
                <w:lang w:val="es-ES"/>
              </w:rPr>
            </w:pPr>
            <w:r w:rsidRPr="000D0CBE">
              <w:rPr>
                <w:rFonts w:ascii="Arial" w:hAnsi="Arial" w:cs="Arial"/>
                <w:sz w:val="20"/>
                <w:szCs w:val="20"/>
                <w:lang w:val="es-ES"/>
              </w:rPr>
              <w:t>La meta se ha definido en función del número de estaciones que se pondrán en funcionamiento con el</w:t>
            </w:r>
            <w:r w:rsidRPr="00F64E64">
              <w:rPr>
                <w:rFonts w:ascii="Arial" w:hAnsi="Arial" w:cs="Arial"/>
                <w:sz w:val="20"/>
                <w:szCs w:val="20"/>
                <w:lang w:val="es-ES"/>
              </w:rPr>
              <w:t xml:space="preserve"> </w:t>
            </w:r>
            <w:r w:rsidRPr="000D0CBE">
              <w:rPr>
                <w:rFonts w:ascii="Arial" w:hAnsi="Arial" w:cs="Arial"/>
                <w:sz w:val="20"/>
                <w:szCs w:val="20"/>
                <w:lang w:val="es-ES"/>
              </w:rPr>
              <w:t>ITS-RVF, aprobado en 2016 en el marco de esta operación.</w:t>
            </w:r>
          </w:p>
        </w:tc>
        <w:tc>
          <w:tcPr>
            <w:tcW w:w="1890" w:type="dxa"/>
            <w:shd w:val="clear" w:color="auto" w:fill="auto"/>
            <w:noWrap/>
            <w:vAlign w:val="center"/>
          </w:tcPr>
          <w:p w14:paraId="17B62351" w14:textId="2388E72D"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lastRenderedPageBreak/>
              <w:t>Información anual publicada por Vías Bolivia y/o ABC.</w:t>
            </w:r>
          </w:p>
        </w:tc>
      </w:tr>
      <w:tr w:rsidR="00477E0A" w:rsidRPr="00477E0A" w14:paraId="5502684C" w14:textId="77777777" w:rsidTr="00F64E64">
        <w:trPr>
          <w:trHeight w:val="53"/>
        </w:trPr>
        <w:tc>
          <w:tcPr>
            <w:tcW w:w="2700" w:type="dxa"/>
            <w:shd w:val="clear" w:color="auto" w:fill="auto"/>
            <w:noWrap/>
            <w:vAlign w:val="center"/>
          </w:tcPr>
          <w:p w14:paraId="7C40828F" w14:textId="3DFC5CAE"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Toneladas de Emisiones producidas anualmente por vehículos de pasajeros  y de carga.</w:t>
            </w:r>
          </w:p>
        </w:tc>
        <w:tc>
          <w:tcPr>
            <w:tcW w:w="5490" w:type="dxa"/>
          </w:tcPr>
          <w:p w14:paraId="0EEF76D9" w14:textId="59EEF7F6" w:rsidR="00444365" w:rsidRPr="00477E0A" w:rsidRDefault="00444365" w:rsidP="00F01806">
            <w:pPr>
              <w:jc w:val="both"/>
              <w:rPr>
                <w:rFonts w:ascii="Arial" w:hAnsi="Arial" w:cs="Arial"/>
                <w:sz w:val="20"/>
                <w:szCs w:val="20"/>
                <w:lang w:val="es-ES"/>
              </w:rPr>
            </w:pPr>
            <w:r w:rsidRPr="00477E0A">
              <w:rPr>
                <w:rFonts w:ascii="Arial" w:hAnsi="Arial" w:cs="Arial"/>
                <w:sz w:val="20"/>
                <w:szCs w:val="20"/>
                <w:lang w:val="es-ES"/>
              </w:rPr>
              <w:t>En la evaluación económica se monetizaron los contaminantes locales utilizando las proyecciones del valor de los bonos de carbono ajustado por el Precio Cuenta de Eficiencia de la Divisa (RPCD), el cual fue aplicado a las emisiones por kilometrajes recorridos por tipo de vehículo.</w:t>
            </w:r>
          </w:p>
          <w:p w14:paraId="153AE1A7" w14:textId="77777777" w:rsidR="00444365" w:rsidRPr="00477E0A" w:rsidRDefault="00444365" w:rsidP="001608AF">
            <w:pPr>
              <w:jc w:val="both"/>
              <w:rPr>
                <w:rFonts w:ascii="Arial" w:hAnsi="Arial" w:cs="Arial"/>
                <w:sz w:val="20"/>
                <w:szCs w:val="20"/>
                <w:lang w:val="es-ES"/>
              </w:rPr>
            </w:pPr>
          </w:p>
          <w:p w14:paraId="51DD9BDD" w14:textId="2368A702" w:rsidR="00444365" w:rsidRPr="000D0CBE" w:rsidRDefault="00444365" w:rsidP="001608AF">
            <w:pPr>
              <w:jc w:val="both"/>
              <w:rPr>
                <w:rFonts w:ascii="Arial" w:eastAsia="Times New Roman" w:hAnsi="Arial" w:cs="Arial"/>
                <w:sz w:val="20"/>
                <w:szCs w:val="20"/>
                <w:lang w:val="es-ES"/>
              </w:rPr>
            </w:pPr>
            <w:r w:rsidRPr="00477E0A">
              <w:rPr>
                <w:rFonts w:ascii="Arial" w:hAnsi="Arial" w:cs="Arial"/>
                <w:sz w:val="20"/>
                <w:szCs w:val="20"/>
                <w:lang w:val="es-ES"/>
              </w:rPr>
              <w:t>La meta se ha definido de acuerdo a las proyecciones de la evaluación económica.</w:t>
            </w:r>
          </w:p>
        </w:tc>
        <w:tc>
          <w:tcPr>
            <w:tcW w:w="1890" w:type="dxa"/>
            <w:shd w:val="clear" w:color="auto" w:fill="auto"/>
            <w:noWrap/>
            <w:vAlign w:val="center"/>
          </w:tcPr>
          <w:p w14:paraId="3DB14720" w14:textId="744D3BC5" w:rsidR="00444365" w:rsidRPr="000D0CBE" w:rsidRDefault="00444365" w:rsidP="00C22824">
            <w:pPr>
              <w:jc w:val="both"/>
              <w:rPr>
                <w:rFonts w:ascii="Arial" w:eastAsia="Times New Roman" w:hAnsi="Arial" w:cs="Arial"/>
                <w:sz w:val="20"/>
                <w:szCs w:val="20"/>
                <w:lang w:val="es-ES"/>
              </w:rPr>
            </w:pPr>
            <w:r w:rsidRPr="000D0CBE">
              <w:rPr>
                <w:rFonts w:ascii="Arial" w:eastAsia="Times New Roman" w:hAnsi="Arial" w:cs="Arial"/>
                <w:sz w:val="20"/>
                <w:szCs w:val="20"/>
                <w:lang w:val="es-ES"/>
              </w:rPr>
              <w:t>Evaluación Económica del Programa.</w:t>
            </w:r>
          </w:p>
        </w:tc>
      </w:tr>
      <w:tr w:rsidR="00477E0A" w:rsidRPr="00477E0A" w14:paraId="37075C9E" w14:textId="77777777" w:rsidTr="00F64E64">
        <w:trPr>
          <w:trHeight w:val="259"/>
        </w:trPr>
        <w:tc>
          <w:tcPr>
            <w:tcW w:w="2700" w:type="dxa"/>
            <w:shd w:val="clear" w:color="auto" w:fill="auto"/>
            <w:noWrap/>
            <w:vAlign w:val="center"/>
            <w:hideMark/>
          </w:tcPr>
          <w:p w14:paraId="267DDEFA" w14:textId="77A86C5D"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Número de descarrilamientos anuales  reportados en las redes ferroviarias oriental y occidental.</w:t>
            </w:r>
          </w:p>
        </w:tc>
        <w:tc>
          <w:tcPr>
            <w:tcW w:w="5490" w:type="dxa"/>
          </w:tcPr>
          <w:p w14:paraId="2679BAF4" w14:textId="77777777" w:rsidR="00444365" w:rsidRPr="00477E0A" w:rsidRDefault="00444365" w:rsidP="00F82E41">
            <w:pPr>
              <w:jc w:val="both"/>
              <w:rPr>
                <w:rFonts w:ascii="Arial" w:hAnsi="Arial" w:cs="Arial"/>
                <w:sz w:val="20"/>
                <w:szCs w:val="20"/>
                <w:lang w:val="es-ES"/>
              </w:rPr>
            </w:pPr>
            <w:r w:rsidRPr="00477E0A">
              <w:rPr>
                <w:rFonts w:ascii="Arial" w:hAnsi="Arial" w:cs="Arial"/>
                <w:sz w:val="20"/>
                <w:szCs w:val="20"/>
                <w:lang w:val="es-ES"/>
              </w:rPr>
              <w:t xml:space="preserve">La Empresa Ferroviaria Andina S.A. (FCA) y Ferroviaria Oriental S.A. (FOSA) reportan anualmente el número de descarrilamientos en cada red férrea. </w:t>
            </w:r>
          </w:p>
          <w:p w14:paraId="2705D871" w14:textId="77777777" w:rsidR="00444365" w:rsidRPr="00477E0A" w:rsidRDefault="00444365" w:rsidP="00F82E41">
            <w:pPr>
              <w:jc w:val="both"/>
              <w:rPr>
                <w:rFonts w:ascii="Arial" w:hAnsi="Arial" w:cs="Arial"/>
                <w:sz w:val="20"/>
                <w:szCs w:val="20"/>
                <w:lang w:val="es-ES"/>
              </w:rPr>
            </w:pPr>
          </w:p>
          <w:p w14:paraId="6F295A64" w14:textId="50889070" w:rsidR="00444365" w:rsidRPr="00E77C9C" w:rsidRDefault="007C2075" w:rsidP="00F82E41">
            <w:pPr>
              <w:jc w:val="both"/>
              <w:rPr>
                <w:rFonts w:ascii="Arial" w:eastAsia="Times New Roman" w:hAnsi="Arial" w:cs="Arial"/>
                <w:sz w:val="20"/>
                <w:szCs w:val="20"/>
                <w:lang w:val="es-ES"/>
              </w:rPr>
            </w:pPr>
            <w:r w:rsidRPr="00E77C9C">
              <w:rPr>
                <w:rFonts w:ascii="Arial" w:hAnsi="Arial" w:cs="Arial"/>
                <w:sz w:val="20"/>
                <w:szCs w:val="20"/>
                <w:lang w:val="es-ES"/>
              </w:rPr>
              <w:t>El GdB estima que la implementación de las reformas en el marco regulatorio y reglamentario de transporte ferroviario, se mejorará la seguridad de la red ferroviaria, contribuyendo a reducir el número de descarrilamientos en un 50% en cada red, respecto a la línea de base.</w:t>
            </w:r>
          </w:p>
        </w:tc>
        <w:tc>
          <w:tcPr>
            <w:tcW w:w="1890" w:type="dxa"/>
            <w:shd w:val="clear" w:color="auto" w:fill="auto"/>
            <w:noWrap/>
            <w:vAlign w:val="center"/>
            <w:hideMark/>
          </w:tcPr>
          <w:p w14:paraId="45DFD551" w14:textId="14969045" w:rsidR="00444365" w:rsidRPr="00E77C9C" w:rsidRDefault="00444365" w:rsidP="00C22824">
            <w:pPr>
              <w:jc w:val="both"/>
              <w:rPr>
                <w:rFonts w:ascii="Arial" w:eastAsia="Times New Roman" w:hAnsi="Arial" w:cs="Arial"/>
                <w:sz w:val="20"/>
                <w:szCs w:val="20"/>
                <w:lang w:val="es-ES"/>
              </w:rPr>
            </w:pPr>
            <w:r w:rsidRPr="00E77C9C">
              <w:rPr>
                <w:rFonts w:ascii="Arial" w:eastAsia="Times New Roman" w:hAnsi="Arial" w:cs="Arial"/>
                <w:sz w:val="20"/>
                <w:szCs w:val="20"/>
                <w:lang w:val="es-ES"/>
              </w:rPr>
              <w:t>Memoria Anual de FOSA y FCA, recopilada por el VMT.</w:t>
            </w:r>
          </w:p>
        </w:tc>
      </w:tr>
      <w:tr w:rsidR="00477E0A" w:rsidRPr="00F64E64" w14:paraId="44744E78" w14:textId="77777777" w:rsidTr="00F64E64">
        <w:trPr>
          <w:trHeight w:val="448"/>
        </w:trPr>
        <w:tc>
          <w:tcPr>
            <w:tcW w:w="2700" w:type="dxa"/>
            <w:shd w:val="clear" w:color="auto" w:fill="auto"/>
            <w:noWrap/>
            <w:vAlign w:val="center"/>
            <w:hideMark/>
          </w:tcPr>
          <w:p w14:paraId="7FC64A7D" w14:textId="614910F7" w:rsidR="00444365" w:rsidRPr="00F64E64" w:rsidRDefault="00444365">
            <w:pPr>
              <w:jc w:val="both"/>
              <w:rPr>
                <w:rFonts w:ascii="Arial" w:hAnsi="Arial" w:cs="Arial"/>
                <w:b/>
                <w:bCs/>
                <w:sz w:val="20"/>
                <w:szCs w:val="20"/>
                <w:lang w:val="es-ES"/>
              </w:rPr>
            </w:pPr>
            <w:r w:rsidRPr="00F64E64">
              <w:rPr>
                <w:rFonts w:ascii="Arial" w:hAnsi="Arial" w:cs="Arial"/>
                <w:b/>
                <w:bCs/>
                <w:sz w:val="20"/>
                <w:szCs w:val="20"/>
                <w:lang w:val="es-ES"/>
              </w:rPr>
              <w:t>Número de reclamos relacionados con la calidad del servicio aéreo (incluyendo atención, equipaje, encomiendas, etc.) recibidas anualmente.</w:t>
            </w:r>
          </w:p>
          <w:p w14:paraId="3078EB39" w14:textId="2219F800" w:rsidR="00444365" w:rsidRPr="00E77C9C" w:rsidRDefault="00444365" w:rsidP="00C22824">
            <w:pPr>
              <w:jc w:val="both"/>
              <w:rPr>
                <w:rFonts w:ascii="Arial" w:eastAsia="Times New Roman" w:hAnsi="Arial" w:cs="Arial"/>
                <w:b/>
                <w:sz w:val="20"/>
                <w:szCs w:val="20"/>
                <w:lang w:val="es-ES"/>
              </w:rPr>
            </w:pPr>
          </w:p>
        </w:tc>
        <w:tc>
          <w:tcPr>
            <w:tcW w:w="5490" w:type="dxa"/>
          </w:tcPr>
          <w:p w14:paraId="567652F4" w14:textId="77777777" w:rsidR="00444365" w:rsidRPr="00477E0A" w:rsidRDefault="00444365" w:rsidP="00F82E41">
            <w:pPr>
              <w:jc w:val="both"/>
              <w:rPr>
                <w:rFonts w:ascii="Arial" w:hAnsi="Arial" w:cs="Arial"/>
                <w:sz w:val="20"/>
                <w:szCs w:val="20"/>
                <w:lang w:val="es-ES"/>
              </w:rPr>
            </w:pPr>
            <w:r w:rsidRPr="00E77C9C">
              <w:rPr>
                <w:rFonts w:ascii="Arial" w:eastAsia="Times New Roman" w:hAnsi="Arial" w:cs="Arial"/>
                <w:sz w:val="20"/>
                <w:szCs w:val="20"/>
                <w:lang w:val="es-ES"/>
              </w:rPr>
              <w:t xml:space="preserve">La Oficina de Consumidor (ODECO) de la Autoridad de Regulación y Fiscalización de Telecomunicaciones y Transporte (ATT) compila y sistematiza los reclamos directos presentados por los usuarios </w:t>
            </w:r>
            <w:r w:rsidRPr="00E77C9C">
              <w:rPr>
                <w:rFonts w:ascii="Arial" w:eastAsia="Times New Roman" w:hAnsi="Arial" w:cs="Arial"/>
                <w:sz w:val="20"/>
                <w:szCs w:val="20"/>
                <w:shd w:val="clear" w:color="auto" w:fill="FFFFFF"/>
                <w:lang w:val="es-ES"/>
              </w:rPr>
              <w:t>por cualquier deficiencia en la prestación del servicio</w:t>
            </w:r>
            <w:r w:rsidRPr="00E77C9C">
              <w:rPr>
                <w:rFonts w:ascii="Arial" w:eastAsia="Times New Roman" w:hAnsi="Arial" w:cs="Arial"/>
                <w:sz w:val="20"/>
                <w:szCs w:val="20"/>
                <w:lang w:val="es-ES"/>
              </w:rPr>
              <w:t xml:space="preserve">, a través de los formularios de la ATT. El indicador se calcula </w:t>
            </w:r>
            <w:r w:rsidRPr="00477E0A">
              <w:rPr>
                <w:rFonts w:ascii="Arial" w:hAnsi="Arial" w:cs="Arial"/>
                <w:sz w:val="20"/>
                <w:szCs w:val="20"/>
                <w:lang w:val="es-ES"/>
              </w:rPr>
              <w:t xml:space="preserve">como la sumatoria de los reclamos presentados por los usuarios de los servicios de transporte aéreo durante cada año calendario, en relación a la atención, </w:t>
            </w:r>
            <w:r w:rsidRPr="00E77C9C">
              <w:rPr>
                <w:rFonts w:ascii="Arial" w:eastAsia="Times New Roman" w:hAnsi="Arial" w:cs="Arial"/>
                <w:sz w:val="20"/>
                <w:szCs w:val="20"/>
                <w:lang w:val="es-ES"/>
              </w:rPr>
              <w:t>equipajes y encomiendas</w:t>
            </w:r>
            <w:r w:rsidRPr="00477E0A">
              <w:rPr>
                <w:rFonts w:ascii="Arial" w:hAnsi="Arial" w:cs="Arial"/>
                <w:sz w:val="20"/>
                <w:szCs w:val="20"/>
                <w:lang w:val="es-ES"/>
              </w:rPr>
              <w:t xml:space="preserve">. </w:t>
            </w:r>
          </w:p>
          <w:p w14:paraId="145935DE" w14:textId="77777777" w:rsidR="00444365" w:rsidRPr="00477E0A" w:rsidRDefault="00444365" w:rsidP="00F82E41">
            <w:pPr>
              <w:jc w:val="both"/>
              <w:rPr>
                <w:rFonts w:ascii="Arial" w:hAnsi="Arial" w:cs="Arial"/>
                <w:sz w:val="20"/>
                <w:szCs w:val="20"/>
                <w:lang w:val="es-ES"/>
              </w:rPr>
            </w:pPr>
          </w:p>
          <w:p w14:paraId="0D4D6F3C" w14:textId="71E10ADD" w:rsidR="00444365" w:rsidRPr="00E77C9C" w:rsidRDefault="007C2075" w:rsidP="00F82E41">
            <w:pPr>
              <w:jc w:val="both"/>
              <w:rPr>
                <w:rFonts w:ascii="Arial" w:hAnsi="Arial" w:cs="Arial"/>
                <w:sz w:val="20"/>
                <w:szCs w:val="20"/>
                <w:lang w:val="es-ES"/>
              </w:rPr>
            </w:pPr>
            <w:r w:rsidRPr="00E77C9C">
              <w:rPr>
                <w:rFonts w:ascii="Arial" w:hAnsi="Arial" w:cs="Arial"/>
                <w:sz w:val="20"/>
                <w:szCs w:val="20"/>
                <w:lang w:val="es-ES"/>
              </w:rPr>
              <w:t>El GdB estima que la implementación de las reformas en el marco regulatorio y reglamentario de transporte aéreo, contribuirán a alcanzar una reducción mínima en los reclamos respecto a la línea de base del 27%.</w:t>
            </w:r>
          </w:p>
        </w:tc>
        <w:tc>
          <w:tcPr>
            <w:tcW w:w="1890" w:type="dxa"/>
            <w:shd w:val="clear" w:color="auto" w:fill="auto"/>
            <w:noWrap/>
            <w:vAlign w:val="center"/>
            <w:hideMark/>
          </w:tcPr>
          <w:p w14:paraId="29E4AAAC" w14:textId="207D986E" w:rsidR="00444365" w:rsidRPr="00E77C9C" w:rsidRDefault="00444365" w:rsidP="00C22824">
            <w:pPr>
              <w:jc w:val="both"/>
              <w:rPr>
                <w:rFonts w:ascii="Arial" w:eastAsia="Times New Roman" w:hAnsi="Arial" w:cs="Arial"/>
                <w:sz w:val="20"/>
                <w:szCs w:val="20"/>
                <w:lang w:val="es-ES"/>
              </w:rPr>
            </w:pPr>
            <w:r w:rsidRPr="00E77C9C">
              <w:rPr>
                <w:rFonts w:ascii="Arial" w:eastAsia="Times New Roman" w:hAnsi="Arial" w:cs="Arial"/>
                <w:sz w:val="20"/>
                <w:szCs w:val="20"/>
                <w:lang w:val="es-ES"/>
              </w:rPr>
              <w:t>Documentación anual publicada por la Oficina de Consumidor de la ATT.</w:t>
            </w:r>
          </w:p>
        </w:tc>
      </w:tr>
      <w:tr w:rsidR="00477E0A" w:rsidRPr="00477E0A" w14:paraId="1DADF97E" w14:textId="77777777" w:rsidTr="00F64E64">
        <w:trPr>
          <w:trHeight w:val="70"/>
        </w:trPr>
        <w:tc>
          <w:tcPr>
            <w:tcW w:w="2700" w:type="dxa"/>
            <w:shd w:val="clear" w:color="auto" w:fill="auto"/>
            <w:noWrap/>
            <w:hideMark/>
          </w:tcPr>
          <w:p w14:paraId="3CF31E19" w14:textId="294A4AA8" w:rsidR="00444365" w:rsidRPr="00F64E64" w:rsidRDefault="00444365">
            <w:pPr>
              <w:rPr>
                <w:rFonts w:ascii="Arial" w:eastAsia="Times New Roman" w:hAnsi="Arial" w:cs="Arial"/>
                <w:b/>
                <w:bCs/>
                <w:sz w:val="20"/>
                <w:szCs w:val="20"/>
                <w:lang w:val="es-ES"/>
              </w:rPr>
            </w:pPr>
            <w:r w:rsidRPr="00F64E64">
              <w:rPr>
                <w:rFonts w:ascii="Arial" w:hAnsi="Arial" w:cs="Arial"/>
                <w:b/>
                <w:bCs/>
                <w:sz w:val="20"/>
                <w:szCs w:val="20"/>
                <w:lang w:val="es-ES"/>
              </w:rPr>
              <w:t>Número de reclamos por cancelación de vuelos recibidos anualmente.</w:t>
            </w:r>
          </w:p>
        </w:tc>
        <w:tc>
          <w:tcPr>
            <w:tcW w:w="5490" w:type="dxa"/>
          </w:tcPr>
          <w:p w14:paraId="08540EE6" w14:textId="77777777" w:rsidR="00444365" w:rsidRPr="00477E0A" w:rsidRDefault="00444365" w:rsidP="00F82E41">
            <w:pPr>
              <w:jc w:val="both"/>
              <w:rPr>
                <w:rFonts w:ascii="Arial" w:hAnsi="Arial" w:cs="Arial"/>
                <w:sz w:val="20"/>
                <w:szCs w:val="20"/>
                <w:lang w:val="es-ES"/>
              </w:rPr>
            </w:pPr>
            <w:r w:rsidRPr="00E77C9C">
              <w:rPr>
                <w:rFonts w:ascii="Arial" w:eastAsia="Times New Roman" w:hAnsi="Arial" w:cs="Arial"/>
                <w:sz w:val="20"/>
                <w:szCs w:val="20"/>
                <w:lang w:val="es-ES"/>
              </w:rPr>
              <w:t>La Oficina de Consumidor calcula el total de</w:t>
            </w:r>
            <w:r w:rsidRPr="00477E0A">
              <w:rPr>
                <w:rFonts w:ascii="Arial" w:hAnsi="Arial" w:cs="Arial"/>
                <w:sz w:val="20"/>
                <w:szCs w:val="20"/>
                <w:lang w:val="es-ES"/>
              </w:rPr>
              <w:t xml:space="preserve"> reclamos directos como la sumatoria de los reclamos presentados por los usuarios de los servicios de transporte aéreo durante cada año calendario, en relación a la cancelación de vuelos.</w:t>
            </w:r>
          </w:p>
          <w:p w14:paraId="1BCC35DE" w14:textId="77777777" w:rsidR="00444365" w:rsidRPr="00477E0A" w:rsidRDefault="00444365" w:rsidP="00F82E41">
            <w:pPr>
              <w:jc w:val="both"/>
              <w:rPr>
                <w:rFonts w:ascii="Arial" w:hAnsi="Arial" w:cs="Arial"/>
                <w:sz w:val="20"/>
                <w:szCs w:val="20"/>
                <w:lang w:val="es-ES"/>
              </w:rPr>
            </w:pPr>
          </w:p>
          <w:p w14:paraId="16237871" w14:textId="166B499A" w:rsidR="00444365" w:rsidRPr="00E77C9C" w:rsidRDefault="007C2075" w:rsidP="00F82E41">
            <w:pPr>
              <w:jc w:val="both"/>
              <w:rPr>
                <w:rFonts w:ascii="Arial" w:hAnsi="Arial" w:cs="Arial"/>
                <w:sz w:val="20"/>
                <w:szCs w:val="20"/>
                <w:lang w:val="es-ES"/>
              </w:rPr>
            </w:pPr>
            <w:r w:rsidRPr="00E77C9C">
              <w:rPr>
                <w:rFonts w:ascii="Arial" w:hAnsi="Arial" w:cs="Arial"/>
                <w:sz w:val="20"/>
                <w:szCs w:val="20"/>
                <w:lang w:val="es-ES"/>
              </w:rPr>
              <w:t>El GdB estima que la implementación de las reformas en el marco regulatorio y reglamentario de transporte aéreo, contribuirán a alcanzar una reducción en los reclamos por cancelación de vuelos respecto a la línea de base del 10%.</w:t>
            </w:r>
          </w:p>
        </w:tc>
        <w:tc>
          <w:tcPr>
            <w:tcW w:w="1890" w:type="dxa"/>
            <w:shd w:val="clear" w:color="auto" w:fill="auto"/>
            <w:noWrap/>
            <w:vAlign w:val="center"/>
            <w:hideMark/>
          </w:tcPr>
          <w:p w14:paraId="55D66A04" w14:textId="6EB0F7E8" w:rsidR="00444365" w:rsidRPr="00E77C9C" w:rsidRDefault="00444365" w:rsidP="00C22824">
            <w:pPr>
              <w:rPr>
                <w:rFonts w:ascii="Arial" w:eastAsia="Times New Roman" w:hAnsi="Arial" w:cs="Arial"/>
                <w:sz w:val="20"/>
                <w:szCs w:val="20"/>
                <w:lang w:val="es-ES"/>
              </w:rPr>
            </w:pPr>
            <w:r w:rsidRPr="00E77C9C">
              <w:rPr>
                <w:rFonts w:ascii="Arial" w:eastAsia="Times New Roman" w:hAnsi="Arial" w:cs="Arial"/>
                <w:sz w:val="20"/>
                <w:szCs w:val="20"/>
                <w:lang w:val="es-ES"/>
              </w:rPr>
              <w:t>Reporte Anual de Oficina del Consumidor de la ATT.</w:t>
            </w:r>
          </w:p>
        </w:tc>
      </w:tr>
      <w:tr w:rsidR="00477E0A" w:rsidRPr="00477E0A" w14:paraId="099DF539" w14:textId="77777777" w:rsidTr="00F64E64">
        <w:trPr>
          <w:trHeight w:val="320"/>
        </w:trPr>
        <w:tc>
          <w:tcPr>
            <w:tcW w:w="2700" w:type="dxa"/>
            <w:shd w:val="clear" w:color="auto" w:fill="auto"/>
            <w:noWrap/>
            <w:hideMark/>
          </w:tcPr>
          <w:p w14:paraId="2319DA98" w14:textId="4E616102"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Número de reclamos por puntualidad de vuelos recibidos anualmente.</w:t>
            </w:r>
          </w:p>
        </w:tc>
        <w:tc>
          <w:tcPr>
            <w:tcW w:w="5490" w:type="dxa"/>
          </w:tcPr>
          <w:p w14:paraId="72A334FA" w14:textId="77777777" w:rsidR="00444365" w:rsidRPr="00477E0A" w:rsidRDefault="00444365" w:rsidP="00F82E41">
            <w:pPr>
              <w:jc w:val="both"/>
              <w:rPr>
                <w:rFonts w:ascii="Arial" w:hAnsi="Arial" w:cs="Arial"/>
                <w:sz w:val="20"/>
                <w:szCs w:val="20"/>
                <w:lang w:val="es-ES"/>
              </w:rPr>
            </w:pPr>
            <w:r w:rsidRPr="00E77C9C">
              <w:rPr>
                <w:rFonts w:ascii="Arial" w:eastAsia="Times New Roman" w:hAnsi="Arial" w:cs="Arial"/>
                <w:sz w:val="20"/>
                <w:szCs w:val="20"/>
                <w:lang w:val="es-ES"/>
              </w:rPr>
              <w:t>La Oficina de Consumidor calcula el total de</w:t>
            </w:r>
            <w:r w:rsidRPr="00477E0A">
              <w:rPr>
                <w:rFonts w:ascii="Arial" w:hAnsi="Arial" w:cs="Arial"/>
                <w:sz w:val="20"/>
                <w:szCs w:val="20"/>
                <w:lang w:val="es-ES"/>
              </w:rPr>
              <w:t xml:space="preserve"> reclamos directos como la sumatoria de los reclamos presentados por los usuarios de los servicios de transporte aéreo durante cada año calendario, en relación a la puntualidad de los vuelos.</w:t>
            </w:r>
          </w:p>
          <w:p w14:paraId="7A34461D" w14:textId="77777777" w:rsidR="00444365" w:rsidRPr="00477E0A" w:rsidRDefault="00444365" w:rsidP="00F82E41">
            <w:pPr>
              <w:jc w:val="both"/>
              <w:rPr>
                <w:rFonts w:ascii="Arial" w:hAnsi="Arial" w:cs="Arial"/>
                <w:sz w:val="20"/>
                <w:szCs w:val="20"/>
                <w:lang w:val="es-ES"/>
              </w:rPr>
            </w:pPr>
          </w:p>
          <w:p w14:paraId="787E2F61" w14:textId="32826D9F" w:rsidR="00444365" w:rsidRPr="00E77C9C" w:rsidRDefault="007C2075" w:rsidP="00F82E41">
            <w:pPr>
              <w:jc w:val="both"/>
              <w:rPr>
                <w:rFonts w:ascii="Arial" w:eastAsia="Times New Roman" w:hAnsi="Arial" w:cs="Arial"/>
                <w:sz w:val="20"/>
                <w:szCs w:val="20"/>
                <w:lang w:val="es-ES"/>
              </w:rPr>
            </w:pPr>
            <w:r w:rsidRPr="00E77C9C">
              <w:rPr>
                <w:rFonts w:ascii="Arial" w:hAnsi="Arial" w:cs="Arial"/>
                <w:sz w:val="20"/>
                <w:szCs w:val="20"/>
                <w:lang w:val="es-ES"/>
              </w:rPr>
              <w:lastRenderedPageBreak/>
              <w:t>El GdB estima que la implementación de las reformas en el marco regulatorio y reglamentario de transporte, contribuirán a alcanzar una reducción en los reclamos por cancelación de vuelos respecto a la línea de base del 10%.</w:t>
            </w:r>
          </w:p>
        </w:tc>
        <w:tc>
          <w:tcPr>
            <w:tcW w:w="1890" w:type="dxa"/>
            <w:shd w:val="clear" w:color="auto" w:fill="auto"/>
            <w:noWrap/>
            <w:vAlign w:val="center"/>
            <w:hideMark/>
          </w:tcPr>
          <w:p w14:paraId="31E3C233" w14:textId="69D055F3" w:rsidR="00444365" w:rsidRPr="00E77C9C" w:rsidRDefault="00444365" w:rsidP="00C22824">
            <w:pPr>
              <w:rPr>
                <w:rFonts w:ascii="Arial" w:eastAsia="Times New Roman" w:hAnsi="Arial" w:cs="Arial"/>
                <w:sz w:val="20"/>
                <w:szCs w:val="20"/>
                <w:lang w:val="es-ES"/>
              </w:rPr>
            </w:pPr>
            <w:r w:rsidRPr="00E77C9C">
              <w:rPr>
                <w:rFonts w:ascii="Arial" w:eastAsia="Times New Roman" w:hAnsi="Arial" w:cs="Arial"/>
                <w:sz w:val="20"/>
                <w:szCs w:val="20"/>
                <w:lang w:val="es-ES"/>
              </w:rPr>
              <w:lastRenderedPageBreak/>
              <w:t> Reporte Anual de Oficina del Consumidor de la ATT.</w:t>
            </w:r>
          </w:p>
        </w:tc>
      </w:tr>
      <w:tr w:rsidR="00477E0A" w:rsidRPr="00F64E64" w14:paraId="03415CED" w14:textId="77777777" w:rsidTr="00F64E64">
        <w:trPr>
          <w:trHeight w:val="540"/>
        </w:trPr>
        <w:tc>
          <w:tcPr>
            <w:tcW w:w="2700" w:type="dxa"/>
            <w:shd w:val="clear" w:color="auto" w:fill="auto"/>
            <w:noWrap/>
            <w:vAlign w:val="center"/>
            <w:hideMark/>
          </w:tcPr>
          <w:p w14:paraId="0BD54541" w14:textId="50B4445A"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 xml:space="preserve">Porcentaje de aeródromos de uso público certificados para atender operaciones de transporte aéreo público.  </w:t>
            </w:r>
          </w:p>
        </w:tc>
        <w:tc>
          <w:tcPr>
            <w:tcW w:w="5490" w:type="dxa"/>
          </w:tcPr>
          <w:p w14:paraId="518C9CCC" w14:textId="35A11FCB" w:rsidR="00444365" w:rsidRPr="00E77C9C" w:rsidRDefault="00444365" w:rsidP="001608AF">
            <w:pPr>
              <w:jc w:val="both"/>
              <w:rPr>
                <w:rFonts w:ascii="Arial" w:eastAsia="Times New Roman" w:hAnsi="Arial" w:cs="Arial"/>
                <w:sz w:val="20"/>
                <w:szCs w:val="20"/>
                <w:lang w:val="es-ES"/>
              </w:rPr>
            </w:pPr>
            <w:r w:rsidRPr="00E77C9C">
              <w:rPr>
                <w:rFonts w:ascii="Arial" w:eastAsia="Times New Roman" w:hAnsi="Arial" w:cs="Arial"/>
                <w:sz w:val="20"/>
                <w:szCs w:val="20"/>
                <w:lang w:val="es-ES"/>
              </w:rPr>
              <w:t xml:space="preserve">La DGAC evalúa y certifica anualmente el número de aeródromos certificados para operar, de acuerdo a lo definido en la RAB </w:t>
            </w:r>
            <w:r w:rsidR="007C2075" w:rsidRPr="00E77C9C">
              <w:rPr>
                <w:rFonts w:ascii="Arial" w:eastAsia="Times New Roman" w:hAnsi="Arial" w:cs="Arial"/>
                <w:sz w:val="20"/>
                <w:szCs w:val="20"/>
                <w:lang w:val="es-ES"/>
              </w:rPr>
              <w:t xml:space="preserve">139: Reglamento sobre Certificación de Aeródromos. </w:t>
            </w:r>
            <w:r w:rsidRPr="00E77C9C">
              <w:rPr>
                <w:rFonts w:ascii="Arial" w:eastAsia="Times New Roman" w:hAnsi="Arial" w:cs="Arial"/>
                <w:sz w:val="20"/>
                <w:szCs w:val="20"/>
                <w:lang w:val="es-ES"/>
              </w:rPr>
              <w:t xml:space="preserve"> </w:t>
            </w:r>
          </w:p>
          <w:p w14:paraId="14D10E65" w14:textId="77777777" w:rsidR="007C2075" w:rsidRPr="00E77C9C" w:rsidRDefault="007C2075" w:rsidP="001608AF">
            <w:pPr>
              <w:jc w:val="both"/>
              <w:rPr>
                <w:rFonts w:ascii="Arial" w:eastAsia="Times New Roman" w:hAnsi="Arial" w:cs="Arial"/>
                <w:sz w:val="20"/>
                <w:szCs w:val="20"/>
                <w:lang w:val="es-ES"/>
              </w:rPr>
            </w:pPr>
          </w:p>
          <w:p w14:paraId="3321E859" w14:textId="33310AB2" w:rsidR="007C2075" w:rsidRPr="008946DE" w:rsidRDefault="007C2075" w:rsidP="001608AF">
            <w:pPr>
              <w:jc w:val="both"/>
              <w:rPr>
                <w:rFonts w:ascii="Arial" w:eastAsia="Times New Roman" w:hAnsi="Arial" w:cs="Arial"/>
                <w:sz w:val="16"/>
                <w:szCs w:val="16"/>
                <w:lang w:val="es-ES"/>
              </w:rPr>
            </w:pPr>
            <m:oMathPara>
              <m:oMath>
                <m:r>
                  <w:rPr>
                    <w:rFonts w:ascii="Cambria Math" w:eastAsia="Times New Roman" w:hAnsi="Cambria Math" w:cs="Arial"/>
                    <w:sz w:val="16"/>
                    <w:szCs w:val="16"/>
                    <w:lang w:val="es-ES"/>
                  </w:rPr>
                  <m:t>% a</m:t>
                </m:r>
                <m:r>
                  <w:rPr>
                    <w:rFonts w:ascii="Cambria Math" w:eastAsia="Times New Roman" w:hAnsi="Cambria Math" w:cs="Arial" w:hint="eastAsia"/>
                    <w:sz w:val="16"/>
                    <w:szCs w:val="16"/>
                    <w:lang w:val="es-ES"/>
                  </w:rPr>
                  <m:t>é</m:t>
                </m:r>
                <m:r>
                  <w:rPr>
                    <w:rFonts w:ascii="Cambria Math" w:eastAsia="Times New Roman" w:hAnsi="Cambria Math" w:cs="Arial"/>
                    <w:sz w:val="16"/>
                    <w:szCs w:val="16"/>
                    <w:lang w:val="es-ES"/>
                  </w:rPr>
                  <m:t xml:space="preserve">rodromos certificados= </m:t>
                </m:r>
                <m:d>
                  <m:dPr>
                    <m:ctrlPr>
                      <w:rPr>
                        <w:rFonts w:ascii="Cambria Math" w:eastAsia="Times New Roman" w:hAnsi="Cambria Math" w:cs="Arial"/>
                        <w:i/>
                        <w:sz w:val="16"/>
                        <w:szCs w:val="16"/>
                        <w:lang w:val="es-ES"/>
                      </w:rPr>
                    </m:ctrlPr>
                  </m:dPr>
                  <m:e>
                    <m:f>
                      <m:fPr>
                        <m:ctrlPr>
                          <w:rPr>
                            <w:rFonts w:ascii="Cambria Math" w:eastAsia="Times New Roman" w:hAnsi="Cambria Math" w:cs="Arial"/>
                            <w:i/>
                            <w:sz w:val="16"/>
                            <w:szCs w:val="16"/>
                            <w:lang w:val="es-ES"/>
                          </w:rPr>
                        </m:ctrlPr>
                      </m:fPr>
                      <m:num>
                        <m:r>
                          <w:rPr>
                            <w:rFonts w:ascii="Cambria Math" w:eastAsia="Times New Roman" w:hAnsi="Cambria Math" w:cs="Arial"/>
                            <w:sz w:val="16"/>
                            <w:szCs w:val="16"/>
                            <w:lang w:val="es-ES"/>
                          </w:rPr>
                          <m:t>aer</m:t>
                        </m:r>
                        <m:r>
                          <w:rPr>
                            <w:rFonts w:ascii="Cambria Math" w:eastAsia="Times New Roman" w:hAnsi="Cambria Math" w:cs="Arial" w:hint="eastAsia"/>
                            <w:sz w:val="16"/>
                            <w:szCs w:val="16"/>
                            <w:lang w:val="es-ES"/>
                          </w:rPr>
                          <m:t>ó</m:t>
                        </m:r>
                        <m:r>
                          <w:rPr>
                            <w:rFonts w:ascii="Cambria Math" w:eastAsia="Times New Roman" w:hAnsi="Cambria Math" w:cs="Arial"/>
                            <w:sz w:val="16"/>
                            <w:szCs w:val="16"/>
                            <w:lang w:val="es-ES"/>
                          </w:rPr>
                          <m:t>dromos certificados</m:t>
                        </m:r>
                      </m:num>
                      <m:den>
                        <m:r>
                          <w:rPr>
                            <w:rFonts w:ascii="Cambria Math" w:eastAsia="Times New Roman" w:hAnsi="Cambria Math" w:cs="Arial"/>
                            <w:sz w:val="16"/>
                            <w:szCs w:val="16"/>
                            <w:lang w:val="es-ES"/>
                          </w:rPr>
                          <m:t>total de aer</m:t>
                        </m:r>
                        <m:r>
                          <w:rPr>
                            <w:rFonts w:ascii="Cambria Math" w:eastAsia="Times New Roman" w:hAnsi="Cambria Math" w:cs="Arial" w:hint="eastAsia"/>
                            <w:sz w:val="16"/>
                            <w:szCs w:val="16"/>
                            <w:lang w:val="es-ES"/>
                          </w:rPr>
                          <m:t>ó</m:t>
                        </m:r>
                        <m:r>
                          <w:rPr>
                            <w:rFonts w:ascii="Cambria Math" w:eastAsia="Times New Roman" w:hAnsi="Cambria Math" w:cs="Arial"/>
                            <w:sz w:val="16"/>
                            <w:szCs w:val="16"/>
                            <w:lang w:val="es-ES"/>
                          </w:rPr>
                          <m:t>dromos registrados</m:t>
                        </m:r>
                      </m:den>
                    </m:f>
                  </m:e>
                </m:d>
                <m:r>
                  <w:rPr>
                    <w:rFonts w:ascii="Cambria Math" w:eastAsia="Times New Roman" w:hAnsi="Cambria Math" w:cs="Arial"/>
                    <w:sz w:val="16"/>
                    <w:szCs w:val="16"/>
                    <w:lang w:val="es-ES"/>
                  </w:rPr>
                  <m:t>*100</m:t>
                </m:r>
              </m:oMath>
            </m:oMathPara>
          </w:p>
          <w:p w14:paraId="13A40530" w14:textId="77777777" w:rsidR="008E3914" w:rsidRDefault="008E3914">
            <w:pPr>
              <w:jc w:val="both"/>
              <w:rPr>
                <w:rFonts w:ascii="Arial" w:hAnsi="Arial" w:cs="Arial"/>
                <w:sz w:val="20"/>
                <w:szCs w:val="20"/>
                <w:lang w:val="es-ES"/>
              </w:rPr>
            </w:pPr>
          </w:p>
          <w:p w14:paraId="5D578286" w14:textId="2EAF1780" w:rsidR="00444365" w:rsidRPr="00E77C9C" w:rsidRDefault="007C2075">
            <w:pPr>
              <w:jc w:val="both"/>
              <w:rPr>
                <w:rFonts w:ascii="Arial" w:eastAsia="Times New Roman" w:hAnsi="Arial" w:cs="Arial"/>
                <w:sz w:val="20"/>
                <w:szCs w:val="20"/>
                <w:lang w:val="es-ES"/>
              </w:rPr>
            </w:pPr>
            <w:r w:rsidRPr="00E77C9C">
              <w:rPr>
                <w:rFonts w:ascii="Arial" w:hAnsi="Arial" w:cs="Arial"/>
                <w:sz w:val="20"/>
                <w:szCs w:val="20"/>
                <w:lang w:val="es-ES"/>
              </w:rPr>
              <w:t>El GdB estima que la aprobación de la actualización de la Reglamentación Aeronáutica Boliviana (RAB’s) y del Anteproyecto de Ley de la Aeronáutica Civil del Estado Plurinacional de Bolivia, contribuirán a incrementar el porcentaje de aeródromos certificados hasta un 12,5%, respecto a la línea de base.</w:t>
            </w:r>
          </w:p>
        </w:tc>
        <w:tc>
          <w:tcPr>
            <w:tcW w:w="1890" w:type="dxa"/>
            <w:shd w:val="clear" w:color="auto" w:fill="auto"/>
            <w:noWrap/>
            <w:vAlign w:val="center"/>
            <w:hideMark/>
          </w:tcPr>
          <w:p w14:paraId="0FCE9546" w14:textId="1BEC8FDB" w:rsidR="00444365" w:rsidRPr="00E77C9C" w:rsidRDefault="00444365" w:rsidP="00C22824">
            <w:pPr>
              <w:rPr>
                <w:rFonts w:ascii="Arial" w:eastAsia="Times New Roman" w:hAnsi="Arial" w:cs="Arial"/>
                <w:sz w:val="20"/>
                <w:szCs w:val="20"/>
                <w:lang w:val="es-ES"/>
              </w:rPr>
            </w:pPr>
            <w:r w:rsidRPr="00E77C9C">
              <w:rPr>
                <w:rFonts w:ascii="Arial" w:eastAsia="Times New Roman" w:hAnsi="Arial" w:cs="Arial"/>
                <w:sz w:val="20"/>
                <w:szCs w:val="20"/>
                <w:lang w:val="es-ES"/>
              </w:rPr>
              <w:t>Certificados anuales otorgados por la DGAC – Publicación de Información de Aeronáutica.</w:t>
            </w:r>
          </w:p>
        </w:tc>
      </w:tr>
      <w:tr w:rsidR="00477E0A" w:rsidRPr="00F64E64" w14:paraId="357B3A04" w14:textId="77777777" w:rsidTr="00F64E64">
        <w:trPr>
          <w:trHeight w:val="540"/>
        </w:trPr>
        <w:tc>
          <w:tcPr>
            <w:tcW w:w="2700" w:type="dxa"/>
            <w:shd w:val="clear" w:color="auto" w:fill="auto"/>
            <w:noWrap/>
            <w:vAlign w:val="center"/>
            <w:hideMark/>
          </w:tcPr>
          <w:p w14:paraId="7D968FF0" w14:textId="0E254512" w:rsidR="00444365" w:rsidRPr="00F64E64" w:rsidRDefault="00444365">
            <w:pPr>
              <w:jc w:val="both"/>
              <w:rPr>
                <w:rFonts w:ascii="Arial" w:eastAsia="Times New Roman" w:hAnsi="Arial" w:cs="Arial"/>
                <w:b/>
                <w:bCs/>
                <w:sz w:val="20"/>
                <w:szCs w:val="20"/>
                <w:lang w:val="es-ES"/>
              </w:rPr>
            </w:pPr>
            <w:r w:rsidRPr="00F64E64">
              <w:rPr>
                <w:rFonts w:ascii="Arial" w:hAnsi="Arial" w:cs="Arial"/>
                <w:b/>
                <w:bCs/>
                <w:sz w:val="20"/>
                <w:szCs w:val="20"/>
                <w:lang w:val="es-ES"/>
              </w:rPr>
              <w:t>Número de planes maestros de aeropuertos actualizados de acuerdo a la Guía para la preparación de planes maestros de transporte aéreo.</w:t>
            </w:r>
          </w:p>
        </w:tc>
        <w:tc>
          <w:tcPr>
            <w:tcW w:w="5490" w:type="dxa"/>
          </w:tcPr>
          <w:p w14:paraId="5ACD75BF" w14:textId="16FF0E59" w:rsidR="00444365" w:rsidRPr="00E77C9C" w:rsidRDefault="00444365" w:rsidP="001608AF">
            <w:pPr>
              <w:jc w:val="both"/>
              <w:rPr>
                <w:rFonts w:ascii="Arial" w:eastAsia="Times New Roman" w:hAnsi="Arial" w:cs="Arial"/>
                <w:sz w:val="20"/>
                <w:szCs w:val="20"/>
                <w:lang w:val="es-ES"/>
              </w:rPr>
            </w:pPr>
            <w:r w:rsidRPr="00E77C9C">
              <w:rPr>
                <w:rFonts w:ascii="Arial" w:eastAsia="Times New Roman" w:hAnsi="Arial" w:cs="Arial"/>
                <w:sz w:val="20"/>
                <w:szCs w:val="20"/>
                <w:lang w:val="es-ES"/>
              </w:rPr>
              <w:t>La Guía de Preparación de Planes Maestros, a ser aprobada en 2016 en el marco de la operación BO-L1112, proporcionará los lineamientos para actualizar los planes maestros aeroportuarios.</w:t>
            </w:r>
          </w:p>
          <w:p w14:paraId="3D5959A2" w14:textId="0CB6C5C3" w:rsidR="00444365" w:rsidRPr="00E77C9C" w:rsidRDefault="00444365" w:rsidP="001608AF">
            <w:pPr>
              <w:jc w:val="both"/>
              <w:rPr>
                <w:rFonts w:ascii="Arial" w:eastAsia="Times New Roman" w:hAnsi="Arial" w:cs="Arial"/>
                <w:sz w:val="20"/>
                <w:szCs w:val="20"/>
                <w:lang w:val="es-ES"/>
              </w:rPr>
            </w:pPr>
            <w:r w:rsidRPr="00E77C9C">
              <w:rPr>
                <w:rFonts w:ascii="Arial" w:eastAsia="Times New Roman" w:hAnsi="Arial" w:cs="Arial"/>
                <w:sz w:val="20"/>
                <w:szCs w:val="20"/>
                <w:lang w:val="es-ES"/>
              </w:rPr>
              <w:t xml:space="preserve"> </w:t>
            </w:r>
          </w:p>
        </w:tc>
        <w:tc>
          <w:tcPr>
            <w:tcW w:w="1890" w:type="dxa"/>
            <w:shd w:val="clear" w:color="auto" w:fill="auto"/>
            <w:noWrap/>
            <w:vAlign w:val="center"/>
            <w:hideMark/>
          </w:tcPr>
          <w:p w14:paraId="141CF1F7" w14:textId="013730D7" w:rsidR="00444365" w:rsidRPr="00E77C9C" w:rsidRDefault="00444365" w:rsidP="00C22824">
            <w:pPr>
              <w:jc w:val="both"/>
              <w:rPr>
                <w:rFonts w:ascii="Arial" w:eastAsia="Times New Roman" w:hAnsi="Arial" w:cs="Arial"/>
                <w:sz w:val="20"/>
                <w:szCs w:val="20"/>
                <w:lang w:val="es-ES"/>
              </w:rPr>
            </w:pPr>
            <w:r w:rsidRPr="00E77C9C">
              <w:rPr>
                <w:rFonts w:ascii="Arial" w:eastAsia="Times New Roman" w:hAnsi="Arial" w:cs="Arial"/>
                <w:sz w:val="20"/>
                <w:szCs w:val="20"/>
                <w:lang w:val="es-ES"/>
              </w:rPr>
              <w:t>Documento Plan maestro aprobados por el VMT.</w:t>
            </w:r>
          </w:p>
        </w:tc>
      </w:tr>
      <w:tr w:rsidR="00477E0A" w:rsidRPr="00F64E64" w14:paraId="22035D10" w14:textId="77777777" w:rsidTr="00F64E64">
        <w:trPr>
          <w:trHeight w:val="385"/>
        </w:trPr>
        <w:tc>
          <w:tcPr>
            <w:tcW w:w="2700" w:type="dxa"/>
            <w:shd w:val="clear" w:color="auto" w:fill="auto"/>
            <w:noWrap/>
            <w:vAlign w:val="center"/>
            <w:hideMark/>
          </w:tcPr>
          <w:p w14:paraId="536D8883" w14:textId="50AE1FB2" w:rsidR="00444365" w:rsidRPr="00F64E64" w:rsidRDefault="00444365">
            <w:pPr>
              <w:jc w:val="both"/>
              <w:rPr>
                <w:rFonts w:ascii="Arial" w:eastAsia="Times New Roman" w:hAnsi="Arial" w:cs="Arial"/>
                <w:b/>
                <w:bCs/>
                <w:sz w:val="20"/>
                <w:szCs w:val="20"/>
                <w:lang w:val="es-ES"/>
              </w:rPr>
            </w:pPr>
            <w:r w:rsidRPr="00F64E64">
              <w:rPr>
                <w:rFonts w:ascii="Arial" w:eastAsia="Times New Roman" w:hAnsi="Arial" w:cs="Arial"/>
                <w:b/>
                <w:bCs/>
                <w:sz w:val="20"/>
                <w:szCs w:val="20"/>
                <w:lang w:val="es-ES"/>
              </w:rPr>
              <w:t>Porcentaje de aeropuertos que aplican medidas de mitigación ambiental.</w:t>
            </w:r>
          </w:p>
        </w:tc>
        <w:tc>
          <w:tcPr>
            <w:tcW w:w="5490" w:type="dxa"/>
          </w:tcPr>
          <w:p w14:paraId="179863AD" w14:textId="77777777" w:rsidR="00444365" w:rsidRPr="00477E0A" w:rsidRDefault="00444365" w:rsidP="00FC2601">
            <w:pPr>
              <w:jc w:val="both"/>
              <w:rPr>
                <w:rFonts w:ascii="Arial" w:hAnsi="Arial" w:cs="Arial"/>
                <w:sz w:val="20"/>
                <w:szCs w:val="20"/>
                <w:lang w:val="es-ES"/>
              </w:rPr>
            </w:pPr>
            <w:r w:rsidRPr="00477E0A">
              <w:rPr>
                <w:rFonts w:ascii="Arial" w:hAnsi="Arial" w:cs="Arial"/>
                <w:sz w:val="20"/>
                <w:szCs w:val="20"/>
                <w:lang w:val="es-ES"/>
              </w:rPr>
              <w:t xml:space="preserve">Se calcula anualmente a partir del número de aeropuertos que cuenten con licencias ambientales emitidas por la Autoridad Ambiental competente como proporción del total de aeropuertos del país. </w:t>
            </w:r>
          </w:p>
          <w:p w14:paraId="64FBAF64" w14:textId="77777777" w:rsidR="007C2075" w:rsidRPr="00477E0A" w:rsidRDefault="007C2075" w:rsidP="00FC2601">
            <w:pPr>
              <w:jc w:val="both"/>
              <w:rPr>
                <w:rFonts w:ascii="Arial" w:hAnsi="Arial" w:cs="Arial"/>
                <w:sz w:val="20"/>
                <w:szCs w:val="20"/>
                <w:lang w:val="es-ES"/>
              </w:rPr>
            </w:pPr>
          </w:p>
          <w:p w14:paraId="479940D0" w14:textId="78575472" w:rsidR="007C2075" w:rsidRPr="00477E0A" w:rsidRDefault="007C2075" w:rsidP="00FC2601">
            <w:pPr>
              <w:jc w:val="both"/>
              <w:rPr>
                <w:rFonts w:ascii="Arial" w:hAnsi="Arial" w:cs="Arial"/>
                <w:sz w:val="20"/>
                <w:szCs w:val="20"/>
                <w:lang w:val="es-ES"/>
              </w:rPr>
            </w:pPr>
            <m:oMathPara>
              <m:oMath>
                <m:r>
                  <w:rPr>
                    <w:rFonts w:ascii="Cambria Math" w:eastAsia="Times New Roman" w:hAnsi="Cambria Math" w:cs="Arial"/>
                    <w:sz w:val="18"/>
                    <w:szCs w:val="20"/>
                    <w:lang w:val="es-ES"/>
                  </w:rPr>
                  <m:t xml:space="preserve">% aeropuertos aplicando medidas ambientales= </m:t>
                </m:r>
                <m:d>
                  <m:dPr>
                    <m:ctrlPr>
                      <w:rPr>
                        <w:rFonts w:ascii="Cambria Math" w:eastAsia="Times New Roman" w:hAnsi="Cambria Math" w:cs="Arial"/>
                        <w:i/>
                        <w:sz w:val="18"/>
                        <w:szCs w:val="20"/>
                        <w:lang w:val="es-ES"/>
                      </w:rPr>
                    </m:ctrlPr>
                  </m:dPr>
                  <m:e>
                    <m:f>
                      <m:fPr>
                        <m:ctrlPr>
                          <w:rPr>
                            <w:rFonts w:ascii="Cambria Math" w:eastAsia="Times New Roman" w:hAnsi="Cambria Math" w:cs="Arial"/>
                            <w:i/>
                            <w:sz w:val="18"/>
                            <w:szCs w:val="20"/>
                            <w:lang w:val="es-ES"/>
                          </w:rPr>
                        </m:ctrlPr>
                      </m:fPr>
                      <m:num>
                        <m:r>
                          <w:rPr>
                            <w:rFonts w:ascii="Cambria Math" w:eastAsia="Times New Roman" w:hAnsi="Cambria Math" w:cs="Arial"/>
                            <w:sz w:val="18"/>
                            <w:szCs w:val="20"/>
                            <w:lang w:val="es-ES"/>
                          </w:rPr>
                          <m:t xml:space="preserve">aeropuertos aplicando medidas ambientales </m:t>
                        </m:r>
                      </m:num>
                      <m:den>
                        <m:r>
                          <w:rPr>
                            <w:rFonts w:ascii="Cambria Math" w:eastAsia="Times New Roman" w:hAnsi="Cambria Math" w:cs="Arial"/>
                            <w:sz w:val="18"/>
                            <w:szCs w:val="20"/>
                            <w:lang w:val="es-ES"/>
                          </w:rPr>
                          <m:t>total de aeropuertos registrados</m:t>
                        </m:r>
                      </m:den>
                    </m:f>
                  </m:e>
                </m:d>
                <m:r>
                  <w:rPr>
                    <w:rFonts w:ascii="Cambria Math" w:eastAsia="Times New Roman" w:hAnsi="Cambria Math" w:cs="Arial"/>
                    <w:sz w:val="18"/>
                    <w:szCs w:val="20"/>
                    <w:lang w:val="es-ES"/>
                  </w:rPr>
                  <m:t>*100</m:t>
                </m:r>
              </m:oMath>
            </m:oMathPara>
          </w:p>
          <w:p w14:paraId="268474EF" w14:textId="77777777" w:rsidR="007C2075" w:rsidRPr="00E77C9C" w:rsidRDefault="007C2075" w:rsidP="00FC2601">
            <w:pPr>
              <w:jc w:val="both"/>
              <w:rPr>
                <w:rFonts w:ascii="Arial" w:hAnsi="Arial" w:cs="Arial"/>
                <w:sz w:val="20"/>
                <w:szCs w:val="20"/>
                <w:lang w:val="es-ES"/>
              </w:rPr>
            </w:pPr>
          </w:p>
          <w:p w14:paraId="039EC02C" w14:textId="44B3CF78" w:rsidR="00444365" w:rsidRPr="00E77C9C" w:rsidRDefault="007C2075">
            <w:pPr>
              <w:jc w:val="both"/>
              <w:rPr>
                <w:rFonts w:ascii="Arial" w:eastAsia="Times New Roman" w:hAnsi="Arial" w:cs="Arial"/>
                <w:sz w:val="20"/>
                <w:szCs w:val="20"/>
                <w:lang w:val="es-ES"/>
              </w:rPr>
            </w:pPr>
            <w:r w:rsidRPr="00E77C9C">
              <w:rPr>
                <w:rFonts w:ascii="Arial" w:hAnsi="Arial" w:cs="Arial"/>
                <w:sz w:val="20"/>
                <w:szCs w:val="20"/>
                <w:lang w:val="es-ES"/>
              </w:rPr>
              <w:t>El GdB estima que la implementación de las reformas en el marco regulatorio y reglamentario de transporte aéreo, contribuirán a que el 100% de aeropuertos en operación apliquen medidas de mitigación ambiental en 2020.</w:t>
            </w:r>
          </w:p>
        </w:tc>
        <w:tc>
          <w:tcPr>
            <w:tcW w:w="1890" w:type="dxa"/>
            <w:shd w:val="clear" w:color="auto" w:fill="auto"/>
            <w:noWrap/>
            <w:vAlign w:val="center"/>
            <w:hideMark/>
          </w:tcPr>
          <w:p w14:paraId="2C1AFA5C" w14:textId="27D0782B" w:rsidR="00444365" w:rsidRPr="00E77C9C" w:rsidRDefault="00444365" w:rsidP="00C22824">
            <w:pPr>
              <w:jc w:val="both"/>
              <w:rPr>
                <w:rFonts w:ascii="Arial" w:eastAsia="Times New Roman" w:hAnsi="Arial" w:cs="Arial"/>
                <w:sz w:val="20"/>
                <w:szCs w:val="20"/>
                <w:lang w:val="es-ES"/>
              </w:rPr>
            </w:pPr>
            <w:r w:rsidRPr="00E77C9C">
              <w:rPr>
                <w:rFonts w:ascii="Arial" w:eastAsia="Times New Roman" w:hAnsi="Arial" w:cs="Arial"/>
                <w:sz w:val="20"/>
                <w:szCs w:val="20"/>
                <w:lang w:val="es-ES"/>
              </w:rPr>
              <w:t xml:space="preserve">Licencias ambientales otorgadas por la Autoridad Ambiental Competente y los informes de monitoreo anual (IMA). </w:t>
            </w:r>
          </w:p>
        </w:tc>
      </w:tr>
      <w:tr w:rsidR="00477E0A" w:rsidRPr="00F64E64" w14:paraId="79B23157" w14:textId="77777777" w:rsidTr="00F64E64">
        <w:trPr>
          <w:trHeight w:val="358"/>
        </w:trPr>
        <w:tc>
          <w:tcPr>
            <w:tcW w:w="2700" w:type="dxa"/>
            <w:shd w:val="clear" w:color="auto" w:fill="auto"/>
            <w:noWrap/>
            <w:vAlign w:val="center"/>
            <w:hideMark/>
          </w:tcPr>
          <w:p w14:paraId="6A65D959" w14:textId="77777777" w:rsidR="00444365" w:rsidRPr="00F64E64" w:rsidRDefault="00444365">
            <w:pPr>
              <w:jc w:val="both"/>
              <w:rPr>
                <w:rFonts w:ascii="Arial" w:eastAsia="Times New Roman" w:hAnsi="Arial" w:cs="Arial"/>
                <w:b/>
                <w:bCs/>
                <w:sz w:val="20"/>
                <w:szCs w:val="20"/>
                <w:lang w:val="es-ES"/>
              </w:rPr>
            </w:pPr>
            <w:r w:rsidRPr="00F64E64">
              <w:rPr>
                <w:rFonts w:ascii="Arial" w:eastAsia="Times New Roman" w:hAnsi="Arial" w:cs="Arial"/>
                <w:b/>
                <w:bCs/>
                <w:sz w:val="20"/>
                <w:szCs w:val="20"/>
                <w:lang w:val="es-ES"/>
              </w:rPr>
              <w:t xml:space="preserve">Porcentaje de operadores de transporte acuático de pasajeros que tienen seguro de terceros. </w:t>
            </w:r>
          </w:p>
        </w:tc>
        <w:tc>
          <w:tcPr>
            <w:tcW w:w="5490" w:type="dxa"/>
          </w:tcPr>
          <w:p w14:paraId="7DFEB0C3" w14:textId="77777777" w:rsidR="00444365" w:rsidRPr="00477E0A" w:rsidRDefault="00444365" w:rsidP="001608AF">
            <w:pPr>
              <w:jc w:val="both"/>
              <w:rPr>
                <w:rFonts w:ascii="Arial" w:hAnsi="Arial" w:cs="Arial"/>
                <w:sz w:val="20"/>
                <w:szCs w:val="20"/>
                <w:lang w:val="es-ES"/>
              </w:rPr>
            </w:pPr>
            <w:r w:rsidRPr="00477E0A">
              <w:rPr>
                <w:rFonts w:ascii="Arial" w:hAnsi="Arial" w:cs="Arial"/>
                <w:sz w:val="20"/>
                <w:szCs w:val="20"/>
                <w:lang w:val="es-ES"/>
              </w:rPr>
              <w:t xml:space="preserve">La Dirección General de Intereses Marítimos, Fluviales, Lacustres y Marina Mercante del Ministerio de Defensa registra los seguros de los operadores. Se calculará a partir del número de operadores de transporte acuático de pasajeros que tienen seguro de terceros como proporción del total de operadores. </w:t>
            </w:r>
          </w:p>
          <w:p w14:paraId="4BB444F2" w14:textId="77777777" w:rsidR="00444365" w:rsidRPr="00477E0A" w:rsidRDefault="00444365" w:rsidP="001608AF">
            <w:pPr>
              <w:jc w:val="both"/>
              <w:rPr>
                <w:rFonts w:ascii="Arial" w:hAnsi="Arial" w:cs="Arial"/>
                <w:sz w:val="20"/>
                <w:szCs w:val="20"/>
                <w:lang w:val="es-ES"/>
              </w:rPr>
            </w:pPr>
          </w:p>
          <w:p w14:paraId="5AF29096" w14:textId="22646BBC" w:rsidR="00444365" w:rsidRPr="00E77C9C" w:rsidRDefault="008E3914" w:rsidP="001608AF">
            <w:pPr>
              <w:jc w:val="both"/>
              <w:rPr>
                <w:rFonts w:ascii="Arial" w:eastAsia="Times New Roman" w:hAnsi="Arial" w:cs="Arial"/>
                <w:sz w:val="20"/>
                <w:szCs w:val="20"/>
                <w:lang w:val="es-ES"/>
              </w:rPr>
            </w:pPr>
            <m:oMathPara>
              <m:oMath>
                <m:r>
                  <w:rPr>
                    <w:rFonts w:ascii="Cambria Math" w:eastAsia="Times New Roman" w:hAnsi="Cambria Math" w:cs="Arial"/>
                    <w:sz w:val="18"/>
                    <w:szCs w:val="20"/>
                    <w:lang w:val="es-ES"/>
                  </w:rPr>
                  <m:t xml:space="preserve">% operadores con seguros a terceros= </m:t>
                </m:r>
                <m:d>
                  <m:dPr>
                    <m:ctrlPr>
                      <w:rPr>
                        <w:rFonts w:ascii="Cambria Math" w:eastAsia="Times New Roman" w:hAnsi="Cambria Math" w:cs="Arial"/>
                        <w:i/>
                        <w:sz w:val="18"/>
                        <w:szCs w:val="20"/>
                        <w:lang w:val="es-ES"/>
                      </w:rPr>
                    </m:ctrlPr>
                  </m:dPr>
                  <m:e>
                    <m:f>
                      <m:fPr>
                        <m:ctrlPr>
                          <w:rPr>
                            <w:rFonts w:ascii="Cambria Math" w:eastAsia="Times New Roman" w:hAnsi="Cambria Math" w:cs="Arial"/>
                            <w:i/>
                            <w:sz w:val="18"/>
                            <w:szCs w:val="20"/>
                            <w:lang w:val="es-ES"/>
                          </w:rPr>
                        </m:ctrlPr>
                      </m:fPr>
                      <m:num>
                        <m:r>
                          <w:rPr>
                            <w:rFonts w:ascii="Cambria Math" w:eastAsia="Times New Roman" w:hAnsi="Cambria Math" w:cs="Arial"/>
                            <w:sz w:val="18"/>
                            <w:szCs w:val="20"/>
                            <w:lang w:val="es-ES"/>
                          </w:rPr>
                          <m:t>operadores acu</m:t>
                        </m:r>
                        <m:r>
                          <w:rPr>
                            <w:rFonts w:ascii="Cambria Math" w:eastAsia="Times New Roman" w:hAnsi="Cambria Math" w:cs="Arial" w:hint="eastAsia"/>
                            <w:sz w:val="18"/>
                            <w:szCs w:val="20"/>
                            <w:lang w:val="es-ES"/>
                          </w:rPr>
                          <m:t>á</m:t>
                        </m:r>
                        <m:r>
                          <w:rPr>
                            <w:rFonts w:ascii="Cambria Math" w:eastAsia="Times New Roman" w:hAnsi="Cambria Math" w:cs="Arial"/>
                            <w:sz w:val="18"/>
                            <w:szCs w:val="20"/>
                            <w:lang w:val="es-ES"/>
                          </w:rPr>
                          <m:t xml:space="preserve">ticos con seguros a terceros </m:t>
                        </m:r>
                      </m:num>
                      <m:den>
                        <m:r>
                          <w:rPr>
                            <w:rFonts w:ascii="Cambria Math" w:eastAsia="Times New Roman" w:hAnsi="Cambria Math" w:cs="Arial"/>
                            <w:sz w:val="18"/>
                            <w:szCs w:val="20"/>
                            <w:lang w:val="es-ES"/>
                          </w:rPr>
                          <m:t>total operadores acu</m:t>
                        </m:r>
                        <m:r>
                          <w:rPr>
                            <w:rFonts w:ascii="Cambria Math" w:eastAsia="Times New Roman" w:hAnsi="Cambria Math" w:cs="Arial" w:hint="eastAsia"/>
                            <w:sz w:val="18"/>
                            <w:szCs w:val="20"/>
                            <w:lang w:val="es-ES"/>
                          </w:rPr>
                          <m:t>á</m:t>
                        </m:r>
                        <m:r>
                          <w:rPr>
                            <w:rFonts w:ascii="Cambria Math" w:eastAsia="Times New Roman" w:hAnsi="Cambria Math" w:cs="Arial"/>
                            <w:sz w:val="18"/>
                            <w:szCs w:val="20"/>
                            <w:lang w:val="es-ES"/>
                          </w:rPr>
                          <m:t>ticos registrados</m:t>
                        </m:r>
                      </m:den>
                    </m:f>
                  </m:e>
                </m:d>
                <m:r>
                  <w:rPr>
                    <w:rFonts w:ascii="Cambria Math" w:eastAsia="Times New Roman" w:hAnsi="Cambria Math" w:cs="Arial"/>
                    <w:sz w:val="18"/>
                    <w:szCs w:val="20"/>
                    <w:lang w:val="es-ES"/>
                  </w:rPr>
                  <m:t>*100</m:t>
                </m:r>
              </m:oMath>
            </m:oMathPara>
          </w:p>
          <w:p w14:paraId="674515B1" w14:textId="77777777" w:rsidR="007C2075" w:rsidRPr="00E77C9C" w:rsidRDefault="007C2075" w:rsidP="001608AF">
            <w:pPr>
              <w:jc w:val="both"/>
              <w:rPr>
                <w:rFonts w:ascii="Arial" w:hAnsi="Arial" w:cs="Arial"/>
                <w:sz w:val="20"/>
                <w:szCs w:val="20"/>
                <w:lang w:val="es-ES"/>
              </w:rPr>
            </w:pPr>
          </w:p>
          <w:p w14:paraId="0A643D3E" w14:textId="605E1FDC" w:rsidR="00444365" w:rsidRPr="00E77C9C" w:rsidRDefault="007C2075">
            <w:pPr>
              <w:jc w:val="both"/>
              <w:rPr>
                <w:rFonts w:ascii="Arial" w:eastAsia="Times New Roman" w:hAnsi="Arial" w:cs="Arial"/>
                <w:sz w:val="20"/>
                <w:szCs w:val="20"/>
                <w:lang w:val="es-ES"/>
              </w:rPr>
            </w:pPr>
            <w:r w:rsidRPr="00E77C9C">
              <w:rPr>
                <w:rFonts w:ascii="Arial" w:hAnsi="Arial" w:cs="Arial"/>
                <w:sz w:val="20"/>
                <w:szCs w:val="20"/>
                <w:lang w:val="es-ES"/>
              </w:rPr>
              <w:t>El GdB estima que la implementación de las reformas en el marco regulatorio y reglamentario de transporte acuático, contribuirá a incrementar hasta un 50% el porcentaje de operadores de transporte acuático de pasajeros que tienen seguro de terceros, respecto a la línea de base.</w:t>
            </w:r>
          </w:p>
        </w:tc>
        <w:tc>
          <w:tcPr>
            <w:tcW w:w="1890" w:type="dxa"/>
            <w:shd w:val="clear" w:color="auto" w:fill="auto"/>
            <w:noWrap/>
            <w:vAlign w:val="center"/>
            <w:hideMark/>
          </w:tcPr>
          <w:p w14:paraId="60500A90" w14:textId="7AD64D66" w:rsidR="00444365" w:rsidRPr="00E77C9C" w:rsidRDefault="00444365" w:rsidP="00C22824">
            <w:pPr>
              <w:jc w:val="both"/>
              <w:rPr>
                <w:rFonts w:ascii="Arial" w:eastAsia="Times New Roman" w:hAnsi="Arial" w:cs="Arial"/>
                <w:sz w:val="20"/>
                <w:szCs w:val="20"/>
                <w:lang w:val="es-ES"/>
              </w:rPr>
            </w:pPr>
            <w:r w:rsidRPr="00E77C9C">
              <w:rPr>
                <w:rFonts w:ascii="Arial" w:eastAsia="Times New Roman" w:hAnsi="Arial" w:cs="Arial"/>
                <w:sz w:val="20"/>
                <w:szCs w:val="20"/>
                <w:lang w:val="es-ES"/>
              </w:rPr>
              <w:t>Documentación anual publicada por el MOPSV.</w:t>
            </w:r>
          </w:p>
        </w:tc>
      </w:tr>
      <w:tr w:rsidR="00477E0A" w:rsidRPr="00F64E64" w14:paraId="511B53E8" w14:textId="77777777" w:rsidTr="00F64E64">
        <w:trPr>
          <w:trHeight w:val="358"/>
        </w:trPr>
        <w:tc>
          <w:tcPr>
            <w:tcW w:w="2700" w:type="dxa"/>
            <w:shd w:val="clear" w:color="auto" w:fill="auto"/>
            <w:noWrap/>
            <w:vAlign w:val="center"/>
          </w:tcPr>
          <w:p w14:paraId="53A1A660" w14:textId="0F206411" w:rsidR="007C2075" w:rsidRPr="00F64E64" w:rsidRDefault="007C2075">
            <w:pPr>
              <w:jc w:val="both"/>
              <w:rPr>
                <w:rFonts w:ascii="Arial" w:eastAsia="Times New Roman" w:hAnsi="Arial" w:cs="Arial"/>
                <w:b/>
                <w:bCs/>
                <w:sz w:val="20"/>
                <w:szCs w:val="20"/>
                <w:lang w:val="es-ES"/>
              </w:rPr>
            </w:pPr>
            <w:r w:rsidRPr="00F64E64">
              <w:rPr>
                <w:rFonts w:ascii="Arial" w:hAnsi="Arial" w:cs="Arial"/>
                <w:b/>
                <w:bCs/>
                <w:sz w:val="20"/>
                <w:szCs w:val="20"/>
                <w:lang w:val="es-ES"/>
              </w:rPr>
              <w:lastRenderedPageBreak/>
              <w:t>Porcentaje de</w:t>
            </w:r>
            <w:r w:rsidR="001B0E77" w:rsidRPr="00F64E64">
              <w:rPr>
                <w:rFonts w:ascii="Arial" w:hAnsi="Arial" w:cs="Arial"/>
                <w:b/>
                <w:bCs/>
                <w:sz w:val="20"/>
                <w:szCs w:val="20"/>
                <w:lang w:val="es-ES"/>
              </w:rPr>
              <w:t xml:space="preserve"> las</w:t>
            </w:r>
            <w:r w:rsidRPr="00F64E64">
              <w:rPr>
                <w:rFonts w:ascii="Arial" w:hAnsi="Arial" w:cs="Arial"/>
                <w:b/>
                <w:bCs/>
                <w:sz w:val="20"/>
                <w:szCs w:val="20"/>
                <w:lang w:val="es-ES"/>
              </w:rPr>
              <w:t xml:space="preserve"> intervenciones de seguridad vial identificadas por el Programa de Puntos Críticos de la ABC</w:t>
            </w:r>
            <w:r w:rsidR="001B0E77" w:rsidRPr="00F64E64">
              <w:rPr>
                <w:rFonts w:ascii="Arial" w:hAnsi="Arial" w:cs="Arial"/>
                <w:b/>
                <w:bCs/>
                <w:sz w:val="20"/>
                <w:szCs w:val="20"/>
                <w:lang w:val="es-ES"/>
              </w:rPr>
              <w:t xml:space="preserve"> ejecutadas</w:t>
            </w:r>
            <w:r w:rsidRPr="00F64E64">
              <w:rPr>
                <w:rFonts w:ascii="Arial" w:hAnsi="Arial" w:cs="Arial"/>
                <w:b/>
                <w:bCs/>
                <w:sz w:val="20"/>
                <w:szCs w:val="20"/>
                <w:lang w:val="es-ES"/>
              </w:rPr>
              <w:t>.</w:t>
            </w:r>
          </w:p>
        </w:tc>
        <w:tc>
          <w:tcPr>
            <w:tcW w:w="5490" w:type="dxa"/>
          </w:tcPr>
          <w:p w14:paraId="5FE2C9FE" w14:textId="77777777" w:rsidR="007C2075" w:rsidRPr="00477E0A" w:rsidRDefault="00DF6B0A">
            <w:pPr>
              <w:jc w:val="both"/>
              <w:rPr>
                <w:rFonts w:ascii="Arial" w:hAnsi="Arial" w:cs="Arial"/>
                <w:sz w:val="20"/>
                <w:szCs w:val="20"/>
                <w:lang w:val="es-ES"/>
              </w:rPr>
            </w:pPr>
            <w:r w:rsidRPr="00F64E64">
              <w:rPr>
                <w:rFonts w:ascii="Arial" w:hAnsi="Arial" w:cs="Arial"/>
                <w:sz w:val="20"/>
                <w:szCs w:val="20"/>
                <w:lang w:val="es-ES"/>
              </w:rPr>
              <w:t xml:space="preserve">La ABC elaborará un informe anual de las intervenciones totales en seguridad vial, diferenciando además aquellas intervenciones identificadas por el Programa de Puntos Críticos. </w:t>
            </w:r>
            <w:r w:rsidR="009308CE" w:rsidRPr="00477E0A">
              <w:rPr>
                <w:rFonts w:ascii="Arial" w:hAnsi="Arial" w:cs="Arial"/>
                <w:sz w:val="20"/>
                <w:szCs w:val="20"/>
                <w:lang w:val="es-ES"/>
              </w:rPr>
              <w:t xml:space="preserve">El indicador se calculará como la diferencia entre el número de </w:t>
            </w:r>
            <w:r w:rsidRPr="00477E0A">
              <w:rPr>
                <w:rFonts w:ascii="Arial" w:hAnsi="Arial" w:cs="Arial"/>
                <w:sz w:val="20"/>
                <w:szCs w:val="20"/>
                <w:lang w:val="es-ES"/>
              </w:rPr>
              <w:t xml:space="preserve">total </w:t>
            </w:r>
            <w:r w:rsidR="009308CE" w:rsidRPr="00477E0A">
              <w:rPr>
                <w:rFonts w:ascii="Arial" w:hAnsi="Arial" w:cs="Arial"/>
                <w:sz w:val="20"/>
                <w:szCs w:val="20"/>
                <w:lang w:val="es-ES"/>
              </w:rPr>
              <w:t xml:space="preserve">intervenciones </w:t>
            </w:r>
            <w:r w:rsidRPr="00477E0A">
              <w:rPr>
                <w:rFonts w:ascii="Arial" w:hAnsi="Arial" w:cs="Arial"/>
                <w:sz w:val="20"/>
                <w:szCs w:val="20"/>
                <w:lang w:val="es-ES"/>
              </w:rPr>
              <w:t>en seguridad vial</w:t>
            </w:r>
            <w:r w:rsidR="009308CE" w:rsidRPr="00477E0A">
              <w:rPr>
                <w:rFonts w:ascii="Arial" w:hAnsi="Arial" w:cs="Arial"/>
                <w:sz w:val="20"/>
                <w:szCs w:val="20"/>
                <w:lang w:val="es-ES"/>
              </w:rPr>
              <w:t xml:space="preserve"> y el número de intervenciones en </w:t>
            </w:r>
            <w:r w:rsidRPr="00477E0A">
              <w:rPr>
                <w:rFonts w:ascii="Arial" w:hAnsi="Arial" w:cs="Arial"/>
                <w:sz w:val="20"/>
                <w:szCs w:val="20"/>
                <w:lang w:val="es-ES"/>
              </w:rPr>
              <w:t>los puntos críticos identificados</w:t>
            </w:r>
            <w:r w:rsidR="009308CE" w:rsidRPr="00477E0A">
              <w:rPr>
                <w:rFonts w:ascii="Arial" w:hAnsi="Arial" w:cs="Arial"/>
                <w:sz w:val="20"/>
                <w:szCs w:val="20"/>
                <w:lang w:val="es-ES"/>
              </w:rPr>
              <w:t xml:space="preserve">. </w:t>
            </w:r>
          </w:p>
          <w:p w14:paraId="1A6C0871" w14:textId="77777777" w:rsidR="00DF6B0A" w:rsidRPr="00477E0A" w:rsidRDefault="00DF6B0A">
            <w:pPr>
              <w:jc w:val="both"/>
              <w:rPr>
                <w:rFonts w:ascii="Arial" w:hAnsi="Arial" w:cs="Arial"/>
                <w:sz w:val="20"/>
                <w:szCs w:val="20"/>
                <w:lang w:val="es-ES"/>
              </w:rPr>
            </w:pPr>
          </w:p>
          <w:p w14:paraId="7B789AF8" w14:textId="6759E4E1" w:rsidR="00DF6B0A" w:rsidRPr="008946DE" w:rsidRDefault="008E3914">
            <w:pPr>
              <w:jc w:val="both"/>
              <w:rPr>
                <w:rFonts w:ascii="Arial" w:hAnsi="Arial" w:cs="Arial"/>
                <w:sz w:val="20"/>
                <w:szCs w:val="20"/>
                <w:lang w:val="es-ES_tradnl"/>
              </w:rPr>
            </w:pPr>
            <m:oMathPara>
              <m:oMath>
                <m:r>
                  <w:rPr>
                    <w:rFonts w:ascii="Cambria Math" w:eastAsia="Times New Roman" w:hAnsi="Cambria Math" w:cs="Arial"/>
                    <w:sz w:val="18"/>
                    <w:szCs w:val="20"/>
                    <w:lang w:val="es-ES"/>
                  </w:rPr>
                  <m:t>% intervenciones en puntos cr</m:t>
                </m:r>
                <m:r>
                  <w:rPr>
                    <w:rFonts w:ascii="Cambria Math" w:eastAsia="Times New Roman" w:hAnsi="Cambria Math" w:cs="Arial" w:hint="eastAsia"/>
                    <w:sz w:val="18"/>
                    <w:szCs w:val="20"/>
                    <w:lang w:val="es-ES"/>
                  </w:rPr>
                  <m:t>í</m:t>
                </m:r>
                <m:r>
                  <w:rPr>
                    <w:rFonts w:ascii="Cambria Math" w:eastAsia="Times New Roman" w:hAnsi="Cambria Math" w:cs="Arial"/>
                    <w:sz w:val="18"/>
                    <w:szCs w:val="20"/>
                    <w:lang w:val="es-ES"/>
                  </w:rPr>
                  <m:t xml:space="preserve">ticos= </m:t>
                </m:r>
                <m:d>
                  <m:dPr>
                    <m:ctrlPr>
                      <w:rPr>
                        <w:rFonts w:ascii="Cambria Math" w:eastAsia="Times New Roman" w:hAnsi="Cambria Math" w:cs="Arial"/>
                        <w:i/>
                        <w:sz w:val="18"/>
                        <w:szCs w:val="20"/>
                        <w:lang w:val="es-ES"/>
                      </w:rPr>
                    </m:ctrlPr>
                  </m:dPr>
                  <m:e>
                    <m:f>
                      <m:fPr>
                        <m:ctrlPr>
                          <w:rPr>
                            <w:rFonts w:ascii="Cambria Math" w:eastAsia="Times New Roman" w:hAnsi="Cambria Math" w:cs="Arial"/>
                            <w:i/>
                            <w:sz w:val="18"/>
                            <w:szCs w:val="20"/>
                            <w:lang w:val="es-ES"/>
                          </w:rPr>
                        </m:ctrlPr>
                      </m:fPr>
                      <m:num>
                        <m:r>
                          <w:rPr>
                            <w:rFonts w:ascii="Cambria Math" w:eastAsia="Times New Roman" w:hAnsi="Cambria Math" w:cs="Arial"/>
                            <w:sz w:val="18"/>
                            <w:szCs w:val="20"/>
                            <w:lang w:val="es-ES"/>
                          </w:rPr>
                          <m:t>Total Intervenciones en Seguridad Vial</m:t>
                        </m:r>
                      </m:num>
                      <m:den>
                        <m:r>
                          <w:rPr>
                            <w:rFonts w:ascii="Cambria Math" w:eastAsia="Times New Roman" w:hAnsi="Cambria Math" w:cs="Arial"/>
                            <w:sz w:val="18"/>
                            <w:szCs w:val="20"/>
                            <w:lang w:val="es-ES"/>
                          </w:rPr>
                          <m:t>N</m:t>
                        </m:r>
                        <m:r>
                          <w:rPr>
                            <w:rFonts w:ascii="Cambria Math" w:eastAsia="Times New Roman" w:hAnsi="Cambria Math" w:cs="Arial" w:hint="eastAsia"/>
                            <w:sz w:val="18"/>
                            <w:szCs w:val="20"/>
                            <w:lang w:val="es-ES"/>
                          </w:rPr>
                          <m:t>ú</m:t>
                        </m:r>
                        <m:r>
                          <w:rPr>
                            <w:rFonts w:ascii="Cambria Math" w:eastAsia="Times New Roman" w:hAnsi="Cambria Math" w:cs="Arial"/>
                            <w:sz w:val="18"/>
                            <w:szCs w:val="20"/>
                            <w:lang w:val="es-ES"/>
                          </w:rPr>
                          <m:t>mero de intervenciones en puntos cr</m:t>
                        </m:r>
                        <m:r>
                          <w:rPr>
                            <w:rFonts w:ascii="Cambria Math" w:eastAsia="Times New Roman" w:hAnsi="Cambria Math" w:cs="Arial" w:hint="eastAsia"/>
                            <w:sz w:val="18"/>
                            <w:szCs w:val="20"/>
                            <w:lang w:val="es-ES"/>
                          </w:rPr>
                          <m:t>í</m:t>
                        </m:r>
                        <m:r>
                          <w:rPr>
                            <w:rFonts w:ascii="Cambria Math" w:eastAsia="Times New Roman" w:hAnsi="Cambria Math" w:cs="Arial"/>
                            <w:sz w:val="18"/>
                            <w:szCs w:val="20"/>
                            <w:lang w:val="es-ES"/>
                          </w:rPr>
                          <m:t>ticos</m:t>
                        </m:r>
                      </m:den>
                    </m:f>
                  </m:e>
                </m:d>
                <m:r>
                  <w:rPr>
                    <w:rFonts w:ascii="Cambria Math" w:eastAsia="Times New Roman" w:hAnsi="Cambria Math" w:cs="Arial"/>
                    <w:sz w:val="18"/>
                    <w:szCs w:val="20"/>
                    <w:lang w:val="es-ES"/>
                  </w:rPr>
                  <m:t>*100</m:t>
                </m:r>
              </m:oMath>
            </m:oMathPara>
          </w:p>
        </w:tc>
        <w:tc>
          <w:tcPr>
            <w:tcW w:w="1890" w:type="dxa"/>
            <w:shd w:val="clear" w:color="auto" w:fill="auto"/>
            <w:noWrap/>
            <w:vAlign w:val="center"/>
          </w:tcPr>
          <w:p w14:paraId="5CDE2416" w14:textId="7A70FF32" w:rsidR="007C2075" w:rsidRPr="00E77C9C" w:rsidRDefault="007C2075">
            <w:pPr>
              <w:jc w:val="both"/>
              <w:rPr>
                <w:rFonts w:ascii="Arial" w:eastAsia="Times New Roman" w:hAnsi="Arial" w:cs="Arial"/>
                <w:sz w:val="20"/>
                <w:szCs w:val="20"/>
                <w:lang w:val="es-ES"/>
              </w:rPr>
            </w:pPr>
            <w:r w:rsidRPr="00E77C9C">
              <w:rPr>
                <w:rFonts w:ascii="Arial" w:eastAsia="Times New Roman" w:hAnsi="Arial" w:cs="Arial"/>
                <w:sz w:val="20"/>
                <w:szCs w:val="20"/>
                <w:lang w:val="es-ES"/>
              </w:rPr>
              <w:t>Documentación anual publicada por la ABC.</w:t>
            </w:r>
          </w:p>
        </w:tc>
      </w:tr>
    </w:tbl>
    <w:p w14:paraId="17C04CC7" w14:textId="77777777" w:rsidR="00B04E9F" w:rsidRDefault="00B04E9F" w:rsidP="002A34B5">
      <w:pPr>
        <w:pStyle w:val="Title"/>
        <w:tabs>
          <w:tab w:val="clear" w:pos="1440"/>
          <w:tab w:val="clear" w:pos="3060"/>
        </w:tabs>
        <w:spacing w:line="276" w:lineRule="auto"/>
        <w:jc w:val="both"/>
        <w:outlineLvl w:val="9"/>
        <w:rPr>
          <w:rFonts w:ascii="Arial" w:hAnsi="Arial" w:cs="Arial"/>
          <w:lang w:val="es-ES"/>
        </w:rPr>
      </w:pPr>
    </w:p>
    <w:p w14:paraId="1E55D716" w14:textId="77777777" w:rsidR="00F13F8A" w:rsidRPr="00F64E64" w:rsidRDefault="00F13F8A" w:rsidP="00F64E64">
      <w:pPr>
        <w:pStyle w:val="ColorfulList-Accent11"/>
        <w:numPr>
          <w:ilvl w:val="1"/>
          <w:numId w:val="13"/>
        </w:numPr>
        <w:spacing w:after="0"/>
        <w:ind w:left="360"/>
        <w:jc w:val="both"/>
        <w:outlineLvl w:val="1"/>
        <w:rPr>
          <w:rFonts w:ascii="Arial" w:hAnsi="Arial" w:cs="Arial"/>
          <w:b/>
          <w:bCs/>
          <w:lang w:val="es-ES"/>
        </w:rPr>
      </w:pPr>
      <w:bookmarkStart w:id="14" w:name="_Toc468954067"/>
      <w:r w:rsidRPr="00F64E64">
        <w:rPr>
          <w:rFonts w:ascii="Arial" w:hAnsi="Arial" w:cs="Arial"/>
          <w:b/>
          <w:bCs/>
          <w:lang w:val="es-ES"/>
        </w:rPr>
        <w:t>Conocimiento sectorial previo</w:t>
      </w:r>
      <w:bookmarkEnd w:id="14"/>
    </w:p>
    <w:p w14:paraId="5E291CA4" w14:textId="77777777" w:rsidR="00F13F8A" w:rsidRPr="00E77C9C" w:rsidRDefault="00F13F8A" w:rsidP="00E77C9C"/>
    <w:p w14:paraId="1032831F" w14:textId="77777777" w:rsidR="00F82E41" w:rsidRDefault="00F82E41"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Se realizó una evaluación económica previa sustentada en los fundamentos económicos que motivan las reformas de políticas propuestas, donde se analiza el potencial impacto de la implementación del marco reglamentario, regulatorio y técnico de la nueva Ley General de Transporte</w:t>
      </w:r>
      <w:r>
        <w:rPr>
          <w:rFonts w:ascii="Arial" w:hAnsi="Arial" w:cs="Arial"/>
          <w:lang w:val="es-ES"/>
        </w:rPr>
        <w:t xml:space="preserve"> en la economía de Bolivia, a través de un análisis económico </w:t>
      </w:r>
      <w:r w:rsidRPr="00C22824">
        <w:rPr>
          <w:rFonts w:ascii="Arial" w:hAnsi="Arial" w:cs="Arial"/>
          <w:lang w:val="es-ES"/>
        </w:rPr>
        <w:t>que contempla costos y beneficios socioeconómicos de la aplicación del programa.</w:t>
      </w:r>
    </w:p>
    <w:p w14:paraId="7CDCFFEB" w14:textId="77777777" w:rsidR="00F82E41" w:rsidRPr="00C22824" w:rsidRDefault="00F82E41" w:rsidP="00F82E41">
      <w:pPr>
        <w:pStyle w:val="Title"/>
        <w:tabs>
          <w:tab w:val="clear" w:pos="1440"/>
          <w:tab w:val="clear" w:pos="3060"/>
        </w:tabs>
        <w:spacing w:line="276" w:lineRule="auto"/>
        <w:jc w:val="both"/>
        <w:outlineLvl w:val="9"/>
        <w:rPr>
          <w:rFonts w:ascii="Arial" w:hAnsi="Arial" w:cs="Arial"/>
          <w:lang w:val="es-ES"/>
        </w:rPr>
      </w:pPr>
    </w:p>
    <w:p w14:paraId="4552DB66" w14:textId="77777777" w:rsidR="00F82E41" w:rsidRDefault="00F82E41"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Este análisis es realizado con base a proyecciones para un horizonte de trabajo de 20 años, donde se estimaron los costos</w:t>
      </w:r>
      <w:r>
        <w:rPr>
          <w:rFonts w:ascii="Arial" w:hAnsi="Arial" w:cs="Arial"/>
          <w:lang w:val="es-ES"/>
        </w:rPr>
        <w:t xml:space="preserve"> en los que se deberá incurrir para llevar a cabo el desarrollo de las políticas propuestas</w:t>
      </w:r>
      <w:r w:rsidRPr="00C22824">
        <w:rPr>
          <w:rFonts w:ascii="Arial" w:hAnsi="Arial" w:cs="Arial"/>
          <w:lang w:val="es-ES"/>
        </w:rPr>
        <w:t>, así como los beneficios de las mismas, calculados a partir de la comparación entre un escenario sin proyecto y uno con proyecto, el cual supone la aplicación del programa.</w:t>
      </w:r>
      <w:r>
        <w:rPr>
          <w:rFonts w:ascii="Arial" w:hAnsi="Arial" w:cs="Arial"/>
          <w:lang w:val="es-ES"/>
        </w:rPr>
        <w:t xml:space="preserve"> </w:t>
      </w:r>
      <w:r w:rsidRPr="00C22824">
        <w:rPr>
          <w:rFonts w:ascii="Arial" w:hAnsi="Arial" w:cs="Arial"/>
          <w:lang w:val="es-ES"/>
        </w:rPr>
        <w:t>El análisis realizado permite identificar el impacto potencial del programa en distintos aspectos de la economía del país, involucrando aspectos ambientales, de seguridad vial y de eficiencia económica.</w:t>
      </w:r>
    </w:p>
    <w:p w14:paraId="16B7A9A8" w14:textId="77777777" w:rsidR="00F82E41" w:rsidRDefault="00F82E41" w:rsidP="00F82E41">
      <w:pPr>
        <w:pStyle w:val="Title"/>
        <w:tabs>
          <w:tab w:val="clear" w:pos="1440"/>
          <w:tab w:val="clear" w:pos="3060"/>
        </w:tabs>
        <w:spacing w:line="276" w:lineRule="auto"/>
        <w:jc w:val="both"/>
        <w:outlineLvl w:val="9"/>
        <w:rPr>
          <w:rFonts w:ascii="Arial" w:hAnsi="Arial" w:cs="Arial"/>
          <w:lang w:val="es-ES"/>
        </w:rPr>
      </w:pPr>
    </w:p>
    <w:p w14:paraId="1EF43E17" w14:textId="6207455A" w:rsidR="00F82E41" w:rsidRPr="006715E2" w:rsidRDefault="00F82E41" w:rsidP="00F64E64">
      <w:pPr>
        <w:pStyle w:val="Title"/>
        <w:tabs>
          <w:tab w:val="clear" w:pos="1440"/>
          <w:tab w:val="clear" w:pos="3060"/>
        </w:tabs>
        <w:spacing w:line="276" w:lineRule="auto"/>
        <w:jc w:val="both"/>
        <w:rPr>
          <w:rFonts w:ascii="Arial" w:hAnsi="Arial" w:cs="Arial"/>
          <w:lang w:val="es-ES"/>
        </w:rPr>
      </w:pPr>
      <w:r>
        <w:rPr>
          <w:rFonts w:ascii="Arial" w:hAnsi="Arial" w:cs="Arial"/>
          <w:lang w:val="es-ES"/>
        </w:rPr>
        <w:t>E</w:t>
      </w:r>
      <w:r w:rsidRPr="006715E2">
        <w:rPr>
          <w:rFonts w:ascii="Arial" w:hAnsi="Arial" w:cs="Arial"/>
          <w:lang w:val="es-ES"/>
        </w:rPr>
        <w:t xml:space="preserve">l análisis </w:t>
      </w:r>
      <w:r>
        <w:rPr>
          <w:rFonts w:ascii="Arial" w:hAnsi="Arial" w:cs="Arial"/>
          <w:lang w:val="es-ES"/>
        </w:rPr>
        <w:t>c</w:t>
      </w:r>
      <w:r w:rsidRPr="006715E2">
        <w:rPr>
          <w:rFonts w:ascii="Arial" w:hAnsi="Arial" w:cs="Arial"/>
          <w:lang w:val="es-ES"/>
        </w:rPr>
        <w:t>osto</w:t>
      </w:r>
      <w:r>
        <w:rPr>
          <w:rFonts w:ascii="Arial" w:hAnsi="Arial" w:cs="Arial"/>
          <w:lang w:val="es-ES"/>
        </w:rPr>
        <w:t>-b</w:t>
      </w:r>
      <w:r w:rsidRPr="006715E2">
        <w:rPr>
          <w:rFonts w:ascii="Arial" w:hAnsi="Arial" w:cs="Arial"/>
          <w:lang w:val="es-ES"/>
        </w:rPr>
        <w:t>eneficio de la evaluación económica ex ante</w:t>
      </w:r>
      <w:r w:rsidR="00B109A7">
        <w:rPr>
          <w:rFonts w:ascii="Arial" w:hAnsi="Arial" w:cs="Arial"/>
          <w:lang w:val="es-ES"/>
        </w:rPr>
        <w:t xml:space="preserve"> (</w:t>
      </w:r>
      <w:hyperlink r:id="rId19" w:history="1">
        <w:r w:rsidR="00B109A7" w:rsidRPr="00F64E64">
          <w:rPr>
            <w:rStyle w:val="Hyperlink"/>
            <w:rFonts w:ascii="Arial" w:hAnsi="Arial" w:cs="Arial"/>
            <w:sz w:val="22"/>
            <w:szCs w:val="22"/>
            <w:lang w:val="es-ES"/>
          </w:rPr>
          <w:t>EEO#1</w:t>
        </w:r>
      </w:hyperlink>
      <w:r w:rsidR="00DE1E22">
        <w:rPr>
          <w:rFonts w:ascii="Arial" w:hAnsi="Arial" w:cs="Arial"/>
          <w:lang w:val="es-ES"/>
        </w:rPr>
        <w:t xml:space="preserve">), </w:t>
      </w:r>
      <w:r w:rsidRPr="006715E2">
        <w:rPr>
          <w:rFonts w:ascii="Arial" w:hAnsi="Arial" w:cs="Arial"/>
          <w:lang w:val="es-ES"/>
        </w:rPr>
        <w:t>consistió fundamentalmente en la monetización de los efectos esperados de las políticas del programa</w:t>
      </w:r>
      <w:r>
        <w:rPr>
          <w:rFonts w:ascii="Arial" w:hAnsi="Arial" w:cs="Arial"/>
          <w:lang w:val="es-ES"/>
        </w:rPr>
        <w:t>, es decir en</w:t>
      </w:r>
      <w:r w:rsidRPr="006715E2">
        <w:rPr>
          <w:rFonts w:ascii="Arial" w:hAnsi="Arial" w:cs="Arial"/>
          <w:lang w:val="es-ES"/>
        </w:rPr>
        <w:t xml:space="preserve"> la construcción numérica de los costos y beneficios que se estima generará el </w:t>
      </w:r>
      <w:r>
        <w:rPr>
          <w:rFonts w:ascii="Arial" w:hAnsi="Arial" w:cs="Arial"/>
          <w:lang w:val="es-ES"/>
        </w:rPr>
        <w:t>Programa una vez implementado.</w:t>
      </w:r>
      <w:r w:rsidRPr="006715E2">
        <w:rPr>
          <w:rFonts w:ascii="Arial" w:hAnsi="Arial" w:cs="Arial"/>
          <w:lang w:val="es-ES"/>
        </w:rPr>
        <w:t xml:space="preserve"> Para lo anterior, se incorporan supuestos basados en evidencias propias del sector transporte de Bolivia, así como también supuestos basados en experiencias observadas a nivel internacional en otros países de Latinoamérica con similares características. A partir de lo anterior, se construye los flujos de ganancias y pérdidas en el tiempo (desde t = 0 hasta la duración total del proyecto), ajustados por una tasa de descuento</w:t>
      </w:r>
      <w:r>
        <w:rPr>
          <w:rFonts w:ascii="Arial" w:hAnsi="Arial" w:cs="Arial"/>
          <w:lang w:val="es-ES"/>
        </w:rPr>
        <w:t xml:space="preserve"> (12%)</w:t>
      </w:r>
      <w:r w:rsidRPr="006715E2">
        <w:rPr>
          <w:rFonts w:ascii="Arial" w:hAnsi="Arial" w:cs="Arial"/>
          <w:lang w:val="es-ES"/>
        </w:rPr>
        <w:t xml:space="preserve">, para obtener así el valor presente de cada uno de los componentes que forman parte de la evaluación. Posteriormente se computan los valores del Valor Actual Neto (VAN) de la implementación del Programa y la Tasa Interna de Retorno (TIR) los cuales </w:t>
      </w:r>
      <w:r w:rsidRPr="006715E2">
        <w:rPr>
          <w:rFonts w:ascii="Arial" w:hAnsi="Arial" w:cs="Arial"/>
          <w:lang w:val="es-ES"/>
        </w:rPr>
        <w:lastRenderedPageBreak/>
        <w:t xml:space="preserve">representan indicadores fundamentales para determinar la viabilidad </w:t>
      </w:r>
      <w:r>
        <w:rPr>
          <w:rFonts w:ascii="Arial" w:hAnsi="Arial" w:cs="Arial"/>
          <w:lang w:val="es-ES"/>
        </w:rPr>
        <w:t xml:space="preserve">económica </w:t>
      </w:r>
      <w:r w:rsidRPr="006715E2">
        <w:rPr>
          <w:rFonts w:ascii="Arial" w:hAnsi="Arial" w:cs="Arial"/>
          <w:lang w:val="es-ES"/>
        </w:rPr>
        <w:t xml:space="preserve">del proyecto. </w:t>
      </w:r>
    </w:p>
    <w:p w14:paraId="1AFECAB4" w14:textId="77777777" w:rsidR="00F82E41" w:rsidRPr="006715E2" w:rsidRDefault="00F82E41" w:rsidP="00F82E41">
      <w:pPr>
        <w:pStyle w:val="Title"/>
        <w:tabs>
          <w:tab w:val="clear" w:pos="1440"/>
          <w:tab w:val="clear" w:pos="3060"/>
        </w:tabs>
        <w:spacing w:line="276" w:lineRule="auto"/>
        <w:jc w:val="both"/>
        <w:outlineLvl w:val="9"/>
        <w:rPr>
          <w:rFonts w:ascii="Arial" w:hAnsi="Arial" w:cs="Arial"/>
          <w:lang w:val="es-ES"/>
        </w:rPr>
      </w:pPr>
    </w:p>
    <w:p w14:paraId="3BB326C5" w14:textId="18279D69" w:rsidR="00F82E41" w:rsidRPr="006715E2" w:rsidRDefault="00F82E41" w:rsidP="00F64E64">
      <w:pPr>
        <w:pStyle w:val="Title"/>
        <w:tabs>
          <w:tab w:val="clear" w:pos="1440"/>
          <w:tab w:val="clear" w:pos="3060"/>
        </w:tabs>
        <w:spacing w:line="276" w:lineRule="auto"/>
        <w:jc w:val="both"/>
        <w:rPr>
          <w:rFonts w:ascii="Arial" w:hAnsi="Arial" w:cs="Arial"/>
          <w:lang w:val="es-ES"/>
        </w:rPr>
      </w:pPr>
      <w:r w:rsidRPr="006715E2">
        <w:rPr>
          <w:rFonts w:ascii="Arial" w:hAnsi="Arial" w:cs="Arial"/>
          <w:lang w:val="es-ES"/>
        </w:rPr>
        <w:t xml:space="preserve">Las políticas analizadas implican el diseño, aprobación e implementación de regulaciones técnicas y legales que apuntan a un mejor funcionamiento del sector. </w:t>
      </w:r>
      <w:r w:rsidR="000A6E76">
        <w:rPr>
          <w:rFonts w:ascii="Arial" w:hAnsi="Arial" w:cs="Arial"/>
          <w:lang w:val="es-ES"/>
        </w:rPr>
        <w:t>En la siguiente tabla, se especifican l</w:t>
      </w:r>
      <w:r w:rsidRPr="006715E2">
        <w:rPr>
          <w:rFonts w:ascii="Arial" w:hAnsi="Arial" w:cs="Arial"/>
          <w:lang w:val="es-ES"/>
        </w:rPr>
        <w:t xml:space="preserve">as </w:t>
      </w:r>
      <w:r w:rsidR="000A6E76">
        <w:rPr>
          <w:rFonts w:ascii="Arial" w:hAnsi="Arial" w:cs="Arial"/>
          <w:lang w:val="es-ES"/>
        </w:rPr>
        <w:t xml:space="preserve">acciones de </w:t>
      </w:r>
      <w:r w:rsidRPr="006715E2">
        <w:rPr>
          <w:rFonts w:ascii="Arial" w:hAnsi="Arial" w:cs="Arial"/>
          <w:lang w:val="es-ES"/>
        </w:rPr>
        <w:t xml:space="preserve">políticas analizadas </w:t>
      </w:r>
      <w:r w:rsidR="000A6E76">
        <w:rPr>
          <w:rFonts w:ascii="Arial" w:hAnsi="Arial" w:cs="Arial"/>
          <w:lang w:val="es-ES"/>
        </w:rPr>
        <w:t>en la evaluación costo beneficio, as</w:t>
      </w:r>
      <w:r w:rsidR="00477E0A">
        <w:rPr>
          <w:rFonts w:ascii="Arial" w:hAnsi="Arial" w:cs="Arial"/>
          <w:lang w:val="es-ES"/>
        </w:rPr>
        <w:t>í como los efectos asociado</w:t>
      </w:r>
      <w:r w:rsidR="000A6E76">
        <w:rPr>
          <w:rFonts w:ascii="Arial" w:hAnsi="Arial" w:cs="Arial"/>
          <w:lang w:val="es-ES"/>
        </w:rPr>
        <w:t>s a dichas políticas</w:t>
      </w:r>
      <w:r>
        <w:rPr>
          <w:rFonts w:ascii="Arial" w:hAnsi="Arial" w:cs="Arial"/>
          <w:lang w:val="es-ES"/>
        </w:rPr>
        <w:t xml:space="preserve">: </w:t>
      </w:r>
    </w:p>
    <w:p w14:paraId="62E32310" w14:textId="77777777" w:rsidR="00F82E41" w:rsidRDefault="00F82E41" w:rsidP="00F82E41">
      <w:pPr>
        <w:pStyle w:val="Title"/>
        <w:tabs>
          <w:tab w:val="clear" w:pos="1440"/>
          <w:tab w:val="clear" w:pos="3060"/>
        </w:tabs>
        <w:spacing w:line="276" w:lineRule="auto"/>
        <w:jc w:val="both"/>
        <w:outlineLvl w:val="9"/>
        <w:rPr>
          <w:rFonts w:ascii="Arial" w:hAnsi="Arial" w:cs="Arial"/>
          <w:lang w:val="es-ES"/>
        </w:rPr>
      </w:pPr>
    </w:p>
    <w:p w14:paraId="5C562632" w14:textId="5789B358" w:rsidR="000A6E76" w:rsidRPr="00F64E64" w:rsidRDefault="000A6E76" w:rsidP="00F64E64">
      <w:pPr>
        <w:pStyle w:val="Caption"/>
        <w:keepNext/>
        <w:spacing w:after="0" w:line="276" w:lineRule="auto"/>
        <w:jc w:val="center"/>
        <w:rPr>
          <w:rFonts w:ascii="Arial" w:hAnsi="Arial" w:cs="Arial"/>
          <w:b/>
          <w:bCs/>
          <w:color w:val="000000"/>
          <w:lang w:val="es-ES"/>
        </w:rPr>
      </w:pPr>
      <w:bookmarkStart w:id="15" w:name="_Ref468955288"/>
      <w:r w:rsidRPr="00F64E64">
        <w:rPr>
          <w:rFonts w:ascii="Arial" w:hAnsi="Arial" w:cs="Arial"/>
          <w:b/>
          <w:bCs/>
          <w:i w:val="0"/>
          <w:iCs w:val="0"/>
          <w:color w:val="000000"/>
          <w:lang w:val="es-ES"/>
        </w:rPr>
        <w:t xml:space="preserve">Tabla </w:t>
      </w:r>
      <w:r w:rsidRPr="00F64E64">
        <w:fldChar w:fldCharType="begin"/>
      </w:r>
      <w:r w:rsidRPr="00E77C9C">
        <w:rPr>
          <w:rFonts w:ascii="Arial" w:hAnsi="Arial" w:cs="Arial"/>
          <w:b/>
          <w:i w:val="0"/>
          <w:color w:val="000000"/>
          <w:lang w:val="es-ES"/>
        </w:rPr>
        <w:instrText xml:space="preserve"> SEQ Tabla \* ARABIC </w:instrText>
      </w:r>
      <w:r w:rsidRPr="2A9C513E">
        <w:rPr>
          <w:rFonts w:ascii="Arial" w:hAnsi="Arial" w:cs="Arial"/>
          <w:b/>
          <w:i w:val="0"/>
          <w:color w:val="000000"/>
          <w:lang w:val="es-ES"/>
        </w:rPr>
        <w:fldChar w:fldCharType="separate"/>
      </w:r>
      <w:r w:rsidRPr="00F64E64">
        <w:rPr>
          <w:rFonts w:ascii="Arial" w:hAnsi="Arial" w:cs="Arial"/>
          <w:b/>
          <w:bCs/>
          <w:i w:val="0"/>
          <w:iCs w:val="0"/>
          <w:color w:val="000000"/>
          <w:lang w:val="es-ES"/>
        </w:rPr>
        <w:t>5</w:t>
      </w:r>
      <w:r w:rsidRPr="00F64E64">
        <w:fldChar w:fldCharType="end"/>
      </w:r>
      <w:r w:rsidRPr="00F64E64">
        <w:rPr>
          <w:rFonts w:ascii="Arial" w:hAnsi="Arial" w:cs="Arial"/>
          <w:b/>
          <w:bCs/>
          <w:i w:val="0"/>
          <w:iCs w:val="0"/>
          <w:color w:val="000000"/>
          <w:lang w:val="es-ES"/>
        </w:rPr>
        <w:t xml:space="preserve">. </w:t>
      </w:r>
      <w:r w:rsidR="00AA2D34" w:rsidRPr="00F64E64">
        <w:rPr>
          <w:rFonts w:ascii="Arial" w:hAnsi="Arial" w:cs="Arial"/>
          <w:b/>
          <w:bCs/>
          <w:i w:val="0"/>
          <w:iCs w:val="0"/>
          <w:color w:val="000000"/>
          <w:lang w:val="es-ES"/>
        </w:rPr>
        <w:t>Acciones de Políticas consideradas en la Evaluación Económica</w:t>
      </w:r>
      <w:bookmarkEnd w:id="15"/>
    </w:p>
    <w:tbl>
      <w:tblPr>
        <w:tblStyle w:val="TableGrid"/>
        <w:tblW w:w="9180" w:type="dxa"/>
        <w:tblInd w:w="108" w:type="dxa"/>
        <w:tblLook w:val="04A0" w:firstRow="1" w:lastRow="0" w:firstColumn="1" w:lastColumn="0" w:noHBand="0" w:noVBand="1"/>
      </w:tblPr>
      <w:tblGrid>
        <w:gridCol w:w="3780"/>
        <w:gridCol w:w="5400"/>
      </w:tblGrid>
      <w:tr w:rsidR="000A6E76" w:rsidRPr="000A6E76" w14:paraId="2328DE95" w14:textId="77777777" w:rsidTr="2A9C513E">
        <w:tc>
          <w:tcPr>
            <w:tcW w:w="3780" w:type="dxa"/>
            <w:shd w:val="clear" w:color="auto" w:fill="F2F2F2" w:themeFill="background1" w:themeFillShade="F2"/>
          </w:tcPr>
          <w:p w14:paraId="7272F37B" w14:textId="40167ABB" w:rsidR="000A6E76" w:rsidRPr="00F64E64" w:rsidRDefault="00477E0A" w:rsidP="00F64E64">
            <w:pPr>
              <w:pStyle w:val="Title"/>
              <w:tabs>
                <w:tab w:val="clear" w:pos="1440"/>
                <w:tab w:val="clear" w:pos="3060"/>
              </w:tabs>
              <w:spacing w:line="276" w:lineRule="auto"/>
              <w:jc w:val="both"/>
              <w:rPr>
                <w:rFonts w:ascii="Arial" w:hAnsi="Arial" w:cs="Arial"/>
                <w:b/>
                <w:bCs/>
                <w:sz w:val="20"/>
                <w:lang w:val="es-AR"/>
              </w:rPr>
            </w:pPr>
            <w:r w:rsidRPr="00F64E64">
              <w:rPr>
                <w:rFonts w:ascii="Arial" w:hAnsi="Arial" w:cs="Arial"/>
                <w:b/>
                <w:bCs/>
                <w:sz w:val="20"/>
                <w:lang w:val="es-AR"/>
              </w:rPr>
              <w:t>Efectos Esperados</w:t>
            </w:r>
          </w:p>
        </w:tc>
        <w:tc>
          <w:tcPr>
            <w:tcW w:w="5400" w:type="dxa"/>
            <w:shd w:val="clear" w:color="auto" w:fill="F2F2F2" w:themeFill="background1" w:themeFillShade="F2"/>
          </w:tcPr>
          <w:p w14:paraId="3EF39F08" w14:textId="23B98A8E" w:rsidR="000A6E76" w:rsidRPr="00F64E64" w:rsidRDefault="000A6E76">
            <w:pPr>
              <w:contextualSpacing/>
              <w:jc w:val="both"/>
              <w:rPr>
                <w:rFonts w:ascii="Arial" w:hAnsi="Arial" w:cs="Arial"/>
                <w:b/>
                <w:bCs/>
                <w:sz w:val="20"/>
                <w:szCs w:val="20"/>
                <w:lang w:val="es-AR"/>
              </w:rPr>
            </w:pPr>
            <w:r w:rsidRPr="00F64E64">
              <w:rPr>
                <w:rFonts w:ascii="Arial" w:hAnsi="Arial" w:cs="Arial"/>
                <w:b/>
                <w:bCs/>
                <w:sz w:val="20"/>
                <w:szCs w:val="20"/>
                <w:lang w:val="es-AR"/>
              </w:rPr>
              <w:t>Acciones de Políticas Asociadas</w:t>
            </w:r>
          </w:p>
        </w:tc>
      </w:tr>
      <w:tr w:rsidR="000A6E76" w:rsidRPr="00F64E64" w14:paraId="209542D4" w14:textId="77777777" w:rsidTr="2A9C513E">
        <w:tc>
          <w:tcPr>
            <w:tcW w:w="3780" w:type="dxa"/>
          </w:tcPr>
          <w:p w14:paraId="7BDEFBDA" w14:textId="0A145A47" w:rsidR="000A6E76" w:rsidRPr="00F64E64" w:rsidRDefault="000A6E76" w:rsidP="00F64E64">
            <w:pPr>
              <w:pStyle w:val="Title"/>
              <w:tabs>
                <w:tab w:val="clear" w:pos="1440"/>
                <w:tab w:val="clear" w:pos="3060"/>
              </w:tabs>
              <w:spacing w:line="276" w:lineRule="auto"/>
              <w:jc w:val="both"/>
              <w:rPr>
                <w:rFonts w:ascii="Arial" w:hAnsi="Arial" w:cs="Arial"/>
                <w:sz w:val="20"/>
                <w:lang w:val="es-ES"/>
              </w:rPr>
            </w:pPr>
            <w:r w:rsidRPr="00F64E64">
              <w:rPr>
                <w:rFonts w:ascii="Arial" w:hAnsi="Arial" w:cs="Arial"/>
                <w:b/>
                <w:bCs/>
                <w:sz w:val="20"/>
                <w:lang w:val="es-AR"/>
              </w:rPr>
              <w:t>Mejoras en la eficiencia del parque automotor</w:t>
            </w:r>
          </w:p>
        </w:tc>
        <w:tc>
          <w:tcPr>
            <w:tcW w:w="5400" w:type="dxa"/>
          </w:tcPr>
          <w:p w14:paraId="79E78F98" w14:textId="3DCC0316"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Reglamentación para la internación de vehículos bajo normas EURO o equivalentes</w:t>
            </w:r>
            <w:r>
              <w:rPr>
                <w:rFonts w:ascii="Arial" w:eastAsia="Times New Roman" w:hAnsi="Arial" w:cs="Arial"/>
                <w:sz w:val="20"/>
                <w:szCs w:val="20"/>
                <w:lang w:val="es-AR"/>
              </w:rPr>
              <w:t>.</w:t>
            </w:r>
          </w:p>
          <w:p w14:paraId="67075D5A" w14:textId="0C9663DD" w:rsidR="000A6E76" w:rsidRPr="00F64E64" w:rsidRDefault="000A6E76">
            <w:pPr>
              <w:pStyle w:val="ListParagraph"/>
              <w:numPr>
                <w:ilvl w:val="0"/>
                <w:numId w:val="45"/>
              </w:numPr>
              <w:ind w:left="252" w:hanging="252"/>
              <w:contextualSpacing/>
              <w:jc w:val="both"/>
              <w:rPr>
                <w:rFonts w:ascii="Arial" w:hAnsi="Arial" w:cs="Arial"/>
                <w:b/>
                <w:bCs/>
                <w:sz w:val="20"/>
                <w:szCs w:val="20"/>
                <w:lang w:val="es-AR"/>
              </w:rPr>
            </w:pPr>
            <w:r w:rsidRPr="00E77C9C">
              <w:rPr>
                <w:rFonts w:ascii="Arial" w:eastAsia="Times New Roman" w:hAnsi="Arial" w:cs="Arial"/>
                <w:sz w:val="20"/>
                <w:szCs w:val="20"/>
                <w:lang w:val="es-AR"/>
              </w:rPr>
              <w:t>Implementación del mecanismo de verificación de emisiones de los vehículos nuevos.</w:t>
            </w:r>
          </w:p>
        </w:tc>
      </w:tr>
      <w:tr w:rsidR="000A6E76" w:rsidRPr="00F64E64" w14:paraId="794F6B57" w14:textId="77777777" w:rsidTr="2A9C513E">
        <w:tc>
          <w:tcPr>
            <w:tcW w:w="3780" w:type="dxa"/>
          </w:tcPr>
          <w:p w14:paraId="02D171A4" w14:textId="77777777" w:rsidR="000A6E76" w:rsidRPr="00F64E64" w:rsidRDefault="000A6E76">
            <w:pPr>
              <w:contextualSpacing/>
              <w:jc w:val="both"/>
              <w:rPr>
                <w:rFonts w:ascii="Arial" w:hAnsi="Arial" w:cs="Arial"/>
                <w:b/>
                <w:bCs/>
                <w:sz w:val="20"/>
                <w:szCs w:val="20"/>
                <w:lang w:val="es-AR"/>
              </w:rPr>
            </w:pPr>
            <w:r w:rsidRPr="00F64E64">
              <w:rPr>
                <w:rFonts w:ascii="Arial" w:eastAsiaTheme="minorEastAsia" w:hAnsi="Arial" w:cs="Arial"/>
                <w:b/>
                <w:bCs/>
                <w:sz w:val="20"/>
                <w:szCs w:val="20"/>
                <w:lang w:val="es-AR"/>
              </w:rPr>
              <w:t>Mejoras en la seguridad vial</w:t>
            </w:r>
          </w:p>
          <w:p w14:paraId="19317F88" w14:textId="77777777" w:rsidR="000A6E76" w:rsidRPr="00E77C9C" w:rsidRDefault="000A6E76" w:rsidP="00F82E41">
            <w:pPr>
              <w:pStyle w:val="Title"/>
              <w:tabs>
                <w:tab w:val="clear" w:pos="1440"/>
                <w:tab w:val="clear" w:pos="3060"/>
              </w:tabs>
              <w:spacing w:line="276" w:lineRule="auto"/>
              <w:jc w:val="both"/>
              <w:outlineLvl w:val="9"/>
              <w:rPr>
                <w:rFonts w:ascii="Arial" w:hAnsi="Arial" w:cs="Arial"/>
                <w:sz w:val="20"/>
                <w:lang w:val="es-ES"/>
              </w:rPr>
            </w:pPr>
          </w:p>
        </w:tc>
        <w:tc>
          <w:tcPr>
            <w:tcW w:w="5400" w:type="dxa"/>
          </w:tcPr>
          <w:p w14:paraId="58C50D42" w14:textId="6AE0C3F5"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Implementación del sistema naciona</w:t>
            </w:r>
            <w:r>
              <w:rPr>
                <w:rFonts w:ascii="Arial" w:eastAsia="Times New Roman" w:hAnsi="Arial" w:cs="Arial"/>
                <w:sz w:val="20"/>
                <w:szCs w:val="20"/>
                <w:lang w:val="es-AR"/>
              </w:rPr>
              <w:t>l de revisión técnica vehicular.</w:t>
            </w:r>
          </w:p>
          <w:p w14:paraId="1A9A8B59" w14:textId="34961AD0"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Aprobación del marco normativo del Plan Nacional de Seguridad Vial</w:t>
            </w:r>
            <w:r>
              <w:rPr>
                <w:rFonts w:ascii="Arial" w:eastAsia="Times New Roman" w:hAnsi="Arial" w:cs="Arial"/>
                <w:sz w:val="20"/>
                <w:szCs w:val="20"/>
                <w:lang w:val="es-AR"/>
              </w:rPr>
              <w:t>.</w:t>
            </w:r>
          </w:p>
          <w:p w14:paraId="35E09E2A" w14:textId="020471B1"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Fiscalización de la implementación de mecanismos que contribuyan a la prevención de accidentes</w:t>
            </w:r>
            <w:r>
              <w:rPr>
                <w:rFonts w:ascii="Arial" w:eastAsia="Times New Roman" w:hAnsi="Arial" w:cs="Arial"/>
                <w:sz w:val="20"/>
                <w:szCs w:val="20"/>
                <w:lang w:val="es-AR"/>
              </w:rPr>
              <w:t>.</w:t>
            </w:r>
          </w:p>
          <w:p w14:paraId="750C70C7" w14:textId="6E5CFF8A" w:rsidR="000A6E76" w:rsidRPr="00F64E64" w:rsidRDefault="000A6E76">
            <w:pPr>
              <w:pStyle w:val="ListParagraph"/>
              <w:numPr>
                <w:ilvl w:val="0"/>
                <w:numId w:val="45"/>
              </w:numPr>
              <w:ind w:left="252" w:hanging="252"/>
              <w:contextualSpacing/>
              <w:jc w:val="both"/>
              <w:rPr>
                <w:rFonts w:ascii="Arial" w:hAnsi="Arial" w:cs="Arial"/>
                <w:sz w:val="20"/>
                <w:szCs w:val="20"/>
                <w:lang w:val="es-ES"/>
              </w:rPr>
            </w:pPr>
            <w:r w:rsidRPr="00E77C9C">
              <w:rPr>
                <w:rFonts w:ascii="Arial" w:eastAsia="Times New Roman" w:hAnsi="Arial" w:cs="Arial"/>
                <w:sz w:val="20"/>
                <w:szCs w:val="20"/>
                <w:lang w:val="es-AR"/>
              </w:rPr>
              <w:t xml:space="preserve">Programa de intervención en puntos críticos. </w:t>
            </w:r>
          </w:p>
        </w:tc>
      </w:tr>
      <w:tr w:rsidR="000A6E76" w:rsidRPr="00F64E64" w14:paraId="0D444620" w14:textId="77777777" w:rsidTr="2A9C513E">
        <w:tc>
          <w:tcPr>
            <w:tcW w:w="3780" w:type="dxa"/>
          </w:tcPr>
          <w:p w14:paraId="7DCC980F" w14:textId="77777777" w:rsidR="000A6E76" w:rsidRPr="00F64E64" w:rsidRDefault="000A6E76">
            <w:pPr>
              <w:contextualSpacing/>
              <w:jc w:val="both"/>
              <w:rPr>
                <w:rFonts w:ascii="Arial" w:hAnsi="Arial" w:cs="Arial"/>
                <w:b/>
                <w:bCs/>
                <w:sz w:val="20"/>
                <w:szCs w:val="20"/>
                <w:lang w:val="es-AR"/>
              </w:rPr>
            </w:pPr>
            <w:r w:rsidRPr="00F64E64">
              <w:rPr>
                <w:rFonts w:ascii="Arial" w:eastAsiaTheme="minorEastAsia" w:hAnsi="Arial" w:cs="Arial"/>
                <w:b/>
                <w:bCs/>
                <w:sz w:val="20"/>
                <w:szCs w:val="20"/>
                <w:lang w:val="es-AR"/>
              </w:rPr>
              <w:t>Mejoras en las condiciones de la red vial</w:t>
            </w:r>
          </w:p>
          <w:p w14:paraId="76D5DBC4" w14:textId="77777777" w:rsidR="000A6E76" w:rsidRPr="00E77C9C" w:rsidRDefault="000A6E76" w:rsidP="00F82E41">
            <w:pPr>
              <w:pStyle w:val="Title"/>
              <w:tabs>
                <w:tab w:val="clear" w:pos="1440"/>
                <w:tab w:val="clear" w:pos="3060"/>
              </w:tabs>
              <w:spacing w:line="276" w:lineRule="auto"/>
              <w:jc w:val="both"/>
              <w:outlineLvl w:val="9"/>
              <w:rPr>
                <w:rFonts w:ascii="Arial" w:hAnsi="Arial" w:cs="Arial"/>
                <w:sz w:val="20"/>
                <w:lang w:val="es-ES"/>
              </w:rPr>
            </w:pPr>
          </w:p>
        </w:tc>
        <w:tc>
          <w:tcPr>
            <w:tcW w:w="5400" w:type="dxa"/>
          </w:tcPr>
          <w:p w14:paraId="1A67DBE8" w14:textId="7F8A4413"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Estaciones de control de pesos y dimensiones vehiculares en operación</w:t>
            </w:r>
            <w:r>
              <w:rPr>
                <w:rFonts w:ascii="Arial" w:eastAsia="Times New Roman" w:hAnsi="Arial" w:cs="Arial"/>
                <w:sz w:val="20"/>
                <w:szCs w:val="20"/>
                <w:lang w:val="es-AR"/>
              </w:rPr>
              <w:t>.</w:t>
            </w:r>
          </w:p>
          <w:p w14:paraId="1D6C0722" w14:textId="3F393CFC" w:rsidR="000A6E76" w:rsidRPr="00E77C9C" w:rsidRDefault="000A6E76" w:rsidP="00E77C9C">
            <w:pPr>
              <w:pStyle w:val="ListParagraph"/>
              <w:numPr>
                <w:ilvl w:val="0"/>
                <w:numId w:val="45"/>
              </w:numPr>
              <w:ind w:left="252" w:hanging="252"/>
              <w:contextualSpacing/>
              <w:jc w:val="both"/>
              <w:rPr>
                <w:rFonts w:ascii="Arial" w:eastAsia="Times New Roman" w:hAnsi="Arial" w:cs="Arial"/>
                <w:sz w:val="20"/>
                <w:szCs w:val="20"/>
                <w:lang w:val="es-AR"/>
              </w:rPr>
            </w:pPr>
            <w:r w:rsidRPr="00E77C9C">
              <w:rPr>
                <w:rFonts w:ascii="Arial" w:eastAsia="Times New Roman" w:hAnsi="Arial" w:cs="Arial"/>
                <w:sz w:val="20"/>
                <w:szCs w:val="20"/>
                <w:lang w:val="es-AR"/>
              </w:rPr>
              <w:t>Inventario vial completo y actualizado</w:t>
            </w:r>
            <w:r>
              <w:rPr>
                <w:rFonts w:ascii="Arial" w:eastAsia="Times New Roman" w:hAnsi="Arial" w:cs="Arial"/>
                <w:sz w:val="20"/>
                <w:szCs w:val="20"/>
                <w:lang w:val="es-AR"/>
              </w:rPr>
              <w:t>.</w:t>
            </w:r>
          </w:p>
          <w:p w14:paraId="5A41115F" w14:textId="0D3EEE55" w:rsidR="000A6E76" w:rsidRPr="00F64E64" w:rsidRDefault="000A6E76">
            <w:pPr>
              <w:pStyle w:val="ListParagraph"/>
              <w:numPr>
                <w:ilvl w:val="0"/>
                <w:numId w:val="45"/>
              </w:numPr>
              <w:ind w:left="252" w:hanging="252"/>
              <w:contextualSpacing/>
              <w:jc w:val="both"/>
              <w:rPr>
                <w:rFonts w:ascii="Arial" w:hAnsi="Arial" w:cs="Arial"/>
                <w:sz w:val="20"/>
                <w:szCs w:val="20"/>
                <w:lang w:val="es-AR"/>
              </w:rPr>
            </w:pPr>
            <w:r w:rsidRPr="00E77C9C">
              <w:rPr>
                <w:rFonts w:ascii="Arial" w:eastAsia="Times New Roman" w:hAnsi="Arial" w:cs="Arial"/>
                <w:sz w:val="20"/>
                <w:szCs w:val="20"/>
                <w:lang w:val="es-AR"/>
              </w:rPr>
              <w:t>Intervenciones de conservación vial priorizadas.</w:t>
            </w:r>
          </w:p>
        </w:tc>
      </w:tr>
      <w:tr w:rsidR="000A6E76" w:rsidRPr="00F64E64" w14:paraId="69A7A1D3" w14:textId="77777777" w:rsidTr="2A9C513E">
        <w:tc>
          <w:tcPr>
            <w:tcW w:w="3780" w:type="dxa"/>
          </w:tcPr>
          <w:p w14:paraId="2625CC2D" w14:textId="77777777" w:rsidR="000A6E76" w:rsidRPr="00F64E64" w:rsidRDefault="000A6E76">
            <w:pPr>
              <w:contextualSpacing/>
              <w:jc w:val="both"/>
              <w:rPr>
                <w:rFonts w:ascii="Arial" w:hAnsi="Arial" w:cs="Arial"/>
                <w:b/>
                <w:bCs/>
                <w:sz w:val="20"/>
                <w:szCs w:val="20"/>
                <w:lang w:val="es-AR"/>
              </w:rPr>
            </w:pPr>
            <w:r w:rsidRPr="00F64E64">
              <w:rPr>
                <w:rFonts w:ascii="Arial" w:eastAsiaTheme="minorEastAsia" w:hAnsi="Arial" w:cs="Arial"/>
                <w:b/>
                <w:bCs/>
                <w:sz w:val="20"/>
                <w:szCs w:val="20"/>
                <w:lang w:val="es-AR"/>
              </w:rPr>
              <w:t>Mejoras en el mantenimiento de aeropuertos</w:t>
            </w:r>
          </w:p>
          <w:p w14:paraId="0F430096" w14:textId="77777777" w:rsidR="000A6E76" w:rsidRPr="009366BD" w:rsidRDefault="000A6E76" w:rsidP="00F82E41">
            <w:pPr>
              <w:pStyle w:val="Title"/>
              <w:tabs>
                <w:tab w:val="clear" w:pos="1440"/>
                <w:tab w:val="clear" w:pos="3060"/>
              </w:tabs>
              <w:spacing w:line="276" w:lineRule="auto"/>
              <w:jc w:val="both"/>
              <w:outlineLvl w:val="9"/>
              <w:rPr>
                <w:rFonts w:ascii="Arial" w:hAnsi="Arial" w:cs="Arial"/>
                <w:sz w:val="20"/>
                <w:lang w:val="es-ES"/>
              </w:rPr>
            </w:pPr>
          </w:p>
        </w:tc>
        <w:tc>
          <w:tcPr>
            <w:tcW w:w="5400" w:type="dxa"/>
          </w:tcPr>
          <w:p w14:paraId="225673DD" w14:textId="4249E289" w:rsidR="000A6E76" w:rsidRPr="00F64E64" w:rsidRDefault="000A6E76">
            <w:pPr>
              <w:pStyle w:val="ListParagraph"/>
              <w:numPr>
                <w:ilvl w:val="0"/>
                <w:numId w:val="45"/>
              </w:numPr>
              <w:ind w:left="252" w:hanging="252"/>
              <w:contextualSpacing/>
              <w:jc w:val="both"/>
              <w:rPr>
                <w:rFonts w:ascii="Arial" w:hAnsi="Arial" w:cs="Arial"/>
                <w:sz w:val="20"/>
                <w:szCs w:val="20"/>
                <w:lang w:val="es-AR"/>
              </w:rPr>
            </w:pPr>
            <w:r w:rsidRPr="00E77C9C">
              <w:rPr>
                <w:rFonts w:ascii="Arial" w:eastAsia="Times New Roman" w:hAnsi="Arial" w:cs="Arial"/>
                <w:sz w:val="20"/>
                <w:szCs w:val="20"/>
                <w:lang w:val="es-AR"/>
              </w:rPr>
              <w:t>Aprobación del Plan de inversión para mantenimiento de aeropuertos.</w:t>
            </w:r>
          </w:p>
        </w:tc>
      </w:tr>
    </w:tbl>
    <w:p w14:paraId="088C96B3" w14:textId="77777777" w:rsidR="000A6E76" w:rsidRDefault="000A6E76" w:rsidP="00F82E41">
      <w:pPr>
        <w:pStyle w:val="Title"/>
        <w:tabs>
          <w:tab w:val="clear" w:pos="1440"/>
          <w:tab w:val="clear" w:pos="3060"/>
        </w:tabs>
        <w:spacing w:line="276" w:lineRule="auto"/>
        <w:jc w:val="both"/>
        <w:outlineLvl w:val="9"/>
        <w:rPr>
          <w:rFonts w:ascii="Arial" w:hAnsi="Arial" w:cs="Arial"/>
          <w:lang w:val="es-ES"/>
        </w:rPr>
      </w:pPr>
    </w:p>
    <w:p w14:paraId="06BF6217" w14:textId="77777777" w:rsidR="00F82E41" w:rsidRPr="006715E2" w:rsidRDefault="00F82E41" w:rsidP="00F64E64">
      <w:pPr>
        <w:pStyle w:val="Title"/>
        <w:tabs>
          <w:tab w:val="clear" w:pos="1440"/>
          <w:tab w:val="clear" w:pos="3060"/>
        </w:tabs>
        <w:spacing w:line="276" w:lineRule="auto"/>
        <w:jc w:val="both"/>
        <w:rPr>
          <w:rFonts w:ascii="Arial" w:hAnsi="Arial" w:cs="Arial"/>
          <w:lang w:val="es-ES"/>
        </w:rPr>
      </w:pPr>
      <w:r w:rsidRPr="006715E2">
        <w:rPr>
          <w:rFonts w:ascii="Arial" w:hAnsi="Arial" w:cs="Arial"/>
          <w:lang w:val="es-ES"/>
        </w:rPr>
        <w:t xml:space="preserve">En línea con la metodología antes descrita, para las medidas que implican reformas de políticas, implementación de planes institucionales y mejoramientos de </w:t>
      </w:r>
      <w:r w:rsidRPr="006D3EC9">
        <w:rPr>
          <w:rFonts w:ascii="Arial" w:hAnsi="Arial" w:cs="Arial"/>
          <w:lang w:val="es-ES"/>
        </w:rPr>
        <w:t xml:space="preserve">infraestructura como es el caso de las medidas de </w:t>
      </w:r>
      <w:r>
        <w:rPr>
          <w:rFonts w:ascii="Arial" w:hAnsi="Arial" w:cs="Arial"/>
          <w:lang w:val="es-ES"/>
        </w:rPr>
        <w:t>m</w:t>
      </w:r>
      <w:r w:rsidRPr="006D3EC9">
        <w:rPr>
          <w:rFonts w:ascii="Arial" w:hAnsi="Arial" w:cs="Arial"/>
          <w:lang w:val="es-ES"/>
        </w:rPr>
        <w:t>ejora en la seguridad vial, mejoras en la r</w:t>
      </w:r>
      <w:r w:rsidRPr="00AF654C">
        <w:rPr>
          <w:rFonts w:ascii="Arial" w:hAnsi="Arial" w:cs="Arial"/>
          <w:lang w:val="es-ES"/>
        </w:rPr>
        <w:t>ed vial y mejoras en el mantenimiento de aeropuertos</w:t>
      </w:r>
      <w:r w:rsidRPr="007471B8">
        <w:rPr>
          <w:rFonts w:ascii="Arial" w:hAnsi="Arial" w:cs="Arial"/>
          <w:lang w:val="es-ES"/>
        </w:rPr>
        <w:t>;</w:t>
      </w:r>
      <w:r w:rsidRPr="006715E2">
        <w:rPr>
          <w:rFonts w:ascii="Arial" w:hAnsi="Arial" w:cs="Arial"/>
          <w:lang w:val="es-ES"/>
        </w:rPr>
        <w:t xml:space="preserve"> se realizaron proyecciones para un horizonte de trabajo de 20 años donde se estimaron los costos de preparación, implementación y mantenimiento de las acciones necesarias para obtener los resultados esperados. Para la medida de mejora en la eficiencia del parque automotor, la estimación de los beneficios implica la valoración monetaria de elementos medioambientales como lo es la contaminación del aire, a fin de poder detectar el impacto económico y ambiental del cambio en la reglamentación para la importación de vehículos bajo las nuevas normas de emisión.</w:t>
      </w:r>
    </w:p>
    <w:p w14:paraId="7722C79F" w14:textId="77777777" w:rsidR="00F82E41" w:rsidRPr="006715E2" w:rsidRDefault="00F82E41" w:rsidP="00F82E41">
      <w:pPr>
        <w:pStyle w:val="Title"/>
        <w:tabs>
          <w:tab w:val="clear" w:pos="1440"/>
          <w:tab w:val="clear" w:pos="3060"/>
        </w:tabs>
        <w:spacing w:line="276" w:lineRule="auto"/>
        <w:jc w:val="both"/>
        <w:outlineLvl w:val="9"/>
        <w:rPr>
          <w:rFonts w:ascii="Arial" w:hAnsi="Arial" w:cs="Arial"/>
          <w:lang w:val="es-ES"/>
        </w:rPr>
      </w:pPr>
    </w:p>
    <w:p w14:paraId="0C51129B" w14:textId="4E36D9FC" w:rsidR="00F82E41" w:rsidRPr="006715E2" w:rsidRDefault="00F82E41" w:rsidP="00F64E64">
      <w:pPr>
        <w:pStyle w:val="Title"/>
        <w:tabs>
          <w:tab w:val="clear" w:pos="1440"/>
          <w:tab w:val="clear" w:pos="3060"/>
        </w:tabs>
        <w:spacing w:line="276" w:lineRule="auto"/>
        <w:jc w:val="both"/>
        <w:rPr>
          <w:rFonts w:ascii="Arial" w:hAnsi="Arial" w:cs="Arial"/>
          <w:lang w:val="es-ES"/>
        </w:rPr>
      </w:pPr>
      <w:r w:rsidRPr="006715E2">
        <w:rPr>
          <w:rFonts w:ascii="Arial" w:hAnsi="Arial" w:cs="Arial"/>
          <w:lang w:val="es-ES"/>
        </w:rPr>
        <w:lastRenderedPageBreak/>
        <w:t xml:space="preserve">Una vez cuantificados los costos y beneficios de las políticas evaluables del programa, los resultados arrojan </w:t>
      </w:r>
      <w:r w:rsidRPr="00AF654C">
        <w:rPr>
          <w:rFonts w:ascii="Arial" w:hAnsi="Arial" w:cs="Arial"/>
          <w:lang w:val="es-ES"/>
        </w:rPr>
        <w:t xml:space="preserve">los indicadores de rentabilidad </w:t>
      </w:r>
      <w:r w:rsidRPr="007471B8">
        <w:rPr>
          <w:rFonts w:ascii="Arial" w:hAnsi="Arial" w:cs="Arial"/>
          <w:lang w:val="es-ES"/>
        </w:rPr>
        <w:t>económica</w:t>
      </w:r>
      <w:r w:rsidRPr="006715E2">
        <w:rPr>
          <w:rFonts w:ascii="Arial" w:hAnsi="Arial" w:cs="Arial"/>
          <w:lang w:val="es-ES"/>
        </w:rPr>
        <w:t xml:space="preserve"> de este paquete de medidas. Como se observa en el Cuadro 1, el V</w:t>
      </w:r>
      <w:r w:rsidRPr="00AF654C">
        <w:rPr>
          <w:rFonts w:ascii="Arial" w:hAnsi="Arial" w:cs="Arial"/>
          <w:lang w:val="es-ES"/>
        </w:rPr>
        <w:t>A</w:t>
      </w:r>
      <w:r w:rsidRPr="006715E2">
        <w:rPr>
          <w:rFonts w:ascii="Arial" w:hAnsi="Arial" w:cs="Arial"/>
          <w:lang w:val="es-ES"/>
        </w:rPr>
        <w:t xml:space="preserve">N de todo el programa de reformas es </w:t>
      </w:r>
      <w:r w:rsidRPr="00AF654C">
        <w:rPr>
          <w:rFonts w:ascii="Arial" w:hAnsi="Arial" w:cs="Arial"/>
          <w:lang w:val="es-ES"/>
        </w:rPr>
        <w:t>US$</w:t>
      </w:r>
      <w:r w:rsidR="00EF72C5">
        <w:rPr>
          <w:rFonts w:ascii="Arial" w:hAnsi="Arial" w:cs="Arial"/>
          <w:lang w:val="es-ES"/>
        </w:rPr>
        <w:t xml:space="preserve">1.344,73 </w:t>
      </w:r>
      <w:r w:rsidRPr="006715E2">
        <w:rPr>
          <w:rFonts w:ascii="Arial" w:hAnsi="Arial" w:cs="Arial"/>
          <w:lang w:val="es-ES"/>
        </w:rPr>
        <w:t xml:space="preserve">millones de dólares, la relación Beneficio/Costo </w:t>
      </w:r>
      <w:r w:rsidRPr="00AF654C">
        <w:rPr>
          <w:rFonts w:ascii="Arial" w:hAnsi="Arial" w:cs="Arial"/>
          <w:lang w:val="es-ES"/>
        </w:rPr>
        <w:t xml:space="preserve">es </w:t>
      </w:r>
      <w:r w:rsidR="00EF72C5">
        <w:rPr>
          <w:rFonts w:ascii="Arial" w:hAnsi="Arial" w:cs="Arial"/>
          <w:lang w:val="es-ES"/>
        </w:rPr>
        <w:t>1,47</w:t>
      </w:r>
      <w:r w:rsidRPr="006715E2">
        <w:rPr>
          <w:rFonts w:ascii="Arial" w:hAnsi="Arial" w:cs="Arial"/>
          <w:lang w:val="es-ES"/>
        </w:rPr>
        <w:t xml:space="preserve"> </w:t>
      </w:r>
      <w:r w:rsidR="00EF72C5">
        <w:rPr>
          <w:rFonts w:ascii="Arial" w:hAnsi="Arial" w:cs="Arial"/>
          <w:lang w:val="es-ES"/>
        </w:rPr>
        <w:t>y la TIRE es 19.6</w:t>
      </w:r>
      <w:r w:rsidRPr="006715E2">
        <w:rPr>
          <w:rFonts w:ascii="Arial" w:hAnsi="Arial" w:cs="Arial"/>
          <w:lang w:val="es-ES"/>
        </w:rPr>
        <w:t xml:space="preserve">%. El análisis económico </w:t>
      </w:r>
      <w:r w:rsidRPr="00AF654C">
        <w:rPr>
          <w:rFonts w:ascii="Arial" w:hAnsi="Arial" w:cs="Arial"/>
          <w:lang w:val="es-ES"/>
        </w:rPr>
        <w:t xml:space="preserve">ex </w:t>
      </w:r>
      <w:r w:rsidRPr="006715E2">
        <w:rPr>
          <w:rFonts w:ascii="Arial" w:hAnsi="Arial" w:cs="Arial"/>
          <w:lang w:val="es-ES"/>
        </w:rPr>
        <w:t xml:space="preserve">ante permite concluir que los cambios regulatorios y de política producen efectos positivos para la economía en su conjunto y que el programa es rentable desde el punto de vista económico y social. </w:t>
      </w:r>
    </w:p>
    <w:p w14:paraId="662D492B" w14:textId="77777777" w:rsidR="006A3A11" w:rsidRDefault="006A3A11" w:rsidP="00F82E41">
      <w:pPr>
        <w:pStyle w:val="Caption"/>
        <w:keepNext/>
        <w:spacing w:after="0" w:line="276" w:lineRule="auto"/>
        <w:jc w:val="center"/>
        <w:rPr>
          <w:rFonts w:ascii="Arial" w:hAnsi="Arial" w:cs="Arial"/>
          <w:b/>
          <w:i w:val="0"/>
          <w:color w:val="000000"/>
          <w:lang w:val="es-ES"/>
        </w:rPr>
      </w:pPr>
    </w:p>
    <w:p w14:paraId="3F48F7D9" w14:textId="77777777" w:rsidR="00F82E41" w:rsidRPr="00F64E64" w:rsidRDefault="00F82E41" w:rsidP="00F64E64">
      <w:pPr>
        <w:pStyle w:val="Caption"/>
        <w:keepNext/>
        <w:spacing w:after="0" w:line="276" w:lineRule="auto"/>
        <w:jc w:val="center"/>
        <w:rPr>
          <w:rFonts w:ascii="Arial" w:hAnsi="Arial" w:cs="Arial"/>
          <w:b/>
          <w:bCs/>
          <w:i w:val="0"/>
          <w:iCs w:val="0"/>
          <w:color w:val="000000"/>
          <w:lang w:val="es-ES"/>
        </w:rPr>
      </w:pPr>
      <w:r w:rsidRPr="00F64E64">
        <w:rPr>
          <w:rFonts w:ascii="Arial" w:hAnsi="Arial" w:cs="Arial"/>
          <w:b/>
          <w:bCs/>
          <w:i w:val="0"/>
          <w:iCs w:val="0"/>
          <w:color w:val="000000"/>
          <w:lang w:val="es-ES"/>
        </w:rPr>
        <w:t xml:space="preserve">Tabla </w:t>
      </w:r>
      <w:r w:rsidRPr="00F64E64">
        <w:fldChar w:fldCharType="begin"/>
      </w:r>
      <w:r w:rsidRPr="006715E2">
        <w:rPr>
          <w:rFonts w:ascii="Arial" w:hAnsi="Arial" w:cs="Arial"/>
          <w:b/>
          <w:i w:val="0"/>
          <w:color w:val="000000"/>
          <w:lang w:val="es-ES"/>
        </w:rPr>
        <w:instrText xml:space="preserve"> SEQ Tabla \* ARABIC </w:instrText>
      </w:r>
      <w:r w:rsidRPr="2A9C513E">
        <w:rPr>
          <w:rFonts w:ascii="Arial" w:hAnsi="Arial" w:cs="Arial"/>
          <w:b/>
          <w:i w:val="0"/>
          <w:color w:val="000000"/>
          <w:lang w:val="es-ES"/>
        </w:rPr>
        <w:fldChar w:fldCharType="separate"/>
      </w:r>
      <w:r w:rsidR="000A6E76" w:rsidRPr="00F64E64">
        <w:rPr>
          <w:rFonts w:ascii="Arial" w:hAnsi="Arial" w:cs="Arial"/>
          <w:b/>
          <w:bCs/>
          <w:i w:val="0"/>
          <w:iCs w:val="0"/>
          <w:noProof/>
          <w:color w:val="000000"/>
          <w:lang w:val="es-ES"/>
        </w:rPr>
        <w:t>6</w:t>
      </w:r>
      <w:r w:rsidRPr="00F64E64">
        <w:fldChar w:fldCharType="end"/>
      </w:r>
      <w:r w:rsidRPr="00F64E64">
        <w:rPr>
          <w:rFonts w:ascii="Arial" w:hAnsi="Arial" w:cs="Arial"/>
          <w:b/>
          <w:bCs/>
          <w:i w:val="0"/>
          <w:iCs w:val="0"/>
          <w:color w:val="000000"/>
          <w:lang w:val="es-ES"/>
        </w:rPr>
        <w:t>. Indicadores de la Evaluación Económica</w:t>
      </w:r>
    </w:p>
    <w:tbl>
      <w:tblPr>
        <w:tblW w:w="19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2"/>
        <w:gridCol w:w="1481"/>
      </w:tblGrid>
      <w:tr w:rsidR="00EF72C5" w:rsidRPr="001E04B7" w14:paraId="182E8920" w14:textId="77777777" w:rsidTr="00F64E64">
        <w:trPr>
          <w:jc w:val="center"/>
        </w:trPr>
        <w:tc>
          <w:tcPr>
            <w:tcW w:w="2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591CF7" w14:textId="77777777" w:rsidR="00EF72C5" w:rsidRPr="00F64E64" w:rsidRDefault="00EF72C5" w:rsidP="00F64E64">
            <w:pPr>
              <w:spacing w:line="0" w:lineRule="atLeast"/>
              <w:rPr>
                <w:rFonts w:ascii="Arial" w:eastAsia="Times New Roman" w:hAnsi="Arial" w:cs="Arial"/>
                <w:b/>
                <w:bCs/>
                <w:sz w:val="18"/>
                <w:szCs w:val="18"/>
                <w:lang w:val="es-ES"/>
              </w:rPr>
            </w:pPr>
            <w:r w:rsidRPr="00F64E64">
              <w:rPr>
                <w:rFonts w:ascii="Arial" w:eastAsia="Times New Roman" w:hAnsi="Arial" w:cs="Arial"/>
                <w:b/>
                <w:bCs/>
                <w:sz w:val="18"/>
                <w:szCs w:val="18"/>
                <w:lang w:val="es-ES"/>
              </w:rPr>
              <w:t>Indicador</w:t>
            </w:r>
          </w:p>
        </w:tc>
        <w:tc>
          <w:tcPr>
            <w:tcW w:w="21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B92778" w14:textId="77777777" w:rsidR="00EF72C5" w:rsidRPr="00F64E64" w:rsidRDefault="00EF72C5" w:rsidP="00F64E64">
            <w:pPr>
              <w:spacing w:line="0" w:lineRule="atLeast"/>
              <w:jc w:val="center"/>
              <w:rPr>
                <w:rFonts w:ascii="Arial" w:eastAsia="Times New Roman" w:hAnsi="Arial" w:cs="Arial"/>
                <w:b/>
                <w:bCs/>
                <w:sz w:val="18"/>
                <w:szCs w:val="18"/>
                <w:lang w:val="es-ES"/>
              </w:rPr>
            </w:pPr>
            <w:r w:rsidRPr="00F64E64">
              <w:rPr>
                <w:rFonts w:ascii="Arial" w:eastAsia="Times New Roman" w:hAnsi="Arial" w:cs="Arial"/>
                <w:b/>
                <w:bCs/>
                <w:sz w:val="18"/>
                <w:szCs w:val="18"/>
                <w:lang w:val="es-ES"/>
              </w:rPr>
              <w:t>Caso base</w:t>
            </w:r>
          </w:p>
        </w:tc>
      </w:tr>
      <w:tr w:rsidR="00EF72C5" w:rsidRPr="006715E2" w14:paraId="3055872C" w14:textId="77777777" w:rsidTr="00F64E64">
        <w:trPr>
          <w:jc w:val="center"/>
        </w:trPr>
        <w:tc>
          <w:tcPr>
            <w:tcW w:w="28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4F50D7" w14:textId="77777777" w:rsidR="00EF72C5" w:rsidRPr="00F64E64" w:rsidRDefault="00EF72C5" w:rsidP="00F64E64">
            <w:pPr>
              <w:spacing w:line="0" w:lineRule="atLeast"/>
              <w:rPr>
                <w:rFonts w:ascii="Arial" w:eastAsia="Times New Roman" w:hAnsi="Arial" w:cs="Arial"/>
                <w:sz w:val="18"/>
                <w:szCs w:val="18"/>
                <w:lang w:val="es-ES"/>
              </w:rPr>
            </w:pPr>
            <w:r w:rsidRPr="00F64E64">
              <w:rPr>
                <w:rFonts w:ascii="Arial" w:eastAsia="Times New Roman" w:hAnsi="Arial" w:cs="Arial"/>
                <w:sz w:val="18"/>
                <w:szCs w:val="18"/>
                <w:lang w:val="es-ES"/>
              </w:rPr>
              <w:t>VAN (US$ millones)</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DD1522" w14:textId="4443A4A1" w:rsidR="00EF72C5" w:rsidRPr="00F64E64" w:rsidRDefault="00EF72C5" w:rsidP="00F64E64">
            <w:pPr>
              <w:spacing w:line="0" w:lineRule="atLeast"/>
              <w:jc w:val="center"/>
              <w:rPr>
                <w:rFonts w:ascii="Arial" w:eastAsia="Times New Roman" w:hAnsi="Arial" w:cs="Arial"/>
                <w:sz w:val="18"/>
                <w:szCs w:val="18"/>
                <w:lang w:val="es-ES"/>
              </w:rPr>
            </w:pPr>
            <w:r w:rsidRPr="00F64E64">
              <w:rPr>
                <w:rFonts w:ascii="Arial" w:hAnsi="Arial" w:cs="Arial"/>
                <w:sz w:val="18"/>
                <w:szCs w:val="18"/>
                <w:lang w:val="es-ES"/>
              </w:rPr>
              <w:t>1.344,73</w:t>
            </w:r>
          </w:p>
        </w:tc>
      </w:tr>
      <w:tr w:rsidR="00EF72C5" w:rsidRPr="006715E2" w14:paraId="55F2790B" w14:textId="77777777" w:rsidTr="00F64E64">
        <w:trPr>
          <w:jc w:val="center"/>
        </w:trPr>
        <w:tc>
          <w:tcPr>
            <w:tcW w:w="28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2F690A" w14:textId="77777777" w:rsidR="00EF72C5" w:rsidRPr="00F64E64" w:rsidRDefault="00EF72C5" w:rsidP="00F64E64">
            <w:pPr>
              <w:spacing w:line="0" w:lineRule="atLeast"/>
              <w:rPr>
                <w:rFonts w:ascii="Arial" w:eastAsia="Times New Roman" w:hAnsi="Arial" w:cs="Arial"/>
                <w:sz w:val="18"/>
                <w:szCs w:val="18"/>
                <w:lang w:val="es-ES"/>
              </w:rPr>
            </w:pPr>
            <w:r w:rsidRPr="00F64E64">
              <w:rPr>
                <w:rFonts w:ascii="Arial" w:eastAsia="Times New Roman" w:hAnsi="Arial" w:cs="Arial"/>
                <w:sz w:val="18"/>
                <w:szCs w:val="18"/>
                <w:lang w:val="es-ES"/>
              </w:rPr>
              <w:t>B/C</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D9E78" w14:textId="3D218FB9" w:rsidR="00EF72C5" w:rsidRPr="00F64E64" w:rsidRDefault="00EF72C5" w:rsidP="00F64E64">
            <w:pPr>
              <w:spacing w:line="0" w:lineRule="atLeast"/>
              <w:jc w:val="center"/>
              <w:rPr>
                <w:rFonts w:ascii="Arial" w:eastAsia="Times New Roman" w:hAnsi="Arial" w:cs="Arial"/>
                <w:sz w:val="18"/>
                <w:szCs w:val="18"/>
                <w:lang w:val="es-ES"/>
              </w:rPr>
            </w:pPr>
            <w:r w:rsidRPr="00F64E64">
              <w:rPr>
                <w:rFonts w:ascii="Arial" w:hAnsi="Arial" w:cs="Arial"/>
                <w:sz w:val="18"/>
                <w:szCs w:val="18"/>
                <w:lang w:val="es-ES"/>
              </w:rPr>
              <w:t>1.47</w:t>
            </w:r>
          </w:p>
        </w:tc>
      </w:tr>
      <w:tr w:rsidR="00EF72C5" w:rsidRPr="00EF72C5" w14:paraId="79067B16" w14:textId="77777777" w:rsidTr="00F64E64">
        <w:trPr>
          <w:jc w:val="center"/>
        </w:trPr>
        <w:tc>
          <w:tcPr>
            <w:tcW w:w="28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1A8013" w14:textId="77777777" w:rsidR="00EF72C5" w:rsidRPr="00F64E64" w:rsidRDefault="00EF72C5" w:rsidP="00F64E64">
            <w:pPr>
              <w:spacing w:line="0" w:lineRule="atLeast"/>
              <w:rPr>
                <w:rFonts w:ascii="Arial" w:eastAsia="Times New Roman" w:hAnsi="Arial" w:cs="Arial"/>
                <w:sz w:val="18"/>
                <w:szCs w:val="18"/>
                <w:lang w:val="es-ES"/>
              </w:rPr>
            </w:pPr>
            <w:r w:rsidRPr="00F64E64">
              <w:rPr>
                <w:rFonts w:ascii="Arial" w:eastAsia="Times New Roman" w:hAnsi="Arial" w:cs="Arial"/>
                <w:sz w:val="18"/>
                <w:szCs w:val="18"/>
                <w:lang w:val="es-ES"/>
              </w:rPr>
              <w:t>TIRE (%)</w:t>
            </w:r>
          </w:p>
        </w:tc>
        <w:tc>
          <w:tcPr>
            <w:tcW w:w="21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03403" w14:textId="611C1DC9" w:rsidR="00EF72C5" w:rsidRPr="00F64E64" w:rsidRDefault="00EF72C5" w:rsidP="00F64E64">
            <w:pPr>
              <w:spacing w:line="0" w:lineRule="atLeast"/>
              <w:jc w:val="center"/>
              <w:rPr>
                <w:rFonts w:ascii="Arial" w:eastAsia="Times New Roman" w:hAnsi="Arial" w:cs="Arial"/>
                <w:sz w:val="18"/>
                <w:szCs w:val="18"/>
                <w:lang w:val="es-ES"/>
              </w:rPr>
            </w:pPr>
            <w:r w:rsidRPr="00F64E64">
              <w:rPr>
                <w:rFonts w:ascii="Arial" w:hAnsi="Arial" w:cs="Arial"/>
                <w:sz w:val="18"/>
                <w:szCs w:val="18"/>
                <w:lang w:val="es-ES"/>
              </w:rPr>
              <w:t xml:space="preserve">19.6 </w:t>
            </w:r>
          </w:p>
        </w:tc>
      </w:tr>
    </w:tbl>
    <w:p w14:paraId="08ACE851" w14:textId="77777777" w:rsidR="00F82E41" w:rsidRPr="006715E2" w:rsidRDefault="00F82E41" w:rsidP="00F82E41">
      <w:pPr>
        <w:pStyle w:val="Title"/>
        <w:tabs>
          <w:tab w:val="clear" w:pos="1440"/>
          <w:tab w:val="clear" w:pos="3060"/>
        </w:tabs>
        <w:spacing w:line="276" w:lineRule="auto"/>
        <w:jc w:val="both"/>
        <w:outlineLvl w:val="9"/>
        <w:rPr>
          <w:rFonts w:ascii="Arial" w:hAnsi="Arial" w:cs="Arial"/>
          <w:lang w:val="es-ES"/>
        </w:rPr>
      </w:pPr>
    </w:p>
    <w:p w14:paraId="46B0CD2F" w14:textId="42A8669F" w:rsidR="00375649" w:rsidRPr="00F64E64" w:rsidRDefault="00EF72C5" w:rsidP="00F64E64">
      <w:pPr>
        <w:pStyle w:val="Title"/>
        <w:tabs>
          <w:tab w:val="clear" w:pos="1440"/>
          <w:tab w:val="clear" w:pos="3060"/>
        </w:tabs>
        <w:spacing w:line="276" w:lineRule="auto"/>
        <w:jc w:val="both"/>
        <w:rPr>
          <w:rFonts w:ascii="Arial" w:hAnsi="Arial" w:cs="Arial"/>
          <w:lang w:val="es-ES"/>
        </w:rPr>
      </w:pPr>
      <w:r w:rsidRPr="00F64E64">
        <w:rPr>
          <w:rFonts w:ascii="Arial" w:hAnsi="Arial" w:cs="Arial"/>
          <w:lang w:val="es-ES"/>
        </w:rPr>
        <w:t>Para determinar la robustez de los resultados anteriores se ha realizado un análisis de la influencia de cada una de las principales variables del modelo,  así como en conjunto, sobre el resultado final (TIR y VAN); mediante simulaciones de Monte Carlo para las siguientes variables</w:t>
      </w:r>
      <w:r w:rsidR="00764E3C" w:rsidRPr="00F64E64">
        <w:rPr>
          <w:rFonts w:ascii="Arial" w:hAnsi="Arial" w:cs="Arial"/>
          <w:lang w:val="es-ES"/>
        </w:rPr>
        <w:t xml:space="preserve"> </w:t>
      </w:r>
      <w:r w:rsidR="00764E3C">
        <w:rPr>
          <w:rFonts w:ascii="Arial" w:hAnsi="Arial" w:cs="Arial"/>
          <w:lang w:val="es-ES"/>
        </w:rPr>
        <w:t>(</w:t>
      </w:r>
      <w:hyperlink r:id="rId20" w:history="1">
        <w:r w:rsidR="00764E3C" w:rsidRPr="00F64E64">
          <w:rPr>
            <w:rStyle w:val="Hyperlink"/>
            <w:rFonts w:ascii="Arial" w:hAnsi="Arial" w:cs="Arial"/>
            <w:sz w:val="22"/>
            <w:szCs w:val="22"/>
            <w:lang w:val="es-ES"/>
          </w:rPr>
          <w:t>EEO#1</w:t>
        </w:r>
      </w:hyperlink>
      <w:r w:rsidR="00764E3C">
        <w:rPr>
          <w:rFonts w:ascii="Arial" w:hAnsi="Arial" w:cs="Arial"/>
          <w:lang w:val="es-ES"/>
        </w:rPr>
        <w:t>)</w:t>
      </w:r>
      <w:r w:rsidRPr="00F64E64">
        <w:rPr>
          <w:rFonts w:ascii="Arial" w:hAnsi="Arial" w:cs="Arial"/>
          <w:lang w:val="es-ES"/>
        </w:rPr>
        <w:t>: (i) kilómetros recorridos de los vehículos; (ii) costo de bonos de CO2; (iii) costo de contaminantes; (iv) tasa de costos de heridos y muertes; (v) precio inicial de vehículos de pasajeros y cargas; (vi) tasa de variación entre la tecnología del material rodante; (vii) costo de mantenimiento vial sin proyecto; (viii) costo por puntos negros; (ix) cantidad de puntos negros a afectar; (x) valor del tiempo; (xi) tasa de ajuste del valor del tiempo; (xii) cambio en velocidad comercial; (xiii) costo unitario de balanzas; (xiv) cantidad de balanzas; (xv) costos operativos; (xvi) proyección de Producto Interno Bruto; y (xvii) diferencias de velocidad según tipología de vialidad. El análisis de sensibilidad muestra una TIR promedio de 19,1% y un VAN de U$D 1.100,6 millones</w:t>
      </w:r>
      <w:r w:rsidR="00293010" w:rsidRPr="00F64E64">
        <w:rPr>
          <w:rFonts w:ascii="Arial" w:hAnsi="Arial" w:cs="Arial"/>
          <w:lang w:val="es-ES"/>
        </w:rPr>
        <w:t xml:space="preserve">; siendo las </w:t>
      </w:r>
      <w:r w:rsidR="00375649" w:rsidRPr="00F64E64">
        <w:rPr>
          <w:rFonts w:ascii="Arial" w:hAnsi="Arial" w:cs="Arial"/>
          <w:lang w:val="es-ES"/>
        </w:rPr>
        <w:t xml:space="preserve">variables que más aporte generan a la variabilidad del VAN y a la TIR son: (i) la distancia que existen entre las diferentes tecnologías de material rodante; (ii) la cantidad de kilómetros que recorren en promedio los vehículos; (iii) la tasa utilizada para calcular el valor de heridos y fallecidos; (iv) el precio inicial de costo de los vehículos para calcular las proyecciones de costos de la política de importación bajo normas EURO IV; (v) los costos de mantenimiento vial en situación sin proyecto; y (vi) el costo de las intervenciones en puntos negros (tanto por la cantidad de puntos como por el precio unitario de cada intervención). </w:t>
      </w:r>
    </w:p>
    <w:p w14:paraId="574EFA3E" w14:textId="77777777" w:rsidR="00375649" w:rsidRPr="009366BD" w:rsidRDefault="00375649" w:rsidP="00646F1C">
      <w:pPr>
        <w:pStyle w:val="Title"/>
        <w:tabs>
          <w:tab w:val="clear" w:pos="1440"/>
          <w:tab w:val="clear" w:pos="3060"/>
        </w:tabs>
        <w:spacing w:line="276" w:lineRule="auto"/>
        <w:jc w:val="both"/>
        <w:outlineLvl w:val="9"/>
        <w:rPr>
          <w:rFonts w:ascii="Arial" w:hAnsi="Arial" w:cs="Arial"/>
          <w:lang w:val="es-ES_tradnl"/>
        </w:rPr>
      </w:pPr>
    </w:p>
    <w:p w14:paraId="1BAE4B15" w14:textId="22C1EFAE" w:rsidR="007A2F3E" w:rsidRPr="00F64E64" w:rsidRDefault="00B04E9F" w:rsidP="00F64E64">
      <w:pPr>
        <w:pStyle w:val="ColorfulList-Accent11"/>
        <w:numPr>
          <w:ilvl w:val="1"/>
          <w:numId w:val="13"/>
        </w:numPr>
        <w:spacing w:after="0"/>
        <w:ind w:left="360"/>
        <w:jc w:val="both"/>
        <w:outlineLvl w:val="1"/>
        <w:rPr>
          <w:rFonts w:ascii="Arial" w:hAnsi="Arial" w:cs="Arial"/>
          <w:b/>
          <w:bCs/>
          <w:lang w:val="es-ES"/>
        </w:rPr>
      </w:pPr>
      <w:bookmarkStart w:id="16" w:name="_Toc468893964"/>
      <w:bookmarkStart w:id="17" w:name="_Toc468954068"/>
      <w:bookmarkStart w:id="18" w:name="_Toc468893965"/>
      <w:bookmarkStart w:id="19" w:name="_Toc468954069"/>
      <w:bookmarkStart w:id="20" w:name="_Toc468893966"/>
      <w:bookmarkStart w:id="21" w:name="_Toc468954070"/>
      <w:bookmarkStart w:id="22" w:name="_Toc468893967"/>
      <w:bookmarkStart w:id="23" w:name="_Toc468954071"/>
      <w:bookmarkStart w:id="24" w:name="_Toc468893968"/>
      <w:bookmarkStart w:id="25" w:name="_Toc468954072"/>
      <w:bookmarkStart w:id="26" w:name="_Toc468893969"/>
      <w:bookmarkStart w:id="27" w:name="_Toc468954073"/>
      <w:bookmarkStart w:id="28" w:name="_Toc468893970"/>
      <w:bookmarkStart w:id="29" w:name="_Toc468954074"/>
      <w:bookmarkStart w:id="30" w:name="_Toc468893995"/>
      <w:bookmarkStart w:id="31" w:name="_Toc468954099"/>
      <w:bookmarkStart w:id="32" w:name="_Toc46895410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F64E64">
        <w:rPr>
          <w:rFonts w:ascii="Arial" w:hAnsi="Arial" w:cs="Arial"/>
          <w:b/>
          <w:bCs/>
          <w:lang w:val="es-ES"/>
        </w:rPr>
        <w:t>Metodología de E</w:t>
      </w:r>
      <w:r w:rsidR="007A2F3E" w:rsidRPr="00F64E64">
        <w:rPr>
          <w:rFonts w:ascii="Arial" w:hAnsi="Arial" w:cs="Arial"/>
          <w:b/>
          <w:bCs/>
          <w:lang w:val="es-ES"/>
        </w:rPr>
        <w:t>valuación</w:t>
      </w:r>
      <w:bookmarkEnd w:id="32"/>
    </w:p>
    <w:p w14:paraId="7B598BDE" w14:textId="77777777" w:rsidR="00B04E9F" w:rsidRPr="00E77C9C" w:rsidRDefault="00B04E9F" w:rsidP="00E77C9C"/>
    <w:p w14:paraId="3818F0CC" w14:textId="77777777" w:rsidR="00F82E41" w:rsidRDefault="00F82E41" w:rsidP="00F64E64">
      <w:pPr>
        <w:pStyle w:val="Title"/>
        <w:tabs>
          <w:tab w:val="clear" w:pos="1440"/>
          <w:tab w:val="clear" w:pos="3060"/>
        </w:tabs>
        <w:spacing w:line="276" w:lineRule="auto"/>
        <w:jc w:val="both"/>
        <w:rPr>
          <w:rFonts w:ascii="Arial" w:hAnsi="Arial" w:cs="Arial"/>
          <w:lang w:val="es-ES"/>
        </w:rPr>
      </w:pPr>
      <w:r w:rsidRPr="006715E2">
        <w:rPr>
          <w:rFonts w:ascii="Arial" w:hAnsi="Arial" w:cs="Arial"/>
          <w:lang w:val="es-ES"/>
        </w:rPr>
        <w:t xml:space="preserve">La metodología </w:t>
      </w:r>
      <w:r w:rsidRPr="00AF654C">
        <w:rPr>
          <w:rFonts w:ascii="Arial" w:hAnsi="Arial" w:cs="Arial"/>
          <w:lang w:val="es-ES"/>
        </w:rPr>
        <w:t xml:space="preserve">de evaluación </w:t>
      </w:r>
      <w:r w:rsidRPr="006715E2">
        <w:rPr>
          <w:rFonts w:ascii="Arial" w:hAnsi="Arial" w:cs="Arial"/>
          <w:lang w:val="es-ES"/>
        </w:rPr>
        <w:t xml:space="preserve">se basará </w:t>
      </w:r>
      <w:r>
        <w:rPr>
          <w:rFonts w:ascii="Arial" w:hAnsi="Arial" w:cs="Arial"/>
          <w:lang w:val="es-ES"/>
        </w:rPr>
        <w:t xml:space="preserve">por un lado, </w:t>
      </w:r>
      <w:r w:rsidRPr="006715E2">
        <w:rPr>
          <w:rFonts w:ascii="Arial" w:hAnsi="Arial" w:cs="Arial"/>
          <w:lang w:val="es-ES"/>
        </w:rPr>
        <w:t xml:space="preserve">en un análisis reflexivo </w:t>
      </w:r>
      <w:r w:rsidRPr="00AF654C">
        <w:rPr>
          <w:rFonts w:ascii="Arial" w:hAnsi="Arial" w:cs="Arial"/>
          <w:lang w:val="es-ES"/>
        </w:rPr>
        <w:t xml:space="preserve">de </w:t>
      </w:r>
      <w:r w:rsidRPr="006715E2">
        <w:rPr>
          <w:rFonts w:ascii="Arial" w:hAnsi="Arial" w:cs="Arial"/>
          <w:lang w:val="es-ES"/>
        </w:rPr>
        <w:t xml:space="preserve">los </w:t>
      </w:r>
      <w:r w:rsidRPr="00AF654C">
        <w:rPr>
          <w:rFonts w:ascii="Arial" w:hAnsi="Arial" w:cs="Arial"/>
          <w:lang w:val="es-ES"/>
        </w:rPr>
        <w:t>indicadores</w:t>
      </w:r>
      <w:r w:rsidRPr="006715E2">
        <w:rPr>
          <w:rFonts w:ascii="Arial" w:hAnsi="Arial" w:cs="Arial"/>
          <w:lang w:val="es-ES"/>
        </w:rPr>
        <w:t xml:space="preserve"> de </w:t>
      </w:r>
      <w:r w:rsidRPr="00AF654C">
        <w:rPr>
          <w:rFonts w:ascii="Arial" w:hAnsi="Arial" w:cs="Arial"/>
          <w:lang w:val="es-ES"/>
        </w:rPr>
        <w:t>la Matriz de Resu</w:t>
      </w:r>
      <w:r w:rsidRPr="007471B8">
        <w:rPr>
          <w:rFonts w:ascii="Arial" w:hAnsi="Arial" w:cs="Arial"/>
          <w:lang w:val="es-ES"/>
        </w:rPr>
        <w:t xml:space="preserve">ltados, que comparará </w:t>
      </w:r>
      <w:r w:rsidRPr="006715E2">
        <w:rPr>
          <w:rFonts w:ascii="Arial" w:hAnsi="Arial" w:cs="Arial"/>
          <w:lang w:val="es-ES"/>
        </w:rPr>
        <w:t xml:space="preserve">la línea base </w:t>
      </w:r>
      <w:r w:rsidRPr="004E5F2F">
        <w:rPr>
          <w:rFonts w:ascii="Arial" w:hAnsi="Arial" w:cs="Arial"/>
          <w:lang w:val="es-ES"/>
        </w:rPr>
        <w:t>antes de la intervención</w:t>
      </w:r>
      <w:r w:rsidRPr="00AF654C">
        <w:rPr>
          <w:rFonts w:ascii="Arial" w:hAnsi="Arial" w:cs="Arial"/>
          <w:lang w:val="es-ES"/>
        </w:rPr>
        <w:t xml:space="preserve"> </w:t>
      </w:r>
      <w:r w:rsidRPr="006715E2">
        <w:rPr>
          <w:rFonts w:ascii="Arial" w:hAnsi="Arial" w:cs="Arial"/>
          <w:lang w:val="es-ES"/>
        </w:rPr>
        <w:t>con l</w:t>
      </w:r>
      <w:r w:rsidRPr="00AF654C">
        <w:rPr>
          <w:rFonts w:ascii="Arial" w:hAnsi="Arial" w:cs="Arial"/>
          <w:lang w:val="es-ES"/>
        </w:rPr>
        <w:t>a</w:t>
      </w:r>
      <w:r w:rsidRPr="006715E2">
        <w:rPr>
          <w:rFonts w:ascii="Arial" w:hAnsi="Arial" w:cs="Arial"/>
          <w:lang w:val="es-ES"/>
        </w:rPr>
        <w:t xml:space="preserve">s </w:t>
      </w:r>
      <w:r w:rsidRPr="00AF654C">
        <w:rPr>
          <w:rFonts w:ascii="Arial" w:hAnsi="Arial" w:cs="Arial"/>
          <w:lang w:val="es-ES"/>
        </w:rPr>
        <w:t>metas alcanzadas al finalizar el Programa</w:t>
      </w:r>
      <w:r>
        <w:rPr>
          <w:rFonts w:ascii="Arial" w:hAnsi="Arial" w:cs="Arial"/>
          <w:lang w:val="es-ES"/>
        </w:rPr>
        <w:t xml:space="preserve">, permitiendo </w:t>
      </w:r>
      <w:r w:rsidRPr="006715E2">
        <w:rPr>
          <w:rFonts w:ascii="Arial" w:hAnsi="Arial" w:cs="Arial"/>
          <w:lang w:val="es-ES"/>
        </w:rPr>
        <w:t xml:space="preserve">verificación del grado de logro de </w:t>
      </w:r>
      <w:r>
        <w:rPr>
          <w:rFonts w:ascii="Arial" w:hAnsi="Arial" w:cs="Arial"/>
          <w:lang w:val="es-ES"/>
        </w:rPr>
        <w:t xml:space="preserve"> los </w:t>
      </w:r>
      <w:r w:rsidRPr="006715E2">
        <w:rPr>
          <w:rFonts w:ascii="Arial" w:hAnsi="Arial" w:cs="Arial"/>
          <w:lang w:val="es-ES"/>
        </w:rPr>
        <w:t>objetivos y metas formulados en el programa.</w:t>
      </w:r>
    </w:p>
    <w:p w14:paraId="2FDAA072" w14:textId="77777777" w:rsidR="00F82E41" w:rsidRDefault="00F82E41" w:rsidP="00F82E41">
      <w:pPr>
        <w:pStyle w:val="Title"/>
        <w:tabs>
          <w:tab w:val="clear" w:pos="1440"/>
          <w:tab w:val="clear" w:pos="3060"/>
        </w:tabs>
        <w:spacing w:line="276" w:lineRule="auto"/>
        <w:jc w:val="both"/>
        <w:outlineLvl w:val="9"/>
        <w:rPr>
          <w:rFonts w:ascii="Arial" w:hAnsi="Arial" w:cs="Arial"/>
          <w:lang w:val="es-ES"/>
        </w:rPr>
      </w:pPr>
    </w:p>
    <w:p w14:paraId="5175CC4F" w14:textId="77777777" w:rsidR="00764E3C" w:rsidRDefault="00764E3C" w:rsidP="00F82E41">
      <w:pPr>
        <w:pStyle w:val="Title"/>
        <w:tabs>
          <w:tab w:val="clear" w:pos="1440"/>
          <w:tab w:val="clear" w:pos="3060"/>
        </w:tabs>
        <w:spacing w:line="276" w:lineRule="auto"/>
        <w:jc w:val="both"/>
        <w:outlineLvl w:val="9"/>
        <w:rPr>
          <w:rFonts w:ascii="Arial" w:hAnsi="Arial" w:cs="Arial"/>
          <w:lang w:val="es-ES"/>
        </w:rPr>
      </w:pPr>
    </w:p>
    <w:p w14:paraId="2F2BD7C7" w14:textId="77777777" w:rsidR="00764E3C" w:rsidRDefault="00764E3C" w:rsidP="00F82E41">
      <w:pPr>
        <w:pStyle w:val="Title"/>
        <w:tabs>
          <w:tab w:val="clear" w:pos="1440"/>
          <w:tab w:val="clear" w:pos="3060"/>
        </w:tabs>
        <w:spacing w:line="276" w:lineRule="auto"/>
        <w:jc w:val="both"/>
        <w:outlineLvl w:val="9"/>
        <w:rPr>
          <w:rFonts w:ascii="Arial" w:hAnsi="Arial" w:cs="Arial"/>
          <w:lang w:val="es-ES"/>
        </w:rPr>
      </w:pPr>
    </w:p>
    <w:p w14:paraId="4001C868" w14:textId="77777777" w:rsidR="00764E3C" w:rsidRDefault="00764E3C" w:rsidP="00F82E41">
      <w:pPr>
        <w:pStyle w:val="Title"/>
        <w:tabs>
          <w:tab w:val="clear" w:pos="1440"/>
          <w:tab w:val="clear" w:pos="3060"/>
        </w:tabs>
        <w:spacing w:line="276" w:lineRule="auto"/>
        <w:jc w:val="both"/>
        <w:outlineLvl w:val="9"/>
        <w:rPr>
          <w:rFonts w:ascii="Arial" w:hAnsi="Arial" w:cs="Arial"/>
          <w:lang w:val="es-ES"/>
        </w:rPr>
      </w:pPr>
    </w:p>
    <w:p w14:paraId="714A0330" w14:textId="77777777" w:rsidR="00F82E41" w:rsidRPr="00F64E64" w:rsidRDefault="00F82E41" w:rsidP="00F64E64">
      <w:pPr>
        <w:pStyle w:val="Caption"/>
        <w:keepNext/>
        <w:spacing w:after="0" w:line="276" w:lineRule="auto"/>
        <w:jc w:val="center"/>
        <w:rPr>
          <w:rFonts w:ascii="Arial" w:hAnsi="Arial" w:cs="Arial"/>
          <w:b/>
          <w:bCs/>
          <w:i w:val="0"/>
          <w:iCs w:val="0"/>
          <w:color w:val="000000"/>
          <w:lang w:val="es-ES"/>
        </w:rPr>
      </w:pPr>
      <w:r w:rsidRPr="00F64E64">
        <w:rPr>
          <w:rFonts w:ascii="Arial" w:hAnsi="Arial" w:cs="Arial"/>
          <w:b/>
          <w:bCs/>
          <w:i w:val="0"/>
          <w:iCs w:val="0"/>
          <w:color w:val="000000"/>
          <w:lang w:val="es-ES"/>
        </w:rPr>
        <w:t xml:space="preserve">Tabla </w:t>
      </w:r>
      <w:r w:rsidRPr="00F64E64">
        <w:fldChar w:fldCharType="begin"/>
      </w:r>
      <w:r w:rsidRPr="006715E2">
        <w:rPr>
          <w:rFonts w:ascii="Arial" w:hAnsi="Arial" w:cs="Arial"/>
          <w:b/>
          <w:i w:val="0"/>
          <w:color w:val="000000"/>
          <w:lang w:val="es-ES"/>
        </w:rPr>
        <w:instrText xml:space="preserve"> SEQ Tabla \* ARABIC </w:instrText>
      </w:r>
      <w:r w:rsidRPr="2A9C513E">
        <w:rPr>
          <w:rFonts w:ascii="Arial" w:hAnsi="Arial" w:cs="Arial"/>
          <w:b/>
          <w:i w:val="0"/>
          <w:color w:val="000000"/>
          <w:lang w:val="es-ES"/>
        </w:rPr>
        <w:fldChar w:fldCharType="separate"/>
      </w:r>
      <w:r w:rsidR="000A6E76" w:rsidRPr="00F64E64">
        <w:rPr>
          <w:rFonts w:ascii="Arial" w:hAnsi="Arial" w:cs="Arial"/>
          <w:b/>
          <w:bCs/>
          <w:i w:val="0"/>
          <w:iCs w:val="0"/>
          <w:noProof/>
          <w:color w:val="000000"/>
          <w:lang w:val="es-ES"/>
        </w:rPr>
        <w:t>7</w:t>
      </w:r>
      <w:r w:rsidRPr="00F64E64">
        <w:fldChar w:fldCharType="end"/>
      </w:r>
      <w:r w:rsidRPr="00F64E64">
        <w:rPr>
          <w:rFonts w:ascii="Arial" w:hAnsi="Arial" w:cs="Arial"/>
          <w:b/>
          <w:bCs/>
          <w:i w:val="0"/>
          <w:iCs w:val="0"/>
          <w:color w:val="000000"/>
          <w:lang w:val="es-ES"/>
        </w:rPr>
        <w:t>. Indicadores para la Evaluación Reflexiva</w:t>
      </w:r>
    </w:p>
    <w:tbl>
      <w:tblPr>
        <w:tblStyle w:val="TableGrid"/>
        <w:tblW w:w="0" w:type="auto"/>
        <w:jc w:val="center"/>
        <w:tblLook w:val="04A0" w:firstRow="1" w:lastRow="0" w:firstColumn="1" w:lastColumn="0" w:noHBand="0" w:noVBand="1"/>
      </w:tblPr>
      <w:tblGrid>
        <w:gridCol w:w="3287"/>
        <w:gridCol w:w="1552"/>
        <w:gridCol w:w="1531"/>
        <w:gridCol w:w="2793"/>
      </w:tblGrid>
      <w:tr w:rsidR="00F82E41" w:rsidRPr="006715E2" w14:paraId="7C4A0C85" w14:textId="77777777" w:rsidTr="00F64E64">
        <w:trPr>
          <w:tblHeader/>
          <w:jc w:val="center"/>
        </w:trPr>
        <w:tc>
          <w:tcPr>
            <w:tcW w:w="0" w:type="auto"/>
            <w:shd w:val="clear" w:color="auto" w:fill="A6A6A6" w:themeFill="background1" w:themeFillShade="A6"/>
            <w:vAlign w:val="center"/>
          </w:tcPr>
          <w:p w14:paraId="3F69371B" w14:textId="77777777" w:rsidR="00F82E41" w:rsidRPr="00F64E64" w:rsidRDefault="00F82E41">
            <w:pPr>
              <w:pStyle w:val="Default"/>
              <w:contextualSpacing/>
              <w:jc w:val="center"/>
              <w:rPr>
                <w:b/>
                <w:bCs/>
                <w:sz w:val="18"/>
                <w:szCs w:val="18"/>
                <w:lang w:val="es-ES"/>
              </w:rPr>
            </w:pPr>
            <w:r w:rsidRPr="00F64E64">
              <w:rPr>
                <w:b/>
                <w:bCs/>
                <w:sz w:val="18"/>
                <w:szCs w:val="18"/>
                <w:lang w:val="es-ES"/>
              </w:rPr>
              <w:t>Indicador</w:t>
            </w:r>
          </w:p>
        </w:tc>
        <w:tc>
          <w:tcPr>
            <w:tcW w:w="0" w:type="auto"/>
            <w:shd w:val="clear" w:color="auto" w:fill="A6A6A6" w:themeFill="background1" w:themeFillShade="A6"/>
            <w:vAlign w:val="center"/>
          </w:tcPr>
          <w:p w14:paraId="4273EB96" w14:textId="77777777" w:rsidR="00F82E41" w:rsidRPr="00F64E64" w:rsidRDefault="00F82E41">
            <w:pPr>
              <w:pStyle w:val="Default"/>
              <w:contextualSpacing/>
              <w:jc w:val="center"/>
              <w:rPr>
                <w:b/>
                <w:bCs/>
                <w:sz w:val="18"/>
                <w:szCs w:val="18"/>
                <w:lang w:val="es-ES"/>
              </w:rPr>
            </w:pPr>
            <w:r w:rsidRPr="00F64E64">
              <w:rPr>
                <w:b/>
                <w:bCs/>
                <w:sz w:val="18"/>
                <w:szCs w:val="18"/>
                <w:lang w:val="es-ES"/>
              </w:rPr>
              <w:t>2017</w:t>
            </w:r>
          </w:p>
        </w:tc>
        <w:tc>
          <w:tcPr>
            <w:tcW w:w="0" w:type="auto"/>
            <w:shd w:val="clear" w:color="auto" w:fill="A6A6A6" w:themeFill="background1" w:themeFillShade="A6"/>
            <w:vAlign w:val="center"/>
          </w:tcPr>
          <w:p w14:paraId="7421BF18" w14:textId="77777777" w:rsidR="00F82E41" w:rsidRPr="00F64E64" w:rsidRDefault="00F82E41">
            <w:pPr>
              <w:pStyle w:val="Default"/>
              <w:contextualSpacing/>
              <w:jc w:val="center"/>
              <w:rPr>
                <w:b/>
                <w:bCs/>
                <w:sz w:val="18"/>
                <w:szCs w:val="18"/>
                <w:lang w:val="es-ES"/>
              </w:rPr>
            </w:pPr>
            <w:r w:rsidRPr="00F64E64">
              <w:rPr>
                <w:b/>
                <w:bCs/>
                <w:sz w:val="18"/>
                <w:szCs w:val="18"/>
                <w:lang w:val="es-ES"/>
              </w:rPr>
              <w:t>2020</w:t>
            </w:r>
          </w:p>
        </w:tc>
        <w:tc>
          <w:tcPr>
            <w:tcW w:w="0" w:type="auto"/>
            <w:shd w:val="clear" w:color="auto" w:fill="A6A6A6" w:themeFill="background1" w:themeFillShade="A6"/>
            <w:vAlign w:val="center"/>
          </w:tcPr>
          <w:p w14:paraId="4DACE13F" w14:textId="77777777" w:rsidR="00F82E41" w:rsidRPr="00F64E64" w:rsidRDefault="00F82E41">
            <w:pPr>
              <w:pStyle w:val="Default"/>
              <w:contextualSpacing/>
              <w:jc w:val="center"/>
              <w:rPr>
                <w:b/>
                <w:bCs/>
                <w:sz w:val="18"/>
                <w:szCs w:val="18"/>
                <w:lang w:val="es-ES"/>
              </w:rPr>
            </w:pPr>
            <w:r w:rsidRPr="00F64E64">
              <w:rPr>
                <w:b/>
                <w:bCs/>
                <w:sz w:val="18"/>
                <w:szCs w:val="18"/>
                <w:lang w:val="es-ES"/>
              </w:rPr>
              <w:t>Medio de Verificación</w:t>
            </w:r>
          </w:p>
        </w:tc>
      </w:tr>
      <w:tr w:rsidR="00F82E41" w:rsidRPr="006715E2" w14:paraId="0B0968EB" w14:textId="77777777" w:rsidTr="00F64E64">
        <w:trPr>
          <w:trHeight w:hRule="exact" w:val="361"/>
          <w:jc w:val="center"/>
        </w:trPr>
        <w:tc>
          <w:tcPr>
            <w:tcW w:w="0" w:type="auto"/>
            <w:gridSpan w:val="4"/>
            <w:shd w:val="clear" w:color="auto" w:fill="F2F2F2" w:themeFill="background1" w:themeFillShade="F2"/>
            <w:vAlign w:val="center"/>
          </w:tcPr>
          <w:p w14:paraId="3FCF33F7" w14:textId="77777777" w:rsidR="00F82E41" w:rsidRPr="00F64E64" w:rsidRDefault="00F82E41">
            <w:pPr>
              <w:contextualSpacing/>
              <w:rPr>
                <w:rFonts w:ascii="Arial" w:hAnsi="Arial" w:cs="Arial"/>
                <w:b/>
                <w:bCs/>
                <w:sz w:val="18"/>
                <w:szCs w:val="18"/>
                <w:lang w:val="es-ES"/>
              </w:rPr>
            </w:pPr>
            <w:r w:rsidRPr="00F64E64">
              <w:rPr>
                <w:rFonts w:ascii="Arial" w:hAnsi="Arial" w:cs="Arial"/>
                <w:b/>
                <w:bCs/>
                <w:sz w:val="18"/>
                <w:szCs w:val="18"/>
                <w:lang w:val="es-ES"/>
              </w:rPr>
              <w:t>IMPACTOS</w:t>
            </w:r>
          </w:p>
        </w:tc>
      </w:tr>
      <w:tr w:rsidR="00F82E41" w:rsidRPr="006715E2" w14:paraId="56C4F4B1" w14:textId="77777777" w:rsidTr="61035E3E">
        <w:trPr>
          <w:trHeight w:val="620"/>
          <w:jc w:val="center"/>
        </w:trPr>
        <w:tc>
          <w:tcPr>
            <w:tcW w:w="0" w:type="auto"/>
          </w:tcPr>
          <w:p w14:paraId="030ABF37"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 xml:space="preserve">Índice de Cantidad (Laspeyres) del Transporte de Carga Carretero Interdepartamental. </w:t>
            </w:r>
          </w:p>
        </w:tc>
        <w:tc>
          <w:tcPr>
            <w:tcW w:w="0" w:type="auto"/>
          </w:tcPr>
          <w:p w14:paraId="4E564B2A"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550,67 </w:t>
            </w:r>
          </w:p>
          <w:p w14:paraId="5F8E6E3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(2014)</w:t>
            </w:r>
          </w:p>
          <w:p w14:paraId="76270A4B" w14:textId="77777777" w:rsidR="00F82E41" w:rsidRPr="006715E2" w:rsidRDefault="00F82E41" w:rsidP="00444365">
            <w:pPr>
              <w:pStyle w:val="Default"/>
              <w:tabs>
                <w:tab w:val="left" w:pos="3184"/>
              </w:tabs>
              <w:contextualSpacing/>
              <w:jc w:val="center"/>
              <w:rPr>
                <w:sz w:val="18"/>
                <w:szCs w:val="18"/>
                <w:lang w:val="es-ES"/>
              </w:rPr>
            </w:pPr>
          </w:p>
        </w:tc>
        <w:tc>
          <w:tcPr>
            <w:tcW w:w="0" w:type="auto"/>
          </w:tcPr>
          <w:p w14:paraId="52C2E90A"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553,67</w:t>
            </w:r>
          </w:p>
          <w:p w14:paraId="1A72FFF9"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 xml:space="preserve"> (2020)</w:t>
            </w:r>
          </w:p>
        </w:tc>
        <w:tc>
          <w:tcPr>
            <w:tcW w:w="0" w:type="auto"/>
          </w:tcPr>
          <w:p w14:paraId="48D2B70B" w14:textId="77777777" w:rsidR="00F82E41" w:rsidRPr="006715E2" w:rsidRDefault="00F82E41" w:rsidP="00444365">
            <w:pPr>
              <w:tabs>
                <w:tab w:val="left" w:pos="3184"/>
              </w:tabs>
              <w:ind w:left="87"/>
              <w:contextualSpacing/>
              <w:jc w:val="both"/>
              <w:rPr>
                <w:rFonts w:ascii="Arial" w:hAnsi="Arial" w:cs="Arial"/>
                <w:color w:val="000000"/>
                <w:sz w:val="18"/>
                <w:szCs w:val="18"/>
                <w:lang w:val="es-ES"/>
              </w:rPr>
            </w:pPr>
            <w:r w:rsidRPr="006715E2">
              <w:rPr>
                <w:rFonts w:ascii="Arial" w:hAnsi="Arial" w:cs="Arial"/>
                <w:sz w:val="18"/>
                <w:szCs w:val="18"/>
                <w:lang w:val="es-ES"/>
              </w:rPr>
              <w:t xml:space="preserve">Datos publicados por el Instituto de Estadísticas de Bolivia. </w:t>
            </w:r>
          </w:p>
        </w:tc>
      </w:tr>
      <w:tr w:rsidR="00F82E41" w:rsidRPr="006715E2" w14:paraId="677B6757" w14:textId="77777777" w:rsidTr="61035E3E">
        <w:trPr>
          <w:trHeight w:hRule="exact" w:val="730"/>
          <w:jc w:val="center"/>
        </w:trPr>
        <w:tc>
          <w:tcPr>
            <w:tcW w:w="0" w:type="auto"/>
          </w:tcPr>
          <w:p w14:paraId="5CEC0004"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Toneladas de carga de exportación transportadas por la red terrestre.</w:t>
            </w:r>
          </w:p>
        </w:tc>
        <w:tc>
          <w:tcPr>
            <w:tcW w:w="0" w:type="auto"/>
          </w:tcPr>
          <w:p w14:paraId="64C991D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2,480,970 T.M. </w:t>
            </w:r>
          </w:p>
          <w:p w14:paraId="23EDA128"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 xml:space="preserve">(2015) </w:t>
            </w:r>
          </w:p>
        </w:tc>
        <w:tc>
          <w:tcPr>
            <w:tcW w:w="0" w:type="auto"/>
          </w:tcPr>
          <w:p w14:paraId="6E4C3526"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2,729,067 T.M.</w:t>
            </w:r>
          </w:p>
          <w:p w14:paraId="7C9FE6CA"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 xml:space="preserve"> (2020)</w:t>
            </w:r>
          </w:p>
        </w:tc>
        <w:tc>
          <w:tcPr>
            <w:tcW w:w="0" w:type="auto"/>
          </w:tcPr>
          <w:p w14:paraId="1D65DA7B" w14:textId="77777777" w:rsidR="00F82E41" w:rsidRPr="006715E2" w:rsidRDefault="00F82E41" w:rsidP="00444365">
            <w:pPr>
              <w:tabs>
                <w:tab w:val="left" w:pos="3184"/>
              </w:tabs>
              <w:ind w:left="87"/>
              <w:contextualSpacing/>
              <w:jc w:val="both"/>
              <w:rPr>
                <w:rFonts w:ascii="Arial" w:hAnsi="Arial" w:cs="Arial"/>
                <w:color w:val="000000"/>
                <w:sz w:val="18"/>
                <w:szCs w:val="18"/>
                <w:lang w:val="es-ES"/>
              </w:rPr>
            </w:pPr>
            <w:r w:rsidRPr="006715E2">
              <w:rPr>
                <w:rFonts w:ascii="Arial" w:hAnsi="Arial" w:cs="Arial"/>
                <w:sz w:val="18"/>
                <w:szCs w:val="18"/>
                <w:lang w:val="es-ES"/>
              </w:rPr>
              <w:t>Datos publicados por el Instituto de Estadísticas de Bolivia.</w:t>
            </w:r>
          </w:p>
        </w:tc>
      </w:tr>
      <w:tr w:rsidR="00F82E41" w:rsidRPr="00F64E64" w14:paraId="6DC215BF" w14:textId="77777777" w:rsidTr="61035E3E">
        <w:trPr>
          <w:trHeight w:hRule="exact" w:val="3394"/>
          <w:jc w:val="center"/>
        </w:trPr>
        <w:tc>
          <w:tcPr>
            <w:tcW w:w="0" w:type="auto"/>
          </w:tcPr>
          <w:p w14:paraId="77048400"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 xml:space="preserve">Costos operativos totales de la Red Vial Fundamental. </w:t>
            </w:r>
          </w:p>
        </w:tc>
        <w:tc>
          <w:tcPr>
            <w:tcW w:w="0" w:type="auto"/>
          </w:tcPr>
          <w:p w14:paraId="0348F15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Automóviles Livianos: US$2.696,7 millones</w:t>
            </w:r>
          </w:p>
          <w:p w14:paraId="2060058E"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Buses: US$1.553,4 millones</w:t>
            </w:r>
          </w:p>
          <w:p w14:paraId="1EC1D5B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Camiones Livianos: US$3.192,8 millones</w:t>
            </w:r>
          </w:p>
          <w:p w14:paraId="0D3139CF"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Camiones Pesados: US$7.614,0 millones</w:t>
            </w:r>
          </w:p>
          <w:p w14:paraId="348369A1"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(2013)</w:t>
            </w:r>
          </w:p>
        </w:tc>
        <w:tc>
          <w:tcPr>
            <w:tcW w:w="0" w:type="auto"/>
          </w:tcPr>
          <w:p w14:paraId="30781E81"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Automóviles Livianos: US$2.421 millones</w:t>
            </w:r>
          </w:p>
          <w:p w14:paraId="0B370C9D"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Buses: US$1.263 millones</w:t>
            </w:r>
          </w:p>
          <w:p w14:paraId="59EB9D0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Camiones Livianos: US$2.895 millones</w:t>
            </w:r>
          </w:p>
          <w:p w14:paraId="3EF40603"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Camiones Pesados: US$6.913 millones</w:t>
            </w:r>
          </w:p>
          <w:p w14:paraId="32976D38"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(2020)</w:t>
            </w:r>
          </w:p>
        </w:tc>
        <w:tc>
          <w:tcPr>
            <w:tcW w:w="0" w:type="auto"/>
          </w:tcPr>
          <w:p w14:paraId="7645C5CC" w14:textId="77777777" w:rsidR="00F82E41" w:rsidRPr="006715E2" w:rsidRDefault="00F82E41" w:rsidP="00444365">
            <w:pPr>
              <w:tabs>
                <w:tab w:val="left" w:pos="3184"/>
              </w:tabs>
              <w:ind w:left="87"/>
              <w:contextualSpacing/>
              <w:jc w:val="both"/>
              <w:rPr>
                <w:rFonts w:ascii="Arial" w:hAnsi="Arial" w:cs="Arial"/>
                <w:color w:val="000000"/>
                <w:sz w:val="18"/>
                <w:szCs w:val="18"/>
                <w:lang w:val="es-ES"/>
              </w:rPr>
            </w:pPr>
            <w:r w:rsidRPr="006715E2">
              <w:rPr>
                <w:rFonts w:ascii="Arial" w:hAnsi="Arial" w:cs="Arial"/>
                <w:sz w:val="18"/>
                <w:szCs w:val="18"/>
                <w:lang w:val="es-ES"/>
              </w:rPr>
              <w:t>Estimaciones de la Evaluación Económica del Programa.</w:t>
            </w:r>
          </w:p>
        </w:tc>
      </w:tr>
      <w:tr w:rsidR="00126BA3" w:rsidRPr="00F64E64" w14:paraId="7213C2CA" w14:textId="77777777" w:rsidTr="61035E3E">
        <w:trPr>
          <w:trHeight w:hRule="exact" w:val="730"/>
          <w:jc w:val="center"/>
        </w:trPr>
        <w:tc>
          <w:tcPr>
            <w:tcW w:w="0" w:type="auto"/>
          </w:tcPr>
          <w:p w14:paraId="49C93D24" w14:textId="68AB9D64" w:rsidR="00126BA3" w:rsidRPr="006715E2" w:rsidRDefault="00126BA3" w:rsidP="00444365">
            <w:pPr>
              <w:pStyle w:val="Default"/>
              <w:tabs>
                <w:tab w:val="left" w:pos="3184"/>
              </w:tabs>
              <w:contextualSpacing/>
              <w:jc w:val="both"/>
              <w:rPr>
                <w:sz w:val="18"/>
                <w:szCs w:val="18"/>
                <w:lang w:val="es-ES"/>
              </w:rPr>
            </w:pPr>
            <w:r w:rsidRPr="00CA5943">
              <w:rPr>
                <w:sz w:val="18"/>
                <w:szCs w:val="18"/>
                <w:lang w:val="es-ES"/>
              </w:rPr>
              <w:t xml:space="preserve">Tasa de </w:t>
            </w:r>
            <w:r>
              <w:rPr>
                <w:sz w:val="18"/>
                <w:szCs w:val="18"/>
                <w:lang w:val="es-ES"/>
              </w:rPr>
              <w:t xml:space="preserve">crecimiento anual del número de </w:t>
            </w:r>
            <w:r w:rsidRPr="00CA5943">
              <w:rPr>
                <w:sz w:val="18"/>
                <w:szCs w:val="18"/>
                <w:lang w:val="es-ES"/>
              </w:rPr>
              <w:t>fallecidos en accidentes viales.</w:t>
            </w:r>
          </w:p>
        </w:tc>
        <w:tc>
          <w:tcPr>
            <w:tcW w:w="0" w:type="auto"/>
          </w:tcPr>
          <w:p w14:paraId="7C6BDDA7" w14:textId="77777777" w:rsidR="00126BA3" w:rsidRPr="00CA5943" w:rsidRDefault="00126BA3" w:rsidP="00126BA3">
            <w:pPr>
              <w:jc w:val="center"/>
              <w:rPr>
                <w:rFonts w:ascii="Arial" w:hAnsi="Arial" w:cs="Arial"/>
                <w:sz w:val="18"/>
                <w:szCs w:val="18"/>
                <w:lang w:val="es-ES"/>
              </w:rPr>
            </w:pPr>
            <w:r>
              <w:rPr>
                <w:rFonts w:ascii="Arial" w:hAnsi="Arial" w:cs="Arial"/>
                <w:sz w:val="18"/>
                <w:szCs w:val="18"/>
                <w:lang w:val="es-ES"/>
              </w:rPr>
              <w:t>16,6%</w:t>
            </w:r>
          </w:p>
          <w:p w14:paraId="2C8C9756" w14:textId="20475039" w:rsidR="00126BA3" w:rsidRPr="006715E2" w:rsidRDefault="00126BA3" w:rsidP="00444365">
            <w:pPr>
              <w:pStyle w:val="Default"/>
              <w:tabs>
                <w:tab w:val="left" w:pos="3184"/>
              </w:tabs>
              <w:contextualSpacing/>
              <w:jc w:val="center"/>
              <w:rPr>
                <w:sz w:val="18"/>
                <w:szCs w:val="18"/>
                <w:lang w:val="es-ES"/>
              </w:rPr>
            </w:pPr>
            <w:r w:rsidRPr="00CA5943">
              <w:rPr>
                <w:sz w:val="18"/>
                <w:szCs w:val="18"/>
                <w:lang w:val="es-ES"/>
              </w:rPr>
              <w:t>(2012)</w:t>
            </w:r>
          </w:p>
        </w:tc>
        <w:tc>
          <w:tcPr>
            <w:tcW w:w="0" w:type="auto"/>
          </w:tcPr>
          <w:p w14:paraId="3A4E2EC0" w14:textId="063CB265" w:rsidR="00126BA3" w:rsidRPr="00CA5943" w:rsidRDefault="00126BA3" w:rsidP="00126BA3">
            <w:pPr>
              <w:jc w:val="center"/>
              <w:rPr>
                <w:rFonts w:ascii="Arial" w:hAnsi="Arial" w:cs="Arial"/>
                <w:sz w:val="18"/>
                <w:szCs w:val="18"/>
                <w:lang w:val="es-ES"/>
              </w:rPr>
            </w:pPr>
            <w:r>
              <w:rPr>
                <w:rFonts w:ascii="Arial" w:hAnsi="Arial" w:cs="Arial"/>
                <w:sz w:val="18"/>
                <w:szCs w:val="18"/>
                <w:lang w:val="es-ES"/>
              </w:rPr>
              <w:t>1,3%</w:t>
            </w:r>
          </w:p>
          <w:p w14:paraId="2F646835" w14:textId="16D8B7A3" w:rsidR="00126BA3" w:rsidRPr="006715E2" w:rsidRDefault="00126BA3" w:rsidP="00444365">
            <w:pPr>
              <w:pStyle w:val="Default"/>
              <w:tabs>
                <w:tab w:val="left" w:pos="3184"/>
              </w:tabs>
              <w:contextualSpacing/>
              <w:jc w:val="center"/>
              <w:rPr>
                <w:sz w:val="18"/>
                <w:szCs w:val="18"/>
                <w:lang w:val="es-ES"/>
              </w:rPr>
            </w:pPr>
            <w:r w:rsidRPr="00CA5943">
              <w:rPr>
                <w:sz w:val="18"/>
                <w:szCs w:val="18"/>
                <w:lang w:val="es-ES"/>
              </w:rPr>
              <w:t>(2020)</w:t>
            </w:r>
          </w:p>
        </w:tc>
        <w:tc>
          <w:tcPr>
            <w:tcW w:w="0" w:type="auto"/>
          </w:tcPr>
          <w:p w14:paraId="39FE7679" w14:textId="1309A31D" w:rsidR="00126BA3" w:rsidRPr="006715E2" w:rsidRDefault="00126BA3" w:rsidP="00444365">
            <w:pPr>
              <w:tabs>
                <w:tab w:val="left" w:pos="3184"/>
              </w:tabs>
              <w:ind w:left="87"/>
              <w:contextualSpacing/>
              <w:jc w:val="both"/>
              <w:rPr>
                <w:rFonts w:ascii="Arial" w:hAnsi="Arial" w:cs="Arial"/>
                <w:color w:val="000000"/>
                <w:sz w:val="18"/>
                <w:szCs w:val="18"/>
                <w:lang w:val="es-ES"/>
              </w:rPr>
            </w:pPr>
            <w:r w:rsidRPr="00CA5943">
              <w:rPr>
                <w:rFonts w:ascii="Arial" w:hAnsi="Arial" w:cs="Arial"/>
                <w:sz w:val="18"/>
                <w:szCs w:val="18"/>
                <w:lang w:val="es-ES"/>
              </w:rPr>
              <w:t>Reporte publicado por la Policía Nacional.</w:t>
            </w:r>
          </w:p>
        </w:tc>
      </w:tr>
      <w:tr w:rsidR="00F82E41" w:rsidRPr="006715E2" w14:paraId="330499E5" w14:textId="77777777" w:rsidTr="61035E3E">
        <w:trPr>
          <w:trHeight w:hRule="exact" w:val="730"/>
          <w:jc w:val="center"/>
        </w:trPr>
        <w:tc>
          <w:tcPr>
            <w:tcW w:w="0" w:type="auto"/>
          </w:tcPr>
          <w:p w14:paraId="7B24C07B"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Toneladas de carga transportadas por la red férrea.</w:t>
            </w:r>
          </w:p>
        </w:tc>
        <w:tc>
          <w:tcPr>
            <w:tcW w:w="0" w:type="auto"/>
          </w:tcPr>
          <w:p w14:paraId="4BF92DB0"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2.407.959 T.M.</w:t>
            </w:r>
          </w:p>
          <w:p w14:paraId="315A8E48"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(2012)</w:t>
            </w:r>
          </w:p>
        </w:tc>
        <w:tc>
          <w:tcPr>
            <w:tcW w:w="0" w:type="auto"/>
          </w:tcPr>
          <w:p w14:paraId="7A1135B9"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2.648.755 T.M.</w:t>
            </w:r>
          </w:p>
          <w:p w14:paraId="0146E4AF" w14:textId="77777777" w:rsidR="00F82E41" w:rsidRPr="006715E2" w:rsidRDefault="00F82E41" w:rsidP="00444365">
            <w:pPr>
              <w:pStyle w:val="Default"/>
              <w:tabs>
                <w:tab w:val="left" w:pos="3184"/>
              </w:tabs>
              <w:contextualSpacing/>
              <w:jc w:val="center"/>
              <w:rPr>
                <w:sz w:val="18"/>
                <w:szCs w:val="18"/>
                <w:lang w:val="es-ES"/>
              </w:rPr>
            </w:pPr>
            <w:r w:rsidRPr="006715E2">
              <w:rPr>
                <w:sz w:val="18"/>
                <w:szCs w:val="18"/>
                <w:lang w:val="es-ES"/>
              </w:rPr>
              <w:t>(2020)</w:t>
            </w:r>
          </w:p>
        </w:tc>
        <w:tc>
          <w:tcPr>
            <w:tcW w:w="0" w:type="auto"/>
          </w:tcPr>
          <w:p w14:paraId="17BFC566" w14:textId="77777777" w:rsidR="00F82E41" w:rsidRPr="006715E2" w:rsidRDefault="00F82E41" w:rsidP="00444365">
            <w:pPr>
              <w:tabs>
                <w:tab w:val="left" w:pos="3184"/>
              </w:tabs>
              <w:ind w:left="87"/>
              <w:contextualSpacing/>
              <w:jc w:val="both"/>
              <w:rPr>
                <w:rFonts w:ascii="Arial" w:hAnsi="Arial" w:cs="Arial"/>
                <w:color w:val="000000"/>
                <w:sz w:val="18"/>
                <w:szCs w:val="18"/>
                <w:lang w:val="es-ES"/>
              </w:rPr>
            </w:pPr>
            <w:r w:rsidRPr="006715E2">
              <w:rPr>
                <w:rFonts w:ascii="Arial" w:hAnsi="Arial" w:cs="Arial"/>
                <w:sz w:val="18"/>
                <w:szCs w:val="18"/>
                <w:lang w:val="es-ES"/>
              </w:rPr>
              <w:t>Memoria Anual de FOSA y FCA, recopilada por el VMT.</w:t>
            </w:r>
          </w:p>
        </w:tc>
      </w:tr>
      <w:tr w:rsidR="00F82E41" w:rsidRPr="006715E2" w14:paraId="2193F4C0" w14:textId="77777777" w:rsidTr="61035E3E">
        <w:trPr>
          <w:trHeight w:hRule="exact" w:val="730"/>
          <w:jc w:val="center"/>
        </w:trPr>
        <w:tc>
          <w:tcPr>
            <w:tcW w:w="0" w:type="auto"/>
          </w:tcPr>
          <w:p w14:paraId="5290C23D"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Toneladas de carga de exportación transportadas por la red férrea.</w:t>
            </w:r>
          </w:p>
        </w:tc>
        <w:tc>
          <w:tcPr>
            <w:tcW w:w="0" w:type="auto"/>
          </w:tcPr>
          <w:p w14:paraId="167890C4" w14:textId="77777777" w:rsidR="00F82E41" w:rsidRPr="006715E2" w:rsidRDefault="00F82E41" w:rsidP="00444365">
            <w:pPr>
              <w:suppressAutoHyphens/>
              <w:spacing w:line="0" w:lineRule="atLeast"/>
              <w:jc w:val="center"/>
              <w:rPr>
                <w:rFonts w:ascii="Arial" w:hAnsi="Arial" w:cs="Arial"/>
                <w:smallCaps/>
                <w:sz w:val="18"/>
                <w:szCs w:val="18"/>
                <w:lang w:val="es-ES"/>
              </w:rPr>
            </w:pPr>
            <w:r w:rsidRPr="006715E2">
              <w:rPr>
                <w:rFonts w:ascii="Arial" w:hAnsi="Arial" w:cs="Arial"/>
                <w:sz w:val="18"/>
                <w:szCs w:val="18"/>
              </w:rPr>
              <w:t>564.316,6 T.M</w:t>
            </w:r>
            <w:r w:rsidRPr="006715E2">
              <w:rPr>
                <w:rFonts w:ascii="Arial" w:hAnsi="Arial" w:cs="Arial"/>
                <w:smallCaps/>
                <w:sz w:val="18"/>
                <w:szCs w:val="18"/>
                <w:lang w:val="es-ES"/>
              </w:rPr>
              <w:t xml:space="preserve"> </w:t>
            </w:r>
          </w:p>
          <w:p w14:paraId="2A566EF8" w14:textId="77777777" w:rsidR="00F82E41" w:rsidRPr="006715E2" w:rsidRDefault="00F82E41" w:rsidP="00444365">
            <w:pPr>
              <w:pStyle w:val="Default"/>
              <w:tabs>
                <w:tab w:val="left" w:pos="3184"/>
              </w:tabs>
              <w:contextualSpacing/>
              <w:jc w:val="center"/>
              <w:rPr>
                <w:sz w:val="18"/>
                <w:szCs w:val="18"/>
                <w:lang w:val="es-ES"/>
              </w:rPr>
            </w:pPr>
            <w:r w:rsidRPr="006715E2">
              <w:rPr>
                <w:smallCaps/>
                <w:sz w:val="18"/>
                <w:szCs w:val="18"/>
                <w:lang w:val="es-ES"/>
              </w:rPr>
              <w:t>(2015)</w:t>
            </w:r>
          </w:p>
        </w:tc>
        <w:tc>
          <w:tcPr>
            <w:tcW w:w="0" w:type="auto"/>
          </w:tcPr>
          <w:p w14:paraId="50EBE9AC" w14:textId="77777777" w:rsidR="00F82E41" w:rsidRPr="006715E2" w:rsidRDefault="00F82E41" w:rsidP="00444365">
            <w:pPr>
              <w:jc w:val="center"/>
              <w:rPr>
                <w:rFonts w:ascii="Arial" w:hAnsi="Arial" w:cs="Arial"/>
                <w:sz w:val="18"/>
                <w:szCs w:val="18"/>
                <w:lang w:val="es-ES"/>
              </w:rPr>
            </w:pPr>
            <w:r w:rsidRPr="006715E2">
              <w:rPr>
                <w:rFonts w:ascii="Arial" w:hAnsi="Arial" w:cs="Arial"/>
                <w:color w:val="000000"/>
                <w:sz w:val="18"/>
                <w:szCs w:val="18"/>
              </w:rPr>
              <w:t xml:space="preserve">592.532,4 </w:t>
            </w:r>
            <w:r w:rsidRPr="006715E2">
              <w:rPr>
                <w:rFonts w:ascii="Arial" w:hAnsi="Arial" w:cs="Arial"/>
                <w:sz w:val="18"/>
                <w:szCs w:val="18"/>
                <w:lang w:val="es-ES"/>
              </w:rPr>
              <w:t>T.M.</w:t>
            </w:r>
          </w:p>
          <w:p w14:paraId="05705390"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p w14:paraId="41427A41" w14:textId="77777777" w:rsidR="00F82E41" w:rsidRPr="006715E2" w:rsidRDefault="00F82E41" w:rsidP="00444365">
            <w:pPr>
              <w:pStyle w:val="Default"/>
              <w:tabs>
                <w:tab w:val="left" w:pos="3184"/>
              </w:tabs>
              <w:contextualSpacing/>
              <w:jc w:val="center"/>
              <w:rPr>
                <w:sz w:val="18"/>
                <w:szCs w:val="18"/>
                <w:lang w:val="es-ES"/>
              </w:rPr>
            </w:pPr>
          </w:p>
        </w:tc>
        <w:tc>
          <w:tcPr>
            <w:tcW w:w="0" w:type="auto"/>
          </w:tcPr>
          <w:p w14:paraId="2E58D945" w14:textId="77777777" w:rsidR="00F82E41" w:rsidRPr="006715E2" w:rsidRDefault="00F82E41" w:rsidP="00444365">
            <w:pPr>
              <w:tabs>
                <w:tab w:val="left" w:pos="3184"/>
              </w:tabs>
              <w:ind w:left="87"/>
              <w:contextualSpacing/>
              <w:jc w:val="both"/>
              <w:rPr>
                <w:rFonts w:ascii="Arial" w:hAnsi="Arial" w:cs="Arial"/>
                <w:color w:val="000000"/>
                <w:sz w:val="18"/>
                <w:szCs w:val="18"/>
                <w:lang w:val="es-ES"/>
              </w:rPr>
            </w:pPr>
            <w:r w:rsidRPr="006715E2">
              <w:rPr>
                <w:rFonts w:ascii="Arial" w:hAnsi="Arial" w:cs="Arial"/>
                <w:sz w:val="18"/>
                <w:szCs w:val="18"/>
                <w:lang w:val="es-ES"/>
              </w:rPr>
              <w:t>Datos publicados por el Instituto de Estadísticas de Bolivia.</w:t>
            </w:r>
          </w:p>
        </w:tc>
      </w:tr>
      <w:tr w:rsidR="00F82E41" w:rsidRPr="006715E2" w14:paraId="3FE1920C" w14:textId="77777777" w:rsidTr="61035E3E">
        <w:trPr>
          <w:trHeight w:hRule="exact" w:val="730"/>
          <w:jc w:val="center"/>
        </w:trPr>
        <w:tc>
          <w:tcPr>
            <w:tcW w:w="0" w:type="auto"/>
          </w:tcPr>
          <w:p w14:paraId="44212492"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 xml:space="preserve">Índice de Cantidad (Laspeyres) del Transporte Aéreo Nacional de carga. </w:t>
            </w:r>
          </w:p>
        </w:tc>
        <w:tc>
          <w:tcPr>
            <w:tcW w:w="0" w:type="auto"/>
          </w:tcPr>
          <w:p w14:paraId="4684BF11"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69,82 </w:t>
            </w:r>
          </w:p>
          <w:p w14:paraId="6DA2DAB2" w14:textId="77777777" w:rsidR="00F82E41" w:rsidRPr="006715E2" w:rsidRDefault="00F82E41" w:rsidP="00444365">
            <w:pPr>
              <w:suppressAutoHyphens/>
              <w:spacing w:line="0" w:lineRule="atLeast"/>
              <w:jc w:val="center"/>
              <w:rPr>
                <w:rFonts w:ascii="Arial" w:hAnsi="Arial" w:cs="Arial"/>
                <w:sz w:val="18"/>
                <w:szCs w:val="18"/>
              </w:rPr>
            </w:pPr>
            <w:r w:rsidRPr="006715E2">
              <w:rPr>
                <w:rFonts w:ascii="Arial" w:hAnsi="Arial" w:cs="Arial"/>
                <w:sz w:val="18"/>
                <w:szCs w:val="18"/>
                <w:lang w:val="es-ES"/>
              </w:rPr>
              <w:t>(2014)</w:t>
            </w:r>
          </w:p>
        </w:tc>
        <w:tc>
          <w:tcPr>
            <w:tcW w:w="0" w:type="auto"/>
          </w:tcPr>
          <w:p w14:paraId="1BACD19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71,82</w:t>
            </w:r>
          </w:p>
          <w:p w14:paraId="4FF1F336"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tc>
        <w:tc>
          <w:tcPr>
            <w:tcW w:w="0" w:type="auto"/>
          </w:tcPr>
          <w:p w14:paraId="100C3889" w14:textId="3E35841E" w:rsidR="00F82E41" w:rsidRPr="006715E2" w:rsidRDefault="00F82E41" w:rsidP="00444365">
            <w:pPr>
              <w:tabs>
                <w:tab w:val="left" w:pos="3184"/>
              </w:tabs>
              <w:ind w:left="87"/>
              <w:contextualSpacing/>
              <w:jc w:val="both"/>
              <w:rPr>
                <w:rFonts w:ascii="Arial" w:hAnsi="Arial" w:cs="Arial"/>
                <w:sz w:val="18"/>
                <w:szCs w:val="18"/>
                <w:lang w:val="es-ES"/>
              </w:rPr>
            </w:pPr>
            <w:r>
              <w:rPr>
                <w:rFonts w:ascii="Arial" w:hAnsi="Arial" w:cs="Arial"/>
                <w:sz w:val="18"/>
                <w:szCs w:val="18"/>
                <w:lang w:val="es-ES"/>
              </w:rPr>
              <w:t>Datos publi</w:t>
            </w:r>
            <w:r w:rsidRPr="006715E2">
              <w:rPr>
                <w:rFonts w:ascii="Arial" w:hAnsi="Arial" w:cs="Arial"/>
                <w:sz w:val="18"/>
                <w:szCs w:val="18"/>
                <w:lang w:val="es-ES"/>
              </w:rPr>
              <w:t>cados por el Instituto de Estadísticas de Bolivia.</w:t>
            </w:r>
          </w:p>
        </w:tc>
      </w:tr>
      <w:tr w:rsidR="00F82E41" w:rsidRPr="006715E2" w14:paraId="27AD4DB2" w14:textId="77777777" w:rsidTr="61035E3E">
        <w:trPr>
          <w:trHeight w:hRule="exact" w:val="730"/>
          <w:jc w:val="center"/>
        </w:trPr>
        <w:tc>
          <w:tcPr>
            <w:tcW w:w="0" w:type="auto"/>
          </w:tcPr>
          <w:p w14:paraId="4BACABA1"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 xml:space="preserve">Índice de Cantidad (Laspeyres) del Transporte Aéreo Internacional de carga. </w:t>
            </w:r>
          </w:p>
        </w:tc>
        <w:tc>
          <w:tcPr>
            <w:tcW w:w="0" w:type="auto"/>
          </w:tcPr>
          <w:p w14:paraId="3A410E1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82,8</w:t>
            </w:r>
          </w:p>
          <w:p w14:paraId="6CC65095" w14:textId="77777777" w:rsidR="00F82E41" w:rsidRPr="006715E2" w:rsidRDefault="00F82E41" w:rsidP="00444365">
            <w:pPr>
              <w:suppressAutoHyphens/>
              <w:spacing w:line="0" w:lineRule="atLeast"/>
              <w:jc w:val="center"/>
              <w:rPr>
                <w:rFonts w:ascii="Arial" w:hAnsi="Arial" w:cs="Arial"/>
                <w:sz w:val="18"/>
                <w:szCs w:val="18"/>
              </w:rPr>
            </w:pPr>
            <w:r w:rsidRPr="006715E2">
              <w:rPr>
                <w:rFonts w:ascii="Arial" w:hAnsi="Arial" w:cs="Arial"/>
                <w:sz w:val="18"/>
                <w:szCs w:val="18"/>
                <w:lang w:val="es-ES"/>
              </w:rPr>
              <w:t>(2014)</w:t>
            </w:r>
          </w:p>
        </w:tc>
        <w:tc>
          <w:tcPr>
            <w:tcW w:w="0" w:type="auto"/>
          </w:tcPr>
          <w:p w14:paraId="0F0E683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84,8</w:t>
            </w:r>
          </w:p>
          <w:p w14:paraId="36C15BE7"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tc>
        <w:tc>
          <w:tcPr>
            <w:tcW w:w="0" w:type="auto"/>
          </w:tcPr>
          <w:p w14:paraId="32EF76CC" w14:textId="1DCFBDF2" w:rsidR="00F82E41" w:rsidRPr="006715E2" w:rsidRDefault="00F82E41" w:rsidP="00444365">
            <w:pPr>
              <w:tabs>
                <w:tab w:val="left" w:pos="3184"/>
              </w:tabs>
              <w:ind w:left="87"/>
              <w:contextualSpacing/>
              <w:jc w:val="both"/>
              <w:rPr>
                <w:rFonts w:ascii="Arial" w:hAnsi="Arial" w:cs="Arial"/>
                <w:sz w:val="18"/>
                <w:szCs w:val="18"/>
                <w:lang w:val="es-ES"/>
              </w:rPr>
            </w:pPr>
            <w:r w:rsidRPr="004903E2">
              <w:rPr>
                <w:rFonts w:ascii="Arial" w:hAnsi="Arial" w:cs="Arial"/>
                <w:sz w:val="18"/>
                <w:szCs w:val="18"/>
                <w:lang w:val="es-ES"/>
              </w:rPr>
              <w:t xml:space="preserve">Datos publicados por el Instituto de Estadísticas de Bolivia. </w:t>
            </w:r>
          </w:p>
        </w:tc>
      </w:tr>
      <w:tr w:rsidR="00F82E41" w:rsidRPr="006715E2" w14:paraId="10CF6B63" w14:textId="77777777" w:rsidTr="61035E3E">
        <w:trPr>
          <w:trHeight w:hRule="exact" w:val="730"/>
          <w:jc w:val="center"/>
        </w:trPr>
        <w:tc>
          <w:tcPr>
            <w:tcW w:w="0" w:type="auto"/>
          </w:tcPr>
          <w:p w14:paraId="3E8A7A7C"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Índice de Cantidad (Laspeyres) del Transporte Aéreo Nacional de pasajeros.</w:t>
            </w:r>
          </w:p>
        </w:tc>
        <w:tc>
          <w:tcPr>
            <w:tcW w:w="0" w:type="auto"/>
          </w:tcPr>
          <w:p w14:paraId="6189B233"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327 </w:t>
            </w:r>
          </w:p>
          <w:p w14:paraId="7A862F7B" w14:textId="77777777" w:rsidR="00F82E41" w:rsidRPr="006715E2" w:rsidRDefault="00F82E41" w:rsidP="00444365">
            <w:pPr>
              <w:suppressAutoHyphens/>
              <w:spacing w:line="0" w:lineRule="atLeast"/>
              <w:jc w:val="center"/>
              <w:rPr>
                <w:rFonts w:ascii="Arial" w:hAnsi="Arial" w:cs="Arial"/>
                <w:sz w:val="18"/>
                <w:szCs w:val="18"/>
              </w:rPr>
            </w:pPr>
            <w:r w:rsidRPr="006715E2">
              <w:rPr>
                <w:rFonts w:ascii="Arial" w:hAnsi="Arial" w:cs="Arial"/>
                <w:sz w:val="18"/>
                <w:szCs w:val="18"/>
                <w:lang w:val="es-ES"/>
              </w:rPr>
              <w:t>(2014)</w:t>
            </w:r>
          </w:p>
        </w:tc>
        <w:tc>
          <w:tcPr>
            <w:tcW w:w="0" w:type="auto"/>
          </w:tcPr>
          <w:p w14:paraId="08D8838A"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330 </w:t>
            </w:r>
          </w:p>
          <w:p w14:paraId="753AF05D"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tc>
        <w:tc>
          <w:tcPr>
            <w:tcW w:w="0" w:type="auto"/>
          </w:tcPr>
          <w:p w14:paraId="71241891" w14:textId="45B6BA77" w:rsidR="00F82E41" w:rsidRPr="006715E2" w:rsidRDefault="00F82E41" w:rsidP="00444365">
            <w:pPr>
              <w:tabs>
                <w:tab w:val="left" w:pos="3184"/>
              </w:tabs>
              <w:ind w:left="87"/>
              <w:contextualSpacing/>
              <w:jc w:val="both"/>
              <w:rPr>
                <w:rFonts w:ascii="Arial" w:hAnsi="Arial" w:cs="Arial"/>
                <w:sz w:val="18"/>
                <w:szCs w:val="18"/>
                <w:lang w:val="es-ES"/>
              </w:rPr>
            </w:pPr>
            <w:r w:rsidRPr="004903E2">
              <w:rPr>
                <w:rFonts w:ascii="Arial" w:hAnsi="Arial" w:cs="Arial"/>
                <w:sz w:val="18"/>
                <w:szCs w:val="18"/>
                <w:lang w:val="es-ES"/>
              </w:rPr>
              <w:t xml:space="preserve">Datos publicados por el Instituto de Estadísticas de Bolivia. </w:t>
            </w:r>
          </w:p>
        </w:tc>
      </w:tr>
      <w:tr w:rsidR="00F82E41" w:rsidRPr="006715E2" w14:paraId="5B1963A3" w14:textId="77777777" w:rsidTr="61035E3E">
        <w:trPr>
          <w:trHeight w:hRule="exact" w:val="730"/>
          <w:jc w:val="center"/>
        </w:trPr>
        <w:tc>
          <w:tcPr>
            <w:tcW w:w="0" w:type="auto"/>
          </w:tcPr>
          <w:p w14:paraId="0057806C"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Índice de Cantidad (Laspeyres) del Transporte Aéreo Internacional de pasajeros.</w:t>
            </w:r>
          </w:p>
        </w:tc>
        <w:tc>
          <w:tcPr>
            <w:tcW w:w="0" w:type="auto"/>
          </w:tcPr>
          <w:p w14:paraId="37E65F57"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124,49</w:t>
            </w:r>
          </w:p>
          <w:p w14:paraId="1BE4579D" w14:textId="77777777" w:rsidR="00F82E41" w:rsidRPr="006715E2" w:rsidRDefault="00F82E41" w:rsidP="00444365">
            <w:pPr>
              <w:suppressAutoHyphens/>
              <w:spacing w:line="0" w:lineRule="atLeast"/>
              <w:jc w:val="center"/>
              <w:rPr>
                <w:rFonts w:ascii="Arial" w:hAnsi="Arial" w:cs="Arial"/>
                <w:sz w:val="18"/>
                <w:szCs w:val="18"/>
              </w:rPr>
            </w:pPr>
            <w:r w:rsidRPr="006715E2">
              <w:rPr>
                <w:rFonts w:ascii="Arial" w:hAnsi="Arial" w:cs="Arial"/>
                <w:sz w:val="18"/>
                <w:szCs w:val="18"/>
                <w:lang w:val="es-ES"/>
              </w:rPr>
              <w:t>(2014)</w:t>
            </w:r>
          </w:p>
        </w:tc>
        <w:tc>
          <w:tcPr>
            <w:tcW w:w="0" w:type="auto"/>
          </w:tcPr>
          <w:p w14:paraId="2201DD15"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127,49</w:t>
            </w:r>
          </w:p>
          <w:p w14:paraId="3C8B2733"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tc>
        <w:tc>
          <w:tcPr>
            <w:tcW w:w="0" w:type="auto"/>
          </w:tcPr>
          <w:p w14:paraId="416BAEB0" w14:textId="0E1C40FF" w:rsidR="00F82E41" w:rsidRPr="006715E2" w:rsidRDefault="00F82E41" w:rsidP="00444365">
            <w:pPr>
              <w:tabs>
                <w:tab w:val="left" w:pos="3184"/>
              </w:tabs>
              <w:ind w:left="87"/>
              <w:contextualSpacing/>
              <w:jc w:val="both"/>
              <w:rPr>
                <w:rFonts w:ascii="Arial" w:hAnsi="Arial" w:cs="Arial"/>
                <w:sz w:val="18"/>
                <w:szCs w:val="18"/>
                <w:lang w:val="es-ES"/>
              </w:rPr>
            </w:pPr>
            <w:r w:rsidRPr="004903E2">
              <w:rPr>
                <w:rFonts w:ascii="Arial" w:hAnsi="Arial" w:cs="Arial"/>
                <w:sz w:val="18"/>
                <w:szCs w:val="18"/>
                <w:lang w:val="es-ES"/>
              </w:rPr>
              <w:t xml:space="preserve">Datos publicados por el Instituto de Estadísticas de Bolivia. </w:t>
            </w:r>
          </w:p>
        </w:tc>
      </w:tr>
      <w:tr w:rsidR="00F82E41" w:rsidRPr="006715E2" w14:paraId="0225D03E" w14:textId="77777777" w:rsidTr="61035E3E">
        <w:trPr>
          <w:trHeight w:hRule="exact" w:val="730"/>
          <w:jc w:val="center"/>
        </w:trPr>
        <w:tc>
          <w:tcPr>
            <w:tcW w:w="0" w:type="auto"/>
          </w:tcPr>
          <w:p w14:paraId="78104BEA"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lastRenderedPageBreak/>
              <w:t>Toneladas de carga de exportación transportadas por la red fluvial.</w:t>
            </w:r>
          </w:p>
        </w:tc>
        <w:tc>
          <w:tcPr>
            <w:tcW w:w="0" w:type="auto"/>
          </w:tcPr>
          <w:p w14:paraId="243D38D6"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793.340 </w:t>
            </w:r>
          </w:p>
          <w:p w14:paraId="5BBA21B6"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(2012)</w:t>
            </w:r>
          </w:p>
          <w:p w14:paraId="0EAC3742" w14:textId="77777777" w:rsidR="00F82E41" w:rsidRPr="006715E2" w:rsidRDefault="00F82E41" w:rsidP="00444365">
            <w:pPr>
              <w:suppressAutoHyphens/>
              <w:spacing w:line="0" w:lineRule="atLeast"/>
              <w:jc w:val="center"/>
              <w:rPr>
                <w:rFonts w:ascii="Arial" w:hAnsi="Arial" w:cs="Arial"/>
                <w:sz w:val="18"/>
                <w:szCs w:val="18"/>
              </w:rPr>
            </w:pPr>
          </w:p>
        </w:tc>
        <w:tc>
          <w:tcPr>
            <w:tcW w:w="0" w:type="auto"/>
          </w:tcPr>
          <w:p w14:paraId="7FD0A74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872.674 </w:t>
            </w:r>
          </w:p>
          <w:p w14:paraId="02AE59DD" w14:textId="77777777" w:rsidR="00F82E41" w:rsidRPr="006715E2" w:rsidRDefault="00F82E41" w:rsidP="00444365">
            <w:pPr>
              <w:jc w:val="center"/>
              <w:rPr>
                <w:rFonts w:ascii="Arial" w:hAnsi="Arial" w:cs="Arial"/>
                <w:color w:val="000000"/>
                <w:sz w:val="18"/>
                <w:szCs w:val="18"/>
              </w:rPr>
            </w:pPr>
            <w:r w:rsidRPr="006715E2">
              <w:rPr>
                <w:rFonts w:ascii="Arial" w:hAnsi="Arial" w:cs="Arial"/>
                <w:sz w:val="18"/>
                <w:szCs w:val="18"/>
                <w:lang w:val="es-ES"/>
              </w:rPr>
              <w:t>(2020)</w:t>
            </w:r>
          </w:p>
        </w:tc>
        <w:tc>
          <w:tcPr>
            <w:tcW w:w="0" w:type="auto"/>
          </w:tcPr>
          <w:p w14:paraId="75BA2B8E" w14:textId="77777777" w:rsidR="00F82E41" w:rsidRPr="006715E2" w:rsidRDefault="00F82E41" w:rsidP="00444365">
            <w:pPr>
              <w:tabs>
                <w:tab w:val="left" w:pos="3184"/>
              </w:tabs>
              <w:ind w:left="87"/>
              <w:contextualSpacing/>
              <w:jc w:val="both"/>
              <w:rPr>
                <w:rFonts w:ascii="Arial" w:hAnsi="Arial" w:cs="Arial"/>
                <w:sz w:val="18"/>
                <w:szCs w:val="18"/>
                <w:lang w:val="es-ES"/>
              </w:rPr>
            </w:pPr>
            <w:r w:rsidRPr="006715E2">
              <w:rPr>
                <w:rFonts w:ascii="Arial" w:hAnsi="Arial" w:cs="Arial"/>
                <w:sz w:val="18"/>
                <w:szCs w:val="18"/>
                <w:lang w:val="es-ES"/>
              </w:rPr>
              <w:t>Reporte publicado por INE.</w:t>
            </w:r>
          </w:p>
        </w:tc>
      </w:tr>
      <w:tr w:rsidR="00F82E41" w:rsidRPr="00F64E64" w14:paraId="45318E94" w14:textId="77777777" w:rsidTr="61035E3E">
        <w:trPr>
          <w:trHeight w:hRule="exact" w:val="730"/>
          <w:jc w:val="center"/>
        </w:trPr>
        <w:tc>
          <w:tcPr>
            <w:tcW w:w="0" w:type="auto"/>
          </w:tcPr>
          <w:p w14:paraId="7FB282E8" w14:textId="77777777" w:rsidR="00F82E41" w:rsidRPr="006715E2" w:rsidRDefault="00F82E41" w:rsidP="00444365">
            <w:pPr>
              <w:pStyle w:val="Default"/>
              <w:tabs>
                <w:tab w:val="left" w:pos="3184"/>
              </w:tabs>
              <w:contextualSpacing/>
              <w:jc w:val="both"/>
              <w:rPr>
                <w:sz w:val="18"/>
                <w:szCs w:val="18"/>
                <w:lang w:val="es-ES"/>
              </w:rPr>
            </w:pPr>
            <w:r w:rsidRPr="006715E2">
              <w:rPr>
                <w:sz w:val="18"/>
                <w:szCs w:val="18"/>
                <w:lang w:val="es-ES"/>
              </w:rPr>
              <w:t>Costo unitario de mantenimiento y rehabilitación de carreteras.</w:t>
            </w:r>
          </w:p>
        </w:tc>
        <w:tc>
          <w:tcPr>
            <w:tcW w:w="0" w:type="auto"/>
          </w:tcPr>
          <w:p w14:paraId="7E54FAD0"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 xml:space="preserve">8.202,9 US$/Km  </w:t>
            </w:r>
          </w:p>
          <w:p w14:paraId="1D26E9F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78EB3C1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 xml:space="preserve">4.498,6 US$/Km  </w:t>
            </w:r>
          </w:p>
          <w:p w14:paraId="736D2C7F"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3E5104CA" w14:textId="77777777" w:rsidR="00F82E41" w:rsidRPr="006715E2" w:rsidRDefault="00F82E41" w:rsidP="00444365">
            <w:pPr>
              <w:tabs>
                <w:tab w:val="left" w:pos="3184"/>
              </w:tabs>
              <w:ind w:left="87"/>
              <w:contextualSpacing/>
              <w:jc w:val="both"/>
              <w:rPr>
                <w:rFonts w:ascii="Arial" w:hAnsi="Arial" w:cs="Arial"/>
                <w:sz w:val="18"/>
                <w:szCs w:val="18"/>
                <w:lang w:val="es-ES"/>
              </w:rPr>
            </w:pPr>
            <w:r w:rsidRPr="006715E2">
              <w:rPr>
                <w:rFonts w:ascii="Arial" w:hAnsi="Arial" w:cs="Arial"/>
                <w:sz w:val="18"/>
                <w:szCs w:val="18"/>
                <w:lang w:val="es-ES"/>
              </w:rPr>
              <w:t>Estimaciones de la Evaluación Económica del Programa.</w:t>
            </w:r>
          </w:p>
        </w:tc>
      </w:tr>
      <w:tr w:rsidR="00F82E41" w:rsidRPr="006715E2" w14:paraId="02EB9469" w14:textId="77777777" w:rsidTr="00F64E64">
        <w:trPr>
          <w:trHeight w:hRule="exact" w:val="397"/>
          <w:jc w:val="center"/>
        </w:trPr>
        <w:tc>
          <w:tcPr>
            <w:tcW w:w="0" w:type="auto"/>
            <w:gridSpan w:val="4"/>
            <w:shd w:val="clear" w:color="auto" w:fill="F2F2F2" w:themeFill="background1" w:themeFillShade="F2"/>
            <w:vAlign w:val="center"/>
          </w:tcPr>
          <w:p w14:paraId="19378B66" w14:textId="77777777" w:rsidR="00F82E41" w:rsidRPr="00F64E64" w:rsidRDefault="00F82E41">
            <w:pPr>
              <w:rPr>
                <w:rFonts w:ascii="Arial" w:hAnsi="Arial" w:cs="Arial"/>
                <w:b/>
                <w:bCs/>
              </w:rPr>
            </w:pPr>
            <w:r w:rsidRPr="00F64E64">
              <w:rPr>
                <w:rFonts w:ascii="Arial" w:hAnsi="Arial" w:cs="Arial"/>
                <w:b/>
                <w:bCs/>
                <w:sz w:val="20"/>
                <w:szCs w:val="20"/>
              </w:rPr>
              <w:t>RESULTADOS</w:t>
            </w:r>
          </w:p>
        </w:tc>
      </w:tr>
      <w:tr w:rsidR="00F82E41" w:rsidRPr="00F64E64" w14:paraId="49C2761D" w14:textId="77777777" w:rsidTr="00F64E64">
        <w:trPr>
          <w:trHeight w:hRule="exact" w:val="937"/>
          <w:jc w:val="center"/>
        </w:trPr>
        <w:tc>
          <w:tcPr>
            <w:tcW w:w="0" w:type="auto"/>
            <w:vAlign w:val="center"/>
          </w:tcPr>
          <w:p w14:paraId="22A93725" w14:textId="77777777" w:rsidR="00F82E41" w:rsidRPr="006715E2" w:rsidRDefault="00F82E41" w:rsidP="00444365">
            <w:pPr>
              <w:jc w:val="both"/>
              <w:rPr>
                <w:rFonts w:ascii="Arial" w:hAnsi="Arial" w:cs="Arial"/>
                <w:sz w:val="18"/>
                <w:szCs w:val="18"/>
                <w:lang w:val="es-ES"/>
              </w:rPr>
            </w:pPr>
            <w:r w:rsidRPr="006715E2">
              <w:rPr>
                <w:rFonts w:ascii="Arial" w:hAnsi="Arial" w:cs="Arial"/>
                <w:sz w:val="18"/>
                <w:szCs w:val="18"/>
                <w:lang w:val="es-ES"/>
              </w:rPr>
              <w:t>Porcentaje de intervenciones sectoriales basadas en planificación plurianual.</w:t>
            </w:r>
          </w:p>
          <w:p w14:paraId="50B5465B" w14:textId="77777777" w:rsidR="00F82E41" w:rsidRPr="006715E2" w:rsidRDefault="00F82E41" w:rsidP="00444365">
            <w:pPr>
              <w:pStyle w:val="Default"/>
              <w:tabs>
                <w:tab w:val="left" w:pos="3184"/>
              </w:tabs>
              <w:ind w:left="-17"/>
              <w:contextualSpacing/>
              <w:rPr>
                <w:sz w:val="18"/>
                <w:szCs w:val="18"/>
                <w:lang w:val="es-ES"/>
              </w:rPr>
            </w:pPr>
          </w:p>
        </w:tc>
        <w:tc>
          <w:tcPr>
            <w:tcW w:w="0" w:type="auto"/>
          </w:tcPr>
          <w:p w14:paraId="5558FF94"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0% </w:t>
            </w:r>
          </w:p>
          <w:p w14:paraId="5251A788"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2194F349"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80% </w:t>
            </w:r>
          </w:p>
          <w:p w14:paraId="6A45FA0E"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1996D051"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Documentación publicada por el MOPSV.</w:t>
            </w:r>
          </w:p>
        </w:tc>
      </w:tr>
      <w:tr w:rsidR="00F82E41" w:rsidRPr="00F64E64" w14:paraId="61B86BA1" w14:textId="77777777" w:rsidTr="61035E3E">
        <w:trPr>
          <w:trHeight w:hRule="exact" w:val="973"/>
          <w:jc w:val="center"/>
        </w:trPr>
        <w:tc>
          <w:tcPr>
            <w:tcW w:w="0" w:type="auto"/>
          </w:tcPr>
          <w:p w14:paraId="443A0356" w14:textId="77777777" w:rsidR="00F82E41" w:rsidRPr="006715E2" w:rsidRDefault="00F82E41" w:rsidP="00444365">
            <w:pPr>
              <w:jc w:val="both"/>
              <w:rPr>
                <w:rFonts w:ascii="Arial" w:hAnsi="Arial" w:cs="Arial"/>
                <w:sz w:val="18"/>
                <w:szCs w:val="18"/>
                <w:lang w:val="es-ES"/>
              </w:rPr>
            </w:pPr>
            <w:r w:rsidRPr="006715E2">
              <w:rPr>
                <w:rFonts w:ascii="Arial" w:hAnsi="Arial" w:cs="Arial"/>
                <w:sz w:val="18"/>
                <w:szCs w:val="18"/>
                <w:lang w:val="es-ES"/>
              </w:rPr>
              <w:t>Número de reclamos directos respecto al servicio prestado (incluyendo atención, condiciones de los vehículos, servicio terminal) recibidos anualmente</w:t>
            </w:r>
            <w:r>
              <w:rPr>
                <w:rFonts w:ascii="Arial" w:hAnsi="Arial" w:cs="Arial"/>
                <w:sz w:val="18"/>
                <w:szCs w:val="18"/>
                <w:lang w:val="es-ES"/>
              </w:rPr>
              <w:t>.</w:t>
            </w:r>
          </w:p>
          <w:p w14:paraId="009EDB0E" w14:textId="77777777" w:rsidR="00F82E41" w:rsidRPr="006715E2" w:rsidRDefault="00F82E41" w:rsidP="00444365">
            <w:pPr>
              <w:pStyle w:val="Default"/>
              <w:tabs>
                <w:tab w:val="left" w:pos="3184"/>
              </w:tabs>
              <w:ind w:left="-17"/>
              <w:contextualSpacing/>
              <w:rPr>
                <w:sz w:val="18"/>
                <w:szCs w:val="18"/>
                <w:lang w:val="es-ES"/>
              </w:rPr>
            </w:pPr>
          </w:p>
        </w:tc>
        <w:tc>
          <w:tcPr>
            <w:tcW w:w="0" w:type="auto"/>
          </w:tcPr>
          <w:p w14:paraId="69464F45"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2.775 </w:t>
            </w:r>
          </w:p>
          <w:p w14:paraId="495C0A32"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6AFFF654"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 1.387</w:t>
            </w:r>
          </w:p>
          <w:p w14:paraId="7899F05E"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44A75017"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Reporte de la Oficina del Consumidor de la ATT.</w:t>
            </w:r>
          </w:p>
        </w:tc>
      </w:tr>
      <w:tr w:rsidR="00F82E41" w:rsidRPr="00F64E64" w14:paraId="4AC12909" w14:textId="77777777" w:rsidTr="61035E3E">
        <w:trPr>
          <w:trHeight w:hRule="exact" w:val="991"/>
          <w:jc w:val="center"/>
        </w:trPr>
        <w:tc>
          <w:tcPr>
            <w:tcW w:w="0" w:type="auto"/>
          </w:tcPr>
          <w:p w14:paraId="7B05E131" w14:textId="77777777" w:rsidR="00F82E41" w:rsidRPr="006715E2" w:rsidRDefault="00F82E41" w:rsidP="00444365">
            <w:pPr>
              <w:pStyle w:val="Default"/>
              <w:tabs>
                <w:tab w:val="left" w:pos="3184"/>
              </w:tabs>
              <w:ind w:left="-17"/>
              <w:contextualSpacing/>
              <w:rPr>
                <w:sz w:val="18"/>
                <w:szCs w:val="18"/>
                <w:lang w:val="es-ES"/>
              </w:rPr>
            </w:pPr>
            <w:r w:rsidRPr="006715E2">
              <w:rPr>
                <w:sz w:val="18"/>
                <w:szCs w:val="18"/>
                <w:lang w:val="es-ES"/>
              </w:rPr>
              <w:t>Edad media de la flota vehicular en el país.</w:t>
            </w:r>
          </w:p>
        </w:tc>
        <w:tc>
          <w:tcPr>
            <w:tcW w:w="0" w:type="auto"/>
          </w:tcPr>
          <w:p w14:paraId="2B9D0F9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16 años </w:t>
            </w:r>
          </w:p>
          <w:p w14:paraId="436CA26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399FDF6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10 años </w:t>
            </w:r>
          </w:p>
          <w:p w14:paraId="454A47E9"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4DB59926"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Documentación publicada por el MOPSV.</w:t>
            </w:r>
          </w:p>
        </w:tc>
      </w:tr>
      <w:tr w:rsidR="00F82E41" w:rsidRPr="006715E2" w14:paraId="05DCA088" w14:textId="77777777" w:rsidTr="61035E3E">
        <w:trPr>
          <w:trHeight w:val="908"/>
          <w:jc w:val="center"/>
        </w:trPr>
        <w:tc>
          <w:tcPr>
            <w:tcW w:w="0" w:type="auto"/>
          </w:tcPr>
          <w:p w14:paraId="6F501D20" w14:textId="77777777" w:rsidR="00F82E41" w:rsidRPr="006715E2" w:rsidRDefault="00F82E41" w:rsidP="00444365">
            <w:pPr>
              <w:ind w:hanging="18"/>
              <w:rPr>
                <w:rFonts w:ascii="Arial" w:hAnsi="Arial" w:cs="Arial"/>
                <w:sz w:val="18"/>
                <w:szCs w:val="18"/>
                <w:lang w:val="es-ES"/>
              </w:rPr>
            </w:pPr>
            <w:r w:rsidRPr="006715E2">
              <w:rPr>
                <w:rFonts w:ascii="Arial" w:hAnsi="Arial" w:cs="Arial"/>
                <w:sz w:val="18"/>
                <w:szCs w:val="18"/>
                <w:lang w:val="es-ES"/>
              </w:rPr>
              <w:t>Porcentaje de la RVF en condiciones buenas, regulares y malas.</w:t>
            </w:r>
          </w:p>
        </w:tc>
        <w:tc>
          <w:tcPr>
            <w:tcW w:w="0" w:type="auto"/>
          </w:tcPr>
          <w:p w14:paraId="6F7A532D"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Bueno: 21%</w:t>
            </w:r>
          </w:p>
          <w:p w14:paraId="42D5DD9C"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Regular: 53%</w:t>
            </w:r>
          </w:p>
          <w:p w14:paraId="21A371AE"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Malo: 26%</w:t>
            </w:r>
          </w:p>
          <w:p w14:paraId="164CE90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1F9513C1"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Bueno: 30%</w:t>
            </w:r>
          </w:p>
          <w:p w14:paraId="352394E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Regular: 63%</w:t>
            </w:r>
          </w:p>
          <w:p w14:paraId="311427D4"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Malo: 7%</w:t>
            </w:r>
          </w:p>
          <w:p w14:paraId="6D48B58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1969AB48" w14:textId="77777777" w:rsidR="00F82E41" w:rsidRPr="006715E2" w:rsidRDefault="00F82E41" w:rsidP="00444365">
            <w:pPr>
              <w:contextualSpacing/>
              <w:jc w:val="both"/>
              <w:rPr>
                <w:rFonts w:ascii="Arial" w:hAnsi="Arial" w:cs="Arial"/>
                <w:color w:val="000000"/>
                <w:sz w:val="18"/>
                <w:szCs w:val="18"/>
                <w:lang w:val="es-ES"/>
              </w:rPr>
            </w:pPr>
            <w:r w:rsidRPr="006715E2">
              <w:rPr>
                <w:rFonts w:ascii="Arial" w:hAnsi="Arial" w:cs="Arial"/>
                <w:sz w:val="18"/>
                <w:szCs w:val="18"/>
                <w:lang w:val="es-ES"/>
              </w:rPr>
              <w:t>Documentación publicada por ABC.</w:t>
            </w:r>
          </w:p>
        </w:tc>
      </w:tr>
      <w:tr w:rsidR="00F82E41" w:rsidRPr="00F64E64" w14:paraId="722EFC10" w14:textId="77777777" w:rsidTr="61035E3E">
        <w:trPr>
          <w:trHeight w:hRule="exact" w:val="550"/>
          <w:jc w:val="center"/>
        </w:trPr>
        <w:tc>
          <w:tcPr>
            <w:tcW w:w="0" w:type="auto"/>
          </w:tcPr>
          <w:p w14:paraId="7C073DCC"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Número de puestos de control de pesos en la RVF en operación.</w:t>
            </w:r>
          </w:p>
        </w:tc>
        <w:tc>
          <w:tcPr>
            <w:tcW w:w="0" w:type="auto"/>
          </w:tcPr>
          <w:p w14:paraId="3CDAA462"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16 </w:t>
            </w:r>
          </w:p>
          <w:p w14:paraId="2AE12562"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1A63FC04"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21</w:t>
            </w:r>
          </w:p>
          <w:p w14:paraId="08C7F003"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794F4C4C" w14:textId="77777777" w:rsidR="00F82E41" w:rsidRPr="006715E2" w:rsidRDefault="00F82E41" w:rsidP="00444365">
            <w:pPr>
              <w:contextualSpacing/>
              <w:jc w:val="both"/>
              <w:rPr>
                <w:rFonts w:ascii="Arial" w:hAnsi="Arial" w:cs="Arial"/>
                <w:color w:val="000000"/>
                <w:sz w:val="18"/>
                <w:szCs w:val="18"/>
                <w:lang w:val="es-ES"/>
              </w:rPr>
            </w:pPr>
            <w:r w:rsidRPr="006715E2">
              <w:rPr>
                <w:rFonts w:ascii="Arial" w:hAnsi="Arial" w:cs="Arial"/>
                <w:sz w:val="18"/>
                <w:szCs w:val="18"/>
                <w:lang w:val="es-ES"/>
              </w:rPr>
              <w:t>Información publicada por Vías Bolivia y/o ABC.</w:t>
            </w:r>
          </w:p>
        </w:tc>
      </w:tr>
      <w:tr w:rsidR="00F82E41" w:rsidRPr="00F64E64" w14:paraId="63636030" w14:textId="77777777" w:rsidTr="61035E3E">
        <w:trPr>
          <w:trHeight w:hRule="exact" w:val="712"/>
          <w:jc w:val="center"/>
        </w:trPr>
        <w:tc>
          <w:tcPr>
            <w:tcW w:w="0" w:type="auto"/>
          </w:tcPr>
          <w:p w14:paraId="0F88E6C7" w14:textId="77777777" w:rsidR="00F82E41" w:rsidRPr="006715E2" w:rsidRDefault="00F82E41" w:rsidP="00444365">
            <w:pPr>
              <w:spacing w:before="60" w:after="60"/>
              <w:rPr>
                <w:rFonts w:ascii="Arial" w:hAnsi="Arial" w:cs="Arial"/>
                <w:sz w:val="18"/>
                <w:szCs w:val="18"/>
                <w:lang w:val="es-ES"/>
              </w:rPr>
            </w:pPr>
            <w:r w:rsidRPr="00F64E64">
              <w:rPr>
                <w:rFonts w:ascii="Arial" w:hAnsi="Arial" w:cs="Arial"/>
                <w:sz w:val="18"/>
                <w:szCs w:val="18"/>
                <w:lang w:val="es-ES"/>
              </w:rPr>
              <w:t>Toneladas de e</w:t>
            </w:r>
            <w:r w:rsidRPr="006715E2">
              <w:rPr>
                <w:rFonts w:ascii="Arial" w:hAnsi="Arial" w:cs="Arial"/>
                <w:sz w:val="18"/>
                <w:szCs w:val="18"/>
                <w:lang w:val="es-ES"/>
              </w:rPr>
              <w:t>misiones producidas anualmente por vehículos de pasajeros  y de carga.</w:t>
            </w:r>
          </w:p>
        </w:tc>
        <w:tc>
          <w:tcPr>
            <w:tcW w:w="0" w:type="auto"/>
          </w:tcPr>
          <w:p w14:paraId="120A289A" w14:textId="77777777" w:rsidR="00F82E41" w:rsidRPr="006715E2" w:rsidRDefault="00F82E41" w:rsidP="00444365">
            <w:pPr>
              <w:jc w:val="center"/>
              <w:rPr>
                <w:rFonts w:ascii="Arial" w:hAnsi="Arial" w:cs="Arial"/>
                <w:sz w:val="18"/>
                <w:szCs w:val="18"/>
              </w:rPr>
            </w:pPr>
            <w:r w:rsidRPr="006715E2">
              <w:rPr>
                <w:rFonts w:ascii="Arial" w:hAnsi="Arial" w:cs="Arial"/>
                <w:sz w:val="18"/>
                <w:szCs w:val="18"/>
              </w:rPr>
              <w:t>CO2: 1.005.301</w:t>
            </w:r>
          </w:p>
          <w:p w14:paraId="2AC45A4A" w14:textId="77777777" w:rsidR="00F82E41" w:rsidRPr="006715E2" w:rsidRDefault="00F82E41" w:rsidP="00444365">
            <w:pPr>
              <w:jc w:val="center"/>
              <w:rPr>
                <w:rFonts w:ascii="Arial" w:hAnsi="Arial" w:cs="Arial"/>
                <w:sz w:val="18"/>
                <w:szCs w:val="18"/>
              </w:rPr>
            </w:pPr>
            <w:r w:rsidRPr="006715E2">
              <w:rPr>
                <w:rFonts w:ascii="Arial" w:hAnsi="Arial" w:cs="Arial"/>
                <w:sz w:val="18"/>
                <w:szCs w:val="18"/>
              </w:rPr>
              <w:t>NOx: 24.616</w:t>
            </w:r>
          </w:p>
          <w:p w14:paraId="49C88127"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rPr>
              <w:t>(2013)</w:t>
            </w:r>
          </w:p>
        </w:tc>
        <w:tc>
          <w:tcPr>
            <w:tcW w:w="0" w:type="auto"/>
          </w:tcPr>
          <w:p w14:paraId="2C0F9ED2" w14:textId="77777777" w:rsidR="00F82E41" w:rsidRPr="006715E2" w:rsidRDefault="00F82E41" w:rsidP="00444365">
            <w:pPr>
              <w:jc w:val="center"/>
              <w:rPr>
                <w:rFonts w:ascii="Arial" w:hAnsi="Arial" w:cs="Arial"/>
                <w:sz w:val="18"/>
                <w:szCs w:val="18"/>
              </w:rPr>
            </w:pPr>
            <w:r w:rsidRPr="006715E2">
              <w:rPr>
                <w:rFonts w:ascii="Arial" w:hAnsi="Arial" w:cs="Arial"/>
                <w:sz w:val="18"/>
                <w:szCs w:val="18"/>
              </w:rPr>
              <w:t>CO2: 8.835</w:t>
            </w:r>
          </w:p>
          <w:p w14:paraId="6E4C961C" w14:textId="77777777" w:rsidR="00F82E41" w:rsidRPr="006715E2" w:rsidRDefault="00F82E41" w:rsidP="00444365">
            <w:pPr>
              <w:jc w:val="center"/>
              <w:rPr>
                <w:rFonts w:ascii="Arial" w:hAnsi="Arial" w:cs="Arial"/>
                <w:sz w:val="18"/>
                <w:szCs w:val="18"/>
              </w:rPr>
            </w:pPr>
            <w:r w:rsidRPr="006715E2">
              <w:rPr>
                <w:rFonts w:ascii="Arial" w:hAnsi="Arial" w:cs="Arial"/>
                <w:sz w:val="18"/>
                <w:szCs w:val="18"/>
              </w:rPr>
              <w:t>NOx: 21.732,5</w:t>
            </w:r>
          </w:p>
          <w:p w14:paraId="0B279661"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08C0B16D" w14:textId="77777777" w:rsidR="00F82E41" w:rsidRPr="006715E2" w:rsidRDefault="00F82E41" w:rsidP="00444365">
            <w:pPr>
              <w:contextualSpacing/>
              <w:jc w:val="both"/>
              <w:rPr>
                <w:rFonts w:ascii="Arial" w:hAnsi="Arial" w:cs="Arial"/>
                <w:color w:val="000000"/>
                <w:sz w:val="18"/>
                <w:szCs w:val="18"/>
                <w:lang w:val="es-ES"/>
              </w:rPr>
            </w:pPr>
            <w:r w:rsidRPr="006715E2">
              <w:rPr>
                <w:rFonts w:ascii="Arial" w:hAnsi="Arial" w:cs="Arial"/>
                <w:sz w:val="18"/>
                <w:szCs w:val="18"/>
                <w:lang w:val="es-ES"/>
              </w:rPr>
              <w:t>Estimaciones de la Evaluación Económica del Programa.</w:t>
            </w:r>
          </w:p>
        </w:tc>
      </w:tr>
      <w:tr w:rsidR="00F82E41" w:rsidRPr="006715E2" w14:paraId="64BB9268" w14:textId="77777777" w:rsidTr="61035E3E">
        <w:trPr>
          <w:trHeight w:hRule="exact" w:val="973"/>
          <w:jc w:val="center"/>
        </w:trPr>
        <w:tc>
          <w:tcPr>
            <w:tcW w:w="0" w:type="auto"/>
          </w:tcPr>
          <w:p w14:paraId="766DF71D"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Número de descarrilamientos anuales  reportados en las redes ferroviarias oriental y occidental.</w:t>
            </w:r>
          </w:p>
        </w:tc>
        <w:tc>
          <w:tcPr>
            <w:tcW w:w="0" w:type="auto"/>
          </w:tcPr>
          <w:p w14:paraId="73AE000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Red Oriental: 87</w:t>
            </w:r>
          </w:p>
          <w:p w14:paraId="75440D5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Red Occidental: 108</w:t>
            </w:r>
          </w:p>
          <w:p w14:paraId="4EC0CC19"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 (2013)</w:t>
            </w:r>
          </w:p>
        </w:tc>
        <w:tc>
          <w:tcPr>
            <w:tcW w:w="0" w:type="auto"/>
          </w:tcPr>
          <w:p w14:paraId="5562C0E9"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Red Oriental: 43</w:t>
            </w:r>
          </w:p>
          <w:p w14:paraId="488F7EB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 xml:space="preserve">Red Occidental: 54 </w:t>
            </w:r>
          </w:p>
          <w:p w14:paraId="43FD04AD"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5CA944A7" w14:textId="77777777" w:rsidR="00F82E41" w:rsidRPr="006715E2" w:rsidRDefault="00F82E41" w:rsidP="00444365">
            <w:pPr>
              <w:contextualSpacing/>
              <w:jc w:val="both"/>
              <w:rPr>
                <w:rFonts w:ascii="Arial" w:hAnsi="Arial" w:cs="Arial"/>
                <w:color w:val="000000"/>
                <w:sz w:val="18"/>
                <w:szCs w:val="18"/>
                <w:lang w:val="es-ES"/>
              </w:rPr>
            </w:pPr>
            <w:r w:rsidRPr="006715E2">
              <w:rPr>
                <w:rFonts w:ascii="Arial" w:hAnsi="Arial" w:cs="Arial"/>
                <w:sz w:val="18"/>
                <w:szCs w:val="18"/>
                <w:lang w:val="es-ES"/>
              </w:rPr>
              <w:t>Memoria Anual de FOSA y FCA, recopilada por el VMT.</w:t>
            </w:r>
          </w:p>
        </w:tc>
      </w:tr>
      <w:tr w:rsidR="00F82E41" w:rsidRPr="00F64E64" w14:paraId="45A6080C" w14:textId="77777777" w:rsidTr="61035E3E">
        <w:trPr>
          <w:trHeight w:hRule="exact" w:val="640"/>
          <w:jc w:val="center"/>
        </w:trPr>
        <w:tc>
          <w:tcPr>
            <w:tcW w:w="0" w:type="auto"/>
          </w:tcPr>
          <w:p w14:paraId="0AEC9486" w14:textId="77777777" w:rsidR="00F82E41" w:rsidRPr="006715E2" w:rsidRDefault="00F82E41" w:rsidP="00444365">
            <w:pPr>
              <w:jc w:val="both"/>
              <w:rPr>
                <w:rFonts w:ascii="Arial" w:hAnsi="Arial" w:cs="Arial"/>
                <w:sz w:val="18"/>
                <w:szCs w:val="18"/>
                <w:lang w:val="es-ES"/>
              </w:rPr>
            </w:pPr>
            <w:r w:rsidRPr="006715E2">
              <w:rPr>
                <w:rFonts w:ascii="Arial" w:hAnsi="Arial" w:cs="Arial"/>
                <w:sz w:val="18"/>
                <w:szCs w:val="18"/>
                <w:lang w:val="es-ES"/>
              </w:rPr>
              <w:t>Número de reclamos directos relacionados con la calidad del servicio aéreo (incluyendo atención, equipaje, y encomiendas) recibidos anualmente.</w:t>
            </w:r>
          </w:p>
          <w:p w14:paraId="310A8C02"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_tradnl"/>
              </w:rPr>
              <w:t xml:space="preserve"> </w:t>
            </w:r>
          </w:p>
        </w:tc>
        <w:tc>
          <w:tcPr>
            <w:tcW w:w="0" w:type="auto"/>
          </w:tcPr>
          <w:p w14:paraId="7CA9EC75"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1.641 </w:t>
            </w:r>
          </w:p>
          <w:p w14:paraId="1DE14C80"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6740980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1.198 </w:t>
            </w:r>
          </w:p>
          <w:p w14:paraId="3416047D"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4BB6FA1D"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Reporte de la Oficina del Consumidor de la ATT.</w:t>
            </w:r>
          </w:p>
        </w:tc>
      </w:tr>
      <w:tr w:rsidR="00F82E41" w:rsidRPr="00F64E64" w14:paraId="1E4C80E5" w14:textId="77777777" w:rsidTr="61035E3E">
        <w:trPr>
          <w:trHeight w:hRule="exact" w:val="802"/>
          <w:jc w:val="center"/>
        </w:trPr>
        <w:tc>
          <w:tcPr>
            <w:tcW w:w="0" w:type="auto"/>
          </w:tcPr>
          <w:p w14:paraId="0D8F8237"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Número de reclamos directos por cancelación de vuelos recibidos anualmente.</w:t>
            </w:r>
          </w:p>
        </w:tc>
        <w:tc>
          <w:tcPr>
            <w:tcW w:w="0" w:type="auto"/>
          </w:tcPr>
          <w:p w14:paraId="558320E4"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 xml:space="preserve">150 </w:t>
            </w:r>
          </w:p>
          <w:p w14:paraId="2291AB6A"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p w14:paraId="4969BA27" w14:textId="77777777" w:rsidR="00F82E41" w:rsidRPr="006715E2" w:rsidRDefault="00F82E41" w:rsidP="00444365">
            <w:pPr>
              <w:suppressAutoHyphens/>
              <w:spacing w:line="0" w:lineRule="atLeast"/>
              <w:jc w:val="center"/>
              <w:rPr>
                <w:rFonts w:ascii="Arial" w:hAnsi="Arial" w:cs="Arial"/>
                <w:sz w:val="18"/>
                <w:szCs w:val="18"/>
                <w:lang w:val="es-ES"/>
              </w:rPr>
            </w:pPr>
          </w:p>
        </w:tc>
        <w:tc>
          <w:tcPr>
            <w:tcW w:w="0" w:type="auto"/>
          </w:tcPr>
          <w:p w14:paraId="7817504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135</w:t>
            </w:r>
            <w:r w:rsidRPr="006715E2" w:rsidDel="001F7FF5">
              <w:rPr>
                <w:rFonts w:ascii="Arial" w:hAnsi="Arial" w:cs="Arial"/>
                <w:sz w:val="18"/>
                <w:szCs w:val="18"/>
                <w:lang w:val="es-ES"/>
              </w:rPr>
              <w:t xml:space="preserve"> </w:t>
            </w:r>
          </w:p>
          <w:p w14:paraId="31703D31"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39E84283"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Reporte de la Oficina del Consumidor de la ATT.</w:t>
            </w:r>
          </w:p>
        </w:tc>
      </w:tr>
      <w:tr w:rsidR="00F82E41" w:rsidRPr="00F64E64" w14:paraId="1FD11AAB" w14:textId="77777777" w:rsidTr="00F64E64">
        <w:trPr>
          <w:trHeight w:hRule="exact" w:val="685"/>
          <w:jc w:val="center"/>
        </w:trPr>
        <w:tc>
          <w:tcPr>
            <w:tcW w:w="0" w:type="auto"/>
          </w:tcPr>
          <w:p w14:paraId="77F99AD8"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Número de reclamos directos por la puntualidad de vuelos recibidos anualmente.</w:t>
            </w:r>
          </w:p>
        </w:tc>
        <w:tc>
          <w:tcPr>
            <w:tcW w:w="0" w:type="auto"/>
          </w:tcPr>
          <w:p w14:paraId="3DB63F83"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 xml:space="preserve">669 </w:t>
            </w:r>
          </w:p>
          <w:p w14:paraId="13AF65C6"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4AE026F5"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602 </w:t>
            </w:r>
          </w:p>
          <w:p w14:paraId="1443708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7A40B79E"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Reporte de Oficina del Consumidor de la ATT.</w:t>
            </w:r>
          </w:p>
        </w:tc>
      </w:tr>
      <w:tr w:rsidR="00F82E41" w:rsidRPr="00F64E64" w14:paraId="00DD501A" w14:textId="77777777" w:rsidTr="61035E3E">
        <w:trPr>
          <w:trHeight w:hRule="exact" w:val="820"/>
          <w:jc w:val="center"/>
        </w:trPr>
        <w:tc>
          <w:tcPr>
            <w:tcW w:w="0" w:type="auto"/>
          </w:tcPr>
          <w:p w14:paraId="33F8C5BF" w14:textId="77777777" w:rsidR="00F82E41" w:rsidRPr="006715E2" w:rsidRDefault="00F82E41" w:rsidP="00444365">
            <w:pPr>
              <w:pStyle w:val="p1"/>
              <w:rPr>
                <w:rFonts w:ascii="Arial" w:hAnsi="Arial" w:cs="Arial"/>
                <w:sz w:val="18"/>
                <w:szCs w:val="18"/>
                <w:lang w:val="es-ES"/>
              </w:rPr>
            </w:pPr>
            <w:r w:rsidRPr="006715E2">
              <w:rPr>
                <w:rFonts w:ascii="Arial" w:hAnsi="Arial" w:cs="Arial"/>
                <w:sz w:val="18"/>
                <w:szCs w:val="18"/>
                <w:lang w:val="es-ES"/>
              </w:rPr>
              <w:t xml:space="preserve">Porcentaje de aeródromos de uso público certificados para atender operaciones de transporte aéreo público.  </w:t>
            </w:r>
          </w:p>
          <w:p w14:paraId="69C70FFE" w14:textId="77777777" w:rsidR="00F82E41" w:rsidRPr="006715E2" w:rsidRDefault="00F82E41" w:rsidP="00444365">
            <w:pPr>
              <w:jc w:val="both"/>
              <w:rPr>
                <w:rFonts w:ascii="Arial" w:hAnsi="Arial" w:cs="Arial"/>
                <w:sz w:val="18"/>
                <w:szCs w:val="18"/>
                <w:lang w:val="es-ES"/>
              </w:rPr>
            </w:pPr>
          </w:p>
          <w:p w14:paraId="14BD7AC9" w14:textId="77777777" w:rsidR="00F82E41" w:rsidRPr="006715E2" w:rsidRDefault="00F82E41" w:rsidP="00444365">
            <w:pPr>
              <w:jc w:val="both"/>
              <w:rPr>
                <w:rFonts w:ascii="Arial" w:hAnsi="Arial" w:cs="Arial"/>
                <w:sz w:val="18"/>
                <w:szCs w:val="18"/>
                <w:lang w:val="es-ES"/>
              </w:rPr>
            </w:pPr>
          </w:p>
          <w:p w14:paraId="441C3FFE" w14:textId="77777777" w:rsidR="00F82E41" w:rsidRPr="006715E2" w:rsidRDefault="00F82E41" w:rsidP="00444365">
            <w:pPr>
              <w:jc w:val="both"/>
              <w:rPr>
                <w:rFonts w:ascii="Arial" w:hAnsi="Arial" w:cs="Arial"/>
                <w:sz w:val="18"/>
                <w:szCs w:val="18"/>
                <w:lang w:val="es-ES"/>
              </w:rPr>
            </w:pPr>
          </w:p>
          <w:p w14:paraId="0ACFDE59" w14:textId="77777777" w:rsidR="00F82E41" w:rsidRPr="006715E2" w:rsidRDefault="00F82E41" w:rsidP="00444365">
            <w:pPr>
              <w:jc w:val="both"/>
              <w:rPr>
                <w:rFonts w:ascii="Arial" w:hAnsi="Arial" w:cs="Arial"/>
                <w:sz w:val="18"/>
                <w:szCs w:val="18"/>
                <w:lang w:val="es-ES"/>
              </w:rPr>
            </w:pPr>
          </w:p>
          <w:p w14:paraId="6391C576" w14:textId="77777777" w:rsidR="00F82E41" w:rsidRPr="006715E2" w:rsidRDefault="00F82E41" w:rsidP="00444365">
            <w:pPr>
              <w:spacing w:before="60" w:after="60"/>
              <w:rPr>
                <w:rFonts w:ascii="Arial" w:hAnsi="Arial" w:cs="Arial"/>
                <w:sz w:val="18"/>
                <w:szCs w:val="18"/>
                <w:lang w:val="es-ES"/>
              </w:rPr>
            </w:pPr>
          </w:p>
        </w:tc>
        <w:tc>
          <w:tcPr>
            <w:tcW w:w="0" w:type="auto"/>
          </w:tcPr>
          <w:p w14:paraId="6A51247E"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8,33% </w:t>
            </w:r>
          </w:p>
          <w:p w14:paraId="45F1F3CE"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(2016)</w:t>
            </w:r>
          </w:p>
        </w:tc>
        <w:tc>
          <w:tcPr>
            <w:tcW w:w="0" w:type="auto"/>
          </w:tcPr>
          <w:p w14:paraId="6E22ED3D"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12,5% </w:t>
            </w:r>
          </w:p>
          <w:p w14:paraId="4CF44155"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517B439A"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Certificados otorgados por la DGAC – Publicación de Información de Aeronáutica.</w:t>
            </w:r>
          </w:p>
        </w:tc>
      </w:tr>
      <w:tr w:rsidR="00F82E41" w:rsidRPr="00F64E64" w14:paraId="06308FBE" w14:textId="77777777" w:rsidTr="61035E3E">
        <w:trPr>
          <w:trHeight w:hRule="exact" w:val="982"/>
          <w:jc w:val="center"/>
        </w:trPr>
        <w:tc>
          <w:tcPr>
            <w:tcW w:w="0" w:type="auto"/>
          </w:tcPr>
          <w:p w14:paraId="4556B12A"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Número de planes maestros de aeropuertos actualizados de acuerdo a la Guía para la preparación de planes maestros de transporte aéreo.</w:t>
            </w:r>
          </w:p>
        </w:tc>
        <w:tc>
          <w:tcPr>
            <w:tcW w:w="0" w:type="auto"/>
          </w:tcPr>
          <w:p w14:paraId="29D7692F"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0 </w:t>
            </w:r>
          </w:p>
          <w:p w14:paraId="47EAF59C"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1BDD2ABB"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3 </w:t>
            </w:r>
          </w:p>
          <w:p w14:paraId="0EBCFF3C"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0398563A"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Documento Plan maestro aprobado por el VMT.</w:t>
            </w:r>
          </w:p>
        </w:tc>
      </w:tr>
      <w:tr w:rsidR="00F82E41" w:rsidRPr="00BE0E1A" w14:paraId="7B047B64" w14:textId="77777777" w:rsidTr="61035E3E">
        <w:trPr>
          <w:trHeight w:hRule="exact" w:val="982"/>
          <w:jc w:val="center"/>
        </w:trPr>
        <w:tc>
          <w:tcPr>
            <w:tcW w:w="0" w:type="auto"/>
          </w:tcPr>
          <w:p w14:paraId="100726FF"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lastRenderedPageBreak/>
              <w:t>Porcentaje de aeropuertos en operación que aplican medidas de mitigación ambiental.</w:t>
            </w:r>
          </w:p>
        </w:tc>
        <w:tc>
          <w:tcPr>
            <w:tcW w:w="0" w:type="auto"/>
          </w:tcPr>
          <w:p w14:paraId="7D6FB63C"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0% </w:t>
            </w:r>
          </w:p>
          <w:p w14:paraId="41AF2571"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773C2D73"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100% </w:t>
            </w:r>
          </w:p>
          <w:p w14:paraId="5AA886F7"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0E4EAB0B"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 xml:space="preserve">Licencias ambientales otorgadas por la Autoridad Ambiental Competente y los informes de monitoreo anual (IMA). </w:t>
            </w:r>
          </w:p>
        </w:tc>
      </w:tr>
      <w:tr w:rsidR="00F82E41" w:rsidRPr="00BE0E1A" w14:paraId="2E68B87B" w14:textId="77777777" w:rsidTr="61035E3E">
        <w:trPr>
          <w:trHeight w:hRule="exact" w:val="982"/>
          <w:jc w:val="center"/>
        </w:trPr>
        <w:tc>
          <w:tcPr>
            <w:tcW w:w="0" w:type="auto"/>
          </w:tcPr>
          <w:p w14:paraId="75FEA695" w14:textId="77777777" w:rsidR="00F82E41" w:rsidRPr="006715E2" w:rsidRDefault="00F82E41" w:rsidP="00444365">
            <w:pPr>
              <w:spacing w:before="60" w:after="60"/>
              <w:rPr>
                <w:rFonts w:ascii="Arial" w:hAnsi="Arial" w:cs="Arial"/>
                <w:sz w:val="18"/>
                <w:szCs w:val="18"/>
                <w:lang w:val="es-ES"/>
              </w:rPr>
            </w:pPr>
            <w:r w:rsidRPr="006715E2">
              <w:rPr>
                <w:rFonts w:ascii="Arial" w:hAnsi="Arial" w:cs="Arial"/>
                <w:sz w:val="18"/>
                <w:szCs w:val="18"/>
                <w:lang w:val="es-ES"/>
              </w:rPr>
              <w:t xml:space="preserve">Porcentaje de operadores de transporte acuático de pasajeros que tienen seguro de terceros. </w:t>
            </w:r>
          </w:p>
        </w:tc>
        <w:tc>
          <w:tcPr>
            <w:tcW w:w="0" w:type="auto"/>
          </w:tcPr>
          <w:p w14:paraId="45499AB0"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0% </w:t>
            </w:r>
          </w:p>
          <w:p w14:paraId="33C035D1"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6FDD71A2" w14:textId="77777777" w:rsidR="00F82E41" w:rsidRPr="006715E2" w:rsidRDefault="00F82E41" w:rsidP="00444365">
            <w:pPr>
              <w:jc w:val="center"/>
              <w:rPr>
                <w:rFonts w:ascii="Arial" w:hAnsi="Arial" w:cs="Arial"/>
                <w:sz w:val="18"/>
                <w:szCs w:val="18"/>
                <w:lang w:val="es-ES"/>
              </w:rPr>
            </w:pPr>
            <w:r w:rsidRPr="006715E2">
              <w:rPr>
                <w:rFonts w:ascii="Arial" w:hAnsi="Arial" w:cs="Arial"/>
                <w:sz w:val="18"/>
                <w:szCs w:val="18"/>
                <w:lang w:val="es-ES"/>
              </w:rPr>
              <w:t xml:space="preserve">50% </w:t>
            </w:r>
          </w:p>
          <w:p w14:paraId="1D5D4479"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(2020)</w:t>
            </w:r>
          </w:p>
        </w:tc>
        <w:tc>
          <w:tcPr>
            <w:tcW w:w="0" w:type="auto"/>
          </w:tcPr>
          <w:p w14:paraId="1E1889BC"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Documentación publicada por el MOPSV.</w:t>
            </w:r>
          </w:p>
        </w:tc>
      </w:tr>
      <w:tr w:rsidR="00F82E41" w:rsidRPr="006715E2" w14:paraId="0C46EA70" w14:textId="77777777" w:rsidTr="61035E3E">
        <w:trPr>
          <w:trHeight w:hRule="exact" w:val="982"/>
          <w:jc w:val="center"/>
        </w:trPr>
        <w:tc>
          <w:tcPr>
            <w:tcW w:w="0" w:type="auto"/>
          </w:tcPr>
          <w:p w14:paraId="027A0F98" w14:textId="73C33A2B" w:rsidR="00F82E41" w:rsidRPr="006715E2" w:rsidRDefault="00F82E41" w:rsidP="00126BA3">
            <w:pPr>
              <w:spacing w:before="60" w:after="60"/>
              <w:rPr>
                <w:rFonts w:ascii="Arial" w:hAnsi="Arial" w:cs="Arial"/>
                <w:sz w:val="18"/>
                <w:szCs w:val="18"/>
                <w:lang w:val="es-ES"/>
              </w:rPr>
            </w:pPr>
            <w:r w:rsidRPr="00F64E64">
              <w:rPr>
                <w:rFonts w:ascii="Arial" w:hAnsi="Arial" w:cs="Arial"/>
                <w:sz w:val="18"/>
                <w:szCs w:val="18"/>
                <w:lang w:val="es-ES"/>
              </w:rPr>
              <w:t>Porcentaje de</w:t>
            </w:r>
            <w:r w:rsidR="00126BA3" w:rsidRPr="00F64E64">
              <w:rPr>
                <w:rFonts w:ascii="Arial" w:hAnsi="Arial" w:cs="Arial"/>
                <w:sz w:val="18"/>
                <w:szCs w:val="18"/>
                <w:lang w:val="es-ES"/>
              </w:rPr>
              <w:t xml:space="preserve"> las</w:t>
            </w:r>
            <w:r w:rsidRPr="00F64E64">
              <w:rPr>
                <w:rFonts w:ascii="Arial" w:hAnsi="Arial" w:cs="Arial"/>
                <w:sz w:val="18"/>
                <w:szCs w:val="18"/>
                <w:lang w:val="es-ES"/>
              </w:rPr>
              <w:t xml:space="preserve"> intervenciones </w:t>
            </w:r>
            <w:r w:rsidRPr="006715E2">
              <w:rPr>
                <w:rFonts w:ascii="Arial" w:hAnsi="Arial" w:cs="Arial"/>
                <w:sz w:val="18"/>
                <w:szCs w:val="18"/>
                <w:lang w:val="es-ES"/>
              </w:rPr>
              <w:t>de seguridad vial</w:t>
            </w:r>
            <w:r w:rsidRPr="00F64E64">
              <w:rPr>
                <w:rFonts w:ascii="Arial" w:hAnsi="Arial" w:cs="Arial"/>
                <w:sz w:val="18"/>
                <w:szCs w:val="18"/>
                <w:lang w:val="es-ES"/>
              </w:rPr>
              <w:t xml:space="preserve"> identificadas por el Programa de Puntos Críticos de la ABC</w:t>
            </w:r>
            <w:r w:rsidR="00126BA3" w:rsidRPr="00F64E64">
              <w:rPr>
                <w:rFonts w:ascii="Arial" w:hAnsi="Arial" w:cs="Arial"/>
                <w:sz w:val="18"/>
                <w:szCs w:val="18"/>
                <w:lang w:val="es-ES"/>
              </w:rPr>
              <w:t xml:space="preserve"> ejecutadas</w:t>
            </w:r>
            <w:r w:rsidRPr="00F64E64">
              <w:rPr>
                <w:rFonts w:ascii="Arial" w:hAnsi="Arial" w:cs="Arial"/>
                <w:sz w:val="18"/>
                <w:szCs w:val="18"/>
                <w:lang w:val="es-ES"/>
              </w:rPr>
              <w:t>.</w:t>
            </w:r>
          </w:p>
        </w:tc>
        <w:tc>
          <w:tcPr>
            <w:tcW w:w="0" w:type="auto"/>
          </w:tcPr>
          <w:p w14:paraId="1FB4E395" w14:textId="77777777" w:rsidR="00F82E41" w:rsidRPr="006715E2" w:rsidRDefault="00F82E41" w:rsidP="00444365">
            <w:pPr>
              <w:spacing w:line="0" w:lineRule="atLeast"/>
              <w:jc w:val="center"/>
              <w:rPr>
                <w:rFonts w:ascii="Arial" w:hAnsi="Arial" w:cs="Arial"/>
                <w:sz w:val="18"/>
                <w:szCs w:val="18"/>
                <w:lang w:val="es-ES"/>
              </w:rPr>
            </w:pPr>
            <w:r w:rsidRPr="006715E2">
              <w:rPr>
                <w:rFonts w:ascii="Arial" w:hAnsi="Arial" w:cs="Arial"/>
                <w:sz w:val="18"/>
                <w:szCs w:val="18"/>
                <w:lang w:val="es-ES"/>
              </w:rPr>
              <w:t xml:space="preserve">0% </w:t>
            </w:r>
          </w:p>
          <w:p w14:paraId="798B88CB"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(2013)</w:t>
            </w:r>
          </w:p>
        </w:tc>
        <w:tc>
          <w:tcPr>
            <w:tcW w:w="0" w:type="auto"/>
          </w:tcPr>
          <w:p w14:paraId="790BD764"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10%</w:t>
            </w:r>
          </w:p>
          <w:p w14:paraId="56531D13" w14:textId="77777777" w:rsidR="00F82E41" w:rsidRPr="006715E2" w:rsidRDefault="00F82E41" w:rsidP="00444365">
            <w:pPr>
              <w:suppressAutoHyphens/>
              <w:spacing w:line="0" w:lineRule="atLeast"/>
              <w:jc w:val="center"/>
              <w:rPr>
                <w:rFonts w:ascii="Arial" w:hAnsi="Arial" w:cs="Arial"/>
                <w:sz w:val="18"/>
                <w:szCs w:val="18"/>
                <w:lang w:val="es-ES"/>
              </w:rPr>
            </w:pPr>
            <w:r w:rsidRPr="006715E2">
              <w:rPr>
                <w:rFonts w:ascii="Arial" w:hAnsi="Arial" w:cs="Arial"/>
                <w:sz w:val="18"/>
                <w:szCs w:val="18"/>
                <w:lang w:val="es-ES"/>
              </w:rPr>
              <w:t xml:space="preserve"> (2020)</w:t>
            </w:r>
          </w:p>
        </w:tc>
        <w:tc>
          <w:tcPr>
            <w:tcW w:w="0" w:type="auto"/>
          </w:tcPr>
          <w:p w14:paraId="4D8F4495" w14:textId="77777777" w:rsidR="00F82E41" w:rsidRPr="006715E2" w:rsidRDefault="00F82E41" w:rsidP="00444365">
            <w:pPr>
              <w:contextualSpacing/>
              <w:jc w:val="both"/>
              <w:rPr>
                <w:rFonts w:ascii="Arial" w:hAnsi="Arial" w:cs="Arial"/>
                <w:sz w:val="18"/>
                <w:szCs w:val="18"/>
                <w:lang w:val="es-ES"/>
              </w:rPr>
            </w:pPr>
            <w:r w:rsidRPr="006715E2">
              <w:rPr>
                <w:rFonts w:ascii="Arial" w:hAnsi="Arial" w:cs="Arial"/>
                <w:sz w:val="18"/>
                <w:szCs w:val="18"/>
                <w:lang w:val="es-ES"/>
              </w:rPr>
              <w:t>Informes especiales de la ABC.</w:t>
            </w:r>
          </w:p>
        </w:tc>
      </w:tr>
    </w:tbl>
    <w:p w14:paraId="179C8A28" w14:textId="77777777" w:rsidR="00F82E41" w:rsidRPr="006715E2" w:rsidRDefault="00F82E41" w:rsidP="00F82E41">
      <w:pPr>
        <w:pStyle w:val="Title"/>
        <w:tabs>
          <w:tab w:val="clear" w:pos="1440"/>
          <w:tab w:val="clear" w:pos="3060"/>
        </w:tabs>
        <w:spacing w:line="276" w:lineRule="auto"/>
        <w:jc w:val="both"/>
        <w:outlineLvl w:val="9"/>
        <w:rPr>
          <w:rFonts w:ascii="Arial" w:hAnsi="Arial" w:cs="Arial"/>
          <w:lang w:val="es-ES"/>
        </w:rPr>
      </w:pPr>
    </w:p>
    <w:p w14:paraId="52CBCE82" w14:textId="77777777" w:rsidR="000F747F" w:rsidRDefault="00F82E41" w:rsidP="00F64E64">
      <w:pPr>
        <w:pStyle w:val="Title"/>
        <w:tabs>
          <w:tab w:val="clear" w:pos="1440"/>
          <w:tab w:val="clear" w:pos="3060"/>
        </w:tabs>
        <w:spacing w:line="276" w:lineRule="auto"/>
        <w:jc w:val="both"/>
        <w:rPr>
          <w:rFonts w:ascii="Arial" w:hAnsi="Arial" w:cs="Arial"/>
          <w:lang w:val="es-ES"/>
        </w:rPr>
      </w:pPr>
      <w:r>
        <w:rPr>
          <w:rFonts w:ascii="Arial" w:hAnsi="Arial" w:cs="Arial"/>
          <w:lang w:val="es-ES"/>
        </w:rPr>
        <w:t xml:space="preserve">Adicionalmente, </w:t>
      </w:r>
      <w:r w:rsidRPr="007471B8">
        <w:rPr>
          <w:rFonts w:ascii="Arial" w:hAnsi="Arial" w:cs="Arial"/>
          <w:lang w:val="es-ES"/>
        </w:rPr>
        <w:t xml:space="preserve">se realizará </w:t>
      </w:r>
      <w:r w:rsidRPr="00AF654C">
        <w:rPr>
          <w:rFonts w:ascii="Arial" w:hAnsi="Arial" w:cs="Arial"/>
          <w:lang w:val="es-ES"/>
        </w:rPr>
        <w:t>una</w:t>
      </w:r>
      <w:r w:rsidRPr="006715E2">
        <w:rPr>
          <w:rFonts w:ascii="Arial" w:hAnsi="Arial" w:cs="Arial"/>
          <w:lang w:val="es-ES"/>
        </w:rPr>
        <w:t xml:space="preserve"> evaluación ex-post </w:t>
      </w:r>
      <w:r>
        <w:rPr>
          <w:rFonts w:ascii="Arial" w:hAnsi="Arial" w:cs="Arial"/>
          <w:lang w:val="es-ES"/>
        </w:rPr>
        <w:t>que</w:t>
      </w:r>
      <w:r w:rsidRPr="006715E2">
        <w:rPr>
          <w:rFonts w:ascii="Arial" w:hAnsi="Arial" w:cs="Arial"/>
          <w:lang w:val="es-ES"/>
        </w:rPr>
        <w:t xml:space="preserve"> consistirá en la medición o sistematización y explicación de </w:t>
      </w:r>
      <w:r>
        <w:rPr>
          <w:rFonts w:ascii="Arial" w:hAnsi="Arial" w:cs="Arial"/>
          <w:lang w:val="es-ES"/>
        </w:rPr>
        <w:t xml:space="preserve">los </w:t>
      </w:r>
      <w:r w:rsidRPr="006715E2">
        <w:rPr>
          <w:rFonts w:ascii="Arial" w:hAnsi="Arial" w:cs="Arial"/>
          <w:lang w:val="es-ES"/>
        </w:rPr>
        <w:t xml:space="preserve">resultados </w:t>
      </w:r>
      <w:r>
        <w:rPr>
          <w:rFonts w:ascii="Arial" w:hAnsi="Arial" w:cs="Arial"/>
          <w:lang w:val="es-ES"/>
        </w:rPr>
        <w:t>atribuibles al Programa, utilizando los</w:t>
      </w:r>
      <w:r w:rsidRPr="006715E2">
        <w:rPr>
          <w:rFonts w:ascii="Arial" w:hAnsi="Arial" w:cs="Arial"/>
          <w:lang w:val="es-ES"/>
        </w:rPr>
        <w:t xml:space="preserve"> datos observados </w:t>
      </w:r>
      <w:r>
        <w:rPr>
          <w:rFonts w:ascii="Arial" w:hAnsi="Arial" w:cs="Arial"/>
          <w:lang w:val="es-ES"/>
        </w:rPr>
        <w:t>para el cálculo de los</w:t>
      </w:r>
      <w:r w:rsidRPr="006715E2">
        <w:rPr>
          <w:rFonts w:ascii="Arial" w:hAnsi="Arial" w:cs="Arial"/>
          <w:lang w:val="es-ES"/>
        </w:rPr>
        <w:t xml:space="preserve"> indicadores </w:t>
      </w:r>
      <w:r>
        <w:rPr>
          <w:rFonts w:ascii="Arial" w:hAnsi="Arial" w:cs="Arial"/>
          <w:lang w:val="es-ES"/>
        </w:rPr>
        <w:t>evaluados en el análisis económico ex ante</w:t>
      </w:r>
      <w:r w:rsidRPr="006715E2">
        <w:rPr>
          <w:rFonts w:ascii="Arial" w:hAnsi="Arial" w:cs="Arial"/>
          <w:lang w:val="es-ES"/>
        </w:rPr>
        <w:t>.</w:t>
      </w:r>
      <w:r>
        <w:rPr>
          <w:rFonts w:ascii="Arial" w:hAnsi="Arial" w:cs="Arial"/>
          <w:lang w:val="es-ES"/>
        </w:rPr>
        <w:t xml:space="preserve"> </w:t>
      </w:r>
      <w:r w:rsidRPr="006715E2">
        <w:rPr>
          <w:rFonts w:ascii="Arial" w:hAnsi="Arial" w:cs="Arial"/>
          <w:lang w:val="es-ES"/>
        </w:rPr>
        <w:t>La evaluación ex-post validar</w:t>
      </w:r>
      <w:r w:rsidR="00805687">
        <w:rPr>
          <w:rFonts w:ascii="Arial" w:hAnsi="Arial" w:cs="Arial"/>
          <w:lang w:val="es-ES"/>
        </w:rPr>
        <w:t>á</w:t>
      </w:r>
      <w:r w:rsidRPr="006715E2">
        <w:rPr>
          <w:rFonts w:ascii="Arial" w:hAnsi="Arial" w:cs="Arial"/>
          <w:lang w:val="es-ES"/>
        </w:rPr>
        <w:t xml:space="preserve"> si efectivamente el programa </w:t>
      </w:r>
      <w:r w:rsidRPr="00AF654C">
        <w:rPr>
          <w:rFonts w:ascii="Arial" w:hAnsi="Arial" w:cs="Arial"/>
          <w:lang w:val="es-ES"/>
        </w:rPr>
        <w:t xml:space="preserve">cumplió </w:t>
      </w:r>
      <w:r w:rsidRPr="007471B8">
        <w:rPr>
          <w:rFonts w:ascii="Arial" w:hAnsi="Arial" w:cs="Arial"/>
          <w:lang w:val="es-ES"/>
        </w:rPr>
        <w:t xml:space="preserve">con los objetivos estimados en la </w:t>
      </w:r>
      <w:r w:rsidRPr="006715E2">
        <w:rPr>
          <w:rFonts w:ascii="Arial" w:hAnsi="Arial" w:cs="Arial"/>
          <w:lang w:val="es-ES"/>
        </w:rPr>
        <w:t>evaluación ex-ante</w:t>
      </w:r>
      <w:r>
        <w:rPr>
          <w:rFonts w:ascii="Arial" w:hAnsi="Arial" w:cs="Arial"/>
          <w:lang w:val="es-ES"/>
        </w:rPr>
        <w:t xml:space="preserve">, permitiendo </w:t>
      </w:r>
      <w:r w:rsidRPr="006715E2">
        <w:rPr>
          <w:rFonts w:ascii="Arial" w:hAnsi="Arial" w:cs="Arial"/>
          <w:lang w:val="es-ES"/>
        </w:rPr>
        <w:t xml:space="preserve">conocer los efectos </w:t>
      </w:r>
      <w:r>
        <w:rPr>
          <w:rFonts w:ascii="Arial" w:hAnsi="Arial" w:cs="Arial"/>
          <w:lang w:val="es-ES"/>
        </w:rPr>
        <w:t xml:space="preserve">concretos </w:t>
      </w:r>
      <w:r w:rsidRPr="006715E2">
        <w:rPr>
          <w:rFonts w:ascii="Arial" w:hAnsi="Arial" w:cs="Arial"/>
          <w:lang w:val="es-ES"/>
        </w:rPr>
        <w:t xml:space="preserve">del </w:t>
      </w:r>
      <w:r w:rsidRPr="00AF654C">
        <w:rPr>
          <w:rFonts w:ascii="Arial" w:hAnsi="Arial" w:cs="Arial"/>
          <w:lang w:val="es-ES"/>
        </w:rPr>
        <w:t>P</w:t>
      </w:r>
      <w:r w:rsidRPr="007471B8">
        <w:rPr>
          <w:rFonts w:ascii="Arial" w:hAnsi="Arial" w:cs="Arial"/>
          <w:lang w:val="es-ES"/>
        </w:rPr>
        <w:t>rograma</w:t>
      </w:r>
      <w:r w:rsidRPr="006715E2">
        <w:rPr>
          <w:rFonts w:ascii="Arial" w:hAnsi="Arial" w:cs="Arial"/>
          <w:lang w:val="es-ES"/>
        </w:rPr>
        <w:t xml:space="preserve"> y </w:t>
      </w:r>
      <w:r>
        <w:rPr>
          <w:rFonts w:ascii="Arial" w:hAnsi="Arial" w:cs="Arial"/>
          <w:lang w:val="es-ES"/>
        </w:rPr>
        <w:t xml:space="preserve">calcular los beneficios y costos reales del Programa y por tanto cuantificar el valor social neto del Programa. </w:t>
      </w:r>
      <w:r w:rsidRPr="00AF654C">
        <w:rPr>
          <w:rFonts w:ascii="Arial" w:hAnsi="Arial" w:cs="Arial"/>
          <w:lang w:val="es-ES"/>
        </w:rPr>
        <w:t>Del mismo modo, la evaluación ex-post permitirá</w:t>
      </w:r>
      <w:r w:rsidRPr="007471B8">
        <w:rPr>
          <w:rFonts w:ascii="Arial" w:hAnsi="Arial" w:cs="Arial"/>
          <w:lang w:val="es-ES"/>
        </w:rPr>
        <w:t xml:space="preserve"> identificar l</w:t>
      </w:r>
      <w:r w:rsidRPr="006715E2">
        <w:rPr>
          <w:rFonts w:ascii="Arial" w:hAnsi="Arial" w:cs="Arial"/>
          <w:lang w:val="es-ES"/>
        </w:rPr>
        <w:t>ecciones aprendidas para la preparación de otros programas similares.</w:t>
      </w:r>
      <w:r w:rsidR="00AA2D34">
        <w:rPr>
          <w:rFonts w:ascii="Arial" w:hAnsi="Arial" w:cs="Arial"/>
          <w:lang w:val="es-ES"/>
        </w:rPr>
        <w:t xml:space="preserve"> </w:t>
      </w:r>
    </w:p>
    <w:p w14:paraId="6C6D4985" w14:textId="77777777" w:rsidR="000F747F" w:rsidRDefault="000F747F" w:rsidP="00F82E41">
      <w:pPr>
        <w:pStyle w:val="Title"/>
        <w:tabs>
          <w:tab w:val="clear" w:pos="1440"/>
          <w:tab w:val="clear" w:pos="3060"/>
        </w:tabs>
        <w:spacing w:line="276" w:lineRule="auto"/>
        <w:jc w:val="both"/>
        <w:outlineLvl w:val="9"/>
        <w:rPr>
          <w:rFonts w:ascii="Arial" w:hAnsi="Arial" w:cs="Arial"/>
          <w:lang w:val="es-ES"/>
        </w:rPr>
      </w:pPr>
    </w:p>
    <w:p w14:paraId="6B6CCE3C" w14:textId="4E70F39B" w:rsidR="00F82E41" w:rsidRPr="006715E2" w:rsidRDefault="000F747F" w:rsidP="00F64E64">
      <w:pPr>
        <w:pStyle w:val="Title"/>
        <w:tabs>
          <w:tab w:val="clear" w:pos="1440"/>
          <w:tab w:val="clear" w:pos="3060"/>
        </w:tabs>
        <w:spacing w:line="276" w:lineRule="auto"/>
        <w:jc w:val="both"/>
        <w:rPr>
          <w:rFonts w:ascii="Arial" w:hAnsi="Arial" w:cs="Arial"/>
          <w:lang w:val="es-ES"/>
        </w:rPr>
      </w:pPr>
      <w:r>
        <w:rPr>
          <w:rFonts w:ascii="Arial" w:hAnsi="Arial" w:cs="Arial"/>
          <w:lang w:val="es-ES"/>
        </w:rPr>
        <w:t>Es importante destacar, que l</w:t>
      </w:r>
      <w:r w:rsidR="00AA2D34">
        <w:rPr>
          <w:rFonts w:ascii="Arial" w:hAnsi="Arial" w:cs="Arial"/>
          <w:lang w:val="es-ES"/>
        </w:rPr>
        <w:t xml:space="preserve">a evaluación </w:t>
      </w:r>
      <w:r w:rsidR="00AA2D34" w:rsidRPr="006715E2">
        <w:rPr>
          <w:rFonts w:ascii="Arial" w:hAnsi="Arial" w:cs="Arial"/>
          <w:lang w:val="es-ES"/>
        </w:rPr>
        <w:t>ex-post</w:t>
      </w:r>
      <w:r w:rsidR="00AA2D34">
        <w:rPr>
          <w:rFonts w:ascii="Arial" w:hAnsi="Arial" w:cs="Arial"/>
          <w:lang w:val="es-ES"/>
        </w:rPr>
        <w:t xml:space="preserve"> analizará los </w:t>
      </w:r>
      <w:r>
        <w:rPr>
          <w:rFonts w:ascii="Arial" w:hAnsi="Arial" w:cs="Arial"/>
          <w:lang w:val="es-ES"/>
        </w:rPr>
        <w:t>costos y beneficios de las mismas acciones de políticas consideradas</w:t>
      </w:r>
      <w:r w:rsidR="00AA2D34">
        <w:rPr>
          <w:rFonts w:ascii="Arial" w:hAnsi="Arial" w:cs="Arial"/>
          <w:lang w:val="es-ES"/>
        </w:rPr>
        <w:t xml:space="preserve"> en la evaluación económica ex ante</w:t>
      </w:r>
      <w:r>
        <w:rPr>
          <w:rFonts w:ascii="Arial" w:hAnsi="Arial" w:cs="Arial"/>
          <w:lang w:val="es-ES"/>
        </w:rPr>
        <w:t xml:space="preserve"> (Ver </w:t>
      </w:r>
      <w:r w:rsidRPr="00F64E64">
        <w:fldChar w:fldCharType="begin"/>
      </w:r>
      <w:r>
        <w:rPr>
          <w:rFonts w:ascii="Arial" w:hAnsi="Arial" w:cs="Arial"/>
          <w:lang w:val="es-ES"/>
        </w:rPr>
        <w:instrText xml:space="preserve"> REF _Ref468955288 \h </w:instrText>
      </w:r>
      <w:r w:rsidRPr="2A9C513E">
        <w:rPr>
          <w:rFonts w:ascii="Arial" w:hAnsi="Arial" w:cs="Arial"/>
          <w:lang w:val="es-ES"/>
        </w:rPr>
        <w:fldChar w:fldCharType="separate"/>
      </w:r>
      <w:r w:rsidRPr="00F64E64">
        <w:rPr>
          <w:rFonts w:ascii="Arial" w:hAnsi="Arial" w:cs="Arial"/>
          <w:b/>
          <w:bCs/>
          <w:color w:val="000000"/>
          <w:lang w:val="es-ES"/>
        </w:rPr>
        <w:t xml:space="preserve">Tabla 5. </w:t>
      </w:r>
      <w:r w:rsidRPr="00F64E64">
        <w:rPr>
          <w:rFonts w:ascii="Arial" w:hAnsi="Arial" w:cs="Arial"/>
          <w:b/>
          <w:bCs/>
          <w:i/>
          <w:iCs/>
          <w:color w:val="000000"/>
          <w:lang w:val="es-ES"/>
        </w:rPr>
        <w:t>Acciones de Políticas consideradas en la Evaluación Económica</w:t>
      </w:r>
      <w:r w:rsidRPr="00F64E64">
        <w:fldChar w:fldCharType="end"/>
      </w:r>
      <w:r>
        <w:rPr>
          <w:rFonts w:ascii="Arial" w:hAnsi="Arial" w:cs="Arial"/>
          <w:lang w:val="es-ES"/>
        </w:rPr>
        <w:t>)</w:t>
      </w:r>
      <w:r w:rsidR="00AA2D34">
        <w:rPr>
          <w:rFonts w:ascii="Arial" w:hAnsi="Arial" w:cs="Arial"/>
          <w:lang w:val="es-ES"/>
        </w:rPr>
        <w:t xml:space="preserve">. </w:t>
      </w:r>
      <w:r>
        <w:rPr>
          <w:rFonts w:ascii="Arial" w:hAnsi="Arial" w:cs="Arial"/>
          <w:lang w:val="es-ES"/>
        </w:rPr>
        <w:t xml:space="preserve">Incluyendo por tanto un análisis de los siguientes indicadores: i) </w:t>
      </w:r>
      <w:r w:rsidRPr="00635E68">
        <w:rPr>
          <w:rFonts w:ascii="Arial" w:hAnsi="Arial" w:cs="Arial"/>
          <w:lang w:val="es-ES"/>
        </w:rPr>
        <w:t>tiempos de viaje</w:t>
      </w:r>
      <w:r>
        <w:rPr>
          <w:rFonts w:ascii="Arial" w:hAnsi="Arial" w:cs="Arial"/>
          <w:lang w:val="es-ES"/>
        </w:rPr>
        <w:t>; ii) c</w:t>
      </w:r>
      <w:r w:rsidRPr="000F747F">
        <w:rPr>
          <w:rFonts w:ascii="Arial" w:hAnsi="Arial" w:cs="Arial"/>
          <w:lang w:val="es-ES"/>
        </w:rPr>
        <w:t>ostos operativos tota</w:t>
      </w:r>
      <w:r>
        <w:rPr>
          <w:rFonts w:ascii="Arial" w:hAnsi="Arial" w:cs="Arial"/>
          <w:lang w:val="es-ES"/>
        </w:rPr>
        <w:t>les de la Red Vial Fundamental por tipo de vehículo; iii) p</w:t>
      </w:r>
      <w:r w:rsidRPr="002A65A0">
        <w:rPr>
          <w:rFonts w:ascii="Arial" w:hAnsi="Arial" w:cs="Arial"/>
          <w:lang w:val="es-ES"/>
        </w:rPr>
        <w:t>orcentaje de la RVF en condiciones buenas, regu</w:t>
      </w:r>
      <w:r>
        <w:rPr>
          <w:rFonts w:ascii="Arial" w:hAnsi="Arial" w:cs="Arial"/>
          <w:lang w:val="es-ES"/>
        </w:rPr>
        <w:t>lares y malas; iv) toneladas</w:t>
      </w:r>
      <w:r w:rsidRPr="00F64E64">
        <w:rPr>
          <w:rFonts w:ascii="Arial" w:hAnsi="Arial" w:cs="Arial"/>
          <w:lang w:val="es-ES"/>
        </w:rPr>
        <w:t xml:space="preserve"> de e</w:t>
      </w:r>
      <w:r w:rsidRPr="007126D2">
        <w:rPr>
          <w:rFonts w:ascii="Arial" w:hAnsi="Arial" w:cs="Arial"/>
          <w:lang w:val="es-ES"/>
        </w:rPr>
        <w:t>misiones producidas anualmen</w:t>
      </w:r>
      <w:r>
        <w:rPr>
          <w:rFonts w:ascii="Arial" w:hAnsi="Arial" w:cs="Arial"/>
          <w:lang w:val="es-ES"/>
        </w:rPr>
        <w:t xml:space="preserve">te </w:t>
      </w:r>
      <w:r w:rsidRPr="007126D2">
        <w:rPr>
          <w:rFonts w:ascii="Arial" w:hAnsi="Arial" w:cs="Arial"/>
          <w:lang w:val="es-ES"/>
        </w:rPr>
        <w:t>por veh</w:t>
      </w:r>
      <w:r>
        <w:rPr>
          <w:rFonts w:ascii="Arial" w:hAnsi="Arial" w:cs="Arial"/>
          <w:lang w:val="es-ES"/>
        </w:rPr>
        <w:t xml:space="preserve">ículos de pasajeros  y de carga; v) </w:t>
      </w:r>
      <w:r w:rsidR="00723001">
        <w:rPr>
          <w:rFonts w:ascii="Arial" w:hAnsi="Arial" w:cs="Arial"/>
          <w:lang w:val="es-ES"/>
        </w:rPr>
        <w:t>t</w:t>
      </w:r>
      <w:r w:rsidR="00723001" w:rsidRPr="00723001">
        <w:rPr>
          <w:rFonts w:ascii="Arial" w:hAnsi="Arial" w:cs="Arial"/>
          <w:lang w:val="es-ES"/>
        </w:rPr>
        <w:t>asa de crecimiento anual del número de fallecidos en accidentes viales</w:t>
      </w:r>
      <w:r>
        <w:rPr>
          <w:rFonts w:ascii="Arial" w:hAnsi="Arial" w:cs="Arial"/>
          <w:lang w:val="es-ES"/>
        </w:rPr>
        <w:t>; vi) c</w:t>
      </w:r>
      <w:r w:rsidRPr="002A65A0">
        <w:rPr>
          <w:rFonts w:ascii="Arial" w:hAnsi="Arial" w:cs="Arial"/>
          <w:lang w:val="es-ES"/>
        </w:rPr>
        <w:t xml:space="preserve">osto </w:t>
      </w:r>
      <w:r>
        <w:rPr>
          <w:rFonts w:ascii="Arial" w:hAnsi="Arial" w:cs="Arial"/>
          <w:lang w:val="es-ES"/>
        </w:rPr>
        <w:t>unitario de</w:t>
      </w:r>
      <w:r w:rsidRPr="002A65A0">
        <w:rPr>
          <w:rFonts w:ascii="Arial" w:hAnsi="Arial" w:cs="Arial"/>
          <w:lang w:val="es-ES"/>
        </w:rPr>
        <w:t xml:space="preserve"> mantenimiento y rehabilitación de carreteras.</w:t>
      </w:r>
    </w:p>
    <w:p w14:paraId="474E27D6" w14:textId="77777777" w:rsidR="00B04E9F" w:rsidRDefault="00B04E9F" w:rsidP="00E77C9C">
      <w:pPr>
        <w:rPr>
          <w:lang w:val="es-ES_tradnl"/>
        </w:rPr>
      </w:pPr>
    </w:p>
    <w:p w14:paraId="465B2ADC" w14:textId="77777777" w:rsidR="000E77A6" w:rsidRPr="00C71E90" w:rsidRDefault="000E77A6" w:rsidP="000E77A6">
      <w:pPr>
        <w:pStyle w:val="Caption"/>
        <w:keepNext/>
        <w:spacing w:after="0"/>
        <w:jc w:val="center"/>
        <w:rPr>
          <w:rFonts w:ascii="Arial" w:hAnsi="Arial" w:cs="Arial"/>
          <w:b/>
          <w:i w:val="0"/>
          <w:color w:val="000000" w:themeColor="text1"/>
          <w:lang w:val="es-ES"/>
        </w:rPr>
      </w:pPr>
      <w:r w:rsidRPr="00C71E90">
        <w:rPr>
          <w:rFonts w:ascii="Arial" w:hAnsi="Arial" w:cs="Arial"/>
          <w:b/>
          <w:i w:val="0"/>
          <w:color w:val="000000" w:themeColor="text1"/>
          <w:lang w:val="es-ES"/>
        </w:rPr>
        <w:t xml:space="preserve">Tabla </w:t>
      </w:r>
      <w:r w:rsidRPr="00C71E90">
        <w:rPr>
          <w:rFonts w:ascii="Arial" w:hAnsi="Arial" w:cs="Arial"/>
          <w:b/>
          <w:i w:val="0"/>
          <w:color w:val="000000" w:themeColor="text1"/>
          <w:lang w:val="es-ES"/>
        </w:rPr>
        <w:fldChar w:fldCharType="begin"/>
      </w:r>
      <w:r w:rsidRPr="00C71E90">
        <w:rPr>
          <w:rFonts w:ascii="Arial" w:hAnsi="Arial" w:cs="Arial"/>
          <w:b/>
          <w:i w:val="0"/>
          <w:color w:val="000000" w:themeColor="text1"/>
          <w:lang w:val="es-ES"/>
        </w:rPr>
        <w:instrText xml:space="preserve"> SEQ Tabla \* ARABIC </w:instrText>
      </w:r>
      <w:r w:rsidRPr="00C71E90">
        <w:rPr>
          <w:rFonts w:ascii="Arial" w:hAnsi="Arial" w:cs="Arial"/>
          <w:b/>
          <w:i w:val="0"/>
          <w:color w:val="000000" w:themeColor="text1"/>
          <w:lang w:val="es-ES"/>
        </w:rPr>
        <w:fldChar w:fldCharType="separate"/>
      </w:r>
      <w:r w:rsidRPr="00C71E90">
        <w:rPr>
          <w:rFonts w:ascii="Arial" w:hAnsi="Arial" w:cs="Arial"/>
          <w:b/>
          <w:i w:val="0"/>
          <w:color w:val="000000" w:themeColor="text1"/>
          <w:lang w:val="es-ES"/>
        </w:rPr>
        <w:t>8</w:t>
      </w:r>
      <w:r w:rsidRPr="00C71E90">
        <w:rPr>
          <w:rFonts w:ascii="Arial" w:hAnsi="Arial" w:cs="Arial"/>
          <w:b/>
          <w:i w:val="0"/>
          <w:color w:val="000000" w:themeColor="text1"/>
          <w:lang w:val="es-ES"/>
        </w:rPr>
        <w:fldChar w:fldCharType="end"/>
      </w:r>
      <w:r>
        <w:rPr>
          <w:rFonts w:ascii="Arial" w:hAnsi="Arial" w:cs="Arial"/>
          <w:b/>
          <w:i w:val="0"/>
          <w:color w:val="000000" w:themeColor="text1"/>
          <w:lang w:val="es-ES"/>
        </w:rPr>
        <w:t>. Costos y Beneficios a ser considerados en Evaluación Ex post</w:t>
      </w:r>
    </w:p>
    <w:tbl>
      <w:tblPr>
        <w:tblStyle w:val="TableGrid"/>
        <w:tblW w:w="9015" w:type="dxa"/>
        <w:tblInd w:w="108" w:type="dxa"/>
        <w:tblLook w:val="04A0" w:firstRow="1" w:lastRow="0" w:firstColumn="1" w:lastColumn="0" w:noHBand="0" w:noVBand="1"/>
      </w:tblPr>
      <w:tblGrid>
        <w:gridCol w:w="4320"/>
        <w:gridCol w:w="4695"/>
      </w:tblGrid>
      <w:tr w:rsidR="000E77A6" w:rsidRPr="00C71E90" w14:paraId="423D0809" w14:textId="77777777" w:rsidTr="2A9C513E">
        <w:tc>
          <w:tcPr>
            <w:tcW w:w="4320" w:type="dxa"/>
            <w:shd w:val="clear" w:color="auto" w:fill="BFBFBF" w:themeFill="background1" w:themeFillShade="BF"/>
          </w:tcPr>
          <w:p w14:paraId="32880347" w14:textId="77777777" w:rsidR="000E77A6" w:rsidRPr="00F64E64" w:rsidRDefault="000E77A6" w:rsidP="00F64E64">
            <w:pPr>
              <w:pStyle w:val="Title"/>
              <w:tabs>
                <w:tab w:val="clear" w:pos="1440"/>
                <w:tab w:val="clear" w:pos="3060"/>
              </w:tabs>
              <w:spacing w:line="276" w:lineRule="auto"/>
              <w:rPr>
                <w:rFonts w:ascii="Arial" w:hAnsi="Arial" w:cs="Arial"/>
                <w:b/>
                <w:bCs/>
                <w:sz w:val="20"/>
                <w:lang w:val="es-ES"/>
              </w:rPr>
            </w:pPr>
            <w:r w:rsidRPr="00F64E64">
              <w:rPr>
                <w:rFonts w:ascii="Arial" w:hAnsi="Arial" w:cs="Arial"/>
                <w:b/>
                <w:bCs/>
                <w:sz w:val="20"/>
                <w:lang w:val="es-ES"/>
              </w:rPr>
              <w:t>Costos</w:t>
            </w:r>
          </w:p>
        </w:tc>
        <w:tc>
          <w:tcPr>
            <w:tcW w:w="4695" w:type="dxa"/>
            <w:shd w:val="clear" w:color="auto" w:fill="BFBFBF" w:themeFill="background1" w:themeFillShade="BF"/>
          </w:tcPr>
          <w:p w14:paraId="26F28DF7" w14:textId="77777777" w:rsidR="000E77A6" w:rsidRPr="00F64E64" w:rsidRDefault="000E77A6" w:rsidP="00F64E64">
            <w:pPr>
              <w:pStyle w:val="Title"/>
              <w:tabs>
                <w:tab w:val="clear" w:pos="1440"/>
                <w:tab w:val="clear" w:pos="3060"/>
              </w:tabs>
              <w:spacing w:line="276" w:lineRule="auto"/>
              <w:rPr>
                <w:rFonts w:ascii="Arial" w:hAnsi="Arial" w:cs="Arial"/>
                <w:b/>
                <w:bCs/>
                <w:sz w:val="20"/>
                <w:lang w:val="es-ES"/>
              </w:rPr>
            </w:pPr>
            <w:r w:rsidRPr="00F64E64">
              <w:rPr>
                <w:rFonts w:ascii="Arial" w:hAnsi="Arial" w:cs="Arial"/>
                <w:b/>
                <w:bCs/>
                <w:sz w:val="20"/>
                <w:lang w:val="es-ES"/>
              </w:rPr>
              <w:t>Beneficios</w:t>
            </w:r>
          </w:p>
        </w:tc>
      </w:tr>
      <w:tr w:rsidR="000E77A6" w:rsidRPr="00BE0E1A" w14:paraId="4D81F51D" w14:textId="77777777" w:rsidTr="2A9C513E">
        <w:tc>
          <w:tcPr>
            <w:tcW w:w="4320" w:type="dxa"/>
          </w:tcPr>
          <w:p w14:paraId="3A6A09CD"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Desarrollo de la normativa de importación de vehículos</w:t>
            </w:r>
          </w:p>
        </w:tc>
        <w:tc>
          <w:tcPr>
            <w:tcW w:w="4695" w:type="dxa"/>
          </w:tcPr>
          <w:p w14:paraId="1106D0B9"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Reducción de la contaminación por importación de vehículos </w:t>
            </w:r>
          </w:p>
        </w:tc>
      </w:tr>
      <w:tr w:rsidR="000E77A6" w:rsidRPr="00C71E90" w14:paraId="12413E8B" w14:textId="77777777" w:rsidTr="2A9C513E">
        <w:tc>
          <w:tcPr>
            <w:tcW w:w="4320" w:type="dxa"/>
          </w:tcPr>
          <w:p w14:paraId="0DA54450"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Implementación control de importaciones de vehículos </w:t>
            </w:r>
          </w:p>
        </w:tc>
        <w:tc>
          <w:tcPr>
            <w:tcW w:w="4695" w:type="dxa"/>
          </w:tcPr>
          <w:p w14:paraId="183A5E52"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Disminución de la accidentalidad </w:t>
            </w:r>
          </w:p>
        </w:tc>
      </w:tr>
      <w:tr w:rsidR="000E77A6" w:rsidRPr="00BE0E1A" w14:paraId="068E15D0" w14:textId="77777777" w:rsidTr="2A9C513E">
        <w:tc>
          <w:tcPr>
            <w:tcW w:w="4320" w:type="dxa"/>
          </w:tcPr>
          <w:p w14:paraId="6C090A4C"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Costos importación de vehículos </w:t>
            </w:r>
          </w:p>
        </w:tc>
        <w:tc>
          <w:tcPr>
            <w:tcW w:w="4695" w:type="dxa"/>
          </w:tcPr>
          <w:p w14:paraId="31DD0178"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Menores costos por aumento en la eficiencia del mantenimiento vial y control de pesos </w:t>
            </w:r>
          </w:p>
        </w:tc>
      </w:tr>
      <w:tr w:rsidR="000E77A6" w:rsidRPr="00C71E90" w14:paraId="67F8424F" w14:textId="77777777" w:rsidTr="2A9C513E">
        <w:tc>
          <w:tcPr>
            <w:tcW w:w="4320" w:type="dxa"/>
          </w:tcPr>
          <w:p w14:paraId="13E78F67"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Plan Nacional de Seguridad Vial </w:t>
            </w:r>
          </w:p>
        </w:tc>
        <w:tc>
          <w:tcPr>
            <w:tcW w:w="4695" w:type="dxa"/>
          </w:tcPr>
          <w:p w14:paraId="357516CB"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Menores costos operativos por mejor estado de las carreteras </w:t>
            </w:r>
          </w:p>
        </w:tc>
      </w:tr>
      <w:tr w:rsidR="000E77A6" w:rsidRPr="00C71E90" w14:paraId="57646A15" w14:textId="77777777" w:rsidTr="2A9C513E">
        <w:tc>
          <w:tcPr>
            <w:tcW w:w="4320" w:type="dxa"/>
          </w:tcPr>
          <w:p w14:paraId="3A14C55D"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lastRenderedPageBreak/>
              <w:t>Elaboración Manual de prevención de accidentes</w:t>
            </w:r>
          </w:p>
        </w:tc>
        <w:tc>
          <w:tcPr>
            <w:tcW w:w="4695" w:type="dxa"/>
          </w:tcPr>
          <w:p w14:paraId="49E45381"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Ahorros de tiempo </w:t>
            </w:r>
          </w:p>
        </w:tc>
      </w:tr>
      <w:tr w:rsidR="000E77A6" w:rsidRPr="00BE0E1A" w14:paraId="0288BF46" w14:textId="77777777" w:rsidTr="2A9C513E">
        <w:tc>
          <w:tcPr>
            <w:tcW w:w="4320" w:type="dxa"/>
          </w:tcPr>
          <w:p w14:paraId="424688E3"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Intervenciones de seguridad vial- puntos negros </w:t>
            </w:r>
          </w:p>
        </w:tc>
        <w:tc>
          <w:tcPr>
            <w:tcW w:w="4695" w:type="dxa"/>
          </w:tcPr>
          <w:p w14:paraId="26FE3D77" w14:textId="77777777" w:rsidR="000E77A6" w:rsidRPr="00F64E64" w:rsidRDefault="000E77A6"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Menos días con aeropuertos cerrados por rehabilitación</w:t>
            </w:r>
          </w:p>
        </w:tc>
      </w:tr>
      <w:tr w:rsidR="000E6171" w:rsidRPr="00C71E90" w14:paraId="76D1E7D6" w14:textId="77777777" w:rsidTr="00F64E64">
        <w:tc>
          <w:tcPr>
            <w:tcW w:w="4320" w:type="dxa"/>
          </w:tcPr>
          <w:p w14:paraId="531E8704" w14:textId="77777777" w:rsidR="000E6171" w:rsidRPr="00F64E64" w:rsidRDefault="000E6171"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Inventario vial calificado actualizado </w:t>
            </w:r>
          </w:p>
        </w:tc>
        <w:tc>
          <w:tcPr>
            <w:tcW w:w="4695" w:type="dxa"/>
            <w:vMerge w:val="restart"/>
          </w:tcPr>
          <w:p w14:paraId="552E9333" w14:textId="77777777" w:rsidR="000E6171" w:rsidRPr="00F64E64" w:rsidRDefault="000E6171"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Diferencial Costos Mantenimiento Aeropuertos</w:t>
            </w:r>
          </w:p>
        </w:tc>
      </w:tr>
      <w:tr w:rsidR="000E6171" w:rsidRPr="00BE0E1A" w14:paraId="04CB5D14" w14:textId="77777777" w:rsidTr="2A9C513E">
        <w:tc>
          <w:tcPr>
            <w:tcW w:w="4320" w:type="dxa"/>
          </w:tcPr>
          <w:p w14:paraId="6DB7F48D" w14:textId="77777777" w:rsidR="000E6171" w:rsidRPr="00F64E64" w:rsidRDefault="000E6171"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Sistema de registro y clasificación de conteos </w:t>
            </w:r>
          </w:p>
        </w:tc>
        <w:tc>
          <w:tcPr>
            <w:tcW w:w="4695" w:type="dxa"/>
            <w:vMerge/>
          </w:tcPr>
          <w:p w14:paraId="452DB025" w14:textId="77777777" w:rsidR="000E6171" w:rsidRPr="00C71E90" w:rsidRDefault="000E6171" w:rsidP="001E04B7">
            <w:pPr>
              <w:pStyle w:val="Title"/>
              <w:tabs>
                <w:tab w:val="clear" w:pos="1440"/>
                <w:tab w:val="clear" w:pos="3060"/>
              </w:tabs>
              <w:spacing w:line="276" w:lineRule="auto"/>
              <w:jc w:val="both"/>
              <w:outlineLvl w:val="9"/>
              <w:rPr>
                <w:rFonts w:ascii="Arial" w:hAnsi="Arial" w:cs="Arial"/>
                <w:sz w:val="20"/>
                <w:lang w:val="es-ES"/>
              </w:rPr>
            </w:pPr>
          </w:p>
        </w:tc>
      </w:tr>
      <w:tr w:rsidR="000E6171" w:rsidRPr="00BE0E1A" w14:paraId="4A1EBB18" w14:textId="77777777" w:rsidTr="2A9C513E">
        <w:tc>
          <w:tcPr>
            <w:tcW w:w="4320" w:type="dxa"/>
          </w:tcPr>
          <w:p w14:paraId="08BE6F62" w14:textId="77777777" w:rsidR="000E6171" w:rsidRPr="00F64E64" w:rsidRDefault="000E6171"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 xml:space="preserve">Pesos por eje: Instalación de balanzas </w:t>
            </w:r>
          </w:p>
        </w:tc>
        <w:tc>
          <w:tcPr>
            <w:tcW w:w="4695" w:type="dxa"/>
            <w:vMerge/>
          </w:tcPr>
          <w:p w14:paraId="0CC3AF0A" w14:textId="77777777" w:rsidR="000E6171" w:rsidRPr="00C71E90" w:rsidRDefault="000E6171" w:rsidP="001E04B7">
            <w:pPr>
              <w:pStyle w:val="Title"/>
              <w:tabs>
                <w:tab w:val="clear" w:pos="1440"/>
                <w:tab w:val="clear" w:pos="3060"/>
              </w:tabs>
              <w:spacing w:line="276" w:lineRule="auto"/>
              <w:jc w:val="both"/>
              <w:outlineLvl w:val="9"/>
              <w:rPr>
                <w:rFonts w:ascii="Arial" w:hAnsi="Arial" w:cs="Arial"/>
                <w:sz w:val="20"/>
                <w:lang w:val="es-ES"/>
              </w:rPr>
            </w:pPr>
          </w:p>
        </w:tc>
      </w:tr>
      <w:tr w:rsidR="000E6171" w:rsidRPr="00BE0E1A" w14:paraId="07CEEC58" w14:textId="77777777" w:rsidTr="2A9C513E">
        <w:tc>
          <w:tcPr>
            <w:tcW w:w="4320" w:type="dxa"/>
          </w:tcPr>
          <w:p w14:paraId="17FC64DB" w14:textId="77777777" w:rsidR="000E6171" w:rsidRPr="00F64E64" w:rsidRDefault="000E6171" w:rsidP="00F64E64">
            <w:pPr>
              <w:pStyle w:val="Title"/>
              <w:tabs>
                <w:tab w:val="clear" w:pos="1440"/>
                <w:tab w:val="clear" w:pos="3060"/>
              </w:tabs>
              <w:spacing w:line="276" w:lineRule="auto"/>
              <w:jc w:val="both"/>
              <w:rPr>
                <w:rFonts w:ascii="Arial" w:hAnsi="Arial" w:cs="Arial"/>
                <w:sz w:val="20"/>
                <w:lang w:val="es-ES"/>
              </w:rPr>
            </w:pPr>
            <w:r w:rsidRPr="2A9C513E">
              <w:rPr>
                <w:rFonts w:ascii="Arial" w:hAnsi="Arial" w:cs="Arial"/>
                <w:sz w:val="20"/>
                <w:lang w:val="es-ES"/>
              </w:rPr>
              <w:t>Pesos por eje: Mantenimiento y Rehabilitación Vial</w:t>
            </w:r>
          </w:p>
        </w:tc>
        <w:tc>
          <w:tcPr>
            <w:tcW w:w="4695" w:type="dxa"/>
            <w:vMerge/>
          </w:tcPr>
          <w:p w14:paraId="48B5F6EE" w14:textId="77777777" w:rsidR="000E6171" w:rsidRPr="00C71E90" w:rsidRDefault="000E6171" w:rsidP="001E04B7">
            <w:pPr>
              <w:pStyle w:val="Title"/>
              <w:tabs>
                <w:tab w:val="clear" w:pos="1440"/>
                <w:tab w:val="clear" w:pos="3060"/>
              </w:tabs>
              <w:spacing w:line="276" w:lineRule="auto"/>
              <w:jc w:val="both"/>
              <w:outlineLvl w:val="9"/>
              <w:rPr>
                <w:rFonts w:ascii="Arial" w:hAnsi="Arial" w:cs="Arial"/>
                <w:sz w:val="20"/>
                <w:lang w:val="es-ES"/>
              </w:rPr>
            </w:pPr>
          </w:p>
        </w:tc>
      </w:tr>
    </w:tbl>
    <w:p w14:paraId="284DA451" w14:textId="77777777" w:rsidR="000E77A6" w:rsidRPr="006715E2" w:rsidRDefault="000E77A6" w:rsidP="000E77A6">
      <w:pPr>
        <w:pStyle w:val="Title"/>
        <w:tabs>
          <w:tab w:val="clear" w:pos="1440"/>
          <w:tab w:val="clear" w:pos="3060"/>
        </w:tabs>
        <w:spacing w:line="276" w:lineRule="auto"/>
        <w:jc w:val="both"/>
        <w:outlineLvl w:val="9"/>
        <w:rPr>
          <w:rFonts w:ascii="Arial" w:hAnsi="Arial" w:cs="Arial"/>
          <w:lang w:val="es-ES"/>
        </w:rPr>
      </w:pPr>
    </w:p>
    <w:p w14:paraId="7F8AA08D" w14:textId="2485F3C6" w:rsidR="005E2873" w:rsidRPr="00C22824" w:rsidRDefault="005E2873"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Al finalizar</w:t>
      </w:r>
      <w:r w:rsidR="007A2F3E" w:rsidRPr="00C22824">
        <w:rPr>
          <w:rFonts w:ascii="Arial" w:hAnsi="Arial" w:cs="Arial"/>
          <w:lang w:val="es-ES"/>
        </w:rPr>
        <w:t xml:space="preserve"> la última operación</w:t>
      </w:r>
      <w:r w:rsidRPr="00C22824">
        <w:rPr>
          <w:rFonts w:ascii="Arial" w:hAnsi="Arial" w:cs="Arial"/>
          <w:lang w:val="es-ES"/>
        </w:rPr>
        <w:t xml:space="preserve"> programática, se realizará un Informe de Terminación de Proyecto o PCR (Project Completion Report por sus siglas en inglés), el cual es el principal instrumento de rendición de cuentas que utiliza el Banco para mostrar a los</w:t>
      </w:r>
      <w:r w:rsidR="009B2BD7">
        <w:rPr>
          <w:rFonts w:ascii="Arial" w:hAnsi="Arial" w:cs="Arial"/>
          <w:lang w:val="es-ES"/>
        </w:rPr>
        <w:t xml:space="preserve"> </w:t>
      </w:r>
      <w:r w:rsidRPr="00C22824">
        <w:rPr>
          <w:rFonts w:ascii="Arial" w:hAnsi="Arial" w:cs="Arial"/>
          <w:lang w:val="es-ES"/>
        </w:rPr>
        <w:t xml:space="preserve">socios internos y externos al Banco el desempeño de sus operaciones con garantía soberana y la efectividad en el Desarrollo de las mismas. </w:t>
      </w:r>
      <w:r w:rsidR="00FB16A3" w:rsidRPr="00C22824">
        <w:rPr>
          <w:rFonts w:ascii="Arial" w:hAnsi="Arial" w:cs="Arial"/>
          <w:lang w:val="es-ES"/>
        </w:rPr>
        <w:t xml:space="preserve">Este </w:t>
      </w:r>
      <w:r w:rsidRPr="00C22824">
        <w:rPr>
          <w:rFonts w:ascii="Arial" w:hAnsi="Arial" w:cs="Arial"/>
          <w:lang w:val="es-ES"/>
        </w:rPr>
        <w:t>informe presenta</w:t>
      </w:r>
      <w:r w:rsidR="00FB16A3" w:rsidRPr="00C22824">
        <w:rPr>
          <w:rFonts w:ascii="Arial" w:hAnsi="Arial" w:cs="Arial"/>
          <w:lang w:val="es-ES"/>
        </w:rPr>
        <w:t>rá</w:t>
      </w:r>
      <w:r w:rsidRPr="00C22824">
        <w:rPr>
          <w:rFonts w:ascii="Arial" w:hAnsi="Arial" w:cs="Arial"/>
          <w:lang w:val="es-ES"/>
        </w:rPr>
        <w:t xml:space="preserve"> los principales hallazgos y recomendaciones a fin de fortalecer el diseño y ejecución de futuros proyectos. El PCR será </w:t>
      </w:r>
      <w:r w:rsidR="00FB16A3" w:rsidRPr="00C22824">
        <w:rPr>
          <w:rFonts w:ascii="Arial" w:hAnsi="Arial" w:cs="Arial"/>
          <w:lang w:val="es-ES"/>
        </w:rPr>
        <w:t xml:space="preserve">realizado dentro de los </w:t>
      </w:r>
      <w:r w:rsidR="007675CC">
        <w:rPr>
          <w:rFonts w:ascii="Arial" w:hAnsi="Arial" w:cs="Arial"/>
          <w:lang w:val="es-ES"/>
        </w:rPr>
        <w:t>12 meses</w:t>
      </w:r>
      <w:r w:rsidR="00FB16A3" w:rsidRPr="00C22824">
        <w:rPr>
          <w:rFonts w:ascii="Arial" w:hAnsi="Arial" w:cs="Arial"/>
          <w:lang w:val="es-ES"/>
        </w:rPr>
        <w:t xml:space="preserve"> </w:t>
      </w:r>
      <w:r w:rsidR="007675CC">
        <w:rPr>
          <w:rFonts w:ascii="Arial" w:hAnsi="Arial" w:cs="Arial"/>
          <w:lang w:val="es-ES"/>
        </w:rPr>
        <w:t xml:space="preserve">tras el </w:t>
      </w:r>
      <w:r w:rsidR="00FB16A3" w:rsidRPr="00C22824">
        <w:rPr>
          <w:rFonts w:ascii="Arial" w:hAnsi="Arial" w:cs="Arial"/>
          <w:lang w:val="es-ES"/>
        </w:rPr>
        <w:t>desembolso</w:t>
      </w:r>
      <w:r w:rsidR="007675CC">
        <w:rPr>
          <w:rFonts w:ascii="Arial" w:hAnsi="Arial" w:cs="Arial"/>
          <w:lang w:val="es-ES"/>
        </w:rPr>
        <w:t xml:space="preserve"> de la última operación</w:t>
      </w:r>
      <w:r w:rsidR="00FB16A3" w:rsidRPr="00C22824">
        <w:rPr>
          <w:rFonts w:ascii="Arial" w:hAnsi="Arial" w:cs="Arial"/>
          <w:lang w:val="es-ES"/>
        </w:rPr>
        <w:t xml:space="preserve"> </w:t>
      </w:r>
      <w:r w:rsidRPr="00C22824">
        <w:rPr>
          <w:rFonts w:ascii="Arial" w:hAnsi="Arial" w:cs="Arial"/>
          <w:lang w:val="es-ES"/>
        </w:rPr>
        <w:t xml:space="preserve">y será aplicado según las nuevas guías (OP-1242) que entraron en </w:t>
      </w:r>
      <w:r w:rsidR="00FB16A3" w:rsidRPr="00C22824">
        <w:rPr>
          <w:rFonts w:ascii="Arial" w:hAnsi="Arial" w:cs="Arial"/>
          <w:lang w:val="es-ES"/>
        </w:rPr>
        <w:t xml:space="preserve">vigencia el 5 de </w:t>
      </w:r>
      <w:r w:rsidRPr="00C22824">
        <w:rPr>
          <w:rFonts w:ascii="Arial" w:hAnsi="Arial" w:cs="Arial"/>
          <w:lang w:val="es-ES"/>
        </w:rPr>
        <w:t>Agosto de 2014 y fueron actualizadas en febrero de 2015.</w:t>
      </w:r>
      <w:r w:rsidR="00FB16A3" w:rsidRPr="00C22824">
        <w:rPr>
          <w:rFonts w:ascii="Arial" w:hAnsi="Arial" w:cs="Arial"/>
          <w:lang w:val="es-ES"/>
        </w:rPr>
        <w:t xml:space="preserve"> </w:t>
      </w:r>
      <w:r w:rsidRPr="00C22824">
        <w:rPr>
          <w:rFonts w:ascii="Arial" w:hAnsi="Arial" w:cs="Arial"/>
          <w:lang w:val="es-ES"/>
        </w:rPr>
        <w:t>El prestatario ha acordado con el Banco los indicadores, la línea de base y las metas para llevar a cabo dicha evaluación final.</w:t>
      </w:r>
    </w:p>
    <w:p w14:paraId="323A38BA" w14:textId="77777777" w:rsidR="005E2873" w:rsidRPr="00C22824" w:rsidRDefault="005E2873" w:rsidP="005E2873">
      <w:pPr>
        <w:pStyle w:val="Title"/>
        <w:tabs>
          <w:tab w:val="clear" w:pos="1440"/>
          <w:tab w:val="clear" w:pos="3060"/>
        </w:tabs>
        <w:spacing w:line="276" w:lineRule="auto"/>
        <w:jc w:val="both"/>
        <w:outlineLvl w:val="9"/>
        <w:rPr>
          <w:rFonts w:ascii="Arial" w:hAnsi="Arial" w:cs="Arial"/>
          <w:lang w:val="es-ES"/>
        </w:rPr>
      </w:pPr>
    </w:p>
    <w:p w14:paraId="7E9F123B" w14:textId="2E9F733B" w:rsidR="005E2873" w:rsidRPr="00C22824" w:rsidRDefault="00FB16A3"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El PCR se realizará a</w:t>
      </w:r>
      <w:r w:rsidR="005E2873" w:rsidRPr="00C22824">
        <w:rPr>
          <w:rFonts w:ascii="Arial" w:hAnsi="Arial" w:cs="Arial"/>
          <w:lang w:val="es-ES"/>
        </w:rPr>
        <w:t xml:space="preserve"> partir del análisis de los criterios centrales y criterios no centrales. Los criterios centrales del PCR, básicamente evalúan el desempeño del proyecto y se determinan en forma objetiva con base en los resultados y productos del mismo, y se califica a través de cuatro criterios: i) efectividad, ii) eficiencia</w:t>
      </w:r>
      <w:r w:rsidRPr="00C22824">
        <w:rPr>
          <w:rStyle w:val="FootnoteReference"/>
          <w:lang w:val="es-ES" w:eastAsia="es-ES"/>
        </w:rPr>
        <w:footnoteReference w:id="2"/>
      </w:r>
      <w:r w:rsidR="005E2873" w:rsidRPr="00C22824">
        <w:rPr>
          <w:rFonts w:ascii="Arial" w:hAnsi="Arial" w:cs="Arial"/>
          <w:lang w:val="es-ES"/>
        </w:rPr>
        <w:t>, iii) relevancia; y iv) sostenibilidad. Los criterios no centrales del PCR son aquellos evaluables, pero que no califican la efectividad de la intervención. En su defecto evalúan la contribución de la operación a los objetivos de desarrollo del Banco; la contribución a los objetivos de desarrollo del país; el cumplimiento del plan de monitoreo y evaluación; el uso de sistemas país; y la implementación y mitigación de salvaguardas ambientales y sociales.</w:t>
      </w:r>
    </w:p>
    <w:p w14:paraId="378B5965" w14:textId="77777777" w:rsidR="005E2873" w:rsidRPr="00C22824" w:rsidRDefault="005E2873" w:rsidP="005E2873">
      <w:pPr>
        <w:pStyle w:val="Title"/>
        <w:tabs>
          <w:tab w:val="clear" w:pos="1440"/>
          <w:tab w:val="clear" w:pos="3060"/>
        </w:tabs>
        <w:spacing w:line="276" w:lineRule="auto"/>
        <w:jc w:val="both"/>
        <w:outlineLvl w:val="9"/>
        <w:rPr>
          <w:rFonts w:ascii="Arial" w:hAnsi="Arial" w:cs="Arial"/>
          <w:lang w:val="es-ES"/>
        </w:rPr>
      </w:pPr>
    </w:p>
    <w:p w14:paraId="2440E961" w14:textId="101DEAF4" w:rsidR="00DA2367" w:rsidRPr="00C22824" w:rsidRDefault="005E2873" w:rsidP="00F64E64">
      <w:pPr>
        <w:pStyle w:val="Title"/>
        <w:tabs>
          <w:tab w:val="clear" w:pos="1440"/>
          <w:tab w:val="clear" w:pos="3060"/>
        </w:tabs>
        <w:spacing w:line="276" w:lineRule="auto"/>
        <w:jc w:val="both"/>
        <w:rPr>
          <w:rFonts w:ascii="Arial" w:hAnsi="Arial" w:cs="Arial"/>
          <w:lang w:val="es-ES"/>
        </w:rPr>
      </w:pPr>
      <w:r w:rsidRPr="00C22824">
        <w:rPr>
          <w:rFonts w:ascii="Arial" w:hAnsi="Arial" w:cs="Arial"/>
          <w:lang w:val="es-ES"/>
        </w:rPr>
        <w:t>El Informe de Terminación del Programa incluirá una evaluación económica ex post</w:t>
      </w:r>
      <w:r w:rsidR="00FB16A3" w:rsidRPr="00C22824">
        <w:rPr>
          <w:rFonts w:ascii="Arial" w:hAnsi="Arial" w:cs="Arial"/>
          <w:lang w:val="es-ES"/>
        </w:rPr>
        <w:t xml:space="preserve"> de las tres operaciones PBP</w:t>
      </w:r>
      <w:r w:rsidRPr="00C22824">
        <w:rPr>
          <w:rFonts w:ascii="Arial" w:hAnsi="Arial" w:cs="Arial"/>
          <w:lang w:val="es-ES"/>
        </w:rPr>
        <w:t xml:space="preserve">. Su objetivo será desarrollar la evaluación económica de las acciones implementadas a través de esta serie de operaciones programáticas. Esta evaluación se realizará siguiendo la misma metodología de la evaluación ex ante, incluirá el caso base y el análisis de sensibilidad en las variables ya analizadas, sobre la base de la información a ser provista en los informes de progreso. </w:t>
      </w:r>
      <w:r w:rsidR="007A2F3E" w:rsidRPr="00C22824">
        <w:rPr>
          <w:rFonts w:ascii="Arial" w:hAnsi="Arial" w:cs="Arial"/>
          <w:lang w:val="es-ES"/>
        </w:rPr>
        <w:t xml:space="preserve">Se contratará un consultor independiente que preparará la evaluación, sobre la base de la información </w:t>
      </w:r>
      <w:r w:rsidR="007A2F3E" w:rsidRPr="00C22824">
        <w:rPr>
          <w:rFonts w:ascii="Arial" w:hAnsi="Arial" w:cs="Arial"/>
          <w:lang w:val="es-ES"/>
        </w:rPr>
        <w:lastRenderedPageBreak/>
        <w:t>que será recolectada y presentada anualmente por el MOPSV. El presupuesto estimado para este estudio es de US$ 15</w:t>
      </w:r>
      <w:r w:rsidR="00B04E9F" w:rsidRPr="00C22824">
        <w:rPr>
          <w:rFonts w:ascii="Arial" w:hAnsi="Arial" w:cs="Arial"/>
          <w:lang w:val="es-ES"/>
        </w:rPr>
        <w:t>.000. En el Anexo a este Plan, se</w:t>
      </w:r>
      <w:r w:rsidR="007A2F3E" w:rsidRPr="00C22824">
        <w:rPr>
          <w:rFonts w:ascii="Arial" w:hAnsi="Arial" w:cs="Arial"/>
          <w:lang w:val="es-ES"/>
        </w:rPr>
        <w:t xml:space="preserve"> incluye un borrador de los términos de referencia para la contratación del consultor.</w:t>
      </w:r>
    </w:p>
    <w:p w14:paraId="5F71409B" w14:textId="77777777" w:rsidR="00DA2367" w:rsidRDefault="00DA2367" w:rsidP="002B1BA1">
      <w:pPr>
        <w:pStyle w:val="ColorfulList-Accent11"/>
        <w:spacing w:after="0"/>
        <w:ind w:left="0"/>
        <w:jc w:val="both"/>
        <w:outlineLvl w:val="1"/>
        <w:rPr>
          <w:rFonts w:ascii="Arial" w:hAnsi="Arial" w:cs="Arial"/>
          <w:b/>
          <w:lang w:val="es-ES"/>
        </w:rPr>
      </w:pPr>
    </w:p>
    <w:p w14:paraId="65CC8C5C" w14:textId="77777777" w:rsidR="000E6171" w:rsidRDefault="000E6171" w:rsidP="002B1BA1">
      <w:pPr>
        <w:pStyle w:val="ColorfulList-Accent11"/>
        <w:spacing w:after="0"/>
        <w:ind w:left="0"/>
        <w:jc w:val="both"/>
        <w:outlineLvl w:val="1"/>
        <w:rPr>
          <w:rFonts w:ascii="Arial" w:hAnsi="Arial" w:cs="Arial"/>
          <w:b/>
          <w:lang w:val="es-ES"/>
        </w:rPr>
      </w:pPr>
    </w:p>
    <w:p w14:paraId="7331852D" w14:textId="77777777" w:rsidR="000E6171" w:rsidRDefault="000E6171" w:rsidP="002B1BA1">
      <w:pPr>
        <w:pStyle w:val="ColorfulList-Accent11"/>
        <w:spacing w:after="0"/>
        <w:ind w:left="0"/>
        <w:jc w:val="both"/>
        <w:outlineLvl w:val="1"/>
        <w:rPr>
          <w:rFonts w:ascii="Arial" w:hAnsi="Arial" w:cs="Arial"/>
          <w:b/>
          <w:lang w:val="es-ES"/>
        </w:rPr>
      </w:pPr>
    </w:p>
    <w:p w14:paraId="4DCF14CB" w14:textId="77777777" w:rsidR="000E6171" w:rsidRPr="00C22824" w:rsidRDefault="000E6171" w:rsidP="002B1BA1">
      <w:pPr>
        <w:pStyle w:val="ColorfulList-Accent11"/>
        <w:spacing w:after="0"/>
        <w:ind w:left="0"/>
        <w:jc w:val="both"/>
        <w:outlineLvl w:val="1"/>
        <w:rPr>
          <w:rFonts w:ascii="Arial" w:hAnsi="Arial" w:cs="Arial"/>
          <w:b/>
          <w:lang w:val="es-ES"/>
        </w:rPr>
      </w:pPr>
    </w:p>
    <w:p w14:paraId="27CFA86E" w14:textId="72476AFF" w:rsidR="007A2F3E" w:rsidRPr="00F64E64" w:rsidRDefault="00B04E9F" w:rsidP="00F64E64">
      <w:pPr>
        <w:pStyle w:val="ColorfulList-Accent11"/>
        <w:numPr>
          <w:ilvl w:val="1"/>
          <w:numId w:val="13"/>
        </w:numPr>
        <w:spacing w:after="0"/>
        <w:ind w:left="360"/>
        <w:jc w:val="both"/>
        <w:outlineLvl w:val="1"/>
        <w:rPr>
          <w:rFonts w:ascii="Arial" w:hAnsi="Arial" w:cs="Arial"/>
          <w:b/>
          <w:bCs/>
          <w:lang w:val="es-ES"/>
        </w:rPr>
      </w:pPr>
      <w:bookmarkStart w:id="33" w:name="_Toc468954101"/>
      <w:r w:rsidRPr="00F64E64">
        <w:rPr>
          <w:rFonts w:ascii="Arial" w:hAnsi="Arial" w:cs="Arial"/>
          <w:b/>
          <w:bCs/>
          <w:lang w:val="es-ES"/>
        </w:rPr>
        <w:t>Cronograma de Actividades y Presupuesto A</w:t>
      </w:r>
      <w:r w:rsidR="007A2F3E" w:rsidRPr="00F64E64">
        <w:rPr>
          <w:rFonts w:ascii="Arial" w:hAnsi="Arial" w:cs="Arial"/>
          <w:b/>
          <w:bCs/>
          <w:lang w:val="es-ES"/>
        </w:rPr>
        <w:t>sociado</w:t>
      </w:r>
      <w:bookmarkEnd w:id="33"/>
    </w:p>
    <w:p w14:paraId="38E0BBFD" w14:textId="77777777" w:rsidR="00B04E9F" w:rsidRPr="00C22824" w:rsidRDefault="00B04E9F" w:rsidP="002A34B5">
      <w:pPr>
        <w:pStyle w:val="Title"/>
        <w:tabs>
          <w:tab w:val="clear" w:pos="1440"/>
          <w:tab w:val="clear" w:pos="3060"/>
        </w:tabs>
        <w:spacing w:line="276" w:lineRule="auto"/>
        <w:jc w:val="both"/>
        <w:outlineLvl w:val="9"/>
        <w:rPr>
          <w:rFonts w:ascii="Arial" w:hAnsi="Arial" w:cs="Arial"/>
          <w:lang w:val="es-ES"/>
        </w:rPr>
      </w:pPr>
    </w:p>
    <w:p w14:paraId="3CF725E3" w14:textId="72A53673" w:rsidR="00C41116" w:rsidRPr="00C22824" w:rsidRDefault="007A2F3E" w:rsidP="00F64E64">
      <w:pPr>
        <w:pStyle w:val="Title"/>
        <w:tabs>
          <w:tab w:val="clear" w:pos="1440"/>
          <w:tab w:val="clear" w:pos="3060"/>
        </w:tabs>
        <w:spacing w:line="276" w:lineRule="auto"/>
        <w:jc w:val="both"/>
        <w:rPr>
          <w:rFonts w:ascii="Arial" w:hAnsi="Arial" w:cs="Arial"/>
          <w:color w:val="000000"/>
          <w:lang w:val="es-ES"/>
        </w:rPr>
      </w:pPr>
      <w:r w:rsidRPr="00C22824">
        <w:rPr>
          <w:rFonts w:ascii="Arial" w:hAnsi="Arial" w:cs="Arial"/>
          <w:lang w:val="es-ES"/>
        </w:rPr>
        <w:t>Como resultado de las reuniones de seguimiento anual se evaluará el avance en el cumplimiento de los resultados previstos, de acuerdo a los acuerdos establecidos en la Matriz de Resultados.</w:t>
      </w:r>
      <w:r w:rsidR="00B04E9F" w:rsidRPr="00C22824">
        <w:rPr>
          <w:rFonts w:ascii="Arial" w:hAnsi="Arial" w:cs="Arial"/>
          <w:lang w:val="es-ES"/>
        </w:rPr>
        <w:t xml:space="preserve"> </w:t>
      </w:r>
      <w:r w:rsidRPr="00C22824">
        <w:rPr>
          <w:rFonts w:ascii="Arial" w:hAnsi="Arial" w:cs="Arial"/>
          <w:lang w:val="es-ES"/>
        </w:rPr>
        <w:t>La evaluación ex post se realizará al finalizar la última operación programática</w:t>
      </w:r>
      <w:r w:rsidR="005D6848">
        <w:rPr>
          <w:rFonts w:ascii="Arial" w:hAnsi="Arial" w:cs="Arial"/>
          <w:lang w:val="es-ES"/>
        </w:rPr>
        <w:t>, prevista a ser aprobada en 2019</w:t>
      </w:r>
      <w:r w:rsidRPr="00C22824">
        <w:rPr>
          <w:rFonts w:ascii="Arial" w:hAnsi="Arial" w:cs="Arial"/>
          <w:lang w:val="es-ES"/>
        </w:rPr>
        <w:t>.</w:t>
      </w:r>
      <w:r w:rsidR="00B04E9F" w:rsidRPr="00C22824">
        <w:rPr>
          <w:rFonts w:ascii="Arial" w:hAnsi="Arial" w:cs="Arial"/>
          <w:lang w:val="es-ES"/>
        </w:rPr>
        <w:t xml:space="preserve"> </w:t>
      </w:r>
      <w:r w:rsidRPr="00C22824">
        <w:rPr>
          <w:rFonts w:ascii="Arial" w:hAnsi="Arial" w:cs="Arial"/>
          <w:lang w:val="es-ES"/>
        </w:rPr>
        <w:t>El presupuesto para la evaluación, de parte del Banco, provendrá de recursos administrativo de supervisión de las operaciones.</w:t>
      </w:r>
      <w:r w:rsidR="00B04E9F" w:rsidRPr="00C22824">
        <w:rPr>
          <w:rFonts w:ascii="Arial" w:hAnsi="Arial" w:cs="Arial"/>
          <w:color w:val="000000"/>
          <w:lang w:val="es-ES"/>
        </w:rPr>
        <w:t xml:space="preserve"> </w:t>
      </w:r>
    </w:p>
    <w:p w14:paraId="0CBED43E" w14:textId="77777777" w:rsidR="003C2E48" w:rsidRDefault="003C2E48" w:rsidP="00F32849">
      <w:pPr>
        <w:jc w:val="both"/>
        <w:textAlignment w:val="top"/>
        <w:rPr>
          <w:rFonts w:ascii="Arial" w:eastAsia="Times New Roman" w:hAnsi="Arial" w:cs="Arial"/>
          <w:color w:val="000000"/>
          <w:lang w:val="es-ES"/>
        </w:rPr>
      </w:pPr>
    </w:p>
    <w:p w14:paraId="32215E5A" w14:textId="307036FB" w:rsidR="005F711A" w:rsidRPr="00AB2C86" w:rsidRDefault="005F711A" w:rsidP="005F711A">
      <w:pPr>
        <w:pStyle w:val="Caption"/>
        <w:keepNext/>
        <w:spacing w:after="0" w:line="276" w:lineRule="auto"/>
        <w:jc w:val="center"/>
        <w:rPr>
          <w:rFonts w:ascii="Arial" w:hAnsi="Arial" w:cs="Arial"/>
          <w:b/>
          <w:i w:val="0"/>
          <w:color w:val="000000" w:themeColor="text1"/>
          <w:lang w:val="es-ES"/>
        </w:rPr>
      </w:pPr>
      <w:r w:rsidRPr="009B5E75">
        <w:rPr>
          <w:rFonts w:ascii="Arial" w:hAnsi="Arial" w:cs="Arial"/>
          <w:b/>
          <w:i w:val="0"/>
          <w:color w:val="000000" w:themeColor="text1"/>
          <w:lang w:val="es-ES"/>
        </w:rPr>
        <w:t xml:space="preserve">Tabla </w:t>
      </w:r>
      <w:r w:rsidRPr="009B5E75">
        <w:rPr>
          <w:rFonts w:ascii="Arial" w:hAnsi="Arial" w:cs="Arial"/>
          <w:b/>
          <w:i w:val="0"/>
          <w:color w:val="000000" w:themeColor="text1"/>
          <w:lang w:val="es-ES"/>
        </w:rPr>
        <w:fldChar w:fldCharType="begin"/>
      </w:r>
      <w:r w:rsidRPr="009B5E75">
        <w:rPr>
          <w:rFonts w:ascii="Arial" w:hAnsi="Arial" w:cs="Arial"/>
          <w:b/>
          <w:i w:val="0"/>
          <w:color w:val="000000" w:themeColor="text1"/>
          <w:lang w:val="es-ES"/>
        </w:rPr>
        <w:instrText xml:space="preserve"> SEQ Tabla \* ARABIC </w:instrText>
      </w:r>
      <w:r w:rsidRPr="009B5E75">
        <w:rPr>
          <w:rFonts w:ascii="Arial" w:hAnsi="Arial" w:cs="Arial"/>
          <w:b/>
          <w:i w:val="0"/>
          <w:color w:val="000000" w:themeColor="text1"/>
          <w:lang w:val="es-ES"/>
        </w:rPr>
        <w:fldChar w:fldCharType="separate"/>
      </w:r>
      <w:r w:rsidR="000A6E76">
        <w:rPr>
          <w:rFonts w:ascii="Arial" w:hAnsi="Arial" w:cs="Arial"/>
          <w:b/>
          <w:i w:val="0"/>
          <w:noProof/>
          <w:color w:val="000000" w:themeColor="text1"/>
          <w:lang w:val="es-ES"/>
        </w:rPr>
        <w:t>8</w:t>
      </w:r>
      <w:r w:rsidRPr="009B5E75">
        <w:rPr>
          <w:rFonts w:ascii="Arial" w:hAnsi="Arial" w:cs="Arial"/>
          <w:b/>
          <w:i w:val="0"/>
          <w:color w:val="000000" w:themeColor="text1"/>
          <w:lang w:val="es-ES"/>
        </w:rPr>
        <w:fldChar w:fldCharType="end"/>
      </w:r>
      <w:r>
        <w:rPr>
          <w:rFonts w:ascii="Arial" w:hAnsi="Arial" w:cs="Arial"/>
          <w:b/>
          <w:i w:val="0"/>
          <w:color w:val="000000" w:themeColor="text1"/>
          <w:lang w:val="es-ES"/>
        </w:rPr>
        <w:t xml:space="preserve">. Cronograma de Actividades de </w:t>
      </w:r>
      <w:r w:rsidR="00B109A7">
        <w:rPr>
          <w:rFonts w:ascii="Arial" w:hAnsi="Arial" w:cs="Arial"/>
          <w:b/>
          <w:i w:val="0"/>
          <w:color w:val="000000" w:themeColor="text1"/>
          <w:lang w:val="es-ES"/>
        </w:rPr>
        <w:t xml:space="preserve">Evaluación (Incluyendo Recolección de Datos) </w:t>
      </w:r>
      <w:r>
        <w:rPr>
          <w:rFonts w:ascii="Arial" w:hAnsi="Arial" w:cs="Arial"/>
          <w:b/>
          <w:i w:val="0"/>
          <w:color w:val="000000" w:themeColor="text1"/>
          <w:lang w:val="es-ES"/>
        </w:rPr>
        <w:t>y Presupuesto</w:t>
      </w:r>
    </w:p>
    <w:tbl>
      <w:tblPr>
        <w:tblW w:w="456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076"/>
        <w:gridCol w:w="965"/>
        <w:gridCol w:w="1404"/>
        <w:gridCol w:w="1404"/>
        <w:gridCol w:w="1055"/>
        <w:gridCol w:w="1456"/>
      </w:tblGrid>
      <w:tr w:rsidR="00BB0222" w:rsidRPr="005F711A" w14:paraId="4E2EB4CF" w14:textId="77777777" w:rsidTr="00F64E64">
        <w:trPr>
          <w:trHeight w:val="250"/>
          <w:tblHeader/>
          <w:jc w:val="center"/>
        </w:trPr>
        <w:tc>
          <w:tcPr>
            <w:tcW w:w="1241" w:type="pct"/>
            <w:shd w:val="clear" w:color="auto" w:fill="D9D9D9" w:themeFill="background1" w:themeFillShade="D9"/>
            <w:noWrap/>
            <w:vAlign w:val="center"/>
            <w:hideMark/>
          </w:tcPr>
          <w:p w14:paraId="61CA06E7" w14:textId="77777777" w:rsidR="00BB0222" w:rsidRPr="009B5E75" w:rsidRDefault="00BB0222" w:rsidP="00646F1C">
            <w:pPr>
              <w:spacing w:line="0" w:lineRule="atLeast"/>
              <w:contextualSpacing/>
              <w:jc w:val="center"/>
              <w:rPr>
                <w:rFonts w:ascii="Arial" w:hAnsi="Arial" w:cs="Arial"/>
                <w:b/>
                <w:bCs/>
                <w:color w:val="000000"/>
                <w:sz w:val="20"/>
                <w:szCs w:val="20"/>
                <w:lang w:val="es-ES"/>
              </w:rPr>
            </w:pPr>
            <w:r w:rsidRPr="009B5E75">
              <w:rPr>
                <w:rFonts w:ascii="Arial" w:hAnsi="Arial" w:cs="Arial"/>
                <w:b/>
                <w:bCs/>
                <w:color w:val="000000"/>
                <w:sz w:val="20"/>
                <w:szCs w:val="20"/>
                <w:lang w:val="es-ES"/>
              </w:rPr>
              <w:t>Actividad</w:t>
            </w:r>
          </w:p>
        </w:tc>
        <w:tc>
          <w:tcPr>
            <w:tcW w:w="577" w:type="pct"/>
            <w:shd w:val="clear" w:color="auto" w:fill="D9D9D9" w:themeFill="background1" w:themeFillShade="D9"/>
            <w:vAlign w:val="center"/>
          </w:tcPr>
          <w:p w14:paraId="39131A55" w14:textId="625C18CB" w:rsidR="00BB0222" w:rsidRPr="009B5E75" w:rsidRDefault="00BB0222" w:rsidP="00BB0222">
            <w:pPr>
              <w:spacing w:line="0" w:lineRule="atLeast"/>
              <w:contextualSpacing/>
              <w:jc w:val="center"/>
              <w:rPr>
                <w:rFonts w:ascii="Arial" w:hAnsi="Arial" w:cs="Arial"/>
                <w:b/>
                <w:bCs/>
                <w:color w:val="000000"/>
                <w:sz w:val="20"/>
                <w:szCs w:val="20"/>
                <w:lang w:val="es-ES"/>
              </w:rPr>
            </w:pPr>
            <w:r>
              <w:rPr>
                <w:rFonts w:ascii="Arial" w:hAnsi="Arial" w:cs="Arial"/>
                <w:b/>
                <w:bCs/>
                <w:color w:val="000000"/>
                <w:sz w:val="20"/>
                <w:szCs w:val="20"/>
                <w:lang w:val="es-ES"/>
              </w:rPr>
              <w:t>2013</w:t>
            </w:r>
          </w:p>
        </w:tc>
        <w:tc>
          <w:tcPr>
            <w:tcW w:w="840" w:type="pct"/>
            <w:shd w:val="clear" w:color="auto" w:fill="D9D9D9" w:themeFill="background1" w:themeFillShade="D9"/>
            <w:noWrap/>
            <w:vAlign w:val="center"/>
            <w:hideMark/>
          </w:tcPr>
          <w:p w14:paraId="1E77AFE0" w14:textId="508C7FE3" w:rsidR="00BB0222" w:rsidRPr="009B5E75" w:rsidRDefault="00BB0222">
            <w:pPr>
              <w:spacing w:line="0" w:lineRule="atLeast"/>
              <w:contextualSpacing/>
              <w:jc w:val="center"/>
              <w:rPr>
                <w:rFonts w:ascii="Arial" w:hAnsi="Arial" w:cs="Arial"/>
                <w:b/>
                <w:bCs/>
                <w:color w:val="000000"/>
                <w:sz w:val="20"/>
                <w:szCs w:val="20"/>
                <w:lang w:val="es-ES"/>
              </w:rPr>
            </w:pPr>
            <w:r w:rsidRPr="009B5E75">
              <w:rPr>
                <w:rFonts w:ascii="Arial" w:hAnsi="Arial" w:cs="Arial"/>
                <w:b/>
                <w:bCs/>
                <w:color w:val="000000"/>
                <w:sz w:val="20"/>
                <w:szCs w:val="20"/>
                <w:lang w:val="es-ES"/>
              </w:rPr>
              <w:t>2016</w:t>
            </w:r>
          </w:p>
        </w:tc>
        <w:tc>
          <w:tcPr>
            <w:tcW w:w="840" w:type="pct"/>
            <w:shd w:val="clear" w:color="auto" w:fill="D9D9D9" w:themeFill="background1" w:themeFillShade="D9"/>
            <w:noWrap/>
            <w:vAlign w:val="center"/>
            <w:hideMark/>
          </w:tcPr>
          <w:p w14:paraId="6BC542E5" w14:textId="77777777" w:rsidR="00BB0222" w:rsidRPr="009B5E75" w:rsidRDefault="00BB0222">
            <w:pPr>
              <w:spacing w:line="0" w:lineRule="atLeast"/>
              <w:contextualSpacing/>
              <w:jc w:val="center"/>
              <w:rPr>
                <w:rFonts w:ascii="Arial" w:hAnsi="Arial" w:cs="Arial"/>
                <w:b/>
                <w:bCs/>
                <w:color w:val="000000"/>
                <w:sz w:val="20"/>
                <w:szCs w:val="20"/>
                <w:lang w:val="es-ES"/>
              </w:rPr>
            </w:pPr>
            <w:r w:rsidRPr="009B5E75">
              <w:rPr>
                <w:rFonts w:ascii="Arial" w:hAnsi="Arial" w:cs="Arial"/>
                <w:b/>
                <w:bCs/>
                <w:color w:val="000000"/>
                <w:sz w:val="20"/>
                <w:szCs w:val="20"/>
                <w:lang w:val="es-ES"/>
              </w:rPr>
              <w:t>2019</w:t>
            </w:r>
          </w:p>
        </w:tc>
        <w:tc>
          <w:tcPr>
            <w:tcW w:w="631" w:type="pct"/>
            <w:shd w:val="clear" w:color="auto" w:fill="D9D9D9" w:themeFill="background1" w:themeFillShade="D9"/>
            <w:vAlign w:val="center"/>
          </w:tcPr>
          <w:p w14:paraId="09A429FB" w14:textId="7A4AAF9E" w:rsidR="00BB0222" w:rsidRPr="009B5E75" w:rsidRDefault="00BB0222">
            <w:pPr>
              <w:spacing w:line="0" w:lineRule="atLeast"/>
              <w:contextualSpacing/>
              <w:jc w:val="center"/>
              <w:rPr>
                <w:rFonts w:ascii="Arial" w:hAnsi="Arial" w:cs="Arial"/>
                <w:b/>
                <w:bCs/>
                <w:color w:val="000000"/>
                <w:sz w:val="20"/>
                <w:szCs w:val="20"/>
                <w:lang w:val="es-ES"/>
              </w:rPr>
            </w:pPr>
            <w:r>
              <w:rPr>
                <w:rFonts w:ascii="Arial" w:hAnsi="Arial" w:cs="Arial"/>
                <w:b/>
                <w:bCs/>
                <w:color w:val="000000"/>
                <w:sz w:val="20"/>
                <w:szCs w:val="20"/>
                <w:lang w:val="es-ES"/>
              </w:rPr>
              <w:t>2022</w:t>
            </w:r>
          </w:p>
        </w:tc>
        <w:tc>
          <w:tcPr>
            <w:tcW w:w="871" w:type="pct"/>
            <w:shd w:val="clear" w:color="auto" w:fill="D9D9D9" w:themeFill="background1" w:themeFillShade="D9"/>
            <w:noWrap/>
            <w:vAlign w:val="center"/>
          </w:tcPr>
          <w:p w14:paraId="79EB2D1D" w14:textId="6BE6D456" w:rsidR="00BB0222" w:rsidRPr="009B5E75" w:rsidRDefault="00BB0222">
            <w:pPr>
              <w:spacing w:line="0" w:lineRule="atLeast"/>
              <w:contextualSpacing/>
              <w:jc w:val="center"/>
              <w:rPr>
                <w:rFonts w:ascii="Arial" w:hAnsi="Arial" w:cs="Arial"/>
                <w:b/>
                <w:bCs/>
                <w:color w:val="000000"/>
                <w:sz w:val="20"/>
                <w:szCs w:val="20"/>
                <w:lang w:val="es-ES"/>
              </w:rPr>
            </w:pPr>
            <w:r w:rsidRPr="005F711A">
              <w:rPr>
                <w:rFonts w:ascii="Arial" w:hAnsi="Arial" w:cs="Arial"/>
                <w:b/>
                <w:bCs/>
                <w:color w:val="000000"/>
                <w:sz w:val="20"/>
                <w:szCs w:val="20"/>
                <w:lang w:val="es-ES"/>
              </w:rPr>
              <w:t>Costo</w:t>
            </w:r>
            <w:r>
              <w:rPr>
                <w:rFonts w:ascii="Arial" w:hAnsi="Arial" w:cs="Arial"/>
                <w:b/>
                <w:bCs/>
                <w:color w:val="000000"/>
                <w:sz w:val="20"/>
                <w:szCs w:val="20"/>
                <w:lang w:val="es-ES"/>
              </w:rPr>
              <w:t xml:space="preserve"> y Fuente</w:t>
            </w:r>
          </w:p>
        </w:tc>
      </w:tr>
      <w:tr w:rsidR="00BB0222" w:rsidRPr="005F711A" w14:paraId="1B3600AD" w14:textId="77777777" w:rsidTr="00F64E64">
        <w:trPr>
          <w:trHeight w:val="745"/>
          <w:jc w:val="center"/>
        </w:trPr>
        <w:tc>
          <w:tcPr>
            <w:tcW w:w="1241" w:type="pct"/>
            <w:shd w:val="clear" w:color="auto" w:fill="auto"/>
            <w:noWrap/>
            <w:vAlign w:val="center"/>
          </w:tcPr>
          <w:p w14:paraId="70DB4C07" w14:textId="615C0B8D" w:rsidR="00BB0222" w:rsidRPr="009B5E75" w:rsidRDefault="00BB0222" w:rsidP="009B5E75">
            <w:pPr>
              <w:spacing w:line="0" w:lineRule="atLeast"/>
              <w:contextualSpacing/>
              <w:rPr>
                <w:rFonts w:ascii="Arial" w:hAnsi="Arial" w:cs="Arial"/>
                <w:color w:val="000000"/>
                <w:sz w:val="20"/>
                <w:szCs w:val="20"/>
                <w:lang w:val="es-ES"/>
              </w:rPr>
            </w:pPr>
            <w:r w:rsidRPr="009B5E75">
              <w:rPr>
                <w:rFonts w:ascii="Arial" w:hAnsi="Arial" w:cs="Arial"/>
                <w:color w:val="000000"/>
                <w:sz w:val="20"/>
                <w:szCs w:val="20"/>
                <w:lang w:val="es-ES"/>
              </w:rPr>
              <w:t>Evaluación Reflexiva</w:t>
            </w:r>
          </w:p>
        </w:tc>
        <w:tc>
          <w:tcPr>
            <w:tcW w:w="577" w:type="pct"/>
          </w:tcPr>
          <w:p w14:paraId="0CC7509A"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280098CA" w14:textId="2CE5F3D0"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684FBA08" w14:textId="77777777"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 xml:space="preserve"> </w:t>
            </w:r>
          </w:p>
        </w:tc>
        <w:tc>
          <w:tcPr>
            <w:tcW w:w="631" w:type="pct"/>
            <w:shd w:val="clear" w:color="auto" w:fill="auto"/>
            <w:vAlign w:val="center"/>
          </w:tcPr>
          <w:p w14:paraId="55A0C6C2" w14:textId="77777777"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Informe</w:t>
            </w:r>
          </w:p>
          <w:p w14:paraId="13F5D200" w14:textId="77777777"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 xml:space="preserve">Final </w:t>
            </w:r>
          </w:p>
        </w:tc>
        <w:tc>
          <w:tcPr>
            <w:tcW w:w="871" w:type="pct"/>
            <w:shd w:val="clear" w:color="auto" w:fill="auto"/>
            <w:noWrap/>
            <w:vAlign w:val="center"/>
          </w:tcPr>
          <w:p w14:paraId="2AF1D99C" w14:textId="2C99169E" w:rsidR="00BB0222" w:rsidRPr="009B5E75" w:rsidRDefault="00BB0222">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US$20.000</w:t>
            </w:r>
          </w:p>
        </w:tc>
      </w:tr>
      <w:tr w:rsidR="00BB0222" w:rsidRPr="005F711A" w14:paraId="380C0E21" w14:textId="77777777" w:rsidTr="00F64E64">
        <w:trPr>
          <w:trHeight w:val="745"/>
          <w:jc w:val="center"/>
        </w:trPr>
        <w:tc>
          <w:tcPr>
            <w:tcW w:w="1241" w:type="pct"/>
            <w:shd w:val="clear" w:color="auto" w:fill="auto"/>
            <w:noWrap/>
            <w:vAlign w:val="center"/>
            <w:hideMark/>
          </w:tcPr>
          <w:p w14:paraId="01C4BFDF" w14:textId="613F5D12" w:rsidR="00BB0222" w:rsidRPr="009B5E75" w:rsidRDefault="00BB0222" w:rsidP="009B5E75">
            <w:pPr>
              <w:spacing w:line="0" w:lineRule="atLeast"/>
              <w:contextualSpacing/>
              <w:rPr>
                <w:rFonts w:ascii="Arial" w:hAnsi="Arial" w:cs="Arial"/>
                <w:color w:val="000000"/>
                <w:sz w:val="20"/>
                <w:szCs w:val="20"/>
                <w:lang w:val="es-ES"/>
              </w:rPr>
            </w:pPr>
            <w:r w:rsidRPr="009B5E75">
              <w:rPr>
                <w:rFonts w:ascii="Arial" w:hAnsi="Arial" w:cs="Arial"/>
                <w:color w:val="000000"/>
                <w:sz w:val="20"/>
                <w:szCs w:val="20"/>
                <w:lang w:val="es-ES"/>
              </w:rPr>
              <w:t>Evaluación Económica Ex Ante</w:t>
            </w:r>
          </w:p>
        </w:tc>
        <w:tc>
          <w:tcPr>
            <w:tcW w:w="577" w:type="pct"/>
          </w:tcPr>
          <w:p w14:paraId="24F7BEA0" w14:textId="3BB5B703"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Ex Ante</w:t>
            </w:r>
          </w:p>
        </w:tc>
        <w:tc>
          <w:tcPr>
            <w:tcW w:w="840" w:type="pct"/>
            <w:shd w:val="clear" w:color="auto" w:fill="auto"/>
            <w:noWrap/>
            <w:vAlign w:val="center"/>
          </w:tcPr>
          <w:p w14:paraId="74018B60" w14:textId="7D038AD9" w:rsidR="00BB0222" w:rsidRPr="009B5E75" w:rsidRDefault="00BB0222" w:rsidP="009B5E75">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 xml:space="preserve">Actualización Evaluación </w:t>
            </w:r>
            <w:r w:rsidRPr="009B5E75">
              <w:rPr>
                <w:rFonts w:ascii="Arial" w:hAnsi="Arial" w:cs="Arial"/>
                <w:color w:val="000000"/>
                <w:sz w:val="20"/>
                <w:szCs w:val="20"/>
                <w:lang w:val="es-ES"/>
              </w:rPr>
              <w:t>Ex Ante</w:t>
            </w:r>
          </w:p>
        </w:tc>
        <w:tc>
          <w:tcPr>
            <w:tcW w:w="840" w:type="pct"/>
            <w:shd w:val="clear" w:color="auto" w:fill="auto"/>
            <w:noWrap/>
            <w:vAlign w:val="center"/>
          </w:tcPr>
          <w:p w14:paraId="520A492F" w14:textId="76E2174E" w:rsidR="00BB0222" w:rsidRPr="009B5E75" w:rsidRDefault="00BB0222" w:rsidP="009B5E75">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 xml:space="preserve">Actualización Evaluación </w:t>
            </w:r>
            <w:r w:rsidRPr="009B5E75">
              <w:rPr>
                <w:rFonts w:ascii="Arial" w:hAnsi="Arial" w:cs="Arial"/>
                <w:color w:val="000000"/>
                <w:sz w:val="20"/>
                <w:szCs w:val="20"/>
                <w:lang w:val="es-ES"/>
              </w:rPr>
              <w:t xml:space="preserve"> </w:t>
            </w:r>
            <w:r>
              <w:rPr>
                <w:rFonts w:ascii="Arial" w:hAnsi="Arial" w:cs="Arial"/>
                <w:color w:val="000000"/>
                <w:sz w:val="20"/>
                <w:szCs w:val="20"/>
                <w:lang w:val="es-ES"/>
              </w:rPr>
              <w:t xml:space="preserve"> </w:t>
            </w:r>
            <w:r w:rsidRPr="009B5E75">
              <w:rPr>
                <w:rFonts w:ascii="Arial" w:hAnsi="Arial" w:cs="Arial"/>
                <w:color w:val="000000"/>
                <w:sz w:val="20"/>
                <w:szCs w:val="20"/>
                <w:lang w:val="es-ES"/>
              </w:rPr>
              <w:t>Ex Ante</w:t>
            </w:r>
          </w:p>
        </w:tc>
        <w:tc>
          <w:tcPr>
            <w:tcW w:w="631" w:type="pct"/>
            <w:shd w:val="clear" w:color="auto" w:fill="auto"/>
            <w:vAlign w:val="center"/>
          </w:tcPr>
          <w:p w14:paraId="60C3AA73" w14:textId="168B5C85"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71" w:type="pct"/>
            <w:shd w:val="clear" w:color="auto" w:fill="auto"/>
            <w:noWrap/>
            <w:vAlign w:val="center"/>
          </w:tcPr>
          <w:p w14:paraId="3468EAFF" w14:textId="56F7C547" w:rsidR="00BB0222" w:rsidRPr="009B5E75" w:rsidRDefault="004B0B5A">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US$</w:t>
            </w:r>
            <w:r w:rsidR="00BB0222">
              <w:rPr>
                <w:rFonts w:ascii="Arial" w:hAnsi="Arial" w:cs="Arial"/>
                <w:color w:val="000000"/>
                <w:sz w:val="20"/>
                <w:szCs w:val="20"/>
                <w:lang w:val="es-ES"/>
              </w:rPr>
              <w:t>120.000</w:t>
            </w:r>
          </w:p>
        </w:tc>
      </w:tr>
      <w:tr w:rsidR="00BB0222" w:rsidRPr="005F711A" w14:paraId="1856B345" w14:textId="77777777" w:rsidTr="00F64E64">
        <w:trPr>
          <w:trHeight w:val="394"/>
          <w:jc w:val="center"/>
        </w:trPr>
        <w:tc>
          <w:tcPr>
            <w:tcW w:w="1241" w:type="pct"/>
            <w:shd w:val="clear" w:color="auto" w:fill="auto"/>
            <w:noWrap/>
            <w:vAlign w:val="center"/>
          </w:tcPr>
          <w:p w14:paraId="0ED41193" w14:textId="56E265A3" w:rsidR="00BB0222" w:rsidRPr="009B5E75" w:rsidRDefault="00BB0222" w:rsidP="009B5E75">
            <w:pPr>
              <w:spacing w:line="0" w:lineRule="atLeast"/>
              <w:contextualSpacing/>
              <w:rPr>
                <w:rFonts w:ascii="Arial" w:hAnsi="Arial" w:cs="Arial"/>
                <w:color w:val="000000"/>
                <w:sz w:val="20"/>
                <w:szCs w:val="20"/>
                <w:lang w:val="es-ES"/>
              </w:rPr>
            </w:pPr>
            <w:r w:rsidRPr="009B5E75">
              <w:rPr>
                <w:rFonts w:ascii="Arial" w:hAnsi="Arial" w:cs="Arial"/>
                <w:color w:val="000000"/>
                <w:sz w:val="20"/>
                <w:szCs w:val="20"/>
                <w:lang w:val="es-ES"/>
              </w:rPr>
              <w:t>Evaluación Económica Ex Post</w:t>
            </w:r>
          </w:p>
        </w:tc>
        <w:tc>
          <w:tcPr>
            <w:tcW w:w="577" w:type="pct"/>
          </w:tcPr>
          <w:p w14:paraId="1A563C74"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78B2F0B7" w14:textId="4F58BCF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tcPr>
          <w:p w14:paraId="69D188A1"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631" w:type="pct"/>
            <w:shd w:val="clear" w:color="auto" w:fill="auto"/>
            <w:vAlign w:val="center"/>
          </w:tcPr>
          <w:p w14:paraId="7B69076C" w14:textId="77777777"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Ex Post</w:t>
            </w:r>
          </w:p>
          <w:p w14:paraId="267382EC" w14:textId="074EA16A"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Final</w:t>
            </w:r>
          </w:p>
        </w:tc>
        <w:tc>
          <w:tcPr>
            <w:tcW w:w="871" w:type="pct"/>
            <w:shd w:val="clear" w:color="auto" w:fill="FFFFFF" w:themeFill="background1"/>
            <w:noWrap/>
            <w:vAlign w:val="center"/>
          </w:tcPr>
          <w:p w14:paraId="387269EE" w14:textId="6A67D667" w:rsidR="00BB0222" w:rsidRPr="009B5E75" w:rsidRDefault="004B0B5A">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US$</w:t>
            </w:r>
            <w:r w:rsidR="00BB0222">
              <w:rPr>
                <w:rFonts w:ascii="Arial" w:hAnsi="Arial" w:cs="Arial"/>
                <w:color w:val="000000"/>
                <w:sz w:val="20"/>
                <w:szCs w:val="20"/>
                <w:lang w:val="es-ES"/>
              </w:rPr>
              <w:t>40.000</w:t>
            </w:r>
          </w:p>
        </w:tc>
      </w:tr>
      <w:tr w:rsidR="00BB0222" w:rsidRPr="005F711A" w14:paraId="27974227" w14:textId="77777777" w:rsidTr="00F64E64">
        <w:trPr>
          <w:trHeight w:val="394"/>
          <w:jc w:val="center"/>
        </w:trPr>
        <w:tc>
          <w:tcPr>
            <w:tcW w:w="1241" w:type="pct"/>
            <w:shd w:val="clear" w:color="auto" w:fill="auto"/>
            <w:noWrap/>
            <w:vAlign w:val="center"/>
            <w:hideMark/>
          </w:tcPr>
          <w:p w14:paraId="7641EDF1" w14:textId="77777777" w:rsidR="00BB0222" w:rsidRPr="009B5E75" w:rsidRDefault="00BB0222" w:rsidP="009B5E75">
            <w:pPr>
              <w:spacing w:line="0" w:lineRule="atLeast"/>
              <w:contextualSpacing/>
              <w:rPr>
                <w:rFonts w:ascii="Arial" w:hAnsi="Arial" w:cs="Arial"/>
                <w:color w:val="000000"/>
                <w:sz w:val="20"/>
                <w:szCs w:val="20"/>
                <w:lang w:val="es-ES"/>
              </w:rPr>
            </w:pPr>
            <w:r w:rsidRPr="009B5E75">
              <w:rPr>
                <w:rFonts w:ascii="Arial" w:hAnsi="Arial" w:cs="Arial"/>
                <w:color w:val="000000"/>
                <w:sz w:val="20"/>
                <w:szCs w:val="20"/>
                <w:lang w:val="es-ES"/>
              </w:rPr>
              <w:t xml:space="preserve">Informe de Terminación de Proyecto (PCR) </w:t>
            </w:r>
          </w:p>
        </w:tc>
        <w:tc>
          <w:tcPr>
            <w:tcW w:w="577" w:type="pct"/>
          </w:tcPr>
          <w:p w14:paraId="0B6A36F5"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hideMark/>
          </w:tcPr>
          <w:p w14:paraId="5A523507" w14:textId="7959F71E" w:rsidR="00BB0222" w:rsidRPr="009B5E75" w:rsidRDefault="00BB0222" w:rsidP="009B5E75">
            <w:pPr>
              <w:spacing w:line="0" w:lineRule="atLeast"/>
              <w:contextualSpacing/>
              <w:jc w:val="center"/>
              <w:rPr>
                <w:rFonts w:ascii="Arial" w:hAnsi="Arial" w:cs="Arial"/>
                <w:color w:val="000000"/>
                <w:sz w:val="20"/>
                <w:szCs w:val="20"/>
                <w:lang w:val="es-ES"/>
              </w:rPr>
            </w:pPr>
          </w:p>
          <w:p w14:paraId="1EC93EC3"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40" w:type="pct"/>
            <w:shd w:val="clear" w:color="auto" w:fill="auto"/>
            <w:noWrap/>
            <w:vAlign w:val="center"/>
            <w:hideMark/>
          </w:tcPr>
          <w:p w14:paraId="2CABB102" w14:textId="33A4D436" w:rsidR="00BB0222" w:rsidRPr="009B5E75" w:rsidRDefault="00BB0222" w:rsidP="009B5E75">
            <w:pPr>
              <w:spacing w:line="0" w:lineRule="atLeast"/>
              <w:contextualSpacing/>
              <w:jc w:val="center"/>
              <w:rPr>
                <w:rFonts w:ascii="Arial" w:hAnsi="Arial" w:cs="Arial"/>
                <w:color w:val="000000"/>
                <w:sz w:val="20"/>
                <w:szCs w:val="20"/>
                <w:lang w:val="es-ES"/>
              </w:rPr>
            </w:pPr>
            <w:r w:rsidRPr="009B5E75">
              <w:rPr>
                <w:rFonts w:ascii="Arial" w:hAnsi="Arial" w:cs="Arial"/>
                <w:color w:val="000000"/>
                <w:sz w:val="20"/>
                <w:szCs w:val="20"/>
                <w:lang w:val="es-ES"/>
              </w:rPr>
              <w:t>PCR</w:t>
            </w:r>
          </w:p>
        </w:tc>
        <w:tc>
          <w:tcPr>
            <w:tcW w:w="631" w:type="pct"/>
            <w:shd w:val="clear" w:color="auto" w:fill="auto"/>
            <w:vAlign w:val="center"/>
          </w:tcPr>
          <w:p w14:paraId="51B26687" w14:textId="77777777" w:rsidR="00BB0222" w:rsidRPr="009B5E75" w:rsidRDefault="00BB0222" w:rsidP="009B5E75">
            <w:pPr>
              <w:spacing w:line="0" w:lineRule="atLeast"/>
              <w:contextualSpacing/>
              <w:jc w:val="center"/>
              <w:rPr>
                <w:rFonts w:ascii="Arial" w:hAnsi="Arial" w:cs="Arial"/>
                <w:color w:val="000000"/>
                <w:sz w:val="20"/>
                <w:szCs w:val="20"/>
                <w:lang w:val="es-ES"/>
              </w:rPr>
            </w:pPr>
          </w:p>
        </w:tc>
        <w:tc>
          <w:tcPr>
            <w:tcW w:w="871" w:type="pct"/>
            <w:shd w:val="clear" w:color="auto" w:fill="FFFFFF" w:themeFill="background1"/>
            <w:noWrap/>
            <w:vAlign w:val="center"/>
            <w:hideMark/>
          </w:tcPr>
          <w:p w14:paraId="54965DBF" w14:textId="49923D5B" w:rsidR="00BB0222" w:rsidRPr="009B5E75" w:rsidRDefault="004B0B5A">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US$20.</w:t>
            </w:r>
            <w:r w:rsidR="00BB0222">
              <w:rPr>
                <w:rFonts w:ascii="Arial" w:hAnsi="Arial" w:cs="Arial"/>
                <w:color w:val="000000"/>
                <w:sz w:val="20"/>
                <w:szCs w:val="20"/>
                <w:lang w:val="es-ES"/>
              </w:rPr>
              <w:t>000</w:t>
            </w:r>
          </w:p>
        </w:tc>
      </w:tr>
      <w:tr w:rsidR="004B0B5A" w:rsidRPr="005F711A" w14:paraId="118704A6" w14:textId="77777777" w:rsidTr="00F64E64">
        <w:trPr>
          <w:trHeight w:val="394"/>
          <w:jc w:val="center"/>
        </w:trPr>
        <w:tc>
          <w:tcPr>
            <w:tcW w:w="4129" w:type="pct"/>
            <w:gridSpan w:val="5"/>
            <w:shd w:val="clear" w:color="auto" w:fill="auto"/>
            <w:noWrap/>
            <w:vAlign w:val="center"/>
          </w:tcPr>
          <w:p w14:paraId="257E3B5D" w14:textId="361B2314" w:rsidR="004B0B5A" w:rsidRPr="00F64E64" w:rsidRDefault="004B0B5A" w:rsidP="00F64E64">
            <w:pPr>
              <w:spacing w:line="0" w:lineRule="atLeast"/>
              <w:contextualSpacing/>
              <w:jc w:val="right"/>
              <w:rPr>
                <w:rFonts w:ascii="Arial" w:hAnsi="Arial" w:cs="Arial"/>
                <w:b/>
                <w:bCs/>
                <w:color w:val="000000"/>
                <w:sz w:val="20"/>
                <w:szCs w:val="20"/>
                <w:lang w:val="es-ES"/>
              </w:rPr>
            </w:pPr>
            <w:r w:rsidRPr="00F64E64">
              <w:rPr>
                <w:rFonts w:ascii="Arial" w:hAnsi="Arial" w:cs="Arial"/>
                <w:b/>
                <w:bCs/>
                <w:color w:val="000000"/>
                <w:sz w:val="20"/>
                <w:szCs w:val="20"/>
                <w:lang w:val="es-ES"/>
              </w:rPr>
              <w:t>Total</w:t>
            </w:r>
          </w:p>
        </w:tc>
        <w:tc>
          <w:tcPr>
            <w:tcW w:w="871" w:type="pct"/>
            <w:shd w:val="clear" w:color="auto" w:fill="FFFFFF" w:themeFill="background1"/>
            <w:noWrap/>
            <w:vAlign w:val="center"/>
          </w:tcPr>
          <w:p w14:paraId="76B82597" w14:textId="7A582974" w:rsidR="004B0B5A" w:rsidRPr="009B5E75" w:rsidRDefault="004B0B5A" w:rsidP="009B5E75">
            <w:pPr>
              <w:spacing w:line="0" w:lineRule="atLeast"/>
              <w:contextualSpacing/>
              <w:jc w:val="center"/>
              <w:rPr>
                <w:rFonts w:ascii="Arial" w:hAnsi="Arial" w:cs="Arial"/>
                <w:color w:val="000000"/>
                <w:sz w:val="20"/>
                <w:szCs w:val="20"/>
                <w:lang w:val="es-ES"/>
              </w:rPr>
            </w:pPr>
            <w:r>
              <w:rPr>
                <w:rFonts w:ascii="Arial" w:hAnsi="Arial" w:cs="Arial"/>
                <w:color w:val="000000"/>
                <w:sz w:val="20"/>
                <w:szCs w:val="20"/>
                <w:lang w:val="es-ES"/>
              </w:rPr>
              <w:t>US$200.000</w:t>
            </w:r>
          </w:p>
        </w:tc>
      </w:tr>
    </w:tbl>
    <w:p w14:paraId="0FE11855" w14:textId="77777777" w:rsidR="003C2E48" w:rsidRPr="009B5E75" w:rsidRDefault="003C2E48" w:rsidP="00F32849">
      <w:pPr>
        <w:jc w:val="both"/>
        <w:textAlignment w:val="top"/>
        <w:rPr>
          <w:rFonts w:ascii="Arial" w:eastAsia="Times New Roman" w:hAnsi="Arial" w:cs="Arial"/>
          <w:color w:val="000000"/>
          <w:lang w:val="es-ES_tradnl"/>
        </w:rPr>
      </w:pPr>
    </w:p>
    <w:p w14:paraId="496F3C20" w14:textId="77777777" w:rsidR="003C2E48" w:rsidRPr="00C22824" w:rsidRDefault="003C2E48" w:rsidP="00F32849">
      <w:pPr>
        <w:jc w:val="both"/>
        <w:textAlignment w:val="top"/>
        <w:rPr>
          <w:rFonts w:ascii="Arial" w:eastAsia="Times New Roman" w:hAnsi="Arial" w:cs="Arial"/>
          <w:color w:val="000000"/>
          <w:lang w:val="es-ES"/>
        </w:rPr>
      </w:pPr>
    </w:p>
    <w:p w14:paraId="26A39F36" w14:textId="77777777" w:rsidR="003C2E48" w:rsidRDefault="003C2E48" w:rsidP="00F32849">
      <w:pPr>
        <w:pStyle w:val="ColorfulList-Accent11"/>
        <w:numPr>
          <w:ilvl w:val="0"/>
          <w:numId w:val="13"/>
        </w:numPr>
        <w:tabs>
          <w:tab w:val="left" w:pos="540"/>
        </w:tabs>
        <w:spacing w:after="0"/>
        <w:ind w:hanging="1080"/>
        <w:jc w:val="both"/>
        <w:outlineLvl w:val="0"/>
        <w:rPr>
          <w:rFonts w:ascii="Arial" w:hAnsi="Arial" w:cs="Arial"/>
          <w:b/>
          <w:sz w:val="24"/>
          <w:lang w:val="es-ES"/>
        </w:rPr>
      </w:pPr>
      <w:r>
        <w:rPr>
          <w:rFonts w:ascii="Arial" w:hAnsi="Arial" w:cs="Arial"/>
          <w:b/>
          <w:sz w:val="24"/>
          <w:lang w:val="es-ES"/>
        </w:rPr>
        <w:br w:type="page"/>
      </w:r>
    </w:p>
    <w:p w14:paraId="1A448B08" w14:textId="0AC79B75" w:rsidR="00D50E6C" w:rsidRPr="00F64E64" w:rsidRDefault="00D50E6C" w:rsidP="00F64E64">
      <w:pPr>
        <w:pStyle w:val="ColorfulList-Accent11"/>
        <w:numPr>
          <w:ilvl w:val="0"/>
          <w:numId w:val="13"/>
        </w:numPr>
        <w:tabs>
          <w:tab w:val="left" w:pos="540"/>
        </w:tabs>
        <w:spacing w:after="0"/>
        <w:ind w:hanging="1080"/>
        <w:jc w:val="both"/>
        <w:outlineLvl w:val="0"/>
        <w:rPr>
          <w:rFonts w:ascii="Arial" w:hAnsi="Arial" w:cs="Arial"/>
          <w:b/>
          <w:bCs/>
          <w:sz w:val="24"/>
          <w:szCs w:val="24"/>
          <w:lang w:val="es-ES"/>
        </w:rPr>
      </w:pPr>
      <w:bookmarkStart w:id="34" w:name="_Toc468954102"/>
      <w:r w:rsidRPr="00F64E64">
        <w:rPr>
          <w:rFonts w:ascii="Arial" w:hAnsi="Arial" w:cs="Arial"/>
          <w:b/>
          <w:bCs/>
          <w:sz w:val="24"/>
          <w:szCs w:val="24"/>
          <w:lang w:val="es-ES"/>
        </w:rPr>
        <w:lastRenderedPageBreak/>
        <w:t>Anexos</w:t>
      </w:r>
      <w:bookmarkEnd w:id="34"/>
      <w:r w:rsidRPr="00F64E64">
        <w:rPr>
          <w:rFonts w:ascii="Arial" w:hAnsi="Arial" w:cs="Arial"/>
          <w:b/>
          <w:bCs/>
          <w:sz w:val="24"/>
          <w:szCs w:val="24"/>
          <w:lang w:val="es-ES"/>
        </w:rPr>
        <w:t xml:space="preserve"> </w:t>
      </w:r>
    </w:p>
    <w:p w14:paraId="4C029615" w14:textId="77777777" w:rsidR="00D50E6C" w:rsidRPr="00C22824" w:rsidRDefault="00D50E6C" w:rsidP="00F32849">
      <w:pPr>
        <w:jc w:val="both"/>
        <w:rPr>
          <w:rFonts w:ascii="Arial" w:hAnsi="Arial" w:cs="Arial"/>
          <w:b/>
          <w:lang w:val="es-ES"/>
        </w:rPr>
      </w:pPr>
    </w:p>
    <w:p w14:paraId="1EC5096A" w14:textId="77777777" w:rsidR="007A2F3E" w:rsidRPr="00F64E64" w:rsidRDefault="007A2F3E" w:rsidP="00F64E64">
      <w:pPr>
        <w:pStyle w:val="ListParagraph"/>
        <w:tabs>
          <w:tab w:val="center" w:pos="4680"/>
        </w:tabs>
        <w:spacing w:after="0"/>
        <w:ind w:left="0"/>
        <w:jc w:val="center"/>
        <w:rPr>
          <w:rFonts w:ascii="Arial" w:hAnsi="Arial" w:cs="Arial"/>
          <w:b/>
          <w:bCs/>
          <w:smallCaps/>
          <w:sz w:val="24"/>
          <w:szCs w:val="24"/>
          <w:lang w:val="es-ES"/>
        </w:rPr>
      </w:pPr>
      <w:r w:rsidRPr="00F64E64">
        <w:rPr>
          <w:rFonts w:ascii="Arial" w:hAnsi="Arial" w:cs="Arial"/>
          <w:b/>
          <w:bCs/>
          <w:smallCaps/>
          <w:sz w:val="24"/>
          <w:szCs w:val="24"/>
          <w:lang w:val="es-ES"/>
        </w:rPr>
        <w:t>Términos de Referencia</w:t>
      </w:r>
    </w:p>
    <w:p w14:paraId="0806E63A" w14:textId="4CC2643B" w:rsidR="007A2F3E" w:rsidRPr="00F64E64" w:rsidRDefault="00B367D5" w:rsidP="00F64E64">
      <w:pPr>
        <w:pStyle w:val="ListParagraph"/>
        <w:tabs>
          <w:tab w:val="center" w:pos="4680"/>
        </w:tabs>
        <w:spacing w:after="0"/>
        <w:ind w:left="0"/>
        <w:jc w:val="center"/>
        <w:rPr>
          <w:rFonts w:ascii="Arial" w:hAnsi="Arial" w:cs="Arial"/>
          <w:b/>
          <w:bCs/>
          <w:sz w:val="24"/>
          <w:szCs w:val="24"/>
          <w:lang w:val="es-ES"/>
        </w:rPr>
      </w:pPr>
      <w:r w:rsidRPr="00F64E64">
        <w:rPr>
          <w:rFonts w:ascii="Arial" w:hAnsi="Arial" w:cs="Arial"/>
          <w:b/>
          <w:bCs/>
          <w:sz w:val="24"/>
          <w:szCs w:val="24"/>
          <w:lang w:val="es-ES"/>
        </w:rPr>
        <w:t>Consultoría de Evaluación Ex P</w:t>
      </w:r>
      <w:r w:rsidR="007A2F3E" w:rsidRPr="00F64E64">
        <w:rPr>
          <w:rFonts w:ascii="Arial" w:hAnsi="Arial" w:cs="Arial"/>
          <w:b/>
          <w:bCs/>
          <w:sz w:val="24"/>
          <w:szCs w:val="24"/>
          <w:lang w:val="es-ES"/>
        </w:rPr>
        <w:t>ost</w:t>
      </w:r>
    </w:p>
    <w:p w14:paraId="0BBAF3D3" w14:textId="4F8C8ABB" w:rsidR="007A2F3E" w:rsidRPr="00F64E64" w:rsidRDefault="007A2F3E" w:rsidP="00F64E64">
      <w:pPr>
        <w:pStyle w:val="ListParagraph"/>
        <w:tabs>
          <w:tab w:val="center" w:pos="4680"/>
        </w:tabs>
        <w:spacing w:after="0"/>
        <w:ind w:left="0"/>
        <w:jc w:val="center"/>
        <w:rPr>
          <w:rFonts w:ascii="Arial" w:hAnsi="Arial" w:cs="Arial"/>
          <w:b/>
          <w:bCs/>
          <w:sz w:val="24"/>
          <w:szCs w:val="24"/>
          <w:lang w:val="es-ES"/>
        </w:rPr>
      </w:pPr>
      <w:r w:rsidRPr="00F64E64">
        <w:rPr>
          <w:rFonts w:ascii="Arial" w:hAnsi="Arial" w:cs="Arial"/>
          <w:b/>
          <w:bCs/>
          <w:sz w:val="24"/>
          <w:szCs w:val="24"/>
          <w:lang w:val="es-ES"/>
        </w:rPr>
        <w:t>Programa de Reforma del Sector Transporte en Bolivia</w:t>
      </w:r>
      <w:r w:rsidR="00B367D5" w:rsidRPr="00F64E64">
        <w:rPr>
          <w:rFonts w:ascii="Arial" w:hAnsi="Arial" w:cs="Arial"/>
          <w:b/>
          <w:bCs/>
          <w:sz w:val="24"/>
          <w:szCs w:val="24"/>
          <w:lang w:val="es-ES"/>
        </w:rPr>
        <w:t xml:space="preserve"> II</w:t>
      </w:r>
    </w:p>
    <w:p w14:paraId="14FD2BF8" w14:textId="77777777" w:rsidR="00B367D5" w:rsidRPr="00C22824" w:rsidRDefault="00B367D5" w:rsidP="00F32849">
      <w:pPr>
        <w:pStyle w:val="ListParagraph"/>
        <w:tabs>
          <w:tab w:val="center" w:pos="4680"/>
        </w:tabs>
        <w:spacing w:after="0"/>
        <w:ind w:left="0"/>
        <w:jc w:val="center"/>
        <w:rPr>
          <w:rFonts w:ascii="Arial" w:hAnsi="Arial" w:cs="Arial"/>
          <w:b/>
          <w:lang w:val="es-ES"/>
        </w:rPr>
      </w:pPr>
    </w:p>
    <w:p w14:paraId="1E289456" w14:textId="10766BCD"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Objetivo de la consultoría</w:t>
      </w:r>
    </w:p>
    <w:p w14:paraId="588C1109" w14:textId="77777777" w:rsidR="00B367D5" w:rsidRPr="00C22824" w:rsidRDefault="00B367D5" w:rsidP="00B367D5">
      <w:pPr>
        <w:pStyle w:val="ListParagraph"/>
        <w:tabs>
          <w:tab w:val="center" w:pos="4680"/>
        </w:tabs>
        <w:spacing w:after="0"/>
        <w:ind w:left="1080"/>
        <w:rPr>
          <w:rFonts w:ascii="Arial" w:hAnsi="Arial" w:cs="Arial"/>
          <w:b/>
          <w:lang w:val="es-ES"/>
        </w:rPr>
      </w:pPr>
    </w:p>
    <w:p w14:paraId="15CF60F1" w14:textId="14D4E11E" w:rsidR="007A2F3E" w:rsidRPr="00C22824" w:rsidRDefault="007A2F3E" w:rsidP="00F32849">
      <w:pPr>
        <w:jc w:val="both"/>
        <w:rPr>
          <w:rFonts w:ascii="Arial" w:hAnsi="Arial" w:cs="Arial"/>
          <w:lang w:val="es-ES"/>
        </w:rPr>
      </w:pPr>
      <w:r w:rsidRPr="00C22824">
        <w:rPr>
          <w:rFonts w:ascii="Arial" w:hAnsi="Arial" w:cs="Arial"/>
          <w:lang w:val="es-ES"/>
        </w:rPr>
        <w:t>Preparar el informe de evaluación económica ex post del Programa de Reforma de Políticas del Sector Transporte en Bolivia</w:t>
      </w:r>
      <w:r w:rsidR="002B1BA1">
        <w:rPr>
          <w:rFonts w:ascii="Arial" w:hAnsi="Arial" w:cs="Arial"/>
          <w:lang w:val="es-ES"/>
        </w:rPr>
        <w:t xml:space="preserve"> II</w:t>
      </w:r>
      <w:r w:rsidRPr="00C22824">
        <w:rPr>
          <w:rFonts w:ascii="Arial" w:hAnsi="Arial" w:cs="Arial"/>
          <w:lang w:val="es-ES"/>
        </w:rPr>
        <w:t>.</w:t>
      </w:r>
    </w:p>
    <w:p w14:paraId="305A7D47" w14:textId="77777777" w:rsidR="00B367D5" w:rsidRPr="00C22824" w:rsidRDefault="00B367D5" w:rsidP="00F32849">
      <w:pPr>
        <w:jc w:val="both"/>
        <w:rPr>
          <w:rFonts w:ascii="Arial" w:hAnsi="Arial" w:cs="Arial"/>
          <w:lang w:val="es-ES"/>
        </w:rPr>
      </w:pPr>
    </w:p>
    <w:p w14:paraId="4FC6ABC8" w14:textId="45C959CD"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Actividades</w:t>
      </w:r>
    </w:p>
    <w:p w14:paraId="53F8430A" w14:textId="77777777" w:rsidR="00B367D5" w:rsidRPr="00C22824" w:rsidRDefault="00B367D5" w:rsidP="00B367D5">
      <w:pPr>
        <w:pStyle w:val="ListParagraph"/>
        <w:tabs>
          <w:tab w:val="center" w:pos="4680"/>
        </w:tabs>
        <w:spacing w:after="0"/>
        <w:ind w:left="360"/>
        <w:rPr>
          <w:rFonts w:ascii="Arial" w:hAnsi="Arial" w:cs="Arial"/>
          <w:b/>
          <w:smallCaps/>
          <w:lang w:val="es-ES"/>
        </w:rPr>
      </w:pPr>
    </w:p>
    <w:p w14:paraId="13B8F445" w14:textId="77777777" w:rsidR="007A2F3E" w:rsidRPr="00F64E64" w:rsidRDefault="007A2F3E" w:rsidP="00F64E64">
      <w:pPr>
        <w:pStyle w:val="Paragraph"/>
        <w:tabs>
          <w:tab w:val="clear" w:pos="1440"/>
        </w:tabs>
        <w:spacing w:before="0" w:after="0" w:line="276" w:lineRule="auto"/>
        <w:ind w:left="0" w:firstLine="0"/>
        <w:rPr>
          <w:rFonts w:ascii="Arial" w:hAnsi="Arial" w:cs="Arial"/>
          <w:lang w:val="es-ES"/>
        </w:rPr>
      </w:pPr>
      <w:r w:rsidRPr="00F64E64">
        <w:rPr>
          <w:rFonts w:ascii="Arial" w:hAnsi="Arial" w:cs="Arial"/>
          <w:lang w:val="es-ES"/>
        </w:rPr>
        <w:t>Las actividades que serán realizadas durante la consultoría incluyen las siguientes:</w:t>
      </w:r>
    </w:p>
    <w:p w14:paraId="7630B62A" w14:textId="77777777" w:rsidR="00B367D5" w:rsidRPr="00C22824" w:rsidRDefault="00B367D5" w:rsidP="00F32849">
      <w:pPr>
        <w:pStyle w:val="Paragraph"/>
        <w:tabs>
          <w:tab w:val="clear" w:pos="1440"/>
        </w:tabs>
        <w:spacing w:before="0" w:after="0" w:line="276" w:lineRule="auto"/>
        <w:ind w:left="0" w:firstLine="0"/>
        <w:outlineLvl w:val="9"/>
        <w:rPr>
          <w:rFonts w:ascii="Arial" w:hAnsi="Arial" w:cs="Arial"/>
          <w:bCs/>
          <w:szCs w:val="24"/>
          <w:lang w:val="es-ES"/>
        </w:rPr>
      </w:pPr>
    </w:p>
    <w:p w14:paraId="397FC206" w14:textId="628C4199"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Revisar la documentación correspondiente a la ejecución del Programa de Reforma de Políticas del Sector</w:t>
      </w:r>
      <w:r w:rsidR="002B1BA1">
        <w:rPr>
          <w:rFonts w:ascii="Arial" w:hAnsi="Arial" w:cs="Arial"/>
          <w:lang w:val="es-ES"/>
        </w:rPr>
        <w:t xml:space="preserve"> II</w:t>
      </w:r>
      <w:r w:rsidRPr="00C22824">
        <w:rPr>
          <w:rFonts w:ascii="Arial" w:hAnsi="Arial" w:cs="Arial"/>
          <w:lang w:val="es-ES"/>
        </w:rPr>
        <w:t>. En particular, se evaluará el alcance e impacto logrado de acuerdo a las metas e indicadores establecidos en las matrices de políticas y resultados.</w:t>
      </w:r>
    </w:p>
    <w:p w14:paraId="75433A8A" w14:textId="77777777"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Mantener reuniones con los principales actores involucrados en el diseño y ejecución del Programa de Reforma de Políticas del Sector, tanto en el Banco como en el GBO.</w:t>
      </w:r>
    </w:p>
    <w:p w14:paraId="2F29C296" w14:textId="79EEEFB9"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 xml:space="preserve">Realizar la evaluación del logro de los objetivos y resultados del programa, que deberá abarcar las tres operaciones </w:t>
      </w:r>
      <w:r w:rsidR="002B1BA1">
        <w:rPr>
          <w:rFonts w:ascii="Arial" w:hAnsi="Arial" w:cs="Arial"/>
          <w:lang w:val="es-ES"/>
        </w:rPr>
        <w:t>programáticas</w:t>
      </w:r>
      <w:r w:rsidRPr="00C22824">
        <w:rPr>
          <w:rFonts w:ascii="Arial" w:hAnsi="Arial" w:cs="Arial"/>
          <w:lang w:val="es-ES"/>
        </w:rPr>
        <w:t>. La evaluación se focalizará en el logro de los objetivos y resultados del mismo.</w:t>
      </w:r>
    </w:p>
    <w:p w14:paraId="701AB11B" w14:textId="5E6F82BE"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Realizar la evaluación económica ex post del Programa, bajo la metodología de costo – beneficio siguiendo la misma metodología utilizada en la evaluación ex ante y tomando en cuenta los resultados establecidos en el documento de la operación.</w:t>
      </w:r>
    </w:p>
    <w:p w14:paraId="69052579" w14:textId="77777777" w:rsidR="00B367D5" w:rsidRPr="00C22824" w:rsidRDefault="00B367D5" w:rsidP="00B367D5">
      <w:pPr>
        <w:pStyle w:val="ListParagraph"/>
        <w:spacing w:after="0"/>
        <w:ind w:left="720"/>
        <w:jc w:val="both"/>
        <w:rPr>
          <w:rFonts w:ascii="Arial" w:hAnsi="Arial" w:cs="Arial"/>
          <w:lang w:val="es-ES"/>
        </w:rPr>
      </w:pPr>
    </w:p>
    <w:p w14:paraId="4B0956FD" w14:textId="0A5E919F"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Perfil del consultor</w:t>
      </w:r>
    </w:p>
    <w:p w14:paraId="39F2C3E2" w14:textId="77777777" w:rsidR="00B367D5" w:rsidRPr="00C22824" w:rsidRDefault="00B367D5" w:rsidP="00B367D5">
      <w:pPr>
        <w:pStyle w:val="ListParagraph"/>
        <w:tabs>
          <w:tab w:val="center" w:pos="4680"/>
        </w:tabs>
        <w:spacing w:after="0"/>
        <w:ind w:left="360"/>
        <w:rPr>
          <w:rFonts w:ascii="Arial" w:hAnsi="Arial" w:cs="Arial"/>
          <w:b/>
          <w:smallCaps/>
          <w:lang w:val="es-ES"/>
        </w:rPr>
      </w:pPr>
    </w:p>
    <w:p w14:paraId="405AFD41" w14:textId="77777777"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 xml:space="preserve">Título universitario de economía. Estudios de Maestría en Economía, en Políticas Públicas, o en Transporte.  </w:t>
      </w:r>
    </w:p>
    <w:p w14:paraId="7DB27C2E" w14:textId="77777777"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Al menos 6 años de experiencia trabajando en la preparación y supervisión de proyectos en el sector público.</w:t>
      </w:r>
    </w:p>
    <w:p w14:paraId="4352DB2F" w14:textId="77777777"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Experiencia relevante en materia de política, normativa o planificación del transporte trabajando en el sector público.</w:t>
      </w:r>
    </w:p>
    <w:p w14:paraId="5CAF7842" w14:textId="77777777"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Experiencia en el diseño, ejecución, monitoreo o evaluación de préstamos programáticos.</w:t>
      </w:r>
    </w:p>
    <w:p w14:paraId="54A430D8" w14:textId="77777777" w:rsidR="00B367D5" w:rsidRPr="00C22824" w:rsidRDefault="00B367D5" w:rsidP="00B367D5">
      <w:pPr>
        <w:pStyle w:val="ListParagraph"/>
        <w:spacing w:after="0"/>
        <w:ind w:left="360"/>
        <w:jc w:val="both"/>
        <w:rPr>
          <w:rFonts w:ascii="Arial" w:hAnsi="Arial" w:cs="Arial"/>
          <w:lang w:val="es-ES"/>
        </w:rPr>
      </w:pPr>
    </w:p>
    <w:p w14:paraId="52A5622E" w14:textId="363887C3"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Productos esperados</w:t>
      </w:r>
    </w:p>
    <w:p w14:paraId="31BD17FC" w14:textId="77777777" w:rsidR="00B367D5" w:rsidRPr="00C22824" w:rsidRDefault="00B367D5" w:rsidP="00B367D5">
      <w:pPr>
        <w:pStyle w:val="ListParagraph"/>
        <w:tabs>
          <w:tab w:val="center" w:pos="4680"/>
        </w:tabs>
        <w:spacing w:after="0"/>
        <w:ind w:left="360"/>
        <w:rPr>
          <w:rFonts w:ascii="Arial" w:hAnsi="Arial" w:cs="Arial"/>
          <w:b/>
          <w:smallCaps/>
          <w:lang w:val="es-ES"/>
        </w:rPr>
      </w:pPr>
    </w:p>
    <w:p w14:paraId="2DB44F43" w14:textId="77777777" w:rsidR="007A2F3E" w:rsidRPr="00F64E64" w:rsidRDefault="007A2F3E" w:rsidP="00F64E64">
      <w:pPr>
        <w:pStyle w:val="Paragraph"/>
        <w:tabs>
          <w:tab w:val="clear" w:pos="1440"/>
        </w:tabs>
        <w:spacing w:before="0" w:after="0" w:line="276" w:lineRule="auto"/>
        <w:ind w:left="0" w:firstLine="0"/>
        <w:rPr>
          <w:rFonts w:ascii="Arial" w:hAnsi="Arial" w:cs="Arial"/>
          <w:lang w:val="es-ES"/>
        </w:rPr>
      </w:pPr>
      <w:r w:rsidRPr="00F64E64">
        <w:rPr>
          <w:rFonts w:ascii="Arial" w:hAnsi="Arial" w:cs="Arial"/>
          <w:lang w:val="es-ES"/>
        </w:rPr>
        <w:t>La consultoría generará los siguientes productos:</w:t>
      </w:r>
    </w:p>
    <w:p w14:paraId="3E4DF7B6" w14:textId="77777777" w:rsidR="00B367D5" w:rsidRPr="00C22824" w:rsidRDefault="00B367D5" w:rsidP="00F32849">
      <w:pPr>
        <w:pStyle w:val="Paragraph"/>
        <w:tabs>
          <w:tab w:val="clear" w:pos="1440"/>
        </w:tabs>
        <w:spacing w:before="0" w:after="0" w:line="276" w:lineRule="auto"/>
        <w:ind w:left="0" w:firstLine="0"/>
        <w:outlineLvl w:val="9"/>
        <w:rPr>
          <w:rFonts w:ascii="Arial" w:hAnsi="Arial" w:cs="Arial"/>
          <w:bCs/>
          <w:szCs w:val="24"/>
          <w:lang w:val="es-ES"/>
        </w:rPr>
      </w:pPr>
    </w:p>
    <w:p w14:paraId="1F21454A" w14:textId="247234E4" w:rsidR="007A2F3E" w:rsidRPr="00C22824" w:rsidRDefault="007A2F3E" w:rsidP="00B367D5">
      <w:pPr>
        <w:pStyle w:val="ListParagraph"/>
        <w:numPr>
          <w:ilvl w:val="0"/>
          <w:numId w:val="15"/>
        </w:numPr>
        <w:spacing w:after="0"/>
        <w:ind w:left="360"/>
        <w:jc w:val="both"/>
        <w:rPr>
          <w:rFonts w:ascii="Arial" w:hAnsi="Arial" w:cs="Arial"/>
          <w:lang w:val="es-ES"/>
        </w:rPr>
      </w:pPr>
      <w:r w:rsidRPr="00C22824">
        <w:rPr>
          <w:rFonts w:ascii="Arial" w:hAnsi="Arial" w:cs="Arial"/>
          <w:lang w:val="es-ES"/>
        </w:rPr>
        <w:t xml:space="preserve">Informe de Evaluación, con texto y gráficos, con especial énfasis en lo que corresponde a los resultados del proyecto y las lecciones aprendidas. </w:t>
      </w:r>
      <w:r w:rsidRPr="00F64E64">
        <w:rPr>
          <w:rFonts w:ascii="Arial" w:hAnsi="Arial" w:cs="Arial"/>
          <w:lang w:val="es-ES"/>
        </w:rPr>
        <w:t xml:space="preserve">El informe será presentado </w:t>
      </w:r>
      <w:r w:rsidRPr="00F64E64">
        <w:rPr>
          <w:rFonts w:ascii="Arial" w:hAnsi="Arial" w:cs="Arial"/>
          <w:lang w:val="es-ES"/>
        </w:rPr>
        <w:lastRenderedPageBreak/>
        <w:t>conforme los formatos establecidos por el Banco para tales fines, tanto en versión impresa como digital.</w:t>
      </w:r>
    </w:p>
    <w:p w14:paraId="37AA9BB6" w14:textId="77777777" w:rsidR="00B367D5" w:rsidRPr="00C22824" w:rsidRDefault="00B367D5" w:rsidP="00F32849">
      <w:pPr>
        <w:pStyle w:val="Paragraph"/>
        <w:tabs>
          <w:tab w:val="clear" w:pos="1440"/>
        </w:tabs>
        <w:spacing w:before="0" w:after="0" w:line="276" w:lineRule="auto"/>
        <w:ind w:left="0" w:firstLine="0"/>
        <w:outlineLvl w:val="9"/>
        <w:rPr>
          <w:rFonts w:ascii="Arial" w:hAnsi="Arial" w:cs="Arial"/>
          <w:szCs w:val="24"/>
          <w:lang w:val="es-ES"/>
        </w:rPr>
      </w:pPr>
    </w:p>
    <w:p w14:paraId="5A6BE2ED" w14:textId="60EE111D"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Lugar y duración de la consultoría</w:t>
      </w:r>
    </w:p>
    <w:p w14:paraId="28136718" w14:textId="77777777" w:rsidR="00B367D5" w:rsidRPr="00C22824" w:rsidRDefault="00B367D5" w:rsidP="00F32849">
      <w:pPr>
        <w:pStyle w:val="Paragraph"/>
        <w:tabs>
          <w:tab w:val="clear" w:pos="1440"/>
        </w:tabs>
        <w:spacing w:before="0" w:after="0" w:line="276" w:lineRule="auto"/>
        <w:ind w:left="0" w:firstLine="0"/>
        <w:outlineLvl w:val="9"/>
        <w:rPr>
          <w:rFonts w:ascii="Arial" w:hAnsi="Arial" w:cs="Arial"/>
          <w:szCs w:val="24"/>
          <w:lang w:val="es-ES"/>
        </w:rPr>
      </w:pPr>
    </w:p>
    <w:p w14:paraId="77ED7D07" w14:textId="77777777" w:rsidR="007A2F3E" w:rsidRPr="00F64E64" w:rsidRDefault="007A2F3E" w:rsidP="00F64E64">
      <w:pPr>
        <w:pStyle w:val="Paragraph"/>
        <w:tabs>
          <w:tab w:val="clear" w:pos="1440"/>
        </w:tabs>
        <w:spacing w:before="0" w:after="0" w:line="276" w:lineRule="auto"/>
        <w:ind w:left="0" w:firstLine="0"/>
        <w:rPr>
          <w:rFonts w:ascii="Arial" w:hAnsi="Arial" w:cs="Arial"/>
          <w:lang w:val="es-ES"/>
        </w:rPr>
      </w:pPr>
      <w:r w:rsidRPr="00F64E64">
        <w:rPr>
          <w:rFonts w:ascii="Arial" w:hAnsi="Arial" w:cs="Arial"/>
          <w:lang w:val="es-ES"/>
        </w:rPr>
        <w:t xml:space="preserve">La consultoría se realizará en Bolivia y el lugar de residencia del consultor. La duración de la consultoría será de 20 días no consecutivos. </w:t>
      </w:r>
    </w:p>
    <w:p w14:paraId="3282D9E6" w14:textId="77777777" w:rsidR="00B367D5" w:rsidRPr="00C22824" w:rsidRDefault="00B367D5" w:rsidP="00F32849">
      <w:pPr>
        <w:pStyle w:val="Paragraph"/>
        <w:tabs>
          <w:tab w:val="clear" w:pos="1440"/>
        </w:tabs>
        <w:spacing w:before="0" w:after="0" w:line="276" w:lineRule="auto"/>
        <w:ind w:left="0" w:firstLine="0"/>
        <w:outlineLvl w:val="9"/>
        <w:rPr>
          <w:rFonts w:ascii="Arial" w:hAnsi="Arial" w:cs="Arial"/>
          <w:szCs w:val="24"/>
          <w:lang w:val="es-ES"/>
        </w:rPr>
      </w:pPr>
    </w:p>
    <w:p w14:paraId="6CE27B10" w14:textId="327E4DFE"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Condiciones de pago</w:t>
      </w:r>
    </w:p>
    <w:p w14:paraId="0B66CA3B" w14:textId="77777777" w:rsidR="00B367D5" w:rsidRPr="00C22824" w:rsidRDefault="00B367D5" w:rsidP="00B367D5">
      <w:pPr>
        <w:tabs>
          <w:tab w:val="center" w:pos="4680"/>
        </w:tabs>
        <w:rPr>
          <w:rFonts w:ascii="Arial" w:hAnsi="Arial" w:cs="Arial"/>
          <w:b/>
          <w:smallCaps/>
          <w:lang w:val="es-ES"/>
        </w:rPr>
      </w:pPr>
    </w:p>
    <w:p w14:paraId="47980907" w14:textId="77777777" w:rsidR="007A2F3E" w:rsidRPr="00F64E64" w:rsidRDefault="007A2F3E" w:rsidP="00F64E64">
      <w:pPr>
        <w:pStyle w:val="Paragraph"/>
        <w:tabs>
          <w:tab w:val="clear" w:pos="1440"/>
        </w:tabs>
        <w:spacing w:before="0" w:after="0" w:line="276" w:lineRule="auto"/>
        <w:ind w:left="0" w:firstLine="0"/>
        <w:rPr>
          <w:rFonts w:ascii="Arial" w:hAnsi="Arial" w:cs="Arial"/>
          <w:lang w:val="es-ES"/>
        </w:rPr>
      </w:pPr>
      <w:r w:rsidRPr="00F64E64">
        <w:rPr>
          <w:rFonts w:ascii="Arial" w:hAnsi="Arial" w:cs="Arial"/>
          <w:lang w:val="es-ES"/>
        </w:rPr>
        <w:t>Los pagos al consultor individual se realizarán de la siguiente manera:</w:t>
      </w:r>
    </w:p>
    <w:p w14:paraId="2E9F20E5" w14:textId="77777777" w:rsidR="007A2F3E" w:rsidRPr="00C22824" w:rsidRDefault="007A2F3E" w:rsidP="00F32849">
      <w:pPr>
        <w:pStyle w:val="ListParagraph"/>
        <w:numPr>
          <w:ilvl w:val="0"/>
          <w:numId w:val="18"/>
        </w:numPr>
        <w:spacing w:after="0"/>
        <w:jc w:val="both"/>
        <w:rPr>
          <w:rFonts w:ascii="Arial" w:hAnsi="Arial" w:cs="Arial"/>
          <w:lang w:val="es-ES"/>
        </w:rPr>
      </w:pPr>
      <w:r w:rsidRPr="00C22824">
        <w:rPr>
          <w:rFonts w:ascii="Arial" w:hAnsi="Arial" w:cs="Arial"/>
          <w:lang w:val="es-ES"/>
        </w:rPr>
        <w:t xml:space="preserve">Un primer pago de 30% del monto del contrato 15 días después de la firma del mismo, contra entrega del primer informe a satisfacción del Banco. </w:t>
      </w:r>
    </w:p>
    <w:p w14:paraId="29BDB261" w14:textId="77777777" w:rsidR="007A2F3E" w:rsidRPr="00C22824" w:rsidRDefault="007A2F3E" w:rsidP="00F32849">
      <w:pPr>
        <w:pStyle w:val="ListParagraph"/>
        <w:numPr>
          <w:ilvl w:val="0"/>
          <w:numId w:val="18"/>
        </w:numPr>
        <w:spacing w:after="0"/>
        <w:jc w:val="both"/>
        <w:rPr>
          <w:rFonts w:ascii="Arial" w:hAnsi="Arial" w:cs="Arial"/>
          <w:lang w:val="es-ES"/>
        </w:rPr>
      </w:pPr>
      <w:r w:rsidRPr="00C22824">
        <w:rPr>
          <w:rFonts w:ascii="Arial" w:hAnsi="Arial" w:cs="Arial"/>
          <w:lang w:val="es-ES"/>
        </w:rPr>
        <w:t>Un segundo pago 30% a la entrega y aprobación del informe intermedio a satisfacción del Banco.</w:t>
      </w:r>
    </w:p>
    <w:p w14:paraId="6D710E20" w14:textId="77777777" w:rsidR="007A2F3E" w:rsidRPr="00C22824" w:rsidRDefault="007A2F3E" w:rsidP="00F32849">
      <w:pPr>
        <w:pStyle w:val="ListParagraph"/>
        <w:numPr>
          <w:ilvl w:val="0"/>
          <w:numId w:val="18"/>
        </w:numPr>
        <w:spacing w:after="0"/>
        <w:jc w:val="both"/>
        <w:rPr>
          <w:rFonts w:ascii="Arial" w:hAnsi="Arial" w:cs="Arial"/>
          <w:lang w:val="es-ES"/>
        </w:rPr>
      </w:pPr>
      <w:r w:rsidRPr="00C22824">
        <w:rPr>
          <w:rFonts w:ascii="Arial" w:hAnsi="Arial" w:cs="Arial"/>
          <w:lang w:val="es-ES"/>
        </w:rPr>
        <w:t>Un pago final de 40% a la entrega y aprobación del informe final a satisfacción del Banco.</w:t>
      </w:r>
    </w:p>
    <w:p w14:paraId="13DAA391" w14:textId="77777777" w:rsidR="00B367D5" w:rsidRPr="00C22824" w:rsidRDefault="00B367D5" w:rsidP="00B367D5">
      <w:pPr>
        <w:pStyle w:val="ListParagraph"/>
        <w:spacing w:after="0"/>
        <w:ind w:left="720"/>
        <w:jc w:val="both"/>
        <w:rPr>
          <w:rFonts w:ascii="Arial" w:hAnsi="Arial" w:cs="Arial"/>
          <w:lang w:val="es-ES"/>
        </w:rPr>
      </w:pPr>
    </w:p>
    <w:p w14:paraId="2537C821" w14:textId="45C19DF5" w:rsidR="007A2F3E" w:rsidRPr="00F64E64" w:rsidRDefault="007A2F3E" w:rsidP="00F64E64">
      <w:pPr>
        <w:pStyle w:val="ListParagraph"/>
        <w:numPr>
          <w:ilvl w:val="0"/>
          <w:numId w:val="27"/>
        </w:numPr>
        <w:tabs>
          <w:tab w:val="center" w:pos="4680"/>
        </w:tabs>
        <w:spacing w:after="0"/>
        <w:ind w:left="360" w:hanging="360"/>
        <w:rPr>
          <w:rFonts w:ascii="Arial" w:hAnsi="Arial" w:cs="Arial"/>
          <w:b/>
          <w:bCs/>
          <w:smallCaps/>
          <w:lang w:val="es-ES"/>
        </w:rPr>
      </w:pPr>
      <w:r w:rsidRPr="00F64E64">
        <w:rPr>
          <w:rFonts w:ascii="Arial" w:hAnsi="Arial" w:cs="Arial"/>
          <w:b/>
          <w:bCs/>
          <w:smallCaps/>
          <w:lang w:val="es-ES"/>
        </w:rPr>
        <w:t>Supervisión o coordinación</w:t>
      </w:r>
    </w:p>
    <w:p w14:paraId="2FD5A742" w14:textId="77777777" w:rsidR="00B367D5" w:rsidRPr="00C22824" w:rsidRDefault="00B367D5" w:rsidP="00B367D5">
      <w:pPr>
        <w:pStyle w:val="ListParagraph"/>
        <w:tabs>
          <w:tab w:val="center" w:pos="4680"/>
        </w:tabs>
        <w:spacing w:after="0"/>
        <w:ind w:left="360"/>
        <w:rPr>
          <w:rFonts w:ascii="Arial" w:hAnsi="Arial" w:cs="Arial"/>
          <w:b/>
          <w:smallCaps/>
          <w:lang w:val="es-ES"/>
        </w:rPr>
      </w:pPr>
    </w:p>
    <w:p w14:paraId="6805600B" w14:textId="77777777" w:rsidR="007A2F3E" w:rsidRPr="00F64E64" w:rsidRDefault="007A2F3E" w:rsidP="00F64E64">
      <w:pPr>
        <w:pStyle w:val="Paragraph"/>
        <w:tabs>
          <w:tab w:val="clear" w:pos="1440"/>
        </w:tabs>
        <w:spacing w:before="0" w:after="0" w:line="276" w:lineRule="auto"/>
        <w:ind w:left="0" w:firstLine="0"/>
        <w:rPr>
          <w:rFonts w:ascii="Arial" w:hAnsi="Arial" w:cs="Arial"/>
          <w:lang w:val="es-ES"/>
        </w:rPr>
      </w:pPr>
      <w:r w:rsidRPr="00F64E64">
        <w:rPr>
          <w:rFonts w:ascii="Arial" w:hAnsi="Arial" w:cs="Arial"/>
          <w:lang w:val="es-ES"/>
        </w:rPr>
        <w:t>La coordinación de la consultoría estará a cargo del jefe de proyecto.</w:t>
      </w:r>
    </w:p>
    <w:p w14:paraId="31427FD5" w14:textId="77777777" w:rsidR="007A2F3E" w:rsidRPr="00C22824" w:rsidRDefault="007A2F3E" w:rsidP="00F32849">
      <w:pPr>
        <w:pStyle w:val="Title"/>
        <w:tabs>
          <w:tab w:val="clear" w:pos="1440"/>
          <w:tab w:val="clear" w:pos="3060"/>
        </w:tabs>
        <w:spacing w:line="276" w:lineRule="auto"/>
        <w:ind w:left="720"/>
        <w:jc w:val="both"/>
        <w:outlineLvl w:val="9"/>
        <w:rPr>
          <w:rFonts w:ascii="Arial" w:hAnsi="Arial" w:cs="Arial"/>
          <w:lang w:val="es-ES"/>
        </w:rPr>
      </w:pPr>
    </w:p>
    <w:p w14:paraId="06F6C61A" w14:textId="77777777" w:rsidR="0033160B" w:rsidRPr="00C22824" w:rsidRDefault="0033160B" w:rsidP="00F32849">
      <w:pPr>
        <w:rPr>
          <w:rFonts w:ascii="Arial" w:hAnsi="Arial" w:cs="Arial"/>
          <w:lang w:val="es-ES"/>
        </w:rPr>
      </w:pPr>
    </w:p>
    <w:sectPr w:rsidR="0033160B" w:rsidRPr="00C22824" w:rsidSect="00F64E64">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C70BA" w14:textId="77777777" w:rsidR="00C42AAB" w:rsidRDefault="00C42AAB" w:rsidP="00C41116">
      <w:r>
        <w:separator/>
      </w:r>
    </w:p>
  </w:endnote>
  <w:endnote w:type="continuationSeparator" w:id="0">
    <w:p w14:paraId="5B0FE88F" w14:textId="77777777" w:rsidR="00C42AAB" w:rsidRDefault="00C42AAB" w:rsidP="00C4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1606260"/>
      <w:docPartObj>
        <w:docPartGallery w:val="Page Numbers (Bottom of Page)"/>
        <w:docPartUnique/>
      </w:docPartObj>
    </w:sdtPr>
    <w:sdtEndPr>
      <w:rPr>
        <w:noProof/>
      </w:rPr>
    </w:sdtEndPr>
    <w:sdtContent>
      <w:p w14:paraId="6E53C773" w14:textId="3723C142" w:rsidR="00BE0E1A" w:rsidRDefault="00BE0E1A">
        <w:pPr>
          <w:pStyle w:val="Footer"/>
          <w:jc w:val="right"/>
        </w:pPr>
        <w:r w:rsidRPr="00BF5444">
          <w:rPr>
            <w:rFonts w:ascii="Arial" w:hAnsi="Arial" w:cs="Arial"/>
          </w:rPr>
          <w:fldChar w:fldCharType="begin"/>
        </w:r>
        <w:r w:rsidRPr="00BF5444">
          <w:rPr>
            <w:rFonts w:ascii="Arial" w:hAnsi="Arial" w:cs="Arial"/>
          </w:rPr>
          <w:instrText xml:space="preserve"> PAGE   \* MERGEFORMAT </w:instrText>
        </w:r>
        <w:r w:rsidRPr="00BF5444">
          <w:rPr>
            <w:rFonts w:ascii="Arial" w:hAnsi="Arial" w:cs="Arial"/>
          </w:rPr>
          <w:fldChar w:fldCharType="separate"/>
        </w:r>
        <w:r w:rsidR="00F64E64">
          <w:rPr>
            <w:rFonts w:ascii="Arial" w:hAnsi="Arial" w:cs="Arial"/>
            <w:noProof/>
          </w:rPr>
          <w:t>3</w:t>
        </w:r>
        <w:r w:rsidRPr="00BF5444">
          <w:rPr>
            <w:rFonts w:ascii="Arial" w:hAnsi="Arial" w:cs="Arial"/>
            <w:noProof/>
          </w:rPr>
          <w:fldChar w:fldCharType="end"/>
        </w:r>
      </w:p>
    </w:sdtContent>
  </w:sdt>
  <w:p w14:paraId="1F176F4E" w14:textId="77777777" w:rsidR="00BE0E1A" w:rsidRDefault="00BE0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5A18B" w14:textId="77777777" w:rsidR="00C42AAB" w:rsidRDefault="00C42AAB" w:rsidP="00C41116">
      <w:r>
        <w:separator/>
      </w:r>
    </w:p>
  </w:footnote>
  <w:footnote w:type="continuationSeparator" w:id="0">
    <w:p w14:paraId="05BEF36B" w14:textId="77777777" w:rsidR="00C42AAB" w:rsidRDefault="00C42AAB" w:rsidP="00C41116">
      <w:r>
        <w:continuationSeparator/>
      </w:r>
    </w:p>
  </w:footnote>
  <w:footnote w:id="1">
    <w:p w14:paraId="2DA939AE" w14:textId="77777777" w:rsidR="00BE0E1A" w:rsidRPr="00F64E64" w:rsidRDefault="00BE0E1A" w:rsidP="00F64E64">
      <w:pPr>
        <w:pStyle w:val="Title"/>
        <w:tabs>
          <w:tab w:val="clear" w:pos="1440"/>
          <w:tab w:val="clear" w:pos="3060"/>
        </w:tabs>
        <w:spacing w:line="276" w:lineRule="auto"/>
        <w:jc w:val="both"/>
        <w:rPr>
          <w:rFonts w:ascii="Arial" w:hAnsi="Arial" w:cs="Arial"/>
          <w:lang w:val="es-ES"/>
        </w:rPr>
      </w:pPr>
      <w:r w:rsidRPr="00F64E64">
        <w:rPr>
          <w:rStyle w:val="FootnoteReference"/>
          <w:rFonts w:ascii="Arial" w:hAnsi="Arial" w:cs="Arial"/>
          <w:sz w:val="21"/>
          <w:szCs w:val="21"/>
        </w:rPr>
        <w:footnoteRef/>
      </w:r>
      <w:r w:rsidRPr="00F64E64">
        <w:rPr>
          <w:rFonts w:ascii="Arial" w:hAnsi="Arial" w:cs="Arial"/>
          <w:sz w:val="21"/>
          <w:szCs w:val="21"/>
          <w:lang w:val="es-ES"/>
        </w:rPr>
        <w:t xml:space="preserve"> </w:t>
      </w:r>
      <w:r w:rsidRPr="00F64E64">
        <w:rPr>
          <w:rFonts w:ascii="Arial" w:eastAsia="Calibri" w:hAnsi="Arial" w:cs="Arial"/>
          <w:sz w:val="21"/>
          <w:szCs w:val="21"/>
          <w:lang w:val="es-ES"/>
        </w:rPr>
        <w:t>El</w:t>
      </w:r>
      <w:r w:rsidRPr="00F64E64">
        <w:rPr>
          <w:rFonts w:ascii="Arial" w:hAnsi="Arial" w:cs="Arial"/>
          <w:sz w:val="21"/>
          <w:szCs w:val="21"/>
          <w:lang w:val="es-ES"/>
        </w:rPr>
        <w:t xml:space="preserve"> </w:t>
      </w:r>
      <w:r w:rsidRPr="00F64E64">
        <w:rPr>
          <w:rFonts w:ascii="Arial" w:eastAsia="Calibri" w:hAnsi="Arial" w:cs="Arial"/>
          <w:sz w:val="21"/>
          <w:szCs w:val="21"/>
          <w:lang w:val="es-ES"/>
        </w:rPr>
        <w:t>prestatario</w:t>
      </w:r>
      <w:r w:rsidRPr="00F64E64">
        <w:rPr>
          <w:rFonts w:ascii="Arial" w:hAnsi="Arial" w:cs="Arial"/>
          <w:sz w:val="21"/>
          <w:szCs w:val="21"/>
          <w:lang w:val="es-ES"/>
        </w:rPr>
        <w:t xml:space="preserve"> </w:t>
      </w:r>
      <w:r w:rsidRPr="00F64E64">
        <w:rPr>
          <w:rFonts w:ascii="Arial" w:eastAsia="Calibri" w:hAnsi="Arial" w:cs="Arial"/>
          <w:sz w:val="21"/>
          <w:szCs w:val="21"/>
          <w:lang w:val="es-ES"/>
        </w:rPr>
        <w:t>es el</w:t>
      </w:r>
      <w:r w:rsidRPr="00F64E64">
        <w:rPr>
          <w:rFonts w:ascii="Arial" w:hAnsi="Arial" w:cs="Arial"/>
          <w:sz w:val="21"/>
          <w:szCs w:val="21"/>
          <w:lang w:val="es-ES"/>
        </w:rPr>
        <w:t xml:space="preserve"> </w:t>
      </w:r>
      <w:r w:rsidRPr="00F64E64">
        <w:rPr>
          <w:rFonts w:ascii="Arial" w:eastAsia="Calibri" w:hAnsi="Arial" w:cs="Arial"/>
          <w:sz w:val="21"/>
          <w:szCs w:val="21"/>
          <w:lang w:val="es-ES"/>
        </w:rPr>
        <w:t>Estado</w:t>
      </w:r>
      <w:r w:rsidRPr="00F64E64">
        <w:rPr>
          <w:rFonts w:ascii="Arial" w:hAnsi="Arial" w:cs="Arial"/>
          <w:sz w:val="21"/>
          <w:szCs w:val="21"/>
          <w:lang w:val="es-ES"/>
        </w:rPr>
        <w:t xml:space="preserve"> </w:t>
      </w:r>
      <w:r w:rsidRPr="00F64E64">
        <w:rPr>
          <w:rFonts w:ascii="Arial" w:eastAsia="Calibri" w:hAnsi="Arial" w:cs="Arial"/>
          <w:sz w:val="21"/>
          <w:szCs w:val="21"/>
          <w:lang w:val="es-ES"/>
        </w:rPr>
        <w:t>Plurinacional</w:t>
      </w:r>
      <w:r w:rsidRPr="00F64E64">
        <w:rPr>
          <w:rFonts w:ascii="Arial" w:hAnsi="Arial" w:cs="Arial"/>
          <w:sz w:val="21"/>
          <w:szCs w:val="21"/>
          <w:lang w:val="es-ES"/>
        </w:rPr>
        <w:t xml:space="preserve"> </w:t>
      </w:r>
      <w:r w:rsidRPr="00F64E64">
        <w:rPr>
          <w:rFonts w:ascii="Arial" w:eastAsia="Calibri" w:hAnsi="Arial" w:cs="Arial"/>
          <w:sz w:val="21"/>
          <w:szCs w:val="21"/>
          <w:lang w:val="es-ES"/>
        </w:rPr>
        <w:t>de</w:t>
      </w:r>
      <w:r w:rsidRPr="00F64E64">
        <w:rPr>
          <w:rFonts w:ascii="Arial" w:hAnsi="Arial" w:cs="Arial"/>
          <w:sz w:val="21"/>
          <w:szCs w:val="21"/>
          <w:lang w:val="es-ES"/>
        </w:rPr>
        <w:t xml:space="preserve"> </w:t>
      </w:r>
      <w:r w:rsidRPr="00F64E64">
        <w:rPr>
          <w:rFonts w:ascii="Arial" w:eastAsia="Calibri" w:hAnsi="Arial" w:cs="Arial"/>
          <w:sz w:val="21"/>
          <w:szCs w:val="21"/>
          <w:lang w:val="es-ES"/>
        </w:rPr>
        <w:t>Bolivia</w:t>
      </w:r>
      <w:r w:rsidRPr="00F64E64">
        <w:rPr>
          <w:rFonts w:ascii="Arial" w:hAnsi="Arial" w:cs="Arial"/>
          <w:sz w:val="21"/>
          <w:szCs w:val="21"/>
          <w:lang w:val="es-ES"/>
        </w:rPr>
        <w:t xml:space="preserve"> </w:t>
      </w:r>
      <w:r w:rsidRPr="00F64E64">
        <w:rPr>
          <w:rFonts w:ascii="Arial" w:eastAsia="Calibri" w:hAnsi="Arial" w:cs="Arial"/>
          <w:sz w:val="21"/>
          <w:szCs w:val="21"/>
          <w:lang w:val="es-ES"/>
        </w:rPr>
        <w:t>y</w:t>
      </w:r>
      <w:r w:rsidRPr="00F64E64">
        <w:rPr>
          <w:rFonts w:ascii="Arial" w:hAnsi="Arial" w:cs="Arial"/>
          <w:sz w:val="21"/>
          <w:szCs w:val="21"/>
          <w:lang w:val="es-ES"/>
        </w:rPr>
        <w:t xml:space="preserve"> </w:t>
      </w:r>
      <w:r w:rsidRPr="00F64E64">
        <w:rPr>
          <w:rFonts w:ascii="Arial" w:eastAsia="Calibri" w:hAnsi="Arial" w:cs="Arial"/>
          <w:sz w:val="21"/>
          <w:szCs w:val="21"/>
          <w:lang w:val="es-ES"/>
        </w:rPr>
        <w:t>el</w:t>
      </w:r>
      <w:r w:rsidRPr="00F64E64">
        <w:rPr>
          <w:rFonts w:ascii="Arial" w:hAnsi="Arial" w:cs="Arial"/>
          <w:sz w:val="21"/>
          <w:szCs w:val="21"/>
          <w:lang w:val="es-ES"/>
        </w:rPr>
        <w:t xml:space="preserve"> </w:t>
      </w:r>
      <w:r w:rsidRPr="00F64E64">
        <w:rPr>
          <w:rFonts w:ascii="Arial" w:eastAsia="Calibri" w:hAnsi="Arial" w:cs="Arial"/>
          <w:sz w:val="21"/>
          <w:szCs w:val="21"/>
          <w:lang w:val="es-ES"/>
        </w:rPr>
        <w:t>Organismo Ejecutor</w:t>
      </w:r>
      <w:r w:rsidRPr="00F64E64">
        <w:rPr>
          <w:rFonts w:ascii="Arial" w:hAnsi="Arial" w:cs="Arial"/>
          <w:sz w:val="21"/>
          <w:szCs w:val="21"/>
          <w:lang w:val="es-ES"/>
        </w:rPr>
        <w:t xml:space="preserve"> </w:t>
      </w:r>
      <w:r w:rsidRPr="00F64E64">
        <w:rPr>
          <w:rFonts w:ascii="Arial" w:eastAsia="Calibri" w:hAnsi="Arial" w:cs="Arial"/>
          <w:sz w:val="21"/>
          <w:szCs w:val="21"/>
          <w:lang w:val="es-ES"/>
        </w:rPr>
        <w:t>es el</w:t>
      </w:r>
      <w:r w:rsidRPr="00F64E64">
        <w:rPr>
          <w:rFonts w:ascii="Arial" w:hAnsi="Arial" w:cs="Arial"/>
          <w:sz w:val="21"/>
          <w:szCs w:val="21"/>
          <w:lang w:val="es-ES"/>
        </w:rPr>
        <w:t xml:space="preserve"> </w:t>
      </w:r>
      <w:r w:rsidRPr="00F64E64">
        <w:rPr>
          <w:rFonts w:ascii="Arial" w:eastAsia="Calibri" w:hAnsi="Arial" w:cs="Arial"/>
          <w:sz w:val="21"/>
          <w:szCs w:val="21"/>
          <w:lang w:val="es-ES"/>
        </w:rPr>
        <w:t>Ministerio</w:t>
      </w:r>
      <w:r w:rsidRPr="00F64E64">
        <w:rPr>
          <w:rFonts w:ascii="Arial" w:hAnsi="Arial" w:cs="Arial"/>
          <w:sz w:val="21"/>
          <w:szCs w:val="21"/>
          <w:lang w:val="es-ES"/>
        </w:rPr>
        <w:t xml:space="preserve"> </w:t>
      </w:r>
      <w:r w:rsidRPr="00F64E64">
        <w:rPr>
          <w:rFonts w:ascii="Arial" w:eastAsia="Calibri" w:hAnsi="Arial" w:cs="Arial"/>
          <w:sz w:val="21"/>
          <w:szCs w:val="21"/>
          <w:lang w:val="es-ES"/>
        </w:rPr>
        <w:t>de</w:t>
      </w:r>
      <w:r w:rsidRPr="00F64E64">
        <w:rPr>
          <w:rFonts w:ascii="Arial" w:hAnsi="Arial" w:cs="Arial"/>
          <w:sz w:val="21"/>
          <w:szCs w:val="21"/>
          <w:lang w:val="es-ES"/>
        </w:rPr>
        <w:t xml:space="preserve"> </w:t>
      </w:r>
      <w:r w:rsidRPr="00F64E64">
        <w:rPr>
          <w:rFonts w:ascii="Arial" w:eastAsia="Calibri" w:hAnsi="Arial" w:cs="Arial"/>
          <w:sz w:val="21"/>
          <w:szCs w:val="21"/>
          <w:lang w:val="es-ES"/>
        </w:rPr>
        <w:t>Obras</w:t>
      </w:r>
      <w:r w:rsidRPr="00F64E64">
        <w:rPr>
          <w:rFonts w:ascii="Arial" w:hAnsi="Arial" w:cs="Arial"/>
          <w:sz w:val="21"/>
          <w:szCs w:val="21"/>
          <w:lang w:val="es-ES"/>
        </w:rPr>
        <w:t xml:space="preserve"> </w:t>
      </w:r>
      <w:r w:rsidRPr="00F64E64">
        <w:rPr>
          <w:rFonts w:ascii="Arial" w:eastAsia="Calibri" w:hAnsi="Arial" w:cs="Arial"/>
          <w:sz w:val="21"/>
          <w:szCs w:val="21"/>
          <w:lang w:val="es-ES"/>
        </w:rPr>
        <w:t>Públicas</w:t>
      </w:r>
      <w:r w:rsidRPr="00F64E64">
        <w:rPr>
          <w:rFonts w:ascii="Arial" w:hAnsi="Arial" w:cs="Arial"/>
          <w:sz w:val="21"/>
          <w:szCs w:val="21"/>
          <w:lang w:val="es-ES"/>
        </w:rPr>
        <w:t xml:space="preserve">, </w:t>
      </w:r>
      <w:r w:rsidRPr="00F64E64">
        <w:rPr>
          <w:rFonts w:ascii="Arial" w:eastAsia="Calibri" w:hAnsi="Arial" w:cs="Arial"/>
          <w:sz w:val="21"/>
          <w:szCs w:val="21"/>
          <w:lang w:val="es-ES"/>
        </w:rPr>
        <w:t>Servicios</w:t>
      </w:r>
      <w:r w:rsidRPr="00F64E64">
        <w:rPr>
          <w:rFonts w:ascii="Arial" w:hAnsi="Arial" w:cs="Arial"/>
          <w:sz w:val="21"/>
          <w:szCs w:val="21"/>
          <w:lang w:val="es-ES"/>
        </w:rPr>
        <w:t xml:space="preserve"> </w:t>
      </w:r>
      <w:r w:rsidRPr="00F64E64">
        <w:rPr>
          <w:rFonts w:ascii="Arial" w:eastAsia="Calibri" w:hAnsi="Arial" w:cs="Arial"/>
          <w:sz w:val="21"/>
          <w:szCs w:val="21"/>
          <w:lang w:val="es-ES"/>
        </w:rPr>
        <w:t>y</w:t>
      </w:r>
      <w:r w:rsidRPr="00F64E64">
        <w:rPr>
          <w:rFonts w:ascii="Arial" w:hAnsi="Arial" w:cs="Arial"/>
          <w:sz w:val="21"/>
          <w:szCs w:val="21"/>
          <w:lang w:val="es-ES"/>
        </w:rPr>
        <w:t xml:space="preserve"> </w:t>
      </w:r>
      <w:r w:rsidRPr="00F64E64">
        <w:rPr>
          <w:rFonts w:ascii="Arial" w:eastAsia="Calibri" w:hAnsi="Arial" w:cs="Arial"/>
          <w:sz w:val="21"/>
          <w:szCs w:val="21"/>
          <w:lang w:val="es-ES"/>
        </w:rPr>
        <w:t>Vivienda</w:t>
      </w:r>
      <w:r w:rsidRPr="00F64E64">
        <w:rPr>
          <w:rFonts w:ascii="Arial" w:hAnsi="Arial" w:cs="Arial"/>
          <w:sz w:val="21"/>
          <w:szCs w:val="21"/>
          <w:lang w:val="es-ES"/>
        </w:rPr>
        <w:t xml:space="preserve"> (</w:t>
      </w:r>
      <w:r w:rsidRPr="00F64E64">
        <w:rPr>
          <w:rFonts w:ascii="Arial" w:eastAsia="Calibri" w:hAnsi="Arial" w:cs="Arial"/>
          <w:sz w:val="21"/>
          <w:szCs w:val="21"/>
          <w:lang w:val="es-ES"/>
        </w:rPr>
        <w:t>MOPSV</w:t>
      </w:r>
      <w:r w:rsidRPr="00F64E64">
        <w:rPr>
          <w:rFonts w:ascii="Arial" w:hAnsi="Arial" w:cs="Arial"/>
          <w:sz w:val="21"/>
          <w:szCs w:val="21"/>
          <w:lang w:val="es-ES"/>
        </w:rPr>
        <w:t xml:space="preserve">) </w:t>
      </w:r>
      <w:r w:rsidRPr="00F64E64">
        <w:rPr>
          <w:rFonts w:ascii="Arial" w:eastAsia="Calibri" w:hAnsi="Arial" w:cs="Arial"/>
          <w:sz w:val="21"/>
          <w:szCs w:val="21"/>
          <w:lang w:val="es-ES"/>
        </w:rPr>
        <w:t>a</w:t>
      </w:r>
      <w:r w:rsidRPr="00F64E64">
        <w:rPr>
          <w:rFonts w:ascii="Arial" w:hAnsi="Arial" w:cs="Arial"/>
          <w:sz w:val="21"/>
          <w:szCs w:val="21"/>
          <w:lang w:val="es-ES"/>
        </w:rPr>
        <w:t xml:space="preserve"> </w:t>
      </w:r>
      <w:r w:rsidRPr="00F64E64">
        <w:rPr>
          <w:rFonts w:ascii="Arial" w:eastAsia="Calibri" w:hAnsi="Arial" w:cs="Arial"/>
          <w:sz w:val="21"/>
          <w:szCs w:val="21"/>
          <w:lang w:val="es-ES"/>
        </w:rPr>
        <w:t>través</w:t>
      </w:r>
      <w:r w:rsidRPr="00F64E64">
        <w:rPr>
          <w:rFonts w:ascii="Arial" w:hAnsi="Arial" w:cs="Arial"/>
          <w:sz w:val="21"/>
          <w:szCs w:val="21"/>
          <w:lang w:val="es-ES"/>
        </w:rPr>
        <w:t xml:space="preserve"> </w:t>
      </w:r>
      <w:r w:rsidRPr="00F64E64">
        <w:rPr>
          <w:rFonts w:ascii="Arial" w:eastAsia="Calibri" w:hAnsi="Arial" w:cs="Arial"/>
          <w:sz w:val="21"/>
          <w:szCs w:val="21"/>
          <w:lang w:val="es-ES"/>
        </w:rPr>
        <w:t>del</w:t>
      </w:r>
      <w:r w:rsidRPr="00F64E64">
        <w:rPr>
          <w:rFonts w:ascii="Arial" w:hAnsi="Arial" w:cs="Arial"/>
          <w:sz w:val="21"/>
          <w:szCs w:val="21"/>
          <w:lang w:val="es-ES"/>
        </w:rPr>
        <w:t xml:space="preserve"> </w:t>
      </w:r>
      <w:r w:rsidRPr="00F64E64">
        <w:rPr>
          <w:rFonts w:ascii="Arial" w:eastAsia="Calibri" w:hAnsi="Arial" w:cs="Arial"/>
          <w:sz w:val="21"/>
          <w:szCs w:val="21"/>
          <w:lang w:val="es-ES"/>
        </w:rPr>
        <w:t>Viceministerio</w:t>
      </w:r>
      <w:r w:rsidRPr="00F64E64">
        <w:rPr>
          <w:rFonts w:ascii="Arial" w:hAnsi="Arial" w:cs="Arial"/>
          <w:sz w:val="21"/>
          <w:szCs w:val="21"/>
          <w:lang w:val="es-ES"/>
        </w:rPr>
        <w:t xml:space="preserve"> </w:t>
      </w:r>
      <w:r w:rsidRPr="00F64E64">
        <w:rPr>
          <w:rFonts w:ascii="Arial" w:eastAsia="Calibri" w:hAnsi="Arial" w:cs="Arial"/>
          <w:sz w:val="21"/>
          <w:szCs w:val="21"/>
          <w:lang w:val="es-ES"/>
        </w:rPr>
        <w:t>de</w:t>
      </w:r>
      <w:r w:rsidRPr="00F64E64">
        <w:rPr>
          <w:rFonts w:ascii="Arial" w:hAnsi="Arial" w:cs="Arial"/>
          <w:sz w:val="21"/>
          <w:szCs w:val="21"/>
          <w:lang w:val="es-ES"/>
        </w:rPr>
        <w:t xml:space="preserve"> </w:t>
      </w:r>
      <w:r w:rsidRPr="00F64E64">
        <w:rPr>
          <w:rFonts w:ascii="Arial" w:eastAsia="Calibri" w:hAnsi="Arial" w:cs="Arial"/>
          <w:sz w:val="21"/>
          <w:szCs w:val="21"/>
          <w:lang w:val="es-ES"/>
        </w:rPr>
        <w:t>Transporte</w:t>
      </w:r>
      <w:r w:rsidRPr="00F64E64">
        <w:rPr>
          <w:rFonts w:ascii="Arial" w:hAnsi="Arial" w:cs="Arial"/>
          <w:sz w:val="21"/>
          <w:szCs w:val="21"/>
          <w:lang w:val="es-ES"/>
        </w:rPr>
        <w:t xml:space="preserve"> (</w:t>
      </w:r>
      <w:r w:rsidRPr="00F64E64">
        <w:rPr>
          <w:rFonts w:ascii="Arial" w:eastAsia="Calibri" w:hAnsi="Arial" w:cs="Arial"/>
          <w:sz w:val="21"/>
          <w:szCs w:val="21"/>
          <w:lang w:val="es-ES"/>
        </w:rPr>
        <w:t>VMT</w:t>
      </w:r>
      <w:r w:rsidRPr="00F64E64">
        <w:rPr>
          <w:rFonts w:ascii="Arial" w:hAnsi="Arial" w:cs="Arial"/>
          <w:sz w:val="21"/>
          <w:szCs w:val="21"/>
          <w:lang w:val="es-ES"/>
        </w:rPr>
        <w:t>).</w:t>
      </w:r>
    </w:p>
  </w:footnote>
  <w:footnote w:id="2">
    <w:p w14:paraId="36146A0A" w14:textId="300E17FA" w:rsidR="00BE0E1A" w:rsidRPr="00FB16A3" w:rsidRDefault="00BE0E1A" w:rsidP="00FB16A3">
      <w:pPr>
        <w:pStyle w:val="FootnoteText"/>
        <w:rPr>
          <w:rFonts w:ascii="Arial" w:hAnsi="Arial" w:cs="Arial"/>
          <w:lang w:val="es-BO"/>
        </w:rPr>
      </w:pPr>
      <w:r w:rsidRPr="00FB16A3">
        <w:rPr>
          <w:rStyle w:val="FootnoteReference"/>
          <w:rFonts w:ascii="Arial" w:hAnsi="Arial" w:cs="Arial"/>
        </w:rPr>
        <w:footnoteRef/>
      </w:r>
      <w:r w:rsidRPr="00FB16A3">
        <w:rPr>
          <w:rFonts w:ascii="Arial" w:hAnsi="Arial" w:cs="Arial"/>
          <w:lang w:val="es-BO"/>
        </w:rPr>
        <w:t xml:space="preserve"> </w:t>
      </w:r>
      <w:r w:rsidRPr="00F64E64">
        <w:rPr>
          <w:rFonts w:ascii="Arial" w:hAnsi="Arial" w:cs="Arial"/>
          <w:lang w:val="es-ES" w:eastAsia="es-ES"/>
        </w:rPr>
        <w:t xml:space="preserve">En este caso, el criterio de eficiencia se evalúa, pero no se califica al ser un programático.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A745F" w14:textId="7DA19C19" w:rsidR="00BE0E1A" w:rsidRDefault="00BE0E1A">
    <w:pPr>
      <w:pStyle w:val="Header"/>
      <w:jc w:val="right"/>
    </w:pPr>
  </w:p>
  <w:p w14:paraId="068F2899" w14:textId="77777777" w:rsidR="00BE0E1A" w:rsidRDefault="00BE0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88E"/>
    <w:multiLevelType w:val="hybridMultilevel"/>
    <w:tmpl w:val="10B658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67723"/>
    <w:multiLevelType w:val="hybridMultilevel"/>
    <w:tmpl w:val="B63A7E70"/>
    <w:lvl w:ilvl="0" w:tplc="F208B8E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B85F2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6E47674"/>
    <w:multiLevelType w:val="hybridMultilevel"/>
    <w:tmpl w:val="84C85652"/>
    <w:lvl w:ilvl="0" w:tplc="1E3090DA">
      <w:start w:val="1"/>
      <w:numFmt w:val="decimal"/>
      <w:lvlText w:val="2.%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FE425A"/>
    <w:multiLevelType w:val="hybridMultilevel"/>
    <w:tmpl w:val="CB7834CA"/>
    <w:lvl w:ilvl="0" w:tplc="90929F66">
      <w:start w:val="1"/>
      <w:numFmt w:val="decimal"/>
      <w:lvlText w:val="%1."/>
      <w:lvlJc w:val="left"/>
      <w:pPr>
        <w:ind w:left="1800" w:hanging="360"/>
      </w:pPr>
      <w:rPr>
        <w:rFont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25F73"/>
    <w:multiLevelType w:val="hybridMultilevel"/>
    <w:tmpl w:val="22C06BDE"/>
    <w:lvl w:ilvl="0" w:tplc="2C0A0001">
      <w:start w:val="1"/>
      <w:numFmt w:val="bullet"/>
      <w:lvlText w:val=""/>
      <w:lvlJc w:val="left"/>
      <w:pPr>
        <w:ind w:left="720" w:hanging="360"/>
      </w:pPr>
      <w:rPr>
        <w:rFonts w:ascii="Symbol" w:hAnsi="Symbol" w:hint="default"/>
      </w:rPr>
    </w:lvl>
    <w:lvl w:ilvl="1" w:tplc="2C0A000D">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694691D"/>
    <w:multiLevelType w:val="hybridMultilevel"/>
    <w:tmpl w:val="9DC29904"/>
    <w:lvl w:ilvl="0" w:tplc="EA067D96">
      <w:start w:val="1"/>
      <w:numFmt w:val="bullet"/>
      <w:lvlText w:val=""/>
      <w:lvlJc w:val="left"/>
      <w:pPr>
        <w:tabs>
          <w:tab w:val="num" w:pos="1068"/>
        </w:tabs>
        <w:ind w:left="1068" w:hanging="360"/>
      </w:pPr>
      <w:rPr>
        <w:rFonts w:ascii="Symbol" w:hAnsi="Symbol" w:hint="default"/>
        <w:sz w:val="16"/>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22E7C"/>
    <w:multiLevelType w:val="hybridMultilevel"/>
    <w:tmpl w:val="213C688A"/>
    <w:lvl w:ilvl="0" w:tplc="2C0A000D">
      <w:start w:val="1"/>
      <w:numFmt w:val="bullet"/>
      <w:lvlText w:val=""/>
      <w:lvlJc w:val="left"/>
      <w:pPr>
        <w:ind w:left="1440" w:hanging="360"/>
      </w:pPr>
      <w:rPr>
        <w:rFonts w:ascii="Wingdings" w:hAnsi="Wingdings" w:hint="default"/>
      </w:rPr>
    </w:lvl>
    <w:lvl w:ilvl="1" w:tplc="2C0A0003">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15:restartNumberingAfterBreak="0">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A696274"/>
    <w:multiLevelType w:val="hybridMultilevel"/>
    <w:tmpl w:val="9C026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15:restartNumberingAfterBreak="0">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F6A62E6"/>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397DF2"/>
    <w:multiLevelType w:val="hybridMultilevel"/>
    <w:tmpl w:val="1D4AFBE2"/>
    <w:lvl w:ilvl="0" w:tplc="2C0A0001">
      <w:start w:val="1"/>
      <w:numFmt w:val="bullet"/>
      <w:lvlText w:val=""/>
      <w:lvlJc w:val="left"/>
      <w:pPr>
        <w:ind w:left="720" w:hanging="360"/>
      </w:pPr>
      <w:rPr>
        <w:rFonts w:ascii="Symbol" w:hAnsi="Symbol" w:hint="default"/>
      </w:rPr>
    </w:lvl>
    <w:lvl w:ilvl="1" w:tplc="2C0A000D">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291263A7"/>
    <w:multiLevelType w:val="multilevel"/>
    <w:tmpl w:val="1148464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2A111B86"/>
    <w:multiLevelType w:val="hybridMultilevel"/>
    <w:tmpl w:val="05C258F2"/>
    <w:lvl w:ilvl="0" w:tplc="2DC069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59B4991"/>
    <w:multiLevelType w:val="multilevel"/>
    <w:tmpl w:val="F7528CC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15:restartNumberingAfterBreak="0">
    <w:nsid w:val="38BD61F2"/>
    <w:multiLevelType w:val="hybridMultilevel"/>
    <w:tmpl w:val="B4001322"/>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B130EA3"/>
    <w:multiLevelType w:val="hybridMultilevel"/>
    <w:tmpl w:val="367C7D8C"/>
    <w:lvl w:ilvl="0" w:tplc="420890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AC5F34"/>
    <w:multiLevelType w:val="hybridMultilevel"/>
    <w:tmpl w:val="2AAEA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6431DD"/>
    <w:multiLevelType w:val="hybridMultilevel"/>
    <w:tmpl w:val="A0160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FF9665C"/>
    <w:multiLevelType w:val="hybridMultilevel"/>
    <w:tmpl w:val="1DACC5D0"/>
    <w:lvl w:ilvl="0" w:tplc="6BEE00F4">
      <w:start w:val="1"/>
      <w:numFmt w:val="decimal"/>
      <w:lvlText w:val="%1."/>
      <w:lvlJc w:val="left"/>
      <w:pPr>
        <w:ind w:left="18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06C75"/>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37F66F3"/>
    <w:multiLevelType w:val="hybridMultilevel"/>
    <w:tmpl w:val="B46AFF26"/>
    <w:lvl w:ilvl="0" w:tplc="FFFFFFFF">
      <w:start w:val="1"/>
      <w:numFmt w:val="lowerLetter"/>
      <w:lvlText w:val="%1."/>
      <w:lvlJc w:val="left"/>
      <w:pPr>
        <w:ind w:left="2430" w:hanging="360"/>
      </w:pPr>
      <w:rPr>
        <w:rFonts w:hint="default"/>
      </w:r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9" w15:restartNumberingAfterBreak="0">
    <w:nsid w:val="55490BEE"/>
    <w:multiLevelType w:val="hybridMultilevel"/>
    <w:tmpl w:val="CF1AC1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B2D3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5AB3448C"/>
    <w:multiLevelType w:val="multilevel"/>
    <w:tmpl w:val="FDEAA006"/>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2"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AE1EDE"/>
    <w:multiLevelType w:val="hybridMultilevel"/>
    <w:tmpl w:val="D86EA7C0"/>
    <w:lvl w:ilvl="0" w:tplc="2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FA7B8C"/>
    <w:multiLevelType w:val="hybridMultilevel"/>
    <w:tmpl w:val="087024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1B27C4"/>
    <w:multiLevelType w:val="hybridMultilevel"/>
    <w:tmpl w:val="8074467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D54248"/>
    <w:multiLevelType w:val="hybridMultilevel"/>
    <w:tmpl w:val="2E8AEE0C"/>
    <w:lvl w:ilvl="0" w:tplc="2C0A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8E0541"/>
    <w:multiLevelType w:val="hybridMultilevel"/>
    <w:tmpl w:val="732CCA6C"/>
    <w:lvl w:ilvl="0" w:tplc="0C0A0001">
      <w:start w:val="1"/>
      <w:numFmt w:val="bullet"/>
      <w:lvlText w:val=""/>
      <w:lvlJc w:val="left"/>
      <w:pPr>
        <w:ind w:left="720" w:hanging="360"/>
      </w:pPr>
      <w:rPr>
        <w:rFonts w:ascii="Symbol" w:hAnsi="Symbol" w:hint="default"/>
      </w:rPr>
    </w:lvl>
    <w:lvl w:ilvl="1" w:tplc="2C0A000D">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5CF4AEA"/>
    <w:multiLevelType w:val="hybridMultilevel"/>
    <w:tmpl w:val="38825BA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7657312C"/>
    <w:multiLevelType w:val="multilevel"/>
    <w:tmpl w:val="2F542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C010879"/>
    <w:multiLevelType w:val="hybridMultilevel"/>
    <w:tmpl w:val="7EB2D7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35"/>
  </w:num>
  <w:num w:numId="3">
    <w:abstractNumId w:val="14"/>
  </w:num>
  <w:num w:numId="4">
    <w:abstractNumId w:val="15"/>
  </w:num>
  <w:num w:numId="5">
    <w:abstractNumId w:val="41"/>
  </w:num>
  <w:num w:numId="6">
    <w:abstractNumId w:val="13"/>
  </w:num>
  <w:num w:numId="7">
    <w:abstractNumId w:val="10"/>
  </w:num>
  <w:num w:numId="8">
    <w:abstractNumId w:val="9"/>
  </w:num>
  <w:num w:numId="9">
    <w:abstractNumId w:val="7"/>
  </w:num>
  <w:num w:numId="10">
    <w:abstractNumId w:val="43"/>
  </w:num>
  <w:num w:numId="11">
    <w:abstractNumId w:val="12"/>
  </w:num>
  <w:num w:numId="12">
    <w:abstractNumId w:val="28"/>
  </w:num>
  <w:num w:numId="13">
    <w:abstractNumId w:val="36"/>
  </w:num>
  <w:num w:numId="14">
    <w:abstractNumId w:val="22"/>
  </w:num>
  <w:num w:numId="15">
    <w:abstractNumId w:val="23"/>
  </w:num>
  <w:num w:numId="16">
    <w:abstractNumId w:val="0"/>
  </w:num>
  <w:num w:numId="17">
    <w:abstractNumId w:val="42"/>
  </w:num>
  <w:num w:numId="18">
    <w:abstractNumId w:val="11"/>
  </w:num>
  <w:num w:numId="19">
    <w:abstractNumId w:val="20"/>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4"/>
  </w:num>
  <w:num w:numId="23">
    <w:abstractNumId w:val="3"/>
  </w:num>
  <w:num w:numId="24">
    <w:abstractNumId w:val="26"/>
  </w:num>
  <w:num w:numId="25">
    <w:abstractNumId w:val="21"/>
  </w:num>
  <w:num w:numId="26">
    <w:abstractNumId w:val="19"/>
  </w:num>
  <w:num w:numId="27">
    <w:abstractNumId w:val="18"/>
  </w:num>
  <w:num w:numId="28">
    <w:abstractNumId w:val="1"/>
  </w:num>
  <w:num w:numId="29">
    <w:abstractNumId w:val="25"/>
  </w:num>
  <w:num w:numId="30">
    <w:abstractNumId w:val="4"/>
  </w:num>
  <w:num w:numId="31">
    <w:abstractNumId w:val="29"/>
  </w:num>
  <w:num w:numId="32">
    <w:abstractNumId w:val="17"/>
  </w:num>
  <w:num w:numId="33">
    <w:abstractNumId w:val="30"/>
  </w:num>
  <w:num w:numId="34">
    <w:abstractNumId w:val="2"/>
  </w:num>
  <w:num w:numId="35">
    <w:abstractNumId w:val="31"/>
  </w:num>
  <w:num w:numId="36">
    <w:abstractNumId w:val="6"/>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4"/>
  </w:num>
  <w:num w:numId="40">
    <w:abstractNumId w:val="39"/>
  </w:num>
  <w:num w:numId="41">
    <w:abstractNumId w:val="38"/>
  </w:num>
  <w:num w:numId="42">
    <w:abstractNumId w:val="16"/>
  </w:num>
  <w:num w:numId="43">
    <w:abstractNumId w:val="5"/>
  </w:num>
  <w:num w:numId="44">
    <w:abstractNumId w:val="8"/>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16"/>
    <w:rsid w:val="00006CFD"/>
    <w:rsid w:val="0002720B"/>
    <w:rsid w:val="000307C4"/>
    <w:rsid w:val="00035AE4"/>
    <w:rsid w:val="00037602"/>
    <w:rsid w:val="0004063D"/>
    <w:rsid w:val="000608CA"/>
    <w:rsid w:val="00070A1A"/>
    <w:rsid w:val="00081C4A"/>
    <w:rsid w:val="00083D6C"/>
    <w:rsid w:val="000A6E76"/>
    <w:rsid w:val="000B51BC"/>
    <w:rsid w:val="000B549E"/>
    <w:rsid w:val="000B7C64"/>
    <w:rsid w:val="000D0CBE"/>
    <w:rsid w:val="000E6171"/>
    <w:rsid w:val="000E77A6"/>
    <w:rsid w:val="000F747F"/>
    <w:rsid w:val="00101A19"/>
    <w:rsid w:val="00111387"/>
    <w:rsid w:val="0011553C"/>
    <w:rsid w:val="00126BA3"/>
    <w:rsid w:val="00142FBA"/>
    <w:rsid w:val="001608AF"/>
    <w:rsid w:val="0016288A"/>
    <w:rsid w:val="001640F5"/>
    <w:rsid w:val="00180D79"/>
    <w:rsid w:val="0018548E"/>
    <w:rsid w:val="001B0E77"/>
    <w:rsid w:val="001B1520"/>
    <w:rsid w:val="001B49A9"/>
    <w:rsid w:val="001C560E"/>
    <w:rsid w:val="001D1D8F"/>
    <w:rsid w:val="001E04B7"/>
    <w:rsid w:val="001F12B0"/>
    <w:rsid w:val="0021148F"/>
    <w:rsid w:val="0021242B"/>
    <w:rsid w:val="00214A75"/>
    <w:rsid w:val="00221467"/>
    <w:rsid w:val="00235351"/>
    <w:rsid w:val="002459D1"/>
    <w:rsid w:val="00251B76"/>
    <w:rsid w:val="0026544B"/>
    <w:rsid w:val="002755A1"/>
    <w:rsid w:val="0028117B"/>
    <w:rsid w:val="00293010"/>
    <w:rsid w:val="002A34B5"/>
    <w:rsid w:val="002A6F37"/>
    <w:rsid w:val="002B1BA1"/>
    <w:rsid w:val="002D4685"/>
    <w:rsid w:val="002D5ACB"/>
    <w:rsid w:val="002D79D8"/>
    <w:rsid w:val="002F6FFB"/>
    <w:rsid w:val="0030047A"/>
    <w:rsid w:val="00314F92"/>
    <w:rsid w:val="003276E1"/>
    <w:rsid w:val="0033160B"/>
    <w:rsid w:val="00331CE9"/>
    <w:rsid w:val="003346BA"/>
    <w:rsid w:val="00337D67"/>
    <w:rsid w:val="00343555"/>
    <w:rsid w:val="00353DED"/>
    <w:rsid w:val="00375649"/>
    <w:rsid w:val="0038448D"/>
    <w:rsid w:val="00385F28"/>
    <w:rsid w:val="003C2E48"/>
    <w:rsid w:val="003F1B5B"/>
    <w:rsid w:val="00405414"/>
    <w:rsid w:val="004178D7"/>
    <w:rsid w:val="00434C66"/>
    <w:rsid w:val="00442B97"/>
    <w:rsid w:val="00444365"/>
    <w:rsid w:val="004652EA"/>
    <w:rsid w:val="0047061F"/>
    <w:rsid w:val="00477E0A"/>
    <w:rsid w:val="004927A6"/>
    <w:rsid w:val="004968CF"/>
    <w:rsid w:val="004B0B5A"/>
    <w:rsid w:val="004B6646"/>
    <w:rsid w:val="004D54B2"/>
    <w:rsid w:val="004D5DE5"/>
    <w:rsid w:val="004E4D40"/>
    <w:rsid w:val="004F2B20"/>
    <w:rsid w:val="00505B49"/>
    <w:rsid w:val="00510EDD"/>
    <w:rsid w:val="00522709"/>
    <w:rsid w:val="005341C4"/>
    <w:rsid w:val="005372B1"/>
    <w:rsid w:val="00547D5C"/>
    <w:rsid w:val="0057379B"/>
    <w:rsid w:val="005A3847"/>
    <w:rsid w:val="005D263C"/>
    <w:rsid w:val="005D6848"/>
    <w:rsid w:val="005E2873"/>
    <w:rsid w:val="005F711A"/>
    <w:rsid w:val="00614913"/>
    <w:rsid w:val="006279F0"/>
    <w:rsid w:val="00646F1C"/>
    <w:rsid w:val="00652E2B"/>
    <w:rsid w:val="00666520"/>
    <w:rsid w:val="00690D86"/>
    <w:rsid w:val="006A3A11"/>
    <w:rsid w:val="006B3D89"/>
    <w:rsid w:val="006C2F30"/>
    <w:rsid w:val="006D1CD8"/>
    <w:rsid w:val="006E43A2"/>
    <w:rsid w:val="0071758F"/>
    <w:rsid w:val="0072056C"/>
    <w:rsid w:val="007223CD"/>
    <w:rsid w:val="00723001"/>
    <w:rsid w:val="00760C74"/>
    <w:rsid w:val="00764335"/>
    <w:rsid w:val="00764E3C"/>
    <w:rsid w:val="007675CC"/>
    <w:rsid w:val="007726B5"/>
    <w:rsid w:val="00775E7E"/>
    <w:rsid w:val="007816C2"/>
    <w:rsid w:val="007854BC"/>
    <w:rsid w:val="00787AB6"/>
    <w:rsid w:val="007A2F3E"/>
    <w:rsid w:val="007C2075"/>
    <w:rsid w:val="007E028B"/>
    <w:rsid w:val="00805687"/>
    <w:rsid w:val="00820D20"/>
    <w:rsid w:val="008457A4"/>
    <w:rsid w:val="00851BDA"/>
    <w:rsid w:val="008700A6"/>
    <w:rsid w:val="008716B6"/>
    <w:rsid w:val="0087230A"/>
    <w:rsid w:val="00872E11"/>
    <w:rsid w:val="008946DE"/>
    <w:rsid w:val="008A2ABA"/>
    <w:rsid w:val="008A51E8"/>
    <w:rsid w:val="008B2E22"/>
    <w:rsid w:val="008C3C29"/>
    <w:rsid w:val="008C45A5"/>
    <w:rsid w:val="008E3914"/>
    <w:rsid w:val="008F3F49"/>
    <w:rsid w:val="00907985"/>
    <w:rsid w:val="009308CE"/>
    <w:rsid w:val="009366BD"/>
    <w:rsid w:val="00937F53"/>
    <w:rsid w:val="00944842"/>
    <w:rsid w:val="00956576"/>
    <w:rsid w:val="0099408D"/>
    <w:rsid w:val="009A29AA"/>
    <w:rsid w:val="009B2BD7"/>
    <w:rsid w:val="009B5E75"/>
    <w:rsid w:val="009C0BEF"/>
    <w:rsid w:val="009C627D"/>
    <w:rsid w:val="009F22D0"/>
    <w:rsid w:val="00A1322D"/>
    <w:rsid w:val="00A1727D"/>
    <w:rsid w:val="00A327C3"/>
    <w:rsid w:val="00A367DD"/>
    <w:rsid w:val="00A42EB4"/>
    <w:rsid w:val="00A631C5"/>
    <w:rsid w:val="00A9119E"/>
    <w:rsid w:val="00A9542F"/>
    <w:rsid w:val="00AA2D34"/>
    <w:rsid w:val="00AB0510"/>
    <w:rsid w:val="00AC5425"/>
    <w:rsid w:val="00AD215F"/>
    <w:rsid w:val="00AD504C"/>
    <w:rsid w:val="00B04E9F"/>
    <w:rsid w:val="00B109A7"/>
    <w:rsid w:val="00B11199"/>
    <w:rsid w:val="00B15C2D"/>
    <w:rsid w:val="00B3271D"/>
    <w:rsid w:val="00B338BF"/>
    <w:rsid w:val="00B367D5"/>
    <w:rsid w:val="00B53EC3"/>
    <w:rsid w:val="00B64519"/>
    <w:rsid w:val="00B90726"/>
    <w:rsid w:val="00BA4881"/>
    <w:rsid w:val="00BB0222"/>
    <w:rsid w:val="00BC2FAB"/>
    <w:rsid w:val="00BD1A32"/>
    <w:rsid w:val="00BD4A12"/>
    <w:rsid w:val="00BE0E1A"/>
    <w:rsid w:val="00BE13E5"/>
    <w:rsid w:val="00BF5444"/>
    <w:rsid w:val="00C06060"/>
    <w:rsid w:val="00C07D9A"/>
    <w:rsid w:val="00C07E77"/>
    <w:rsid w:val="00C10784"/>
    <w:rsid w:val="00C11F47"/>
    <w:rsid w:val="00C14908"/>
    <w:rsid w:val="00C22824"/>
    <w:rsid w:val="00C22C8B"/>
    <w:rsid w:val="00C31043"/>
    <w:rsid w:val="00C41116"/>
    <w:rsid w:val="00C41B8C"/>
    <w:rsid w:val="00C42AAB"/>
    <w:rsid w:val="00C627BC"/>
    <w:rsid w:val="00C65D7B"/>
    <w:rsid w:val="00C9362F"/>
    <w:rsid w:val="00CB2816"/>
    <w:rsid w:val="00CE0CD9"/>
    <w:rsid w:val="00CF1969"/>
    <w:rsid w:val="00D014AC"/>
    <w:rsid w:val="00D23722"/>
    <w:rsid w:val="00D30BB2"/>
    <w:rsid w:val="00D32024"/>
    <w:rsid w:val="00D33267"/>
    <w:rsid w:val="00D50E6C"/>
    <w:rsid w:val="00D577A2"/>
    <w:rsid w:val="00D76983"/>
    <w:rsid w:val="00DA2367"/>
    <w:rsid w:val="00DA6B5C"/>
    <w:rsid w:val="00DA6FE8"/>
    <w:rsid w:val="00DC3A4A"/>
    <w:rsid w:val="00DD7184"/>
    <w:rsid w:val="00DE1E22"/>
    <w:rsid w:val="00DF2ED4"/>
    <w:rsid w:val="00DF6B0A"/>
    <w:rsid w:val="00E02037"/>
    <w:rsid w:val="00E047E6"/>
    <w:rsid w:val="00E254FB"/>
    <w:rsid w:val="00E31657"/>
    <w:rsid w:val="00E40AF5"/>
    <w:rsid w:val="00E57092"/>
    <w:rsid w:val="00E57F9A"/>
    <w:rsid w:val="00E646E4"/>
    <w:rsid w:val="00E6661B"/>
    <w:rsid w:val="00E707E6"/>
    <w:rsid w:val="00E77C9C"/>
    <w:rsid w:val="00E8506D"/>
    <w:rsid w:val="00EA5229"/>
    <w:rsid w:val="00EB6C01"/>
    <w:rsid w:val="00EC2D90"/>
    <w:rsid w:val="00EC3150"/>
    <w:rsid w:val="00EE2EC3"/>
    <w:rsid w:val="00EF02EB"/>
    <w:rsid w:val="00EF72C5"/>
    <w:rsid w:val="00EF7F6E"/>
    <w:rsid w:val="00F01806"/>
    <w:rsid w:val="00F13F8A"/>
    <w:rsid w:val="00F24FD0"/>
    <w:rsid w:val="00F274A9"/>
    <w:rsid w:val="00F32849"/>
    <w:rsid w:val="00F32C85"/>
    <w:rsid w:val="00F64E64"/>
    <w:rsid w:val="00F73D8E"/>
    <w:rsid w:val="00F82E41"/>
    <w:rsid w:val="00F862A8"/>
    <w:rsid w:val="00F9146E"/>
    <w:rsid w:val="00F91562"/>
    <w:rsid w:val="00FB16A3"/>
    <w:rsid w:val="00FC2601"/>
    <w:rsid w:val="00FE2DE0"/>
    <w:rsid w:val="00FF05A3"/>
    <w:rsid w:val="00FF32FE"/>
    <w:rsid w:val="2A9C513E"/>
    <w:rsid w:val="3C87D50B"/>
    <w:rsid w:val="61035E3E"/>
    <w:rsid w:val="6BB8B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7AF638"/>
  <w15:docId w15:val="{8A5E9755-3DCE-4D49-9C09-DE3C0480A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1520"/>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BF544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
    <w:unhideWhenUsed/>
    <w:qFormat/>
    <w:rsid w:val="00E3165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41116"/>
    <w:pPr>
      <w:spacing w:after="200" w:line="276" w:lineRule="auto"/>
      <w:ind w:left="720"/>
      <w:contextualSpacing/>
    </w:pPr>
    <w:rPr>
      <w:rFonts w:ascii="Calibri" w:eastAsia="Calibri" w:hAnsi="Calibri"/>
      <w:sz w:val="22"/>
      <w:szCs w:val="22"/>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
    <w:basedOn w:val="Normal"/>
    <w:link w:val="FootnoteTextChar"/>
    <w:unhideWhenUsed/>
    <w:rsid w:val="00C41116"/>
    <w:pPr>
      <w:keepNext/>
      <w:keepLines/>
      <w:spacing w:after="120"/>
      <w:ind w:left="288" w:hanging="288"/>
      <w:jc w:val="both"/>
    </w:pPr>
    <w:rPr>
      <w:rFonts w:eastAsia="Calibri"/>
      <w:spacing w:val="-3"/>
      <w:sz w:val="20"/>
    </w:rPr>
  </w:style>
  <w:style w:type="character" w:customStyle="1" w:styleId="FootnoteTextChar">
    <w:name w:val="Footnote Text Char"/>
    <w:aliases w:val="fn Char1,single space Char1,footnote text Char1,foottextfra Char,footnote Char,F Char,Texto nota pie Car Car Char,texto de nota al pie Char,Nota a pie/Bibliog Char,Texto nota pie Car Car Car Car Car Car Car Car Char,f Char1"/>
    <w:basedOn w:val="DefaultParagraphFont"/>
    <w:link w:val="FootnoteText"/>
    <w:rsid w:val="00C41116"/>
    <w:rPr>
      <w:rFonts w:ascii="Times New Roman" w:eastAsia="Calibri" w:hAnsi="Times New Roman" w:cs="Times New Roman"/>
      <w:spacing w:val="-3"/>
      <w:sz w:val="20"/>
      <w:szCs w:val="24"/>
    </w:rPr>
  </w:style>
  <w:style w:type="character" w:styleId="FootnoteReference">
    <w:name w:val="footnote reference"/>
    <w:aliases w:val="referencia nota al pie,ftref,16 Point,Superscript 6 Point,FC,Ref,de nota al pie,(Ref. de nota al pie),Fußnotenzeichen DISS,Style 24,Appel note de bas de page"/>
    <w:unhideWhenUsed/>
    <w:rsid w:val="00C41116"/>
    <w:rPr>
      <w:vertAlign w:val="superscript"/>
    </w:rPr>
  </w:style>
  <w:style w:type="paragraph" w:styleId="Title">
    <w:name w:val="Title"/>
    <w:basedOn w:val="Normal"/>
    <w:link w:val="TitleChar"/>
    <w:qFormat/>
    <w:rsid w:val="00C41116"/>
    <w:pPr>
      <w:tabs>
        <w:tab w:val="left" w:pos="1440"/>
        <w:tab w:val="left" w:pos="3060"/>
      </w:tabs>
      <w:jc w:val="center"/>
      <w:outlineLvl w:val="0"/>
    </w:pPr>
    <w:rPr>
      <w:rFonts w:eastAsia="Times New Roman"/>
      <w:szCs w:val="20"/>
    </w:rPr>
  </w:style>
  <w:style w:type="character" w:customStyle="1" w:styleId="TitleChar">
    <w:name w:val="Title Char"/>
    <w:basedOn w:val="DefaultParagraphFont"/>
    <w:link w:val="Title"/>
    <w:rsid w:val="00C41116"/>
    <w:rPr>
      <w:rFonts w:ascii="Times New Roman" w:eastAsia="Times New Roman" w:hAnsi="Times New Roman" w:cs="Times New Roman"/>
      <w:sz w:val="24"/>
      <w:szCs w:val="20"/>
    </w:rPr>
  </w:style>
  <w:style w:type="paragraph" w:customStyle="1" w:styleId="Newpage">
    <w:name w:val="Newpage"/>
    <w:basedOn w:val="Normal"/>
    <w:rsid w:val="00C41116"/>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C41116"/>
    <w:pPr>
      <w:tabs>
        <w:tab w:val="left" w:pos="3060"/>
      </w:tabs>
      <w:jc w:val="center"/>
    </w:pPr>
    <w:rPr>
      <w:rFonts w:eastAsia="Times New Roman"/>
      <w:szCs w:val="20"/>
    </w:rPr>
  </w:style>
  <w:style w:type="character" w:customStyle="1" w:styleId="BodyTextChar">
    <w:name w:val="Body Text Char"/>
    <w:basedOn w:val="DefaultParagraphFont"/>
    <w:link w:val="BodyText"/>
    <w:rsid w:val="00C41116"/>
    <w:rPr>
      <w:rFonts w:ascii="Times New Roman" w:eastAsia="Times New Roman" w:hAnsi="Times New Roman" w:cs="Times New Roman"/>
      <w:sz w:val="24"/>
      <w:szCs w:val="20"/>
    </w:rPr>
  </w:style>
  <w:style w:type="character" w:customStyle="1" w:styleId="ColorfulList-Accent1Char">
    <w:name w:val="Colorful List - Accent 1 Char"/>
    <w:link w:val="ColorfulList-Accent11"/>
    <w:uiPriority w:val="34"/>
    <w:rsid w:val="00C41116"/>
    <w:rPr>
      <w:rFonts w:ascii="Calibri" w:eastAsia="Calibri" w:hAnsi="Calibri" w:cs="Times New Roman"/>
    </w:rPr>
  </w:style>
  <w:style w:type="character" w:styleId="Hyperlink">
    <w:name w:val="Hyperlink"/>
    <w:uiPriority w:val="99"/>
    <w:rsid w:val="00C41116"/>
    <w:rPr>
      <w:color w:val="0000FF"/>
      <w:u w:val="single"/>
    </w:rPr>
  </w:style>
  <w:style w:type="paragraph" w:styleId="ListParagraph">
    <w:name w:val="List Paragraph"/>
    <w:basedOn w:val="Normal"/>
    <w:link w:val="ListParagraphChar"/>
    <w:uiPriority w:val="99"/>
    <w:qFormat/>
    <w:rsid w:val="00C41116"/>
    <w:pPr>
      <w:spacing w:after="200" w:line="276" w:lineRule="auto"/>
      <w:ind w:left="708"/>
    </w:pPr>
    <w:rPr>
      <w:rFonts w:ascii="Calibri" w:eastAsia="Calibri" w:hAnsi="Calibri"/>
      <w:sz w:val="22"/>
      <w:szCs w:val="22"/>
    </w:rPr>
  </w:style>
  <w:style w:type="paragraph" w:customStyle="1" w:styleId="Paragraph">
    <w:name w:val="Paragraph"/>
    <w:aliases w:val="paragraph,p,PARAGRAPH,PG,pa,at"/>
    <w:basedOn w:val="BodyTextIndent"/>
    <w:link w:val="ParagraphChar"/>
    <w:qFormat/>
    <w:rsid w:val="007A2F3E"/>
    <w:pPr>
      <w:tabs>
        <w:tab w:val="num" w:pos="1440"/>
      </w:tabs>
      <w:spacing w:before="120" w:line="240" w:lineRule="auto"/>
      <w:ind w:left="1440" w:hanging="720"/>
      <w:jc w:val="both"/>
      <w:outlineLvl w:val="1"/>
    </w:pPr>
    <w:rPr>
      <w:rFonts w:ascii="Times New Roman" w:eastAsia="Times New Roman" w:hAnsi="Times New Roman"/>
      <w:sz w:val="24"/>
      <w:szCs w:val="20"/>
    </w:rPr>
  </w:style>
  <w:style w:type="character" w:customStyle="1" w:styleId="ParagraphChar">
    <w:name w:val="Paragraph Char"/>
    <w:basedOn w:val="DefaultParagraphFont"/>
    <w:link w:val="Paragraph"/>
    <w:locked/>
    <w:rsid w:val="007A2F3E"/>
    <w:rPr>
      <w:rFonts w:ascii="Times New Roman" w:eastAsia="Times New Roman" w:hAnsi="Times New Roman" w:cs="Times New Roman"/>
      <w:sz w:val="24"/>
      <w:szCs w:val="20"/>
    </w:rPr>
  </w:style>
  <w:style w:type="paragraph" w:customStyle="1" w:styleId="FirstHeading">
    <w:name w:val="FirstHeading"/>
    <w:basedOn w:val="Normal"/>
    <w:link w:val="FirstHeadingChar"/>
    <w:uiPriority w:val="99"/>
    <w:rsid w:val="007A2F3E"/>
    <w:pPr>
      <w:keepNext/>
      <w:numPr>
        <w:numId w:val="11"/>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7A2F3E"/>
    <w:pPr>
      <w:keepNext/>
      <w:numPr>
        <w:ilvl w:val="1"/>
        <w:numId w:val="11"/>
      </w:numPr>
      <w:spacing w:before="120" w:after="120"/>
    </w:pPr>
    <w:rPr>
      <w:rFonts w:eastAsia="Batang"/>
      <w:b/>
      <w:szCs w:val="20"/>
      <w:lang w:val="es-ES_tradnl"/>
    </w:rPr>
  </w:style>
  <w:style w:type="paragraph" w:customStyle="1" w:styleId="SubHeading1">
    <w:name w:val="SubHeading1"/>
    <w:basedOn w:val="SecHeading"/>
    <w:uiPriority w:val="99"/>
    <w:rsid w:val="007A2F3E"/>
    <w:pPr>
      <w:numPr>
        <w:ilvl w:val="2"/>
      </w:numPr>
    </w:pPr>
  </w:style>
  <w:style w:type="paragraph" w:customStyle="1" w:styleId="Subheading2">
    <w:name w:val="Subheading2"/>
    <w:basedOn w:val="SecHeading"/>
    <w:uiPriority w:val="99"/>
    <w:rsid w:val="007A2F3E"/>
    <w:pPr>
      <w:numPr>
        <w:ilvl w:val="3"/>
      </w:numPr>
    </w:pPr>
  </w:style>
  <w:style w:type="character" w:customStyle="1" w:styleId="FirstHeadingChar">
    <w:name w:val="FirstHeading Char"/>
    <w:link w:val="FirstHeading"/>
    <w:uiPriority w:val="99"/>
    <w:rsid w:val="007A2F3E"/>
    <w:rPr>
      <w:rFonts w:ascii="Times New Roman" w:eastAsia="Batang" w:hAnsi="Times New Roman" w:cs="Times New Roman"/>
      <w:b/>
      <w:sz w:val="24"/>
      <w:szCs w:val="20"/>
      <w:lang w:val="es-ES"/>
    </w:rPr>
  </w:style>
  <w:style w:type="paragraph" w:styleId="BodyTextIndent">
    <w:name w:val="Body Text Indent"/>
    <w:basedOn w:val="Normal"/>
    <w:link w:val="BodyTextIndentChar"/>
    <w:uiPriority w:val="99"/>
    <w:unhideWhenUsed/>
    <w:rsid w:val="007A2F3E"/>
    <w:pPr>
      <w:spacing w:after="120" w:line="276" w:lineRule="auto"/>
      <w:ind w:left="360"/>
    </w:pPr>
    <w:rPr>
      <w:rFonts w:ascii="Calibri" w:eastAsia="Calibri" w:hAnsi="Calibri"/>
      <w:sz w:val="22"/>
      <w:szCs w:val="22"/>
    </w:rPr>
  </w:style>
  <w:style w:type="character" w:customStyle="1" w:styleId="BodyTextIndentChar">
    <w:name w:val="Body Text Indent Char"/>
    <w:basedOn w:val="DefaultParagraphFont"/>
    <w:link w:val="BodyTextIndent"/>
    <w:uiPriority w:val="99"/>
    <w:rsid w:val="007A2F3E"/>
    <w:rPr>
      <w:rFonts w:ascii="Calibri" w:eastAsia="Calibri" w:hAnsi="Calibri" w:cs="Times New Roman"/>
    </w:rPr>
  </w:style>
  <w:style w:type="table" w:styleId="TableGrid">
    <w:name w:val="Table Grid"/>
    <w:basedOn w:val="TableNormal"/>
    <w:uiPriority w:val="59"/>
    <w:rsid w:val="007A2F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F544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F5444"/>
    <w:pPr>
      <w:outlineLvl w:val="9"/>
    </w:pPr>
    <w:rPr>
      <w:lang w:eastAsia="ja-JP"/>
    </w:rPr>
  </w:style>
  <w:style w:type="paragraph" w:styleId="TOC1">
    <w:name w:val="toc 1"/>
    <w:basedOn w:val="Normal"/>
    <w:next w:val="Normal"/>
    <w:autoRedefine/>
    <w:uiPriority w:val="39"/>
    <w:unhideWhenUsed/>
    <w:rsid w:val="00B109A7"/>
    <w:pPr>
      <w:tabs>
        <w:tab w:val="left" w:pos="360"/>
        <w:tab w:val="right" w:leader="dot" w:pos="9163"/>
      </w:tabs>
      <w:spacing w:after="100" w:line="276" w:lineRule="auto"/>
    </w:pPr>
    <w:rPr>
      <w:rFonts w:ascii="Calibri" w:eastAsia="Calibri" w:hAnsi="Calibri"/>
      <w:sz w:val="22"/>
      <w:szCs w:val="22"/>
    </w:rPr>
  </w:style>
  <w:style w:type="paragraph" w:styleId="TOC2">
    <w:name w:val="toc 2"/>
    <w:basedOn w:val="Normal"/>
    <w:next w:val="Normal"/>
    <w:autoRedefine/>
    <w:uiPriority w:val="39"/>
    <w:unhideWhenUsed/>
    <w:rsid w:val="00BF5444"/>
    <w:pPr>
      <w:spacing w:after="100" w:line="276" w:lineRule="auto"/>
      <w:ind w:left="220"/>
    </w:pPr>
    <w:rPr>
      <w:rFonts w:ascii="Calibri" w:eastAsia="Calibri" w:hAnsi="Calibri"/>
      <w:sz w:val="22"/>
      <w:szCs w:val="22"/>
    </w:rPr>
  </w:style>
  <w:style w:type="paragraph" w:styleId="BalloonText">
    <w:name w:val="Balloon Text"/>
    <w:basedOn w:val="Normal"/>
    <w:link w:val="BalloonTextChar"/>
    <w:uiPriority w:val="99"/>
    <w:semiHidden/>
    <w:unhideWhenUsed/>
    <w:rsid w:val="00BF5444"/>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F5444"/>
    <w:rPr>
      <w:rFonts w:ascii="Tahoma" w:eastAsia="Calibri" w:hAnsi="Tahoma" w:cs="Tahoma"/>
      <w:sz w:val="16"/>
      <w:szCs w:val="16"/>
    </w:rPr>
  </w:style>
  <w:style w:type="paragraph" w:styleId="Header">
    <w:name w:val="header"/>
    <w:basedOn w:val="Normal"/>
    <w:link w:val="HeaderChar"/>
    <w:uiPriority w:val="99"/>
    <w:unhideWhenUsed/>
    <w:rsid w:val="00BF5444"/>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BF5444"/>
    <w:rPr>
      <w:rFonts w:ascii="Calibri" w:eastAsia="Calibri" w:hAnsi="Calibri" w:cs="Times New Roman"/>
    </w:rPr>
  </w:style>
  <w:style w:type="paragraph" w:styleId="Footer">
    <w:name w:val="footer"/>
    <w:basedOn w:val="Normal"/>
    <w:link w:val="FooterChar"/>
    <w:uiPriority w:val="99"/>
    <w:unhideWhenUsed/>
    <w:rsid w:val="00BF5444"/>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BF5444"/>
    <w:rPr>
      <w:rFonts w:ascii="Calibri" w:eastAsia="Calibri" w:hAnsi="Calibri" w:cs="Times New Roman"/>
    </w:rPr>
  </w:style>
  <w:style w:type="character" w:styleId="CommentReference">
    <w:name w:val="annotation reference"/>
    <w:basedOn w:val="DefaultParagraphFont"/>
    <w:uiPriority w:val="99"/>
    <w:semiHidden/>
    <w:rsid w:val="00DA6FE8"/>
    <w:rPr>
      <w:sz w:val="16"/>
      <w:szCs w:val="16"/>
    </w:rPr>
  </w:style>
  <w:style w:type="paragraph" w:styleId="CommentText">
    <w:name w:val="annotation text"/>
    <w:basedOn w:val="Normal"/>
    <w:link w:val="CommentTextChar"/>
    <w:uiPriority w:val="99"/>
    <w:rsid w:val="00DA6FE8"/>
    <w:rPr>
      <w:rFonts w:eastAsia="Times New Roman"/>
      <w:sz w:val="20"/>
      <w:szCs w:val="20"/>
    </w:rPr>
  </w:style>
  <w:style w:type="character" w:customStyle="1" w:styleId="CommentTextChar">
    <w:name w:val="Comment Text Char"/>
    <w:basedOn w:val="DefaultParagraphFont"/>
    <w:link w:val="CommentText"/>
    <w:uiPriority w:val="99"/>
    <w:rsid w:val="00DA6FE8"/>
    <w:rPr>
      <w:rFonts w:ascii="Times New Roman" w:eastAsia="Times New Roman" w:hAnsi="Times New Roman" w:cs="Times New Roman"/>
      <w:sz w:val="20"/>
      <w:szCs w:val="20"/>
    </w:rPr>
  </w:style>
  <w:style w:type="paragraph" w:customStyle="1" w:styleId="Chapter">
    <w:name w:val="Chapter"/>
    <w:basedOn w:val="Normal"/>
    <w:next w:val="Normal"/>
    <w:rsid w:val="009A29AA"/>
    <w:pPr>
      <w:keepNext/>
      <w:tabs>
        <w:tab w:val="num" w:pos="648"/>
        <w:tab w:val="left" w:pos="1440"/>
      </w:tabs>
      <w:spacing w:before="240" w:after="240"/>
      <w:ind w:firstLine="288"/>
      <w:jc w:val="center"/>
    </w:pPr>
    <w:rPr>
      <w:rFonts w:eastAsia="Times New Roman"/>
      <w:b/>
      <w:smallCaps/>
      <w:szCs w:val="20"/>
      <w:lang w:val="es-ES"/>
    </w:rPr>
  </w:style>
  <w:style w:type="paragraph" w:customStyle="1" w:styleId="subpar">
    <w:name w:val="subpar"/>
    <w:basedOn w:val="BodyTextIndent3"/>
    <w:rsid w:val="009A29AA"/>
    <w:pPr>
      <w:tabs>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9A29AA"/>
    <w:pPr>
      <w:tabs>
        <w:tab w:val="clear" w:pos="1152"/>
        <w:tab w:val="left" w:pos="0"/>
        <w:tab w:val="num" w:pos="1296"/>
      </w:tabs>
      <w:ind w:left="1296"/>
    </w:pPr>
  </w:style>
  <w:style w:type="character" w:customStyle="1" w:styleId="ParagraphCar">
    <w:name w:val="Paragraph Car"/>
    <w:rsid w:val="009A29AA"/>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rsid w:val="009A29AA"/>
    <w:pPr>
      <w:spacing w:after="120" w:line="276" w:lineRule="auto"/>
      <w:ind w:left="360"/>
    </w:pPr>
    <w:rPr>
      <w:rFonts w:ascii="Calibri" w:eastAsia="Calibri" w:hAnsi="Calibri"/>
      <w:sz w:val="16"/>
      <w:szCs w:val="16"/>
    </w:rPr>
  </w:style>
  <w:style w:type="character" w:customStyle="1" w:styleId="BodyTextIndent3Char">
    <w:name w:val="Body Text Indent 3 Char"/>
    <w:basedOn w:val="DefaultParagraphFont"/>
    <w:link w:val="BodyTextIndent3"/>
    <w:uiPriority w:val="99"/>
    <w:semiHidden/>
    <w:rsid w:val="009A29AA"/>
    <w:rPr>
      <w:rFonts w:ascii="Calibri" w:eastAsia="Calibri" w:hAnsi="Calibri" w:cs="Times New Roman"/>
      <w:sz w:val="16"/>
      <w:szCs w:val="16"/>
    </w:rPr>
  </w:style>
  <w:style w:type="paragraph" w:styleId="Caption">
    <w:name w:val="caption"/>
    <w:basedOn w:val="Normal"/>
    <w:next w:val="Normal"/>
    <w:uiPriority w:val="35"/>
    <w:unhideWhenUsed/>
    <w:qFormat/>
    <w:rsid w:val="00DC3A4A"/>
    <w:pPr>
      <w:spacing w:after="200"/>
    </w:pPr>
    <w:rPr>
      <w:rFonts w:ascii="Calibri" w:eastAsia="Calibri" w:hAnsi="Calibri"/>
      <w:i/>
      <w:iCs/>
      <w:color w:val="1F497D" w:themeColor="text2"/>
      <w:sz w:val="18"/>
      <w:szCs w:val="18"/>
    </w:rPr>
  </w:style>
  <w:style w:type="character" w:customStyle="1" w:styleId="ListParagraphChar">
    <w:name w:val="List Paragraph Char"/>
    <w:link w:val="ListParagraph"/>
    <w:uiPriority w:val="34"/>
    <w:locked/>
    <w:rsid w:val="00937F53"/>
    <w:rPr>
      <w:rFonts w:ascii="Calibri" w:eastAsia="Calibri" w:hAnsi="Calibri" w:cs="Times New Roman"/>
    </w:rPr>
  </w:style>
  <w:style w:type="paragraph" w:styleId="NoSpacing">
    <w:name w:val="No Spacing"/>
    <w:link w:val="NoSpacingChar"/>
    <w:uiPriority w:val="1"/>
    <w:qFormat/>
    <w:rsid w:val="00DA2367"/>
    <w:pPr>
      <w:spacing w:after="0" w:line="240" w:lineRule="auto"/>
    </w:p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ocked/>
    <w:rsid w:val="00DA2367"/>
    <w:rPr>
      <w:rFonts w:ascii="Times New Roman" w:eastAsia="Times New Roman" w:hAnsi="Times New Roman" w:cs="Times New Roman"/>
      <w:sz w:val="20"/>
      <w:szCs w:val="20"/>
    </w:rPr>
  </w:style>
  <w:style w:type="character" w:customStyle="1" w:styleId="NoSpacingChar">
    <w:name w:val="No Spacing Char"/>
    <w:link w:val="NoSpacing"/>
    <w:uiPriority w:val="1"/>
    <w:rsid w:val="00DA2367"/>
  </w:style>
  <w:style w:type="paragraph" w:styleId="CommentSubject">
    <w:name w:val="annotation subject"/>
    <w:basedOn w:val="CommentText"/>
    <w:next w:val="CommentText"/>
    <w:link w:val="CommentSubjectChar"/>
    <w:uiPriority w:val="99"/>
    <w:semiHidden/>
    <w:unhideWhenUsed/>
    <w:rsid w:val="003C2E48"/>
    <w:pPr>
      <w:spacing w:after="200"/>
    </w:pPr>
    <w:rPr>
      <w:rFonts w:ascii="Calibri" w:eastAsia="Calibri" w:hAnsi="Calibri"/>
      <w:b/>
      <w:bCs/>
    </w:rPr>
  </w:style>
  <w:style w:type="character" w:customStyle="1" w:styleId="CommentSubjectChar">
    <w:name w:val="Comment Subject Char"/>
    <w:basedOn w:val="CommentTextChar"/>
    <w:link w:val="CommentSubject"/>
    <w:uiPriority w:val="99"/>
    <w:semiHidden/>
    <w:rsid w:val="003C2E48"/>
    <w:rPr>
      <w:rFonts w:ascii="Calibri" w:eastAsia="Calibri" w:hAnsi="Calibri" w:cs="Times New Roman"/>
      <w:b/>
      <w:bCs/>
      <w:sz w:val="20"/>
      <w:szCs w:val="20"/>
    </w:rPr>
  </w:style>
  <w:style w:type="paragraph" w:customStyle="1" w:styleId="Default">
    <w:name w:val="Default"/>
    <w:rsid w:val="002D5ACB"/>
    <w:pPr>
      <w:widowControl w:val="0"/>
      <w:autoSpaceDE w:val="0"/>
      <w:autoSpaceDN w:val="0"/>
      <w:adjustRightInd w:val="0"/>
      <w:spacing w:after="0" w:line="240" w:lineRule="auto"/>
    </w:pPr>
    <w:rPr>
      <w:rFonts w:ascii="Arial" w:hAnsi="Arial" w:cs="Arial"/>
      <w:color w:val="000000"/>
      <w:sz w:val="24"/>
      <w:szCs w:val="24"/>
    </w:rPr>
  </w:style>
  <w:style w:type="paragraph" w:customStyle="1" w:styleId="p1">
    <w:name w:val="p1"/>
    <w:basedOn w:val="Normal"/>
    <w:rsid w:val="004D5DE5"/>
    <w:rPr>
      <w:rFonts w:ascii="Helvetica" w:eastAsia="Times New Roman" w:hAnsi="Helvetica"/>
      <w:sz w:val="14"/>
      <w:szCs w:val="14"/>
    </w:rPr>
  </w:style>
  <w:style w:type="paragraph" w:styleId="Revision">
    <w:name w:val="Revision"/>
    <w:hidden/>
    <w:uiPriority w:val="99"/>
    <w:semiHidden/>
    <w:rsid w:val="00F13F8A"/>
    <w:pPr>
      <w:spacing w:after="0" w:line="240" w:lineRule="auto"/>
    </w:pPr>
    <w:rPr>
      <w:rFonts w:ascii="Times New Roman" w:hAnsi="Times New Roman" w:cs="Times New Roman"/>
      <w:sz w:val="24"/>
      <w:szCs w:val="24"/>
    </w:rPr>
  </w:style>
  <w:style w:type="character" w:customStyle="1" w:styleId="s1">
    <w:name w:val="s1"/>
    <w:basedOn w:val="DefaultParagraphFont"/>
    <w:rsid w:val="008A51E8"/>
    <w:rPr>
      <w:rFonts w:ascii="Verdana" w:hAnsi="Verdana" w:hint="default"/>
      <w:sz w:val="27"/>
      <w:szCs w:val="27"/>
    </w:rPr>
  </w:style>
  <w:style w:type="paragraph" w:customStyle="1" w:styleId="p2">
    <w:name w:val="p2"/>
    <w:basedOn w:val="Normal"/>
    <w:rsid w:val="00221467"/>
    <w:rPr>
      <w:rFonts w:ascii="Helvetica" w:hAnsi="Helvetica"/>
      <w:sz w:val="15"/>
      <w:szCs w:val="15"/>
    </w:rPr>
  </w:style>
  <w:style w:type="paragraph" w:customStyle="1" w:styleId="p3">
    <w:name w:val="p3"/>
    <w:basedOn w:val="Normal"/>
    <w:rsid w:val="00221467"/>
    <w:rPr>
      <w:rFonts w:ascii="Helvetica" w:hAnsi="Helvetica"/>
      <w:sz w:val="13"/>
      <w:szCs w:val="13"/>
    </w:rPr>
  </w:style>
  <w:style w:type="paragraph" w:customStyle="1" w:styleId="p4">
    <w:name w:val="p4"/>
    <w:basedOn w:val="Normal"/>
    <w:rsid w:val="00221467"/>
    <w:rPr>
      <w:rFonts w:ascii="Helvetica" w:hAnsi="Helvetica"/>
      <w:color w:val="FFFFFF"/>
      <w:sz w:val="17"/>
      <w:szCs w:val="17"/>
    </w:rPr>
  </w:style>
  <w:style w:type="paragraph" w:customStyle="1" w:styleId="p5">
    <w:name w:val="p5"/>
    <w:basedOn w:val="Normal"/>
    <w:rsid w:val="00221467"/>
    <w:rPr>
      <w:rFonts w:ascii="Helvetica" w:hAnsi="Helvetica"/>
      <w:sz w:val="14"/>
      <w:szCs w:val="14"/>
    </w:rPr>
  </w:style>
  <w:style w:type="paragraph" w:customStyle="1" w:styleId="p6">
    <w:name w:val="p6"/>
    <w:basedOn w:val="Normal"/>
    <w:rsid w:val="00221467"/>
    <w:rPr>
      <w:rFonts w:ascii="Helvetica" w:hAnsi="Helvetica"/>
      <w:sz w:val="12"/>
      <w:szCs w:val="12"/>
    </w:rPr>
  </w:style>
  <w:style w:type="character" w:customStyle="1" w:styleId="Heading6Char">
    <w:name w:val="Heading 6 Char"/>
    <w:basedOn w:val="DefaultParagraphFont"/>
    <w:link w:val="Heading6"/>
    <w:rsid w:val="00E31657"/>
    <w:rPr>
      <w:rFonts w:asciiTheme="majorHAnsi" w:eastAsiaTheme="majorEastAsia" w:hAnsiTheme="majorHAnsi" w:cstheme="majorBidi"/>
      <w:i/>
      <w:iCs/>
      <w:color w:val="243F60" w:themeColor="accent1" w:themeShade="7F"/>
      <w:sz w:val="24"/>
      <w:szCs w:val="24"/>
    </w:rPr>
  </w:style>
  <w:style w:type="character" w:styleId="PlaceholderText">
    <w:name w:val="Placeholder Text"/>
    <w:basedOn w:val="DefaultParagraphFont"/>
    <w:uiPriority w:val="99"/>
    <w:semiHidden/>
    <w:rsid w:val="004652EA"/>
    <w:rPr>
      <w:color w:val="808080"/>
    </w:rPr>
  </w:style>
  <w:style w:type="character" w:styleId="FollowedHyperlink">
    <w:name w:val="FollowedHyperlink"/>
    <w:basedOn w:val="DefaultParagraphFont"/>
    <w:uiPriority w:val="99"/>
    <w:semiHidden/>
    <w:unhideWhenUsed/>
    <w:rsid w:val="002D46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467252">
      <w:bodyDiv w:val="1"/>
      <w:marLeft w:val="0"/>
      <w:marRight w:val="0"/>
      <w:marTop w:val="0"/>
      <w:marBottom w:val="0"/>
      <w:divBdr>
        <w:top w:val="none" w:sz="0" w:space="0" w:color="auto"/>
        <w:left w:val="none" w:sz="0" w:space="0" w:color="auto"/>
        <w:bottom w:val="none" w:sz="0" w:space="0" w:color="auto"/>
        <w:right w:val="none" w:sz="0" w:space="0" w:color="auto"/>
      </w:divBdr>
    </w:div>
    <w:div w:id="533689559">
      <w:bodyDiv w:val="1"/>
      <w:marLeft w:val="0"/>
      <w:marRight w:val="0"/>
      <w:marTop w:val="0"/>
      <w:marBottom w:val="0"/>
      <w:divBdr>
        <w:top w:val="none" w:sz="0" w:space="0" w:color="auto"/>
        <w:left w:val="none" w:sz="0" w:space="0" w:color="auto"/>
        <w:bottom w:val="none" w:sz="0" w:space="0" w:color="auto"/>
        <w:right w:val="none" w:sz="0" w:space="0" w:color="auto"/>
      </w:divBdr>
    </w:div>
    <w:div w:id="547835498">
      <w:bodyDiv w:val="1"/>
      <w:marLeft w:val="0"/>
      <w:marRight w:val="0"/>
      <w:marTop w:val="0"/>
      <w:marBottom w:val="0"/>
      <w:divBdr>
        <w:top w:val="none" w:sz="0" w:space="0" w:color="auto"/>
        <w:left w:val="none" w:sz="0" w:space="0" w:color="auto"/>
        <w:bottom w:val="none" w:sz="0" w:space="0" w:color="auto"/>
        <w:right w:val="none" w:sz="0" w:space="0" w:color="auto"/>
      </w:divBdr>
    </w:div>
    <w:div w:id="723791324">
      <w:bodyDiv w:val="1"/>
      <w:marLeft w:val="0"/>
      <w:marRight w:val="0"/>
      <w:marTop w:val="0"/>
      <w:marBottom w:val="0"/>
      <w:divBdr>
        <w:top w:val="none" w:sz="0" w:space="0" w:color="auto"/>
        <w:left w:val="none" w:sz="0" w:space="0" w:color="auto"/>
        <w:bottom w:val="none" w:sz="0" w:space="0" w:color="auto"/>
        <w:right w:val="none" w:sz="0" w:space="0" w:color="auto"/>
      </w:divBdr>
    </w:div>
    <w:div w:id="1403018104">
      <w:bodyDiv w:val="1"/>
      <w:marLeft w:val="0"/>
      <w:marRight w:val="0"/>
      <w:marTop w:val="0"/>
      <w:marBottom w:val="0"/>
      <w:divBdr>
        <w:top w:val="none" w:sz="0" w:space="0" w:color="auto"/>
        <w:left w:val="none" w:sz="0" w:space="0" w:color="auto"/>
        <w:bottom w:val="none" w:sz="0" w:space="0" w:color="auto"/>
        <w:right w:val="none" w:sz="0" w:space="0" w:color="auto"/>
      </w:divBdr>
    </w:div>
    <w:div w:id="1602179285">
      <w:bodyDiv w:val="1"/>
      <w:marLeft w:val="0"/>
      <w:marRight w:val="0"/>
      <w:marTop w:val="0"/>
      <w:marBottom w:val="0"/>
      <w:divBdr>
        <w:top w:val="none" w:sz="0" w:space="0" w:color="auto"/>
        <w:left w:val="none" w:sz="0" w:space="0" w:color="auto"/>
        <w:bottom w:val="none" w:sz="0" w:space="0" w:color="auto"/>
        <w:right w:val="none" w:sz="0" w:space="0" w:color="auto"/>
      </w:divBdr>
    </w:div>
    <w:div w:id="1705054113">
      <w:bodyDiv w:val="1"/>
      <w:marLeft w:val="0"/>
      <w:marRight w:val="0"/>
      <w:marTop w:val="0"/>
      <w:marBottom w:val="0"/>
      <w:divBdr>
        <w:top w:val="none" w:sz="0" w:space="0" w:color="auto"/>
        <w:left w:val="none" w:sz="0" w:space="0" w:color="auto"/>
        <w:bottom w:val="none" w:sz="0" w:space="0" w:color="auto"/>
        <w:right w:val="none" w:sz="0" w:space="0" w:color="auto"/>
      </w:divBdr>
    </w:div>
    <w:div w:id="1915584414">
      <w:bodyDiv w:val="1"/>
      <w:marLeft w:val="0"/>
      <w:marRight w:val="0"/>
      <w:marTop w:val="0"/>
      <w:marBottom w:val="0"/>
      <w:divBdr>
        <w:top w:val="none" w:sz="0" w:space="0" w:color="auto"/>
        <w:left w:val="none" w:sz="0" w:space="0" w:color="auto"/>
        <w:bottom w:val="none" w:sz="0" w:space="0" w:color="auto"/>
        <w:right w:val="none" w:sz="0" w:space="0" w:color="auto"/>
      </w:divBdr>
    </w:div>
    <w:div w:id="209558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4077161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40771612"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40771612" TargetMode="External"/><Relationship Id="rId20" Type="http://schemas.openxmlformats.org/officeDocument/2006/relationships/hyperlink" Target="http://idbdocs.iadb.org/wsdocs/getDocument.aspx?DOCNUM=4073556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idbdocs.iadb.org/wsdocs/getDocument.aspx?DOCNUM=40735561"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
  <w:rsids>
    <w:rsidRoot w:val="0070548E"/>
    <w:rsid w:val="00705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40735552</IDBDocs_x0020_Number>
    <Document_x0020_Author xmlns="cdc7663a-08f0-4737-9e8c-148ce897a09c">Cocha, Agustina</Document_x0020_Author>
    <Operation_x0020_Type xmlns="cdc7663a-08f0-4737-9e8c-148ce897a09c">Loan Operation</Operation_x0020_Type>
    <TaxCatchAll xmlns="cdc7663a-08f0-4737-9e8c-148ce897a09c">
      <Value>44</Value>
      <Value>26</Value>
      <Value>2</Value>
      <Value>29</Value>
      <Value>43</Value>
    </TaxCatchAll>
    <Fiscal_x0020_Year_x0020_IDB xmlns="cdc7663a-08f0-4737-9e8c-148ce897a09c">2017</Fiscal_x0020_Year_x0020_IDB>
    <Project_x0020_Number xmlns="cdc7663a-08f0-4737-9e8c-148ce897a09c">BO-L1112</Project_x0020_Number>
    <Package_x0020_Code xmlns="cdc7663a-08f0-4737-9e8c-148ce897a09c" xsi:nil="true"/>
    <Migration_x0020_Info xmlns="cdc7663a-08f0-4737-9e8c-148ce897a09c">&lt;Data&gt;&lt;APPLICATION&gt;MS WORD&lt;/APPLICATION&gt;&lt;STAGE_CODE&gt;POD&lt;/STAGE_CODE&gt;&lt;USER_STAGE&gt;Proposal for Operation Development&lt;/USER_STAGE&gt;&lt;PD_OBJ_TYPE&gt;0&lt;/PD_OBJ_TYPE&gt;&lt;MAKERECORD&gt;N&lt;/MAKERECORD&gt;&lt;/Data&gt;</Migration_x0020_Info>
    <Approval_x0020_Number xmlns="cdc7663a-08f0-4737-9e8c-148ce897a09c" xsi:nil="true"/>
    <Business_x0020_Area xmlns="cdc7663a-08f0-4737-9e8c-148ce897a09c">Life Cycle</Business_x0020_Area>
    <SISCOR_x0020_Number xmlns="cdc7663a-08f0-4737-9e8c-148ce897a09c" xsi:nil="true"/>
    <Identifier xmlns="cdc7663a-08f0-4737-9e8c-148ce897a09c">Raul Rodriguez Molina #2224 </Identifier>
    <Document_x0020_Language_x0020_IDB xmlns="cdc7663a-08f0-4737-9e8c-148ce897a09c">Spanish</Document_x0020_Language_x0020_IDB>
    <Phase xmlns="cdc7663a-08f0-4737-9e8c-148ce897a09c">ACTIVE</Phas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 xmlns="cdc7663a-08f0-4737-9e8c-148ce897a09c">EZSHARE-1399068172-12</_dlc_DocId>
    <_dlc_DocIdUrl xmlns="cdc7663a-08f0-4737-9e8c-148ce897a09c">
      <Url>https://idbg.sharepoint.com/teams/EZ-BO-LON/BO-L1112/_layouts/15/DocIdRedir.aspx?ID=EZSHARE-1399068172-12</Url>
      <Description>EZSHARE-1399068172-12</Description>
    </_dlc_DocIdUrl>
    <Record_x0020_Number xmlns="cdc7663a-08f0-4737-9e8c-148ce897a09c">R0000053941</Record_x0020_Number>
    <Disclosure_x0020_Activity xmlns="cdc7663a-08f0-4737-9e8c-148ce897a09c">Proposal for Operation Development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C3EEEC6B1A7349BA7EAEAD22B64195" ma:contentTypeVersion="27" ma:contentTypeDescription="A content type to manage public (operations) IDB documents" ma:contentTypeScope="" ma:versionID="933a24ca23298115da64eb33d6bc24a3">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18DB2-45C9-4C22-81C2-FCF7B18BC2DD}">
  <ds:schemaRefs>
    <ds:schemaRef ds:uri="http://schemas.microsoft.com/sharepoint/v3/contenttype/forms"/>
  </ds:schemaRefs>
</ds:datastoreItem>
</file>

<file path=customXml/itemProps2.xml><?xml version="1.0" encoding="utf-8"?>
<ds:datastoreItem xmlns:ds="http://schemas.openxmlformats.org/officeDocument/2006/customXml" ds:itemID="{3269D94E-7A98-4E68-B85C-EBA8B4D57C5D}">
  <ds:schemaRefs>
    <ds:schemaRef ds:uri="http://schemas.microsoft.com/sharepoint/events"/>
  </ds:schemaRefs>
</ds:datastoreItem>
</file>

<file path=customXml/itemProps3.xml><?xml version="1.0" encoding="utf-8"?>
<ds:datastoreItem xmlns:ds="http://schemas.openxmlformats.org/officeDocument/2006/customXml" ds:itemID="{BC6D1FBB-6DE9-48EF-9136-82E5F561311E}">
  <ds:schemaRefs>
    <ds:schemaRef ds:uri="http://www.w3.org/XML/1998/namespace"/>
    <ds:schemaRef ds:uri="http://purl.org/dc/term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cdc7663a-08f0-4737-9e8c-148ce897a09c"/>
  </ds:schemaRefs>
</ds:datastoreItem>
</file>

<file path=customXml/itemProps4.xml><?xml version="1.0" encoding="utf-8"?>
<ds:datastoreItem xmlns:ds="http://schemas.openxmlformats.org/officeDocument/2006/customXml" ds:itemID="{73836B92-3088-4BFB-B7F3-99062E9633E9}"/>
</file>

<file path=customXml/itemProps5.xml><?xml version="1.0" encoding="utf-8"?>
<ds:datastoreItem xmlns:ds="http://schemas.openxmlformats.org/officeDocument/2006/customXml" ds:itemID="{DB922D2F-2243-43EF-AC1C-AA8FAE114460}"/>
</file>

<file path=customXml/itemProps6.xml><?xml version="1.0" encoding="utf-8"?>
<ds:datastoreItem xmlns:ds="http://schemas.openxmlformats.org/officeDocument/2006/customXml" ds:itemID="{DFFBB3AD-A2DF-47FF-930C-9E0BB1DDD751}"/>
</file>

<file path=customXml/itemProps7.xml><?xml version="1.0" encoding="utf-8"?>
<ds:datastoreItem xmlns:ds="http://schemas.openxmlformats.org/officeDocument/2006/customXml" ds:itemID="{8FF6FA92-E24B-4743-9C75-906A6E36B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9515</Words>
  <Characters>54238</Characters>
  <Application>Microsoft Office Word</Application>
  <DocSecurity>0</DocSecurity>
  <Lines>451</Lines>
  <Paragraphs>127</Paragraphs>
  <ScaleCrop>false</ScaleCrop>
  <Company>Inter-American Development Bank</Company>
  <LinksUpToDate>false</LinksUpToDate>
  <CharactersWithSpaces>63626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EER_5_ Plan de Monitoreo y Evaluación BO-L1112</dc:title>
  <dc:creator>Laureen Montes</dc:creator>
  <cp:keywords/>
  <cp:lastModifiedBy>Cocha, Agustina</cp:lastModifiedBy>
  <cp:revision>7</cp:revision>
  <dcterms:created xsi:type="dcterms:W3CDTF">2017-08-19T00:23:00Z</dcterms:created>
  <dcterms:modified xsi:type="dcterms:W3CDTF">2017-08-23T15:17:00Z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Proposal for Operation Development</vt:lpwstr>
  </property>
  <property fmtid="{D5CDD505-2E9C-101B-9397-08002B2CF9AE}" pid="4" name="Sub_x002d_Sector">
    <vt:lpwstr/>
  </property>
  <property fmtid="{D5CDD505-2E9C-101B-9397-08002B2CF9AE}" pid="6" name="TaxKeywordTaxHTField">
    <vt:lpwstr/>
  </property>
  <property fmtid="{D5CDD505-2E9C-101B-9397-08002B2CF9AE}" pid="7" name="Sub-Sector">
    <vt:lpwstr>44;#TRANSPORT NETWORKS CONNECTIVITY|8ac6e18a-47fc-496c-8842-4870f8aa7a8e</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
  </property>
  <property fmtid="{D5CDD505-2E9C-101B-9397-08002B2CF9AE}" pid="11" name="Sector IDB">
    <vt:lpwstr/>
  </property>
  <property fmtid="{D5CDD505-2E9C-101B-9397-08002B2CF9AE}" pid="12" name="Issue_x0020_Date">
    <vt:lpwstr/>
  </property>
  <property fmtid="{D5CDD505-2E9C-101B-9397-08002B2CF9AE}" pid="13" name="Publication_x0020_Type">
    <vt:lpwstr/>
  </property>
  <property fmtid="{D5CDD505-2E9C-101B-9397-08002B2CF9AE}" pid="14" name="Publishing_x0020_House">
    <vt:lpwstr/>
  </property>
  <property fmtid="{D5CDD505-2E9C-101B-9397-08002B2CF9AE}" pid="15" name="Abstract">
    <vt:lpwstr/>
  </property>
  <property fmtid="{D5CDD505-2E9C-101B-9397-08002B2CF9AE}" pid="16" name="Function_x0020_Operations_x0020_IDB">
    <vt:lpwstr/>
  </property>
  <property fmtid="{D5CDD505-2E9C-101B-9397-08002B2CF9AE}" pid="17" name="Region">
    <vt:lpwstr/>
  </property>
  <property fmtid="{D5CDD505-2E9C-101B-9397-08002B2CF9AE}" pid="18" name="Disclosure_x0020_Activity">
    <vt:lpwstr>Proposal for Operation Development</vt:lpwstr>
  </property>
  <property fmtid="{D5CDD505-2E9C-101B-9397-08002B2CF9AE}" pid="19" name="Fund_x0020_IDB">
    <vt:lpwstr/>
  </property>
  <property fmtid="{D5CDD505-2E9C-101B-9397-08002B2CF9AE}" pid="20" name="_dlc_DocIdItemGuid">
    <vt:lpwstr>8a15e767-c24b-4f19-a723-835047870b6a</vt:lpwstr>
  </property>
  <property fmtid="{D5CDD505-2E9C-101B-9397-08002B2CF9AE}" pid="21" name="Webtopic">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y fmtid="{D5CDD505-2E9C-101B-9397-08002B2CF9AE}" pid="29" name="Issue Date">
    <vt:lpwstr/>
  </property>
  <property fmtid="{D5CDD505-2E9C-101B-9397-08002B2CF9AE}" pid="30" name="Function Operations IDB">
    <vt:lpwstr>2;#Monitoring and Reporting|df3c2aa1-d63e-41aa-b1f5-bb15dee691ca</vt:lpwstr>
  </property>
  <property fmtid="{D5CDD505-2E9C-101B-9397-08002B2CF9AE}" pid="32" name="RecordPoint_ActiveItemMoved">
    <vt:lpwstr>/teams/EZ-BO-LON/BO-L1112/15 LifeCycle Milestones/Draft Area/EER_4_ Plan de Monitoreo y Evaluación BO-L1112.DOCX</vt:lpwstr>
  </property>
  <property fmtid="{D5CDD505-2E9C-101B-9397-08002B2CF9AE}" pid="33" name="RecordStorageActiveId">
    <vt:lpwstr>49dd56a7-3d51-4ee9-b3e0-e2193a535484</vt:lpwstr>
  </property>
  <property fmtid="{D5CDD505-2E9C-101B-9397-08002B2CF9AE}" pid="38" name="To_x003A_">
    <vt:lpwstr/>
  </property>
  <property fmtid="{D5CDD505-2E9C-101B-9397-08002B2CF9AE}" pid="39" name="From_x003A_">
    <vt:lpwstr/>
  </property>
  <property fmtid="{D5CDD505-2E9C-101B-9397-08002B2CF9AE}" pid="40" name="From:">
    <vt:lpwstr/>
  </property>
  <property fmtid="{D5CDD505-2E9C-101B-9397-08002B2CF9AE}" pid="41" name="To:">
    <vt:lpwstr/>
  </property>
  <property fmtid="{D5CDD505-2E9C-101B-9397-08002B2CF9AE}" pid="43" name="ContentTypeId">
    <vt:lpwstr>0x0101001A458A224826124E8B45B1D613300CFC00BEC3EEEC6B1A7349BA7EAEAD22B64195</vt:lpwstr>
  </property>
  <property fmtid="{D5CDD505-2E9C-101B-9397-08002B2CF9AE}" pid="44" name="Series Operations IDB">
    <vt:lpwstr/>
  </property>
</Properties>
</file>