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455C" w:rsidRDefault="003F455C" w:rsidP="003F455C">
      <w:pPr>
        <w:jc w:val="center"/>
        <w:rPr>
          <w:rFonts w:ascii="Arial" w:hAnsi="Arial" w:cs="Arial"/>
          <w:b/>
          <w:sz w:val="24"/>
          <w:szCs w:val="24"/>
          <w:lang w:val="es-ES"/>
        </w:rPr>
      </w:pPr>
      <w:bookmarkStart w:id="0" w:name="_GoBack"/>
      <w:bookmarkEnd w:id="0"/>
      <w:r>
        <w:rPr>
          <w:rFonts w:ascii="Arial" w:hAnsi="Arial" w:cs="Arial"/>
          <w:b/>
          <w:sz w:val="24"/>
          <w:szCs w:val="24"/>
          <w:lang w:val="es-ES"/>
        </w:rPr>
        <w:t xml:space="preserve">Abstracto de Cooperación Técnica </w:t>
      </w:r>
    </w:p>
    <w:p w:rsidR="003F455C" w:rsidRDefault="003F455C" w:rsidP="003F455C">
      <w:pPr>
        <w:pStyle w:val="ListParagraph"/>
        <w:spacing w:before="120" w:after="120" w:line="240" w:lineRule="auto"/>
        <w:rPr>
          <w:rFonts w:ascii="Arial" w:hAnsi="Arial" w:cs="Arial"/>
        </w:rPr>
      </w:pPr>
    </w:p>
    <w:p w:rsidR="003F455C" w:rsidRDefault="003F455C" w:rsidP="003F455C">
      <w:pPr>
        <w:pStyle w:val="ListParagraph"/>
        <w:numPr>
          <w:ilvl w:val="0"/>
          <w:numId w:val="3"/>
        </w:numPr>
        <w:spacing w:before="120" w:after="120" w:line="240" w:lineRule="auto"/>
        <w:rPr>
          <w:rFonts w:ascii="Arial" w:hAnsi="Arial" w:cs="Arial"/>
          <w:b/>
        </w:rPr>
      </w:pPr>
      <w:r>
        <w:rPr>
          <w:rFonts w:ascii="Arial" w:hAnsi="Arial" w:cs="Arial"/>
          <w:b/>
        </w:rPr>
        <w:t xml:space="preserve">Información Básica del proyecto </w:t>
      </w:r>
    </w:p>
    <w:p w:rsidR="003F455C" w:rsidRDefault="003F455C" w:rsidP="003F455C">
      <w:pPr>
        <w:pStyle w:val="ListParagraph"/>
        <w:spacing w:before="120" w:after="120" w:line="240" w:lineRule="auto"/>
        <w:ind w:left="360"/>
        <w:rPr>
          <w:rFonts w:ascii="Arial" w:hAnsi="Arial" w:cs="Arial"/>
          <w:b/>
        </w:rPr>
      </w:pPr>
    </w:p>
    <w:tbl>
      <w:tblPr>
        <w:tblStyle w:val="TableGrid"/>
        <w:tblW w:w="9107" w:type="dxa"/>
        <w:tblInd w:w="-95"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3960"/>
        <w:gridCol w:w="5147"/>
      </w:tblGrid>
      <w:tr w:rsidR="003F455C" w:rsidTr="00A04BC1">
        <w:tc>
          <w:tcPr>
            <w:tcW w:w="396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rsidR="003F455C" w:rsidRDefault="003F455C" w:rsidP="003F455C">
            <w:pPr>
              <w:pStyle w:val="ListParagraph"/>
              <w:numPr>
                <w:ilvl w:val="0"/>
                <w:numId w:val="1"/>
              </w:numPr>
              <w:spacing w:before="60" w:after="60" w:line="240" w:lineRule="auto"/>
              <w:ind w:left="180" w:hanging="180"/>
              <w:jc w:val="both"/>
              <w:rPr>
                <w:rFonts w:ascii="Arial" w:hAnsi="Arial" w:cs="Arial"/>
                <w:sz w:val="18"/>
                <w:szCs w:val="18"/>
              </w:rPr>
            </w:pPr>
            <w:r>
              <w:rPr>
                <w:rFonts w:ascii="Arial" w:hAnsi="Arial" w:cs="Arial"/>
                <w:sz w:val="18"/>
                <w:szCs w:val="18"/>
              </w:rPr>
              <w:t>País/Región:</w:t>
            </w:r>
          </w:p>
        </w:tc>
        <w:tc>
          <w:tcPr>
            <w:tcW w:w="5147"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rsidR="003F455C" w:rsidRDefault="003F455C" w:rsidP="00BA4F86">
            <w:pPr>
              <w:spacing w:before="60" w:after="60"/>
              <w:ind w:left="160"/>
              <w:rPr>
                <w:rFonts w:ascii="Arial" w:hAnsi="Arial" w:cs="Arial"/>
                <w:sz w:val="18"/>
                <w:szCs w:val="18"/>
                <w:lang w:val="es-ES"/>
              </w:rPr>
            </w:pPr>
            <w:r>
              <w:rPr>
                <w:rFonts w:ascii="Arial" w:hAnsi="Arial" w:cs="Arial"/>
                <w:sz w:val="18"/>
                <w:szCs w:val="18"/>
                <w:lang w:val="es-ES"/>
              </w:rPr>
              <w:t>Colombia/CAN</w:t>
            </w:r>
          </w:p>
        </w:tc>
      </w:tr>
      <w:tr w:rsidR="003F455C" w:rsidRPr="00A04BC1" w:rsidTr="00A04BC1">
        <w:tc>
          <w:tcPr>
            <w:tcW w:w="396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rsidR="003F455C" w:rsidRDefault="003F455C" w:rsidP="003F455C">
            <w:pPr>
              <w:pStyle w:val="ListParagraph"/>
              <w:numPr>
                <w:ilvl w:val="0"/>
                <w:numId w:val="1"/>
              </w:numPr>
              <w:spacing w:before="60" w:after="60" w:line="240" w:lineRule="auto"/>
              <w:ind w:left="180" w:hanging="180"/>
              <w:jc w:val="both"/>
              <w:rPr>
                <w:rFonts w:ascii="Arial" w:hAnsi="Arial" w:cs="Arial"/>
                <w:sz w:val="18"/>
                <w:szCs w:val="18"/>
              </w:rPr>
            </w:pPr>
            <w:r>
              <w:rPr>
                <w:rFonts w:ascii="Arial" w:hAnsi="Arial" w:cs="Arial"/>
                <w:sz w:val="18"/>
                <w:szCs w:val="18"/>
              </w:rPr>
              <w:t>Nombre de la CT:</w:t>
            </w:r>
          </w:p>
        </w:tc>
        <w:tc>
          <w:tcPr>
            <w:tcW w:w="5147"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rsidR="003F455C" w:rsidRPr="003F455C" w:rsidRDefault="003F455C" w:rsidP="00BA4F86">
            <w:pPr>
              <w:spacing w:before="60" w:after="60"/>
              <w:ind w:left="160"/>
              <w:rPr>
                <w:rFonts w:ascii="Arial" w:hAnsi="Arial" w:cs="Arial"/>
                <w:sz w:val="18"/>
                <w:szCs w:val="18"/>
                <w:lang w:val="es-ES"/>
              </w:rPr>
            </w:pPr>
            <w:r w:rsidRPr="00A04BC1">
              <w:rPr>
                <w:rFonts w:ascii="Arial" w:hAnsi="Arial" w:cs="Arial"/>
                <w:sz w:val="20"/>
                <w:szCs w:val="18"/>
                <w:lang w:val="es-ES"/>
              </w:rPr>
              <w:t>Fortalecimiento a la Gestión de la Seguridad Social en Colombia</w:t>
            </w:r>
          </w:p>
        </w:tc>
      </w:tr>
      <w:tr w:rsidR="003F455C" w:rsidTr="00A04BC1">
        <w:tc>
          <w:tcPr>
            <w:tcW w:w="396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rsidR="003F455C" w:rsidRDefault="003F455C" w:rsidP="003F455C">
            <w:pPr>
              <w:pStyle w:val="ListParagraph"/>
              <w:numPr>
                <w:ilvl w:val="0"/>
                <w:numId w:val="1"/>
              </w:numPr>
              <w:spacing w:before="60" w:after="60" w:line="240" w:lineRule="auto"/>
              <w:ind w:left="180" w:hanging="180"/>
              <w:jc w:val="both"/>
              <w:rPr>
                <w:rFonts w:ascii="Arial" w:hAnsi="Arial" w:cs="Arial"/>
                <w:sz w:val="18"/>
                <w:szCs w:val="18"/>
              </w:rPr>
            </w:pPr>
            <w:r>
              <w:rPr>
                <w:rFonts w:ascii="Arial" w:hAnsi="Arial" w:cs="Arial"/>
                <w:sz w:val="18"/>
                <w:szCs w:val="18"/>
              </w:rPr>
              <w:t>Número de CT:</w:t>
            </w:r>
          </w:p>
        </w:tc>
        <w:tc>
          <w:tcPr>
            <w:tcW w:w="5147"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rsidR="003F455C" w:rsidRDefault="003F455C" w:rsidP="00BA4F86">
            <w:pPr>
              <w:spacing w:before="60" w:after="60"/>
              <w:ind w:left="160"/>
              <w:rPr>
                <w:rFonts w:ascii="Arial" w:hAnsi="Arial" w:cs="Arial"/>
                <w:sz w:val="18"/>
                <w:szCs w:val="18"/>
                <w:lang w:val="es-ES"/>
              </w:rPr>
            </w:pPr>
            <w:r>
              <w:rPr>
                <w:rFonts w:ascii="Arial" w:hAnsi="Arial" w:cs="Arial"/>
                <w:sz w:val="18"/>
                <w:szCs w:val="18"/>
                <w:lang w:val="es-ES"/>
              </w:rPr>
              <w:t>CO-T1474</w:t>
            </w:r>
          </w:p>
        </w:tc>
      </w:tr>
      <w:tr w:rsidR="003F455C" w:rsidRPr="00A04BC1" w:rsidTr="00A04BC1">
        <w:tc>
          <w:tcPr>
            <w:tcW w:w="396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rsidR="003F455C" w:rsidRDefault="003F455C" w:rsidP="003F455C">
            <w:pPr>
              <w:pStyle w:val="ListParagraph"/>
              <w:numPr>
                <w:ilvl w:val="0"/>
                <w:numId w:val="1"/>
              </w:numPr>
              <w:spacing w:before="60" w:after="60" w:line="240" w:lineRule="auto"/>
              <w:ind w:left="180" w:hanging="180"/>
              <w:jc w:val="both"/>
              <w:rPr>
                <w:rFonts w:ascii="Arial" w:hAnsi="Arial" w:cs="Arial"/>
                <w:sz w:val="18"/>
                <w:szCs w:val="18"/>
              </w:rPr>
            </w:pPr>
            <w:r>
              <w:rPr>
                <w:rFonts w:ascii="Arial" w:hAnsi="Arial" w:cs="Arial"/>
                <w:sz w:val="18"/>
                <w:szCs w:val="18"/>
              </w:rPr>
              <w:t>Jefe de Equipo/Miembros:</w:t>
            </w:r>
          </w:p>
        </w:tc>
        <w:tc>
          <w:tcPr>
            <w:tcW w:w="5147"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hideMark/>
          </w:tcPr>
          <w:p w:rsidR="003F455C" w:rsidRDefault="003F455C" w:rsidP="00BA4F86">
            <w:pPr>
              <w:spacing w:before="60" w:after="60"/>
              <w:ind w:left="160"/>
              <w:rPr>
                <w:rFonts w:ascii="Arial" w:hAnsi="Arial" w:cs="Arial"/>
                <w:sz w:val="18"/>
                <w:szCs w:val="18"/>
                <w:lang w:val="es-ES"/>
              </w:rPr>
            </w:pPr>
            <w:r>
              <w:rPr>
                <w:rFonts w:ascii="Arial" w:hAnsi="Arial" w:cs="Arial"/>
                <w:sz w:val="18"/>
                <w:szCs w:val="18"/>
                <w:lang w:val="es-ES"/>
              </w:rPr>
              <w:t xml:space="preserve">Carolina Gonzalez-Velosa (SCL/LMK), jefe de equipo; Diego </w:t>
            </w:r>
            <w:proofErr w:type="spellStart"/>
            <w:r>
              <w:rPr>
                <w:rFonts w:ascii="Arial" w:hAnsi="Arial" w:cs="Arial"/>
                <w:sz w:val="18"/>
                <w:szCs w:val="18"/>
                <w:lang w:val="es-ES"/>
              </w:rPr>
              <w:t>Arisi</w:t>
            </w:r>
            <w:proofErr w:type="spellEnd"/>
            <w:r w:rsidR="00360424">
              <w:rPr>
                <w:rFonts w:ascii="Arial" w:hAnsi="Arial" w:cs="Arial"/>
                <w:sz w:val="18"/>
                <w:szCs w:val="18"/>
                <w:lang w:val="es-ES"/>
              </w:rPr>
              <w:t>, jefe de equipo alterno</w:t>
            </w:r>
            <w:r>
              <w:rPr>
                <w:rFonts w:ascii="Arial" w:hAnsi="Arial" w:cs="Arial"/>
                <w:sz w:val="18"/>
                <w:szCs w:val="18"/>
                <w:lang w:val="es-ES"/>
              </w:rPr>
              <w:t xml:space="preserve"> (ICS/CCO); Jaime Cardona</w:t>
            </w:r>
            <w:r w:rsidR="00360424">
              <w:rPr>
                <w:rFonts w:ascii="Arial" w:hAnsi="Arial" w:cs="Arial"/>
                <w:sz w:val="18"/>
                <w:szCs w:val="18"/>
                <w:lang w:val="es-ES"/>
              </w:rPr>
              <w:t>, jefe de equipo alterno</w:t>
            </w:r>
            <w:r>
              <w:rPr>
                <w:rFonts w:ascii="Arial" w:hAnsi="Arial" w:cs="Arial"/>
                <w:sz w:val="18"/>
                <w:szCs w:val="18"/>
                <w:lang w:val="es-ES"/>
              </w:rPr>
              <w:t xml:space="preserve"> (SCL/SPH); Waldo Tapia (SCL/LMK); Laura Casas (SCL/LMK); Gustavo Caballero (SCL/LMK); Valentina Chegwin (SCL/SPH); Ethel Muhlstein (SCL/LMK); y Tania Gaona (SCL/LMK).</w:t>
            </w:r>
          </w:p>
        </w:tc>
      </w:tr>
      <w:tr w:rsidR="003F455C" w:rsidTr="00A04BC1">
        <w:tc>
          <w:tcPr>
            <w:tcW w:w="396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rsidR="003F455C" w:rsidRDefault="003F455C" w:rsidP="003F455C">
            <w:pPr>
              <w:pStyle w:val="ListParagraph"/>
              <w:numPr>
                <w:ilvl w:val="0"/>
                <w:numId w:val="1"/>
              </w:numPr>
              <w:spacing w:before="60" w:after="60" w:line="240" w:lineRule="auto"/>
              <w:ind w:left="180" w:hanging="180"/>
              <w:jc w:val="both"/>
              <w:rPr>
                <w:rFonts w:ascii="Arial" w:hAnsi="Arial" w:cs="Arial"/>
                <w:sz w:val="18"/>
                <w:szCs w:val="18"/>
              </w:rPr>
            </w:pPr>
            <w:r>
              <w:rPr>
                <w:rFonts w:ascii="Arial" w:hAnsi="Arial" w:cs="Arial"/>
                <w:sz w:val="18"/>
                <w:szCs w:val="18"/>
              </w:rPr>
              <w:t xml:space="preserve">Indicar si es: Apoyo Operativo, Apoyo al Cliente, o Investigación y Difusión </w:t>
            </w:r>
          </w:p>
        </w:tc>
        <w:tc>
          <w:tcPr>
            <w:tcW w:w="5147"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rsidR="003F455C" w:rsidRDefault="003F455C" w:rsidP="00BA4F86">
            <w:pPr>
              <w:spacing w:before="60" w:after="60"/>
              <w:ind w:left="160"/>
              <w:rPr>
                <w:rFonts w:ascii="Arial" w:hAnsi="Arial" w:cs="Arial"/>
                <w:sz w:val="18"/>
                <w:szCs w:val="18"/>
                <w:lang w:val="es-ES"/>
              </w:rPr>
            </w:pPr>
            <w:r>
              <w:rPr>
                <w:rFonts w:ascii="Arial" w:hAnsi="Arial" w:cs="Arial"/>
                <w:sz w:val="18"/>
                <w:szCs w:val="18"/>
                <w:lang w:val="es-ES"/>
              </w:rPr>
              <w:t>Apoyo al Cliente</w:t>
            </w:r>
            <w:r w:rsidR="00A04BC1">
              <w:rPr>
                <w:rFonts w:ascii="Arial" w:hAnsi="Arial" w:cs="Arial"/>
                <w:sz w:val="18"/>
                <w:szCs w:val="18"/>
                <w:lang w:val="es-ES"/>
              </w:rPr>
              <w:t xml:space="preserve"> (CS)</w:t>
            </w:r>
          </w:p>
        </w:tc>
      </w:tr>
      <w:tr w:rsidR="003F455C" w:rsidTr="00A04BC1">
        <w:tc>
          <w:tcPr>
            <w:tcW w:w="396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rsidR="003F455C" w:rsidRDefault="003F455C" w:rsidP="003F455C">
            <w:pPr>
              <w:pStyle w:val="ListParagraph"/>
              <w:numPr>
                <w:ilvl w:val="0"/>
                <w:numId w:val="1"/>
              </w:numPr>
              <w:spacing w:before="60" w:after="60" w:line="240" w:lineRule="auto"/>
              <w:ind w:left="180" w:hanging="180"/>
              <w:jc w:val="both"/>
              <w:rPr>
                <w:rFonts w:ascii="Arial" w:hAnsi="Arial" w:cs="Arial"/>
                <w:sz w:val="18"/>
                <w:szCs w:val="18"/>
              </w:rPr>
            </w:pPr>
            <w:r>
              <w:rPr>
                <w:rFonts w:ascii="Arial" w:hAnsi="Arial" w:cs="Arial"/>
                <w:sz w:val="18"/>
                <w:szCs w:val="18"/>
              </w:rPr>
              <w:t>Si es Apoyo Operativo, proveer número y nombre de la operación que apoyará la CT:</w:t>
            </w:r>
          </w:p>
        </w:tc>
        <w:tc>
          <w:tcPr>
            <w:tcW w:w="5147"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rsidR="003F455C" w:rsidRDefault="003F455C" w:rsidP="00BA4F86">
            <w:pPr>
              <w:spacing w:before="60" w:after="60"/>
              <w:ind w:left="160"/>
              <w:rPr>
                <w:rFonts w:ascii="Arial" w:hAnsi="Arial" w:cs="Arial"/>
                <w:sz w:val="18"/>
                <w:szCs w:val="18"/>
                <w:lang w:val="es-ES"/>
              </w:rPr>
            </w:pPr>
            <w:r>
              <w:rPr>
                <w:rFonts w:ascii="Arial" w:hAnsi="Arial" w:cs="Arial"/>
                <w:sz w:val="18"/>
                <w:szCs w:val="18"/>
                <w:lang w:val="es-ES"/>
              </w:rPr>
              <w:t>N/A</w:t>
            </w:r>
          </w:p>
        </w:tc>
      </w:tr>
      <w:tr w:rsidR="003F455C" w:rsidTr="00A04BC1">
        <w:tc>
          <w:tcPr>
            <w:tcW w:w="396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rsidR="003F455C" w:rsidRDefault="003F455C" w:rsidP="003F455C">
            <w:pPr>
              <w:pStyle w:val="ListParagraph"/>
              <w:numPr>
                <w:ilvl w:val="0"/>
                <w:numId w:val="1"/>
              </w:numPr>
              <w:spacing w:before="60" w:after="60" w:line="240" w:lineRule="auto"/>
              <w:ind w:left="180" w:hanging="180"/>
              <w:jc w:val="both"/>
              <w:rPr>
                <w:rFonts w:ascii="Arial" w:hAnsi="Arial" w:cs="Arial"/>
                <w:sz w:val="18"/>
                <w:szCs w:val="18"/>
              </w:rPr>
            </w:pPr>
            <w:r>
              <w:rPr>
                <w:rFonts w:ascii="Arial" w:hAnsi="Arial" w:cs="Arial"/>
                <w:sz w:val="18"/>
                <w:szCs w:val="18"/>
              </w:rPr>
              <w:t>Fecha del Abstracto de CT:</w:t>
            </w:r>
          </w:p>
        </w:tc>
        <w:tc>
          <w:tcPr>
            <w:tcW w:w="5147"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rsidR="003F455C" w:rsidRDefault="003F455C" w:rsidP="00BA4F86">
            <w:pPr>
              <w:spacing w:before="60" w:after="60"/>
              <w:ind w:left="160"/>
              <w:rPr>
                <w:rFonts w:ascii="Arial" w:hAnsi="Arial" w:cs="Arial"/>
                <w:sz w:val="18"/>
                <w:szCs w:val="18"/>
                <w:lang w:val="es-ES"/>
              </w:rPr>
            </w:pPr>
            <w:r>
              <w:rPr>
                <w:rFonts w:ascii="Arial" w:hAnsi="Arial" w:cs="Arial"/>
                <w:sz w:val="18"/>
                <w:szCs w:val="18"/>
                <w:lang w:val="es-ES"/>
              </w:rPr>
              <w:t>21 Mar 2018</w:t>
            </w:r>
          </w:p>
        </w:tc>
      </w:tr>
      <w:tr w:rsidR="003F455C" w:rsidRPr="00A04BC1" w:rsidTr="00A04BC1">
        <w:tc>
          <w:tcPr>
            <w:tcW w:w="396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rsidR="003F455C" w:rsidRDefault="003F455C" w:rsidP="003F455C">
            <w:pPr>
              <w:pStyle w:val="ListParagraph"/>
              <w:numPr>
                <w:ilvl w:val="0"/>
                <w:numId w:val="1"/>
              </w:numPr>
              <w:spacing w:before="60" w:after="60" w:line="240" w:lineRule="auto"/>
              <w:ind w:left="180" w:hanging="180"/>
              <w:jc w:val="both"/>
              <w:rPr>
                <w:rFonts w:ascii="Arial" w:hAnsi="Arial" w:cs="Arial"/>
                <w:sz w:val="18"/>
                <w:szCs w:val="18"/>
              </w:rPr>
            </w:pPr>
            <w:r>
              <w:rPr>
                <w:rFonts w:ascii="Arial" w:hAnsi="Arial" w:cs="Arial"/>
                <w:sz w:val="18"/>
                <w:szCs w:val="18"/>
              </w:rPr>
              <w:t>Beneficiario (países o entidades que recibirán la asistencia técnica):</w:t>
            </w:r>
          </w:p>
        </w:tc>
        <w:tc>
          <w:tcPr>
            <w:tcW w:w="5147"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rsidR="003F455C" w:rsidRDefault="003F455C" w:rsidP="00BA4F86">
            <w:pPr>
              <w:spacing w:before="60" w:after="60"/>
              <w:ind w:left="160"/>
              <w:rPr>
                <w:rFonts w:ascii="Arial" w:hAnsi="Arial" w:cs="Arial"/>
                <w:sz w:val="18"/>
                <w:szCs w:val="18"/>
                <w:lang w:val="es-ES"/>
              </w:rPr>
            </w:pPr>
            <w:r w:rsidRPr="00693434">
              <w:rPr>
                <w:rFonts w:ascii="Arial" w:hAnsi="Arial" w:cs="Arial"/>
                <w:sz w:val="18"/>
                <w:szCs w:val="18"/>
                <w:lang w:val="es-ES_tradnl"/>
              </w:rPr>
              <w:t xml:space="preserve">Unidad de </w:t>
            </w:r>
            <w:r w:rsidR="00323164">
              <w:rPr>
                <w:rFonts w:ascii="Arial" w:hAnsi="Arial" w:cs="Arial"/>
                <w:sz w:val="18"/>
                <w:szCs w:val="18"/>
                <w:lang w:val="es-ES_tradnl"/>
              </w:rPr>
              <w:t xml:space="preserve">Gestión </w:t>
            </w:r>
            <w:r w:rsidRPr="00693434">
              <w:rPr>
                <w:rFonts w:ascii="Arial" w:hAnsi="Arial" w:cs="Arial"/>
                <w:sz w:val="18"/>
                <w:szCs w:val="18"/>
                <w:lang w:val="es-ES_tradnl"/>
              </w:rPr>
              <w:t>Pension</w:t>
            </w:r>
            <w:r w:rsidR="00323164">
              <w:rPr>
                <w:rFonts w:ascii="Arial" w:hAnsi="Arial" w:cs="Arial"/>
                <w:sz w:val="18"/>
                <w:szCs w:val="18"/>
                <w:lang w:val="es-ES_tradnl"/>
              </w:rPr>
              <w:t xml:space="preserve">al </w:t>
            </w:r>
            <w:r w:rsidRPr="00693434">
              <w:rPr>
                <w:rFonts w:ascii="Arial" w:hAnsi="Arial" w:cs="Arial"/>
                <w:sz w:val="18"/>
                <w:szCs w:val="18"/>
                <w:lang w:val="es-ES_tradnl"/>
              </w:rPr>
              <w:t>y Parafiscales/Ministerio de Hacienda y Crédito Público</w:t>
            </w:r>
          </w:p>
        </w:tc>
      </w:tr>
      <w:tr w:rsidR="003F455C" w:rsidRPr="00A04BC1" w:rsidTr="00A04BC1">
        <w:tc>
          <w:tcPr>
            <w:tcW w:w="396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rsidR="003F455C" w:rsidRDefault="003F455C" w:rsidP="003F455C">
            <w:pPr>
              <w:pStyle w:val="ListParagraph"/>
              <w:numPr>
                <w:ilvl w:val="0"/>
                <w:numId w:val="1"/>
              </w:numPr>
              <w:spacing w:before="60" w:after="60" w:line="240" w:lineRule="auto"/>
              <w:ind w:left="180" w:hanging="180"/>
              <w:jc w:val="both"/>
              <w:rPr>
                <w:rFonts w:ascii="Arial" w:hAnsi="Arial" w:cs="Arial"/>
                <w:sz w:val="18"/>
                <w:szCs w:val="18"/>
              </w:rPr>
            </w:pPr>
            <w:r>
              <w:rPr>
                <w:rFonts w:ascii="Arial" w:hAnsi="Arial" w:cs="Arial"/>
                <w:sz w:val="18"/>
                <w:szCs w:val="18"/>
              </w:rPr>
              <w:t xml:space="preserve">Agencia Ejecutora y nombre de contacto (organización o entidad responsable de la ejecución del programa de CT) </w:t>
            </w:r>
          </w:p>
        </w:tc>
        <w:tc>
          <w:tcPr>
            <w:tcW w:w="5147"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hideMark/>
          </w:tcPr>
          <w:p w:rsidR="003F455C" w:rsidRDefault="003F455C" w:rsidP="00BA4F86">
            <w:pPr>
              <w:spacing w:before="60" w:after="60"/>
              <w:ind w:left="160"/>
              <w:rPr>
                <w:rFonts w:ascii="Arial" w:hAnsi="Arial" w:cs="Arial"/>
                <w:sz w:val="18"/>
                <w:szCs w:val="18"/>
                <w:lang w:val="es-ES"/>
              </w:rPr>
            </w:pPr>
            <w:r>
              <w:rPr>
                <w:rFonts w:ascii="Arial" w:hAnsi="Arial" w:cs="Arial"/>
                <w:sz w:val="18"/>
                <w:szCs w:val="18"/>
                <w:lang w:val="es-ES"/>
              </w:rPr>
              <w:t xml:space="preserve">Banco Interamericano de Desarrollo (BID), Sector Social (SCL), División de Mercados Laborales y Seguridad Social (SCL/LMK) </w:t>
            </w:r>
          </w:p>
        </w:tc>
      </w:tr>
      <w:tr w:rsidR="003F455C" w:rsidRPr="00A04BC1" w:rsidTr="00A04BC1">
        <w:tc>
          <w:tcPr>
            <w:tcW w:w="396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rsidR="003F455C" w:rsidRDefault="003F455C" w:rsidP="003F455C">
            <w:pPr>
              <w:pStyle w:val="ListParagraph"/>
              <w:numPr>
                <w:ilvl w:val="0"/>
                <w:numId w:val="1"/>
              </w:numPr>
              <w:spacing w:before="60" w:after="60" w:line="240" w:lineRule="auto"/>
              <w:ind w:left="180" w:hanging="180"/>
              <w:jc w:val="both"/>
              <w:rPr>
                <w:rFonts w:ascii="Arial" w:hAnsi="Arial" w:cs="Arial"/>
                <w:sz w:val="18"/>
                <w:szCs w:val="18"/>
              </w:rPr>
            </w:pPr>
            <w:r>
              <w:rPr>
                <w:rFonts w:ascii="Arial" w:hAnsi="Arial" w:cs="Arial"/>
                <w:sz w:val="18"/>
                <w:szCs w:val="18"/>
              </w:rPr>
              <w:t>Financiamiento Solicitado del BID:</w:t>
            </w:r>
          </w:p>
        </w:tc>
        <w:tc>
          <w:tcPr>
            <w:tcW w:w="5147"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rsidR="003F455C" w:rsidRDefault="00106A89" w:rsidP="00BA4F86">
            <w:pPr>
              <w:spacing w:before="60" w:after="60"/>
              <w:ind w:left="160"/>
              <w:rPr>
                <w:rFonts w:ascii="Arial" w:hAnsi="Arial" w:cs="Arial"/>
                <w:sz w:val="18"/>
                <w:szCs w:val="18"/>
                <w:lang w:val="es-ES"/>
              </w:rPr>
            </w:pPr>
            <w:r>
              <w:rPr>
                <w:rFonts w:ascii="Arial" w:hAnsi="Arial" w:cs="Arial"/>
                <w:sz w:val="18"/>
                <w:szCs w:val="18"/>
                <w:lang w:val="es-ES"/>
              </w:rPr>
              <w:t>US</w:t>
            </w:r>
            <w:r w:rsidR="003F455C">
              <w:rPr>
                <w:rFonts w:ascii="Arial" w:hAnsi="Arial" w:cs="Arial"/>
                <w:sz w:val="18"/>
                <w:szCs w:val="18"/>
                <w:lang w:val="es-ES"/>
              </w:rPr>
              <w:t xml:space="preserve">$200,000 </w:t>
            </w:r>
            <w:r w:rsidR="0064286E">
              <w:rPr>
                <w:rFonts w:ascii="Arial" w:hAnsi="Arial" w:cs="Arial"/>
                <w:sz w:val="18"/>
                <w:szCs w:val="18"/>
                <w:lang w:val="es-ES"/>
              </w:rPr>
              <w:t>Programa para el Desarrollo de Instituciones (</w:t>
            </w:r>
            <w:r w:rsidR="00E254DC">
              <w:rPr>
                <w:rFonts w:ascii="Arial" w:hAnsi="Arial" w:cs="Arial"/>
                <w:sz w:val="18"/>
                <w:szCs w:val="18"/>
                <w:lang w:val="es-ES"/>
              </w:rPr>
              <w:t>IN</w:t>
            </w:r>
            <w:r w:rsidR="0064286E">
              <w:rPr>
                <w:rFonts w:ascii="Arial" w:hAnsi="Arial" w:cs="Arial"/>
                <w:sz w:val="18"/>
                <w:szCs w:val="18"/>
                <w:lang w:val="es-ES"/>
              </w:rPr>
              <w:t>S)</w:t>
            </w:r>
          </w:p>
        </w:tc>
      </w:tr>
      <w:tr w:rsidR="003F455C" w:rsidTr="00A04BC1">
        <w:tc>
          <w:tcPr>
            <w:tcW w:w="396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rsidR="003F455C" w:rsidRDefault="003F455C" w:rsidP="003F455C">
            <w:pPr>
              <w:pStyle w:val="ListParagraph"/>
              <w:numPr>
                <w:ilvl w:val="0"/>
                <w:numId w:val="1"/>
              </w:numPr>
              <w:spacing w:before="60" w:after="60" w:line="240" w:lineRule="auto"/>
              <w:ind w:left="180" w:hanging="180"/>
              <w:jc w:val="both"/>
              <w:rPr>
                <w:rFonts w:ascii="Arial" w:hAnsi="Arial" w:cs="Arial"/>
                <w:sz w:val="18"/>
                <w:szCs w:val="18"/>
              </w:rPr>
            </w:pPr>
            <w:r>
              <w:rPr>
                <w:rFonts w:ascii="Arial" w:hAnsi="Arial" w:cs="Arial"/>
                <w:sz w:val="18"/>
                <w:szCs w:val="18"/>
              </w:rPr>
              <w:t>Contrapartida Local, si hay:</w:t>
            </w:r>
          </w:p>
        </w:tc>
        <w:tc>
          <w:tcPr>
            <w:tcW w:w="5147"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rsidR="003F455C" w:rsidRDefault="0064286E" w:rsidP="00BA4F86">
            <w:pPr>
              <w:spacing w:before="60" w:after="60"/>
              <w:ind w:left="160"/>
              <w:rPr>
                <w:rFonts w:ascii="Arial" w:hAnsi="Arial" w:cs="Arial"/>
                <w:sz w:val="18"/>
                <w:szCs w:val="18"/>
                <w:lang w:val="es-ES"/>
              </w:rPr>
            </w:pPr>
            <w:r>
              <w:rPr>
                <w:rFonts w:ascii="Arial" w:hAnsi="Arial" w:cs="Arial"/>
                <w:sz w:val="18"/>
                <w:szCs w:val="18"/>
                <w:lang w:val="es-ES"/>
              </w:rPr>
              <w:t>0</w:t>
            </w:r>
          </w:p>
        </w:tc>
      </w:tr>
      <w:tr w:rsidR="003F455C" w:rsidTr="00A04BC1">
        <w:tc>
          <w:tcPr>
            <w:tcW w:w="396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rsidR="003F455C" w:rsidRDefault="003F455C" w:rsidP="003F455C">
            <w:pPr>
              <w:pStyle w:val="ListParagraph"/>
              <w:numPr>
                <w:ilvl w:val="0"/>
                <w:numId w:val="1"/>
              </w:numPr>
              <w:spacing w:before="60" w:after="60" w:line="240" w:lineRule="auto"/>
              <w:ind w:left="180" w:hanging="180"/>
              <w:jc w:val="both"/>
              <w:rPr>
                <w:rFonts w:ascii="Arial" w:hAnsi="Arial" w:cs="Arial"/>
                <w:sz w:val="18"/>
                <w:szCs w:val="18"/>
              </w:rPr>
            </w:pPr>
            <w:r>
              <w:rPr>
                <w:rFonts w:ascii="Arial" w:hAnsi="Arial" w:cs="Arial"/>
                <w:sz w:val="18"/>
                <w:szCs w:val="18"/>
              </w:rPr>
              <w:t>Periodo de Ejecución y Desembolso:</w:t>
            </w:r>
          </w:p>
        </w:tc>
        <w:tc>
          <w:tcPr>
            <w:tcW w:w="5147"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rsidR="003F455C" w:rsidRDefault="003F455C" w:rsidP="00BA4F86">
            <w:pPr>
              <w:spacing w:before="60" w:after="60"/>
              <w:ind w:left="160"/>
              <w:rPr>
                <w:rFonts w:ascii="Arial" w:hAnsi="Arial" w:cs="Arial"/>
                <w:sz w:val="18"/>
                <w:szCs w:val="18"/>
                <w:lang w:val="es-ES"/>
              </w:rPr>
            </w:pPr>
            <w:r>
              <w:rPr>
                <w:rFonts w:ascii="Arial" w:hAnsi="Arial" w:cs="Arial"/>
                <w:sz w:val="18"/>
                <w:szCs w:val="18"/>
                <w:lang w:val="es-ES"/>
              </w:rPr>
              <w:t>36 meses</w:t>
            </w:r>
          </w:p>
        </w:tc>
      </w:tr>
      <w:tr w:rsidR="003F455C" w:rsidTr="00A04BC1">
        <w:tc>
          <w:tcPr>
            <w:tcW w:w="396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rsidR="003F455C" w:rsidRDefault="003F455C" w:rsidP="003F455C">
            <w:pPr>
              <w:pStyle w:val="ListParagraph"/>
              <w:numPr>
                <w:ilvl w:val="0"/>
                <w:numId w:val="1"/>
              </w:numPr>
              <w:spacing w:before="60" w:after="60" w:line="240" w:lineRule="auto"/>
              <w:ind w:left="180" w:hanging="180"/>
              <w:jc w:val="both"/>
              <w:rPr>
                <w:rFonts w:ascii="Arial" w:hAnsi="Arial" w:cs="Arial"/>
                <w:sz w:val="18"/>
                <w:szCs w:val="18"/>
              </w:rPr>
            </w:pPr>
            <w:r>
              <w:rPr>
                <w:rFonts w:ascii="Arial" w:hAnsi="Arial" w:cs="Arial"/>
                <w:sz w:val="18"/>
                <w:szCs w:val="18"/>
              </w:rPr>
              <w:t>Fecha de Inicio Requerido:</w:t>
            </w:r>
          </w:p>
        </w:tc>
        <w:tc>
          <w:tcPr>
            <w:tcW w:w="5147"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rsidR="003F455C" w:rsidRDefault="003F32F6" w:rsidP="00BA4F86">
            <w:pPr>
              <w:spacing w:before="60" w:after="60"/>
              <w:ind w:left="160"/>
              <w:rPr>
                <w:rFonts w:ascii="Arial" w:hAnsi="Arial" w:cs="Arial"/>
                <w:sz w:val="18"/>
                <w:szCs w:val="18"/>
                <w:lang w:val="es-ES"/>
              </w:rPr>
            </w:pPr>
            <w:r w:rsidRPr="00A04BC1">
              <w:rPr>
                <w:rFonts w:ascii="Arial" w:hAnsi="Arial" w:cs="Arial"/>
                <w:sz w:val="18"/>
                <w:szCs w:val="18"/>
                <w:lang w:val="es-ES"/>
              </w:rPr>
              <w:t xml:space="preserve">Junio </w:t>
            </w:r>
            <w:r w:rsidR="003F455C" w:rsidRPr="00EE7AB3">
              <w:rPr>
                <w:rFonts w:ascii="Arial" w:hAnsi="Arial" w:cs="Arial"/>
                <w:sz w:val="18"/>
                <w:szCs w:val="18"/>
                <w:lang w:val="es-ES"/>
              </w:rPr>
              <w:t>de 2018</w:t>
            </w:r>
          </w:p>
        </w:tc>
      </w:tr>
      <w:tr w:rsidR="003F455C" w:rsidTr="00A04BC1">
        <w:tc>
          <w:tcPr>
            <w:tcW w:w="396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rsidR="003F455C" w:rsidRDefault="003F455C" w:rsidP="003F455C">
            <w:pPr>
              <w:pStyle w:val="ListParagraph"/>
              <w:numPr>
                <w:ilvl w:val="0"/>
                <w:numId w:val="1"/>
              </w:numPr>
              <w:spacing w:before="60" w:after="60" w:line="240" w:lineRule="auto"/>
              <w:ind w:left="180" w:hanging="180"/>
              <w:jc w:val="both"/>
              <w:rPr>
                <w:rFonts w:ascii="Arial" w:hAnsi="Arial" w:cs="Arial"/>
                <w:sz w:val="18"/>
                <w:szCs w:val="18"/>
              </w:rPr>
            </w:pPr>
            <w:r>
              <w:rPr>
                <w:rFonts w:ascii="Arial" w:hAnsi="Arial" w:cs="Arial"/>
                <w:sz w:val="18"/>
                <w:szCs w:val="18"/>
              </w:rPr>
              <w:t>Tipos de consultores (firmas o consultores individuales):</w:t>
            </w:r>
          </w:p>
        </w:tc>
        <w:tc>
          <w:tcPr>
            <w:tcW w:w="5147"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rsidR="003F455C" w:rsidRDefault="003F455C" w:rsidP="00BA4F86">
            <w:pPr>
              <w:spacing w:before="60" w:after="60"/>
              <w:ind w:left="160"/>
              <w:rPr>
                <w:rFonts w:ascii="Arial" w:hAnsi="Arial" w:cs="Arial"/>
                <w:sz w:val="18"/>
                <w:szCs w:val="18"/>
                <w:lang w:val="es-ES"/>
              </w:rPr>
            </w:pPr>
            <w:r>
              <w:rPr>
                <w:rFonts w:ascii="Arial" w:hAnsi="Arial" w:cs="Arial"/>
                <w:sz w:val="18"/>
                <w:szCs w:val="18"/>
                <w:lang w:val="es-ES"/>
              </w:rPr>
              <w:t>Firmas y consultores individuales</w:t>
            </w:r>
          </w:p>
        </w:tc>
      </w:tr>
      <w:tr w:rsidR="003F455C" w:rsidRPr="00A04BC1" w:rsidTr="00A04BC1">
        <w:tc>
          <w:tcPr>
            <w:tcW w:w="396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rsidR="003F455C" w:rsidRDefault="003F455C" w:rsidP="003F455C">
            <w:pPr>
              <w:pStyle w:val="ListParagraph"/>
              <w:numPr>
                <w:ilvl w:val="0"/>
                <w:numId w:val="1"/>
              </w:numPr>
              <w:spacing w:before="60" w:after="60" w:line="240" w:lineRule="auto"/>
              <w:ind w:left="180" w:hanging="180"/>
              <w:jc w:val="both"/>
              <w:rPr>
                <w:rFonts w:ascii="Arial" w:hAnsi="Arial" w:cs="Arial"/>
                <w:sz w:val="18"/>
                <w:szCs w:val="18"/>
              </w:rPr>
            </w:pPr>
            <w:r>
              <w:rPr>
                <w:rFonts w:ascii="Arial" w:hAnsi="Arial" w:cs="Arial"/>
                <w:sz w:val="18"/>
                <w:szCs w:val="18"/>
              </w:rPr>
              <w:t>Unidad de Preparación:</w:t>
            </w:r>
          </w:p>
        </w:tc>
        <w:tc>
          <w:tcPr>
            <w:tcW w:w="5147"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rsidR="003F455C" w:rsidRDefault="003F455C" w:rsidP="00BA4F86">
            <w:pPr>
              <w:spacing w:before="60" w:after="60"/>
              <w:ind w:left="160"/>
              <w:rPr>
                <w:rFonts w:ascii="Arial" w:hAnsi="Arial" w:cs="Arial"/>
                <w:sz w:val="18"/>
                <w:szCs w:val="18"/>
                <w:lang w:val="es-ES"/>
              </w:rPr>
            </w:pPr>
            <w:r>
              <w:rPr>
                <w:rFonts w:ascii="Arial" w:hAnsi="Arial" w:cs="Arial"/>
                <w:sz w:val="18"/>
                <w:szCs w:val="18"/>
                <w:lang w:val="es-ES"/>
              </w:rPr>
              <w:t>División de Mercados Laborales (SCL/LMK) y División de Innovación para el Servicio Ciudadano (IFD/ICS)</w:t>
            </w:r>
          </w:p>
        </w:tc>
      </w:tr>
      <w:tr w:rsidR="003F455C" w:rsidRPr="00A04BC1" w:rsidTr="00A04BC1">
        <w:tc>
          <w:tcPr>
            <w:tcW w:w="396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rsidR="003F455C" w:rsidRPr="00BA4F86" w:rsidRDefault="003F455C" w:rsidP="003F455C">
            <w:pPr>
              <w:pStyle w:val="ListParagraph"/>
              <w:numPr>
                <w:ilvl w:val="0"/>
                <w:numId w:val="1"/>
              </w:numPr>
              <w:spacing w:before="60" w:after="60" w:line="240" w:lineRule="auto"/>
              <w:ind w:left="180" w:hanging="180"/>
              <w:jc w:val="both"/>
              <w:rPr>
                <w:rFonts w:ascii="Arial" w:hAnsi="Arial" w:cs="Arial"/>
                <w:sz w:val="18"/>
                <w:szCs w:val="18"/>
              </w:rPr>
            </w:pPr>
            <w:r w:rsidRPr="00BA4F86">
              <w:rPr>
                <w:rFonts w:ascii="Arial" w:hAnsi="Arial" w:cs="Arial"/>
                <w:sz w:val="18"/>
                <w:szCs w:val="18"/>
              </w:rPr>
              <w:t>Unidad Responsable de Desembolso (UDR):</w:t>
            </w:r>
          </w:p>
        </w:tc>
        <w:tc>
          <w:tcPr>
            <w:tcW w:w="5147"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rsidR="003F455C" w:rsidRPr="00BA4F86" w:rsidRDefault="008D34BB" w:rsidP="00BA4F86">
            <w:pPr>
              <w:spacing w:before="60" w:after="60"/>
              <w:ind w:left="160"/>
              <w:rPr>
                <w:rFonts w:ascii="Arial" w:hAnsi="Arial" w:cs="Arial"/>
                <w:sz w:val="18"/>
                <w:szCs w:val="18"/>
                <w:lang w:val="es-ES"/>
              </w:rPr>
            </w:pPr>
            <w:r w:rsidRPr="00BA4F86">
              <w:rPr>
                <w:rFonts w:ascii="Arial" w:hAnsi="Arial" w:cs="Arial"/>
                <w:sz w:val="18"/>
                <w:szCs w:val="18"/>
                <w:lang w:val="es-ES_tradnl"/>
              </w:rPr>
              <w:t>División de Mercados Laborales (SCL/LMK)</w:t>
            </w:r>
          </w:p>
        </w:tc>
      </w:tr>
      <w:tr w:rsidR="003F455C" w:rsidRPr="00357320" w:rsidTr="00A04BC1">
        <w:tc>
          <w:tcPr>
            <w:tcW w:w="396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rsidR="003F455C" w:rsidRDefault="003F455C" w:rsidP="003F455C">
            <w:pPr>
              <w:pStyle w:val="ListParagraph"/>
              <w:numPr>
                <w:ilvl w:val="0"/>
                <w:numId w:val="1"/>
              </w:numPr>
              <w:spacing w:before="60" w:after="60" w:line="240" w:lineRule="auto"/>
              <w:ind w:left="180" w:hanging="180"/>
              <w:jc w:val="both"/>
              <w:rPr>
                <w:rFonts w:ascii="Arial" w:hAnsi="Arial" w:cs="Arial"/>
                <w:sz w:val="18"/>
                <w:szCs w:val="18"/>
              </w:rPr>
            </w:pPr>
            <w:r>
              <w:rPr>
                <w:rFonts w:ascii="Arial" w:hAnsi="Arial" w:cs="Arial"/>
                <w:sz w:val="18"/>
                <w:szCs w:val="18"/>
              </w:rPr>
              <w:t xml:space="preserve">CT incluida en la Estrategia de País (s/n): </w:t>
            </w:r>
          </w:p>
          <w:p w:rsidR="0064286E" w:rsidRPr="00A04BC1" w:rsidRDefault="0064286E" w:rsidP="003F455C">
            <w:pPr>
              <w:pStyle w:val="ListParagraph"/>
              <w:numPr>
                <w:ilvl w:val="0"/>
                <w:numId w:val="1"/>
              </w:numPr>
              <w:spacing w:before="60" w:after="60" w:line="240" w:lineRule="auto"/>
              <w:ind w:left="180" w:hanging="180"/>
              <w:jc w:val="both"/>
              <w:rPr>
                <w:rFonts w:ascii="Arial" w:hAnsi="Arial" w:cs="Arial"/>
                <w:sz w:val="18"/>
                <w:szCs w:val="18"/>
                <w:lang w:val="pt-BR"/>
              </w:rPr>
            </w:pPr>
            <w:r>
              <w:rPr>
                <w:rFonts w:ascii="Arial" w:hAnsi="Arial" w:cs="Arial"/>
                <w:sz w:val="18"/>
                <w:szCs w:val="18"/>
                <w:lang w:val="pt-BR"/>
              </w:rPr>
              <w:t xml:space="preserve">CT incluída </w:t>
            </w:r>
            <w:proofErr w:type="spellStart"/>
            <w:r>
              <w:rPr>
                <w:rFonts w:ascii="Arial" w:hAnsi="Arial" w:cs="Arial"/>
                <w:sz w:val="18"/>
                <w:szCs w:val="18"/>
                <w:lang w:val="pt-BR"/>
              </w:rPr>
              <w:t>en</w:t>
            </w:r>
            <w:proofErr w:type="spellEnd"/>
            <w:r>
              <w:rPr>
                <w:rFonts w:ascii="Arial" w:hAnsi="Arial" w:cs="Arial"/>
                <w:sz w:val="18"/>
                <w:szCs w:val="18"/>
                <w:lang w:val="pt-BR"/>
              </w:rPr>
              <w:t xml:space="preserve"> CPD (s/n):</w:t>
            </w:r>
          </w:p>
        </w:tc>
        <w:tc>
          <w:tcPr>
            <w:tcW w:w="5147"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rsidR="003F455C" w:rsidRDefault="00D216E1" w:rsidP="00BA4F86">
            <w:pPr>
              <w:spacing w:before="60" w:after="60"/>
              <w:ind w:left="160"/>
              <w:rPr>
                <w:rFonts w:ascii="Arial" w:hAnsi="Arial" w:cs="Arial"/>
                <w:sz w:val="18"/>
                <w:szCs w:val="18"/>
                <w:lang w:val="pt-BR"/>
              </w:rPr>
            </w:pPr>
            <w:proofErr w:type="spellStart"/>
            <w:r>
              <w:rPr>
                <w:rFonts w:ascii="Arial" w:hAnsi="Arial" w:cs="Arial"/>
                <w:sz w:val="18"/>
                <w:szCs w:val="18"/>
                <w:lang w:val="pt-BR"/>
              </w:rPr>
              <w:t>Sí</w:t>
            </w:r>
            <w:proofErr w:type="spellEnd"/>
          </w:p>
          <w:p w:rsidR="0064286E" w:rsidRDefault="0064286E" w:rsidP="00BA4F86">
            <w:pPr>
              <w:spacing w:before="60" w:after="60"/>
              <w:ind w:left="160"/>
              <w:rPr>
                <w:rFonts w:ascii="Arial" w:hAnsi="Arial" w:cs="Arial"/>
                <w:sz w:val="18"/>
                <w:szCs w:val="18"/>
                <w:lang w:val="es-ES"/>
              </w:rPr>
            </w:pPr>
            <w:r>
              <w:rPr>
                <w:rFonts w:ascii="Arial" w:hAnsi="Arial" w:cs="Arial"/>
                <w:sz w:val="18"/>
                <w:szCs w:val="18"/>
                <w:lang w:val="es-ES"/>
              </w:rPr>
              <w:t>Sí</w:t>
            </w:r>
          </w:p>
        </w:tc>
      </w:tr>
      <w:tr w:rsidR="0064286E" w:rsidRPr="00A04BC1" w:rsidTr="00A04BC1">
        <w:tc>
          <w:tcPr>
            <w:tcW w:w="396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rsidR="0064286E" w:rsidRPr="00A04BC1" w:rsidRDefault="0064286E" w:rsidP="003F455C">
            <w:pPr>
              <w:pStyle w:val="ListParagraph"/>
              <w:numPr>
                <w:ilvl w:val="0"/>
                <w:numId w:val="1"/>
              </w:numPr>
              <w:spacing w:before="60" w:after="60" w:line="240" w:lineRule="auto"/>
              <w:ind w:left="180" w:hanging="180"/>
              <w:jc w:val="both"/>
              <w:rPr>
                <w:rFonts w:ascii="Arial" w:hAnsi="Arial" w:cs="Arial"/>
                <w:sz w:val="18"/>
                <w:szCs w:val="18"/>
                <w:lang w:val="es-ES_tradnl"/>
              </w:rPr>
            </w:pPr>
            <w:r>
              <w:rPr>
                <w:rFonts w:ascii="Arial" w:hAnsi="Arial" w:cs="Arial"/>
                <w:sz w:val="18"/>
                <w:szCs w:val="18"/>
              </w:rPr>
              <w:t xml:space="preserve">Alineación a la </w:t>
            </w:r>
            <w:proofErr w:type="spellStart"/>
            <w:r>
              <w:rPr>
                <w:rFonts w:ascii="Arial" w:hAnsi="Arial" w:cs="Arial"/>
                <w:sz w:val="18"/>
                <w:szCs w:val="18"/>
                <w:lang w:eastAsia="ja-JP"/>
              </w:rPr>
              <w:t>Actualizaci</w:t>
            </w:r>
            <w:r>
              <w:rPr>
                <w:rFonts w:ascii="Arial" w:hAnsi="Arial" w:cs="Arial"/>
                <w:sz w:val="18"/>
                <w:szCs w:val="18"/>
                <w:lang w:val="es-ES_tradnl" w:eastAsia="ja-JP"/>
              </w:rPr>
              <w:t>ón</w:t>
            </w:r>
            <w:proofErr w:type="spellEnd"/>
            <w:r>
              <w:rPr>
                <w:rFonts w:ascii="Arial" w:hAnsi="Arial" w:cs="Arial"/>
                <w:sz w:val="18"/>
                <w:szCs w:val="18"/>
                <w:lang w:val="es-ES_tradnl" w:eastAsia="ja-JP"/>
              </w:rPr>
              <w:t xml:space="preserve"> de la </w:t>
            </w:r>
            <w:r>
              <w:rPr>
                <w:rFonts w:ascii="Arial" w:hAnsi="Arial" w:cs="Arial"/>
                <w:sz w:val="18"/>
                <w:szCs w:val="18"/>
              </w:rPr>
              <w:t>Estrategia Institucional 2010-2020:</w:t>
            </w:r>
          </w:p>
        </w:tc>
        <w:tc>
          <w:tcPr>
            <w:tcW w:w="5147"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rsidR="0064286E" w:rsidRPr="00A04BC1" w:rsidRDefault="00D216E1" w:rsidP="00BA4F86">
            <w:pPr>
              <w:spacing w:before="60" w:after="60"/>
              <w:ind w:left="160"/>
              <w:rPr>
                <w:rFonts w:ascii="Arial" w:hAnsi="Arial" w:cs="Arial"/>
                <w:sz w:val="18"/>
                <w:szCs w:val="18"/>
                <w:lang w:val="es-ES_tradnl"/>
              </w:rPr>
            </w:pPr>
            <w:r>
              <w:rPr>
                <w:rFonts w:ascii="Arial" w:hAnsi="Arial" w:cs="Arial"/>
                <w:sz w:val="18"/>
                <w:szCs w:val="18"/>
                <w:lang w:val="es-ES"/>
              </w:rPr>
              <w:t>C</w:t>
            </w:r>
            <w:r w:rsidR="0064286E">
              <w:rPr>
                <w:rFonts w:ascii="Arial" w:hAnsi="Arial" w:cs="Arial"/>
                <w:sz w:val="18"/>
                <w:szCs w:val="18"/>
                <w:lang w:val="es-ES"/>
              </w:rPr>
              <w:t>apacidad institucional y estado de derecho</w:t>
            </w:r>
          </w:p>
        </w:tc>
      </w:tr>
    </w:tbl>
    <w:p w:rsidR="00073175" w:rsidRPr="00A04BC1" w:rsidRDefault="00073175">
      <w:pPr>
        <w:spacing w:before="120" w:after="120"/>
        <w:ind w:left="579" w:hanging="579"/>
        <w:rPr>
          <w:rFonts w:ascii="Arial" w:hAnsi="Arial" w:cs="Arial"/>
          <w:b/>
          <w:sz w:val="16"/>
          <w:lang w:val="es-ES_tradnl"/>
        </w:rPr>
      </w:pPr>
    </w:p>
    <w:p w:rsidR="00224D7B" w:rsidRPr="00A04BC1" w:rsidRDefault="008279F3">
      <w:pPr>
        <w:spacing w:before="120" w:after="120"/>
        <w:ind w:left="579" w:hanging="579"/>
        <w:rPr>
          <w:lang w:val="es-ES_tradnl"/>
        </w:rPr>
      </w:pPr>
      <w:r w:rsidRPr="00A04BC1">
        <w:rPr>
          <w:rFonts w:ascii="Arial" w:hAnsi="Arial" w:cs="Arial"/>
          <w:b/>
          <w:lang w:val="es-ES_tradnl"/>
        </w:rPr>
        <w:t>II.</w:t>
      </w:r>
      <w:r w:rsidRPr="00A04BC1">
        <w:rPr>
          <w:rFonts w:ascii="Arial" w:hAnsi="Arial" w:cs="Arial"/>
          <w:b/>
          <w:lang w:val="es-ES_tradnl"/>
        </w:rPr>
        <w:tab/>
      </w:r>
      <w:r w:rsidR="00D216E1" w:rsidRPr="00A04BC1">
        <w:rPr>
          <w:rFonts w:ascii="Arial" w:hAnsi="Arial" w:cs="Arial"/>
          <w:b/>
          <w:lang w:val="es-ES_tradnl"/>
        </w:rPr>
        <w:t>Objetivos y justificación</w:t>
      </w:r>
    </w:p>
    <w:p w:rsidR="00073175" w:rsidRPr="00A04BC1" w:rsidRDefault="008279F3">
      <w:pPr>
        <w:spacing w:before="120" w:after="120"/>
        <w:ind w:left="579" w:hanging="579"/>
        <w:jc w:val="both"/>
        <w:rPr>
          <w:rFonts w:ascii="Arial" w:hAnsi="Arial" w:cs="Arial"/>
          <w:lang w:val="es-ES_tradnl"/>
        </w:rPr>
      </w:pPr>
      <w:r w:rsidRPr="00A04BC1">
        <w:rPr>
          <w:rFonts w:ascii="Arial" w:hAnsi="Arial" w:cs="Arial"/>
          <w:lang w:val="es-ES_tradnl"/>
        </w:rPr>
        <w:t>2.1</w:t>
      </w:r>
      <w:r w:rsidRPr="00A04BC1">
        <w:rPr>
          <w:rFonts w:ascii="Arial" w:hAnsi="Arial" w:cs="Arial"/>
          <w:lang w:val="es-ES_tradnl"/>
        </w:rPr>
        <w:tab/>
      </w:r>
      <w:r w:rsidR="00073175" w:rsidRPr="00A04BC1">
        <w:rPr>
          <w:rFonts w:ascii="Arial" w:hAnsi="Arial" w:cs="Arial"/>
          <w:lang w:val="es-ES_tradnl"/>
        </w:rPr>
        <w:t>Esta cooperaci</w:t>
      </w:r>
      <w:r w:rsidR="00073175" w:rsidRPr="00A04BC1">
        <w:rPr>
          <w:rFonts w:ascii="Arial" w:hAnsi="Arial" w:cs="Arial" w:hint="eastAsia"/>
          <w:lang w:val="es-ES_tradnl"/>
        </w:rPr>
        <w:t>ó</w:t>
      </w:r>
      <w:r w:rsidR="00073175" w:rsidRPr="00A04BC1">
        <w:rPr>
          <w:rFonts w:ascii="Arial" w:hAnsi="Arial" w:cs="Arial"/>
          <w:lang w:val="es-ES_tradnl"/>
        </w:rPr>
        <w:t>n t</w:t>
      </w:r>
      <w:r w:rsidR="00073175" w:rsidRPr="00A04BC1">
        <w:rPr>
          <w:rFonts w:ascii="Arial" w:hAnsi="Arial" w:cs="Arial" w:hint="eastAsia"/>
          <w:lang w:val="es-ES_tradnl"/>
        </w:rPr>
        <w:t>é</w:t>
      </w:r>
      <w:r w:rsidR="00073175" w:rsidRPr="00A04BC1">
        <w:rPr>
          <w:rFonts w:ascii="Arial" w:hAnsi="Arial" w:cs="Arial"/>
          <w:lang w:val="es-ES_tradnl"/>
        </w:rPr>
        <w:t>cnica busca fortalecer la gesti</w:t>
      </w:r>
      <w:r w:rsidR="00073175" w:rsidRPr="00A04BC1">
        <w:rPr>
          <w:rFonts w:ascii="Arial" w:hAnsi="Arial" w:cs="Arial" w:hint="eastAsia"/>
          <w:lang w:val="es-ES_tradnl"/>
        </w:rPr>
        <w:t>ó</w:t>
      </w:r>
      <w:r w:rsidR="00073175" w:rsidRPr="00A04BC1">
        <w:rPr>
          <w:rFonts w:ascii="Arial" w:hAnsi="Arial" w:cs="Arial"/>
          <w:lang w:val="es-ES_tradnl"/>
        </w:rPr>
        <w:t>n de la seguridad social en Colombia, a trav</w:t>
      </w:r>
      <w:r w:rsidR="00073175" w:rsidRPr="00A04BC1">
        <w:rPr>
          <w:rFonts w:ascii="Arial" w:hAnsi="Arial" w:cs="Arial" w:hint="eastAsia"/>
          <w:lang w:val="es-ES_tradnl"/>
        </w:rPr>
        <w:t>é</w:t>
      </w:r>
      <w:r w:rsidR="00073175" w:rsidRPr="00A04BC1">
        <w:rPr>
          <w:rFonts w:ascii="Arial" w:hAnsi="Arial" w:cs="Arial"/>
          <w:lang w:val="es-ES_tradnl"/>
        </w:rPr>
        <w:t>s de una profundizaci</w:t>
      </w:r>
      <w:r w:rsidR="00073175" w:rsidRPr="00A04BC1">
        <w:rPr>
          <w:rFonts w:ascii="Arial" w:hAnsi="Arial" w:cs="Arial" w:hint="eastAsia"/>
          <w:lang w:val="es-ES_tradnl"/>
        </w:rPr>
        <w:t>ó</w:t>
      </w:r>
      <w:r w:rsidR="00073175" w:rsidRPr="00A04BC1">
        <w:rPr>
          <w:rFonts w:ascii="Arial" w:hAnsi="Arial" w:cs="Arial"/>
          <w:lang w:val="es-ES_tradnl"/>
        </w:rPr>
        <w:t>n en los diagn</w:t>
      </w:r>
      <w:r w:rsidR="00073175" w:rsidRPr="00A04BC1">
        <w:rPr>
          <w:rFonts w:ascii="Arial" w:hAnsi="Arial" w:cs="Arial" w:hint="eastAsia"/>
          <w:lang w:val="es-ES_tradnl"/>
        </w:rPr>
        <w:t>ó</w:t>
      </w:r>
      <w:r w:rsidR="00073175" w:rsidRPr="00A04BC1">
        <w:rPr>
          <w:rFonts w:ascii="Arial" w:hAnsi="Arial" w:cs="Arial"/>
          <w:lang w:val="es-ES_tradnl"/>
        </w:rPr>
        <w:t>sticos y el dise</w:t>
      </w:r>
      <w:r w:rsidR="00073175" w:rsidRPr="00A04BC1">
        <w:rPr>
          <w:rFonts w:ascii="Arial" w:hAnsi="Arial" w:cs="Arial" w:hint="eastAsia"/>
          <w:lang w:val="es-ES_tradnl"/>
        </w:rPr>
        <w:t>ñ</w:t>
      </w:r>
      <w:r w:rsidR="00073175" w:rsidRPr="00A04BC1">
        <w:rPr>
          <w:rFonts w:ascii="Arial" w:hAnsi="Arial" w:cs="Arial"/>
          <w:lang w:val="es-ES_tradnl"/>
        </w:rPr>
        <w:t xml:space="preserve">o de estrategias de mejora del sistema. </w:t>
      </w:r>
      <w:r w:rsidR="00A04BC1">
        <w:rPr>
          <w:rFonts w:ascii="Arial" w:hAnsi="Arial" w:cs="Arial"/>
          <w:lang w:val="es-ES_tradnl"/>
        </w:rPr>
        <w:t>Específicamente, apunta al: (i) apoyo para la</w:t>
      </w:r>
      <w:r w:rsidR="00073175" w:rsidRPr="00A04BC1">
        <w:rPr>
          <w:rFonts w:ascii="Arial" w:hAnsi="Arial" w:cs="Arial"/>
          <w:lang w:val="es-ES_tradnl"/>
        </w:rPr>
        <w:br/>
        <w:t>modernizaci</w:t>
      </w:r>
      <w:r w:rsidR="00073175" w:rsidRPr="00A04BC1">
        <w:rPr>
          <w:rFonts w:ascii="Arial" w:hAnsi="Arial" w:cs="Arial" w:hint="eastAsia"/>
          <w:lang w:val="es-ES_tradnl"/>
        </w:rPr>
        <w:t>ó</w:t>
      </w:r>
      <w:r w:rsidR="00073175" w:rsidRPr="00A04BC1">
        <w:rPr>
          <w:rFonts w:ascii="Arial" w:hAnsi="Arial" w:cs="Arial"/>
          <w:lang w:val="es-ES_tradnl"/>
        </w:rPr>
        <w:t>n de la gesti</w:t>
      </w:r>
      <w:r w:rsidR="00073175" w:rsidRPr="00A04BC1">
        <w:rPr>
          <w:rFonts w:ascii="Arial" w:hAnsi="Arial" w:cs="Arial" w:hint="eastAsia"/>
          <w:lang w:val="es-ES_tradnl"/>
        </w:rPr>
        <w:t>ó</w:t>
      </w:r>
      <w:r w:rsidR="00073175" w:rsidRPr="00A04BC1">
        <w:rPr>
          <w:rFonts w:ascii="Arial" w:hAnsi="Arial" w:cs="Arial"/>
          <w:lang w:val="es-ES_tradnl"/>
        </w:rPr>
        <w:t>n de historias laborales y (ii) apoyo para el fortalecimiento de los sistemas de fiscalizaci</w:t>
      </w:r>
      <w:r w:rsidR="00073175" w:rsidRPr="00A04BC1">
        <w:rPr>
          <w:rFonts w:ascii="Arial" w:hAnsi="Arial" w:cs="Arial" w:hint="eastAsia"/>
          <w:lang w:val="es-ES_tradnl"/>
        </w:rPr>
        <w:t>ó</w:t>
      </w:r>
      <w:r w:rsidR="00073175" w:rsidRPr="00A04BC1">
        <w:rPr>
          <w:rFonts w:ascii="Arial" w:hAnsi="Arial" w:cs="Arial"/>
          <w:lang w:val="es-ES_tradnl"/>
        </w:rPr>
        <w:t xml:space="preserve">n de la seguridad social. </w:t>
      </w:r>
      <w:r w:rsidR="00A04BC1" w:rsidRPr="004D0A6F">
        <w:rPr>
          <w:rFonts w:ascii="Arial" w:hAnsi="Arial" w:cs="Arial"/>
          <w:lang w:val="es-ES_tradnl"/>
        </w:rPr>
        <w:t>Esto se lograr</w:t>
      </w:r>
      <w:r w:rsidR="00A04BC1" w:rsidRPr="004D0A6F">
        <w:rPr>
          <w:rFonts w:ascii="Arial" w:hAnsi="Arial" w:cs="Arial" w:hint="eastAsia"/>
          <w:lang w:val="es-ES_tradnl"/>
        </w:rPr>
        <w:t>á</w:t>
      </w:r>
      <w:r w:rsidR="00A04BC1" w:rsidRPr="004D0A6F">
        <w:rPr>
          <w:rFonts w:ascii="Arial" w:hAnsi="Arial" w:cs="Arial"/>
          <w:lang w:val="es-ES_tradnl"/>
        </w:rPr>
        <w:t>, primero, apoyando a las</w:t>
      </w:r>
      <w:r w:rsidR="00A04BC1">
        <w:rPr>
          <w:rFonts w:ascii="Arial" w:hAnsi="Arial" w:cs="Arial"/>
          <w:lang w:val="es-ES_tradnl"/>
        </w:rPr>
        <w:t xml:space="preserve"> </w:t>
      </w:r>
      <w:r w:rsidR="00A04BC1" w:rsidRPr="00A04BC1">
        <w:rPr>
          <w:rFonts w:ascii="Arial" w:hAnsi="Arial" w:cs="Arial"/>
          <w:lang w:val="es-ES_tradnl"/>
        </w:rPr>
        <w:t>entidades en la identificaci</w:t>
      </w:r>
      <w:r w:rsidR="00A04BC1" w:rsidRPr="00A04BC1">
        <w:rPr>
          <w:rFonts w:ascii="Arial" w:hAnsi="Arial" w:cs="Arial" w:hint="eastAsia"/>
          <w:lang w:val="es-ES_tradnl"/>
        </w:rPr>
        <w:t>ó</w:t>
      </w:r>
      <w:r w:rsidR="00A04BC1" w:rsidRPr="00A04BC1">
        <w:rPr>
          <w:rFonts w:ascii="Arial" w:hAnsi="Arial" w:cs="Arial"/>
          <w:lang w:val="es-ES_tradnl"/>
        </w:rPr>
        <w:t>n de mejoras</w:t>
      </w:r>
      <w:r w:rsidR="00106A89">
        <w:rPr>
          <w:rFonts w:ascii="Arial" w:hAnsi="Arial" w:cs="Arial"/>
          <w:lang w:val="es-ES_tradnl"/>
        </w:rPr>
        <w:t xml:space="preserve"> institucionales que </w:t>
      </w:r>
      <w:r w:rsidR="00073175" w:rsidRPr="00A04BC1">
        <w:rPr>
          <w:rFonts w:ascii="Arial" w:hAnsi="Arial" w:cs="Arial"/>
          <w:lang w:val="es-ES_tradnl"/>
        </w:rPr>
        <w:br/>
        <w:t>asignen adecuadamente responsabilidades y estandaricen la gesti</w:t>
      </w:r>
      <w:r w:rsidR="00073175" w:rsidRPr="00A04BC1">
        <w:rPr>
          <w:rFonts w:ascii="Arial" w:hAnsi="Arial" w:cs="Arial" w:hint="eastAsia"/>
          <w:lang w:val="es-ES_tradnl"/>
        </w:rPr>
        <w:t>ó</w:t>
      </w:r>
      <w:r w:rsidR="00073175" w:rsidRPr="00A04BC1">
        <w:rPr>
          <w:rFonts w:ascii="Arial" w:hAnsi="Arial" w:cs="Arial"/>
          <w:lang w:val="es-ES_tradnl"/>
        </w:rPr>
        <w:t>n de la informaci</w:t>
      </w:r>
      <w:r w:rsidR="00073175" w:rsidRPr="00A04BC1">
        <w:rPr>
          <w:rFonts w:ascii="Arial" w:hAnsi="Arial" w:cs="Arial" w:hint="eastAsia"/>
          <w:lang w:val="es-ES_tradnl"/>
        </w:rPr>
        <w:t>ó</w:t>
      </w:r>
      <w:r w:rsidR="00073175" w:rsidRPr="00A04BC1">
        <w:rPr>
          <w:rFonts w:ascii="Arial" w:hAnsi="Arial" w:cs="Arial"/>
          <w:lang w:val="es-ES_tradnl"/>
        </w:rPr>
        <w:t>n e intercambios de datos. Segundo, apoyando a las entidades en la elaboraci</w:t>
      </w:r>
      <w:r w:rsidR="00073175" w:rsidRPr="00A04BC1">
        <w:rPr>
          <w:rFonts w:ascii="Arial" w:hAnsi="Arial" w:cs="Arial" w:hint="eastAsia"/>
          <w:lang w:val="es-ES_tradnl"/>
        </w:rPr>
        <w:t>ó</w:t>
      </w:r>
      <w:r w:rsidR="00073175" w:rsidRPr="00A04BC1">
        <w:rPr>
          <w:rFonts w:ascii="Arial" w:hAnsi="Arial" w:cs="Arial"/>
          <w:lang w:val="es-ES_tradnl"/>
        </w:rPr>
        <w:t>n de diagn</w:t>
      </w:r>
      <w:r w:rsidR="00073175" w:rsidRPr="00A04BC1">
        <w:rPr>
          <w:rFonts w:ascii="Arial" w:hAnsi="Arial" w:cs="Arial" w:hint="eastAsia"/>
          <w:lang w:val="es-ES_tradnl"/>
        </w:rPr>
        <w:t>ó</w:t>
      </w:r>
      <w:r w:rsidR="00073175" w:rsidRPr="00A04BC1">
        <w:rPr>
          <w:rFonts w:ascii="Arial" w:hAnsi="Arial" w:cs="Arial"/>
          <w:lang w:val="es-ES_tradnl"/>
        </w:rPr>
        <w:t xml:space="preserve">sticos que informen sobre la oportunidad y calidad de los datos, y de hojas de </w:t>
      </w:r>
      <w:r w:rsidR="00073175" w:rsidRPr="00A04BC1">
        <w:rPr>
          <w:rFonts w:ascii="Arial" w:hAnsi="Arial" w:cs="Arial"/>
          <w:lang w:val="es-ES_tradnl"/>
        </w:rPr>
        <w:lastRenderedPageBreak/>
        <w:t>ruta para mejoras como la digitalizaci</w:t>
      </w:r>
      <w:r w:rsidR="00073175" w:rsidRPr="00A04BC1">
        <w:rPr>
          <w:rFonts w:ascii="Arial" w:hAnsi="Arial" w:cs="Arial" w:hint="eastAsia"/>
          <w:lang w:val="es-ES_tradnl"/>
        </w:rPr>
        <w:t>ó</w:t>
      </w:r>
      <w:r w:rsidR="00073175" w:rsidRPr="00A04BC1">
        <w:rPr>
          <w:rFonts w:ascii="Arial" w:hAnsi="Arial" w:cs="Arial"/>
          <w:lang w:val="es-ES_tradnl"/>
        </w:rPr>
        <w:t>n de archivos f</w:t>
      </w:r>
      <w:r w:rsidR="00073175" w:rsidRPr="00A04BC1">
        <w:rPr>
          <w:rFonts w:ascii="Arial" w:hAnsi="Arial" w:cs="Arial" w:hint="eastAsia"/>
          <w:lang w:val="es-ES_tradnl"/>
        </w:rPr>
        <w:t>í</w:t>
      </w:r>
      <w:r w:rsidR="00073175" w:rsidRPr="00A04BC1">
        <w:rPr>
          <w:rFonts w:ascii="Arial" w:hAnsi="Arial" w:cs="Arial"/>
          <w:lang w:val="es-ES_tradnl"/>
        </w:rPr>
        <w:t>sicos y ajustes en flujos de informaci</w:t>
      </w:r>
      <w:r w:rsidR="00073175" w:rsidRPr="00A04BC1">
        <w:rPr>
          <w:rFonts w:ascii="Arial" w:hAnsi="Arial" w:cs="Arial" w:hint="eastAsia"/>
          <w:lang w:val="es-ES_tradnl"/>
        </w:rPr>
        <w:t>ó</w:t>
      </w:r>
      <w:r w:rsidR="00073175" w:rsidRPr="00A04BC1">
        <w:rPr>
          <w:rFonts w:ascii="Arial" w:hAnsi="Arial" w:cs="Arial"/>
          <w:lang w:val="es-ES_tradnl"/>
        </w:rPr>
        <w:t>n. Tambi</w:t>
      </w:r>
      <w:r w:rsidR="00073175" w:rsidRPr="00A04BC1">
        <w:rPr>
          <w:rFonts w:ascii="Arial" w:hAnsi="Arial" w:cs="Arial" w:hint="eastAsia"/>
          <w:lang w:val="es-ES_tradnl"/>
        </w:rPr>
        <w:t>é</w:t>
      </w:r>
      <w:r w:rsidR="00073175" w:rsidRPr="00A04BC1">
        <w:rPr>
          <w:rFonts w:ascii="Arial" w:hAnsi="Arial" w:cs="Arial"/>
          <w:lang w:val="es-ES_tradnl"/>
        </w:rPr>
        <w:t>n se analizar</w:t>
      </w:r>
      <w:r w:rsidR="00073175" w:rsidRPr="00A04BC1">
        <w:rPr>
          <w:rFonts w:ascii="Arial" w:hAnsi="Arial" w:cs="Arial" w:hint="eastAsia"/>
          <w:lang w:val="es-ES_tradnl"/>
        </w:rPr>
        <w:t>á</w:t>
      </w:r>
      <w:r w:rsidR="00073175" w:rsidRPr="00A04BC1">
        <w:rPr>
          <w:rFonts w:ascii="Arial" w:hAnsi="Arial" w:cs="Arial"/>
          <w:lang w:val="es-ES_tradnl"/>
        </w:rPr>
        <w:t>n las ventajas y costos de incorporar nuevas tecnolog</w:t>
      </w:r>
      <w:r w:rsidR="00073175" w:rsidRPr="00A04BC1">
        <w:rPr>
          <w:rFonts w:ascii="Arial" w:hAnsi="Arial" w:cs="Arial" w:hint="eastAsia"/>
          <w:lang w:val="es-ES_tradnl"/>
        </w:rPr>
        <w:t>í</w:t>
      </w:r>
      <w:r w:rsidR="00073175" w:rsidRPr="00A04BC1">
        <w:rPr>
          <w:rFonts w:ascii="Arial" w:hAnsi="Arial" w:cs="Arial"/>
          <w:lang w:val="es-ES_tradnl"/>
        </w:rPr>
        <w:t xml:space="preserve">as como el </w:t>
      </w:r>
      <w:proofErr w:type="spellStart"/>
      <w:r w:rsidR="00073175" w:rsidRPr="00A04BC1">
        <w:rPr>
          <w:rFonts w:ascii="Arial" w:hAnsi="Arial" w:cs="Arial"/>
          <w:lang w:val="es-ES_tradnl"/>
        </w:rPr>
        <w:t>blockchain</w:t>
      </w:r>
      <w:proofErr w:type="spellEnd"/>
      <w:r w:rsidR="00073175" w:rsidRPr="00A04BC1">
        <w:rPr>
          <w:rFonts w:ascii="Arial" w:hAnsi="Arial" w:cs="Arial"/>
          <w:lang w:val="es-ES_tradnl"/>
        </w:rPr>
        <w:t>. Esta es una opci</w:t>
      </w:r>
      <w:r w:rsidR="00073175" w:rsidRPr="00A04BC1">
        <w:rPr>
          <w:rFonts w:ascii="Arial" w:hAnsi="Arial" w:cs="Arial" w:hint="eastAsia"/>
          <w:lang w:val="es-ES_tradnl"/>
        </w:rPr>
        <w:t>ó</w:t>
      </w:r>
      <w:r w:rsidR="00073175" w:rsidRPr="00A04BC1">
        <w:rPr>
          <w:rFonts w:ascii="Arial" w:hAnsi="Arial" w:cs="Arial"/>
          <w:lang w:val="es-ES_tradnl"/>
        </w:rPr>
        <w:t>n prometedora en la gesti</w:t>
      </w:r>
      <w:r w:rsidR="00073175" w:rsidRPr="00A04BC1">
        <w:rPr>
          <w:rFonts w:ascii="Arial" w:hAnsi="Arial" w:cs="Arial" w:hint="eastAsia"/>
          <w:lang w:val="es-ES_tradnl"/>
        </w:rPr>
        <w:t>ó</w:t>
      </w:r>
      <w:r w:rsidR="00073175" w:rsidRPr="00A04BC1">
        <w:rPr>
          <w:rFonts w:ascii="Arial" w:hAnsi="Arial" w:cs="Arial"/>
          <w:lang w:val="es-ES_tradnl"/>
        </w:rPr>
        <w:t>n de la seguridad social</w:t>
      </w:r>
      <w:r w:rsidR="00A04BC1">
        <w:rPr>
          <w:rFonts w:ascii="Arial" w:hAnsi="Arial" w:cs="Arial"/>
          <w:lang w:val="es-ES_tradnl"/>
        </w:rPr>
        <w:t>,</w:t>
      </w:r>
      <w:r w:rsidR="00073175" w:rsidRPr="00A04BC1">
        <w:rPr>
          <w:rFonts w:ascii="Arial" w:hAnsi="Arial" w:cs="Arial"/>
          <w:lang w:val="es-ES_tradnl"/>
        </w:rPr>
        <w:t xml:space="preserve"> pues permite procesar de manera descentralizada y segura la informaci</w:t>
      </w:r>
      <w:r w:rsidR="00073175" w:rsidRPr="00A04BC1">
        <w:rPr>
          <w:rFonts w:ascii="Arial" w:hAnsi="Arial" w:cs="Arial" w:hint="eastAsia"/>
          <w:lang w:val="es-ES_tradnl"/>
        </w:rPr>
        <w:t>ó</w:t>
      </w:r>
      <w:r w:rsidR="00073175" w:rsidRPr="00A04BC1">
        <w:rPr>
          <w:rFonts w:ascii="Arial" w:hAnsi="Arial" w:cs="Arial"/>
          <w:lang w:val="es-ES_tradnl"/>
        </w:rPr>
        <w:t>n de cotizaciones, reduce el riesgo de fraudes y permite incorporar contratos inteligentes que garanticen el cumplimiento de la normativa. Adem</w:t>
      </w:r>
      <w:r w:rsidR="00073175" w:rsidRPr="00A04BC1">
        <w:rPr>
          <w:rFonts w:ascii="Arial" w:hAnsi="Arial" w:cs="Arial" w:hint="eastAsia"/>
          <w:lang w:val="es-ES_tradnl"/>
        </w:rPr>
        <w:t>á</w:t>
      </w:r>
      <w:r w:rsidR="00073175" w:rsidRPr="00A04BC1">
        <w:rPr>
          <w:rFonts w:ascii="Arial" w:hAnsi="Arial" w:cs="Arial"/>
          <w:lang w:val="es-ES_tradnl"/>
        </w:rPr>
        <w:t>s, permite a los usuarios rastrear sus cotizaciones en el largo plazo y al final de su vida laboral pueden contar con una compilaci</w:t>
      </w:r>
      <w:r w:rsidR="00073175" w:rsidRPr="00A04BC1">
        <w:rPr>
          <w:rFonts w:ascii="Arial" w:hAnsi="Arial" w:cs="Arial" w:hint="eastAsia"/>
          <w:lang w:val="es-ES_tradnl"/>
        </w:rPr>
        <w:t>ó</w:t>
      </w:r>
      <w:r w:rsidR="00073175" w:rsidRPr="00A04BC1">
        <w:rPr>
          <w:rFonts w:ascii="Arial" w:hAnsi="Arial" w:cs="Arial"/>
          <w:lang w:val="es-ES_tradnl"/>
        </w:rPr>
        <w:t>n leg</w:t>
      </w:r>
      <w:r w:rsidR="00073175" w:rsidRPr="00A04BC1">
        <w:rPr>
          <w:rFonts w:ascii="Arial" w:hAnsi="Arial" w:cs="Arial" w:hint="eastAsia"/>
          <w:lang w:val="es-ES_tradnl"/>
        </w:rPr>
        <w:t>í</w:t>
      </w:r>
      <w:r w:rsidR="00073175" w:rsidRPr="00A04BC1">
        <w:rPr>
          <w:rFonts w:ascii="Arial" w:hAnsi="Arial" w:cs="Arial"/>
          <w:lang w:val="es-ES_tradnl"/>
        </w:rPr>
        <w:t>tima de los aportes que determinan su pensi</w:t>
      </w:r>
      <w:r w:rsidR="00073175" w:rsidRPr="00A04BC1">
        <w:rPr>
          <w:rFonts w:ascii="Arial" w:hAnsi="Arial" w:cs="Arial" w:hint="eastAsia"/>
          <w:lang w:val="es-ES_tradnl"/>
        </w:rPr>
        <w:t>ó</w:t>
      </w:r>
      <w:r w:rsidR="00073175" w:rsidRPr="00A04BC1">
        <w:rPr>
          <w:rFonts w:ascii="Arial" w:hAnsi="Arial" w:cs="Arial"/>
          <w:lang w:val="es-ES_tradnl"/>
        </w:rPr>
        <w:t>n.</w:t>
      </w:r>
    </w:p>
    <w:p w:rsidR="00224D7B" w:rsidRPr="00056E7D" w:rsidRDefault="008279F3">
      <w:pPr>
        <w:spacing w:before="120" w:after="120"/>
        <w:ind w:left="579" w:hanging="579"/>
        <w:jc w:val="both"/>
        <w:rPr>
          <w:lang w:val="es-ES_tradnl"/>
        </w:rPr>
      </w:pPr>
      <w:r w:rsidRPr="00056E7D">
        <w:rPr>
          <w:rFonts w:ascii="Arial" w:hAnsi="Arial" w:cs="Arial"/>
          <w:lang w:val="es-ES_tradnl"/>
        </w:rPr>
        <w:t>2.2</w:t>
      </w:r>
      <w:r w:rsidRPr="00056E7D">
        <w:rPr>
          <w:rFonts w:ascii="Arial" w:hAnsi="Arial" w:cs="Arial"/>
          <w:lang w:val="es-ES_tradnl"/>
        </w:rPr>
        <w:tab/>
        <w:t xml:space="preserve">La mitad de los trabajadores colombianos no cotizan a la seguridad social, con graves consecuencias fiscales (erosión del recaudo), económicas (impactos en productividad) y sociales (vulnerabilidad y desprotección de trabajadores). Una de las causas de este fenómeno es la inadecuada gestión de la seguridad social.  </w:t>
      </w:r>
    </w:p>
    <w:p w:rsidR="00A978C7" w:rsidRDefault="008279F3" w:rsidP="00A978C7">
      <w:pPr>
        <w:spacing w:before="120" w:after="120"/>
        <w:ind w:left="579" w:hanging="579"/>
        <w:jc w:val="both"/>
        <w:rPr>
          <w:rFonts w:ascii="Arial" w:hAnsi="Arial" w:cs="Arial"/>
          <w:lang w:val="es-ES_tradnl"/>
        </w:rPr>
      </w:pPr>
      <w:r w:rsidRPr="00056E7D">
        <w:rPr>
          <w:rFonts w:ascii="Arial" w:hAnsi="Arial" w:cs="Arial"/>
          <w:lang w:val="es-ES_tradnl"/>
        </w:rPr>
        <w:t>2.3</w:t>
      </w:r>
      <w:r w:rsidRPr="00056E7D">
        <w:rPr>
          <w:rFonts w:ascii="Arial" w:hAnsi="Arial" w:cs="Arial"/>
          <w:lang w:val="es-ES_tradnl"/>
        </w:rPr>
        <w:tab/>
        <w:t>La gestión de la seguridad social en Colombia se puede dividir en: (i)</w:t>
      </w:r>
      <w:r w:rsidR="00056E7D">
        <w:rPr>
          <w:rFonts w:ascii="Arial" w:hAnsi="Arial" w:cs="Arial"/>
          <w:lang w:val="es-ES_tradnl"/>
        </w:rPr>
        <w:t> </w:t>
      </w:r>
      <w:r w:rsidRPr="00056E7D">
        <w:rPr>
          <w:rFonts w:ascii="Arial" w:hAnsi="Arial" w:cs="Arial"/>
          <w:lang w:val="es-ES_tradnl"/>
        </w:rPr>
        <w:t>el reconocimiento de los derechos que otorga el sistema</w:t>
      </w:r>
      <w:r w:rsidR="00A04BC1">
        <w:rPr>
          <w:rFonts w:ascii="Arial" w:hAnsi="Arial" w:cs="Arial"/>
          <w:lang w:val="es-ES_tradnl"/>
        </w:rPr>
        <w:t>;</w:t>
      </w:r>
      <w:r w:rsidRPr="00056E7D">
        <w:rPr>
          <w:rFonts w:ascii="Arial" w:hAnsi="Arial" w:cs="Arial"/>
          <w:lang w:val="es-ES_tradnl"/>
        </w:rPr>
        <w:t xml:space="preserve"> y (ii) la fiscalización de las contribuciones. En la última década se ha avanzado en ambos frentes. En el primero, se destaca el proyecto </w:t>
      </w:r>
      <w:r w:rsidR="00431B17">
        <w:rPr>
          <w:rFonts w:ascii="Arial" w:hAnsi="Arial" w:cs="Arial"/>
          <w:lang w:val="es-ES_tradnl"/>
        </w:rPr>
        <w:t>de Certificación Electrónica de Tiempos Laborales (</w:t>
      </w:r>
      <w:r w:rsidRPr="00A04BC1">
        <w:rPr>
          <w:rFonts w:ascii="Arial" w:hAnsi="Arial" w:cs="Arial"/>
          <w:lang w:val="es-ES_tradnl"/>
        </w:rPr>
        <w:t>CETIL</w:t>
      </w:r>
      <w:r w:rsidR="00431B17" w:rsidRPr="00A04BC1">
        <w:rPr>
          <w:rFonts w:ascii="Arial" w:hAnsi="Arial" w:cs="Arial"/>
          <w:lang w:val="es-ES_tradnl"/>
        </w:rPr>
        <w:t>)</w:t>
      </w:r>
      <w:r w:rsidR="00211D2A" w:rsidRPr="00106A89">
        <w:rPr>
          <w:rFonts w:ascii="Arial" w:hAnsi="Arial" w:cs="Arial"/>
          <w:lang w:val="es-ES_tradnl"/>
        </w:rPr>
        <w:t xml:space="preserve"> </w:t>
      </w:r>
      <w:r w:rsidRPr="00106A89">
        <w:rPr>
          <w:rFonts w:ascii="Arial" w:hAnsi="Arial" w:cs="Arial"/>
          <w:lang w:val="es-ES_tradnl"/>
        </w:rPr>
        <w:t>d</w:t>
      </w:r>
      <w:r w:rsidRPr="00056E7D">
        <w:rPr>
          <w:rFonts w:ascii="Arial" w:hAnsi="Arial" w:cs="Arial"/>
          <w:lang w:val="es-ES_tradnl"/>
        </w:rPr>
        <w:t>el Ministerio de Hacienda para agilizar y masificar la certificación de reconocimientos pensionales.  En el segundo, quizá el logro más destacable es la creación en 2010 de la Unidad de</w:t>
      </w:r>
      <w:r w:rsidR="00EB2185">
        <w:rPr>
          <w:rFonts w:ascii="Arial" w:hAnsi="Arial" w:cs="Arial"/>
          <w:lang w:val="es-ES_tradnl"/>
        </w:rPr>
        <w:t xml:space="preserve"> Gestión</w:t>
      </w:r>
      <w:r w:rsidRPr="00056E7D">
        <w:rPr>
          <w:rFonts w:ascii="Arial" w:hAnsi="Arial" w:cs="Arial"/>
          <w:lang w:val="es-ES_tradnl"/>
        </w:rPr>
        <w:t xml:space="preserve"> Pension</w:t>
      </w:r>
      <w:r w:rsidR="00EB2185">
        <w:rPr>
          <w:rFonts w:ascii="Arial" w:hAnsi="Arial" w:cs="Arial"/>
          <w:lang w:val="es-ES_tradnl"/>
        </w:rPr>
        <w:t>al</w:t>
      </w:r>
      <w:r w:rsidRPr="00056E7D">
        <w:rPr>
          <w:rFonts w:ascii="Arial" w:hAnsi="Arial" w:cs="Arial"/>
          <w:lang w:val="es-ES_tradnl"/>
        </w:rPr>
        <w:t xml:space="preserve"> y Parafiscales (UGPP), entidad adscrita al Ministerio de Hacienda que da seguimiento a las contribuciones de la seguridad social y determina que las liquidaciones sean adecuadas, completas y oportunas. La UGPP tiene además la responsabilidad de hacer reconocimiento de derechos pensionales a las administradoras del régimen de pensiones de prima media, por lo que es usuaria de CETIL.</w:t>
      </w:r>
    </w:p>
    <w:p w:rsidR="00A978C7" w:rsidRPr="00323164" w:rsidRDefault="00A978C7" w:rsidP="00A04BC1">
      <w:pPr>
        <w:ind w:left="540" w:hanging="540"/>
        <w:jc w:val="both"/>
        <w:rPr>
          <w:lang w:val="es-ES_tradnl"/>
        </w:rPr>
      </w:pPr>
      <w:r>
        <w:rPr>
          <w:rFonts w:ascii="Arial" w:hAnsi="Arial" w:cs="Arial"/>
          <w:lang w:val="es-ES_tradnl"/>
        </w:rPr>
        <w:t xml:space="preserve">2.4 </w:t>
      </w:r>
      <w:r>
        <w:rPr>
          <w:rFonts w:ascii="Arial" w:hAnsi="Arial" w:cs="Arial"/>
          <w:lang w:val="es-ES_tradnl"/>
        </w:rPr>
        <w:tab/>
      </w:r>
      <w:r w:rsidR="008279F3" w:rsidRPr="00A04BC1">
        <w:rPr>
          <w:rFonts w:ascii="Arial" w:hAnsi="Arial" w:cs="Arial"/>
          <w:lang w:val="es-ES_tradnl"/>
        </w:rPr>
        <w:t xml:space="preserve">No obstante, aún hay grandes desafíos. De un lado, hay un vacío de información digitalizada y oportuna sobre historias laborales. Se estiman que hay 4,160 entidades para las cuales es necesario construir la historia laboral de extrabajadores.  A través de CETIL, 88 entidades han sido capacitadas en un proceso masivo de certificaciones, pero no ha habido una reconstrucción completa de las historias laborales. Sin información oportuna sobre estas historias laborales, no es </w:t>
      </w:r>
      <w:r w:rsidR="00D719D8" w:rsidRPr="00A04BC1">
        <w:rPr>
          <w:rFonts w:ascii="Arial" w:hAnsi="Arial" w:cs="Arial"/>
          <w:lang w:val="es-ES_tradnl"/>
        </w:rPr>
        <w:t xml:space="preserve">posible </w:t>
      </w:r>
      <w:r w:rsidR="008279F3" w:rsidRPr="00A04BC1">
        <w:rPr>
          <w:rFonts w:ascii="Arial" w:hAnsi="Arial" w:cs="Arial"/>
          <w:lang w:val="es-ES_tradnl"/>
        </w:rPr>
        <w:t xml:space="preserve">reconocer ágilmente los derechos pensionales ni liquidar correctamente las acreencias.  Por tanto, muchos ciudadanos hacen trámites costosos para reconstruir su historia laboral, asumen demoras en el reconocimiento de sus pensiones y, en muchos casos, solicitan correcciones por liquidaciones mal hechas o resuelven conflictos en instancias judiciales. Además, el gobierno asume costos por mora en las liquidaciones, carga operativa en reliquidaciones y fraudes por falta de transparencia del sistema. Además, la falta de información de historias laborales dificulta el cálculo de las proyecciones de gasto fiscal asociadas al pasivo pensional. La información centralizada dificulta la gobernanza, facilita el fraude y limita la apropiabilidad por parte de los usuarios, algo que se resolvería con cambios institucionales y </w:t>
      </w:r>
      <w:r w:rsidR="00B821E7" w:rsidRPr="00A04BC1">
        <w:rPr>
          <w:rFonts w:ascii="Arial" w:hAnsi="Arial" w:cs="Arial"/>
          <w:lang w:val="es-ES_tradnl"/>
        </w:rPr>
        <w:t>tecnología</w:t>
      </w:r>
      <w:r w:rsidR="008279F3" w:rsidRPr="00A04BC1">
        <w:rPr>
          <w:rFonts w:ascii="Arial" w:hAnsi="Arial" w:cs="Arial"/>
          <w:lang w:val="es-ES_tradnl"/>
        </w:rPr>
        <w:t xml:space="preserve"> </w:t>
      </w:r>
      <w:proofErr w:type="spellStart"/>
      <w:r w:rsidR="008279F3" w:rsidRPr="00A04BC1">
        <w:rPr>
          <w:rFonts w:ascii="Arial" w:hAnsi="Arial" w:cs="Arial"/>
          <w:lang w:val="es-ES_tradnl"/>
        </w:rPr>
        <w:t>blockchain</w:t>
      </w:r>
      <w:proofErr w:type="spellEnd"/>
      <w:r w:rsidR="008279F3" w:rsidRPr="00A04BC1">
        <w:rPr>
          <w:rFonts w:ascii="Arial" w:hAnsi="Arial" w:cs="Arial"/>
          <w:lang w:val="es-ES_tradnl"/>
        </w:rPr>
        <w:t>.</w:t>
      </w:r>
    </w:p>
    <w:p w:rsidR="00224D7B" w:rsidRPr="00056E7D" w:rsidRDefault="00A978C7" w:rsidP="00A04BC1">
      <w:pPr>
        <w:spacing w:before="120" w:after="120"/>
        <w:ind w:left="540" w:hanging="540"/>
        <w:jc w:val="both"/>
        <w:rPr>
          <w:lang w:val="es-ES_tradnl"/>
        </w:rPr>
      </w:pPr>
      <w:r>
        <w:rPr>
          <w:rFonts w:ascii="Arial" w:hAnsi="Arial" w:cs="Arial"/>
          <w:lang w:val="es-ES_tradnl"/>
        </w:rPr>
        <w:t xml:space="preserve">2.5 </w:t>
      </w:r>
      <w:r>
        <w:rPr>
          <w:rFonts w:ascii="Arial" w:hAnsi="Arial" w:cs="Arial"/>
          <w:lang w:val="es-ES_tradnl"/>
        </w:rPr>
        <w:tab/>
      </w:r>
      <w:r w:rsidR="008279F3" w:rsidRPr="00056E7D">
        <w:rPr>
          <w:rFonts w:ascii="Arial" w:hAnsi="Arial" w:cs="Arial"/>
          <w:lang w:val="es-ES_tradnl"/>
        </w:rPr>
        <w:t xml:space="preserve">También hay vacíos en información para fiscalización, como son los datos sobre la situación laboral de e ingresos de los ciudadanos que determinan las obligaciones. Esto es particularmente acentuado entre los trabajadores independientes, que concentran el 68% de la evasión. Hay además problemas de oportunidad en los datos; la información necesaria para valorar las obligaciones de seguridad social SS puede llegar con más de un </w:t>
      </w:r>
      <w:r w:rsidR="00B821E7">
        <w:rPr>
          <w:rFonts w:ascii="Arial" w:hAnsi="Arial" w:cs="Arial"/>
          <w:lang w:val="es-ES_tradnl"/>
        </w:rPr>
        <w:t xml:space="preserve">año </w:t>
      </w:r>
      <w:r w:rsidR="008279F3" w:rsidRPr="00056E7D">
        <w:rPr>
          <w:rFonts w:ascii="Arial" w:hAnsi="Arial" w:cs="Arial"/>
          <w:lang w:val="es-ES_tradnl"/>
        </w:rPr>
        <w:t xml:space="preserve">de rezago. Además, la ausencia de información sobre historias laborales no le permite a la UGPP identificar cambios en la situación laboral de trabajadores dependientes que generen cambios o interrupciones en la cotización. </w:t>
      </w:r>
      <w:r w:rsidR="00B821E7">
        <w:rPr>
          <w:rFonts w:ascii="Arial" w:hAnsi="Arial" w:cs="Arial"/>
          <w:lang w:val="es-ES_tradnl"/>
        </w:rPr>
        <w:t>H</w:t>
      </w:r>
      <w:r w:rsidR="008279F3" w:rsidRPr="00056E7D">
        <w:rPr>
          <w:rFonts w:ascii="Arial" w:hAnsi="Arial" w:cs="Arial"/>
          <w:lang w:val="es-ES_tradnl"/>
        </w:rPr>
        <w:t>ay ajustes institucionales por hacer: la adopción de modelos internacionales en los que la entidad fiscalizadora puede acceder directamente a información sobre nómina entre los empleadores implicaría un mejoramiento dramático en la efectividad de la gestión.</w:t>
      </w:r>
    </w:p>
    <w:p w:rsidR="00224D7B" w:rsidRPr="00A04BC1" w:rsidRDefault="008279F3" w:rsidP="00106A89">
      <w:pPr>
        <w:keepNext/>
        <w:spacing w:before="120" w:after="120"/>
        <w:ind w:left="576" w:hanging="576"/>
        <w:rPr>
          <w:lang w:val="es-ES_tradnl"/>
        </w:rPr>
      </w:pPr>
      <w:r w:rsidRPr="00A04BC1">
        <w:rPr>
          <w:rFonts w:ascii="Arial" w:hAnsi="Arial" w:cs="Arial"/>
          <w:b/>
          <w:lang w:val="es-ES_tradnl"/>
        </w:rPr>
        <w:t>III.</w:t>
      </w:r>
      <w:r w:rsidRPr="00A04BC1">
        <w:rPr>
          <w:rFonts w:ascii="Arial" w:hAnsi="Arial" w:cs="Arial"/>
          <w:b/>
          <w:lang w:val="es-ES_tradnl"/>
        </w:rPr>
        <w:tab/>
      </w:r>
      <w:r w:rsidR="00F57C4E" w:rsidRPr="00A04BC1">
        <w:rPr>
          <w:rFonts w:ascii="Arial" w:hAnsi="Arial" w:cs="Arial"/>
          <w:b/>
          <w:lang w:val="es-ES_tradnl"/>
        </w:rPr>
        <w:t>Descripción de actividades y productos</w:t>
      </w:r>
    </w:p>
    <w:p w:rsidR="00224D7B" w:rsidRPr="00056E7D" w:rsidRDefault="008279F3" w:rsidP="00106A89">
      <w:pPr>
        <w:keepNext/>
        <w:spacing w:before="120" w:after="120"/>
        <w:ind w:left="576" w:hanging="576"/>
        <w:jc w:val="both"/>
        <w:rPr>
          <w:lang w:val="es-ES_tradnl"/>
        </w:rPr>
      </w:pPr>
      <w:r w:rsidRPr="00056E7D">
        <w:rPr>
          <w:rFonts w:ascii="Arial" w:hAnsi="Arial" w:cs="Arial"/>
          <w:lang w:val="es-ES_tradnl"/>
        </w:rPr>
        <w:t>3.1</w:t>
      </w:r>
      <w:r w:rsidRPr="00056E7D">
        <w:rPr>
          <w:rFonts w:ascii="Arial" w:hAnsi="Arial" w:cs="Arial"/>
          <w:lang w:val="es-ES_tradnl"/>
        </w:rPr>
        <w:tab/>
      </w:r>
      <w:r w:rsidRPr="00B821E7">
        <w:rPr>
          <w:rFonts w:ascii="Arial" w:hAnsi="Arial" w:cs="Arial"/>
          <w:b/>
          <w:lang w:val="es-ES_tradnl"/>
        </w:rPr>
        <w:t>Componente 1. Modernización de la gestión de historias laborales (US$110.000)</w:t>
      </w:r>
      <w:r w:rsidRPr="00056E7D">
        <w:rPr>
          <w:rFonts w:ascii="Arial" w:hAnsi="Arial" w:cs="Arial"/>
          <w:lang w:val="es-ES_tradnl"/>
        </w:rPr>
        <w:t>. El objetivo de este componente es apoyar al Gobierno en el mejoramiento de los sistemas de información de historias laborales, para el reconocimiento de los derechos y obligaciones del sistema pensional. Participarían el Ministerio de Hacienda y su entidad adscrita, la UGPP. El Ministerio lidera el proyecto CETIL y la UGPP participa en reconocimiento pensional de buena parte de los empleados públicos del país. Se tienen previstas las siguientes actividades: (i) diagnóstico sobre el estado actual de la información de historias laborales (</w:t>
      </w:r>
      <w:proofErr w:type="spellStart"/>
      <w:r w:rsidR="00B821E7">
        <w:rPr>
          <w:rFonts w:ascii="Arial" w:hAnsi="Arial" w:cs="Arial"/>
          <w:lang w:val="es-ES_tradnl"/>
        </w:rPr>
        <w:t>e</w:t>
      </w:r>
      <w:r w:rsidRPr="00056E7D">
        <w:rPr>
          <w:rFonts w:ascii="Arial" w:hAnsi="Arial" w:cs="Arial"/>
          <w:lang w:val="es-ES_tradnl"/>
        </w:rPr>
        <w:t>.g</w:t>
      </w:r>
      <w:proofErr w:type="spellEnd"/>
      <w:r w:rsidRPr="00056E7D">
        <w:rPr>
          <w:rFonts w:ascii="Arial" w:hAnsi="Arial" w:cs="Arial"/>
          <w:lang w:val="es-ES_tradnl"/>
        </w:rPr>
        <w:t xml:space="preserve">., calidad de la información, recuperabilidad de los archivos físicos, entre otros), para la definición de necesidades en sistemas de información y archivos y hoja de ruta para la implementación de un plan de mejoramiento; (ii) identificación de limitaciones institucionales en los procesos de gestión de información sobre historias laborales y de reconocimientos pensionales y propuestas de mejora; (iii) valoración de aplicación de la tecnología </w:t>
      </w:r>
      <w:proofErr w:type="spellStart"/>
      <w:r w:rsidRPr="00056E7D">
        <w:rPr>
          <w:rFonts w:ascii="Arial" w:hAnsi="Arial" w:cs="Arial"/>
          <w:lang w:val="es-ES_tradnl"/>
        </w:rPr>
        <w:t>blockchain</w:t>
      </w:r>
      <w:proofErr w:type="spellEnd"/>
      <w:r w:rsidRPr="00056E7D">
        <w:rPr>
          <w:rFonts w:ascii="Arial" w:hAnsi="Arial" w:cs="Arial"/>
          <w:lang w:val="es-ES_tradnl"/>
        </w:rPr>
        <w:t xml:space="preserve"> para la administración del sistema de pensiones (</w:t>
      </w:r>
      <w:proofErr w:type="spellStart"/>
      <w:r w:rsidR="00B821E7">
        <w:rPr>
          <w:rFonts w:ascii="Arial" w:hAnsi="Arial" w:cs="Arial"/>
          <w:lang w:val="es-ES_tradnl"/>
        </w:rPr>
        <w:t>e</w:t>
      </w:r>
      <w:r w:rsidRPr="00056E7D">
        <w:rPr>
          <w:rFonts w:ascii="Arial" w:hAnsi="Arial" w:cs="Arial"/>
          <w:lang w:val="es-ES_tradnl"/>
        </w:rPr>
        <w:t>.g</w:t>
      </w:r>
      <w:proofErr w:type="spellEnd"/>
      <w:r w:rsidRPr="00056E7D">
        <w:rPr>
          <w:rFonts w:ascii="Arial" w:hAnsi="Arial" w:cs="Arial"/>
          <w:lang w:val="es-ES_tradnl"/>
        </w:rPr>
        <w:t xml:space="preserve">., análisis de oportunidades, mapeo de actores, boceto de prototipo y propuesta de hoja de ruta).  </w:t>
      </w:r>
    </w:p>
    <w:p w:rsidR="00B821E7" w:rsidRPr="00056E7D" w:rsidRDefault="008279F3" w:rsidP="00F57C4E">
      <w:pPr>
        <w:spacing w:before="120" w:after="120"/>
        <w:ind w:left="579" w:hanging="579"/>
        <w:jc w:val="both"/>
        <w:rPr>
          <w:lang w:val="es-ES_tradnl"/>
        </w:rPr>
      </w:pPr>
      <w:r w:rsidRPr="00056E7D">
        <w:rPr>
          <w:rFonts w:ascii="Arial" w:hAnsi="Arial" w:cs="Arial"/>
          <w:lang w:val="es-ES_tradnl"/>
        </w:rPr>
        <w:t>3.2</w:t>
      </w:r>
      <w:r w:rsidRPr="00056E7D">
        <w:rPr>
          <w:rFonts w:ascii="Arial" w:hAnsi="Arial" w:cs="Arial"/>
          <w:lang w:val="es-ES_tradnl"/>
        </w:rPr>
        <w:tab/>
      </w:r>
      <w:r w:rsidRPr="00B821E7">
        <w:rPr>
          <w:rFonts w:ascii="Arial" w:hAnsi="Arial" w:cs="Arial"/>
          <w:b/>
          <w:lang w:val="es-ES_tradnl"/>
        </w:rPr>
        <w:t>Componente 2. Fortalecimiento de los sistemas de fiscalización de la seguridad social (US$80.000)</w:t>
      </w:r>
      <w:r w:rsidRPr="00056E7D">
        <w:rPr>
          <w:rFonts w:ascii="Arial" w:hAnsi="Arial" w:cs="Arial"/>
          <w:lang w:val="es-ES_tradnl"/>
        </w:rPr>
        <w:t>. El objetivo de este componente es apoyar al gobierno en el fortalecimiento de los sistemas de fiscalización de la seguridad social. Participaría principalmente la UGPP, que sería la principal beneficiaria del componente. Se tienen previstas las siguientes actividades: (i)  mapeo de fuentes de información que permitan fortalecer los cálculos sobre las obligaciones pensionales; (ii) identificación de limitaciones institucionales y tecnológicas que limiten el acceso a dichas fuentes; (iii)</w:t>
      </w:r>
      <w:r w:rsidR="00BA4F86">
        <w:rPr>
          <w:rFonts w:ascii="Arial" w:hAnsi="Arial" w:cs="Arial"/>
          <w:lang w:val="es-ES_tradnl"/>
        </w:rPr>
        <w:t> </w:t>
      </w:r>
      <w:r w:rsidRPr="00056E7D">
        <w:rPr>
          <w:rFonts w:ascii="Arial" w:hAnsi="Arial" w:cs="Arial"/>
          <w:lang w:val="es-ES_tradnl"/>
        </w:rPr>
        <w:t>transferencia de conocimiento sobre mejores prácticas de fiscalización al personal de UGPP; (iv) diseño de un plan de mejoramiento que incluya: (a) una estrategia de reformas regulatorias y/o legislativas</w:t>
      </w:r>
      <w:r w:rsidR="00B821E7">
        <w:rPr>
          <w:rFonts w:ascii="Arial" w:hAnsi="Arial" w:cs="Arial"/>
          <w:lang w:val="es-ES_tradnl"/>
        </w:rPr>
        <w:t>; y</w:t>
      </w:r>
      <w:r w:rsidRPr="00056E7D">
        <w:rPr>
          <w:rFonts w:ascii="Arial" w:hAnsi="Arial" w:cs="Arial"/>
          <w:lang w:val="es-ES_tradnl"/>
        </w:rPr>
        <w:t xml:space="preserve"> (b) una definición de las necesidades en tecnologías de información y una hoja de ruta para su implementación. </w:t>
      </w:r>
    </w:p>
    <w:p w:rsidR="00224D7B" w:rsidRPr="00056E7D" w:rsidRDefault="008279F3">
      <w:pPr>
        <w:spacing w:before="120" w:after="120"/>
        <w:ind w:left="579" w:hanging="579"/>
        <w:jc w:val="both"/>
        <w:rPr>
          <w:lang w:val="es-ES_tradnl"/>
        </w:rPr>
      </w:pPr>
      <w:r w:rsidRPr="00056E7D">
        <w:rPr>
          <w:rFonts w:ascii="Arial" w:hAnsi="Arial" w:cs="Arial"/>
          <w:lang w:val="es-ES_tradnl"/>
        </w:rPr>
        <w:t>3.3</w:t>
      </w:r>
      <w:r w:rsidRPr="00056E7D">
        <w:rPr>
          <w:rFonts w:ascii="Arial" w:hAnsi="Arial" w:cs="Arial"/>
          <w:lang w:val="es-ES_tradnl"/>
        </w:rPr>
        <w:tab/>
      </w:r>
      <w:r w:rsidRPr="00B821E7">
        <w:rPr>
          <w:rFonts w:ascii="Arial" w:hAnsi="Arial" w:cs="Arial"/>
          <w:b/>
          <w:lang w:val="es-ES_tradnl"/>
        </w:rPr>
        <w:t>Componente 3. Comunicación y diseminación (US$10.000)</w:t>
      </w:r>
      <w:r w:rsidRPr="00056E7D">
        <w:rPr>
          <w:rFonts w:ascii="Arial" w:hAnsi="Arial" w:cs="Arial"/>
          <w:lang w:val="es-ES_tradnl"/>
        </w:rPr>
        <w:t xml:space="preserve">. Busca apoyar la difusión y socialización de las propuestas de política establecidas en los </w:t>
      </w:r>
      <w:r w:rsidR="00BA4F86">
        <w:rPr>
          <w:rFonts w:ascii="Arial" w:hAnsi="Arial" w:cs="Arial"/>
          <w:lang w:val="es-ES_tradnl"/>
        </w:rPr>
        <w:t>C</w:t>
      </w:r>
      <w:r w:rsidRPr="00056E7D">
        <w:rPr>
          <w:rFonts w:ascii="Arial" w:hAnsi="Arial" w:cs="Arial"/>
          <w:lang w:val="es-ES_tradnl"/>
        </w:rPr>
        <w:t>omponentes</w:t>
      </w:r>
      <w:r w:rsidR="00BA4F86">
        <w:rPr>
          <w:rFonts w:ascii="Arial" w:hAnsi="Arial" w:cs="Arial"/>
          <w:lang w:val="es-ES_tradnl"/>
        </w:rPr>
        <w:t> </w:t>
      </w:r>
      <w:r w:rsidRPr="00056E7D">
        <w:rPr>
          <w:rFonts w:ascii="Arial" w:hAnsi="Arial" w:cs="Arial"/>
          <w:lang w:val="es-ES_tradnl"/>
        </w:rPr>
        <w:t xml:space="preserve">1 y 2. Esto incluiría la diseminación de los estudios de diagnóstico entre los actores principales y los resultados del análisis de oportunidades de uso de la tecnología </w:t>
      </w:r>
      <w:proofErr w:type="spellStart"/>
      <w:r w:rsidRPr="00056E7D">
        <w:rPr>
          <w:rFonts w:ascii="Arial" w:hAnsi="Arial" w:cs="Arial"/>
          <w:lang w:val="es-ES_tradnl"/>
        </w:rPr>
        <w:t>blockchain</w:t>
      </w:r>
      <w:proofErr w:type="spellEnd"/>
      <w:r w:rsidRPr="00056E7D">
        <w:rPr>
          <w:rFonts w:ascii="Arial" w:hAnsi="Arial" w:cs="Arial"/>
          <w:lang w:val="es-ES_tradnl"/>
        </w:rPr>
        <w:t>. Se prevén gastos de publicación</w:t>
      </w:r>
    </w:p>
    <w:p w:rsidR="00224D7B" w:rsidRPr="00056E7D" w:rsidRDefault="008279F3" w:rsidP="00A04BC1">
      <w:pPr>
        <w:spacing w:before="120" w:after="120"/>
        <w:jc w:val="both"/>
        <w:rPr>
          <w:lang w:val="es-ES_tradnl"/>
        </w:rPr>
      </w:pPr>
      <w:r w:rsidRPr="00056E7D">
        <w:rPr>
          <w:rFonts w:ascii="Arial" w:hAnsi="Arial" w:cs="Arial"/>
          <w:lang w:val="es-ES_tradnl"/>
        </w:rPr>
        <w:tab/>
      </w:r>
    </w:p>
    <w:p w:rsidR="00F57C4E" w:rsidRPr="00A04BC1" w:rsidRDefault="008279F3" w:rsidP="00F57C4E">
      <w:pPr>
        <w:spacing w:before="120" w:after="120"/>
        <w:ind w:left="579" w:hanging="579"/>
        <w:rPr>
          <w:rFonts w:ascii="Arial" w:hAnsi="Arial" w:cs="Arial"/>
          <w:b/>
          <w:lang w:val="es-ES_tradnl"/>
        </w:rPr>
      </w:pPr>
      <w:r w:rsidRPr="00A04BC1">
        <w:rPr>
          <w:rFonts w:ascii="Arial" w:hAnsi="Arial" w:cs="Arial"/>
          <w:b/>
          <w:lang w:val="es-ES_tradnl"/>
        </w:rPr>
        <w:t>IV.</w:t>
      </w:r>
      <w:r w:rsidRPr="00A04BC1">
        <w:rPr>
          <w:rFonts w:ascii="Arial" w:hAnsi="Arial" w:cs="Arial"/>
          <w:b/>
          <w:lang w:val="es-ES_tradnl"/>
        </w:rPr>
        <w:tab/>
      </w:r>
      <w:r w:rsidR="00F57C4E" w:rsidRPr="00A04BC1">
        <w:rPr>
          <w:rFonts w:ascii="Arial" w:hAnsi="Arial" w:cs="Arial"/>
          <w:b/>
          <w:lang w:val="es-ES_tradnl"/>
        </w:rPr>
        <w:t>Presupuesto</w:t>
      </w:r>
      <w:r w:rsidR="00762FC2">
        <w:rPr>
          <w:rFonts w:ascii="Arial" w:hAnsi="Arial" w:cs="Arial"/>
          <w:b/>
          <w:lang w:val="es-ES_tradnl"/>
        </w:rPr>
        <w:t xml:space="preserve"> indicativo</w:t>
      </w:r>
    </w:p>
    <w:p w:rsidR="00F57C4E" w:rsidRPr="00A04BC1" w:rsidRDefault="00F57C4E" w:rsidP="00F57C4E">
      <w:pPr>
        <w:spacing w:before="120" w:after="120"/>
        <w:jc w:val="center"/>
        <w:rPr>
          <w:rFonts w:ascii="Arial" w:hAnsi="Arial" w:cs="Arial"/>
          <w:b/>
          <w:sz w:val="20"/>
          <w:lang w:val="es-ES"/>
        </w:rPr>
      </w:pPr>
      <w:r w:rsidRPr="00A04BC1">
        <w:rPr>
          <w:rFonts w:ascii="Arial" w:hAnsi="Arial" w:cs="Arial"/>
          <w:b/>
          <w:sz w:val="20"/>
          <w:lang w:val="es-ES"/>
        </w:rPr>
        <w:t>Presupuesto Indicativo (US$)</w:t>
      </w:r>
    </w:p>
    <w:tbl>
      <w:tblPr>
        <w:tblStyle w:val="TableGrid"/>
        <w:tblW w:w="9017" w:type="dxa"/>
        <w:jc w:val="center"/>
        <w:tblLayout w:type="fixed"/>
        <w:tblLook w:val="04A0" w:firstRow="1" w:lastRow="0" w:firstColumn="1" w:lastColumn="0" w:noHBand="0" w:noVBand="1"/>
      </w:tblPr>
      <w:tblGrid>
        <w:gridCol w:w="2875"/>
        <w:gridCol w:w="2070"/>
        <w:gridCol w:w="1870"/>
        <w:gridCol w:w="2202"/>
      </w:tblGrid>
      <w:tr w:rsidR="00F57C4E" w:rsidTr="00A04BC1">
        <w:trPr>
          <w:jc w:val="center"/>
        </w:trPr>
        <w:tc>
          <w:tcPr>
            <w:tcW w:w="2875" w:type="dxa"/>
            <w:tcBorders>
              <w:top w:val="single" w:sz="4" w:space="0" w:color="auto"/>
              <w:left w:val="single" w:sz="4" w:space="0" w:color="auto"/>
              <w:bottom w:val="single" w:sz="4" w:space="0" w:color="auto"/>
              <w:right w:val="single" w:sz="4" w:space="0" w:color="auto"/>
            </w:tcBorders>
            <w:hideMark/>
          </w:tcPr>
          <w:p w:rsidR="00F57C4E" w:rsidRDefault="00F57C4E" w:rsidP="006B57F1">
            <w:pPr>
              <w:pStyle w:val="ListParagraph"/>
              <w:spacing w:before="60" w:after="60" w:line="240" w:lineRule="auto"/>
              <w:ind w:left="0"/>
              <w:jc w:val="center"/>
              <w:rPr>
                <w:rFonts w:ascii="Arial" w:hAnsi="Arial" w:cs="Arial"/>
                <w:b/>
                <w:sz w:val="18"/>
                <w:szCs w:val="18"/>
              </w:rPr>
            </w:pPr>
            <w:r>
              <w:rPr>
                <w:rFonts w:ascii="Arial" w:hAnsi="Arial" w:cs="Arial"/>
                <w:b/>
                <w:sz w:val="18"/>
                <w:szCs w:val="18"/>
              </w:rPr>
              <w:t>Actividad / Componente</w:t>
            </w:r>
          </w:p>
        </w:tc>
        <w:tc>
          <w:tcPr>
            <w:tcW w:w="2070" w:type="dxa"/>
            <w:tcBorders>
              <w:top w:val="single" w:sz="4" w:space="0" w:color="auto"/>
              <w:left w:val="single" w:sz="4" w:space="0" w:color="auto"/>
              <w:bottom w:val="single" w:sz="4" w:space="0" w:color="auto"/>
              <w:right w:val="single" w:sz="4" w:space="0" w:color="auto"/>
            </w:tcBorders>
            <w:hideMark/>
          </w:tcPr>
          <w:p w:rsidR="00F57C4E" w:rsidRDefault="00F57C4E" w:rsidP="006B57F1">
            <w:pPr>
              <w:pStyle w:val="ListParagraph"/>
              <w:spacing w:before="60" w:after="60" w:line="240" w:lineRule="auto"/>
              <w:ind w:left="0"/>
              <w:jc w:val="center"/>
              <w:rPr>
                <w:rFonts w:ascii="Arial" w:hAnsi="Arial" w:cs="Arial"/>
                <w:b/>
                <w:sz w:val="18"/>
                <w:szCs w:val="18"/>
              </w:rPr>
            </w:pPr>
            <w:r>
              <w:rPr>
                <w:rFonts w:ascii="Arial" w:hAnsi="Arial" w:cs="Arial"/>
                <w:b/>
                <w:sz w:val="18"/>
                <w:szCs w:val="18"/>
              </w:rPr>
              <w:t>BID/Financiamiento por Fondo (I</w:t>
            </w:r>
            <w:r w:rsidR="00E254DC">
              <w:rPr>
                <w:rFonts w:ascii="Arial" w:hAnsi="Arial" w:cs="Arial"/>
                <w:b/>
                <w:sz w:val="18"/>
                <w:szCs w:val="18"/>
              </w:rPr>
              <w:t>N</w:t>
            </w:r>
            <w:r>
              <w:rPr>
                <w:rFonts w:ascii="Arial" w:hAnsi="Arial" w:cs="Arial"/>
                <w:b/>
                <w:sz w:val="18"/>
                <w:szCs w:val="18"/>
              </w:rPr>
              <w:t>S)</w:t>
            </w:r>
          </w:p>
        </w:tc>
        <w:tc>
          <w:tcPr>
            <w:tcW w:w="1870" w:type="dxa"/>
            <w:tcBorders>
              <w:top w:val="single" w:sz="4" w:space="0" w:color="auto"/>
              <w:left w:val="single" w:sz="4" w:space="0" w:color="auto"/>
              <w:bottom w:val="single" w:sz="4" w:space="0" w:color="auto"/>
              <w:right w:val="single" w:sz="4" w:space="0" w:color="auto"/>
            </w:tcBorders>
            <w:hideMark/>
          </w:tcPr>
          <w:p w:rsidR="00F57C4E" w:rsidRDefault="00F57C4E" w:rsidP="006B57F1">
            <w:pPr>
              <w:pStyle w:val="ListParagraph"/>
              <w:spacing w:before="60" w:after="60" w:line="240" w:lineRule="auto"/>
              <w:ind w:left="0"/>
              <w:jc w:val="center"/>
              <w:rPr>
                <w:rFonts w:ascii="Arial" w:hAnsi="Arial" w:cs="Arial"/>
                <w:b/>
                <w:sz w:val="18"/>
                <w:szCs w:val="18"/>
              </w:rPr>
            </w:pPr>
            <w:r>
              <w:rPr>
                <w:rFonts w:ascii="Arial" w:hAnsi="Arial" w:cs="Arial"/>
                <w:b/>
                <w:sz w:val="18"/>
                <w:szCs w:val="18"/>
              </w:rPr>
              <w:t>Contrapartida</w:t>
            </w:r>
          </w:p>
          <w:p w:rsidR="00F57C4E" w:rsidRDefault="00F57C4E" w:rsidP="006B57F1">
            <w:pPr>
              <w:pStyle w:val="ListParagraph"/>
              <w:spacing w:before="60" w:after="60" w:line="240" w:lineRule="auto"/>
              <w:ind w:left="0"/>
              <w:jc w:val="center"/>
              <w:rPr>
                <w:rFonts w:ascii="Arial" w:hAnsi="Arial" w:cs="Arial"/>
                <w:b/>
                <w:sz w:val="18"/>
                <w:szCs w:val="18"/>
              </w:rPr>
            </w:pPr>
            <w:r>
              <w:rPr>
                <w:rFonts w:ascii="Arial" w:hAnsi="Arial" w:cs="Arial"/>
                <w:b/>
                <w:sz w:val="18"/>
                <w:szCs w:val="18"/>
              </w:rPr>
              <w:t>Local</w:t>
            </w:r>
          </w:p>
        </w:tc>
        <w:tc>
          <w:tcPr>
            <w:tcW w:w="2202" w:type="dxa"/>
            <w:tcBorders>
              <w:top w:val="single" w:sz="4" w:space="0" w:color="auto"/>
              <w:left w:val="single" w:sz="4" w:space="0" w:color="auto"/>
              <w:bottom w:val="single" w:sz="4" w:space="0" w:color="auto"/>
              <w:right w:val="single" w:sz="4" w:space="0" w:color="auto"/>
            </w:tcBorders>
            <w:hideMark/>
          </w:tcPr>
          <w:p w:rsidR="00F57C4E" w:rsidRDefault="00F57C4E" w:rsidP="006B57F1">
            <w:pPr>
              <w:pStyle w:val="ListParagraph"/>
              <w:spacing w:before="60" w:after="60" w:line="240" w:lineRule="auto"/>
              <w:ind w:left="0"/>
              <w:jc w:val="center"/>
              <w:rPr>
                <w:rFonts w:ascii="Arial" w:hAnsi="Arial" w:cs="Arial"/>
                <w:b/>
                <w:sz w:val="18"/>
                <w:szCs w:val="18"/>
              </w:rPr>
            </w:pPr>
            <w:r>
              <w:rPr>
                <w:rFonts w:ascii="Arial" w:hAnsi="Arial" w:cs="Arial"/>
                <w:b/>
                <w:sz w:val="18"/>
                <w:szCs w:val="18"/>
              </w:rPr>
              <w:t>Financiamiento</w:t>
            </w:r>
          </w:p>
          <w:p w:rsidR="00F57C4E" w:rsidRDefault="00F57C4E" w:rsidP="006B57F1">
            <w:pPr>
              <w:pStyle w:val="ListParagraph"/>
              <w:spacing w:before="60" w:after="60" w:line="240" w:lineRule="auto"/>
              <w:ind w:left="0"/>
              <w:jc w:val="center"/>
              <w:rPr>
                <w:rFonts w:ascii="Arial" w:hAnsi="Arial" w:cs="Arial"/>
                <w:b/>
                <w:sz w:val="18"/>
                <w:szCs w:val="18"/>
              </w:rPr>
            </w:pPr>
            <w:r>
              <w:rPr>
                <w:rFonts w:ascii="Arial" w:hAnsi="Arial" w:cs="Arial"/>
                <w:b/>
                <w:sz w:val="18"/>
                <w:szCs w:val="18"/>
              </w:rPr>
              <w:t xml:space="preserve">Total </w:t>
            </w:r>
          </w:p>
        </w:tc>
      </w:tr>
      <w:tr w:rsidR="00F57C4E" w:rsidTr="00A04BC1">
        <w:trPr>
          <w:trHeight w:val="395"/>
          <w:jc w:val="center"/>
        </w:trPr>
        <w:tc>
          <w:tcPr>
            <w:tcW w:w="2875" w:type="dxa"/>
            <w:tcBorders>
              <w:top w:val="single" w:sz="4" w:space="0" w:color="auto"/>
              <w:left w:val="single" w:sz="4" w:space="0" w:color="auto"/>
              <w:bottom w:val="single" w:sz="4" w:space="0" w:color="auto"/>
              <w:right w:val="single" w:sz="4" w:space="0" w:color="auto"/>
            </w:tcBorders>
            <w:hideMark/>
          </w:tcPr>
          <w:p w:rsidR="00F57C4E" w:rsidRDefault="00F57C4E" w:rsidP="00F57C4E">
            <w:pPr>
              <w:pStyle w:val="ListParagraph"/>
              <w:spacing w:before="60" w:after="60" w:line="240" w:lineRule="auto"/>
              <w:ind w:left="0"/>
              <w:rPr>
                <w:rFonts w:ascii="Arial" w:hAnsi="Arial" w:cs="Arial"/>
                <w:sz w:val="18"/>
                <w:szCs w:val="18"/>
              </w:rPr>
            </w:pPr>
            <w:r w:rsidRPr="00056E7D">
              <w:rPr>
                <w:rFonts w:ascii="Arial" w:hAnsi="Arial" w:cs="Arial"/>
                <w:sz w:val="18"/>
                <w:szCs w:val="18"/>
                <w:lang w:val="es-ES_tradnl"/>
              </w:rPr>
              <w:t>Modernización de la gestión de historias laborales</w:t>
            </w:r>
          </w:p>
        </w:tc>
        <w:tc>
          <w:tcPr>
            <w:tcW w:w="2070" w:type="dxa"/>
            <w:tcBorders>
              <w:top w:val="single" w:sz="4" w:space="0" w:color="auto"/>
              <w:left w:val="single" w:sz="4" w:space="0" w:color="auto"/>
              <w:bottom w:val="single" w:sz="4" w:space="0" w:color="auto"/>
              <w:right w:val="single" w:sz="4" w:space="0" w:color="auto"/>
            </w:tcBorders>
            <w:vAlign w:val="center"/>
            <w:hideMark/>
          </w:tcPr>
          <w:p w:rsidR="00F57C4E" w:rsidRDefault="00F57C4E" w:rsidP="00A04BC1">
            <w:pPr>
              <w:pStyle w:val="ListParagraph"/>
              <w:spacing w:before="60" w:after="60" w:line="240" w:lineRule="auto"/>
              <w:ind w:left="0"/>
              <w:jc w:val="right"/>
              <w:rPr>
                <w:rFonts w:ascii="Arial" w:hAnsi="Arial" w:cs="Arial"/>
                <w:b/>
                <w:sz w:val="18"/>
                <w:szCs w:val="18"/>
              </w:rPr>
            </w:pPr>
            <w:r>
              <w:rPr>
                <w:rFonts w:ascii="Arial" w:hAnsi="Arial" w:cs="Arial"/>
                <w:b/>
                <w:sz w:val="18"/>
                <w:szCs w:val="18"/>
              </w:rPr>
              <w:t>$ 110,000</w:t>
            </w:r>
          </w:p>
        </w:tc>
        <w:tc>
          <w:tcPr>
            <w:tcW w:w="1870" w:type="dxa"/>
            <w:tcBorders>
              <w:top w:val="single" w:sz="4" w:space="0" w:color="auto"/>
              <w:left w:val="single" w:sz="4" w:space="0" w:color="auto"/>
              <w:bottom w:val="single" w:sz="4" w:space="0" w:color="auto"/>
              <w:right w:val="single" w:sz="4" w:space="0" w:color="auto"/>
            </w:tcBorders>
            <w:vAlign w:val="center"/>
            <w:hideMark/>
          </w:tcPr>
          <w:p w:rsidR="00F57C4E" w:rsidRDefault="00F57C4E" w:rsidP="00A04BC1">
            <w:pPr>
              <w:pStyle w:val="ListParagraph"/>
              <w:spacing w:before="60" w:after="60" w:line="240" w:lineRule="auto"/>
              <w:ind w:left="0"/>
              <w:jc w:val="right"/>
              <w:rPr>
                <w:rFonts w:ascii="Arial" w:hAnsi="Arial" w:cs="Arial"/>
                <w:b/>
                <w:sz w:val="18"/>
                <w:szCs w:val="18"/>
              </w:rPr>
            </w:pPr>
            <w:r>
              <w:rPr>
                <w:rFonts w:ascii="Arial" w:hAnsi="Arial" w:cs="Arial"/>
                <w:b/>
                <w:sz w:val="18"/>
                <w:szCs w:val="18"/>
              </w:rPr>
              <w:t>$ 0</w:t>
            </w:r>
          </w:p>
        </w:tc>
        <w:tc>
          <w:tcPr>
            <w:tcW w:w="2202" w:type="dxa"/>
            <w:tcBorders>
              <w:top w:val="single" w:sz="4" w:space="0" w:color="auto"/>
              <w:left w:val="single" w:sz="4" w:space="0" w:color="auto"/>
              <w:bottom w:val="single" w:sz="4" w:space="0" w:color="auto"/>
              <w:right w:val="single" w:sz="4" w:space="0" w:color="auto"/>
            </w:tcBorders>
            <w:vAlign w:val="center"/>
            <w:hideMark/>
          </w:tcPr>
          <w:p w:rsidR="00F57C4E" w:rsidRDefault="00F57C4E" w:rsidP="00A04BC1">
            <w:pPr>
              <w:pStyle w:val="ListParagraph"/>
              <w:spacing w:before="60" w:after="60" w:line="240" w:lineRule="auto"/>
              <w:ind w:left="0"/>
              <w:jc w:val="right"/>
              <w:rPr>
                <w:rFonts w:ascii="Arial" w:hAnsi="Arial" w:cs="Arial"/>
                <w:b/>
                <w:sz w:val="18"/>
                <w:szCs w:val="18"/>
              </w:rPr>
            </w:pPr>
            <w:r>
              <w:rPr>
                <w:rFonts w:ascii="Arial" w:hAnsi="Arial" w:cs="Arial"/>
                <w:b/>
                <w:sz w:val="18"/>
                <w:szCs w:val="18"/>
              </w:rPr>
              <w:t>$ 110,000</w:t>
            </w:r>
          </w:p>
        </w:tc>
      </w:tr>
      <w:tr w:rsidR="00F57C4E" w:rsidTr="00A04BC1">
        <w:trPr>
          <w:jc w:val="center"/>
        </w:trPr>
        <w:tc>
          <w:tcPr>
            <w:tcW w:w="2875" w:type="dxa"/>
            <w:tcBorders>
              <w:top w:val="single" w:sz="4" w:space="0" w:color="auto"/>
              <w:left w:val="single" w:sz="4" w:space="0" w:color="auto"/>
              <w:bottom w:val="single" w:sz="4" w:space="0" w:color="auto"/>
              <w:right w:val="single" w:sz="4" w:space="0" w:color="auto"/>
            </w:tcBorders>
            <w:hideMark/>
          </w:tcPr>
          <w:p w:rsidR="00F57C4E" w:rsidRDefault="00F57C4E" w:rsidP="00F57C4E">
            <w:pPr>
              <w:pStyle w:val="ListParagraph"/>
              <w:spacing w:before="60" w:after="60" w:line="240" w:lineRule="auto"/>
              <w:ind w:left="0"/>
              <w:rPr>
                <w:rFonts w:ascii="Arial" w:hAnsi="Arial" w:cs="Arial"/>
                <w:sz w:val="18"/>
                <w:szCs w:val="18"/>
              </w:rPr>
            </w:pPr>
            <w:r w:rsidRPr="00056E7D">
              <w:rPr>
                <w:rFonts w:ascii="Arial" w:hAnsi="Arial" w:cs="Arial"/>
                <w:sz w:val="18"/>
                <w:szCs w:val="18"/>
                <w:lang w:val="es-ES_tradnl"/>
              </w:rPr>
              <w:t>Fortalecimiento de los sistemas de fiscalización de la seguridad social</w:t>
            </w:r>
          </w:p>
        </w:tc>
        <w:tc>
          <w:tcPr>
            <w:tcW w:w="2070" w:type="dxa"/>
            <w:tcBorders>
              <w:top w:val="single" w:sz="4" w:space="0" w:color="auto"/>
              <w:left w:val="single" w:sz="4" w:space="0" w:color="auto"/>
              <w:bottom w:val="single" w:sz="4" w:space="0" w:color="auto"/>
              <w:right w:val="single" w:sz="4" w:space="0" w:color="auto"/>
            </w:tcBorders>
            <w:vAlign w:val="center"/>
            <w:hideMark/>
          </w:tcPr>
          <w:p w:rsidR="00F57C4E" w:rsidRDefault="00F57C4E" w:rsidP="00A04BC1">
            <w:pPr>
              <w:pStyle w:val="ListParagraph"/>
              <w:spacing w:before="60" w:after="60" w:line="240" w:lineRule="auto"/>
              <w:ind w:left="0"/>
              <w:jc w:val="right"/>
              <w:rPr>
                <w:rFonts w:ascii="Arial" w:hAnsi="Arial" w:cs="Arial"/>
                <w:b/>
                <w:sz w:val="18"/>
                <w:szCs w:val="18"/>
              </w:rPr>
            </w:pPr>
            <w:r>
              <w:rPr>
                <w:rFonts w:ascii="Arial" w:hAnsi="Arial" w:cs="Arial"/>
                <w:b/>
                <w:sz w:val="18"/>
                <w:szCs w:val="18"/>
              </w:rPr>
              <w:t>$ 80,000</w:t>
            </w:r>
          </w:p>
        </w:tc>
        <w:tc>
          <w:tcPr>
            <w:tcW w:w="1870" w:type="dxa"/>
            <w:tcBorders>
              <w:top w:val="single" w:sz="4" w:space="0" w:color="auto"/>
              <w:left w:val="single" w:sz="4" w:space="0" w:color="auto"/>
              <w:bottom w:val="single" w:sz="4" w:space="0" w:color="auto"/>
              <w:right w:val="single" w:sz="4" w:space="0" w:color="auto"/>
            </w:tcBorders>
            <w:vAlign w:val="center"/>
            <w:hideMark/>
          </w:tcPr>
          <w:p w:rsidR="00F57C4E" w:rsidRDefault="00F57C4E" w:rsidP="00A04BC1">
            <w:pPr>
              <w:pStyle w:val="ListParagraph"/>
              <w:spacing w:before="60" w:after="60" w:line="240" w:lineRule="auto"/>
              <w:ind w:left="0"/>
              <w:jc w:val="right"/>
              <w:rPr>
                <w:rFonts w:ascii="Arial" w:hAnsi="Arial" w:cs="Arial"/>
                <w:b/>
                <w:sz w:val="18"/>
                <w:szCs w:val="18"/>
              </w:rPr>
            </w:pPr>
            <w:r>
              <w:rPr>
                <w:rFonts w:ascii="Arial" w:hAnsi="Arial" w:cs="Arial"/>
                <w:b/>
                <w:sz w:val="18"/>
                <w:szCs w:val="18"/>
              </w:rPr>
              <w:t>$ 0</w:t>
            </w:r>
          </w:p>
        </w:tc>
        <w:tc>
          <w:tcPr>
            <w:tcW w:w="2202" w:type="dxa"/>
            <w:tcBorders>
              <w:top w:val="single" w:sz="4" w:space="0" w:color="auto"/>
              <w:left w:val="single" w:sz="4" w:space="0" w:color="auto"/>
              <w:bottom w:val="single" w:sz="4" w:space="0" w:color="auto"/>
              <w:right w:val="single" w:sz="4" w:space="0" w:color="auto"/>
            </w:tcBorders>
            <w:vAlign w:val="center"/>
            <w:hideMark/>
          </w:tcPr>
          <w:p w:rsidR="00F57C4E" w:rsidRDefault="00F57C4E" w:rsidP="00A04BC1">
            <w:pPr>
              <w:pStyle w:val="ListParagraph"/>
              <w:spacing w:before="60" w:after="60" w:line="240" w:lineRule="auto"/>
              <w:ind w:left="0"/>
              <w:jc w:val="right"/>
              <w:rPr>
                <w:rFonts w:ascii="Arial" w:hAnsi="Arial" w:cs="Arial"/>
                <w:b/>
                <w:sz w:val="18"/>
                <w:szCs w:val="18"/>
              </w:rPr>
            </w:pPr>
            <w:r>
              <w:rPr>
                <w:rFonts w:ascii="Arial" w:hAnsi="Arial" w:cs="Arial"/>
                <w:b/>
                <w:sz w:val="18"/>
                <w:szCs w:val="18"/>
              </w:rPr>
              <w:t>$ 80,000</w:t>
            </w:r>
          </w:p>
        </w:tc>
      </w:tr>
      <w:tr w:rsidR="00F57C4E" w:rsidTr="00A04BC1">
        <w:trPr>
          <w:jc w:val="center"/>
        </w:trPr>
        <w:tc>
          <w:tcPr>
            <w:tcW w:w="2875" w:type="dxa"/>
            <w:tcBorders>
              <w:top w:val="single" w:sz="4" w:space="0" w:color="auto"/>
              <w:left w:val="single" w:sz="4" w:space="0" w:color="auto"/>
              <w:bottom w:val="single" w:sz="4" w:space="0" w:color="auto"/>
              <w:right w:val="single" w:sz="4" w:space="0" w:color="auto"/>
            </w:tcBorders>
            <w:hideMark/>
          </w:tcPr>
          <w:p w:rsidR="00F57C4E" w:rsidRDefault="00F57C4E" w:rsidP="00F57C4E">
            <w:pPr>
              <w:pStyle w:val="ListParagraph"/>
              <w:spacing w:before="60" w:after="60" w:line="240" w:lineRule="auto"/>
              <w:ind w:left="0"/>
              <w:rPr>
                <w:rFonts w:ascii="Arial" w:hAnsi="Arial" w:cs="Arial"/>
                <w:sz w:val="18"/>
                <w:szCs w:val="18"/>
              </w:rPr>
            </w:pPr>
            <w:r>
              <w:rPr>
                <w:rFonts w:ascii="Arial" w:hAnsi="Arial" w:cs="Arial"/>
                <w:sz w:val="18"/>
                <w:szCs w:val="18"/>
              </w:rPr>
              <w:t>Comunicación y diseminación</w:t>
            </w:r>
          </w:p>
        </w:tc>
        <w:tc>
          <w:tcPr>
            <w:tcW w:w="2070" w:type="dxa"/>
            <w:tcBorders>
              <w:top w:val="single" w:sz="4" w:space="0" w:color="auto"/>
              <w:left w:val="single" w:sz="4" w:space="0" w:color="auto"/>
              <w:bottom w:val="single" w:sz="4" w:space="0" w:color="auto"/>
              <w:right w:val="single" w:sz="4" w:space="0" w:color="auto"/>
            </w:tcBorders>
            <w:vAlign w:val="center"/>
            <w:hideMark/>
          </w:tcPr>
          <w:p w:rsidR="00F57C4E" w:rsidRDefault="00F57C4E" w:rsidP="00A04BC1">
            <w:pPr>
              <w:pStyle w:val="ListParagraph"/>
              <w:spacing w:before="60" w:after="60" w:line="240" w:lineRule="auto"/>
              <w:ind w:left="0"/>
              <w:jc w:val="right"/>
              <w:rPr>
                <w:rFonts w:ascii="Arial" w:hAnsi="Arial" w:cs="Arial"/>
                <w:b/>
                <w:sz w:val="18"/>
                <w:szCs w:val="18"/>
              </w:rPr>
            </w:pPr>
            <w:r>
              <w:rPr>
                <w:rFonts w:ascii="Arial" w:hAnsi="Arial" w:cs="Arial"/>
                <w:b/>
                <w:sz w:val="18"/>
                <w:szCs w:val="18"/>
              </w:rPr>
              <w:t>$ 10,000</w:t>
            </w:r>
          </w:p>
        </w:tc>
        <w:tc>
          <w:tcPr>
            <w:tcW w:w="1870" w:type="dxa"/>
            <w:tcBorders>
              <w:top w:val="single" w:sz="4" w:space="0" w:color="auto"/>
              <w:left w:val="single" w:sz="4" w:space="0" w:color="auto"/>
              <w:bottom w:val="single" w:sz="4" w:space="0" w:color="auto"/>
              <w:right w:val="single" w:sz="4" w:space="0" w:color="auto"/>
            </w:tcBorders>
            <w:vAlign w:val="center"/>
            <w:hideMark/>
          </w:tcPr>
          <w:p w:rsidR="00F57C4E" w:rsidRDefault="00F57C4E" w:rsidP="00A04BC1">
            <w:pPr>
              <w:pStyle w:val="ListParagraph"/>
              <w:spacing w:before="60" w:after="60" w:line="240" w:lineRule="auto"/>
              <w:ind w:left="0"/>
              <w:jc w:val="right"/>
              <w:rPr>
                <w:rFonts w:ascii="Arial" w:hAnsi="Arial" w:cs="Arial"/>
                <w:b/>
                <w:sz w:val="18"/>
                <w:szCs w:val="18"/>
              </w:rPr>
            </w:pPr>
            <w:r>
              <w:rPr>
                <w:rFonts w:ascii="Arial" w:hAnsi="Arial" w:cs="Arial"/>
                <w:b/>
                <w:sz w:val="18"/>
                <w:szCs w:val="18"/>
              </w:rPr>
              <w:t>$ 0</w:t>
            </w:r>
          </w:p>
        </w:tc>
        <w:tc>
          <w:tcPr>
            <w:tcW w:w="2202" w:type="dxa"/>
            <w:tcBorders>
              <w:top w:val="single" w:sz="4" w:space="0" w:color="auto"/>
              <w:left w:val="single" w:sz="4" w:space="0" w:color="auto"/>
              <w:bottom w:val="single" w:sz="4" w:space="0" w:color="auto"/>
              <w:right w:val="single" w:sz="4" w:space="0" w:color="auto"/>
            </w:tcBorders>
            <w:vAlign w:val="center"/>
            <w:hideMark/>
          </w:tcPr>
          <w:p w:rsidR="00F57C4E" w:rsidRDefault="00F57C4E" w:rsidP="00A04BC1">
            <w:pPr>
              <w:pStyle w:val="ListParagraph"/>
              <w:spacing w:before="60" w:after="60" w:line="240" w:lineRule="auto"/>
              <w:ind w:left="0"/>
              <w:jc w:val="right"/>
              <w:rPr>
                <w:rFonts w:ascii="Arial" w:hAnsi="Arial" w:cs="Arial"/>
                <w:b/>
                <w:sz w:val="18"/>
                <w:szCs w:val="18"/>
              </w:rPr>
            </w:pPr>
            <w:r>
              <w:rPr>
                <w:rFonts w:ascii="Arial" w:hAnsi="Arial" w:cs="Arial"/>
                <w:b/>
                <w:sz w:val="18"/>
                <w:szCs w:val="18"/>
              </w:rPr>
              <w:t>$ 10,000</w:t>
            </w:r>
          </w:p>
        </w:tc>
      </w:tr>
      <w:tr w:rsidR="00F57C4E" w:rsidTr="00A04BC1">
        <w:trPr>
          <w:jc w:val="center"/>
        </w:trPr>
        <w:tc>
          <w:tcPr>
            <w:tcW w:w="2875" w:type="dxa"/>
            <w:tcBorders>
              <w:top w:val="single" w:sz="4" w:space="0" w:color="auto"/>
              <w:left w:val="single" w:sz="4" w:space="0" w:color="auto"/>
              <w:bottom w:val="single" w:sz="4" w:space="0" w:color="auto"/>
              <w:right w:val="single" w:sz="4" w:space="0" w:color="auto"/>
            </w:tcBorders>
            <w:hideMark/>
          </w:tcPr>
          <w:p w:rsidR="00F57C4E" w:rsidRDefault="00F57C4E" w:rsidP="00F57C4E">
            <w:pPr>
              <w:pStyle w:val="ListParagraph"/>
              <w:spacing w:before="60" w:after="60" w:line="240" w:lineRule="auto"/>
              <w:ind w:left="0"/>
              <w:rPr>
                <w:rFonts w:ascii="Arial" w:hAnsi="Arial" w:cs="Arial"/>
                <w:sz w:val="18"/>
                <w:szCs w:val="18"/>
              </w:rPr>
            </w:pPr>
            <w:r>
              <w:rPr>
                <w:rFonts w:ascii="Arial" w:hAnsi="Arial" w:cs="Arial"/>
                <w:sz w:val="18"/>
                <w:szCs w:val="18"/>
              </w:rPr>
              <w:t>Total</w:t>
            </w:r>
          </w:p>
        </w:tc>
        <w:tc>
          <w:tcPr>
            <w:tcW w:w="2070" w:type="dxa"/>
            <w:tcBorders>
              <w:top w:val="single" w:sz="4" w:space="0" w:color="auto"/>
              <w:left w:val="single" w:sz="4" w:space="0" w:color="auto"/>
              <w:bottom w:val="single" w:sz="4" w:space="0" w:color="auto"/>
              <w:right w:val="single" w:sz="4" w:space="0" w:color="auto"/>
            </w:tcBorders>
            <w:vAlign w:val="center"/>
            <w:hideMark/>
          </w:tcPr>
          <w:p w:rsidR="00F57C4E" w:rsidRDefault="00F57C4E" w:rsidP="00A04BC1">
            <w:pPr>
              <w:pStyle w:val="ListParagraph"/>
              <w:spacing w:before="60" w:after="60" w:line="240" w:lineRule="auto"/>
              <w:ind w:left="0"/>
              <w:jc w:val="right"/>
              <w:rPr>
                <w:rFonts w:ascii="Arial" w:hAnsi="Arial" w:cs="Arial"/>
                <w:b/>
                <w:sz w:val="18"/>
                <w:szCs w:val="18"/>
              </w:rPr>
            </w:pPr>
            <w:r>
              <w:rPr>
                <w:rFonts w:ascii="Arial" w:hAnsi="Arial" w:cs="Arial"/>
                <w:b/>
                <w:sz w:val="18"/>
                <w:szCs w:val="18"/>
              </w:rPr>
              <w:t xml:space="preserve"> $ 200,000</w:t>
            </w:r>
          </w:p>
        </w:tc>
        <w:tc>
          <w:tcPr>
            <w:tcW w:w="1870" w:type="dxa"/>
            <w:tcBorders>
              <w:top w:val="single" w:sz="4" w:space="0" w:color="auto"/>
              <w:left w:val="single" w:sz="4" w:space="0" w:color="auto"/>
              <w:bottom w:val="single" w:sz="4" w:space="0" w:color="auto"/>
              <w:right w:val="single" w:sz="4" w:space="0" w:color="auto"/>
            </w:tcBorders>
            <w:vAlign w:val="center"/>
            <w:hideMark/>
          </w:tcPr>
          <w:p w:rsidR="00F57C4E" w:rsidRDefault="00F57C4E" w:rsidP="00A04BC1">
            <w:pPr>
              <w:pStyle w:val="ListParagraph"/>
              <w:spacing w:before="60" w:after="60" w:line="240" w:lineRule="auto"/>
              <w:ind w:left="0"/>
              <w:jc w:val="right"/>
              <w:rPr>
                <w:rFonts w:ascii="Arial" w:hAnsi="Arial" w:cs="Arial"/>
                <w:b/>
                <w:sz w:val="18"/>
                <w:szCs w:val="18"/>
              </w:rPr>
            </w:pPr>
            <w:r>
              <w:rPr>
                <w:rFonts w:ascii="Arial" w:hAnsi="Arial" w:cs="Arial"/>
                <w:b/>
                <w:sz w:val="18"/>
                <w:szCs w:val="18"/>
              </w:rPr>
              <w:t>0</w:t>
            </w:r>
          </w:p>
        </w:tc>
        <w:tc>
          <w:tcPr>
            <w:tcW w:w="2202" w:type="dxa"/>
            <w:tcBorders>
              <w:top w:val="single" w:sz="4" w:space="0" w:color="auto"/>
              <w:left w:val="single" w:sz="4" w:space="0" w:color="auto"/>
              <w:bottom w:val="single" w:sz="4" w:space="0" w:color="auto"/>
              <w:right w:val="single" w:sz="4" w:space="0" w:color="auto"/>
            </w:tcBorders>
            <w:vAlign w:val="center"/>
            <w:hideMark/>
          </w:tcPr>
          <w:p w:rsidR="00F57C4E" w:rsidRDefault="00F57C4E" w:rsidP="00A04BC1">
            <w:pPr>
              <w:pStyle w:val="ListParagraph"/>
              <w:spacing w:before="60" w:after="60" w:line="240" w:lineRule="auto"/>
              <w:ind w:left="0"/>
              <w:jc w:val="right"/>
              <w:rPr>
                <w:rFonts w:ascii="Arial" w:hAnsi="Arial" w:cs="Arial"/>
                <w:b/>
                <w:sz w:val="18"/>
                <w:szCs w:val="18"/>
              </w:rPr>
            </w:pPr>
            <w:r>
              <w:rPr>
                <w:rFonts w:ascii="Arial" w:hAnsi="Arial" w:cs="Arial"/>
                <w:b/>
                <w:sz w:val="18"/>
                <w:szCs w:val="18"/>
              </w:rPr>
              <w:t>$ 200,000</w:t>
            </w:r>
          </w:p>
        </w:tc>
      </w:tr>
    </w:tbl>
    <w:p w:rsidR="00224D7B" w:rsidRPr="00A04BC1" w:rsidRDefault="008279F3">
      <w:pPr>
        <w:spacing w:before="120" w:after="120"/>
        <w:ind w:left="579" w:hanging="579"/>
        <w:rPr>
          <w:lang w:val="es-ES_tradnl"/>
        </w:rPr>
      </w:pPr>
      <w:r w:rsidRPr="00A04BC1">
        <w:rPr>
          <w:rFonts w:ascii="Arial" w:hAnsi="Arial" w:cs="Arial"/>
          <w:b/>
          <w:lang w:val="es-ES_tradnl"/>
        </w:rPr>
        <w:t>V.</w:t>
      </w:r>
      <w:r w:rsidRPr="00A04BC1">
        <w:rPr>
          <w:rFonts w:ascii="Arial" w:hAnsi="Arial" w:cs="Arial"/>
          <w:b/>
          <w:lang w:val="es-ES_tradnl"/>
        </w:rPr>
        <w:tab/>
      </w:r>
      <w:r w:rsidR="00F57C4E" w:rsidRPr="00A04BC1">
        <w:rPr>
          <w:rFonts w:ascii="Arial" w:hAnsi="Arial" w:cs="Arial"/>
          <w:b/>
          <w:lang w:val="es-ES_tradnl"/>
        </w:rPr>
        <w:t>Agencia ejecutora y estructura de ejecución</w:t>
      </w:r>
    </w:p>
    <w:p w:rsidR="00224D7B" w:rsidRPr="00056E7D" w:rsidRDefault="008279F3">
      <w:pPr>
        <w:spacing w:before="200" w:after="200"/>
        <w:ind w:left="579" w:hanging="579"/>
        <w:jc w:val="both"/>
        <w:rPr>
          <w:lang w:val="es-ES_tradnl"/>
        </w:rPr>
      </w:pPr>
      <w:r w:rsidRPr="00056E7D">
        <w:rPr>
          <w:rFonts w:ascii="Arial" w:hAnsi="Arial" w:cs="Arial"/>
          <w:lang w:val="es-ES_tradnl"/>
        </w:rPr>
        <w:t>5.1</w:t>
      </w:r>
      <w:r w:rsidRPr="00056E7D">
        <w:rPr>
          <w:rFonts w:ascii="Arial" w:hAnsi="Arial" w:cs="Arial"/>
          <w:lang w:val="es-ES_tradnl"/>
        </w:rPr>
        <w:tab/>
        <w:t>A pedido explícito del Gobierno de Colombia, el B</w:t>
      </w:r>
      <w:r w:rsidR="00B821E7">
        <w:rPr>
          <w:rFonts w:ascii="Arial" w:hAnsi="Arial" w:cs="Arial"/>
          <w:lang w:val="es-ES_tradnl"/>
        </w:rPr>
        <w:t>anco</w:t>
      </w:r>
      <w:r w:rsidRPr="00056E7D">
        <w:rPr>
          <w:rFonts w:ascii="Arial" w:hAnsi="Arial" w:cs="Arial"/>
          <w:lang w:val="es-ES_tradnl"/>
        </w:rPr>
        <w:t xml:space="preserve"> será el ejecutor de esta CT. La División de Mercados Laborales (SCL/LMK) tendrá la responsabilidad general por la dirección, supervisión, coordinación</w:t>
      </w:r>
      <w:r w:rsidR="008B6109">
        <w:rPr>
          <w:rFonts w:ascii="Arial" w:hAnsi="Arial" w:cs="Arial"/>
          <w:lang w:val="es-ES_tradnl"/>
        </w:rPr>
        <w:t xml:space="preserve"> y ejecución</w:t>
      </w:r>
      <w:r w:rsidRPr="00056E7D">
        <w:rPr>
          <w:rFonts w:ascii="Arial" w:hAnsi="Arial" w:cs="Arial"/>
          <w:lang w:val="es-ES_tradnl"/>
        </w:rPr>
        <w:t>. Esta ejecución se realizará en estrecha coordinación y colaboración con el gobierno, en particular con la UGPP y el Ministerio de Hacienda y Crédito Público.</w:t>
      </w:r>
    </w:p>
    <w:p w:rsidR="00224D7B" w:rsidRPr="00056E7D" w:rsidRDefault="008279F3">
      <w:pPr>
        <w:spacing w:before="200" w:after="200"/>
        <w:ind w:left="579" w:hanging="579"/>
        <w:jc w:val="both"/>
        <w:rPr>
          <w:lang w:val="es-ES_tradnl"/>
        </w:rPr>
      </w:pPr>
      <w:r w:rsidRPr="00056E7D">
        <w:rPr>
          <w:rFonts w:ascii="Arial" w:hAnsi="Arial" w:cs="Arial"/>
          <w:lang w:val="es-ES_tradnl"/>
        </w:rPr>
        <w:t>5.2</w:t>
      </w:r>
      <w:r w:rsidRPr="00056E7D">
        <w:rPr>
          <w:rFonts w:ascii="Arial" w:hAnsi="Arial" w:cs="Arial"/>
          <w:lang w:val="es-ES_tradnl"/>
        </w:rPr>
        <w:tab/>
        <w:t>La cooperación técnica será ejecutada por el BID, atendiendo a una solicitud presentada por la UGPP. Esta solicitud responde a la necesidad de contar con una administración que gestione ágil y oportunamente los recursos asignados al proyecto y la limitación que tiene la entidad para destinar equipos a la ejecución.</w:t>
      </w:r>
    </w:p>
    <w:p w:rsidR="00224D7B" w:rsidRPr="00056E7D" w:rsidRDefault="008279F3">
      <w:pPr>
        <w:spacing w:before="120" w:after="120"/>
        <w:ind w:left="579" w:hanging="579"/>
        <w:rPr>
          <w:lang w:val="es-ES_tradnl"/>
        </w:rPr>
      </w:pPr>
      <w:r w:rsidRPr="00056E7D">
        <w:rPr>
          <w:rFonts w:ascii="Arial" w:hAnsi="Arial" w:cs="Arial"/>
          <w:b/>
          <w:lang w:val="es-ES_tradnl"/>
        </w:rPr>
        <w:t>VI.</w:t>
      </w:r>
      <w:r w:rsidRPr="00056E7D">
        <w:rPr>
          <w:rFonts w:ascii="Arial" w:hAnsi="Arial" w:cs="Arial"/>
          <w:b/>
          <w:lang w:val="es-ES_tradnl"/>
        </w:rPr>
        <w:tab/>
      </w:r>
      <w:r w:rsidR="00F57C4E">
        <w:rPr>
          <w:rFonts w:ascii="Arial" w:hAnsi="Arial" w:cs="Arial"/>
          <w:b/>
          <w:lang w:val="es-ES_tradnl"/>
        </w:rPr>
        <w:t>Riesgos importantes y sostenibilidad</w:t>
      </w:r>
    </w:p>
    <w:p w:rsidR="00224D7B" w:rsidRPr="00056E7D" w:rsidRDefault="008279F3">
      <w:pPr>
        <w:spacing w:before="200" w:after="200"/>
        <w:ind w:left="579" w:hanging="579"/>
        <w:jc w:val="both"/>
        <w:rPr>
          <w:lang w:val="es-ES_tradnl"/>
        </w:rPr>
      </w:pPr>
      <w:r w:rsidRPr="00056E7D">
        <w:rPr>
          <w:rFonts w:ascii="Arial" w:hAnsi="Arial" w:cs="Arial"/>
          <w:lang w:val="es-ES_tradnl"/>
        </w:rPr>
        <w:t>6.1</w:t>
      </w:r>
      <w:r w:rsidRPr="00056E7D">
        <w:rPr>
          <w:rFonts w:ascii="Arial" w:hAnsi="Arial" w:cs="Arial"/>
          <w:lang w:val="es-ES_tradnl"/>
        </w:rPr>
        <w:tab/>
        <w:t xml:space="preserve">Un posible riesgo está asociado a un eventual cambio en la administración, por las elecciones presidenciales de mitad de año. Esto se ha mitigado haciendo un trabajo muy cuidadoso de alineación en la propuesta de la TC con las prioridades que </w:t>
      </w:r>
      <w:r w:rsidR="00B821E7" w:rsidRPr="00056E7D">
        <w:rPr>
          <w:rFonts w:ascii="Arial" w:hAnsi="Arial" w:cs="Arial"/>
          <w:lang w:val="es-ES_tradnl"/>
        </w:rPr>
        <w:t>estas</w:t>
      </w:r>
      <w:r w:rsidRPr="00056E7D">
        <w:rPr>
          <w:rFonts w:ascii="Arial" w:hAnsi="Arial" w:cs="Arial"/>
          <w:lang w:val="es-ES_tradnl"/>
        </w:rPr>
        <w:t xml:space="preserve"> entidades han tenido en el largo plazo y su objetivo misional. De otra parte, tanto la UGPP como el Ministerio de Hacienda por tradición tienen equipos técnicos de mayor estabilidad que otras entidades del gobierno, por lo que el riesgo de un cambio muy drástico en la interlocución es relativamente bajo.</w:t>
      </w:r>
    </w:p>
    <w:p w:rsidR="00224D7B" w:rsidRPr="00A04BC1" w:rsidRDefault="008279F3">
      <w:pPr>
        <w:spacing w:before="120" w:after="120"/>
        <w:ind w:left="579" w:hanging="579"/>
        <w:rPr>
          <w:lang w:val="es-ES_tradnl"/>
        </w:rPr>
      </w:pPr>
      <w:r w:rsidRPr="00A04BC1">
        <w:rPr>
          <w:rFonts w:ascii="Arial" w:hAnsi="Arial" w:cs="Arial"/>
          <w:b/>
          <w:lang w:val="es-ES_tradnl"/>
        </w:rPr>
        <w:t>VII.</w:t>
      </w:r>
      <w:r w:rsidRPr="00A04BC1">
        <w:rPr>
          <w:rFonts w:ascii="Arial" w:hAnsi="Arial" w:cs="Arial"/>
          <w:b/>
          <w:lang w:val="es-ES_tradnl"/>
        </w:rPr>
        <w:tab/>
      </w:r>
      <w:r w:rsidR="00F57C4E" w:rsidRPr="00A04BC1">
        <w:rPr>
          <w:rFonts w:ascii="Arial" w:hAnsi="Arial" w:cs="Arial"/>
          <w:b/>
          <w:lang w:val="es-ES_tradnl"/>
        </w:rPr>
        <w:t xml:space="preserve">Salvaguardias ambientales </w:t>
      </w:r>
    </w:p>
    <w:p w:rsidR="00224D7B" w:rsidRPr="00A04BC1" w:rsidRDefault="008279F3">
      <w:pPr>
        <w:spacing w:before="240" w:after="120"/>
        <w:ind w:left="579" w:hanging="579"/>
        <w:jc w:val="both"/>
        <w:rPr>
          <w:lang w:val="es-ES_tradnl"/>
        </w:rPr>
      </w:pPr>
      <w:r w:rsidRPr="00A04BC1">
        <w:rPr>
          <w:rFonts w:ascii="Arial" w:hAnsi="Arial" w:cs="Arial"/>
          <w:lang w:val="es-ES_tradnl"/>
        </w:rPr>
        <w:t>7.1</w:t>
      </w:r>
      <w:r w:rsidRPr="00A04BC1">
        <w:rPr>
          <w:rFonts w:ascii="Arial" w:hAnsi="Arial" w:cs="Arial"/>
          <w:lang w:val="es-ES_tradnl"/>
        </w:rPr>
        <w:tab/>
      </w:r>
      <w:r w:rsidR="00F57C4E" w:rsidRPr="00A04BC1">
        <w:rPr>
          <w:rFonts w:ascii="Arial" w:hAnsi="Arial" w:cs="Arial"/>
          <w:lang w:val="es-ES_tradnl"/>
        </w:rPr>
        <w:t xml:space="preserve">Clasificación C - </w:t>
      </w:r>
      <w:r w:rsidR="00F57C4E">
        <w:rPr>
          <w:rFonts w:ascii="Arial" w:hAnsi="Arial" w:cs="Arial"/>
          <w:lang w:val="es-ES_tradnl"/>
        </w:rPr>
        <w:t xml:space="preserve">Debido </w:t>
      </w:r>
      <w:r w:rsidR="00F57C4E" w:rsidRPr="00504461">
        <w:rPr>
          <w:rFonts w:ascii="Arial" w:hAnsi="Arial" w:cs="Arial"/>
          <w:lang w:val="es-ES_tradnl"/>
        </w:rPr>
        <w:t>a la naturaleza de este proyecto, se estima que no tendrá un impacto ambiental o social negativo significativo.</w:t>
      </w:r>
    </w:p>
    <w:sectPr w:rsidR="00224D7B" w:rsidRPr="00A04BC1" w:rsidSect="00FC3028">
      <w:footerReference w:type="even" r:id="rId7"/>
      <w:footerReference w:type="default" r:id="rId8"/>
      <w:foot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17E3" w:rsidRDefault="003D17E3">
      <w:r>
        <w:separator/>
      </w:r>
    </w:p>
  </w:endnote>
  <w:endnote w:type="continuationSeparator" w:id="0">
    <w:p w:rsidR="003D17E3" w:rsidRDefault="003D1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472B" w:rsidRDefault="003D17E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472B" w:rsidRDefault="003D17E3"/>
  <w:p w:rsidR="00224D7B" w:rsidRDefault="008279F3">
    <w:pPr>
      <w:jc w:val="center"/>
    </w:pPr>
    <w:r>
      <w:t xml:space="preserve">- </w:t>
    </w:r>
    <w:r>
      <w:fldChar w:fldCharType="begin"/>
    </w:r>
    <w:r>
      <w:instrText xml:space="preserve"> PAGE   \* MERGEFORMAT </w:instrText>
    </w:r>
    <w:r>
      <w:fldChar w:fldCharType="separate"/>
    </w:r>
    <w:r>
      <w:rPr>
        <w:noProof/>
      </w:rPr>
      <w:t>1</w:t>
    </w:r>
    <w:r>
      <w:rPr>
        <w:noProof/>
      </w:rP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472B" w:rsidRDefault="003D17E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17E3" w:rsidRDefault="003D17E3">
      <w:r>
        <w:separator/>
      </w:r>
    </w:p>
  </w:footnote>
  <w:footnote w:type="continuationSeparator" w:id="0">
    <w:p w:rsidR="003D17E3" w:rsidRDefault="003D17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D129EE"/>
    <w:multiLevelType w:val="hybridMultilevel"/>
    <w:tmpl w:val="7B20E4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CC10A8F"/>
    <w:multiLevelType w:val="hybridMultilevel"/>
    <w:tmpl w:val="92400A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3DA472B"/>
    <w:multiLevelType w:val="multilevel"/>
    <w:tmpl w:val="4C34C53E"/>
    <w:lvl w:ilvl="0">
      <w:start w:val="1"/>
      <w:numFmt w:val="upperRoman"/>
      <w:lvlText w:val="%1."/>
      <w:lvlJc w:val="right"/>
      <w:pPr>
        <w:ind w:left="360" w:hanging="360"/>
      </w:pPr>
      <w:rPr>
        <w:color w:val="auto"/>
      </w:rPr>
    </w:lvl>
    <w:lvl w:ilvl="1">
      <w:start w:val="1"/>
      <w:numFmt w:val="decimal"/>
      <w:isLgl/>
      <w:lvlText w:val="%1.%2"/>
      <w:lvlJc w:val="left"/>
      <w:pPr>
        <w:ind w:left="72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7A584AB0"/>
    <w:multiLevelType w:val="hybridMultilevel"/>
    <w:tmpl w:val="1D5CC5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revisionView w:formatting="0"/>
  <w:trackRevision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F62"/>
    <w:rsid w:val="00056E7D"/>
    <w:rsid w:val="00073175"/>
    <w:rsid w:val="000F70FC"/>
    <w:rsid w:val="00106A89"/>
    <w:rsid w:val="001915A3"/>
    <w:rsid w:val="00194002"/>
    <w:rsid w:val="00211D2A"/>
    <w:rsid w:val="00217F62"/>
    <w:rsid w:val="00224D7B"/>
    <w:rsid w:val="00323164"/>
    <w:rsid w:val="00360424"/>
    <w:rsid w:val="00365A45"/>
    <w:rsid w:val="003D17E3"/>
    <w:rsid w:val="003F32F6"/>
    <w:rsid w:val="003F455C"/>
    <w:rsid w:val="00431B17"/>
    <w:rsid w:val="00474DC8"/>
    <w:rsid w:val="004C72AF"/>
    <w:rsid w:val="00605AD3"/>
    <w:rsid w:val="0064286E"/>
    <w:rsid w:val="00693434"/>
    <w:rsid w:val="00762FC2"/>
    <w:rsid w:val="008279F3"/>
    <w:rsid w:val="00854E95"/>
    <w:rsid w:val="008B6109"/>
    <w:rsid w:val="008D34BB"/>
    <w:rsid w:val="008E6F85"/>
    <w:rsid w:val="009A70E5"/>
    <w:rsid w:val="00A04BC1"/>
    <w:rsid w:val="00A906D8"/>
    <w:rsid w:val="00A978C7"/>
    <w:rsid w:val="00AB5A74"/>
    <w:rsid w:val="00B821E7"/>
    <w:rsid w:val="00BA4F86"/>
    <w:rsid w:val="00BF7F59"/>
    <w:rsid w:val="00C032A2"/>
    <w:rsid w:val="00D216E1"/>
    <w:rsid w:val="00D63039"/>
    <w:rsid w:val="00D719D8"/>
    <w:rsid w:val="00DC3359"/>
    <w:rsid w:val="00DC54F0"/>
    <w:rsid w:val="00E229B2"/>
    <w:rsid w:val="00E254DC"/>
    <w:rsid w:val="00EB2185"/>
    <w:rsid w:val="00EE7AB3"/>
    <w:rsid w:val="00F071AE"/>
    <w:rsid w:val="00F57C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45F05"/>
  <w15:docId w15:val="{BFA47A4F-CD1D-45D4-B316-CD0443001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056E7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6E7D"/>
    <w:rPr>
      <w:rFonts w:ascii="Segoe UI" w:hAnsi="Segoe UI" w:cs="Segoe UI"/>
      <w:sz w:val="18"/>
      <w:szCs w:val="18"/>
    </w:rPr>
  </w:style>
  <w:style w:type="paragraph" w:styleId="ListParagraph">
    <w:name w:val="List Paragraph"/>
    <w:basedOn w:val="Normal"/>
    <w:link w:val="ListParagraphChar"/>
    <w:uiPriority w:val="34"/>
    <w:qFormat/>
    <w:rsid w:val="003F455C"/>
    <w:pPr>
      <w:spacing w:after="200" w:line="276" w:lineRule="auto"/>
      <w:ind w:left="720"/>
      <w:contextualSpacing/>
    </w:pPr>
    <w:rPr>
      <w:rFonts w:eastAsiaTheme="minorEastAsia"/>
      <w:lang w:val="es-ES"/>
    </w:rPr>
  </w:style>
  <w:style w:type="character" w:styleId="Hyperlink">
    <w:name w:val="Hyperlink"/>
    <w:basedOn w:val="DefaultParagraphFont"/>
    <w:uiPriority w:val="99"/>
    <w:unhideWhenUsed/>
    <w:rsid w:val="003F455C"/>
    <w:rPr>
      <w:color w:val="0563C1" w:themeColor="hyperlink"/>
      <w:u w:val="single"/>
    </w:rPr>
  </w:style>
  <w:style w:type="character" w:customStyle="1" w:styleId="ListParagraphChar">
    <w:name w:val="List Paragraph Char"/>
    <w:basedOn w:val="DefaultParagraphFont"/>
    <w:link w:val="ListParagraph"/>
    <w:uiPriority w:val="34"/>
    <w:rsid w:val="003F455C"/>
    <w:rPr>
      <w:rFonts w:eastAsiaTheme="minorEastAsia"/>
      <w:lang w:val="es-ES"/>
    </w:rPr>
  </w:style>
  <w:style w:type="paragraph" w:styleId="FootnoteText">
    <w:name w:val="footnote text"/>
    <w:basedOn w:val="Normal"/>
    <w:link w:val="FootnoteTextChar"/>
    <w:uiPriority w:val="99"/>
    <w:semiHidden/>
    <w:unhideWhenUsed/>
    <w:rsid w:val="003F455C"/>
    <w:rPr>
      <w:rFonts w:eastAsiaTheme="minorEastAsia"/>
      <w:sz w:val="20"/>
      <w:szCs w:val="20"/>
    </w:rPr>
  </w:style>
  <w:style w:type="character" w:customStyle="1" w:styleId="FootnoteTextChar">
    <w:name w:val="Footnote Text Char"/>
    <w:basedOn w:val="DefaultParagraphFont"/>
    <w:link w:val="FootnoteText"/>
    <w:uiPriority w:val="99"/>
    <w:semiHidden/>
    <w:rsid w:val="003F455C"/>
    <w:rPr>
      <w:rFonts w:eastAsiaTheme="minorEastAsia"/>
      <w:sz w:val="20"/>
      <w:szCs w:val="20"/>
    </w:rPr>
  </w:style>
  <w:style w:type="character" w:styleId="FootnoteReference">
    <w:name w:val="footnote reference"/>
    <w:basedOn w:val="DefaultParagraphFont"/>
    <w:uiPriority w:val="99"/>
    <w:semiHidden/>
    <w:unhideWhenUsed/>
    <w:rsid w:val="003F455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1.xml"/><Relationship Id="rId17" Type="http://schemas.openxmlformats.org/officeDocument/2006/relationships/customXml" Target="../customXml/item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B3616E36152D249A94280480C989D31" ma:contentTypeVersion="35" ma:contentTypeDescription="A content type to manage public (operations) IDB documents" ma:contentTypeScope="" ma:versionID="ed82fe2cb1a920eadda94babbfe9945c">
  <xsd:schema xmlns:xsd="http://www.w3.org/2001/XMLSchema" xmlns:xs="http://www.w3.org/2001/XMLSchema" xmlns:p="http://schemas.microsoft.com/office/2006/metadata/properties" xmlns:ns2="cdc7663a-08f0-4737-9e8c-148ce897a09c" targetNamespace="http://schemas.microsoft.com/office/2006/metadata/properties" ma:root="true" ma:fieldsID="50d1af79b2ccbfc4cad548474aa55da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O-T147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IDBDocs_x0020_Number xmlns="cdc7663a-08f0-4737-9e8c-148ce897a09c" xsi:nil="true"/>
    <Division_x0020_or_x0020_Unit xmlns="cdc7663a-08f0-4737-9e8c-148ce897a09c">SCL/LMK</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Gonzalez-Velosa, Carolina</Other_x0020_Author>
    <Migration_x0020_Info xmlns="cdc7663a-08f0-4737-9e8c-148ce897a09c" xsi:nil="true"/>
    <Approval_x0020_Number xmlns="cdc7663a-08f0-4737-9e8c-148ce897a09c" xsi:nil="true"/>
    <Phase xmlns="cdc7663a-08f0-4737-9e8c-148ce897a09c">ACTIVE</Phase>
    <Document_x0020_Author xmlns="cdc7663a-08f0-4737-9e8c-148ce897a09c">Muhlstein, Ethel Rosa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PENSIONS ＆ SOCIAL SECURITY</TermName>
          <TermId xmlns="http://schemas.microsoft.com/office/infopath/2007/PartnerControls">4b35807b-c90d-4831-b87a-a93d2a9213d9</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INS</TermName>
          <TermId xmlns="http://schemas.microsoft.com/office/infopath/2007/PartnerControls">e59f52b4-6a5d-4c44-8c43-084396cc07ba</TermId>
        </TermInfo>
      </Terms>
    </g511464f9e53401d84b16fa9b379a574>
    <Related_x0020_SisCor_x0020_Number xmlns="cdc7663a-08f0-4737-9e8c-148ce897a09c" xsi:nil="true"/>
    <TaxCatchAll xmlns="cdc7663a-08f0-4737-9e8c-148ce897a09c">
      <Value>225</Value>
      <Value>32</Value>
      <Value>38</Value>
      <Value>1</Value>
      <Value>154</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CO-T1474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R0002270719</Record_x0020_Number>
    <_dlc_DocId xmlns="cdc7663a-08f0-4737-9e8c-148ce897a09c">EZSHARE-1401427324-3</_dlc_DocId>
    <_dlc_DocIdUrl xmlns="cdc7663a-08f0-4737-9e8c-148ce897a09c">
      <Url>https://idbg.sharepoint.com/teams/EZ-CO-TCP/CO-T1474/_layouts/15/DocIdRedir.aspx?ID=EZSHARE-1401427324-3</Url>
      <Description>EZSHARE-1401427324-3</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Pensions;</Webtopic>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5B5B1AC5-3290-4595-8C06-825F924DEE3A}"/>
</file>

<file path=customXml/itemProps2.xml><?xml version="1.0" encoding="utf-8"?>
<ds:datastoreItem xmlns:ds="http://schemas.openxmlformats.org/officeDocument/2006/customXml" ds:itemID="{EA131351-361C-4F67-AD1B-9D6E0DC67568}"/>
</file>

<file path=customXml/itemProps3.xml><?xml version="1.0" encoding="utf-8"?>
<ds:datastoreItem xmlns:ds="http://schemas.openxmlformats.org/officeDocument/2006/customXml" ds:itemID="{7A37DDC3-1A40-4B87-A5E3-8BFEC2808A53}"/>
</file>

<file path=customXml/itemProps4.xml><?xml version="1.0" encoding="utf-8"?>
<ds:datastoreItem xmlns:ds="http://schemas.openxmlformats.org/officeDocument/2006/customXml" ds:itemID="{90C1E4A4-F382-4138-B497-9F62624F8EAB}"/>
</file>

<file path=customXml/itemProps5.xml><?xml version="1.0" encoding="utf-8"?>
<ds:datastoreItem xmlns:ds="http://schemas.openxmlformats.org/officeDocument/2006/customXml" ds:itemID="{1CB52815-651F-4DD7-BD27-2AC71C98514F}"/>
</file>

<file path=customXml/itemProps6.xml><?xml version="1.0" encoding="utf-8"?>
<ds:datastoreItem xmlns:ds="http://schemas.openxmlformats.org/officeDocument/2006/customXml" ds:itemID="{90B97E3E-5C4C-4A96-B1FA-3985867F9F5C}"/>
</file>

<file path=docProps/app.xml><?xml version="1.0" encoding="utf-8"?>
<Properties xmlns="http://schemas.openxmlformats.org/officeDocument/2006/extended-properties" xmlns:vt="http://schemas.openxmlformats.org/officeDocument/2006/docPropsVTypes">
  <Template>Normal.dotm</Template>
  <TotalTime>0</TotalTime>
  <Pages>4</Pages>
  <Words>1687</Words>
  <Characters>9617</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Muhlstein, Ethel Rosa</dc:creator>
  <cp:keywords/>
  <cp:lastModifiedBy>Muhlstein, Ethel Rosa</cp:lastModifiedBy>
  <cp:revision>2</cp:revision>
  <dcterms:created xsi:type="dcterms:W3CDTF">2018-05-18T18:11:00Z</dcterms:created>
  <dcterms:modified xsi:type="dcterms:W3CDTF">2018-05-18T18:11:00Z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225;#PENSIONS ＆ SOCIAL SECURITY|4b35807b-c90d-4831-b87a-a93d2a9213d9</vt:lpwstr>
  </property>
  <property fmtid="{D5CDD505-2E9C-101B-9397-08002B2CF9AE}" pid="7" name="Fund IDB">
    <vt:lpwstr>154;#INS|e59f52b4-6a5d-4c44-8c43-084396cc07ba</vt:lpwstr>
  </property>
  <property fmtid="{D5CDD505-2E9C-101B-9397-08002B2CF9AE}" pid="8" name="Country">
    <vt:lpwstr>32;#Colombia|c7d386d6-75f3-4fc0-bde8-e021ccd68f5c</vt:lpwstr>
  </property>
  <property fmtid="{D5CDD505-2E9C-101B-9397-08002B2CF9AE}" pid="9" name="Sector IDB">
    <vt:lpwstr>38;#SOCIAL INVESTMENT|3f908695-d5b5-49f6-941f-76876b39564f</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4219eeff-fc34-4f3c-8771-e7dc9be37a46</vt:lpwstr>
  </property>
  <property fmtid="{D5CDD505-2E9C-101B-9397-08002B2CF9AE}" pid="12" name="Disclosure Activity">
    <vt:lpwstr>TC Abstract</vt:lpwstr>
  </property>
  <property fmtid="{D5CDD505-2E9C-101B-9397-08002B2CF9AE}" pid="13" name="ContentTypeId">
    <vt:lpwstr>0x0101001A458A224826124E8B45B1D613300CFC00AB3616E36152D249A94280480C989D31</vt:lpwstr>
  </property>
</Properties>
</file>