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C7BD" w14:textId="5B0058F9" w:rsidR="00813650" w:rsidRDefault="00120449" w:rsidP="00B033D2">
      <w:pPr>
        <w:autoSpaceDE w:val="0"/>
        <w:autoSpaceDN w:val="0"/>
        <w:adjustRightInd w:val="0"/>
        <w:jc w:val="center"/>
        <w:rPr>
          <w:b/>
          <w:lang w:val="es-ES_tradnl"/>
        </w:rPr>
      </w:pPr>
      <w:r w:rsidRPr="002D5CE0">
        <w:rPr>
          <w:b/>
          <w:lang w:val="es-ES_tradnl"/>
        </w:rPr>
        <w:t xml:space="preserve">Análisis </w:t>
      </w:r>
      <w:r w:rsidR="00BD0CCA" w:rsidRPr="002D5CE0">
        <w:rPr>
          <w:b/>
          <w:lang w:val="es-ES_tradnl"/>
        </w:rPr>
        <w:t xml:space="preserve">del cumplimiento </w:t>
      </w:r>
      <w:r w:rsidR="00B033D2" w:rsidRPr="002D5CE0">
        <w:rPr>
          <w:b/>
          <w:lang w:val="es-ES_tradnl"/>
        </w:rPr>
        <w:t>del</w:t>
      </w:r>
      <w:r w:rsidR="00B033D2">
        <w:rPr>
          <w:b/>
          <w:lang w:val="es-ES_tradnl"/>
        </w:rPr>
        <w:t xml:space="preserve"> Programa de Agua y Saneamiento para </w:t>
      </w:r>
      <w:r w:rsidR="00A439CD">
        <w:rPr>
          <w:b/>
          <w:lang w:val="es-ES_tradnl"/>
        </w:rPr>
        <w:t>Ciudades Intermedias y M</w:t>
      </w:r>
      <w:bookmarkStart w:id="0" w:name="_GoBack"/>
      <w:bookmarkEnd w:id="0"/>
      <w:r w:rsidR="00A439CD">
        <w:rPr>
          <w:b/>
          <w:lang w:val="es-ES_tradnl"/>
        </w:rPr>
        <w:t>enores</w:t>
      </w:r>
      <w:r w:rsidR="00511032">
        <w:rPr>
          <w:b/>
          <w:lang w:val="es-ES_tradnl"/>
        </w:rPr>
        <w:t xml:space="preserve"> (BO-L1184)</w:t>
      </w:r>
      <w:r w:rsidR="00B033D2">
        <w:rPr>
          <w:b/>
          <w:lang w:val="es-ES_tradnl"/>
        </w:rPr>
        <w:t xml:space="preserve"> con la </w:t>
      </w:r>
      <w:r w:rsidR="00601DF8">
        <w:rPr>
          <w:b/>
          <w:lang w:val="es-ES_tradnl"/>
        </w:rPr>
        <w:t>P</w:t>
      </w:r>
      <w:r w:rsidR="00601DF8" w:rsidRPr="00601DF8">
        <w:rPr>
          <w:b/>
          <w:lang w:val="es-ES_tradnl"/>
        </w:rPr>
        <w:t xml:space="preserve">olítica de </w:t>
      </w:r>
      <w:r w:rsidR="00601DF8">
        <w:rPr>
          <w:b/>
          <w:lang w:val="es-ES_tradnl"/>
        </w:rPr>
        <w:t>Servicios Públicos Domiciliarios (GN</w:t>
      </w:r>
      <w:r w:rsidR="00601DF8" w:rsidRPr="00601DF8">
        <w:rPr>
          <w:b/>
          <w:lang w:val="es-ES_tradnl"/>
        </w:rPr>
        <w:t>-271</w:t>
      </w:r>
      <w:r w:rsidRPr="002D5CE0">
        <w:rPr>
          <w:b/>
          <w:lang w:val="es-ES"/>
        </w:rPr>
        <w:t>6-6</w:t>
      </w:r>
      <w:r w:rsidRPr="002D5CE0">
        <w:rPr>
          <w:b/>
          <w:lang w:val="es-ES_tradnl"/>
        </w:rPr>
        <w:t>)</w:t>
      </w:r>
    </w:p>
    <w:p w14:paraId="2B907B3F" w14:textId="77777777"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3223"/>
        <w:gridCol w:w="3720"/>
      </w:tblGrid>
      <w:tr w:rsidR="00813650" w:rsidRPr="00D06EBC" w14:paraId="4CC46EA6" w14:textId="77777777" w:rsidTr="37D021AA">
        <w:trPr>
          <w:jc w:val="center"/>
        </w:trPr>
        <w:tc>
          <w:tcPr>
            <w:tcW w:w="2129" w:type="dxa"/>
            <w:shd w:val="clear" w:color="auto" w:fill="C0C0C0"/>
            <w:vAlign w:val="center"/>
          </w:tcPr>
          <w:p w14:paraId="60D4F4B4"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Condiciones de la Política</w:t>
            </w:r>
          </w:p>
        </w:tc>
        <w:tc>
          <w:tcPr>
            <w:tcW w:w="3799" w:type="dxa"/>
            <w:shd w:val="clear" w:color="auto" w:fill="C0C0C0"/>
            <w:vAlign w:val="center"/>
          </w:tcPr>
          <w:p w14:paraId="64BC8EE8"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Descripción</w:t>
            </w:r>
          </w:p>
        </w:tc>
        <w:tc>
          <w:tcPr>
            <w:tcW w:w="4307" w:type="dxa"/>
            <w:shd w:val="clear" w:color="auto" w:fill="C0C0C0"/>
            <w:vAlign w:val="center"/>
          </w:tcPr>
          <w:p w14:paraId="30C33B3D"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Comentarios</w:t>
            </w:r>
          </w:p>
        </w:tc>
      </w:tr>
      <w:tr w:rsidR="00813650" w:rsidRPr="00A439CD" w14:paraId="065ECDF8" w14:textId="77777777" w:rsidTr="37D021AA">
        <w:trPr>
          <w:jc w:val="center"/>
        </w:trPr>
        <w:tc>
          <w:tcPr>
            <w:tcW w:w="2129" w:type="dxa"/>
            <w:shd w:val="clear" w:color="auto" w:fill="auto"/>
          </w:tcPr>
          <w:p w14:paraId="26D5A7D4" w14:textId="77777777" w:rsidR="00813650" w:rsidRPr="00D06EBC" w:rsidRDefault="00813650" w:rsidP="00CE33C6">
            <w:pPr>
              <w:rPr>
                <w:sz w:val="18"/>
                <w:szCs w:val="18"/>
                <w:lang w:val="es-ES_tradnl"/>
              </w:rPr>
            </w:pPr>
            <w:r w:rsidRPr="00D06EBC">
              <w:rPr>
                <w:bCs/>
                <w:sz w:val="18"/>
                <w:szCs w:val="18"/>
                <w:lang w:val="es-ES_tradnl"/>
              </w:rPr>
              <w:t>1. Sostenibilidad Financiera</w:t>
            </w:r>
          </w:p>
        </w:tc>
        <w:tc>
          <w:tcPr>
            <w:tcW w:w="3799" w:type="dxa"/>
            <w:shd w:val="clear" w:color="auto" w:fill="auto"/>
          </w:tcPr>
          <w:p w14:paraId="262DFDAE" w14:textId="77777777" w:rsidR="00813650" w:rsidRDefault="00813650" w:rsidP="009D1F89">
            <w:pPr>
              <w:autoSpaceDE w:val="0"/>
              <w:autoSpaceDN w:val="0"/>
              <w:adjustRightInd w:val="0"/>
              <w:jc w:val="both"/>
              <w:rPr>
                <w:rFonts w:eastAsiaTheme="minorHAnsi"/>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p w14:paraId="0F46A326" w14:textId="77777777" w:rsidR="000C253B" w:rsidRDefault="000C253B" w:rsidP="009D1F89">
            <w:pPr>
              <w:autoSpaceDE w:val="0"/>
              <w:autoSpaceDN w:val="0"/>
              <w:adjustRightInd w:val="0"/>
              <w:jc w:val="both"/>
              <w:rPr>
                <w:rFonts w:eastAsiaTheme="minorHAnsi"/>
                <w:sz w:val="18"/>
                <w:szCs w:val="18"/>
                <w:lang w:val="es-ES_tradnl"/>
              </w:rPr>
            </w:pPr>
          </w:p>
          <w:p w14:paraId="6D943B77" w14:textId="17658894" w:rsidR="000C253B" w:rsidRPr="00870BB4" w:rsidRDefault="000C253B" w:rsidP="009D1F89">
            <w:pPr>
              <w:autoSpaceDE w:val="0"/>
              <w:autoSpaceDN w:val="0"/>
              <w:adjustRightInd w:val="0"/>
              <w:jc w:val="both"/>
              <w:rPr>
                <w:sz w:val="18"/>
                <w:szCs w:val="18"/>
                <w:lang w:val="es-ES_tradnl"/>
              </w:rPr>
            </w:pPr>
            <w:r>
              <w:rPr>
                <w:rFonts w:eastAsiaTheme="minorHAnsi"/>
                <w:sz w:val="18"/>
                <w:szCs w:val="18"/>
                <w:lang w:val="es-ES_tradnl"/>
              </w:rPr>
              <w:t>test</w:t>
            </w:r>
          </w:p>
        </w:tc>
        <w:tc>
          <w:tcPr>
            <w:tcW w:w="4307" w:type="dxa"/>
            <w:shd w:val="clear" w:color="auto" w:fill="auto"/>
          </w:tcPr>
          <w:p w14:paraId="6ABA410F" w14:textId="17B2A919" w:rsidR="008163DB" w:rsidRPr="009B2579" w:rsidRDefault="00511032" w:rsidP="009B2579">
            <w:pPr>
              <w:pStyle w:val="Paragraph"/>
              <w:ind w:left="-108"/>
              <w:rPr>
                <w:sz w:val="18"/>
                <w:szCs w:val="18"/>
                <w:lang w:val="es-ES_tradnl"/>
              </w:rPr>
            </w:pPr>
            <w:r w:rsidRPr="009B2579">
              <w:rPr>
                <w:sz w:val="18"/>
                <w:szCs w:val="18"/>
                <w:lang w:val="es-ES_tradnl"/>
              </w:rPr>
              <w:t xml:space="preserve"> </w:t>
            </w:r>
            <w:r w:rsidR="009B2579" w:rsidRPr="009B2579">
              <w:rPr>
                <w:sz w:val="18"/>
                <w:szCs w:val="18"/>
                <w:lang w:val="es-ES_tradnl"/>
              </w:rPr>
              <w:t xml:space="preserve">Para el análisis de viabilidad financiera se analizó la muestra representativa de los proyectos a ser financiados. El análisis de viabilidad financiera permitió constatar que en el diseño se dichos proyectos se incluyen cuotas tarifarias que cubren los costos de O&amp;M y Administración de los sistemas de </w:t>
            </w:r>
            <w:proofErr w:type="spellStart"/>
            <w:r w:rsidR="009B2579" w:rsidRPr="009B2579">
              <w:rPr>
                <w:sz w:val="18"/>
                <w:szCs w:val="18"/>
                <w:lang w:val="es-ES_tradnl"/>
              </w:rPr>
              <w:t>AyS</w:t>
            </w:r>
            <w:proofErr w:type="spellEnd"/>
            <w:r w:rsidR="009B2579" w:rsidRPr="009B2579">
              <w:rPr>
                <w:sz w:val="18"/>
                <w:szCs w:val="18"/>
                <w:lang w:val="es-ES_tradnl"/>
              </w:rPr>
              <w:t xml:space="preserve"> relacionados con la operación. Antes del inicio de las obras, se realizarán asambleas con participación de la comunidad donde se acordará que los beneficiarios asuman el compromiso de realizar los pagos mensuales para cubrir los gastos de O&amp;M de los sistemas de </w:t>
            </w:r>
            <w:proofErr w:type="spellStart"/>
            <w:r w:rsidR="009B2579" w:rsidRPr="009B2579">
              <w:rPr>
                <w:sz w:val="18"/>
                <w:szCs w:val="18"/>
                <w:lang w:val="es-ES_tradnl"/>
              </w:rPr>
              <w:t>AyS</w:t>
            </w:r>
            <w:proofErr w:type="spellEnd"/>
            <w:r w:rsidR="009B2579" w:rsidRPr="009B2579">
              <w:rPr>
                <w:sz w:val="18"/>
                <w:szCs w:val="18"/>
                <w:lang w:val="es-ES_tradnl"/>
              </w:rPr>
              <w:t xml:space="preserve"> a ser financiados; dicho criterio será incluido en el ROP. Además, dentro las actividades Gestión de los servicios del programa, se incluyen actividades de fortalecimiento para apoyar la sostenibilidad operativa y financiera de los operadores de los sistemas (</w:t>
            </w:r>
            <w:proofErr w:type="spellStart"/>
            <w:r w:rsidR="009B2579" w:rsidRPr="009B2579">
              <w:rPr>
                <w:sz w:val="18"/>
                <w:szCs w:val="18"/>
                <w:lang w:val="es-ES_tradnl"/>
              </w:rPr>
              <w:t>EPSAs</w:t>
            </w:r>
            <w:proofErr w:type="spellEnd"/>
            <w:r w:rsidR="009B2579" w:rsidRPr="009B2579">
              <w:rPr>
                <w:sz w:val="18"/>
                <w:szCs w:val="18"/>
                <w:lang w:val="es-ES_tradnl"/>
              </w:rPr>
              <w:t xml:space="preserve">), que será monitoreada a través del SIASAR. </w:t>
            </w:r>
            <w:proofErr w:type="gramStart"/>
            <w:r w:rsidR="009B2579" w:rsidRPr="009B2579">
              <w:rPr>
                <w:sz w:val="18"/>
                <w:szCs w:val="18"/>
                <w:lang w:val="es-ES_tradnl"/>
              </w:rPr>
              <w:t>Los Convenios Inter gubernativos a suscribirse</w:t>
            </w:r>
            <w:proofErr w:type="gramEnd"/>
            <w:r w:rsidR="009B2579" w:rsidRPr="009B2579">
              <w:rPr>
                <w:sz w:val="18"/>
                <w:szCs w:val="18"/>
                <w:lang w:val="es-ES_tradnl"/>
              </w:rPr>
              <w:t xml:space="preserve"> entre los respectivos GAM y el Gobierno Nacional y así como en el ROP, incorporarán el requisito de que los ingresos operativos de los respectivos operadores serán suficientes para cubrir sus costos de O&amp;M, y que, de no ser así, los GAM se comprometerán a adoptar las medidas necesarias, aceptables para el Banco, para garantizar la sostenibilidad financiera de las obras del programa. Igualmente, se incluyen otros criterios de elegibilidad en el ROP para asegurar la sostenibilidad financiera del programa. Dentro de los contratos de inversión con las empresas constructoras, se incluirá una fase de “operación asistida” que podría durar entre 6 meses y un año, en la cual el contratista operaría los sistemas construidos junto con el operador correspondiente, como mecanismo para consolidar las bases de la correcta O&amp;M de los sistemas construidos en el medio y largo plazo. Para apoyar la planificación de inversiones y el monitoreo de la sostenibilidad de los sistemas de </w:t>
            </w:r>
            <w:proofErr w:type="spellStart"/>
            <w:r w:rsidR="009B2579" w:rsidRPr="009B2579">
              <w:rPr>
                <w:sz w:val="18"/>
                <w:szCs w:val="18"/>
                <w:lang w:val="es-ES_tradnl"/>
              </w:rPr>
              <w:t>AyS</w:t>
            </w:r>
            <w:proofErr w:type="spellEnd"/>
            <w:r w:rsidR="009B2579" w:rsidRPr="009B2579">
              <w:rPr>
                <w:sz w:val="18"/>
                <w:szCs w:val="18"/>
                <w:lang w:val="es-ES_tradnl"/>
              </w:rPr>
              <w:t xml:space="preserve"> en zonas rurales, se utilizará el Sistema de Información de Agua y Saneamiento Rural (</w:t>
            </w:r>
            <w:r w:rsidR="009B2579">
              <w:rPr>
                <w:sz w:val="18"/>
                <w:szCs w:val="18"/>
                <w:lang w:val="es-ES_tradnl"/>
              </w:rPr>
              <w:t>SIASAR</w:t>
            </w:r>
            <w:r w:rsidR="009B2579" w:rsidRPr="009B2579">
              <w:rPr>
                <w:sz w:val="18"/>
                <w:szCs w:val="18"/>
                <w:lang w:val="es-ES_tradnl"/>
              </w:rPr>
              <w:t>), que se viene implementand</w:t>
            </w:r>
            <w:r w:rsidR="009B2579">
              <w:rPr>
                <w:sz w:val="18"/>
                <w:szCs w:val="18"/>
                <w:lang w:val="es-ES_tradnl"/>
              </w:rPr>
              <w:t xml:space="preserve">o en Bolivia a través del </w:t>
            </w:r>
            <w:proofErr w:type="spellStart"/>
            <w:r w:rsidR="009B2579">
              <w:rPr>
                <w:sz w:val="18"/>
                <w:szCs w:val="18"/>
                <w:lang w:val="es-ES_tradnl"/>
              </w:rPr>
              <w:t>MMAyA</w:t>
            </w:r>
            <w:proofErr w:type="spellEnd"/>
            <w:r w:rsidR="009B2579">
              <w:rPr>
                <w:sz w:val="18"/>
                <w:szCs w:val="18"/>
                <w:lang w:val="es-ES_tradnl"/>
              </w:rPr>
              <w:t xml:space="preserve">. </w:t>
            </w:r>
            <w:r w:rsidR="009B2579" w:rsidRPr="009B2579">
              <w:rPr>
                <w:sz w:val="18"/>
                <w:szCs w:val="18"/>
                <w:lang w:val="es-ES_tradnl"/>
              </w:rPr>
              <w:t xml:space="preserve">En este sentido, dentro del componente 1 se incluyen recursos necesarios para apoyar a los respectivos GAM y </w:t>
            </w:r>
            <w:proofErr w:type="spellStart"/>
            <w:r w:rsidR="009B2579" w:rsidRPr="009B2579">
              <w:rPr>
                <w:sz w:val="18"/>
                <w:szCs w:val="18"/>
                <w:lang w:val="es-ES_tradnl"/>
              </w:rPr>
              <w:t>GADs</w:t>
            </w:r>
            <w:proofErr w:type="spellEnd"/>
            <w:r w:rsidR="009B2579" w:rsidRPr="009B2579">
              <w:rPr>
                <w:sz w:val="18"/>
                <w:szCs w:val="18"/>
                <w:lang w:val="es-ES_tradnl"/>
              </w:rPr>
              <w:t xml:space="preserve"> en la utilización del SIASAR en los proyectos del programa.</w:t>
            </w:r>
            <w:r w:rsidR="009B2579">
              <w:rPr>
                <w:sz w:val="18"/>
                <w:szCs w:val="18"/>
                <w:lang w:val="es-ES_tradnl"/>
              </w:rPr>
              <w:t xml:space="preserve"> </w:t>
            </w:r>
            <w:r w:rsidR="009B2579" w:rsidRPr="009B2579">
              <w:rPr>
                <w:sz w:val="18"/>
                <w:szCs w:val="18"/>
                <w:lang w:val="es-ES_tradnl"/>
              </w:rPr>
              <w:t xml:space="preserve">Con el objetivo de promover la sostenibilidad de los proyectos, el programa incluye actividades de desarrollo comunitario (DESCOM), las cuales estarán vinculadas a las actividades de FI de los </w:t>
            </w:r>
            <w:r w:rsidR="009B2579" w:rsidRPr="009B2579">
              <w:rPr>
                <w:sz w:val="18"/>
                <w:szCs w:val="18"/>
                <w:lang w:val="es-ES_tradnl"/>
              </w:rPr>
              <w:lastRenderedPageBreak/>
              <w:t xml:space="preserve">operadores. En Comunidades rurales menores a 3,000 habitantes, se llevarán adelante actividades en: i) organización comunitaria para el control social de proyectos y prestación de servicios; ii) sensibilización sobre la importancia del pago por el servicio; iii) auto-construcción, uso y mantenimiento de las soluciones individuales de saneamiento; iv) talleres en educación sanitaria y ambiental (higiene personal, incluyendo higiene menstrual, saneamiento de la vivienda, uso adecuado del agua, uso y mantenimiento de baños ecológicos, control de basuras y aguas servidas y protección y conservación de fuentes de agua), enfatizando la participación de mujeres. En pequeñas localidades entre 3,000 y 20,000 habitantes, se llevarán adelante campañas educativas sobre: i) uso adecuado y pago de los servicios, ii) sobre conectividad a las redes de alcantarillado sanitario y iii) sobre autoconstrucción de baños. </w:t>
            </w:r>
          </w:p>
        </w:tc>
      </w:tr>
      <w:tr w:rsidR="009834A9" w:rsidRPr="00A439CD" w14:paraId="7BCB9F95" w14:textId="77777777" w:rsidTr="37D021AA">
        <w:trPr>
          <w:jc w:val="center"/>
        </w:trPr>
        <w:tc>
          <w:tcPr>
            <w:tcW w:w="2129" w:type="dxa"/>
            <w:shd w:val="clear" w:color="auto" w:fill="auto"/>
          </w:tcPr>
          <w:p w14:paraId="7E105DAF" w14:textId="77777777" w:rsidR="00813650" w:rsidRPr="009834A9" w:rsidRDefault="00813650" w:rsidP="00CE33C6">
            <w:pPr>
              <w:rPr>
                <w:sz w:val="18"/>
                <w:szCs w:val="18"/>
                <w:lang w:val="es-ES_tradnl"/>
              </w:rPr>
            </w:pPr>
            <w:r w:rsidRPr="009834A9">
              <w:rPr>
                <w:bCs/>
                <w:sz w:val="18"/>
                <w:szCs w:val="18"/>
                <w:lang w:val="es-ES_tradnl"/>
              </w:rPr>
              <w:lastRenderedPageBreak/>
              <w:t>2. Evaluación Económica</w:t>
            </w:r>
          </w:p>
        </w:tc>
        <w:tc>
          <w:tcPr>
            <w:tcW w:w="3799" w:type="dxa"/>
            <w:shd w:val="clear" w:color="auto" w:fill="auto"/>
          </w:tcPr>
          <w:p w14:paraId="54E7046D" w14:textId="77777777" w:rsidR="00813650" w:rsidRPr="009834A9" w:rsidRDefault="00813650" w:rsidP="009D1F89">
            <w:pPr>
              <w:jc w:val="both"/>
              <w:rPr>
                <w:sz w:val="18"/>
                <w:szCs w:val="18"/>
                <w:lang w:val="es-ES_tradnl"/>
              </w:rPr>
            </w:pPr>
            <w:r w:rsidRPr="009834A9">
              <w:rPr>
                <w:sz w:val="18"/>
                <w:szCs w:val="18"/>
                <w:lang w:val="es-ES_tradnl"/>
              </w:rPr>
              <w:t>Los proyectos de servicios públicos domiciliarios deberán ser económicamente rentables [</w:t>
            </w:r>
            <w:proofErr w:type="gramStart"/>
            <w:r w:rsidRPr="009834A9">
              <w:rPr>
                <w:sz w:val="18"/>
                <w:szCs w:val="18"/>
                <w:lang w:val="es-ES_tradnl"/>
              </w:rPr>
              <w:t>de acuerdo a</w:t>
            </w:r>
            <w:proofErr w:type="gramEnd"/>
            <w:r w:rsidRPr="009834A9">
              <w:rPr>
                <w:sz w:val="18"/>
                <w:szCs w:val="18"/>
                <w:lang w:val="es-ES_tradnl"/>
              </w:rPr>
              <w:t xml:space="preserve"> las metodologías de evaluación costo beneficio y costo efectividad utilizadas y aceptadas por el Banco.]</w:t>
            </w:r>
          </w:p>
        </w:tc>
        <w:tc>
          <w:tcPr>
            <w:tcW w:w="4307" w:type="dxa"/>
            <w:shd w:val="clear" w:color="auto" w:fill="auto"/>
          </w:tcPr>
          <w:p w14:paraId="3DA19B32" w14:textId="6692F6EF" w:rsidR="00813650" w:rsidRPr="0078135B" w:rsidRDefault="00113CEB" w:rsidP="00A86105">
            <w:pPr>
              <w:spacing w:before="120" w:after="120"/>
              <w:jc w:val="both"/>
              <w:rPr>
                <w:sz w:val="18"/>
                <w:szCs w:val="18"/>
                <w:lang w:val="es-ES_tradnl"/>
              </w:rPr>
            </w:pPr>
            <w:r w:rsidRPr="00113CEB">
              <w:rPr>
                <w:sz w:val="18"/>
                <w:szCs w:val="18"/>
                <w:lang w:val="es-ES_tradnl"/>
              </w:rPr>
              <w:t xml:space="preserve">Dado que el programa será desarrollado como un programa de obras múltiples, se realizó un análisis costo-beneficio de la muestra representativa de proyectos, para lo cual se realizaron 1.050 encuestas socioeconómicas en las localidades de la muestra. Para el segmento de pequeñas localidades, se analizaron </w:t>
            </w:r>
            <w:r w:rsidR="001E06EC">
              <w:rPr>
                <w:sz w:val="18"/>
                <w:szCs w:val="18"/>
                <w:lang w:val="es-ES_tradnl"/>
              </w:rPr>
              <w:t>tres</w:t>
            </w:r>
            <w:r w:rsidRPr="00113CEB">
              <w:rPr>
                <w:sz w:val="18"/>
                <w:szCs w:val="18"/>
                <w:lang w:val="es-ES_tradnl"/>
              </w:rPr>
              <w:t xml:space="preserve"> proyectos de agua potable y seis de saneamiento. Todos los proyectos evaluados son económicamente viables con Tasas Internas de Retorno Económico (TIRE) de entre 14,3% y 39,8%. Para el segmento de comunidades rurales se realizó un análisis costo-beneficio de una muestra de </w:t>
            </w:r>
            <w:r w:rsidR="001E06EC">
              <w:rPr>
                <w:sz w:val="18"/>
                <w:szCs w:val="18"/>
                <w:lang w:val="es-ES_tradnl"/>
              </w:rPr>
              <w:t>seis</w:t>
            </w:r>
            <w:r w:rsidRPr="00113CEB">
              <w:rPr>
                <w:sz w:val="18"/>
                <w:szCs w:val="18"/>
                <w:lang w:val="es-ES_tradnl"/>
              </w:rPr>
              <w:t xml:space="preserve"> proyectos de agua potable y soluciones individuales de saneamiento. De los proyectos evaluados, todos son económicamente viables con TIRE de entre 1</w:t>
            </w:r>
            <w:r w:rsidR="00BB4DF4">
              <w:rPr>
                <w:sz w:val="18"/>
                <w:szCs w:val="18"/>
                <w:lang w:val="es-ES_tradnl"/>
              </w:rPr>
              <w:t>2</w:t>
            </w:r>
            <w:r w:rsidRPr="00113CEB">
              <w:rPr>
                <w:sz w:val="18"/>
                <w:szCs w:val="18"/>
                <w:lang w:val="es-ES_tradnl"/>
              </w:rPr>
              <w:t>,</w:t>
            </w:r>
            <w:r w:rsidR="00BB4DF4">
              <w:rPr>
                <w:sz w:val="18"/>
                <w:szCs w:val="18"/>
                <w:lang w:val="es-ES_tradnl"/>
              </w:rPr>
              <w:t>8</w:t>
            </w:r>
            <w:r w:rsidRPr="00113CEB">
              <w:rPr>
                <w:sz w:val="18"/>
                <w:szCs w:val="18"/>
                <w:lang w:val="es-ES_tradnl"/>
              </w:rPr>
              <w:t xml:space="preserve">% y 37,0%. Para los proyectos no evaluados, se realizará un análisis beneficio-costo y sólo proyectos con TIRE superiores al 12% podrán ser financiados por el programa. La tarifa que deberán pagar los usuarios de los sistemas de </w:t>
            </w:r>
            <w:proofErr w:type="spellStart"/>
            <w:r w:rsidRPr="00113CEB">
              <w:rPr>
                <w:sz w:val="18"/>
                <w:szCs w:val="18"/>
                <w:lang w:val="es-ES_tradnl"/>
              </w:rPr>
              <w:t>AyS</w:t>
            </w:r>
            <w:proofErr w:type="spellEnd"/>
            <w:r w:rsidRPr="00113CEB">
              <w:rPr>
                <w:sz w:val="18"/>
                <w:szCs w:val="18"/>
                <w:lang w:val="es-ES_tradnl"/>
              </w:rPr>
              <w:t xml:space="preserve"> que se incluirán en el programa varía entre 4,1 y 30 bolivianos mensuales (US$0,60 y US$4,4) por conexión, según el sistema sea por gravedad o por bombeo, y según exista o no una solución colectiva para el saneamiento. Según la información recolectada por las encuestas socioeconómicas realizadas en las comunidades de la muestra, las tarifas asociadas a los sistemas a financiar con el programa representan entre un 0,3% y un 1,6% del ingreso familiar mensual, los cuales son valores aceptables. </w:t>
            </w:r>
          </w:p>
        </w:tc>
      </w:tr>
      <w:tr w:rsidR="000F1306" w:rsidRPr="0039287D" w14:paraId="4EF8BD65" w14:textId="77777777" w:rsidTr="37D021AA">
        <w:trPr>
          <w:jc w:val="center"/>
        </w:trPr>
        <w:tc>
          <w:tcPr>
            <w:tcW w:w="2129" w:type="dxa"/>
            <w:shd w:val="clear" w:color="auto" w:fill="C0C0C0"/>
          </w:tcPr>
          <w:p w14:paraId="4DB60FD6" w14:textId="77777777" w:rsidR="000F1306" w:rsidRPr="00D06EBC" w:rsidRDefault="000F1306" w:rsidP="000F1306">
            <w:pPr>
              <w:rPr>
                <w:sz w:val="18"/>
                <w:szCs w:val="18"/>
                <w:lang w:val="es-ES_tradnl"/>
              </w:rPr>
            </w:pPr>
            <w:r w:rsidRPr="00D06EBC">
              <w:rPr>
                <w:sz w:val="18"/>
                <w:szCs w:val="18"/>
                <w:lang w:val="es-ES_tradnl"/>
              </w:rPr>
              <w:t>Objetivos de la Política</w:t>
            </w:r>
          </w:p>
          <w:p w14:paraId="5C8A768F" w14:textId="77777777" w:rsidR="000F1306" w:rsidRPr="00D06EBC" w:rsidRDefault="000F1306" w:rsidP="000F1306">
            <w:pPr>
              <w:rPr>
                <w:sz w:val="18"/>
                <w:szCs w:val="18"/>
                <w:lang w:val="es-ES_tradnl"/>
              </w:rPr>
            </w:pPr>
          </w:p>
        </w:tc>
        <w:tc>
          <w:tcPr>
            <w:tcW w:w="3799" w:type="dxa"/>
            <w:shd w:val="clear" w:color="auto" w:fill="C0C0C0"/>
          </w:tcPr>
          <w:p w14:paraId="46F3226B"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4307" w:type="dxa"/>
            <w:shd w:val="clear" w:color="auto" w:fill="C0C0C0"/>
          </w:tcPr>
          <w:p w14:paraId="787C2DDF" w14:textId="77777777" w:rsidR="000F1306" w:rsidRPr="009876DD" w:rsidRDefault="000F1306" w:rsidP="000F1306">
            <w:pPr>
              <w:rPr>
                <w:b/>
                <w:sz w:val="18"/>
                <w:szCs w:val="18"/>
                <w:lang w:val="es-ES_tradnl"/>
              </w:rPr>
            </w:pPr>
            <w:r w:rsidRPr="009876DD">
              <w:rPr>
                <w:b/>
                <w:sz w:val="18"/>
                <w:szCs w:val="18"/>
                <w:lang w:val="es-ES_tradnl"/>
              </w:rPr>
              <w:t>Comentarios</w:t>
            </w:r>
          </w:p>
        </w:tc>
      </w:tr>
      <w:tr w:rsidR="009834A9" w:rsidRPr="00A439CD" w14:paraId="41CA3770" w14:textId="77777777" w:rsidTr="37D021AA">
        <w:trPr>
          <w:jc w:val="center"/>
        </w:trPr>
        <w:tc>
          <w:tcPr>
            <w:tcW w:w="2129" w:type="dxa"/>
            <w:shd w:val="clear" w:color="auto" w:fill="auto"/>
          </w:tcPr>
          <w:p w14:paraId="3786AF6C" w14:textId="77777777" w:rsidR="000F1306" w:rsidRPr="009834A9" w:rsidRDefault="000F1306" w:rsidP="000F1306">
            <w:pPr>
              <w:rPr>
                <w:sz w:val="18"/>
                <w:szCs w:val="18"/>
                <w:lang w:val="es-ES_tradnl"/>
              </w:rPr>
            </w:pPr>
            <w:r w:rsidRPr="009834A9">
              <w:rPr>
                <w:bCs/>
                <w:sz w:val="18"/>
                <w:szCs w:val="18"/>
                <w:lang w:val="es-ES_tradnl"/>
              </w:rPr>
              <w:t>1. Fomentar el Acceso</w:t>
            </w:r>
          </w:p>
        </w:tc>
        <w:tc>
          <w:tcPr>
            <w:tcW w:w="3799" w:type="dxa"/>
            <w:shd w:val="clear" w:color="auto" w:fill="auto"/>
          </w:tcPr>
          <w:p w14:paraId="45049302" w14:textId="77777777" w:rsidR="000F1306" w:rsidRPr="009834A9" w:rsidRDefault="000F1306" w:rsidP="000F1306">
            <w:pPr>
              <w:rPr>
                <w:sz w:val="18"/>
                <w:szCs w:val="18"/>
                <w:lang w:val="es-ES_tradnl"/>
              </w:rPr>
            </w:pPr>
            <w:r w:rsidRPr="009834A9">
              <w:rPr>
                <w:sz w:val="18"/>
                <w:szCs w:val="18"/>
                <w:lang w:val="es-ES_tradnl"/>
              </w:rPr>
              <w:t>Las políticas deben promover el acceso a todos los usuarios, especialme</w:t>
            </w:r>
            <w:r w:rsidR="0020426B">
              <w:rPr>
                <w:sz w:val="18"/>
                <w:szCs w:val="18"/>
                <w:lang w:val="es-ES_tradnl"/>
              </w:rPr>
              <w:t xml:space="preserve">nte a las comunidades y grupos </w:t>
            </w:r>
            <w:r w:rsidRPr="009834A9">
              <w:rPr>
                <w:sz w:val="18"/>
                <w:szCs w:val="18"/>
                <w:lang w:val="es-ES_tradnl"/>
              </w:rPr>
              <w:t xml:space="preserve">más desfavorecidos. </w:t>
            </w:r>
          </w:p>
        </w:tc>
        <w:tc>
          <w:tcPr>
            <w:tcW w:w="4307" w:type="dxa"/>
            <w:shd w:val="clear" w:color="auto" w:fill="auto"/>
          </w:tcPr>
          <w:p w14:paraId="5B888639" w14:textId="77777777" w:rsidR="003B5AB2" w:rsidRPr="00114E8A" w:rsidRDefault="00AF0BB0" w:rsidP="00AF0BB0">
            <w:pPr>
              <w:autoSpaceDE w:val="0"/>
              <w:autoSpaceDN w:val="0"/>
              <w:adjustRightInd w:val="0"/>
              <w:jc w:val="both"/>
              <w:rPr>
                <w:sz w:val="18"/>
                <w:szCs w:val="18"/>
                <w:lang w:val="es-ES_tradnl"/>
              </w:rPr>
            </w:pPr>
            <w:r w:rsidRPr="00AF0BB0">
              <w:rPr>
                <w:sz w:val="18"/>
                <w:szCs w:val="18"/>
                <w:lang w:val="es-ES_tradnl"/>
              </w:rPr>
              <w:t>De acuerdo con el Plan Sectorial de</w:t>
            </w:r>
            <w:r>
              <w:rPr>
                <w:sz w:val="18"/>
                <w:szCs w:val="18"/>
                <w:lang w:val="es-ES_tradnl"/>
              </w:rPr>
              <w:t xml:space="preserve"> </w:t>
            </w:r>
            <w:r w:rsidRPr="00AF0BB0">
              <w:rPr>
                <w:sz w:val="18"/>
                <w:szCs w:val="18"/>
                <w:lang w:val="es-ES_tradnl"/>
              </w:rPr>
              <w:t>Desarrollo de Saneamiento Básico, el sector de Agua y Saneamiento (A&amp;S) tiene como</w:t>
            </w:r>
            <w:r>
              <w:rPr>
                <w:sz w:val="18"/>
                <w:szCs w:val="18"/>
                <w:lang w:val="es-ES_tradnl"/>
              </w:rPr>
              <w:t xml:space="preserve"> </w:t>
            </w:r>
            <w:r w:rsidRPr="00AF0BB0">
              <w:rPr>
                <w:sz w:val="18"/>
                <w:szCs w:val="18"/>
                <w:lang w:val="es-ES_tradnl"/>
              </w:rPr>
              <w:t xml:space="preserve">desafíos incrementar las coberturas y mejorar la calidad </w:t>
            </w:r>
            <w:r w:rsidRPr="00AF0BB0">
              <w:rPr>
                <w:sz w:val="18"/>
                <w:szCs w:val="18"/>
                <w:lang w:val="es-ES_tradnl"/>
              </w:rPr>
              <w:lastRenderedPageBreak/>
              <w:t>de los servicios,</w:t>
            </w:r>
            <w:r>
              <w:rPr>
                <w:sz w:val="18"/>
                <w:szCs w:val="18"/>
                <w:lang w:val="es-ES_tradnl"/>
              </w:rPr>
              <w:t xml:space="preserve"> </w:t>
            </w:r>
            <w:r w:rsidRPr="00AF0BB0">
              <w:rPr>
                <w:sz w:val="18"/>
                <w:szCs w:val="18"/>
                <w:lang w:val="es-ES_tradnl"/>
              </w:rPr>
              <w:t>principalmente en las áreas periurbanas de las ciudades metropolitanas</w:t>
            </w:r>
            <w:r>
              <w:rPr>
                <w:sz w:val="18"/>
                <w:szCs w:val="18"/>
                <w:lang w:val="es-ES_tradnl"/>
              </w:rPr>
              <w:t xml:space="preserve">. </w:t>
            </w:r>
            <w:r w:rsidRPr="00AF0BB0">
              <w:rPr>
                <w:sz w:val="18"/>
                <w:szCs w:val="18"/>
                <w:lang w:val="es-ES_tradnl"/>
              </w:rPr>
              <w:t>Las metas fijadas para el 2020 por el Gobierno de Bolivia</w:t>
            </w:r>
            <w:r>
              <w:rPr>
                <w:sz w:val="18"/>
                <w:szCs w:val="18"/>
                <w:lang w:val="es-ES_tradnl"/>
              </w:rPr>
              <w:t>,</w:t>
            </w:r>
            <w:r w:rsidR="00925695">
              <w:rPr>
                <w:sz w:val="18"/>
                <w:szCs w:val="18"/>
                <w:lang w:val="es-ES_tradnl"/>
              </w:rPr>
              <w:t xml:space="preserve"> </w:t>
            </w:r>
            <w:r w:rsidRPr="00AF0BB0">
              <w:rPr>
                <w:sz w:val="18"/>
                <w:szCs w:val="18"/>
                <w:lang w:val="es-ES_tradnl"/>
              </w:rPr>
              <w:t>y que fueron</w:t>
            </w:r>
            <w:r>
              <w:rPr>
                <w:sz w:val="18"/>
                <w:szCs w:val="18"/>
                <w:lang w:val="es-ES_tradnl"/>
              </w:rPr>
              <w:t xml:space="preserve"> </w:t>
            </w:r>
            <w:r w:rsidR="00995892">
              <w:rPr>
                <w:sz w:val="18"/>
                <w:szCs w:val="18"/>
                <w:lang w:val="es-ES_tradnl"/>
              </w:rPr>
              <w:t>incorporadas en el PSDSB, son</w:t>
            </w:r>
            <w:r w:rsidRPr="00AF0BB0">
              <w:rPr>
                <w:sz w:val="18"/>
                <w:szCs w:val="18"/>
                <w:lang w:val="es-ES_tradnl"/>
              </w:rPr>
              <w:t>: (i) AP: incrementar la cobertura a 93% en</w:t>
            </w:r>
            <w:r>
              <w:rPr>
                <w:sz w:val="18"/>
                <w:szCs w:val="18"/>
                <w:lang w:val="es-ES_tradnl"/>
              </w:rPr>
              <w:t xml:space="preserve"> </w:t>
            </w:r>
            <w:r w:rsidRPr="00AF0BB0">
              <w:rPr>
                <w:sz w:val="18"/>
                <w:szCs w:val="18"/>
                <w:lang w:val="es-ES_tradnl"/>
              </w:rPr>
              <w:t>poblaciones mayores a 10.000 habitantes, a 96% entre 2.000 y 10.000</w:t>
            </w:r>
            <w:r>
              <w:rPr>
                <w:sz w:val="18"/>
                <w:szCs w:val="18"/>
                <w:lang w:val="es-ES_tradnl"/>
              </w:rPr>
              <w:t xml:space="preserve"> </w:t>
            </w:r>
            <w:r w:rsidRPr="00AF0BB0">
              <w:rPr>
                <w:sz w:val="18"/>
                <w:szCs w:val="18"/>
                <w:lang w:val="es-ES_tradnl"/>
              </w:rPr>
              <w:t>habitantes, y a 90% en poblaciones rurales menores a 2.000 habitantes; y</w:t>
            </w:r>
            <w:r>
              <w:rPr>
                <w:sz w:val="18"/>
                <w:szCs w:val="18"/>
                <w:lang w:val="es-ES_tradnl"/>
              </w:rPr>
              <w:t xml:space="preserve"> </w:t>
            </w:r>
            <w:r w:rsidRPr="00AF0BB0">
              <w:rPr>
                <w:sz w:val="18"/>
                <w:szCs w:val="18"/>
                <w:lang w:val="es-ES_tradnl"/>
              </w:rPr>
              <w:t>(ii) AS: incrementar la cobertura a 80% en poblaciones mayores a 2.000</w:t>
            </w:r>
            <w:r>
              <w:rPr>
                <w:sz w:val="18"/>
                <w:szCs w:val="18"/>
                <w:lang w:val="es-ES_tradnl"/>
              </w:rPr>
              <w:t xml:space="preserve"> </w:t>
            </w:r>
            <w:r w:rsidRPr="00AF0BB0">
              <w:rPr>
                <w:sz w:val="18"/>
                <w:szCs w:val="18"/>
                <w:lang w:val="es-ES_tradnl"/>
              </w:rPr>
              <w:t>habitantes, y 70% en poblaciones rurales menores a 2.000 habitantes</w:t>
            </w:r>
            <w:r>
              <w:rPr>
                <w:sz w:val="18"/>
                <w:szCs w:val="18"/>
                <w:lang w:val="es-ES_tradnl"/>
              </w:rPr>
              <w:t>.</w:t>
            </w:r>
            <w:r w:rsidR="00ED5E5B">
              <w:rPr>
                <w:sz w:val="18"/>
                <w:szCs w:val="18"/>
                <w:lang w:val="es-ES_tradnl"/>
              </w:rPr>
              <w:t xml:space="preserve"> </w:t>
            </w:r>
            <w:r w:rsidR="00ED5E5B" w:rsidRPr="00ED5E5B">
              <w:rPr>
                <w:sz w:val="18"/>
                <w:szCs w:val="18"/>
                <w:lang w:val="es-ES_tradnl"/>
              </w:rPr>
              <w:t>La Ley Marco de la Madre Tierra y Desarrollo Integral para Vivir Bien (</w:t>
            </w:r>
            <w:proofErr w:type="spellStart"/>
            <w:r w:rsidR="00ED5E5B" w:rsidRPr="00ED5E5B">
              <w:rPr>
                <w:sz w:val="18"/>
                <w:szCs w:val="18"/>
                <w:lang w:val="es-ES_tradnl"/>
              </w:rPr>
              <w:t>Nº</w:t>
            </w:r>
            <w:proofErr w:type="spellEnd"/>
            <w:r w:rsidR="00ED5E5B" w:rsidRPr="00ED5E5B">
              <w:rPr>
                <w:sz w:val="18"/>
                <w:szCs w:val="18"/>
                <w:lang w:val="es-ES_tradnl"/>
              </w:rPr>
              <w:t xml:space="preserve"> 300), establece como orientación el garantizar el derecho al agua para la vida, priorizando su uso, acceso y aprovechamiento como recurso estratégico en cantidad y calidad suficiente para satisfacer de forma integral e indistinta la conservación de los sistemas de vida, la satisfacción de las necesidades domésticas de las personas, y los procesos productivos para garantizar la soberanía y seguridad alimentaria</w:t>
            </w:r>
            <w:r w:rsidR="00DB2723">
              <w:rPr>
                <w:sz w:val="18"/>
                <w:szCs w:val="18"/>
                <w:lang w:val="es-ES_tradnl"/>
              </w:rPr>
              <w:t>.</w:t>
            </w:r>
            <w:r w:rsidR="00114E8A" w:rsidRPr="00114E8A">
              <w:rPr>
                <w:sz w:val="18"/>
                <w:szCs w:val="18"/>
                <w:lang w:val="es-ES_tradnl"/>
              </w:rPr>
              <w:t xml:space="preserve"> Los resultados esperados del programa están indic</w:t>
            </w:r>
            <w:r w:rsidR="00114E8A">
              <w:rPr>
                <w:sz w:val="18"/>
                <w:szCs w:val="18"/>
                <w:lang w:val="es-ES_tradnl"/>
              </w:rPr>
              <w:t xml:space="preserve">ados en la Matriz de Resultados e incluyen </w:t>
            </w:r>
            <w:r w:rsidR="00114E8A" w:rsidRPr="00114E8A">
              <w:rPr>
                <w:sz w:val="18"/>
                <w:szCs w:val="18"/>
                <w:lang w:val="es-ES_tradnl"/>
              </w:rPr>
              <w:t>indicadores</w:t>
            </w:r>
            <w:r w:rsidR="00114E8A">
              <w:rPr>
                <w:sz w:val="18"/>
                <w:szCs w:val="18"/>
                <w:lang w:val="es-ES_tradnl"/>
              </w:rPr>
              <w:t xml:space="preserve"> de resultado específicos relacionados con el incremento de la </w:t>
            </w:r>
            <w:r w:rsidR="00114E8A" w:rsidRPr="00114E8A">
              <w:rPr>
                <w:sz w:val="18"/>
                <w:szCs w:val="18"/>
                <w:lang w:val="es-ES_tradnl"/>
              </w:rPr>
              <w:t xml:space="preserve"> </w:t>
            </w:r>
            <w:r w:rsidR="00114E8A">
              <w:rPr>
                <w:sz w:val="18"/>
                <w:szCs w:val="18"/>
                <w:lang w:val="es-ES_tradnl"/>
              </w:rPr>
              <w:t xml:space="preserve"> cobertura de agua y de la </w:t>
            </w:r>
            <w:r w:rsidR="00114E8A" w:rsidRPr="00114E8A">
              <w:rPr>
                <w:sz w:val="18"/>
                <w:szCs w:val="18"/>
                <w:lang w:val="es-ES_tradnl"/>
              </w:rPr>
              <w:t>cobertura de saneamiento</w:t>
            </w:r>
            <w:r w:rsidR="00114E8A">
              <w:rPr>
                <w:sz w:val="18"/>
                <w:szCs w:val="18"/>
                <w:lang w:val="es-ES_tradnl"/>
              </w:rPr>
              <w:t xml:space="preserve"> en el país.</w:t>
            </w:r>
            <w:r w:rsidR="00864B4B">
              <w:rPr>
                <w:sz w:val="18"/>
                <w:szCs w:val="18"/>
                <w:lang w:val="es-ES_tradnl"/>
              </w:rPr>
              <w:t xml:space="preserve"> </w:t>
            </w:r>
          </w:p>
          <w:p w14:paraId="1F921206" w14:textId="77777777" w:rsidR="000F1306" w:rsidRPr="009834A9" w:rsidRDefault="000F1306" w:rsidP="004B3077">
            <w:pPr>
              <w:spacing w:before="120" w:after="120"/>
              <w:jc w:val="both"/>
              <w:rPr>
                <w:sz w:val="18"/>
                <w:szCs w:val="18"/>
                <w:lang w:val="es-ES_tradnl"/>
              </w:rPr>
            </w:pPr>
          </w:p>
        </w:tc>
      </w:tr>
      <w:tr w:rsidR="000F1306" w:rsidRPr="00A439CD" w14:paraId="09921C46" w14:textId="77777777" w:rsidTr="37D021AA">
        <w:trPr>
          <w:jc w:val="center"/>
        </w:trPr>
        <w:tc>
          <w:tcPr>
            <w:tcW w:w="2129" w:type="dxa"/>
            <w:shd w:val="clear" w:color="auto" w:fill="auto"/>
          </w:tcPr>
          <w:p w14:paraId="05BD9391" w14:textId="77777777" w:rsidR="000F1306" w:rsidRPr="00D06EBC" w:rsidRDefault="000F1306" w:rsidP="00776571">
            <w:pPr>
              <w:jc w:val="both"/>
              <w:rPr>
                <w:sz w:val="18"/>
                <w:szCs w:val="18"/>
                <w:lang w:val="es-ES_tradnl"/>
              </w:rPr>
            </w:pPr>
            <w:r w:rsidRPr="00D06EBC">
              <w:rPr>
                <w:bCs/>
                <w:sz w:val="18"/>
                <w:szCs w:val="18"/>
                <w:lang w:val="es-ES_tradnl"/>
              </w:rPr>
              <w:lastRenderedPageBreak/>
              <w:t>2. Suministrar el acceso al servicio en condiciones de confiabilidad y calidad adecuadas</w:t>
            </w:r>
          </w:p>
        </w:tc>
        <w:tc>
          <w:tcPr>
            <w:tcW w:w="3799" w:type="dxa"/>
            <w:shd w:val="clear" w:color="auto" w:fill="auto"/>
          </w:tcPr>
          <w:p w14:paraId="54D2C6EA" w14:textId="77777777"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14:paraId="3525E36A" w14:textId="77777777" w:rsidR="00294D87" w:rsidRPr="00B53A4A" w:rsidRDefault="00CE2AC7" w:rsidP="00926BBA">
            <w:pPr>
              <w:spacing w:before="120" w:after="120"/>
              <w:jc w:val="both"/>
              <w:rPr>
                <w:sz w:val="18"/>
                <w:szCs w:val="18"/>
                <w:lang w:val="es-ES_tradnl"/>
              </w:rPr>
            </w:pPr>
            <w:r w:rsidRPr="009D2FED">
              <w:rPr>
                <w:sz w:val="18"/>
                <w:szCs w:val="18"/>
                <w:lang w:val="es-ES_tradnl"/>
              </w:rPr>
              <w:t xml:space="preserve">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w:t>
            </w:r>
            <w:r>
              <w:rPr>
                <w:sz w:val="18"/>
                <w:szCs w:val="18"/>
                <w:lang w:val="es-ES_tradnl"/>
              </w:rPr>
              <w:t>.</w:t>
            </w:r>
            <w:r w:rsidR="00E967AF">
              <w:rPr>
                <w:sz w:val="18"/>
                <w:szCs w:val="18"/>
                <w:lang w:val="es-ES_tradnl"/>
              </w:rPr>
              <w:t xml:space="preserve"> </w:t>
            </w:r>
            <w:r w:rsidR="00DB2723">
              <w:rPr>
                <w:sz w:val="18"/>
                <w:szCs w:val="18"/>
                <w:lang w:val="es-ES_tradnl"/>
              </w:rPr>
              <w:t xml:space="preserve">Las principales </w:t>
            </w:r>
            <w:proofErr w:type="spellStart"/>
            <w:r w:rsidR="00DB2723">
              <w:rPr>
                <w:sz w:val="18"/>
                <w:szCs w:val="18"/>
                <w:lang w:val="es-ES_tradnl"/>
              </w:rPr>
              <w:t>EPSAs</w:t>
            </w:r>
            <w:proofErr w:type="spellEnd"/>
            <w:r w:rsidR="00E967AF">
              <w:rPr>
                <w:sz w:val="18"/>
                <w:szCs w:val="18"/>
                <w:lang w:val="es-ES_tradnl"/>
              </w:rPr>
              <w:t>, cuenta</w:t>
            </w:r>
            <w:r w:rsidR="00DB2723">
              <w:rPr>
                <w:sz w:val="18"/>
                <w:szCs w:val="18"/>
                <w:lang w:val="es-ES_tradnl"/>
              </w:rPr>
              <w:t>n</w:t>
            </w:r>
            <w:r w:rsidR="00E967AF">
              <w:rPr>
                <w:sz w:val="18"/>
                <w:szCs w:val="18"/>
                <w:lang w:val="es-ES_tradnl"/>
              </w:rPr>
              <w:t xml:space="preserve"> con un </w:t>
            </w:r>
            <w:r w:rsidR="00E967AF" w:rsidRPr="006B6AD1">
              <w:rPr>
                <w:sz w:val="18"/>
                <w:szCs w:val="18"/>
                <w:lang w:val="es-ES_tradnl"/>
              </w:rPr>
              <w:t>Plan</w:t>
            </w:r>
            <w:r w:rsidR="00926BBA">
              <w:rPr>
                <w:sz w:val="18"/>
                <w:szCs w:val="18"/>
                <w:lang w:val="es-ES_tradnl"/>
              </w:rPr>
              <w:t>es</w:t>
            </w:r>
            <w:r w:rsidR="00E967AF" w:rsidRPr="006B6AD1">
              <w:rPr>
                <w:sz w:val="18"/>
                <w:szCs w:val="18"/>
                <w:lang w:val="es-ES_tradnl"/>
              </w:rPr>
              <w:t xml:space="preserve"> Maestro</w:t>
            </w:r>
            <w:r w:rsidR="00926BBA">
              <w:rPr>
                <w:sz w:val="18"/>
                <w:szCs w:val="18"/>
                <w:lang w:val="es-ES_tradnl"/>
              </w:rPr>
              <w:t>s y/o Planes Sectoriales Departamentales</w:t>
            </w:r>
            <w:r w:rsidR="00E967AF" w:rsidRPr="006B6AD1">
              <w:rPr>
                <w:sz w:val="18"/>
                <w:szCs w:val="18"/>
                <w:lang w:val="es-ES_tradnl"/>
              </w:rPr>
              <w:t xml:space="preserve"> de Agua Potable y Saneamiento</w:t>
            </w:r>
            <w:r w:rsidR="00E967AF">
              <w:rPr>
                <w:sz w:val="18"/>
                <w:szCs w:val="18"/>
                <w:lang w:val="es-ES_tradnl"/>
              </w:rPr>
              <w:t>,</w:t>
            </w:r>
            <w:r w:rsidR="00E967AF" w:rsidRPr="003F3568">
              <w:rPr>
                <w:sz w:val="18"/>
                <w:szCs w:val="18"/>
                <w:lang w:val="es-ES_tradnl"/>
              </w:rPr>
              <w:t xml:space="preserve"> que establece</w:t>
            </w:r>
            <w:r w:rsidR="00926BBA">
              <w:rPr>
                <w:sz w:val="18"/>
                <w:szCs w:val="18"/>
                <w:lang w:val="es-ES_tradnl"/>
              </w:rPr>
              <w:t>n</w:t>
            </w:r>
            <w:r w:rsidR="00E967AF" w:rsidRPr="003F3568">
              <w:rPr>
                <w:sz w:val="18"/>
                <w:szCs w:val="18"/>
                <w:lang w:val="es-ES_tradnl"/>
              </w:rPr>
              <w:t xml:space="preserve"> metas de cobertura, eficiencia operativa y comercial, medición y sostenibilidad financiera. En este sentido, la estructura sectorial para la provisión de los servicios en dichas áreas separa los roles de definición de políticas, planificación sectorial, regulación, y prestación de los servicios en diferentes instituciones, aspecto que ha permitido la adecuada planificación, ejecución y control de los planes. Estos instrumentos dotan a </w:t>
            </w:r>
            <w:r w:rsidR="00DB2723">
              <w:rPr>
                <w:sz w:val="18"/>
                <w:szCs w:val="18"/>
                <w:lang w:val="es-ES_tradnl"/>
              </w:rPr>
              <w:t xml:space="preserve">las </w:t>
            </w:r>
            <w:proofErr w:type="spellStart"/>
            <w:r w:rsidR="00DB2723">
              <w:rPr>
                <w:sz w:val="18"/>
                <w:szCs w:val="18"/>
                <w:lang w:val="es-ES_tradnl"/>
              </w:rPr>
              <w:t>EPSAs</w:t>
            </w:r>
            <w:proofErr w:type="spellEnd"/>
            <w:r w:rsidR="00E967AF" w:rsidRPr="003F3568">
              <w:rPr>
                <w:sz w:val="18"/>
                <w:szCs w:val="18"/>
                <w:lang w:val="es-ES_tradnl"/>
              </w:rPr>
              <w:t xml:space="preserve"> de las obligaciones y los derechos necesarios para realizar una adecuada gestión de los sistemas de agua y saneamiento.</w:t>
            </w:r>
            <w:r w:rsidR="00926BBA">
              <w:rPr>
                <w:sz w:val="18"/>
                <w:szCs w:val="18"/>
                <w:lang w:val="es-ES_tradnl"/>
              </w:rPr>
              <w:t xml:space="preserve"> </w:t>
            </w:r>
            <w:r w:rsidR="00E967AF">
              <w:rPr>
                <w:sz w:val="18"/>
                <w:szCs w:val="18"/>
                <w:lang w:val="es-ES_tradnl"/>
              </w:rPr>
              <w:t xml:space="preserve"> </w:t>
            </w:r>
          </w:p>
        </w:tc>
      </w:tr>
      <w:tr w:rsidR="009834A9" w:rsidRPr="00A439CD" w14:paraId="3975EBB5" w14:textId="77777777" w:rsidTr="37D021AA">
        <w:trPr>
          <w:jc w:val="center"/>
        </w:trPr>
        <w:tc>
          <w:tcPr>
            <w:tcW w:w="2129" w:type="dxa"/>
            <w:shd w:val="clear" w:color="auto" w:fill="auto"/>
          </w:tcPr>
          <w:p w14:paraId="455356D6" w14:textId="77777777" w:rsidR="000F1306" w:rsidRPr="009834A9" w:rsidRDefault="000F1306" w:rsidP="000F1306">
            <w:pPr>
              <w:rPr>
                <w:bCs/>
                <w:sz w:val="18"/>
                <w:szCs w:val="18"/>
                <w:lang w:val="es-ES_tradnl"/>
              </w:rPr>
            </w:pPr>
            <w:r w:rsidRPr="009834A9">
              <w:rPr>
                <w:bCs/>
                <w:sz w:val="18"/>
                <w:szCs w:val="18"/>
                <w:lang w:val="es-ES_tradnl"/>
              </w:rPr>
              <w:t>3. Suministrar un servicio en condiciones de eficiencia</w:t>
            </w:r>
          </w:p>
        </w:tc>
        <w:tc>
          <w:tcPr>
            <w:tcW w:w="3799" w:type="dxa"/>
            <w:shd w:val="clear" w:color="auto" w:fill="auto"/>
          </w:tcPr>
          <w:p w14:paraId="29372C6E" w14:textId="77777777"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307" w:type="dxa"/>
            <w:shd w:val="clear" w:color="auto" w:fill="auto"/>
          </w:tcPr>
          <w:p w14:paraId="44B045E3" w14:textId="77777777" w:rsidR="000F1306" w:rsidRPr="00322542" w:rsidRDefault="00610D77" w:rsidP="00EF7928">
            <w:pPr>
              <w:pStyle w:val="ListBullet"/>
              <w:numPr>
                <w:ilvl w:val="0"/>
                <w:numId w:val="0"/>
              </w:numPr>
              <w:rPr>
                <w:rFonts w:ascii="Times New Roman" w:hAnsi="Times New Roman"/>
                <w:b/>
                <w:sz w:val="18"/>
                <w:szCs w:val="18"/>
                <w:lang w:val="es-ES_tradnl" w:eastAsia="en-US"/>
              </w:rPr>
            </w:pPr>
            <w:r w:rsidRPr="000F611B">
              <w:rPr>
                <w:rFonts w:ascii="Times New Roman" w:hAnsi="Times New Roman"/>
                <w:sz w:val="18"/>
                <w:szCs w:val="22"/>
                <w:lang w:val="es-ES" w:eastAsia="en-US"/>
              </w:rPr>
              <w:t>La Ley 2066 de 2000, en el artículo 5 determina los principios que rigen la prestación de los servicios entre los cuales se promueve la eficiencia y la sostenibilidad.</w:t>
            </w:r>
            <w:r>
              <w:rPr>
                <w:rFonts w:ascii="Times New Roman" w:hAnsi="Times New Roman"/>
                <w:sz w:val="18"/>
                <w:szCs w:val="22"/>
                <w:lang w:val="es-ES" w:eastAsia="en-US"/>
              </w:rPr>
              <w:t xml:space="preserve"> </w:t>
            </w:r>
            <w:proofErr w:type="gramStart"/>
            <w:r>
              <w:rPr>
                <w:rFonts w:ascii="Times New Roman" w:hAnsi="Times New Roman"/>
                <w:sz w:val="18"/>
                <w:szCs w:val="22"/>
                <w:lang w:val="es-ES" w:eastAsia="en-US"/>
              </w:rPr>
              <w:t>De acuerdo al</w:t>
            </w:r>
            <w:proofErr w:type="gramEnd"/>
            <w:r>
              <w:rPr>
                <w:rFonts w:ascii="Times New Roman" w:hAnsi="Times New Roman"/>
                <w:sz w:val="18"/>
                <w:szCs w:val="22"/>
                <w:lang w:val="es-ES" w:eastAsia="en-US"/>
              </w:rPr>
              <w:t xml:space="preserve"> Decreto Supremo 0071 de 2009, artículo 20, la AAPS es la entidad encargada de fiscalizar, controlar, supervisar y regular la prestación de </w:t>
            </w:r>
            <w:r>
              <w:rPr>
                <w:rFonts w:ascii="Times New Roman" w:hAnsi="Times New Roman"/>
                <w:sz w:val="18"/>
                <w:szCs w:val="22"/>
                <w:lang w:val="es-ES" w:eastAsia="en-US"/>
              </w:rPr>
              <w:lastRenderedPageBreak/>
              <w:t>estos servicios considerando los principios mencionados en la Ley.</w:t>
            </w:r>
          </w:p>
        </w:tc>
      </w:tr>
      <w:tr w:rsidR="009834A9" w:rsidRPr="00A439CD" w14:paraId="1F7F8D8A" w14:textId="77777777" w:rsidTr="37D021AA">
        <w:trPr>
          <w:jc w:val="center"/>
        </w:trPr>
        <w:tc>
          <w:tcPr>
            <w:tcW w:w="2129" w:type="dxa"/>
            <w:tcBorders>
              <w:bottom w:val="single" w:sz="4" w:space="0" w:color="auto"/>
            </w:tcBorders>
            <w:shd w:val="clear" w:color="auto" w:fill="auto"/>
          </w:tcPr>
          <w:p w14:paraId="7BE05B36" w14:textId="77777777" w:rsidR="000F1306" w:rsidRPr="009834A9" w:rsidRDefault="000F1306" w:rsidP="000F1306">
            <w:pPr>
              <w:rPr>
                <w:bCs/>
                <w:sz w:val="18"/>
                <w:szCs w:val="18"/>
                <w:lang w:val="es-ES_tradnl"/>
              </w:rPr>
            </w:pPr>
            <w:r w:rsidRPr="009834A9">
              <w:rPr>
                <w:bCs/>
                <w:sz w:val="18"/>
                <w:szCs w:val="18"/>
                <w:lang w:val="es-ES_tradnl"/>
              </w:rPr>
              <w:lastRenderedPageBreak/>
              <w:t>4. Generar incentivos adecuados a la demanda de servicios.</w:t>
            </w:r>
          </w:p>
        </w:tc>
        <w:tc>
          <w:tcPr>
            <w:tcW w:w="3799" w:type="dxa"/>
            <w:tcBorders>
              <w:bottom w:val="single" w:sz="4" w:space="0" w:color="auto"/>
            </w:tcBorders>
            <w:shd w:val="clear" w:color="auto" w:fill="auto"/>
          </w:tcPr>
          <w:p w14:paraId="69182C5D" w14:textId="77777777"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14:paraId="00EC4FC2" w14:textId="60BE804A" w:rsidR="000F1306" w:rsidRPr="00F3552C" w:rsidRDefault="37D021AA" w:rsidP="00F3552C">
            <w:pPr>
              <w:ind w:left="-108"/>
              <w:jc w:val="both"/>
              <w:rPr>
                <w:sz w:val="18"/>
                <w:szCs w:val="22"/>
                <w:lang w:val="es-ES"/>
              </w:rPr>
            </w:pPr>
            <w:r w:rsidRPr="00F3552C">
              <w:rPr>
                <w:sz w:val="18"/>
                <w:szCs w:val="22"/>
                <w:lang w:val="es-ES"/>
              </w:rPr>
              <w:t xml:space="preserve"> El objetivo del programa es contribuir al incremento de cobertura y mejora de los servicios de Agua Potable y Saneamiento (AP&amp;S) en Bolivia, mediante el desarrollo de un marco institucional y de política para la gestión de estos servicios y de los recursos hídricos. El programa comprende acciones orientadas a: i) fortalecer la planificación sectorial; ii) fortalecer el desarrollo organizacional e institucional de las entidades sectoriales; iii) apoyar la efectiva aplicación de la política financiera; y iv) desarrollar instrumentos de monitoreo y evaluación. Asimismo, el Programa incluye entre las medidas de reforma, el Reglamento Social de DESCOM diferenciando segmentos poblacionales, para la pre inversión, inversión, actualizados y aprobados por el </w:t>
            </w:r>
            <w:proofErr w:type="spellStart"/>
            <w:r w:rsidRPr="00F3552C">
              <w:rPr>
                <w:sz w:val="18"/>
                <w:szCs w:val="22"/>
                <w:lang w:val="es-ES"/>
              </w:rPr>
              <w:t>MMAyA</w:t>
            </w:r>
            <w:proofErr w:type="spellEnd"/>
            <w:r w:rsidRPr="00F3552C">
              <w:rPr>
                <w:sz w:val="18"/>
                <w:szCs w:val="22"/>
                <w:lang w:val="es-ES"/>
              </w:rPr>
              <w:t xml:space="preserve">, que propende a asegurar la sostenibilidad de los servicios. De esta forma, las reformas incluidas en el mismo resultan compatibles con este principio. </w:t>
            </w:r>
          </w:p>
          <w:p w14:paraId="5F6ACE77" w14:textId="3FE10E3E" w:rsidR="000F1306" w:rsidRPr="00F3552C" w:rsidRDefault="000F1306" w:rsidP="00F3552C">
            <w:pPr>
              <w:pStyle w:val="ListBullet"/>
              <w:rPr>
                <w:rFonts w:ascii="Times New Roman" w:hAnsi="Times New Roman"/>
                <w:sz w:val="18"/>
                <w:szCs w:val="22"/>
                <w:lang w:val="es-ES" w:eastAsia="en-US"/>
              </w:rPr>
            </w:pPr>
          </w:p>
        </w:tc>
      </w:tr>
      <w:tr w:rsidR="009834A9" w:rsidRPr="009B2579" w14:paraId="6E9B720C" w14:textId="77777777" w:rsidTr="37D021AA">
        <w:trPr>
          <w:jc w:val="center"/>
        </w:trPr>
        <w:tc>
          <w:tcPr>
            <w:tcW w:w="2129" w:type="dxa"/>
            <w:tcBorders>
              <w:bottom w:val="single" w:sz="4" w:space="0" w:color="auto"/>
            </w:tcBorders>
            <w:shd w:val="clear" w:color="auto" w:fill="auto"/>
          </w:tcPr>
          <w:p w14:paraId="7B65A698" w14:textId="77777777" w:rsidR="000F1306" w:rsidRPr="009834A9" w:rsidRDefault="000F1306" w:rsidP="002E3C4E">
            <w:pPr>
              <w:rPr>
                <w:bCs/>
                <w:sz w:val="18"/>
                <w:szCs w:val="18"/>
                <w:lang w:val="es-ES_tradnl"/>
              </w:rPr>
            </w:pPr>
            <w:r w:rsidRPr="009834A9">
              <w:rPr>
                <w:bCs/>
                <w:sz w:val="18"/>
                <w:szCs w:val="18"/>
                <w:lang w:val="es-ES_tradnl"/>
              </w:rPr>
              <w:t>5. Promover la sostenibilidad de los servicios públicos domiciliarios</w:t>
            </w:r>
          </w:p>
        </w:tc>
        <w:tc>
          <w:tcPr>
            <w:tcW w:w="3799" w:type="dxa"/>
            <w:tcBorders>
              <w:bottom w:val="single" w:sz="4" w:space="0" w:color="auto"/>
            </w:tcBorders>
            <w:shd w:val="clear" w:color="auto" w:fill="auto"/>
          </w:tcPr>
          <w:p w14:paraId="05B50FA8" w14:textId="77777777" w:rsidR="000F1306" w:rsidRPr="009834A9" w:rsidRDefault="000F1306" w:rsidP="000F1306">
            <w:pPr>
              <w:rPr>
                <w:sz w:val="18"/>
                <w:szCs w:val="18"/>
                <w:lang w:val="es-ES_tradnl"/>
              </w:rPr>
            </w:pPr>
            <w:r w:rsidRPr="009834A9">
              <w:rPr>
                <w:sz w:val="18"/>
                <w:szCs w:val="18"/>
                <w:lang w:val="es-ES_tradnl"/>
              </w:rPr>
              <w:t>El alcance de la sostenibilidad de los servicios públicos domiciliarios se promoverá en función de tres pilares:</w:t>
            </w:r>
          </w:p>
          <w:p w14:paraId="0E264C04" w14:textId="77777777" w:rsidR="000F1306" w:rsidRPr="009834A9" w:rsidRDefault="000F1306" w:rsidP="000F1306">
            <w:pPr>
              <w:rPr>
                <w:sz w:val="18"/>
                <w:szCs w:val="18"/>
                <w:lang w:val="es-ES_tradnl"/>
              </w:rPr>
            </w:pPr>
          </w:p>
          <w:p w14:paraId="6E3F00D4" w14:textId="77777777" w:rsidR="000F1306" w:rsidRPr="009834A9" w:rsidRDefault="000F1306" w:rsidP="000F1306">
            <w:pPr>
              <w:rPr>
                <w:sz w:val="18"/>
                <w:szCs w:val="18"/>
                <w:lang w:val="es-ES_tradnl"/>
              </w:rPr>
            </w:pPr>
            <w:r w:rsidRPr="009834A9">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020FBAE2" w14:textId="77777777" w:rsidR="000F1306" w:rsidRPr="009834A9" w:rsidRDefault="000F1306" w:rsidP="000F1306">
            <w:pPr>
              <w:rPr>
                <w:sz w:val="18"/>
                <w:szCs w:val="18"/>
                <w:lang w:val="es-ES_tradnl"/>
              </w:rPr>
            </w:pPr>
          </w:p>
          <w:p w14:paraId="308118F0" w14:textId="77777777" w:rsidR="000F1306" w:rsidRPr="009834A9" w:rsidRDefault="000F1306" w:rsidP="000F1306">
            <w:pPr>
              <w:rPr>
                <w:sz w:val="18"/>
                <w:szCs w:val="18"/>
                <w:lang w:val="es-ES_tradnl"/>
              </w:rPr>
            </w:pPr>
            <w:r w:rsidRPr="009834A9">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3A688CD" w14:textId="77777777" w:rsidR="000F1306" w:rsidRPr="009834A9" w:rsidRDefault="000F1306" w:rsidP="000F1306">
            <w:pPr>
              <w:rPr>
                <w:sz w:val="18"/>
                <w:szCs w:val="18"/>
                <w:lang w:val="es-ES_tradnl"/>
              </w:rPr>
            </w:pPr>
          </w:p>
          <w:p w14:paraId="06DB1A9C" w14:textId="77777777" w:rsidR="000F1306" w:rsidRPr="009834A9" w:rsidRDefault="000F1306" w:rsidP="000F1306">
            <w:pPr>
              <w:rPr>
                <w:sz w:val="18"/>
                <w:szCs w:val="18"/>
                <w:lang w:val="es-ES_tradnl"/>
              </w:rPr>
            </w:pPr>
            <w:r w:rsidRPr="009834A9">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sz="4" w:space="0" w:color="auto"/>
            </w:tcBorders>
            <w:shd w:val="clear" w:color="auto" w:fill="auto"/>
          </w:tcPr>
          <w:p w14:paraId="3DF6937D" w14:textId="5B675669" w:rsidR="009B2579" w:rsidRDefault="37D021AA" w:rsidP="37D021AA">
            <w:pPr>
              <w:spacing w:before="120" w:after="120"/>
              <w:jc w:val="both"/>
              <w:rPr>
                <w:sz w:val="18"/>
                <w:szCs w:val="18"/>
                <w:lang w:val="es-ES"/>
              </w:rPr>
            </w:pPr>
            <w:r w:rsidRPr="00F3552C">
              <w:rPr>
                <w:i/>
                <w:sz w:val="18"/>
                <w:szCs w:val="18"/>
                <w:lang w:val="es-ES"/>
              </w:rPr>
              <w:t>Sostenibilidad Financiera:</w:t>
            </w:r>
            <w:r w:rsidRPr="37D021AA">
              <w:rPr>
                <w:sz w:val="18"/>
                <w:szCs w:val="18"/>
                <w:lang w:val="es-ES"/>
              </w:rPr>
              <w:t xml:space="preserve"> Para el análisis de viabilidad financiera se analizó la muestra representativa de los proyectos a ser financiados. El análisis de viabilidad financiera permitió constatar que en el diseño se dichos proyectos se incluyen cuotas tarifarias que cubren los costos de O&amp;M y Administración de los sistemas de </w:t>
            </w:r>
            <w:proofErr w:type="spellStart"/>
            <w:r w:rsidRPr="37D021AA">
              <w:rPr>
                <w:sz w:val="18"/>
                <w:szCs w:val="18"/>
                <w:lang w:val="es-ES"/>
              </w:rPr>
              <w:t>AyS</w:t>
            </w:r>
            <w:proofErr w:type="spellEnd"/>
            <w:r w:rsidRPr="37D021AA">
              <w:rPr>
                <w:sz w:val="18"/>
                <w:szCs w:val="18"/>
                <w:lang w:val="es-ES"/>
              </w:rPr>
              <w:t xml:space="preserve"> relacionados con la operación. Antes del inicio de las obras, se realizarán asambleas con participación de la comunidad donde se acordará que los beneficiarios asuman el compromiso de realizar los pagos mensuales para cubrir los gastos de O&amp;M de los sistemas de </w:t>
            </w:r>
            <w:proofErr w:type="spellStart"/>
            <w:r w:rsidRPr="37D021AA">
              <w:rPr>
                <w:sz w:val="18"/>
                <w:szCs w:val="18"/>
                <w:lang w:val="es-ES"/>
              </w:rPr>
              <w:t>AyS</w:t>
            </w:r>
            <w:proofErr w:type="spellEnd"/>
            <w:r w:rsidRPr="37D021AA">
              <w:rPr>
                <w:sz w:val="18"/>
                <w:szCs w:val="18"/>
                <w:lang w:val="es-ES"/>
              </w:rPr>
              <w:t xml:space="preserve"> a ser financiados; dicho criterio será incluido en el ROP. Además, dentro las actividades Gestión de los servicios del programa, se incluyen actividades de fortalecimiento para apoyar la sostenibilidad operativa y financiera de los operadores de los sistemas (</w:t>
            </w:r>
            <w:proofErr w:type="spellStart"/>
            <w:r w:rsidRPr="37D021AA">
              <w:rPr>
                <w:sz w:val="18"/>
                <w:szCs w:val="18"/>
                <w:lang w:val="es-ES"/>
              </w:rPr>
              <w:t>EPSAs</w:t>
            </w:r>
            <w:proofErr w:type="spellEnd"/>
            <w:r w:rsidRPr="37D021AA">
              <w:rPr>
                <w:sz w:val="18"/>
                <w:szCs w:val="18"/>
                <w:lang w:val="es-ES"/>
              </w:rPr>
              <w:t xml:space="preserve">), que será monitoreada a través del SIASAR. </w:t>
            </w:r>
            <w:proofErr w:type="gramStart"/>
            <w:r w:rsidRPr="37D021AA">
              <w:rPr>
                <w:sz w:val="18"/>
                <w:szCs w:val="18"/>
                <w:lang w:val="es-ES"/>
              </w:rPr>
              <w:t>Los Convenios Inter gubernativos a suscribirse</w:t>
            </w:r>
            <w:proofErr w:type="gramEnd"/>
            <w:r w:rsidRPr="37D021AA">
              <w:rPr>
                <w:sz w:val="18"/>
                <w:szCs w:val="18"/>
                <w:lang w:val="es-ES"/>
              </w:rPr>
              <w:t xml:space="preserve"> entre los respectivos GAM y el Gobierno Nacional y así como en el ROP, incorporarán el requisito de que los ingresos operativos de los respectivos operadores serán suficientes para cubrir sus costos de O&amp;M, y que, de no ser así, los GAM se comprometerán a adoptar las medidas necesarias, aceptables para el Banco, para garantizar la sostenibilidad financiera de las obras del programa. Igualmente, se incluyen otros criterios de elegibilidad en el ROP para asegurar la sostenibilidad financiera del programa. Dentro de los contratos de inversión con las empresas constructoras, se incluirá una fase de “operación asistida” que podría durar entre 6 meses y un año, en la cual el contratista </w:t>
            </w:r>
            <w:r w:rsidRPr="37D021AA">
              <w:rPr>
                <w:sz w:val="18"/>
                <w:szCs w:val="18"/>
                <w:lang w:val="es-ES"/>
              </w:rPr>
              <w:lastRenderedPageBreak/>
              <w:t xml:space="preserve">operaría los sistemas construidos junto con el operador correspondiente, como mecanismo para consolidar las bases de la correcta O&amp;M de los sistemas construidos en el medio y largo plazo. Para apoyar la planificación de inversiones y el monitoreo de la sostenibilidad de los sistemas de </w:t>
            </w:r>
            <w:proofErr w:type="spellStart"/>
            <w:r w:rsidRPr="37D021AA">
              <w:rPr>
                <w:sz w:val="18"/>
                <w:szCs w:val="18"/>
                <w:lang w:val="es-ES"/>
              </w:rPr>
              <w:t>AyS</w:t>
            </w:r>
            <w:proofErr w:type="spellEnd"/>
            <w:r w:rsidRPr="37D021AA">
              <w:rPr>
                <w:sz w:val="18"/>
                <w:szCs w:val="18"/>
                <w:lang w:val="es-ES"/>
              </w:rPr>
              <w:t xml:space="preserve"> en zonas rurales, se utilizará el Sistema de Información de Agua y Saneamiento Rural (SIASAR), que se viene implementando en Bolivia a través del </w:t>
            </w:r>
            <w:proofErr w:type="spellStart"/>
            <w:r w:rsidRPr="37D021AA">
              <w:rPr>
                <w:sz w:val="18"/>
                <w:szCs w:val="18"/>
                <w:lang w:val="es-ES"/>
              </w:rPr>
              <w:t>MMAyA</w:t>
            </w:r>
            <w:proofErr w:type="spellEnd"/>
            <w:r w:rsidRPr="37D021AA">
              <w:rPr>
                <w:sz w:val="18"/>
                <w:szCs w:val="18"/>
                <w:lang w:val="es-ES"/>
              </w:rPr>
              <w:t xml:space="preserve">. En este sentido, dentro del componente 1 se incluyen recursos necesarios para apoyar a los respectivos GAM y </w:t>
            </w:r>
            <w:proofErr w:type="spellStart"/>
            <w:r w:rsidRPr="37D021AA">
              <w:rPr>
                <w:sz w:val="18"/>
                <w:szCs w:val="18"/>
                <w:lang w:val="es-ES"/>
              </w:rPr>
              <w:t>GADs</w:t>
            </w:r>
            <w:proofErr w:type="spellEnd"/>
            <w:r w:rsidRPr="37D021AA">
              <w:rPr>
                <w:sz w:val="18"/>
                <w:szCs w:val="18"/>
                <w:lang w:val="es-ES"/>
              </w:rPr>
              <w:t xml:space="preserve"> en la utilización del SIASAR en los proyectos del programa. Con el objetivo de promover la sostenibilidad de los proyectos, el programa incluye actividades de desarrollo comunitario (DESCOM), las cuales estarán vinculadas a las actividades de FI de los operadores. En Comunidades rurales menores a 3,000 habitantes, se llevarán adelante actividades en: i) organización comunitaria para el control social de proyectos y prestación de servicios; ii) sensibilización sobre la importancia del pago por el servicio; iii) auto-construcción, uso y mantenimiento de las soluciones individuales de saneamiento; iv) talleres en educación sanitaria y ambiental (higiene personal, incluyendo higiene menstrual, saneamiento de la vivienda, uso adecuado del agua, uso y mantenimiento de baños ecológicos, control de basuras y aguas servidas y protección y conservación de fuentes de agua), enfatizando la participación de mujeres. En pequeñas localidades entre 3,000 y 20,000 habitantes, se llevarán adelante campañas educativas sobre: i) uso adecuado y pago de los servicios, ii) sobre conectividad a las redes de alcantarillado sanitario y iii) sobre autoconstrucción de baños. </w:t>
            </w:r>
          </w:p>
          <w:p w14:paraId="528F78E1" w14:textId="22D24C52" w:rsidR="009B2579" w:rsidRDefault="009B2579" w:rsidP="37D021AA">
            <w:pPr>
              <w:spacing w:before="120" w:after="120"/>
              <w:jc w:val="both"/>
              <w:rPr>
                <w:sz w:val="18"/>
                <w:szCs w:val="18"/>
                <w:lang w:val="es-ES"/>
              </w:rPr>
            </w:pPr>
          </w:p>
          <w:p w14:paraId="1F0CBA3F" w14:textId="61B23933" w:rsidR="63B16173" w:rsidRDefault="37D021AA" w:rsidP="0078135B">
            <w:pPr>
              <w:spacing w:before="120" w:after="120"/>
              <w:jc w:val="both"/>
              <w:rPr>
                <w:sz w:val="18"/>
                <w:szCs w:val="18"/>
                <w:lang w:val="es-PE"/>
              </w:rPr>
            </w:pPr>
            <w:r w:rsidRPr="5D36EF90">
              <w:rPr>
                <w:i/>
                <w:sz w:val="18"/>
                <w:szCs w:val="18"/>
                <w:lang w:val="es-ES"/>
              </w:rPr>
              <w:t>Sostenibilidad ambiental y social</w:t>
            </w:r>
            <w:r w:rsidRPr="5D36EF90">
              <w:rPr>
                <w:b/>
                <w:i/>
                <w:sz w:val="18"/>
                <w:szCs w:val="18"/>
                <w:lang w:val="es-ES"/>
              </w:rPr>
              <w:t xml:space="preserve">: </w:t>
            </w:r>
            <w:r w:rsidR="5D36EF90" w:rsidRPr="5D36EF90">
              <w:rPr>
                <w:sz w:val="18"/>
                <w:szCs w:val="18"/>
                <w:lang w:val="es-ES"/>
              </w:rPr>
              <w:t xml:space="preserve">Cada uno de los proyectos de la muestra cuenta con un Programa de Prevención y Mitigación y un Plan de Aplicación y Seguimiento Ambiental (PPM-PASA) en el que se identifican </w:t>
            </w:r>
            <w:r w:rsidR="5D36EF90" w:rsidRPr="5D36EF90">
              <w:rPr>
                <w:sz w:val="18"/>
                <w:szCs w:val="18"/>
                <w:lang w:val="es-PE"/>
              </w:rPr>
              <w:t>los potenciales impactos y riesgos ambientales y sociales asociados con las obras previstas y se proponen medidas de prevención y/o mitigación. Todos los proyectos han sido consultados con las comunidades beneficiarias/afectadas. Se concluye, por tanto, que el proceso de preparación del Programa cumple con los requisitos de las políticas de salvaguardias ambientales y sociales del Banco.</w:t>
            </w:r>
            <w:r w:rsidR="0078135B">
              <w:rPr>
                <w:sz w:val="18"/>
                <w:szCs w:val="18"/>
                <w:lang w:val="es-PE"/>
              </w:rPr>
              <w:t xml:space="preserve"> </w:t>
            </w:r>
            <w:r w:rsidR="5D36EF90" w:rsidRPr="5D36EF90">
              <w:rPr>
                <w:sz w:val="18"/>
                <w:szCs w:val="18"/>
                <w:lang w:val="es-PE"/>
              </w:rPr>
              <w:t xml:space="preserve">Adicionalmente a las consultas realizadas durante la preparación de los proyectos, los Organismos Ejecutores promoverán el involucramiento permanente de la comunidad durante la ejecución y operación de los sistemas de </w:t>
            </w:r>
            <w:proofErr w:type="spellStart"/>
            <w:r w:rsidR="5D36EF90" w:rsidRPr="5D36EF90">
              <w:rPr>
                <w:sz w:val="18"/>
                <w:szCs w:val="18"/>
                <w:lang w:val="es-PE"/>
              </w:rPr>
              <w:t>AyS</w:t>
            </w:r>
            <w:proofErr w:type="spellEnd"/>
            <w:r w:rsidR="5D36EF90" w:rsidRPr="5D36EF90">
              <w:rPr>
                <w:sz w:val="18"/>
                <w:szCs w:val="18"/>
                <w:lang w:val="es-PE"/>
              </w:rPr>
              <w:t xml:space="preserve"> a través del componente DESCOM, como forma de garantizar sus sostenibilidad </w:t>
            </w:r>
            <w:r w:rsidR="5D36EF90" w:rsidRPr="5D36EF90">
              <w:rPr>
                <w:sz w:val="18"/>
                <w:szCs w:val="18"/>
                <w:lang w:val="es-PE"/>
              </w:rPr>
              <w:lastRenderedPageBreak/>
              <w:t>social y financiera. La implementación del DESCOM incorporará un enfoque de género e intercultural para garantizar la adecuación cultural y de género de las intervenciones y promover la participación equitativa de hombres y mujeres en todo el ciclo del proyecto.</w:t>
            </w:r>
          </w:p>
          <w:p w14:paraId="61BE3A37" w14:textId="27A8E520" w:rsidR="63B16173" w:rsidRPr="001A3ACE" w:rsidRDefault="63B16173" w:rsidP="63B16173">
            <w:pPr>
              <w:jc w:val="both"/>
              <w:rPr>
                <w:lang w:val="es-MX"/>
              </w:rPr>
            </w:pPr>
            <w:r w:rsidRPr="63B16173">
              <w:rPr>
                <w:sz w:val="18"/>
                <w:szCs w:val="18"/>
                <w:lang w:val="es-PE"/>
              </w:rPr>
              <w:t xml:space="preserve"> </w:t>
            </w:r>
          </w:p>
          <w:p w14:paraId="184659D3" w14:textId="5BDC8444" w:rsidR="63B16173" w:rsidRPr="001A3ACE" w:rsidRDefault="63B16173" w:rsidP="63B16173">
            <w:pPr>
              <w:jc w:val="both"/>
              <w:rPr>
                <w:lang w:val="es-MX"/>
              </w:rPr>
            </w:pPr>
            <w:r w:rsidRPr="63B16173">
              <w:rPr>
                <w:sz w:val="18"/>
                <w:szCs w:val="18"/>
                <w:lang w:val="es-PE"/>
              </w:rPr>
              <w:t>El territorio boliviano</w:t>
            </w:r>
            <w:r w:rsidRPr="63B16173">
              <w:rPr>
                <w:sz w:val="18"/>
                <w:szCs w:val="18"/>
                <w:lang w:val="es-ES"/>
              </w:rPr>
              <w:t>, y especialmente la infraestructura de agua y saneamiento, es vulnerable a inundaciones y sequías. Para mitigar este riesgo, la normativa nacional establece que el Estudio de Diseño Técnico de Pre Inversión del proyecto debe incluir el análisis y la gestión del riesgo de desastres y adaptación al cambio climático.</w:t>
            </w:r>
          </w:p>
          <w:p w14:paraId="7EBC9F2F" w14:textId="49B64A99" w:rsidR="63B16173" w:rsidRPr="001A3ACE" w:rsidRDefault="63B16173" w:rsidP="63B16173">
            <w:pPr>
              <w:jc w:val="both"/>
              <w:rPr>
                <w:lang w:val="es-MX"/>
              </w:rPr>
            </w:pPr>
            <w:r w:rsidRPr="63B16173">
              <w:rPr>
                <w:sz w:val="18"/>
                <w:szCs w:val="18"/>
                <w:lang w:val="es"/>
              </w:rPr>
              <w:t xml:space="preserve"> </w:t>
            </w:r>
          </w:p>
          <w:p w14:paraId="2FB293B6" w14:textId="262D7606" w:rsidR="63B16173" w:rsidRDefault="63B16173" w:rsidP="63B16173">
            <w:pPr>
              <w:jc w:val="both"/>
            </w:pPr>
            <w:r w:rsidRPr="63B16173">
              <w:rPr>
                <w:sz w:val="18"/>
                <w:szCs w:val="18"/>
                <w:lang w:val="es-PE"/>
              </w:rPr>
              <w:t>Se ha desarrollado un Marco de Gestión Ambiental y Social (MGAS) que incluye procedimientos de gestión socioambiental para los proyectos del Programa y requisitos de evaluación ambiental y social, lineamientos para los procesos de consulta, un mecanismo de quejas y reclamos y criterios de viabilidad social y ambiental para la aprobación de proyectos futuros. El MGAS será parte del Reglamento Operativo del Programa.</w:t>
            </w:r>
          </w:p>
          <w:p w14:paraId="099040FB" w14:textId="77777777" w:rsidR="009B2579" w:rsidRDefault="009B2579" w:rsidP="37D021AA">
            <w:pPr>
              <w:spacing w:before="120" w:after="120"/>
              <w:jc w:val="both"/>
              <w:rPr>
                <w:sz w:val="18"/>
                <w:szCs w:val="18"/>
                <w:lang w:val="es-ES"/>
              </w:rPr>
            </w:pPr>
          </w:p>
          <w:p w14:paraId="296DA68F" w14:textId="6C3A09A0" w:rsidR="009B2579" w:rsidRPr="0075121F" w:rsidRDefault="009B2579" w:rsidP="37D021AA">
            <w:pPr>
              <w:spacing w:before="120" w:after="120"/>
              <w:jc w:val="both"/>
              <w:rPr>
                <w:sz w:val="18"/>
                <w:szCs w:val="18"/>
                <w:lang w:val="es-ES"/>
              </w:rPr>
            </w:pPr>
          </w:p>
        </w:tc>
      </w:tr>
    </w:tbl>
    <w:p w14:paraId="5C7315BE" w14:textId="77777777" w:rsidR="000F1306" w:rsidRPr="009876DD"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634"/>
        <w:gridCol w:w="3341"/>
      </w:tblGrid>
      <w:tr w:rsidR="000F1306" w:rsidRPr="009876DD" w14:paraId="3B739ED8" w14:textId="77777777" w:rsidTr="00120449">
        <w:trPr>
          <w:trHeight w:val="701"/>
          <w:jc w:val="center"/>
        </w:trPr>
        <w:tc>
          <w:tcPr>
            <w:tcW w:w="1968" w:type="dxa"/>
            <w:shd w:val="clear" w:color="auto" w:fill="C0C0C0"/>
          </w:tcPr>
          <w:p w14:paraId="4615FCB4" w14:textId="77777777" w:rsidR="000F1306" w:rsidRPr="009876DD" w:rsidRDefault="000F1306" w:rsidP="000F1306">
            <w:pPr>
              <w:rPr>
                <w:b/>
                <w:sz w:val="18"/>
                <w:szCs w:val="18"/>
                <w:lang w:val="es-ES_tradnl"/>
              </w:rPr>
            </w:pPr>
            <w:r w:rsidRPr="009876DD">
              <w:rPr>
                <w:b/>
                <w:sz w:val="18"/>
                <w:szCs w:val="18"/>
                <w:lang w:val="es-ES_tradnl"/>
              </w:rPr>
              <w:t>Principios de la Política que orientan el diseño de las operaciones del Banco</w:t>
            </w:r>
          </w:p>
        </w:tc>
        <w:tc>
          <w:tcPr>
            <w:tcW w:w="4301" w:type="dxa"/>
            <w:shd w:val="clear" w:color="auto" w:fill="C0C0C0"/>
            <w:vAlign w:val="center"/>
          </w:tcPr>
          <w:p w14:paraId="548C67B2" w14:textId="77777777"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14:paraId="2972FD7E" w14:textId="77777777" w:rsidR="000F1306" w:rsidRPr="009876DD" w:rsidRDefault="000F1306" w:rsidP="000F1306">
            <w:pPr>
              <w:jc w:val="center"/>
              <w:rPr>
                <w:b/>
                <w:sz w:val="18"/>
                <w:szCs w:val="18"/>
                <w:lang w:val="es-ES_tradnl"/>
              </w:rPr>
            </w:pPr>
            <w:r w:rsidRPr="009876DD">
              <w:rPr>
                <w:b/>
                <w:sz w:val="18"/>
                <w:szCs w:val="18"/>
                <w:lang w:val="es-ES_tradnl"/>
              </w:rPr>
              <w:t>Comentarios</w:t>
            </w:r>
          </w:p>
        </w:tc>
      </w:tr>
      <w:tr w:rsidR="009834A9" w:rsidRPr="00A439CD" w14:paraId="4CB81676" w14:textId="77777777" w:rsidTr="00120449">
        <w:trPr>
          <w:jc w:val="center"/>
        </w:trPr>
        <w:tc>
          <w:tcPr>
            <w:tcW w:w="1968" w:type="dxa"/>
            <w:shd w:val="clear" w:color="auto" w:fill="auto"/>
          </w:tcPr>
          <w:p w14:paraId="5DA196AA" w14:textId="77777777"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shd w:val="clear" w:color="auto" w:fill="auto"/>
          </w:tcPr>
          <w:p w14:paraId="1B1DDB91"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637CFB0D" w14:textId="06470011" w:rsidR="002D4037" w:rsidRPr="00B53A4A" w:rsidRDefault="0006642C" w:rsidP="00560F84">
            <w:pPr>
              <w:pStyle w:val="Paragraph"/>
              <w:numPr>
                <w:ilvl w:val="0"/>
                <w:numId w:val="0"/>
              </w:numPr>
              <w:rPr>
                <w:sz w:val="18"/>
                <w:szCs w:val="18"/>
                <w:lang w:val="es-ES_tradnl"/>
              </w:rPr>
            </w:pPr>
            <w:r>
              <w:rPr>
                <w:sz w:val="18"/>
                <w:szCs w:val="18"/>
                <w:lang w:val="es-ES_tradnl"/>
              </w:rPr>
              <w:t>La viabilidad técnica de las soluciones de agua y saneamiento contempla el análisis de alternativas seleccionando aquella que sea mayor costo-eficiente y que sea aceptada por la comunidad.</w:t>
            </w:r>
          </w:p>
        </w:tc>
      </w:tr>
      <w:tr w:rsidR="000F1306" w:rsidRPr="00A439CD" w14:paraId="4E4DA4BB" w14:textId="77777777" w:rsidTr="00120449">
        <w:trPr>
          <w:jc w:val="center"/>
        </w:trPr>
        <w:tc>
          <w:tcPr>
            <w:tcW w:w="1968" w:type="dxa"/>
            <w:shd w:val="clear" w:color="auto" w:fill="auto"/>
          </w:tcPr>
          <w:p w14:paraId="4D42868E" w14:textId="77777777" w:rsidR="000F1306" w:rsidRPr="009876DD" w:rsidRDefault="000F1306" w:rsidP="000F1306">
            <w:pPr>
              <w:rPr>
                <w:b/>
                <w:bCs/>
                <w:sz w:val="18"/>
                <w:szCs w:val="18"/>
                <w:lang w:val="es-ES_tradnl"/>
              </w:rPr>
            </w:pPr>
            <w:r w:rsidRPr="009876DD">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shd w:val="clear" w:color="auto" w:fill="auto"/>
          </w:tcPr>
          <w:p w14:paraId="0C30DFB0" w14:textId="77777777" w:rsidR="000F1306" w:rsidRPr="009876DD" w:rsidRDefault="000F1306" w:rsidP="000F1306">
            <w:pPr>
              <w:rPr>
                <w:sz w:val="18"/>
                <w:szCs w:val="18"/>
                <w:lang w:val="es-ES_tradnl"/>
              </w:rPr>
            </w:pPr>
            <w:r w:rsidRPr="009876DD">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14:paraId="4A021E35" w14:textId="77777777" w:rsidR="000F1306" w:rsidRPr="00563D9C" w:rsidRDefault="000F1306" w:rsidP="00D06EBC">
            <w:pPr>
              <w:spacing w:before="120" w:after="120"/>
              <w:jc w:val="both"/>
              <w:rPr>
                <w:sz w:val="18"/>
                <w:szCs w:val="18"/>
                <w:highlight w:val="cyan"/>
                <w:lang w:val="es-ES_tradnl"/>
              </w:rPr>
            </w:pPr>
            <w:r w:rsidRPr="007C01B6">
              <w:rPr>
                <w:sz w:val="18"/>
                <w:szCs w:val="18"/>
                <w:lang w:val="es-ES_tradnl"/>
              </w:rPr>
              <w:t xml:space="preserve"> Ver </w:t>
            </w:r>
            <w:r w:rsidR="007C01B6" w:rsidRPr="007C01B6">
              <w:rPr>
                <w:sz w:val="18"/>
                <w:szCs w:val="18"/>
                <w:lang w:val="es-ES_tradnl"/>
              </w:rPr>
              <w:t xml:space="preserve">comentarios sobre puntos </w:t>
            </w:r>
            <w:r w:rsidR="0008127B">
              <w:rPr>
                <w:sz w:val="18"/>
                <w:szCs w:val="18"/>
                <w:lang w:val="es-ES_tradnl"/>
              </w:rPr>
              <w:t>de</w:t>
            </w:r>
            <w:r w:rsidR="007C01B6" w:rsidRPr="007C01B6">
              <w:rPr>
                <w:sz w:val="18"/>
                <w:szCs w:val="18"/>
                <w:lang w:val="es-ES_tradnl"/>
              </w:rPr>
              <w:t xml:space="preserve"> abajo.</w:t>
            </w:r>
          </w:p>
        </w:tc>
      </w:tr>
      <w:tr w:rsidR="009834A9" w:rsidRPr="00A439CD" w14:paraId="7957BB67" w14:textId="77777777" w:rsidTr="00120449">
        <w:trPr>
          <w:jc w:val="center"/>
        </w:trPr>
        <w:tc>
          <w:tcPr>
            <w:tcW w:w="1968" w:type="dxa"/>
            <w:shd w:val="clear" w:color="auto" w:fill="auto"/>
          </w:tcPr>
          <w:p w14:paraId="13B56CBB" w14:textId="77777777"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shd w:val="clear" w:color="auto" w:fill="auto"/>
          </w:tcPr>
          <w:p w14:paraId="321910C2" w14:textId="77777777" w:rsidR="000F1306" w:rsidRPr="009834A9" w:rsidRDefault="000F1306" w:rsidP="000F1306">
            <w:pPr>
              <w:rPr>
                <w:sz w:val="18"/>
                <w:szCs w:val="18"/>
                <w:lang w:val="es-ES_tradnl"/>
              </w:rPr>
            </w:pPr>
            <w:r w:rsidRPr="009834A9">
              <w:rPr>
                <w:sz w:val="18"/>
                <w:szCs w:val="18"/>
                <w:lang w:val="es-ES_tradnl"/>
              </w:rPr>
              <w:t xml:space="preserve">Se apoyará el desarrollo de esquemas sostenibles que utilicen la combinación costo-eficiencia y las soluciones tecnológicas más apropiadas en función de las características de la demanda y el servicio público para atender </w:t>
            </w:r>
            <w:r w:rsidRPr="009834A9">
              <w:rPr>
                <w:sz w:val="18"/>
                <w:szCs w:val="18"/>
                <w:lang w:val="es-ES_tradnl"/>
              </w:rPr>
              <w:lastRenderedPageBreak/>
              <w:t>las necesidades de acceso de la población, tanto rural como urbana.</w:t>
            </w:r>
          </w:p>
        </w:tc>
        <w:tc>
          <w:tcPr>
            <w:tcW w:w="3966" w:type="dxa"/>
            <w:shd w:val="clear" w:color="auto" w:fill="auto"/>
          </w:tcPr>
          <w:p w14:paraId="06A4BF9E" w14:textId="77777777" w:rsidR="000F1306" w:rsidRPr="009834A9" w:rsidRDefault="00ED5E5B" w:rsidP="00261814">
            <w:pPr>
              <w:pStyle w:val="Paragraph"/>
              <w:numPr>
                <w:ilvl w:val="0"/>
                <w:numId w:val="0"/>
              </w:numPr>
              <w:rPr>
                <w:sz w:val="18"/>
                <w:szCs w:val="18"/>
                <w:highlight w:val="cyan"/>
                <w:lang w:val="es-ES_tradnl"/>
              </w:rPr>
            </w:pPr>
            <w:r w:rsidRPr="00ED5E5B">
              <w:rPr>
                <w:rFonts w:eastAsiaTheme="minorHAnsi"/>
                <w:sz w:val="18"/>
                <w:szCs w:val="18"/>
                <w:lang w:val="es-ES_tradnl"/>
              </w:rPr>
              <w:lastRenderedPageBreak/>
              <w:t xml:space="preserve">La Ley de Autonomías y Descentralización </w:t>
            </w:r>
            <w:proofErr w:type="spellStart"/>
            <w:r w:rsidRPr="00ED5E5B">
              <w:rPr>
                <w:rFonts w:eastAsiaTheme="minorHAnsi"/>
                <w:sz w:val="18"/>
                <w:szCs w:val="18"/>
                <w:lang w:val="es-ES_tradnl"/>
              </w:rPr>
              <w:t>Nº</w:t>
            </w:r>
            <w:proofErr w:type="spellEnd"/>
            <w:r w:rsidRPr="00ED5E5B">
              <w:rPr>
                <w:rFonts w:eastAsiaTheme="minorHAnsi"/>
                <w:sz w:val="18"/>
                <w:szCs w:val="18"/>
                <w:lang w:val="es-ES_tradnl"/>
              </w:rPr>
              <w:t xml:space="preserve"> 031 de julio de 2010 da un paso importante en establecer la descentralización de poderes a los gobiernos sub nacionales. Con esta Ley, </w:t>
            </w:r>
            <w:r w:rsidRPr="00ED5E5B">
              <w:rPr>
                <w:rFonts w:eastAsiaTheme="minorHAnsi"/>
                <w:sz w:val="18"/>
                <w:szCs w:val="18"/>
                <w:lang w:val="es-ES_tradnl"/>
              </w:rPr>
              <w:lastRenderedPageBreak/>
              <w:t>los Gobiernos Departamentales tienen la facultad no solo de proveer asesoría técnica sino de financiar de manera concurrente proyectos de inversión en Agua y Saneamiento con las entidades nacionales y los Gobiernos Municipales</w:t>
            </w:r>
            <w:r w:rsidR="00B41EB9">
              <w:rPr>
                <w:rFonts w:eastAsiaTheme="minorHAnsi"/>
                <w:sz w:val="18"/>
                <w:szCs w:val="18"/>
                <w:lang w:val="es-ES_tradnl"/>
              </w:rPr>
              <w:t>.</w:t>
            </w:r>
            <w:r w:rsidR="00B41EB9" w:rsidRPr="00B41EB9">
              <w:rPr>
                <w:rFonts w:eastAsiaTheme="minorHAnsi"/>
                <w:sz w:val="18"/>
                <w:szCs w:val="18"/>
                <w:lang w:val="es-ES_tradnl"/>
              </w:rPr>
              <w:t xml:space="preserve"> </w:t>
            </w:r>
            <w:r w:rsidR="00B41EB9">
              <w:rPr>
                <w:rFonts w:eastAsiaTheme="minorHAnsi"/>
                <w:sz w:val="18"/>
                <w:szCs w:val="18"/>
                <w:lang w:val="es-ES_tradnl"/>
              </w:rPr>
              <w:t>La</w:t>
            </w:r>
            <w:r w:rsidR="00971BDF">
              <w:rPr>
                <w:rFonts w:eastAsiaTheme="minorHAnsi"/>
                <w:sz w:val="18"/>
                <w:szCs w:val="18"/>
                <w:lang w:val="es-ES_tradnl"/>
              </w:rPr>
              <w:t>s principales</w:t>
            </w:r>
            <w:r w:rsidR="00B41EB9">
              <w:rPr>
                <w:rFonts w:eastAsiaTheme="minorHAnsi"/>
                <w:sz w:val="18"/>
                <w:szCs w:val="18"/>
                <w:lang w:val="es-ES_tradnl"/>
              </w:rPr>
              <w:t xml:space="preserve"> </w:t>
            </w:r>
            <w:proofErr w:type="spellStart"/>
            <w:r w:rsidR="00B41EB9" w:rsidRPr="00B41EB9">
              <w:rPr>
                <w:rFonts w:eastAsiaTheme="minorHAnsi"/>
                <w:sz w:val="18"/>
                <w:szCs w:val="18"/>
                <w:lang w:val="es-ES_tradnl"/>
              </w:rPr>
              <w:t>EPSA</w:t>
            </w:r>
            <w:r w:rsidR="00971BDF">
              <w:rPr>
                <w:rFonts w:eastAsiaTheme="minorHAnsi"/>
                <w:sz w:val="18"/>
                <w:szCs w:val="18"/>
                <w:lang w:val="es-ES_tradnl"/>
              </w:rPr>
              <w:t>s</w:t>
            </w:r>
            <w:proofErr w:type="spellEnd"/>
            <w:r w:rsidR="00971BDF">
              <w:rPr>
                <w:rFonts w:eastAsiaTheme="minorHAnsi"/>
                <w:sz w:val="18"/>
                <w:szCs w:val="18"/>
                <w:lang w:val="es-ES_tradnl"/>
              </w:rPr>
              <w:t xml:space="preserve"> del </w:t>
            </w:r>
            <w:r w:rsidR="004825AC">
              <w:rPr>
                <w:rFonts w:eastAsiaTheme="minorHAnsi"/>
                <w:sz w:val="18"/>
                <w:szCs w:val="18"/>
                <w:lang w:val="es-ES_tradnl"/>
              </w:rPr>
              <w:t>país</w:t>
            </w:r>
            <w:r w:rsidR="00B41EB9" w:rsidRPr="00B41EB9">
              <w:rPr>
                <w:rFonts w:eastAsiaTheme="minorHAnsi"/>
                <w:sz w:val="18"/>
                <w:szCs w:val="18"/>
                <w:lang w:val="es-ES_tradnl"/>
              </w:rPr>
              <w:t xml:space="preserve"> se encuentra</w:t>
            </w:r>
            <w:r w:rsidR="00971BDF">
              <w:rPr>
                <w:rFonts w:eastAsiaTheme="minorHAnsi"/>
                <w:sz w:val="18"/>
                <w:szCs w:val="18"/>
                <w:lang w:val="es-ES_tradnl"/>
              </w:rPr>
              <w:t>n</w:t>
            </w:r>
            <w:r w:rsidR="00B41EB9" w:rsidRPr="00B41EB9">
              <w:rPr>
                <w:rFonts w:eastAsiaTheme="minorHAnsi"/>
                <w:sz w:val="18"/>
                <w:szCs w:val="18"/>
                <w:lang w:val="es-ES_tradnl"/>
              </w:rPr>
              <w:t xml:space="preserve"> regulada</w:t>
            </w:r>
            <w:r w:rsidR="00971BDF">
              <w:rPr>
                <w:rFonts w:eastAsiaTheme="minorHAnsi"/>
                <w:sz w:val="18"/>
                <w:szCs w:val="18"/>
                <w:lang w:val="es-ES_tradnl"/>
              </w:rPr>
              <w:t>s</w:t>
            </w:r>
            <w:r w:rsidR="00B41EB9" w:rsidRPr="00B41EB9">
              <w:rPr>
                <w:rFonts w:eastAsiaTheme="minorHAnsi"/>
                <w:sz w:val="18"/>
                <w:szCs w:val="18"/>
                <w:lang w:val="es-ES_tradnl"/>
              </w:rPr>
              <w:t>, y está</w:t>
            </w:r>
            <w:r w:rsidR="00971BDF">
              <w:rPr>
                <w:rFonts w:eastAsiaTheme="minorHAnsi"/>
                <w:sz w:val="18"/>
                <w:szCs w:val="18"/>
                <w:lang w:val="es-ES_tradnl"/>
              </w:rPr>
              <w:t>n</w:t>
            </w:r>
            <w:r w:rsidR="00B41EB9" w:rsidRPr="00B41EB9">
              <w:rPr>
                <w:rFonts w:eastAsiaTheme="minorHAnsi"/>
                <w:sz w:val="18"/>
                <w:szCs w:val="18"/>
                <w:lang w:val="es-ES_tradnl"/>
              </w:rPr>
              <w:t xml:space="preserve"> sometida al control de la AAPS, a la que debe</w:t>
            </w:r>
            <w:r w:rsidR="00971BDF">
              <w:rPr>
                <w:rFonts w:eastAsiaTheme="minorHAnsi"/>
                <w:sz w:val="18"/>
                <w:szCs w:val="18"/>
                <w:lang w:val="es-ES_tradnl"/>
              </w:rPr>
              <w:t>n</w:t>
            </w:r>
            <w:r w:rsidR="00B41EB9" w:rsidRPr="00B41EB9">
              <w:rPr>
                <w:rFonts w:eastAsiaTheme="minorHAnsi"/>
                <w:sz w:val="18"/>
                <w:szCs w:val="18"/>
                <w:lang w:val="es-ES_tradnl"/>
              </w:rPr>
              <w:t xml:space="preserve"> suministrar información</w:t>
            </w:r>
            <w:r w:rsidR="00B41EB9">
              <w:rPr>
                <w:rFonts w:eastAsiaTheme="minorHAnsi"/>
                <w:sz w:val="18"/>
                <w:szCs w:val="18"/>
                <w:lang w:val="es-ES_tradnl"/>
              </w:rPr>
              <w:t xml:space="preserve"> operativa y financiera</w:t>
            </w:r>
            <w:r w:rsidR="00B41EB9" w:rsidRPr="00B41EB9">
              <w:rPr>
                <w:rFonts w:eastAsiaTheme="minorHAnsi"/>
                <w:sz w:val="18"/>
                <w:szCs w:val="18"/>
                <w:lang w:val="es-ES_tradnl"/>
              </w:rPr>
              <w:t xml:space="preserve"> necesaria para la función del regulador, de modo que se puedan ejercer una apropiada rendición de cuentas. Ciertas informaciones son además públicas para facilitar el control social. Se exige el uso de procedimientos de licitación pública para obras y equipamientos.</w:t>
            </w:r>
            <w:r w:rsidR="00B41EB9">
              <w:rPr>
                <w:rFonts w:eastAsiaTheme="minorHAnsi"/>
                <w:sz w:val="18"/>
                <w:szCs w:val="18"/>
                <w:lang w:val="es-ES_tradnl"/>
              </w:rPr>
              <w:t xml:space="preserve"> </w:t>
            </w:r>
          </w:p>
        </w:tc>
      </w:tr>
      <w:tr w:rsidR="000F1306" w:rsidRPr="00A439CD" w14:paraId="4A632F2F" w14:textId="77777777" w:rsidTr="00120449">
        <w:trPr>
          <w:jc w:val="center"/>
        </w:trPr>
        <w:tc>
          <w:tcPr>
            <w:tcW w:w="1968" w:type="dxa"/>
            <w:shd w:val="clear" w:color="auto" w:fill="auto"/>
          </w:tcPr>
          <w:p w14:paraId="35BD68A9" w14:textId="77777777" w:rsidR="000F1306" w:rsidRPr="009876DD" w:rsidRDefault="000F1306" w:rsidP="000F1306">
            <w:pPr>
              <w:ind w:left="330" w:hanging="150"/>
              <w:rPr>
                <w:b/>
                <w:bCs/>
                <w:i/>
                <w:sz w:val="18"/>
                <w:szCs w:val="18"/>
                <w:lang w:val="es-ES_tradnl"/>
              </w:rPr>
            </w:pPr>
            <w:r w:rsidRPr="009876DD">
              <w:rPr>
                <w:b/>
                <w:bCs/>
                <w:i/>
                <w:sz w:val="18"/>
                <w:szCs w:val="18"/>
                <w:lang w:val="es-ES_tradnl"/>
              </w:rPr>
              <w:lastRenderedPageBreak/>
              <w:t>B. Analizar las características e impactos de los subsidios</w:t>
            </w:r>
          </w:p>
        </w:tc>
        <w:tc>
          <w:tcPr>
            <w:tcW w:w="4301" w:type="dxa"/>
            <w:shd w:val="clear" w:color="auto" w:fill="auto"/>
          </w:tcPr>
          <w:p w14:paraId="3E64FA2E" w14:textId="77777777" w:rsidR="000F1306" w:rsidRPr="009876DD" w:rsidRDefault="000F1306" w:rsidP="00923B34">
            <w:pPr>
              <w:jc w:val="both"/>
              <w:rPr>
                <w:sz w:val="18"/>
                <w:szCs w:val="18"/>
                <w:lang w:val="es-ES_tradnl"/>
              </w:rPr>
            </w:pPr>
            <w:r w:rsidRPr="009876DD">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42DE87EF" w14:textId="77777777" w:rsidR="00D52C0D" w:rsidRPr="00D52C0D" w:rsidRDefault="00847254" w:rsidP="00D52C0D">
            <w:pPr>
              <w:pStyle w:val="Default"/>
              <w:jc w:val="both"/>
              <w:rPr>
                <w:sz w:val="18"/>
                <w:szCs w:val="18"/>
                <w:lang w:val="es-ES_tradnl"/>
              </w:rPr>
            </w:pPr>
            <w:r>
              <w:rPr>
                <w:sz w:val="18"/>
                <w:szCs w:val="18"/>
                <w:lang w:val="es-ES_tradnl"/>
              </w:rPr>
              <w:t>L</w:t>
            </w:r>
            <w:r w:rsidR="00D52C0D">
              <w:rPr>
                <w:sz w:val="18"/>
                <w:szCs w:val="18"/>
                <w:lang w:val="es-ES_tradnl"/>
              </w:rPr>
              <w:t>os objetivos</w:t>
            </w:r>
            <w:r>
              <w:rPr>
                <w:sz w:val="18"/>
                <w:szCs w:val="18"/>
                <w:lang w:val="es-ES_tradnl"/>
              </w:rPr>
              <w:t xml:space="preserve"> principales</w:t>
            </w:r>
            <w:r w:rsidR="00D52C0D">
              <w:rPr>
                <w:sz w:val="18"/>
                <w:szCs w:val="18"/>
                <w:lang w:val="es-ES_tradnl"/>
              </w:rPr>
              <w:t xml:space="preserve"> de la Política Tarifaria</w:t>
            </w:r>
            <w:r w:rsidR="00B9641D">
              <w:rPr>
                <w:sz w:val="18"/>
                <w:szCs w:val="18"/>
                <w:lang w:val="es-ES_tradnl"/>
              </w:rPr>
              <w:t xml:space="preserve"> nacional</w:t>
            </w:r>
            <w:r w:rsidR="00D52C0D">
              <w:rPr>
                <w:sz w:val="18"/>
                <w:szCs w:val="18"/>
                <w:lang w:val="es-ES_tradnl"/>
              </w:rPr>
              <w:t xml:space="preserve"> </w:t>
            </w:r>
            <w:r>
              <w:rPr>
                <w:sz w:val="18"/>
                <w:szCs w:val="18"/>
                <w:lang w:val="es-ES_tradnl"/>
              </w:rPr>
              <w:t>incluyen</w:t>
            </w:r>
            <w:r w:rsidR="00D52C0D">
              <w:rPr>
                <w:sz w:val="18"/>
                <w:szCs w:val="18"/>
                <w:lang w:val="es-ES_tradnl"/>
              </w:rPr>
              <w:t xml:space="preserve"> </w:t>
            </w:r>
            <w:r>
              <w:rPr>
                <w:sz w:val="18"/>
                <w:szCs w:val="18"/>
                <w:lang w:val="es-ES_tradnl"/>
              </w:rPr>
              <w:t xml:space="preserve">tanto </w:t>
            </w:r>
            <w:r w:rsidR="00D52C0D">
              <w:rPr>
                <w:sz w:val="18"/>
                <w:szCs w:val="18"/>
                <w:lang w:val="es-ES_tradnl"/>
              </w:rPr>
              <w:t>p</w:t>
            </w:r>
            <w:r w:rsidR="00D52C0D" w:rsidRPr="00D52C0D">
              <w:rPr>
                <w:sz w:val="18"/>
                <w:szCs w:val="18"/>
                <w:lang w:val="es-ES_tradnl"/>
              </w:rPr>
              <w:t xml:space="preserve">ropiciar la universalización al acceso de los servicios, la sustentabilidad y la distribución equitativa de sus costos entre las diferentes categorías de usuarios, considerando los diferentes usos y la capacidad de </w:t>
            </w:r>
            <w:r>
              <w:rPr>
                <w:sz w:val="18"/>
                <w:szCs w:val="18"/>
                <w:lang w:val="es-ES_tradnl"/>
              </w:rPr>
              <w:t>pago de los usuarios domésticos, como</w:t>
            </w:r>
            <w:r w:rsidR="00D52C0D">
              <w:rPr>
                <w:sz w:val="18"/>
                <w:szCs w:val="18"/>
                <w:lang w:val="es-ES_tradnl"/>
              </w:rPr>
              <w:t xml:space="preserve"> p</w:t>
            </w:r>
            <w:r w:rsidR="00D52C0D" w:rsidRPr="00D52C0D">
              <w:rPr>
                <w:sz w:val="18"/>
                <w:szCs w:val="18"/>
                <w:lang w:val="es-ES_tradnl"/>
              </w:rPr>
              <w:t xml:space="preserve">romover el uso racional por parte de los usuarios y la eficiencia de las </w:t>
            </w:r>
            <w:proofErr w:type="spellStart"/>
            <w:r w:rsidR="00D52C0D" w:rsidRPr="00D52C0D">
              <w:rPr>
                <w:sz w:val="18"/>
                <w:szCs w:val="18"/>
                <w:lang w:val="es-ES_tradnl"/>
              </w:rPr>
              <w:t>EPSA</w:t>
            </w:r>
            <w:r w:rsidR="00EF7928">
              <w:rPr>
                <w:sz w:val="18"/>
                <w:szCs w:val="18"/>
                <w:lang w:val="es-ES_tradnl"/>
              </w:rPr>
              <w:t>s</w:t>
            </w:r>
            <w:proofErr w:type="spellEnd"/>
            <w:r w:rsidR="00D52C0D" w:rsidRPr="00D52C0D">
              <w:rPr>
                <w:sz w:val="18"/>
                <w:szCs w:val="18"/>
                <w:lang w:val="es-ES_tradnl"/>
              </w:rPr>
              <w:t xml:space="preserve"> en el control de las pérdidas para la preservación del recurso hídrico en el contexto de vulnerabilidad y agotamiento de las fuentes de agua que está produciendo el cambio climático</w:t>
            </w:r>
            <w:r w:rsidR="00C34991">
              <w:rPr>
                <w:sz w:val="18"/>
                <w:szCs w:val="18"/>
                <w:lang w:val="es-ES_tradnl"/>
              </w:rPr>
              <w:t>.</w:t>
            </w:r>
            <w:r w:rsidR="00D52C0D" w:rsidRPr="00D52C0D">
              <w:rPr>
                <w:sz w:val="18"/>
                <w:szCs w:val="18"/>
                <w:lang w:val="es-ES_tradnl"/>
              </w:rPr>
              <w:t xml:space="preserve"> </w:t>
            </w:r>
          </w:p>
          <w:p w14:paraId="37DD9328" w14:textId="77777777" w:rsidR="006C4BCA" w:rsidRPr="006925B9" w:rsidRDefault="006C4BCA" w:rsidP="0078135B">
            <w:pPr>
              <w:autoSpaceDE w:val="0"/>
              <w:autoSpaceDN w:val="0"/>
              <w:adjustRightInd w:val="0"/>
              <w:jc w:val="both"/>
              <w:rPr>
                <w:rFonts w:eastAsiaTheme="minorHAnsi"/>
                <w:b/>
                <w:color w:val="FF0000"/>
                <w:sz w:val="18"/>
                <w:szCs w:val="18"/>
                <w:lang w:val="es-ES_tradnl"/>
              </w:rPr>
            </w:pPr>
          </w:p>
        </w:tc>
      </w:tr>
      <w:tr w:rsidR="007970C9" w:rsidRPr="00A439CD" w14:paraId="3910F02A" w14:textId="77777777" w:rsidTr="00120449">
        <w:trPr>
          <w:jc w:val="center"/>
        </w:trPr>
        <w:tc>
          <w:tcPr>
            <w:tcW w:w="1968" w:type="dxa"/>
            <w:shd w:val="clear" w:color="auto" w:fill="auto"/>
          </w:tcPr>
          <w:p w14:paraId="5A160D1E" w14:textId="77777777" w:rsidR="007970C9" w:rsidRPr="009876DD" w:rsidRDefault="007970C9" w:rsidP="000F1306">
            <w:pPr>
              <w:ind w:left="330" w:hanging="150"/>
              <w:rPr>
                <w:i/>
                <w:sz w:val="18"/>
                <w:szCs w:val="18"/>
                <w:lang w:val="es-ES_tradnl"/>
              </w:rPr>
            </w:pPr>
            <w:r w:rsidRPr="009876DD">
              <w:rPr>
                <w:b/>
                <w:bCs/>
                <w:i/>
                <w:sz w:val="18"/>
                <w:szCs w:val="18"/>
                <w:lang w:val="es-ES_tradnl"/>
              </w:rPr>
              <w:t>C. Separación de Funciones para mejorar la gobernanza sectorial</w:t>
            </w:r>
          </w:p>
        </w:tc>
        <w:tc>
          <w:tcPr>
            <w:tcW w:w="4301" w:type="dxa"/>
            <w:shd w:val="clear" w:color="auto" w:fill="auto"/>
          </w:tcPr>
          <w:p w14:paraId="1B021915" w14:textId="77777777" w:rsidR="007970C9" w:rsidRPr="009876DD" w:rsidRDefault="007970C9"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w:t>
            </w:r>
            <w:r w:rsidRPr="009876DD">
              <w:rPr>
                <w:sz w:val="18"/>
                <w:szCs w:val="18"/>
                <w:lang w:val="es-ES_tradnl"/>
              </w:rPr>
              <w:lastRenderedPageBreak/>
              <w:t xml:space="preserve">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3A8904A9" w14:textId="77777777" w:rsidR="009D2FED" w:rsidRPr="009D2FED" w:rsidRDefault="009D2FED" w:rsidP="009D2FED">
            <w:pPr>
              <w:autoSpaceDE w:val="0"/>
              <w:autoSpaceDN w:val="0"/>
              <w:adjustRightInd w:val="0"/>
              <w:jc w:val="both"/>
              <w:rPr>
                <w:sz w:val="18"/>
                <w:szCs w:val="18"/>
                <w:lang w:val="es-ES_tradnl"/>
              </w:rPr>
            </w:pPr>
            <w:r w:rsidRPr="009D2FED">
              <w:rPr>
                <w:sz w:val="18"/>
                <w:szCs w:val="18"/>
                <w:lang w:val="es-ES_tradnl"/>
              </w:rPr>
              <w:lastRenderedPageBreak/>
              <w:t>La planificación estratégica y política del sector de A&amp;S es responsabilidad del Mini</w:t>
            </w:r>
            <w:r>
              <w:rPr>
                <w:sz w:val="18"/>
                <w:szCs w:val="18"/>
                <w:lang w:val="es-ES_tradnl"/>
              </w:rPr>
              <w:t>sterio de Medio Ambiente y Agua (</w:t>
            </w:r>
            <w:proofErr w:type="spellStart"/>
            <w:r>
              <w:rPr>
                <w:sz w:val="18"/>
                <w:szCs w:val="18"/>
                <w:lang w:val="es-ES_tradnl"/>
              </w:rPr>
              <w:t>MMAyA</w:t>
            </w:r>
            <w:proofErr w:type="spellEnd"/>
            <w:r>
              <w:rPr>
                <w:sz w:val="18"/>
                <w:szCs w:val="18"/>
                <w:lang w:val="es-ES_tradnl"/>
              </w:rPr>
              <w:t>)</w:t>
            </w:r>
            <w:r w:rsidRPr="009D2FED">
              <w:rPr>
                <w:sz w:val="18"/>
                <w:szCs w:val="18"/>
                <w:lang w:val="es-ES_tradnl"/>
              </w:rPr>
              <w:t xml:space="preserve">. 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 En 2008 se creó el</w:t>
            </w:r>
            <w:r>
              <w:rPr>
                <w:sz w:val="18"/>
                <w:szCs w:val="18"/>
                <w:lang w:val="es-ES_tradnl"/>
              </w:rPr>
              <w:t xml:space="preserve"> </w:t>
            </w:r>
            <w:r w:rsidRPr="009D2FED">
              <w:rPr>
                <w:sz w:val="18"/>
                <w:szCs w:val="18"/>
                <w:lang w:val="es-ES_tradnl"/>
              </w:rPr>
              <w:t>Servicio Nacional para la Sostenibilidad del Saneamiento Básico (SENASBA),</w:t>
            </w:r>
            <w:r>
              <w:rPr>
                <w:sz w:val="18"/>
                <w:szCs w:val="18"/>
                <w:lang w:val="es-ES_tradnl"/>
              </w:rPr>
              <w:t xml:space="preserve"> </w:t>
            </w:r>
            <w:r w:rsidRPr="009D2FED">
              <w:rPr>
                <w:sz w:val="18"/>
                <w:szCs w:val="18"/>
                <w:lang w:val="es-ES_tradnl"/>
              </w:rPr>
              <w:t>institución pública descentralizada, con autonomía administrativa, financiera,</w:t>
            </w:r>
            <w:r>
              <w:rPr>
                <w:sz w:val="18"/>
                <w:szCs w:val="18"/>
                <w:lang w:val="es-ES_tradnl"/>
              </w:rPr>
              <w:t xml:space="preserve"> </w:t>
            </w:r>
            <w:r w:rsidRPr="009D2FED">
              <w:rPr>
                <w:sz w:val="18"/>
                <w:szCs w:val="18"/>
                <w:lang w:val="es-ES_tradnl"/>
              </w:rPr>
              <w:t xml:space="preserve">legal y técnica, bajo tuición del </w:t>
            </w:r>
            <w:proofErr w:type="spellStart"/>
            <w:r w:rsidRPr="009D2FED">
              <w:rPr>
                <w:sz w:val="18"/>
                <w:szCs w:val="18"/>
                <w:lang w:val="es-ES_tradnl"/>
              </w:rPr>
              <w:t>MMAyA</w:t>
            </w:r>
            <w:proofErr w:type="spellEnd"/>
            <w:r w:rsidRPr="009D2FED">
              <w:rPr>
                <w:sz w:val="18"/>
                <w:szCs w:val="18"/>
                <w:lang w:val="es-ES_tradnl"/>
              </w:rPr>
              <w:t>, y que tiene la misión de coadyuvar a los</w:t>
            </w:r>
            <w:r>
              <w:rPr>
                <w:sz w:val="18"/>
                <w:szCs w:val="18"/>
                <w:lang w:val="es-ES_tradnl"/>
              </w:rPr>
              <w:t xml:space="preserve"> </w:t>
            </w:r>
            <w:r w:rsidRPr="009D2FED">
              <w:rPr>
                <w:sz w:val="18"/>
                <w:szCs w:val="18"/>
                <w:lang w:val="es-ES_tradnl"/>
              </w:rPr>
              <w:t xml:space="preserve">procesos de fortalecimiento y sostenibilidad de las </w:t>
            </w:r>
            <w:r>
              <w:rPr>
                <w:sz w:val="18"/>
                <w:szCs w:val="18"/>
                <w:lang w:val="es-ES_tradnl"/>
              </w:rPr>
              <w:t>Entidades Prestadoras de servicio de agua potable y alcantarillado (EPSA(s))</w:t>
            </w:r>
            <w:r w:rsidRPr="009D2FED">
              <w:rPr>
                <w:sz w:val="18"/>
                <w:szCs w:val="18"/>
                <w:lang w:val="es-ES_tradnl"/>
              </w:rPr>
              <w:t xml:space="preserve"> en el país, mediante la</w:t>
            </w:r>
            <w:r>
              <w:rPr>
                <w:sz w:val="18"/>
                <w:szCs w:val="18"/>
                <w:lang w:val="es-ES_tradnl"/>
              </w:rPr>
              <w:t xml:space="preserve"> </w:t>
            </w:r>
            <w:r w:rsidRPr="009D2FED">
              <w:rPr>
                <w:sz w:val="18"/>
                <w:szCs w:val="18"/>
                <w:lang w:val="es-ES_tradnl"/>
              </w:rPr>
              <w:t xml:space="preserve">ejecución de procesos de </w:t>
            </w:r>
            <w:r w:rsidRPr="009D2FED">
              <w:rPr>
                <w:sz w:val="18"/>
                <w:szCs w:val="18"/>
                <w:lang w:val="es-ES_tradnl"/>
              </w:rPr>
              <w:lastRenderedPageBreak/>
              <w:t>Asistencia</w:t>
            </w:r>
            <w:r>
              <w:rPr>
                <w:sz w:val="18"/>
                <w:szCs w:val="18"/>
                <w:lang w:val="es-ES_tradnl"/>
              </w:rPr>
              <w:t xml:space="preserve"> Técnica</w:t>
            </w:r>
            <w:r w:rsidRPr="009D2FED">
              <w:rPr>
                <w:sz w:val="18"/>
                <w:szCs w:val="18"/>
                <w:lang w:val="es-ES_tradnl"/>
              </w:rPr>
              <w:t>, Fortalecimiento Institucional,</w:t>
            </w:r>
            <w:r>
              <w:rPr>
                <w:sz w:val="18"/>
                <w:szCs w:val="18"/>
                <w:lang w:val="es-ES_tradnl"/>
              </w:rPr>
              <w:t xml:space="preserve"> Desarrollo Comunitario </w:t>
            </w:r>
            <w:r w:rsidRPr="009D2FED">
              <w:rPr>
                <w:sz w:val="18"/>
                <w:szCs w:val="18"/>
                <w:lang w:val="es-ES_tradnl"/>
              </w:rPr>
              <w:t>, capacitación y educación sanitaria e</w:t>
            </w:r>
            <w:r>
              <w:rPr>
                <w:sz w:val="18"/>
                <w:szCs w:val="18"/>
                <w:lang w:val="es-ES_tradnl"/>
              </w:rPr>
              <w:t xml:space="preserve"> </w:t>
            </w:r>
            <w:r w:rsidRPr="009D2FED">
              <w:rPr>
                <w:sz w:val="18"/>
                <w:szCs w:val="18"/>
                <w:lang w:val="es-ES_tradnl"/>
              </w:rPr>
              <w:t>investigación y desarrollo tecnológico.</w:t>
            </w:r>
            <w:r>
              <w:rPr>
                <w:sz w:val="18"/>
                <w:szCs w:val="18"/>
                <w:lang w:val="es-ES_tradnl"/>
              </w:rPr>
              <w:t xml:space="preserve"> Los servicios de agua potable y alcantarillado son prestados por la EPSA(s).</w:t>
            </w:r>
            <w:r w:rsidRPr="009D2FED">
              <w:rPr>
                <w:sz w:val="18"/>
                <w:szCs w:val="18"/>
                <w:lang w:val="es-ES_tradnl"/>
              </w:rPr>
              <w:t xml:space="preserve"> </w:t>
            </w:r>
          </w:p>
          <w:p w14:paraId="35848C8E" w14:textId="77777777" w:rsidR="007970C9" w:rsidRPr="009D2FED" w:rsidRDefault="007970C9" w:rsidP="009D2FED">
            <w:pPr>
              <w:jc w:val="both"/>
              <w:rPr>
                <w:sz w:val="18"/>
                <w:szCs w:val="18"/>
                <w:lang w:val="es-ES_tradnl"/>
              </w:rPr>
            </w:pPr>
          </w:p>
        </w:tc>
      </w:tr>
      <w:tr w:rsidR="007970C9" w:rsidRPr="00A439CD" w14:paraId="14152760" w14:textId="77777777" w:rsidTr="00120449">
        <w:trPr>
          <w:jc w:val="center"/>
        </w:trPr>
        <w:tc>
          <w:tcPr>
            <w:tcW w:w="1968" w:type="dxa"/>
            <w:shd w:val="clear" w:color="auto" w:fill="auto"/>
          </w:tcPr>
          <w:p w14:paraId="59DA4729" w14:textId="77777777" w:rsidR="007970C9" w:rsidRPr="009876DD" w:rsidRDefault="007970C9" w:rsidP="000F1306">
            <w:pPr>
              <w:ind w:left="330" w:hanging="150"/>
              <w:rPr>
                <w:i/>
                <w:sz w:val="18"/>
                <w:szCs w:val="18"/>
                <w:lang w:val="es-ES_tradnl"/>
              </w:rPr>
            </w:pPr>
            <w:r w:rsidRPr="009876DD">
              <w:rPr>
                <w:b/>
                <w:bCs/>
                <w:i/>
                <w:sz w:val="18"/>
                <w:szCs w:val="18"/>
                <w:lang w:val="es-ES_tradnl"/>
              </w:rPr>
              <w:lastRenderedPageBreak/>
              <w:t>D. Establecer la estructura sectorial más apropiada en el contexto de las características del servicio y los objetivos de la política</w:t>
            </w:r>
          </w:p>
        </w:tc>
        <w:tc>
          <w:tcPr>
            <w:tcW w:w="4301" w:type="dxa"/>
            <w:shd w:val="clear" w:color="auto" w:fill="auto"/>
          </w:tcPr>
          <w:p w14:paraId="25E8C9CF" w14:textId="77777777" w:rsidR="007970C9" w:rsidRPr="009876DD" w:rsidRDefault="007970C9" w:rsidP="000878E8">
            <w:pPr>
              <w:jc w:val="both"/>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6E92E2D6" w14:textId="77777777" w:rsidR="007970C9" w:rsidRPr="00B572FF" w:rsidRDefault="0051497D" w:rsidP="004401A8">
            <w:pPr>
              <w:jc w:val="both"/>
              <w:rPr>
                <w:b/>
                <w:sz w:val="18"/>
                <w:szCs w:val="23"/>
                <w:highlight w:val="yellow"/>
                <w:lang w:val="es-ES_tradnl"/>
              </w:rPr>
            </w:pPr>
            <w:r w:rsidRPr="0051497D">
              <w:rPr>
                <w:sz w:val="18"/>
                <w:szCs w:val="18"/>
                <w:lang w:val="es-ES_tradnl"/>
              </w:rPr>
              <w:t>La planificación estratégica y política del sector de A&amp;S a nivel nacional es responsabilidad del Ministerio de Medio Ambiente y Agua</w:t>
            </w:r>
            <w:r>
              <w:rPr>
                <w:sz w:val="18"/>
                <w:szCs w:val="18"/>
                <w:lang w:val="es-ES_tradnl"/>
              </w:rPr>
              <w:t>.</w:t>
            </w:r>
            <w:r w:rsidR="00124F40">
              <w:rPr>
                <w:sz w:val="18"/>
                <w:szCs w:val="18"/>
                <w:lang w:val="es-ES_tradnl"/>
              </w:rPr>
              <w:t xml:space="preserve"> </w:t>
            </w:r>
            <w:r w:rsidRPr="0051497D">
              <w:rPr>
                <w:sz w:val="18"/>
                <w:szCs w:val="18"/>
                <w:lang w:val="es-ES_tradnl"/>
              </w:rPr>
              <w:t>La Autoridad de Fiscalización y Control Social de Agua Potable y Saneamiento Básico (AAPS) tiene asignada desde el 2009 la regulación de los servicio</w:t>
            </w:r>
            <w:r w:rsidR="00124F40">
              <w:rPr>
                <w:sz w:val="18"/>
                <w:szCs w:val="18"/>
                <w:lang w:val="es-ES_tradnl"/>
              </w:rPr>
              <w:t>s</w:t>
            </w:r>
            <w:r w:rsidRPr="0051497D">
              <w:rPr>
                <w:sz w:val="18"/>
                <w:szCs w:val="18"/>
                <w:lang w:val="es-ES_tradnl"/>
              </w:rPr>
              <w:t xml:space="preserve">,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w:t>
            </w:r>
            <w:proofErr w:type="spellStart"/>
            <w:r w:rsidRPr="0051497D">
              <w:rPr>
                <w:sz w:val="18"/>
                <w:szCs w:val="18"/>
                <w:lang w:val="es-ES_tradnl"/>
              </w:rPr>
              <w:t>MMAyA</w:t>
            </w:r>
            <w:proofErr w:type="spellEnd"/>
            <w:r w:rsidRPr="0051497D">
              <w:rPr>
                <w:sz w:val="18"/>
                <w:szCs w:val="18"/>
                <w:lang w:val="es-ES_tradnl"/>
              </w:rPr>
              <w:t xml:space="preserve">, y que tiene la misión de coadyuvar a los procesos de fortalecimiento y sostenibilidad de las entidades operadoras y prestadoras de servicios de </w:t>
            </w:r>
            <w:r w:rsidR="00FE7DA0">
              <w:rPr>
                <w:sz w:val="18"/>
                <w:szCs w:val="18"/>
                <w:lang w:val="es-ES_tradnl"/>
              </w:rPr>
              <w:t>agua</w:t>
            </w:r>
            <w:r>
              <w:rPr>
                <w:sz w:val="18"/>
                <w:szCs w:val="18"/>
                <w:lang w:val="es-ES_tradnl"/>
              </w:rPr>
              <w:t xml:space="preserve"> y saneamiento</w:t>
            </w:r>
            <w:r w:rsidRPr="0051497D">
              <w:rPr>
                <w:sz w:val="18"/>
                <w:szCs w:val="18"/>
                <w:lang w:val="es-ES_tradnl"/>
              </w:rPr>
              <w:t xml:space="preserve"> en el país, mediante la ejecución de procesos de Asistencia Técnica </w:t>
            </w:r>
            <w:r>
              <w:rPr>
                <w:sz w:val="18"/>
                <w:szCs w:val="18"/>
                <w:lang w:val="es-ES_tradnl"/>
              </w:rPr>
              <w:t>, Fortalecimiento Institucional, Desarrollo Comunitario</w:t>
            </w:r>
            <w:r w:rsidRPr="0051497D">
              <w:rPr>
                <w:sz w:val="18"/>
                <w:szCs w:val="18"/>
                <w:lang w:val="es-ES_tradnl"/>
              </w:rPr>
              <w:t>, capacitación y educación sanitaria e investigación y desarrollo tecnológico. La Entidad Ejecutora de Medio Ambiente y Agua (EMAGUA), es una entidad pública autónoma creada en el 2009 para la ejecución, seguimiento y evaluación de programas y proyectos de A&amp;S.</w:t>
            </w:r>
          </w:p>
        </w:tc>
      </w:tr>
      <w:tr w:rsidR="007970C9" w:rsidRPr="00A439CD" w14:paraId="23D0DC3E" w14:textId="77777777" w:rsidTr="00120449">
        <w:trPr>
          <w:jc w:val="center"/>
        </w:trPr>
        <w:tc>
          <w:tcPr>
            <w:tcW w:w="1968" w:type="dxa"/>
            <w:shd w:val="clear" w:color="auto" w:fill="auto"/>
          </w:tcPr>
          <w:p w14:paraId="0A945CA1" w14:textId="77777777" w:rsidR="007970C9" w:rsidRPr="009876DD" w:rsidRDefault="007970C9"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El rol de la regulación económica para incentivar la eficiencia, la inversión y proteger los derechos de los usuarios</w:t>
            </w:r>
          </w:p>
        </w:tc>
        <w:tc>
          <w:tcPr>
            <w:tcW w:w="4301" w:type="dxa"/>
            <w:shd w:val="clear" w:color="auto" w:fill="auto"/>
          </w:tcPr>
          <w:p w14:paraId="78B23C4A" w14:textId="77777777" w:rsidR="007970C9" w:rsidRPr="009876DD" w:rsidRDefault="007970C9" w:rsidP="000F1306">
            <w:pPr>
              <w:rPr>
                <w:sz w:val="18"/>
                <w:szCs w:val="18"/>
                <w:lang w:val="es-ES_tradnl"/>
              </w:rPr>
            </w:pPr>
            <w:r w:rsidRPr="009876DD">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w:t>
            </w:r>
            <w:r w:rsidRPr="009876DD">
              <w:rPr>
                <w:bCs/>
                <w:sz w:val="18"/>
                <w:szCs w:val="18"/>
                <w:lang w:val="es-ES_tradnl"/>
              </w:rPr>
              <w:lastRenderedPageBreak/>
              <w:t>conocer la estructura y nivel de costos y tarifas en las todas las etapas de producción de los servicios.</w:t>
            </w:r>
          </w:p>
        </w:tc>
        <w:tc>
          <w:tcPr>
            <w:tcW w:w="3966" w:type="dxa"/>
            <w:shd w:val="clear" w:color="auto" w:fill="auto"/>
          </w:tcPr>
          <w:p w14:paraId="68BFDEBD" w14:textId="77777777" w:rsidR="007970C9" w:rsidRPr="00305235" w:rsidRDefault="00305235" w:rsidP="00150A52">
            <w:pPr>
              <w:pStyle w:val="NormalWeb"/>
              <w:spacing w:before="0" w:beforeAutospacing="0" w:after="0" w:afterAutospacing="0"/>
              <w:jc w:val="both"/>
              <w:rPr>
                <w:rFonts w:eastAsiaTheme="minorHAnsi"/>
                <w:lang w:val="es-ES_tradnl" w:eastAsia="en-NZ"/>
              </w:rPr>
            </w:pPr>
            <w:r w:rsidRPr="009D2FED">
              <w:rPr>
                <w:sz w:val="18"/>
                <w:szCs w:val="18"/>
                <w:lang w:val="es-ES_tradnl"/>
              </w:rPr>
              <w:lastRenderedPageBreak/>
              <w:t xml:space="preserve">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w:t>
            </w:r>
            <w:r>
              <w:rPr>
                <w:sz w:val="18"/>
                <w:szCs w:val="18"/>
                <w:lang w:val="es-ES_tradnl"/>
              </w:rPr>
              <w:t>.</w:t>
            </w:r>
            <w:r w:rsidRPr="00305235">
              <w:rPr>
                <w:sz w:val="18"/>
                <w:szCs w:val="18"/>
                <w:lang w:val="es-ES_tradnl"/>
              </w:rPr>
              <w:t xml:space="preserve"> La Autoridad de Fiscalización y Control Social de Agua Potable y Saneamiento Básico, es una institución pública técnica y operativa, con personalidad jurídica y patrimonio, independencia administrativa, 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w:t>
            </w:r>
            <w:r w:rsidRPr="00305235">
              <w:rPr>
                <w:sz w:val="18"/>
                <w:szCs w:val="18"/>
                <w:lang w:val="es-ES_tradnl"/>
              </w:rPr>
              <w:lastRenderedPageBreak/>
              <w:t>reglamentos, en tanto no contradigan lo dispuesto en la Constitución Política del Estado.</w:t>
            </w:r>
            <w:r>
              <w:rPr>
                <w:sz w:val="18"/>
                <w:szCs w:val="18"/>
                <w:lang w:val="es-ES_tradnl"/>
              </w:rPr>
              <w:t xml:space="preserve"> El objetivo de la AAPS es r</w:t>
            </w:r>
            <w:r w:rsidRPr="00305235">
              <w:rPr>
                <w:sz w:val="18"/>
                <w:szCs w:val="18"/>
                <w:lang w:val="es-ES_tradnl"/>
              </w:rPr>
              <w:t xml:space="preserve">egular las actividades que realizan personas naturales y jurídicas, privadas, comunitarias, públicas, mixtas y cooperativas en el sector </w:t>
            </w:r>
            <w:r>
              <w:rPr>
                <w:sz w:val="18"/>
                <w:szCs w:val="18"/>
                <w:lang w:val="es-ES_tradnl"/>
              </w:rPr>
              <w:t>agua p</w:t>
            </w:r>
            <w:r w:rsidRPr="00305235">
              <w:rPr>
                <w:sz w:val="18"/>
                <w:szCs w:val="18"/>
                <w:lang w:val="es-ES_tradnl"/>
              </w:rPr>
              <w:t xml:space="preserve">otable y </w:t>
            </w:r>
            <w:r>
              <w:rPr>
                <w:sz w:val="18"/>
                <w:szCs w:val="18"/>
                <w:lang w:val="es-ES_tradnl"/>
              </w:rPr>
              <w:t>s</w:t>
            </w:r>
            <w:r w:rsidRPr="00305235">
              <w:rPr>
                <w:sz w:val="18"/>
                <w:szCs w:val="18"/>
                <w:lang w:val="es-ES_tradnl"/>
              </w:rPr>
              <w:t>an</w:t>
            </w:r>
            <w:r>
              <w:rPr>
                <w:sz w:val="18"/>
                <w:szCs w:val="18"/>
                <w:lang w:val="es-ES_tradnl"/>
              </w:rPr>
              <w:t>eamiento Básico, asegurando que: i) s</w:t>
            </w:r>
            <w:r w:rsidRPr="00305235">
              <w:rPr>
                <w:sz w:val="18"/>
                <w:szCs w:val="18"/>
                <w:lang w:val="es-ES_tradnl"/>
              </w:rPr>
              <w:t xml:space="preserve">e garanticen los intereses y derechos de los consumidores y usuarios, promoviendo la economía plural prevista en la Constitución Política del Estado </w:t>
            </w:r>
            <w:r>
              <w:rPr>
                <w:sz w:val="18"/>
                <w:szCs w:val="18"/>
                <w:lang w:val="es-ES_tradnl"/>
              </w:rPr>
              <w:t xml:space="preserve"> y las leyes en forma efectiva; ii) l</w:t>
            </w:r>
            <w:r w:rsidRPr="00305235">
              <w:rPr>
                <w:sz w:val="18"/>
                <w:szCs w:val="18"/>
                <w:lang w:val="es-ES_tradnl"/>
              </w:rPr>
              <w:t xml:space="preserve">as actividades en los sectores bajo su jurisdicción contribuyan al desarrollo de la economía nacional y tiendan a que todos los habitantes del </w:t>
            </w:r>
            <w:r>
              <w:rPr>
                <w:sz w:val="18"/>
                <w:szCs w:val="18"/>
                <w:lang w:val="es-ES_tradnl"/>
              </w:rPr>
              <w:t>país</w:t>
            </w:r>
            <w:r w:rsidRPr="00305235">
              <w:rPr>
                <w:sz w:val="18"/>
                <w:szCs w:val="18"/>
                <w:lang w:val="es-ES_tradnl"/>
              </w:rPr>
              <w:t xml:space="preserve"> puedan acceder a </w:t>
            </w:r>
            <w:r>
              <w:rPr>
                <w:sz w:val="18"/>
                <w:szCs w:val="18"/>
                <w:lang w:val="es-ES_tradnl"/>
              </w:rPr>
              <w:t xml:space="preserve">los servicios; y iii) </w:t>
            </w:r>
            <w:r w:rsidRPr="00305235">
              <w:rPr>
                <w:sz w:val="18"/>
                <w:szCs w:val="18"/>
                <w:lang w:val="es-ES_tradnl"/>
              </w:rPr>
              <w:t xml:space="preserve">El aprovechamiento de los recursos naturales se ejerza de manera sustentable y estrictamente de acuerdo con Constitución Política del Estado </w:t>
            </w:r>
            <w:r>
              <w:rPr>
                <w:sz w:val="18"/>
                <w:szCs w:val="18"/>
                <w:lang w:val="es-ES_tradnl"/>
              </w:rPr>
              <w:t xml:space="preserve"> </w:t>
            </w:r>
            <w:r w:rsidRPr="00305235">
              <w:rPr>
                <w:sz w:val="18"/>
                <w:szCs w:val="18"/>
                <w:lang w:val="es-ES_tradnl"/>
              </w:rPr>
              <w:t>y las leyes.</w:t>
            </w:r>
            <w:r w:rsidR="00C63013">
              <w:rPr>
                <w:sz w:val="18"/>
                <w:szCs w:val="18"/>
                <w:lang w:val="es-ES_tradnl"/>
              </w:rPr>
              <w:t xml:space="preserve"> </w:t>
            </w:r>
          </w:p>
        </w:tc>
      </w:tr>
      <w:tr w:rsidR="007970C9" w:rsidRPr="00A439CD" w14:paraId="502F072B" w14:textId="77777777" w:rsidTr="005A019F">
        <w:trPr>
          <w:trHeight w:val="1772"/>
          <w:jc w:val="center"/>
        </w:trPr>
        <w:tc>
          <w:tcPr>
            <w:tcW w:w="1968" w:type="dxa"/>
            <w:shd w:val="clear" w:color="auto" w:fill="auto"/>
          </w:tcPr>
          <w:p w14:paraId="1E9DF95D" w14:textId="77777777" w:rsidR="007970C9" w:rsidRPr="009876DD" w:rsidRDefault="007970C9"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shd w:val="clear" w:color="auto" w:fill="auto"/>
          </w:tcPr>
          <w:p w14:paraId="2D741929" w14:textId="77777777" w:rsidR="007970C9" w:rsidRPr="009876DD" w:rsidRDefault="007970C9"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59F61275" w14:textId="77777777" w:rsidR="007970C9" w:rsidRPr="004A262B" w:rsidRDefault="004A262B" w:rsidP="00DC2061">
            <w:pPr>
              <w:spacing w:before="120" w:after="120"/>
              <w:jc w:val="both"/>
              <w:rPr>
                <w:sz w:val="18"/>
                <w:szCs w:val="18"/>
                <w:lang w:val="es-ES_tradnl"/>
              </w:rPr>
            </w:pPr>
            <w:r w:rsidRPr="004A262B">
              <w:rPr>
                <w:sz w:val="18"/>
                <w:szCs w:val="18"/>
                <w:lang w:val="es-ES_tradnl"/>
              </w:rPr>
              <w:t>La Constitución Polí</w:t>
            </w:r>
            <w:r>
              <w:rPr>
                <w:sz w:val="18"/>
                <w:szCs w:val="18"/>
                <w:lang w:val="es-ES_tradnl"/>
              </w:rPr>
              <w:t xml:space="preserve">tica del Estado </w:t>
            </w:r>
            <w:r w:rsidRPr="004A262B">
              <w:rPr>
                <w:sz w:val="18"/>
                <w:szCs w:val="18"/>
                <w:lang w:val="es-ES_tradnl"/>
              </w:rPr>
              <w:t>del 2009 establece que el acceso a Agua Potable y Saneamiento es un derecho humano no objeto de privatización o concesión y que es responsabilidad del Estado en todos sus niveles de gobierno</w:t>
            </w:r>
            <w:r w:rsidR="00DC2061">
              <w:rPr>
                <w:sz w:val="18"/>
                <w:szCs w:val="18"/>
                <w:lang w:val="es-ES_tradnl"/>
              </w:rPr>
              <w:t xml:space="preserve"> l</w:t>
            </w:r>
            <w:r w:rsidRPr="004A262B">
              <w:rPr>
                <w:sz w:val="18"/>
                <w:szCs w:val="18"/>
                <w:lang w:val="es-ES_tradnl"/>
              </w:rPr>
              <w:t>a provisión de estos servicios a través de entidades públicas, mixtas, comunitarias o cooperativas</w:t>
            </w:r>
            <w:r>
              <w:rPr>
                <w:sz w:val="18"/>
                <w:szCs w:val="18"/>
                <w:lang w:val="es-ES_tradnl"/>
              </w:rPr>
              <w:t>.</w:t>
            </w:r>
          </w:p>
        </w:tc>
      </w:tr>
      <w:tr w:rsidR="007970C9" w:rsidRPr="00A439CD" w14:paraId="33A7D8A5" w14:textId="77777777" w:rsidTr="00120449">
        <w:trPr>
          <w:jc w:val="center"/>
        </w:trPr>
        <w:tc>
          <w:tcPr>
            <w:tcW w:w="1968" w:type="dxa"/>
            <w:shd w:val="clear" w:color="auto" w:fill="auto"/>
          </w:tcPr>
          <w:p w14:paraId="3732CF58" w14:textId="77777777" w:rsidR="007970C9" w:rsidRPr="009876DD" w:rsidRDefault="007970C9"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shd w:val="clear" w:color="auto" w:fill="auto"/>
          </w:tcPr>
          <w:p w14:paraId="33492AD3" w14:textId="77777777" w:rsidR="007970C9" w:rsidRPr="009876DD" w:rsidRDefault="007970C9"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18FCC1E9" w14:textId="7B9E99D3" w:rsidR="00E27D8E" w:rsidRPr="0006642C" w:rsidRDefault="0006642C" w:rsidP="00433125">
            <w:pPr>
              <w:pStyle w:val="Paragraph"/>
              <w:numPr>
                <w:ilvl w:val="0"/>
                <w:numId w:val="0"/>
              </w:numPr>
              <w:rPr>
                <w:sz w:val="18"/>
                <w:szCs w:val="18"/>
              </w:rPr>
            </w:pPr>
            <w:r w:rsidRPr="0006642C">
              <w:rPr>
                <w:sz w:val="18"/>
                <w:szCs w:val="18"/>
              </w:rPr>
              <w:t xml:space="preserve">El programa contempla acciones de fortalecimiento institucional complementarias a las inversiones en infraestructura a fin de que los operadores de los sistemas cuenten con la capacidad de operar y mantener adecuadamente los activos. </w:t>
            </w:r>
            <w:r>
              <w:rPr>
                <w:sz w:val="18"/>
                <w:szCs w:val="18"/>
              </w:rPr>
              <w:t>Asimismo, se financian actividades que promueven la participación comunitaria, buscando así la apropiación de la infraestructura por parte de los beneficiarios.</w:t>
            </w:r>
          </w:p>
        </w:tc>
      </w:tr>
      <w:tr w:rsidR="007970C9" w:rsidRPr="00A439CD" w14:paraId="57790364" w14:textId="77777777" w:rsidTr="00120449">
        <w:trPr>
          <w:jc w:val="center"/>
        </w:trPr>
        <w:tc>
          <w:tcPr>
            <w:tcW w:w="1968" w:type="dxa"/>
            <w:shd w:val="clear" w:color="auto" w:fill="auto"/>
          </w:tcPr>
          <w:p w14:paraId="492EF2FB" w14:textId="77777777" w:rsidR="007970C9" w:rsidRPr="009834A9" w:rsidRDefault="007970C9" w:rsidP="000F1306">
            <w:pPr>
              <w:rPr>
                <w:sz w:val="18"/>
                <w:szCs w:val="18"/>
                <w:lang w:val="es-ES"/>
              </w:rPr>
            </w:pPr>
            <w:r w:rsidRPr="009834A9">
              <w:rPr>
                <w:b/>
                <w:sz w:val="18"/>
                <w:szCs w:val="18"/>
                <w:lang w:val="es-ES"/>
              </w:rPr>
              <w:t>3. Promover la innovación para fomentar la eficiencia, el acceso y la sostenibilidad ambiental</w:t>
            </w:r>
          </w:p>
        </w:tc>
        <w:tc>
          <w:tcPr>
            <w:tcW w:w="4301" w:type="dxa"/>
            <w:shd w:val="clear" w:color="auto" w:fill="auto"/>
          </w:tcPr>
          <w:p w14:paraId="292C5423" w14:textId="77777777" w:rsidR="007970C9" w:rsidRPr="009834A9" w:rsidRDefault="007970C9" w:rsidP="000F1306">
            <w:pPr>
              <w:rPr>
                <w:sz w:val="18"/>
                <w:szCs w:val="18"/>
                <w:lang w:val="es-ES"/>
              </w:rPr>
            </w:pPr>
            <w:r w:rsidRPr="009834A9">
              <w:rPr>
                <w:sz w:val="18"/>
                <w:szCs w:val="18"/>
                <w:lang w:val="es-ES"/>
              </w:rPr>
              <w:t xml:space="preserve">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w:t>
            </w:r>
            <w:r w:rsidRPr="009834A9">
              <w:rPr>
                <w:sz w:val="18"/>
                <w:szCs w:val="18"/>
                <w:lang w:val="es-ES"/>
              </w:rPr>
              <w:lastRenderedPageBreak/>
              <w:t>y esquemas de gestión de las soluciones tecnológicas más apropiadas para cada combinación particular de servicio público y características de la demanda.</w:t>
            </w:r>
          </w:p>
        </w:tc>
        <w:tc>
          <w:tcPr>
            <w:tcW w:w="3966" w:type="dxa"/>
            <w:shd w:val="clear" w:color="auto" w:fill="auto"/>
          </w:tcPr>
          <w:p w14:paraId="24A48B19" w14:textId="7EDFFE50" w:rsidR="00CD5A81" w:rsidRPr="001A3ACE" w:rsidRDefault="001A3ACE" w:rsidP="00CD5A81">
            <w:pPr>
              <w:pStyle w:val="Paragraph"/>
              <w:numPr>
                <w:ilvl w:val="0"/>
                <w:numId w:val="0"/>
              </w:numPr>
              <w:rPr>
                <w:sz w:val="18"/>
                <w:szCs w:val="18"/>
              </w:rPr>
            </w:pPr>
            <w:r w:rsidRPr="001A3ACE">
              <w:rPr>
                <w:sz w:val="18"/>
                <w:szCs w:val="18"/>
              </w:rPr>
              <w:lastRenderedPageBreak/>
              <w:t>El Programa contempla la selección de la solución técnica más adecuada considerando su costo-eficiencia y que sea previamente aceptada por la comunidad.</w:t>
            </w:r>
            <w:r w:rsidR="0006642C">
              <w:rPr>
                <w:sz w:val="18"/>
                <w:szCs w:val="18"/>
              </w:rPr>
              <w:t xml:space="preserve"> Asimismo, el programa promueve la economía circular de las soluciones de </w:t>
            </w:r>
            <w:r w:rsidR="0006642C">
              <w:rPr>
                <w:sz w:val="18"/>
                <w:szCs w:val="18"/>
              </w:rPr>
              <w:lastRenderedPageBreak/>
              <w:t>agua y saneamiento, de manera que los productos del saneamiento sean adecuadamente dispuestos o reusados para asegurar la sostenibilidad ambiental de las obras.</w:t>
            </w:r>
          </w:p>
        </w:tc>
      </w:tr>
    </w:tbl>
    <w:p w14:paraId="5883EDD7" w14:textId="77777777" w:rsidR="003B02C4" w:rsidRPr="000F1306" w:rsidRDefault="003B02C4" w:rsidP="00120449">
      <w:pPr>
        <w:rPr>
          <w:lang w:val="es-ES"/>
        </w:rPr>
      </w:pPr>
    </w:p>
    <w:sectPr w:rsidR="003B02C4" w:rsidRPr="000F1306" w:rsidSect="009B38CC">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B8F" w:rsidP="00B72604" w:rsidRDefault="006A5B8F" w14:paraId="20895D42" w14:textId="77777777">
      <w:r>
        <w:separator/>
      </w:r>
    </w:p>
  </w:endnote>
  <w:endnote w:type="continuationSeparator" w:id="0">
    <w:p w:rsidR="006A5B8F" w:rsidP="00B72604" w:rsidRDefault="006A5B8F" w14:paraId="24F8370C" w14:textId="77777777">
      <w:r>
        <w:continuationSeparator/>
      </w:r>
    </w:p>
  </w:endnote>
  <w:endnote w:type="continuationNotice" w:id="1">
    <w:p w:rsidR="00B24BDB" w:rsidRDefault="00B24BDB" w14:paraId="4BF46A7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B8F" w:rsidP="00B72604" w:rsidRDefault="006A5B8F" w14:paraId="5DBDC08D" w14:textId="77777777">
      <w:r>
        <w:separator/>
      </w:r>
    </w:p>
  </w:footnote>
  <w:footnote w:type="continuationSeparator" w:id="0">
    <w:p w:rsidR="006A5B8F" w:rsidP="00B72604" w:rsidRDefault="006A5B8F" w14:paraId="72F7BFE3" w14:textId="77777777">
      <w:r>
        <w:continuationSeparator/>
      </w:r>
    </w:p>
  </w:footnote>
  <w:footnote w:type="continuationNotice" w:id="1">
    <w:p w:rsidR="00B24BDB" w:rsidRDefault="00B24BDB" w14:paraId="368B435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168209085"/>
      <w:docPartObj>
        <w:docPartGallery w:val="Page Numbers (Top of Page)"/>
        <w:docPartUnique/>
      </w:docPartObj>
    </w:sdtPr>
    <w:sdtEndPr/>
    <w:sdtContent>
      <w:p w14:paraId="66113BA6" w14:textId="77777777" w:rsidR="00120449" w:rsidRDefault="00C93876" w:rsidP="00F97646">
        <w:pPr>
          <w:pStyle w:val="Header"/>
          <w:tabs>
            <w:tab w:val="clear" w:pos="4680"/>
            <w:tab w:val="clear" w:pos="9360"/>
            <w:tab w:val="right" w:pos="8640"/>
          </w:tabs>
          <w:jc w:val="right"/>
          <w:rPr>
            <w:sz w:val="20"/>
            <w:szCs w:val="20"/>
            <w:lang w:val="pt-BR"/>
          </w:rPr>
        </w:pPr>
        <w:r w:rsidRPr="00A874E0">
          <w:rPr>
            <w:sz w:val="20"/>
            <w:szCs w:val="20"/>
            <w:lang w:val="pt-BR"/>
          </w:rPr>
          <w:t>BO-</w:t>
        </w:r>
        <w:r w:rsidR="00B033D2">
          <w:rPr>
            <w:sz w:val="20"/>
            <w:szCs w:val="20"/>
            <w:lang w:val="pt-BR"/>
          </w:rPr>
          <w:t>L1184</w:t>
        </w:r>
      </w:p>
      <w:p w14:paraId="3E2A4744" w14:textId="5915E559" w:rsidR="00120449" w:rsidRPr="00A874E0" w:rsidRDefault="00120449" w:rsidP="00F97646">
        <w:pPr>
          <w:pStyle w:val="Header"/>
          <w:tabs>
            <w:tab w:val="clear" w:pos="4680"/>
            <w:tab w:val="clear" w:pos="9360"/>
          </w:tabs>
          <w:ind w:left="7200"/>
          <w:jc w:val="right"/>
          <w:rPr>
            <w:sz w:val="20"/>
            <w:szCs w:val="20"/>
            <w:lang w:val="pt-BR"/>
          </w:rPr>
        </w:pPr>
        <w:r w:rsidRPr="00A874E0">
          <w:rPr>
            <w:sz w:val="20"/>
            <w:szCs w:val="20"/>
            <w:lang w:val="pt-BR"/>
          </w:rPr>
          <w:t xml:space="preserve">Página </w:t>
        </w:r>
        <w:r w:rsidRPr="00812BF8">
          <w:rPr>
            <w:bCs/>
            <w:sz w:val="20"/>
            <w:szCs w:val="20"/>
          </w:rPr>
          <w:fldChar w:fldCharType="begin"/>
        </w:r>
        <w:r w:rsidRPr="00A874E0">
          <w:rPr>
            <w:bCs/>
            <w:sz w:val="20"/>
            <w:szCs w:val="20"/>
            <w:lang w:val="pt-BR"/>
          </w:rPr>
          <w:instrText xml:space="preserve"> PAGE </w:instrText>
        </w:r>
        <w:r w:rsidRPr="00812BF8">
          <w:rPr>
            <w:bCs/>
            <w:sz w:val="20"/>
            <w:szCs w:val="20"/>
          </w:rPr>
          <w:fldChar w:fldCharType="separate"/>
        </w:r>
        <w:r w:rsidR="001E06EC">
          <w:rPr>
            <w:bCs/>
            <w:noProof/>
            <w:sz w:val="20"/>
            <w:szCs w:val="20"/>
            <w:lang w:val="pt-BR"/>
          </w:rPr>
          <w:t>10</w:t>
        </w:r>
        <w:r w:rsidRPr="00812BF8">
          <w:rPr>
            <w:bCs/>
            <w:sz w:val="20"/>
            <w:szCs w:val="20"/>
          </w:rPr>
          <w:fldChar w:fldCharType="end"/>
        </w:r>
        <w:r w:rsidRPr="00A874E0">
          <w:rPr>
            <w:bCs/>
            <w:sz w:val="20"/>
            <w:szCs w:val="20"/>
            <w:lang w:val="pt-BR"/>
          </w:rPr>
          <w:t xml:space="preserve"> </w:t>
        </w:r>
        <w:r w:rsidRPr="00A874E0">
          <w:rPr>
            <w:sz w:val="20"/>
            <w:szCs w:val="20"/>
            <w:lang w:val="pt-BR"/>
          </w:rPr>
          <w:t xml:space="preserve">de </w:t>
        </w:r>
        <w:r w:rsidRPr="00812BF8">
          <w:rPr>
            <w:bCs/>
            <w:sz w:val="20"/>
            <w:szCs w:val="20"/>
          </w:rPr>
          <w:fldChar w:fldCharType="begin"/>
        </w:r>
        <w:r w:rsidRPr="00A874E0">
          <w:rPr>
            <w:bCs/>
            <w:sz w:val="20"/>
            <w:szCs w:val="20"/>
            <w:lang w:val="pt-BR"/>
          </w:rPr>
          <w:instrText xml:space="preserve"> NUMPAGES  </w:instrText>
        </w:r>
        <w:r w:rsidRPr="00812BF8">
          <w:rPr>
            <w:bCs/>
            <w:sz w:val="20"/>
            <w:szCs w:val="20"/>
          </w:rPr>
          <w:fldChar w:fldCharType="separate"/>
        </w:r>
        <w:r w:rsidR="001E06EC">
          <w:rPr>
            <w:bCs/>
            <w:noProof/>
            <w:sz w:val="20"/>
            <w:szCs w:val="20"/>
            <w:lang w:val="pt-BR"/>
          </w:rPr>
          <w:t>10</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hint="default" w:ascii="Wingdings" w:hAnsi="Wingdings"/>
      </w:rPr>
    </w:lvl>
    <w:lvl w:ilvl="1">
      <w:start w:val="1"/>
      <w:numFmt w:val="bullet"/>
      <w:pStyle w:val="ListBullet2"/>
      <w:lvlText w:val="–"/>
      <w:lvlJc w:val="left"/>
      <w:pPr>
        <w:tabs>
          <w:tab w:val="num" w:pos="1273"/>
        </w:tabs>
        <w:ind w:left="1273" w:hanging="283"/>
      </w:pPr>
      <w:rPr>
        <w:rFonts w:hint="default" w:ascii="Times New Roman" w:hAnsi="Times New Roman" w:cs="Times New Roman"/>
      </w:rPr>
    </w:lvl>
    <w:lvl w:ilvl="2">
      <w:start w:val="1"/>
      <w:numFmt w:val="bullet"/>
      <w:pStyle w:val="ListBullet3"/>
      <w:lvlText w:val=""/>
      <w:lvlJc w:val="left"/>
      <w:pPr>
        <w:tabs>
          <w:tab w:val="num" w:pos="1571"/>
        </w:tabs>
        <w:ind w:left="1571" w:hanging="284"/>
      </w:pPr>
      <w:rPr>
        <w:rFonts w:hint="default" w:ascii="Wingdings 2" w:hAnsi="Wingdings 2"/>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9705FC8"/>
    <w:multiLevelType w:val="hybridMultilevel"/>
    <w:tmpl w:val="93CA1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BF7B21"/>
    <w:multiLevelType w:val="hybridMultilevel"/>
    <w:tmpl w:val="F36400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75C125A"/>
    <w:multiLevelType w:val="hybridMultilevel"/>
    <w:tmpl w:val="64129F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hint="default" w:ascii="Wingdings" w:hAnsi="Wingdings"/>
      </w:rPr>
    </w:lvl>
    <w:lvl w:ilvl="1">
      <w:start w:val="1"/>
      <w:numFmt w:val="bullet"/>
      <w:pStyle w:val="BoxBullet2"/>
      <w:lvlText w:val="–"/>
      <w:lvlJc w:val="left"/>
      <w:pPr>
        <w:tabs>
          <w:tab w:val="num" w:pos="567"/>
        </w:tabs>
        <w:ind w:left="567" w:hanging="283"/>
      </w:pPr>
      <w:rPr>
        <w:rFonts w:hint="default" w:ascii="Times New Roman" w:hAnsi="Times New Roman" w:cs="Times New Roman"/>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4" w15:restartNumberingAfterBreak="0">
    <w:nsid w:val="63742036"/>
    <w:multiLevelType w:val="multilevel"/>
    <w:tmpl w:val="F45C0A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F7A7AFA"/>
    <w:multiLevelType w:val="multilevel"/>
    <w:tmpl w:val="36C226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71C6179D"/>
    <w:multiLevelType w:val="multilevel"/>
    <w:tmpl w:val="49D4A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3"/>
  </w:num>
  <w:num w:numId="9">
    <w:abstractNumId w:val="1"/>
  </w:num>
  <w:num w:numId="10">
    <w:abstractNumId w:val="10"/>
  </w:num>
  <w:num w:numId="11">
    <w:abstractNumId w:val="11"/>
  </w:num>
  <w:num w:numId="12">
    <w:abstractNumId w:val="5"/>
  </w:num>
  <w:num w:numId="13">
    <w:abstractNumId w:val="7"/>
  </w:num>
  <w:num w:numId="14">
    <w:abstractNumId w:val="12"/>
  </w:num>
  <w:num w:numId="15">
    <w:abstractNumId w:val="8"/>
  </w:num>
  <w:num w:numId="16">
    <w:abstractNumId w:val="3"/>
  </w:num>
  <w:num w:numId="17">
    <w:abstractNumId w:val="1"/>
  </w:num>
  <w:num w:numId="18">
    <w:abstractNumId w:val="1"/>
  </w:num>
  <w:num w:numId="19">
    <w:abstractNumId w:val="15"/>
  </w:num>
  <w:num w:numId="20">
    <w:abstractNumId w:val="14"/>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DF1"/>
    <w:rsid w:val="0000057D"/>
    <w:rsid w:val="000105E2"/>
    <w:rsid w:val="00010A1E"/>
    <w:rsid w:val="00015D4F"/>
    <w:rsid w:val="000166EC"/>
    <w:rsid w:val="00036263"/>
    <w:rsid w:val="0004566D"/>
    <w:rsid w:val="0005004D"/>
    <w:rsid w:val="00060E7F"/>
    <w:rsid w:val="000640A0"/>
    <w:rsid w:val="00064F88"/>
    <w:rsid w:val="0006549A"/>
    <w:rsid w:val="0006642C"/>
    <w:rsid w:val="00066B5B"/>
    <w:rsid w:val="00071A12"/>
    <w:rsid w:val="00074C84"/>
    <w:rsid w:val="0008127B"/>
    <w:rsid w:val="0008572D"/>
    <w:rsid w:val="000878E8"/>
    <w:rsid w:val="000941DD"/>
    <w:rsid w:val="000A712C"/>
    <w:rsid w:val="000B3484"/>
    <w:rsid w:val="000B6849"/>
    <w:rsid w:val="000C253B"/>
    <w:rsid w:val="000C6EE2"/>
    <w:rsid w:val="000E0C3F"/>
    <w:rsid w:val="000E52E1"/>
    <w:rsid w:val="000F1306"/>
    <w:rsid w:val="00101141"/>
    <w:rsid w:val="0010196B"/>
    <w:rsid w:val="00113CEB"/>
    <w:rsid w:val="00114E8A"/>
    <w:rsid w:val="00120449"/>
    <w:rsid w:val="0012165B"/>
    <w:rsid w:val="00122913"/>
    <w:rsid w:val="00124F40"/>
    <w:rsid w:val="00140ECE"/>
    <w:rsid w:val="00150A52"/>
    <w:rsid w:val="00154CC9"/>
    <w:rsid w:val="00156B65"/>
    <w:rsid w:val="001651D9"/>
    <w:rsid w:val="001666EA"/>
    <w:rsid w:val="00186926"/>
    <w:rsid w:val="00191CD4"/>
    <w:rsid w:val="00197176"/>
    <w:rsid w:val="001A3ACE"/>
    <w:rsid w:val="001A6470"/>
    <w:rsid w:val="001B1059"/>
    <w:rsid w:val="001C54C7"/>
    <w:rsid w:val="001E06EC"/>
    <w:rsid w:val="001E155B"/>
    <w:rsid w:val="002004C3"/>
    <w:rsid w:val="0020426B"/>
    <w:rsid w:val="00206462"/>
    <w:rsid w:val="00220396"/>
    <w:rsid w:val="0022142A"/>
    <w:rsid w:val="002403EC"/>
    <w:rsid w:val="00247D79"/>
    <w:rsid w:val="00253849"/>
    <w:rsid w:val="00261814"/>
    <w:rsid w:val="00262F31"/>
    <w:rsid w:val="0026441F"/>
    <w:rsid w:val="00270A79"/>
    <w:rsid w:val="00294D87"/>
    <w:rsid w:val="002B229F"/>
    <w:rsid w:val="002B29C2"/>
    <w:rsid w:val="002B5737"/>
    <w:rsid w:val="002B6E68"/>
    <w:rsid w:val="002C115C"/>
    <w:rsid w:val="002C2B2B"/>
    <w:rsid w:val="002D4037"/>
    <w:rsid w:val="002D5CE0"/>
    <w:rsid w:val="002D7AB7"/>
    <w:rsid w:val="002E236F"/>
    <w:rsid w:val="002E3C4E"/>
    <w:rsid w:val="002E53CF"/>
    <w:rsid w:val="002E6D11"/>
    <w:rsid w:val="00304F3B"/>
    <w:rsid w:val="00305235"/>
    <w:rsid w:val="0030719C"/>
    <w:rsid w:val="00322542"/>
    <w:rsid w:val="00323893"/>
    <w:rsid w:val="00327F29"/>
    <w:rsid w:val="0033068E"/>
    <w:rsid w:val="00332836"/>
    <w:rsid w:val="00357537"/>
    <w:rsid w:val="00367261"/>
    <w:rsid w:val="00367E1B"/>
    <w:rsid w:val="0038464A"/>
    <w:rsid w:val="003853F6"/>
    <w:rsid w:val="003865AD"/>
    <w:rsid w:val="0039287D"/>
    <w:rsid w:val="00393B22"/>
    <w:rsid w:val="00395138"/>
    <w:rsid w:val="003A14B3"/>
    <w:rsid w:val="003B02C4"/>
    <w:rsid w:val="003B5AB2"/>
    <w:rsid w:val="003D5B41"/>
    <w:rsid w:val="003D6315"/>
    <w:rsid w:val="003D7523"/>
    <w:rsid w:val="003E0618"/>
    <w:rsid w:val="003E0B21"/>
    <w:rsid w:val="003E0DF0"/>
    <w:rsid w:val="003E5AC2"/>
    <w:rsid w:val="003F4487"/>
    <w:rsid w:val="003F48CF"/>
    <w:rsid w:val="003F78EE"/>
    <w:rsid w:val="00407BF0"/>
    <w:rsid w:val="004138F9"/>
    <w:rsid w:val="004173EC"/>
    <w:rsid w:val="00420DA6"/>
    <w:rsid w:val="004320CF"/>
    <w:rsid w:val="0043212B"/>
    <w:rsid w:val="00433125"/>
    <w:rsid w:val="004359CD"/>
    <w:rsid w:val="004401A8"/>
    <w:rsid w:val="00444A98"/>
    <w:rsid w:val="004479AD"/>
    <w:rsid w:val="00456597"/>
    <w:rsid w:val="00473544"/>
    <w:rsid w:val="0048033F"/>
    <w:rsid w:val="004825AC"/>
    <w:rsid w:val="0048384B"/>
    <w:rsid w:val="004A262B"/>
    <w:rsid w:val="004B3077"/>
    <w:rsid w:val="004C1E1E"/>
    <w:rsid w:val="004C2D78"/>
    <w:rsid w:val="004C5831"/>
    <w:rsid w:val="004C5EF6"/>
    <w:rsid w:val="004D7636"/>
    <w:rsid w:val="004D78F0"/>
    <w:rsid w:val="004E0892"/>
    <w:rsid w:val="004E2BFE"/>
    <w:rsid w:val="005057ED"/>
    <w:rsid w:val="00511032"/>
    <w:rsid w:val="005135D7"/>
    <w:rsid w:val="0051497D"/>
    <w:rsid w:val="00517298"/>
    <w:rsid w:val="00527713"/>
    <w:rsid w:val="00533433"/>
    <w:rsid w:val="00534BE3"/>
    <w:rsid w:val="005418DF"/>
    <w:rsid w:val="00542B73"/>
    <w:rsid w:val="0055292C"/>
    <w:rsid w:val="00553263"/>
    <w:rsid w:val="00553319"/>
    <w:rsid w:val="0055493B"/>
    <w:rsid w:val="00560F84"/>
    <w:rsid w:val="005633F6"/>
    <w:rsid w:val="0056359E"/>
    <w:rsid w:val="00563D9C"/>
    <w:rsid w:val="00567085"/>
    <w:rsid w:val="005676D8"/>
    <w:rsid w:val="00575D50"/>
    <w:rsid w:val="0057785A"/>
    <w:rsid w:val="005821B3"/>
    <w:rsid w:val="005863ED"/>
    <w:rsid w:val="00590F44"/>
    <w:rsid w:val="005A019F"/>
    <w:rsid w:val="005C2DF9"/>
    <w:rsid w:val="005C7BF0"/>
    <w:rsid w:val="005D2F29"/>
    <w:rsid w:val="005F04E3"/>
    <w:rsid w:val="005F4CA3"/>
    <w:rsid w:val="00600BF9"/>
    <w:rsid w:val="00601DF8"/>
    <w:rsid w:val="00605D11"/>
    <w:rsid w:val="00610D77"/>
    <w:rsid w:val="00614E30"/>
    <w:rsid w:val="006256DC"/>
    <w:rsid w:val="00640137"/>
    <w:rsid w:val="0067714B"/>
    <w:rsid w:val="0068015B"/>
    <w:rsid w:val="00690D98"/>
    <w:rsid w:val="00691441"/>
    <w:rsid w:val="00691F25"/>
    <w:rsid w:val="006925B9"/>
    <w:rsid w:val="0069471F"/>
    <w:rsid w:val="006A5B8F"/>
    <w:rsid w:val="006C23EB"/>
    <w:rsid w:val="006C2B99"/>
    <w:rsid w:val="006C4863"/>
    <w:rsid w:val="006C4BCA"/>
    <w:rsid w:val="006C69F4"/>
    <w:rsid w:val="006D22E2"/>
    <w:rsid w:val="006D4A79"/>
    <w:rsid w:val="006E1CE9"/>
    <w:rsid w:val="006E3B5A"/>
    <w:rsid w:val="006E42A2"/>
    <w:rsid w:val="006E5F14"/>
    <w:rsid w:val="006F25CC"/>
    <w:rsid w:val="00703D79"/>
    <w:rsid w:val="007112EB"/>
    <w:rsid w:val="007146AD"/>
    <w:rsid w:val="00720A31"/>
    <w:rsid w:val="007304D3"/>
    <w:rsid w:val="00733B13"/>
    <w:rsid w:val="00735EDF"/>
    <w:rsid w:val="007437CB"/>
    <w:rsid w:val="0075121F"/>
    <w:rsid w:val="007745F0"/>
    <w:rsid w:val="00776571"/>
    <w:rsid w:val="007770C9"/>
    <w:rsid w:val="0078135B"/>
    <w:rsid w:val="007970C9"/>
    <w:rsid w:val="007A25B9"/>
    <w:rsid w:val="007A2DCC"/>
    <w:rsid w:val="007A5503"/>
    <w:rsid w:val="007B6A67"/>
    <w:rsid w:val="007C01B6"/>
    <w:rsid w:val="007C31ED"/>
    <w:rsid w:val="007C391A"/>
    <w:rsid w:val="007C72C6"/>
    <w:rsid w:val="007D0E58"/>
    <w:rsid w:val="007D7650"/>
    <w:rsid w:val="007E2508"/>
    <w:rsid w:val="007E3287"/>
    <w:rsid w:val="00805ABB"/>
    <w:rsid w:val="00812BF8"/>
    <w:rsid w:val="00813650"/>
    <w:rsid w:val="008163DB"/>
    <w:rsid w:val="00830D4A"/>
    <w:rsid w:val="00847254"/>
    <w:rsid w:val="00847A10"/>
    <w:rsid w:val="00864B4B"/>
    <w:rsid w:val="00870DB0"/>
    <w:rsid w:val="008751CA"/>
    <w:rsid w:val="00893DB7"/>
    <w:rsid w:val="00894562"/>
    <w:rsid w:val="00894CCD"/>
    <w:rsid w:val="008957EA"/>
    <w:rsid w:val="0089733E"/>
    <w:rsid w:val="008B0C6D"/>
    <w:rsid w:val="008C0E36"/>
    <w:rsid w:val="008C3B39"/>
    <w:rsid w:val="008C76A8"/>
    <w:rsid w:val="008E3A32"/>
    <w:rsid w:val="008F3683"/>
    <w:rsid w:val="009076BD"/>
    <w:rsid w:val="009120FE"/>
    <w:rsid w:val="00912AE0"/>
    <w:rsid w:val="00923B34"/>
    <w:rsid w:val="00925695"/>
    <w:rsid w:val="00926BBA"/>
    <w:rsid w:val="009276F0"/>
    <w:rsid w:val="00932E99"/>
    <w:rsid w:val="009418FE"/>
    <w:rsid w:val="00945E5A"/>
    <w:rsid w:val="00947EDA"/>
    <w:rsid w:val="00960729"/>
    <w:rsid w:val="00961277"/>
    <w:rsid w:val="00961447"/>
    <w:rsid w:val="0097118C"/>
    <w:rsid w:val="00971BDF"/>
    <w:rsid w:val="009834A9"/>
    <w:rsid w:val="0098758F"/>
    <w:rsid w:val="009876DD"/>
    <w:rsid w:val="00991651"/>
    <w:rsid w:val="009934CD"/>
    <w:rsid w:val="00995892"/>
    <w:rsid w:val="009A016C"/>
    <w:rsid w:val="009A463C"/>
    <w:rsid w:val="009A5C2E"/>
    <w:rsid w:val="009A5ED2"/>
    <w:rsid w:val="009A7122"/>
    <w:rsid w:val="009B1AB8"/>
    <w:rsid w:val="009B2579"/>
    <w:rsid w:val="009B38CC"/>
    <w:rsid w:val="009B6098"/>
    <w:rsid w:val="009C5D53"/>
    <w:rsid w:val="009D06C8"/>
    <w:rsid w:val="009D0850"/>
    <w:rsid w:val="009D1F89"/>
    <w:rsid w:val="009D2FED"/>
    <w:rsid w:val="009E274E"/>
    <w:rsid w:val="009E6E3E"/>
    <w:rsid w:val="009F1616"/>
    <w:rsid w:val="009F7BD4"/>
    <w:rsid w:val="00A05AB1"/>
    <w:rsid w:val="00A12DF7"/>
    <w:rsid w:val="00A24983"/>
    <w:rsid w:val="00A27D62"/>
    <w:rsid w:val="00A3529B"/>
    <w:rsid w:val="00A439CD"/>
    <w:rsid w:val="00A44FC9"/>
    <w:rsid w:val="00A541BB"/>
    <w:rsid w:val="00A54FF1"/>
    <w:rsid w:val="00A61F12"/>
    <w:rsid w:val="00A67558"/>
    <w:rsid w:val="00A74E90"/>
    <w:rsid w:val="00A86105"/>
    <w:rsid w:val="00A874E0"/>
    <w:rsid w:val="00A87653"/>
    <w:rsid w:val="00A90601"/>
    <w:rsid w:val="00AA1821"/>
    <w:rsid w:val="00AA1964"/>
    <w:rsid w:val="00AA6446"/>
    <w:rsid w:val="00AB1B2E"/>
    <w:rsid w:val="00AB4A91"/>
    <w:rsid w:val="00AB5324"/>
    <w:rsid w:val="00AB7080"/>
    <w:rsid w:val="00AD0F07"/>
    <w:rsid w:val="00AE022F"/>
    <w:rsid w:val="00AF0BB0"/>
    <w:rsid w:val="00AF45AF"/>
    <w:rsid w:val="00B01479"/>
    <w:rsid w:val="00B029B9"/>
    <w:rsid w:val="00B033D2"/>
    <w:rsid w:val="00B040CF"/>
    <w:rsid w:val="00B24BDB"/>
    <w:rsid w:val="00B30E53"/>
    <w:rsid w:val="00B34409"/>
    <w:rsid w:val="00B347BD"/>
    <w:rsid w:val="00B3788F"/>
    <w:rsid w:val="00B41EB9"/>
    <w:rsid w:val="00B45D92"/>
    <w:rsid w:val="00B47D24"/>
    <w:rsid w:val="00B52FAE"/>
    <w:rsid w:val="00B53A4A"/>
    <w:rsid w:val="00B572FF"/>
    <w:rsid w:val="00B62559"/>
    <w:rsid w:val="00B67C7F"/>
    <w:rsid w:val="00B706F2"/>
    <w:rsid w:val="00B72604"/>
    <w:rsid w:val="00B72D56"/>
    <w:rsid w:val="00B762C9"/>
    <w:rsid w:val="00B77FF1"/>
    <w:rsid w:val="00B94CEF"/>
    <w:rsid w:val="00B9641D"/>
    <w:rsid w:val="00BA063D"/>
    <w:rsid w:val="00BA7541"/>
    <w:rsid w:val="00BB4DF4"/>
    <w:rsid w:val="00BC0748"/>
    <w:rsid w:val="00BD0CCA"/>
    <w:rsid w:val="00BD68A5"/>
    <w:rsid w:val="00BE1AD4"/>
    <w:rsid w:val="00BE1B62"/>
    <w:rsid w:val="00BE6737"/>
    <w:rsid w:val="00BF646D"/>
    <w:rsid w:val="00C11B5B"/>
    <w:rsid w:val="00C21A95"/>
    <w:rsid w:val="00C303C1"/>
    <w:rsid w:val="00C34991"/>
    <w:rsid w:val="00C35B56"/>
    <w:rsid w:val="00C42093"/>
    <w:rsid w:val="00C434F3"/>
    <w:rsid w:val="00C507CE"/>
    <w:rsid w:val="00C54D22"/>
    <w:rsid w:val="00C571F5"/>
    <w:rsid w:val="00C620F8"/>
    <w:rsid w:val="00C63013"/>
    <w:rsid w:val="00C66FC4"/>
    <w:rsid w:val="00C93876"/>
    <w:rsid w:val="00CA60A9"/>
    <w:rsid w:val="00CA68E4"/>
    <w:rsid w:val="00CB0D6E"/>
    <w:rsid w:val="00CB77BC"/>
    <w:rsid w:val="00CC0A10"/>
    <w:rsid w:val="00CD5A81"/>
    <w:rsid w:val="00CD6AEC"/>
    <w:rsid w:val="00CE2AC7"/>
    <w:rsid w:val="00CE33C6"/>
    <w:rsid w:val="00CE4C6C"/>
    <w:rsid w:val="00CE5546"/>
    <w:rsid w:val="00D06EBC"/>
    <w:rsid w:val="00D12643"/>
    <w:rsid w:val="00D17CA1"/>
    <w:rsid w:val="00D20152"/>
    <w:rsid w:val="00D4736E"/>
    <w:rsid w:val="00D4750B"/>
    <w:rsid w:val="00D52C0D"/>
    <w:rsid w:val="00D5534D"/>
    <w:rsid w:val="00D630FF"/>
    <w:rsid w:val="00D669F5"/>
    <w:rsid w:val="00D66FE8"/>
    <w:rsid w:val="00D756A5"/>
    <w:rsid w:val="00D779BD"/>
    <w:rsid w:val="00D77B05"/>
    <w:rsid w:val="00D802A5"/>
    <w:rsid w:val="00D8138A"/>
    <w:rsid w:val="00D9070D"/>
    <w:rsid w:val="00D974A1"/>
    <w:rsid w:val="00DA08C1"/>
    <w:rsid w:val="00DA7E1A"/>
    <w:rsid w:val="00DB17B7"/>
    <w:rsid w:val="00DB2723"/>
    <w:rsid w:val="00DB5CA2"/>
    <w:rsid w:val="00DC2061"/>
    <w:rsid w:val="00DC2FAD"/>
    <w:rsid w:val="00DC472F"/>
    <w:rsid w:val="00DC50E9"/>
    <w:rsid w:val="00DF688D"/>
    <w:rsid w:val="00E078BC"/>
    <w:rsid w:val="00E130F6"/>
    <w:rsid w:val="00E27D8E"/>
    <w:rsid w:val="00E36E78"/>
    <w:rsid w:val="00E41160"/>
    <w:rsid w:val="00E53E1B"/>
    <w:rsid w:val="00E6100E"/>
    <w:rsid w:val="00E6177B"/>
    <w:rsid w:val="00E9650B"/>
    <w:rsid w:val="00E967AF"/>
    <w:rsid w:val="00EA1638"/>
    <w:rsid w:val="00EB2E25"/>
    <w:rsid w:val="00EB4D24"/>
    <w:rsid w:val="00EB73C6"/>
    <w:rsid w:val="00EC0DDB"/>
    <w:rsid w:val="00EC6A11"/>
    <w:rsid w:val="00EC725D"/>
    <w:rsid w:val="00ED0DF1"/>
    <w:rsid w:val="00ED31AC"/>
    <w:rsid w:val="00ED5E5B"/>
    <w:rsid w:val="00EE0076"/>
    <w:rsid w:val="00EF355B"/>
    <w:rsid w:val="00EF4CB1"/>
    <w:rsid w:val="00EF7928"/>
    <w:rsid w:val="00F013C9"/>
    <w:rsid w:val="00F013D5"/>
    <w:rsid w:val="00F06490"/>
    <w:rsid w:val="00F1124F"/>
    <w:rsid w:val="00F17736"/>
    <w:rsid w:val="00F246AF"/>
    <w:rsid w:val="00F3552C"/>
    <w:rsid w:val="00F427E4"/>
    <w:rsid w:val="00F46760"/>
    <w:rsid w:val="00F529C0"/>
    <w:rsid w:val="00F66EF7"/>
    <w:rsid w:val="00F71508"/>
    <w:rsid w:val="00F812AA"/>
    <w:rsid w:val="00F84DBB"/>
    <w:rsid w:val="00F8666A"/>
    <w:rsid w:val="00F9206B"/>
    <w:rsid w:val="00F9446E"/>
    <w:rsid w:val="00F95C7E"/>
    <w:rsid w:val="00F97646"/>
    <w:rsid w:val="00FA7917"/>
    <w:rsid w:val="00FC0D74"/>
    <w:rsid w:val="00FE2B92"/>
    <w:rsid w:val="00FE7DA0"/>
    <w:rsid w:val="00FF16A0"/>
    <w:rsid w:val="00FF1A93"/>
    <w:rsid w:val="00FF6B05"/>
    <w:rsid w:val="37D021AA"/>
    <w:rsid w:val="5D36EF90"/>
    <w:rsid w:val="63B161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AFF332"/>
  <w15:docId w15:val="{A688EEDE-80AF-4D13-AD54-7A1ACBF3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D0DF1"/>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styleId="Default" w:customStyle="1">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styleId="CommentTextChar" w:customStyle="1">
    <w:name w:val="Comment Text Char"/>
    <w:basedOn w:val="DefaultParagraphFont"/>
    <w:link w:val="CommentText"/>
    <w:uiPriority w:val="99"/>
    <w:semiHidden/>
    <w:rsid w:val="00D9070D"/>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styleId="CommentSubjectChar" w:customStyle="1">
    <w:name w:val="Comment Subject Char"/>
    <w:basedOn w:val="CommentTextChar"/>
    <w:link w:val="CommentSubject"/>
    <w:uiPriority w:val="99"/>
    <w:semiHidden/>
    <w:rsid w:val="00D9070D"/>
    <w:rPr>
      <w:rFonts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styleId="BalloonTextChar" w:customStyle="1">
    <w:name w:val="Balloon Text Char"/>
    <w:basedOn w:val="DefaultParagraphFont"/>
    <w:link w:val="BalloonText"/>
    <w:uiPriority w:val="99"/>
    <w:semiHidden/>
    <w:rsid w:val="00D9070D"/>
    <w:rPr>
      <w:rFonts w:ascii="Tahoma" w:hAnsi="Tahoma" w:eastAsia="Times New Roman" w:cs="Tahoma"/>
      <w:sz w:val="16"/>
      <w:szCs w:val="16"/>
    </w:rPr>
  </w:style>
  <w:style w:type="paragraph" w:styleId="Chapter" w:customStyle="1">
    <w:name w:val="Chapter"/>
    <w:basedOn w:val="Normal"/>
    <w:next w:val="Normal"/>
    <w:rsid w:val="00B72604"/>
    <w:pPr>
      <w:numPr>
        <w:numId w:val="3"/>
      </w:numPr>
      <w:tabs>
        <w:tab w:val="left" w:pos="1440"/>
      </w:tabs>
      <w:spacing w:after="240"/>
      <w:jc w:val="center"/>
    </w:pPr>
    <w:rPr>
      <w:b/>
      <w:smallCaps/>
      <w:szCs w:val="20"/>
      <w:lang w:val="es-ES"/>
    </w:rPr>
  </w:style>
  <w:style w:type="paragraph" w:styleId="Paragraph" w:customStyle="1">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styleId="subpar" w:customStyle="1">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styleId="SubSubPar" w:customStyle="1">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hAnsiTheme="minorHAnsi" w:eastAsiaTheme="minorEastAsia" w:cstheme="minorBidi"/>
      <w:sz w:val="20"/>
      <w:szCs w:val="20"/>
    </w:rPr>
  </w:style>
  <w:style w:type="character" w:styleId="FootnoteTextChar" w:customStyle="1">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styleId="BodyTextIndentChar" w:customStyle="1">
    <w:name w:val="Body Text Indent Char"/>
    <w:basedOn w:val="DefaultParagraphFont"/>
    <w:link w:val="BodyTextIndent"/>
    <w:uiPriority w:val="99"/>
    <w:semiHidden/>
    <w:rsid w:val="00B72604"/>
    <w:rPr>
      <w:rFonts w:ascii="Times New Roman" w:hAnsi="Times New Roman" w:eastAsia="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B72604"/>
    <w:rPr>
      <w:rFonts w:ascii="Times New Roman" w:hAnsi="Times New Roman" w:eastAsia="Times New Roman" w:cs="Times New Roman"/>
      <w:sz w:val="16"/>
      <w:szCs w:val="16"/>
    </w:rPr>
  </w:style>
  <w:style w:type="character" w:styleId="Heading7Char" w:customStyle="1">
    <w:name w:val="Heading 7 Char"/>
    <w:rsid w:val="006D4A79"/>
    <w:rPr>
      <w:rFonts w:ascii="Arial" w:hAnsi="Arial" w:eastAsia="Times New Roman" w:cs="Times New Roman"/>
      <w:sz w:val="24"/>
      <w:szCs w:val="20"/>
    </w:rPr>
  </w:style>
  <w:style w:type="paragraph" w:styleId="FirstHeading" w:customStyle="1">
    <w:name w:val="FirstHeading"/>
    <w:basedOn w:val="Normal"/>
    <w:rsid w:val="002B6E68"/>
    <w:pPr>
      <w:keepNext/>
      <w:numPr>
        <w:numId w:val="6"/>
      </w:numPr>
      <w:tabs>
        <w:tab w:val="left" w:pos="0"/>
        <w:tab w:val="left" w:pos="86"/>
      </w:tabs>
      <w:spacing w:before="120" w:after="120"/>
    </w:pPr>
    <w:rPr>
      <w:b/>
      <w:lang w:val="es-ES_tradnl"/>
    </w:rPr>
  </w:style>
  <w:style w:type="paragraph" w:styleId="SecHeading" w:customStyle="1">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styleId="SubHeading1" w:customStyle="1">
    <w:name w:val="SubHeading1"/>
    <w:basedOn w:val="SecHeading"/>
    <w:rsid w:val="002B6E68"/>
    <w:pPr>
      <w:numPr>
        <w:ilvl w:val="2"/>
      </w:numPr>
      <w:tabs>
        <w:tab w:val="clear" w:pos="5976"/>
        <w:tab w:val="num" w:pos="1872"/>
      </w:tabs>
      <w:ind w:left="1872"/>
    </w:pPr>
  </w:style>
  <w:style w:type="paragraph" w:styleId="Subheading2" w:customStyle="1">
    <w:name w:val="Subheading2"/>
    <w:basedOn w:val="SecHeading"/>
    <w:rsid w:val="002B6E68"/>
    <w:pPr>
      <w:numPr>
        <w:ilvl w:val="3"/>
      </w:numPr>
      <w:tabs>
        <w:tab w:val="clear" w:pos="6480"/>
        <w:tab w:val="num" w:pos="2376"/>
      </w:tabs>
      <w:ind w:left="2376"/>
    </w:pPr>
  </w:style>
  <w:style w:type="paragraph" w:styleId="BVIfnrCharCharCharCharCharCharChar" w:customStyle="1">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hAnsiTheme="minorHAnsi" w:eastAsiaTheme="minorHAnsi" w:cstheme="minorBidi"/>
      <w:sz w:val="22"/>
      <w:szCs w:val="22"/>
      <w:vertAlign w:val="superscript"/>
    </w:rPr>
  </w:style>
  <w:style w:type="character" w:styleId="ParagraphChar" w:customStyle="1">
    <w:name w:val="Paragraph Char"/>
    <w:link w:val="Paragraph"/>
    <w:locked/>
    <w:rsid w:val="00B47D24"/>
    <w:rPr>
      <w:rFonts w:ascii="Times New Roman" w:hAnsi="Times New Roman" w:eastAsia="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styleId="HeaderChar" w:customStyle="1">
    <w:name w:val="Header Char"/>
    <w:basedOn w:val="DefaultParagraphFont"/>
    <w:link w:val="Header"/>
    <w:uiPriority w:val="99"/>
    <w:rsid w:val="00120449"/>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styleId="FooterChar" w:customStyle="1">
    <w:name w:val="Footer Char"/>
    <w:basedOn w:val="DefaultParagraphFont"/>
    <w:link w:val="Footer"/>
    <w:uiPriority w:val="99"/>
    <w:rsid w:val="00120449"/>
    <w:rPr>
      <w:rFonts w:ascii="Times New Roman" w:hAnsi="Times New Roman" w:eastAsia="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styleId="BodyTextChar" w:customStyle="1">
    <w:name w:val="Body Text Char"/>
    <w:basedOn w:val="DefaultParagraphFont"/>
    <w:uiPriority w:val="99"/>
    <w:semiHidden/>
    <w:rsid w:val="00534BE3"/>
    <w:rPr>
      <w:rFonts w:ascii="Times New Roman" w:hAnsi="Times New Roman" w:eastAsia="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styleId="BoxBullet1" w:customStyle="1">
    <w:name w:val="Box Bullet 1"/>
    <w:basedOn w:val="Normal"/>
    <w:rsid w:val="00534BE3"/>
    <w:pPr>
      <w:numPr>
        <w:numId w:val="8"/>
      </w:numPr>
      <w:spacing w:before="30" w:after="30"/>
      <w:jc w:val="both"/>
    </w:pPr>
    <w:rPr>
      <w:rFonts w:ascii="Garamond" w:hAnsi="Garamond"/>
      <w:sz w:val="22"/>
      <w:lang w:eastAsia="en-NZ"/>
    </w:rPr>
  </w:style>
  <w:style w:type="paragraph" w:styleId="BoxBullet2" w:customStyle="1">
    <w:name w:val="Box Bullet 2"/>
    <w:basedOn w:val="Normal"/>
    <w:rsid w:val="00534BE3"/>
    <w:pPr>
      <w:numPr>
        <w:ilvl w:val="1"/>
        <w:numId w:val="8"/>
      </w:numPr>
      <w:spacing w:before="30" w:after="30"/>
      <w:jc w:val="both"/>
    </w:pPr>
    <w:rPr>
      <w:rFonts w:ascii="Garamond" w:hAnsi="Garamond"/>
      <w:sz w:val="22"/>
      <w:lang w:eastAsia="en-NZ"/>
    </w:rPr>
  </w:style>
  <w:style w:type="character" w:styleId="BodyTextChar1" w:customStyle="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hAnsi="Garamond" w:eastAsia="Times New Roman" w:cs="Times New Roman"/>
      <w:sz w:val="24"/>
      <w:szCs w:val="24"/>
      <w:lang w:eastAsia="en-NZ"/>
    </w:rPr>
  </w:style>
  <w:style w:type="paragraph" w:styleId="CFIJAENB" w:customStyle="1">
    <w:name w:val="( C )  FIJA EN &quot;B&quot;"/>
    <w:basedOn w:val="Normal"/>
    <w:rsid w:val="00262F31"/>
    <w:pPr>
      <w:ind w:left="703"/>
      <w:jc w:val="both"/>
    </w:pPr>
    <w:rPr>
      <w:rFonts w:ascii="Arial" w:hAnsi="Arial"/>
      <w:sz w:val="20"/>
      <w:szCs w:val="20"/>
      <w:lang w:val="es-ES_tradnl" w:eastAsia="es-ES"/>
    </w:rPr>
  </w:style>
  <w:style w:type="paragraph" w:styleId="BoxNumberedText" w:customStyle="1">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304F3B"/>
    <w:rPr>
      <w:rFonts w:asciiTheme="majorHAnsi" w:hAnsiTheme="majorHAnsi" w:eastAsiaTheme="majorEastAsia"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82369">
      <w:bodyDiv w:val="1"/>
      <w:marLeft w:val="0"/>
      <w:marRight w:val="0"/>
      <w:marTop w:val="0"/>
      <w:marBottom w:val="0"/>
      <w:divBdr>
        <w:top w:val="none" w:sz="0" w:space="0" w:color="auto"/>
        <w:left w:val="none" w:sz="0" w:space="0" w:color="auto"/>
        <w:bottom w:val="none" w:sz="0" w:space="0" w:color="auto"/>
        <w:right w:val="none" w:sz="0" w:space="0" w:color="auto"/>
      </w:divBdr>
    </w:div>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9.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R0001217350</Record_x0020_Number>
    <_dlc_DocId xmlns="cdc7663a-08f0-4737-9e8c-148ce897a09c">EZSHARE-1404194580-11</_dlc_DocId>
    <_dlc_DocIdUrl xmlns="cdc7663a-08f0-4737-9e8c-148ce897a09c">
      <Url>https://idbg.sharepoint.com/teams/EZ-BO-LON/BO-L1184/_layouts/15/DocIdRedir.aspx?ID=EZSHARE-1404194580-11</Url>
      <Description>EZSHARE-1404194580-11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_catalogs/masterpage/ECMForms/OperationsCT/View.aspx</Display>
  <Edit>_catalogs/masterpage/ECMForms/OperationsCT/Edit.aspx</Edit>
</FormUrls>
</file>

<file path=customXml/item15.xml><?xml version="1.0" encoding="utf-8"?>
<?mso-contentType ?>
<FormUrls xmlns="http://schemas.microsoft.com/sharepoint/v3/contenttype/forms/url">
  <Display>_catalogs/masterpage/ECMForms/OperationsCT/View.aspx</Display>
  <Edit>_catalogs/masterpage/ECMForms/OperationsCT/Edit.aspx</Edit>
</FormUrls>
</file>

<file path=customXml/item16.xml><?xml version="1.0" encoding="utf-8"?>
<?mso-contentType ?>
<FormUrls xmlns="http://schemas.microsoft.com/sharepoint/v3/contenttype/forms/url">
  <Display>_catalogs/masterpage/ECMForms/OperationsCT/View.aspx</Display>
  <Edit>_catalogs/masterpage/ECMForms/OperationsCT/Edit.aspx</Edit>
</FormUrls>
</file>

<file path=customXml/item17.xml><?xml version="1.0" encoding="utf-8"?>
<?mso-contentType ?>
<FormUrls xmlns="http://schemas.microsoft.com/sharepoint/v3/contenttype/forms/url">
  <Display>_catalogs/masterpage/ECMForms/OperationsCT/View.aspx</Display>
  <Edit>_catalogs/masterpage/ECMForms/OperationsCT/Edit.aspx</Edit>
</FormUrls>
</file>

<file path=customXml/item18.xml><?xml version="1.0" encoding="utf-8"?>
<?mso-contentType ?>
<FormUrls xmlns="http://schemas.microsoft.com/sharepoint/v3/contenttype/forms/url">
  <Display>_catalogs/masterpage/ECMForms/OperationsCT/View.aspx</Display>
  <Edit>_catalogs/masterpage/ECMForms/OperationsCT/Edit.aspx</Edit>
</FormUrls>
</file>

<file path=customXml/item19.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20.xml><?xml version="1.0" encoding="utf-8"?>
<?mso-contentType ?>
<FormUrls xmlns="http://schemas.microsoft.com/sharepoint/v3/contenttype/forms/url">
  <Display>_catalogs/masterpage/ECMForms/OperationsCT/View.aspx</Display>
  <Edit>_catalogs/masterpage/ECMForms/OperationsCT/Edit.aspx</Edit>
</FormUrls>
</file>

<file path=customXml/item21.xml><?xml version="1.0" encoding="utf-8"?>
<?mso-contentType ?>
<FormUrls xmlns="http://schemas.microsoft.com/sharepoint/v3/contenttype/forms/url">
  <Display>_catalogs/masterpage/ECMForms/OperationsCT/View.aspx</Display>
  <Edit>_catalogs/masterpage/ECMForms/OperationsCT/Edit.aspx</Edit>
</FormUrls>
</file>

<file path=customXml/item22.xml><?xml version="1.0" encoding="utf-8"?>
<?mso-contentType ?>
<FormUrls xmlns="http://schemas.microsoft.com/sharepoint/v3/contenttype/forms/url">
  <Display>_catalogs/masterpage/ECMForms/OperationsCT/View.aspx</Display>
  <Edit>_catalogs/masterpage/ECMForms/OperationsCT/Edit.aspx</Edit>
</FormUrls>
</file>

<file path=customXml/item23.xml><?xml version="1.0" encoding="utf-8"?>
<?mso-contentType ?>
<FormUrls xmlns="http://schemas.microsoft.com/sharepoint/v3/contenttype/forms/url">
  <Display>_catalogs/masterpage/ECMForms/OperationsCT/View.aspx</Display>
  <Edit>_catalogs/masterpage/ECMForms/OperationsCT/Edit.aspx</Edit>
</FormUrls>
</file>

<file path=customXml/item24.xml><?xml version="1.0" encoding="utf-8"?>
<?mso-contentType ?>
<FormUrls xmlns="http://schemas.microsoft.com/sharepoint/v3/contenttype/forms/url">
  <Display>_catalogs/masterpage/ECMForms/OperationsCT/View.aspx</Display>
  <Edit>_catalogs/masterpage/ECMForms/OperationsCT/Edit.aspx</Edit>
</FormUrls>
</file>

<file path=customXml/item25.xml><?xml version="1.0" encoding="utf-8"?>
<?mso-contentType ?>
<FormUrls xmlns="http://schemas.microsoft.com/sharepoint/v3/contenttype/forms/url">
  <Display>_catalogs/masterpage/ECMForms/OperationsCT/View.aspx</Display>
  <Edit>_catalogs/masterpage/ECMForms/OperationsCT/Edit.aspx</Edit>
</FormUrls>
</file>

<file path=customXml/item26.xml><?xml version="1.0" encoding="utf-8"?>
<?mso-contentType ?>
<FormUrls xmlns="http://schemas.microsoft.com/sharepoint/v3/contenttype/forms/url">
  <Display>_catalogs/masterpage/ECMForms/OperationsCT/View.aspx</Display>
  <Edit>_catalogs/masterpage/ECMForms/OperationsCT/Edit.aspx</Edit>
</FormUrls>
</file>

<file path=customXml/item27.xml><?xml version="1.0" encoding="utf-8"?>
<?mso-contentType ?>
<FormUrls xmlns="http://schemas.microsoft.com/sharepoint/v3/contenttype/forms/url">
  <Display>_catalogs/masterpage/ECMForms/OperationsCT/View.aspx</Display>
  <Edit>_catalogs/masterpage/ECMForms/OperationsCT/Edit.aspx</Edit>
</FormUrls>
</file>

<file path=customXml/item28.xml><?xml version="1.0" encoding="utf-8"?>
<?mso-contentType ?>
<FormUrls xmlns="http://schemas.microsoft.com/sharepoint/v3/contenttype/forms/url">
  <Display>_catalogs/masterpage/ECMForms/OperationsCT/View.aspx</Display>
  <Edit>_catalogs/masterpage/ECMForms/OperationsCT/Edit.aspx</Edit>
</FormUrls>
</file>

<file path=customXml/item29.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538" ma:contentTypeDescription="The base project type from which other project content types inherit their information." ma:contentTypeScope="" ma:versionID="ae9821971b6c727d32f846acb573cb48">
  <xsd:schema xmlns:xsd="http://www.w3.org/2001/XMLSchema" xmlns:xs="http://www.w3.org/2001/XMLSchema" xmlns:p="http://schemas.microsoft.com/office/2006/metadata/properties" xmlns:ns2="cdc7663a-08f0-4737-9e8c-148ce897a09c" targetNamespace="http://schemas.microsoft.com/office/2006/metadata/properties" ma:root="true" ma:fieldsID="e3c3db510a39d6ba8199a481800b42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541" ma:contentTypeDescription="The base project type from which other project content types inherit their information." ma:contentTypeScope="" ma:versionID="74c4d8c3d236d0bf187594f51216d6ad">
  <xsd:schema xmlns:xsd="http://www.w3.org/2001/XMLSchema" xmlns:xs="http://www.w3.org/2001/XMLSchema" xmlns:p="http://schemas.microsoft.com/office/2006/metadata/properties" xmlns:ns2="cdc7663a-08f0-4737-9e8c-148ce897a09c" targetNamespace="http://schemas.microsoft.com/office/2006/metadata/properties" ma:root="true" ma:fieldsID="e3c3db510a39d6ba8199a481800b42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B0664C-CD82-41B6-9735-D27AB842715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cdc7663a-08f0-4737-9e8c-148ce897a09c"/>
    <ds:schemaRef ds:uri="http://purl.org/dc/terms/"/>
    <ds:schemaRef ds:uri="http://schemas.microsoft.com/office/infopath/2007/PartnerControls"/>
    <ds:schemaRef ds:uri="http://www.w3.org/XML/1998/namespace"/>
    <ds:schemaRef ds:uri="http://purl.org/dc/dcmitype/"/>
  </ds:schemaRefs>
</ds:datastoreItem>
</file>

<file path=customXml/itemProps10.xml><?xml version="1.0" encoding="utf-8"?>
<ds:datastoreItem xmlns:ds="http://schemas.openxmlformats.org/officeDocument/2006/customXml" ds:itemID="{86BEB025-6E2F-45B9-9D53-45265D0B65CF}"/>
</file>

<file path=customXml/itemProps11.xml><?xml version="1.0" encoding="utf-8"?>
<ds:datastoreItem xmlns:ds="http://schemas.openxmlformats.org/officeDocument/2006/customXml" ds:itemID="{B2965779-4C88-4078-BC6A-75C8DD916778}"/>
</file>

<file path=customXml/itemProps12.xml><?xml version="1.0" encoding="utf-8"?>
<ds:datastoreItem xmlns:ds="http://schemas.openxmlformats.org/officeDocument/2006/customXml" ds:itemID="{92D5520D-6B84-4F26-BEAD-33FA1A1DA7FA}"/>
</file>

<file path=customXml/itemProps13.xml><?xml version="1.0" encoding="utf-8"?>
<ds:datastoreItem xmlns:ds="http://schemas.openxmlformats.org/officeDocument/2006/customXml" ds:itemID="{85F5FC84-0853-4738-9F31-CB25D3595A6F}"/>
</file>

<file path=customXml/itemProps14.xml><?xml version="1.0" encoding="utf-8"?>
<ds:datastoreItem xmlns:ds="http://schemas.openxmlformats.org/officeDocument/2006/customXml" ds:itemID="{1189AC46-79DE-475D-A8D8-8B1B0EBACBC1}"/>
</file>

<file path=customXml/itemProps15.xml><?xml version="1.0" encoding="utf-8"?>
<ds:datastoreItem xmlns:ds="http://schemas.openxmlformats.org/officeDocument/2006/customXml" ds:itemID="{9AFBF8C0-244C-4973-B177-573EA88311D5}"/>
</file>

<file path=customXml/itemProps16.xml><?xml version="1.0" encoding="utf-8"?>
<ds:datastoreItem xmlns:ds="http://schemas.openxmlformats.org/officeDocument/2006/customXml" ds:itemID="{389EB9E3-0928-467E-BE5E-0383485D5A1B}"/>
</file>

<file path=customXml/itemProps17.xml><?xml version="1.0" encoding="utf-8"?>
<ds:datastoreItem xmlns:ds="http://schemas.openxmlformats.org/officeDocument/2006/customXml" ds:itemID="{679AA48E-6CAC-4D53-87DA-A676E2E9D845}"/>
</file>

<file path=customXml/itemProps18.xml><?xml version="1.0" encoding="utf-8"?>
<ds:datastoreItem xmlns:ds="http://schemas.openxmlformats.org/officeDocument/2006/customXml" ds:itemID="{AF1D7C11-0810-4A89-82D4-1C8E2EC4D737}"/>
</file>

<file path=customXml/itemProps19.xml><?xml version="1.0" encoding="utf-8"?>
<ds:datastoreItem xmlns:ds="http://schemas.openxmlformats.org/officeDocument/2006/customXml" ds:itemID="{440DC11D-55D5-43D3-8FCA-4603827CDCA3}"/>
</file>

<file path=customXml/itemProps2.xml><?xml version="1.0" encoding="utf-8"?>
<ds:datastoreItem xmlns:ds="http://schemas.openxmlformats.org/officeDocument/2006/customXml" ds:itemID="{77235054-870F-4A0C-9F6D-208814B94498}"/>
</file>

<file path=customXml/itemProps20.xml><?xml version="1.0" encoding="utf-8"?>
<ds:datastoreItem xmlns:ds="http://schemas.openxmlformats.org/officeDocument/2006/customXml" ds:itemID="{4A514F12-90F9-4B72-A597-0C94E41A0088}"/>
</file>

<file path=customXml/itemProps21.xml><?xml version="1.0" encoding="utf-8"?>
<ds:datastoreItem xmlns:ds="http://schemas.openxmlformats.org/officeDocument/2006/customXml" ds:itemID="{4451FF64-FAA2-43D6-90FA-BFEA86CE0407}"/>
</file>

<file path=customXml/itemProps22.xml><?xml version="1.0" encoding="utf-8"?>
<ds:datastoreItem xmlns:ds="http://schemas.openxmlformats.org/officeDocument/2006/customXml" ds:itemID="{99CD9047-0383-4B1B-99A4-7CD9A1438874}"/>
</file>

<file path=customXml/itemProps23.xml><?xml version="1.0" encoding="utf-8"?>
<ds:datastoreItem xmlns:ds="http://schemas.openxmlformats.org/officeDocument/2006/customXml" ds:itemID="{29CE7834-9AD1-4628-8783-2FC471813D22}"/>
</file>

<file path=customXml/itemProps24.xml><?xml version="1.0" encoding="utf-8"?>
<ds:datastoreItem xmlns:ds="http://schemas.openxmlformats.org/officeDocument/2006/customXml" ds:itemID="{3D33852A-4414-42B8-BE33-3BB27D20E685}"/>
</file>

<file path=customXml/itemProps25.xml><?xml version="1.0" encoding="utf-8"?>
<ds:datastoreItem xmlns:ds="http://schemas.openxmlformats.org/officeDocument/2006/customXml" ds:itemID="{58726897-DB26-4065-82D8-4E21982A2577}"/>
</file>

<file path=customXml/itemProps26.xml><?xml version="1.0" encoding="utf-8"?>
<ds:datastoreItem xmlns:ds="http://schemas.openxmlformats.org/officeDocument/2006/customXml" ds:itemID="{F0D3FBFB-D5A7-4B4F-8BCC-780E62D2551B}"/>
</file>

<file path=customXml/itemProps27.xml><?xml version="1.0" encoding="utf-8"?>
<ds:datastoreItem xmlns:ds="http://schemas.openxmlformats.org/officeDocument/2006/customXml" ds:itemID="{3D133E08-BAFC-43FE-9F7A-75C8CE2C63C8}"/>
</file>

<file path=customXml/itemProps28.xml><?xml version="1.0" encoding="utf-8"?>
<ds:datastoreItem xmlns:ds="http://schemas.openxmlformats.org/officeDocument/2006/customXml" ds:itemID="{67D57C75-BCDF-4F47-86CD-5F587479CD50}"/>
</file>

<file path=customXml/itemProps29.xml><?xml version="1.0" encoding="utf-8"?>
<ds:datastoreItem xmlns:ds="http://schemas.openxmlformats.org/officeDocument/2006/customXml" ds:itemID="{9521C3C0-F639-4A1C-A540-346C3C71C891}"/>
</file>

<file path=customXml/itemProps3.xml><?xml version="1.0" encoding="utf-8"?>
<ds:datastoreItem xmlns:ds="http://schemas.openxmlformats.org/officeDocument/2006/customXml" ds:itemID="{163DCA1E-F055-4C62-85FC-05F76589C80B}">
  <ds:schemaRefs>
    <ds:schemaRef ds:uri="http://schemas.microsoft.com/sharepoint/events"/>
  </ds:schemaRefs>
</ds:datastoreItem>
</file>

<file path=customXml/itemProps30.xml><?xml version="1.0" encoding="utf-8"?>
<ds:datastoreItem xmlns:ds="http://schemas.openxmlformats.org/officeDocument/2006/customXml" ds:itemID="{2927BDE2-234E-4D37-8DD2-67BD53E70909}"/>
</file>

<file path=customXml/itemProps4.xml><?xml version="1.0" encoding="utf-8"?>
<ds:datastoreItem xmlns:ds="http://schemas.openxmlformats.org/officeDocument/2006/customXml" ds:itemID="{98455C16-9A06-4099-937A-46893385CC27}">
  <ds:schemaRefs>
    <ds:schemaRef ds:uri="http://schemas.microsoft.com/sharepoint/v3/contenttype/forms"/>
  </ds:schemaRefs>
</ds:datastoreItem>
</file>

<file path=customXml/itemProps5.xml><?xml version="1.0" encoding="utf-8"?>
<ds:datastoreItem xmlns:ds="http://schemas.openxmlformats.org/officeDocument/2006/customXml" ds:itemID="{6C5329CF-4486-40D3-A96B-A9659A46E19E}">
  <ds:schemaRefs>
    <ds:schemaRef ds:uri="http://schemas.microsoft.com/sharepoint/v3/contenttype/forms/url"/>
  </ds:schemaRefs>
</ds:datastoreItem>
</file>

<file path=customXml/itemProps6.xml><?xml version="1.0" encoding="utf-8"?>
<ds:datastoreItem xmlns:ds="http://schemas.openxmlformats.org/officeDocument/2006/customXml" ds:itemID="{C8FB4049-3471-4F4B-8DCC-CF99BF28E2A7}"/>
</file>

<file path=customXml/itemProps7.xml><?xml version="1.0" encoding="utf-8"?>
<ds:datastoreItem xmlns:ds="http://schemas.openxmlformats.org/officeDocument/2006/customXml" ds:itemID="{10EF433C-CB47-4413-9029-347073984BCA}">
  <ds:schemaRefs>
    <ds:schemaRef ds:uri="http://schemas.openxmlformats.org/officeDocument/2006/bibliography"/>
  </ds:schemaRefs>
</ds:datastoreItem>
</file>

<file path=customXml/itemProps8.xml><?xml version="1.0" encoding="utf-8"?>
<ds:datastoreItem xmlns:ds="http://schemas.openxmlformats.org/officeDocument/2006/customXml" ds:itemID="{7792FD84-3652-48C8-B4A5-27FD3678F065}"/>
</file>

<file path=customXml/itemProps9.xml><?xml version="1.0" encoding="utf-8"?>
<ds:datastoreItem xmlns:ds="http://schemas.openxmlformats.org/officeDocument/2006/customXml" ds:itemID="{CCC8F131-6E4F-466C-9D37-151A0D257A31}"/>
</file>

<file path=docProps/app.xml><?xml version="1.0" encoding="utf-8"?>
<Properties xmlns="http://schemas.openxmlformats.org/officeDocument/2006/extended-properties" xmlns:vt="http://schemas.openxmlformats.org/officeDocument/2006/docPropsVTypes">
  <Template>Normal.dotm</Template>
  <TotalTime>37</TotalTime>
  <Pages>10</Pages>
  <Words>4625</Words>
  <Characters>26367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Garcia Merino, Lucio Javier</cp:lastModifiedBy>
  <cp:revision>61</cp:revision>
  <cp:lastPrinted>2015-05-19T15:05:00Z</cp:lastPrinted>
  <dcterms:created xsi:type="dcterms:W3CDTF">2015-10-19T14:06:00Z</dcterms:created>
  <dcterms:modified xsi:type="dcterms:W3CDTF">2018-08-29T18:12:00Z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d9314881-01d9-4c24-89e8-9177f95f04c8</vt:lpwstr>
  </property>
  <property fmtid="{D5CDD505-2E9C-101B-9397-08002B2CF9AE}" pid="12" name="ContentTypeId">
    <vt:lpwstr>0x0101001A458A224826124E8B45B1D613300CFC00BEBF887E0EBEA344BB3AE022CBB82FE8</vt:lpwstr>
  </property>
</Properties>
</file>