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A59CE" w14:textId="77777777" w:rsidR="007D5194" w:rsidRDefault="007D5194" w:rsidP="0056479B">
      <w:pPr>
        <w:jc w:val="center"/>
        <w:rPr>
          <w:b/>
        </w:rPr>
      </w:pPr>
      <w:bookmarkStart w:id="0" w:name="_GoBack"/>
      <w:bookmarkEnd w:id="0"/>
      <w:r>
        <w:rPr>
          <w:b/>
        </w:rPr>
        <w:t>Anexo SIASAR</w:t>
      </w:r>
    </w:p>
    <w:p w14:paraId="32442547" w14:textId="77777777" w:rsidR="007D5194" w:rsidRDefault="007D5194" w:rsidP="007D5194">
      <w:pPr>
        <w:pBdr>
          <w:bottom w:val="single" w:sz="4" w:space="1" w:color="auto"/>
        </w:pBdr>
        <w:rPr>
          <w:b/>
        </w:rPr>
      </w:pPr>
      <w:r>
        <w:rPr>
          <w:b/>
        </w:rPr>
        <w:t>Presentación de SIASAR</w:t>
      </w:r>
    </w:p>
    <w:p w14:paraId="7B56EEC7" w14:textId="77777777" w:rsidR="0060051B" w:rsidRPr="0060051B" w:rsidRDefault="0060051B" w:rsidP="00237AC8">
      <w:pPr>
        <w:shd w:val="clear" w:color="auto" w:fill="FFFFFF"/>
        <w:jc w:val="both"/>
        <w:rPr>
          <w:rFonts w:cstheme="minorHAnsi"/>
          <w:b/>
          <w:bCs/>
          <w:lang w:val="es-ES_tradnl" w:eastAsia="es-HN"/>
        </w:rPr>
      </w:pPr>
      <w:r w:rsidRPr="0060051B">
        <w:rPr>
          <w:rFonts w:cstheme="minorHAnsi"/>
          <w:b/>
          <w:bCs/>
          <w:lang w:val="es-ES_tradnl" w:eastAsia="es-HN"/>
        </w:rPr>
        <w:t>Origen y objetivos</w:t>
      </w:r>
    </w:p>
    <w:p w14:paraId="51134E44" w14:textId="77777777" w:rsidR="00237AC8" w:rsidRPr="00016131" w:rsidRDefault="00237AC8" w:rsidP="00237AC8">
      <w:pPr>
        <w:shd w:val="clear" w:color="auto" w:fill="FFFFFF"/>
        <w:jc w:val="both"/>
        <w:rPr>
          <w:rFonts w:cstheme="minorHAnsi"/>
          <w:bCs/>
          <w:lang w:val="es-ES_tradnl" w:eastAsia="es-HN"/>
        </w:rPr>
      </w:pPr>
      <w:r w:rsidRPr="00016131">
        <w:rPr>
          <w:rFonts w:cstheme="minorHAnsi"/>
          <w:bCs/>
          <w:lang w:val="es-ES_tradnl" w:eastAsia="es-HN"/>
        </w:rPr>
        <w:t>Desde que a principios de 2011, los Gobiernos de Honduras, Nicaragua y Panamá comenzaron el desarrollo del Sistema de Información para Agua y Saneamiento Rural (SIASAR), éste ha venido consolidándose y extendiéndose a otros países de la región Latinoamericana. En 2014, tras la adopción del SIASAR como el sistema regional de información homologado, de libre afiliación y utilidad común por el Foro Centroamericano y Republica Dominicana de Agua Potable y Saneamiento (FOCARD-APS), que promueve su implementación y extensión en la región, se han sumado a la iniciativa República Dominicana, Oaxaca (México), Costa Rica, Perú, Ceará (Brasil), Colombia y Paraguay.</w:t>
      </w:r>
      <w:r w:rsidR="0060051B">
        <w:rPr>
          <w:rFonts w:cstheme="minorHAnsi"/>
          <w:bCs/>
          <w:lang w:val="es-ES_tradnl" w:eastAsia="es-HN"/>
        </w:rPr>
        <w:t xml:space="preserve"> Actualmente ya hay más de 23.000 comunidades registradas dentro de SIASAR entre todos los países que están levantando información en campo.</w:t>
      </w:r>
    </w:p>
    <w:p w14:paraId="6CAE57D9" w14:textId="77777777" w:rsidR="002F4B3B" w:rsidRDefault="00237AC8" w:rsidP="00237AC8">
      <w:pPr>
        <w:shd w:val="clear" w:color="auto" w:fill="FFFFFF"/>
        <w:jc w:val="both"/>
        <w:rPr>
          <w:rFonts w:cstheme="minorHAnsi"/>
          <w:bCs/>
          <w:lang w:val="es-ES_tradnl" w:eastAsia="es-HN"/>
        </w:rPr>
      </w:pPr>
      <w:r w:rsidRPr="00016131">
        <w:rPr>
          <w:rFonts w:cstheme="minorHAnsi"/>
          <w:bCs/>
          <w:lang w:val="es-ES_tradnl" w:eastAsia="es-HN"/>
        </w:rPr>
        <w:t xml:space="preserve">La idea básica del SIASAR es contar una herramienta para la toma de decisiones, que permita monitorear factores relacionados con las diferentes dimensiones de la sostenibilidad de la prestación del servicio de agua y saneamiento en las zonas rurales y pequeñas localidades, entre otras: cobertura, estado de la infraestructura, calidad y nivel de servicio, asistencia técnica. </w:t>
      </w:r>
    </w:p>
    <w:p w14:paraId="776D152B" w14:textId="77777777" w:rsidR="002F4B3B" w:rsidRDefault="002F4B3B" w:rsidP="00237AC8">
      <w:pPr>
        <w:shd w:val="clear" w:color="auto" w:fill="FFFFFF"/>
        <w:jc w:val="both"/>
        <w:rPr>
          <w:rFonts w:cstheme="minorHAnsi"/>
          <w:bCs/>
          <w:lang w:val="es-ES_tradnl" w:eastAsia="es-HN"/>
        </w:rPr>
      </w:pPr>
      <w:r>
        <w:rPr>
          <w:rFonts w:cstheme="minorHAnsi"/>
          <w:bCs/>
          <w:lang w:val="es-ES_tradnl" w:eastAsia="es-HN"/>
        </w:rPr>
        <w:t>Bajo esta idea central, algunos de los principales objetivos que apoya SIASAR son:</w:t>
      </w:r>
    </w:p>
    <w:p w14:paraId="2ED1FDD8" w14:textId="77777777" w:rsidR="002F4B3B" w:rsidRPr="002F4B3B" w:rsidRDefault="002F4B3B" w:rsidP="002F4B3B">
      <w:pPr>
        <w:pStyle w:val="ListParagraph"/>
        <w:numPr>
          <w:ilvl w:val="0"/>
          <w:numId w:val="2"/>
        </w:numPr>
        <w:shd w:val="clear" w:color="auto" w:fill="FFFFFF"/>
        <w:jc w:val="both"/>
        <w:rPr>
          <w:rFonts w:cstheme="minorHAnsi"/>
          <w:bCs/>
          <w:lang w:val="es-ES_tradnl" w:eastAsia="es-HN"/>
        </w:rPr>
      </w:pPr>
      <w:r w:rsidRPr="002F4B3B">
        <w:rPr>
          <w:rFonts w:cstheme="minorHAnsi"/>
          <w:bCs/>
          <w:lang w:val="es-ES_tradnl" w:eastAsia="es-HN"/>
        </w:rPr>
        <w:t>Servir de apoyo para la regulación, planificación, coordinación, vigilancia y evaluación de las acciones de los diferentes actores del sector.</w:t>
      </w:r>
    </w:p>
    <w:p w14:paraId="49041E9C" w14:textId="77777777" w:rsidR="002F4B3B" w:rsidRPr="002F4B3B" w:rsidRDefault="002F4B3B" w:rsidP="002F4B3B">
      <w:pPr>
        <w:pStyle w:val="ListParagraph"/>
        <w:numPr>
          <w:ilvl w:val="0"/>
          <w:numId w:val="2"/>
        </w:numPr>
        <w:shd w:val="clear" w:color="auto" w:fill="FFFFFF"/>
        <w:jc w:val="both"/>
        <w:rPr>
          <w:rFonts w:cstheme="minorHAnsi"/>
          <w:bCs/>
          <w:lang w:val="es-ES_tradnl" w:eastAsia="es-HN"/>
        </w:rPr>
      </w:pPr>
      <w:r w:rsidRPr="002F4B3B">
        <w:rPr>
          <w:rFonts w:cstheme="minorHAnsi"/>
          <w:bCs/>
          <w:lang w:val="es-ES_tradnl" w:eastAsia="es-HN"/>
        </w:rPr>
        <w:t xml:space="preserve">Monitorear la cobertura, calidad y sostenibilidad de los servicios de abastecimiento de agua y saneamiento rural. </w:t>
      </w:r>
    </w:p>
    <w:p w14:paraId="3E172A07" w14:textId="77777777" w:rsidR="002F4B3B" w:rsidRPr="002F4B3B" w:rsidRDefault="002F4B3B" w:rsidP="002F4B3B">
      <w:pPr>
        <w:pStyle w:val="ListParagraph"/>
        <w:numPr>
          <w:ilvl w:val="0"/>
          <w:numId w:val="2"/>
        </w:numPr>
        <w:shd w:val="clear" w:color="auto" w:fill="FFFFFF"/>
        <w:jc w:val="both"/>
        <w:rPr>
          <w:rFonts w:cstheme="minorHAnsi"/>
          <w:bCs/>
          <w:lang w:val="es-ES_tradnl" w:eastAsia="es-HN"/>
        </w:rPr>
      </w:pPr>
      <w:r w:rsidRPr="002F4B3B">
        <w:rPr>
          <w:rFonts w:cstheme="minorHAnsi"/>
          <w:bCs/>
          <w:lang w:val="es-ES_tradnl" w:eastAsia="es-HN"/>
        </w:rPr>
        <w:t>Registrar el desempeño de los prestadores de servicio y de asistencia técnica, incluyendo sus limitaciones en logística.</w:t>
      </w:r>
    </w:p>
    <w:p w14:paraId="19B422D7" w14:textId="77777777" w:rsidR="002F4B3B" w:rsidRPr="002F4B3B" w:rsidRDefault="002F4B3B" w:rsidP="002F4B3B">
      <w:pPr>
        <w:pStyle w:val="ListParagraph"/>
        <w:numPr>
          <w:ilvl w:val="0"/>
          <w:numId w:val="2"/>
        </w:numPr>
        <w:shd w:val="clear" w:color="auto" w:fill="FFFFFF"/>
        <w:jc w:val="both"/>
        <w:rPr>
          <w:rFonts w:cstheme="minorHAnsi"/>
          <w:bCs/>
          <w:lang w:val="es-ES_tradnl" w:eastAsia="es-HN"/>
        </w:rPr>
      </w:pPr>
      <w:r w:rsidRPr="002F4B3B">
        <w:rPr>
          <w:rFonts w:cstheme="minorHAnsi"/>
          <w:bCs/>
          <w:lang w:val="es-ES_tradnl" w:eastAsia="es-HN"/>
        </w:rPr>
        <w:t>Permitir la transferencia de datos estadísticos de agua y saneamiento y cruzar así información con otras bases de datos sectoriales, como por ejemplo en ámbitos como la salud, el medio ambiente, el desarrollo social o comunitario, etc.</w:t>
      </w:r>
    </w:p>
    <w:p w14:paraId="2EA952D8" w14:textId="77777777" w:rsidR="002F4B3B" w:rsidRPr="002F4B3B" w:rsidRDefault="002F4B3B" w:rsidP="002F4B3B">
      <w:pPr>
        <w:shd w:val="clear" w:color="auto" w:fill="FFFFFF"/>
        <w:jc w:val="both"/>
        <w:rPr>
          <w:rFonts w:cstheme="minorHAnsi"/>
          <w:bCs/>
          <w:lang w:val="es-ES_tradnl" w:eastAsia="es-HN"/>
        </w:rPr>
      </w:pPr>
      <w:r w:rsidRPr="002F4B3B">
        <w:rPr>
          <w:rFonts w:cstheme="minorHAnsi"/>
          <w:bCs/>
          <w:lang w:val="es-ES_tradnl" w:eastAsia="es-HN"/>
        </w:rPr>
        <w:t xml:space="preserve">Para llegar a los objetivos que motiva SIASAR, el sistema se </w:t>
      </w:r>
      <w:r>
        <w:rPr>
          <w:rFonts w:cstheme="minorHAnsi"/>
          <w:bCs/>
          <w:lang w:val="es-ES_tradnl" w:eastAsia="es-HN"/>
        </w:rPr>
        <w:t>basa principalmente en dos aspectos</w:t>
      </w:r>
      <w:r w:rsidRPr="002F4B3B">
        <w:rPr>
          <w:rFonts w:cstheme="minorHAnsi"/>
          <w:bCs/>
          <w:lang w:val="es-ES_tradnl" w:eastAsia="es-HN"/>
        </w:rPr>
        <w:t>:</w:t>
      </w:r>
    </w:p>
    <w:p w14:paraId="30DBFFE9" w14:textId="77777777" w:rsidR="002F4B3B" w:rsidRDefault="002F4B3B" w:rsidP="00C00D63">
      <w:pPr>
        <w:pStyle w:val="ListParagraph"/>
        <w:numPr>
          <w:ilvl w:val="0"/>
          <w:numId w:val="3"/>
        </w:numPr>
        <w:shd w:val="clear" w:color="auto" w:fill="FFFFFF"/>
        <w:jc w:val="both"/>
        <w:rPr>
          <w:rFonts w:cstheme="minorHAnsi"/>
          <w:bCs/>
          <w:lang w:val="es-ES_tradnl" w:eastAsia="es-HN"/>
        </w:rPr>
      </w:pPr>
      <w:r w:rsidRPr="002F4B3B">
        <w:rPr>
          <w:rFonts w:cstheme="minorHAnsi"/>
          <w:bCs/>
          <w:lang w:val="es-ES_tradnl" w:eastAsia="es-HN"/>
        </w:rPr>
        <w:t>Disponer de un modelo conceptual de análisis y monitoreo de información sectorial armonizado y público. Todos los actores del sector pueden consultar y usar este modelo en sus programas y operaciones. Este modelo conceptual ha sido desarrollado por especialistas sectoriales de las instituciones líderes de SIASAR en cada país y estado miembro.</w:t>
      </w:r>
    </w:p>
    <w:p w14:paraId="02F56683" w14:textId="77777777" w:rsidR="002F4B3B" w:rsidRPr="002F4B3B" w:rsidRDefault="002F4B3B" w:rsidP="00C00D63">
      <w:pPr>
        <w:pStyle w:val="ListParagraph"/>
        <w:numPr>
          <w:ilvl w:val="0"/>
          <w:numId w:val="3"/>
        </w:numPr>
        <w:shd w:val="clear" w:color="auto" w:fill="FFFFFF"/>
        <w:jc w:val="both"/>
        <w:rPr>
          <w:rFonts w:cstheme="minorHAnsi"/>
          <w:bCs/>
          <w:lang w:val="es-ES_tradnl" w:eastAsia="es-HN"/>
        </w:rPr>
      </w:pPr>
      <w:r w:rsidRPr="002F4B3B">
        <w:rPr>
          <w:rFonts w:cstheme="minorHAnsi"/>
          <w:bCs/>
          <w:lang w:val="es-ES_tradnl" w:eastAsia="es-HN"/>
        </w:rPr>
        <w:t>Una plataforma tecnológica que estructura el trabajo de captación e inventario de datos de abastecimiento de agua y saneamiento rural, da cabida al modelo conceptual</w:t>
      </w:r>
      <w:r>
        <w:rPr>
          <w:rFonts w:cstheme="minorHAnsi"/>
          <w:bCs/>
          <w:lang w:val="es-ES_tradnl" w:eastAsia="es-HN"/>
        </w:rPr>
        <w:t xml:space="preserve"> y permite el uso e interpretación de la información recogida</w:t>
      </w:r>
      <w:r w:rsidRPr="002F4B3B">
        <w:rPr>
          <w:rFonts w:cstheme="minorHAnsi"/>
          <w:bCs/>
          <w:lang w:val="es-ES_tradnl" w:eastAsia="es-HN"/>
        </w:rPr>
        <w:t xml:space="preserve">. </w:t>
      </w:r>
      <w:r>
        <w:rPr>
          <w:rFonts w:cstheme="minorHAnsi"/>
          <w:bCs/>
          <w:lang w:val="es-ES_tradnl" w:eastAsia="es-HN"/>
        </w:rPr>
        <w:t>Esta</w:t>
      </w:r>
      <w:r w:rsidRPr="002F4B3B">
        <w:rPr>
          <w:rFonts w:cstheme="minorHAnsi"/>
          <w:bCs/>
          <w:lang w:val="es-ES_tradnl" w:eastAsia="es-HN"/>
        </w:rPr>
        <w:t xml:space="preserve"> plataforma</w:t>
      </w:r>
      <w:r>
        <w:rPr>
          <w:rFonts w:cstheme="minorHAnsi"/>
          <w:bCs/>
          <w:lang w:val="es-ES_tradnl" w:eastAsia="es-HN"/>
        </w:rPr>
        <w:t xml:space="preserve"> es accesible, pública y sencilla para facilitar su uso por todos los actores del sector</w:t>
      </w:r>
      <w:r w:rsidRPr="002F4B3B">
        <w:rPr>
          <w:rFonts w:cstheme="minorHAnsi"/>
          <w:bCs/>
          <w:lang w:val="es-ES_tradnl" w:eastAsia="es-HN"/>
        </w:rPr>
        <w:t>.</w:t>
      </w:r>
    </w:p>
    <w:p w14:paraId="1B6A7367" w14:textId="77777777" w:rsidR="002F4B3B" w:rsidRDefault="002F4B3B" w:rsidP="002F4B3B">
      <w:pPr>
        <w:shd w:val="clear" w:color="auto" w:fill="FFFFFF"/>
        <w:jc w:val="both"/>
        <w:rPr>
          <w:rFonts w:cstheme="minorHAnsi"/>
          <w:bCs/>
          <w:lang w:val="es-ES_tradnl" w:eastAsia="es-HN"/>
        </w:rPr>
      </w:pPr>
      <w:r w:rsidRPr="002F4B3B">
        <w:rPr>
          <w:rFonts w:cstheme="minorHAnsi"/>
          <w:bCs/>
          <w:lang w:val="es-ES_tradnl" w:eastAsia="es-HN"/>
        </w:rPr>
        <w:t xml:space="preserve">Todo el sistema de información se fundamenta en un proceso complejo de levantamiento de información, validación, y posterior difusión a través de la web. En concreto, la plataforma SIASAR incorpora metodologías y herramientas que combinadas permiten cubrir </w:t>
      </w:r>
      <w:r>
        <w:rPr>
          <w:rFonts w:cstheme="minorHAnsi"/>
          <w:bCs/>
          <w:lang w:val="es-ES_tradnl" w:eastAsia="es-HN"/>
        </w:rPr>
        <w:t xml:space="preserve">todo el ciclo </w:t>
      </w:r>
      <w:r>
        <w:rPr>
          <w:rFonts w:cstheme="minorHAnsi"/>
          <w:bCs/>
          <w:lang w:val="es-ES_tradnl" w:eastAsia="es-HN"/>
        </w:rPr>
        <w:lastRenderedPageBreak/>
        <w:t>de la información</w:t>
      </w:r>
      <w:r w:rsidRPr="002F4B3B">
        <w:rPr>
          <w:rFonts w:cstheme="minorHAnsi"/>
          <w:bCs/>
          <w:lang w:val="es-ES_tradnl" w:eastAsia="es-HN"/>
        </w:rPr>
        <w:t>:</w:t>
      </w:r>
      <w:r>
        <w:rPr>
          <w:rFonts w:cstheme="minorHAnsi"/>
          <w:bCs/>
          <w:lang w:val="es-ES_tradnl" w:eastAsia="es-HN"/>
        </w:rPr>
        <w:t xml:space="preserve"> captación de datos, edición, validación y control de calidad, consulta de información, generación de mapas y reportes, publicación de la información.</w:t>
      </w:r>
    </w:p>
    <w:p w14:paraId="5DD9F8A8" w14:textId="77777777" w:rsidR="0060051B" w:rsidRPr="0060051B" w:rsidRDefault="0060051B" w:rsidP="002F4B3B">
      <w:pPr>
        <w:shd w:val="clear" w:color="auto" w:fill="FFFFFF"/>
        <w:jc w:val="both"/>
        <w:rPr>
          <w:rFonts w:cstheme="minorHAnsi"/>
          <w:b/>
          <w:bCs/>
          <w:lang w:val="es-ES_tradnl" w:eastAsia="es-HN"/>
        </w:rPr>
      </w:pPr>
      <w:r w:rsidRPr="0060051B">
        <w:rPr>
          <w:rFonts w:cstheme="minorHAnsi"/>
          <w:b/>
          <w:bCs/>
          <w:lang w:val="es-ES_tradnl" w:eastAsia="es-HN"/>
        </w:rPr>
        <w:t>Modelo conceptual</w:t>
      </w:r>
    </w:p>
    <w:p w14:paraId="0E252564" w14:textId="77777777" w:rsidR="0060051B" w:rsidRDefault="0060051B" w:rsidP="0060051B">
      <w:pPr>
        <w:jc w:val="both"/>
      </w:pPr>
      <w:r>
        <w:t>SIASAR implementa un modelo conceptual que, a partir de los datos tomados en campo, aplica algoritmos y matrices de cálculo que dan como resultado un conjunto de índices e indicadores sectoriales que abarcan las principales componentes del servicio de agua y saneamiento en una comunidad rural.</w:t>
      </w:r>
    </w:p>
    <w:p w14:paraId="4218376F" w14:textId="77777777" w:rsidR="0060051B" w:rsidRDefault="0060051B" w:rsidP="0060051B">
      <w:pPr>
        <w:jc w:val="both"/>
      </w:pPr>
      <w:r w:rsidRPr="00C60923">
        <w:t>Todos los índices e indicadores tienen una puntación basada en, además de en el desempeño y calidad, en el concepto de sostenibilidad, siendo este el eje central de toda calificación de SIASAR.</w:t>
      </w:r>
      <w:r w:rsidRPr="00E25E41">
        <w:t xml:space="preserve"> </w:t>
      </w:r>
      <w:r>
        <w:t>Esta clasificación en base a la sostenibilidad se traduce en una métrica semafórica de cuatro niveles o estados, denominados calificaciones ABCD:</w:t>
      </w:r>
    </w:p>
    <w:p w14:paraId="36136974" w14:textId="77777777" w:rsidR="0060051B" w:rsidRPr="001E12D1" w:rsidRDefault="0060051B" w:rsidP="0060051B">
      <w:pPr>
        <w:pStyle w:val="ListParagraph"/>
        <w:numPr>
          <w:ilvl w:val="0"/>
          <w:numId w:val="4"/>
        </w:numPr>
        <w:jc w:val="both"/>
      </w:pPr>
      <w:r w:rsidRPr="001E12D1">
        <w:t xml:space="preserve">El nivel A corresponde a un nivel óptimo en el cual una entidad o un servicio tiene un desempeño correcto. </w:t>
      </w:r>
    </w:p>
    <w:p w14:paraId="21C14F99" w14:textId="77777777" w:rsidR="0060051B" w:rsidRPr="00C60923" w:rsidRDefault="0060051B" w:rsidP="0060051B">
      <w:pPr>
        <w:pStyle w:val="ListParagraph"/>
        <w:numPr>
          <w:ilvl w:val="0"/>
          <w:numId w:val="4"/>
        </w:numPr>
        <w:jc w:val="both"/>
      </w:pPr>
      <w:r w:rsidRPr="001E12D1">
        <w:t xml:space="preserve">El nivel B corresponde a un buen nivel de desempeño, pero en el que se han observado algunos elementos que podrían mejorarse o corregirse antes de que puedan llegar a ser verdaderamente un problema. </w:t>
      </w:r>
    </w:p>
    <w:p w14:paraId="10176CDD" w14:textId="77777777" w:rsidR="0060051B" w:rsidRDefault="0060051B" w:rsidP="0060051B">
      <w:pPr>
        <w:pStyle w:val="ListParagraph"/>
        <w:numPr>
          <w:ilvl w:val="0"/>
          <w:numId w:val="4"/>
        </w:numPr>
        <w:jc w:val="both"/>
      </w:pPr>
      <w:r>
        <w:t>El nivel C corresponde a un nivel operativo inadecuado que debería ser corregido, pudiendo haber un problema de infraestructuras funcionales pero dañadas, o de prestador que no está manteniendo adecuadamente el sistema, etc.</w:t>
      </w:r>
    </w:p>
    <w:p w14:paraId="6DB80A50" w14:textId="77777777" w:rsidR="0060051B" w:rsidRDefault="0060051B" w:rsidP="0060051B">
      <w:pPr>
        <w:pStyle w:val="ListParagraph"/>
        <w:numPr>
          <w:ilvl w:val="0"/>
          <w:numId w:val="4"/>
        </w:numPr>
        <w:jc w:val="both"/>
      </w:pPr>
      <w:r>
        <w:t>El nivel D corresponde a un nivel sin servicio o no operativo, y es necesario intervenir fuertemente para construir o rehabilitar este servicio.</w:t>
      </w:r>
    </w:p>
    <w:p w14:paraId="48708976" w14:textId="77777777" w:rsidR="0060051B" w:rsidRDefault="0060051B" w:rsidP="0060051B">
      <w:pPr>
        <w:jc w:val="both"/>
      </w:pPr>
      <w:r>
        <w:t>Poder calcular estos los índices y los indicadores de SIASAR bajo la perspectiva de la sostenibilidad se diseñaron los cuestionarios de SIASAR. Estos cuestionarios de campo parten de la premisa de que todos los datos recogidos deben generar alguna información valiosa, ser parte de un indicador o activar una decisión.</w:t>
      </w:r>
    </w:p>
    <w:p w14:paraId="20564B03" w14:textId="77777777" w:rsidR="0060051B" w:rsidRDefault="0060051B" w:rsidP="0060051B">
      <w:pPr>
        <w:jc w:val="both"/>
      </w:pPr>
      <w:r>
        <w:t>Los cuatro cuestionarios de SIASAR son:</w:t>
      </w:r>
    </w:p>
    <w:p w14:paraId="29886F15" w14:textId="77777777" w:rsidR="0060051B" w:rsidRPr="0060051B" w:rsidRDefault="0060051B" w:rsidP="0060051B">
      <w:pPr>
        <w:pStyle w:val="ListParagraph"/>
        <w:numPr>
          <w:ilvl w:val="0"/>
          <w:numId w:val="5"/>
        </w:numPr>
        <w:shd w:val="clear" w:color="auto" w:fill="FFFFFF"/>
        <w:jc w:val="both"/>
        <w:rPr>
          <w:rFonts w:cstheme="minorHAnsi"/>
          <w:bCs/>
          <w:lang w:eastAsia="es-HN"/>
        </w:rPr>
      </w:pPr>
      <w:r w:rsidRPr="0060051B">
        <w:rPr>
          <w:rFonts w:cstheme="minorHAnsi"/>
          <w:bCs/>
          <w:lang w:eastAsia="es-HN"/>
        </w:rPr>
        <w:t>La comunidad o centro poblado que es la receptora de los servicios, en la cual además de datos generales como ubicación y población se toma información del acceso a agua y saneamiento mejorados, hábitos de higiene, uso de instalaciones de saneamiento, centros de salud o centros educativos.</w:t>
      </w:r>
    </w:p>
    <w:p w14:paraId="721A4CEC" w14:textId="77777777" w:rsidR="0060051B" w:rsidRPr="0060051B" w:rsidRDefault="0060051B" w:rsidP="0060051B">
      <w:pPr>
        <w:pStyle w:val="ListParagraph"/>
        <w:numPr>
          <w:ilvl w:val="0"/>
          <w:numId w:val="5"/>
        </w:numPr>
        <w:shd w:val="clear" w:color="auto" w:fill="FFFFFF"/>
        <w:jc w:val="both"/>
        <w:rPr>
          <w:rFonts w:cstheme="minorHAnsi"/>
          <w:bCs/>
          <w:lang w:eastAsia="es-HN"/>
        </w:rPr>
      </w:pPr>
      <w:r w:rsidRPr="0060051B">
        <w:rPr>
          <w:rFonts w:cstheme="minorHAnsi"/>
          <w:bCs/>
          <w:lang w:eastAsia="es-HN"/>
        </w:rPr>
        <w:t>El sistema o infraestructura de abastecimiento de agua, donde se levanta información del tipo de sistema instalado, sus fuentes, la calidad y cantidad del agua o el estado de los componentes más relevantes del sistema (captación, depósito, distribución, planta de tratamiento, etc.)</w:t>
      </w:r>
    </w:p>
    <w:p w14:paraId="7605E0D5" w14:textId="77777777" w:rsidR="0060051B" w:rsidRPr="0060051B" w:rsidRDefault="0060051B" w:rsidP="0060051B">
      <w:pPr>
        <w:pStyle w:val="ListParagraph"/>
        <w:numPr>
          <w:ilvl w:val="0"/>
          <w:numId w:val="5"/>
        </w:numPr>
        <w:shd w:val="clear" w:color="auto" w:fill="FFFFFF"/>
        <w:jc w:val="both"/>
        <w:rPr>
          <w:rFonts w:cstheme="minorHAnsi"/>
          <w:bCs/>
          <w:lang w:eastAsia="es-HN"/>
        </w:rPr>
      </w:pPr>
      <w:r w:rsidRPr="0060051B">
        <w:rPr>
          <w:rFonts w:cstheme="minorHAnsi"/>
          <w:bCs/>
          <w:lang w:eastAsia="es-HN"/>
        </w:rPr>
        <w:t>La prestación de servicio (u operador), sea ésta asumida por una asociación comunitaria, por un pequeño operador o incluso por una institución. Se recoge información sobre la tarifa, la salud financiera del prestador, su organización y capacidad logística, la atención y cuidado de la fuente y su entorno, entre otros.</w:t>
      </w:r>
    </w:p>
    <w:p w14:paraId="5A8F492F" w14:textId="77777777" w:rsidR="0060051B" w:rsidRPr="0060051B" w:rsidRDefault="0060051B" w:rsidP="0060051B">
      <w:pPr>
        <w:pStyle w:val="ListParagraph"/>
        <w:numPr>
          <w:ilvl w:val="0"/>
          <w:numId w:val="5"/>
        </w:numPr>
        <w:shd w:val="clear" w:color="auto" w:fill="FFFFFF"/>
        <w:jc w:val="both"/>
        <w:rPr>
          <w:rFonts w:cstheme="minorHAnsi"/>
          <w:bCs/>
          <w:lang w:eastAsia="es-HN"/>
        </w:rPr>
      </w:pPr>
      <w:r w:rsidRPr="0060051B">
        <w:rPr>
          <w:rFonts w:cstheme="minorHAnsi"/>
          <w:bCs/>
          <w:lang w:eastAsia="es-HN"/>
        </w:rPr>
        <w:t>La prestación de asistencia técnica, habitualmente desarrollada por una entidad local, organización gubernamental, o alguna institución responsable de apoyar a las comunidades y a los prestadores de servicios en la gestión de sus sistemas de agua y saneamiento, y en donde se recoge información sobre sus medios, organización, qué atención brinda, etc.</w:t>
      </w:r>
    </w:p>
    <w:p w14:paraId="45F76904" w14:textId="77777777" w:rsidR="0060051B" w:rsidRDefault="0060051B" w:rsidP="0060051B">
      <w:pPr>
        <w:shd w:val="clear" w:color="auto" w:fill="FFFFFF"/>
        <w:jc w:val="both"/>
        <w:rPr>
          <w:rFonts w:cstheme="minorHAnsi"/>
          <w:bCs/>
          <w:lang w:eastAsia="es-HN"/>
        </w:rPr>
      </w:pPr>
      <w:r w:rsidRPr="0060051B">
        <w:rPr>
          <w:rFonts w:cstheme="minorHAnsi"/>
          <w:bCs/>
          <w:lang w:eastAsia="es-HN"/>
        </w:rPr>
        <w:lastRenderedPageBreak/>
        <w:t>Las instituciones responsables o colaboradoras con SIASAR en cada país levantan estos cuestionarios en campo, visitando comunidades y entrevistando a familias, prestadores, asociaciones o responsables de escuelas y centros de salud. Posteriormente validan estos datos en gabinete y, una vez validados, SIASAR genera todos sus indicadores e índices que se muestran a través de reportes, mapas, gráficas y tablas accesibles que facilitan su uso por los tomadores de decisiones del sector.</w:t>
      </w:r>
    </w:p>
    <w:p w14:paraId="3F84893B" w14:textId="77777777" w:rsidR="00FE17E4" w:rsidRDefault="007D5194" w:rsidP="007D5194">
      <w:pPr>
        <w:pBdr>
          <w:bottom w:val="single" w:sz="4" w:space="1" w:color="auto"/>
        </w:pBdr>
        <w:rPr>
          <w:b/>
        </w:rPr>
      </w:pPr>
      <w:r>
        <w:rPr>
          <w:b/>
        </w:rPr>
        <w:t>Estrategia de SIASAR en Bolivia</w:t>
      </w:r>
    </w:p>
    <w:p w14:paraId="5A9180E9" w14:textId="77777777" w:rsidR="00237AC8" w:rsidRDefault="00237AC8" w:rsidP="00FE17E4">
      <w:pPr>
        <w:shd w:val="clear" w:color="auto" w:fill="FFFFFF"/>
        <w:jc w:val="both"/>
        <w:rPr>
          <w:rFonts w:cstheme="minorHAnsi"/>
          <w:bCs/>
          <w:lang w:val="es-ES_tradnl" w:eastAsia="es-HN"/>
        </w:rPr>
      </w:pPr>
      <w:r w:rsidRPr="00FE17E4">
        <w:rPr>
          <w:rFonts w:cstheme="minorHAnsi"/>
          <w:b/>
          <w:bCs/>
          <w:lang w:val="es-ES_tradnl" w:eastAsia="es-HN"/>
        </w:rPr>
        <w:t xml:space="preserve">Plan de </w:t>
      </w:r>
      <w:r>
        <w:rPr>
          <w:rFonts w:cstheme="minorHAnsi"/>
          <w:b/>
          <w:bCs/>
          <w:lang w:val="es-ES_tradnl" w:eastAsia="es-HN"/>
        </w:rPr>
        <w:t>i</w:t>
      </w:r>
      <w:r w:rsidRPr="00FE17E4">
        <w:rPr>
          <w:rFonts w:cstheme="minorHAnsi"/>
          <w:b/>
          <w:bCs/>
          <w:lang w:val="es-ES_tradnl" w:eastAsia="es-HN"/>
        </w:rPr>
        <w:t xml:space="preserve">mplementación </w:t>
      </w:r>
      <w:r>
        <w:rPr>
          <w:rFonts w:cstheme="minorHAnsi"/>
          <w:b/>
          <w:bCs/>
          <w:lang w:val="es-ES_tradnl" w:eastAsia="es-HN"/>
        </w:rPr>
        <w:t xml:space="preserve">y estrategia </w:t>
      </w:r>
      <w:r w:rsidRPr="00FE17E4">
        <w:rPr>
          <w:rFonts w:cstheme="minorHAnsi"/>
          <w:b/>
          <w:bCs/>
          <w:lang w:val="es-ES_tradnl" w:eastAsia="es-HN"/>
        </w:rPr>
        <w:t>de SIASAR en Bolivia</w:t>
      </w:r>
      <w:r w:rsidRPr="00016131">
        <w:rPr>
          <w:rFonts w:cstheme="minorHAnsi"/>
          <w:bCs/>
          <w:lang w:val="es-ES_tradnl" w:eastAsia="es-HN"/>
        </w:rPr>
        <w:t xml:space="preserve"> </w:t>
      </w:r>
    </w:p>
    <w:p w14:paraId="1B0B5ABD" w14:textId="77777777" w:rsidR="00FE17E4" w:rsidRPr="00016131" w:rsidRDefault="00FE17E4" w:rsidP="00FE17E4">
      <w:pPr>
        <w:shd w:val="clear" w:color="auto" w:fill="FFFFFF"/>
        <w:jc w:val="both"/>
        <w:rPr>
          <w:rFonts w:cstheme="minorHAnsi"/>
          <w:bCs/>
          <w:lang w:val="es-ES_tradnl" w:eastAsia="es-HN"/>
        </w:rPr>
      </w:pPr>
      <w:r w:rsidRPr="00016131">
        <w:rPr>
          <w:rFonts w:cstheme="minorHAnsi"/>
          <w:bCs/>
          <w:lang w:val="es-ES_tradnl" w:eastAsia="es-HN"/>
        </w:rPr>
        <w:t xml:space="preserve">En junio de 2016 el Estado Plurinacional de Bolivia, mediante carta enviada por la Ministra de Medio Ambiente y Agua, Alexandra Moreira López, a la Presidenta Ejecutiva del Instituto Costarricense de Acueductos y Alcantarillados y Coordinadora pro Tempore de SIASAR, Yamileth Astorga, solicita su incorporación al SIASAR. </w:t>
      </w:r>
      <w:r>
        <w:rPr>
          <w:rFonts w:cstheme="minorHAnsi"/>
          <w:bCs/>
          <w:lang w:val="es-ES_tradnl" w:eastAsia="es-HN"/>
        </w:rPr>
        <w:t xml:space="preserve">Tras la firma en octubre de 2016 del Acuerdo Regional de SIASAR entre Bolivia y la Coordinación pro Tempore de SIASAR representada por Costa Rica, Bolivia se convierte </w:t>
      </w:r>
      <w:r w:rsidRPr="00016131">
        <w:rPr>
          <w:rFonts w:cstheme="minorHAnsi"/>
          <w:bCs/>
          <w:lang w:val="es-ES_tradnl" w:eastAsia="es-HN"/>
        </w:rPr>
        <w:t>miembro de pleno derecho de esta iniciativa común de 11 países y estados de la región latinoamericana.</w:t>
      </w:r>
      <w:r w:rsidR="00D87140">
        <w:rPr>
          <w:rFonts w:cstheme="minorHAnsi"/>
          <w:bCs/>
          <w:lang w:val="es-ES_tradnl" w:eastAsia="es-HN"/>
        </w:rPr>
        <w:t xml:space="preserve"> En este mismo marco se designa a la </w:t>
      </w:r>
      <w:r w:rsidR="00E540FF">
        <w:rPr>
          <w:rFonts w:cstheme="minorHAnsi"/>
          <w:bCs/>
          <w:lang w:val="es-ES_tradnl" w:eastAsia="es-HN"/>
        </w:rPr>
        <w:t>Viceministerio</w:t>
      </w:r>
      <w:r w:rsidR="00D87140">
        <w:rPr>
          <w:rFonts w:cstheme="minorHAnsi"/>
          <w:bCs/>
          <w:lang w:val="es-ES_tradnl" w:eastAsia="es-HN"/>
        </w:rPr>
        <w:t xml:space="preserve"> de Agua Potable y </w:t>
      </w:r>
      <w:r w:rsidR="00E540FF">
        <w:rPr>
          <w:rFonts w:cstheme="minorHAnsi"/>
          <w:bCs/>
          <w:lang w:val="es-ES_tradnl" w:eastAsia="es-HN"/>
        </w:rPr>
        <w:t>Saneamiento Básico</w:t>
      </w:r>
      <w:r w:rsidR="00D87140">
        <w:rPr>
          <w:rFonts w:cstheme="minorHAnsi"/>
          <w:bCs/>
          <w:lang w:val="es-ES_tradnl" w:eastAsia="es-HN"/>
        </w:rPr>
        <w:t xml:space="preserve"> del propio MMAyA como la institución líder en la implementación de SIASAR a escala nacional.</w:t>
      </w:r>
    </w:p>
    <w:p w14:paraId="1DA4D450" w14:textId="77777777" w:rsidR="00107E1D" w:rsidRDefault="00FE17E4" w:rsidP="00310220">
      <w:pPr>
        <w:shd w:val="clear" w:color="auto" w:fill="FFFFFF"/>
        <w:jc w:val="both"/>
        <w:rPr>
          <w:rFonts w:cstheme="minorHAnsi"/>
          <w:bCs/>
          <w:lang w:val="es-ES_tradnl" w:eastAsia="es-HN"/>
        </w:rPr>
      </w:pPr>
      <w:r>
        <w:rPr>
          <w:rFonts w:cstheme="minorHAnsi"/>
          <w:bCs/>
          <w:lang w:val="es-ES_tradnl" w:eastAsia="es-HN"/>
        </w:rPr>
        <w:t xml:space="preserve">En octubre de 2016 el </w:t>
      </w:r>
      <w:r w:rsidR="00D87140">
        <w:rPr>
          <w:rFonts w:cstheme="minorHAnsi"/>
          <w:bCs/>
          <w:lang w:val="es-ES_tradnl" w:eastAsia="es-HN"/>
        </w:rPr>
        <w:t xml:space="preserve">MMAyA </w:t>
      </w:r>
      <w:r>
        <w:rPr>
          <w:rFonts w:cstheme="minorHAnsi"/>
          <w:bCs/>
          <w:lang w:val="es-ES_tradnl" w:eastAsia="es-HN"/>
        </w:rPr>
        <w:t xml:space="preserve">presentó el Plan de Implementación de SIASAR en Bolivia, con un horizonte 2017-2018. </w:t>
      </w:r>
      <w:r w:rsidR="00107E1D" w:rsidRPr="00107E1D">
        <w:rPr>
          <w:rFonts w:cstheme="minorHAnsi"/>
          <w:bCs/>
          <w:lang w:val="es-ES_tradnl" w:eastAsia="es-HN"/>
        </w:rPr>
        <w:t>Esto garantizará tener información para priorizar inversiones en 2019 y 2020, de cara a cumplir las metas de la Agenda Patriótica ya en 2020. Además, SIASAR se integrará en los instrumentos estratégicos sectoriales del país, institucionalizando a SIASAR como el sistema oficial de Bolivia para agua y saneamiento rural.</w:t>
      </w:r>
    </w:p>
    <w:p w14:paraId="5771B7C2" w14:textId="77777777" w:rsidR="007D5194" w:rsidRDefault="00D87140" w:rsidP="00310220">
      <w:pPr>
        <w:shd w:val="clear" w:color="auto" w:fill="FFFFFF"/>
        <w:jc w:val="both"/>
        <w:rPr>
          <w:rFonts w:cstheme="minorHAnsi"/>
          <w:bCs/>
          <w:lang w:val="es-ES_tradnl" w:eastAsia="es-HN"/>
        </w:rPr>
      </w:pPr>
      <w:r>
        <w:rPr>
          <w:rFonts w:cstheme="minorHAnsi"/>
          <w:bCs/>
          <w:lang w:val="es-ES_tradnl" w:eastAsia="es-HN"/>
        </w:rPr>
        <w:t>En este plan, el ministerio define como el objetivo principal de SIASAR el r</w:t>
      </w:r>
      <w:r w:rsidRPr="00D87140">
        <w:rPr>
          <w:rFonts w:cstheme="minorHAnsi"/>
          <w:bCs/>
          <w:lang w:val="es-ES_tradnl" w:eastAsia="es-HN"/>
        </w:rPr>
        <w:t>ealizar un diagnóstico de la situación actual del sector de agua potable y saneamiento en el área rural de Bolivia, aplicando una encuesta en las comunidades de cada municipio, que sirva como base para la elaboración de planes sectoriales y/o inversión a nivel municipal, departamental y nacional, con el fin de mejorar la sostenibilidad de los servicios de agua potable y saneamiento.</w:t>
      </w:r>
      <w:r w:rsidR="00310220">
        <w:rPr>
          <w:rFonts w:cstheme="minorHAnsi"/>
          <w:bCs/>
          <w:lang w:val="es-ES_tradnl" w:eastAsia="es-HN"/>
        </w:rPr>
        <w:t xml:space="preserve"> </w:t>
      </w:r>
    </w:p>
    <w:p w14:paraId="40A37E3E" w14:textId="77777777" w:rsidR="00310220" w:rsidRDefault="00310220" w:rsidP="00310220">
      <w:pPr>
        <w:shd w:val="clear" w:color="auto" w:fill="FFFFFF"/>
        <w:jc w:val="both"/>
        <w:rPr>
          <w:rFonts w:cstheme="minorHAnsi"/>
          <w:bCs/>
          <w:lang w:eastAsia="es-HN"/>
        </w:rPr>
      </w:pPr>
      <w:r>
        <w:rPr>
          <w:rFonts w:cstheme="minorHAnsi"/>
          <w:bCs/>
          <w:lang w:val="es-ES_tradnl" w:eastAsia="es-HN"/>
        </w:rPr>
        <w:t xml:space="preserve">Cuantitativamente, la meta </w:t>
      </w:r>
      <w:r>
        <w:rPr>
          <w:rFonts w:cstheme="minorHAnsi"/>
          <w:bCs/>
          <w:lang w:eastAsia="es-HN"/>
        </w:rPr>
        <w:t>del MMAyA es contar entre 2017 y 2018 con información de SIASAR todas las comunidades rurales del país, estimadas en unas 19.179</w:t>
      </w:r>
      <w:r w:rsidR="007D5194">
        <w:rPr>
          <w:rFonts w:cstheme="minorHAnsi"/>
          <w:bCs/>
          <w:lang w:eastAsia="es-HN"/>
        </w:rPr>
        <w:t>. En el Plan de Implementación se detalla una primera aproximación al coste que podría suponer la implementación de SIASAR en todo el país, incluyendo el levantamiento, capacitaciones, dotación de equipamiento y material a los municipios y departamentos. En la siguiente tabla se recoge el alcance en cuanto a comunidades y costes estimados.</w:t>
      </w:r>
    </w:p>
    <w:tbl>
      <w:tblPr>
        <w:tblW w:w="7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45"/>
        <w:gridCol w:w="1945"/>
        <w:gridCol w:w="1945"/>
        <w:gridCol w:w="1945"/>
      </w:tblGrid>
      <w:tr w:rsidR="007D5194" w:rsidRPr="000B54C4" w14:paraId="08CC105E" w14:textId="77777777" w:rsidTr="007D5194">
        <w:trPr>
          <w:trHeight w:val="20"/>
          <w:jc w:val="center"/>
        </w:trPr>
        <w:tc>
          <w:tcPr>
            <w:tcW w:w="1945" w:type="dxa"/>
            <w:shd w:val="clear" w:color="000000" w:fill="CCECFF"/>
            <w:vAlign w:val="center"/>
            <w:hideMark/>
          </w:tcPr>
          <w:p w14:paraId="5B2EF886" w14:textId="77777777" w:rsidR="007D5194" w:rsidRPr="000B54C4" w:rsidRDefault="007D5194" w:rsidP="006916E5">
            <w:pPr>
              <w:pStyle w:val="NoSpacing"/>
              <w:rPr>
                <w:lang w:eastAsia="es-BO"/>
              </w:rPr>
            </w:pPr>
            <w:r w:rsidRPr="000B54C4">
              <w:rPr>
                <w:lang w:eastAsia="es-BO"/>
              </w:rPr>
              <w:t>Departamento</w:t>
            </w:r>
          </w:p>
        </w:tc>
        <w:tc>
          <w:tcPr>
            <w:tcW w:w="1945" w:type="dxa"/>
            <w:shd w:val="clear" w:color="000000" w:fill="CCECFF"/>
            <w:vAlign w:val="center"/>
            <w:hideMark/>
          </w:tcPr>
          <w:p w14:paraId="34010B04" w14:textId="77777777" w:rsidR="007D5194" w:rsidRPr="000B54C4" w:rsidRDefault="007D5194" w:rsidP="006916E5">
            <w:pPr>
              <w:pStyle w:val="NoSpacing"/>
              <w:jc w:val="center"/>
              <w:rPr>
                <w:lang w:eastAsia="es-BO"/>
              </w:rPr>
            </w:pPr>
            <w:r w:rsidRPr="000B54C4">
              <w:rPr>
                <w:lang w:eastAsia="es-BO"/>
              </w:rPr>
              <w:t>Total Municipios</w:t>
            </w:r>
          </w:p>
        </w:tc>
        <w:tc>
          <w:tcPr>
            <w:tcW w:w="1945" w:type="dxa"/>
            <w:shd w:val="clear" w:color="000000" w:fill="CCECFF"/>
            <w:vAlign w:val="center"/>
            <w:hideMark/>
          </w:tcPr>
          <w:p w14:paraId="2710663B" w14:textId="77777777" w:rsidR="007D5194" w:rsidRPr="000B54C4" w:rsidRDefault="007D5194" w:rsidP="006916E5">
            <w:pPr>
              <w:pStyle w:val="NoSpacing"/>
              <w:jc w:val="center"/>
              <w:rPr>
                <w:lang w:eastAsia="es-BO"/>
              </w:rPr>
            </w:pPr>
            <w:r w:rsidRPr="000B54C4">
              <w:rPr>
                <w:lang w:eastAsia="es-BO"/>
              </w:rPr>
              <w:t>Total Comunidades</w:t>
            </w:r>
            <w:r>
              <w:rPr>
                <w:lang w:eastAsia="es-BO"/>
              </w:rPr>
              <w:t xml:space="preserve"> estimadas</w:t>
            </w:r>
          </w:p>
        </w:tc>
        <w:tc>
          <w:tcPr>
            <w:tcW w:w="1945" w:type="dxa"/>
            <w:shd w:val="clear" w:color="000000" w:fill="CCECFF"/>
          </w:tcPr>
          <w:p w14:paraId="3B2EADBD" w14:textId="77777777" w:rsidR="007D5194" w:rsidRPr="000B54C4" w:rsidRDefault="007D5194" w:rsidP="007D5194">
            <w:pPr>
              <w:pStyle w:val="NoSpacing"/>
              <w:jc w:val="center"/>
              <w:rPr>
                <w:lang w:eastAsia="es-BO"/>
              </w:rPr>
            </w:pPr>
            <w:r>
              <w:rPr>
                <w:lang w:eastAsia="es-BO"/>
              </w:rPr>
              <w:t>Costo estimado de implementación SIASAR (Bs)</w:t>
            </w:r>
          </w:p>
        </w:tc>
      </w:tr>
      <w:tr w:rsidR="007D5194" w:rsidRPr="000B54C4" w14:paraId="1535D1D0" w14:textId="77777777" w:rsidTr="007D5194">
        <w:trPr>
          <w:trHeight w:val="20"/>
          <w:jc w:val="center"/>
        </w:trPr>
        <w:tc>
          <w:tcPr>
            <w:tcW w:w="1945" w:type="dxa"/>
            <w:shd w:val="clear" w:color="auto" w:fill="auto"/>
            <w:noWrap/>
            <w:vAlign w:val="center"/>
            <w:hideMark/>
          </w:tcPr>
          <w:p w14:paraId="179C9E6C" w14:textId="77777777" w:rsidR="007D5194" w:rsidRPr="000B54C4" w:rsidRDefault="007D5194" w:rsidP="007D5194">
            <w:pPr>
              <w:pStyle w:val="NoSpacing"/>
              <w:rPr>
                <w:lang w:eastAsia="es-BO"/>
              </w:rPr>
            </w:pPr>
            <w:r w:rsidRPr="000B54C4">
              <w:rPr>
                <w:lang w:eastAsia="es-BO"/>
              </w:rPr>
              <w:t>La Paz</w:t>
            </w:r>
          </w:p>
        </w:tc>
        <w:tc>
          <w:tcPr>
            <w:tcW w:w="1945" w:type="dxa"/>
            <w:shd w:val="clear" w:color="auto" w:fill="auto"/>
            <w:noWrap/>
            <w:vAlign w:val="center"/>
            <w:hideMark/>
          </w:tcPr>
          <w:p w14:paraId="6E765884" w14:textId="77777777" w:rsidR="007D5194" w:rsidRPr="000B54C4" w:rsidRDefault="007D5194" w:rsidP="007D5194">
            <w:pPr>
              <w:pStyle w:val="NoSpacing"/>
              <w:jc w:val="center"/>
              <w:rPr>
                <w:lang w:eastAsia="es-BO"/>
              </w:rPr>
            </w:pPr>
            <w:r w:rsidRPr="000B54C4">
              <w:rPr>
                <w:lang w:eastAsia="es-BO"/>
              </w:rPr>
              <w:t>87</w:t>
            </w:r>
          </w:p>
        </w:tc>
        <w:tc>
          <w:tcPr>
            <w:tcW w:w="1945" w:type="dxa"/>
            <w:shd w:val="clear" w:color="auto" w:fill="auto"/>
            <w:noWrap/>
            <w:vAlign w:val="center"/>
            <w:hideMark/>
          </w:tcPr>
          <w:p w14:paraId="4D2EC480" w14:textId="77777777" w:rsidR="007D5194" w:rsidRPr="000B54C4" w:rsidRDefault="007D5194" w:rsidP="007D5194">
            <w:pPr>
              <w:pStyle w:val="NoSpacing"/>
              <w:jc w:val="center"/>
              <w:rPr>
                <w:lang w:eastAsia="es-BO"/>
              </w:rPr>
            </w:pPr>
            <w:r w:rsidRPr="000B54C4">
              <w:rPr>
                <w:lang w:eastAsia="es-BO"/>
              </w:rPr>
              <w:t>5.216</w:t>
            </w:r>
          </w:p>
        </w:tc>
        <w:tc>
          <w:tcPr>
            <w:tcW w:w="1945" w:type="dxa"/>
          </w:tcPr>
          <w:p w14:paraId="163548C8" w14:textId="77777777" w:rsidR="007D5194" w:rsidRPr="008E0BD8" w:rsidRDefault="007D5194" w:rsidP="007D5194">
            <w:pPr>
              <w:pStyle w:val="NoSpacing"/>
              <w:jc w:val="right"/>
            </w:pPr>
            <w:r w:rsidRPr="008E0BD8">
              <w:t>9.819.554</w:t>
            </w:r>
          </w:p>
        </w:tc>
      </w:tr>
      <w:tr w:rsidR="007D5194" w:rsidRPr="000B54C4" w14:paraId="14B43662" w14:textId="77777777" w:rsidTr="007D5194">
        <w:trPr>
          <w:trHeight w:val="20"/>
          <w:jc w:val="center"/>
        </w:trPr>
        <w:tc>
          <w:tcPr>
            <w:tcW w:w="1945" w:type="dxa"/>
            <w:shd w:val="clear" w:color="auto" w:fill="auto"/>
            <w:noWrap/>
            <w:vAlign w:val="center"/>
            <w:hideMark/>
          </w:tcPr>
          <w:p w14:paraId="4CBED208" w14:textId="77777777" w:rsidR="007D5194" w:rsidRPr="000B54C4" w:rsidRDefault="007D5194" w:rsidP="007D5194">
            <w:pPr>
              <w:pStyle w:val="NoSpacing"/>
              <w:rPr>
                <w:lang w:eastAsia="es-BO"/>
              </w:rPr>
            </w:pPr>
            <w:r w:rsidRPr="000B54C4">
              <w:rPr>
                <w:lang w:eastAsia="es-BO"/>
              </w:rPr>
              <w:t>Oruro</w:t>
            </w:r>
          </w:p>
        </w:tc>
        <w:tc>
          <w:tcPr>
            <w:tcW w:w="1945" w:type="dxa"/>
            <w:shd w:val="clear" w:color="auto" w:fill="auto"/>
            <w:noWrap/>
            <w:vAlign w:val="center"/>
            <w:hideMark/>
          </w:tcPr>
          <w:p w14:paraId="4F8C62F5" w14:textId="77777777" w:rsidR="007D5194" w:rsidRPr="000B54C4" w:rsidRDefault="007D5194" w:rsidP="007D5194">
            <w:pPr>
              <w:pStyle w:val="NoSpacing"/>
              <w:jc w:val="center"/>
              <w:rPr>
                <w:lang w:eastAsia="es-BO"/>
              </w:rPr>
            </w:pPr>
            <w:r w:rsidRPr="000B54C4">
              <w:rPr>
                <w:lang w:eastAsia="es-BO"/>
              </w:rPr>
              <w:t>35</w:t>
            </w:r>
          </w:p>
        </w:tc>
        <w:tc>
          <w:tcPr>
            <w:tcW w:w="1945" w:type="dxa"/>
            <w:shd w:val="clear" w:color="auto" w:fill="auto"/>
            <w:noWrap/>
            <w:vAlign w:val="center"/>
            <w:hideMark/>
          </w:tcPr>
          <w:p w14:paraId="57BD39FA" w14:textId="77777777" w:rsidR="007D5194" w:rsidRPr="000B54C4" w:rsidRDefault="007D5194" w:rsidP="007D5194">
            <w:pPr>
              <w:pStyle w:val="NoSpacing"/>
              <w:jc w:val="center"/>
              <w:rPr>
                <w:lang w:eastAsia="es-BO"/>
              </w:rPr>
            </w:pPr>
            <w:r w:rsidRPr="000B54C4">
              <w:rPr>
                <w:lang w:eastAsia="es-BO"/>
              </w:rPr>
              <w:t>1.170</w:t>
            </w:r>
          </w:p>
        </w:tc>
        <w:tc>
          <w:tcPr>
            <w:tcW w:w="1945" w:type="dxa"/>
          </w:tcPr>
          <w:p w14:paraId="11661805" w14:textId="77777777" w:rsidR="007D5194" w:rsidRPr="008E0BD8" w:rsidRDefault="007D5194" w:rsidP="007D5194">
            <w:pPr>
              <w:pStyle w:val="NoSpacing"/>
              <w:jc w:val="right"/>
            </w:pPr>
            <w:r w:rsidRPr="008E0BD8">
              <w:t>3.950.395</w:t>
            </w:r>
          </w:p>
        </w:tc>
      </w:tr>
      <w:tr w:rsidR="007D5194" w:rsidRPr="000B54C4" w14:paraId="2B0BCB98" w14:textId="77777777" w:rsidTr="007D5194">
        <w:trPr>
          <w:trHeight w:val="20"/>
          <w:jc w:val="center"/>
        </w:trPr>
        <w:tc>
          <w:tcPr>
            <w:tcW w:w="1945" w:type="dxa"/>
            <w:shd w:val="clear" w:color="auto" w:fill="auto"/>
            <w:noWrap/>
            <w:vAlign w:val="center"/>
            <w:hideMark/>
          </w:tcPr>
          <w:p w14:paraId="60971AC7" w14:textId="77777777" w:rsidR="007D5194" w:rsidRPr="000B54C4" w:rsidRDefault="007D5194" w:rsidP="007D5194">
            <w:pPr>
              <w:pStyle w:val="NoSpacing"/>
              <w:rPr>
                <w:lang w:eastAsia="es-BO"/>
              </w:rPr>
            </w:pPr>
            <w:r w:rsidRPr="000B54C4">
              <w:rPr>
                <w:lang w:eastAsia="es-BO"/>
              </w:rPr>
              <w:t>Potosí</w:t>
            </w:r>
          </w:p>
        </w:tc>
        <w:tc>
          <w:tcPr>
            <w:tcW w:w="1945" w:type="dxa"/>
            <w:shd w:val="clear" w:color="auto" w:fill="auto"/>
            <w:noWrap/>
            <w:vAlign w:val="center"/>
            <w:hideMark/>
          </w:tcPr>
          <w:p w14:paraId="1FEB2195" w14:textId="77777777" w:rsidR="007D5194" w:rsidRPr="000B54C4" w:rsidRDefault="007D5194" w:rsidP="007D5194">
            <w:pPr>
              <w:pStyle w:val="NoSpacing"/>
              <w:jc w:val="center"/>
              <w:rPr>
                <w:lang w:eastAsia="es-BO"/>
              </w:rPr>
            </w:pPr>
            <w:r w:rsidRPr="000B54C4">
              <w:rPr>
                <w:lang w:eastAsia="es-BO"/>
              </w:rPr>
              <w:t>40</w:t>
            </w:r>
          </w:p>
        </w:tc>
        <w:tc>
          <w:tcPr>
            <w:tcW w:w="1945" w:type="dxa"/>
            <w:shd w:val="clear" w:color="auto" w:fill="auto"/>
            <w:noWrap/>
            <w:vAlign w:val="center"/>
            <w:hideMark/>
          </w:tcPr>
          <w:p w14:paraId="1A740A14" w14:textId="77777777" w:rsidR="007D5194" w:rsidRPr="000B54C4" w:rsidRDefault="007D5194" w:rsidP="007D5194">
            <w:pPr>
              <w:pStyle w:val="NoSpacing"/>
              <w:jc w:val="center"/>
              <w:rPr>
                <w:lang w:eastAsia="es-BO"/>
              </w:rPr>
            </w:pPr>
            <w:r w:rsidRPr="000B54C4">
              <w:rPr>
                <w:lang w:eastAsia="es-BO"/>
              </w:rPr>
              <w:t>3.165</w:t>
            </w:r>
          </w:p>
        </w:tc>
        <w:tc>
          <w:tcPr>
            <w:tcW w:w="1945" w:type="dxa"/>
          </w:tcPr>
          <w:p w14:paraId="70B35689" w14:textId="77777777" w:rsidR="007D5194" w:rsidRPr="008E0BD8" w:rsidRDefault="007D5194" w:rsidP="007D5194">
            <w:pPr>
              <w:pStyle w:val="NoSpacing"/>
              <w:jc w:val="right"/>
            </w:pPr>
            <w:r w:rsidRPr="008E0BD8">
              <w:t>4.514.738</w:t>
            </w:r>
          </w:p>
        </w:tc>
      </w:tr>
      <w:tr w:rsidR="007D5194" w:rsidRPr="000B54C4" w14:paraId="44A73507" w14:textId="77777777" w:rsidTr="007D5194">
        <w:trPr>
          <w:trHeight w:val="20"/>
          <w:jc w:val="center"/>
        </w:trPr>
        <w:tc>
          <w:tcPr>
            <w:tcW w:w="1945" w:type="dxa"/>
            <w:shd w:val="clear" w:color="auto" w:fill="auto"/>
            <w:noWrap/>
            <w:vAlign w:val="center"/>
            <w:hideMark/>
          </w:tcPr>
          <w:p w14:paraId="7E8E4993" w14:textId="77777777" w:rsidR="007D5194" w:rsidRPr="000B54C4" w:rsidRDefault="007D5194" w:rsidP="007D5194">
            <w:pPr>
              <w:pStyle w:val="NoSpacing"/>
              <w:rPr>
                <w:lang w:eastAsia="es-BO"/>
              </w:rPr>
            </w:pPr>
            <w:r w:rsidRPr="000B54C4">
              <w:rPr>
                <w:lang w:eastAsia="es-BO"/>
              </w:rPr>
              <w:t>Cochabamba</w:t>
            </w:r>
          </w:p>
        </w:tc>
        <w:tc>
          <w:tcPr>
            <w:tcW w:w="1945" w:type="dxa"/>
            <w:shd w:val="clear" w:color="auto" w:fill="auto"/>
            <w:noWrap/>
            <w:vAlign w:val="center"/>
            <w:hideMark/>
          </w:tcPr>
          <w:p w14:paraId="33A997EB" w14:textId="77777777" w:rsidR="007D5194" w:rsidRPr="000B54C4" w:rsidRDefault="007D5194" w:rsidP="007D5194">
            <w:pPr>
              <w:pStyle w:val="NoSpacing"/>
              <w:jc w:val="center"/>
              <w:rPr>
                <w:lang w:eastAsia="es-BO"/>
              </w:rPr>
            </w:pPr>
            <w:r w:rsidRPr="000B54C4">
              <w:rPr>
                <w:lang w:eastAsia="es-BO"/>
              </w:rPr>
              <w:t>47</w:t>
            </w:r>
          </w:p>
        </w:tc>
        <w:tc>
          <w:tcPr>
            <w:tcW w:w="1945" w:type="dxa"/>
            <w:shd w:val="clear" w:color="auto" w:fill="auto"/>
            <w:noWrap/>
            <w:vAlign w:val="center"/>
            <w:hideMark/>
          </w:tcPr>
          <w:p w14:paraId="0C35F49B" w14:textId="77777777" w:rsidR="007D5194" w:rsidRPr="000B54C4" w:rsidRDefault="007D5194" w:rsidP="007D5194">
            <w:pPr>
              <w:pStyle w:val="NoSpacing"/>
              <w:jc w:val="center"/>
              <w:rPr>
                <w:lang w:eastAsia="es-BO"/>
              </w:rPr>
            </w:pPr>
            <w:r w:rsidRPr="000B54C4">
              <w:rPr>
                <w:lang w:eastAsia="es-BO"/>
              </w:rPr>
              <w:t>3.541</w:t>
            </w:r>
          </w:p>
        </w:tc>
        <w:tc>
          <w:tcPr>
            <w:tcW w:w="1945" w:type="dxa"/>
          </w:tcPr>
          <w:p w14:paraId="0CF596CF" w14:textId="77777777" w:rsidR="007D5194" w:rsidRPr="008E0BD8" w:rsidRDefault="007D5194" w:rsidP="007D5194">
            <w:pPr>
              <w:pStyle w:val="NoSpacing"/>
              <w:jc w:val="right"/>
            </w:pPr>
            <w:r w:rsidRPr="008E0BD8">
              <w:t>5.304.817</w:t>
            </w:r>
          </w:p>
        </w:tc>
      </w:tr>
      <w:tr w:rsidR="007D5194" w:rsidRPr="000B54C4" w14:paraId="161CDF3A" w14:textId="77777777" w:rsidTr="007D5194">
        <w:trPr>
          <w:trHeight w:val="20"/>
          <w:jc w:val="center"/>
        </w:trPr>
        <w:tc>
          <w:tcPr>
            <w:tcW w:w="1945" w:type="dxa"/>
            <w:shd w:val="clear" w:color="auto" w:fill="auto"/>
            <w:noWrap/>
            <w:vAlign w:val="center"/>
            <w:hideMark/>
          </w:tcPr>
          <w:p w14:paraId="5DAA1F5D" w14:textId="77777777" w:rsidR="007D5194" w:rsidRPr="000B54C4" w:rsidRDefault="007D5194" w:rsidP="007D5194">
            <w:pPr>
              <w:pStyle w:val="NoSpacing"/>
              <w:rPr>
                <w:lang w:eastAsia="es-BO"/>
              </w:rPr>
            </w:pPr>
            <w:r w:rsidRPr="000B54C4">
              <w:rPr>
                <w:lang w:eastAsia="es-BO"/>
              </w:rPr>
              <w:t>Chuquisaca</w:t>
            </w:r>
          </w:p>
        </w:tc>
        <w:tc>
          <w:tcPr>
            <w:tcW w:w="1945" w:type="dxa"/>
            <w:shd w:val="clear" w:color="auto" w:fill="auto"/>
            <w:noWrap/>
            <w:vAlign w:val="center"/>
            <w:hideMark/>
          </w:tcPr>
          <w:p w14:paraId="62821A1C" w14:textId="77777777" w:rsidR="007D5194" w:rsidRPr="000B54C4" w:rsidRDefault="007D5194" w:rsidP="007D5194">
            <w:pPr>
              <w:pStyle w:val="NoSpacing"/>
              <w:jc w:val="center"/>
              <w:rPr>
                <w:lang w:eastAsia="es-BO"/>
              </w:rPr>
            </w:pPr>
            <w:r w:rsidRPr="000B54C4">
              <w:rPr>
                <w:lang w:eastAsia="es-BO"/>
              </w:rPr>
              <w:t>29</w:t>
            </w:r>
          </w:p>
        </w:tc>
        <w:tc>
          <w:tcPr>
            <w:tcW w:w="1945" w:type="dxa"/>
            <w:shd w:val="clear" w:color="auto" w:fill="auto"/>
            <w:noWrap/>
            <w:vAlign w:val="center"/>
            <w:hideMark/>
          </w:tcPr>
          <w:p w14:paraId="34309085" w14:textId="77777777" w:rsidR="007D5194" w:rsidRPr="000B54C4" w:rsidRDefault="007D5194" w:rsidP="007D5194">
            <w:pPr>
              <w:pStyle w:val="NoSpacing"/>
              <w:jc w:val="center"/>
              <w:rPr>
                <w:lang w:eastAsia="es-BO"/>
              </w:rPr>
            </w:pPr>
            <w:r w:rsidRPr="000B54C4">
              <w:rPr>
                <w:lang w:eastAsia="es-BO"/>
              </w:rPr>
              <w:t>1.469</w:t>
            </w:r>
          </w:p>
        </w:tc>
        <w:tc>
          <w:tcPr>
            <w:tcW w:w="1945" w:type="dxa"/>
          </w:tcPr>
          <w:p w14:paraId="46250AD1" w14:textId="77777777" w:rsidR="007D5194" w:rsidRPr="008E0BD8" w:rsidRDefault="007D5194" w:rsidP="007D5194">
            <w:pPr>
              <w:pStyle w:val="NoSpacing"/>
              <w:jc w:val="right"/>
            </w:pPr>
            <w:r w:rsidRPr="008E0BD8">
              <w:t>3.273.185</w:t>
            </w:r>
          </w:p>
        </w:tc>
      </w:tr>
      <w:tr w:rsidR="007D5194" w:rsidRPr="000B54C4" w14:paraId="5DFA1C70" w14:textId="77777777" w:rsidTr="007D5194">
        <w:trPr>
          <w:trHeight w:val="20"/>
          <w:jc w:val="center"/>
        </w:trPr>
        <w:tc>
          <w:tcPr>
            <w:tcW w:w="1945" w:type="dxa"/>
            <w:shd w:val="clear" w:color="auto" w:fill="auto"/>
            <w:noWrap/>
            <w:vAlign w:val="center"/>
            <w:hideMark/>
          </w:tcPr>
          <w:p w14:paraId="6CAC6BBD" w14:textId="77777777" w:rsidR="007D5194" w:rsidRPr="000B54C4" w:rsidRDefault="007D5194" w:rsidP="007D5194">
            <w:pPr>
              <w:pStyle w:val="NoSpacing"/>
              <w:rPr>
                <w:lang w:eastAsia="es-BO"/>
              </w:rPr>
            </w:pPr>
            <w:r w:rsidRPr="000B54C4">
              <w:rPr>
                <w:lang w:eastAsia="es-BO"/>
              </w:rPr>
              <w:t>Tarija</w:t>
            </w:r>
          </w:p>
        </w:tc>
        <w:tc>
          <w:tcPr>
            <w:tcW w:w="1945" w:type="dxa"/>
            <w:shd w:val="clear" w:color="auto" w:fill="auto"/>
            <w:noWrap/>
            <w:vAlign w:val="center"/>
            <w:hideMark/>
          </w:tcPr>
          <w:p w14:paraId="2DAE304A" w14:textId="77777777" w:rsidR="007D5194" w:rsidRPr="000B54C4" w:rsidRDefault="007D5194" w:rsidP="007D5194">
            <w:pPr>
              <w:pStyle w:val="NoSpacing"/>
              <w:jc w:val="center"/>
              <w:rPr>
                <w:lang w:eastAsia="es-BO"/>
              </w:rPr>
            </w:pPr>
            <w:r w:rsidRPr="000B54C4">
              <w:rPr>
                <w:lang w:eastAsia="es-BO"/>
              </w:rPr>
              <w:t>11</w:t>
            </w:r>
          </w:p>
        </w:tc>
        <w:tc>
          <w:tcPr>
            <w:tcW w:w="1945" w:type="dxa"/>
            <w:shd w:val="clear" w:color="auto" w:fill="auto"/>
            <w:noWrap/>
            <w:vAlign w:val="center"/>
            <w:hideMark/>
          </w:tcPr>
          <w:p w14:paraId="0E7F5FD3" w14:textId="77777777" w:rsidR="007D5194" w:rsidRPr="000B54C4" w:rsidRDefault="007D5194" w:rsidP="007D5194">
            <w:pPr>
              <w:pStyle w:val="NoSpacing"/>
              <w:jc w:val="center"/>
              <w:rPr>
                <w:lang w:eastAsia="es-BO"/>
              </w:rPr>
            </w:pPr>
            <w:r w:rsidRPr="000B54C4">
              <w:rPr>
                <w:lang w:eastAsia="es-BO"/>
              </w:rPr>
              <w:t>726</w:t>
            </w:r>
          </w:p>
        </w:tc>
        <w:tc>
          <w:tcPr>
            <w:tcW w:w="1945" w:type="dxa"/>
          </w:tcPr>
          <w:p w14:paraId="478BEC6E" w14:textId="77777777" w:rsidR="007D5194" w:rsidRPr="008E0BD8" w:rsidRDefault="007D5194" w:rsidP="007D5194">
            <w:pPr>
              <w:pStyle w:val="NoSpacing"/>
              <w:jc w:val="right"/>
            </w:pPr>
            <w:r w:rsidRPr="008E0BD8">
              <w:t>1.241.553</w:t>
            </w:r>
          </w:p>
        </w:tc>
      </w:tr>
      <w:tr w:rsidR="007D5194" w:rsidRPr="000B54C4" w14:paraId="52001881" w14:textId="77777777" w:rsidTr="007D5194">
        <w:trPr>
          <w:trHeight w:val="20"/>
          <w:jc w:val="center"/>
        </w:trPr>
        <w:tc>
          <w:tcPr>
            <w:tcW w:w="1945" w:type="dxa"/>
            <w:shd w:val="clear" w:color="auto" w:fill="auto"/>
            <w:noWrap/>
            <w:vAlign w:val="center"/>
            <w:hideMark/>
          </w:tcPr>
          <w:p w14:paraId="5F21E4C7" w14:textId="77777777" w:rsidR="007D5194" w:rsidRPr="000B54C4" w:rsidRDefault="007D5194" w:rsidP="007D5194">
            <w:pPr>
              <w:pStyle w:val="NoSpacing"/>
              <w:rPr>
                <w:lang w:eastAsia="es-BO"/>
              </w:rPr>
            </w:pPr>
            <w:r w:rsidRPr="000B54C4">
              <w:rPr>
                <w:lang w:eastAsia="es-BO"/>
              </w:rPr>
              <w:t>Santa Cruz</w:t>
            </w:r>
          </w:p>
        </w:tc>
        <w:tc>
          <w:tcPr>
            <w:tcW w:w="1945" w:type="dxa"/>
            <w:shd w:val="clear" w:color="auto" w:fill="auto"/>
            <w:noWrap/>
            <w:vAlign w:val="center"/>
            <w:hideMark/>
          </w:tcPr>
          <w:p w14:paraId="32529C4E" w14:textId="77777777" w:rsidR="007D5194" w:rsidRPr="000B54C4" w:rsidRDefault="007D5194" w:rsidP="007D5194">
            <w:pPr>
              <w:pStyle w:val="NoSpacing"/>
              <w:jc w:val="center"/>
              <w:rPr>
                <w:lang w:eastAsia="es-BO"/>
              </w:rPr>
            </w:pPr>
            <w:r w:rsidRPr="000B54C4">
              <w:rPr>
                <w:lang w:eastAsia="es-BO"/>
              </w:rPr>
              <w:t>56</w:t>
            </w:r>
          </w:p>
        </w:tc>
        <w:tc>
          <w:tcPr>
            <w:tcW w:w="1945" w:type="dxa"/>
            <w:shd w:val="clear" w:color="auto" w:fill="auto"/>
            <w:noWrap/>
            <w:vAlign w:val="center"/>
            <w:hideMark/>
          </w:tcPr>
          <w:p w14:paraId="26433966" w14:textId="77777777" w:rsidR="007D5194" w:rsidRPr="000B54C4" w:rsidRDefault="007D5194" w:rsidP="007D5194">
            <w:pPr>
              <w:pStyle w:val="NoSpacing"/>
              <w:jc w:val="center"/>
              <w:rPr>
                <w:lang w:eastAsia="es-BO"/>
              </w:rPr>
            </w:pPr>
            <w:r w:rsidRPr="000B54C4">
              <w:rPr>
                <w:lang w:eastAsia="es-BO"/>
              </w:rPr>
              <w:t>2.564</w:t>
            </w:r>
          </w:p>
        </w:tc>
        <w:tc>
          <w:tcPr>
            <w:tcW w:w="1945" w:type="dxa"/>
          </w:tcPr>
          <w:p w14:paraId="7BFDC875" w14:textId="77777777" w:rsidR="007D5194" w:rsidRPr="008E0BD8" w:rsidRDefault="007D5194" w:rsidP="007D5194">
            <w:pPr>
              <w:pStyle w:val="NoSpacing"/>
              <w:jc w:val="right"/>
            </w:pPr>
            <w:r w:rsidRPr="008E0BD8">
              <w:t>6.320.633</w:t>
            </w:r>
          </w:p>
        </w:tc>
      </w:tr>
      <w:tr w:rsidR="007D5194" w:rsidRPr="000B54C4" w14:paraId="224D8DCB" w14:textId="77777777" w:rsidTr="007D5194">
        <w:trPr>
          <w:trHeight w:val="20"/>
          <w:jc w:val="center"/>
        </w:trPr>
        <w:tc>
          <w:tcPr>
            <w:tcW w:w="1945" w:type="dxa"/>
            <w:shd w:val="clear" w:color="auto" w:fill="auto"/>
            <w:noWrap/>
            <w:vAlign w:val="center"/>
            <w:hideMark/>
          </w:tcPr>
          <w:p w14:paraId="68B8EB32" w14:textId="77777777" w:rsidR="007D5194" w:rsidRPr="000B54C4" w:rsidRDefault="007D5194" w:rsidP="007D5194">
            <w:pPr>
              <w:pStyle w:val="NoSpacing"/>
              <w:rPr>
                <w:lang w:eastAsia="es-BO"/>
              </w:rPr>
            </w:pPr>
            <w:r w:rsidRPr="000B54C4">
              <w:rPr>
                <w:lang w:eastAsia="es-BO"/>
              </w:rPr>
              <w:lastRenderedPageBreak/>
              <w:t>Beni</w:t>
            </w:r>
          </w:p>
        </w:tc>
        <w:tc>
          <w:tcPr>
            <w:tcW w:w="1945" w:type="dxa"/>
            <w:shd w:val="clear" w:color="auto" w:fill="auto"/>
            <w:noWrap/>
            <w:vAlign w:val="center"/>
            <w:hideMark/>
          </w:tcPr>
          <w:p w14:paraId="1923D14E" w14:textId="77777777" w:rsidR="007D5194" w:rsidRPr="000B54C4" w:rsidRDefault="007D5194" w:rsidP="007D5194">
            <w:pPr>
              <w:pStyle w:val="NoSpacing"/>
              <w:jc w:val="center"/>
              <w:rPr>
                <w:lang w:eastAsia="es-BO"/>
              </w:rPr>
            </w:pPr>
            <w:r w:rsidRPr="000B54C4">
              <w:rPr>
                <w:lang w:eastAsia="es-BO"/>
              </w:rPr>
              <w:t>19</w:t>
            </w:r>
          </w:p>
        </w:tc>
        <w:tc>
          <w:tcPr>
            <w:tcW w:w="1945" w:type="dxa"/>
            <w:shd w:val="clear" w:color="auto" w:fill="auto"/>
            <w:noWrap/>
            <w:vAlign w:val="center"/>
            <w:hideMark/>
          </w:tcPr>
          <w:p w14:paraId="0E2165A5" w14:textId="77777777" w:rsidR="007D5194" w:rsidRPr="000B54C4" w:rsidRDefault="007D5194" w:rsidP="007D5194">
            <w:pPr>
              <w:pStyle w:val="NoSpacing"/>
              <w:jc w:val="center"/>
              <w:rPr>
                <w:lang w:eastAsia="es-BO"/>
              </w:rPr>
            </w:pPr>
            <w:r w:rsidRPr="000B54C4">
              <w:rPr>
                <w:lang w:eastAsia="es-BO"/>
              </w:rPr>
              <w:t>925</w:t>
            </w:r>
          </w:p>
        </w:tc>
        <w:tc>
          <w:tcPr>
            <w:tcW w:w="1945" w:type="dxa"/>
          </w:tcPr>
          <w:p w14:paraId="32452948" w14:textId="77777777" w:rsidR="007D5194" w:rsidRPr="008E0BD8" w:rsidRDefault="007D5194" w:rsidP="007D5194">
            <w:pPr>
              <w:pStyle w:val="NoSpacing"/>
              <w:jc w:val="right"/>
            </w:pPr>
            <w:r w:rsidRPr="008E0BD8">
              <w:t>2.144.500</w:t>
            </w:r>
          </w:p>
        </w:tc>
      </w:tr>
      <w:tr w:rsidR="007D5194" w:rsidRPr="000B54C4" w14:paraId="05A1C718" w14:textId="77777777" w:rsidTr="007D5194">
        <w:trPr>
          <w:trHeight w:val="20"/>
          <w:jc w:val="center"/>
        </w:trPr>
        <w:tc>
          <w:tcPr>
            <w:tcW w:w="1945" w:type="dxa"/>
            <w:shd w:val="clear" w:color="auto" w:fill="auto"/>
            <w:noWrap/>
            <w:vAlign w:val="center"/>
            <w:hideMark/>
          </w:tcPr>
          <w:p w14:paraId="14456809" w14:textId="77777777" w:rsidR="007D5194" w:rsidRPr="000B54C4" w:rsidRDefault="007D5194" w:rsidP="007D5194">
            <w:pPr>
              <w:pStyle w:val="NoSpacing"/>
              <w:rPr>
                <w:lang w:eastAsia="es-BO"/>
              </w:rPr>
            </w:pPr>
            <w:r w:rsidRPr="000B54C4">
              <w:rPr>
                <w:lang w:eastAsia="es-BO"/>
              </w:rPr>
              <w:t>Pando</w:t>
            </w:r>
          </w:p>
        </w:tc>
        <w:tc>
          <w:tcPr>
            <w:tcW w:w="1945" w:type="dxa"/>
            <w:shd w:val="clear" w:color="auto" w:fill="auto"/>
            <w:noWrap/>
            <w:vAlign w:val="center"/>
            <w:hideMark/>
          </w:tcPr>
          <w:p w14:paraId="45B4D917" w14:textId="77777777" w:rsidR="007D5194" w:rsidRPr="000B54C4" w:rsidRDefault="007D5194" w:rsidP="007D5194">
            <w:pPr>
              <w:pStyle w:val="NoSpacing"/>
              <w:jc w:val="center"/>
              <w:rPr>
                <w:lang w:eastAsia="es-BO"/>
              </w:rPr>
            </w:pPr>
            <w:r w:rsidRPr="000B54C4">
              <w:rPr>
                <w:lang w:eastAsia="es-BO"/>
              </w:rPr>
              <w:t>15</w:t>
            </w:r>
          </w:p>
        </w:tc>
        <w:tc>
          <w:tcPr>
            <w:tcW w:w="1945" w:type="dxa"/>
            <w:shd w:val="clear" w:color="auto" w:fill="auto"/>
            <w:noWrap/>
            <w:vAlign w:val="center"/>
            <w:hideMark/>
          </w:tcPr>
          <w:p w14:paraId="45F92D8F" w14:textId="77777777" w:rsidR="007D5194" w:rsidRPr="000B54C4" w:rsidRDefault="007D5194" w:rsidP="007D5194">
            <w:pPr>
              <w:pStyle w:val="NoSpacing"/>
              <w:jc w:val="center"/>
              <w:rPr>
                <w:lang w:eastAsia="es-BO"/>
              </w:rPr>
            </w:pPr>
            <w:r w:rsidRPr="000B54C4">
              <w:rPr>
                <w:lang w:eastAsia="es-BO"/>
              </w:rPr>
              <w:t>403</w:t>
            </w:r>
          </w:p>
        </w:tc>
        <w:tc>
          <w:tcPr>
            <w:tcW w:w="1945" w:type="dxa"/>
          </w:tcPr>
          <w:p w14:paraId="03559780" w14:textId="77777777" w:rsidR="007D5194" w:rsidRPr="008E0BD8" w:rsidRDefault="007D5194" w:rsidP="007D5194">
            <w:pPr>
              <w:pStyle w:val="NoSpacing"/>
              <w:jc w:val="right"/>
            </w:pPr>
            <w:r w:rsidRPr="008E0BD8">
              <w:t>1.693.027</w:t>
            </w:r>
          </w:p>
        </w:tc>
      </w:tr>
      <w:tr w:rsidR="007D5194" w:rsidRPr="000B54C4" w14:paraId="74B8C8D1" w14:textId="77777777" w:rsidTr="007D5194">
        <w:trPr>
          <w:trHeight w:val="20"/>
          <w:jc w:val="center"/>
        </w:trPr>
        <w:tc>
          <w:tcPr>
            <w:tcW w:w="1945" w:type="dxa"/>
            <w:shd w:val="clear" w:color="000000" w:fill="CCECFF"/>
            <w:vAlign w:val="center"/>
            <w:hideMark/>
          </w:tcPr>
          <w:p w14:paraId="2A5FA309" w14:textId="77777777" w:rsidR="007D5194" w:rsidRPr="000B54C4" w:rsidRDefault="007D5194" w:rsidP="007D5194">
            <w:pPr>
              <w:pStyle w:val="NoSpacing"/>
              <w:rPr>
                <w:lang w:eastAsia="es-BO"/>
              </w:rPr>
            </w:pPr>
            <w:r w:rsidRPr="000B54C4">
              <w:rPr>
                <w:lang w:eastAsia="es-BO"/>
              </w:rPr>
              <w:t>Total</w:t>
            </w:r>
          </w:p>
        </w:tc>
        <w:tc>
          <w:tcPr>
            <w:tcW w:w="1945" w:type="dxa"/>
            <w:shd w:val="clear" w:color="000000" w:fill="CCECFF"/>
            <w:vAlign w:val="center"/>
            <w:hideMark/>
          </w:tcPr>
          <w:p w14:paraId="31FE5667" w14:textId="77777777" w:rsidR="007D5194" w:rsidRPr="000B54C4" w:rsidRDefault="007D5194" w:rsidP="007D5194">
            <w:pPr>
              <w:pStyle w:val="NoSpacing"/>
              <w:jc w:val="center"/>
              <w:rPr>
                <w:lang w:eastAsia="es-BO"/>
              </w:rPr>
            </w:pPr>
            <w:r w:rsidRPr="000B54C4">
              <w:rPr>
                <w:lang w:eastAsia="es-BO"/>
              </w:rPr>
              <w:t>339</w:t>
            </w:r>
          </w:p>
        </w:tc>
        <w:tc>
          <w:tcPr>
            <w:tcW w:w="1945" w:type="dxa"/>
            <w:shd w:val="clear" w:color="000000" w:fill="CCECFF"/>
            <w:vAlign w:val="center"/>
            <w:hideMark/>
          </w:tcPr>
          <w:p w14:paraId="054587DC" w14:textId="77777777" w:rsidR="007D5194" w:rsidRPr="000B54C4" w:rsidRDefault="007D5194" w:rsidP="007D5194">
            <w:pPr>
              <w:pStyle w:val="NoSpacing"/>
              <w:jc w:val="center"/>
              <w:rPr>
                <w:lang w:eastAsia="es-BO"/>
              </w:rPr>
            </w:pPr>
            <w:r w:rsidRPr="000B54C4">
              <w:rPr>
                <w:lang w:eastAsia="es-BO"/>
              </w:rPr>
              <w:t>19.179</w:t>
            </w:r>
          </w:p>
        </w:tc>
        <w:tc>
          <w:tcPr>
            <w:tcW w:w="1945" w:type="dxa"/>
            <w:shd w:val="clear" w:color="000000" w:fill="CCECFF"/>
          </w:tcPr>
          <w:p w14:paraId="5779BF9D" w14:textId="77777777" w:rsidR="007D5194" w:rsidRPr="008E0BD8" w:rsidRDefault="007D5194" w:rsidP="007D5194">
            <w:pPr>
              <w:pStyle w:val="NoSpacing"/>
              <w:jc w:val="right"/>
            </w:pPr>
            <w:r w:rsidRPr="008E0BD8">
              <w:t>38.262.401</w:t>
            </w:r>
          </w:p>
        </w:tc>
      </w:tr>
    </w:tbl>
    <w:p w14:paraId="6FFCF182" w14:textId="77777777" w:rsidR="00310220" w:rsidRDefault="00310220" w:rsidP="00FE17E4">
      <w:pPr>
        <w:shd w:val="clear" w:color="auto" w:fill="FFFFFF"/>
        <w:jc w:val="both"/>
        <w:rPr>
          <w:rFonts w:cstheme="minorHAnsi"/>
          <w:bCs/>
          <w:lang w:val="es-ES_tradnl" w:eastAsia="es-HN"/>
        </w:rPr>
      </w:pPr>
    </w:p>
    <w:p w14:paraId="55CA0488" w14:textId="77777777" w:rsidR="00E540FF" w:rsidRDefault="00D87140" w:rsidP="00FE17E4">
      <w:pPr>
        <w:shd w:val="clear" w:color="auto" w:fill="FFFFFF"/>
        <w:jc w:val="both"/>
        <w:rPr>
          <w:rFonts w:cstheme="minorHAnsi"/>
          <w:bCs/>
          <w:lang w:val="es-ES_tradnl" w:eastAsia="es-HN"/>
        </w:rPr>
      </w:pPr>
      <w:r>
        <w:rPr>
          <w:rFonts w:cstheme="minorHAnsi"/>
          <w:bCs/>
          <w:lang w:val="es-ES_tradnl" w:eastAsia="es-HN"/>
        </w:rPr>
        <w:t xml:space="preserve">Para cumplir este objetivo se definió una estrategia de implementación que se basa en una coordinación </w:t>
      </w:r>
      <w:r w:rsidR="00E540FF">
        <w:rPr>
          <w:rFonts w:cstheme="minorHAnsi"/>
          <w:bCs/>
          <w:lang w:val="es-ES_tradnl" w:eastAsia="es-HN"/>
        </w:rPr>
        <w:t>entre la</w:t>
      </w:r>
      <w:r>
        <w:rPr>
          <w:rFonts w:cstheme="minorHAnsi"/>
          <w:bCs/>
          <w:lang w:val="es-ES_tradnl" w:eastAsia="es-HN"/>
        </w:rPr>
        <w:t xml:space="preserve">s diferentes </w:t>
      </w:r>
      <w:r w:rsidR="00E540FF">
        <w:rPr>
          <w:rFonts w:cstheme="minorHAnsi"/>
          <w:bCs/>
          <w:lang w:val="es-ES_tradnl" w:eastAsia="es-HN"/>
        </w:rPr>
        <w:t>escalas administrativa</w:t>
      </w:r>
      <w:r>
        <w:rPr>
          <w:rFonts w:cstheme="minorHAnsi"/>
          <w:bCs/>
          <w:lang w:val="es-ES_tradnl" w:eastAsia="es-HN"/>
        </w:rPr>
        <w:t>s que tienen responsabilidad en el sector.</w:t>
      </w:r>
      <w:r w:rsidR="00E540FF">
        <w:rPr>
          <w:rFonts w:cstheme="minorHAnsi"/>
          <w:bCs/>
          <w:lang w:val="es-ES_tradnl" w:eastAsia="es-HN"/>
        </w:rPr>
        <w:t xml:space="preserve"> Cada nivel tiene un rol específico dentro de SIASAR tal y como se presenta en la siguiente tabla:</w:t>
      </w:r>
    </w:p>
    <w:tbl>
      <w:tblPr>
        <w:tblStyle w:val="LightList-Accent1"/>
        <w:tblW w:w="0" w:type="auto"/>
        <w:tblLook w:val="04A0" w:firstRow="1" w:lastRow="0" w:firstColumn="1" w:lastColumn="0" w:noHBand="0" w:noVBand="1"/>
      </w:tblPr>
      <w:tblGrid>
        <w:gridCol w:w="1975"/>
        <w:gridCol w:w="6509"/>
      </w:tblGrid>
      <w:tr w:rsidR="00E540FF" w:rsidRPr="00482E98" w14:paraId="37257519" w14:textId="77777777" w:rsidTr="00CB4B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421CBC6F" w14:textId="77777777" w:rsidR="00E540FF" w:rsidRPr="00482E98" w:rsidRDefault="00E540FF" w:rsidP="006916E5">
            <w:pPr>
              <w:jc w:val="center"/>
              <w:rPr>
                <w:rFonts w:ascii="Calibri" w:hAnsi="Calibri" w:cs="Calibri"/>
                <w:b w:val="0"/>
                <w:szCs w:val="22"/>
              </w:rPr>
            </w:pPr>
            <w:r w:rsidRPr="00482E98">
              <w:rPr>
                <w:rFonts w:ascii="Calibri" w:hAnsi="Calibri" w:cs="Calibri"/>
                <w:szCs w:val="22"/>
              </w:rPr>
              <w:t>Entidad</w:t>
            </w:r>
          </w:p>
        </w:tc>
        <w:tc>
          <w:tcPr>
            <w:tcW w:w="6509" w:type="dxa"/>
          </w:tcPr>
          <w:p w14:paraId="6375BECC" w14:textId="77777777" w:rsidR="00E540FF" w:rsidRPr="00482E98" w:rsidRDefault="00E540FF" w:rsidP="006916E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Cs w:val="22"/>
              </w:rPr>
            </w:pPr>
            <w:r>
              <w:rPr>
                <w:rFonts w:ascii="Calibri" w:hAnsi="Calibri" w:cs="Calibri"/>
                <w:szCs w:val="22"/>
              </w:rPr>
              <w:t>Roles</w:t>
            </w:r>
          </w:p>
        </w:tc>
      </w:tr>
      <w:tr w:rsidR="00E540FF" w:rsidRPr="00482E98" w14:paraId="55299AF7" w14:textId="77777777" w:rsidTr="00CB4B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vAlign w:val="center"/>
          </w:tcPr>
          <w:p w14:paraId="330A0385" w14:textId="77777777" w:rsidR="00E540FF" w:rsidRPr="00482E98" w:rsidRDefault="00E540FF" w:rsidP="00CB4BC4">
            <w:pPr>
              <w:rPr>
                <w:rFonts w:ascii="Calibri" w:hAnsi="Calibri" w:cs="Calibri"/>
                <w:szCs w:val="22"/>
              </w:rPr>
            </w:pPr>
            <w:r w:rsidRPr="00482E98">
              <w:rPr>
                <w:rFonts w:ascii="Calibri" w:hAnsi="Calibri" w:cs="Calibri"/>
                <w:szCs w:val="22"/>
              </w:rPr>
              <w:t>MMAyA / VAPSB</w:t>
            </w:r>
          </w:p>
        </w:tc>
        <w:tc>
          <w:tcPr>
            <w:tcW w:w="6509" w:type="dxa"/>
          </w:tcPr>
          <w:p w14:paraId="2235CB14" w14:textId="77777777" w:rsidR="00E540FF" w:rsidRPr="00482E98" w:rsidRDefault="00E540FF" w:rsidP="00E540FF">
            <w:pPr>
              <w:numPr>
                <w:ilvl w:val="0"/>
                <w:numId w:val="1"/>
              </w:numPr>
              <w:jc w:val="both"/>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482E98">
              <w:rPr>
                <w:rFonts w:ascii="Calibri" w:hAnsi="Calibri" w:cs="Calibri"/>
                <w:szCs w:val="22"/>
              </w:rPr>
              <w:t>Coordina las actividades a nivel nacional</w:t>
            </w:r>
          </w:p>
          <w:p w14:paraId="04BC75DE" w14:textId="77777777" w:rsidR="00E540FF" w:rsidRPr="00482E98" w:rsidRDefault="00E540FF" w:rsidP="00E540FF">
            <w:pPr>
              <w:numPr>
                <w:ilvl w:val="0"/>
                <w:numId w:val="1"/>
              </w:numPr>
              <w:jc w:val="both"/>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482E98">
              <w:rPr>
                <w:rFonts w:ascii="Calibri" w:hAnsi="Calibri" w:cs="Calibri"/>
                <w:szCs w:val="22"/>
              </w:rPr>
              <w:t>Coordina con los técnicos de los GAD’s</w:t>
            </w:r>
            <w:r>
              <w:rPr>
                <w:rFonts w:ascii="Calibri" w:hAnsi="Calibri" w:cs="Calibri"/>
                <w:szCs w:val="22"/>
              </w:rPr>
              <w:t xml:space="preserve"> y apoyar con asistencia técnica</w:t>
            </w:r>
          </w:p>
          <w:p w14:paraId="4D027095" w14:textId="77777777" w:rsidR="00E540FF" w:rsidRDefault="00E540FF" w:rsidP="00E540FF">
            <w:pPr>
              <w:numPr>
                <w:ilvl w:val="0"/>
                <w:numId w:val="1"/>
              </w:numPr>
              <w:jc w:val="both"/>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482E98">
              <w:rPr>
                <w:rFonts w:ascii="Calibri" w:hAnsi="Calibri" w:cs="Calibri"/>
                <w:szCs w:val="22"/>
              </w:rPr>
              <w:t>Establece los instrumentos para su aplicación general</w:t>
            </w:r>
            <w:r>
              <w:rPr>
                <w:rFonts w:ascii="Calibri" w:hAnsi="Calibri" w:cs="Calibri"/>
                <w:szCs w:val="22"/>
              </w:rPr>
              <w:t xml:space="preserve"> (formularios, manuales, aplicación, etc)</w:t>
            </w:r>
          </w:p>
          <w:p w14:paraId="71A5E10A" w14:textId="77777777" w:rsidR="00E540FF" w:rsidRDefault="00E540FF" w:rsidP="00E540FF">
            <w:pPr>
              <w:numPr>
                <w:ilvl w:val="0"/>
                <w:numId w:val="1"/>
              </w:numPr>
              <w:jc w:val="both"/>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szCs w:val="22"/>
              </w:rPr>
              <w:t>Consolida la información recogida a nivel nacional</w:t>
            </w:r>
          </w:p>
          <w:p w14:paraId="03B71F78" w14:textId="77777777" w:rsidR="00E540FF" w:rsidRPr="00482E98" w:rsidRDefault="00E540FF" w:rsidP="00E540FF">
            <w:pPr>
              <w:numPr>
                <w:ilvl w:val="0"/>
                <w:numId w:val="1"/>
              </w:numPr>
              <w:jc w:val="both"/>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482E98">
              <w:rPr>
                <w:rFonts w:ascii="Calibri" w:hAnsi="Calibri" w:cs="Calibri"/>
                <w:szCs w:val="22"/>
              </w:rPr>
              <w:t>Asistencia técnica a GAM’s</w:t>
            </w:r>
          </w:p>
          <w:p w14:paraId="233EE230" w14:textId="77777777" w:rsidR="00E540FF" w:rsidRDefault="00E540FF" w:rsidP="00E540FF">
            <w:pPr>
              <w:numPr>
                <w:ilvl w:val="0"/>
                <w:numId w:val="1"/>
              </w:numPr>
              <w:jc w:val="both"/>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szCs w:val="22"/>
              </w:rPr>
              <w:t xml:space="preserve">Da asistencia técnica </w:t>
            </w:r>
            <w:r w:rsidRPr="00482E98">
              <w:rPr>
                <w:rFonts w:ascii="Calibri" w:hAnsi="Calibri" w:cs="Calibri"/>
                <w:szCs w:val="22"/>
              </w:rPr>
              <w:t>en municipios donde tienen técnicos</w:t>
            </w:r>
            <w:r>
              <w:rPr>
                <w:rFonts w:ascii="Calibri" w:hAnsi="Calibri" w:cs="Calibri"/>
                <w:szCs w:val="22"/>
              </w:rPr>
              <w:t xml:space="preserve"> en programas en ejecución</w:t>
            </w:r>
          </w:p>
          <w:p w14:paraId="3E7809A1" w14:textId="77777777" w:rsidR="00E540FF" w:rsidRDefault="00E540FF" w:rsidP="00E540FF">
            <w:pPr>
              <w:numPr>
                <w:ilvl w:val="0"/>
                <w:numId w:val="1"/>
              </w:numPr>
              <w:jc w:val="both"/>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szCs w:val="22"/>
              </w:rPr>
              <w:t>Desarrolla capacidades en las GAD y GAM para la sostenibilidad de los servicios</w:t>
            </w:r>
          </w:p>
          <w:p w14:paraId="1E163630" w14:textId="77777777" w:rsidR="00E540FF" w:rsidRPr="00482E98" w:rsidRDefault="00E540FF" w:rsidP="00E540FF">
            <w:pPr>
              <w:numPr>
                <w:ilvl w:val="0"/>
                <w:numId w:val="1"/>
              </w:numPr>
              <w:jc w:val="both"/>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szCs w:val="22"/>
              </w:rPr>
              <w:t>Desarrolla capacidades en las GAD y GAM para la sostenibilidad del SIASAR</w:t>
            </w:r>
          </w:p>
        </w:tc>
      </w:tr>
      <w:tr w:rsidR="00E540FF" w:rsidRPr="00482E98" w14:paraId="07D5E2C2" w14:textId="77777777" w:rsidTr="00CB4BC4">
        <w:tc>
          <w:tcPr>
            <w:cnfStyle w:val="001000000000" w:firstRow="0" w:lastRow="0" w:firstColumn="1" w:lastColumn="0" w:oddVBand="0" w:evenVBand="0" w:oddHBand="0" w:evenHBand="0" w:firstRowFirstColumn="0" w:firstRowLastColumn="0" w:lastRowFirstColumn="0" w:lastRowLastColumn="0"/>
            <w:tcW w:w="1975" w:type="dxa"/>
            <w:vAlign w:val="center"/>
          </w:tcPr>
          <w:p w14:paraId="382AD32B" w14:textId="77777777" w:rsidR="00E540FF" w:rsidRPr="00482E98" w:rsidRDefault="00E540FF" w:rsidP="00CB4BC4">
            <w:pPr>
              <w:rPr>
                <w:rFonts w:ascii="Calibri" w:hAnsi="Calibri" w:cs="Calibri"/>
                <w:szCs w:val="22"/>
              </w:rPr>
            </w:pPr>
            <w:r w:rsidRPr="00482E98">
              <w:rPr>
                <w:rFonts w:ascii="Calibri" w:hAnsi="Calibri" w:cs="Calibri"/>
                <w:szCs w:val="22"/>
              </w:rPr>
              <w:t>GAD’s</w:t>
            </w:r>
          </w:p>
        </w:tc>
        <w:tc>
          <w:tcPr>
            <w:tcW w:w="6509" w:type="dxa"/>
          </w:tcPr>
          <w:p w14:paraId="5DF3DF80" w14:textId="77777777" w:rsidR="00E540FF" w:rsidRPr="00482E98" w:rsidRDefault="00E540FF" w:rsidP="00E540FF">
            <w:pPr>
              <w:numPr>
                <w:ilvl w:val="0"/>
                <w:numId w:val="1"/>
              </w:numPr>
              <w:jc w:val="both"/>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482E98">
              <w:rPr>
                <w:rFonts w:ascii="Calibri" w:hAnsi="Calibri" w:cs="Calibri"/>
                <w:szCs w:val="22"/>
              </w:rPr>
              <w:t>Capacita a los técnicos de sus GAM’s</w:t>
            </w:r>
          </w:p>
          <w:p w14:paraId="6FD22B42" w14:textId="77777777" w:rsidR="00E540FF" w:rsidRDefault="00E540FF" w:rsidP="00E540FF">
            <w:pPr>
              <w:numPr>
                <w:ilvl w:val="0"/>
                <w:numId w:val="1"/>
              </w:numPr>
              <w:jc w:val="both"/>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482E98">
              <w:rPr>
                <w:rFonts w:ascii="Calibri" w:hAnsi="Calibri" w:cs="Calibri"/>
                <w:szCs w:val="22"/>
              </w:rPr>
              <w:t>Supervisa la realización de la encuesta en los municipios de su departamento</w:t>
            </w:r>
          </w:p>
          <w:p w14:paraId="6CD2632F" w14:textId="77777777" w:rsidR="00E540FF" w:rsidRPr="00482E98" w:rsidRDefault="00E540FF" w:rsidP="00E540FF">
            <w:pPr>
              <w:numPr>
                <w:ilvl w:val="0"/>
                <w:numId w:val="1"/>
              </w:numPr>
              <w:jc w:val="both"/>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Pr>
                <w:rFonts w:ascii="Calibri" w:hAnsi="Calibri" w:cs="Calibri"/>
                <w:szCs w:val="22"/>
              </w:rPr>
              <w:t>Valida la información recogida a nivel departamental (de sus municipios)</w:t>
            </w:r>
          </w:p>
          <w:p w14:paraId="5E33E49A" w14:textId="77777777" w:rsidR="00E540FF" w:rsidRPr="00482E98" w:rsidRDefault="00E540FF" w:rsidP="00E540FF">
            <w:pPr>
              <w:numPr>
                <w:ilvl w:val="0"/>
                <w:numId w:val="1"/>
              </w:numPr>
              <w:jc w:val="both"/>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482E98">
              <w:rPr>
                <w:rFonts w:ascii="Calibri" w:hAnsi="Calibri" w:cs="Calibri"/>
                <w:szCs w:val="22"/>
              </w:rPr>
              <w:t>Consolida los resultados de su departamento</w:t>
            </w:r>
          </w:p>
        </w:tc>
      </w:tr>
      <w:tr w:rsidR="00E540FF" w:rsidRPr="00482E98" w14:paraId="60E18D27" w14:textId="77777777" w:rsidTr="00CB4B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vAlign w:val="center"/>
          </w:tcPr>
          <w:p w14:paraId="3368D4CA" w14:textId="77777777" w:rsidR="00E540FF" w:rsidRPr="00482E98" w:rsidRDefault="00E540FF" w:rsidP="00CB4BC4">
            <w:pPr>
              <w:rPr>
                <w:rFonts w:ascii="Calibri" w:hAnsi="Calibri" w:cs="Calibri"/>
                <w:szCs w:val="22"/>
              </w:rPr>
            </w:pPr>
            <w:r w:rsidRPr="00482E98">
              <w:rPr>
                <w:rFonts w:ascii="Calibri" w:hAnsi="Calibri" w:cs="Calibri"/>
                <w:szCs w:val="22"/>
              </w:rPr>
              <w:t>GAM’s</w:t>
            </w:r>
          </w:p>
        </w:tc>
        <w:tc>
          <w:tcPr>
            <w:tcW w:w="6509" w:type="dxa"/>
          </w:tcPr>
          <w:p w14:paraId="57B81895" w14:textId="77777777" w:rsidR="00E540FF" w:rsidRPr="00482E98" w:rsidRDefault="00E540FF" w:rsidP="00E540FF">
            <w:pPr>
              <w:numPr>
                <w:ilvl w:val="0"/>
                <w:numId w:val="1"/>
              </w:numPr>
              <w:jc w:val="both"/>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482E98">
              <w:rPr>
                <w:rFonts w:ascii="Calibri" w:hAnsi="Calibri" w:cs="Calibri"/>
                <w:szCs w:val="22"/>
              </w:rPr>
              <w:t>Realiza el trabajo de campo para el levantamiento de datos</w:t>
            </w:r>
          </w:p>
          <w:p w14:paraId="4C93E5BE" w14:textId="77777777" w:rsidR="00E540FF" w:rsidRPr="00482E98" w:rsidRDefault="00E540FF" w:rsidP="00E540FF">
            <w:pPr>
              <w:numPr>
                <w:ilvl w:val="0"/>
                <w:numId w:val="1"/>
              </w:numPr>
              <w:jc w:val="both"/>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szCs w:val="22"/>
              </w:rPr>
              <w:t>Informa s</w:t>
            </w:r>
            <w:r w:rsidRPr="00482E98">
              <w:rPr>
                <w:rFonts w:ascii="Calibri" w:hAnsi="Calibri" w:cs="Calibri"/>
                <w:szCs w:val="22"/>
              </w:rPr>
              <w:t>us resultados a su GAD correspondiente</w:t>
            </w:r>
          </w:p>
        </w:tc>
      </w:tr>
      <w:tr w:rsidR="00E540FF" w:rsidRPr="00482E98" w14:paraId="0DB75010" w14:textId="77777777" w:rsidTr="00CB4BC4">
        <w:tc>
          <w:tcPr>
            <w:cnfStyle w:val="001000000000" w:firstRow="0" w:lastRow="0" w:firstColumn="1" w:lastColumn="0" w:oddVBand="0" w:evenVBand="0" w:oddHBand="0" w:evenHBand="0" w:firstRowFirstColumn="0" w:firstRowLastColumn="0" w:lastRowFirstColumn="0" w:lastRowLastColumn="0"/>
            <w:tcW w:w="1975" w:type="dxa"/>
            <w:vAlign w:val="center"/>
          </w:tcPr>
          <w:p w14:paraId="47F0F6EC" w14:textId="77777777" w:rsidR="00E540FF" w:rsidRPr="00482E98" w:rsidRDefault="00E540FF" w:rsidP="00CB4BC4">
            <w:pPr>
              <w:rPr>
                <w:rFonts w:ascii="Calibri" w:hAnsi="Calibri" w:cs="Calibri"/>
                <w:szCs w:val="22"/>
              </w:rPr>
            </w:pPr>
            <w:r w:rsidRPr="00482E98">
              <w:rPr>
                <w:rFonts w:ascii="Calibri" w:hAnsi="Calibri" w:cs="Calibri"/>
                <w:szCs w:val="22"/>
              </w:rPr>
              <w:t>Cooperantes</w:t>
            </w:r>
            <w:r>
              <w:rPr>
                <w:rFonts w:ascii="Calibri" w:hAnsi="Calibri" w:cs="Calibri"/>
                <w:szCs w:val="22"/>
              </w:rPr>
              <w:t xml:space="preserve"> / ONG</w:t>
            </w:r>
          </w:p>
        </w:tc>
        <w:tc>
          <w:tcPr>
            <w:tcW w:w="6509" w:type="dxa"/>
          </w:tcPr>
          <w:p w14:paraId="023D88D7" w14:textId="77777777" w:rsidR="00E540FF" w:rsidRPr="00482E98" w:rsidRDefault="00E540FF" w:rsidP="00E540FF">
            <w:pPr>
              <w:numPr>
                <w:ilvl w:val="0"/>
                <w:numId w:val="1"/>
              </w:numPr>
              <w:jc w:val="both"/>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482E98">
              <w:rPr>
                <w:rFonts w:ascii="Calibri" w:hAnsi="Calibri" w:cs="Calibri"/>
                <w:szCs w:val="22"/>
              </w:rPr>
              <w:t>Asistencia Técnica para apoyar la implementación de</w:t>
            </w:r>
            <w:r>
              <w:rPr>
                <w:rFonts w:ascii="Calibri" w:hAnsi="Calibri" w:cs="Calibri"/>
                <w:szCs w:val="22"/>
              </w:rPr>
              <w:t>l SIASAR</w:t>
            </w:r>
          </w:p>
        </w:tc>
      </w:tr>
    </w:tbl>
    <w:p w14:paraId="4C8732E2" w14:textId="77777777" w:rsidR="00E540FF" w:rsidRDefault="00E540FF" w:rsidP="00FE17E4">
      <w:pPr>
        <w:shd w:val="clear" w:color="auto" w:fill="FFFFFF"/>
        <w:jc w:val="both"/>
        <w:rPr>
          <w:rFonts w:cstheme="minorHAnsi"/>
          <w:bCs/>
          <w:lang w:eastAsia="es-HN"/>
        </w:rPr>
      </w:pPr>
    </w:p>
    <w:p w14:paraId="79B7D400" w14:textId="77777777" w:rsidR="00216915" w:rsidRDefault="00CB4BC4" w:rsidP="00216915">
      <w:pPr>
        <w:shd w:val="clear" w:color="auto" w:fill="FFFFFF"/>
        <w:jc w:val="both"/>
        <w:rPr>
          <w:rFonts w:cstheme="minorHAnsi"/>
          <w:bCs/>
          <w:lang w:eastAsia="es-HN"/>
        </w:rPr>
      </w:pPr>
      <w:r>
        <w:rPr>
          <w:rFonts w:cstheme="minorHAnsi"/>
          <w:bCs/>
          <w:lang w:eastAsia="es-HN"/>
        </w:rPr>
        <w:t xml:space="preserve">Para llevar a cabo esta estrategia y asegurar la participación de todos los actores, el MMAyA, dentro de su rol de líder de la iniciativa, desarrollará una serie de acciones de capacitación y fortalecimiento a los equipos tanto de los GAD como de los GAM, dado que ellos son una pieza clave para el avance de SIASAR. </w:t>
      </w:r>
    </w:p>
    <w:p w14:paraId="1C4D0448" w14:textId="77777777" w:rsidR="00310220" w:rsidRDefault="00310220" w:rsidP="00216915">
      <w:pPr>
        <w:shd w:val="clear" w:color="auto" w:fill="FFFFFF"/>
        <w:jc w:val="both"/>
        <w:rPr>
          <w:rFonts w:cstheme="minorHAnsi"/>
          <w:bCs/>
          <w:lang w:eastAsia="es-HN"/>
        </w:rPr>
      </w:pPr>
      <w:r>
        <w:rPr>
          <w:rFonts w:cstheme="minorHAnsi"/>
          <w:bCs/>
          <w:lang w:eastAsia="es-HN"/>
        </w:rPr>
        <w:t>El MMAyA también tiene el papel de trabajar en alianzas con cooperantes u organizaciones no gubernamentales para ver de qué forma pueden apoyar la implementación de SIASAR bien mediante la ejecución de levantamiento de datos, apoyo a municipios, departamentos o directamente al ministerio, apoyo financiero, etc.</w:t>
      </w:r>
    </w:p>
    <w:p w14:paraId="51A9F06F" w14:textId="77777777" w:rsidR="00CB4BC4" w:rsidRDefault="00340659" w:rsidP="00FE17E4">
      <w:pPr>
        <w:shd w:val="clear" w:color="auto" w:fill="FFFFFF"/>
        <w:jc w:val="both"/>
        <w:rPr>
          <w:rFonts w:cstheme="minorHAnsi"/>
          <w:bCs/>
          <w:lang w:eastAsia="es-HN"/>
        </w:rPr>
      </w:pPr>
      <w:r>
        <w:rPr>
          <w:rFonts w:cstheme="minorHAnsi"/>
          <w:bCs/>
          <w:lang w:eastAsia="es-HN"/>
        </w:rPr>
        <w:t xml:space="preserve">Además, el MMAyA está valorando </w:t>
      </w:r>
      <w:r w:rsidRPr="00340659">
        <w:rPr>
          <w:rFonts w:cstheme="minorHAnsi"/>
          <w:bCs/>
          <w:lang w:eastAsia="es-HN"/>
        </w:rPr>
        <w:t xml:space="preserve">condicionar inversiones del </w:t>
      </w:r>
      <w:r>
        <w:rPr>
          <w:rFonts w:cstheme="minorHAnsi"/>
          <w:bCs/>
          <w:lang w:eastAsia="es-HN"/>
        </w:rPr>
        <w:t>propio Viceministerio de Agua Potable y Saneamiento Básico hacia los municipios a que estos cuentes con información actualizada de SIASAR</w:t>
      </w:r>
      <w:r w:rsidRPr="00340659">
        <w:rPr>
          <w:rFonts w:cstheme="minorHAnsi"/>
          <w:bCs/>
          <w:lang w:eastAsia="es-HN"/>
        </w:rPr>
        <w:t xml:space="preserve">. Se entiende que todos los municipios </w:t>
      </w:r>
      <w:r>
        <w:rPr>
          <w:rFonts w:cstheme="minorHAnsi"/>
          <w:bCs/>
          <w:lang w:eastAsia="es-HN"/>
        </w:rPr>
        <w:t xml:space="preserve">tendrán </w:t>
      </w:r>
      <w:r w:rsidRPr="00340659">
        <w:rPr>
          <w:rFonts w:cstheme="minorHAnsi"/>
          <w:bCs/>
          <w:lang w:eastAsia="es-HN"/>
        </w:rPr>
        <w:t xml:space="preserve">técnicos municipales de agua y saneamiento </w:t>
      </w:r>
      <w:r>
        <w:rPr>
          <w:rFonts w:cstheme="minorHAnsi"/>
          <w:bCs/>
          <w:lang w:eastAsia="es-HN"/>
        </w:rPr>
        <w:t xml:space="preserve">que serán capacitados y fortalecidos por el MMAyA por lo que adquirirán </w:t>
      </w:r>
      <w:r w:rsidRPr="00340659">
        <w:rPr>
          <w:rFonts w:cstheme="minorHAnsi"/>
          <w:bCs/>
          <w:lang w:eastAsia="es-HN"/>
        </w:rPr>
        <w:t xml:space="preserve">la capacidad técnica de </w:t>
      </w:r>
      <w:r>
        <w:rPr>
          <w:rFonts w:cstheme="minorHAnsi"/>
          <w:bCs/>
          <w:lang w:eastAsia="es-HN"/>
        </w:rPr>
        <w:t xml:space="preserve">integrar SIASAR en su rutina de trabajo y </w:t>
      </w:r>
      <w:r w:rsidRPr="00340659">
        <w:rPr>
          <w:rFonts w:cstheme="minorHAnsi"/>
          <w:bCs/>
          <w:lang w:eastAsia="es-HN"/>
        </w:rPr>
        <w:t xml:space="preserve">actualizar </w:t>
      </w:r>
      <w:r>
        <w:rPr>
          <w:rFonts w:cstheme="minorHAnsi"/>
          <w:bCs/>
          <w:lang w:eastAsia="es-HN"/>
        </w:rPr>
        <w:t xml:space="preserve">de manera autónoma </w:t>
      </w:r>
      <w:r w:rsidRPr="00340659">
        <w:rPr>
          <w:rFonts w:cstheme="minorHAnsi"/>
          <w:bCs/>
          <w:lang w:eastAsia="es-HN"/>
        </w:rPr>
        <w:t>la información de SIASAR.</w:t>
      </w:r>
      <w:r>
        <w:rPr>
          <w:rFonts w:cstheme="minorHAnsi"/>
          <w:bCs/>
          <w:lang w:eastAsia="es-HN"/>
        </w:rPr>
        <w:t xml:space="preserve"> </w:t>
      </w:r>
    </w:p>
    <w:p w14:paraId="7F79A797" w14:textId="77777777" w:rsidR="00D87140" w:rsidRPr="00107E1D" w:rsidRDefault="00107E1D" w:rsidP="00FE17E4">
      <w:pPr>
        <w:shd w:val="clear" w:color="auto" w:fill="FFFFFF"/>
        <w:jc w:val="both"/>
        <w:rPr>
          <w:rFonts w:cstheme="minorHAnsi"/>
          <w:b/>
          <w:bCs/>
          <w:lang w:eastAsia="es-HN"/>
        </w:rPr>
      </w:pPr>
      <w:r w:rsidRPr="00107E1D">
        <w:rPr>
          <w:rFonts w:cstheme="minorHAnsi"/>
          <w:b/>
          <w:bCs/>
          <w:lang w:eastAsia="es-HN"/>
        </w:rPr>
        <w:t>Avances en 2016 y 2017</w:t>
      </w:r>
    </w:p>
    <w:p w14:paraId="791F40D1" w14:textId="77777777" w:rsidR="00AE4ACA" w:rsidRDefault="003803D5" w:rsidP="003803D5">
      <w:pPr>
        <w:shd w:val="clear" w:color="auto" w:fill="FFFFFF"/>
        <w:jc w:val="both"/>
        <w:rPr>
          <w:rFonts w:cstheme="minorHAnsi"/>
          <w:bCs/>
          <w:lang w:eastAsia="es-HN"/>
        </w:rPr>
      </w:pPr>
      <w:r>
        <w:rPr>
          <w:rFonts w:cstheme="minorHAnsi"/>
          <w:bCs/>
          <w:lang w:eastAsia="es-HN"/>
        </w:rPr>
        <w:lastRenderedPageBreak/>
        <w:t>Desde mediados de 2016 Bolivia comenzó su preparación institucional para implementar SIASAR</w:t>
      </w:r>
      <w:r w:rsidR="00AE4ACA">
        <w:rPr>
          <w:rFonts w:cstheme="minorHAnsi"/>
          <w:bCs/>
          <w:lang w:eastAsia="es-HN"/>
        </w:rPr>
        <w:t>:</w:t>
      </w:r>
      <w:r>
        <w:rPr>
          <w:rFonts w:cstheme="minorHAnsi"/>
          <w:bCs/>
          <w:lang w:eastAsia="es-HN"/>
        </w:rPr>
        <w:t xml:space="preserve"> </w:t>
      </w:r>
    </w:p>
    <w:p w14:paraId="3F068098" w14:textId="77777777" w:rsidR="00AE4ACA" w:rsidRDefault="003803D5" w:rsidP="00310BBF">
      <w:pPr>
        <w:pStyle w:val="ListParagraph"/>
        <w:numPr>
          <w:ilvl w:val="0"/>
          <w:numId w:val="1"/>
        </w:numPr>
        <w:shd w:val="clear" w:color="auto" w:fill="FFFFFF"/>
        <w:jc w:val="both"/>
        <w:rPr>
          <w:rFonts w:cstheme="minorHAnsi"/>
          <w:bCs/>
          <w:lang w:eastAsia="es-HN"/>
        </w:rPr>
      </w:pPr>
      <w:r w:rsidRPr="00310BBF">
        <w:rPr>
          <w:rFonts w:cstheme="minorHAnsi"/>
          <w:bCs/>
          <w:lang w:eastAsia="es-HN"/>
        </w:rPr>
        <w:t xml:space="preserve">El MMAyA como institución líder designó y capacitó a un equipo de técnicos sectoriales e informáticos para coordinar la iniciativa, hacer de enlace con otros países y ser la referencia para las otras instituciones en el país. </w:t>
      </w:r>
    </w:p>
    <w:p w14:paraId="77802BFF" w14:textId="77777777" w:rsidR="00AE4ACA" w:rsidRDefault="00AE4ACA" w:rsidP="00310BBF">
      <w:pPr>
        <w:pStyle w:val="ListParagraph"/>
        <w:numPr>
          <w:ilvl w:val="0"/>
          <w:numId w:val="1"/>
        </w:numPr>
        <w:shd w:val="clear" w:color="auto" w:fill="FFFFFF"/>
        <w:jc w:val="both"/>
        <w:rPr>
          <w:rFonts w:cstheme="minorHAnsi"/>
          <w:bCs/>
          <w:lang w:eastAsia="es-HN"/>
        </w:rPr>
      </w:pPr>
      <w:r w:rsidRPr="00AE4ACA">
        <w:rPr>
          <w:rFonts w:cstheme="minorHAnsi"/>
          <w:bCs/>
          <w:lang w:eastAsia="es-HN"/>
        </w:rPr>
        <w:t xml:space="preserve">El equipo del MMAyA </w:t>
      </w:r>
      <w:r w:rsidR="003803D5" w:rsidRPr="00310BBF">
        <w:rPr>
          <w:rFonts w:cstheme="minorHAnsi"/>
          <w:bCs/>
          <w:lang w:eastAsia="es-HN"/>
        </w:rPr>
        <w:t>ha levantado algunos datos piloto, validado información, gestionado la plataforma IT y los usuarios, coordinado acciones con departamentos, instituciones y ONG, y también está impulsando los diferentes pilotos y levantamientos en marcha.</w:t>
      </w:r>
    </w:p>
    <w:p w14:paraId="0B24BB3E" w14:textId="77777777" w:rsidR="003803D5" w:rsidRPr="00AE4ACA" w:rsidRDefault="003803D5" w:rsidP="00310BBF">
      <w:pPr>
        <w:pStyle w:val="ListParagraph"/>
        <w:numPr>
          <w:ilvl w:val="0"/>
          <w:numId w:val="1"/>
        </w:numPr>
        <w:shd w:val="clear" w:color="auto" w:fill="FFFFFF"/>
        <w:jc w:val="both"/>
        <w:rPr>
          <w:rFonts w:cstheme="minorHAnsi"/>
          <w:bCs/>
          <w:lang w:eastAsia="es-HN"/>
        </w:rPr>
      </w:pPr>
      <w:r w:rsidRPr="00AE4ACA">
        <w:rPr>
          <w:rFonts w:cstheme="minorHAnsi"/>
          <w:bCs/>
          <w:lang w:eastAsia="es-HN"/>
        </w:rPr>
        <w:t>Institucionalmente, en diciembre de 2016 se incluyó a SIASAR en la Estrategia Nacional de Agua y Saneamiento para el Enfoque Sectorial Rural y Pequeñas Localidades 2017 como el sistema de información oficial del Ministerio de Medio Ambiente y Agua.</w:t>
      </w:r>
    </w:p>
    <w:p w14:paraId="28C5BC3C" w14:textId="343DBEB0" w:rsidR="00DA00F4" w:rsidRDefault="003803D5">
      <w:pPr>
        <w:shd w:val="clear" w:color="auto" w:fill="FFFFFF"/>
        <w:jc w:val="both"/>
        <w:rPr>
          <w:rFonts w:cstheme="minorHAnsi"/>
          <w:bCs/>
          <w:lang w:eastAsia="es-HN"/>
        </w:rPr>
      </w:pPr>
      <w:r>
        <w:rPr>
          <w:rFonts w:cstheme="minorHAnsi"/>
          <w:bCs/>
          <w:lang w:eastAsia="es-HN"/>
        </w:rPr>
        <w:t xml:space="preserve">Tras una </w:t>
      </w:r>
      <w:r w:rsidR="00107E1D">
        <w:rPr>
          <w:rFonts w:cstheme="minorHAnsi"/>
          <w:bCs/>
          <w:lang w:eastAsia="es-HN"/>
        </w:rPr>
        <w:t xml:space="preserve">primera fase de </w:t>
      </w:r>
      <w:r w:rsidR="00AE4ACA">
        <w:rPr>
          <w:rFonts w:cstheme="minorHAnsi"/>
          <w:bCs/>
          <w:lang w:eastAsia="es-HN"/>
        </w:rPr>
        <w:t xml:space="preserve">preparación e </w:t>
      </w:r>
      <w:r w:rsidR="00107E1D">
        <w:rPr>
          <w:rFonts w:cstheme="minorHAnsi"/>
          <w:bCs/>
          <w:lang w:eastAsia="es-HN"/>
        </w:rPr>
        <w:t xml:space="preserve">implementación </w:t>
      </w:r>
      <w:r>
        <w:rPr>
          <w:rFonts w:cstheme="minorHAnsi"/>
          <w:bCs/>
          <w:lang w:eastAsia="es-HN"/>
        </w:rPr>
        <w:t>de SIASAR</w:t>
      </w:r>
      <w:r w:rsidR="00AE4ACA">
        <w:rPr>
          <w:rFonts w:cstheme="minorHAnsi"/>
          <w:bCs/>
          <w:lang w:eastAsia="es-HN"/>
        </w:rPr>
        <w:t xml:space="preserve">, se </w:t>
      </w:r>
      <w:r w:rsidR="00107E1D">
        <w:rPr>
          <w:rFonts w:cstheme="minorHAnsi"/>
          <w:bCs/>
          <w:lang w:eastAsia="es-HN"/>
        </w:rPr>
        <w:t>desarrolla</w:t>
      </w:r>
      <w:r w:rsidR="00AE4ACA">
        <w:rPr>
          <w:rFonts w:cstheme="minorHAnsi"/>
          <w:bCs/>
          <w:lang w:eastAsia="es-HN"/>
        </w:rPr>
        <w:t xml:space="preserve">ron </w:t>
      </w:r>
      <w:r w:rsidR="00107E1D">
        <w:rPr>
          <w:rFonts w:cstheme="minorHAnsi"/>
          <w:bCs/>
          <w:lang w:eastAsia="es-HN"/>
        </w:rPr>
        <w:t>una serie de pilotos con el apoyo de varias ONG y de la cooperación. Estos pilotos se prepararon a final de 2016 y se desarrollaron durante el primer semestre de 2017 y permitieron recoger toda una serie de lecciones aprendidas para las siguientes fases de la iniciativa, así como cuantificar mejor los tiempos de levantamiento promedio en el país.</w:t>
      </w:r>
      <w:r w:rsidR="00AE4ACA">
        <w:rPr>
          <w:rFonts w:cstheme="minorHAnsi"/>
          <w:bCs/>
          <w:lang w:eastAsia="es-HN"/>
        </w:rPr>
        <w:t xml:space="preserve"> Hasta el momento</w:t>
      </w:r>
      <w:r w:rsidR="00DA00F4">
        <w:rPr>
          <w:rFonts w:cstheme="minorHAnsi"/>
          <w:bCs/>
          <w:lang w:eastAsia="es-HN"/>
        </w:rPr>
        <w:t xml:space="preserve"> se han realizado tres </w:t>
      </w:r>
      <w:r w:rsidR="00AE4ACA">
        <w:rPr>
          <w:rFonts w:cstheme="minorHAnsi"/>
          <w:bCs/>
          <w:lang w:eastAsia="es-HN"/>
        </w:rPr>
        <w:t>pilotos:</w:t>
      </w:r>
      <w:r w:rsidR="00DA00F4">
        <w:rPr>
          <w:rFonts w:cstheme="minorHAnsi"/>
          <w:bCs/>
          <w:lang w:eastAsia="es-HN"/>
        </w:rPr>
        <w:t xml:space="preserve"> </w:t>
      </w:r>
    </w:p>
    <w:p w14:paraId="44D30943" w14:textId="10F9EBB4" w:rsidR="00DA00F4" w:rsidRPr="001D20CD" w:rsidRDefault="00DA00F4" w:rsidP="001D20CD">
      <w:pPr>
        <w:pStyle w:val="ListParagraph"/>
        <w:numPr>
          <w:ilvl w:val="0"/>
          <w:numId w:val="1"/>
        </w:numPr>
        <w:shd w:val="clear" w:color="auto" w:fill="FFFFFF"/>
        <w:jc w:val="both"/>
        <w:rPr>
          <w:rFonts w:cstheme="minorHAnsi"/>
          <w:bCs/>
          <w:lang w:eastAsia="es-HN"/>
        </w:rPr>
      </w:pPr>
      <w:r w:rsidRPr="00DA00F4">
        <w:rPr>
          <w:rFonts w:cstheme="minorHAnsi"/>
          <w:bCs/>
          <w:lang w:eastAsia="es-HN"/>
        </w:rPr>
        <w:t xml:space="preserve">Con la colaboración de </w:t>
      </w:r>
      <w:r>
        <w:rPr>
          <w:rFonts w:cstheme="minorHAnsi"/>
          <w:bCs/>
          <w:lang w:eastAsia="es-HN"/>
        </w:rPr>
        <w:t>Water for People</w:t>
      </w:r>
      <w:r w:rsidRPr="00DA00F4">
        <w:rPr>
          <w:rFonts w:cstheme="minorHAnsi"/>
          <w:bCs/>
          <w:lang w:eastAsia="es-HN"/>
        </w:rPr>
        <w:t xml:space="preserve"> se</w:t>
      </w:r>
      <w:r w:rsidR="001D20CD">
        <w:rPr>
          <w:rFonts w:cstheme="minorHAnsi"/>
          <w:bCs/>
          <w:lang w:eastAsia="es-HN"/>
        </w:rPr>
        <w:t xml:space="preserve"> </w:t>
      </w:r>
      <w:r w:rsidR="00AE4ACA">
        <w:rPr>
          <w:rFonts w:cstheme="minorHAnsi"/>
          <w:bCs/>
          <w:lang w:eastAsia="es-HN"/>
        </w:rPr>
        <w:t>está</w:t>
      </w:r>
      <w:r w:rsidR="001D20CD">
        <w:rPr>
          <w:rFonts w:cstheme="minorHAnsi"/>
          <w:bCs/>
          <w:lang w:eastAsia="es-HN"/>
        </w:rPr>
        <w:t xml:space="preserve"> realizando</w:t>
      </w:r>
      <w:r w:rsidRPr="001D20CD">
        <w:rPr>
          <w:rFonts w:cstheme="minorHAnsi"/>
          <w:bCs/>
          <w:lang w:eastAsia="es-HN"/>
        </w:rPr>
        <w:t xml:space="preserve"> el levantamiento en 5 Municipios del Departamento de Oruro y 4 Municipios del Departamento de Tarija</w:t>
      </w:r>
      <w:r w:rsidR="00AE4ACA">
        <w:rPr>
          <w:rFonts w:cstheme="minorHAnsi"/>
          <w:bCs/>
          <w:lang w:eastAsia="es-HN"/>
        </w:rPr>
        <w:t>. A mediados de 2017 este</w:t>
      </w:r>
      <w:r w:rsidR="001D20CD">
        <w:rPr>
          <w:rFonts w:cstheme="minorHAnsi"/>
          <w:bCs/>
          <w:lang w:eastAsia="es-HN"/>
        </w:rPr>
        <w:t xml:space="preserve"> piloto se encuentra en la etapa de control de calidad</w:t>
      </w:r>
      <w:r w:rsidRPr="001D20CD">
        <w:rPr>
          <w:rFonts w:cstheme="minorHAnsi"/>
          <w:bCs/>
          <w:lang w:eastAsia="es-HN"/>
        </w:rPr>
        <w:t xml:space="preserve">. </w:t>
      </w:r>
    </w:p>
    <w:p w14:paraId="6F172368" w14:textId="60BCB4AF" w:rsidR="003803D5" w:rsidRDefault="00DA00F4" w:rsidP="001D20CD">
      <w:pPr>
        <w:pStyle w:val="ListParagraph"/>
        <w:numPr>
          <w:ilvl w:val="0"/>
          <w:numId w:val="1"/>
        </w:numPr>
        <w:shd w:val="clear" w:color="auto" w:fill="FFFFFF"/>
        <w:jc w:val="both"/>
        <w:rPr>
          <w:rFonts w:cstheme="minorHAnsi"/>
          <w:bCs/>
          <w:lang w:eastAsia="es-HN"/>
        </w:rPr>
      </w:pPr>
      <w:r w:rsidRPr="001D20CD">
        <w:rPr>
          <w:rFonts w:cstheme="minorHAnsi"/>
          <w:bCs/>
          <w:lang w:eastAsia="es-HN"/>
        </w:rPr>
        <w:t>Con la colaboración de UNICEF se realizó el levantamiento de información en</w:t>
      </w:r>
      <w:r w:rsidR="001D20CD" w:rsidRPr="001D20CD">
        <w:rPr>
          <w:rFonts w:cstheme="minorHAnsi"/>
          <w:bCs/>
          <w:lang w:eastAsia="es-HN"/>
        </w:rPr>
        <w:t xml:space="preserve"> 21 comunidades del</w:t>
      </w:r>
      <w:r w:rsidR="00AE4ACA">
        <w:rPr>
          <w:rFonts w:cstheme="minorHAnsi"/>
          <w:bCs/>
          <w:lang w:eastAsia="es-HN"/>
        </w:rPr>
        <w:t xml:space="preserve"> </w:t>
      </w:r>
      <w:r w:rsidRPr="001D20CD">
        <w:rPr>
          <w:rFonts w:cstheme="minorHAnsi"/>
          <w:bCs/>
          <w:lang w:eastAsia="es-HN"/>
        </w:rPr>
        <w:t xml:space="preserve">Municipio de </w:t>
      </w:r>
      <w:r w:rsidR="001D20CD" w:rsidRPr="001D20CD">
        <w:rPr>
          <w:rFonts w:cstheme="minorHAnsi"/>
          <w:bCs/>
          <w:lang w:eastAsia="es-HN"/>
        </w:rPr>
        <w:t xml:space="preserve">Icla del </w:t>
      </w:r>
      <w:r w:rsidRPr="001D20CD">
        <w:rPr>
          <w:rFonts w:cstheme="minorHAnsi"/>
          <w:bCs/>
          <w:lang w:eastAsia="es-HN"/>
        </w:rPr>
        <w:t>Departamento de Chuquisaca</w:t>
      </w:r>
    </w:p>
    <w:p w14:paraId="1C8EFE7D" w14:textId="77777777" w:rsidR="00DA00F4" w:rsidRDefault="00DA00F4" w:rsidP="001D20CD">
      <w:pPr>
        <w:pStyle w:val="ListParagraph"/>
        <w:numPr>
          <w:ilvl w:val="0"/>
          <w:numId w:val="1"/>
        </w:numPr>
        <w:shd w:val="clear" w:color="auto" w:fill="FFFFFF"/>
        <w:jc w:val="both"/>
        <w:rPr>
          <w:rFonts w:cstheme="minorHAnsi"/>
          <w:bCs/>
          <w:lang w:eastAsia="es-HN"/>
        </w:rPr>
      </w:pPr>
      <w:r w:rsidRPr="001D20CD">
        <w:rPr>
          <w:rFonts w:cstheme="minorHAnsi"/>
          <w:bCs/>
          <w:lang w:eastAsia="es-HN"/>
        </w:rPr>
        <w:t xml:space="preserve">Con la colaboración del Banco Mundial se realizó el levantamiento </w:t>
      </w:r>
      <w:r w:rsidR="001D20CD">
        <w:rPr>
          <w:rFonts w:cstheme="minorHAnsi"/>
          <w:bCs/>
          <w:lang w:eastAsia="es-HN"/>
        </w:rPr>
        <w:t xml:space="preserve">de 141 comunidades en </w:t>
      </w:r>
      <w:r w:rsidRPr="001D20CD">
        <w:rPr>
          <w:rFonts w:cstheme="minorHAnsi"/>
          <w:bCs/>
          <w:lang w:eastAsia="es-HN"/>
        </w:rPr>
        <w:t>3 Municipios del Departamento de Potosí</w:t>
      </w:r>
      <w:r w:rsidR="001D20CD">
        <w:rPr>
          <w:rFonts w:cstheme="minorHAnsi"/>
          <w:bCs/>
          <w:lang w:eastAsia="es-HN"/>
        </w:rPr>
        <w:t>: Arampampa, Caripuyo y Toro Toro</w:t>
      </w:r>
      <w:r w:rsidRPr="001D20CD">
        <w:rPr>
          <w:rFonts w:cstheme="minorHAnsi"/>
          <w:bCs/>
          <w:lang w:eastAsia="es-HN"/>
        </w:rPr>
        <w:t>.</w:t>
      </w:r>
      <w:r w:rsidR="00AE4ACA">
        <w:rPr>
          <w:rFonts w:cstheme="minorHAnsi"/>
          <w:bCs/>
          <w:lang w:eastAsia="es-HN"/>
        </w:rPr>
        <w:t xml:space="preserve"> Este piloto está concluido y sus datos revisados.</w:t>
      </w:r>
    </w:p>
    <w:p w14:paraId="34C5B9C2" w14:textId="77777777" w:rsidR="00AE4ACA" w:rsidRPr="00310BBF" w:rsidRDefault="00AE4ACA" w:rsidP="00310BBF">
      <w:pPr>
        <w:shd w:val="clear" w:color="auto" w:fill="FFFFFF"/>
        <w:jc w:val="both"/>
        <w:rPr>
          <w:rFonts w:cstheme="minorHAnsi"/>
          <w:bCs/>
          <w:lang w:eastAsia="es-HN"/>
        </w:rPr>
      </w:pPr>
      <w:r>
        <w:rPr>
          <w:rFonts w:cstheme="minorHAnsi"/>
          <w:bCs/>
          <w:lang w:eastAsia="es-HN"/>
        </w:rPr>
        <w:t>A partir de estas primeras fases, el siguiente paso es escalar el levantamiento de información para conseguir un mayor alcance. Se está trabajando con socios como AECID, BID, BM, entre otros, para conseguir apoyo en un levantamiento de información de mayor alcance en diferentes departamentos del país.</w:t>
      </w:r>
    </w:p>
    <w:p w14:paraId="1FD90D00" w14:textId="77777777" w:rsidR="000A43BB" w:rsidRPr="000A43BB" w:rsidRDefault="00DA00F4" w:rsidP="00DA00F4">
      <w:pPr>
        <w:shd w:val="clear" w:color="auto" w:fill="FFFFFF"/>
        <w:jc w:val="both"/>
        <w:rPr>
          <w:rFonts w:cstheme="minorHAnsi"/>
          <w:b/>
          <w:bCs/>
          <w:lang w:eastAsia="es-HN"/>
        </w:rPr>
      </w:pPr>
      <w:r w:rsidRPr="000A43BB">
        <w:rPr>
          <w:rFonts w:cstheme="minorHAnsi"/>
          <w:b/>
          <w:bCs/>
          <w:lang w:eastAsia="es-HN"/>
        </w:rPr>
        <w:t xml:space="preserve">Alcance del levantamiento previsto en el </w:t>
      </w:r>
      <w:r w:rsidR="000A43BB" w:rsidRPr="000A43BB">
        <w:rPr>
          <w:rFonts w:cstheme="minorHAnsi"/>
          <w:b/>
          <w:bCs/>
          <w:lang w:eastAsia="es-HN"/>
        </w:rPr>
        <w:t>PLyCR II</w:t>
      </w:r>
    </w:p>
    <w:p w14:paraId="64D47936" w14:textId="3EBB0DE2" w:rsidR="00AE4ACA" w:rsidRDefault="00AE4ACA">
      <w:pPr>
        <w:shd w:val="clear" w:color="auto" w:fill="FFFFFF"/>
        <w:jc w:val="both"/>
        <w:rPr>
          <w:rFonts w:cstheme="minorHAnsi"/>
          <w:bCs/>
          <w:lang w:eastAsia="es-HN"/>
        </w:rPr>
      </w:pPr>
      <w:r>
        <w:rPr>
          <w:rFonts w:cstheme="minorHAnsi"/>
          <w:bCs/>
          <w:lang w:eastAsia="es-HN"/>
        </w:rPr>
        <w:t xml:space="preserve">Dentro de esta nueva fase de SIASAR en Bolivia se ubica el componente de SIASAR que forma parte del nuevo </w:t>
      </w:r>
      <w:r w:rsidR="00DA00F4">
        <w:rPr>
          <w:rFonts w:cstheme="minorHAnsi"/>
          <w:bCs/>
          <w:lang w:eastAsia="es-HN"/>
        </w:rPr>
        <w:t>P</w:t>
      </w:r>
      <w:r w:rsidR="000A43BB">
        <w:rPr>
          <w:rFonts w:cstheme="minorHAnsi"/>
          <w:bCs/>
          <w:lang w:eastAsia="es-HN"/>
        </w:rPr>
        <w:t>rograma de Agua Potable y Saneamiento para Pequeñas Localidades y Comunidades Rurales de Bolivia II</w:t>
      </w:r>
      <w:r>
        <w:rPr>
          <w:rFonts w:cstheme="minorHAnsi"/>
          <w:bCs/>
          <w:lang w:eastAsia="es-HN"/>
        </w:rPr>
        <w:t xml:space="preserve">. En esta operación </w:t>
      </w:r>
      <w:r w:rsidR="000A43BB">
        <w:rPr>
          <w:rFonts w:cstheme="minorHAnsi"/>
          <w:bCs/>
          <w:lang w:eastAsia="es-HN"/>
        </w:rPr>
        <w:t xml:space="preserve">está previsto un levantamiento </w:t>
      </w:r>
      <w:r>
        <w:rPr>
          <w:rFonts w:cstheme="minorHAnsi"/>
          <w:bCs/>
          <w:lang w:eastAsia="es-HN"/>
        </w:rPr>
        <w:t xml:space="preserve">de mayor alcance que los pilotos iniciales dado que se prevén levantar </w:t>
      </w:r>
      <w:r w:rsidR="000A43BB">
        <w:rPr>
          <w:rFonts w:cstheme="minorHAnsi"/>
          <w:bCs/>
          <w:lang w:eastAsia="es-HN"/>
        </w:rPr>
        <w:t xml:space="preserve">23 municipios </w:t>
      </w:r>
      <w:r>
        <w:rPr>
          <w:rFonts w:cstheme="minorHAnsi"/>
          <w:bCs/>
          <w:lang w:eastAsia="es-HN"/>
        </w:rPr>
        <w:t xml:space="preserve">completos </w:t>
      </w:r>
      <w:r w:rsidR="000A43BB">
        <w:rPr>
          <w:rFonts w:cstheme="minorHAnsi"/>
          <w:bCs/>
          <w:lang w:eastAsia="es-HN"/>
        </w:rPr>
        <w:t xml:space="preserve">del país, lo cual dará un impulso importante a la iniciativa. </w:t>
      </w:r>
    </w:p>
    <w:p w14:paraId="463B0002" w14:textId="77777777" w:rsidR="00DA00F4" w:rsidRDefault="000A43BB">
      <w:pPr>
        <w:shd w:val="clear" w:color="auto" w:fill="FFFFFF"/>
        <w:jc w:val="both"/>
        <w:rPr>
          <w:rFonts w:cstheme="minorHAnsi"/>
          <w:bCs/>
          <w:lang w:eastAsia="es-HN"/>
        </w:rPr>
      </w:pPr>
      <w:r>
        <w:rPr>
          <w:rFonts w:cstheme="minorHAnsi"/>
          <w:bCs/>
          <w:lang w:eastAsia="es-HN"/>
        </w:rPr>
        <w:t>En una primera fase se levantarán 13 municipios que suman 1.098 comunidades rurales, y en una segunda fase se esperan levantar otras 500. Con este avance el alcance del levantamiento sería de unas 1.598 comunidades, el 8,33% del total del país.</w:t>
      </w:r>
    </w:p>
    <w:p w14:paraId="144DEC75" w14:textId="3BD3F3E8" w:rsidR="0056479B" w:rsidRPr="00DA00F4" w:rsidRDefault="00AE4ACA" w:rsidP="00DA00F4">
      <w:pPr>
        <w:shd w:val="clear" w:color="auto" w:fill="FFFFFF"/>
        <w:jc w:val="both"/>
        <w:rPr>
          <w:rFonts w:cstheme="minorHAnsi"/>
          <w:bCs/>
          <w:lang w:eastAsia="es-HN"/>
        </w:rPr>
      </w:pPr>
      <w:r>
        <w:rPr>
          <w:rFonts w:cstheme="minorHAnsi"/>
          <w:bCs/>
          <w:lang w:eastAsia="es-HN"/>
        </w:rPr>
        <w:t xml:space="preserve">Esta operación contempla además un trabajo con el MMAyA para facilitar la implementación real de SIASAR en los municipios objeto de levantamiento, con el propósito de que SIASAR pueda ser para ellos una herramienta real de gestión de sus servicios de agua y saneamiento rural, monitoreo de la situación de los mismos y planificación de acciones tanto preventivas como correctivas. Está previsto que el equipo del MMAyA en coordinación con otras </w:t>
      </w:r>
      <w:r>
        <w:rPr>
          <w:rFonts w:cstheme="minorHAnsi"/>
          <w:bCs/>
          <w:lang w:eastAsia="es-HN"/>
        </w:rPr>
        <w:lastRenderedPageBreak/>
        <w:t>instituciones pueda dar un acompañamiento a los técnicos municipales y un fortalecimiento de sus capacidades, así como la dotación de instrumental básico de levantamiento de información y de parámetros mínimos de calidad de agua.</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13"/>
        <w:gridCol w:w="1213"/>
        <w:gridCol w:w="1214"/>
        <w:gridCol w:w="1213"/>
        <w:gridCol w:w="1214"/>
        <w:gridCol w:w="1214"/>
        <w:gridCol w:w="1213"/>
        <w:gridCol w:w="1213"/>
      </w:tblGrid>
      <w:tr w:rsidR="00AE4ACA" w:rsidRPr="000A43BB" w14:paraId="34380CAC" w14:textId="77777777" w:rsidTr="00310BBF">
        <w:trPr>
          <w:trHeight w:val="20"/>
          <w:jc w:val="center"/>
        </w:trPr>
        <w:tc>
          <w:tcPr>
            <w:tcW w:w="1213" w:type="dxa"/>
            <w:shd w:val="clear" w:color="000000" w:fill="CCECFF"/>
            <w:vAlign w:val="center"/>
            <w:hideMark/>
          </w:tcPr>
          <w:p w14:paraId="0C74F908" w14:textId="77777777" w:rsidR="00AE4ACA" w:rsidRPr="000A43BB" w:rsidRDefault="00AE4ACA" w:rsidP="00310BBF">
            <w:pPr>
              <w:pStyle w:val="NoSpacing"/>
              <w:jc w:val="center"/>
              <w:rPr>
                <w:sz w:val="16"/>
                <w:szCs w:val="16"/>
                <w:lang w:eastAsia="es-BO"/>
              </w:rPr>
            </w:pPr>
            <w:r w:rsidRPr="000A43BB">
              <w:rPr>
                <w:sz w:val="16"/>
                <w:szCs w:val="16"/>
                <w:lang w:eastAsia="es-BO"/>
              </w:rPr>
              <w:t>Departamento</w:t>
            </w:r>
          </w:p>
        </w:tc>
        <w:tc>
          <w:tcPr>
            <w:tcW w:w="1213" w:type="dxa"/>
            <w:shd w:val="clear" w:color="000000" w:fill="CCECFF"/>
            <w:vAlign w:val="center"/>
            <w:hideMark/>
          </w:tcPr>
          <w:p w14:paraId="7E82680B" w14:textId="77777777" w:rsidR="00AE4ACA" w:rsidRPr="000A43BB" w:rsidRDefault="00AE4ACA">
            <w:pPr>
              <w:pStyle w:val="NoSpacing"/>
              <w:jc w:val="center"/>
              <w:rPr>
                <w:sz w:val="16"/>
                <w:szCs w:val="16"/>
                <w:lang w:eastAsia="es-BO"/>
              </w:rPr>
            </w:pPr>
            <w:r w:rsidRPr="000A43BB">
              <w:rPr>
                <w:sz w:val="16"/>
                <w:szCs w:val="16"/>
                <w:lang w:eastAsia="es-BO"/>
              </w:rPr>
              <w:t>Total Municipios</w:t>
            </w:r>
          </w:p>
        </w:tc>
        <w:tc>
          <w:tcPr>
            <w:tcW w:w="1214" w:type="dxa"/>
            <w:shd w:val="clear" w:color="000000" w:fill="CCECFF"/>
            <w:vAlign w:val="center"/>
            <w:hideMark/>
          </w:tcPr>
          <w:p w14:paraId="6BDE5A6A" w14:textId="77777777" w:rsidR="00AE4ACA" w:rsidRPr="000A43BB" w:rsidRDefault="00AE4ACA">
            <w:pPr>
              <w:pStyle w:val="NoSpacing"/>
              <w:jc w:val="center"/>
              <w:rPr>
                <w:sz w:val="16"/>
                <w:szCs w:val="16"/>
                <w:lang w:eastAsia="es-BO"/>
              </w:rPr>
            </w:pPr>
            <w:r w:rsidRPr="000A43BB">
              <w:rPr>
                <w:sz w:val="16"/>
                <w:szCs w:val="16"/>
                <w:lang w:eastAsia="es-BO"/>
              </w:rPr>
              <w:t>Total Comunidades</w:t>
            </w:r>
          </w:p>
        </w:tc>
        <w:tc>
          <w:tcPr>
            <w:tcW w:w="1213" w:type="dxa"/>
            <w:shd w:val="clear" w:color="000000" w:fill="CCECFF"/>
            <w:vAlign w:val="center"/>
          </w:tcPr>
          <w:p w14:paraId="4C3F8E6A" w14:textId="77777777" w:rsidR="00AE4ACA" w:rsidRPr="000A43BB" w:rsidRDefault="00AE4ACA">
            <w:pPr>
              <w:pStyle w:val="NoSpacing"/>
              <w:jc w:val="center"/>
              <w:rPr>
                <w:sz w:val="16"/>
                <w:szCs w:val="16"/>
                <w:lang w:eastAsia="es-BO"/>
              </w:rPr>
            </w:pPr>
            <w:r w:rsidRPr="000A43BB">
              <w:rPr>
                <w:sz w:val="16"/>
                <w:szCs w:val="16"/>
                <w:lang w:eastAsia="es-BO"/>
              </w:rPr>
              <w:t>Comunidades levantadas en pilotos</w:t>
            </w:r>
          </w:p>
        </w:tc>
        <w:tc>
          <w:tcPr>
            <w:tcW w:w="1214" w:type="dxa"/>
            <w:shd w:val="clear" w:color="000000" w:fill="CCECFF"/>
            <w:vAlign w:val="center"/>
          </w:tcPr>
          <w:p w14:paraId="3D4766BA" w14:textId="77777777" w:rsidR="00AE4ACA" w:rsidRPr="000A43BB" w:rsidRDefault="00AE4ACA">
            <w:pPr>
              <w:pStyle w:val="NoSpacing"/>
              <w:jc w:val="center"/>
              <w:rPr>
                <w:sz w:val="16"/>
                <w:szCs w:val="16"/>
                <w:lang w:eastAsia="es-BO"/>
              </w:rPr>
            </w:pPr>
            <w:r>
              <w:rPr>
                <w:sz w:val="16"/>
                <w:szCs w:val="16"/>
                <w:lang w:eastAsia="es-BO"/>
              </w:rPr>
              <w:t>Comunidades previstas con otros programas</w:t>
            </w:r>
          </w:p>
        </w:tc>
        <w:tc>
          <w:tcPr>
            <w:tcW w:w="1214" w:type="dxa"/>
            <w:shd w:val="clear" w:color="000000" w:fill="CCECFF"/>
            <w:vAlign w:val="center"/>
          </w:tcPr>
          <w:p w14:paraId="773CCED3" w14:textId="77777777" w:rsidR="00AE4ACA" w:rsidRPr="000A43BB" w:rsidRDefault="00AE4ACA">
            <w:pPr>
              <w:pStyle w:val="NoSpacing"/>
              <w:jc w:val="center"/>
              <w:rPr>
                <w:sz w:val="16"/>
                <w:szCs w:val="16"/>
                <w:lang w:eastAsia="es-BO"/>
              </w:rPr>
            </w:pPr>
            <w:r w:rsidRPr="000A43BB">
              <w:rPr>
                <w:sz w:val="16"/>
                <w:szCs w:val="16"/>
                <w:lang w:eastAsia="es-BO"/>
              </w:rPr>
              <w:t>Comunidades previstas en el PLyCR</w:t>
            </w:r>
          </w:p>
        </w:tc>
        <w:tc>
          <w:tcPr>
            <w:tcW w:w="1213" w:type="dxa"/>
            <w:shd w:val="clear" w:color="000000" w:fill="CCECFF"/>
            <w:vAlign w:val="center"/>
          </w:tcPr>
          <w:p w14:paraId="72D76C03" w14:textId="77777777" w:rsidR="00AE4ACA" w:rsidRDefault="00AE4ACA">
            <w:pPr>
              <w:pStyle w:val="NoSpacing"/>
              <w:jc w:val="center"/>
              <w:rPr>
                <w:sz w:val="16"/>
                <w:szCs w:val="16"/>
                <w:lang w:eastAsia="es-BO"/>
              </w:rPr>
            </w:pPr>
            <w:r>
              <w:rPr>
                <w:sz w:val="16"/>
                <w:szCs w:val="16"/>
                <w:lang w:eastAsia="es-BO"/>
              </w:rPr>
              <w:t>Comunidades levantadas tras los levantamientos previstos</w:t>
            </w:r>
          </w:p>
        </w:tc>
        <w:tc>
          <w:tcPr>
            <w:tcW w:w="1213" w:type="dxa"/>
            <w:shd w:val="clear" w:color="000000" w:fill="CCECFF"/>
            <w:vAlign w:val="center"/>
          </w:tcPr>
          <w:p w14:paraId="4D579691" w14:textId="77777777" w:rsidR="00AE4ACA" w:rsidRPr="000A43BB" w:rsidRDefault="00AE4ACA">
            <w:pPr>
              <w:pStyle w:val="NoSpacing"/>
              <w:jc w:val="center"/>
              <w:rPr>
                <w:sz w:val="16"/>
                <w:szCs w:val="16"/>
                <w:lang w:eastAsia="es-BO"/>
              </w:rPr>
            </w:pPr>
            <w:r>
              <w:rPr>
                <w:sz w:val="16"/>
                <w:szCs w:val="16"/>
                <w:lang w:eastAsia="es-BO"/>
              </w:rPr>
              <w:t xml:space="preserve">% de comunidades </w:t>
            </w:r>
            <w:r w:rsidR="00EA11C1">
              <w:rPr>
                <w:sz w:val="16"/>
                <w:szCs w:val="16"/>
                <w:lang w:eastAsia="es-BO"/>
              </w:rPr>
              <w:t xml:space="preserve">del país </w:t>
            </w:r>
            <w:r>
              <w:rPr>
                <w:sz w:val="16"/>
                <w:szCs w:val="16"/>
                <w:lang w:eastAsia="es-BO"/>
              </w:rPr>
              <w:t>que representa el PLyCR</w:t>
            </w:r>
          </w:p>
        </w:tc>
      </w:tr>
      <w:tr w:rsidR="00AE4ACA" w:rsidRPr="000A43BB" w14:paraId="0C77DC17" w14:textId="77777777" w:rsidTr="00310BBF">
        <w:trPr>
          <w:trHeight w:val="20"/>
          <w:jc w:val="center"/>
        </w:trPr>
        <w:tc>
          <w:tcPr>
            <w:tcW w:w="1213" w:type="dxa"/>
            <w:shd w:val="clear" w:color="auto" w:fill="auto"/>
            <w:noWrap/>
            <w:vAlign w:val="center"/>
            <w:hideMark/>
          </w:tcPr>
          <w:p w14:paraId="654AEDB6" w14:textId="77777777" w:rsidR="00AE4ACA" w:rsidRPr="000A43BB" w:rsidRDefault="00AE4ACA" w:rsidP="006916E5">
            <w:pPr>
              <w:pStyle w:val="NoSpacing"/>
              <w:rPr>
                <w:sz w:val="16"/>
                <w:szCs w:val="16"/>
                <w:lang w:eastAsia="es-BO"/>
              </w:rPr>
            </w:pPr>
            <w:r w:rsidRPr="000A43BB">
              <w:rPr>
                <w:sz w:val="16"/>
                <w:szCs w:val="16"/>
                <w:lang w:eastAsia="es-BO"/>
              </w:rPr>
              <w:t>La Paz</w:t>
            </w:r>
          </w:p>
        </w:tc>
        <w:tc>
          <w:tcPr>
            <w:tcW w:w="1213" w:type="dxa"/>
            <w:shd w:val="clear" w:color="auto" w:fill="auto"/>
            <w:noWrap/>
            <w:vAlign w:val="center"/>
            <w:hideMark/>
          </w:tcPr>
          <w:p w14:paraId="068E470C" w14:textId="77777777" w:rsidR="00AE4ACA" w:rsidRPr="000A43BB" w:rsidRDefault="00AE4ACA" w:rsidP="006916E5">
            <w:pPr>
              <w:pStyle w:val="NoSpacing"/>
              <w:jc w:val="center"/>
              <w:rPr>
                <w:sz w:val="16"/>
                <w:szCs w:val="16"/>
                <w:lang w:eastAsia="es-BO"/>
              </w:rPr>
            </w:pPr>
            <w:r w:rsidRPr="000A43BB">
              <w:rPr>
                <w:sz w:val="16"/>
                <w:szCs w:val="16"/>
                <w:lang w:eastAsia="es-BO"/>
              </w:rPr>
              <w:t>87</w:t>
            </w:r>
          </w:p>
        </w:tc>
        <w:tc>
          <w:tcPr>
            <w:tcW w:w="1214" w:type="dxa"/>
            <w:shd w:val="clear" w:color="auto" w:fill="auto"/>
            <w:noWrap/>
            <w:vAlign w:val="center"/>
            <w:hideMark/>
          </w:tcPr>
          <w:p w14:paraId="1B48485D" w14:textId="77777777" w:rsidR="00AE4ACA" w:rsidRPr="000A43BB" w:rsidRDefault="00AE4ACA" w:rsidP="006916E5">
            <w:pPr>
              <w:pStyle w:val="NoSpacing"/>
              <w:jc w:val="center"/>
              <w:rPr>
                <w:sz w:val="16"/>
                <w:szCs w:val="16"/>
                <w:lang w:eastAsia="es-BO"/>
              </w:rPr>
            </w:pPr>
            <w:r w:rsidRPr="000A43BB">
              <w:rPr>
                <w:sz w:val="16"/>
                <w:szCs w:val="16"/>
                <w:lang w:eastAsia="es-BO"/>
              </w:rPr>
              <w:t>5.216</w:t>
            </w:r>
          </w:p>
        </w:tc>
        <w:tc>
          <w:tcPr>
            <w:tcW w:w="1213" w:type="dxa"/>
          </w:tcPr>
          <w:p w14:paraId="3F0CE9AF" w14:textId="77777777" w:rsidR="00AE4ACA" w:rsidRPr="000A43BB" w:rsidRDefault="00AE4ACA" w:rsidP="006916E5">
            <w:pPr>
              <w:pStyle w:val="NoSpacing"/>
              <w:jc w:val="center"/>
              <w:rPr>
                <w:sz w:val="16"/>
                <w:szCs w:val="16"/>
                <w:lang w:eastAsia="es-BO"/>
              </w:rPr>
            </w:pPr>
            <w:r>
              <w:rPr>
                <w:sz w:val="16"/>
                <w:szCs w:val="16"/>
                <w:lang w:eastAsia="es-BO"/>
              </w:rPr>
              <w:t>0</w:t>
            </w:r>
          </w:p>
        </w:tc>
        <w:tc>
          <w:tcPr>
            <w:tcW w:w="1214" w:type="dxa"/>
          </w:tcPr>
          <w:p w14:paraId="6D6DA681" w14:textId="77777777" w:rsidR="00AE4ACA" w:rsidRPr="000A43BB" w:rsidRDefault="00AE4ACA" w:rsidP="006916E5">
            <w:pPr>
              <w:pStyle w:val="NoSpacing"/>
              <w:jc w:val="center"/>
              <w:rPr>
                <w:sz w:val="16"/>
                <w:szCs w:val="16"/>
                <w:lang w:eastAsia="es-BO"/>
              </w:rPr>
            </w:pPr>
            <w:r>
              <w:rPr>
                <w:sz w:val="16"/>
                <w:szCs w:val="16"/>
                <w:lang w:eastAsia="es-BO"/>
              </w:rPr>
              <w:t>493</w:t>
            </w:r>
          </w:p>
        </w:tc>
        <w:tc>
          <w:tcPr>
            <w:tcW w:w="1214" w:type="dxa"/>
          </w:tcPr>
          <w:p w14:paraId="22998B17" w14:textId="4D40EF76" w:rsidR="00AE4ACA" w:rsidRPr="000A43BB" w:rsidRDefault="00AE4ACA" w:rsidP="001D20CD">
            <w:pPr>
              <w:pStyle w:val="NoSpacing"/>
              <w:jc w:val="center"/>
              <w:rPr>
                <w:sz w:val="16"/>
                <w:szCs w:val="16"/>
                <w:lang w:eastAsia="es-BO"/>
              </w:rPr>
            </w:pPr>
            <w:r>
              <w:rPr>
                <w:sz w:val="16"/>
                <w:szCs w:val="16"/>
                <w:lang w:eastAsia="es-BO"/>
              </w:rPr>
              <w:t>288</w:t>
            </w:r>
          </w:p>
        </w:tc>
        <w:tc>
          <w:tcPr>
            <w:tcW w:w="1213" w:type="dxa"/>
          </w:tcPr>
          <w:p w14:paraId="7779BE4E" w14:textId="77777777" w:rsidR="00AE4ACA" w:rsidRDefault="00AE4ACA" w:rsidP="006916E5">
            <w:pPr>
              <w:pStyle w:val="NoSpacing"/>
              <w:jc w:val="center"/>
              <w:rPr>
                <w:sz w:val="16"/>
                <w:szCs w:val="16"/>
                <w:lang w:eastAsia="es-BO"/>
              </w:rPr>
            </w:pPr>
            <w:r>
              <w:rPr>
                <w:sz w:val="16"/>
                <w:szCs w:val="16"/>
                <w:lang w:eastAsia="es-BO"/>
              </w:rPr>
              <w:t>781</w:t>
            </w:r>
          </w:p>
        </w:tc>
        <w:tc>
          <w:tcPr>
            <w:tcW w:w="1213" w:type="dxa"/>
          </w:tcPr>
          <w:p w14:paraId="1486A515" w14:textId="77777777" w:rsidR="00AE4ACA" w:rsidRPr="000A43BB" w:rsidRDefault="00AE4ACA" w:rsidP="006916E5">
            <w:pPr>
              <w:pStyle w:val="NoSpacing"/>
              <w:jc w:val="center"/>
              <w:rPr>
                <w:sz w:val="16"/>
                <w:szCs w:val="16"/>
                <w:lang w:eastAsia="es-BO"/>
              </w:rPr>
            </w:pPr>
            <w:r>
              <w:rPr>
                <w:sz w:val="16"/>
                <w:szCs w:val="16"/>
                <w:lang w:eastAsia="es-BO"/>
              </w:rPr>
              <w:t>6,02 %</w:t>
            </w:r>
          </w:p>
        </w:tc>
      </w:tr>
      <w:tr w:rsidR="00AE4ACA" w:rsidRPr="000A43BB" w14:paraId="44297E1D" w14:textId="77777777" w:rsidTr="00310BBF">
        <w:trPr>
          <w:trHeight w:val="20"/>
          <w:jc w:val="center"/>
        </w:trPr>
        <w:tc>
          <w:tcPr>
            <w:tcW w:w="1213" w:type="dxa"/>
            <w:shd w:val="clear" w:color="auto" w:fill="auto"/>
            <w:noWrap/>
            <w:vAlign w:val="center"/>
            <w:hideMark/>
          </w:tcPr>
          <w:p w14:paraId="6D432071" w14:textId="77777777" w:rsidR="00AE4ACA" w:rsidRPr="000A43BB" w:rsidRDefault="00AE4ACA" w:rsidP="006916E5">
            <w:pPr>
              <w:pStyle w:val="NoSpacing"/>
              <w:rPr>
                <w:sz w:val="16"/>
                <w:szCs w:val="16"/>
                <w:lang w:eastAsia="es-BO"/>
              </w:rPr>
            </w:pPr>
            <w:r w:rsidRPr="000A43BB">
              <w:rPr>
                <w:sz w:val="16"/>
                <w:szCs w:val="16"/>
                <w:lang w:eastAsia="es-BO"/>
              </w:rPr>
              <w:t>Oruro</w:t>
            </w:r>
          </w:p>
        </w:tc>
        <w:tc>
          <w:tcPr>
            <w:tcW w:w="1213" w:type="dxa"/>
            <w:shd w:val="clear" w:color="auto" w:fill="auto"/>
            <w:noWrap/>
            <w:vAlign w:val="center"/>
            <w:hideMark/>
          </w:tcPr>
          <w:p w14:paraId="434070D5" w14:textId="77777777" w:rsidR="00AE4ACA" w:rsidRPr="000A43BB" w:rsidRDefault="00AE4ACA" w:rsidP="006916E5">
            <w:pPr>
              <w:pStyle w:val="NoSpacing"/>
              <w:jc w:val="center"/>
              <w:rPr>
                <w:sz w:val="16"/>
                <w:szCs w:val="16"/>
                <w:lang w:eastAsia="es-BO"/>
              </w:rPr>
            </w:pPr>
            <w:r w:rsidRPr="000A43BB">
              <w:rPr>
                <w:sz w:val="16"/>
                <w:szCs w:val="16"/>
                <w:lang w:eastAsia="es-BO"/>
              </w:rPr>
              <w:t>35</w:t>
            </w:r>
          </w:p>
        </w:tc>
        <w:tc>
          <w:tcPr>
            <w:tcW w:w="1214" w:type="dxa"/>
            <w:shd w:val="clear" w:color="auto" w:fill="auto"/>
            <w:noWrap/>
            <w:vAlign w:val="center"/>
            <w:hideMark/>
          </w:tcPr>
          <w:p w14:paraId="1A3576DE" w14:textId="77777777" w:rsidR="00AE4ACA" w:rsidRPr="000A43BB" w:rsidRDefault="00AE4ACA" w:rsidP="006916E5">
            <w:pPr>
              <w:pStyle w:val="NoSpacing"/>
              <w:jc w:val="center"/>
              <w:rPr>
                <w:sz w:val="16"/>
                <w:szCs w:val="16"/>
                <w:lang w:eastAsia="es-BO"/>
              </w:rPr>
            </w:pPr>
            <w:r w:rsidRPr="000A43BB">
              <w:rPr>
                <w:sz w:val="16"/>
                <w:szCs w:val="16"/>
                <w:lang w:eastAsia="es-BO"/>
              </w:rPr>
              <w:t>1.170</w:t>
            </w:r>
          </w:p>
        </w:tc>
        <w:tc>
          <w:tcPr>
            <w:tcW w:w="1213" w:type="dxa"/>
          </w:tcPr>
          <w:p w14:paraId="101DF42C" w14:textId="77777777" w:rsidR="00AE4ACA" w:rsidRPr="000A43BB" w:rsidRDefault="00AE4ACA" w:rsidP="006916E5">
            <w:pPr>
              <w:pStyle w:val="NoSpacing"/>
              <w:jc w:val="center"/>
              <w:rPr>
                <w:sz w:val="16"/>
                <w:szCs w:val="16"/>
                <w:lang w:eastAsia="es-BO"/>
              </w:rPr>
            </w:pPr>
            <w:r>
              <w:rPr>
                <w:sz w:val="16"/>
                <w:szCs w:val="16"/>
                <w:lang w:eastAsia="es-BO"/>
              </w:rPr>
              <w:t>200</w:t>
            </w:r>
          </w:p>
        </w:tc>
        <w:tc>
          <w:tcPr>
            <w:tcW w:w="1214" w:type="dxa"/>
          </w:tcPr>
          <w:p w14:paraId="682D076F" w14:textId="77777777" w:rsidR="00AE4ACA" w:rsidRPr="000A43BB" w:rsidRDefault="00AE4ACA" w:rsidP="006916E5">
            <w:pPr>
              <w:pStyle w:val="NoSpacing"/>
              <w:jc w:val="center"/>
              <w:rPr>
                <w:sz w:val="16"/>
                <w:szCs w:val="16"/>
                <w:lang w:eastAsia="es-BO"/>
              </w:rPr>
            </w:pPr>
          </w:p>
        </w:tc>
        <w:tc>
          <w:tcPr>
            <w:tcW w:w="1214" w:type="dxa"/>
          </w:tcPr>
          <w:p w14:paraId="22832A28" w14:textId="77777777" w:rsidR="00AE4ACA" w:rsidRPr="000A43BB" w:rsidRDefault="00AE4ACA" w:rsidP="006916E5">
            <w:pPr>
              <w:pStyle w:val="NoSpacing"/>
              <w:jc w:val="center"/>
              <w:rPr>
                <w:sz w:val="16"/>
                <w:szCs w:val="16"/>
                <w:lang w:eastAsia="es-BO"/>
              </w:rPr>
            </w:pPr>
            <w:r>
              <w:rPr>
                <w:sz w:val="16"/>
                <w:szCs w:val="16"/>
                <w:lang w:eastAsia="es-BO"/>
              </w:rPr>
              <w:t>62</w:t>
            </w:r>
          </w:p>
        </w:tc>
        <w:tc>
          <w:tcPr>
            <w:tcW w:w="1213" w:type="dxa"/>
          </w:tcPr>
          <w:p w14:paraId="1CF50B89" w14:textId="77777777" w:rsidR="00AE4ACA" w:rsidRDefault="00AE4ACA" w:rsidP="006916E5">
            <w:pPr>
              <w:pStyle w:val="NoSpacing"/>
              <w:jc w:val="center"/>
              <w:rPr>
                <w:sz w:val="16"/>
                <w:szCs w:val="16"/>
                <w:lang w:eastAsia="es-BO"/>
              </w:rPr>
            </w:pPr>
            <w:r>
              <w:rPr>
                <w:sz w:val="16"/>
                <w:szCs w:val="16"/>
                <w:lang w:eastAsia="es-BO"/>
              </w:rPr>
              <w:t>262</w:t>
            </w:r>
          </w:p>
        </w:tc>
        <w:tc>
          <w:tcPr>
            <w:tcW w:w="1213" w:type="dxa"/>
          </w:tcPr>
          <w:p w14:paraId="7FC859C9" w14:textId="77777777" w:rsidR="00AE4ACA" w:rsidRPr="000A43BB" w:rsidRDefault="00AE4ACA" w:rsidP="006916E5">
            <w:pPr>
              <w:pStyle w:val="NoSpacing"/>
              <w:jc w:val="center"/>
              <w:rPr>
                <w:sz w:val="16"/>
                <w:szCs w:val="16"/>
                <w:lang w:eastAsia="es-BO"/>
              </w:rPr>
            </w:pPr>
            <w:r>
              <w:rPr>
                <w:sz w:val="16"/>
                <w:szCs w:val="16"/>
                <w:lang w:eastAsia="es-BO"/>
              </w:rPr>
              <w:t>5,23 %</w:t>
            </w:r>
          </w:p>
        </w:tc>
      </w:tr>
      <w:tr w:rsidR="00AE4ACA" w:rsidRPr="000A43BB" w14:paraId="03434110" w14:textId="77777777" w:rsidTr="00310BBF">
        <w:trPr>
          <w:trHeight w:val="20"/>
          <w:jc w:val="center"/>
        </w:trPr>
        <w:tc>
          <w:tcPr>
            <w:tcW w:w="1213" w:type="dxa"/>
            <w:shd w:val="clear" w:color="auto" w:fill="auto"/>
            <w:noWrap/>
            <w:vAlign w:val="center"/>
            <w:hideMark/>
          </w:tcPr>
          <w:p w14:paraId="06D7EF63" w14:textId="77777777" w:rsidR="00AE4ACA" w:rsidRPr="000A43BB" w:rsidRDefault="00AE4ACA" w:rsidP="006916E5">
            <w:pPr>
              <w:pStyle w:val="NoSpacing"/>
              <w:rPr>
                <w:sz w:val="16"/>
                <w:szCs w:val="16"/>
                <w:lang w:eastAsia="es-BO"/>
              </w:rPr>
            </w:pPr>
            <w:r w:rsidRPr="000A43BB">
              <w:rPr>
                <w:sz w:val="16"/>
                <w:szCs w:val="16"/>
                <w:lang w:eastAsia="es-BO"/>
              </w:rPr>
              <w:t>Potosí</w:t>
            </w:r>
          </w:p>
        </w:tc>
        <w:tc>
          <w:tcPr>
            <w:tcW w:w="1213" w:type="dxa"/>
            <w:shd w:val="clear" w:color="auto" w:fill="auto"/>
            <w:noWrap/>
            <w:vAlign w:val="center"/>
            <w:hideMark/>
          </w:tcPr>
          <w:p w14:paraId="25075C11" w14:textId="77777777" w:rsidR="00AE4ACA" w:rsidRPr="000A43BB" w:rsidRDefault="00AE4ACA" w:rsidP="006916E5">
            <w:pPr>
              <w:pStyle w:val="NoSpacing"/>
              <w:jc w:val="center"/>
              <w:rPr>
                <w:sz w:val="16"/>
                <w:szCs w:val="16"/>
                <w:lang w:eastAsia="es-BO"/>
              </w:rPr>
            </w:pPr>
            <w:r w:rsidRPr="000A43BB">
              <w:rPr>
                <w:sz w:val="16"/>
                <w:szCs w:val="16"/>
                <w:lang w:eastAsia="es-BO"/>
              </w:rPr>
              <w:t>40</w:t>
            </w:r>
          </w:p>
        </w:tc>
        <w:tc>
          <w:tcPr>
            <w:tcW w:w="1214" w:type="dxa"/>
            <w:shd w:val="clear" w:color="auto" w:fill="auto"/>
            <w:noWrap/>
            <w:vAlign w:val="center"/>
            <w:hideMark/>
          </w:tcPr>
          <w:p w14:paraId="2663CD5F" w14:textId="77777777" w:rsidR="00AE4ACA" w:rsidRPr="000A43BB" w:rsidRDefault="00AE4ACA" w:rsidP="006916E5">
            <w:pPr>
              <w:pStyle w:val="NoSpacing"/>
              <w:jc w:val="center"/>
              <w:rPr>
                <w:sz w:val="16"/>
                <w:szCs w:val="16"/>
                <w:lang w:eastAsia="es-BO"/>
              </w:rPr>
            </w:pPr>
            <w:r w:rsidRPr="000A43BB">
              <w:rPr>
                <w:sz w:val="16"/>
                <w:szCs w:val="16"/>
                <w:lang w:eastAsia="es-BO"/>
              </w:rPr>
              <w:t>3.165</w:t>
            </w:r>
          </w:p>
        </w:tc>
        <w:tc>
          <w:tcPr>
            <w:tcW w:w="1213" w:type="dxa"/>
          </w:tcPr>
          <w:p w14:paraId="5DCA7D24" w14:textId="77777777" w:rsidR="00AE4ACA" w:rsidRPr="000A43BB" w:rsidRDefault="00AE4ACA" w:rsidP="006916E5">
            <w:pPr>
              <w:pStyle w:val="NoSpacing"/>
              <w:jc w:val="center"/>
              <w:rPr>
                <w:sz w:val="16"/>
                <w:szCs w:val="16"/>
                <w:lang w:eastAsia="es-BO"/>
              </w:rPr>
            </w:pPr>
            <w:r>
              <w:rPr>
                <w:sz w:val="16"/>
                <w:szCs w:val="16"/>
                <w:lang w:eastAsia="es-BO"/>
              </w:rPr>
              <w:t>141</w:t>
            </w:r>
          </w:p>
        </w:tc>
        <w:tc>
          <w:tcPr>
            <w:tcW w:w="1214" w:type="dxa"/>
          </w:tcPr>
          <w:p w14:paraId="3C2FC0CB" w14:textId="77777777" w:rsidR="00AE4ACA" w:rsidRPr="000A43BB" w:rsidRDefault="00AE4ACA" w:rsidP="006916E5">
            <w:pPr>
              <w:pStyle w:val="NoSpacing"/>
              <w:jc w:val="center"/>
              <w:rPr>
                <w:sz w:val="16"/>
                <w:szCs w:val="16"/>
                <w:lang w:eastAsia="es-BO"/>
              </w:rPr>
            </w:pPr>
          </w:p>
        </w:tc>
        <w:tc>
          <w:tcPr>
            <w:tcW w:w="1214" w:type="dxa"/>
          </w:tcPr>
          <w:p w14:paraId="0F04091C" w14:textId="77777777" w:rsidR="00AE4ACA" w:rsidRPr="000A43BB" w:rsidRDefault="00AE4ACA" w:rsidP="006916E5">
            <w:pPr>
              <w:pStyle w:val="NoSpacing"/>
              <w:jc w:val="center"/>
              <w:rPr>
                <w:sz w:val="16"/>
                <w:szCs w:val="16"/>
                <w:lang w:eastAsia="es-BO"/>
              </w:rPr>
            </w:pPr>
            <w:r>
              <w:rPr>
                <w:sz w:val="16"/>
                <w:szCs w:val="16"/>
                <w:lang w:eastAsia="es-BO"/>
              </w:rPr>
              <w:t>609</w:t>
            </w:r>
          </w:p>
        </w:tc>
        <w:tc>
          <w:tcPr>
            <w:tcW w:w="1213" w:type="dxa"/>
          </w:tcPr>
          <w:p w14:paraId="28DE3716" w14:textId="77777777" w:rsidR="00AE4ACA" w:rsidRDefault="00AE4ACA" w:rsidP="006916E5">
            <w:pPr>
              <w:pStyle w:val="NoSpacing"/>
              <w:jc w:val="center"/>
              <w:rPr>
                <w:sz w:val="16"/>
                <w:szCs w:val="16"/>
                <w:lang w:eastAsia="es-BO"/>
              </w:rPr>
            </w:pPr>
            <w:r>
              <w:rPr>
                <w:sz w:val="16"/>
                <w:szCs w:val="16"/>
                <w:lang w:eastAsia="es-BO"/>
              </w:rPr>
              <w:t>750</w:t>
            </w:r>
          </w:p>
        </w:tc>
        <w:tc>
          <w:tcPr>
            <w:tcW w:w="1213" w:type="dxa"/>
          </w:tcPr>
          <w:p w14:paraId="6FF41E81" w14:textId="77777777" w:rsidR="00AE4ACA" w:rsidRPr="000A43BB" w:rsidRDefault="00AE4ACA" w:rsidP="006916E5">
            <w:pPr>
              <w:pStyle w:val="NoSpacing"/>
              <w:jc w:val="center"/>
              <w:rPr>
                <w:sz w:val="16"/>
                <w:szCs w:val="16"/>
                <w:lang w:eastAsia="es-BO"/>
              </w:rPr>
            </w:pPr>
            <w:r>
              <w:rPr>
                <w:sz w:val="16"/>
                <w:szCs w:val="16"/>
                <w:lang w:eastAsia="es-BO"/>
              </w:rPr>
              <w:t>19,24%</w:t>
            </w:r>
          </w:p>
        </w:tc>
      </w:tr>
      <w:tr w:rsidR="00AE4ACA" w:rsidRPr="000A43BB" w14:paraId="3E071FA2" w14:textId="77777777" w:rsidTr="00310BBF">
        <w:trPr>
          <w:trHeight w:val="20"/>
          <w:jc w:val="center"/>
        </w:trPr>
        <w:tc>
          <w:tcPr>
            <w:tcW w:w="1213" w:type="dxa"/>
            <w:shd w:val="clear" w:color="auto" w:fill="auto"/>
            <w:noWrap/>
            <w:vAlign w:val="center"/>
            <w:hideMark/>
          </w:tcPr>
          <w:p w14:paraId="4623C294" w14:textId="77777777" w:rsidR="00AE4ACA" w:rsidRPr="000A43BB" w:rsidRDefault="00AE4ACA" w:rsidP="006916E5">
            <w:pPr>
              <w:pStyle w:val="NoSpacing"/>
              <w:rPr>
                <w:sz w:val="16"/>
                <w:szCs w:val="16"/>
                <w:lang w:eastAsia="es-BO"/>
              </w:rPr>
            </w:pPr>
            <w:r w:rsidRPr="000A43BB">
              <w:rPr>
                <w:sz w:val="16"/>
                <w:szCs w:val="16"/>
                <w:lang w:eastAsia="es-BO"/>
              </w:rPr>
              <w:t>Cochabamba</w:t>
            </w:r>
          </w:p>
        </w:tc>
        <w:tc>
          <w:tcPr>
            <w:tcW w:w="1213" w:type="dxa"/>
            <w:shd w:val="clear" w:color="auto" w:fill="auto"/>
            <w:noWrap/>
            <w:vAlign w:val="center"/>
            <w:hideMark/>
          </w:tcPr>
          <w:p w14:paraId="64EC7158" w14:textId="77777777" w:rsidR="00AE4ACA" w:rsidRPr="000A43BB" w:rsidRDefault="00AE4ACA" w:rsidP="006916E5">
            <w:pPr>
              <w:pStyle w:val="NoSpacing"/>
              <w:jc w:val="center"/>
              <w:rPr>
                <w:sz w:val="16"/>
                <w:szCs w:val="16"/>
                <w:lang w:eastAsia="es-BO"/>
              </w:rPr>
            </w:pPr>
            <w:r w:rsidRPr="000A43BB">
              <w:rPr>
                <w:sz w:val="16"/>
                <w:szCs w:val="16"/>
                <w:lang w:eastAsia="es-BO"/>
              </w:rPr>
              <w:t>47</w:t>
            </w:r>
          </w:p>
        </w:tc>
        <w:tc>
          <w:tcPr>
            <w:tcW w:w="1214" w:type="dxa"/>
            <w:shd w:val="clear" w:color="auto" w:fill="auto"/>
            <w:noWrap/>
            <w:vAlign w:val="center"/>
            <w:hideMark/>
          </w:tcPr>
          <w:p w14:paraId="5DC53C0C" w14:textId="77777777" w:rsidR="00AE4ACA" w:rsidRPr="000A43BB" w:rsidRDefault="00AE4ACA" w:rsidP="006916E5">
            <w:pPr>
              <w:pStyle w:val="NoSpacing"/>
              <w:jc w:val="center"/>
              <w:rPr>
                <w:sz w:val="16"/>
                <w:szCs w:val="16"/>
                <w:lang w:eastAsia="es-BO"/>
              </w:rPr>
            </w:pPr>
            <w:r w:rsidRPr="000A43BB">
              <w:rPr>
                <w:sz w:val="16"/>
                <w:szCs w:val="16"/>
                <w:lang w:eastAsia="es-BO"/>
              </w:rPr>
              <w:t>3.541</w:t>
            </w:r>
          </w:p>
        </w:tc>
        <w:tc>
          <w:tcPr>
            <w:tcW w:w="1213" w:type="dxa"/>
          </w:tcPr>
          <w:p w14:paraId="729D7498" w14:textId="77777777" w:rsidR="00AE4ACA" w:rsidRPr="000A43BB" w:rsidRDefault="00AE4ACA" w:rsidP="006916E5">
            <w:pPr>
              <w:pStyle w:val="NoSpacing"/>
              <w:jc w:val="center"/>
              <w:rPr>
                <w:sz w:val="16"/>
                <w:szCs w:val="16"/>
                <w:lang w:eastAsia="es-BO"/>
              </w:rPr>
            </w:pPr>
            <w:r>
              <w:rPr>
                <w:sz w:val="16"/>
                <w:szCs w:val="16"/>
                <w:lang w:eastAsia="es-BO"/>
              </w:rPr>
              <w:t>0</w:t>
            </w:r>
          </w:p>
        </w:tc>
        <w:tc>
          <w:tcPr>
            <w:tcW w:w="1214" w:type="dxa"/>
          </w:tcPr>
          <w:p w14:paraId="1D8EDC10" w14:textId="77777777" w:rsidR="00AE4ACA" w:rsidRPr="000A43BB" w:rsidRDefault="00AE4ACA" w:rsidP="006916E5">
            <w:pPr>
              <w:pStyle w:val="NoSpacing"/>
              <w:jc w:val="center"/>
              <w:rPr>
                <w:sz w:val="16"/>
                <w:szCs w:val="16"/>
                <w:lang w:eastAsia="es-BO"/>
              </w:rPr>
            </w:pPr>
          </w:p>
        </w:tc>
        <w:tc>
          <w:tcPr>
            <w:tcW w:w="1214" w:type="dxa"/>
          </w:tcPr>
          <w:p w14:paraId="0C9D1A92" w14:textId="77777777" w:rsidR="00AE4ACA" w:rsidRPr="000A43BB" w:rsidRDefault="00AE4ACA" w:rsidP="006916E5">
            <w:pPr>
              <w:pStyle w:val="NoSpacing"/>
              <w:jc w:val="center"/>
              <w:rPr>
                <w:sz w:val="16"/>
                <w:szCs w:val="16"/>
                <w:lang w:eastAsia="es-BO"/>
              </w:rPr>
            </w:pPr>
          </w:p>
        </w:tc>
        <w:tc>
          <w:tcPr>
            <w:tcW w:w="1213" w:type="dxa"/>
          </w:tcPr>
          <w:p w14:paraId="021114D5" w14:textId="77777777" w:rsidR="00AE4ACA" w:rsidRDefault="00AE4ACA" w:rsidP="006916E5">
            <w:pPr>
              <w:pStyle w:val="NoSpacing"/>
              <w:jc w:val="center"/>
              <w:rPr>
                <w:sz w:val="16"/>
                <w:szCs w:val="16"/>
                <w:lang w:eastAsia="es-BO"/>
              </w:rPr>
            </w:pPr>
            <w:r>
              <w:rPr>
                <w:sz w:val="16"/>
                <w:szCs w:val="16"/>
                <w:lang w:eastAsia="es-BO"/>
              </w:rPr>
              <w:t>0</w:t>
            </w:r>
          </w:p>
        </w:tc>
        <w:tc>
          <w:tcPr>
            <w:tcW w:w="1213" w:type="dxa"/>
          </w:tcPr>
          <w:p w14:paraId="6458CEEC" w14:textId="77777777" w:rsidR="00AE4ACA" w:rsidRPr="000A43BB" w:rsidRDefault="00AE4ACA" w:rsidP="006916E5">
            <w:pPr>
              <w:pStyle w:val="NoSpacing"/>
              <w:jc w:val="center"/>
              <w:rPr>
                <w:sz w:val="16"/>
                <w:szCs w:val="16"/>
                <w:lang w:eastAsia="es-BO"/>
              </w:rPr>
            </w:pPr>
            <w:r>
              <w:rPr>
                <w:sz w:val="16"/>
                <w:szCs w:val="16"/>
                <w:lang w:eastAsia="es-BO"/>
              </w:rPr>
              <w:t>0,00 %</w:t>
            </w:r>
          </w:p>
        </w:tc>
      </w:tr>
      <w:tr w:rsidR="00AE4ACA" w:rsidRPr="000A43BB" w14:paraId="26242755" w14:textId="77777777" w:rsidTr="00310BBF">
        <w:trPr>
          <w:trHeight w:val="256"/>
          <w:jc w:val="center"/>
        </w:trPr>
        <w:tc>
          <w:tcPr>
            <w:tcW w:w="1213" w:type="dxa"/>
            <w:shd w:val="clear" w:color="auto" w:fill="auto"/>
            <w:noWrap/>
            <w:vAlign w:val="center"/>
            <w:hideMark/>
          </w:tcPr>
          <w:p w14:paraId="325569E9" w14:textId="77777777" w:rsidR="00AE4ACA" w:rsidRPr="000A43BB" w:rsidRDefault="00AE4ACA" w:rsidP="006916E5">
            <w:pPr>
              <w:pStyle w:val="NoSpacing"/>
              <w:rPr>
                <w:sz w:val="16"/>
                <w:szCs w:val="16"/>
                <w:lang w:eastAsia="es-BO"/>
              </w:rPr>
            </w:pPr>
            <w:r w:rsidRPr="000A43BB">
              <w:rPr>
                <w:sz w:val="16"/>
                <w:szCs w:val="16"/>
                <w:lang w:eastAsia="es-BO"/>
              </w:rPr>
              <w:t>Chuquisaca</w:t>
            </w:r>
          </w:p>
        </w:tc>
        <w:tc>
          <w:tcPr>
            <w:tcW w:w="1213" w:type="dxa"/>
            <w:shd w:val="clear" w:color="auto" w:fill="auto"/>
            <w:noWrap/>
            <w:vAlign w:val="center"/>
            <w:hideMark/>
          </w:tcPr>
          <w:p w14:paraId="11CCE43E" w14:textId="77777777" w:rsidR="00AE4ACA" w:rsidRPr="000A43BB" w:rsidRDefault="00AE4ACA" w:rsidP="006916E5">
            <w:pPr>
              <w:pStyle w:val="NoSpacing"/>
              <w:jc w:val="center"/>
              <w:rPr>
                <w:sz w:val="16"/>
                <w:szCs w:val="16"/>
                <w:lang w:eastAsia="es-BO"/>
              </w:rPr>
            </w:pPr>
            <w:r w:rsidRPr="000A43BB">
              <w:rPr>
                <w:sz w:val="16"/>
                <w:szCs w:val="16"/>
                <w:lang w:eastAsia="es-BO"/>
              </w:rPr>
              <w:t>29</w:t>
            </w:r>
          </w:p>
        </w:tc>
        <w:tc>
          <w:tcPr>
            <w:tcW w:w="1214" w:type="dxa"/>
            <w:shd w:val="clear" w:color="auto" w:fill="auto"/>
            <w:noWrap/>
            <w:vAlign w:val="center"/>
            <w:hideMark/>
          </w:tcPr>
          <w:p w14:paraId="7C5CD4C5" w14:textId="77777777" w:rsidR="00AE4ACA" w:rsidRPr="000A43BB" w:rsidRDefault="00AE4ACA" w:rsidP="006916E5">
            <w:pPr>
              <w:pStyle w:val="NoSpacing"/>
              <w:jc w:val="center"/>
              <w:rPr>
                <w:sz w:val="16"/>
                <w:szCs w:val="16"/>
                <w:lang w:eastAsia="es-BO"/>
              </w:rPr>
            </w:pPr>
            <w:r w:rsidRPr="000A43BB">
              <w:rPr>
                <w:sz w:val="16"/>
                <w:szCs w:val="16"/>
                <w:lang w:eastAsia="es-BO"/>
              </w:rPr>
              <w:t>1.469</w:t>
            </w:r>
          </w:p>
        </w:tc>
        <w:tc>
          <w:tcPr>
            <w:tcW w:w="1213" w:type="dxa"/>
          </w:tcPr>
          <w:p w14:paraId="105B76E4" w14:textId="77777777" w:rsidR="00AE4ACA" w:rsidRPr="000A43BB" w:rsidRDefault="00AE4ACA" w:rsidP="006916E5">
            <w:pPr>
              <w:pStyle w:val="NoSpacing"/>
              <w:jc w:val="center"/>
              <w:rPr>
                <w:sz w:val="16"/>
                <w:szCs w:val="16"/>
                <w:lang w:eastAsia="es-BO"/>
              </w:rPr>
            </w:pPr>
            <w:r>
              <w:rPr>
                <w:sz w:val="16"/>
                <w:szCs w:val="16"/>
                <w:lang w:eastAsia="es-BO"/>
              </w:rPr>
              <w:t>21</w:t>
            </w:r>
          </w:p>
        </w:tc>
        <w:tc>
          <w:tcPr>
            <w:tcW w:w="1214" w:type="dxa"/>
          </w:tcPr>
          <w:p w14:paraId="1FECBCE8" w14:textId="77777777" w:rsidR="00AE4ACA" w:rsidRPr="000A43BB" w:rsidRDefault="00AE4ACA" w:rsidP="006916E5">
            <w:pPr>
              <w:pStyle w:val="NoSpacing"/>
              <w:jc w:val="center"/>
              <w:rPr>
                <w:sz w:val="16"/>
                <w:szCs w:val="16"/>
                <w:lang w:eastAsia="es-BO"/>
              </w:rPr>
            </w:pPr>
          </w:p>
        </w:tc>
        <w:tc>
          <w:tcPr>
            <w:tcW w:w="1214" w:type="dxa"/>
          </w:tcPr>
          <w:p w14:paraId="5817CCF9" w14:textId="77777777" w:rsidR="00AE4ACA" w:rsidRPr="000A43BB" w:rsidRDefault="00AE4ACA" w:rsidP="006916E5">
            <w:pPr>
              <w:pStyle w:val="NoSpacing"/>
              <w:jc w:val="center"/>
              <w:rPr>
                <w:sz w:val="16"/>
                <w:szCs w:val="16"/>
                <w:lang w:eastAsia="es-BO"/>
              </w:rPr>
            </w:pPr>
            <w:r>
              <w:rPr>
                <w:sz w:val="16"/>
                <w:szCs w:val="16"/>
                <w:lang w:eastAsia="es-BO"/>
              </w:rPr>
              <w:t>58</w:t>
            </w:r>
          </w:p>
        </w:tc>
        <w:tc>
          <w:tcPr>
            <w:tcW w:w="1213" w:type="dxa"/>
          </w:tcPr>
          <w:p w14:paraId="241F4B3E" w14:textId="77777777" w:rsidR="00AE4ACA" w:rsidRDefault="00AE4ACA" w:rsidP="006916E5">
            <w:pPr>
              <w:pStyle w:val="NoSpacing"/>
              <w:jc w:val="center"/>
              <w:rPr>
                <w:sz w:val="16"/>
                <w:szCs w:val="16"/>
                <w:lang w:eastAsia="es-BO"/>
              </w:rPr>
            </w:pPr>
            <w:r>
              <w:rPr>
                <w:sz w:val="16"/>
                <w:szCs w:val="16"/>
                <w:lang w:eastAsia="es-BO"/>
              </w:rPr>
              <w:t>79</w:t>
            </w:r>
          </w:p>
        </w:tc>
        <w:tc>
          <w:tcPr>
            <w:tcW w:w="1213" w:type="dxa"/>
          </w:tcPr>
          <w:p w14:paraId="5F965ABE" w14:textId="77777777" w:rsidR="00AE4ACA" w:rsidRPr="000A43BB" w:rsidRDefault="00AE4ACA" w:rsidP="006916E5">
            <w:pPr>
              <w:pStyle w:val="NoSpacing"/>
              <w:jc w:val="center"/>
              <w:rPr>
                <w:sz w:val="16"/>
                <w:szCs w:val="16"/>
                <w:lang w:eastAsia="es-BO"/>
              </w:rPr>
            </w:pPr>
            <w:r>
              <w:rPr>
                <w:sz w:val="16"/>
                <w:szCs w:val="16"/>
                <w:lang w:eastAsia="es-BO"/>
              </w:rPr>
              <w:t>3,95 %</w:t>
            </w:r>
          </w:p>
        </w:tc>
      </w:tr>
      <w:tr w:rsidR="00AE4ACA" w:rsidRPr="000A43BB" w14:paraId="3668B76C" w14:textId="77777777" w:rsidTr="00310BBF">
        <w:trPr>
          <w:trHeight w:val="20"/>
          <w:jc w:val="center"/>
        </w:trPr>
        <w:tc>
          <w:tcPr>
            <w:tcW w:w="1213" w:type="dxa"/>
            <w:shd w:val="clear" w:color="auto" w:fill="auto"/>
            <w:noWrap/>
            <w:vAlign w:val="center"/>
            <w:hideMark/>
          </w:tcPr>
          <w:p w14:paraId="5405A877" w14:textId="77777777" w:rsidR="00AE4ACA" w:rsidRPr="000A43BB" w:rsidRDefault="00AE4ACA" w:rsidP="006916E5">
            <w:pPr>
              <w:pStyle w:val="NoSpacing"/>
              <w:rPr>
                <w:sz w:val="16"/>
                <w:szCs w:val="16"/>
                <w:lang w:eastAsia="es-BO"/>
              </w:rPr>
            </w:pPr>
            <w:r w:rsidRPr="000A43BB">
              <w:rPr>
                <w:sz w:val="16"/>
                <w:szCs w:val="16"/>
                <w:lang w:eastAsia="es-BO"/>
              </w:rPr>
              <w:t>Tarija</w:t>
            </w:r>
          </w:p>
        </w:tc>
        <w:tc>
          <w:tcPr>
            <w:tcW w:w="1213" w:type="dxa"/>
            <w:shd w:val="clear" w:color="auto" w:fill="auto"/>
            <w:noWrap/>
            <w:vAlign w:val="center"/>
            <w:hideMark/>
          </w:tcPr>
          <w:p w14:paraId="781CCD18" w14:textId="77777777" w:rsidR="00AE4ACA" w:rsidRPr="000A43BB" w:rsidRDefault="00AE4ACA" w:rsidP="006916E5">
            <w:pPr>
              <w:pStyle w:val="NoSpacing"/>
              <w:jc w:val="center"/>
              <w:rPr>
                <w:sz w:val="16"/>
                <w:szCs w:val="16"/>
                <w:lang w:eastAsia="es-BO"/>
              </w:rPr>
            </w:pPr>
            <w:r w:rsidRPr="000A43BB">
              <w:rPr>
                <w:sz w:val="16"/>
                <w:szCs w:val="16"/>
                <w:lang w:eastAsia="es-BO"/>
              </w:rPr>
              <w:t>11</w:t>
            </w:r>
          </w:p>
        </w:tc>
        <w:tc>
          <w:tcPr>
            <w:tcW w:w="1214" w:type="dxa"/>
            <w:shd w:val="clear" w:color="auto" w:fill="auto"/>
            <w:noWrap/>
            <w:vAlign w:val="center"/>
            <w:hideMark/>
          </w:tcPr>
          <w:p w14:paraId="03F51931" w14:textId="77777777" w:rsidR="00AE4ACA" w:rsidRPr="000A43BB" w:rsidRDefault="00AE4ACA" w:rsidP="006916E5">
            <w:pPr>
              <w:pStyle w:val="NoSpacing"/>
              <w:jc w:val="center"/>
              <w:rPr>
                <w:sz w:val="16"/>
                <w:szCs w:val="16"/>
                <w:lang w:eastAsia="es-BO"/>
              </w:rPr>
            </w:pPr>
            <w:r w:rsidRPr="000A43BB">
              <w:rPr>
                <w:sz w:val="16"/>
                <w:szCs w:val="16"/>
                <w:lang w:eastAsia="es-BO"/>
              </w:rPr>
              <w:t>726</w:t>
            </w:r>
          </w:p>
        </w:tc>
        <w:tc>
          <w:tcPr>
            <w:tcW w:w="1213" w:type="dxa"/>
          </w:tcPr>
          <w:p w14:paraId="6CD42FDC" w14:textId="77777777" w:rsidR="00AE4ACA" w:rsidRPr="000A43BB" w:rsidRDefault="00AE4ACA" w:rsidP="006916E5">
            <w:pPr>
              <w:pStyle w:val="NoSpacing"/>
              <w:jc w:val="center"/>
              <w:rPr>
                <w:sz w:val="16"/>
                <w:szCs w:val="16"/>
                <w:lang w:eastAsia="es-BO"/>
              </w:rPr>
            </w:pPr>
            <w:r>
              <w:rPr>
                <w:sz w:val="16"/>
                <w:szCs w:val="16"/>
                <w:lang w:eastAsia="es-BO"/>
              </w:rPr>
              <w:t>0</w:t>
            </w:r>
          </w:p>
        </w:tc>
        <w:tc>
          <w:tcPr>
            <w:tcW w:w="1214" w:type="dxa"/>
          </w:tcPr>
          <w:p w14:paraId="233CFA91" w14:textId="77777777" w:rsidR="00AE4ACA" w:rsidRPr="000A43BB" w:rsidRDefault="00AE4ACA" w:rsidP="006916E5">
            <w:pPr>
              <w:pStyle w:val="NoSpacing"/>
              <w:jc w:val="center"/>
              <w:rPr>
                <w:sz w:val="16"/>
                <w:szCs w:val="16"/>
                <w:lang w:eastAsia="es-BO"/>
              </w:rPr>
            </w:pPr>
          </w:p>
        </w:tc>
        <w:tc>
          <w:tcPr>
            <w:tcW w:w="1214" w:type="dxa"/>
          </w:tcPr>
          <w:p w14:paraId="75655906" w14:textId="77777777" w:rsidR="00AE4ACA" w:rsidRPr="000A43BB" w:rsidRDefault="00AE4ACA" w:rsidP="006916E5">
            <w:pPr>
              <w:pStyle w:val="NoSpacing"/>
              <w:jc w:val="center"/>
              <w:rPr>
                <w:sz w:val="16"/>
                <w:szCs w:val="16"/>
                <w:lang w:eastAsia="es-BO"/>
              </w:rPr>
            </w:pPr>
          </w:p>
        </w:tc>
        <w:tc>
          <w:tcPr>
            <w:tcW w:w="1213" w:type="dxa"/>
          </w:tcPr>
          <w:p w14:paraId="4C153EE7" w14:textId="77777777" w:rsidR="00AE4ACA" w:rsidRDefault="00AE4ACA" w:rsidP="006916E5">
            <w:pPr>
              <w:pStyle w:val="NoSpacing"/>
              <w:jc w:val="center"/>
              <w:rPr>
                <w:sz w:val="16"/>
                <w:szCs w:val="16"/>
                <w:lang w:eastAsia="es-BO"/>
              </w:rPr>
            </w:pPr>
            <w:r>
              <w:rPr>
                <w:sz w:val="16"/>
                <w:szCs w:val="16"/>
                <w:lang w:eastAsia="es-BO"/>
              </w:rPr>
              <w:t>0</w:t>
            </w:r>
          </w:p>
        </w:tc>
        <w:tc>
          <w:tcPr>
            <w:tcW w:w="1213" w:type="dxa"/>
          </w:tcPr>
          <w:p w14:paraId="661B0A58" w14:textId="77777777" w:rsidR="00AE4ACA" w:rsidRPr="000A43BB" w:rsidRDefault="00AE4ACA" w:rsidP="006916E5">
            <w:pPr>
              <w:pStyle w:val="NoSpacing"/>
              <w:jc w:val="center"/>
              <w:rPr>
                <w:sz w:val="16"/>
                <w:szCs w:val="16"/>
                <w:lang w:eastAsia="es-BO"/>
              </w:rPr>
            </w:pPr>
            <w:r>
              <w:rPr>
                <w:sz w:val="16"/>
                <w:szCs w:val="16"/>
                <w:lang w:eastAsia="es-BO"/>
              </w:rPr>
              <w:t>0,00 %</w:t>
            </w:r>
          </w:p>
        </w:tc>
      </w:tr>
      <w:tr w:rsidR="00AE4ACA" w:rsidRPr="000A43BB" w14:paraId="0004ED75" w14:textId="77777777" w:rsidTr="00310BBF">
        <w:trPr>
          <w:trHeight w:val="20"/>
          <w:jc w:val="center"/>
        </w:trPr>
        <w:tc>
          <w:tcPr>
            <w:tcW w:w="1213" w:type="dxa"/>
            <w:shd w:val="clear" w:color="auto" w:fill="auto"/>
            <w:noWrap/>
            <w:vAlign w:val="center"/>
            <w:hideMark/>
          </w:tcPr>
          <w:p w14:paraId="6A5181D3" w14:textId="77777777" w:rsidR="00AE4ACA" w:rsidRPr="000A43BB" w:rsidRDefault="00AE4ACA" w:rsidP="006916E5">
            <w:pPr>
              <w:pStyle w:val="NoSpacing"/>
              <w:rPr>
                <w:sz w:val="16"/>
                <w:szCs w:val="16"/>
                <w:lang w:eastAsia="es-BO"/>
              </w:rPr>
            </w:pPr>
            <w:r w:rsidRPr="000A43BB">
              <w:rPr>
                <w:sz w:val="16"/>
                <w:szCs w:val="16"/>
                <w:lang w:eastAsia="es-BO"/>
              </w:rPr>
              <w:t>Santa Cruz</w:t>
            </w:r>
          </w:p>
        </w:tc>
        <w:tc>
          <w:tcPr>
            <w:tcW w:w="1213" w:type="dxa"/>
            <w:shd w:val="clear" w:color="auto" w:fill="auto"/>
            <w:noWrap/>
            <w:vAlign w:val="center"/>
            <w:hideMark/>
          </w:tcPr>
          <w:p w14:paraId="53EE6274" w14:textId="77777777" w:rsidR="00AE4ACA" w:rsidRPr="000A43BB" w:rsidRDefault="00AE4ACA" w:rsidP="006916E5">
            <w:pPr>
              <w:pStyle w:val="NoSpacing"/>
              <w:jc w:val="center"/>
              <w:rPr>
                <w:sz w:val="16"/>
                <w:szCs w:val="16"/>
                <w:lang w:eastAsia="es-BO"/>
              </w:rPr>
            </w:pPr>
            <w:r w:rsidRPr="000A43BB">
              <w:rPr>
                <w:sz w:val="16"/>
                <w:szCs w:val="16"/>
                <w:lang w:eastAsia="es-BO"/>
              </w:rPr>
              <w:t>56</w:t>
            </w:r>
          </w:p>
        </w:tc>
        <w:tc>
          <w:tcPr>
            <w:tcW w:w="1214" w:type="dxa"/>
            <w:shd w:val="clear" w:color="auto" w:fill="auto"/>
            <w:noWrap/>
            <w:vAlign w:val="center"/>
            <w:hideMark/>
          </w:tcPr>
          <w:p w14:paraId="7B43DE12" w14:textId="77777777" w:rsidR="00AE4ACA" w:rsidRPr="000A43BB" w:rsidRDefault="00AE4ACA" w:rsidP="006916E5">
            <w:pPr>
              <w:pStyle w:val="NoSpacing"/>
              <w:jc w:val="center"/>
              <w:rPr>
                <w:sz w:val="16"/>
                <w:szCs w:val="16"/>
                <w:lang w:eastAsia="es-BO"/>
              </w:rPr>
            </w:pPr>
            <w:r w:rsidRPr="000A43BB">
              <w:rPr>
                <w:sz w:val="16"/>
                <w:szCs w:val="16"/>
                <w:lang w:eastAsia="es-BO"/>
              </w:rPr>
              <w:t>2.564</w:t>
            </w:r>
          </w:p>
        </w:tc>
        <w:tc>
          <w:tcPr>
            <w:tcW w:w="1213" w:type="dxa"/>
          </w:tcPr>
          <w:p w14:paraId="75AB41E3" w14:textId="77777777" w:rsidR="00AE4ACA" w:rsidRPr="000A43BB" w:rsidRDefault="00AE4ACA" w:rsidP="006916E5">
            <w:pPr>
              <w:pStyle w:val="NoSpacing"/>
              <w:jc w:val="center"/>
              <w:rPr>
                <w:sz w:val="16"/>
                <w:szCs w:val="16"/>
                <w:lang w:eastAsia="es-BO"/>
              </w:rPr>
            </w:pPr>
            <w:r>
              <w:rPr>
                <w:sz w:val="16"/>
                <w:szCs w:val="16"/>
                <w:lang w:eastAsia="es-BO"/>
              </w:rPr>
              <w:t>0</w:t>
            </w:r>
          </w:p>
        </w:tc>
        <w:tc>
          <w:tcPr>
            <w:tcW w:w="1214" w:type="dxa"/>
          </w:tcPr>
          <w:p w14:paraId="460B8A4A" w14:textId="77777777" w:rsidR="00AE4ACA" w:rsidRPr="000A43BB" w:rsidRDefault="00AE4ACA" w:rsidP="006916E5">
            <w:pPr>
              <w:pStyle w:val="NoSpacing"/>
              <w:jc w:val="center"/>
              <w:rPr>
                <w:sz w:val="16"/>
                <w:szCs w:val="16"/>
                <w:lang w:eastAsia="es-BO"/>
              </w:rPr>
            </w:pPr>
          </w:p>
        </w:tc>
        <w:tc>
          <w:tcPr>
            <w:tcW w:w="1214" w:type="dxa"/>
          </w:tcPr>
          <w:p w14:paraId="43C51738" w14:textId="77777777" w:rsidR="00AE4ACA" w:rsidRPr="000A43BB" w:rsidRDefault="00AE4ACA" w:rsidP="006916E5">
            <w:pPr>
              <w:pStyle w:val="NoSpacing"/>
              <w:jc w:val="center"/>
              <w:rPr>
                <w:sz w:val="16"/>
                <w:szCs w:val="16"/>
                <w:lang w:eastAsia="es-BO"/>
              </w:rPr>
            </w:pPr>
            <w:r>
              <w:rPr>
                <w:sz w:val="16"/>
                <w:szCs w:val="16"/>
                <w:lang w:eastAsia="es-BO"/>
              </w:rPr>
              <w:t>55</w:t>
            </w:r>
          </w:p>
        </w:tc>
        <w:tc>
          <w:tcPr>
            <w:tcW w:w="1213" w:type="dxa"/>
          </w:tcPr>
          <w:p w14:paraId="7B188D1E" w14:textId="77777777" w:rsidR="00AE4ACA" w:rsidRDefault="00AE4ACA" w:rsidP="006916E5">
            <w:pPr>
              <w:pStyle w:val="NoSpacing"/>
              <w:jc w:val="center"/>
              <w:rPr>
                <w:sz w:val="16"/>
                <w:szCs w:val="16"/>
                <w:lang w:eastAsia="es-BO"/>
              </w:rPr>
            </w:pPr>
            <w:r>
              <w:rPr>
                <w:sz w:val="16"/>
                <w:szCs w:val="16"/>
                <w:lang w:eastAsia="es-BO"/>
              </w:rPr>
              <w:t>55</w:t>
            </w:r>
          </w:p>
        </w:tc>
        <w:tc>
          <w:tcPr>
            <w:tcW w:w="1213" w:type="dxa"/>
          </w:tcPr>
          <w:p w14:paraId="77EAA690" w14:textId="77777777" w:rsidR="00AE4ACA" w:rsidRPr="000A43BB" w:rsidRDefault="00AE4ACA" w:rsidP="006916E5">
            <w:pPr>
              <w:pStyle w:val="NoSpacing"/>
              <w:jc w:val="center"/>
              <w:rPr>
                <w:sz w:val="16"/>
                <w:szCs w:val="16"/>
                <w:lang w:eastAsia="es-BO"/>
              </w:rPr>
            </w:pPr>
            <w:r>
              <w:rPr>
                <w:sz w:val="16"/>
                <w:szCs w:val="16"/>
                <w:lang w:eastAsia="es-BO"/>
              </w:rPr>
              <w:t>2,16 %</w:t>
            </w:r>
          </w:p>
        </w:tc>
      </w:tr>
      <w:tr w:rsidR="00AE4ACA" w:rsidRPr="000A43BB" w14:paraId="05A818CE" w14:textId="77777777" w:rsidTr="00310BBF">
        <w:trPr>
          <w:trHeight w:val="20"/>
          <w:jc w:val="center"/>
        </w:trPr>
        <w:tc>
          <w:tcPr>
            <w:tcW w:w="1213" w:type="dxa"/>
            <w:shd w:val="clear" w:color="auto" w:fill="auto"/>
            <w:noWrap/>
            <w:vAlign w:val="center"/>
            <w:hideMark/>
          </w:tcPr>
          <w:p w14:paraId="581660D1" w14:textId="77777777" w:rsidR="00AE4ACA" w:rsidRPr="000A43BB" w:rsidRDefault="00AE4ACA" w:rsidP="006916E5">
            <w:pPr>
              <w:pStyle w:val="NoSpacing"/>
              <w:rPr>
                <w:sz w:val="16"/>
                <w:szCs w:val="16"/>
                <w:lang w:eastAsia="es-BO"/>
              </w:rPr>
            </w:pPr>
            <w:r w:rsidRPr="000A43BB">
              <w:rPr>
                <w:sz w:val="16"/>
                <w:szCs w:val="16"/>
                <w:lang w:eastAsia="es-BO"/>
              </w:rPr>
              <w:t>Beni</w:t>
            </w:r>
          </w:p>
        </w:tc>
        <w:tc>
          <w:tcPr>
            <w:tcW w:w="1213" w:type="dxa"/>
            <w:shd w:val="clear" w:color="auto" w:fill="auto"/>
            <w:noWrap/>
            <w:vAlign w:val="center"/>
            <w:hideMark/>
          </w:tcPr>
          <w:p w14:paraId="6D8D1E6C" w14:textId="77777777" w:rsidR="00AE4ACA" w:rsidRPr="000A43BB" w:rsidRDefault="00AE4ACA" w:rsidP="006916E5">
            <w:pPr>
              <w:pStyle w:val="NoSpacing"/>
              <w:jc w:val="center"/>
              <w:rPr>
                <w:sz w:val="16"/>
                <w:szCs w:val="16"/>
                <w:lang w:eastAsia="es-BO"/>
              </w:rPr>
            </w:pPr>
            <w:r w:rsidRPr="000A43BB">
              <w:rPr>
                <w:sz w:val="16"/>
                <w:szCs w:val="16"/>
                <w:lang w:eastAsia="es-BO"/>
              </w:rPr>
              <w:t>19</w:t>
            </w:r>
          </w:p>
        </w:tc>
        <w:tc>
          <w:tcPr>
            <w:tcW w:w="1214" w:type="dxa"/>
            <w:shd w:val="clear" w:color="auto" w:fill="auto"/>
            <w:noWrap/>
            <w:vAlign w:val="center"/>
            <w:hideMark/>
          </w:tcPr>
          <w:p w14:paraId="59D4FD89" w14:textId="77777777" w:rsidR="00AE4ACA" w:rsidRPr="000A43BB" w:rsidRDefault="00AE4ACA" w:rsidP="006916E5">
            <w:pPr>
              <w:pStyle w:val="NoSpacing"/>
              <w:jc w:val="center"/>
              <w:rPr>
                <w:sz w:val="16"/>
                <w:szCs w:val="16"/>
                <w:lang w:eastAsia="es-BO"/>
              </w:rPr>
            </w:pPr>
            <w:r w:rsidRPr="000A43BB">
              <w:rPr>
                <w:sz w:val="16"/>
                <w:szCs w:val="16"/>
                <w:lang w:eastAsia="es-BO"/>
              </w:rPr>
              <w:t>925</w:t>
            </w:r>
          </w:p>
        </w:tc>
        <w:tc>
          <w:tcPr>
            <w:tcW w:w="1213" w:type="dxa"/>
          </w:tcPr>
          <w:p w14:paraId="5B0F449D" w14:textId="77777777" w:rsidR="00AE4ACA" w:rsidRPr="000A43BB" w:rsidRDefault="00AE4ACA" w:rsidP="006916E5">
            <w:pPr>
              <w:pStyle w:val="NoSpacing"/>
              <w:jc w:val="center"/>
              <w:rPr>
                <w:sz w:val="16"/>
                <w:szCs w:val="16"/>
                <w:lang w:eastAsia="es-BO"/>
              </w:rPr>
            </w:pPr>
            <w:r>
              <w:rPr>
                <w:sz w:val="16"/>
                <w:szCs w:val="16"/>
                <w:lang w:eastAsia="es-BO"/>
              </w:rPr>
              <w:t>0</w:t>
            </w:r>
          </w:p>
        </w:tc>
        <w:tc>
          <w:tcPr>
            <w:tcW w:w="1214" w:type="dxa"/>
          </w:tcPr>
          <w:p w14:paraId="73C81EB0" w14:textId="77777777" w:rsidR="00AE4ACA" w:rsidRPr="000A43BB" w:rsidRDefault="00AE4ACA" w:rsidP="006916E5">
            <w:pPr>
              <w:pStyle w:val="NoSpacing"/>
              <w:jc w:val="center"/>
              <w:rPr>
                <w:sz w:val="16"/>
                <w:szCs w:val="16"/>
                <w:lang w:eastAsia="es-BO"/>
              </w:rPr>
            </w:pPr>
          </w:p>
        </w:tc>
        <w:tc>
          <w:tcPr>
            <w:tcW w:w="1214" w:type="dxa"/>
          </w:tcPr>
          <w:p w14:paraId="5F4E361B" w14:textId="77777777" w:rsidR="00AE4ACA" w:rsidRPr="000A43BB" w:rsidRDefault="00AE4ACA" w:rsidP="006916E5">
            <w:pPr>
              <w:pStyle w:val="NoSpacing"/>
              <w:jc w:val="center"/>
              <w:rPr>
                <w:sz w:val="16"/>
                <w:szCs w:val="16"/>
                <w:lang w:eastAsia="es-BO"/>
              </w:rPr>
            </w:pPr>
          </w:p>
        </w:tc>
        <w:tc>
          <w:tcPr>
            <w:tcW w:w="1213" w:type="dxa"/>
          </w:tcPr>
          <w:p w14:paraId="567E8080" w14:textId="77777777" w:rsidR="00AE4ACA" w:rsidRDefault="00AE4ACA" w:rsidP="006916E5">
            <w:pPr>
              <w:pStyle w:val="NoSpacing"/>
              <w:jc w:val="center"/>
              <w:rPr>
                <w:sz w:val="16"/>
                <w:szCs w:val="16"/>
                <w:lang w:eastAsia="es-BO"/>
              </w:rPr>
            </w:pPr>
            <w:r>
              <w:rPr>
                <w:sz w:val="16"/>
                <w:szCs w:val="16"/>
                <w:lang w:eastAsia="es-BO"/>
              </w:rPr>
              <w:t>0</w:t>
            </w:r>
          </w:p>
        </w:tc>
        <w:tc>
          <w:tcPr>
            <w:tcW w:w="1213" w:type="dxa"/>
          </w:tcPr>
          <w:p w14:paraId="4E148E68" w14:textId="77777777" w:rsidR="00AE4ACA" w:rsidRPr="000A43BB" w:rsidRDefault="00AE4ACA" w:rsidP="006916E5">
            <w:pPr>
              <w:pStyle w:val="NoSpacing"/>
              <w:jc w:val="center"/>
              <w:rPr>
                <w:sz w:val="16"/>
                <w:szCs w:val="16"/>
                <w:lang w:eastAsia="es-BO"/>
              </w:rPr>
            </w:pPr>
            <w:r>
              <w:rPr>
                <w:sz w:val="16"/>
                <w:szCs w:val="16"/>
                <w:lang w:eastAsia="es-BO"/>
              </w:rPr>
              <w:t>0,00 %</w:t>
            </w:r>
          </w:p>
        </w:tc>
      </w:tr>
      <w:tr w:rsidR="00AE4ACA" w:rsidRPr="000A43BB" w14:paraId="6C60F504" w14:textId="77777777" w:rsidTr="00310BBF">
        <w:trPr>
          <w:trHeight w:val="20"/>
          <w:jc w:val="center"/>
        </w:trPr>
        <w:tc>
          <w:tcPr>
            <w:tcW w:w="1213" w:type="dxa"/>
            <w:shd w:val="clear" w:color="auto" w:fill="auto"/>
            <w:noWrap/>
            <w:vAlign w:val="center"/>
            <w:hideMark/>
          </w:tcPr>
          <w:p w14:paraId="1CCC5554" w14:textId="77777777" w:rsidR="00AE4ACA" w:rsidRPr="000A43BB" w:rsidRDefault="00AE4ACA" w:rsidP="006916E5">
            <w:pPr>
              <w:pStyle w:val="NoSpacing"/>
              <w:rPr>
                <w:sz w:val="16"/>
                <w:szCs w:val="16"/>
                <w:lang w:eastAsia="es-BO"/>
              </w:rPr>
            </w:pPr>
            <w:r w:rsidRPr="000A43BB">
              <w:rPr>
                <w:sz w:val="16"/>
                <w:szCs w:val="16"/>
                <w:lang w:eastAsia="es-BO"/>
              </w:rPr>
              <w:t>Pando</w:t>
            </w:r>
          </w:p>
        </w:tc>
        <w:tc>
          <w:tcPr>
            <w:tcW w:w="1213" w:type="dxa"/>
            <w:shd w:val="clear" w:color="auto" w:fill="auto"/>
            <w:noWrap/>
            <w:vAlign w:val="center"/>
            <w:hideMark/>
          </w:tcPr>
          <w:p w14:paraId="65F23DB9" w14:textId="77777777" w:rsidR="00AE4ACA" w:rsidRPr="000A43BB" w:rsidRDefault="00AE4ACA" w:rsidP="006916E5">
            <w:pPr>
              <w:pStyle w:val="NoSpacing"/>
              <w:jc w:val="center"/>
              <w:rPr>
                <w:sz w:val="16"/>
                <w:szCs w:val="16"/>
                <w:lang w:eastAsia="es-BO"/>
              </w:rPr>
            </w:pPr>
            <w:r w:rsidRPr="000A43BB">
              <w:rPr>
                <w:sz w:val="16"/>
                <w:szCs w:val="16"/>
                <w:lang w:eastAsia="es-BO"/>
              </w:rPr>
              <w:t>15</w:t>
            </w:r>
          </w:p>
        </w:tc>
        <w:tc>
          <w:tcPr>
            <w:tcW w:w="1214" w:type="dxa"/>
            <w:shd w:val="clear" w:color="auto" w:fill="auto"/>
            <w:noWrap/>
            <w:vAlign w:val="center"/>
            <w:hideMark/>
          </w:tcPr>
          <w:p w14:paraId="1936C39E" w14:textId="77777777" w:rsidR="00AE4ACA" w:rsidRPr="000A43BB" w:rsidRDefault="00AE4ACA" w:rsidP="006916E5">
            <w:pPr>
              <w:pStyle w:val="NoSpacing"/>
              <w:jc w:val="center"/>
              <w:rPr>
                <w:sz w:val="16"/>
                <w:szCs w:val="16"/>
                <w:lang w:eastAsia="es-BO"/>
              </w:rPr>
            </w:pPr>
            <w:r w:rsidRPr="000A43BB">
              <w:rPr>
                <w:sz w:val="16"/>
                <w:szCs w:val="16"/>
                <w:lang w:eastAsia="es-BO"/>
              </w:rPr>
              <w:t>403</w:t>
            </w:r>
          </w:p>
        </w:tc>
        <w:tc>
          <w:tcPr>
            <w:tcW w:w="1213" w:type="dxa"/>
          </w:tcPr>
          <w:p w14:paraId="64FB3CF8" w14:textId="77777777" w:rsidR="00AE4ACA" w:rsidRPr="000A43BB" w:rsidRDefault="00AE4ACA" w:rsidP="006916E5">
            <w:pPr>
              <w:pStyle w:val="NoSpacing"/>
              <w:jc w:val="center"/>
              <w:rPr>
                <w:sz w:val="16"/>
                <w:szCs w:val="16"/>
                <w:lang w:eastAsia="es-BO"/>
              </w:rPr>
            </w:pPr>
            <w:r>
              <w:rPr>
                <w:sz w:val="16"/>
                <w:szCs w:val="16"/>
                <w:lang w:eastAsia="es-BO"/>
              </w:rPr>
              <w:t>0</w:t>
            </w:r>
          </w:p>
        </w:tc>
        <w:tc>
          <w:tcPr>
            <w:tcW w:w="1214" w:type="dxa"/>
          </w:tcPr>
          <w:p w14:paraId="155ED541" w14:textId="77777777" w:rsidR="00AE4ACA" w:rsidRPr="000A43BB" w:rsidRDefault="00AE4ACA" w:rsidP="006916E5">
            <w:pPr>
              <w:pStyle w:val="NoSpacing"/>
              <w:jc w:val="center"/>
              <w:rPr>
                <w:sz w:val="16"/>
                <w:szCs w:val="16"/>
                <w:lang w:eastAsia="es-BO"/>
              </w:rPr>
            </w:pPr>
          </w:p>
        </w:tc>
        <w:tc>
          <w:tcPr>
            <w:tcW w:w="1214" w:type="dxa"/>
          </w:tcPr>
          <w:p w14:paraId="7227EC50" w14:textId="77777777" w:rsidR="00AE4ACA" w:rsidRPr="000A43BB" w:rsidRDefault="00AE4ACA" w:rsidP="006916E5">
            <w:pPr>
              <w:pStyle w:val="NoSpacing"/>
              <w:jc w:val="center"/>
              <w:rPr>
                <w:sz w:val="16"/>
                <w:szCs w:val="16"/>
                <w:lang w:eastAsia="es-BO"/>
              </w:rPr>
            </w:pPr>
          </w:p>
        </w:tc>
        <w:tc>
          <w:tcPr>
            <w:tcW w:w="1213" w:type="dxa"/>
          </w:tcPr>
          <w:p w14:paraId="00A1A0C4" w14:textId="77777777" w:rsidR="00AE4ACA" w:rsidRDefault="00AE4ACA" w:rsidP="006916E5">
            <w:pPr>
              <w:pStyle w:val="NoSpacing"/>
              <w:jc w:val="center"/>
              <w:rPr>
                <w:sz w:val="16"/>
                <w:szCs w:val="16"/>
                <w:lang w:eastAsia="es-BO"/>
              </w:rPr>
            </w:pPr>
            <w:r>
              <w:rPr>
                <w:sz w:val="16"/>
                <w:szCs w:val="16"/>
                <w:lang w:eastAsia="es-BO"/>
              </w:rPr>
              <w:t>0</w:t>
            </w:r>
          </w:p>
        </w:tc>
        <w:tc>
          <w:tcPr>
            <w:tcW w:w="1213" w:type="dxa"/>
          </w:tcPr>
          <w:p w14:paraId="53A141AA" w14:textId="77777777" w:rsidR="00AE4ACA" w:rsidRPr="000A43BB" w:rsidRDefault="00AE4ACA" w:rsidP="006916E5">
            <w:pPr>
              <w:pStyle w:val="NoSpacing"/>
              <w:jc w:val="center"/>
              <w:rPr>
                <w:sz w:val="16"/>
                <w:szCs w:val="16"/>
                <w:lang w:eastAsia="es-BO"/>
              </w:rPr>
            </w:pPr>
            <w:r>
              <w:rPr>
                <w:sz w:val="16"/>
                <w:szCs w:val="16"/>
                <w:lang w:eastAsia="es-BO"/>
              </w:rPr>
              <w:t>0,00 %</w:t>
            </w:r>
          </w:p>
        </w:tc>
      </w:tr>
      <w:tr w:rsidR="00AE4ACA" w:rsidRPr="000A43BB" w14:paraId="5A34E23C" w14:textId="77777777" w:rsidTr="00310BBF">
        <w:trPr>
          <w:trHeight w:val="20"/>
          <w:jc w:val="center"/>
        </w:trPr>
        <w:tc>
          <w:tcPr>
            <w:tcW w:w="1213" w:type="dxa"/>
            <w:shd w:val="clear" w:color="000000" w:fill="CCECFF"/>
            <w:vAlign w:val="center"/>
            <w:hideMark/>
          </w:tcPr>
          <w:p w14:paraId="5EA49316" w14:textId="77777777" w:rsidR="00AE4ACA" w:rsidRPr="000A43BB" w:rsidRDefault="00AE4ACA" w:rsidP="006916E5">
            <w:pPr>
              <w:pStyle w:val="NoSpacing"/>
              <w:rPr>
                <w:sz w:val="16"/>
                <w:szCs w:val="16"/>
                <w:lang w:eastAsia="es-BO"/>
              </w:rPr>
            </w:pPr>
            <w:r w:rsidRPr="000A43BB">
              <w:rPr>
                <w:sz w:val="16"/>
                <w:szCs w:val="16"/>
                <w:lang w:eastAsia="es-BO"/>
              </w:rPr>
              <w:t>Total</w:t>
            </w:r>
          </w:p>
        </w:tc>
        <w:tc>
          <w:tcPr>
            <w:tcW w:w="1213" w:type="dxa"/>
            <w:shd w:val="clear" w:color="000000" w:fill="CCECFF"/>
            <w:vAlign w:val="center"/>
            <w:hideMark/>
          </w:tcPr>
          <w:p w14:paraId="6AAB9DEA" w14:textId="77777777" w:rsidR="00AE4ACA" w:rsidRPr="000A43BB" w:rsidRDefault="00AE4ACA" w:rsidP="006916E5">
            <w:pPr>
              <w:pStyle w:val="NoSpacing"/>
              <w:jc w:val="center"/>
              <w:rPr>
                <w:sz w:val="16"/>
                <w:szCs w:val="16"/>
                <w:lang w:eastAsia="es-BO"/>
              </w:rPr>
            </w:pPr>
            <w:r w:rsidRPr="000A43BB">
              <w:rPr>
                <w:sz w:val="16"/>
                <w:szCs w:val="16"/>
                <w:lang w:eastAsia="es-BO"/>
              </w:rPr>
              <w:t>339</w:t>
            </w:r>
          </w:p>
        </w:tc>
        <w:tc>
          <w:tcPr>
            <w:tcW w:w="1214" w:type="dxa"/>
            <w:shd w:val="clear" w:color="000000" w:fill="CCECFF"/>
            <w:vAlign w:val="center"/>
            <w:hideMark/>
          </w:tcPr>
          <w:p w14:paraId="54D5FB90" w14:textId="77777777" w:rsidR="00AE4ACA" w:rsidRPr="000A43BB" w:rsidRDefault="00AE4ACA" w:rsidP="006916E5">
            <w:pPr>
              <w:pStyle w:val="NoSpacing"/>
              <w:jc w:val="center"/>
              <w:rPr>
                <w:sz w:val="16"/>
                <w:szCs w:val="16"/>
                <w:lang w:eastAsia="es-BO"/>
              </w:rPr>
            </w:pPr>
            <w:r w:rsidRPr="000A43BB">
              <w:rPr>
                <w:sz w:val="16"/>
                <w:szCs w:val="16"/>
                <w:lang w:eastAsia="es-BO"/>
              </w:rPr>
              <w:t>19.179</w:t>
            </w:r>
          </w:p>
        </w:tc>
        <w:tc>
          <w:tcPr>
            <w:tcW w:w="1213" w:type="dxa"/>
            <w:shd w:val="clear" w:color="000000" w:fill="CCECFF"/>
          </w:tcPr>
          <w:p w14:paraId="3020B02F" w14:textId="77777777" w:rsidR="00AE4ACA" w:rsidRPr="000A43BB" w:rsidRDefault="00AE4ACA" w:rsidP="006916E5">
            <w:pPr>
              <w:pStyle w:val="NoSpacing"/>
              <w:jc w:val="center"/>
              <w:rPr>
                <w:sz w:val="16"/>
                <w:szCs w:val="16"/>
                <w:lang w:eastAsia="es-BO"/>
              </w:rPr>
            </w:pPr>
            <w:r>
              <w:rPr>
                <w:sz w:val="16"/>
                <w:szCs w:val="16"/>
                <w:lang w:eastAsia="es-BO"/>
              </w:rPr>
              <w:t>362</w:t>
            </w:r>
          </w:p>
        </w:tc>
        <w:tc>
          <w:tcPr>
            <w:tcW w:w="1214" w:type="dxa"/>
            <w:shd w:val="clear" w:color="000000" w:fill="CCECFF"/>
          </w:tcPr>
          <w:p w14:paraId="7113D1FD" w14:textId="77777777" w:rsidR="00AE4ACA" w:rsidRPr="000A43BB" w:rsidRDefault="00AE4ACA" w:rsidP="006916E5">
            <w:pPr>
              <w:pStyle w:val="NoSpacing"/>
              <w:jc w:val="center"/>
              <w:rPr>
                <w:sz w:val="16"/>
                <w:szCs w:val="16"/>
                <w:lang w:eastAsia="es-BO"/>
              </w:rPr>
            </w:pPr>
            <w:r>
              <w:rPr>
                <w:sz w:val="16"/>
                <w:szCs w:val="16"/>
                <w:lang w:eastAsia="es-BO"/>
              </w:rPr>
              <w:t>493</w:t>
            </w:r>
          </w:p>
        </w:tc>
        <w:tc>
          <w:tcPr>
            <w:tcW w:w="1214" w:type="dxa"/>
            <w:shd w:val="clear" w:color="000000" w:fill="CCECFF"/>
          </w:tcPr>
          <w:p w14:paraId="206BCBBA" w14:textId="4F2F5616" w:rsidR="00AE4ACA" w:rsidRPr="000A43BB" w:rsidRDefault="00AE4ACA" w:rsidP="001D20CD">
            <w:pPr>
              <w:pStyle w:val="NoSpacing"/>
              <w:jc w:val="center"/>
              <w:rPr>
                <w:sz w:val="16"/>
                <w:szCs w:val="16"/>
                <w:lang w:eastAsia="es-BO"/>
              </w:rPr>
            </w:pPr>
            <w:r>
              <w:rPr>
                <w:sz w:val="16"/>
                <w:szCs w:val="16"/>
                <w:lang w:eastAsia="es-BO"/>
              </w:rPr>
              <w:t>1.570*</w:t>
            </w:r>
          </w:p>
        </w:tc>
        <w:tc>
          <w:tcPr>
            <w:tcW w:w="1213" w:type="dxa"/>
            <w:shd w:val="clear" w:color="000000" w:fill="CCECFF"/>
          </w:tcPr>
          <w:p w14:paraId="627358F0" w14:textId="77777777" w:rsidR="00AE4ACA" w:rsidRDefault="00AE4ACA" w:rsidP="006916E5">
            <w:pPr>
              <w:pStyle w:val="NoSpacing"/>
              <w:jc w:val="center"/>
              <w:rPr>
                <w:sz w:val="16"/>
                <w:szCs w:val="16"/>
                <w:lang w:eastAsia="es-BO"/>
              </w:rPr>
            </w:pPr>
            <w:r>
              <w:rPr>
                <w:sz w:val="16"/>
                <w:szCs w:val="16"/>
                <w:lang w:eastAsia="es-BO"/>
              </w:rPr>
              <w:t>2.425</w:t>
            </w:r>
          </w:p>
        </w:tc>
        <w:tc>
          <w:tcPr>
            <w:tcW w:w="1213" w:type="dxa"/>
            <w:shd w:val="clear" w:color="000000" w:fill="CCECFF"/>
          </w:tcPr>
          <w:p w14:paraId="7E27DC21" w14:textId="77777777" w:rsidR="00AE4ACA" w:rsidRPr="000A43BB" w:rsidRDefault="00AE4ACA" w:rsidP="006916E5">
            <w:pPr>
              <w:pStyle w:val="NoSpacing"/>
              <w:jc w:val="center"/>
              <w:rPr>
                <w:sz w:val="16"/>
                <w:szCs w:val="16"/>
                <w:lang w:eastAsia="es-BO"/>
              </w:rPr>
            </w:pPr>
            <w:r>
              <w:rPr>
                <w:sz w:val="16"/>
                <w:szCs w:val="16"/>
                <w:lang w:eastAsia="es-BO"/>
              </w:rPr>
              <w:t>8,33 %</w:t>
            </w:r>
          </w:p>
        </w:tc>
      </w:tr>
    </w:tbl>
    <w:p w14:paraId="39D80891" w14:textId="77777777" w:rsidR="00FE17E4" w:rsidRPr="00FE17E4" w:rsidRDefault="0056479B" w:rsidP="0056479B">
      <w:pPr>
        <w:shd w:val="clear" w:color="auto" w:fill="FFFFFF"/>
        <w:jc w:val="both"/>
        <w:rPr>
          <w:b/>
          <w:lang w:val="es-ES_tradnl"/>
        </w:rPr>
      </w:pPr>
      <w:r w:rsidRPr="0056479B">
        <w:rPr>
          <w:rFonts w:cstheme="minorHAnsi"/>
          <w:bCs/>
          <w:i/>
          <w:sz w:val="16"/>
          <w:szCs w:val="16"/>
          <w:lang w:eastAsia="es-HN"/>
        </w:rPr>
        <w:t xml:space="preserve">*En </w:t>
      </w:r>
      <w:r>
        <w:rPr>
          <w:rFonts w:cstheme="minorHAnsi"/>
          <w:bCs/>
          <w:i/>
          <w:sz w:val="16"/>
          <w:szCs w:val="16"/>
          <w:lang w:eastAsia="es-HN"/>
        </w:rPr>
        <w:t>el total del PLyCR</w:t>
      </w:r>
      <w:r w:rsidRPr="0056479B">
        <w:rPr>
          <w:rFonts w:cstheme="minorHAnsi"/>
          <w:bCs/>
          <w:i/>
          <w:sz w:val="16"/>
          <w:szCs w:val="16"/>
          <w:lang w:eastAsia="es-HN"/>
        </w:rPr>
        <w:t xml:space="preserve"> se incluyen las 500 de la 2ª fase que aún no se han asignado a ningún departamento</w:t>
      </w:r>
    </w:p>
    <w:sectPr w:rsidR="00FE17E4" w:rsidRPr="00FE17E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07412"/>
    <w:multiLevelType w:val="hybridMultilevel"/>
    <w:tmpl w:val="735C1E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4D240B2"/>
    <w:multiLevelType w:val="hybridMultilevel"/>
    <w:tmpl w:val="EDA4687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73A4CB0"/>
    <w:multiLevelType w:val="hybridMultilevel"/>
    <w:tmpl w:val="7C08C4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91C411C"/>
    <w:multiLevelType w:val="hybridMultilevel"/>
    <w:tmpl w:val="3482A9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AF60107"/>
    <w:multiLevelType w:val="hybridMultilevel"/>
    <w:tmpl w:val="1DEE8E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7E4"/>
    <w:rsid w:val="000578BC"/>
    <w:rsid w:val="000A43BB"/>
    <w:rsid w:val="000E4FB8"/>
    <w:rsid w:val="00107E1D"/>
    <w:rsid w:val="00147B3B"/>
    <w:rsid w:val="001D15AC"/>
    <w:rsid w:val="001D20CD"/>
    <w:rsid w:val="001E2D5E"/>
    <w:rsid w:val="001F63CF"/>
    <w:rsid w:val="00216915"/>
    <w:rsid w:val="00237AC8"/>
    <w:rsid w:val="002F4B3B"/>
    <w:rsid w:val="00310220"/>
    <w:rsid w:val="00310BBF"/>
    <w:rsid w:val="00340659"/>
    <w:rsid w:val="003803D5"/>
    <w:rsid w:val="0056479B"/>
    <w:rsid w:val="0060051B"/>
    <w:rsid w:val="007D5194"/>
    <w:rsid w:val="008B2240"/>
    <w:rsid w:val="00AA534D"/>
    <w:rsid w:val="00AE4ACA"/>
    <w:rsid w:val="00CB4BC4"/>
    <w:rsid w:val="00D0241F"/>
    <w:rsid w:val="00D87140"/>
    <w:rsid w:val="00D916F6"/>
    <w:rsid w:val="00DA00F4"/>
    <w:rsid w:val="00E540FF"/>
    <w:rsid w:val="00E925CB"/>
    <w:rsid w:val="00EA11C1"/>
    <w:rsid w:val="00F145D7"/>
    <w:rsid w:val="00FE17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B467"/>
  <w15:docId w15:val="{DECBC0AC-EB06-4FED-9208-549F07E9A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List-Accent1">
    <w:name w:val="Light List Accent 1"/>
    <w:basedOn w:val="TableNormal"/>
    <w:uiPriority w:val="61"/>
    <w:rsid w:val="00E540FF"/>
    <w:pPr>
      <w:spacing w:after="0" w:line="240" w:lineRule="auto"/>
    </w:pPr>
    <w:rPr>
      <w:rFonts w:ascii="Times New Roman" w:eastAsia="Times New Roman" w:hAnsi="Times New Roman" w:cs="Times New Roman"/>
      <w:sz w:val="20"/>
      <w:szCs w:val="20"/>
      <w:lang w:val="es-BO" w:eastAsia="es-BO"/>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NoSpacing">
    <w:name w:val="No Spacing"/>
    <w:uiPriority w:val="1"/>
    <w:qFormat/>
    <w:rsid w:val="00310220"/>
    <w:pPr>
      <w:spacing w:after="0" w:line="240" w:lineRule="auto"/>
    </w:pPr>
  </w:style>
  <w:style w:type="paragraph" w:styleId="ListParagraph">
    <w:name w:val="List Paragraph"/>
    <w:basedOn w:val="Normal"/>
    <w:uiPriority w:val="34"/>
    <w:qFormat/>
    <w:rsid w:val="00DA00F4"/>
    <w:pPr>
      <w:ind w:left="720"/>
      <w:contextualSpacing/>
    </w:pPr>
  </w:style>
  <w:style w:type="character" w:styleId="CommentReference">
    <w:name w:val="annotation reference"/>
    <w:basedOn w:val="DefaultParagraphFont"/>
    <w:uiPriority w:val="99"/>
    <w:semiHidden/>
    <w:unhideWhenUsed/>
    <w:rsid w:val="0060051B"/>
    <w:rPr>
      <w:sz w:val="18"/>
      <w:szCs w:val="18"/>
    </w:rPr>
  </w:style>
  <w:style w:type="paragraph" w:styleId="CommentText">
    <w:name w:val="annotation text"/>
    <w:basedOn w:val="Normal"/>
    <w:link w:val="CommentTextChar"/>
    <w:uiPriority w:val="99"/>
    <w:semiHidden/>
    <w:unhideWhenUsed/>
    <w:rsid w:val="0060051B"/>
    <w:pPr>
      <w:spacing w:line="240" w:lineRule="auto"/>
    </w:pPr>
    <w:rPr>
      <w:sz w:val="24"/>
      <w:szCs w:val="24"/>
    </w:rPr>
  </w:style>
  <w:style w:type="character" w:customStyle="1" w:styleId="CommentTextChar">
    <w:name w:val="Comment Text Char"/>
    <w:basedOn w:val="DefaultParagraphFont"/>
    <w:link w:val="CommentText"/>
    <w:uiPriority w:val="99"/>
    <w:semiHidden/>
    <w:rsid w:val="0060051B"/>
    <w:rPr>
      <w:sz w:val="24"/>
      <w:szCs w:val="24"/>
    </w:rPr>
  </w:style>
  <w:style w:type="paragraph" w:styleId="BalloonText">
    <w:name w:val="Balloon Text"/>
    <w:basedOn w:val="Normal"/>
    <w:link w:val="BalloonTextChar"/>
    <w:uiPriority w:val="99"/>
    <w:semiHidden/>
    <w:unhideWhenUsed/>
    <w:rsid w:val="006005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051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B2240"/>
    <w:rPr>
      <w:b/>
      <w:bCs/>
      <w:sz w:val="20"/>
      <w:szCs w:val="20"/>
    </w:rPr>
  </w:style>
  <w:style w:type="character" w:customStyle="1" w:styleId="CommentSubjectChar">
    <w:name w:val="Comment Subject Char"/>
    <w:basedOn w:val="CommentTextChar"/>
    <w:link w:val="CommentSubject"/>
    <w:uiPriority w:val="99"/>
    <w:semiHidden/>
    <w:rsid w:val="008B22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13" Type="http://schemas.openxmlformats.org/officeDocument/2006/relationships/customXml" Target="../customXml/item7.xml"/><Relationship Id="rId3" Type="http://schemas.openxmlformats.org/officeDocument/2006/relationships/settings" Target="settings.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 Id="rId14" Type="http://schemas.openxmlformats.org/officeDocument/2006/relationships/customXml" Target="../customXml/item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21837E4EBFB19F488D8E7F852E6AA0E3" ma:contentTypeVersion="28" ma:contentTypeDescription="The base project type from which other project content types inherit their information." ma:contentTypeScope="" ma:versionID="c3cbf1db366259d83feae85d48c129f5">
  <xsd:schema xmlns:xsd="http://www.w3.org/2001/XMLSchema" xmlns:xs="http://www.w3.org/2001/XMLSchema" xmlns:p="http://schemas.microsoft.com/office/2006/metadata/properties" xmlns:ns2="cdc7663a-08f0-4737-9e8c-148ce897a09c" targetNamespace="http://schemas.microsoft.com/office/2006/metadata/properties" ma:root="true" ma:fieldsID="60db8affa685c6809e31b162293f9c2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8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BF887E0EBEA344BB3AE022CBB82FE8" ma:contentTypeVersion="1043" ma:contentTypeDescription="A content type to manage public (operations) IDB documents" ma:contentTypeScope="" ma:versionID="9fa12b073b8ba98d2375e5551342ffbc">
  <xsd:schema xmlns:xsd="http://www.w3.org/2001/XMLSchema" xmlns:xs="http://www.w3.org/2001/XMLSchema" xmlns:p="http://schemas.microsoft.com/office/2006/metadata/properties" xmlns:ns2="cdc7663a-08f0-4737-9e8c-148ce897a09c" targetNamespace="http://schemas.microsoft.com/office/2006/metadata/properties" ma:root="true" ma:fieldsID="e9180379ffdd9e2385404169e32acd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R0001218627</Record_x0020_Number>
    <_dlc_DocId xmlns="cdc7663a-08f0-4737-9e8c-148ce897a09c">EZSHARE-1404194580-12</_dlc_DocId>
    <_dlc_DocIdUrl xmlns="cdc7663a-08f0-4737-9e8c-148ce897a09c">
      <Url>https://idbg.sharepoint.com/teams/EZ-BO-LON/BO-L1184/_layouts/15/DocIdRedir.aspx?ID=EZSHARE-1404194580-12</Url>
      <Description>EZSHARE-1404194580-12</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D56A816-2A62-4F61-B803-46DB52F379BE}"/>
</file>

<file path=customXml/itemProps2.xml><?xml version="1.0" encoding="utf-8"?>
<ds:datastoreItem xmlns:ds="http://schemas.openxmlformats.org/officeDocument/2006/customXml" ds:itemID="{2D3623B2-F73B-4BC6-8296-F04E3DC63464}"/>
</file>

<file path=customXml/itemProps3.xml><?xml version="1.0" encoding="utf-8"?>
<ds:datastoreItem xmlns:ds="http://schemas.openxmlformats.org/officeDocument/2006/customXml" ds:itemID="{E371B5D3-EF00-44EE-ADD4-C28D9DF53904}"/>
</file>

<file path=customXml/itemProps4.xml><?xml version="1.0" encoding="utf-8"?>
<ds:datastoreItem xmlns:ds="http://schemas.openxmlformats.org/officeDocument/2006/customXml" ds:itemID="{2A4DEBDB-C996-45FD-AD76-09D3AE4DB4AA}"/>
</file>

<file path=customXml/itemProps5.xml><?xml version="1.0" encoding="utf-8"?>
<ds:datastoreItem xmlns:ds="http://schemas.openxmlformats.org/officeDocument/2006/customXml" ds:itemID="{65B9D172-D2A3-441B-AF38-E8B3FA71E51B}"/>
</file>

<file path=customXml/itemProps6.xml><?xml version="1.0" encoding="utf-8"?>
<ds:datastoreItem xmlns:ds="http://schemas.openxmlformats.org/officeDocument/2006/customXml" ds:itemID="{EF1E6382-BD46-4ACF-8914-A7586CEC3F19}"/>
</file>

<file path=customXml/itemProps7.xml><?xml version="1.0" encoding="utf-8"?>
<ds:datastoreItem xmlns:ds="http://schemas.openxmlformats.org/officeDocument/2006/customXml" ds:itemID="{13498917-640B-4844-8102-D9CD8386A5F7}"/>
</file>

<file path=customXml/itemProps8.xml><?xml version="1.0" encoding="utf-8"?>
<ds:datastoreItem xmlns:ds="http://schemas.openxmlformats.org/officeDocument/2006/customXml" ds:itemID="{54343F9D-C8A5-4929-BA1C-8835EC0402B9}"/>
</file>

<file path=docProps/app.xml><?xml version="1.0" encoding="utf-8"?>
<Properties xmlns="http://schemas.openxmlformats.org/officeDocument/2006/extended-properties" xmlns:vt="http://schemas.openxmlformats.org/officeDocument/2006/docPropsVTypes">
  <Template>Normal.dotm</Template>
  <TotalTime>1</TotalTime>
  <Pages>1</Pages>
  <Words>2377</Words>
  <Characters>13552</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Gonzalo Martínez Crespo</dc:creator>
  <cp:keywords/>
  <dc:description/>
  <cp:lastModifiedBy>Garcia Merino, Lucio Javier</cp:lastModifiedBy>
  <cp:revision>4</cp:revision>
  <dcterms:created xsi:type="dcterms:W3CDTF">2017-08-22T15:06:00Z</dcterms:created>
  <dcterms:modified xsi:type="dcterms:W3CDTF">2017-08-22T15:13:00Z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49;#WATER SUPPLY RURAL AND PERI-URBAN|8436ee66-009e-4204-be28-64e6f6bf19fc</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41f231b5-a5da-4293-9bb5-83536c296af3</vt:lpwstr>
  </property>
  <property fmtid="{D5CDD505-2E9C-101B-9397-08002B2CF9AE}" pid="12" name="ContentTypeId">
    <vt:lpwstr>0x0101001A458A224826124E8B45B1D613300CFC00BEBF887E0EBEA344BB3AE022CBB82FE8</vt:lpwstr>
  </property>
</Properties>
</file>