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D5968" w14:textId="77777777" w:rsidR="001B5186" w:rsidRPr="00FD39AD" w:rsidRDefault="001B5186" w:rsidP="00332D8A">
      <w:pPr>
        <w:pStyle w:val="Title"/>
        <w:tabs>
          <w:tab w:val="clear" w:pos="1440"/>
          <w:tab w:val="clear" w:pos="3060"/>
        </w:tabs>
        <w:outlineLvl w:val="9"/>
        <w:rPr>
          <w:rFonts w:ascii="Arial" w:hAnsi="Arial" w:cs="Arial"/>
          <w:smallCaps/>
          <w:sz w:val="22"/>
          <w:szCs w:val="22"/>
        </w:rPr>
      </w:pPr>
      <w:r w:rsidRPr="00FD39AD">
        <w:rPr>
          <w:rFonts w:ascii="Arial" w:hAnsi="Arial" w:cs="Arial"/>
          <w:smallCaps/>
          <w:sz w:val="22"/>
          <w:szCs w:val="22"/>
        </w:rPr>
        <w:t>Document</w:t>
      </w:r>
      <w:r w:rsidR="00BD6C4D" w:rsidRPr="00FD39AD">
        <w:rPr>
          <w:rFonts w:ascii="Arial" w:hAnsi="Arial" w:cs="Arial"/>
          <w:smallCaps/>
          <w:sz w:val="22"/>
          <w:szCs w:val="22"/>
        </w:rPr>
        <w:t>o</w:t>
      </w:r>
      <w:r w:rsidRPr="00FD39AD">
        <w:rPr>
          <w:rFonts w:ascii="Arial" w:hAnsi="Arial" w:cs="Arial"/>
          <w:smallCaps/>
          <w:sz w:val="22"/>
          <w:szCs w:val="22"/>
        </w:rPr>
        <w:t xml:space="preserve"> </w:t>
      </w:r>
      <w:r w:rsidR="00BD6C4D" w:rsidRPr="00FD39AD">
        <w:rPr>
          <w:rFonts w:ascii="Arial" w:hAnsi="Arial" w:cs="Arial"/>
          <w:smallCaps/>
          <w:sz w:val="22"/>
          <w:szCs w:val="22"/>
        </w:rPr>
        <w:t xml:space="preserve">del Banco </w:t>
      </w:r>
      <w:r w:rsidRPr="00FD39AD">
        <w:rPr>
          <w:rFonts w:ascii="Arial" w:hAnsi="Arial" w:cs="Arial"/>
          <w:smallCaps/>
          <w:sz w:val="22"/>
          <w:szCs w:val="22"/>
        </w:rPr>
        <w:t>Inter</w:t>
      </w:r>
      <w:r w:rsidR="00BD6C4D" w:rsidRPr="00FD39AD">
        <w:rPr>
          <w:rFonts w:ascii="Arial" w:hAnsi="Arial" w:cs="Arial"/>
          <w:smallCaps/>
          <w:sz w:val="22"/>
          <w:szCs w:val="22"/>
        </w:rPr>
        <w:t>a</w:t>
      </w:r>
      <w:r w:rsidRPr="00FD39AD">
        <w:rPr>
          <w:rFonts w:ascii="Arial" w:hAnsi="Arial" w:cs="Arial"/>
          <w:smallCaps/>
          <w:sz w:val="22"/>
          <w:szCs w:val="22"/>
        </w:rPr>
        <w:t>merican</w:t>
      </w:r>
      <w:r w:rsidR="00BD6C4D" w:rsidRPr="00FD39AD">
        <w:rPr>
          <w:rFonts w:ascii="Arial" w:hAnsi="Arial" w:cs="Arial"/>
          <w:smallCaps/>
          <w:sz w:val="22"/>
          <w:szCs w:val="22"/>
        </w:rPr>
        <w:t>o de Desarrollo</w:t>
      </w:r>
    </w:p>
    <w:p w14:paraId="6A7BE9A2" w14:textId="77777777" w:rsidR="001B5186" w:rsidRPr="00FD39AD" w:rsidRDefault="001B5186" w:rsidP="00332D8A">
      <w:pPr>
        <w:pStyle w:val="ColorfulList-Accent11"/>
        <w:ind w:left="1080"/>
        <w:jc w:val="center"/>
        <w:rPr>
          <w:rFonts w:ascii="Arial" w:hAnsi="Arial" w:cs="Arial"/>
          <w:b/>
        </w:rPr>
      </w:pPr>
    </w:p>
    <w:p w14:paraId="2EBED99F" w14:textId="77777777" w:rsidR="001B5186" w:rsidRPr="00FD39AD" w:rsidRDefault="001B5186" w:rsidP="00332D8A">
      <w:pPr>
        <w:tabs>
          <w:tab w:val="left" w:pos="1440"/>
          <w:tab w:val="left" w:pos="3060"/>
        </w:tabs>
        <w:jc w:val="center"/>
        <w:rPr>
          <w:rFonts w:ascii="Arial" w:hAnsi="Arial" w:cs="Arial"/>
          <w:b/>
          <w:smallCaps/>
          <w:sz w:val="22"/>
          <w:szCs w:val="22"/>
        </w:rPr>
      </w:pPr>
    </w:p>
    <w:p w14:paraId="6AAF8692" w14:textId="77777777" w:rsidR="001B5186" w:rsidRPr="00FD39AD" w:rsidRDefault="001B5186" w:rsidP="00332D8A">
      <w:pPr>
        <w:tabs>
          <w:tab w:val="left" w:pos="1440"/>
          <w:tab w:val="left" w:pos="3060"/>
        </w:tabs>
        <w:jc w:val="center"/>
        <w:rPr>
          <w:rFonts w:ascii="Arial" w:hAnsi="Arial" w:cs="Arial"/>
          <w:b/>
          <w:smallCaps/>
          <w:sz w:val="22"/>
          <w:szCs w:val="22"/>
        </w:rPr>
      </w:pPr>
    </w:p>
    <w:p w14:paraId="6ACA78C3" w14:textId="77777777" w:rsidR="001B5186" w:rsidRPr="00FD39AD" w:rsidRDefault="00BA7166" w:rsidP="00332D8A">
      <w:pPr>
        <w:tabs>
          <w:tab w:val="left" w:pos="1440"/>
          <w:tab w:val="left" w:pos="3060"/>
        </w:tabs>
        <w:jc w:val="center"/>
        <w:rPr>
          <w:rFonts w:ascii="Arial" w:hAnsi="Arial" w:cs="Arial"/>
          <w:b/>
          <w:smallCaps/>
          <w:sz w:val="22"/>
          <w:szCs w:val="22"/>
        </w:rPr>
      </w:pPr>
      <w:r w:rsidRPr="00FD39AD">
        <w:rPr>
          <w:rFonts w:ascii="Arial" w:hAnsi="Arial" w:cs="Arial"/>
          <w:b/>
          <w:smallCaps/>
          <w:sz w:val="22"/>
          <w:szCs w:val="22"/>
        </w:rPr>
        <w:t>ESTADO PLURINACIONAL DE BOLIVIA</w:t>
      </w:r>
    </w:p>
    <w:p w14:paraId="7487B5FD" w14:textId="77777777" w:rsidR="001B5186" w:rsidRPr="00FD39AD" w:rsidRDefault="001B5186" w:rsidP="00332D8A">
      <w:pPr>
        <w:tabs>
          <w:tab w:val="left" w:pos="1440"/>
          <w:tab w:val="left" w:pos="3060"/>
        </w:tabs>
        <w:jc w:val="center"/>
        <w:rPr>
          <w:rFonts w:ascii="Arial" w:hAnsi="Arial" w:cs="Arial"/>
          <w:b/>
          <w:smallCaps/>
          <w:sz w:val="22"/>
          <w:szCs w:val="22"/>
        </w:rPr>
      </w:pPr>
    </w:p>
    <w:p w14:paraId="155DB382" w14:textId="77777777" w:rsidR="001B5186" w:rsidRPr="00FD39AD" w:rsidRDefault="001B5186" w:rsidP="00332D8A">
      <w:pPr>
        <w:tabs>
          <w:tab w:val="left" w:pos="1440"/>
          <w:tab w:val="left" w:pos="3060"/>
        </w:tabs>
        <w:jc w:val="center"/>
        <w:rPr>
          <w:rFonts w:ascii="Arial" w:hAnsi="Arial" w:cs="Arial"/>
          <w:b/>
          <w:smallCaps/>
          <w:sz w:val="22"/>
          <w:szCs w:val="22"/>
        </w:rPr>
      </w:pPr>
    </w:p>
    <w:p w14:paraId="46BC3ACC" w14:textId="797FB59D" w:rsidR="00BA7166" w:rsidRPr="00FD39AD" w:rsidRDefault="00BA7166" w:rsidP="00BA7166">
      <w:pPr>
        <w:tabs>
          <w:tab w:val="left" w:pos="1440"/>
          <w:tab w:val="left" w:pos="3060"/>
        </w:tabs>
        <w:jc w:val="center"/>
        <w:rPr>
          <w:rFonts w:ascii="Arial" w:hAnsi="Arial" w:cs="Arial"/>
          <w:b/>
          <w:smallCaps/>
          <w:sz w:val="22"/>
          <w:szCs w:val="22"/>
          <w:lang w:val="es-ES"/>
        </w:rPr>
      </w:pPr>
      <w:r w:rsidRPr="00FD39AD">
        <w:rPr>
          <w:rFonts w:ascii="Arial" w:hAnsi="Arial" w:cs="Arial"/>
          <w:b/>
          <w:smallCaps/>
          <w:sz w:val="22"/>
          <w:szCs w:val="22"/>
          <w:lang w:val="es-ES"/>
        </w:rPr>
        <w:t xml:space="preserve">Programa de Agua y Saneamiento para </w:t>
      </w:r>
      <w:r w:rsidR="00E91358">
        <w:rPr>
          <w:rFonts w:ascii="Arial" w:hAnsi="Arial" w:cs="Arial"/>
          <w:b/>
          <w:smallCaps/>
          <w:sz w:val="22"/>
          <w:szCs w:val="22"/>
          <w:lang w:val="es-ES"/>
        </w:rPr>
        <w:t xml:space="preserve">Ciudades Intermedias  </w:t>
      </w:r>
    </w:p>
    <w:p w14:paraId="3E288345" w14:textId="50D5DB1A" w:rsidR="00F9026D" w:rsidRPr="00FD39AD" w:rsidRDefault="00BA7166" w:rsidP="00BA7166">
      <w:pPr>
        <w:tabs>
          <w:tab w:val="left" w:pos="1440"/>
          <w:tab w:val="left" w:pos="3060"/>
        </w:tabs>
        <w:jc w:val="center"/>
        <w:rPr>
          <w:rFonts w:ascii="Arial" w:hAnsi="Arial" w:cs="Arial"/>
          <w:b/>
          <w:smallCaps/>
          <w:sz w:val="22"/>
          <w:szCs w:val="22"/>
          <w:lang w:val="es-ES"/>
        </w:rPr>
      </w:pPr>
      <w:r w:rsidRPr="00FD39AD">
        <w:rPr>
          <w:rFonts w:ascii="Arial" w:hAnsi="Arial" w:cs="Arial"/>
          <w:b/>
          <w:smallCaps/>
          <w:sz w:val="22"/>
          <w:szCs w:val="22"/>
          <w:lang w:val="es-ES"/>
        </w:rPr>
        <w:t xml:space="preserve">y Comunidades </w:t>
      </w:r>
      <w:r w:rsidR="00E91358">
        <w:rPr>
          <w:rFonts w:ascii="Arial" w:hAnsi="Arial" w:cs="Arial"/>
          <w:b/>
          <w:smallCaps/>
          <w:sz w:val="22"/>
          <w:szCs w:val="22"/>
          <w:lang w:val="es-ES"/>
        </w:rPr>
        <w:t>Menores</w:t>
      </w:r>
    </w:p>
    <w:p w14:paraId="3340BBC5" w14:textId="77777777" w:rsidR="003B6D39" w:rsidRPr="00FD39AD" w:rsidRDefault="003B6D39" w:rsidP="00332D8A">
      <w:pPr>
        <w:tabs>
          <w:tab w:val="left" w:pos="1440"/>
          <w:tab w:val="left" w:pos="3060"/>
        </w:tabs>
        <w:jc w:val="center"/>
        <w:rPr>
          <w:rFonts w:ascii="Arial" w:hAnsi="Arial" w:cs="Arial"/>
          <w:b/>
          <w:smallCaps/>
          <w:sz w:val="22"/>
          <w:szCs w:val="22"/>
        </w:rPr>
      </w:pPr>
    </w:p>
    <w:p w14:paraId="557035E7" w14:textId="77777777" w:rsidR="001B5186" w:rsidRPr="00FD39AD" w:rsidRDefault="001B5186" w:rsidP="00332D8A">
      <w:pPr>
        <w:tabs>
          <w:tab w:val="left" w:pos="1440"/>
          <w:tab w:val="left" w:pos="3060"/>
        </w:tabs>
        <w:jc w:val="center"/>
        <w:rPr>
          <w:rFonts w:ascii="Arial" w:hAnsi="Arial" w:cs="Arial"/>
          <w:b/>
          <w:smallCaps/>
          <w:sz w:val="22"/>
          <w:szCs w:val="22"/>
        </w:rPr>
      </w:pPr>
      <w:r w:rsidRPr="00FD39AD">
        <w:rPr>
          <w:rFonts w:ascii="Arial" w:hAnsi="Arial" w:cs="Arial"/>
          <w:b/>
          <w:smallCaps/>
          <w:sz w:val="22"/>
          <w:szCs w:val="22"/>
        </w:rPr>
        <w:t>(</w:t>
      </w:r>
      <w:r w:rsidR="006A70B5" w:rsidRPr="00FD39AD">
        <w:rPr>
          <w:rFonts w:ascii="Arial" w:hAnsi="Arial" w:cs="Arial"/>
          <w:b/>
          <w:smallCaps/>
          <w:sz w:val="22"/>
          <w:szCs w:val="22"/>
        </w:rPr>
        <w:t>B</w:t>
      </w:r>
      <w:r w:rsidR="00624D4F" w:rsidRPr="00FD39AD">
        <w:rPr>
          <w:rFonts w:ascii="Arial" w:hAnsi="Arial" w:cs="Arial"/>
          <w:b/>
          <w:smallCaps/>
          <w:sz w:val="22"/>
          <w:szCs w:val="22"/>
        </w:rPr>
        <w:t>O-</w:t>
      </w:r>
      <w:r w:rsidR="006A70B5" w:rsidRPr="00FD39AD">
        <w:rPr>
          <w:rFonts w:ascii="Arial" w:hAnsi="Arial" w:cs="Arial"/>
          <w:b/>
          <w:smallCaps/>
          <w:sz w:val="22"/>
          <w:szCs w:val="22"/>
        </w:rPr>
        <w:t>L</w:t>
      </w:r>
      <w:r w:rsidR="00BA7166" w:rsidRPr="00FD39AD">
        <w:rPr>
          <w:rFonts w:ascii="Arial" w:hAnsi="Arial" w:cs="Arial"/>
          <w:b/>
          <w:smallCaps/>
          <w:sz w:val="22"/>
          <w:szCs w:val="22"/>
        </w:rPr>
        <w:t>1184</w:t>
      </w:r>
      <w:r w:rsidRPr="00FD39AD">
        <w:rPr>
          <w:rFonts w:ascii="Arial" w:hAnsi="Arial" w:cs="Arial"/>
          <w:b/>
          <w:smallCaps/>
          <w:sz w:val="22"/>
          <w:szCs w:val="22"/>
        </w:rPr>
        <w:t>)</w:t>
      </w:r>
    </w:p>
    <w:p w14:paraId="4CD0C7BE" w14:textId="77777777" w:rsidR="001B5186" w:rsidRPr="00FD39AD" w:rsidRDefault="001B5186" w:rsidP="00332D8A">
      <w:pPr>
        <w:pStyle w:val="Newpage"/>
        <w:rPr>
          <w:rFonts w:ascii="Arial" w:hAnsi="Arial"/>
          <w:b w:val="0"/>
          <w:caps/>
          <w:smallCaps w:val="0"/>
          <w:sz w:val="22"/>
          <w:szCs w:val="22"/>
        </w:rPr>
      </w:pPr>
    </w:p>
    <w:p w14:paraId="008BA24A" w14:textId="77777777" w:rsidR="001B5186" w:rsidRPr="00FD39AD" w:rsidRDefault="001B5186" w:rsidP="00332D8A">
      <w:pPr>
        <w:tabs>
          <w:tab w:val="left" w:pos="1440"/>
          <w:tab w:val="left" w:pos="3060"/>
        </w:tabs>
        <w:jc w:val="center"/>
        <w:rPr>
          <w:rFonts w:ascii="Arial" w:hAnsi="Arial" w:cs="Arial"/>
          <w:smallCaps/>
          <w:sz w:val="22"/>
          <w:szCs w:val="22"/>
        </w:rPr>
      </w:pPr>
    </w:p>
    <w:p w14:paraId="07DD9155" w14:textId="77777777" w:rsidR="001B5186" w:rsidRPr="00FD39AD" w:rsidRDefault="00524AFC" w:rsidP="00332D8A">
      <w:pPr>
        <w:tabs>
          <w:tab w:val="left" w:pos="1440"/>
          <w:tab w:val="left" w:pos="3060"/>
        </w:tabs>
        <w:jc w:val="center"/>
        <w:outlineLvl w:val="0"/>
        <w:rPr>
          <w:rFonts w:ascii="Arial" w:hAnsi="Arial" w:cs="Arial"/>
          <w:b/>
          <w:smallCaps/>
          <w:sz w:val="22"/>
          <w:szCs w:val="22"/>
        </w:rPr>
      </w:pPr>
      <w:bookmarkStart w:id="0" w:name="_Toc367177041"/>
      <w:bookmarkStart w:id="1" w:name="_Toc366509978"/>
      <w:r w:rsidRPr="00FD39AD">
        <w:rPr>
          <w:rFonts w:ascii="Arial" w:hAnsi="Arial" w:cs="Arial"/>
          <w:b/>
          <w:smallCaps/>
          <w:sz w:val="22"/>
          <w:szCs w:val="22"/>
        </w:rPr>
        <w:t>Desarrollo Comunitario</w:t>
      </w:r>
      <w:bookmarkEnd w:id="0"/>
      <w:bookmarkEnd w:id="1"/>
      <w:r w:rsidR="00BA7166" w:rsidRPr="00FD39AD">
        <w:rPr>
          <w:rFonts w:ascii="Arial" w:hAnsi="Arial" w:cs="Arial"/>
          <w:b/>
          <w:smallCaps/>
          <w:sz w:val="22"/>
          <w:szCs w:val="22"/>
        </w:rPr>
        <w:t xml:space="preserve">, Género e </w:t>
      </w:r>
      <w:r w:rsidR="00F67E7D" w:rsidRPr="00FD39AD">
        <w:rPr>
          <w:rFonts w:ascii="Arial" w:hAnsi="Arial" w:cs="Arial"/>
          <w:b/>
          <w:smallCaps/>
          <w:sz w:val="22"/>
          <w:szCs w:val="22"/>
        </w:rPr>
        <w:t>Interculturalidad</w:t>
      </w:r>
    </w:p>
    <w:p w14:paraId="5A1D0FF1" w14:textId="77777777" w:rsidR="001B5186" w:rsidRPr="00FD39AD" w:rsidRDefault="001B5186" w:rsidP="00332D8A">
      <w:pPr>
        <w:tabs>
          <w:tab w:val="left" w:pos="1440"/>
          <w:tab w:val="left" w:pos="3060"/>
        </w:tabs>
        <w:outlineLvl w:val="0"/>
        <w:rPr>
          <w:rFonts w:ascii="Arial" w:hAnsi="Arial" w:cs="Arial"/>
          <w:b/>
          <w:smallCaps/>
          <w:sz w:val="22"/>
          <w:szCs w:val="22"/>
        </w:rPr>
      </w:pPr>
    </w:p>
    <w:p w14:paraId="27F98062" w14:textId="77777777" w:rsidR="001B5186" w:rsidRPr="00FD39AD" w:rsidRDefault="001B5186" w:rsidP="00332D8A">
      <w:pPr>
        <w:pStyle w:val="ColorfulList-Accent11"/>
        <w:ind w:left="1080"/>
        <w:jc w:val="center"/>
        <w:rPr>
          <w:rFonts w:ascii="Arial" w:hAnsi="Arial" w:cs="Arial"/>
          <w:b/>
        </w:rPr>
      </w:pPr>
    </w:p>
    <w:p w14:paraId="29BEFA15" w14:textId="77777777" w:rsidR="001B5186" w:rsidRPr="00FD39AD" w:rsidRDefault="001B5186" w:rsidP="00332D8A">
      <w:pPr>
        <w:pStyle w:val="ColorfulList-Accent11"/>
        <w:ind w:left="1080"/>
        <w:jc w:val="center"/>
        <w:rPr>
          <w:rFonts w:ascii="Arial" w:hAnsi="Arial" w:cs="Arial"/>
          <w:b/>
        </w:rPr>
      </w:pPr>
    </w:p>
    <w:p w14:paraId="1E8CC03D" w14:textId="77777777" w:rsidR="001B5186" w:rsidRPr="00FD39AD" w:rsidRDefault="001B5186" w:rsidP="00332D8A">
      <w:pPr>
        <w:pStyle w:val="ColorfulList-Accent11"/>
        <w:ind w:left="1080"/>
        <w:jc w:val="center"/>
        <w:rPr>
          <w:rFonts w:ascii="Arial" w:hAnsi="Arial" w:cs="Arial"/>
          <w:b/>
        </w:rPr>
      </w:pPr>
    </w:p>
    <w:p w14:paraId="18B79803" w14:textId="77777777" w:rsidR="001B5186" w:rsidRPr="00FD39AD" w:rsidRDefault="001B5186" w:rsidP="00332D8A">
      <w:pPr>
        <w:pStyle w:val="ColorfulList-Accent11"/>
        <w:ind w:left="1080"/>
        <w:jc w:val="center"/>
        <w:rPr>
          <w:rFonts w:ascii="Arial" w:hAnsi="Arial" w:cs="Arial"/>
          <w:b/>
        </w:rPr>
      </w:pPr>
    </w:p>
    <w:p w14:paraId="564F793D" w14:textId="77777777" w:rsidR="001B5186" w:rsidRPr="00FD39AD" w:rsidRDefault="001B5186" w:rsidP="00332D8A">
      <w:pPr>
        <w:pStyle w:val="ColorfulList-Accent11"/>
        <w:ind w:left="1080"/>
        <w:jc w:val="center"/>
        <w:rPr>
          <w:rFonts w:ascii="Arial" w:hAnsi="Arial" w:cs="Arial"/>
          <w:b/>
        </w:rPr>
      </w:pPr>
    </w:p>
    <w:p w14:paraId="41EB044F" w14:textId="77777777" w:rsidR="001B5186" w:rsidRPr="00FD39AD" w:rsidRDefault="001B5186" w:rsidP="00332D8A">
      <w:pPr>
        <w:pStyle w:val="ColorfulList-Accent11"/>
        <w:ind w:left="1080"/>
        <w:jc w:val="center"/>
        <w:rPr>
          <w:rFonts w:ascii="Arial" w:hAnsi="Arial" w:cs="Arial"/>
          <w:b/>
        </w:rPr>
      </w:pPr>
    </w:p>
    <w:p w14:paraId="70111ACC" w14:textId="77777777" w:rsidR="001B5186" w:rsidRPr="00FD39AD" w:rsidRDefault="001B5186" w:rsidP="00332D8A">
      <w:pPr>
        <w:pStyle w:val="ColorfulList-Accent11"/>
        <w:ind w:left="1080"/>
        <w:jc w:val="center"/>
        <w:rPr>
          <w:rFonts w:ascii="Arial" w:hAnsi="Arial" w:cs="Arial"/>
          <w:b/>
        </w:rPr>
      </w:pPr>
    </w:p>
    <w:p w14:paraId="5B3DE49E" w14:textId="77777777" w:rsidR="001B5186" w:rsidRPr="00FD39AD" w:rsidRDefault="001B5186" w:rsidP="00332D8A">
      <w:pPr>
        <w:pStyle w:val="ColorfulList-Accent11"/>
        <w:ind w:left="1080"/>
        <w:jc w:val="center"/>
        <w:rPr>
          <w:rFonts w:ascii="Arial" w:hAnsi="Arial" w:cs="Arial"/>
          <w:b/>
        </w:rPr>
      </w:pPr>
    </w:p>
    <w:p w14:paraId="70785970" w14:textId="77777777" w:rsidR="001B5186" w:rsidRPr="00FD39AD" w:rsidRDefault="001B5186" w:rsidP="00332D8A">
      <w:pPr>
        <w:pStyle w:val="ColorfulList-Accent11"/>
        <w:ind w:left="1080"/>
        <w:jc w:val="center"/>
        <w:rPr>
          <w:rFonts w:ascii="Arial" w:hAnsi="Arial" w:cs="Arial"/>
          <w:b/>
        </w:rPr>
      </w:pPr>
    </w:p>
    <w:p w14:paraId="540C07EF" w14:textId="77777777" w:rsidR="001B5186" w:rsidRPr="00FD39AD" w:rsidRDefault="001B5186" w:rsidP="00332D8A">
      <w:pPr>
        <w:pStyle w:val="ColorfulList-Accent11"/>
        <w:ind w:left="1080"/>
        <w:jc w:val="center"/>
        <w:rPr>
          <w:rFonts w:ascii="Arial" w:hAnsi="Arial" w:cs="Arial"/>
          <w:b/>
        </w:rPr>
      </w:pPr>
    </w:p>
    <w:p w14:paraId="6C994B8A" w14:textId="77777777" w:rsidR="001B5186" w:rsidRPr="00FD39AD" w:rsidRDefault="001B5186" w:rsidP="00332D8A">
      <w:pPr>
        <w:pStyle w:val="ColorfulList-Accent11"/>
        <w:ind w:left="1080"/>
        <w:jc w:val="center"/>
        <w:rPr>
          <w:rFonts w:ascii="Arial" w:hAnsi="Arial" w:cs="Arial"/>
          <w:b/>
        </w:rPr>
      </w:pPr>
    </w:p>
    <w:p w14:paraId="4FF3E6AA" w14:textId="77777777" w:rsidR="001B5186" w:rsidRPr="00FD39AD" w:rsidRDefault="001B5186" w:rsidP="00332D8A">
      <w:pPr>
        <w:tabs>
          <w:tab w:val="left" w:pos="1440"/>
          <w:tab w:val="left" w:pos="3060"/>
        </w:tabs>
        <w:jc w:val="center"/>
        <w:rPr>
          <w:rFonts w:ascii="Arial" w:hAnsi="Arial" w:cs="Arial"/>
          <w:sz w:val="22"/>
          <w:szCs w:val="22"/>
        </w:rPr>
      </w:pPr>
    </w:p>
    <w:p w14:paraId="5AE4F993" w14:textId="77777777" w:rsidR="00A6381D" w:rsidRPr="00FD39AD" w:rsidRDefault="00BD6C4D" w:rsidP="00B87A3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rPr>
      </w:pPr>
      <w:r w:rsidRPr="00FD39AD">
        <w:rPr>
          <w:rFonts w:ascii="Arial" w:hAnsi="Arial" w:cs="Arial"/>
          <w:sz w:val="22"/>
          <w:szCs w:val="22"/>
        </w:rPr>
        <w:t>Este document</w:t>
      </w:r>
      <w:r w:rsidR="0070507C" w:rsidRPr="00FD39AD">
        <w:rPr>
          <w:rFonts w:ascii="Arial" w:hAnsi="Arial" w:cs="Arial"/>
          <w:sz w:val="22"/>
          <w:szCs w:val="22"/>
        </w:rPr>
        <w:t>o</w:t>
      </w:r>
      <w:r w:rsidRPr="00FD39AD">
        <w:rPr>
          <w:rFonts w:ascii="Arial" w:hAnsi="Arial" w:cs="Arial"/>
          <w:sz w:val="22"/>
          <w:szCs w:val="22"/>
        </w:rPr>
        <w:t xml:space="preserve"> fue elaborado por</w:t>
      </w:r>
      <w:r w:rsidR="001B5186" w:rsidRPr="00FD39AD">
        <w:rPr>
          <w:rFonts w:ascii="Arial" w:hAnsi="Arial" w:cs="Arial"/>
          <w:sz w:val="22"/>
          <w:szCs w:val="22"/>
        </w:rPr>
        <w:t>:</w:t>
      </w:r>
      <w:r w:rsidR="00624D4F" w:rsidRPr="00FD39AD">
        <w:rPr>
          <w:rFonts w:ascii="Arial" w:hAnsi="Arial" w:cs="Arial"/>
          <w:sz w:val="22"/>
          <w:szCs w:val="22"/>
        </w:rPr>
        <w:t xml:space="preserve"> </w:t>
      </w:r>
      <w:r w:rsidR="00F9026D" w:rsidRPr="00FD39AD">
        <w:rPr>
          <w:rFonts w:ascii="Arial" w:hAnsi="Arial" w:cs="Arial"/>
          <w:sz w:val="22"/>
          <w:szCs w:val="22"/>
        </w:rPr>
        <w:t>Germán Sturzenegger (INE/WSA)</w:t>
      </w:r>
      <w:r w:rsidR="00624D4F" w:rsidRPr="00FD39AD">
        <w:rPr>
          <w:rFonts w:ascii="Arial" w:hAnsi="Arial" w:cs="Arial"/>
          <w:sz w:val="22"/>
          <w:szCs w:val="22"/>
        </w:rPr>
        <w:t xml:space="preserve">, </w:t>
      </w:r>
      <w:r w:rsidR="00F67E7D" w:rsidRPr="00FD39AD">
        <w:rPr>
          <w:rFonts w:ascii="Arial" w:hAnsi="Arial" w:cs="Arial"/>
          <w:sz w:val="22"/>
          <w:szCs w:val="22"/>
        </w:rPr>
        <w:t>Andrea Monje</w:t>
      </w:r>
      <w:r w:rsidR="002113FE" w:rsidRPr="00FD39AD">
        <w:rPr>
          <w:rFonts w:ascii="Arial" w:hAnsi="Arial" w:cs="Arial"/>
          <w:sz w:val="22"/>
          <w:szCs w:val="22"/>
        </w:rPr>
        <w:t xml:space="preserve"> (GDI/GDI)</w:t>
      </w:r>
      <w:r w:rsidR="00F67E7D" w:rsidRPr="00FD39AD">
        <w:rPr>
          <w:rFonts w:ascii="Arial" w:hAnsi="Arial" w:cs="Arial"/>
          <w:sz w:val="22"/>
          <w:szCs w:val="22"/>
        </w:rPr>
        <w:t xml:space="preserve">, </w:t>
      </w:r>
      <w:r w:rsidR="00623F09" w:rsidRPr="00FD39AD">
        <w:rPr>
          <w:rFonts w:ascii="Arial" w:hAnsi="Arial" w:cs="Arial"/>
          <w:sz w:val="22"/>
          <w:szCs w:val="22"/>
        </w:rPr>
        <w:t xml:space="preserve">y </w:t>
      </w:r>
      <w:r w:rsidR="002113FE" w:rsidRPr="00FD39AD">
        <w:rPr>
          <w:rFonts w:ascii="Arial" w:hAnsi="Arial" w:cs="Arial"/>
          <w:sz w:val="22"/>
          <w:szCs w:val="22"/>
        </w:rPr>
        <w:t>Verónica Tejerina (GDI/GDI)</w:t>
      </w:r>
      <w:r w:rsidR="00623F09" w:rsidRPr="00FD39AD">
        <w:rPr>
          <w:rFonts w:ascii="Arial" w:hAnsi="Arial" w:cs="Arial"/>
          <w:sz w:val="22"/>
          <w:szCs w:val="22"/>
        </w:rPr>
        <w:t xml:space="preserve">. </w:t>
      </w:r>
    </w:p>
    <w:p w14:paraId="1D4752DF" w14:textId="77777777" w:rsidR="00B87A39" w:rsidRPr="00FD39AD" w:rsidRDefault="00B87A39" w:rsidP="00332D8A">
      <w:pPr>
        <w:pStyle w:val="ColorfulList-Accent11"/>
        <w:ind w:left="1080"/>
        <w:jc w:val="center"/>
        <w:rPr>
          <w:rFonts w:ascii="Arial" w:hAnsi="Arial" w:cs="Arial"/>
          <w:smallCaps/>
        </w:rPr>
      </w:pPr>
    </w:p>
    <w:p w14:paraId="54430004" w14:textId="77777777" w:rsidR="00B87A39" w:rsidRPr="00FD39AD" w:rsidRDefault="00B87A39" w:rsidP="00332D8A">
      <w:pPr>
        <w:pStyle w:val="ColorfulList-Accent11"/>
        <w:ind w:left="1080"/>
        <w:jc w:val="center"/>
        <w:rPr>
          <w:rFonts w:ascii="Arial" w:hAnsi="Arial" w:cs="Arial"/>
          <w:smallCaps/>
        </w:rPr>
        <w:sectPr w:rsidR="00B87A39" w:rsidRPr="00FD39AD" w:rsidSect="00B87A39">
          <w:footerReference w:type="default" r:id="rId14"/>
          <w:pgSz w:w="12240" w:h="15840"/>
          <w:pgMar w:top="1440" w:right="1800" w:bottom="1440" w:left="1800" w:header="720" w:footer="720" w:gutter="0"/>
          <w:cols w:space="720"/>
          <w:vAlign w:val="both"/>
          <w:docGrid w:linePitch="360"/>
        </w:sectPr>
      </w:pPr>
    </w:p>
    <w:p w14:paraId="29646C7A" w14:textId="77777777" w:rsidR="001B5186" w:rsidRPr="00FD39AD" w:rsidRDefault="0070507C" w:rsidP="006C4E64">
      <w:pPr>
        <w:pStyle w:val="ColorfulList-Accent11"/>
        <w:ind w:left="0"/>
        <w:jc w:val="center"/>
        <w:rPr>
          <w:rFonts w:ascii="Arial" w:hAnsi="Arial" w:cs="Arial"/>
          <w:b/>
          <w:smallCaps/>
        </w:rPr>
      </w:pPr>
      <w:r w:rsidRPr="00FD39AD">
        <w:rPr>
          <w:rFonts w:ascii="Arial" w:hAnsi="Arial" w:cs="Arial"/>
          <w:b/>
          <w:smallCaps/>
        </w:rPr>
        <w:lastRenderedPageBreak/>
        <w:t>Índice</w:t>
      </w:r>
    </w:p>
    <w:p w14:paraId="0CA241B1" w14:textId="77777777" w:rsidR="001B5186" w:rsidRPr="00FD39AD" w:rsidRDefault="001B5186" w:rsidP="00332D8A">
      <w:pPr>
        <w:pStyle w:val="ColorfulList-Accent11"/>
        <w:ind w:left="1080"/>
        <w:jc w:val="center"/>
        <w:rPr>
          <w:rFonts w:ascii="Arial" w:hAnsi="Arial" w:cs="Arial"/>
        </w:rPr>
      </w:pPr>
    </w:p>
    <w:p w14:paraId="47BECDB6" w14:textId="77777777" w:rsidR="001B5186" w:rsidRPr="00FD39AD" w:rsidRDefault="001B5186" w:rsidP="00332D8A">
      <w:pPr>
        <w:pStyle w:val="ColorfulList-Accent11"/>
        <w:ind w:left="1080"/>
        <w:jc w:val="center"/>
        <w:rPr>
          <w:rFonts w:ascii="Arial" w:hAnsi="Arial" w:cs="Arial"/>
        </w:rPr>
      </w:pPr>
    </w:p>
    <w:sdt>
      <w:sdtPr>
        <w:rPr>
          <w:rFonts w:ascii="Arial" w:eastAsia="Times New Roman" w:hAnsi="Arial" w:cs="Arial"/>
          <w:b w:val="0"/>
          <w:bCs w:val="0"/>
          <w:color w:val="auto"/>
          <w:spacing w:val="-3"/>
          <w:sz w:val="22"/>
          <w:szCs w:val="22"/>
          <w:lang w:val="es-ES_tradnl" w:eastAsia="en-US"/>
        </w:rPr>
        <w:id w:val="-1443220911"/>
        <w:docPartObj>
          <w:docPartGallery w:val="Table of Contents"/>
          <w:docPartUnique/>
        </w:docPartObj>
      </w:sdtPr>
      <w:sdtEndPr>
        <w:rPr>
          <w:noProof/>
        </w:rPr>
      </w:sdtEndPr>
      <w:sdtContent>
        <w:p w14:paraId="7DE6919C" w14:textId="77777777" w:rsidR="00AC689B" w:rsidRPr="00FD39AD" w:rsidRDefault="00AC689B">
          <w:pPr>
            <w:pStyle w:val="TOCHeading"/>
            <w:rPr>
              <w:rFonts w:ascii="Arial" w:hAnsi="Arial" w:cs="Arial"/>
              <w:sz w:val="22"/>
              <w:szCs w:val="22"/>
            </w:rPr>
          </w:pPr>
        </w:p>
        <w:p w14:paraId="116D0D5A" w14:textId="77777777" w:rsidR="00AC689B" w:rsidRPr="00FD39AD" w:rsidRDefault="00AC689B">
          <w:pPr>
            <w:pStyle w:val="TOC1"/>
            <w:rPr>
              <w:rStyle w:val="Hyperlink"/>
              <w:rFonts w:ascii="Arial" w:hAnsi="Arial" w:cs="Arial"/>
              <w:sz w:val="22"/>
              <w:szCs w:val="22"/>
            </w:rPr>
          </w:pPr>
          <w:r w:rsidRPr="00FD39AD">
            <w:rPr>
              <w:rFonts w:ascii="Arial" w:hAnsi="Arial" w:cs="Arial"/>
              <w:sz w:val="22"/>
              <w:szCs w:val="22"/>
            </w:rPr>
            <w:fldChar w:fldCharType="begin"/>
          </w:r>
          <w:r w:rsidRPr="00FD39AD">
            <w:rPr>
              <w:rFonts w:ascii="Arial" w:hAnsi="Arial" w:cs="Arial"/>
              <w:sz w:val="22"/>
              <w:szCs w:val="22"/>
            </w:rPr>
            <w:instrText xml:space="preserve"> TOC \o "1-3" \h \z \u </w:instrText>
          </w:r>
          <w:r w:rsidRPr="00FD39AD">
            <w:rPr>
              <w:rFonts w:ascii="Arial" w:hAnsi="Arial" w:cs="Arial"/>
              <w:sz w:val="22"/>
              <w:szCs w:val="22"/>
            </w:rPr>
            <w:fldChar w:fldCharType="separate"/>
          </w:r>
          <w:hyperlink w:anchor="_Toc367177042" w:history="1">
            <w:r w:rsidRPr="00FD39AD">
              <w:rPr>
                <w:rStyle w:val="Hyperlink"/>
                <w:rFonts w:ascii="Arial" w:hAnsi="Arial" w:cs="Arial"/>
                <w:sz w:val="22"/>
                <w:szCs w:val="22"/>
              </w:rPr>
              <w:t>I.</w:t>
            </w:r>
            <w:r w:rsidRPr="00FD39AD">
              <w:rPr>
                <w:rStyle w:val="Hyperlink"/>
                <w:rFonts w:ascii="Arial" w:hAnsi="Arial" w:cs="Arial"/>
                <w:sz w:val="22"/>
                <w:szCs w:val="22"/>
              </w:rPr>
              <w:tab/>
              <w:t>INTRODUCCIÓN</w:t>
            </w:r>
            <w:r w:rsidRPr="00FD39AD">
              <w:rPr>
                <w:rStyle w:val="Hyperlink"/>
                <w:rFonts w:ascii="Arial" w:hAnsi="Arial" w:cs="Arial"/>
                <w:webHidden/>
                <w:sz w:val="22"/>
                <w:szCs w:val="22"/>
              </w:rPr>
              <w:tab/>
              <w:t>3</w:t>
            </w:r>
          </w:hyperlink>
        </w:p>
        <w:p w14:paraId="1FA5FCF4" w14:textId="60DC48BB" w:rsidR="00AC689B" w:rsidRPr="00FD39AD" w:rsidRDefault="00E633CA">
          <w:pPr>
            <w:pStyle w:val="TOC1"/>
            <w:rPr>
              <w:rStyle w:val="Hyperlink"/>
              <w:rFonts w:ascii="Arial" w:hAnsi="Arial" w:cs="Arial"/>
              <w:sz w:val="22"/>
              <w:szCs w:val="22"/>
            </w:rPr>
          </w:pPr>
          <w:hyperlink w:anchor="_Toc367177050" w:history="1">
            <w:r w:rsidR="00AC689B" w:rsidRPr="00FD39AD">
              <w:rPr>
                <w:rStyle w:val="Hyperlink"/>
                <w:rFonts w:ascii="Arial" w:hAnsi="Arial" w:cs="Arial"/>
                <w:sz w:val="22"/>
                <w:szCs w:val="22"/>
              </w:rPr>
              <w:t>II.</w:t>
            </w:r>
            <w:r w:rsidR="00AC689B" w:rsidRPr="00FD39AD">
              <w:rPr>
                <w:rStyle w:val="Hyperlink"/>
                <w:rFonts w:ascii="Arial" w:hAnsi="Arial" w:cs="Arial"/>
                <w:sz w:val="22"/>
                <w:szCs w:val="22"/>
              </w:rPr>
              <w:tab/>
            </w:r>
            <w:r w:rsidR="00C510A2" w:rsidRPr="00FD39AD">
              <w:rPr>
                <w:rStyle w:val="Hyperlink"/>
                <w:rFonts w:ascii="Arial" w:hAnsi="Arial" w:cs="Arial"/>
                <w:sz w:val="22"/>
                <w:szCs w:val="22"/>
              </w:rPr>
              <w:t>ESTRATEGIA DESCOM</w:t>
            </w:r>
            <w:r w:rsidR="00AC689B" w:rsidRPr="00FD39AD">
              <w:rPr>
                <w:rStyle w:val="Hyperlink"/>
                <w:rFonts w:ascii="Arial" w:hAnsi="Arial" w:cs="Arial"/>
                <w:webHidden/>
                <w:sz w:val="22"/>
                <w:szCs w:val="22"/>
              </w:rPr>
              <w:tab/>
            </w:r>
          </w:hyperlink>
          <w:r w:rsidR="004608FC">
            <w:rPr>
              <w:rStyle w:val="Hyperlink"/>
              <w:rFonts w:ascii="Arial" w:hAnsi="Arial" w:cs="Arial"/>
              <w:sz w:val="22"/>
              <w:szCs w:val="22"/>
            </w:rPr>
            <w:t>3</w:t>
          </w:r>
        </w:p>
        <w:p w14:paraId="3DE5EC84" w14:textId="7657E8CD" w:rsidR="00AC689B" w:rsidRPr="00FD39AD" w:rsidRDefault="00E633CA">
          <w:pPr>
            <w:pStyle w:val="TOC1"/>
            <w:rPr>
              <w:rStyle w:val="Hyperlink"/>
              <w:rFonts w:ascii="Arial" w:hAnsi="Arial" w:cs="Arial"/>
              <w:sz w:val="22"/>
              <w:szCs w:val="22"/>
            </w:rPr>
          </w:pPr>
          <w:hyperlink w:anchor="_Toc367177051" w:history="1">
            <w:r w:rsidR="00AC689B" w:rsidRPr="00FD39AD">
              <w:rPr>
                <w:rStyle w:val="Hyperlink"/>
                <w:rFonts w:ascii="Arial" w:hAnsi="Arial" w:cs="Arial"/>
                <w:sz w:val="22"/>
                <w:szCs w:val="22"/>
              </w:rPr>
              <w:t>III.</w:t>
            </w:r>
            <w:r w:rsidR="00AC689B" w:rsidRPr="00FD39AD">
              <w:rPr>
                <w:rStyle w:val="Hyperlink"/>
                <w:rFonts w:ascii="Arial" w:hAnsi="Arial" w:cs="Arial"/>
                <w:sz w:val="22"/>
                <w:szCs w:val="22"/>
              </w:rPr>
              <w:tab/>
            </w:r>
            <w:r w:rsidR="00C510A2" w:rsidRPr="00FD39AD">
              <w:rPr>
                <w:rStyle w:val="Hyperlink"/>
                <w:rFonts w:ascii="Arial" w:hAnsi="Arial" w:cs="Arial"/>
                <w:sz w:val="22"/>
                <w:szCs w:val="22"/>
              </w:rPr>
              <w:t>ESTRATEGIA DE GÉNERO</w:t>
            </w:r>
            <w:r w:rsidR="00AC689B" w:rsidRPr="00FD39AD">
              <w:rPr>
                <w:rStyle w:val="Hyperlink"/>
                <w:rFonts w:ascii="Arial" w:hAnsi="Arial" w:cs="Arial"/>
                <w:webHidden/>
                <w:sz w:val="22"/>
                <w:szCs w:val="22"/>
              </w:rPr>
              <w:tab/>
            </w:r>
          </w:hyperlink>
          <w:r w:rsidR="004608FC">
            <w:rPr>
              <w:rStyle w:val="Hyperlink"/>
              <w:rFonts w:ascii="Arial" w:hAnsi="Arial" w:cs="Arial"/>
              <w:sz w:val="22"/>
              <w:szCs w:val="22"/>
            </w:rPr>
            <w:t>5</w:t>
          </w:r>
        </w:p>
        <w:p w14:paraId="38AF4F8E" w14:textId="140ACA53" w:rsidR="00AC689B" w:rsidRPr="00FD39AD" w:rsidRDefault="00E633CA">
          <w:pPr>
            <w:pStyle w:val="TOC1"/>
            <w:rPr>
              <w:rFonts w:ascii="Arial" w:eastAsiaTheme="minorEastAsia" w:hAnsi="Arial" w:cs="Arial"/>
              <w:smallCaps w:val="0"/>
              <w:spacing w:val="0"/>
              <w:sz w:val="22"/>
              <w:szCs w:val="22"/>
              <w:lang w:val="en-US"/>
            </w:rPr>
          </w:pPr>
          <w:hyperlink w:anchor="_Toc367177052" w:history="1">
            <w:r w:rsidR="00AC689B" w:rsidRPr="00FD39AD">
              <w:rPr>
                <w:rStyle w:val="Hyperlink"/>
                <w:rFonts w:ascii="Arial" w:hAnsi="Arial" w:cs="Arial"/>
                <w:sz w:val="22"/>
                <w:szCs w:val="22"/>
              </w:rPr>
              <w:t>IV.</w:t>
            </w:r>
            <w:r w:rsidR="00AC689B" w:rsidRPr="00FD39AD">
              <w:rPr>
                <w:rStyle w:val="Hyperlink"/>
                <w:rFonts w:ascii="Arial" w:hAnsi="Arial" w:cs="Arial"/>
                <w:sz w:val="22"/>
                <w:szCs w:val="22"/>
              </w:rPr>
              <w:tab/>
            </w:r>
            <w:r w:rsidR="00C510A2" w:rsidRPr="00FD39AD">
              <w:rPr>
                <w:rStyle w:val="Hyperlink"/>
                <w:rFonts w:ascii="Arial" w:hAnsi="Arial" w:cs="Arial"/>
                <w:sz w:val="22"/>
                <w:szCs w:val="22"/>
              </w:rPr>
              <w:t>ESTRATEGIA DE INTERCULTURALIDAD</w:t>
            </w:r>
            <w:r w:rsidR="00AC689B" w:rsidRPr="00FD39AD">
              <w:rPr>
                <w:rStyle w:val="Hyperlink"/>
                <w:rFonts w:ascii="Arial" w:hAnsi="Arial" w:cs="Arial"/>
                <w:webHidden/>
                <w:sz w:val="22"/>
                <w:szCs w:val="22"/>
              </w:rPr>
              <w:tab/>
            </w:r>
          </w:hyperlink>
          <w:r w:rsidR="004608FC">
            <w:rPr>
              <w:rStyle w:val="Hyperlink"/>
              <w:rFonts w:ascii="Arial" w:hAnsi="Arial" w:cs="Arial"/>
              <w:sz w:val="22"/>
              <w:szCs w:val="22"/>
            </w:rPr>
            <w:t>9</w:t>
          </w:r>
        </w:p>
        <w:p w14:paraId="528E220A" w14:textId="77777777" w:rsidR="00AC689B" w:rsidRPr="00FD39AD" w:rsidRDefault="00AC689B">
          <w:pPr>
            <w:rPr>
              <w:rFonts w:ascii="Arial" w:hAnsi="Arial" w:cs="Arial"/>
              <w:sz w:val="22"/>
              <w:szCs w:val="22"/>
            </w:rPr>
          </w:pPr>
          <w:r w:rsidRPr="00FD39AD">
            <w:rPr>
              <w:rFonts w:ascii="Arial" w:hAnsi="Arial" w:cs="Arial"/>
              <w:b/>
              <w:bCs/>
              <w:noProof/>
              <w:sz w:val="22"/>
              <w:szCs w:val="22"/>
            </w:rPr>
            <w:fldChar w:fldCharType="end"/>
          </w:r>
        </w:p>
      </w:sdtContent>
    </w:sdt>
    <w:p w14:paraId="31BCB652" w14:textId="77777777" w:rsidR="001B5186" w:rsidRPr="00FD39AD" w:rsidRDefault="001B5186" w:rsidP="00332D8A">
      <w:pPr>
        <w:pStyle w:val="ColorfulList-Accent11"/>
        <w:ind w:left="360"/>
        <w:jc w:val="both"/>
        <w:rPr>
          <w:rFonts w:ascii="Arial" w:hAnsi="Arial" w:cs="Arial"/>
        </w:rPr>
      </w:pPr>
    </w:p>
    <w:p w14:paraId="2FAB35B7" w14:textId="77777777" w:rsidR="001B5186" w:rsidRPr="00FD39AD" w:rsidRDefault="001B5186" w:rsidP="00332D8A">
      <w:pPr>
        <w:pStyle w:val="ColorfulList-Accent11"/>
        <w:ind w:left="1080"/>
        <w:jc w:val="center"/>
        <w:rPr>
          <w:rFonts w:ascii="Arial" w:hAnsi="Arial" w:cs="Arial"/>
        </w:rPr>
      </w:pPr>
    </w:p>
    <w:p w14:paraId="563883B9" w14:textId="77777777" w:rsidR="001B5186" w:rsidRPr="00FD39AD" w:rsidRDefault="001B5186" w:rsidP="00332D8A">
      <w:pPr>
        <w:pStyle w:val="ColorfulList-Accent11"/>
        <w:ind w:left="1080"/>
        <w:jc w:val="center"/>
        <w:rPr>
          <w:rFonts w:ascii="Arial" w:hAnsi="Arial" w:cs="Arial"/>
        </w:rPr>
      </w:pPr>
    </w:p>
    <w:p w14:paraId="51222CAB" w14:textId="77777777" w:rsidR="00B87A39" w:rsidRPr="00FD39AD" w:rsidRDefault="00B87A39" w:rsidP="00332D8A">
      <w:pPr>
        <w:pStyle w:val="ColorfulList-Accent11"/>
        <w:ind w:left="1080"/>
        <w:jc w:val="center"/>
        <w:rPr>
          <w:rFonts w:ascii="Arial" w:hAnsi="Arial" w:cs="Arial"/>
        </w:rPr>
      </w:pPr>
    </w:p>
    <w:p w14:paraId="27187B82" w14:textId="77777777" w:rsidR="001B5186" w:rsidRPr="00FD39AD" w:rsidRDefault="00B87A39" w:rsidP="00332D8A">
      <w:pPr>
        <w:pStyle w:val="ColorfulList-Accent11"/>
        <w:ind w:left="0"/>
        <w:jc w:val="center"/>
        <w:rPr>
          <w:rFonts w:ascii="Arial" w:eastAsia="Arial Unicode MS" w:hAnsi="Arial" w:cs="Arial"/>
          <w:bCs/>
          <w:smallCaps/>
        </w:rPr>
      </w:pPr>
      <w:r w:rsidRPr="00FD39AD">
        <w:rPr>
          <w:rFonts w:ascii="Arial" w:eastAsia="Arial Unicode MS" w:hAnsi="Arial" w:cs="Arial"/>
          <w:bCs/>
          <w:smallCaps/>
        </w:rPr>
        <w:br w:type="page"/>
      </w:r>
    </w:p>
    <w:p w14:paraId="7146E677" w14:textId="77777777" w:rsidR="001B5186" w:rsidRPr="00FD39AD" w:rsidRDefault="00AC689B" w:rsidP="00B87A39">
      <w:pPr>
        <w:pStyle w:val="Heading1"/>
        <w:jc w:val="left"/>
        <w:rPr>
          <w:rFonts w:ascii="Arial" w:hAnsi="Arial" w:cs="Arial"/>
          <w:sz w:val="22"/>
          <w:szCs w:val="22"/>
          <w:lang w:val="es-ES_tradnl"/>
        </w:rPr>
      </w:pPr>
      <w:bookmarkStart w:id="2" w:name="_Toc366509979"/>
      <w:bookmarkStart w:id="3" w:name="_Toc367177042"/>
      <w:r w:rsidRPr="00FD39AD">
        <w:rPr>
          <w:rFonts w:ascii="Arial" w:hAnsi="Arial" w:cs="Arial"/>
          <w:smallCaps w:val="0"/>
          <w:sz w:val="22"/>
          <w:szCs w:val="22"/>
          <w:lang w:val="es-ES_tradnl"/>
        </w:rPr>
        <w:lastRenderedPageBreak/>
        <w:t>INTRODUCCIÓN</w:t>
      </w:r>
      <w:bookmarkEnd w:id="2"/>
      <w:bookmarkEnd w:id="3"/>
    </w:p>
    <w:p w14:paraId="430F7D41" w14:textId="77777777" w:rsidR="0003465E" w:rsidRDefault="0003465E" w:rsidP="0003465E">
      <w:pPr>
        <w:pStyle w:val="Paragraph"/>
        <w:numPr>
          <w:ilvl w:val="1"/>
          <w:numId w:val="10"/>
        </w:numPr>
        <w:tabs>
          <w:tab w:val="clear" w:pos="2736"/>
          <w:tab w:val="num" w:pos="720"/>
        </w:tabs>
        <w:ind w:left="720" w:hanging="720"/>
        <w:rPr>
          <w:rFonts w:ascii="Arial" w:eastAsiaTheme="minorHAnsi" w:hAnsi="Arial" w:cs="Arial"/>
          <w:sz w:val="22"/>
        </w:rPr>
      </w:pPr>
      <w:bookmarkStart w:id="4" w:name="_Toc367177043"/>
      <w:r w:rsidRPr="0003465E">
        <w:rPr>
          <w:rFonts w:ascii="Arial" w:eastAsiaTheme="minorHAnsi" w:hAnsi="Arial" w:cs="Arial"/>
          <w:b/>
          <w:sz w:val="22"/>
        </w:rPr>
        <w:t>Obj</w:t>
      </w:r>
      <w:r>
        <w:rPr>
          <w:rFonts w:ascii="Arial" w:eastAsiaTheme="minorHAnsi" w:hAnsi="Arial" w:cs="Arial"/>
          <w:b/>
          <w:sz w:val="22"/>
        </w:rPr>
        <w:t>e</w:t>
      </w:r>
      <w:r w:rsidRPr="0003465E">
        <w:rPr>
          <w:rFonts w:ascii="Arial" w:eastAsiaTheme="minorHAnsi" w:hAnsi="Arial" w:cs="Arial"/>
          <w:b/>
          <w:sz w:val="22"/>
        </w:rPr>
        <w:t>tivos</w:t>
      </w:r>
      <w:r>
        <w:rPr>
          <w:rFonts w:ascii="Arial" w:eastAsiaTheme="minorHAnsi" w:hAnsi="Arial" w:cs="Arial"/>
          <w:sz w:val="22"/>
        </w:rPr>
        <w:t xml:space="preserve">: </w:t>
      </w:r>
      <w:r w:rsidR="00132732" w:rsidRPr="00FD39AD">
        <w:rPr>
          <w:rFonts w:ascii="Arial" w:eastAsiaTheme="minorHAnsi" w:hAnsi="Arial" w:cs="Arial"/>
          <w:sz w:val="22"/>
        </w:rPr>
        <w:t>El programa tiene como objetivo mejorar las condiciones de vida de la población rural y de pequeñas localidades de Bolivia por medio del incremento de la cobertura de agua y saneamiento a través de acciones de construcción, ampliación y mejora en los sistemas de agua y saneamiento.</w:t>
      </w:r>
    </w:p>
    <w:p w14:paraId="31EB08F4" w14:textId="7F8F51D0" w:rsidR="007D5069" w:rsidRPr="0003465E" w:rsidRDefault="00132732" w:rsidP="0003465E">
      <w:pPr>
        <w:pStyle w:val="Paragraph"/>
        <w:numPr>
          <w:ilvl w:val="1"/>
          <w:numId w:val="10"/>
        </w:numPr>
        <w:tabs>
          <w:tab w:val="clear" w:pos="2736"/>
          <w:tab w:val="num" w:pos="720"/>
        </w:tabs>
        <w:ind w:left="720" w:hanging="720"/>
        <w:rPr>
          <w:rFonts w:ascii="Arial" w:eastAsiaTheme="minorHAnsi" w:hAnsi="Arial" w:cs="Arial"/>
          <w:sz w:val="22"/>
        </w:rPr>
      </w:pPr>
      <w:r w:rsidRPr="0003465E">
        <w:rPr>
          <w:rFonts w:ascii="Arial" w:eastAsiaTheme="minorHAnsi" w:hAnsi="Arial" w:cs="Arial"/>
          <w:sz w:val="22"/>
        </w:rPr>
        <w:t>Para alcanzar este objetivo</w:t>
      </w:r>
      <w:r w:rsidR="00C42E49" w:rsidRPr="0003465E">
        <w:rPr>
          <w:rFonts w:ascii="Arial" w:eastAsiaTheme="minorHAnsi" w:hAnsi="Arial" w:cs="Arial"/>
          <w:sz w:val="22"/>
        </w:rPr>
        <w:t>, e</w:t>
      </w:r>
      <w:r w:rsidRPr="0003465E">
        <w:rPr>
          <w:rFonts w:ascii="Arial" w:eastAsiaTheme="minorHAnsi" w:hAnsi="Arial" w:cs="Arial"/>
          <w:sz w:val="22"/>
        </w:rPr>
        <w:t xml:space="preserve">l </w:t>
      </w:r>
      <w:bookmarkStart w:id="5" w:name="_Toc367177044"/>
      <w:bookmarkEnd w:id="4"/>
      <w:r w:rsidR="00C42E49" w:rsidRPr="0003465E">
        <w:rPr>
          <w:rFonts w:ascii="Arial" w:eastAsiaTheme="minorHAnsi" w:hAnsi="Arial" w:cs="Arial"/>
          <w:sz w:val="22"/>
        </w:rPr>
        <w:t xml:space="preserve">Componente I </w:t>
      </w:r>
      <w:bookmarkStart w:id="6" w:name="_Toc367177047"/>
      <w:bookmarkEnd w:id="5"/>
      <w:r w:rsidR="0038687F">
        <w:rPr>
          <w:rFonts w:ascii="Arial" w:eastAsiaTheme="minorHAnsi" w:hAnsi="Arial" w:cs="Arial"/>
          <w:sz w:val="22"/>
        </w:rPr>
        <w:t>del programa (</w:t>
      </w:r>
      <w:r w:rsidR="007D5069" w:rsidRPr="0003465E">
        <w:rPr>
          <w:rFonts w:ascii="Arial" w:eastAsiaTheme="minorHAnsi" w:hAnsi="Arial" w:cs="Arial"/>
          <w:sz w:val="22"/>
        </w:rPr>
        <w:t>Inversiones en agua potable, saneamiento y apoyo a la gestión</w:t>
      </w:r>
      <w:r w:rsidR="0038687F">
        <w:rPr>
          <w:rFonts w:ascii="Arial" w:eastAsiaTheme="minorHAnsi" w:hAnsi="Arial" w:cs="Arial"/>
          <w:sz w:val="22"/>
        </w:rPr>
        <w:t>)</w:t>
      </w:r>
      <w:r w:rsidR="007D5069" w:rsidRPr="0003465E">
        <w:rPr>
          <w:rFonts w:ascii="Arial" w:eastAsiaTheme="minorHAnsi" w:hAnsi="Arial" w:cs="Arial"/>
          <w:sz w:val="22"/>
        </w:rPr>
        <w:t xml:space="preserve"> incluye </w:t>
      </w:r>
      <w:r w:rsidR="0038687F">
        <w:rPr>
          <w:rFonts w:ascii="Arial" w:eastAsiaTheme="minorHAnsi" w:hAnsi="Arial" w:cs="Arial"/>
          <w:sz w:val="22"/>
        </w:rPr>
        <w:t xml:space="preserve">el financiamiento </w:t>
      </w:r>
      <w:r w:rsidR="007D5069" w:rsidRPr="0003465E">
        <w:rPr>
          <w:rFonts w:ascii="Arial" w:eastAsiaTheme="minorHAnsi" w:hAnsi="Arial" w:cs="Arial"/>
          <w:sz w:val="22"/>
        </w:rPr>
        <w:t xml:space="preserve">de actividades de Desarrollo Comunitario (DESCOM) y Fortalecimiento Institucional (FI) de operadores </w:t>
      </w:r>
      <w:r w:rsidR="0038687F">
        <w:rPr>
          <w:rFonts w:ascii="Arial" w:eastAsiaTheme="minorHAnsi" w:hAnsi="Arial" w:cs="Arial"/>
          <w:sz w:val="22"/>
        </w:rPr>
        <w:t>orientadas a</w:t>
      </w:r>
      <w:r w:rsidR="007D5069" w:rsidRPr="0003465E">
        <w:rPr>
          <w:rFonts w:ascii="Arial" w:eastAsiaTheme="minorHAnsi" w:hAnsi="Arial" w:cs="Arial"/>
          <w:sz w:val="22"/>
        </w:rPr>
        <w:t xml:space="preserve"> promover la sostenibilidad de l</w:t>
      </w:r>
      <w:r w:rsidR="00DD6633">
        <w:rPr>
          <w:rFonts w:ascii="Arial" w:eastAsiaTheme="minorHAnsi" w:hAnsi="Arial" w:cs="Arial"/>
          <w:sz w:val="22"/>
        </w:rPr>
        <w:t>os proyectos</w:t>
      </w:r>
      <w:r w:rsidR="007D5069" w:rsidRPr="0003465E">
        <w:rPr>
          <w:rFonts w:ascii="Arial" w:eastAsiaTheme="minorHAnsi" w:hAnsi="Arial" w:cs="Arial"/>
          <w:sz w:val="22"/>
        </w:rPr>
        <w:t xml:space="preserve">. </w:t>
      </w:r>
    </w:p>
    <w:p w14:paraId="4D40B60A" w14:textId="0F583E53" w:rsidR="007D5069" w:rsidRPr="007D5069" w:rsidRDefault="00F9026D" w:rsidP="00EA076D">
      <w:pPr>
        <w:pStyle w:val="Paragraph"/>
        <w:numPr>
          <w:ilvl w:val="1"/>
          <w:numId w:val="10"/>
        </w:numPr>
        <w:tabs>
          <w:tab w:val="clear" w:pos="2736"/>
          <w:tab w:val="num" w:pos="720"/>
        </w:tabs>
        <w:ind w:left="720" w:hanging="720"/>
        <w:rPr>
          <w:rFonts w:ascii="Arial" w:eastAsiaTheme="minorHAnsi" w:hAnsi="Arial" w:cs="Arial"/>
          <w:sz w:val="22"/>
        </w:rPr>
      </w:pPr>
      <w:r w:rsidRPr="0003465E">
        <w:rPr>
          <w:rFonts w:ascii="Arial" w:eastAsiaTheme="minorHAnsi" w:hAnsi="Arial" w:cs="Arial"/>
          <w:b/>
          <w:sz w:val="22"/>
        </w:rPr>
        <w:t>Esquema de ejecución</w:t>
      </w:r>
      <w:r w:rsidRPr="007D5069">
        <w:rPr>
          <w:rFonts w:ascii="Arial" w:eastAsiaTheme="minorHAnsi" w:hAnsi="Arial" w:cs="Arial"/>
          <w:sz w:val="22"/>
        </w:rPr>
        <w:t xml:space="preserve">. </w:t>
      </w:r>
      <w:r w:rsidR="002113FE" w:rsidRPr="007D5069">
        <w:rPr>
          <w:rFonts w:ascii="Arial" w:eastAsiaTheme="minorHAnsi" w:hAnsi="Arial" w:cs="Arial"/>
          <w:sz w:val="22"/>
        </w:rPr>
        <w:t xml:space="preserve">En comunidades </w:t>
      </w:r>
      <w:bookmarkStart w:id="7" w:name="_GoBack"/>
      <w:r w:rsidR="00132732" w:rsidRPr="007D5069">
        <w:rPr>
          <w:rFonts w:ascii="Arial" w:eastAsiaTheme="minorHAnsi" w:hAnsi="Arial" w:cs="Arial"/>
          <w:sz w:val="22"/>
        </w:rPr>
        <w:t>rurales</w:t>
      </w:r>
      <w:bookmarkEnd w:id="7"/>
      <w:r w:rsidR="002113FE" w:rsidRPr="007D5069">
        <w:rPr>
          <w:rFonts w:ascii="Arial" w:eastAsiaTheme="minorHAnsi" w:hAnsi="Arial" w:cs="Arial"/>
          <w:sz w:val="22"/>
        </w:rPr>
        <w:t xml:space="preserve"> </w:t>
      </w:r>
      <w:r w:rsidR="00132732" w:rsidRPr="007D5069">
        <w:rPr>
          <w:rFonts w:ascii="Arial" w:eastAsiaTheme="minorHAnsi" w:hAnsi="Arial" w:cs="Arial"/>
          <w:sz w:val="22"/>
        </w:rPr>
        <w:t>menores a</w:t>
      </w:r>
      <w:r w:rsidR="002113FE" w:rsidRPr="007D5069">
        <w:rPr>
          <w:rFonts w:ascii="Arial" w:eastAsiaTheme="minorHAnsi" w:hAnsi="Arial" w:cs="Arial"/>
          <w:sz w:val="22"/>
        </w:rPr>
        <w:t xml:space="preserve"> 3,000 habitantes, e</w:t>
      </w:r>
      <w:r w:rsidRPr="007D5069">
        <w:rPr>
          <w:rFonts w:ascii="Arial" w:eastAsiaTheme="minorHAnsi" w:hAnsi="Arial" w:cs="Arial"/>
          <w:sz w:val="22"/>
        </w:rPr>
        <w:t xml:space="preserve">l ejecutor será el </w:t>
      </w:r>
      <w:proofErr w:type="spellStart"/>
      <w:r w:rsidRPr="007D5069">
        <w:rPr>
          <w:rFonts w:ascii="Arial" w:eastAsiaTheme="minorHAnsi" w:hAnsi="Arial" w:cs="Arial"/>
          <w:sz w:val="22"/>
        </w:rPr>
        <w:t>MMAyA</w:t>
      </w:r>
      <w:proofErr w:type="spellEnd"/>
      <w:r w:rsidRPr="007D5069">
        <w:rPr>
          <w:rFonts w:ascii="Arial" w:eastAsiaTheme="minorHAnsi" w:hAnsi="Arial" w:cs="Arial"/>
          <w:sz w:val="22"/>
        </w:rPr>
        <w:t xml:space="preserve">, a través de la Unidad Coordinadora de Proyecto (UCP), que ha demostrado eficiencia en la ejecución de </w:t>
      </w:r>
      <w:r w:rsidR="002113FE" w:rsidRPr="007D5069">
        <w:rPr>
          <w:rFonts w:ascii="Arial" w:eastAsiaTheme="minorHAnsi" w:hAnsi="Arial" w:cs="Arial"/>
          <w:sz w:val="22"/>
        </w:rPr>
        <w:t>proyectos de agua y saneamiento en zonas rurales.</w:t>
      </w:r>
      <w:r w:rsidRPr="007D5069">
        <w:rPr>
          <w:rFonts w:ascii="Arial" w:eastAsiaTheme="minorHAnsi" w:hAnsi="Arial" w:cs="Arial"/>
          <w:sz w:val="22"/>
        </w:rPr>
        <w:t xml:space="preserve"> </w:t>
      </w:r>
      <w:r w:rsidR="00132732" w:rsidRPr="007D5069">
        <w:rPr>
          <w:rFonts w:ascii="Arial" w:eastAsiaTheme="minorHAnsi" w:hAnsi="Arial" w:cs="Arial"/>
          <w:sz w:val="22"/>
        </w:rPr>
        <w:t xml:space="preserve">El Pequeñas localidades entre 3,000 y 20,000 habitantes, el ejecutor será el Fondo </w:t>
      </w:r>
      <w:proofErr w:type="spellStart"/>
      <w:r w:rsidR="006F2983" w:rsidRPr="007D5069">
        <w:rPr>
          <w:rFonts w:ascii="Arial" w:eastAsiaTheme="minorHAnsi" w:hAnsi="Arial" w:cs="Arial"/>
          <w:sz w:val="22"/>
        </w:rPr>
        <w:t>Fondo</w:t>
      </w:r>
      <w:proofErr w:type="spellEnd"/>
      <w:r w:rsidR="006F2983" w:rsidRPr="007D5069">
        <w:rPr>
          <w:rFonts w:ascii="Arial" w:eastAsiaTheme="minorHAnsi" w:hAnsi="Arial" w:cs="Arial"/>
          <w:sz w:val="22"/>
        </w:rPr>
        <w:t xml:space="preserve"> Nacional de Inversión Productiva y Social (</w:t>
      </w:r>
      <w:r w:rsidR="00132732" w:rsidRPr="007D5069">
        <w:rPr>
          <w:rFonts w:ascii="Arial" w:eastAsiaTheme="minorHAnsi" w:hAnsi="Arial" w:cs="Arial"/>
          <w:sz w:val="22"/>
        </w:rPr>
        <w:t>FPS)</w:t>
      </w:r>
      <w:r w:rsidR="006F2983" w:rsidRPr="007D5069">
        <w:rPr>
          <w:rFonts w:ascii="Arial" w:eastAsiaTheme="minorHAnsi" w:hAnsi="Arial" w:cs="Arial"/>
          <w:sz w:val="22"/>
        </w:rPr>
        <w:t xml:space="preserve">. </w:t>
      </w:r>
      <w:bookmarkStart w:id="8" w:name="_Hlk490746551"/>
      <w:r w:rsidR="007D5069" w:rsidRPr="007D5069">
        <w:rPr>
          <w:rFonts w:ascii="Arial" w:eastAsiaTheme="minorHAnsi" w:hAnsi="Arial" w:cs="Arial"/>
          <w:sz w:val="22"/>
        </w:rPr>
        <w:t>El programa aplicará un modelo de intervención conjunta Obras-DESCOM-FI desarrollado en intervenciones anteriores financiadas por el BID en Bolivia, bajo el cual una única firma ejecuta las tres dimensiones. Este enfoque procura promover la coordinación entre las obras y el DESCOM-FI y relacionar los productos y pagos al avance de obras. Esto permitirá establecer hitos claves, como por ejemplo la aprobación de las tarifas al 90% de la ejecución de obras, inicio de las capacitaciones al 20% de la ejecución de obras, y el establecimiento de un período post-proyecto exclusivamente para el acompañamiento y consolidación de capacidades y apropiación de los sistemas. Se prevé una fase previa al inicio de obras donde se realiza un taller de arranque y trabajo participativo en la comunidad y se validan los proyectos constructivos y estrategia de DESCOM y FI para cada localidad</w:t>
      </w:r>
    </w:p>
    <w:p w14:paraId="04AB92DE" w14:textId="0CC61010" w:rsidR="006F2983" w:rsidRPr="00FD39AD" w:rsidRDefault="006F2983" w:rsidP="008237BE">
      <w:pPr>
        <w:pStyle w:val="Paragraph"/>
        <w:numPr>
          <w:ilvl w:val="1"/>
          <w:numId w:val="10"/>
        </w:numPr>
        <w:tabs>
          <w:tab w:val="clear" w:pos="2736"/>
          <w:tab w:val="num" w:pos="720"/>
        </w:tabs>
        <w:ind w:left="720" w:hanging="720"/>
        <w:rPr>
          <w:rFonts w:ascii="Arial" w:hAnsi="Arial" w:cs="Arial"/>
          <w:sz w:val="22"/>
        </w:rPr>
      </w:pPr>
      <w:r w:rsidRPr="00FD39AD">
        <w:rPr>
          <w:rFonts w:ascii="Arial" w:hAnsi="Arial" w:cs="Arial"/>
          <w:sz w:val="22"/>
        </w:rPr>
        <w:t>Las actividades de DESCOM serán</w:t>
      </w:r>
      <w:r w:rsidR="00296465" w:rsidRPr="00FD39AD">
        <w:rPr>
          <w:rFonts w:ascii="Arial" w:hAnsi="Arial" w:cs="Arial"/>
          <w:sz w:val="22"/>
        </w:rPr>
        <w:t xml:space="preserve"> supervisada tanto por los ejecutores como por firmas contratadas </w:t>
      </w:r>
      <w:r w:rsidR="00FA3DF1" w:rsidRPr="00FD39AD">
        <w:rPr>
          <w:rFonts w:ascii="Arial" w:hAnsi="Arial" w:cs="Arial"/>
          <w:sz w:val="22"/>
        </w:rPr>
        <w:t>para este fin con el objeto</w:t>
      </w:r>
      <w:r w:rsidR="00296465" w:rsidRPr="00FD39AD">
        <w:rPr>
          <w:rFonts w:ascii="Arial" w:hAnsi="Arial" w:cs="Arial"/>
          <w:sz w:val="22"/>
        </w:rPr>
        <w:t xml:space="preserve"> de garantizar </w:t>
      </w:r>
      <w:r w:rsidR="00FA3DF1" w:rsidRPr="00FD39AD">
        <w:rPr>
          <w:rFonts w:ascii="Arial" w:hAnsi="Arial" w:cs="Arial"/>
          <w:sz w:val="22"/>
        </w:rPr>
        <w:t>la correcta ejecución de las actividades</w:t>
      </w:r>
      <w:bookmarkEnd w:id="8"/>
      <w:r w:rsidR="00FA3DF1" w:rsidRPr="00FD39AD">
        <w:rPr>
          <w:rFonts w:ascii="Arial" w:hAnsi="Arial" w:cs="Arial"/>
          <w:sz w:val="22"/>
        </w:rPr>
        <w:t xml:space="preserve">. La UCP </w:t>
      </w:r>
      <w:r w:rsidR="00CD55B4" w:rsidRPr="00FD39AD">
        <w:rPr>
          <w:rFonts w:ascii="Arial" w:hAnsi="Arial" w:cs="Arial"/>
          <w:sz w:val="22"/>
        </w:rPr>
        <w:t>contará</w:t>
      </w:r>
      <w:r w:rsidR="00FA3DF1" w:rsidRPr="00FD39AD">
        <w:rPr>
          <w:rFonts w:ascii="Arial" w:hAnsi="Arial" w:cs="Arial"/>
          <w:sz w:val="22"/>
        </w:rPr>
        <w:t xml:space="preserve"> con 4 especialista DESCOM,</w:t>
      </w:r>
      <w:r w:rsidR="00E11DDB" w:rsidRPr="00FD39AD">
        <w:rPr>
          <w:rFonts w:ascii="Arial" w:hAnsi="Arial" w:cs="Arial"/>
          <w:sz w:val="22"/>
        </w:rPr>
        <w:t xml:space="preserve"> los cuales estarán capacitados en temas de género,</w:t>
      </w:r>
      <w:r w:rsidR="00FA3DF1" w:rsidRPr="00FD39AD">
        <w:rPr>
          <w:rFonts w:ascii="Arial" w:hAnsi="Arial" w:cs="Arial"/>
          <w:sz w:val="22"/>
        </w:rPr>
        <w:t xml:space="preserve"> con </w:t>
      </w:r>
      <w:r w:rsidR="00E11DDB" w:rsidRPr="00FD39AD">
        <w:rPr>
          <w:rFonts w:ascii="Arial" w:hAnsi="Arial" w:cs="Arial"/>
          <w:sz w:val="22"/>
        </w:rPr>
        <w:t>7</w:t>
      </w:r>
      <w:r w:rsidR="00FA3DF1" w:rsidRPr="00FD39AD">
        <w:rPr>
          <w:rFonts w:ascii="Arial" w:hAnsi="Arial" w:cs="Arial"/>
          <w:sz w:val="22"/>
        </w:rPr>
        <w:t xml:space="preserve"> especialista</w:t>
      </w:r>
      <w:r w:rsidR="00E11DDB" w:rsidRPr="00FD39AD">
        <w:rPr>
          <w:rFonts w:ascii="Arial" w:hAnsi="Arial" w:cs="Arial"/>
          <w:sz w:val="22"/>
        </w:rPr>
        <w:t>s</w:t>
      </w:r>
      <w:r w:rsidR="00FA3DF1" w:rsidRPr="00FD39AD">
        <w:rPr>
          <w:rFonts w:ascii="Arial" w:hAnsi="Arial" w:cs="Arial"/>
          <w:sz w:val="22"/>
        </w:rPr>
        <w:t xml:space="preserve"> de DESCOM</w:t>
      </w:r>
      <w:r w:rsidR="00E11DDB" w:rsidRPr="00FD39AD">
        <w:rPr>
          <w:rFonts w:ascii="Arial" w:hAnsi="Arial" w:cs="Arial"/>
          <w:sz w:val="22"/>
        </w:rPr>
        <w:t xml:space="preserve"> para trabajar con los Gobiernos Autónomos Municipales y un especialista en sostenibilidad de los servicios. El FPS también cuenta con</w:t>
      </w:r>
      <w:r w:rsidR="006A08EC" w:rsidRPr="00FD39AD">
        <w:rPr>
          <w:rFonts w:ascii="Arial" w:hAnsi="Arial" w:cs="Arial"/>
          <w:sz w:val="22"/>
        </w:rPr>
        <w:t xml:space="preserve"> un equipo de DESCOM. </w:t>
      </w:r>
    </w:p>
    <w:p w14:paraId="120E6C0C" w14:textId="77777777" w:rsidR="002113FE" w:rsidRPr="00FD39AD" w:rsidRDefault="002113FE" w:rsidP="002113FE">
      <w:pPr>
        <w:pStyle w:val="Heading1"/>
        <w:jc w:val="left"/>
        <w:rPr>
          <w:rFonts w:ascii="Arial" w:hAnsi="Arial" w:cs="Arial"/>
          <w:smallCaps w:val="0"/>
          <w:sz w:val="22"/>
          <w:szCs w:val="22"/>
          <w:lang w:val="es-ES_tradnl"/>
        </w:rPr>
      </w:pPr>
      <w:bookmarkStart w:id="9" w:name="_Toc367177048"/>
      <w:bookmarkEnd w:id="6"/>
      <w:r w:rsidRPr="00FD39AD">
        <w:rPr>
          <w:rFonts w:ascii="Arial" w:hAnsi="Arial" w:cs="Arial"/>
          <w:smallCaps w:val="0"/>
          <w:sz w:val="22"/>
          <w:szCs w:val="22"/>
          <w:lang w:val="es-ES_tradnl"/>
        </w:rPr>
        <w:t xml:space="preserve">ESTRATEGIA DE DESCOM </w:t>
      </w:r>
    </w:p>
    <w:p w14:paraId="4E53D47C" w14:textId="430FE3BA" w:rsidR="003460DF" w:rsidRPr="00FD39AD" w:rsidRDefault="00EA2506" w:rsidP="003460DF">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La estrategia de DESCOM se sustenta en el Reglamento Social aprobado por el </w:t>
      </w:r>
      <w:proofErr w:type="spellStart"/>
      <w:r w:rsidRPr="00FD39AD">
        <w:rPr>
          <w:rFonts w:ascii="Arial" w:eastAsiaTheme="minorHAnsi" w:hAnsi="Arial" w:cs="Arial"/>
          <w:sz w:val="22"/>
        </w:rPr>
        <w:t>MMAyA</w:t>
      </w:r>
      <w:proofErr w:type="spellEnd"/>
      <w:r w:rsidRPr="00FD39AD">
        <w:rPr>
          <w:rFonts w:ascii="Arial" w:eastAsiaTheme="minorHAnsi" w:hAnsi="Arial" w:cs="Arial"/>
          <w:sz w:val="22"/>
        </w:rPr>
        <w:t xml:space="preserve">. </w:t>
      </w:r>
      <w:r w:rsidR="003460DF" w:rsidRPr="00FD39AD">
        <w:rPr>
          <w:rFonts w:ascii="Arial" w:eastAsiaTheme="minorHAnsi" w:hAnsi="Arial" w:cs="Arial"/>
          <w:sz w:val="22"/>
        </w:rPr>
        <w:t>Las actividades de DESCOM se llevarán a cabo siguiendo los lineamientos establecidos por e</w:t>
      </w:r>
      <w:r w:rsidR="00843540">
        <w:rPr>
          <w:rFonts w:ascii="Arial" w:eastAsiaTheme="minorHAnsi" w:hAnsi="Arial" w:cs="Arial"/>
          <w:sz w:val="22"/>
        </w:rPr>
        <w:t>ste</w:t>
      </w:r>
      <w:r w:rsidR="003460DF" w:rsidRPr="00FD39AD">
        <w:rPr>
          <w:rFonts w:ascii="Arial" w:eastAsiaTheme="minorHAnsi" w:hAnsi="Arial" w:cs="Arial"/>
          <w:sz w:val="22"/>
        </w:rPr>
        <w:t xml:space="preserve"> Reglamento y por instrumentos complementarios como la Guía de Implementación del Enfoque Integral de Género del Sector de Saneamiento Básico en Bolivia</w:t>
      </w:r>
      <w:r w:rsidR="00843540">
        <w:rPr>
          <w:rFonts w:ascii="Arial" w:eastAsiaTheme="minorHAnsi" w:hAnsi="Arial" w:cs="Arial"/>
          <w:sz w:val="22"/>
        </w:rPr>
        <w:t xml:space="preserve"> y el Instrumento de DESCOM del FPS</w:t>
      </w:r>
      <w:r w:rsidR="003460DF" w:rsidRPr="00FD39AD">
        <w:rPr>
          <w:rFonts w:ascii="Arial" w:eastAsiaTheme="minorHAnsi" w:hAnsi="Arial" w:cs="Arial"/>
          <w:sz w:val="22"/>
        </w:rPr>
        <w:t xml:space="preserve">.  </w:t>
      </w:r>
    </w:p>
    <w:p w14:paraId="010B87DF" w14:textId="77777777" w:rsidR="003A654F" w:rsidRPr="00FD39AD" w:rsidRDefault="002113FE" w:rsidP="002113FE">
      <w:pPr>
        <w:pStyle w:val="Paragraph"/>
        <w:numPr>
          <w:ilvl w:val="1"/>
          <w:numId w:val="10"/>
        </w:numPr>
        <w:tabs>
          <w:tab w:val="clear" w:pos="2736"/>
          <w:tab w:val="num" w:pos="720"/>
        </w:tabs>
        <w:ind w:left="720" w:hanging="720"/>
        <w:rPr>
          <w:rFonts w:ascii="Arial" w:eastAsiaTheme="minorHAnsi" w:hAnsi="Arial" w:cs="Arial"/>
          <w:sz w:val="22"/>
        </w:rPr>
      </w:pPr>
      <w:bookmarkStart w:id="10" w:name="_Hlk490746248"/>
      <w:r w:rsidRPr="00FD39AD">
        <w:rPr>
          <w:rFonts w:ascii="Arial" w:eastAsiaTheme="minorHAnsi" w:hAnsi="Arial" w:cs="Arial"/>
          <w:sz w:val="22"/>
        </w:rPr>
        <w:t xml:space="preserve">La estrategia tiene como objetivo generar las condiciones necesarias para </w:t>
      </w:r>
      <w:r w:rsidR="003A654F" w:rsidRPr="00FD39AD">
        <w:rPr>
          <w:rFonts w:ascii="Arial" w:eastAsiaTheme="minorHAnsi" w:hAnsi="Arial" w:cs="Arial"/>
          <w:sz w:val="22"/>
        </w:rPr>
        <w:t>la s</w:t>
      </w:r>
      <w:r w:rsidR="00EA2506" w:rsidRPr="00FD39AD">
        <w:rPr>
          <w:rFonts w:ascii="Arial" w:eastAsiaTheme="minorHAnsi" w:hAnsi="Arial" w:cs="Arial"/>
          <w:sz w:val="22"/>
        </w:rPr>
        <w:t>ostenibilidad de los proyectos.</w:t>
      </w:r>
      <w:bookmarkEnd w:id="10"/>
      <w:r w:rsidR="00EA2506" w:rsidRPr="00FD39AD">
        <w:rPr>
          <w:rFonts w:ascii="Arial" w:eastAsiaTheme="minorHAnsi" w:hAnsi="Arial" w:cs="Arial"/>
          <w:sz w:val="22"/>
        </w:rPr>
        <w:t xml:space="preserve"> Este objetivo se logra a través de</w:t>
      </w:r>
      <w:r w:rsidR="00E11DDB" w:rsidRPr="00FD39AD">
        <w:rPr>
          <w:rFonts w:ascii="Arial" w:eastAsiaTheme="minorHAnsi" w:hAnsi="Arial" w:cs="Arial"/>
          <w:sz w:val="22"/>
        </w:rPr>
        <w:t xml:space="preserve"> </w:t>
      </w:r>
      <w:r w:rsidR="00EA2506" w:rsidRPr="00FD39AD">
        <w:rPr>
          <w:rFonts w:ascii="Arial" w:eastAsiaTheme="minorHAnsi" w:hAnsi="Arial" w:cs="Arial"/>
          <w:sz w:val="22"/>
        </w:rPr>
        <w:t>l</w:t>
      </w:r>
      <w:r w:rsidR="00E11DDB" w:rsidRPr="00FD39AD">
        <w:rPr>
          <w:rFonts w:ascii="Arial" w:eastAsiaTheme="minorHAnsi" w:hAnsi="Arial" w:cs="Arial"/>
          <w:sz w:val="22"/>
        </w:rPr>
        <w:t>a</w:t>
      </w:r>
      <w:r w:rsidR="00EA2506" w:rsidRPr="00FD39AD">
        <w:rPr>
          <w:rFonts w:ascii="Arial" w:eastAsiaTheme="minorHAnsi" w:hAnsi="Arial" w:cs="Arial"/>
          <w:sz w:val="22"/>
        </w:rPr>
        <w:t xml:space="preserve">: </w:t>
      </w:r>
    </w:p>
    <w:p w14:paraId="32681BED" w14:textId="77777777" w:rsidR="00EA2506" w:rsidRPr="00FD39AD" w:rsidRDefault="00EA2506"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Promoción de la participación social y el acompañamiento de los proyectos</w:t>
      </w:r>
    </w:p>
    <w:p w14:paraId="5F04297D" w14:textId="77777777" w:rsidR="00EA2506" w:rsidRPr="00FD39AD" w:rsidRDefault="00EA2506"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lastRenderedPageBreak/>
        <w:t>Promoción de la participación comunitaria informada, con énfasis en la participación de mujeres en todo el ciclo del proyecto (pre</w:t>
      </w:r>
      <w:r w:rsidR="006A08EC" w:rsidRPr="00FD39AD">
        <w:rPr>
          <w:rFonts w:ascii="Arial" w:eastAsiaTheme="minorHAnsi" w:hAnsi="Arial" w:cs="Arial"/>
          <w:sz w:val="22"/>
        </w:rPr>
        <w:t>-</w:t>
      </w:r>
      <w:r w:rsidRPr="00FD39AD">
        <w:rPr>
          <w:rFonts w:ascii="Arial" w:eastAsiaTheme="minorHAnsi" w:hAnsi="Arial" w:cs="Arial"/>
          <w:sz w:val="22"/>
        </w:rPr>
        <w:t>inversión, inversión y post-inversión)</w:t>
      </w:r>
    </w:p>
    <w:p w14:paraId="3DB8964F" w14:textId="77777777" w:rsidR="00012E57" w:rsidRPr="00FD39AD" w:rsidRDefault="00EA2506"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 xml:space="preserve">Promoción </w:t>
      </w:r>
      <w:r w:rsidR="00012E57" w:rsidRPr="00FD39AD">
        <w:rPr>
          <w:rFonts w:ascii="Arial" w:eastAsiaTheme="minorHAnsi" w:hAnsi="Arial" w:cs="Arial"/>
          <w:sz w:val="22"/>
        </w:rPr>
        <w:t>y moviliza</w:t>
      </w:r>
      <w:r w:rsidRPr="00FD39AD">
        <w:rPr>
          <w:rFonts w:ascii="Arial" w:eastAsiaTheme="minorHAnsi" w:hAnsi="Arial" w:cs="Arial"/>
          <w:sz w:val="22"/>
        </w:rPr>
        <w:t xml:space="preserve">ción de </w:t>
      </w:r>
      <w:r w:rsidR="00012E57" w:rsidRPr="00FD39AD">
        <w:rPr>
          <w:rFonts w:ascii="Arial" w:eastAsiaTheme="minorHAnsi" w:hAnsi="Arial" w:cs="Arial"/>
          <w:sz w:val="22"/>
        </w:rPr>
        <w:t>los beneficiarios para el cumplimiento de su</w:t>
      </w:r>
      <w:r w:rsidRPr="00FD39AD">
        <w:rPr>
          <w:rFonts w:ascii="Arial" w:eastAsiaTheme="minorHAnsi" w:hAnsi="Arial" w:cs="Arial"/>
          <w:sz w:val="22"/>
        </w:rPr>
        <w:t>s aportes de contrapartida</w:t>
      </w:r>
      <w:r w:rsidR="00012E57" w:rsidRPr="00FD39AD">
        <w:rPr>
          <w:rFonts w:ascii="Arial" w:eastAsiaTheme="minorHAnsi" w:hAnsi="Arial" w:cs="Arial"/>
          <w:sz w:val="22"/>
        </w:rPr>
        <w:t xml:space="preserve"> para la </w:t>
      </w:r>
      <w:proofErr w:type="gramStart"/>
      <w:r w:rsidR="00012E57" w:rsidRPr="00FD39AD">
        <w:rPr>
          <w:rFonts w:ascii="Arial" w:eastAsiaTheme="minorHAnsi" w:hAnsi="Arial" w:cs="Arial"/>
          <w:sz w:val="22"/>
        </w:rPr>
        <w:t>auto</w:t>
      </w:r>
      <w:r w:rsidRPr="00FD39AD">
        <w:rPr>
          <w:rFonts w:ascii="Arial" w:eastAsiaTheme="minorHAnsi" w:hAnsi="Arial" w:cs="Arial"/>
          <w:sz w:val="22"/>
        </w:rPr>
        <w:t>-</w:t>
      </w:r>
      <w:r w:rsidR="00012E57" w:rsidRPr="00FD39AD">
        <w:rPr>
          <w:rFonts w:ascii="Arial" w:eastAsiaTheme="minorHAnsi" w:hAnsi="Arial" w:cs="Arial"/>
          <w:sz w:val="22"/>
        </w:rPr>
        <w:t>construcción</w:t>
      </w:r>
      <w:proofErr w:type="gramEnd"/>
      <w:r w:rsidR="00012E57" w:rsidRPr="00FD39AD">
        <w:rPr>
          <w:rFonts w:ascii="Arial" w:eastAsiaTheme="minorHAnsi" w:hAnsi="Arial" w:cs="Arial"/>
          <w:sz w:val="22"/>
        </w:rPr>
        <w:t xml:space="preserve"> de las soluciones </w:t>
      </w:r>
      <w:r w:rsidRPr="00FD39AD">
        <w:rPr>
          <w:rFonts w:ascii="Arial" w:eastAsiaTheme="minorHAnsi" w:hAnsi="Arial" w:cs="Arial"/>
          <w:sz w:val="22"/>
        </w:rPr>
        <w:t xml:space="preserve">individuales </w:t>
      </w:r>
      <w:r w:rsidR="00012E57" w:rsidRPr="00FD39AD">
        <w:rPr>
          <w:rFonts w:ascii="Arial" w:eastAsiaTheme="minorHAnsi" w:hAnsi="Arial" w:cs="Arial"/>
          <w:sz w:val="22"/>
        </w:rPr>
        <w:t>de saneamiento (acopio de materiales, construcción de muro, dintel, puerta, techo y revoque).</w:t>
      </w:r>
    </w:p>
    <w:p w14:paraId="6D6B3A73" w14:textId="77777777" w:rsidR="00012E57" w:rsidRPr="00FD39AD" w:rsidRDefault="00012E57"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Socializa</w:t>
      </w:r>
      <w:r w:rsidR="00E11DDB" w:rsidRPr="00FD39AD">
        <w:rPr>
          <w:rFonts w:ascii="Arial" w:eastAsiaTheme="minorHAnsi" w:hAnsi="Arial" w:cs="Arial"/>
          <w:sz w:val="22"/>
        </w:rPr>
        <w:t>ción y aprobación</w:t>
      </w:r>
      <w:r w:rsidRPr="00FD39AD">
        <w:rPr>
          <w:rFonts w:ascii="Arial" w:eastAsiaTheme="minorHAnsi" w:hAnsi="Arial" w:cs="Arial"/>
          <w:sz w:val="22"/>
        </w:rPr>
        <w:t xml:space="preserve"> </w:t>
      </w:r>
      <w:r w:rsidR="00E11DDB" w:rsidRPr="00FD39AD">
        <w:rPr>
          <w:rFonts w:ascii="Arial" w:eastAsiaTheme="minorHAnsi" w:hAnsi="Arial" w:cs="Arial"/>
          <w:sz w:val="22"/>
        </w:rPr>
        <w:t xml:space="preserve">de </w:t>
      </w:r>
      <w:r w:rsidRPr="00FD39AD">
        <w:rPr>
          <w:rFonts w:ascii="Arial" w:eastAsiaTheme="minorHAnsi" w:hAnsi="Arial" w:cs="Arial"/>
          <w:sz w:val="22"/>
        </w:rPr>
        <w:t>la estructura tarifaria con la comunidad, para promover y comprometer el pago oportuno de tarifas por parte de los beneficiarios</w:t>
      </w:r>
    </w:p>
    <w:p w14:paraId="45AE413E" w14:textId="77777777" w:rsidR="00EA2506" w:rsidRPr="00FD39AD" w:rsidRDefault="00EA2506"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Fortalecimiento de prácticas saludables y capacitación a usuarios en el uso adecuado del servicio de agua potable, y en el uso y mantenimiento de las soluciones Individuales de saneamiento</w:t>
      </w:r>
    </w:p>
    <w:p w14:paraId="4909BDEA" w14:textId="77777777" w:rsidR="00012E57" w:rsidRPr="00FD39AD" w:rsidRDefault="00EA2506" w:rsidP="00E11DDB">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La estrategia de DESCOM </w:t>
      </w:r>
      <w:r w:rsidR="00E11DDB" w:rsidRPr="00FD39AD">
        <w:rPr>
          <w:rFonts w:ascii="Arial" w:eastAsiaTheme="minorHAnsi" w:hAnsi="Arial" w:cs="Arial"/>
          <w:sz w:val="22"/>
        </w:rPr>
        <w:t>también</w:t>
      </w:r>
      <w:r w:rsidRPr="00FD39AD">
        <w:rPr>
          <w:rFonts w:ascii="Arial" w:eastAsiaTheme="minorHAnsi" w:hAnsi="Arial" w:cs="Arial"/>
          <w:sz w:val="22"/>
        </w:rPr>
        <w:t xml:space="preserve"> incluye actividades de Fortalecimiento Institucional de </w:t>
      </w:r>
      <w:r w:rsidR="00012E57" w:rsidRPr="00FD39AD">
        <w:rPr>
          <w:rFonts w:ascii="Arial" w:eastAsiaTheme="minorHAnsi" w:hAnsi="Arial" w:cs="Arial"/>
          <w:sz w:val="22"/>
        </w:rPr>
        <w:t>la</w:t>
      </w:r>
      <w:r w:rsidRPr="00FD39AD">
        <w:rPr>
          <w:rFonts w:ascii="Arial" w:eastAsiaTheme="minorHAnsi" w:hAnsi="Arial" w:cs="Arial"/>
          <w:sz w:val="22"/>
        </w:rPr>
        <w:t>s</w:t>
      </w:r>
      <w:r w:rsidR="00012E57" w:rsidRPr="00FD39AD">
        <w:rPr>
          <w:rFonts w:ascii="Arial" w:eastAsiaTheme="minorHAnsi" w:hAnsi="Arial" w:cs="Arial"/>
          <w:sz w:val="22"/>
        </w:rPr>
        <w:t xml:space="preserve"> EPSA</w:t>
      </w:r>
      <w:r w:rsidRPr="00FD39AD">
        <w:rPr>
          <w:rFonts w:ascii="Arial" w:eastAsiaTheme="minorHAnsi" w:hAnsi="Arial" w:cs="Arial"/>
          <w:sz w:val="22"/>
        </w:rPr>
        <w:t xml:space="preserve"> (por el ello la estrategia suele denominarse de DESCOM-FI)</w:t>
      </w:r>
      <w:r w:rsidR="006B4414" w:rsidRPr="00FD39AD">
        <w:rPr>
          <w:rFonts w:ascii="Arial" w:eastAsiaTheme="minorHAnsi" w:hAnsi="Arial" w:cs="Arial"/>
          <w:sz w:val="22"/>
        </w:rPr>
        <w:t>. Este obj</w:t>
      </w:r>
      <w:r w:rsidR="00E11DDB" w:rsidRPr="00FD39AD">
        <w:rPr>
          <w:rFonts w:ascii="Arial" w:eastAsiaTheme="minorHAnsi" w:hAnsi="Arial" w:cs="Arial"/>
          <w:sz w:val="22"/>
        </w:rPr>
        <w:t>e</w:t>
      </w:r>
      <w:r w:rsidR="006B4414" w:rsidRPr="00FD39AD">
        <w:rPr>
          <w:rFonts w:ascii="Arial" w:eastAsiaTheme="minorHAnsi" w:hAnsi="Arial" w:cs="Arial"/>
          <w:sz w:val="22"/>
        </w:rPr>
        <w:t>t</w:t>
      </w:r>
      <w:r w:rsidR="00E11DDB" w:rsidRPr="00FD39AD">
        <w:rPr>
          <w:rFonts w:ascii="Arial" w:eastAsiaTheme="minorHAnsi" w:hAnsi="Arial" w:cs="Arial"/>
          <w:sz w:val="22"/>
        </w:rPr>
        <w:t>i</w:t>
      </w:r>
      <w:r w:rsidR="006B4414" w:rsidRPr="00FD39AD">
        <w:rPr>
          <w:rFonts w:ascii="Arial" w:eastAsiaTheme="minorHAnsi" w:hAnsi="Arial" w:cs="Arial"/>
          <w:sz w:val="22"/>
        </w:rPr>
        <w:t>vo de logra a través de</w:t>
      </w:r>
      <w:r w:rsidR="00E11DDB" w:rsidRPr="00FD39AD">
        <w:rPr>
          <w:rFonts w:ascii="Arial" w:eastAsiaTheme="minorHAnsi" w:hAnsi="Arial" w:cs="Arial"/>
          <w:sz w:val="22"/>
        </w:rPr>
        <w:t xml:space="preserve"> la</w:t>
      </w:r>
      <w:r w:rsidR="006B4414" w:rsidRPr="00FD39AD">
        <w:rPr>
          <w:rFonts w:ascii="Arial" w:eastAsiaTheme="minorHAnsi" w:hAnsi="Arial" w:cs="Arial"/>
          <w:sz w:val="22"/>
        </w:rPr>
        <w:t>:</w:t>
      </w:r>
    </w:p>
    <w:p w14:paraId="15C7A469" w14:textId="77777777" w:rsidR="006B4414" w:rsidRPr="00FD39AD" w:rsidRDefault="006B4414"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Promoción ver la conformación de la EPSA (modelos de gestión, estatuto y reglamento de funcionamiento, tarifa inicial)</w:t>
      </w:r>
    </w:p>
    <w:p w14:paraId="26FB00ED" w14:textId="77777777" w:rsidR="00012E57" w:rsidRPr="00FD39AD" w:rsidRDefault="006B4414"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F</w:t>
      </w:r>
      <w:r w:rsidR="00012E57" w:rsidRPr="00FD39AD">
        <w:rPr>
          <w:rFonts w:ascii="Arial" w:eastAsiaTheme="minorHAnsi" w:hAnsi="Arial" w:cs="Arial"/>
          <w:sz w:val="22"/>
        </w:rPr>
        <w:t>ortalecimiento de la gestión técnica, administrativa, financiera, social y ambiental de la</w:t>
      </w:r>
      <w:r w:rsidRPr="00FD39AD">
        <w:rPr>
          <w:rFonts w:ascii="Arial" w:eastAsiaTheme="minorHAnsi" w:hAnsi="Arial" w:cs="Arial"/>
          <w:sz w:val="22"/>
        </w:rPr>
        <w:t>s</w:t>
      </w:r>
      <w:r w:rsidR="00012E57" w:rsidRPr="00FD39AD">
        <w:rPr>
          <w:rFonts w:ascii="Arial" w:eastAsiaTheme="minorHAnsi" w:hAnsi="Arial" w:cs="Arial"/>
          <w:sz w:val="22"/>
        </w:rPr>
        <w:t xml:space="preserve"> EPSA.</w:t>
      </w:r>
    </w:p>
    <w:p w14:paraId="065F4118" w14:textId="77777777" w:rsidR="00012E57" w:rsidRPr="00FD39AD" w:rsidRDefault="006B4414"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Capacitación</w:t>
      </w:r>
      <w:r w:rsidR="00012E57" w:rsidRPr="00FD39AD">
        <w:rPr>
          <w:rFonts w:ascii="Arial" w:eastAsiaTheme="minorHAnsi" w:hAnsi="Arial" w:cs="Arial"/>
          <w:sz w:val="22"/>
        </w:rPr>
        <w:t xml:space="preserve"> a las EPSA en operación y mantenimiento de los servicios</w:t>
      </w:r>
    </w:p>
    <w:p w14:paraId="0F50E3A7" w14:textId="77777777" w:rsidR="00012E57" w:rsidRPr="00FD39AD" w:rsidRDefault="006B4414"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Equipamiento</w:t>
      </w:r>
      <w:r w:rsidR="00012E57" w:rsidRPr="00FD39AD">
        <w:rPr>
          <w:rFonts w:ascii="Arial" w:eastAsiaTheme="minorHAnsi" w:hAnsi="Arial" w:cs="Arial"/>
          <w:sz w:val="22"/>
        </w:rPr>
        <w:t xml:space="preserve"> a la</w:t>
      </w:r>
      <w:r w:rsidRPr="00FD39AD">
        <w:rPr>
          <w:rFonts w:ascii="Arial" w:eastAsiaTheme="minorHAnsi" w:hAnsi="Arial" w:cs="Arial"/>
          <w:sz w:val="22"/>
        </w:rPr>
        <w:t>s</w:t>
      </w:r>
      <w:r w:rsidR="00012E57" w:rsidRPr="00FD39AD">
        <w:rPr>
          <w:rFonts w:ascii="Arial" w:eastAsiaTheme="minorHAnsi" w:hAnsi="Arial" w:cs="Arial"/>
          <w:sz w:val="22"/>
        </w:rPr>
        <w:t xml:space="preserve"> EPSA en el marco del Manual de Operación y Mantenimiento de cada Proyecto, los requerimientos de las áreas de gestión comercial, administrativa y social. El detalle del equipamiento mínimo por EPSA, no limitativo y de carácter referencial, se indica a continuación:</w:t>
      </w:r>
    </w:p>
    <w:p w14:paraId="2D3A3E68" w14:textId="77777777" w:rsidR="002113FE" w:rsidRPr="00FD39AD" w:rsidRDefault="00E11DDB" w:rsidP="0003465E">
      <w:pPr>
        <w:pStyle w:val="Paragraph"/>
        <w:numPr>
          <w:ilvl w:val="1"/>
          <w:numId w:val="11"/>
        </w:numPr>
        <w:tabs>
          <w:tab w:val="clear" w:pos="2736"/>
        </w:tabs>
        <w:ind w:left="720" w:hanging="360"/>
        <w:rPr>
          <w:rFonts w:ascii="Arial" w:eastAsiaTheme="minorHAnsi" w:hAnsi="Arial" w:cs="Arial"/>
          <w:sz w:val="22"/>
        </w:rPr>
      </w:pPr>
      <w:r w:rsidRPr="00FD39AD">
        <w:rPr>
          <w:rFonts w:ascii="Arial" w:eastAsiaTheme="minorHAnsi" w:hAnsi="Arial" w:cs="Arial"/>
          <w:sz w:val="22"/>
        </w:rPr>
        <w:t>Socialización</w:t>
      </w:r>
      <w:r w:rsidR="00CD50E1" w:rsidRPr="00FD39AD">
        <w:rPr>
          <w:rFonts w:ascii="Arial" w:eastAsiaTheme="minorHAnsi" w:hAnsi="Arial" w:cs="Arial"/>
          <w:sz w:val="22"/>
        </w:rPr>
        <w:t xml:space="preserve"> a</w:t>
      </w:r>
      <w:r w:rsidR="002113FE" w:rsidRPr="00FD39AD">
        <w:rPr>
          <w:rFonts w:ascii="Arial" w:eastAsiaTheme="minorHAnsi" w:hAnsi="Arial" w:cs="Arial"/>
          <w:sz w:val="22"/>
        </w:rPr>
        <w:t xml:space="preserve"> la comunidad beneficiaria </w:t>
      </w:r>
      <w:r w:rsidR="00CD50E1" w:rsidRPr="00FD39AD">
        <w:rPr>
          <w:rFonts w:ascii="Arial" w:eastAsiaTheme="minorHAnsi" w:hAnsi="Arial" w:cs="Arial"/>
          <w:sz w:val="22"/>
        </w:rPr>
        <w:t xml:space="preserve">para la </w:t>
      </w:r>
      <w:r w:rsidR="002113FE" w:rsidRPr="00FD39AD">
        <w:rPr>
          <w:rFonts w:ascii="Arial" w:eastAsiaTheme="minorHAnsi" w:hAnsi="Arial" w:cs="Arial"/>
          <w:sz w:val="22"/>
        </w:rPr>
        <w:t>apropi</w:t>
      </w:r>
      <w:r w:rsidR="00CD50E1" w:rsidRPr="00FD39AD">
        <w:rPr>
          <w:rFonts w:ascii="Arial" w:eastAsiaTheme="minorHAnsi" w:hAnsi="Arial" w:cs="Arial"/>
          <w:sz w:val="22"/>
        </w:rPr>
        <w:t>ación</w:t>
      </w:r>
      <w:r w:rsidR="002113FE" w:rsidRPr="00FD39AD">
        <w:rPr>
          <w:rFonts w:ascii="Arial" w:eastAsiaTheme="minorHAnsi" w:hAnsi="Arial" w:cs="Arial"/>
          <w:sz w:val="22"/>
        </w:rPr>
        <w:t xml:space="preserve"> del proyecto</w:t>
      </w:r>
      <w:r w:rsidR="00CD50E1" w:rsidRPr="00FD39AD">
        <w:rPr>
          <w:rFonts w:ascii="Arial" w:eastAsiaTheme="minorHAnsi" w:hAnsi="Arial" w:cs="Arial"/>
          <w:sz w:val="22"/>
        </w:rPr>
        <w:t xml:space="preserve"> y garantizar las </w:t>
      </w:r>
      <w:r w:rsidR="002113FE" w:rsidRPr="00FD39AD">
        <w:rPr>
          <w:rFonts w:ascii="Arial" w:eastAsiaTheme="minorHAnsi" w:hAnsi="Arial" w:cs="Arial"/>
          <w:sz w:val="22"/>
        </w:rPr>
        <w:t>contrapartes familiares, así como la cesión de terrenos o pasos de servidumbre según corresponda al proyecto.</w:t>
      </w:r>
    </w:p>
    <w:p w14:paraId="7117AA92" w14:textId="487834CB" w:rsidR="00132732" w:rsidRPr="00FD39AD" w:rsidRDefault="00CD50E1" w:rsidP="003460DF">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Todas e</w:t>
      </w:r>
      <w:r w:rsidR="006B4414" w:rsidRPr="00FD39AD">
        <w:rPr>
          <w:rFonts w:ascii="Arial" w:eastAsiaTheme="minorHAnsi" w:hAnsi="Arial" w:cs="Arial"/>
          <w:sz w:val="22"/>
        </w:rPr>
        <w:t xml:space="preserve">stas actividades se plasman en Planes de Desarrollo Comunitario y Fortalecimiento Institucional, </w:t>
      </w:r>
      <w:r w:rsidR="00E11DDB" w:rsidRPr="00FD39AD">
        <w:rPr>
          <w:rFonts w:ascii="Arial" w:eastAsiaTheme="minorHAnsi" w:hAnsi="Arial" w:cs="Arial"/>
          <w:sz w:val="22"/>
        </w:rPr>
        <w:t>l</w:t>
      </w:r>
      <w:r w:rsidR="0003465E">
        <w:rPr>
          <w:rFonts w:ascii="Arial" w:eastAsiaTheme="minorHAnsi" w:hAnsi="Arial" w:cs="Arial"/>
          <w:sz w:val="22"/>
        </w:rPr>
        <w:t>o</w:t>
      </w:r>
      <w:r w:rsidR="00E11DDB" w:rsidRPr="00FD39AD">
        <w:rPr>
          <w:rFonts w:ascii="Arial" w:eastAsiaTheme="minorHAnsi" w:hAnsi="Arial" w:cs="Arial"/>
          <w:sz w:val="22"/>
        </w:rPr>
        <w:t xml:space="preserve">s cuales </w:t>
      </w:r>
      <w:r w:rsidR="0003465E">
        <w:rPr>
          <w:rFonts w:ascii="Arial" w:eastAsiaTheme="minorHAnsi" w:hAnsi="Arial" w:cs="Arial"/>
          <w:sz w:val="22"/>
        </w:rPr>
        <w:t>contendrán, al menos,</w:t>
      </w:r>
      <w:r w:rsidR="00E11DDB" w:rsidRPr="00FD39AD">
        <w:rPr>
          <w:rFonts w:ascii="Arial" w:eastAsiaTheme="minorHAnsi" w:hAnsi="Arial" w:cs="Arial"/>
          <w:sz w:val="22"/>
        </w:rPr>
        <w:t xml:space="preserve"> las siguientes actividades según el segmento poblacional:</w:t>
      </w:r>
    </w:p>
    <w:p w14:paraId="33F78D37" w14:textId="71BDA416" w:rsidR="006B4414" w:rsidRPr="00FD39AD" w:rsidRDefault="006B4414" w:rsidP="003460DF">
      <w:pPr>
        <w:pStyle w:val="Paragraph"/>
        <w:numPr>
          <w:ilvl w:val="1"/>
          <w:numId w:val="10"/>
        </w:numPr>
        <w:tabs>
          <w:tab w:val="clear" w:pos="2736"/>
          <w:tab w:val="num" w:pos="720"/>
        </w:tabs>
        <w:ind w:left="720" w:hanging="720"/>
        <w:rPr>
          <w:rFonts w:ascii="Arial" w:eastAsiaTheme="minorHAnsi" w:hAnsi="Arial" w:cs="Arial"/>
          <w:sz w:val="22"/>
        </w:rPr>
      </w:pPr>
      <w:bookmarkStart w:id="11" w:name="_Hlk490746341"/>
      <w:r w:rsidRPr="00FD39AD">
        <w:rPr>
          <w:rFonts w:ascii="Arial" w:eastAsiaTheme="minorHAnsi" w:hAnsi="Arial" w:cs="Arial"/>
          <w:b/>
          <w:sz w:val="22"/>
        </w:rPr>
        <w:t>Comunidades rurales menores a 3,000 habitantes</w:t>
      </w:r>
      <w:r w:rsidRPr="00FD39AD">
        <w:rPr>
          <w:rFonts w:ascii="Arial" w:eastAsiaTheme="minorHAnsi" w:hAnsi="Arial" w:cs="Arial"/>
          <w:sz w:val="22"/>
        </w:rPr>
        <w:t>: para este</w:t>
      </w:r>
      <w:r w:rsidR="000875D3" w:rsidRPr="00FD39AD">
        <w:rPr>
          <w:rFonts w:ascii="Arial" w:eastAsiaTheme="minorHAnsi" w:hAnsi="Arial" w:cs="Arial"/>
          <w:sz w:val="22"/>
        </w:rPr>
        <w:t xml:space="preserve"> segmento de comunidades </w:t>
      </w:r>
      <w:r w:rsidRPr="00FD39AD">
        <w:rPr>
          <w:rFonts w:ascii="Arial" w:eastAsiaTheme="minorHAnsi" w:hAnsi="Arial" w:cs="Arial"/>
          <w:sz w:val="22"/>
        </w:rPr>
        <w:t xml:space="preserve">rurales </w:t>
      </w:r>
      <w:r w:rsidR="003A654F" w:rsidRPr="00FD39AD">
        <w:rPr>
          <w:rFonts w:ascii="Arial" w:eastAsiaTheme="minorHAnsi" w:hAnsi="Arial" w:cs="Arial"/>
          <w:sz w:val="22"/>
        </w:rPr>
        <w:t>menores a 3,000 habitantes</w:t>
      </w:r>
      <w:r w:rsidR="000875D3" w:rsidRPr="00FD39AD">
        <w:rPr>
          <w:rFonts w:ascii="Arial" w:eastAsiaTheme="minorHAnsi" w:hAnsi="Arial" w:cs="Arial"/>
          <w:sz w:val="22"/>
        </w:rPr>
        <w:t xml:space="preserve"> se llevarán adelante</w:t>
      </w:r>
      <w:r w:rsidR="0085146C" w:rsidRPr="00FD39AD">
        <w:rPr>
          <w:rFonts w:ascii="Arial" w:eastAsiaTheme="minorHAnsi" w:hAnsi="Arial" w:cs="Arial"/>
          <w:sz w:val="22"/>
        </w:rPr>
        <w:t xml:space="preserve"> actividades (a través de talleres, asambleas y capacitaciones a nivel de hogar) en</w:t>
      </w:r>
      <w:r w:rsidR="000875D3" w:rsidRPr="00FD39AD">
        <w:rPr>
          <w:rFonts w:ascii="Arial" w:eastAsiaTheme="minorHAnsi" w:hAnsi="Arial" w:cs="Arial"/>
          <w:sz w:val="22"/>
        </w:rPr>
        <w:t xml:space="preserve">: i) </w:t>
      </w:r>
      <w:r w:rsidR="0085146C" w:rsidRPr="00FD39AD">
        <w:rPr>
          <w:rFonts w:ascii="Arial" w:eastAsiaTheme="minorHAnsi" w:hAnsi="Arial" w:cs="Arial"/>
          <w:sz w:val="22"/>
        </w:rPr>
        <w:t xml:space="preserve">socialización del proyecto, </w:t>
      </w:r>
      <w:r w:rsidR="000875D3" w:rsidRPr="00FD39AD">
        <w:rPr>
          <w:rFonts w:ascii="Arial" w:eastAsiaTheme="minorHAnsi" w:hAnsi="Arial" w:cs="Arial"/>
          <w:sz w:val="22"/>
        </w:rPr>
        <w:t xml:space="preserve">organización comunitaria, sensibilización sobre la importancia del pago por el servicio, nivel de servicio y tarifa correspondiente, y participación de la mujer en la toma de decisiones; </w:t>
      </w:r>
      <w:r w:rsidR="0085146C" w:rsidRPr="00FD39AD">
        <w:rPr>
          <w:rFonts w:ascii="Arial" w:eastAsiaTheme="minorHAnsi" w:hAnsi="Arial" w:cs="Arial"/>
          <w:sz w:val="22"/>
        </w:rPr>
        <w:t xml:space="preserve">ii) auto-construcción, uso y mantenimiento de las soluciones individuales de saneamiento; </w:t>
      </w:r>
      <w:r w:rsidR="003460DF" w:rsidRPr="00FD39AD">
        <w:rPr>
          <w:rFonts w:ascii="Arial" w:eastAsiaTheme="minorHAnsi" w:hAnsi="Arial" w:cs="Arial"/>
          <w:sz w:val="22"/>
        </w:rPr>
        <w:t xml:space="preserve">iii) </w:t>
      </w:r>
      <w:r w:rsidR="0085146C" w:rsidRPr="00FD39AD">
        <w:rPr>
          <w:rFonts w:ascii="Arial" w:eastAsiaTheme="minorHAnsi" w:hAnsi="Arial" w:cs="Arial"/>
          <w:sz w:val="22"/>
        </w:rPr>
        <w:t xml:space="preserve">talleres en educación sanitaria y ambiental (higiene personal, incluyendo higiene menstrual, saneamiento de la vivienda, uso adecuado del agua, uso y mantenimiento de baños ecológicos, control de basuras y aguas servidas y protección y conservación de fuentes de agua), enfatizando la participación de mujeres; </w:t>
      </w:r>
      <w:bookmarkStart w:id="12" w:name="_Hlk490745488"/>
      <w:r w:rsidR="000875D3" w:rsidRPr="00FD39AD">
        <w:rPr>
          <w:rFonts w:ascii="Arial" w:eastAsiaTheme="minorHAnsi" w:hAnsi="Arial" w:cs="Arial"/>
          <w:sz w:val="22"/>
        </w:rPr>
        <w:t>i</w:t>
      </w:r>
      <w:r w:rsidR="003460DF" w:rsidRPr="00FD39AD">
        <w:rPr>
          <w:rFonts w:ascii="Arial" w:eastAsiaTheme="minorHAnsi" w:hAnsi="Arial" w:cs="Arial"/>
          <w:sz w:val="22"/>
        </w:rPr>
        <w:t>v</w:t>
      </w:r>
      <w:r w:rsidR="000875D3" w:rsidRPr="00FD39AD">
        <w:rPr>
          <w:rFonts w:ascii="Arial" w:eastAsiaTheme="minorHAnsi" w:hAnsi="Arial" w:cs="Arial"/>
          <w:sz w:val="22"/>
        </w:rPr>
        <w:t>) capacitación en administración de sistemas (para los miembros de las EPSA) que incluirán temas de controles administrativos, manejo de libros contables, tarifas, transparencia, rendición de cuenta</w:t>
      </w:r>
      <w:r w:rsidR="003460DF" w:rsidRPr="00FD39AD">
        <w:rPr>
          <w:rFonts w:ascii="Arial" w:eastAsiaTheme="minorHAnsi" w:hAnsi="Arial" w:cs="Arial"/>
          <w:sz w:val="22"/>
        </w:rPr>
        <w:t>s y acceso a la información; v</w:t>
      </w:r>
      <w:r w:rsidR="000875D3" w:rsidRPr="00FD39AD">
        <w:rPr>
          <w:rFonts w:ascii="Arial" w:eastAsiaTheme="minorHAnsi" w:hAnsi="Arial" w:cs="Arial"/>
          <w:sz w:val="22"/>
        </w:rPr>
        <w:t xml:space="preserve">) </w:t>
      </w:r>
      <w:r w:rsidR="003460DF" w:rsidRPr="00FD39AD">
        <w:rPr>
          <w:rFonts w:ascii="Arial" w:eastAsiaTheme="minorHAnsi" w:hAnsi="Arial" w:cs="Arial"/>
          <w:sz w:val="22"/>
        </w:rPr>
        <w:t>capacitación en</w:t>
      </w:r>
      <w:r w:rsidR="000875D3" w:rsidRPr="00FD39AD">
        <w:rPr>
          <w:rFonts w:ascii="Arial" w:eastAsiaTheme="minorHAnsi" w:hAnsi="Arial" w:cs="Arial"/>
          <w:sz w:val="22"/>
        </w:rPr>
        <w:t xml:space="preserve"> </w:t>
      </w:r>
      <w:r w:rsidR="000875D3" w:rsidRPr="00FD39AD">
        <w:rPr>
          <w:rFonts w:ascii="Arial" w:eastAsiaTheme="minorHAnsi" w:hAnsi="Arial" w:cs="Arial"/>
          <w:sz w:val="22"/>
        </w:rPr>
        <w:lastRenderedPageBreak/>
        <w:t>O&amp;M (para miembros de las EPSA) que incluirán temas de calidad del agua y desinfe</w:t>
      </w:r>
      <w:r w:rsidR="003460DF" w:rsidRPr="00FD39AD">
        <w:rPr>
          <w:rFonts w:ascii="Arial" w:eastAsiaTheme="minorHAnsi" w:hAnsi="Arial" w:cs="Arial"/>
          <w:sz w:val="22"/>
        </w:rPr>
        <w:t>cción.</w:t>
      </w:r>
      <w:bookmarkEnd w:id="12"/>
      <w:r w:rsidR="000875D3" w:rsidRPr="00FD39AD">
        <w:rPr>
          <w:rFonts w:ascii="Arial" w:eastAsiaTheme="minorHAnsi" w:hAnsi="Arial" w:cs="Arial"/>
          <w:sz w:val="22"/>
        </w:rPr>
        <w:t xml:space="preserve"> </w:t>
      </w:r>
    </w:p>
    <w:p w14:paraId="04F8301A" w14:textId="089AF6BF" w:rsidR="00FD39AD" w:rsidRPr="00FD39AD" w:rsidRDefault="00FD39AD" w:rsidP="003460DF">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En relación con el uso y mantenimiento de los Baños Secos Ecológicos (BES), como parte de la estrategia de DESCOM se incluirá la construcción de baños demostrativos al inicio de las obras, junto con capacitaciones, visitas domiciliarias, intercambio con otras comunidades, y finalmente en cierre del ciclo, mediante la reforestación o compostaje, dependiendo del contexto de cada proyecto.  </w:t>
      </w:r>
    </w:p>
    <w:p w14:paraId="3AF1394B" w14:textId="77777777" w:rsidR="00CD2E6A" w:rsidRPr="00FD39AD" w:rsidRDefault="003806CF" w:rsidP="003460DF">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b/>
          <w:sz w:val="22"/>
        </w:rPr>
        <w:t>P</w:t>
      </w:r>
      <w:r w:rsidR="006B4414" w:rsidRPr="00FD39AD">
        <w:rPr>
          <w:rFonts w:ascii="Arial" w:eastAsiaTheme="minorHAnsi" w:hAnsi="Arial" w:cs="Arial"/>
          <w:b/>
          <w:sz w:val="22"/>
        </w:rPr>
        <w:t>equeñas localidades entre 3,000 y 20,000 habitantes</w:t>
      </w:r>
      <w:r w:rsidR="006B4414" w:rsidRPr="00FD39AD">
        <w:rPr>
          <w:rFonts w:ascii="Arial" w:eastAsiaTheme="minorHAnsi" w:hAnsi="Arial" w:cs="Arial"/>
          <w:sz w:val="22"/>
        </w:rPr>
        <w:t>: para este</w:t>
      </w:r>
      <w:r w:rsidR="00BB6B19" w:rsidRPr="00FD39AD">
        <w:rPr>
          <w:rFonts w:ascii="Arial" w:eastAsiaTheme="minorHAnsi" w:hAnsi="Arial" w:cs="Arial"/>
          <w:sz w:val="22"/>
        </w:rPr>
        <w:t xml:space="preserve"> segmento </w:t>
      </w:r>
      <w:r w:rsidR="006B4414" w:rsidRPr="00FD39AD">
        <w:rPr>
          <w:rFonts w:ascii="Arial" w:eastAsiaTheme="minorHAnsi" w:hAnsi="Arial" w:cs="Arial"/>
          <w:sz w:val="22"/>
        </w:rPr>
        <w:t>poblacional</w:t>
      </w:r>
      <w:r w:rsidR="00BB6B19" w:rsidRPr="00FD39AD">
        <w:rPr>
          <w:rFonts w:ascii="Arial" w:eastAsiaTheme="minorHAnsi" w:hAnsi="Arial" w:cs="Arial"/>
          <w:sz w:val="22"/>
        </w:rPr>
        <w:t xml:space="preserve"> </w:t>
      </w:r>
      <w:r w:rsidR="00DB06AB" w:rsidRPr="00FD39AD">
        <w:rPr>
          <w:rFonts w:ascii="Arial" w:eastAsiaTheme="minorHAnsi" w:hAnsi="Arial" w:cs="Arial"/>
          <w:sz w:val="22"/>
        </w:rPr>
        <w:t xml:space="preserve">se llevarán adelante </w:t>
      </w:r>
      <w:r w:rsidR="0084288E" w:rsidRPr="00FD39AD">
        <w:rPr>
          <w:rFonts w:ascii="Arial" w:eastAsiaTheme="minorHAnsi" w:hAnsi="Arial" w:cs="Arial"/>
          <w:sz w:val="22"/>
        </w:rPr>
        <w:t>campañas educativas sobre</w:t>
      </w:r>
      <w:r w:rsidR="00DB06AB" w:rsidRPr="00FD39AD">
        <w:rPr>
          <w:rFonts w:ascii="Arial" w:eastAsiaTheme="minorHAnsi" w:hAnsi="Arial" w:cs="Arial"/>
          <w:sz w:val="22"/>
        </w:rPr>
        <w:t>:</w:t>
      </w:r>
      <w:r w:rsidR="0084288E" w:rsidRPr="00FD39AD">
        <w:rPr>
          <w:rFonts w:ascii="Arial" w:eastAsiaTheme="minorHAnsi" w:hAnsi="Arial" w:cs="Arial"/>
          <w:sz w:val="22"/>
        </w:rPr>
        <w:t xml:space="preserve"> </w:t>
      </w:r>
      <w:r w:rsidR="00DB06AB" w:rsidRPr="00FD39AD">
        <w:rPr>
          <w:rFonts w:ascii="Arial" w:eastAsiaTheme="minorHAnsi" w:hAnsi="Arial" w:cs="Arial"/>
          <w:sz w:val="22"/>
        </w:rPr>
        <w:t xml:space="preserve">i) </w:t>
      </w:r>
      <w:r w:rsidR="0084288E" w:rsidRPr="00FD39AD">
        <w:rPr>
          <w:rFonts w:ascii="Arial" w:eastAsiaTheme="minorHAnsi" w:hAnsi="Arial" w:cs="Arial"/>
          <w:sz w:val="22"/>
        </w:rPr>
        <w:t xml:space="preserve">uso adecuado y pago de los servicios y </w:t>
      </w:r>
      <w:r w:rsidR="00DB06AB" w:rsidRPr="00FD39AD">
        <w:rPr>
          <w:rFonts w:ascii="Arial" w:eastAsiaTheme="minorHAnsi" w:hAnsi="Arial" w:cs="Arial"/>
          <w:sz w:val="22"/>
        </w:rPr>
        <w:t xml:space="preserve">ii) sobre </w:t>
      </w:r>
      <w:r w:rsidR="0084288E" w:rsidRPr="00FD39AD">
        <w:rPr>
          <w:rFonts w:ascii="Arial" w:eastAsiaTheme="minorHAnsi" w:hAnsi="Arial" w:cs="Arial"/>
          <w:sz w:val="22"/>
        </w:rPr>
        <w:t xml:space="preserve">conectividad a las redes de alcantarillado sanitario. </w:t>
      </w:r>
      <w:r w:rsidR="00DB06AB" w:rsidRPr="00FD39AD">
        <w:rPr>
          <w:rFonts w:ascii="Arial" w:eastAsiaTheme="minorHAnsi" w:hAnsi="Arial" w:cs="Arial"/>
          <w:sz w:val="22"/>
        </w:rPr>
        <w:t>Se llevarán adelante también capacitaciones a las EPSAS en: i) capacitación en administración de sistemas, y ii) capacitación en O&amp;M</w:t>
      </w:r>
      <w:r w:rsidR="00BB6B19" w:rsidRPr="00FD39AD">
        <w:rPr>
          <w:rFonts w:ascii="Arial" w:eastAsiaTheme="minorHAnsi" w:hAnsi="Arial" w:cs="Arial"/>
          <w:sz w:val="22"/>
        </w:rPr>
        <w:t>.</w:t>
      </w:r>
      <w:r w:rsidR="006A08EC" w:rsidRPr="00FD39AD">
        <w:rPr>
          <w:rFonts w:ascii="Arial" w:eastAsiaTheme="minorHAnsi" w:hAnsi="Arial" w:cs="Arial"/>
          <w:sz w:val="22"/>
        </w:rPr>
        <w:t xml:space="preserve"> </w:t>
      </w:r>
    </w:p>
    <w:bookmarkEnd w:id="11"/>
    <w:p w14:paraId="3C9D3B66" w14:textId="26A0D8B3" w:rsidR="00FD39AD" w:rsidRPr="00FD39AD" w:rsidRDefault="0003465E" w:rsidP="00FD39AD">
      <w:pPr>
        <w:pStyle w:val="Paragraph"/>
        <w:numPr>
          <w:ilvl w:val="1"/>
          <w:numId w:val="10"/>
        </w:numPr>
        <w:tabs>
          <w:tab w:val="clear" w:pos="2736"/>
          <w:tab w:val="num" w:pos="720"/>
        </w:tabs>
        <w:ind w:left="720" w:hanging="720"/>
        <w:rPr>
          <w:rFonts w:ascii="Arial" w:eastAsiaTheme="minorHAnsi" w:hAnsi="Arial" w:cs="Arial"/>
          <w:sz w:val="22"/>
        </w:rPr>
      </w:pPr>
      <w:r w:rsidRPr="0003465E">
        <w:rPr>
          <w:rFonts w:ascii="Arial" w:eastAsiaTheme="minorHAnsi" w:hAnsi="Arial" w:cs="Arial"/>
          <w:b/>
          <w:sz w:val="22"/>
        </w:rPr>
        <w:t>Conectividad</w:t>
      </w:r>
      <w:r>
        <w:rPr>
          <w:rFonts w:ascii="Arial" w:eastAsiaTheme="minorHAnsi" w:hAnsi="Arial" w:cs="Arial"/>
          <w:sz w:val="22"/>
        </w:rPr>
        <w:t xml:space="preserve">: </w:t>
      </w:r>
      <w:r w:rsidR="00843540">
        <w:rPr>
          <w:rFonts w:ascii="Arial" w:eastAsiaTheme="minorHAnsi" w:hAnsi="Arial" w:cs="Arial"/>
          <w:sz w:val="22"/>
        </w:rPr>
        <w:t xml:space="preserve">Como parte de las actividades de </w:t>
      </w:r>
      <w:r w:rsidR="00FD39AD" w:rsidRPr="00FD39AD">
        <w:rPr>
          <w:rFonts w:ascii="Arial" w:eastAsiaTheme="minorHAnsi" w:hAnsi="Arial" w:cs="Arial"/>
          <w:sz w:val="22"/>
        </w:rPr>
        <w:t xml:space="preserve">DESCOM, se </w:t>
      </w:r>
      <w:r w:rsidR="00843540">
        <w:rPr>
          <w:rFonts w:ascii="Arial" w:eastAsiaTheme="minorHAnsi" w:hAnsi="Arial" w:cs="Arial"/>
          <w:sz w:val="22"/>
        </w:rPr>
        <w:t xml:space="preserve">llevará adelante, </w:t>
      </w:r>
      <w:r w:rsidR="00843540" w:rsidRPr="00FD39AD">
        <w:rPr>
          <w:rFonts w:ascii="Arial" w:eastAsiaTheme="minorHAnsi" w:hAnsi="Arial" w:cs="Arial"/>
          <w:sz w:val="22"/>
        </w:rPr>
        <w:t>durante la fase inicial de las obras</w:t>
      </w:r>
      <w:r w:rsidR="00843540">
        <w:rPr>
          <w:rFonts w:ascii="Arial" w:eastAsiaTheme="minorHAnsi" w:hAnsi="Arial" w:cs="Arial"/>
          <w:sz w:val="22"/>
        </w:rPr>
        <w:t xml:space="preserve">, un </w:t>
      </w:r>
      <w:r w:rsidR="00FD39AD" w:rsidRPr="00FD39AD">
        <w:rPr>
          <w:rFonts w:ascii="Arial" w:eastAsiaTheme="minorHAnsi" w:hAnsi="Arial" w:cs="Arial"/>
          <w:sz w:val="22"/>
        </w:rPr>
        <w:t xml:space="preserve">diagnóstico </w:t>
      </w:r>
      <w:r w:rsidR="00843540">
        <w:rPr>
          <w:rFonts w:ascii="Arial" w:eastAsiaTheme="minorHAnsi" w:hAnsi="Arial" w:cs="Arial"/>
          <w:sz w:val="22"/>
        </w:rPr>
        <w:t>sobre el problema de</w:t>
      </w:r>
      <w:r w:rsidR="00FD39AD" w:rsidRPr="00FD39AD">
        <w:rPr>
          <w:rFonts w:ascii="Arial" w:eastAsiaTheme="minorHAnsi" w:hAnsi="Arial" w:cs="Arial"/>
          <w:sz w:val="22"/>
        </w:rPr>
        <w:t xml:space="preserve"> la conectividad efectiva a l</w:t>
      </w:r>
      <w:r w:rsidR="00843540">
        <w:rPr>
          <w:rFonts w:ascii="Arial" w:eastAsiaTheme="minorHAnsi" w:hAnsi="Arial" w:cs="Arial"/>
          <w:sz w:val="22"/>
        </w:rPr>
        <w:t>a</w:t>
      </w:r>
      <w:r w:rsidR="00FD39AD" w:rsidRPr="00FD39AD">
        <w:rPr>
          <w:rFonts w:ascii="Arial" w:eastAsiaTheme="minorHAnsi" w:hAnsi="Arial" w:cs="Arial"/>
          <w:sz w:val="22"/>
        </w:rPr>
        <w:t xml:space="preserve">s </w:t>
      </w:r>
      <w:r w:rsidR="00843540">
        <w:rPr>
          <w:rFonts w:ascii="Arial" w:eastAsiaTheme="minorHAnsi" w:hAnsi="Arial" w:cs="Arial"/>
          <w:sz w:val="22"/>
        </w:rPr>
        <w:t xml:space="preserve">redes </w:t>
      </w:r>
      <w:r w:rsidR="00FD39AD" w:rsidRPr="00FD39AD">
        <w:rPr>
          <w:rFonts w:ascii="Arial" w:eastAsiaTheme="minorHAnsi" w:hAnsi="Arial" w:cs="Arial"/>
          <w:sz w:val="22"/>
        </w:rPr>
        <w:t xml:space="preserve">de alcantarillado, y se elaborará una estrategia específica para cada proyecto, </w:t>
      </w:r>
      <w:r w:rsidR="00843540">
        <w:rPr>
          <w:rFonts w:ascii="Arial" w:eastAsiaTheme="minorHAnsi" w:hAnsi="Arial" w:cs="Arial"/>
          <w:sz w:val="22"/>
        </w:rPr>
        <w:t>la cual se</w:t>
      </w:r>
      <w:r w:rsidR="00FD39AD" w:rsidRPr="00FD39AD">
        <w:rPr>
          <w:rFonts w:ascii="Arial" w:eastAsiaTheme="minorHAnsi" w:hAnsi="Arial" w:cs="Arial"/>
          <w:sz w:val="22"/>
        </w:rPr>
        <w:t xml:space="preserve"> iniciará antes de la finalización de las obras e involucra</w:t>
      </w:r>
      <w:r w:rsidR="00843540">
        <w:rPr>
          <w:rFonts w:ascii="Arial" w:eastAsiaTheme="minorHAnsi" w:hAnsi="Arial" w:cs="Arial"/>
          <w:sz w:val="22"/>
        </w:rPr>
        <w:t>rá</w:t>
      </w:r>
      <w:r w:rsidR="00FD39AD" w:rsidRPr="00FD39AD">
        <w:rPr>
          <w:rFonts w:ascii="Arial" w:eastAsiaTheme="minorHAnsi" w:hAnsi="Arial" w:cs="Arial"/>
          <w:sz w:val="22"/>
        </w:rPr>
        <w:t xml:space="preserve"> a </w:t>
      </w:r>
      <w:r w:rsidR="00843540">
        <w:rPr>
          <w:rFonts w:ascii="Arial" w:eastAsiaTheme="minorHAnsi" w:hAnsi="Arial" w:cs="Arial"/>
          <w:sz w:val="22"/>
        </w:rPr>
        <w:t xml:space="preserve">diversos </w:t>
      </w:r>
      <w:r w:rsidR="00FD39AD" w:rsidRPr="00FD39AD">
        <w:rPr>
          <w:rFonts w:ascii="Arial" w:eastAsiaTheme="minorHAnsi" w:hAnsi="Arial" w:cs="Arial"/>
          <w:sz w:val="22"/>
        </w:rPr>
        <w:t xml:space="preserve">actores: GAM, GAD, operador, plomeros locales, proveedores de materiales, </w:t>
      </w:r>
      <w:r w:rsidR="00843540">
        <w:rPr>
          <w:rFonts w:ascii="Arial" w:eastAsiaTheme="minorHAnsi" w:hAnsi="Arial" w:cs="Arial"/>
          <w:sz w:val="22"/>
        </w:rPr>
        <w:t>entre</w:t>
      </w:r>
      <w:r w:rsidR="00FD39AD" w:rsidRPr="00FD39AD">
        <w:rPr>
          <w:rFonts w:ascii="Arial" w:eastAsiaTheme="minorHAnsi" w:hAnsi="Arial" w:cs="Arial"/>
          <w:sz w:val="22"/>
        </w:rPr>
        <w:t xml:space="preserve"> otros que se identifiquen. </w:t>
      </w:r>
    </w:p>
    <w:p w14:paraId="579E8D05" w14:textId="6A4DC0BF" w:rsidR="0003465E" w:rsidRPr="00FD39AD" w:rsidRDefault="00FD39AD" w:rsidP="0003465E">
      <w:pPr>
        <w:pStyle w:val="Paragraph"/>
        <w:numPr>
          <w:ilvl w:val="1"/>
          <w:numId w:val="10"/>
        </w:numPr>
        <w:tabs>
          <w:tab w:val="clear" w:pos="2736"/>
          <w:tab w:val="num" w:pos="720"/>
        </w:tabs>
        <w:ind w:left="720" w:hanging="720"/>
        <w:rPr>
          <w:rFonts w:ascii="Arial" w:eastAsiaTheme="minorHAnsi" w:hAnsi="Arial" w:cs="Arial"/>
          <w:sz w:val="22"/>
        </w:rPr>
      </w:pPr>
      <w:bookmarkStart w:id="13" w:name="_Hlk490746871"/>
      <w:r w:rsidRPr="0003465E">
        <w:rPr>
          <w:rFonts w:ascii="Arial" w:eastAsiaTheme="minorHAnsi" w:hAnsi="Arial" w:cs="Arial"/>
          <w:sz w:val="22"/>
        </w:rPr>
        <w:t xml:space="preserve">Los enfoques de género e interculturalidad constituyen una parte transversal de las actividades de DESCOM comunitario. </w:t>
      </w:r>
      <w:bookmarkEnd w:id="13"/>
      <w:r w:rsidR="007D5069" w:rsidRPr="0003465E">
        <w:rPr>
          <w:rFonts w:ascii="Arial" w:eastAsiaTheme="minorHAnsi" w:hAnsi="Arial" w:cs="Arial"/>
          <w:sz w:val="22"/>
        </w:rPr>
        <w:t xml:space="preserve">Durante la preparación del programa se llevó adelante un estudio antropológico y de género realizado en 8 comunidades indígenas con el objeto de identificar: i) medios de vida, cosmovisión, saberes locales, ancestrales y prácticas asociadas con el uso de los recursos hídricos de las poblaciones indígenas que habitan en las zonas a ser intervenidas; y ii) roles de género en materia de provisión y gestión de los servicios de agua y saneamiento en áreas rurales. </w:t>
      </w:r>
      <w:r w:rsidR="0003465E" w:rsidRPr="00FD39AD">
        <w:rPr>
          <w:rFonts w:ascii="Arial" w:eastAsiaTheme="minorHAnsi" w:hAnsi="Arial" w:cs="Arial"/>
          <w:sz w:val="22"/>
        </w:rPr>
        <w:t>En las siguientes secciones se detallan los enfoques de género e interculturalidad en e</w:t>
      </w:r>
      <w:r w:rsidR="0003465E">
        <w:rPr>
          <w:rFonts w:ascii="Arial" w:eastAsiaTheme="minorHAnsi" w:hAnsi="Arial" w:cs="Arial"/>
          <w:sz w:val="22"/>
        </w:rPr>
        <w:t>l</w:t>
      </w:r>
      <w:r w:rsidR="0003465E" w:rsidRPr="00FD39AD">
        <w:rPr>
          <w:rFonts w:ascii="Arial" w:eastAsiaTheme="minorHAnsi" w:hAnsi="Arial" w:cs="Arial"/>
          <w:sz w:val="22"/>
        </w:rPr>
        <w:t xml:space="preserve"> marco de la estrategia de DESCOM. </w:t>
      </w:r>
    </w:p>
    <w:bookmarkEnd w:id="9"/>
    <w:p w14:paraId="6D838008" w14:textId="356730FB" w:rsidR="003773B8" w:rsidRPr="00176A3C" w:rsidRDefault="004D0EEB" w:rsidP="003773B8">
      <w:pPr>
        <w:pStyle w:val="Heading1"/>
        <w:jc w:val="left"/>
        <w:rPr>
          <w:rFonts w:ascii="Arial" w:hAnsi="Arial" w:cs="Arial"/>
          <w:smallCaps w:val="0"/>
          <w:sz w:val="22"/>
          <w:szCs w:val="22"/>
          <w:lang w:val="es-ES_tradnl"/>
        </w:rPr>
      </w:pPr>
      <w:r w:rsidRPr="00176A3C">
        <w:rPr>
          <w:rFonts w:ascii="Arial" w:hAnsi="Arial" w:cs="Arial"/>
          <w:smallCaps w:val="0"/>
          <w:sz w:val="22"/>
          <w:szCs w:val="22"/>
          <w:lang w:val="es-ES_tradnl"/>
        </w:rPr>
        <w:t>ENFOQUE</w:t>
      </w:r>
      <w:r w:rsidR="00644D27" w:rsidRPr="00176A3C">
        <w:rPr>
          <w:rFonts w:ascii="Arial" w:hAnsi="Arial" w:cs="Arial"/>
          <w:smallCaps w:val="0"/>
          <w:sz w:val="22"/>
          <w:szCs w:val="22"/>
          <w:lang w:val="es-ES_tradnl"/>
        </w:rPr>
        <w:t xml:space="preserve"> DE GÉNERO </w:t>
      </w:r>
    </w:p>
    <w:p w14:paraId="68D39E47" w14:textId="77777777" w:rsidR="003773B8" w:rsidRPr="00FD39AD" w:rsidRDefault="003773B8" w:rsidP="003773B8">
      <w:pPr>
        <w:pStyle w:val="Paragraph"/>
        <w:tabs>
          <w:tab w:val="clear" w:pos="720"/>
        </w:tabs>
        <w:ind w:hanging="360"/>
        <w:rPr>
          <w:rFonts w:ascii="Arial" w:eastAsiaTheme="minorHAnsi" w:hAnsi="Arial" w:cs="Arial"/>
          <w:b/>
          <w:sz w:val="22"/>
        </w:rPr>
      </w:pPr>
      <w:r w:rsidRPr="00FD39AD">
        <w:rPr>
          <w:rFonts w:ascii="Arial" w:eastAsiaTheme="minorHAnsi" w:hAnsi="Arial" w:cs="Arial"/>
          <w:b/>
          <w:sz w:val="22"/>
        </w:rPr>
        <w:t xml:space="preserve">Brechas de Género </w:t>
      </w:r>
    </w:p>
    <w:p w14:paraId="196BEEE0"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Acceso a empleo y puestos de decisión. Del total de población inactiva en zonas rurales, el 83% son mujeres y su ingreso mensual promedio es de Bs. 1367, mientras que el de los hombres es de Bs. 2153. De hecho, un 80% de las mujeres rurales trabajan en actividades agrícolas (comparado con un 72% de hombres), pero en la mayor parte de los casos lo hacen trabajando en las tierras pertenecientes a sus familias (63% de ellas) y no son remuneradas. </w:t>
      </w:r>
    </w:p>
    <w:p w14:paraId="5CB7BC20"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Se ha evidenciado en campo que las brechas de género son limitantes fundamentales para las mujeres en términos laborales, pero también participativos. Estas brechas son una de las causas principales por las cuales su acceso a oportunidades económicas es reducido y por la cual no participan de manera activa en el ciclo del proyecto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de sus comunidades, ni ejercer cargos de toma de decisiones en los Comités Responsables del Proyecto (CRP), ni en las EPSAS. De hecho, el porcentaje de mujeres en las EPSAS es de 10.56% en cuanto a representantes de la EPSA y 0% en personal técnico.</w:t>
      </w:r>
    </w:p>
    <w:p w14:paraId="0FB8ECAC"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Educación e Higiene Menstrual. En zonas rurales de Bolivia, todavía existen muchas brechas de género que afectan principalmente a las mujeres. En términos </w:t>
      </w:r>
      <w:r w:rsidRPr="00FD39AD">
        <w:rPr>
          <w:rFonts w:ascii="Arial" w:eastAsiaTheme="minorHAnsi" w:hAnsi="Arial" w:cs="Arial"/>
          <w:sz w:val="22"/>
        </w:rPr>
        <w:lastRenderedPageBreak/>
        <w:t>de educación, en 2013, 61% de las mujeres rurales tenía entre 0 a 5 años de escolaridad comparado con 47.8% de los hombres rurales y con 19.6% de las mujeres urbanas</w:t>
      </w:r>
      <w:r w:rsidRPr="00FD39AD">
        <w:rPr>
          <w:rFonts w:ascii="Arial" w:eastAsiaTheme="minorHAnsi" w:hAnsi="Arial" w:cs="Arial"/>
          <w:sz w:val="22"/>
        </w:rPr>
        <w:footnoteReference w:id="1"/>
      </w:r>
      <w:r w:rsidRPr="00FD39AD">
        <w:rPr>
          <w:rFonts w:ascii="Arial" w:eastAsiaTheme="minorHAnsi" w:hAnsi="Arial" w:cs="Arial"/>
          <w:sz w:val="22"/>
        </w:rPr>
        <w:t xml:space="preserve">.  Además, el total de personas mayores de 18 años que declaran ningún nivel de instrucción, el 77% son mujeres, comparado con un 54% de los hombres. </w:t>
      </w:r>
    </w:p>
    <w:p w14:paraId="445C3C2E"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La asistencia escolar de las niñas de grupos marginados de la sociedad sigue siendo un reto a nivel mundial, pese a que varios estudios han demostrado que la reducción de las diferencias de género en la educación tiene un impacto positivo en el desarrollo económico, puesto que una niña más educada tiene mayores probabilidades de incorporarse a la fuerza de trabajo, salir del ciclo de pobreza, retrasar el matrimonio y realizar una planificación familiar, entre otros.</w:t>
      </w:r>
    </w:p>
    <w:p w14:paraId="217D854F"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Existen diferentes razones por las que las niñas de áreas rurales en Bolivia no asisten a la escuela, entre ellas la creencia de los progenitores de que hacer estudiar a las niñas es un desperdicio para la familia, puesto que ellas contraerán  matrimonio e irán a vivir con la familia del esposo y toda su inversión de tiempo y dinero en estudios será desperdiciada; falta de tiempo, puesto que ellas están encargadas de ayudar a las madres en las tareas del hogar y el cuidado de los hermanos menores, falta de recursos económicos para comprar material escolar y vestimenta etc.</w:t>
      </w:r>
    </w:p>
    <w:p w14:paraId="676FDDF2"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Sin embargo, cuando las niñas sí logran asistir a la escuela, se encuentran con otras limitantes como ser el idioma, la distancia de sus casas a las escuelas, el poder cumplir con sus tareas escolares, al mismo tiempo que con sus deberes en el hogar, entre otros. Uno de estos retos, es el tema de la higiene menstrual que afecta directamente en el rendimiento puesto que faltan a clases durante esos días.</w:t>
      </w:r>
    </w:p>
    <w:p w14:paraId="49A27A3C"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Un estudio realizado por UNICEF el 2012</w:t>
      </w:r>
      <w:r w:rsidRPr="00FD39AD">
        <w:rPr>
          <w:rFonts w:ascii="Arial" w:eastAsiaTheme="minorHAnsi" w:hAnsi="Arial" w:cs="Arial"/>
          <w:sz w:val="22"/>
        </w:rPr>
        <w:footnoteReference w:id="2"/>
      </w:r>
      <w:r w:rsidRPr="00FD39AD">
        <w:rPr>
          <w:rFonts w:ascii="Arial" w:eastAsiaTheme="minorHAnsi" w:hAnsi="Arial" w:cs="Arial"/>
          <w:sz w:val="22"/>
        </w:rPr>
        <w:t xml:space="preserve"> sobre el manejo de la higiene menstrual en escuelas en zonas rurales de Cochabamba, Bolivia, explica que los retos que se enfrentan las niñas adolescentes en las escuelas cuando tienen la menstruación son: i) falta de infraestructura servicios básicos: las malas condiciones de las letrinas, cuando existen, y uso no habitual de las mismas, falta de sistemas de desecho de materiales, mal mantenimiento de las instalaciones y disponibilidad inconsistente de recursos (agua); ii) falta de educación: la falta de conocimiento antes de la menarquía, conocimientos imprecisos y contradictorios en el hogar, insuficiente educación en la escuela con respecto a la biología y al manejo de la menstruación, necesidad de una fuente fiable de información y apoyo; iii) acceso a material absorbente: conocimientos limitados sobre qué utilizar y las opciones disponibles, falta de acceso y dificultad en el manejo de los materiales en la escuela y acceso limitado a compresas de fabricación comercial.</w:t>
      </w:r>
    </w:p>
    <w:p w14:paraId="79382A28"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Se ha corroborado, a través de visitas de campo y durante la elaboración del estudio antropológico, que estos retos relacionados con la menstruación están vigentes todavía en las zonas rurales donde el proyecto será implementado y que la condición de los baños en las escuelas es muy mala y antihigiénica, la mayoría de las veces los baños no cuentan con basureros ni duchas y no existe un sistema de desecho de residuos sólidos, además las adolescentes tienen muy poco </w:t>
      </w:r>
      <w:r w:rsidRPr="00FD39AD">
        <w:rPr>
          <w:rFonts w:ascii="Arial" w:eastAsiaTheme="minorHAnsi" w:hAnsi="Arial" w:cs="Arial"/>
          <w:sz w:val="22"/>
        </w:rPr>
        <w:lastRenderedPageBreak/>
        <w:t xml:space="preserve">conocimiento sobre su ciclo menstrual y sobre las opciones de material absorbente. </w:t>
      </w:r>
    </w:p>
    <w:p w14:paraId="7AB642FA" w14:textId="77777777" w:rsidR="003773B8" w:rsidRPr="00FD39AD" w:rsidRDefault="003773B8" w:rsidP="003773B8">
      <w:pPr>
        <w:pStyle w:val="Paragraph"/>
        <w:tabs>
          <w:tab w:val="clear" w:pos="720"/>
        </w:tabs>
        <w:ind w:left="0" w:firstLine="0"/>
        <w:rPr>
          <w:rFonts w:ascii="Arial" w:eastAsiaTheme="minorHAnsi" w:hAnsi="Arial" w:cs="Arial"/>
          <w:b/>
          <w:sz w:val="22"/>
        </w:rPr>
      </w:pPr>
      <w:r w:rsidRPr="00FD39AD">
        <w:rPr>
          <w:rFonts w:ascii="Arial" w:eastAsiaTheme="minorHAnsi" w:hAnsi="Arial" w:cs="Arial"/>
          <w:b/>
          <w:sz w:val="22"/>
        </w:rPr>
        <w:t>Justificación</w:t>
      </w:r>
    </w:p>
    <w:p w14:paraId="3D347A2A"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Participación de mujeres en proyectos de agua. Algunos estudios han demostrado que los proyectos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que son diseñados y operados con una participación femenina activa suelen ser más sostenibles y efectivos que aquellos donde no participan las mujeres</w:t>
      </w:r>
      <w:r w:rsidRPr="00FD39AD">
        <w:rPr>
          <w:rFonts w:ascii="Arial" w:eastAsiaTheme="minorHAnsi" w:hAnsi="Arial" w:cs="Arial"/>
          <w:sz w:val="22"/>
        </w:rPr>
        <w:footnoteReference w:id="3"/>
      </w:r>
      <w:r w:rsidRPr="00FD39AD">
        <w:rPr>
          <w:rFonts w:ascii="Arial" w:eastAsiaTheme="minorHAnsi" w:hAnsi="Arial" w:cs="Arial"/>
          <w:sz w:val="22"/>
        </w:rPr>
        <w:t xml:space="preserve">. Por ejemplo, en Malawi, se encontró que los comités con mayor participación femenina resultaron en: i) una cobertura más alta de hogares con letrinas (95%) en “condición satisfactoria” (68%) que en comités con mayor liderazgo masculino (87% de cobertura y 43% en “condición satisfactoria”); ii) mayor número de hogares con conexiones de agua; iii) mejor nivel de pago y manejo de estos pagos; y iv) menos desperdicio de agua. La inclusión de un enfoque de género en los proyectos ha sido también instrumental para asegurar un mantenimiento adecuado e higiénico de las unidades sanitarias. Este enfoque también ha estimulado la repartición de las responsabilidades ligadas a la preservación de la higiene en el hogar y la educación de los niños pequeños en saneamiento, donde no solo las madres, pero también los hermanos, hermanas y padres se involucran. </w:t>
      </w:r>
      <w:r w:rsidRPr="00FD39AD">
        <w:rPr>
          <w:rFonts w:ascii="Arial" w:eastAsiaTheme="minorHAnsi" w:hAnsi="Arial" w:cs="Arial"/>
          <w:sz w:val="22"/>
        </w:rPr>
        <w:footnoteReference w:id="4"/>
      </w:r>
      <w:r w:rsidRPr="00FD39AD">
        <w:rPr>
          <w:rFonts w:ascii="Arial" w:eastAsiaTheme="minorHAnsi" w:hAnsi="Arial" w:cs="Arial"/>
          <w:sz w:val="22"/>
        </w:rPr>
        <w:t xml:space="preserve">  </w:t>
      </w:r>
    </w:p>
    <w:p w14:paraId="213F7527" w14:textId="77777777" w:rsidR="003773B8" w:rsidRPr="00FD39AD" w:rsidRDefault="003773B8" w:rsidP="003773B8">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Higiene menstrual. Cada día, 300 millones de mujeres y niñas están menstruando y, en promedio, una mujer pasará 3.500 días de su vida con la menstruación</w:t>
      </w:r>
      <w:r w:rsidRPr="00FD39AD">
        <w:rPr>
          <w:rFonts w:ascii="Arial" w:eastAsiaTheme="minorHAnsi" w:hAnsi="Arial" w:cs="Arial"/>
          <w:sz w:val="22"/>
        </w:rPr>
        <w:footnoteReference w:id="5"/>
      </w:r>
      <w:r w:rsidRPr="00FD39AD">
        <w:rPr>
          <w:rFonts w:ascii="Arial" w:eastAsiaTheme="minorHAnsi" w:hAnsi="Arial" w:cs="Arial"/>
          <w:sz w:val="22"/>
        </w:rPr>
        <w:t>. Esto quiere decir que la menstruación es una parte integral en la vida de las mujeres. Sin embargo, mundialmente existe poca información sobre el manejo de la higiene menstrual (MHM) y como la falta de servicios básicos afecta la vida de mujeres y niñas durante su periodo. Asumiendo que por lo menos la mitad de los 946 millones de personas en el mundo que no tienen acceso a agua y defecan al aire son mujeres, se puede estimar que al menos unos 500 millones de mujeres y niñas no tienen acceso a servicios básicos para practicar una higiene menstrual adecuada, segura y digna</w:t>
      </w:r>
      <w:r w:rsidRPr="00FD39AD">
        <w:rPr>
          <w:rFonts w:ascii="Arial" w:eastAsiaTheme="minorHAnsi" w:hAnsi="Arial" w:cs="Arial"/>
          <w:sz w:val="22"/>
        </w:rPr>
        <w:footnoteReference w:id="6"/>
      </w:r>
      <w:r w:rsidRPr="00FD39AD">
        <w:rPr>
          <w:rFonts w:ascii="Arial" w:eastAsiaTheme="minorHAnsi" w:hAnsi="Arial" w:cs="Arial"/>
          <w:sz w:val="22"/>
        </w:rPr>
        <w:t>. Un estudio realizado en India encontró que el uso de productos higiénicos no adecuados para la menstruación</w:t>
      </w:r>
      <w:r w:rsidRPr="00FD39AD">
        <w:rPr>
          <w:rFonts w:ascii="Arial" w:eastAsiaTheme="minorHAnsi" w:hAnsi="Arial" w:cs="Arial"/>
          <w:sz w:val="22"/>
        </w:rPr>
        <w:footnoteReference w:id="7"/>
      </w:r>
      <w:r w:rsidRPr="00FD39AD">
        <w:rPr>
          <w:rFonts w:ascii="Arial" w:eastAsiaTheme="minorHAnsi" w:hAnsi="Arial" w:cs="Arial"/>
          <w:sz w:val="22"/>
        </w:rPr>
        <w:t xml:space="preserve"> causaban que las niñas faltaran a la escuela aproximadamente cinco días al mes (o 50 días al año) y que un 23% abandona complementa la escuela cuando empiezan a menstruar por la falta de facilidades. Contrariamente, un estudio en Ghana encontró que cuando se proveía educación sobre la pubertad y toallas sanitarias, el absentismo escolar se reducía dramáticamente (en un promedio de 6.6 días por termino por cada niña</w:t>
      </w:r>
      <w:r w:rsidRPr="00FD39AD">
        <w:rPr>
          <w:rFonts w:ascii="Arial" w:eastAsiaTheme="minorHAnsi" w:hAnsi="Arial" w:cs="Arial"/>
          <w:sz w:val="22"/>
        </w:rPr>
        <w:footnoteReference w:id="8"/>
      </w:r>
      <w:r w:rsidRPr="00FD39AD">
        <w:rPr>
          <w:rFonts w:ascii="Arial" w:eastAsiaTheme="minorHAnsi" w:hAnsi="Arial" w:cs="Arial"/>
          <w:sz w:val="22"/>
        </w:rPr>
        <w:t xml:space="preserve">. Asimismo, en Bangladesh, el MHM obliga a muchas mujeres a ausentarse </w:t>
      </w:r>
      <w:r w:rsidRPr="00FD39AD">
        <w:rPr>
          <w:rFonts w:ascii="Arial" w:eastAsiaTheme="minorHAnsi" w:hAnsi="Arial" w:cs="Arial"/>
          <w:sz w:val="22"/>
        </w:rPr>
        <w:lastRenderedPageBreak/>
        <w:t>hasta 6 días al mes del trabajo, afectando sus salarios y poder adquisitivo</w:t>
      </w:r>
      <w:r w:rsidRPr="00FD39AD">
        <w:rPr>
          <w:rFonts w:ascii="Arial" w:eastAsiaTheme="minorHAnsi" w:hAnsi="Arial" w:cs="Arial"/>
          <w:sz w:val="22"/>
        </w:rPr>
        <w:footnoteReference w:id="9"/>
      </w:r>
      <w:r w:rsidRPr="00FD39AD">
        <w:rPr>
          <w:rFonts w:ascii="Arial" w:eastAsiaTheme="minorHAnsi" w:hAnsi="Arial" w:cs="Arial"/>
          <w:sz w:val="22"/>
        </w:rPr>
        <w:t>.  Por otro lado, una investigación en Bihar, India encontró que el 60% de las mujeres botaban sus productos sanitarios usados al aire libre, generalmente en las mismas zonas donde se practica la defecación al aire libre, porque las mujeres no quería botarlos en sus casas por el estigma que representaba.</w:t>
      </w:r>
      <w:r w:rsidRPr="00FD39AD">
        <w:rPr>
          <w:rFonts w:ascii="Arial" w:eastAsiaTheme="minorHAnsi" w:hAnsi="Arial" w:cs="Arial"/>
          <w:sz w:val="22"/>
        </w:rPr>
        <w:footnoteReference w:id="10"/>
      </w:r>
    </w:p>
    <w:p w14:paraId="7116C358" w14:textId="77777777" w:rsidR="003773B8" w:rsidRPr="00FD39AD" w:rsidRDefault="003773B8" w:rsidP="00176A3C">
      <w:pPr>
        <w:pStyle w:val="Paragraph"/>
        <w:tabs>
          <w:tab w:val="clear" w:pos="720"/>
        </w:tabs>
        <w:ind w:left="0" w:firstLine="0"/>
        <w:rPr>
          <w:rFonts w:ascii="Arial" w:eastAsiaTheme="minorHAnsi" w:hAnsi="Arial" w:cs="Arial"/>
          <w:sz w:val="22"/>
        </w:rPr>
      </w:pPr>
      <w:r w:rsidRPr="00FD39AD">
        <w:rPr>
          <w:rFonts w:ascii="Arial" w:eastAsiaTheme="minorHAnsi" w:hAnsi="Arial" w:cs="Arial"/>
          <w:sz w:val="22"/>
        </w:rPr>
        <w:t>Actividades de género</w:t>
      </w:r>
    </w:p>
    <w:p w14:paraId="1150F1D2" w14:textId="77777777" w:rsidR="003773B8" w:rsidRPr="00FD39AD" w:rsidRDefault="003773B8"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Teniendo en consideración las brechas de genero así como los impactos de incluir un enfoque de género en el marco de proyectos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en zonas rurales, como parte de las actividades de DESCOM, se financiarán actividades de género para: i) promover el empoderamiento económico de las mujeres a través de capacitaciones y formaciones en trabajos relacionados a la construcción, operación y mantenimiento de los servicios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w:t>
      </w:r>
      <w:proofErr w:type="spellStart"/>
      <w:r w:rsidRPr="00FD39AD">
        <w:rPr>
          <w:rFonts w:ascii="Arial" w:eastAsiaTheme="minorHAnsi" w:hAnsi="Arial" w:cs="Arial"/>
          <w:sz w:val="22"/>
        </w:rPr>
        <w:t>ii</w:t>
      </w:r>
      <w:proofErr w:type="spellEnd"/>
      <w:r w:rsidRPr="00FD39AD">
        <w:rPr>
          <w:rFonts w:ascii="Arial" w:eastAsiaTheme="minorHAnsi" w:hAnsi="Arial" w:cs="Arial"/>
          <w:sz w:val="22"/>
        </w:rPr>
        <w:t xml:space="preserve">) fomentar la participación femenina en procesos de toma de decisión ligados al ciclo de proyectos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a través de capacitaciones a mujeres de las comunidades en temas de autoestima, empoderamiento y temas técnicos para tener mayor conocimiento sobre el sector y los servicios de </w:t>
      </w:r>
      <w:proofErr w:type="spellStart"/>
      <w:r w:rsidRPr="00FD39AD">
        <w:rPr>
          <w:rFonts w:ascii="Arial" w:eastAsiaTheme="minorHAnsi" w:hAnsi="Arial" w:cs="Arial"/>
          <w:sz w:val="22"/>
        </w:rPr>
        <w:t>AyS</w:t>
      </w:r>
      <w:proofErr w:type="spellEnd"/>
      <w:r w:rsidRPr="00FD39AD">
        <w:rPr>
          <w:rFonts w:ascii="Arial" w:eastAsiaTheme="minorHAnsi" w:hAnsi="Arial" w:cs="Arial"/>
          <w:sz w:val="22"/>
        </w:rPr>
        <w:t xml:space="preserve">; y </w:t>
      </w:r>
      <w:proofErr w:type="spellStart"/>
      <w:r w:rsidRPr="00FD39AD">
        <w:rPr>
          <w:rFonts w:ascii="Arial" w:eastAsiaTheme="minorHAnsi" w:hAnsi="Arial" w:cs="Arial"/>
          <w:sz w:val="22"/>
        </w:rPr>
        <w:t>iii</w:t>
      </w:r>
      <w:proofErr w:type="spellEnd"/>
      <w:r w:rsidRPr="00FD39AD">
        <w:rPr>
          <w:rFonts w:ascii="Arial" w:eastAsiaTheme="minorHAnsi" w:hAnsi="Arial" w:cs="Arial"/>
          <w:sz w:val="22"/>
        </w:rPr>
        <w:t xml:space="preserve">) desarrollar conocimientos y nuevos comportamientos de las mujeres y niñas y niños en las escuelas a fin de mejorar su higiene y ayudar a reducir el absentismo escolar de las niñas en edad de menstruación a través de campañas de información en las escuelas. </w:t>
      </w:r>
    </w:p>
    <w:p w14:paraId="6959B9A9" w14:textId="77777777" w:rsidR="003773B8" w:rsidRPr="00FD39AD" w:rsidRDefault="003773B8" w:rsidP="00F40891">
      <w:pPr>
        <w:pStyle w:val="Paragraph"/>
        <w:tabs>
          <w:tab w:val="clear" w:pos="720"/>
        </w:tabs>
        <w:ind w:left="0" w:firstLine="0"/>
        <w:rPr>
          <w:rFonts w:ascii="Arial" w:eastAsiaTheme="minorHAnsi" w:hAnsi="Arial" w:cs="Arial"/>
          <w:b/>
          <w:sz w:val="22"/>
        </w:rPr>
      </w:pPr>
      <w:r w:rsidRPr="00FD39AD">
        <w:rPr>
          <w:rFonts w:ascii="Arial" w:eastAsiaTheme="minorHAnsi" w:hAnsi="Arial" w:cs="Arial"/>
          <w:b/>
          <w:sz w:val="22"/>
        </w:rPr>
        <w:t>Indicadores</w:t>
      </w:r>
    </w:p>
    <w:p w14:paraId="4A66584E" w14:textId="77777777" w:rsidR="000349BD" w:rsidRPr="000349BD" w:rsidRDefault="000349BD" w:rsidP="000349BD">
      <w:pPr>
        <w:pStyle w:val="Paragraph"/>
        <w:numPr>
          <w:ilvl w:val="1"/>
          <w:numId w:val="10"/>
        </w:numPr>
        <w:tabs>
          <w:tab w:val="clear" w:pos="2736"/>
          <w:tab w:val="num" w:pos="720"/>
        </w:tabs>
        <w:ind w:left="720" w:hanging="720"/>
        <w:rPr>
          <w:rFonts w:ascii="Arial" w:eastAsiaTheme="minorHAnsi" w:hAnsi="Arial" w:cs="Arial"/>
          <w:sz w:val="22"/>
        </w:rPr>
      </w:pPr>
      <w:r w:rsidRPr="000349BD">
        <w:rPr>
          <w:rFonts w:ascii="Arial" w:eastAsiaTheme="minorHAnsi" w:hAnsi="Arial" w:cs="Arial"/>
          <w:sz w:val="22"/>
        </w:rPr>
        <w:t xml:space="preserve">La Matriz de Resultados del programa contiene indicadores de producto y resultado orientados a cuantificar la participación femenina en procesos de toma de decisión asociados a la gestión del agua y el saneamiento. </w:t>
      </w:r>
    </w:p>
    <w:p w14:paraId="535673B7" w14:textId="77777777" w:rsidR="000349BD" w:rsidRPr="000349BD" w:rsidRDefault="000349BD" w:rsidP="000349BD">
      <w:pPr>
        <w:pStyle w:val="Paragraph"/>
        <w:numPr>
          <w:ilvl w:val="1"/>
          <w:numId w:val="10"/>
        </w:numPr>
        <w:tabs>
          <w:tab w:val="clear" w:pos="2736"/>
          <w:tab w:val="num" w:pos="720"/>
        </w:tabs>
        <w:ind w:left="720" w:hanging="720"/>
        <w:rPr>
          <w:rFonts w:ascii="Arial" w:eastAsiaTheme="minorHAnsi" w:hAnsi="Arial" w:cs="Arial"/>
          <w:sz w:val="22"/>
        </w:rPr>
      </w:pPr>
      <w:r w:rsidRPr="000349BD">
        <w:rPr>
          <w:rFonts w:ascii="Arial" w:eastAsiaTheme="minorHAnsi" w:hAnsi="Arial" w:cs="Arial"/>
          <w:sz w:val="22"/>
        </w:rPr>
        <w:t xml:space="preserve">En materia de productos, se incluye un hito que alimenta el indicador de Planes de Desarrollo Comunitario Implementados. Esto es así en tanto las capacitaciones a mujeres se implementan en el marco de la estrategia de DESCOM. </w:t>
      </w:r>
    </w:p>
    <w:tbl>
      <w:tblPr>
        <w:tblW w:w="10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37"/>
        <w:gridCol w:w="923"/>
        <w:gridCol w:w="908"/>
        <w:gridCol w:w="995"/>
        <w:gridCol w:w="744"/>
        <w:gridCol w:w="574"/>
        <w:gridCol w:w="763"/>
        <w:gridCol w:w="543"/>
        <w:gridCol w:w="546"/>
        <w:gridCol w:w="646"/>
        <w:gridCol w:w="855"/>
      </w:tblGrid>
      <w:tr w:rsidR="000349BD" w:rsidRPr="006525AD" w14:paraId="78062807" w14:textId="77777777" w:rsidTr="00605D38">
        <w:trPr>
          <w:trHeight w:val="20"/>
          <w:jc w:val="center"/>
        </w:trPr>
        <w:tc>
          <w:tcPr>
            <w:tcW w:w="3137" w:type="dxa"/>
            <w:tcBorders>
              <w:bottom w:val="single" w:sz="4" w:space="0" w:color="auto"/>
            </w:tcBorders>
            <w:shd w:val="clear" w:color="auto" w:fill="EAF1DD" w:themeFill="accent3" w:themeFillTint="33"/>
            <w:noWrap/>
            <w:vAlign w:val="center"/>
            <w:hideMark/>
          </w:tcPr>
          <w:p w14:paraId="36A202FB"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Producto</w:t>
            </w:r>
          </w:p>
        </w:tc>
        <w:tc>
          <w:tcPr>
            <w:tcW w:w="923" w:type="dxa"/>
            <w:tcBorders>
              <w:bottom w:val="single" w:sz="4" w:space="0" w:color="auto"/>
            </w:tcBorders>
            <w:shd w:val="clear" w:color="auto" w:fill="EAF1DD" w:themeFill="accent3" w:themeFillTint="33"/>
            <w:vAlign w:val="center"/>
            <w:hideMark/>
          </w:tcPr>
          <w:p w14:paraId="00592650"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Unidad de Medida</w:t>
            </w:r>
          </w:p>
        </w:tc>
        <w:tc>
          <w:tcPr>
            <w:tcW w:w="908" w:type="dxa"/>
            <w:tcBorders>
              <w:bottom w:val="single" w:sz="4" w:space="0" w:color="auto"/>
            </w:tcBorders>
            <w:shd w:val="clear" w:color="auto" w:fill="EAF1DD" w:themeFill="accent3" w:themeFillTint="33"/>
            <w:vAlign w:val="center"/>
            <w:hideMark/>
          </w:tcPr>
          <w:p w14:paraId="771F7758"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Resultados Asociados</w:t>
            </w:r>
          </w:p>
        </w:tc>
        <w:tc>
          <w:tcPr>
            <w:tcW w:w="995" w:type="dxa"/>
            <w:tcBorders>
              <w:bottom w:val="single" w:sz="4" w:space="0" w:color="auto"/>
            </w:tcBorders>
            <w:shd w:val="clear" w:color="auto" w:fill="EAF1DD" w:themeFill="accent3" w:themeFillTint="33"/>
            <w:noWrap/>
            <w:vAlign w:val="center"/>
            <w:hideMark/>
          </w:tcPr>
          <w:p w14:paraId="0D32523A"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 xml:space="preserve">Costo </w:t>
            </w:r>
          </w:p>
          <w:p w14:paraId="5E89221B"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(US$)</w:t>
            </w:r>
          </w:p>
        </w:tc>
        <w:tc>
          <w:tcPr>
            <w:tcW w:w="744" w:type="dxa"/>
            <w:tcBorders>
              <w:bottom w:val="single" w:sz="4" w:space="0" w:color="auto"/>
            </w:tcBorders>
            <w:shd w:val="clear" w:color="auto" w:fill="EAF1DD" w:themeFill="accent3" w:themeFillTint="33"/>
            <w:noWrap/>
            <w:vAlign w:val="center"/>
            <w:hideMark/>
          </w:tcPr>
          <w:p w14:paraId="4DEE5800"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Línea de Base</w:t>
            </w:r>
          </w:p>
        </w:tc>
        <w:tc>
          <w:tcPr>
            <w:tcW w:w="574" w:type="dxa"/>
            <w:tcBorders>
              <w:bottom w:val="single" w:sz="4" w:space="0" w:color="auto"/>
            </w:tcBorders>
            <w:shd w:val="clear" w:color="auto" w:fill="EAF1DD" w:themeFill="accent3" w:themeFillTint="33"/>
            <w:vAlign w:val="center"/>
            <w:hideMark/>
          </w:tcPr>
          <w:p w14:paraId="4BB2CAF2"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ES"/>
              </w:rPr>
              <w:t>Año</w:t>
            </w:r>
            <w:r w:rsidRPr="006525AD">
              <w:rPr>
                <w:rFonts w:ascii="Arial" w:hAnsi="Arial" w:cs="Arial"/>
                <w:b/>
                <w:bCs/>
                <w:sz w:val="16"/>
                <w:szCs w:val="16"/>
                <w:lang w:val="es-MX"/>
              </w:rPr>
              <w:t xml:space="preserve"> 1</w:t>
            </w:r>
          </w:p>
        </w:tc>
        <w:tc>
          <w:tcPr>
            <w:tcW w:w="763" w:type="dxa"/>
            <w:tcBorders>
              <w:bottom w:val="single" w:sz="4" w:space="0" w:color="auto"/>
            </w:tcBorders>
            <w:shd w:val="clear" w:color="auto" w:fill="EAF1DD" w:themeFill="accent3" w:themeFillTint="33"/>
            <w:vAlign w:val="center"/>
            <w:hideMark/>
          </w:tcPr>
          <w:p w14:paraId="252082AD"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ES"/>
              </w:rPr>
              <w:t>Año</w:t>
            </w:r>
            <w:r w:rsidRPr="006525AD">
              <w:rPr>
                <w:rFonts w:ascii="Arial" w:hAnsi="Arial" w:cs="Arial"/>
                <w:b/>
                <w:bCs/>
                <w:sz w:val="16"/>
                <w:szCs w:val="16"/>
                <w:lang w:val="es-MX"/>
              </w:rPr>
              <w:t xml:space="preserve"> 2</w:t>
            </w:r>
          </w:p>
        </w:tc>
        <w:tc>
          <w:tcPr>
            <w:tcW w:w="543" w:type="dxa"/>
            <w:tcBorders>
              <w:bottom w:val="single" w:sz="4" w:space="0" w:color="auto"/>
            </w:tcBorders>
            <w:shd w:val="clear" w:color="auto" w:fill="EAF1DD" w:themeFill="accent3" w:themeFillTint="33"/>
            <w:vAlign w:val="center"/>
            <w:hideMark/>
          </w:tcPr>
          <w:p w14:paraId="6B41FBBD"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ES"/>
              </w:rPr>
              <w:t>Año</w:t>
            </w:r>
            <w:r w:rsidRPr="006525AD">
              <w:rPr>
                <w:rFonts w:ascii="Arial" w:hAnsi="Arial" w:cs="Arial"/>
                <w:b/>
                <w:bCs/>
                <w:sz w:val="16"/>
                <w:szCs w:val="16"/>
                <w:lang w:val="es-MX"/>
              </w:rPr>
              <w:t xml:space="preserve"> 3</w:t>
            </w:r>
          </w:p>
        </w:tc>
        <w:tc>
          <w:tcPr>
            <w:tcW w:w="546" w:type="dxa"/>
            <w:tcBorders>
              <w:bottom w:val="single" w:sz="4" w:space="0" w:color="auto"/>
            </w:tcBorders>
            <w:shd w:val="clear" w:color="auto" w:fill="EAF1DD" w:themeFill="accent3" w:themeFillTint="33"/>
            <w:vAlign w:val="center"/>
            <w:hideMark/>
          </w:tcPr>
          <w:p w14:paraId="5D637A25"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ES"/>
              </w:rPr>
              <w:t>Año</w:t>
            </w:r>
            <w:r w:rsidRPr="006525AD">
              <w:rPr>
                <w:rFonts w:ascii="Arial" w:hAnsi="Arial" w:cs="Arial"/>
                <w:b/>
                <w:bCs/>
                <w:sz w:val="16"/>
                <w:szCs w:val="16"/>
                <w:lang w:val="es-MX"/>
              </w:rPr>
              <w:t xml:space="preserve"> 4</w:t>
            </w:r>
          </w:p>
        </w:tc>
        <w:tc>
          <w:tcPr>
            <w:tcW w:w="646" w:type="dxa"/>
            <w:tcBorders>
              <w:bottom w:val="single" w:sz="4" w:space="0" w:color="auto"/>
            </w:tcBorders>
            <w:shd w:val="clear" w:color="auto" w:fill="EAF1DD" w:themeFill="accent3" w:themeFillTint="33"/>
            <w:vAlign w:val="center"/>
            <w:hideMark/>
          </w:tcPr>
          <w:p w14:paraId="4C51BA47"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ES"/>
              </w:rPr>
              <w:t>Año</w:t>
            </w:r>
            <w:r w:rsidRPr="006525AD">
              <w:rPr>
                <w:rFonts w:ascii="Arial" w:hAnsi="Arial" w:cs="Arial"/>
                <w:b/>
                <w:bCs/>
                <w:sz w:val="16"/>
                <w:szCs w:val="16"/>
                <w:lang w:val="es-MX"/>
              </w:rPr>
              <w:t xml:space="preserve"> 5</w:t>
            </w:r>
          </w:p>
        </w:tc>
        <w:tc>
          <w:tcPr>
            <w:tcW w:w="855" w:type="dxa"/>
            <w:tcBorders>
              <w:bottom w:val="single" w:sz="4" w:space="0" w:color="auto"/>
            </w:tcBorders>
            <w:shd w:val="clear" w:color="auto" w:fill="EAF1DD" w:themeFill="accent3" w:themeFillTint="33"/>
            <w:vAlign w:val="center"/>
            <w:hideMark/>
          </w:tcPr>
          <w:p w14:paraId="766411A7" w14:textId="77777777" w:rsidR="000349BD" w:rsidRPr="006525AD" w:rsidRDefault="000349BD" w:rsidP="00605D38">
            <w:pPr>
              <w:jc w:val="center"/>
              <w:rPr>
                <w:rFonts w:ascii="Arial" w:hAnsi="Arial" w:cs="Arial"/>
                <w:b/>
                <w:bCs/>
                <w:sz w:val="16"/>
                <w:szCs w:val="16"/>
              </w:rPr>
            </w:pPr>
            <w:r w:rsidRPr="006525AD">
              <w:rPr>
                <w:rFonts w:ascii="Arial" w:hAnsi="Arial" w:cs="Arial"/>
                <w:b/>
                <w:bCs/>
                <w:sz w:val="16"/>
                <w:szCs w:val="16"/>
                <w:lang w:val="es-MX"/>
              </w:rPr>
              <w:t xml:space="preserve">Final del </w:t>
            </w:r>
            <w:r w:rsidRPr="006525AD">
              <w:rPr>
                <w:rFonts w:ascii="Arial" w:hAnsi="Arial" w:cs="Arial"/>
                <w:b/>
                <w:bCs/>
                <w:sz w:val="16"/>
                <w:szCs w:val="16"/>
              </w:rPr>
              <w:t>Proyecto</w:t>
            </w:r>
          </w:p>
        </w:tc>
      </w:tr>
      <w:tr w:rsidR="000349BD" w:rsidRPr="000349BD" w14:paraId="6D0EF057" w14:textId="77777777" w:rsidTr="00605D38">
        <w:trPr>
          <w:trHeight w:val="20"/>
          <w:jc w:val="center"/>
        </w:trPr>
        <w:tc>
          <w:tcPr>
            <w:tcW w:w="3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A9832"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Mujeres capacitadas en las entidades a cargo de la gestión, operación y mantenimiento de servicios de agua y saneamiento.</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D6F30"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Mujeres</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F40AF"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7</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12E8C"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53.000</w:t>
            </w:r>
          </w:p>
        </w:tc>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39ACF"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6CAE4" w14:textId="77777777" w:rsidR="000349BD" w:rsidRPr="000349BD" w:rsidRDefault="000349BD" w:rsidP="00605D38">
            <w:pPr>
              <w:jc w:val="center"/>
              <w:rPr>
                <w:rFonts w:ascii="Arial" w:hAnsi="Arial" w:cs="Arial"/>
                <w:bCs/>
                <w:sz w:val="16"/>
                <w:szCs w:val="16"/>
                <w:lang w:val="es-ES"/>
              </w:rPr>
            </w:pPr>
            <w:r w:rsidRPr="000349BD">
              <w:rPr>
                <w:rFonts w:ascii="Arial" w:hAnsi="Arial" w:cs="Arial"/>
                <w:bCs/>
                <w:sz w:val="16"/>
                <w:szCs w:val="16"/>
                <w:lang w:val="es-ES"/>
              </w:rPr>
              <w:t>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288E9" w14:textId="77777777" w:rsidR="000349BD" w:rsidRPr="000349BD" w:rsidRDefault="000349BD" w:rsidP="00605D38">
            <w:pPr>
              <w:jc w:val="center"/>
              <w:rPr>
                <w:rFonts w:ascii="Arial" w:hAnsi="Arial" w:cs="Arial"/>
                <w:bCs/>
                <w:sz w:val="16"/>
                <w:szCs w:val="16"/>
                <w:lang w:val="es-ES"/>
              </w:rPr>
            </w:pPr>
            <w:r w:rsidRPr="000349BD">
              <w:rPr>
                <w:rFonts w:ascii="Arial" w:hAnsi="Arial" w:cs="Arial"/>
                <w:bCs/>
                <w:sz w:val="16"/>
                <w:szCs w:val="16"/>
                <w:lang w:val="es-ES"/>
              </w:rPr>
              <w:t>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B24B0" w14:textId="77777777" w:rsidR="000349BD" w:rsidRPr="000349BD" w:rsidRDefault="000349BD" w:rsidP="00605D38">
            <w:pPr>
              <w:jc w:val="center"/>
              <w:rPr>
                <w:rFonts w:ascii="Arial" w:hAnsi="Arial" w:cs="Arial"/>
                <w:bCs/>
                <w:sz w:val="16"/>
                <w:szCs w:val="16"/>
                <w:lang w:val="es-ES"/>
              </w:rPr>
            </w:pPr>
            <w:r w:rsidRPr="000349BD">
              <w:rPr>
                <w:rFonts w:ascii="Arial" w:hAnsi="Arial" w:cs="Arial"/>
                <w:bCs/>
                <w:sz w:val="16"/>
                <w:szCs w:val="16"/>
                <w:lang w:val="es-ES"/>
              </w:rPr>
              <w:t>40</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B702C" w14:textId="77777777" w:rsidR="000349BD" w:rsidRPr="000349BD" w:rsidRDefault="000349BD" w:rsidP="00605D38">
            <w:pPr>
              <w:jc w:val="center"/>
              <w:rPr>
                <w:rFonts w:ascii="Arial" w:hAnsi="Arial" w:cs="Arial"/>
                <w:bCs/>
                <w:sz w:val="16"/>
                <w:szCs w:val="16"/>
                <w:lang w:val="es-ES"/>
              </w:rPr>
            </w:pPr>
            <w:r w:rsidRPr="000349BD">
              <w:rPr>
                <w:rFonts w:ascii="Arial" w:hAnsi="Arial" w:cs="Arial"/>
                <w:bCs/>
                <w:sz w:val="16"/>
                <w:szCs w:val="16"/>
                <w:lang w:val="es-ES"/>
              </w:rPr>
              <w:t>40</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B01C1" w14:textId="77777777" w:rsidR="000349BD" w:rsidRPr="000349BD" w:rsidRDefault="000349BD" w:rsidP="00605D38">
            <w:pPr>
              <w:jc w:val="center"/>
              <w:rPr>
                <w:rFonts w:ascii="Arial" w:hAnsi="Arial" w:cs="Arial"/>
                <w:bCs/>
                <w:sz w:val="16"/>
                <w:szCs w:val="16"/>
                <w:lang w:val="es-ES"/>
              </w:rPr>
            </w:pPr>
            <w:r w:rsidRPr="000349BD">
              <w:rPr>
                <w:rFonts w:ascii="Arial" w:hAnsi="Arial" w:cs="Arial"/>
                <w:bCs/>
                <w:sz w:val="16"/>
                <w:szCs w:val="16"/>
                <w:lang w:val="es-ES"/>
              </w:rPr>
              <w:t>40</w:t>
            </w:r>
          </w:p>
        </w:tc>
        <w:tc>
          <w:tcPr>
            <w:tcW w:w="855" w:type="dxa"/>
            <w:tcBorders>
              <w:top w:val="single" w:sz="4" w:space="0" w:color="auto"/>
              <w:left w:val="single" w:sz="4" w:space="0" w:color="auto"/>
              <w:bottom w:val="single" w:sz="4" w:space="0" w:color="auto"/>
            </w:tcBorders>
            <w:shd w:val="clear" w:color="auto" w:fill="auto"/>
            <w:vAlign w:val="center"/>
            <w:hideMark/>
          </w:tcPr>
          <w:p w14:paraId="505F24AD" w14:textId="77777777" w:rsidR="000349BD" w:rsidRPr="000349BD" w:rsidRDefault="000349BD" w:rsidP="00605D38">
            <w:pPr>
              <w:jc w:val="center"/>
              <w:rPr>
                <w:rFonts w:ascii="Arial" w:hAnsi="Arial" w:cs="Arial"/>
                <w:bCs/>
                <w:sz w:val="16"/>
                <w:szCs w:val="16"/>
                <w:lang w:val="es-MX"/>
              </w:rPr>
            </w:pPr>
            <w:r w:rsidRPr="000349BD">
              <w:rPr>
                <w:rFonts w:ascii="Arial" w:hAnsi="Arial" w:cs="Arial"/>
                <w:bCs/>
                <w:sz w:val="16"/>
                <w:szCs w:val="16"/>
                <w:lang w:val="es-MX"/>
              </w:rPr>
              <w:t>120</w:t>
            </w:r>
          </w:p>
        </w:tc>
      </w:tr>
    </w:tbl>
    <w:p w14:paraId="71271E3B" w14:textId="77777777" w:rsidR="000349BD" w:rsidRPr="000349BD" w:rsidRDefault="000349BD" w:rsidP="000349BD">
      <w:pPr>
        <w:pStyle w:val="Paragraph"/>
        <w:numPr>
          <w:ilvl w:val="1"/>
          <w:numId w:val="10"/>
        </w:numPr>
        <w:tabs>
          <w:tab w:val="clear" w:pos="2736"/>
          <w:tab w:val="num" w:pos="720"/>
        </w:tabs>
        <w:ind w:left="720" w:hanging="720"/>
        <w:rPr>
          <w:rFonts w:ascii="Arial" w:eastAsiaTheme="minorHAnsi" w:hAnsi="Arial" w:cs="Arial"/>
          <w:sz w:val="22"/>
        </w:rPr>
      </w:pPr>
      <w:r w:rsidRPr="000349BD">
        <w:rPr>
          <w:rFonts w:ascii="Arial" w:eastAsiaTheme="minorHAnsi" w:hAnsi="Arial" w:cs="Arial"/>
          <w:sz w:val="22"/>
        </w:rPr>
        <w:t xml:space="preserve">En materia de resultados, se incluye un indicador asociado al nivel de participación de mujeres en las entidades a cargo de la gestión de los servicios de agua saneamiento. </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33"/>
        <w:gridCol w:w="856"/>
        <w:gridCol w:w="880"/>
        <w:gridCol w:w="1110"/>
        <w:gridCol w:w="604"/>
        <w:gridCol w:w="1208"/>
        <w:gridCol w:w="504"/>
        <w:gridCol w:w="764"/>
        <w:gridCol w:w="948"/>
        <w:gridCol w:w="863"/>
      </w:tblGrid>
      <w:tr w:rsidR="000349BD" w:rsidRPr="006525AD" w14:paraId="4EE87C7A" w14:textId="77777777" w:rsidTr="00605D38">
        <w:trPr>
          <w:trHeight w:val="20"/>
          <w:jc w:val="center"/>
        </w:trPr>
        <w:tc>
          <w:tcPr>
            <w:tcW w:w="2133" w:type="dxa"/>
            <w:shd w:val="clear" w:color="auto" w:fill="EAF1DD" w:themeFill="accent3" w:themeFillTint="33"/>
            <w:noWrap/>
            <w:vAlign w:val="center"/>
            <w:hideMark/>
          </w:tcPr>
          <w:p w14:paraId="04BFBB8B"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Indicador</w:t>
            </w:r>
          </w:p>
        </w:tc>
        <w:tc>
          <w:tcPr>
            <w:tcW w:w="856" w:type="dxa"/>
            <w:shd w:val="clear" w:color="auto" w:fill="EAF1DD" w:themeFill="accent3" w:themeFillTint="33"/>
            <w:vAlign w:val="center"/>
            <w:hideMark/>
          </w:tcPr>
          <w:p w14:paraId="4A8A6B95"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Unidad de Medida</w:t>
            </w:r>
          </w:p>
        </w:tc>
        <w:tc>
          <w:tcPr>
            <w:tcW w:w="880" w:type="dxa"/>
            <w:shd w:val="clear" w:color="auto" w:fill="EAF1DD" w:themeFill="accent3" w:themeFillTint="33"/>
            <w:vAlign w:val="center"/>
            <w:hideMark/>
          </w:tcPr>
          <w:p w14:paraId="3B4E13C9"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 xml:space="preserve">Línea de Base </w:t>
            </w:r>
          </w:p>
        </w:tc>
        <w:tc>
          <w:tcPr>
            <w:tcW w:w="1110" w:type="dxa"/>
            <w:shd w:val="clear" w:color="auto" w:fill="EAF1DD" w:themeFill="accent3" w:themeFillTint="33"/>
            <w:vAlign w:val="center"/>
            <w:hideMark/>
          </w:tcPr>
          <w:p w14:paraId="3D59EBFF"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Línea de Base</w:t>
            </w:r>
          </w:p>
        </w:tc>
        <w:tc>
          <w:tcPr>
            <w:tcW w:w="604" w:type="dxa"/>
            <w:shd w:val="clear" w:color="auto" w:fill="EAF1DD" w:themeFill="accent3" w:themeFillTint="33"/>
            <w:vAlign w:val="center"/>
            <w:hideMark/>
          </w:tcPr>
          <w:p w14:paraId="3DBF77A5"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1</w:t>
            </w:r>
          </w:p>
        </w:tc>
        <w:tc>
          <w:tcPr>
            <w:tcW w:w="1208" w:type="dxa"/>
            <w:shd w:val="clear" w:color="auto" w:fill="EAF1DD" w:themeFill="accent3" w:themeFillTint="33"/>
            <w:vAlign w:val="center"/>
            <w:hideMark/>
          </w:tcPr>
          <w:p w14:paraId="755DBEE5"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2</w:t>
            </w:r>
          </w:p>
        </w:tc>
        <w:tc>
          <w:tcPr>
            <w:tcW w:w="504" w:type="dxa"/>
            <w:shd w:val="clear" w:color="auto" w:fill="EAF1DD" w:themeFill="accent3" w:themeFillTint="33"/>
            <w:vAlign w:val="center"/>
            <w:hideMark/>
          </w:tcPr>
          <w:p w14:paraId="28713BBF"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3</w:t>
            </w:r>
          </w:p>
        </w:tc>
        <w:tc>
          <w:tcPr>
            <w:tcW w:w="764" w:type="dxa"/>
            <w:shd w:val="clear" w:color="auto" w:fill="EAF1DD" w:themeFill="accent3" w:themeFillTint="33"/>
            <w:vAlign w:val="center"/>
            <w:hideMark/>
          </w:tcPr>
          <w:p w14:paraId="1B0DDF3D"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4</w:t>
            </w:r>
          </w:p>
        </w:tc>
        <w:tc>
          <w:tcPr>
            <w:tcW w:w="948" w:type="dxa"/>
            <w:shd w:val="clear" w:color="auto" w:fill="EAF1DD" w:themeFill="accent3" w:themeFillTint="33"/>
            <w:vAlign w:val="center"/>
            <w:hideMark/>
          </w:tcPr>
          <w:p w14:paraId="7E39DA42"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Año 5</w:t>
            </w:r>
          </w:p>
        </w:tc>
        <w:tc>
          <w:tcPr>
            <w:tcW w:w="863" w:type="dxa"/>
            <w:shd w:val="clear" w:color="auto" w:fill="EAF1DD" w:themeFill="accent3" w:themeFillTint="33"/>
            <w:vAlign w:val="center"/>
            <w:hideMark/>
          </w:tcPr>
          <w:p w14:paraId="0C771189" w14:textId="77777777" w:rsidR="000349BD" w:rsidRPr="006525AD" w:rsidRDefault="000349BD" w:rsidP="00605D38">
            <w:pPr>
              <w:jc w:val="center"/>
              <w:rPr>
                <w:rFonts w:ascii="Arial" w:hAnsi="Arial" w:cs="Arial"/>
                <w:b/>
                <w:bCs/>
                <w:sz w:val="16"/>
                <w:szCs w:val="16"/>
                <w:lang w:val="es-MX"/>
              </w:rPr>
            </w:pPr>
            <w:r w:rsidRPr="006525AD">
              <w:rPr>
                <w:rFonts w:ascii="Arial" w:hAnsi="Arial" w:cs="Arial"/>
                <w:b/>
                <w:bCs/>
                <w:sz w:val="16"/>
                <w:szCs w:val="16"/>
                <w:lang w:val="es-MX"/>
              </w:rPr>
              <w:t>Final del Proyecto</w:t>
            </w:r>
          </w:p>
        </w:tc>
      </w:tr>
      <w:tr w:rsidR="000349BD" w:rsidRPr="00EA3E77" w14:paraId="3DF9E7E1" w14:textId="77777777" w:rsidTr="00605D38">
        <w:trPr>
          <w:trHeight w:val="20"/>
          <w:jc w:val="center"/>
        </w:trPr>
        <w:tc>
          <w:tcPr>
            <w:tcW w:w="2133" w:type="dxa"/>
            <w:shd w:val="clear" w:color="auto" w:fill="auto"/>
            <w:vAlign w:val="center"/>
          </w:tcPr>
          <w:p w14:paraId="47FC27A4" w14:textId="77777777" w:rsidR="000349BD" w:rsidRPr="006525AD" w:rsidRDefault="000349BD" w:rsidP="00605D38">
            <w:pPr>
              <w:ind w:left="80"/>
              <w:rPr>
                <w:rFonts w:ascii="Arial" w:hAnsi="Arial" w:cs="Arial"/>
                <w:sz w:val="16"/>
                <w:szCs w:val="16"/>
                <w:lang w:val="es-MX"/>
              </w:rPr>
            </w:pPr>
            <w:r w:rsidRPr="006525AD">
              <w:rPr>
                <w:rFonts w:ascii="Arial" w:hAnsi="Arial" w:cs="Arial"/>
                <w:sz w:val="16"/>
                <w:szCs w:val="16"/>
                <w:lang w:val="es-MX"/>
              </w:rPr>
              <w:t>Participación de mujeres en las entidades a cargo de la gestión, operación y mantenimiento de servicios de agua y saneamiento</w:t>
            </w:r>
          </w:p>
          <w:p w14:paraId="2F8997D2" w14:textId="77777777" w:rsidR="000349BD" w:rsidRPr="006525AD" w:rsidRDefault="000349BD" w:rsidP="00605D38">
            <w:pPr>
              <w:rPr>
                <w:rFonts w:ascii="Arial" w:hAnsi="Arial" w:cs="Arial"/>
                <w:sz w:val="16"/>
                <w:szCs w:val="16"/>
                <w:lang w:val="es-MX"/>
              </w:rPr>
            </w:pPr>
          </w:p>
        </w:tc>
        <w:tc>
          <w:tcPr>
            <w:tcW w:w="856" w:type="dxa"/>
            <w:shd w:val="clear" w:color="auto" w:fill="auto"/>
            <w:vAlign w:val="center"/>
          </w:tcPr>
          <w:p w14:paraId="4C921394" w14:textId="77777777" w:rsidR="000349BD" w:rsidRPr="006525AD" w:rsidRDefault="000349BD" w:rsidP="00605D38">
            <w:pPr>
              <w:rPr>
                <w:rFonts w:ascii="Arial" w:hAnsi="Arial" w:cs="Arial"/>
                <w:sz w:val="16"/>
                <w:szCs w:val="16"/>
                <w:lang w:val="es-MX"/>
              </w:rPr>
            </w:pPr>
            <w:r w:rsidRPr="006525AD">
              <w:rPr>
                <w:rFonts w:ascii="Arial" w:hAnsi="Arial" w:cs="Arial"/>
                <w:sz w:val="16"/>
                <w:szCs w:val="16"/>
                <w:lang w:val="es-MX"/>
              </w:rPr>
              <w:t>(cantidad de mujeres/ cantidad total de empleados) x 100</w:t>
            </w:r>
          </w:p>
        </w:tc>
        <w:tc>
          <w:tcPr>
            <w:tcW w:w="880" w:type="dxa"/>
            <w:shd w:val="clear" w:color="auto" w:fill="FFFFFF" w:themeFill="background1"/>
            <w:vAlign w:val="center"/>
          </w:tcPr>
          <w:p w14:paraId="1B05E8C3" w14:textId="77777777" w:rsidR="000349BD" w:rsidRPr="006525AD" w:rsidRDefault="000349BD" w:rsidP="00605D38">
            <w:pPr>
              <w:jc w:val="center"/>
              <w:rPr>
                <w:rFonts w:ascii="Arial" w:hAnsi="Arial" w:cs="Arial"/>
                <w:sz w:val="16"/>
                <w:szCs w:val="16"/>
                <w:lang w:val="es-MX"/>
              </w:rPr>
            </w:pPr>
            <w:r w:rsidRPr="006525AD">
              <w:rPr>
                <w:rFonts w:ascii="Arial" w:hAnsi="Arial" w:cs="Arial"/>
                <w:sz w:val="16"/>
                <w:szCs w:val="16"/>
                <w:lang w:val="es-MX"/>
              </w:rPr>
              <w:t>10.5%</w:t>
            </w:r>
          </w:p>
        </w:tc>
        <w:tc>
          <w:tcPr>
            <w:tcW w:w="1110" w:type="dxa"/>
            <w:shd w:val="clear" w:color="auto" w:fill="FFFFFF" w:themeFill="background1"/>
            <w:vAlign w:val="center"/>
          </w:tcPr>
          <w:p w14:paraId="4CBF4C11" w14:textId="77777777" w:rsidR="000349BD" w:rsidRPr="006525AD" w:rsidRDefault="000349BD" w:rsidP="00605D38">
            <w:pPr>
              <w:jc w:val="center"/>
              <w:rPr>
                <w:rFonts w:ascii="Arial" w:hAnsi="Arial" w:cs="Arial"/>
                <w:sz w:val="16"/>
                <w:szCs w:val="16"/>
                <w:lang w:val="es-MX"/>
              </w:rPr>
            </w:pPr>
            <w:r w:rsidRPr="006525AD">
              <w:rPr>
                <w:rFonts w:ascii="Arial" w:hAnsi="Arial" w:cs="Arial"/>
                <w:sz w:val="16"/>
                <w:szCs w:val="16"/>
                <w:lang w:val="es-MX"/>
              </w:rPr>
              <w:t>2017</w:t>
            </w:r>
          </w:p>
        </w:tc>
        <w:tc>
          <w:tcPr>
            <w:tcW w:w="604" w:type="dxa"/>
            <w:shd w:val="clear" w:color="auto" w:fill="auto"/>
            <w:vAlign w:val="center"/>
          </w:tcPr>
          <w:p w14:paraId="61D61019" w14:textId="77777777" w:rsidR="000349BD" w:rsidRPr="006525AD" w:rsidRDefault="000349BD" w:rsidP="00605D38">
            <w:pPr>
              <w:jc w:val="center"/>
              <w:rPr>
                <w:rFonts w:ascii="Arial" w:hAnsi="Arial" w:cs="Arial"/>
                <w:sz w:val="16"/>
                <w:szCs w:val="16"/>
                <w:lang w:val="es-MX"/>
              </w:rPr>
            </w:pPr>
          </w:p>
        </w:tc>
        <w:tc>
          <w:tcPr>
            <w:tcW w:w="1208" w:type="dxa"/>
            <w:shd w:val="clear" w:color="auto" w:fill="auto"/>
            <w:vAlign w:val="center"/>
          </w:tcPr>
          <w:p w14:paraId="6C348CCF" w14:textId="77777777" w:rsidR="000349BD" w:rsidRPr="006525AD" w:rsidRDefault="000349BD" w:rsidP="00605D38">
            <w:pPr>
              <w:jc w:val="center"/>
              <w:rPr>
                <w:rFonts w:ascii="Arial" w:hAnsi="Arial" w:cs="Arial"/>
                <w:sz w:val="16"/>
                <w:szCs w:val="16"/>
                <w:lang w:val="es-MX"/>
              </w:rPr>
            </w:pPr>
          </w:p>
        </w:tc>
        <w:tc>
          <w:tcPr>
            <w:tcW w:w="504" w:type="dxa"/>
            <w:shd w:val="clear" w:color="auto" w:fill="auto"/>
            <w:vAlign w:val="center"/>
          </w:tcPr>
          <w:p w14:paraId="370AD976" w14:textId="77777777" w:rsidR="000349BD" w:rsidRPr="006525AD" w:rsidRDefault="000349BD" w:rsidP="00605D38">
            <w:pPr>
              <w:jc w:val="center"/>
              <w:rPr>
                <w:rFonts w:ascii="Arial" w:hAnsi="Arial" w:cs="Arial"/>
                <w:sz w:val="16"/>
                <w:szCs w:val="16"/>
                <w:lang w:val="es-MX"/>
              </w:rPr>
            </w:pPr>
          </w:p>
        </w:tc>
        <w:tc>
          <w:tcPr>
            <w:tcW w:w="764" w:type="dxa"/>
            <w:shd w:val="clear" w:color="auto" w:fill="auto"/>
            <w:vAlign w:val="center"/>
          </w:tcPr>
          <w:p w14:paraId="36454BE0" w14:textId="77777777" w:rsidR="000349BD" w:rsidRPr="006525AD" w:rsidRDefault="000349BD" w:rsidP="00605D38">
            <w:pPr>
              <w:jc w:val="center"/>
              <w:rPr>
                <w:rFonts w:ascii="Arial" w:hAnsi="Arial" w:cs="Arial"/>
                <w:sz w:val="16"/>
                <w:szCs w:val="16"/>
                <w:lang w:val="es-MX"/>
              </w:rPr>
            </w:pPr>
          </w:p>
        </w:tc>
        <w:tc>
          <w:tcPr>
            <w:tcW w:w="948" w:type="dxa"/>
            <w:shd w:val="clear" w:color="auto" w:fill="auto"/>
            <w:vAlign w:val="center"/>
          </w:tcPr>
          <w:p w14:paraId="1B7C9935" w14:textId="77777777" w:rsidR="000349BD" w:rsidRPr="006525AD" w:rsidRDefault="000349BD" w:rsidP="00605D38">
            <w:pPr>
              <w:jc w:val="center"/>
              <w:rPr>
                <w:rFonts w:ascii="Arial" w:hAnsi="Arial" w:cs="Arial"/>
                <w:sz w:val="16"/>
                <w:szCs w:val="16"/>
                <w:lang w:val="es-MX"/>
              </w:rPr>
            </w:pPr>
            <w:r w:rsidRPr="006525AD">
              <w:rPr>
                <w:rFonts w:ascii="Arial" w:hAnsi="Arial" w:cs="Arial"/>
                <w:sz w:val="16"/>
                <w:szCs w:val="16"/>
                <w:lang w:val="es-MX"/>
              </w:rPr>
              <w:t>25%</w:t>
            </w:r>
          </w:p>
        </w:tc>
        <w:tc>
          <w:tcPr>
            <w:tcW w:w="863" w:type="dxa"/>
            <w:shd w:val="clear" w:color="auto" w:fill="auto"/>
            <w:vAlign w:val="center"/>
          </w:tcPr>
          <w:p w14:paraId="160E4F03" w14:textId="77777777" w:rsidR="000349BD" w:rsidRPr="006525AD" w:rsidRDefault="000349BD" w:rsidP="00605D38">
            <w:pPr>
              <w:jc w:val="center"/>
              <w:rPr>
                <w:rFonts w:ascii="Arial" w:hAnsi="Arial" w:cs="Arial"/>
                <w:sz w:val="16"/>
                <w:szCs w:val="16"/>
                <w:lang w:val="es-MX"/>
              </w:rPr>
            </w:pPr>
            <w:r w:rsidRPr="006525AD">
              <w:rPr>
                <w:rFonts w:ascii="Arial" w:hAnsi="Arial" w:cs="Arial"/>
                <w:sz w:val="16"/>
                <w:szCs w:val="16"/>
                <w:lang w:val="es-MX"/>
              </w:rPr>
              <w:t>25%</w:t>
            </w:r>
          </w:p>
        </w:tc>
      </w:tr>
    </w:tbl>
    <w:p w14:paraId="374168A6" w14:textId="77777777" w:rsidR="000349BD" w:rsidRDefault="000349BD" w:rsidP="000349BD">
      <w:pPr>
        <w:ind w:left="30"/>
        <w:rPr>
          <w:rFonts w:ascii="Arial" w:hAnsi="Arial" w:cs="Arial"/>
          <w:sz w:val="16"/>
          <w:szCs w:val="16"/>
          <w:lang w:val="es-MX"/>
        </w:rPr>
      </w:pPr>
      <w:bookmarkStart w:id="14" w:name="_Hlk492388224"/>
    </w:p>
    <w:p w14:paraId="63586DD6" w14:textId="77777777" w:rsidR="000349BD" w:rsidRPr="000349BD" w:rsidRDefault="000349BD" w:rsidP="000349BD">
      <w:pPr>
        <w:pStyle w:val="Paragraph"/>
        <w:numPr>
          <w:ilvl w:val="1"/>
          <w:numId w:val="10"/>
        </w:numPr>
        <w:tabs>
          <w:tab w:val="clear" w:pos="2736"/>
          <w:tab w:val="num" w:pos="720"/>
        </w:tabs>
        <w:ind w:left="720" w:hanging="720"/>
        <w:rPr>
          <w:rFonts w:ascii="Arial" w:eastAsiaTheme="minorHAnsi" w:hAnsi="Arial" w:cs="Arial"/>
          <w:sz w:val="22"/>
        </w:rPr>
      </w:pPr>
      <w:r w:rsidRPr="000349BD">
        <w:rPr>
          <w:rFonts w:ascii="Arial" w:eastAsiaTheme="minorHAnsi" w:hAnsi="Arial" w:cs="Arial"/>
          <w:sz w:val="22"/>
        </w:rPr>
        <w:lastRenderedPageBreak/>
        <w:t>En ambos casos, la información será obtenida a través del Sistema de Información de Agua y Saneamiento Rural (SIASAR) y a través del Registros y Actas de Conformación de las entidades prestadoras de servicios de agua y saneamiento</w:t>
      </w:r>
      <w:bookmarkEnd w:id="14"/>
    </w:p>
    <w:p w14:paraId="60143489" w14:textId="77777777" w:rsidR="003773B8" w:rsidRPr="00FD39AD" w:rsidRDefault="003773B8" w:rsidP="003773B8">
      <w:pPr>
        <w:rPr>
          <w:rFonts w:ascii="Arial" w:hAnsi="Arial" w:cs="Arial"/>
          <w:sz w:val="22"/>
          <w:szCs w:val="22"/>
        </w:rPr>
      </w:pPr>
    </w:p>
    <w:p w14:paraId="0230453D" w14:textId="6769CF77" w:rsidR="00A5257D" w:rsidRPr="00FD39AD" w:rsidRDefault="004D0EEB" w:rsidP="00A5257D">
      <w:pPr>
        <w:pStyle w:val="Heading1"/>
        <w:jc w:val="left"/>
        <w:rPr>
          <w:rFonts w:ascii="Arial" w:hAnsi="Arial" w:cs="Arial"/>
          <w:smallCaps w:val="0"/>
          <w:sz w:val="22"/>
          <w:szCs w:val="22"/>
          <w:lang w:val="es-ES_tradnl"/>
        </w:rPr>
      </w:pPr>
      <w:r w:rsidRPr="00FD39AD">
        <w:rPr>
          <w:rFonts w:ascii="Arial" w:hAnsi="Arial" w:cs="Arial"/>
          <w:smallCaps w:val="0"/>
          <w:sz w:val="22"/>
          <w:szCs w:val="22"/>
          <w:lang w:val="es-ES_tradnl"/>
        </w:rPr>
        <w:t>ENFOQUE</w:t>
      </w:r>
      <w:r w:rsidR="00644D27" w:rsidRPr="00FD39AD">
        <w:rPr>
          <w:rFonts w:ascii="Arial" w:hAnsi="Arial" w:cs="Arial"/>
          <w:smallCaps w:val="0"/>
          <w:sz w:val="22"/>
          <w:szCs w:val="22"/>
          <w:lang w:val="es-ES_tradnl"/>
        </w:rPr>
        <w:t xml:space="preserve"> DE</w:t>
      </w:r>
      <w:r w:rsidRPr="00FD39AD">
        <w:rPr>
          <w:rFonts w:ascii="Arial" w:hAnsi="Arial" w:cs="Arial"/>
          <w:smallCaps w:val="0"/>
          <w:sz w:val="22"/>
          <w:szCs w:val="22"/>
          <w:lang w:val="es-ES_tradnl"/>
        </w:rPr>
        <w:t xml:space="preserve"> </w:t>
      </w:r>
      <w:r w:rsidR="00644D27" w:rsidRPr="00FD39AD">
        <w:rPr>
          <w:rFonts w:ascii="Arial" w:hAnsi="Arial" w:cs="Arial"/>
          <w:smallCaps w:val="0"/>
          <w:sz w:val="22"/>
          <w:szCs w:val="22"/>
          <w:lang w:val="es-ES_tradnl"/>
        </w:rPr>
        <w:t>INTERCULTURALIDAD</w:t>
      </w:r>
    </w:p>
    <w:p w14:paraId="10DCE3FE"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Según datos proyectados del Censo 2012</w:t>
      </w:r>
      <w:r w:rsidRPr="00FD39AD">
        <w:rPr>
          <w:rFonts w:ascii="Arial" w:eastAsiaTheme="minorHAnsi" w:hAnsi="Arial" w:cs="Arial"/>
          <w:sz w:val="22"/>
        </w:rPr>
        <w:footnoteReference w:id="11"/>
      </w:r>
      <w:r w:rsidRPr="00FD39AD">
        <w:rPr>
          <w:rFonts w:ascii="Arial" w:eastAsiaTheme="minorHAnsi" w:hAnsi="Arial" w:cs="Arial"/>
          <w:sz w:val="22"/>
        </w:rPr>
        <w:t xml:space="preserve">, Bolivia tiene una población de 3.2 millones en áreas rurales. Bolivia tiene un 41% de población indígena, de los cuales más de un 40% vive en el área rural. Las áreas rurales del país se caracterizan por sus altos índices de pobreza y rezago en el desarrollo. Existen importantes brechas de acceso a agua y saneamiento, como lo podemos evidenciar en los antecedentes de este proyecto. </w:t>
      </w:r>
    </w:p>
    <w:p w14:paraId="05234EE9"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Debido a que el programa incluirá a comunidades indígenas, principalmente en el área rural, es importante contar con un enfoque intercultural. En Latinoamérica existe una brecha en el nivel de desarrollo entre la población indígena y no indígena que ha sido ampliamente documentada y Bolivia no es la excepción</w:t>
      </w:r>
      <w:r w:rsidRPr="00FD39AD">
        <w:rPr>
          <w:rFonts w:ascii="Arial" w:eastAsiaTheme="minorHAnsi" w:hAnsi="Arial" w:cs="Arial"/>
          <w:sz w:val="22"/>
        </w:rPr>
        <w:footnoteReference w:id="12"/>
      </w:r>
      <w:r w:rsidRPr="00FD39AD">
        <w:rPr>
          <w:rFonts w:ascii="Arial" w:eastAsiaTheme="minorHAnsi" w:hAnsi="Arial" w:cs="Arial"/>
          <w:sz w:val="22"/>
        </w:rPr>
        <w:t>. Varios estudios documentan las barreras que los pueblos indígenas encuentran para acceder a los servicios básicos. Estas barreras se deben a la dispersión de la población en zonas rurales, a la deficiencia de la red vial, y a la falta de pertinencia cultural en la entrega de servicios sociales</w:t>
      </w:r>
      <w:r w:rsidRPr="00FD39AD">
        <w:rPr>
          <w:rFonts w:ascii="Arial" w:eastAsiaTheme="minorHAnsi" w:hAnsi="Arial" w:cs="Arial"/>
          <w:sz w:val="22"/>
        </w:rPr>
        <w:footnoteReference w:id="13"/>
      </w:r>
      <w:r w:rsidRPr="00FD39AD">
        <w:rPr>
          <w:rFonts w:ascii="Arial" w:eastAsiaTheme="minorHAnsi" w:hAnsi="Arial" w:cs="Arial"/>
          <w:sz w:val="22"/>
        </w:rPr>
        <w:t>. Cuando hablamos específicamente de los indicadores de cobertura y calidad de agua potable y saneamiento estos son inferiores para la población indígena en Bolivia. Según los datos de la Encuesta de Hogares del 2012 el 85.95% de la población no indígena cuenta con acceso adecuado a agua potable, mientras que solo un 57,81% de la población indígena cuenta con este acceso.</w:t>
      </w:r>
      <w:r w:rsidRPr="00FD39AD">
        <w:rPr>
          <w:rFonts w:ascii="Arial" w:eastAsiaTheme="minorHAnsi" w:hAnsi="Arial" w:cs="Arial"/>
          <w:sz w:val="22"/>
        </w:rPr>
        <w:footnoteReference w:id="14"/>
      </w:r>
      <w:r w:rsidRPr="00FD39AD">
        <w:rPr>
          <w:rFonts w:ascii="Arial" w:eastAsiaTheme="minorHAnsi" w:hAnsi="Arial" w:cs="Arial"/>
          <w:sz w:val="22"/>
        </w:rPr>
        <w:t xml:space="preserve"> </w:t>
      </w:r>
    </w:p>
    <w:p w14:paraId="3696FDA3"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Así mismo, en relación con los desafíos mencionados en el párrafo 1.3 del POD, relacionados con la sostenibilidad</w:t>
      </w:r>
      <w:r w:rsidRPr="00FD39AD">
        <w:rPr>
          <w:rFonts w:ascii="Arial" w:eastAsiaTheme="minorHAnsi" w:hAnsi="Arial" w:cs="Arial"/>
          <w:sz w:val="22"/>
        </w:rPr>
        <w:footnoteReference w:id="15"/>
      </w:r>
      <w:r w:rsidRPr="00FD39AD">
        <w:rPr>
          <w:rFonts w:ascii="Arial" w:eastAsiaTheme="minorHAnsi" w:hAnsi="Arial" w:cs="Arial"/>
          <w:sz w:val="22"/>
        </w:rPr>
        <w:t xml:space="preserve"> de los servicios, se menciona falta de mantenimiento y la capacidad en la EPSA para afrontar los problemas de manera adecuada en relación, por ejemplo, al uso adecuado de los baños ecológicos. Para el caso de comunidades indígenas, la involucración de la comunidad y autoridades indígenas como actores fiscalizadores y de auditoría social en todo el proceso de intervención es central para sostenibilidad de los servicios</w:t>
      </w:r>
      <w:r w:rsidRPr="00FD39AD">
        <w:rPr>
          <w:rFonts w:ascii="Arial" w:eastAsiaTheme="minorHAnsi" w:hAnsi="Arial" w:cs="Arial"/>
          <w:sz w:val="22"/>
        </w:rPr>
        <w:footnoteReference w:id="16"/>
      </w:r>
      <w:r w:rsidRPr="00FD39AD">
        <w:rPr>
          <w:rFonts w:ascii="Arial" w:eastAsiaTheme="minorHAnsi" w:hAnsi="Arial" w:cs="Arial"/>
          <w:sz w:val="22"/>
        </w:rPr>
        <w:t xml:space="preserve">. Así mismo contar con metodologías adecuadas para los procesos de capacitación y </w:t>
      </w:r>
      <w:r w:rsidRPr="00FD39AD">
        <w:rPr>
          <w:rFonts w:ascii="Arial" w:eastAsiaTheme="minorHAnsi" w:hAnsi="Arial" w:cs="Arial"/>
          <w:sz w:val="22"/>
        </w:rPr>
        <w:lastRenderedPageBreak/>
        <w:t>formación, no solo en el idioma nativo sino con materiales adecuados, asegurará un uso apropiado de las letrinas ecológicas</w:t>
      </w:r>
      <w:r w:rsidRPr="00FD39AD">
        <w:rPr>
          <w:rFonts w:ascii="Arial" w:eastAsiaTheme="minorHAnsi" w:hAnsi="Arial" w:cs="Arial"/>
          <w:sz w:val="22"/>
        </w:rPr>
        <w:footnoteReference w:id="17"/>
      </w:r>
      <w:r w:rsidRPr="00FD39AD">
        <w:rPr>
          <w:rFonts w:ascii="Arial" w:eastAsiaTheme="minorHAnsi" w:hAnsi="Arial" w:cs="Arial"/>
          <w:sz w:val="22"/>
        </w:rPr>
        <w:t xml:space="preserve">. </w:t>
      </w:r>
    </w:p>
    <w:p w14:paraId="598D2A82"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Para asegurar la pertinencia cultural del programa en las comunidades indígenas i) se investigará la cosmovisión de las comunidades sobre los conceptos de agua y saneamiento; ii) se asegurará el involucramiento y participación de las autoridades indígenas en todos los procesos; iii) se utilizará metodología e idioma apropiados para los procesos de capacitación y formación para la construcción y mantenimiento de infraestructuras de agua y saneamiento; iv) se capacitará a técnicos en temas de interculturalidad; y v) se buscará la participación comunitaria en la construcción de infraestructuras de agua y saneamiento.</w:t>
      </w:r>
    </w:p>
    <w:p w14:paraId="17A4A455"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Durante todas las fases del proyecto se tomará en cuenta los siguientes aspectos</w:t>
      </w:r>
      <w:r w:rsidRPr="00FD39AD">
        <w:rPr>
          <w:rFonts w:ascii="Arial" w:eastAsiaTheme="minorHAnsi" w:hAnsi="Arial" w:cs="Arial"/>
          <w:sz w:val="22"/>
        </w:rPr>
        <w:footnoteReference w:id="18"/>
      </w:r>
      <w:r w:rsidRPr="00FD39AD">
        <w:rPr>
          <w:rFonts w:ascii="Arial" w:eastAsiaTheme="minorHAnsi" w:hAnsi="Arial" w:cs="Arial"/>
          <w:sz w:val="22"/>
        </w:rPr>
        <w:t xml:space="preserve">: </w:t>
      </w:r>
    </w:p>
    <w:p w14:paraId="224101F6" w14:textId="77777777" w:rsidR="00F40891" w:rsidRPr="00FD39AD" w:rsidRDefault="00F40891" w:rsidP="00434744">
      <w:pPr>
        <w:pStyle w:val="Paragraph"/>
        <w:numPr>
          <w:ilvl w:val="1"/>
          <w:numId w:val="12"/>
        </w:numPr>
        <w:tabs>
          <w:tab w:val="clear" w:pos="2736"/>
        </w:tabs>
        <w:ind w:left="720" w:hanging="720"/>
        <w:rPr>
          <w:rFonts w:ascii="Arial" w:eastAsiaTheme="minorHAnsi" w:hAnsi="Arial" w:cs="Arial"/>
          <w:sz w:val="22"/>
        </w:rPr>
      </w:pPr>
      <w:r w:rsidRPr="00FD39AD">
        <w:rPr>
          <w:rFonts w:ascii="Arial" w:eastAsiaTheme="minorHAnsi" w:hAnsi="Arial" w:cs="Arial"/>
          <w:sz w:val="22"/>
        </w:rPr>
        <w:t>Se asegurará el involucramiento y participación de las autoridades indígenas en todos los procesos.</w:t>
      </w:r>
    </w:p>
    <w:p w14:paraId="32F4ECDF" w14:textId="77777777" w:rsidR="00F40891" w:rsidRPr="00FD39AD" w:rsidRDefault="00F40891" w:rsidP="00434744">
      <w:pPr>
        <w:pStyle w:val="Paragraph"/>
        <w:numPr>
          <w:ilvl w:val="1"/>
          <w:numId w:val="12"/>
        </w:numPr>
        <w:tabs>
          <w:tab w:val="clear" w:pos="2736"/>
        </w:tabs>
        <w:ind w:left="720" w:hanging="720"/>
        <w:rPr>
          <w:rFonts w:ascii="Arial" w:eastAsiaTheme="minorHAnsi" w:hAnsi="Arial" w:cs="Arial"/>
          <w:sz w:val="22"/>
        </w:rPr>
      </w:pPr>
      <w:r w:rsidRPr="00FD39AD">
        <w:rPr>
          <w:rFonts w:ascii="Arial" w:eastAsiaTheme="minorHAnsi" w:hAnsi="Arial" w:cs="Arial"/>
          <w:sz w:val="22"/>
        </w:rPr>
        <w:t>Se utilizará metodología en idioma local para reuniones y los procesos de capacitación y formación: Dado que son comunidades con una fuerte tradición oral y una baja escolaridad se recomienda tener materiales gráficos y explicaciones orales de fácil comprensión, se evitará usar terminología técnica y se adecuará materiales de acuerdo con la cultura de cada comunidad.</w:t>
      </w:r>
    </w:p>
    <w:p w14:paraId="792FEAD2" w14:textId="77777777" w:rsidR="00F40891" w:rsidRPr="00FD39AD" w:rsidRDefault="00F40891" w:rsidP="00434744">
      <w:pPr>
        <w:pStyle w:val="Paragraph"/>
        <w:numPr>
          <w:ilvl w:val="1"/>
          <w:numId w:val="12"/>
        </w:numPr>
        <w:tabs>
          <w:tab w:val="clear" w:pos="2736"/>
        </w:tabs>
        <w:ind w:left="720" w:hanging="720"/>
        <w:rPr>
          <w:rFonts w:ascii="Arial" w:eastAsiaTheme="minorHAnsi" w:hAnsi="Arial" w:cs="Arial"/>
          <w:sz w:val="22"/>
        </w:rPr>
      </w:pPr>
      <w:r w:rsidRPr="00FD39AD">
        <w:rPr>
          <w:rFonts w:ascii="Arial" w:eastAsiaTheme="minorHAnsi" w:hAnsi="Arial" w:cs="Arial"/>
          <w:sz w:val="22"/>
        </w:rPr>
        <w:t xml:space="preserve">Todas las intervenciones se adecuarán a los horarios y tiempos de cada comunidad (Ej.: Se tomará en cuenta el calendario agrícola y horarios más adecuados para mujeres) </w:t>
      </w:r>
    </w:p>
    <w:p w14:paraId="3E5062E4" w14:textId="77777777" w:rsidR="00F40891" w:rsidRPr="00FD39AD" w:rsidRDefault="00F40891" w:rsidP="00F40891">
      <w:pPr>
        <w:pStyle w:val="Paragraph"/>
        <w:tabs>
          <w:tab w:val="clear" w:pos="720"/>
        </w:tabs>
        <w:ind w:left="720" w:firstLine="0"/>
        <w:rPr>
          <w:rFonts w:ascii="Arial" w:eastAsiaTheme="minorHAnsi" w:hAnsi="Arial" w:cs="Arial"/>
          <w:sz w:val="22"/>
        </w:rPr>
      </w:pPr>
    </w:p>
    <w:p w14:paraId="2CEE8E2F"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Durante la etapa de pre-inversión: </w:t>
      </w:r>
    </w:p>
    <w:p w14:paraId="56D1743E"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 capacitará y sensibilizará a técnicos sobre temas de interculturalidad.</w:t>
      </w:r>
    </w:p>
    <w:p w14:paraId="3C656031"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 asegurará contar con técnicos que hablen el idioma local o contar con traductores (notar que son las mujeres y adultos mayores quienes tienen un menor manejo del español)</w:t>
      </w:r>
    </w:p>
    <w:p w14:paraId="18280056"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 utilizará metodología e idioma apropiados para los procesos de capacitación y formación</w:t>
      </w:r>
    </w:p>
    <w:p w14:paraId="51A19020"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 investigará la cosmovisión de las comunidades sobre los conceptos de agua y saneamiento y se decidirá con la comunidad los siguientes aspectos:</w:t>
      </w:r>
    </w:p>
    <w:p w14:paraId="3E22EDE6"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Si existe algún ritual de bendición u otro respecto al agua y fuentes de agua para asegurar respetar los mismos.</w:t>
      </w:r>
    </w:p>
    <w:p w14:paraId="5D0D54F6"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Distancia que las familias quieren que estén las letrinas (por temas culturales y de seguridad) dentro de los parámetros posibles en el proyecto.</w:t>
      </w:r>
    </w:p>
    <w:p w14:paraId="63815B59"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Colores (En el caso que las letrinas se pinten, verificar que colores son los que prefiere cada comunidad, ya que los colores tienen diferentes significados para las culturas)</w:t>
      </w:r>
    </w:p>
    <w:p w14:paraId="749A5A71"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lastRenderedPageBreak/>
        <w:t>Materiales: Acordar con la comunidad los materiales a usarse de acuerdo con su disponibilidad, clima, etc.</w:t>
      </w:r>
    </w:p>
    <w:p w14:paraId="608C9D94"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Durante la etapa de inversión: </w:t>
      </w:r>
    </w:p>
    <w:p w14:paraId="0D8632C6"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Se buscará la participación comunitaria en la construcción de infraestructuras de agua y saneamiento.</w:t>
      </w:r>
    </w:p>
    <w:p w14:paraId="466BA3B7" w14:textId="77777777" w:rsidR="00F40891" w:rsidRPr="00FD39AD" w:rsidRDefault="00F40891" w:rsidP="00F40891">
      <w:pPr>
        <w:pStyle w:val="Paragraph"/>
        <w:numPr>
          <w:ilvl w:val="1"/>
          <w:numId w:val="10"/>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 xml:space="preserve">Durante la etapa de post – inversión: </w:t>
      </w:r>
    </w:p>
    <w:p w14:paraId="2A74832A" w14:textId="77777777" w:rsidR="00F40891" w:rsidRPr="00FD39AD" w:rsidRDefault="00F40891" w:rsidP="00434744">
      <w:pPr>
        <w:pStyle w:val="Paragraph"/>
        <w:numPr>
          <w:ilvl w:val="1"/>
          <w:numId w:val="12"/>
        </w:numPr>
        <w:tabs>
          <w:tab w:val="clear" w:pos="2736"/>
          <w:tab w:val="num" w:pos="720"/>
        </w:tabs>
        <w:ind w:left="720" w:hanging="720"/>
        <w:rPr>
          <w:rFonts w:ascii="Arial" w:eastAsiaTheme="minorHAnsi" w:hAnsi="Arial" w:cs="Arial"/>
          <w:sz w:val="22"/>
        </w:rPr>
      </w:pPr>
      <w:r w:rsidRPr="00FD39AD">
        <w:rPr>
          <w:rFonts w:ascii="Arial" w:eastAsiaTheme="minorHAnsi" w:hAnsi="Arial" w:cs="Arial"/>
          <w:sz w:val="22"/>
        </w:rPr>
        <w:t>Durante esta fase los técnicos trabajaran con la comunidad coordinando con la EPSA en el correcto uso de sus nuevas soluciones de agua o saneamiento involucrando a las autoridades indígenas y a las familias.  Se recomienda realizar visitas domiciliarias y acompañamiento a cada familia, sobre todo en el uso y mantenimiento de los baños secos ecológicos. Es importante que los técnicos que realicen este trabajo hablen la lengua local y sean muy empáticos con las características y necesidades de las comunidades.</w:t>
      </w:r>
    </w:p>
    <w:p w14:paraId="52D8BA5F" w14:textId="77777777" w:rsidR="00644D27" w:rsidRPr="00FD39AD" w:rsidRDefault="00644D27" w:rsidP="00F40891">
      <w:pPr>
        <w:pStyle w:val="Paragraph"/>
        <w:tabs>
          <w:tab w:val="clear" w:pos="720"/>
        </w:tabs>
        <w:ind w:left="0" w:firstLine="0"/>
        <w:rPr>
          <w:rFonts w:ascii="Arial" w:eastAsiaTheme="minorHAnsi" w:hAnsi="Arial" w:cs="Arial"/>
          <w:sz w:val="22"/>
        </w:rPr>
      </w:pPr>
    </w:p>
    <w:p w14:paraId="6AF2714C" w14:textId="77777777" w:rsidR="006650D8" w:rsidRPr="00FD39AD" w:rsidRDefault="006650D8" w:rsidP="006650D8">
      <w:pPr>
        <w:spacing w:before="120" w:after="120"/>
        <w:jc w:val="both"/>
        <w:rPr>
          <w:rFonts w:ascii="Arial" w:hAnsi="Arial" w:cs="Arial"/>
          <w:sz w:val="22"/>
          <w:szCs w:val="22"/>
        </w:rPr>
      </w:pPr>
    </w:p>
    <w:p w14:paraId="71F17322" w14:textId="77777777" w:rsidR="006650D8" w:rsidRPr="00FD39AD" w:rsidRDefault="006650D8" w:rsidP="006650D8">
      <w:pPr>
        <w:spacing w:before="120" w:after="120"/>
        <w:jc w:val="both"/>
        <w:rPr>
          <w:rFonts w:ascii="Arial" w:hAnsi="Arial" w:cs="Arial"/>
          <w:sz w:val="22"/>
          <w:szCs w:val="22"/>
        </w:rPr>
      </w:pPr>
    </w:p>
    <w:sectPr w:rsidR="006650D8" w:rsidRPr="00FD39AD" w:rsidSect="007857D8">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4F84A" w14:textId="77777777" w:rsidR="00E633CA" w:rsidRDefault="00E633CA" w:rsidP="001B5186">
      <w:r>
        <w:separator/>
      </w:r>
    </w:p>
  </w:endnote>
  <w:endnote w:type="continuationSeparator" w:id="0">
    <w:p w14:paraId="1711A098" w14:textId="77777777" w:rsidR="00E633CA" w:rsidRDefault="00E633CA"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rmata Light">
    <w:altName w:val="Formata Ligh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580845"/>
      <w:docPartObj>
        <w:docPartGallery w:val="Page Numbers (Bottom of Page)"/>
        <w:docPartUnique/>
      </w:docPartObj>
    </w:sdtPr>
    <w:sdtEndPr>
      <w:rPr>
        <w:noProof/>
      </w:rPr>
    </w:sdtEndPr>
    <w:sdtContent>
      <w:p w14:paraId="31E162E0" w14:textId="4B4B75D7" w:rsidR="00012E57" w:rsidRDefault="00012E57">
        <w:pPr>
          <w:pStyle w:val="Footer"/>
          <w:jc w:val="right"/>
        </w:pPr>
        <w:r>
          <w:fldChar w:fldCharType="begin"/>
        </w:r>
        <w:r>
          <w:instrText xml:space="preserve"> PAGE   \* MERGEFORMAT </w:instrText>
        </w:r>
        <w:r>
          <w:fldChar w:fldCharType="separate"/>
        </w:r>
        <w:r w:rsidR="004608FC">
          <w:rPr>
            <w:noProof/>
          </w:rPr>
          <w:t>1</w:t>
        </w:r>
        <w:r>
          <w:rPr>
            <w:noProof/>
          </w:rPr>
          <w:fldChar w:fldCharType="end"/>
        </w:r>
      </w:p>
    </w:sdtContent>
  </w:sdt>
  <w:p w14:paraId="2E9B07C3" w14:textId="77777777" w:rsidR="00012E57" w:rsidRDefault="00012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85056" w14:textId="77777777" w:rsidR="00012E57" w:rsidRDefault="00012E57" w:rsidP="00785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BEF492" w14:textId="77777777" w:rsidR="00012E57" w:rsidRDefault="00012E57" w:rsidP="007857D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0CF7B" w14:textId="7EC08D62" w:rsidR="00012E57" w:rsidRDefault="00012E57" w:rsidP="00785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6633">
      <w:rPr>
        <w:rStyle w:val="PageNumber"/>
        <w:noProof/>
      </w:rPr>
      <w:t>11</w:t>
    </w:r>
    <w:r>
      <w:rPr>
        <w:rStyle w:val="PageNumber"/>
      </w:rPr>
      <w:fldChar w:fldCharType="end"/>
    </w:r>
  </w:p>
  <w:p w14:paraId="6C1493A6" w14:textId="77777777" w:rsidR="00012E57" w:rsidRDefault="00012E57" w:rsidP="007857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3599A" w14:textId="77777777" w:rsidR="00E633CA" w:rsidRDefault="00E633CA" w:rsidP="001B5186">
      <w:r>
        <w:separator/>
      </w:r>
    </w:p>
  </w:footnote>
  <w:footnote w:type="continuationSeparator" w:id="0">
    <w:p w14:paraId="13C80DD1" w14:textId="77777777" w:rsidR="00E633CA" w:rsidRDefault="00E633CA" w:rsidP="001B5186">
      <w:r>
        <w:continuationSeparator/>
      </w:r>
    </w:p>
  </w:footnote>
  <w:footnote w:id="1">
    <w:p w14:paraId="1ECC8059" w14:textId="77777777" w:rsidR="003773B8" w:rsidRPr="00C2558A" w:rsidRDefault="003773B8" w:rsidP="003773B8">
      <w:pPr>
        <w:pStyle w:val="FootnoteText"/>
        <w:rPr>
          <w:rFonts w:ascii="Arial" w:hAnsi="Arial" w:cs="Arial"/>
          <w:sz w:val="18"/>
          <w:szCs w:val="18"/>
        </w:rPr>
      </w:pPr>
      <w:r w:rsidRPr="00C2558A">
        <w:rPr>
          <w:rStyle w:val="FootnoteReference"/>
          <w:rFonts w:ascii="Arial" w:hAnsi="Arial" w:cs="Arial"/>
          <w:sz w:val="18"/>
          <w:szCs w:val="18"/>
        </w:rPr>
        <w:footnoteRef/>
      </w:r>
      <w:r w:rsidRPr="00C2558A">
        <w:rPr>
          <w:rFonts w:ascii="Arial" w:hAnsi="Arial" w:cs="Arial"/>
          <w:sz w:val="18"/>
          <w:szCs w:val="18"/>
        </w:rPr>
        <w:t xml:space="preserve"> CepalStat (2013).</w:t>
      </w:r>
    </w:p>
  </w:footnote>
  <w:footnote w:id="2">
    <w:p w14:paraId="26648FE1" w14:textId="77777777" w:rsidR="003773B8" w:rsidRDefault="003773B8" w:rsidP="003773B8">
      <w:pPr>
        <w:pStyle w:val="FootnoteText"/>
      </w:pPr>
      <w:r w:rsidRPr="00C2558A">
        <w:rPr>
          <w:rStyle w:val="FootnoteReference"/>
          <w:rFonts w:ascii="Arial" w:hAnsi="Arial" w:cs="Arial"/>
          <w:sz w:val="18"/>
          <w:szCs w:val="18"/>
        </w:rPr>
        <w:footnoteRef/>
      </w:r>
      <w:r w:rsidRPr="00C2558A">
        <w:rPr>
          <w:rFonts w:ascii="Arial" w:hAnsi="Arial" w:cs="Arial"/>
          <w:sz w:val="18"/>
          <w:szCs w:val="18"/>
        </w:rPr>
        <w:t xml:space="preserve"> UNICEF (2012). Agua, Saneamiento e Higiene en la Escuela. Fortalece la Educación de las Niñas Adolescentes en la zona rural de Cochabamba, Bolivia: Estudio del Manejo de la Higiene Menstrual en las Escuelas.</w:t>
      </w:r>
      <w:r w:rsidRPr="00577CC9">
        <w:rPr>
          <w:sz w:val="16"/>
          <w:szCs w:val="16"/>
        </w:rPr>
        <w:t xml:space="preserve"> </w:t>
      </w:r>
    </w:p>
  </w:footnote>
  <w:footnote w:id="3">
    <w:p w14:paraId="7AF07164" w14:textId="77777777" w:rsidR="003773B8" w:rsidRPr="007D5A85" w:rsidRDefault="003773B8" w:rsidP="003773B8">
      <w:pPr>
        <w:pStyle w:val="FootnoteText"/>
        <w:rPr>
          <w:rFonts w:ascii="Arial" w:hAnsi="Arial" w:cs="Arial"/>
          <w:sz w:val="18"/>
          <w:szCs w:val="18"/>
          <w:lang w:val="en-US"/>
        </w:rPr>
      </w:pPr>
      <w:r w:rsidRPr="00674461">
        <w:rPr>
          <w:rStyle w:val="FootnoteReference"/>
          <w:rFonts w:ascii="Arial" w:hAnsi="Arial" w:cs="Arial"/>
          <w:sz w:val="18"/>
          <w:szCs w:val="18"/>
        </w:rPr>
        <w:footnoteRef/>
      </w:r>
      <w:r w:rsidRPr="007D5A85">
        <w:rPr>
          <w:rFonts w:ascii="Arial" w:hAnsi="Arial" w:cs="Arial"/>
          <w:sz w:val="18"/>
          <w:szCs w:val="18"/>
          <w:lang w:val="en-US"/>
        </w:rPr>
        <w:t xml:space="preserve"> Ver: Narayan, Deepa (1995). The Contribution of People’s Participation: Evidence from 121 Rural Water </w:t>
      </w:r>
      <w:r w:rsidRPr="007D5A85">
        <w:rPr>
          <w:rFonts w:ascii="Arial" w:hAnsi="Arial" w:cs="Arial"/>
          <w:sz w:val="18"/>
          <w:szCs w:val="18"/>
          <w:lang w:val="en-US"/>
        </w:rPr>
        <w:t xml:space="preserve">Supplu Projects. World Bank; UNWater (2006). Gender, Water and Sanitation: Policy Brief; y Van Wijk-Sijbesma, Christine (1998). Gender in Water Resources Management, Water Supply and Sanitation: Roles and Realities Revisited. International Research Center for Water and Sanitation; </w:t>
      </w:r>
    </w:p>
  </w:footnote>
  <w:footnote w:id="4">
    <w:p w14:paraId="753B148B" w14:textId="77777777" w:rsidR="003773B8" w:rsidRPr="00014AAC" w:rsidRDefault="003773B8" w:rsidP="003773B8">
      <w:pPr>
        <w:pStyle w:val="Paragraph"/>
        <w:numPr>
          <w:ilvl w:val="1"/>
          <w:numId w:val="10"/>
        </w:numPr>
        <w:tabs>
          <w:tab w:val="clear" w:pos="2736"/>
          <w:tab w:val="num" w:pos="720"/>
        </w:tabs>
        <w:ind w:left="720" w:hanging="720"/>
        <w:rPr>
          <w:rFonts w:ascii="Arial" w:hAnsi="Arial" w:cs="Arial"/>
          <w:sz w:val="18"/>
          <w:szCs w:val="18"/>
          <w:lang w:val="en-US"/>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Van </w:t>
      </w:r>
      <w:r w:rsidRPr="007D5A85">
        <w:rPr>
          <w:rFonts w:ascii="Arial" w:hAnsi="Arial" w:cs="Arial"/>
          <w:sz w:val="18"/>
          <w:szCs w:val="18"/>
          <w:lang w:val="en-US"/>
        </w:rPr>
        <w:t xml:space="preserve">Wijk-Sijbesma, Christine (1998). Gender in Water Resources Management, Water Supply and Sanitation: Roles and Realities Revisited. </w:t>
      </w:r>
      <w:r w:rsidRPr="00014AAC">
        <w:rPr>
          <w:rFonts w:ascii="Arial" w:hAnsi="Arial" w:cs="Arial"/>
          <w:sz w:val="18"/>
          <w:szCs w:val="18"/>
          <w:lang w:val="en-US"/>
        </w:rPr>
        <w:t>International Research Center for Water and Sanitation</w:t>
      </w:r>
    </w:p>
  </w:footnote>
  <w:footnote w:id="5">
    <w:p w14:paraId="76900537" w14:textId="77777777" w:rsidR="003773B8" w:rsidRPr="007D5A85" w:rsidRDefault="003773B8" w:rsidP="003773B8">
      <w:pPr>
        <w:pStyle w:val="FootnoteText"/>
        <w:rPr>
          <w:rFonts w:ascii="Arial" w:hAnsi="Arial" w:cs="Arial"/>
          <w:sz w:val="18"/>
          <w:szCs w:val="18"/>
          <w:lang w:val="en-US"/>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George, Rose (2013). Celebrating Womanhood: How Better Menstrual Hygiene Management is the Path to Better Health, Dignity and Business. Water Supply and Sanitation Collaborative Council. </w:t>
      </w:r>
    </w:p>
  </w:footnote>
  <w:footnote w:id="6">
    <w:p w14:paraId="0E24FE67" w14:textId="77777777" w:rsidR="003773B8" w:rsidRPr="00B2468E" w:rsidRDefault="003773B8" w:rsidP="003773B8">
      <w:pPr>
        <w:pStyle w:val="FootnoteText"/>
        <w:rPr>
          <w:rFonts w:ascii="Arial" w:hAnsi="Arial" w:cs="Arial"/>
          <w:sz w:val="18"/>
          <w:szCs w:val="18"/>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OMS y UNICEF (2015). Progress on Sanitation and Drinking Water. </w:t>
      </w:r>
      <w:hyperlink r:id="rId1" w:history="1">
        <w:r w:rsidRPr="00B2468E">
          <w:rPr>
            <w:rStyle w:val="Hyperlink"/>
            <w:rFonts w:ascii="Arial" w:hAnsi="Arial" w:cs="Arial"/>
            <w:sz w:val="18"/>
            <w:szCs w:val="18"/>
          </w:rPr>
          <w:t>https://www.wssinfo.org/fileadmin/user_upload/resources/1278061137-JMP_report_2010_en.pdf</w:t>
        </w:r>
      </w:hyperlink>
      <w:r w:rsidRPr="00B2468E">
        <w:rPr>
          <w:rFonts w:ascii="Arial" w:hAnsi="Arial" w:cs="Arial"/>
          <w:sz w:val="18"/>
          <w:szCs w:val="18"/>
        </w:rPr>
        <w:t xml:space="preserve"> </w:t>
      </w:r>
    </w:p>
  </w:footnote>
  <w:footnote w:id="7">
    <w:p w14:paraId="3C406CCA" w14:textId="77777777" w:rsidR="003773B8" w:rsidRPr="002F2D35" w:rsidRDefault="003773B8" w:rsidP="003773B8">
      <w:pPr>
        <w:pStyle w:val="FootnoteText"/>
      </w:pPr>
      <w:r w:rsidRPr="00B2468E">
        <w:rPr>
          <w:rStyle w:val="FootnoteReference"/>
          <w:rFonts w:ascii="Arial" w:hAnsi="Arial" w:cs="Arial"/>
          <w:sz w:val="18"/>
          <w:szCs w:val="18"/>
        </w:rPr>
        <w:footnoteRef/>
      </w:r>
      <w:r w:rsidRPr="00D974F5">
        <w:rPr>
          <w:rFonts w:ascii="Arial" w:hAnsi="Arial" w:cs="Arial"/>
          <w:sz w:val="18"/>
          <w:szCs w:val="18"/>
        </w:rPr>
        <w:t xml:space="preserve"> Tal como tierra, periódicos, ropa </w:t>
      </w:r>
      <w:r w:rsidRPr="00B2468E">
        <w:rPr>
          <w:rFonts w:ascii="Arial" w:hAnsi="Arial" w:cs="Arial"/>
          <w:sz w:val="18"/>
          <w:szCs w:val="18"/>
        </w:rPr>
        <w:t>vieja, etc.</w:t>
      </w:r>
      <w:r w:rsidRPr="002F2D35">
        <w:t xml:space="preserve"> </w:t>
      </w:r>
    </w:p>
  </w:footnote>
  <w:footnote w:id="8">
    <w:p w14:paraId="0E9A6424" w14:textId="77777777" w:rsidR="003773B8" w:rsidRPr="007D5A85" w:rsidRDefault="003773B8" w:rsidP="003773B8">
      <w:pPr>
        <w:pStyle w:val="FootnoteText"/>
        <w:rPr>
          <w:rFonts w:ascii="Arial" w:hAnsi="Arial" w:cs="Arial"/>
          <w:sz w:val="18"/>
          <w:szCs w:val="18"/>
          <w:lang w:val="en-US"/>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George, Rose (2013). Celebrating Womanhood: How Better Menstrual Hygiene Management is the Path to Better Health, Dignity and Business. Water Supply and Sanitation Collaborative Council.</w:t>
      </w:r>
    </w:p>
  </w:footnote>
  <w:footnote w:id="9">
    <w:p w14:paraId="54007BFD" w14:textId="77777777" w:rsidR="003773B8" w:rsidRPr="007D5A85" w:rsidRDefault="003773B8" w:rsidP="003773B8">
      <w:pPr>
        <w:pStyle w:val="FootnoteText"/>
        <w:rPr>
          <w:rFonts w:ascii="Arial" w:hAnsi="Arial" w:cs="Arial"/>
          <w:sz w:val="18"/>
          <w:szCs w:val="18"/>
          <w:lang w:val="en-US"/>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George, Rose (2013). Celebrating Womanhood: How Better Menstrual Hygiene Management is the Path to Better Health, Dignity and Business. Water Supply and Sanitation Collaborative Council.</w:t>
      </w:r>
    </w:p>
  </w:footnote>
  <w:footnote w:id="10">
    <w:p w14:paraId="31A17A9E" w14:textId="77777777" w:rsidR="003773B8" w:rsidRPr="00D974F5" w:rsidRDefault="003773B8" w:rsidP="003773B8">
      <w:pPr>
        <w:pStyle w:val="FootnoteText"/>
        <w:rPr>
          <w:rFonts w:ascii="Arial" w:hAnsi="Arial" w:cs="Arial"/>
          <w:sz w:val="18"/>
          <w:szCs w:val="18"/>
        </w:rPr>
      </w:pPr>
      <w:r w:rsidRPr="00B2468E">
        <w:rPr>
          <w:rStyle w:val="FootnoteReference"/>
          <w:rFonts w:ascii="Arial" w:hAnsi="Arial" w:cs="Arial"/>
          <w:sz w:val="18"/>
          <w:szCs w:val="18"/>
        </w:rPr>
        <w:footnoteRef/>
      </w:r>
      <w:r w:rsidRPr="007D5A85">
        <w:rPr>
          <w:rFonts w:ascii="Arial" w:hAnsi="Arial" w:cs="Arial"/>
          <w:sz w:val="18"/>
          <w:szCs w:val="18"/>
          <w:lang w:val="en-US"/>
        </w:rPr>
        <w:t xml:space="preserve"> George, Rose (2013). Celebrating Womanhood: How Better Menstrual Hygiene Management is the Path to Better Health, Dignity and Business. </w:t>
      </w:r>
      <w:r w:rsidRPr="00D974F5">
        <w:rPr>
          <w:rFonts w:ascii="Arial" w:hAnsi="Arial" w:cs="Arial"/>
          <w:sz w:val="18"/>
          <w:szCs w:val="18"/>
        </w:rPr>
        <w:t>Water Supply and Sanitation Collaborative Council.</w:t>
      </w:r>
    </w:p>
  </w:footnote>
  <w:footnote w:id="11">
    <w:p w14:paraId="1AE9D3D8"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Censo Nacional de Vivienda y Población 2012, Instituto Nacional de Estadística de Bolivia.</w:t>
      </w:r>
    </w:p>
  </w:footnote>
  <w:footnote w:id="12">
    <w:p w14:paraId="1770D425" w14:textId="77777777" w:rsidR="00F40891" w:rsidRPr="00F40891" w:rsidRDefault="00F40891" w:rsidP="00F40891">
      <w:pPr>
        <w:rPr>
          <w:rFonts w:ascii="Arial" w:hAnsi="Arial" w:cs="Arial"/>
          <w:sz w:val="18"/>
          <w:szCs w:val="18"/>
          <w:lang w:val="en-US"/>
        </w:rPr>
      </w:pPr>
      <w:r w:rsidRPr="001E0343">
        <w:rPr>
          <w:rStyle w:val="FootnoteReference"/>
          <w:rFonts w:ascii="Arial" w:hAnsi="Arial" w:cs="Arial"/>
          <w:sz w:val="18"/>
          <w:szCs w:val="18"/>
        </w:rPr>
        <w:footnoteRef/>
      </w:r>
      <w:r w:rsidRPr="00F40891">
        <w:rPr>
          <w:rFonts w:ascii="Arial" w:hAnsi="Arial" w:cs="Arial"/>
          <w:sz w:val="18"/>
          <w:szCs w:val="18"/>
          <w:lang w:val="en-US"/>
        </w:rPr>
        <w:t xml:space="preserve"> The World Bank (2015). </w:t>
      </w:r>
      <w:r w:rsidRPr="00F40891">
        <w:rPr>
          <w:rFonts w:ascii="Arial" w:hAnsi="Arial" w:cs="Arial"/>
          <w:i/>
          <w:iCs/>
          <w:sz w:val="18"/>
          <w:szCs w:val="18"/>
          <w:lang w:val="en-US"/>
        </w:rPr>
        <w:t>Indigenous Latin America in the Twenty-First Century</w:t>
      </w:r>
      <w:r w:rsidRPr="00F40891">
        <w:rPr>
          <w:rFonts w:ascii="Arial" w:hAnsi="Arial" w:cs="Arial"/>
          <w:sz w:val="18"/>
          <w:szCs w:val="18"/>
          <w:lang w:val="en-US"/>
        </w:rPr>
        <w:t xml:space="preserve">. Washington DC: The World Bank; Hall, G. and H.A. </w:t>
      </w:r>
      <w:r w:rsidRPr="00F40891">
        <w:rPr>
          <w:rFonts w:ascii="Arial" w:hAnsi="Arial" w:cs="Arial"/>
          <w:sz w:val="18"/>
          <w:szCs w:val="18"/>
          <w:lang w:val="en-US"/>
        </w:rPr>
        <w:t xml:space="preserve">Patrinos (2006). </w:t>
      </w:r>
      <w:r w:rsidRPr="00F40891">
        <w:rPr>
          <w:rFonts w:ascii="Arial" w:hAnsi="Arial" w:cs="Arial"/>
          <w:i/>
          <w:iCs/>
          <w:sz w:val="18"/>
          <w:szCs w:val="18"/>
          <w:lang w:val="en-US"/>
        </w:rPr>
        <w:t xml:space="preserve">Indigenous Peoples, Poverty and Human Development in Latin America. London: Palgrave Macmillan; United Nations (2009) State of the World’s Indigenous Peoples. </w:t>
      </w:r>
      <w:r w:rsidRPr="00F40891">
        <w:rPr>
          <w:rFonts w:ascii="Arial" w:hAnsi="Arial" w:cs="Arial"/>
          <w:sz w:val="18"/>
          <w:szCs w:val="18"/>
          <w:lang w:val="en-US"/>
        </w:rPr>
        <w:t xml:space="preserve">http://www.un.org/esa/socdev/unpfii/documents/SOWIP/en/SOWIP_web.pdf)  </w:t>
      </w:r>
    </w:p>
  </w:footnote>
  <w:footnote w:id="13">
    <w:p w14:paraId="5E875EA4"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Programa de las Naciones Unidas para el Desarrollo (2014). Imaginando Un Futuro Común: Plan de Desarrollo Integral de los Pueblos Indígenas. Ciudad de Panamá. http://www.pa.undp.org/content/panama/es/home/library/poverty/sistematizacion-plan-desarrollo-indigena/  </w:t>
      </w:r>
    </w:p>
  </w:footnote>
  <w:footnote w:id="14">
    <w:p w14:paraId="0A469332"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Fuente: SFD GDI- Cálculo del BID basado en encuestas de hogares.</w:t>
      </w:r>
    </w:p>
  </w:footnote>
  <w:footnote w:id="15">
    <w:p w14:paraId="5089A1EE"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Soto B. </w:t>
      </w:r>
      <w:r w:rsidRPr="001E0343">
        <w:rPr>
          <w:rFonts w:ascii="Arial" w:hAnsi="Arial" w:cs="Arial"/>
          <w:sz w:val="18"/>
          <w:szCs w:val="18"/>
        </w:rPr>
        <w:t>MMAyA-AECID Evaluación de Medio Término Programa SAS PC. Septiembre 2016</w:t>
      </w:r>
    </w:p>
  </w:footnote>
  <w:footnote w:id="16">
    <w:p w14:paraId="4B160D37"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w:t>
      </w:r>
      <w:r w:rsidRPr="001E0343">
        <w:rPr>
          <w:rStyle w:val="A2"/>
          <w:rFonts w:ascii="Arial" w:hAnsi="Arial" w:cs="Arial"/>
          <w:sz w:val="18"/>
          <w:szCs w:val="18"/>
        </w:rPr>
        <w:t xml:space="preserve">Jiménez, A., </w:t>
      </w:r>
      <w:r w:rsidRPr="001E0343">
        <w:rPr>
          <w:rStyle w:val="A2"/>
          <w:rFonts w:ascii="Arial" w:hAnsi="Arial" w:cs="Arial"/>
          <w:sz w:val="18"/>
          <w:szCs w:val="18"/>
        </w:rPr>
        <w:t>Cortobius, M., Kjellén, M. 2014. Trabajando con pueblos indígenas en agua y saneamiento rural: Recomendaciones para un enfoque intercultural. Stockholm International Water Institute (SIWI), Estocolmo. www.watergovernance.org/documents/WGF/MDG-F/TTT/ Recomendaciones_enfoque_intercultural.pdf</w:t>
      </w:r>
    </w:p>
  </w:footnote>
  <w:footnote w:id="17">
    <w:p w14:paraId="2805C415" w14:textId="77777777" w:rsidR="00F40891" w:rsidRPr="009C35B4" w:rsidRDefault="00F40891" w:rsidP="00F40891">
      <w:pPr>
        <w:pStyle w:val="FootnoteText"/>
      </w:pPr>
      <w:r w:rsidRPr="001E0343">
        <w:rPr>
          <w:rStyle w:val="FootnoteReference"/>
          <w:rFonts w:ascii="Arial" w:hAnsi="Arial" w:cs="Arial"/>
          <w:sz w:val="18"/>
          <w:szCs w:val="18"/>
        </w:rPr>
        <w:footnoteRef/>
      </w:r>
      <w:r w:rsidRPr="001E0343">
        <w:rPr>
          <w:rFonts w:ascii="Arial" w:hAnsi="Arial" w:cs="Arial"/>
          <w:sz w:val="18"/>
          <w:szCs w:val="18"/>
        </w:rPr>
        <w:t xml:space="preserve"> Informe Estudio Antropológico y de Género adjunto como anexo</w:t>
      </w:r>
    </w:p>
  </w:footnote>
  <w:footnote w:id="18">
    <w:p w14:paraId="00402FF3" w14:textId="77777777" w:rsidR="00F40891" w:rsidRPr="001E0343" w:rsidRDefault="00F40891" w:rsidP="00F40891">
      <w:pPr>
        <w:pStyle w:val="FootnoteText"/>
        <w:rPr>
          <w:rFonts w:ascii="Arial" w:hAnsi="Arial" w:cs="Arial"/>
          <w:sz w:val="18"/>
          <w:szCs w:val="18"/>
        </w:rPr>
      </w:pPr>
      <w:r w:rsidRPr="001E0343">
        <w:rPr>
          <w:rStyle w:val="FootnoteReference"/>
          <w:rFonts w:ascii="Arial" w:hAnsi="Arial" w:cs="Arial"/>
          <w:sz w:val="18"/>
          <w:szCs w:val="18"/>
        </w:rPr>
        <w:footnoteRef/>
      </w:r>
      <w:r w:rsidRPr="001E0343">
        <w:rPr>
          <w:rFonts w:ascii="Arial" w:hAnsi="Arial" w:cs="Arial"/>
          <w:sz w:val="18"/>
          <w:szCs w:val="18"/>
        </w:rPr>
        <w:t xml:space="preserve"> Para más referencias leer Informe sobre estudio antropológico y de género realizado en 8 comunidades indígenas que acompaña este documento.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81E73"/>
    <w:multiLevelType w:val="multilevel"/>
    <w:tmpl w:val="F690A22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15:restartNumberingAfterBreak="0">
    <w:nsid w:val="359B4991"/>
    <w:multiLevelType w:val="multilevel"/>
    <w:tmpl w:val="74B0E8A2"/>
    <w:lvl w:ilvl="0">
      <w:start w:val="1"/>
      <w:numFmt w:val="upperRoman"/>
      <w:lvlRestart w:val="0"/>
      <w:lvlText w:val="%1."/>
      <w:lvlJc w:val="center"/>
      <w:pPr>
        <w:tabs>
          <w:tab w:val="num" w:pos="1368"/>
        </w:tabs>
        <w:ind w:left="720" w:firstLine="288"/>
      </w:pPr>
      <w:rPr>
        <w:rFonts w:hint="default"/>
        <w:b/>
        <w:i w:val="0"/>
      </w:rPr>
    </w:lvl>
    <w:lvl w:ilvl="1">
      <w:start w:val="5"/>
      <w:numFmt w:val="decimal"/>
      <w:lvlText w:val="3.%2"/>
      <w:lvlJc w:val="left"/>
      <w:pPr>
        <w:tabs>
          <w:tab w:val="num" w:pos="2016"/>
        </w:tabs>
        <w:ind w:left="2016" w:hanging="1296"/>
      </w:p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384A3F23"/>
    <w:multiLevelType w:val="multilevel"/>
    <w:tmpl w:val="A71685D6"/>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8" w15:restartNumberingAfterBreak="0">
    <w:nsid w:val="40611426"/>
    <w:multiLevelType w:val="hybridMultilevel"/>
    <w:tmpl w:val="B1ACA030"/>
    <w:lvl w:ilvl="0" w:tplc="C60087CC">
      <w:start w:val="1"/>
      <w:numFmt w:val="decimal"/>
      <w:lvlText w:val="1.%1"/>
      <w:lvlJc w:val="left"/>
      <w:pPr>
        <w:ind w:left="45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1"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2" w15:restartNumberingAfterBreak="0">
    <w:nsid w:val="778B4FAC"/>
    <w:multiLevelType w:val="multilevel"/>
    <w:tmpl w:val="603E87F0"/>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1"/>
  </w:num>
  <w:num w:numId="2">
    <w:abstractNumId w:val="4"/>
  </w:num>
  <w:num w:numId="3">
    <w:abstractNumId w:val="7"/>
  </w:num>
  <w:num w:numId="4">
    <w:abstractNumId w:val="2"/>
  </w:num>
  <w:num w:numId="5">
    <w:abstractNumId w:val="9"/>
  </w:num>
  <w:num w:numId="6">
    <w:abstractNumId w:val="10"/>
  </w:num>
  <w:num w:numId="7">
    <w:abstractNumId w:val="1"/>
  </w:num>
  <w:num w:numId="8">
    <w:abstractNumId w:val="6"/>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2"/>
  </w:num>
  <w:num w:numId="13">
    <w:abstractNumId w:val="3"/>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rawingGridHorizontalSpacing w:val="23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26E3"/>
    <w:rsid w:val="00011BF3"/>
    <w:rsid w:val="00012E57"/>
    <w:rsid w:val="0003465E"/>
    <w:rsid w:val="000349BD"/>
    <w:rsid w:val="00040682"/>
    <w:rsid w:val="00045BD7"/>
    <w:rsid w:val="00070411"/>
    <w:rsid w:val="000875D3"/>
    <w:rsid w:val="00090310"/>
    <w:rsid w:val="00091D7F"/>
    <w:rsid w:val="000E0DAF"/>
    <w:rsid w:val="000F61A7"/>
    <w:rsid w:val="00105AFA"/>
    <w:rsid w:val="00113E0A"/>
    <w:rsid w:val="00117D71"/>
    <w:rsid w:val="0012129F"/>
    <w:rsid w:val="001278E0"/>
    <w:rsid w:val="00127978"/>
    <w:rsid w:val="00132732"/>
    <w:rsid w:val="00175B27"/>
    <w:rsid w:val="00176A3C"/>
    <w:rsid w:val="001A24E9"/>
    <w:rsid w:val="001A722E"/>
    <w:rsid w:val="001B5186"/>
    <w:rsid w:val="002102A1"/>
    <w:rsid w:val="002113FE"/>
    <w:rsid w:val="00226F5D"/>
    <w:rsid w:val="00242313"/>
    <w:rsid w:val="002630C0"/>
    <w:rsid w:val="00273748"/>
    <w:rsid w:val="00274E5D"/>
    <w:rsid w:val="0028211A"/>
    <w:rsid w:val="0028281F"/>
    <w:rsid w:val="00286C85"/>
    <w:rsid w:val="0028764B"/>
    <w:rsid w:val="00296465"/>
    <w:rsid w:val="002B3214"/>
    <w:rsid w:val="00303D31"/>
    <w:rsid w:val="00313989"/>
    <w:rsid w:val="00331C18"/>
    <w:rsid w:val="00332D8A"/>
    <w:rsid w:val="003460DF"/>
    <w:rsid w:val="003773B8"/>
    <w:rsid w:val="003806CF"/>
    <w:rsid w:val="0038687F"/>
    <w:rsid w:val="00387144"/>
    <w:rsid w:val="003A340F"/>
    <w:rsid w:val="003A654F"/>
    <w:rsid w:val="003B6D39"/>
    <w:rsid w:val="003C2012"/>
    <w:rsid w:val="003D703B"/>
    <w:rsid w:val="003E73E0"/>
    <w:rsid w:val="003F74F5"/>
    <w:rsid w:val="003F7F0E"/>
    <w:rsid w:val="00413D24"/>
    <w:rsid w:val="00434744"/>
    <w:rsid w:val="00443126"/>
    <w:rsid w:val="00445CD8"/>
    <w:rsid w:val="004608FC"/>
    <w:rsid w:val="00472412"/>
    <w:rsid w:val="00473964"/>
    <w:rsid w:val="00477FDB"/>
    <w:rsid w:val="00482B6A"/>
    <w:rsid w:val="004868B9"/>
    <w:rsid w:val="00487959"/>
    <w:rsid w:val="004A07B9"/>
    <w:rsid w:val="004D0EEB"/>
    <w:rsid w:val="004E4D87"/>
    <w:rsid w:val="005052C1"/>
    <w:rsid w:val="00510700"/>
    <w:rsid w:val="005118EC"/>
    <w:rsid w:val="00524AFC"/>
    <w:rsid w:val="005258AC"/>
    <w:rsid w:val="0053706F"/>
    <w:rsid w:val="0055596E"/>
    <w:rsid w:val="00577381"/>
    <w:rsid w:val="005822D7"/>
    <w:rsid w:val="0058237A"/>
    <w:rsid w:val="00586D95"/>
    <w:rsid w:val="00586E83"/>
    <w:rsid w:val="005B1729"/>
    <w:rsid w:val="005B408E"/>
    <w:rsid w:val="005C49D2"/>
    <w:rsid w:val="005E4789"/>
    <w:rsid w:val="00605C3A"/>
    <w:rsid w:val="00606EA8"/>
    <w:rsid w:val="006219BA"/>
    <w:rsid w:val="00623F09"/>
    <w:rsid w:val="00624D4F"/>
    <w:rsid w:val="00640905"/>
    <w:rsid w:val="00644D27"/>
    <w:rsid w:val="00663CB7"/>
    <w:rsid w:val="006650D8"/>
    <w:rsid w:val="00673A5F"/>
    <w:rsid w:val="00690996"/>
    <w:rsid w:val="00691A13"/>
    <w:rsid w:val="006A08EC"/>
    <w:rsid w:val="006A261D"/>
    <w:rsid w:val="006A62F0"/>
    <w:rsid w:val="006A70B5"/>
    <w:rsid w:val="006B3BC4"/>
    <w:rsid w:val="006B4414"/>
    <w:rsid w:val="006C4E64"/>
    <w:rsid w:val="006E0DFD"/>
    <w:rsid w:val="006F2983"/>
    <w:rsid w:val="0070507C"/>
    <w:rsid w:val="0070639F"/>
    <w:rsid w:val="00711F34"/>
    <w:rsid w:val="007213AC"/>
    <w:rsid w:val="007230BB"/>
    <w:rsid w:val="00741EEF"/>
    <w:rsid w:val="007560B0"/>
    <w:rsid w:val="00756383"/>
    <w:rsid w:val="00765906"/>
    <w:rsid w:val="00784A21"/>
    <w:rsid w:val="007857D8"/>
    <w:rsid w:val="0079072D"/>
    <w:rsid w:val="00795BA5"/>
    <w:rsid w:val="0079675E"/>
    <w:rsid w:val="007B12A2"/>
    <w:rsid w:val="007D5069"/>
    <w:rsid w:val="007F7152"/>
    <w:rsid w:val="00814760"/>
    <w:rsid w:val="008241F9"/>
    <w:rsid w:val="00830548"/>
    <w:rsid w:val="008325F9"/>
    <w:rsid w:val="00835C70"/>
    <w:rsid w:val="0084288E"/>
    <w:rsid w:val="00842BE9"/>
    <w:rsid w:val="00843540"/>
    <w:rsid w:val="00850DF1"/>
    <w:rsid w:val="0085146C"/>
    <w:rsid w:val="0085730F"/>
    <w:rsid w:val="0086506C"/>
    <w:rsid w:val="00883580"/>
    <w:rsid w:val="008921E3"/>
    <w:rsid w:val="008D5873"/>
    <w:rsid w:val="008D6278"/>
    <w:rsid w:val="008F1107"/>
    <w:rsid w:val="00902AE1"/>
    <w:rsid w:val="009070F5"/>
    <w:rsid w:val="00937A7C"/>
    <w:rsid w:val="00964926"/>
    <w:rsid w:val="00971D6E"/>
    <w:rsid w:val="009879DE"/>
    <w:rsid w:val="009966F6"/>
    <w:rsid w:val="009D5D7C"/>
    <w:rsid w:val="009E62E2"/>
    <w:rsid w:val="009E6E4B"/>
    <w:rsid w:val="009F55E7"/>
    <w:rsid w:val="00A00DEC"/>
    <w:rsid w:val="00A030AF"/>
    <w:rsid w:val="00A0314E"/>
    <w:rsid w:val="00A05F1B"/>
    <w:rsid w:val="00A15385"/>
    <w:rsid w:val="00A24B53"/>
    <w:rsid w:val="00A25D79"/>
    <w:rsid w:val="00A358CC"/>
    <w:rsid w:val="00A36F7B"/>
    <w:rsid w:val="00A43DD3"/>
    <w:rsid w:val="00A5257D"/>
    <w:rsid w:val="00A6381D"/>
    <w:rsid w:val="00A65444"/>
    <w:rsid w:val="00A815FB"/>
    <w:rsid w:val="00A95B48"/>
    <w:rsid w:val="00AB4E2B"/>
    <w:rsid w:val="00AC689B"/>
    <w:rsid w:val="00AE2ACB"/>
    <w:rsid w:val="00AE6D30"/>
    <w:rsid w:val="00AF12E0"/>
    <w:rsid w:val="00B12667"/>
    <w:rsid w:val="00B26A46"/>
    <w:rsid w:val="00B52421"/>
    <w:rsid w:val="00B53984"/>
    <w:rsid w:val="00B72FF5"/>
    <w:rsid w:val="00B87A39"/>
    <w:rsid w:val="00B93C37"/>
    <w:rsid w:val="00BA0FEF"/>
    <w:rsid w:val="00BA7166"/>
    <w:rsid w:val="00BB6B19"/>
    <w:rsid w:val="00BD6C4D"/>
    <w:rsid w:val="00BE6100"/>
    <w:rsid w:val="00BF4A43"/>
    <w:rsid w:val="00C2372F"/>
    <w:rsid w:val="00C32A84"/>
    <w:rsid w:val="00C42E49"/>
    <w:rsid w:val="00C510A2"/>
    <w:rsid w:val="00C571AB"/>
    <w:rsid w:val="00C77564"/>
    <w:rsid w:val="00C907C4"/>
    <w:rsid w:val="00CA7A0E"/>
    <w:rsid w:val="00CB18D7"/>
    <w:rsid w:val="00CB7C7D"/>
    <w:rsid w:val="00CD2E6A"/>
    <w:rsid w:val="00CD387B"/>
    <w:rsid w:val="00CD50E1"/>
    <w:rsid w:val="00CD55B4"/>
    <w:rsid w:val="00CE6C25"/>
    <w:rsid w:val="00CF4827"/>
    <w:rsid w:val="00D01472"/>
    <w:rsid w:val="00D06FA6"/>
    <w:rsid w:val="00D12B65"/>
    <w:rsid w:val="00D140D0"/>
    <w:rsid w:val="00D40644"/>
    <w:rsid w:val="00D57DA4"/>
    <w:rsid w:val="00D66269"/>
    <w:rsid w:val="00D72B6A"/>
    <w:rsid w:val="00D81905"/>
    <w:rsid w:val="00DB06AB"/>
    <w:rsid w:val="00DC77ED"/>
    <w:rsid w:val="00DD2D6F"/>
    <w:rsid w:val="00DD4377"/>
    <w:rsid w:val="00DD6633"/>
    <w:rsid w:val="00DF2DCC"/>
    <w:rsid w:val="00DF52A1"/>
    <w:rsid w:val="00E012C6"/>
    <w:rsid w:val="00E11DDB"/>
    <w:rsid w:val="00E14C13"/>
    <w:rsid w:val="00E1513D"/>
    <w:rsid w:val="00E20996"/>
    <w:rsid w:val="00E21644"/>
    <w:rsid w:val="00E633CA"/>
    <w:rsid w:val="00E6514E"/>
    <w:rsid w:val="00E73760"/>
    <w:rsid w:val="00E91358"/>
    <w:rsid w:val="00E93D41"/>
    <w:rsid w:val="00EA2506"/>
    <w:rsid w:val="00EB0FA3"/>
    <w:rsid w:val="00EF31B3"/>
    <w:rsid w:val="00F15E71"/>
    <w:rsid w:val="00F16F97"/>
    <w:rsid w:val="00F238FE"/>
    <w:rsid w:val="00F243B6"/>
    <w:rsid w:val="00F30711"/>
    <w:rsid w:val="00F40891"/>
    <w:rsid w:val="00F56ABF"/>
    <w:rsid w:val="00F67E7D"/>
    <w:rsid w:val="00F9026D"/>
    <w:rsid w:val="00FA3DF1"/>
    <w:rsid w:val="00FD39AD"/>
    <w:rsid w:val="00FE445C"/>
    <w:rsid w:val="00FF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951CC"/>
  <w15:docId w15:val="{1A611217-F98F-4DD9-9CDC-BA7D765E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uiPriority="6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Geneva 9,Font: Geneva 9,Boston 10,f,Footnote Text Char1 Char,Footnote Text Char Char Char,Font,fn,single space,Footnote,text,Texto nota pie Car,Footnote Text Char Char,Texto nota piepddes Car Car,Texto nota piepddes Car Car Car,footnote,F"/>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Geneva 9 Char1,Font: Geneva 9 Char1,Boston 10 Char1,f Char1,Footnote Text Char1 Char Char1,Footnote Text Char Char Char Char1,Font Char1,fn Char1,single space Char1,Footnote Char1,text Char1,Texto nota pie Car Char1,footnote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Ref,de nota al pie,pie pddes,Ref. de nota al pie EDEP,FC,referencia nota al pie,Ref. de nota al pie.,Fußnotenzeichen DISS,16 Point,Superscript 6 Point,ftref,Style 24,titulo 2,(Ref. de nota al pie),Referência a notas de rodapé,BVI fnr"/>
    <w:basedOn w:val="DefaultParagraphFont"/>
    <w:uiPriority w:val="99"/>
    <w:qFormat/>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basedOn w:val="DefaultParagraphFont"/>
    <w:link w:val="Header"/>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customStyle="1" w:styleId="Annex">
    <w:name w:val="Annex"/>
    <w:basedOn w:val="Normal"/>
    <w:rsid w:val="00B93C37"/>
    <w:rPr>
      <w:caps/>
      <w:spacing w:val="0"/>
      <w:lang w:val="en-US"/>
    </w:rPr>
  </w:style>
  <w:style w:type="paragraph" w:styleId="EndnoteText">
    <w:name w:val="endnote text"/>
    <w:basedOn w:val="Normal"/>
    <w:link w:val="EndnoteTextChar"/>
    <w:rsid w:val="00D40644"/>
    <w:rPr>
      <w:spacing w:val="0"/>
      <w:sz w:val="20"/>
      <w:lang w:val="en-US"/>
    </w:rPr>
  </w:style>
  <w:style w:type="character" w:customStyle="1" w:styleId="EndnoteTextChar">
    <w:name w:val="Endnote Text Char"/>
    <w:basedOn w:val="DefaultParagraphFont"/>
    <w:link w:val="EndnoteText"/>
    <w:rsid w:val="00D40644"/>
    <w:rPr>
      <w:rFonts w:ascii="Times New Roman" w:eastAsia="Times New Roman" w:hAnsi="Times New Roman"/>
    </w:rPr>
  </w:style>
  <w:style w:type="character" w:styleId="EndnoteReference">
    <w:name w:val="endnote reference"/>
    <w:basedOn w:val="DefaultParagraphFont"/>
    <w:rsid w:val="00D40644"/>
    <w:rPr>
      <w:vertAlign w:val="superscript"/>
    </w:rPr>
  </w:style>
  <w:style w:type="paragraph" w:styleId="ListParagraph">
    <w:name w:val="List Paragraph"/>
    <w:aliases w:val="titulo 5"/>
    <w:basedOn w:val="Normal"/>
    <w:link w:val="ListParagraphChar"/>
    <w:uiPriority w:val="34"/>
    <w:qFormat/>
    <w:rsid w:val="00A815FB"/>
    <w:pPr>
      <w:ind w:left="720"/>
      <w:contextualSpacing/>
    </w:pPr>
  </w:style>
  <w:style w:type="table" w:customStyle="1" w:styleId="LightList-Accent11">
    <w:name w:val="Light List - Accent 11"/>
    <w:basedOn w:val="TableNormal"/>
    <w:uiPriority w:val="61"/>
    <w:rsid w:val="00A815FB"/>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FootnoteTextChar1">
    <w:name w:val="Footnote Text Char1"/>
    <w:aliases w:val="Geneva 9 Char,Font: Geneva 9 Char,Boston 10 Char,f Char,Footnote Text Char1 Char Char,Footnote Text Char Char Char Char,Font Char,fn Char,single space Char,Footnote Char,text Char,Texto nota pie Car Char,Footnote Text Char Char1"/>
    <w:basedOn w:val="DefaultParagraphFont"/>
    <w:uiPriority w:val="99"/>
    <w:rsid w:val="00765906"/>
    <w:rPr>
      <w:rFonts w:cs="Times New Roman"/>
      <w:lang w:val="en-US" w:eastAsia="en-US"/>
    </w:rPr>
  </w:style>
  <w:style w:type="paragraph" w:customStyle="1" w:styleId="Default">
    <w:name w:val="Default"/>
    <w:uiPriority w:val="99"/>
    <w:rsid w:val="00A24B53"/>
    <w:pPr>
      <w:autoSpaceDE w:val="0"/>
      <w:autoSpaceDN w:val="0"/>
      <w:adjustRightInd w:val="0"/>
    </w:pPr>
    <w:rPr>
      <w:rFonts w:cs="Calibri"/>
      <w:color w:val="000000"/>
      <w:sz w:val="24"/>
      <w:szCs w:val="24"/>
    </w:rPr>
  </w:style>
  <w:style w:type="paragraph" w:styleId="TOCHeading">
    <w:name w:val="TOC Heading"/>
    <w:basedOn w:val="Heading1"/>
    <w:next w:val="Normal"/>
    <w:uiPriority w:val="39"/>
    <w:unhideWhenUsed/>
    <w:qFormat/>
    <w:rsid w:val="002102A1"/>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styleId="BookTitle">
    <w:name w:val="Book Title"/>
    <w:basedOn w:val="DefaultParagraphFont"/>
    <w:qFormat/>
    <w:rsid w:val="002102A1"/>
    <w:rPr>
      <w:b/>
      <w:bCs/>
      <w:smallCaps/>
      <w:spacing w:val="5"/>
    </w:rPr>
  </w:style>
  <w:style w:type="character" w:styleId="Strong">
    <w:name w:val="Strong"/>
    <w:basedOn w:val="DefaultParagraphFont"/>
    <w:uiPriority w:val="22"/>
    <w:qFormat/>
    <w:rsid w:val="00524AFC"/>
    <w:rPr>
      <w:b/>
      <w:bCs/>
    </w:rPr>
  </w:style>
  <w:style w:type="character" w:customStyle="1" w:styleId="apple-converted-space">
    <w:name w:val="apple-converted-space"/>
    <w:basedOn w:val="DefaultParagraphFont"/>
    <w:rsid w:val="00524AFC"/>
  </w:style>
  <w:style w:type="character" w:customStyle="1" w:styleId="ListParagraphChar">
    <w:name w:val="List Paragraph Char"/>
    <w:aliases w:val="titulo 5 Char"/>
    <w:basedOn w:val="DefaultParagraphFont"/>
    <w:link w:val="ListParagraph"/>
    <w:uiPriority w:val="99"/>
    <w:rsid w:val="00B12667"/>
    <w:rPr>
      <w:rFonts w:ascii="Times New Roman" w:eastAsia="Times New Roman" w:hAnsi="Times New Roman"/>
      <w:spacing w:val="-3"/>
      <w:sz w:val="24"/>
      <w:lang w:val="es-ES_tradnl"/>
    </w:rPr>
  </w:style>
  <w:style w:type="paragraph" w:styleId="List3">
    <w:name w:val="List 3"/>
    <w:basedOn w:val="Normal"/>
    <w:uiPriority w:val="99"/>
    <w:unhideWhenUsed/>
    <w:rsid w:val="00B12667"/>
    <w:pPr>
      <w:spacing w:after="200" w:line="276" w:lineRule="auto"/>
      <w:ind w:left="849" w:hanging="283"/>
      <w:contextualSpacing/>
    </w:pPr>
    <w:rPr>
      <w:rFonts w:asciiTheme="minorHAnsi" w:eastAsiaTheme="minorEastAsia" w:hAnsiTheme="minorHAnsi" w:cstheme="minorBidi"/>
      <w:spacing w:val="0"/>
      <w:sz w:val="22"/>
      <w:szCs w:val="22"/>
      <w:lang w:val="es-ES" w:eastAsia="es-ES"/>
    </w:rPr>
  </w:style>
  <w:style w:type="character" w:customStyle="1" w:styleId="A2">
    <w:name w:val="A2"/>
    <w:uiPriority w:val="99"/>
    <w:rsid w:val="00F40891"/>
    <w:rPr>
      <w:rFonts w:cs="Format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8108">
      <w:bodyDiv w:val="1"/>
      <w:marLeft w:val="0"/>
      <w:marRight w:val="0"/>
      <w:marTop w:val="0"/>
      <w:marBottom w:val="0"/>
      <w:divBdr>
        <w:top w:val="none" w:sz="0" w:space="0" w:color="auto"/>
        <w:left w:val="none" w:sz="0" w:space="0" w:color="auto"/>
        <w:bottom w:val="none" w:sz="0" w:space="0" w:color="auto"/>
        <w:right w:val="none" w:sz="0" w:space="0" w:color="auto"/>
      </w:divBdr>
    </w:div>
    <w:div w:id="182285085">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250569">
      <w:bodyDiv w:val="1"/>
      <w:marLeft w:val="0"/>
      <w:marRight w:val="0"/>
      <w:marTop w:val="0"/>
      <w:marBottom w:val="0"/>
      <w:divBdr>
        <w:top w:val="none" w:sz="0" w:space="0" w:color="auto"/>
        <w:left w:val="none" w:sz="0" w:space="0" w:color="auto"/>
        <w:bottom w:val="none" w:sz="0" w:space="0" w:color="auto"/>
        <w:right w:val="none" w:sz="0" w:space="0" w:color="auto"/>
      </w:divBdr>
    </w:div>
    <w:div w:id="539979997">
      <w:bodyDiv w:val="1"/>
      <w:marLeft w:val="0"/>
      <w:marRight w:val="0"/>
      <w:marTop w:val="0"/>
      <w:marBottom w:val="0"/>
      <w:divBdr>
        <w:top w:val="none" w:sz="0" w:space="0" w:color="auto"/>
        <w:left w:val="none" w:sz="0" w:space="0" w:color="auto"/>
        <w:bottom w:val="none" w:sz="0" w:space="0" w:color="auto"/>
        <w:right w:val="none" w:sz="0" w:space="0" w:color="auto"/>
      </w:divBdr>
    </w:div>
    <w:div w:id="559363905">
      <w:bodyDiv w:val="1"/>
      <w:marLeft w:val="0"/>
      <w:marRight w:val="0"/>
      <w:marTop w:val="0"/>
      <w:marBottom w:val="0"/>
      <w:divBdr>
        <w:top w:val="none" w:sz="0" w:space="0" w:color="auto"/>
        <w:left w:val="none" w:sz="0" w:space="0" w:color="auto"/>
        <w:bottom w:val="none" w:sz="0" w:space="0" w:color="auto"/>
        <w:right w:val="none" w:sz="0" w:space="0" w:color="auto"/>
      </w:divBdr>
    </w:div>
    <w:div w:id="707492812">
      <w:bodyDiv w:val="1"/>
      <w:marLeft w:val="0"/>
      <w:marRight w:val="0"/>
      <w:marTop w:val="0"/>
      <w:marBottom w:val="0"/>
      <w:divBdr>
        <w:top w:val="none" w:sz="0" w:space="0" w:color="auto"/>
        <w:left w:val="none" w:sz="0" w:space="0" w:color="auto"/>
        <w:bottom w:val="none" w:sz="0" w:space="0" w:color="auto"/>
        <w:right w:val="none" w:sz="0" w:space="0" w:color="auto"/>
      </w:divBdr>
    </w:div>
    <w:div w:id="71508706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426187">
      <w:bodyDiv w:val="1"/>
      <w:marLeft w:val="0"/>
      <w:marRight w:val="0"/>
      <w:marTop w:val="0"/>
      <w:marBottom w:val="0"/>
      <w:divBdr>
        <w:top w:val="none" w:sz="0" w:space="0" w:color="auto"/>
        <w:left w:val="none" w:sz="0" w:space="0" w:color="auto"/>
        <w:bottom w:val="none" w:sz="0" w:space="0" w:color="auto"/>
        <w:right w:val="none" w:sz="0" w:space="0" w:color="auto"/>
      </w:divBdr>
    </w:div>
    <w:div w:id="1133865423">
      <w:bodyDiv w:val="1"/>
      <w:marLeft w:val="0"/>
      <w:marRight w:val="0"/>
      <w:marTop w:val="0"/>
      <w:marBottom w:val="0"/>
      <w:divBdr>
        <w:top w:val="none" w:sz="0" w:space="0" w:color="auto"/>
        <w:left w:val="none" w:sz="0" w:space="0" w:color="auto"/>
        <w:bottom w:val="none" w:sz="0" w:space="0" w:color="auto"/>
        <w:right w:val="none" w:sz="0" w:space="0" w:color="auto"/>
      </w:divBdr>
    </w:div>
    <w:div w:id="1196305900">
      <w:bodyDiv w:val="1"/>
      <w:marLeft w:val="0"/>
      <w:marRight w:val="0"/>
      <w:marTop w:val="0"/>
      <w:marBottom w:val="0"/>
      <w:divBdr>
        <w:top w:val="none" w:sz="0" w:space="0" w:color="auto"/>
        <w:left w:val="none" w:sz="0" w:space="0" w:color="auto"/>
        <w:bottom w:val="none" w:sz="0" w:space="0" w:color="auto"/>
        <w:right w:val="none" w:sz="0" w:space="0" w:color="auto"/>
      </w:divBdr>
    </w:div>
    <w:div w:id="1234268761">
      <w:bodyDiv w:val="1"/>
      <w:marLeft w:val="0"/>
      <w:marRight w:val="0"/>
      <w:marTop w:val="0"/>
      <w:marBottom w:val="0"/>
      <w:divBdr>
        <w:top w:val="none" w:sz="0" w:space="0" w:color="auto"/>
        <w:left w:val="none" w:sz="0" w:space="0" w:color="auto"/>
        <w:bottom w:val="none" w:sz="0" w:space="0" w:color="auto"/>
        <w:right w:val="none" w:sz="0" w:space="0" w:color="auto"/>
      </w:divBdr>
    </w:div>
    <w:div w:id="1256591650">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ssinfo.org/fileadmin/user_upload/resources/1278061137-JMP_report_2010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R0002809599</Record_x0020_Number>
    <_dlc_DocId xmlns="cdc7663a-08f0-4737-9e8c-148ce897a09c">EZSHARE-1404194580-68</_dlc_DocId>
    <_dlc_DocIdUrl xmlns="cdc7663a-08f0-4737-9e8c-148ce897a09c">
      <Url>https://idbg.sharepoint.com/teams/EZ-BO-LON/BO-L1184/_layouts/15/DocIdRedir.aspx?ID=EZSHARE-1404194580-68</Url>
      <Description>EZSHARE-1404194580-68</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16B1050-E5CD-4505-A514-5B3DF0C4BDD9}">
  <ds:schemaRefs>
    <ds:schemaRef ds:uri="http://schemas.microsoft.com/sharepoint/v3/contenttype/forms/url"/>
  </ds:schemaRefs>
</ds:datastoreItem>
</file>

<file path=customXml/itemProps2.xml><?xml version="1.0" encoding="utf-8"?>
<ds:datastoreItem xmlns:ds="http://schemas.openxmlformats.org/officeDocument/2006/customXml" ds:itemID="{64CC7F0C-3B43-45B8-B354-3D11D17C4955}"/>
</file>

<file path=customXml/itemProps3.xml><?xml version="1.0" encoding="utf-8"?>
<ds:datastoreItem xmlns:ds="http://schemas.openxmlformats.org/officeDocument/2006/customXml" ds:itemID="{C90114DE-C48B-4769-9B9B-2C2801B16050}"/>
</file>

<file path=customXml/itemProps4.xml><?xml version="1.0" encoding="utf-8"?>
<ds:datastoreItem xmlns:ds="http://schemas.openxmlformats.org/officeDocument/2006/customXml" ds:itemID="{857F2361-A006-4AD9-9919-125745BE345E}">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F20737E4-A3D3-4C28-9472-5039268C3201}">
  <ds:schemaRefs>
    <ds:schemaRef ds:uri="http://schemas.microsoft.com/sharepoint/v3/contenttype/forms"/>
  </ds:schemaRefs>
</ds:datastoreItem>
</file>

<file path=customXml/itemProps6.xml><?xml version="1.0" encoding="utf-8"?>
<ds:datastoreItem xmlns:ds="http://schemas.openxmlformats.org/officeDocument/2006/customXml" ds:itemID="{402396A6-F3AB-4930-92E6-B53B6578AEB9}">
  <ds:schemaRefs>
    <ds:schemaRef ds:uri="http://schemas.microsoft.com/sharepoint/events"/>
  </ds:schemaRefs>
</ds:datastoreItem>
</file>

<file path=customXml/itemProps7.xml><?xml version="1.0" encoding="utf-8"?>
<ds:datastoreItem xmlns:ds="http://schemas.openxmlformats.org/officeDocument/2006/customXml" ds:itemID="{19302A63-13A4-4D07-AD09-D2290C6BA6B6}">
  <ds:schemaRefs>
    <ds:schemaRef ds:uri="http://schemas.openxmlformats.org/officeDocument/2006/bibliography"/>
  </ds:schemaRefs>
</ds:datastoreItem>
</file>

<file path=customXml/itemProps8.xml><?xml version="1.0" encoding="utf-8"?>
<ds:datastoreItem xmlns:ds="http://schemas.openxmlformats.org/officeDocument/2006/customXml" ds:itemID="{EE505DA1-18F6-4BE5-97A9-05737E83098B}"/>
</file>

<file path=docProps/app.xml><?xml version="1.0" encoding="utf-8"?>
<Properties xmlns="http://schemas.openxmlformats.org/officeDocument/2006/extended-properties" xmlns:vt="http://schemas.openxmlformats.org/officeDocument/2006/docPropsVTypes">
  <Template>Normal</Template>
  <TotalTime>1330</TotalTime>
  <Pages>11</Pages>
  <Words>3560</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shakirahc</dc:creator>
  <cp:keywords/>
  <cp:lastModifiedBy>Lopez, Liliana M.</cp:lastModifiedBy>
  <cp:revision>22</cp:revision>
  <cp:lastPrinted>2011-02-10T22:46:00Z</cp:lastPrinted>
  <dcterms:created xsi:type="dcterms:W3CDTF">2017-08-16T21:29:00Z</dcterms:created>
  <dcterms:modified xsi:type="dcterms:W3CDTF">2018-10-02T21:18:00Z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49;#WATER SUPPLY RURAL AND PERI-URBAN|8436ee66-009e-4204-be28-64e6f6bf19fc</vt:lpwstr>
  </property>
  <property fmtid="{D5CDD505-2E9C-101B-9397-08002B2CF9AE}" pid="11" name="Fund IDB">
    <vt:lpwstr>29;#BLD|60acb4c1-0ef3-40ba-9d70-f741cd9e6c23</vt:lpwstr>
  </property>
  <property fmtid="{D5CDD505-2E9C-101B-9397-08002B2CF9AE}" pid="12" name="Country">
    <vt:lpwstr>26;#Bolivia|6445a937-aea4-4907-9f24-bff96a7c61c8</vt:lpwstr>
  </property>
  <property fmtid="{D5CDD505-2E9C-101B-9397-08002B2CF9AE}" pid="13" name="Sector IDB">
    <vt:lpwstr>39;#WATER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575901ad-3f47-43c0-acea-fa13f1405e1f</vt:lpwstr>
  </property>
  <property fmtid="{D5CDD505-2E9C-101B-9397-08002B2CF9AE}" pid="16" name="ContentTypeId">
    <vt:lpwstr>0x0101001A458A224826124E8B45B1D613300CFC00BEBF887E0EBEA344BB3AE022CBB82FE8</vt:lpwstr>
  </property>
</Properties>
</file>