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CD7" w:rsidRPr="00787ECC" w:rsidRDefault="00E12097" w:rsidP="00EA1B27">
      <w:pPr>
        <w:spacing w:after="0"/>
        <w:jc w:val="both"/>
        <w:rPr>
          <w:rFonts w:cs="Arial"/>
          <w:lang w:val="es-ES"/>
        </w:rPr>
      </w:pPr>
      <w:bookmarkStart w:id="0" w:name="_GoBack"/>
      <w:bookmarkEnd w:id="0"/>
      <w:r w:rsidRPr="00787ECC">
        <w:rPr>
          <w:rFonts w:cs="Arial"/>
          <w:noProof/>
          <w:lang w:val="en-US" w:eastAsia="en-US"/>
        </w:rPr>
        <w:drawing>
          <wp:inline distT="0" distB="0" distL="0" distR="0" wp14:anchorId="1B3A207A" wp14:editId="1FFCA7F0">
            <wp:extent cx="1987882" cy="75752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8799" cy="757874"/>
                    </a:xfrm>
                    <a:prstGeom prst="rect">
                      <a:avLst/>
                    </a:prstGeom>
                    <a:noFill/>
                    <a:ln>
                      <a:noFill/>
                    </a:ln>
                  </pic:spPr>
                </pic:pic>
              </a:graphicData>
            </a:graphic>
          </wp:inline>
        </w:drawing>
      </w:r>
    </w:p>
    <w:p w:rsidR="00E77CD7" w:rsidRPr="00787ECC" w:rsidRDefault="00E77CD7" w:rsidP="00EA1B27">
      <w:pPr>
        <w:spacing w:after="0"/>
        <w:jc w:val="both"/>
        <w:rPr>
          <w:rFonts w:cs="Arial"/>
          <w:lang w:val="es-ES"/>
        </w:rPr>
      </w:pPr>
    </w:p>
    <w:p w:rsidR="00E77CD7" w:rsidRPr="00787ECC" w:rsidRDefault="00E77CD7" w:rsidP="00EA1B27">
      <w:pPr>
        <w:spacing w:after="0"/>
        <w:jc w:val="both"/>
        <w:rPr>
          <w:rFonts w:cs="Arial"/>
          <w:lang w:val="es-ES"/>
        </w:rPr>
      </w:pPr>
      <w:r w:rsidRPr="00787ECC">
        <w:rPr>
          <w:rFonts w:cs="Arial"/>
          <w:lang w:val="es-ES"/>
        </w:rPr>
        <w:t xml:space="preserve">                        </w:t>
      </w:r>
    </w:p>
    <w:p w:rsidR="00E77CD7" w:rsidRPr="00787ECC" w:rsidRDefault="00E77CD7" w:rsidP="00EA1B27">
      <w:pPr>
        <w:spacing w:after="0"/>
        <w:jc w:val="both"/>
        <w:rPr>
          <w:rFonts w:cs="Arial"/>
          <w:lang w:val="es-ES"/>
        </w:rPr>
      </w:pPr>
    </w:p>
    <w:p w:rsidR="00E77CD7" w:rsidRPr="00787ECC" w:rsidRDefault="00E77CD7" w:rsidP="003B776F">
      <w:pPr>
        <w:spacing w:after="0"/>
        <w:jc w:val="center"/>
        <w:rPr>
          <w:rFonts w:cs="Arial"/>
          <w:lang w:val="es-ES"/>
        </w:rPr>
      </w:pPr>
    </w:p>
    <w:p w:rsidR="00E77CD7" w:rsidRPr="00787ECC" w:rsidRDefault="002F1C8C" w:rsidP="003B776F">
      <w:pPr>
        <w:spacing w:after="0"/>
        <w:jc w:val="center"/>
        <w:rPr>
          <w:rFonts w:cs="Arial"/>
          <w:b/>
          <w:lang w:val="es-ES"/>
        </w:rPr>
      </w:pPr>
      <w:r w:rsidRPr="00787ECC">
        <w:rPr>
          <w:rFonts w:cs="Arial"/>
          <w:b/>
          <w:lang w:val="es-ES"/>
        </w:rPr>
        <w:t>URUGUAY</w:t>
      </w:r>
    </w:p>
    <w:p w:rsidR="00E77CD7" w:rsidRPr="00787ECC" w:rsidRDefault="00E77CD7" w:rsidP="003B776F">
      <w:pPr>
        <w:spacing w:after="0"/>
        <w:jc w:val="center"/>
        <w:rPr>
          <w:rFonts w:cs="Arial"/>
          <w:b/>
          <w:lang w:val="es-ES"/>
        </w:rPr>
      </w:pPr>
    </w:p>
    <w:p w:rsidR="00E77CD7" w:rsidRPr="00787ECC" w:rsidRDefault="00E77CD7" w:rsidP="003B776F">
      <w:pPr>
        <w:spacing w:after="0"/>
        <w:jc w:val="center"/>
        <w:rPr>
          <w:rFonts w:cs="Arial"/>
          <w:b/>
          <w:lang w:val="es-ES"/>
        </w:rPr>
      </w:pPr>
    </w:p>
    <w:p w:rsidR="008963BA" w:rsidRPr="00787ECC" w:rsidRDefault="008963BA" w:rsidP="003B776F">
      <w:pPr>
        <w:spacing w:after="0"/>
        <w:jc w:val="center"/>
        <w:rPr>
          <w:rFonts w:cs="Arial"/>
          <w:b/>
          <w:lang w:val="es-ES"/>
        </w:rPr>
      </w:pPr>
    </w:p>
    <w:p w:rsidR="008963BA" w:rsidRPr="00787ECC" w:rsidRDefault="008963BA" w:rsidP="003B776F">
      <w:pPr>
        <w:spacing w:after="0"/>
        <w:jc w:val="center"/>
        <w:rPr>
          <w:rFonts w:cs="Arial"/>
          <w:b/>
          <w:lang w:val="es-ES"/>
        </w:rPr>
      </w:pPr>
    </w:p>
    <w:p w:rsidR="00E77CD7" w:rsidRPr="00787ECC" w:rsidRDefault="00E77CD7" w:rsidP="003B776F">
      <w:pPr>
        <w:spacing w:after="0"/>
        <w:jc w:val="center"/>
        <w:rPr>
          <w:rFonts w:cs="Arial"/>
          <w:b/>
          <w:lang w:val="es-ES"/>
        </w:rPr>
      </w:pPr>
    </w:p>
    <w:p w:rsidR="008F4C8D" w:rsidRPr="00787ECC" w:rsidRDefault="008F4C8D" w:rsidP="003B776F">
      <w:pPr>
        <w:tabs>
          <w:tab w:val="center" w:pos="4680"/>
        </w:tabs>
        <w:suppressAutoHyphens/>
        <w:spacing w:after="0"/>
        <w:jc w:val="center"/>
        <w:outlineLvl w:val="0"/>
        <w:rPr>
          <w:rFonts w:cs="Arial"/>
          <w:b/>
          <w:bCs/>
          <w:caps/>
          <w:spacing w:val="6"/>
          <w:lang w:val="es-ES"/>
        </w:rPr>
      </w:pPr>
      <w:r w:rsidRPr="00787ECC">
        <w:rPr>
          <w:rFonts w:cs="Arial"/>
          <w:b/>
          <w:smallCaps/>
          <w:sz w:val="28"/>
          <w:szCs w:val="28"/>
          <w:lang w:val="es-ES"/>
        </w:rPr>
        <w:t xml:space="preserve">Programa de Apoyo a la Educación Media y Técnica y a la Formación </w:t>
      </w:r>
      <w:r w:rsidR="006F6482">
        <w:rPr>
          <w:rFonts w:cs="Arial"/>
          <w:b/>
          <w:smallCaps/>
          <w:sz w:val="28"/>
          <w:szCs w:val="28"/>
          <w:lang w:val="es-ES"/>
        </w:rPr>
        <w:t>en Educación</w:t>
      </w:r>
      <w:r w:rsidRPr="00787ECC">
        <w:rPr>
          <w:rFonts w:cs="Arial"/>
          <w:b/>
          <w:smallCaps/>
          <w:sz w:val="28"/>
          <w:szCs w:val="28"/>
          <w:lang w:val="es-ES"/>
        </w:rPr>
        <w:t>: Hacia Trayectorias Educativas Continuas y Completas</w:t>
      </w:r>
    </w:p>
    <w:p w:rsidR="004A3DB7" w:rsidRPr="00787ECC" w:rsidRDefault="004A3DB7" w:rsidP="003B776F">
      <w:pPr>
        <w:tabs>
          <w:tab w:val="center" w:pos="4680"/>
        </w:tabs>
        <w:suppressAutoHyphens/>
        <w:spacing w:after="0"/>
        <w:jc w:val="center"/>
        <w:outlineLvl w:val="0"/>
        <w:rPr>
          <w:rFonts w:cs="Arial"/>
          <w:b/>
          <w:lang w:val="es-ES" w:eastAsia="es-ES"/>
        </w:rPr>
      </w:pPr>
    </w:p>
    <w:p w:rsidR="004A3DB7" w:rsidRPr="00787ECC" w:rsidRDefault="004A3DB7" w:rsidP="003B776F">
      <w:pPr>
        <w:tabs>
          <w:tab w:val="center" w:pos="4680"/>
        </w:tabs>
        <w:suppressAutoHyphens/>
        <w:spacing w:after="0"/>
        <w:jc w:val="center"/>
        <w:outlineLvl w:val="0"/>
        <w:rPr>
          <w:rFonts w:cs="Arial"/>
          <w:b/>
          <w:lang w:val="es-ES" w:eastAsia="es-ES"/>
        </w:rPr>
      </w:pPr>
    </w:p>
    <w:p w:rsidR="008963BA" w:rsidRPr="00787ECC" w:rsidRDefault="008963BA" w:rsidP="003B776F">
      <w:pPr>
        <w:tabs>
          <w:tab w:val="center" w:pos="4680"/>
        </w:tabs>
        <w:suppressAutoHyphens/>
        <w:spacing w:after="0"/>
        <w:jc w:val="center"/>
        <w:outlineLvl w:val="0"/>
        <w:rPr>
          <w:rFonts w:cs="Arial"/>
          <w:b/>
          <w:lang w:val="es-ES" w:eastAsia="es-ES"/>
        </w:rPr>
      </w:pPr>
    </w:p>
    <w:p w:rsidR="008963BA" w:rsidRPr="00787ECC" w:rsidRDefault="008963BA" w:rsidP="003B776F">
      <w:pPr>
        <w:tabs>
          <w:tab w:val="center" w:pos="4680"/>
        </w:tabs>
        <w:suppressAutoHyphens/>
        <w:spacing w:after="0"/>
        <w:jc w:val="center"/>
        <w:outlineLvl w:val="0"/>
        <w:rPr>
          <w:rFonts w:cs="Arial"/>
          <w:b/>
          <w:lang w:val="es-ES" w:eastAsia="es-ES"/>
        </w:rPr>
      </w:pPr>
    </w:p>
    <w:p w:rsidR="004A3DB7" w:rsidRPr="00787ECC" w:rsidRDefault="002F1C8C" w:rsidP="003B776F">
      <w:pPr>
        <w:tabs>
          <w:tab w:val="center" w:pos="4680"/>
        </w:tabs>
        <w:suppressAutoHyphens/>
        <w:spacing w:after="0"/>
        <w:jc w:val="center"/>
        <w:outlineLvl w:val="0"/>
        <w:rPr>
          <w:rFonts w:cs="Arial"/>
          <w:b/>
          <w:spacing w:val="-2"/>
          <w:lang w:val="es-ES"/>
        </w:rPr>
      </w:pPr>
      <w:bookmarkStart w:id="1" w:name="_Toc454878613"/>
      <w:bookmarkStart w:id="2" w:name="_Toc454878675"/>
      <w:bookmarkStart w:id="3" w:name="_Toc454878845"/>
      <w:bookmarkStart w:id="4" w:name="_Toc454878939"/>
      <w:r w:rsidRPr="00787ECC">
        <w:rPr>
          <w:rFonts w:cs="Arial"/>
          <w:b/>
          <w:lang w:val="es-ES" w:eastAsia="es-ES"/>
        </w:rPr>
        <w:t>U</w:t>
      </w:r>
      <w:r w:rsidR="004A3DB7" w:rsidRPr="00787ECC">
        <w:rPr>
          <w:rFonts w:cs="Arial"/>
          <w:b/>
          <w:lang w:val="es-ES" w:eastAsia="es-ES"/>
        </w:rPr>
        <w:t>R</w:t>
      </w:r>
      <w:r w:rsidR="0093364A" w:rsidRPr="00787ECC">
        <w:rPr>
          <w:rFonts w:cs="Arial"/>
          <w:b/>
          <w:lang w:val="es-ES" w:eastAsia="es-ES"/>
        </w:rPr>
        <w:t>-</w:t>
      </w:r>
      <w:r w:rsidR="00600254">
        <w:rPr>
          <w:rFonts w:cs="Arial"/>
          <w:b/>
          <w:lang w:val="es-ES" w:eastAsia="es-ES"/>
        </w:rPr>
        <w:t>L</w:t>
      </w:r>
      <w:r w:rsidRPr="00787ECC">
        <w:rPr>
          <w:rFonts w:cs="Arial"/>
          <w:b/>
          <w:lang w:val="es-ES" w:eastAsia="es-ES"/>
        </w:rPr>
        <w:t>1116</w:t>
      </w:r>
      <w:bookmarkEnd w:id="1"/>
      <w:bookmarkEnd w:id="2"/>
      <w:bookmarkEnd w:id="3"/>
      <w:bookmarkEnd w:id="4"/>
    </w:p>
    <w:p w:rsidR="00E77CD7" w:rsidRPr="00787ECC" w:rsidRDefault="00E77CD7" w:rsidP="003B776F">
      <w:pPr>
        <w:spacing w:after="0"/>
        <w:jc w:val="center"/>
        <w:rPr>
          <w:rFonts w:cs="Arial"/>
          <w:b/>
          <w:lang w:val="es-ES"/>
        </w:rPr>
      </w:pPr>
    </w:p>
    <w:p w:rsidR="009D3AF2" w:rsidRPr="00787ECC" w:rsidRDefault="009D3AF2" w:rsidP="003B776F">
      <w:pPr>
        <w:spacing w:after="0"/>
        <w:jc w:val="center"/>
        <w:rPr>
          <w:rFonts w:cs="Arial"/>
          <w:b/>
          <w:lang w:val="es-ES"/>
        </w:rPr>
      </w:pPr>
    </w:p>
    <w:p w:rsidR="00E77CD7" w:rsidRPr="00787ECC" w:rsidRDefault="00E77CD7" w:rsidP="003B776F">
      <w:pPr>
        <w:spacing w:after="0"/>
        <w:jc w:val="center"/>
        <w:rPr>
          <w:rFonts w:cs="Arial"/>
          <w:lang w:val="es-ES"/>
        </w:rPr>
      </w:pPr>
    </w:p>
    <w:p w:rsidR="00E77CD7" w:rsidRPr="00787ECC" w:rsidRDefault="00E77CD7" w:rsidP="003B776F">
      <w:pPr>
        <w:shd w:val="clear" w:color="auto" w:fill="E6E6E6"/>
        <w:spacing w:after="0"/>
        <w:jc w:val="center"/>
        <w:rPr>
          <w:rFonts w:cs="Arial"/>
          <w:lang w:val="es-ES"/>
        </w:rPr>
      </w:pPr>
    </w:p>
    <w:p w:rsidR="00DE3BE5" w:rsidRPr="00787ECC" w:rsidRDefault="00DE3BE5" w:rsidP="003B776F">
      <w:pPr>
        <w:shd w:val="clear" w:color="auto" w:fill="E6E6E6"/>
        <w:spacing w:after="0"/>
        <w:jc w:val="center"/>
        <w:rPr>
          <w:rFonts w:cs="Arial"/>
          <w:b/>
          <w:lang w:val="es-ES"/>
        </w:rPr>
      </w:pPr>
    </w:p>
    <w:p w:rsidR="00E77CD7" w:rsidRPr="00787ECC" w:rsidRDefault="002F1C8C" w:rsidP="003B776F">
      <w:pPr>
        <w:shd w:val="clear" w:color="auto" w:fill="E6E6E6"/>
        <w:spacing w:after="0"/>
        <w:jc w:val="center"/>
        <w:rPr>
          <w:rFonts w:cs="Arial"/>
          <w:b/>
          <w:lang w:val="es-ES"/>
        </w:rPr>
      </w:pPr>
      <w:r w:rsidRPr="00787ECC">
        <w:rPr>
          <w:rFonts w:cs="Arial"/>
          <w:b/>
          <w:lang w:val="es-ES"/>
        </w:rPr>
        <w:t xml:space="preserve">INFORME DE GESTIÓN AMBIENTAL Y </w:t>
      </w:r>
      <w:r w:rsidR="009325E4" w:rsidRPr="00787ECC">
        <w:rPr>
          <w:rFonts w:cs="Arial"/>
          <w:b/>
          <w:lang w:val="es-ES"/>
        </w:rPr>
        <w:t>SOCIAL</w:t>
      </w:r>
      <w:r w:rsidRPr="00787ECC">
        <w:rPr>
          <w:rFonts w:cs="Arial"/>
          <w:b/>
          <w:lang w:val="es-ES"/>
        </w:rPr>
        <w:t xml:space="preserve"> – I</w:t>
      </w:r>
      <w:r w:rsidR="005001F7" w:rsidRPr="00787ECC">
        <w:rPr>
          <w:rFonts w:cs="Arial"/>
          <w:b/>
          <w:lang w:val="es-ES"/>
        </w:rPr>
        <w:t>GAS</w:t>
      </w:r>
    </w:p>
    <w:p w:rsidR="00E77CD7" w:rsidRPr="00787ECC" w:rsidRDefault="00E77CD7" w:rsidP="003B776F">
      <w:pPr>
        <w:shd w:val="clear" w:color="auto" w:fill="E6E6E6"/>
        <w:spacing w:after="0"/>
        <w:jc w:val="center"/>
        <w:rPr>
          <w:rFonts w:cs="Arial"/>
          <w:b/>
          <w:lang w:val="es-ES"/>
        </w:rPr>
      </w:pPr>
    </w:p>
    <w:p w:rsidR="00E77CD7" w:rsidRPr="00787ECC" w:rsidRDefault="00E77CD7" w:rsidP="003B776F">
      <w:pPr>
        <w:shd w:val="clear" w:color="auto" w:fill="E6E6E6"/>
        <w:spacing w:after="0"/>
        <w:jc w:val="center"/>
        <w:rPr>
          <w:rFonts w:cs="Arial"/>
          <w:lang w:val="es-ES"/>
        </w:rPr>
      </w:pPr>
    </w:p>
    <w:p w:rsidR="00E77CD7" w:rsidRPr="00787ECC" w:rsidRDefault="00E77CD7" w:rsidP="003B776F">
      <w:pPr>
        <w:spacing w:after="0"/>
        <w:jc w:val="center"/>
        <w:rPr>
          <w:rFonts w:cs="Arial"/>
          <w:lang w:val="es-ES"/>
        </w:rPr>
      </w:pPr>
    </w:p>
    <w:p w:rsidR="00E77CD7" w:rsidRPr="00787ECC" w:rsidRDefault="00E77CD7" w:rsidP="003B776F">
      <w:pPr>
        <w:spacing w:after="0"/>
        <w:jc w:val="center"/>
        <w:rPr>
          <w:rFonts w:cs="Arial"/>
          <w:lang w:val="es-ES"/>
        </w:rPr>
      </w:pPr>
    </w:p>
    <w:p w:rsidR="00E77CD7" w:rsidRPr="00787ECC" w:rsidRDefault="002F1C8C" w:rsidP="003B776F">
      <w:pPr>
        <w:spacing w:after="0"/>
        <w:jc w:val="center"/>
        <w:rPr>
          <w:rFonts w:cs="Arial"/>
          <w:b/>
          <w:lang w:val="es-ES"/>
        </w:rPr>
      </w:pPr>
      <w:r w:rsidRPr="00787ECC">
        <w:rPr>
          <w:rFonts w:cs="Arial"/>
          <w:b/>
          <w:lang w:val="es-ES"/>
        </w:rPr>
        <w:t>JULIO de 2016</w:t>
      </w:r>
    </w:p>
    <w:p w:rsidR="00E77CD7" w:rsidRPr="00787ECC" w:rsidRDefault="00E77CD7" w:rsidP="003B776F">
      <w:pPr>
        <w:spacing w:after="0"/>
        <w:jc w:val="center"/>
        <w:rPr>
          <w:rFonts w:cs="Arial"/>
          <w:lang w:val="es-ES"/>
        </w:rPr>
      </w:pPr>
    </w:p>
    <w:p w:rsidR="00E77CD7" w:rsidRPr="00787ECC" w:rsidRDefault="00E77CD7" w:rsidP="00EA1B27">
      <w:pPr>
        <w:spacing w:after="0"/>
        <w:jc w:val="both"/>
        <w:rPr>
          <w:rFonts w:cs="Arial"/>
          <w:lang w:val="es-ES"/>
        </w:rPr>
      </w:pPr>
    </w:p>
    <w:p w:rsidR="00CC3D55" w:rsidRPr="00787ECC" w:rsidRDefault="00CC3D55" w:rsidP="00EA1B27">
      <w:pPr>
        <w:spacing w:after="0"/>
        <w:jc w:val="both"/>
        <w:rPr>
          <w:rFonts w:cs="Arial"/>
          <w:lang w:val="es-ES"/>
        </w:rPr>
      </w:pPr>
    </w:p>
    <w:p w:rsidR="00CC3D55" w:rsidRPr="00787ECC" w:rsidRDefault="00CC3D55" w:rsidP="00EA1B27">
      <w:pPr>
        <w:spacing w:after="0"/>
        <w:jc w:val="both"/>
        <w:rPr>
          <w:rFonts w:cs="Arial"/>
          <w:lang w:val="es-ES"/>
        </w:rPr>
      </w:pPr>
    </w:p>
    <w:p w:rsidR="00CC3D55" w:rsidRPr="00787ECC" w:rsidRDefault="00CC3D55" w:rsidP="00EA1B27">
      <w:pPr>
        <w:spacing w:after="0"/>
        <w:jc w:val="both"/>
        <w:rPr>
          <w:rFonts w:cs="Arial"/>
          <w:lang w:val="es-ES"/>
        </w:rPr>
      </w:pPr>
    </w:p>
    <w:p w:rsidR="00E77CD7" w:rsidRPr="00787ECC" w:rsidRDefault="00E77CD7" w:rsidP="00EA1B27">
      <w:pPr>
        <w:spacing w:after="0"/>
        <w:jc w:val="both"/>
        <w:rPr>
          <w:rFonts w:cs="Arial"/>
          <w:lang w:val="es-ES"/>
        </w:rPr>
      </w:pPr>
    </w:p>
    <w:tbl>
      <w:tblPr>
        <w:tblStyle w:val="TableGrid"/>
        <w:tblW w:w="0" w:type="auto"/>
        <w:tblLook w:val="04A0" w:firstRow="1" w:lastRow="0" w:firstColumn="1" w:lastColumn="0" w:noHBand="0" w:noVBand="1"/>
      </w:tblPr>
      <w:tblGrid>
        <w:gridCol w:w="9622"/>
      </w:tblGrid>
      <w:tr w:rsidR="00CC3D55" w:rsidRPr="00591349" w:rsidTr="00CC3D55">
        <w:tc>
          <w:tcPr>
            <w:tcW w:w="9906" w:type="dxa"/>
          </w:tcPr>
          <w:p w:rsidR="00CC3D55" w:rsidRPr="00787ECC" w:rsidRDefault="0055217D" w:rsidP="00EA1B27">
            <w:pPr>
              <w:jc w:val="both"/>
              <w:rPr>
                <w:rFonts w:cs="Arial"/>
                <w:sz w:val="22"/>
                <w:szCs w:val="22"/>
                <w:lang w:val="es-ES"/>
              </w:rPr>
            </w:pPr>
            <w:r w:rsidRPr="00787ECC">
              <w:rPr>
                <w:rFonts w:cs="Arial"/>
                <w:b/>
                <w:sz w:val="22"/>
                <w:szCs w:val="22"/>
                <w:lang w:val="es-ES"/>
              </w:rPr>
              <w:t>Equipo</w:t>
            </w:r>
            <w:r w:rsidR="002F1C8C" w:rsidRPr="00787ECC">
              <w:rPr>
                <w:rFonts w:cs="Arial"/>
                <w:b/>
                <w:sz w:val="22"/>
                <w:szCs w:val="22"/>
                <w:lang w:val="es-ES"/>
              </w:rPr>
              <w:t xml:space="preserve"> de Proy</w:t>
            </w:r>
            <w:r w:rsidR="00B001EB" w:rsidRPr="00787ECC">
              <w:rPr>
                <w:rFonts w:cs="Arial"/>
                <w:b/>
                <w:sz w:val="22"/>
                <w:szCs w:val="22"/>
                <w:lang w:val="es-ES"/>
              </w:rPr>
              <w:t>e</w:t>
            </w:r>
            <w:r w:rsidR="002F1C8C" w:rsidRPr="00787ECC">
              <w:rPr>
                <w:rFonts w:cs="Arial"/>
                <w:b/>
                <w:sz w:val="22"/>
                <w:szCs w:val="22"/>
                <w:lang w:val="es-ES"/>
              </w:rPr>
              <w:t>c</w:t>
            </w:r>
            <w:r w:rsidR="00B001EB" w:rsidRPr="00787ECC">
              <w:rPr>
                <w:rFonts w:cs="Arial"/>
                <w:b/>
                <w:sz w:val="22"/>
                <w:szCs w:val="22"/>
                <w:lang w:val="es-ES"/>
              </w:rPr>
              <w:t>to</w:t>
            </w:r>
            <w:r w:rsidR="00B001EB" w:rsidRPr="00787ECC">
              <w:rPr>
                <w:rFonts w:cs="Arial"/>
                <w:sz w:val="22"/>
                <w:szCs w:val="22"/>
                <w:lang w:val="es-ES"/>
              </w:rPr>
              <w:t xml:space="preserve">: </w:t>
            </w:r>
            <w:r w:rsidR="002F1C8C" w:rsidRPr="00787ECC">
              <w:rPr>
                <w:rFonts w:cs="Arial"/>
                <w:sz w:val="22"/>
                <w:szCs w:val="22"/>
                <w:lang w:val="es-ES"/>
              </w:rPr>
              <w:t>Marcelo Perez Alfaro (EDU/CUR), Jefe de Proyecto; Mariana Alfonso, Florencia Jaureguiberry y Livia Mueller (SCL/EDU); Analía Jaimovich (EDU/CCH); Andrea Bergamaschi (EDU/CME), Virginia Moreira (CSC/CUR); David Salazar (FMP/CUR); Guillermo Eschoyez (LEG/SGO).</w:t>
            </w:r>
          </w:p>
        </w:tc>
      </w:tr>
    </w:tbl>
    <w:p w:rsidR="00CC3D55" w:rsidRPr="00787ECC" w:rsidRDefault="00CC3D55" w:rsidP="00EA1B27">
      <w:pPr>
        <w:spacing w:after="0"/>
        <w:jc w:val="both"/>
        <w:rPr>
          <w:rFonts w:cs="Arial"/>
          <w:lang w:val="es-ES"/>
        </w:rPr>
        <w:sectPr w:rsidR="00CC3D55" w:rsidRPr="00787ECC" w:rsidSect="0048601F">
          <w:headerReference w:type="even" r:id="rId10"/>
          <w:headerReference w:type="default" r:id="rId11"/>
          <w:footerReference w:type="even" r:id="rId12"/>
          <w:footerReference w:type="default" r:id="rId13"/>
          <w:footerReference w:type="first" r:id="rId14"/>
          <w:pgSz w:w="12242" w:h="15842"/>
          <w:pgMar w:top="1418" w:right="1418" w:bottom="851" w:left="1418" w:header="567" w:footer="567" w:gutter="0"/>
          <w:pgNumType w:start="1"/>
          <w:cols w:space="708"/>
          <w:titlePg/>
        </w:sectPr>
      </w:pPr>
    </w:p>
    <w:p w:rsidR="00E61CB9" w:rsidRPr="00787ECC" w:rsidRDefault="00E61CB9" w:rsidP="00EA1B27">
      <w:pPr>
        <w:spacing w:after="0"/>
        <w:jc w:val="both"/>
        <w:rPr>
          <w:rFonts w:cs="Arial"/>
          <w:lang w:val="es-ES"/>
        </w:rPr>
      </w:pPr>
    </w:p>
    <w:sdt>
      <w:sdtPr>
        <w:rPr>
          <w:rFonts w:ascii="Arial" w:eastAsiaTheme="minorEastAsia" w:hAnsi="Arial" w:cs="Arial"/>
          <w:b w:val="0"/>
          <w:bCs w:val="0"/>
          <w:color w:val="auto"/>
          <w:sz w:val="24"/>
          <w:szCs w:val="24"/>
          <w:lang w:val="es-ES"/>
        </w:rPr>
        <w:id w:val="-1219051463"/>
        <w:docPartObj>
          <w:docPartGallery w:val="Table of Contents"/>
          <w:docPartUnique/>
        </w:docPartObj>
      </w:sdtPr>
      <w:sdtEndPr>
        <w:rPr>
          <w:highlight w:val="yellow"/>
        </w:rPr>
      </w:sdtEndPr>
      <w:sdtContent>
        <w:p w:rsidR="009011BF" w:rsidRPr="00787ECC" w:rsidRDefault="009011BF" w:rsidP="00EA4918">
          <w:pPr>
            <w:pStyle w:val="TOCHeading"/>
            <w:jc w:val="center"/>
            <w:rPr>
              <w:rFonts w:ascii="Arial" w:hAnsi="Arial" w:cs="Arial"/>
              <w:sz w:val="20"/>
              <w:szCs w:val="20"/>
              <w:lang w:val="es-ES"/>
            </w:rPr>
          </w:pPr>
          <w:r w:rsidRPr="00787ECC">
            <w:rPr>
              <w:rFonts w:ascii="Arial" w:hAnsi="Arial" w:cs="Arial"/>
              <w:lang w:val="es-ES"/>
            </w:rPr>
            <w:tab/>
          </w:r>
          <w:r w:rsidRPr="00787ECC">
            <w:rPr>
              <w:rFonts w:ascii="Arial" w:hAnsi="Arial" w:cs="Arial"/>
              <w:color w:val="000000" w:themeColor="text1"/>
              <w:sz w:val="24"/>
              <w:szCs w:val="24"/>
              <w:lang w:val="es-ES"/>
            </w:rPr>
            <w:t>INDICE</w:t>
          </w:r>
        </w:p>
        <w:p w:rsidR="00C0268E" w:rsidRPr="00787ECC" w:rsidRDefault="009011BF">
          <w:pPr>
            <w:pStyle w:val="TOC1"/>
            <w:rPr>
              <w:rFonts w:ascii="Arial" w:hAnsi="Arial" w:cs="Arial"/>
              <w:smallCaps w:val="0"/>
              <w:noProof/>
              <w:sz w:val="22"/>
              <w:szCs w:val="22"/>
              <w:lang w:val="es-ES" w:eastAsia="en-US"/>
            </w:rPr>
          </w:pPr>
          <w:r w:rsidRPr="00787ECC">
            <w:rPr>
              <w:rFonts w:ascii="Arial" w:hAnsi="Arial" w:cs="Arial"/>
              <w:sz w:val="20"/>
              <w:szCs w:val="20"/>
              <w:lang w:val="es-ES"/>
            </w:rPr>
            <w:fldChar w:fldCharType="begin"/>
          </w:r>
          <w:r w:rsidRPr="00787ECC">
            <w:rPr>
              <w:rFonts w:ascii="Arial" w:hAnsi="Arial" w:cs="Arial"/>
              <w:sz w:val="20"/>
              <w:szCs w:val="20"/>
              <w:lang w:val="es-ES"/>
            </w:rPr>
            <w:instrText xml:space="preserve"> TOC \o "1-3" \h \z \u </w:instrText>
          </w:r>
          <w:r w:rsidRPr="00787ECC">
            <w:rPr>
              <w:rFonts w:ascii="Arial" w:hAnsi="Arial" w:cs="Arial"/>
              <w:sz w:val="20"/>
              <w:szCs w:val="20"/>
              <w:lang w:val="es-ES"/>
            </w:rPr>
            <w:fldChar w:fldCharType="separate"/>
          </w:r>
          <w:hyperlink w:anchor="_Toc454878940" w:history="1">
            <w:r w:rsidR="00C0268E" w:rsidRPr="00787ECC">
              <w:rPr>
                <w:rStyle w:val="Hyperlink"/>
                <w:rFonts w:ascii="Arial" w:hAnsi="Arial" w:cs="Arial"/>
                <w:noProof/>
                <w:lang w:val="es-ES"/>
              </w:rPr>
              <w:t>I.</w:t>
            </w:r>
            <w:r w:rsidR="00C0268E" w:rsidRPr="00787ECC">
              <w:rPr>
                <w:rFonts w:ascii="Arial" w:hAnsi="Arial" w:cs="Arial"/>
                <w:smallCaps w:val="0"/>
                <w:noProof/>
                <w:sz w:val="22"/>
                <w:szCs w:val="22"/>
                <w:lang w:val="es-ES" w:eastAsia="en-US"/>
              </w:rPr>
              <w:tab/>
            </w:r>
            <w:r w:rsidR="00C0268E" w:rsidRPr="00787ECC">
              <w:rPr>
                <w:rStyle w:val="Hyperlink"/>
                <w:rFonts w:ascii="Arial" w:hAnsi="Arial" w:cs="Arial"/>
                <w:noProof/>
                <w:lang w:val="es-ES"/>
              </w:rPr>
              <w:t>INTRODUCCIÓN: antecedentes y justificación</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_Toc454878940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2</w:t>
            </w:r>
            <w:r w:rsidR="00C0268E" w:rsidRPr="00787ECC">
              <w:rPr>
                <w:rFonts w:ascii="Arial" w:hAnsi="Arial" w:cs="Arial"/>
                <w:noProof/>
                <w:webHidden/>
                <w:lang w:val="es-ES"/>
              </w:rPr>
              <w:fldChar w:fldCharType="end"/>
            </w:r>
          </w:hyperlink>
        </w:p>
        <w:p w:rsidR="00C0268E" w:rsidRPr="00787ECC" w:rsidRDefault="00591349">
          <w:pPr>
            <w:pStyle w:val="TOC1"/>
            <w:rPr>
              <w:rFonts w:ascii="Arial" w:hAnsi="Arial" w:cs="Arial"/>
              <w:smallCaps w:val="0"/>
              <w:noProof/>
              <w:sz w:val="22"/>
              <w:szCs w:val="22"/>
              <w:lang w:val="es-ES" w:eastAsia="en-US"/>
            </w:rPr>
          </w:pPr>
          <w:hyperlink w:anchor="_Toc454878943" w:history="1">
            <w:r w:rsidR="00C0268E" w:rsidRPr="00787ECC">
              <w:rPr>
                <w:rStyle w:val="Hyperlink"/>
                <w:rFonts w:ascii="Arial" w:hAnsi="Arial" w:cs="Arial"/>
                <w:noProof/>
                <w:lang w:val="es-ES"/>
              </w:rPr>
              <w:t>II.</w:t>
            </w:r>
            <w:r w:rsidR="00C0268E" w:rsidRPr="00787ECC">
              <w:rPr>
                <w:rFonts w:ascii="Arial" w:hAnsi="Arial" w:cs="Arial"/>
                <w:noProof/>
                <w:webHidden/>
                <w:lang w:val="es-ES"/>
              </w:rPr>
              <w:tab/>
            </w:r>
          </w:hyperlink>
          <w:hyperlink w:anchor="_Toc454878942" w:history="1">
            <w:r w:rsidR="00C0268E" w:rsidRPr="00787ECC">
              <w:rPr>
                <w:rStyle w:val="Hyperlink"/>
                <w:rFonts w:ascii="Arial" w:hAnsi="Arial" w:cs="Arial"/>
                <w:noProof/>
                <w:lang w:val="es-ES"/>
              </w:rPr>
              <w:t>DESCRIPCIÓN DEL PROGRAMA</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_Toc454878942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3</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44" w:history="1">
            <w:r w:rsidR="00C0268E" w:rsidRPr="00787ECC">
              <w:rPr>
                <w:rStyle w:val="Hyperlink"/>
                <w:rFonts w:ascii="Arial" w:hAnsi="Arial" w:cs="Arial"/>
                <w:noProof/>
                <w:lang w:val="es-ES"/>
              </w:rPr>
              <w:t>A.</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Descripción y objetivos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_Toc454878944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3</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45" w:history="1">
            <w:r w:rsidR="00C0268E" w:rsidRPr="00787ECC">
              <w:rPr>
                <w:rStyle w:val="Hyperlink"/>
                <w:rFonts w:ascii="Arial" w:hAnsi="Arial" w:cs="Arial"/>
                <w:noProof/>
                <w:lang w:val="es-ES"/>
              </w:rPr>
              <w:t>B.</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Componentes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_Toc454878945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3</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47" w:history="1">
            <w:r w:rsidR="00C0268E" w:rsidRPr="00787ECC">
              <w:rPr>
                <w:rStyle w:val="Hyperlink"/>
                <w:rFonts w:ascii="Arial" w:hAnsi="Arial" w:cs="Arial"/>
                <w:noProof/>
                <w:lang w:val="es-ES"/>
              </w:rPr>
              <w:t>C.</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Localización y caracterización de las obras del programa</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_Toc454878947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5</w:t>
            </w:r>
            <w:r w:rsidR="00C0268E" w:rsidRPr="00787ECC">
              <w:rPr>
                <w:rFonts w:ascii="Arial" w:hAnsi="Arial" w:cs="Arial"/>
                <w:noProof/>
                <w:webHidden/>
                <w:lang w:val="es-ES"/>
              </w:rPr>
              <w:fldChar w:fldCharType="end"/>
            </w:r>
          </w:hyperlink>
        </w:p>
        <w:p w:rsidR="00C0268E" w:rsidRPr="00787ECC" w:rsidRDefault="00591349">
          <w:pPr>
            <w:pStyle w:val="TOC3"/>
            <w:rPr>
              <w:rFonts w:ascii="Arial" w:hAnsi="Arial" w:cs="Arial"/>
              <w:noProof/>
              <w:sz w:val="22"/>
              <w:szCs w:val="22"/>
              <w:lang w:val="es-ES" w:eastAsia="en-US"/>
            </w:rPr>
          </w:pPr>
          <w:hyperlink w:anchor="_Toc454878948" w:history="1">
            <w:r w:rsidR="00C0268E" w:rsidRPr="00787ECC">
              <w:rPr>
                <w:rStyle w:val="Hyperlink"/>
                <w:rFonts w:ascii="Arial" w:hAnsi="Arial" w:cs="Arial"/>
                <w:noProof/>
                <w:lang w:val="es-ES"/>
              </w:rPr>
              <w:t>1.</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Listado de obras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_Toc454878948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5</w:t>
            </w:r>
            <w:r w:rsidR="00C0268E" w:rsidRPr="00787ECC">
              <w:rPr>
                <w:rFonts w:ascii="Arial" w:hAnsi="Arial" w:cs="Arial"/>
                <w:noProof/>
                <w:webHidden/>
                <w:lang w:val="es-ES"/>
              </w:rPr>
              <w:fldChar w:fldCharType="end"/>
            </w:r>
          </w:hyperlink>
        </w:p>
        <w:p w:rsidR="00C0268E" w:rsidRPr="00787ECC" w:rsidRDefault="00591349">
          <w:pPr>
            <w:pStyle w:val="TOC3"/>
            <w:rPr>
              <w:rFonts w:ascii="Arial" w:hAnsi="Arial" w:cs="Arial"/>
              <w:noProof/>
              <w:sz w:val="22"/>
              <w:szCs w:val="22"/>
              <w:lang w:val="es-ES" w:eastAsia="en-US"/>
            </w:rPr>
          </w:pPr>
          <w:hyperlink w:anchor="_Toc454878949" w:history="1">
            <w:r w:rsidR="00C0268E" w:rsidRPr="00787ECC">
              <w:rPr>
                <w:rStyle w:val="Hyperlink"/>
                <w:rFonts w:ascii="Arial" w:hAnsi="Arial" w:cs="Arial"/>
                <w:noProof/>
                <w:lang w:val="es-ES"/>
              </w:rPr>
              <w:t>2.</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Localización de las obras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_Toc454878949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6</w:t>
            </w:r>
            <w:r w:rsidR="00C0268E" w:rsidRPr="00787ECC">
              <w:rPr>
                <w:rFonts w:ascii="Arial" w:hAnsi="Arial" w:cs="Arial"/>
                <w:noProof/>
                <w:webHidden/>
                <w:lang w:val="es-ES"/>
              </w:rPr>
              <w:fldChar w:fldCharType="end"/>
            </w:r>
          </w:hyperlink>
        </w:p>
        <w:p w:rsidR="00C0268E" w:rsidRPr="00787ECC" w:rsidRDefault="00591349">
          <w:pPr>
            <w:pStyle w:val="TOC3"/>
            <w:rPr>
              <w:rFonts w:ascii="Arial" w:hAnsi="Arial" w:cs="Arial"/>
              <w:noProof/>
              <w:sz w:val="22"/>
              <w:szCs w:val="22"/>
              <w:lang w:val="es-ES" w:eastAsia="en-US"/>
            </w:rPr>
          </w:pPr>
          <w:hyperlink w:anchor="_Toc454878950" w:history="1">
            <w:r w:rsidR="00C0268E" w:rsidRPr="00787ECC">
              <w:rPr>
                <w:rStyle w:val="Hyperlink"/>
                <w:rFonts w:ascii="Arial" w:hAnsi="Arial" w:cs="Arial"/>
                <w:noProof/>
                <w:lang w:val="es-ES"/>
              </w:rPr>
              <w:t>3.</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Características de las obras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_Toc454878950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8</w:t>
            </w:r>
            <w:r w:rsidR="00C0268E" w:rsidRPr="00787ECC">
              <w:rPr>
                <w:rFonts w:ascii="Arial" w:hAnsi="Arial" w:cs="Arial"/>
                <w:noProof/>
                <w:webHidden/>
                <w:lang w:val="es-ES"/>
              </w:rPr>
              <w:fldChar w:fldCharType="end"/>
            </w:r>
          </w:hyperlink>
        </w:p>
        <w:p w:rsidR="00C0268E" w:rsidRPr="00787ECC" w:rsidRDefault="00591349">
          <w:pPr>
            <w:pStyle w:val="TOC1"/>
            <w:rPr>
              <w:rFonts w:ascii="Arial" w:hAnsi="Arial" w:cs="Arial"/>
              <w:smallCaps w:val="0"/>
              <w:noProof/>
              <w:sz w:val="22"/>
              <w:szCs w:val="22"/>
              <w:lang w:val="es-ES" w:eastAsia="en-US"/>
            </w:rPr>
          </w:pPr>
          <w:hyperlink w:anchor="_Toc454878954" w:history="1">
            <w:r w:rsidR="00C0268E" w:rsidRPr="00787ECC">
              <w:rPr>
                <w:rStyle w:val="Hyperlink"/>
                <w:rFonts w:ascii="Arial" w:hAnsi="Arial" w:cs="Arial"/>
                <w:noProof/>
                <w:lang w:val="es-ES"/>
              </w:rPr>
              <w:t>III.</w:t>
            </w:r>
            <w:r w:rsidR="00C0268E" w:rsidRPr="00787ECC">
              <w:rPr>
                <w:rFonts w:ascii="Arial" w:hAnsi="Arial" w:cs="Arial"/>
                <w:smallCaps w:val="0"/>
                <w:noProof/>
                <w:sz w:val="22"/>
                <w:szCs w:val="22"/>
                <w:lang w:val="es-ES" w:eastAsia="en-US"/>
              </w:rPr>
              <w:tab/>
            </w:r>
            <w:r w:rsidR="00C0268E" w:rsidRPr="00787ECC">
              <w:rPr>
                <w:rStyle w:val="Hyperlink"/>
                <w:rFonts w:ascii="Arial" w:hAnsi="Arial" w:cs="Arial"/>
                <w:noProof/>
                <w:lang w:val="es-ES"/>
              </w:rPr>
              <w:t>MARCO LEGAL E INSTITUCIONAL</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_Toc454878954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10</w:t>
            </w:r>
            <w:r w:rsidR="00C0268E" w:rsidRPr="00787ECC">
              <w:rPr>
                <w:rFonts w:ascii="Arial" w:hAnsi="Arial" w:cs="Arial"/>
                <w:noProof/>
                <w:webHidden/>
                <w:lang w:val="es-ES"/>
              </w:rPr>
              <w:fldChar w:fldCharType="end"/>
            </w:r>
          </w:hyperlink>
        </w:p>
        <w:p w:rsidR="00C0268E" w:rsidRPr="00787ECC" w:rsidRDefault="00591349">
          <w:pPr>
            <w:pStyle w:val="TOC1"/>
            <w:rPr>
              <w:rFonts w:ascii="Arial" w:hAnsi="Arial" w:cs="Arial"/>
              <w:smallCaps w:val="0"/>
              <w:noProof/>
              <w:sz w:val="22"/>
              <w:szCs w:val="22"/>
              <w:lang w:val="es-ES" w:eastAsia="en-US"/>
            </w:rPr>
          </w:pPr>
          <w:hyperlink w:anchor="_Toc454878958" w:history="1">
            <w:r w:rsidR="00C0268E" w:rsidRPr="00787ECC">
              <w:rPr>
                <w:rStyle w:val="Hyperlink"/>
                <w:rFonts w:ascii="Arial" w:hAnsi="Arial" w:cs="Arial"/>
                <w:noProof/>
                <w:lang w:val="es-ES"/>
              </w:rPr>
              <w:t>IV.</w:t>
            </w:r>
            <w:r w:rsidR="00C0268E" w:rsidRPr="00787ECC">
              <w:rPr>
                <w:rFonts w:ascii="Arial" w:hAnsi="Arial" w:cs="Arial"/>
                <w:smallCaps w:val="0"/>
                <w:noProof/>
                <w:sz w:val="22"/>
                <w:szCs w:val="22"/>
                <w:lang w:val="es-ES" w:eastAsia="en-US"/>
              </w:rPr>
              <w:tab/>
            </w:r>
            <w:r w:rsidR="00C0268E" w:rsidRPr="00787ECC">
              <w:rPr>
                <w:rStyle w:val="Hyperlink"/>
                <w:rFonts w:ascii="Arial" w:hAnsi="Arial" w:cs="Arial"/>
                <w:noProof/>
                <w:lang w:val="es-ES"/>
              </w:rPr>
              <w:t>IMPACTOS Y RIESGOS AMBIENTALES Y SOCIALES Y MITIGACIÓN</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_Toc454878958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11</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59" w:history="1">
            <w:r w:rsidR="00C0268E" w:rsidRPr="00787ECC">
              <w:rPr>
                <w:rStyle w:val="Hyperlink"/>
                <w:rFonts w:ascii="Arial" w:hAnsi="Arial" w:cs="Arial"/>
                <w:noProof/>
                <w:lang w:val="es-ES"/>
              </w:rPr>
              <w:t>A.</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Resumen de impactos ambientales y sociales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_Toc454878959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11</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61" w:history="1">
            <w:r w:rsidR="00C0268E" w:rsidRPr="00787ECC">
              <w:rPr>
                <w:rStyle w:val="Hyperlink"/>
                <w:rFonts w:ascii="Arial" w:hAnsi="Arial" w:cs="Arial"/>
                <w:noProof/>
                <w:lang w:val="es-ES"/>
              </w:rPr>
              <w:t>B.</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Impactos y riesgos ambientales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_Toc454878961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11</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62" w:history="1">
            <w:r w:rsidR="00C0268E" w:rsidRPr="00787ECC">
              <w:rPr>
                <w:rStyle w:val="Hyperlink"/>
                <w:rFonts w:ascii="Arial" w:hAnsi="Arial" w:cs="Arial"/>
                <w:noProof/>
                <w:lang w:val="es-ES"/>
              </w:rPr>
              <w:t>C.</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Impactos ambientales y sociales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_Toc454878962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12</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63" w:history="1">
            <w:r w:rsidR="00C0268E" w:rsidRPr="00787ECC">
              <w:rPr>
                <w:rStyle w:val="Hyperlink"/>
                <w:rFonts w:ascii="Arial" w:hAnsi="Arial" w:cs="Arial"/>
                <w:noProof/>
                <w:lang w:val="es-ES"/>
              </w:rPr>
              <w:t>D.</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Consistencia con políticas y directrices del BID</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_Toc454878963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12</w:t>
            </w:r>
            <w:r w:rsidR="00C0268E" w:rsidRPr="00787ECC">
              <w:rPr>
                <w:rFonts w:ascii="Arial" w:hAnsi="Arial" w:cs="Arial"/>
                <w:noProof/>
                <w:webHidden/>
                <w:lang w:val="es-ES"/>
              </w:rPr>
              <w:fldChar w:fldCharType="end"/>
            </w:r>
          </w:hyperlink>
        </w:p>
        <w:p w:rsidR="00C0268E" w:rsidRPr="00787ECC" w:rsidRDefault="00591349">
          <w:pPr>
            <w:pStyle w:val="TOC1"/>
            <w:rPr>
              <w:rFonts w:ascii="Arial" w:hAnsi="Arial" w:cs="Arial"/>
              <w:smallCaps w:val="0"/>
              <w:noProof/>
              <w:sz w:val="22"/>
              <w:szCs w:val="22"/>
              <w:lang w:val="es-ES" w:eastAsia="en-US"/>
            </w:rPr>
          </w:pPr>
          <w:hyperlink w:anchor="_Toc454878976" w:history="1">
            <w:r w:rsidR="00C0268E" w:rsidRPr="00787ECC">
              <w:rPr>
                <w:rStyle w:val="Hyperlink"/>
                <w:rFonts w:ascii="Arial" w:hAnsi="Arial" w:cs="Arial"/>
                <w:noProof/>
                <w:lang w:val="es-ES"/>
              </w:rPr>
              <w:t>V.</w:t>
            </w:r>
            <w:r w:rsidR="00C0268E" w:rsidRPr="00787ECC">
              <w:rPr>
                <w:rFonts w:ascii="Arial" w:hAnsi="Arial" w:cs="Arial"/>
                <w:smallCaps w:val="0"/>
                <w:noProof/>
                <w:sz w:val="22"/>
                <w:szCs w:val="22"/>
                <w:lang w:val="es-ES" w:eastAsia="en-US"/>
              </w:rPr>
              <w:tab/>
            </w:r>
            <w:r w:rsidR="00C0268E" w:rsidRPr="00787ECC">
              <w:rPr>
                <w:rStyle w:val="Hyperlink"/>
                <w:rFonts w:ascii="Arial" w:hAnsi="Arial" w:cs="Arial"/>
                <w:noProof/>
                <w:lang w:val="es-ES"/>
              </w:rPr>
              <w:t>MANEJO Y MONITOREO DE IMPACTOS Y RIESGOS AMBIENTALES Y SOCIALES</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_Toc454878976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15</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78" w:history="1">
            <w:r w:rsidR="00C0268E" w:rsidRPr="00787ECC">
              <w:rPr>
                <w:rStyle w:val="Hyperlink"/>
                <w:rFonts w:ascii="Arial" w:hAnsi="Arial" w:cs="Arial"/>
                <w:noProof/>
                <w:lang w:val="es-ES"/>
              </w:rPr>
              <w:t>A.</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Plan de gestión ambiental y social</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_Toc454878978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b/>
                <w:bCs/>
                <w:noProof/>
                <w:webHidden/>
                <w:lang w:val="es-ES"/>
              </w:rPr>
              <w:t>Error! Bookmark not defined.</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80" w:history="1">
            <w:r w:rsidR="00C0268E" w:rsidRPr="00787ECC">
              <w:rPr>
                <w:rStyle w:val="Hyperlink"/>
                <w:rFonts w:ascii="Arial" w:hAnsi="Arial" w:cs="Arial"/>
                <w:noProof/>
                <w:lang w:val="es-ES"/>
              </w:rPr>
              <w:t>B.</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Consulta pública</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_Toc454878980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17</w:t>
            </w:r>
            <w:r w:rsidR="00C0268E" w:rsidRPr="00787ECC">
              <w:rPr>
                <w:rFonts w:ascii="Arial" w:hAnsi="Arial" w:cs="Arial"/>
                <w:noProof/>
                <w:webHidden/>
                <w:lang w:val="es-ES"/>
              </w:rPr>
              <w:fldChar w:fldCharType="end"/>
            </w:r>
          </w:hyperlink>
        </w:p>
        <w:p w:rsidR="00C0268E" w:rsidRPr="00787ECC" w:rsidRDefault="00591349">
          <w:pPr>
            <w:pStyle w:val="TOC2"/>
            <w:rPr>
              <w:rFonts w:ascii="Arial" w:hAnsi="Arial" w:cs="Arial"/>
              <w:noProof/>
              <w:sz w:val="22"/>
              <w:szCs w:val="22"/>
              <w:lang w:val="es-ES" w:eastAsia="en-US"/>
            </w:rPr>
          </w:pPr>
          <w:hyperlink w:anchor="_Toc454878983" w:history="1">
            <w:r w:rsidR="00C0268E" w:rsidRPr="00787ECC">
              <w:rPr>
                <w:rStyle w:val="Hyperlink"/>
                <w:rFonts w:ascii="Arial" w:hAnsi="Arial" w:cs="Arial"/>
                <w:noProof/>
                <w:lang w:val="es-ES"/>
              </w:rPr>
              <w:t>C.</w:t>
            </w:r>
            <w:r w:rsidR="00C0268E" w:rsidRPr="00787ECC">
              <w:rPr>
                <w:rFonts w:ascii="Arial" w:hAnsi="Arial" w:cs="Arial"/>
                <w:noProof/>
                <w:sz w:val="22"/>
                <w:szCs w:val="22"/>
                <w:lang w:val="es-ES" w:eastAsia="en-US"/>
              </w:rPr>
              <w:tab/>
            </w:r>
            <w:r w:rsidR="00C0268E" w:rsidRPr="00787ECC">
              <w:rPr>
                <w:rStyle w:val="Hyperlink"/>
                <w:rFonts w:ascii="Arial" w:hAnsi="Arial" w:cs="Arial"/>
                <w:noProof/>
                <w:lang w:val="es-ES"/>
              </w:rPr>
              <w:t>Evaluación de cumplimiento del programa</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_Toc454878983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18</w:t>
            </w:r>
            <w:r w:rsidR="00C0268E" w:rsidRPr="00787ECC">
              <w:rPr>
                <w:rFonts w:ascii="Arial" w:hAnsi="Arial" w:cs="Arial"/>
                <w:noProof/>
                <w:webHidden/>
                <w:lang w:val="es-ES"/>
              </w:rPr>
              <w:fldChar w:fldCharType="end"/>
            </w:r>
          </w:hyperlink>
        </w:p>
        <w:p w:rsidR="00C0268E" w:rsidRPr="00787ECC" w:rsidRDefault="00591349">
          <w:pPr>
            <w:pStyle w:val="TOC1"/>
            <w:rPr>
              <w:rFonts w:ascii="Arial" w:hAnsi="Arial" w:cs="Arial"/>
              <w:smallCaps w:val="0"/>
              <w:noProof/>
              <w:sz w:val="22"/>
              <w:szCs w:val="22"/>
              <w:lang w:val="es-ES" w:eastAsia="en-US"/>
            </w:rPr>
          </w:pPr>
          <w:hyperlink w:anchor="_Toc454878984" w:history="1">
            <w:r w:rsidR="00C0268E" w:rsidRPr="00787ECC">
              <w:rPr>
                <w:rStyle w:val="Hyperlink"/>
                <w:rFonts w:ascii="Arial" w:hAnsi="Arial" w:cs="Arial"/>
                <w:noProof/>
                <w:lang w:val="es-ES"/>
              </w:rPr>
              <w:t>VI.</w:t>
            </w:r>
            <w:r w:rsidR="00C0268E" w:rsidRPr="00787ECC">
              <w:rPr>
                <w:rFonts w:ascii="Arial" w:hAnsi="Arial" w:cs="Arial"/>
                <w:smallCaps w:val="0"/>
                <w:noProof/>
                <w:sz w:val="22"/>
                <w:szCs w:val="22"/>
                <w:lang w:val="es-ES" w:eastAsia="en-US"/>
              </w:rPr>
              <w:tab/>
            </w:r>
            <w:r w:rsidR="00C0268E" w:rsidRPr="00787ECC">
              <w:rPr>
                <w:rStyle w:val="Hyperlink"/>
                <w:rFonts w:ascii="Arial" w:hAnsi="Arial" w:cs="Arial"/>
                <w:noProof/>
                <w:lang w:val="es-ES"/>
              </w:rPr>
              <w:t>REQUISITOS A SER INCLUIDOS EN EL CONTRATO DE PRÉSTAMO</w:t>
            </w:r>
            <w:r w:rsidR="00C0268E" w:rsidRPr="00787ECC">
              <w:rPr>
                <w:rFonts w:ascii="Arial" w:hAnsi="Arial" w:cs="Arial"/>
                <w:noProof/>
                <w:webHidden/>
                <w:lang w:val="es-ES"/>
              </w:rPr>
              <w:tab/>
            </w:r>
            <w:r w:rsidR="00C0268E" w:rsidRPr="00787ECC">
              <w:rPr>
                <w:rFonts w:ascii="Arial" w:hAnsi="Arial" w:cs="Arial"/>
                <w:noProof/>
                <w:webHidden/>
                <w:lang w:val="es-ES"/>
              </w:rPr>
              <w:fldChar w:fldCharType="begin"/>
            </w:r>
            <w:r w:rsidR="00C0268E" w:rsidRPr="00787ECC">
              <w:rPr>
                <w:rFonts w:ascii="Arial" w:hAnsi="Arial" w:cs="Arial"/>
                <w:noProof/>
                <w:webHidden/>
                <w:lang w:val="es-ES"/>
              </w:rPr>
              <w:instrText xml:space="preserve"> PAGEREF _Toc454878984 \h </w:instrText>
            </w:r>
            <w:r w:rsidR="00C0268E" w:rsidRPr="00787ECC">
              <w:rPr>
                <w:rFonts w:ascii="Arial" w:hAnsi="Arial" w:cs="Arial"/>
                <w:noProof/>
                <w:webHidden/>
                <w:lang w:val="es-ES"/>
              </w:rPr>
            </w:r>
            <w:r w:rsidR="00C0268E" w:rsidRPr="00787ECC">
              <w:rPr>
                <w:rFonts w:ascii="Arial" w:hAnsi="Arial" w:cs="Arial"/>
                <w:noProof/>
                <w:webHidden/>
                <w:lang w:val="es-ES"/>
              </w:rPr>
              <w:fldChar w:fldCharType="separate"/>
            </w:r>
            <w:r w:rsidR="00A24918" w:rsidRPr="00787ECC">
              <w:rPr>
                <w:rFonts w:ascii="Arial" w:hAnsi="Arial" w:cs="Arial"/>
                <w:noProof/>
                <w:webHidden/>
                <w:lang w:val="es-ES"/>
              </w:rPr>
              <w:t>19</w:t>
            </w:r>
            <w:r w:rsidR="00C0268E" w:rsidRPr="00787ECC">
              <w:rPr>
                <w:rFonts w:ascii="Arial" w:hAnsi="Arial" w:cs="Arial"/>
                <w:noProof/>
                <w:webHidden/>
                <w:lang w:val="es-ES"/>
              </w:rPr>
              <w:fldChar w:fldCharType="end"/>
            </w:r>
          </w:hyperlink>
        </w:p>
        <w:p w:rsidR="009011BF" w:rsidRPr="00787ECC" w:rsidRDefault="009011BF">
          <w:pPr>
            <w:rPr>
              <w:rFonts w:cs="Arial"/>
              <w:lang w:val="es-ES"/>
            </w:rPr>
          </w:pPr>
          <w:r w:rsidRPr="00787ECC">
            <w:rPr>
              <w:rFonts w:cs="Arial"/>
              <w:b/>
              <w:bCs/>
              <w:noProof/>
              <w:sz w:val="20"/>
              <w:szCs w:val="20"/>
              <w:lang w:val="es-ES"/>
            </w:rPr>
            <w:fldChar w:fldCharType="end"/>
          </w:r>
        </w:p>
        <w:p w:rsidR="00EA4918" w:rsidRPr="00787ECC" w:rsidRDefault="00591349" w:rsidP="00EA4918">
          <w:pPr>
            <w:pBdr>
              <w:top w:val="single" w:sz="4" w:space="1" w:color="auto"/>
            </w:pBdr>
            <w:spacing w:after="0"/>
            <w:jc w:val="both"/>
            <w:rPr>
              <w:rFonts w:cs="Arial"/>
              <w:highlight w:val="yellow"/>
              <w:lang w:val="es-ES"/>
            </w:rPr>
          </w:pPr>
        </w:p>
      </w:sdtContent>
    </w:sdt>
    <w:p w:rsidR="00014F03" w:rsidRPr="00787ECC" w:rsidRDefault="0055217D" w:rsidP="00EA4918">
      <w:pPr>
        <w:pBdr>
          <w:top w:val="single" w:sz="4" w:space="1" w:color="auto"/>
        </w:pBdr>
        <w:spacing w:after="0"/>
        <w:jc w:val="both"/>
        <w:rPr>
          <w:rFonts w:cs="Arial"/>
          <w:lang w:val="es-ES"/>
        </w:rPr>
      </w:pPr>
      <w:r w:rsidRPr="00787ECC">
        <w:rPr>
          <w:rFonts w:cs="Arial"/>
          <w:lang w:val="es-ES"/>
        </w:rPr>
        <w:br w:type="column"/>
      </w:r>
    </w:p>
    <w:p w:rsidR="00D46D12" w:rsidRPr="00787ECC" w:rsidRDefault="00D46D12" w:rsidP="00EA4918">
      <w:pPr>
        <w:pStyle w:val="Heading1"/>
        <w:numPr>
          <w:ilvl w:val="0"/>
          <w:numId w:val="1"/>
        </w:numPr>
        <w:rPr>
          <w:lang w:val="es-ES"/>
        </w:rPr>
      </w:pPr>
      <w:bookmarkStart w:id="5" w:name="_Toc454878940"/>
      <w:r w:rsidRPr="00787ECC">
        <w:rPr>
          <w:lang w:val="es-ES"/>
        </w:rPr>
        <w:t>INTRODUCCIÓN</w:t>
      </w:r>
      <w:r w:rsidR="000B7CA0" w:rsidRPr="00787ECC">
        <w:rPr>
          <w:lang w:val="es-ES"/>
        </w:rPr>
        <w:t xml:space="preserve">: </w:t>
      </w:r>
      <w:r w:rsidRPr="00787ECC">
        <w:rPr>
          <w:lang w:val="es-ES"/>
        </w:rPr>
        <w:t>ANTECEDENTES Y JUSTIFICACIÓN</w:t>
      </w:r>
      <w:bookmarkEnd w:id="5"/>
    </w:p>
    <w:p w:rsidR="00303D0C" w:rsidRPr="004C1DEB" w:rsidRDefault="00A45CCA" w:rsidP="00EA4918">
      <w:pPr>
        <w:pStyle w:val="ListParagraph"/>
        <w:spacing w:after="200" w:line="300" w:lineRule="exact"/>
        <w:ind w:left="864" w:hanging="504"/>
        <w:rPr>
          <w:lang w:val="es-ES" w:eastAsia="en-US"/>
        </w:rPr>
      </w:pPr>
      <w:r w:rsidRPr="00E419F9">
        <w:rPr>
          <w:noProof/>
          <w:lang w:val="en-US" w:eastAsia="en-US"/>
        </w:rPr>
        <mc:AlternateContent>
          <mc:Choice Requires="wps">
            <w:drawing>
              <wp:anchor distT="0" distB="0" distL="114300" distR="114300" simplePos="0" relativeHeight="251660288" behindDoc="0" locked="0" layoutInCell="1" allowOverlap="1" wp14:anchorId="3AC35DD5" wp14:editId="73F37E55">
                <wp:simplePos x="0" y="0"/>
                <wp:positionH relativeFrom="column">
                  <wp:posOffset>3871595</wp:posOffset>
                </wp:positionH>
                <wp:positionV relativeFrom="paragraph">
                  <wp:posOffset>2062480</wp:posOffset>
                </wp:positionV>
                <wp:extent cx="2303780" cy="635"/>
                <wp:effectExtent l="0" t="0" r="0" b="0"/>
                <wp:wrapTight wrapText="bothSides">
                  <wp:wrapPolygon edited="0">
                    <wp:start x="0" y="0"/>
                    <wp:lineTo x="0" y="21600"/>
                    <wp:lineTo x="21600" y="21600"/>
                    <wp:lineTo x="21600" y="0"/>
                  </wp:wrapPolygon>
                </wp:wrapTight>
                <wp:docPr id="3" name="Text Box 3"/>
                <wp:cNvGraphicFramePr/>
                <a:graphic xmlns:a="http://schemas.openxmlformats.org/drawingml/2006/main">
                  <a:graphicData uri="http://schemas.microsoft.com/office/word/2010/wordprocessingShape">
                    <wps:wsp>
                      <wps:cNvSpPr txBox="1"/>
                      <wps:spPr>
                        <a:xfrm>
                          <a:off x="0" y="0"/>
                          <a:ext cx="2303780" cy="635"/>
                        </a:xfrm>
                        <a:prstGeom prst="rect">
                          <a:avLst/>
                        </a:prstGeom>
                        <a:solidFill>
                          <a:prstClr val="white"/>
                        </a:solidFill>
                        <a:ln>
                          <a:noFill/>
                        </a:ln>
                        <a:effectLst/>
                      </wps:spPr>
                      <wps:txbx>
                        <w:txbxContent>
                          <w:p w:rsidR="004C1DEB" w:rsidRPr="00EA4918" w:rsidRDefault="004C1DEB" w:rsidP="00EA4918">
                            <w:pPr>
                              <w:pStyle w:val="Caption"/>
                              <w:rPr>
                                <w:lang w:val="es-ES"/>
                              </w:rPr>
                            </w:pPr>
                            <w:r w:rsidRPr="00EA4918">
                              <w:rPr>
                                <w:lang w:val="es-ES"/>
                              </w:rPr>
                              <w:t xml:space="preserve">Figura </w:t>
                            </w:r>
                            <w:r>
                              <w:fldChar w:fldCharType="begin"/>
                            </w:r>
                            <w:r w:rsidRPr="00EA4918">
                              <w:rPr>
                                <w:lang w:val="es-ES"/>
                              </w:rPr>
                              <w:instrText xml:space="preserve"> SEQ Figura \* ARABIC </w:instrText>
                            </w:r>
                            <w:r>
                              <w:fldChar w:fldCharType="separate"/>
                            </w:r>
                            <w:r>
                              <w:rPr>
                                <w:noProof/>
                                <w:lang w:val="es-ES"/>
                              </w:rPr>
                              <w:t>1</w:t>
                            </w:r>
                            <w:r>
                              <w:fldChar w:fldCharType="end"/>
                            </w:r>
                            <w:r w:rsidRPr="00EA4918">
                              <w:rPr>
                                <w:lang w:val="es-ES"/>
                              </w:rPr>
                              <w:t>: República Oriental del Uruguay. Fuente: Anuario Estad</w:t>
                            </w:r>
                            <w:r>
                              <w:rPr>
                                <w:lang w:val="es-ES"/>
                              </w:rPr>
                              <w:t>ístico INE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4.85pt;margin-top:162.4pt;width:181.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" stroked="f">
                <v:textbox style="mso-fit-shape-to-text:t" inset="0,0,0,0">
                  <w:txbxContent>
                    <w:p w:rsidR="004C1DEB" w:rsidRPr="00EA4918" w:rsidRDefault="004C1DEB" w:rsidP="00EA4918">
                      <w:pPr>
                        <w:pStyle w:val="Caption"/>
                        <w:rPr>
                          <w:lang w:val="es-ES"/>
                        </w:rPr>
                      </w:pPr>
                      <w:r w:rsidRPr="00EA4918">
                        <w:rPr>
                          <w:lang w:val="es-ES"/>
                        </w:rPr>
                        <w:t xml:space="preserve">Figura </w:t>
                      </w:r>
                      <w:r>
                        <w:fldChar w:fldCharType="begin"/>
                      </w:r>
                      <w:r w:rsidRPr="00EA4918">
                        <w:rPr>
                          <w:lang w:val="es-ES"/>
                        </w:rPr>
                        <w:instrText xml:space="preserve"> SEQ Figura \* ARABIC </w:instrText>
                      </w:r>
                      <w:r>
                        <w:fldChar w:fldCharType="separate"/>
                      </w:r>
                      <w:r>
                        <w:rPr>
                          <w:noProof/>
                          <w:lang w:val="es-ES"/>
                        </w:rPr>
                        <w:t>1</w:t>
                      </w:r>
                      <w:r>
                        <w:fldChar w:fldCharType="end"/>
                      </w:r>
                      <w:r w:rsidRPr="00EA4918">
                        <w:rPr>
                          <w:lang w:val="es-ES"/>
                        </w:rPr>
                        <w:t>: República Oriental del Uruguay. Fuente: Anuario Estad</w:t>
                      </w:r>
                      <w:r>
                        <w:rPr>
                          <w:lang w:val="es-ES"/>
                        </w:rPr>
                        <w:t>ístico INE</w:t>
                      </w:r>
                    </w:p>
                  </w:txbxContent>
                </v:textbox>
                <w10:wrap type="tight"/>
              </v:shape>
            </w:pict>
          </mc:Fallback>
        </mc:AlternateContent>
      </w:r>
      <w:r w:rsidR="00303D0C" w:rsidRPr="00E419F9">
        <w:rPr>
          <w:noProof/>
          <w:lang w:val="en-US" w:eastAsia="en-US"/>
        </w:rPr>
        <w:drawing>
          <wp:anchor distT="0" distB="0" distL="114300" distR="114300" simplePos="0" relativeHeight="251658240" behindDoc="1" locked="0" layoutInCell="1" allowOverlap="0" wp14:anchorId="5F42676E" wp14:editId="1186DE06">
            <wp:simplePos x="0" y="0"/>
            <wp:positionH relativeFrom="column">
              <wp:posOffset>3871595</wp:posOffset>
            </wp:positionH>
            <wp:positionV relativeFrom="paragraph">
              <wp:posOffset>39370</wp:posOffset>
            </wp:positionV>
            <wp:extent cx="2303780" cy="1965960"/>
            <wp:effectExtent l="0" t="0" r="1270" b="0"/>
            <wp:wrapTight wrapText="bothSides">
              <wp:wrapPolygon edited="0">
                <wp:start x="0" y="0"/>
                <wp:lineTo x="0" y="21349"/>
                <wp:lineTo x="21433" y="21349"/>
                <wp:lineTo x="2143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303780" cy="1965960"/>
                    </a:xfrm>
                    <a:prstGeom prst="rect">
                      <a:avLst/>
                    </a:prstGeom>
                  </pic:spPr>
                </pic:pic>
              </a:graphicData>
            </a:graphic>
            <wp14:sizeRelH relativeFrom="margin">
              <wp14:pctWidth>0</wp14:pctWidth>
            </wp14:sizeRelH>
            <wp14:sizeRelV relativeFrom="margin">
              <wp14:pctHeight>0</wp14:pctHeight>
            </wp14:sizeRelV>
          </wp:anchor>
        </w:drawing>
      </w:r>
      <w:r w:rsidR="00303D0C" w:rsidRPr="00E419F9">
        <w:rPr>
          <w:lang w:val="es-ES" w:eastAsia="en-US"/>
        </w:rPr>
        <w:t>La República Oriental del Uruguay tiene 3.453.691 habitantes</w:t>
      </w:r>
      <w:r w:rsidR="00303D0C" w:rsidRPr="00E419F9">
        <w:rPr>
          <w:vertAlign w:val="superscript"/>
          <w:lang w:val="es-ES"/>
        </w:rPr>
        <w:footnoteReference w:id="1"/>
      </w:r>
      <w:r w:rsidR="00B8724C" w:rsidRPr="00E419F9">
        <w:rPr>
          <w:lang w:val="es-ES" w:eastAsia="en-US"/>
        </w:rPr>
        <w:t xml:space="preserve"> y una densidad demográfica de casi 20 hab</w:t>
      </w:r>
      <w:r w:rsidR="004C1DEB" w:rsidRPr="00E419F9">
        <w:rPr>
          <w:lang w:val="es-ES" w:eastAsia="en-US"/>
        </w:rPr>
        <w:t>.</w:t>
      </w:r>
      <w:r w:rsidRPr="00E419F9">
        <w:rPr>
          <w:lang w:val="es-ES" w:eastAsia="en-US"/>
        </w:rPr>
        <w:t>/</w:t>
      </w:r>
      <w:r w:rsidR="00B8724C" w:rsidRPr="00E419F9">
        <w:rPr>
          <w:lang w:val="es-ES" w:eastAsia="en-US"/>
        </w:rPr>
        <w:t>km</w:t>
      </w:r>
      <w:r w:rsidR="00B8724C" w:rsidRPr="00E419F9">
        <w:rPr>
          <w:vertAlign w:val="superscript"/>
          <w:lang w:val="es-ES" w:eastAsia="en-US"/>
        </w:rPr>
        <w:t>2</w:t>
      </w:r>
      <w:r w:rsidRPr="00E419F9">
        <w:rPr>
          <w:lang w:val="es-ES" w:eastAsia="en-US"/>
        </w:rPr>
        <w:t>. Casi el 40% de la población vive en la ciudad de Montevideo y alrededores. El PBI es de $57 mil millones de dólares (2014)</w:t>
      </w:r>
      <w:r w:rsidRPr="00E419F9">
        <w:rPr>
          <w:vertAlign w:val="superscript"/>
          <w:lang w:val="es-ES"/>
        </w:rPr>
        <w:footnoteReference w:id="2"/>
      </w:r>
      <w:r w:rsidRPr="00E419F9">
        <w:rPr>
          <w:vertAlign w:val="superscript"/>
          <w:lang w:val="es-ES" w:eastAsia="en-US"/>
        </w:rPr>
        <w:t>,</w:t>
      </w:r>
      <w:r w:rsidRPr="00E419F9">
        <w:rPr>
          <w:lang w:val="es-ES" w:eastAsia="en-US"/>
        </w:rPr>
        <w:t xml:space="preserve"> con un PBI per </w:t>
      </w:r>
      <w:r w:rsidR="00832ED8" w:rsidRPr="00E419F9">
        <w:rPr>
          <w:lang w:val="es-ES" w:eastAsia="en-US"/>
        </w:rPr>
        <w:t>cápita</w:t>
      </w:r>
      <w:r w:rsidRPr="00E419F9">
        <w:rPr>
          <w:lang w:val="es-ES" w:eastAsia="en-US"/>
        </w:rPr>
        <w:t xml:space="preserve"> de casi 17,000 dólares. </w:t>
      </w:r>
      <w:r w:rsidR="002C5CB4" w:rsidRPr="00E419F9">
        <w:rPr>
          <w:lang w:val="es-ES" w:eastAsia="en-US"/>
        </w:rPr>
        <w:t xml:space="preserve">En el año 2014, el 10% de la población (6.7% de los hogares) vivía bajo la línea de pobreza. </w:t>
      </w:r>
    </w:p>
    <w:p w:rsidR="00B220D0" w:rsidRPr="00E419F9" w:rsidRDefault="00B220D0" w:rsidP="00EA4918">
      <w:pPr>
        <w:pStyle w:val="ListParagraph"/>
        <w:spacing w:after="200" w:line="300" w:lineRule="exact"/>
        <w:ind w:left="864" w:hanging="504"/>
        <w:rPr>
          <w:rFonts w:eastAsia="Times New Roman"/>
          <w:lang w:val="es-ES" w:eastAsia="en-US"/>
        </w:rPr>
      </w:pPr>
      <w:r w:rsidRPr="00E419F9">
        <w:rPr>
          <w:lang w:val="es-ES" w:eastAsia="en-US"/>
        </w:rPr>
        <w:t>Históricamente</w:t>
      </w:r>
      <w:r w:rsidRPr="00E419F9">
        <w:rPr>
          <w:rFonts w:eastAsia="Times New Roman"/>
          <w:lang w:val="es-ES" w:eastAsia="en-US"/>
        </w:rPr>
        <w:t xml:space="preserve"> el sistema educativo uruguayo ha </w:t>
      </w:r>
      <w:r w:rsidRPr="00E419F9">
        <w:rPr>
          <w:lang w:val="es-ES" w:eastAsia="en-US"/>
        </w:rPr>
        <w:t>presentado</w:t>
      </w:r>
      <w:r w:rsidRPr="00E419F9">
        <w:rPr>
          <w:rFonts w:eastAsia="Times New Roman"/>
          <w:lang w:val="es-ES" w:eastAsia="en-US"/>
        </w:rPr>
        <w:t xml:space="preserve"> un diseño institucional complejo que la Ley de Educación hoy vigente ha mantenido en sus rasgos estructurales básicos. La </w:t>
      </w:r>
      <w:r w:rsidRPr="00E419F9">
        <w:rPr>
          <w:lang w:val="es-ES" w:eastAsia="en-US"/>
        </w:rPr>
        <w:t>Administración</w:t>
      </w:r>
      <w:r w:rsidRPr="00E419F9">
        <w:rPr>
          <w:rFonts w:eastAsia="Times New Roman"/>
          <w:lang w:val="es-ES" w:eastAsia="en-US"/>
        </w:rPr>
        <w:t xml:space="preserve"> Nacional de Educación Pública (ANEP) es el ente autónomo con la potestad de formular e implementar las políticas educativas en el nivel inicial (4 y 5 años), primaria (6 a 11 años), media (12 a 18 años) y la formación docente. Es dirigida por el Consejo Directivo Central (CODICEN) y está compuesta por Consejos Desconcentrados: el Consejo de Educación Primaria (CEP, hoy denominado Consejo de Educación Inicial y Primaria, CEIP), el Consejo de Educación Secundaria (CES), el Consejo de Educación Técnico-Profesional (CETP) y el Consejo de Formación en Educación (CFE). </w:t>
      </w:r>
    </w:p>
    <w:p w:rsidR="00B220D0" w:rsidRPr="00E419F9" w:rsidRDefault="00B518A1" w:rsidP="00EA4918">
      <w:pPr>
        <w:pStyle w:val="ListParagraph"/>
        <w:spacing w:after="240" w:line="300" w:lineRule="exact"/>
        <w:ind w:left="864" w:hanging="504"/>
        <w:rPr>
          <w:rFonts w:eastAsia="Times New Roman"/>
          <w:lang w:val="es-ES" w:eastAsia="en-US"/>
        </w:rPr>
      </w:pPr>
      <w:r w:rsidRPr="00E419F9">
        <w:rPr>
          <w:rFonts w:eastAsia="Times New Roman"/>
          <w:lang w:val="es-ES" w:eastAsia="en-US"/>
        </w:rPr>
        <w:t xml:space="preserve">En términos educativos, </w:t>
      </w:r>
      <w:r w:rsidR="00B220D0" w:rsidRPr="00E419F9">
        <w:rPr>
          <w:rFonts w:eastAsia="Times New Roman"/>
          <w:lang w:val="es-ES" w:eastAsia="en-US"/>
        </w:rPr>
        <w:t xml:space="preserve">Uruguay ha </w:t>
      </w:r>
      <w:r w:rsidRPr="00E419F9">
        <w:rPr>
          <w:rFonts w:eastAsia="Times New Roman"/>
          <w:lang w:val="es-ES" w:eastAsia="en-US"/>
        </w:rPr>
        <w:t xml:space="preserve">visto importante progresos tanto en la </w:t>
      </w:r>
      <w:r w:rsidR="00B220D0" w:rsidRPr="00E419F9">
        <w:rPr>
          <w:rFonts w:eastAsia="Times New Roman"/>
          <w:lang w:val="es-ES" w:eastAsia="en-US"/>
        </w:rPr>
        <w:t xml:space="preserve">cobertura </w:t>
      </w:r>
      <w:r w:rsidRPr="00E419F9">
        <w:rPr>
          <w:rFonts w:eastAsia="Times New Roman"/>
          <w:lang w:val="es-ES" w:eastAsia="en-US"/>
        </w:rPr>
        <w:t xml:space="preserve">como en los </w:t>
      </w:r>
      <w:r w:rsidR="00B220D0" w:rsidRPr="00E419F9">
        <w:rPr>
          <w:rFonts w:eastAsia="Times New Roman"/>
          <w:lang w:val="es-ES" w:eastAsia="en-US"/>
        </w:rPr>
        <w:t xml:space="preserve">egresos en primaria </w:t>
      </w:r>
      <w:r w:rsidRPr="00E419F9">
        <w:rPr>
          <w:rFonts w:eastAsia="Times New Roman"/>
          <w:lang w:val="es-ES" w:eastAsia="en-US"/>
        </w:rPr>
        <w:t xml:space="preserve">en las últimas décadas </w:t>
      </w:r>
      <w:r w:rsidR="00B220D0" w:rsidRPr="00E419F9">
        <w:rPr>
          <w:rFonts w:eastAsia="Times New Roman"/>
          <w:lang w:val="es-ES" w:eastAsia="en-US"/>
        </w:rPr>
        <w:t xml:space="preserve">y </w:t>
      </w:r>
      <w:r w:rsidRPr="00E419F9">
        <w:rPr>
          <w:rFonts w:eastAsia="Times New Roman"/>
          <w:lang w:val="es-ES" w:eastAsia="en-US"/>
        </w:rPr>
        <w:t xml:space="preserve">tuvo </w:t>
      </w:r>
      <w:r w:rsidR="00B220D0" w:rsidRPr="00E419F9">
        <w:rPr>
          <w:rFonts w:eastAsia="Times New Roman"/>
          <w:lang w:val="es-ES" w:eastAsia="en-US"/>
        </w:rPr>
        <w:t xml:space="preserve">logros </w:t>
      </w:r>
      <w:r w:rsidRPr="00E419F9">
        <w:rPr>
          <w:rFonts w:eastAsia="Times New Roman"/>
          <w:lang w:val="es-ES" w:eastAsia="en-US"/>
        </w:rPr>
        <w:t xml:space="preserve">positivos </w:t>
      </w:r>
      <w:r w:rsidR="00B220D0" w:rsidRPr="00E419F9">
        <w:rPr>
          <w:rFonts w:eastAsia="Times New Roman"/>
          <w:lang w:val="es-ES" w:eastAsia="en-US"/>
        </w:rPr>
        <w:t xml:space="preserve">en las primeras pruebas PISA (2003), siendo el país de la región de menor brecha con los </w:t>
      </w:r>
      <w:r w:rsidR="00B220D0" w:rsidRPr="00E419F9">
        <w:rPr>
          <w:lang w:val="es-ES" w:eastAsia="en-US"/>
        </w:rPr>
        <w:t>países</w:t>
      </w:r>
      <w:r w:rsidR="00B220D0" w:rsidRPr="00E419F9">
        <w:rPr>
          <w:rFonts w:eastAsia="Times New Roman"/>
          <w:lang w:val="es-ES" w:eastAsia="en-US"/>
        </w:rPr>
        <w:t xml:space="preserve"> de la OCDE. Sin embargo, el sistema educativo uruguayo </w:t>
      </w:r>
      <w:r w:rsidRPr="00E419F9">
        <w:rPr>
          <w:rFonts w:eastAsia="Times New Roman"/>
          <w:lang w:val="es-ES" w:eastAsia="en-US"/>
        </w:rPr>
        <w:t xml:space="preserve">enfrenta todavía grandes desafíos: </w:t>
      </w:r>
      <w:r w:rsidR="00B220D0" w:rsidRPr="00E419F9">
        <w:rPr>
          <w:rFonts w:eastAsia="Times New Roman"/>
          <w:lang w:val="es-ES" w:eastAsia="en-US"/>
        </w:rPr>
        <w:t xml:space="preserve">no </w:t>
      </w:r>
      <w:r w:rsidRPr="00E419F9">
        <w:rPr>
          <w:rFonts w:eastAsia="Times New Roman"/>
          <w:lang w:val="es-ES" w:eastAsia="en-US"/>
        </w:rPr>
        <w:t xml:space="preserve">se </w:t>
      </w:r>
      <w:r w:rsidR="00B220D0" w:rsidRPr="00E419F9">
        <w:rPr>
          <w:rFonts w:eastAsia="Times New Roman"/>
          <w:lang w:val="es-ES" w:eastAsia="en-US"/>
        </w:rPr>
        <w:t>ha</w:t>
      </w:r>
      <w:r w:rsidRPr="00E419F9">
        <w:rPr>
          <w:rFonts w:eastAsia="Times New Roman"/>
          <w:lang w:val="es-ES" w:eastAsia="en-US"/>
        </w:rPr>
        <w:t>n</w:t>
      </w:r>
      <w:r w:rsidR="00B220D0" w:rsidRPr="00E419F9">
        <w:rPr>
          <w:rFonts w:eastAsia="Times New Roman"/>
          <w:lang w:val="es-ES" w:eastAsia="en-US"/>
        </w:rPr>
        <w:t xml:space="preserve"> logrado generar trayectorias continuas, completas y exitosas para todos los jóvenes, sobre todo en la educación media (EM), en donde se detectan problemas de eficiencia interna, deserción</w:t>
      </w:r>
      <w:r w:rsidRPr="00E419F9">
        <w:rPr>
          <w:rFonts w:eastAsia="Times New Roman"/>
          <w:lang w:val="es-ES" w:eastAsia="en-US"/>
        </w:rPr>
        <w:t xml:space="preserve">, </w:t>
      </w:r>
      <w:r w:rsidRPr="00E419F9">
        <w:rPr>
          <w:lang w:val="es-ES" w:eastAsia="en-US"/>
        </w:rPr>
        <w:t>calidad</w:t>
      </w:r>
      <w:r w:rsidRPr="00E419F9">
        <w:rPr>
          <w:rFonts w:eastAsia="Times New Roman"/>
          <w:lang w:val="es-ES" w:eastAsia="en-US"/>
        </w:rPr>
        <w:t xml:space="preserve"> y gestión. En 2014, </w:t>
      </w:r>
      <w:r w:rsidR="00B220D0" w:rsidRPr="00E419F9">
        <w:rPr>
          <w:rFonts w:eastAsia="Times New Roman"/>
          <w:lang w:val="es-ES" w:eastAsia="en-US"/>
        </w:rPr>
        <w:t xml:space="preserve">la tasa neta de matrícula (TNM) en la EM básica (EMB) fue sólo de 76,2% en 2014, y la EM superior (EMS) la TNM fue de 43,7%. Los egresos en media son bajos y reflejan amplias inequidades. Entre los alumnos más ricos, el 96,6% concluye la EMB, mientras que sólo el 48% de los del quintil 1 se gradúa. En EMS, la tasa de egreso es del 62,2% entre los jóvenes del quintil 5 comparado con el 11,5% entre aquellos del quintil 1. En cuanto a calidad, el desempeño en las pruebas PISA disminuyó entre 2003 y 2012 tanto en matemáticas (de 422 a 409) como en lengua (de 434 a 411). Los estudiantes no han adquirido las competencias mínimas necesarias para ser exitosos en el siglo XXI: un 55,8% está en los niveles más bajos en matemáticas y 47% en lectura. Los estudiantes </w:t>
      </w:r>
      <w:r w:rsidR="00B220D0" w:rsidRPr="00E419F9">
        <w:rPr>
          <w:rFonts w:eastAsia="Times New Roman"/>
          <w:lang w:val="es-ES" w:eastAsia="en-US"/>
        </w:rPr>
        <w:lastRenderedPageBreak/>
        <w:t xml:space="preserve">del cuartil más rico obtienen 108 puntos más que los del más pobre, lo que representa 2,6 años de escolaridad, la brecha más alta de los países de la </w:t>
      </w:r>
      <w:r w:rsidR="00B220D0" w:rsidRPr="00E419F9">
        <w:rPr>
          <w:lang w:val="es-ES" w:eastAsia="en-US"/>
        </w:rPr>
        <w:t>región</w:t>
      </w:r>
      <w:r w:rsidR="00B220D0" w:rsidRPr="00E419F9">
        <w:rPr>
          <w:rFonts w:eastAsia="Times New Roman"/>
          <w:lang w:val="es-ES" w:eastAsia="en-US"/>
        </w:rPr>
        <w:t>.</w:t>
      </w:r>
    </w:p>
    <w:p w:rsidR="00EA1B27" w:rsidRPr="004C1DEB" w:rsidRDefault="00EA1B27" w:rsidP="00EA4918">
      <w:pPr>
        <w:pStyle w:val="ListParagraph"/>
        <w:spacing w:after="200" w:line="300" w:lineRule="exact"/>
        <w:ind w:left="864" w:hanging="504"/>
        <w:rPr>
          <w:lang w:val="es-ES"/>
        </w:rPr>
      </w:pPr>
      <w:r w:rsidRPr="00E419F9">
        <w:rPr>
          <w:b/>
          <w:lang w:val="es-ES"/>
        </w:rPr>
        <w:t>Justificación</w:t>
      </w:r>
      <w:r w:rsidRPr="00E419F9">
        <w:rPr>
          <w:lang w:val="es-ES"/>
        </w:rPr>
        <w:t xml:space="preserve">. El Programa Educativo para el Quinquenio 2015-2019 se ha planteado tres </w:t>
      </w:r>
      <w:r w:rsidRPr="00E419F9">
        <w:rPr>
          <w:lang w:val="es-ES" w:eastAsia="en-US"/>
        </w:rPr>
        <w:t>desafíos</w:t>
      </w:r>
      <w:r w:rsidRPr="00E419F9">
        <w:rPr>
          <w:lang w:val="es-ES"/>
        </w:rPr>
        <w:t xml:space="preserve">: i) potenciar la educación inicial; ii) mejorar las condiciones de egreso de primaria; iii) universalizar el egreso de EMB y duplicar los de EMS a través de </w:t>
      </w:r>
      <w:r w:rsidRPr="00E419F9">
        <w:rPr>
          <w:lang w:val="es-ES" w:eastAsia="en-US"/>
        </w:rPr>
        <w:t>un</w:t>
      </w:r>
      <w:r w:rsidRPr="00E419F9">
        <w:rPr>
          <w:lang w:val="es-ES"/>
        </w:rPr>
        <w:t xml:space="preserve"> enfoque de trayectorias educativas centrado en el estudiante que supone que: i) todos los niños comiencen su escolarización a los tres años y se mantengan escolarizados hasta los 17 o 18 años; ii) con independencia de la estructura institucional del sistema educativo, </w:t>
      </w:r>
      <w:r w:rsidR="004C1DEB" w:rsidRPr="00E419F9">
        <w:rPr>
          <w:lang w:val="es-ES"/>
        </w:rPr>
        <w:t xml:space="preserve">se </w:t>
      </w:r>
      <w:r w:rsidRPr="00E419F9">
        <w:rPr>
          <w:lang w:val="es-ES"/>
        </w:rPr>
        <w:t>conc</w:t>
      </w:r>
      <w:r w:rsidR="004C1DEB" w:rsidRPr="00E419F9">
        <w:rPr>
          <w:lang w:val="es-ES"/>
        </w:rPr>
        <w:t>iba</w:t>
      </w:r>
      <w:r w:rsidRPr="00E419F9">
        <w:rPr>
          <w:lang w:val="es-ES"/>
        </w:rPr>
        <w:t xml:space="preserve"> la trayectoria como una continuidad; iii) los logros que se definen en cada etapa de la trayectoria escolar constituy</w:t>
      </w:r>
      <w:r w:rsidR="004C1DEB" w:rsidRPr="00E419F9">
        <w:rPr>
          <w:lang w:val="es-ES"/>
        </w:rPr>
        <w:t>a</w:t>
      </w:r>
      <w:r w:rsidRPr="00E419F9">
        <w:rPr>
          <w:lang w:val="es-ES"/>
        </w:rPr>
        <w:t xml:space="preserve">n prerrequisitos para la progresión en las siguientes. </w:t>
      </w:r>
    </w:p>
    <w:p w:rsidR="00382BB7" w:rsidRPr="00787ECC" w:rsidRDefault="00D46D12" w:rsidP="00EA4918">
      <w:pPr>
        <w:pStyle w:val="Heading1"/>
        <w:numPr>
          <w:ilvl w:val="0"/>
          <w:numId w:val="1"/>
        </w:numPr>
        <w:rPr>
          <w:lang w:val="es-ES"/>
        </w:rPr>
      </w:pPr>
      <w:bookmarkStart w:id="6" w:name="_Toc454878402"/>
      <w:bookmarkStart w:id="7" w:name="_Toc454878615"/>
      <w:bookmarkStart w:id="8" w:name="_Toc454878677"/>
      <w:bookmarkStart w:id="9" w:name="_Toc454878847"/>
      <w:bookmarkStart w:id="10" w:name="_Toc454878941"/>
      <w:bookmarkStart w:id="11" w:name="_Toc454878942"/>
      <w:bookmarkEnd w:id="6"/>
      <w:bookmarkEnd w:id="7"/>
      <w:bookmarkEnd w:id="8"/>
      <w:bookmarkEnd w:id="9"/>
      <w:bookmarkEnd w:id="10"/>
      <w:r w:rsidRPr="00787ECC">
        <w:rPr>
          <w:lang w:val="es-ES"/>
        </w:rPr>
        <w:t>DESCRIPCIÓN DEL PROGRAMA</w:t>
      </w:r>
      <w:bookmarkStart w:id="12" w:name="_Toc454878943"/>
      <w:bookmarkEnd w:id="11"/>
      <w:bookmarkEnd w:id="12"/>
    </w:p>
    <w:p w:rsidR="00D7191B" w:rsidRPr="00787ECC" w:rsidRDefault="00D7191B" w:rsidP="00D7191B">
      <w:pPr>
        <w:pStyle w:val="Heading2"/>
        <w:rPr>
          <w:rFonts w:cs="Arial"/>
          <w:szCs w:val="24"/>
          <w:lang w:val="es-ES"/>
        </w:rPr>
      </w:pPr>
      <w:bookmarkStart w:id="13" w:name="_Toc454878944"/>
      <w:r w:rsidRPr="00787ECC">
        <w:rPr>
          <w:rFonts w:cs="Arial"/>
          <w:szCs w:val="24"/>
          <w:lang w:val="es-ES"/>
        </w:rPr>
        <w:t>Descripción y objetivos</w:t>
      </w:r>
      <w:bookmarkEnd w:id="13"/>
      <w:r w:rsidRPr="00787ECC">
        <w:rPr>
          <w:rFonts w:cs="Arial"/>
          <w:szCs w:val="24"/>
          <w:lang w:val="es-ES"/>
        </w:rPr>
        <w:t xml:space="preserve"> </w:t>
      </w:r>
    </w:p>
    <w:p w:rsidR="004A1E6E" w:rsidRPr="00787ECC" w:rsidRDefault="004A1E6E" w:rsidP="00EA4918">
      <w:pPr>
        <w:pStyle w:val="ListParagraph"/>
        <w:spacing w:after="200" w:line="300" w:lineRule="exact"/>
        <w:ind w:left="864" w:hanging="504"/>
        <w:rPr>
          <w:lang w:val="es-ES" w:eastAsia="en-US"/>
        </w:rPr>
      </w:pPr>
      <w:r w:rsidRPr="00787ECC">
        <w:rPr>
          <w:lang w:val="es-ES"/>
        </w:rPr>
        <w:t xml:space="preserve">La presente operación tiene un monto de financiamiento de US$ </w:t>
      </w:r>
      <w:r w:rsidR="008F4C8D" w:rsidRPr="00787ECC">
        <w:rPr>
          <w:lang w:val="es-ES"/>
        </w:rPr>
        <w:t>74</w:t>
      </w:r>
      <w:r w:rsidRPr="00787ECC">
        <w:rPr>
          <w:lang w:val="es-ES"/>
        </w:rPr>
        <w:t xml:space="preserve"> </w:t>
      </w:r>
      <w:r w:rsidRPr="00787ECC">
        <w:rPr>
          <w:lang w:val="es-ES" w:eastAsia="en-US"/>
        </w:rPr>
        <w:t>millones</w:t>
      </w:r>
      <w:r w:rsidRPr="00787ECC">
        <w:rPr>
          <w:lang w:val="es-ES"/>
        </w:rPr>
        <w:t>, de los cuales US$ 50 M</w:t>
      </w:r>
      <w:r w:rsidR="00A16374" w:rsidRPr="00787ECC">
        <w:rPr>
          <w:lang w:val="es-ES"/>
        </w:rPr>
        <w:t xml:space="preserve"> es un préstamo del Banco</w:t>
      </w:r>
      <w:r w:rsidRPr="00787ECC">
        <w:rPr>
          <w:lang w:val="es-ES"/>
        </w:rPr>
        <w:t xml:space="preserve">. El prestatario del financiamiento es la República Oriental del Uruguay. El organismo ejecutor será la Administración </w:t>
      </w:r>
      <w:r w:rsidRPr="00787ECC">
        <w:rPr>
          <w:sz w:val="24"/>
          <w:szCs w:val="24"/>
          <w:lang w:val="es-ES" w:eastAsia="en-US"/>
        </w:rPr>
        <w:t>Nacional</w:t>
      </w:r>
      <w:r w:rsidRPr="00787ECC">
        <w:rPr>
          <w:lang w:val="es-ES"/>
        </w:rPr>
        <w:t xml:space="preserve"> de la Educación Pública (ANEP), de acuerdo con el esquema de ejecución ya utilizado en el programa PAEMFE (UR-L1050 - 2480/OC-UR). La ANEP tendrá la responsabilidad técnica del programa actuando a través de sus consejos desconcentrados de acuerdo a las normas vigentes y a lo establecido en el Reglamento Operativo del Programa.</w:t>
      </w:r>
    </w:p>
    <w:p w:rsidR="00EC4D2E" w:rsidRPr="00EC4D2E" w:rsidRDefault="009331AF" w:rsidP="00EA4918">
      <w:pPr>
        <w:pStyle w:val="ListParagraph"/>
        <w:spacing w:after="200" w:line="300" w:lineRule="exact"/>
        <w:ind w:left="864" w:hanging="504"/>
        <w:rPr>
          <w:lang w:val="es-ES"/>
        </w:rPr>
      </w:pPr>
      <w:r w:rsidRPr="00EC4D2E">
        <w:rPr>
          <w:b/>
          <w:lang w:val="es-ES"/>
        </w:rPr>
        <w:t>Objetivo</w:t>
      </w:r>
      <w:r w:rsidRPr="00EC4D2E">
        <w:rPr>
          <w:lang w:val="es-ES"/>
        </w:rPr>
        <w:t xml:space="preserve"> </w:t>
      </w:r>
      <w:r w:rsidR="00001DF4" w:rsidRPr="00EC4D2E">
        <w:rPr>
          <w:lang w:val="es-ES"/>
        </w:rPr>
        <w:t xml:space="preserve">El objetivo del programa es </w:t>
      </w:r>
      <w:r w:rsidR="00EC4D2E" w:rsidRPr="00EC4D2E">
        <w:rPr>
          <w:lang w:val="es-ES"/>
        </w:rPr>
        <w:t>expandir el acceso y mejorar la calidad de la EM en Uruguay, a fin de lograr trayectorias educativas continuas y completas</w:t>
      </w:r>
    </w:p>
    <w:p w:rsidR="00ED141F" w:rsidRPr="00E419F9" w:rsidRDefault="009331AF" w:rsidP="00EA4918">
      <w:pPr>
        <w:pStyle w:val="Heading2"/>
        <w:rPr>
          <w:rFonts w:cs="Arial"/>
          <w:sz w:val="22"/>
          <w:szCs w:val="22"/>
          <w:lang w:val="es-ES"/>
        </w:rPr>
      </w:pPr>
      <w:bookmarkStart w:id="14" w:name="_Toc454878945"/>
      <w:r w:rsidRPr="00E419F9">
        <w:rPr>
          <w:rFonts w:cs="Arial"/>
          <w:sz w:val="22"/>
          <w:szCs w:val="22"/>
          <w:lang w:val="es-ES"/>
        </w:rPr>
        <w:t>Componentes</w:t>
      </w:r>
      <w:bookmarkEnd w:id="14"/>
      <w:r w:rsidRPr="00E419F9">
        <w:rPr>
          <w:rFonts w:cs="Arial"/>
          <w:sz w:val="22"/>
          <w:szCs w:val="22"/>
          <w:lang w:val="es-ES"/>
        </w:rPr>
        <w:t xml:space="preserve"> </w:t>
      </w:r>
    </w:p>
    <w:p w:rsidR="00EC4D2E" w:rsidRPr="00EC4D2E" w:rsidRDefault="00EC4D2E" w:rsidP="00EC4D2E">
      <w:pPr>
        <w:pStyle w:val="ListParagraph"/>
        <w:spacing w:after="200" w:line="300" w:lineRule="exact"/>
        <w:ind w:left="864" w:hanging="504"/>
        <w:rPr>
          <w:lang w:val="es-ES"/>
        </w:rPr>
      </w:pPr>
      <w:r w:rsidRPr="00EC4D2E">
        <w:rPr>
          <w:b/>
          <w:lang w:val="es-ES"/>
        </w:rPr>
        <w:t>Componente 1: Mejora de la calidad educativa (US$3,50 millones).</w:t>
      </w:r>
      <w:r w:rsidRPr="00EC4D2E">
        <w:rPr>
          <w:lang w:val="es-ES"/>
        </w:rPr>
        <w:t xml:space="preserve"> Con el fin de mejorar los resultados educativos de los alumnos de EM este componente financiará: (i) la definición de perfiles de egreso y de progresión de aprendizajes para toda la EM, considerando la trayectoria completa del estudiante y el desarrollo e implementación de un nuevo marco curricular de referencia nacional; (ii) el diseño, implementación, monitoreo y evaluación de una estrategia de expansión de la jornada escolar en EM, con el objetivo de mejorar los aprendizajes y la equidad educativa. La expansión de la jornada se plantea con dos modalidades: </w:t>
      </w:r>
      <w:r w:rsidR="00C54F3A">
        <w:rPr>
          <w:lang w:val="es-ES"/>
        </w:rPr>
        <w:t>centros educativos</w:t>
      </w:r>
      <w:r w:rsidRPr="00EC4D2E">
        <w:rPr>
          <w:lang w:val="es-ES"/>
        </w:rPr>
        <w:t xml:space="preserve"> de tiempo completo (</w:t>
      </w:r>
      <w:r w:rsidR="00C54F3A">
        <w:rPr>
          <w:lang w:val="es-ES"/>
        </w:rPr>
        <w:t>C</w:t>
      </w:r>
      <w:r w:rsidRPr="00EC4D2E">
        <w:rPr>
          <w:lang w:val="es-ES"/>
        </w:rPr>
        <w:t xml:space="preserve">TC) y </w:t>
      </w:r>
      <w:r w:rsidR="00C54F3A">
        <w:rPr>
          <w:lang w:val="es-ES"/>
        </w:rPr>
        <w:t>centros educativos</w:t>
      </w:r>
      <w:r w:rsidRPr="00EC4D2E">
        <w:rPr>
          <w:lang w:val="es-ES"/>
        </w:rPr>
        <w:t xml:space="preserve"> de tiempo extendido (</w:t>
      </w:r>
      <w:r w:rsidR="00C54F3A">
        <w:rPr>
          <w:lang w:val="es-ES"/>
        </w:rPr>
        <w:t>C</w:t>
      </w:r>
      <w:r w:rsidRPr="00EC4D2E">
        <w:rPr>
          <w:lang w:val="es-ES"/>
        </w:rPr>
        <w:t xml:space="preserve">TE). En los </w:t>
      </w:r>
      <w:r w:rsidR="00C54F3A">
        <w:rPr>
          <w:lang w:val="es-ES"/>
        </w:rPr>
        <w:t>C</w:t>
      </w:r>
      <w:r w:rsidRPr="00EC4D2E">
        <w:rPr>
          <w:lang w:val="es-ES"/>
        </w:rPr>
        <w:t xml:space="preserve">TC se propone una renovación de la propuesta educativa con una estructura curricular más flexible y diversas metodologías de enseñanza y practicas pedagógicas (con trabajo interdisciplinario y colaborativo entre los docentes), recursos pedagógicos y contenidos educativos. Los estudiantes de los </w:t>
      </w:r>
      <w:r w:rsidR="00C54F3A">
        <w:rPr>
          <w:lang w:val="es-ES"/>
        </w:rPr>
        <w:t>C</w:t>
      </w:r>
      <w:r w:rsidRPr="00EC4D2E">
        <w:rPr>
          <w:lang w:val="es-ES"/>
        </w:rPr>
        <w:t xml:space="preserve">TC permanecerán en el centro durante 8 horas diarias, y accederán a tutorías, espacios pedagógicos, talleres artísticos-culturales, espacios de trabajo con las familias, y servicios de alimentación. En los </w:t>
      </w:r>
      <w:r w:rsidR="00C54F3A">
        <w:rPr>
          <w:lang w:val="es-ES"/>
        </w:rPr>
        <w:t>C</w:t>
      </w:r>
      <w:r w:rsidRPr="00EC4D2E">
        <w:rPr>
          <w:lang w:val="es-ES"/>
        </w:rPr>
        <w:t xml:space="preserve">TE se ofrecerán alternativas de extensión de la jornada escolar, con una jornada con horario para las clases curriculares y espacios para reforzar aprendizajes curriculares a través de tutorías, actividades personalizadas y organización </w:t>
      </w:r>
      <w:r w:rsidRPr="00EC4D2E">
        <w:rPr>
          <w:lang w:val="es-ES"/>
        </w:rPr>
        <w:lastRenderedPageBreak/>
        <w:t>de talleres; y (iii) la implementación de propuestas de enseñanza a través de aulas digitales, especialmente para disciplinas con escasez de profesores.</w:t>
      </w:r>
    </w:p>
    <w:p w:rsidR="00EC4D2E" w:rsidRPr="00EC4D2E" w:rsidRDefault="00EC4D2E" w:rsidP="00EC4D2E">
      <w:pPr>
        <w:pStyle w:val="ListParagraph"/>
        <w:spacing w:after="200" w:line="300" w:lineRule="exact"/>
        <w:ind w:left="864" w:hanging="504"/>
        <w:rPr>
          <w:lang w:val="es-ES"/>
        </w:rPr>
      </w:pPr>
      <w:bookmarkStart w:id="15" w:name="_Ref394935368"/>
      <w:r w:rsidRPr="00EC4D2E">
        <w:rPr>
          <w:b/>
          <w:lang w:val="es-ES"/>
        </w:rPr>
        <w:t>Componente 2: Formación en educación (US$0,74 millones).</w:t>
      </w:r>
      <w:r w:rsidRPr="00EC4D2E">
        <w:rPr>
          <w:lang w:val="es-ES"/>
        </w:rPr>
        <w:t xml:space="preserve"> Con el objetivo de fortalecer la FI y el desarrollo profesional docente en EM, este componente financiará: (i) el desarrollo, implementación y evaluación de un nuevo plan de estudios para la FI que fortalezca la relación entre la teoría y la práctica pedagógica; defina perfiles de egreso; tenga una estructura horaria y de reconocimiento de créditos más flexible; e incorpore transversalmente los desafíos que representan las nuevas tecnologías y su uso pedagógico en el aula;  (ii) la implementación de una nueva estructura de cargos y grados de los profesores de la carrera de FI que incorpore funciones universitarias como la enseñanza, investigación y extensión en formación de grado, educación permanente y postgrado; y (iii) el diseño e implementación de un programa de inducción, acompañamiento y desarrollo profesional a docentes de EM en sus primeros años de experiencia profesional.</w:t>
      </w:r>
    </w:p>
    <w:p w:rsidR="00EC4D2E" w:rsidRPr="00EC4D2E" w:rsidRDefault="00EC4D2E" w:rsidP="00EC4D2E">
      <w:pPr>
        <w:pStyle w:val="ListParagraph"/>
        <w:spacing w:after="200" w:line="300" w:lineRule="exact"/>
        <w:ind w:left="864" w:hanging="504"/>
        <w:rPr>
          <w:lang w:val="es-ES"/>
        </w:rPr>
      </w:pPr>
      <w:r w:rsidRPr="00EC4D2E">
        <w:rPr>
          <w:b/>
          <w:lang w:val="es-ES"/>
        </w:rPr>
        <w:t>Componente 3. Integración territorial y gestión para la mejora educativa (US$8,15 millones).</w:t>
      </w:r>
      <w:r w:rsidRPr="00EC4D2E">
        <w:rPr>
          <w:lang w:val="es-ES"/>
        </w:rPr>
        <w:t xml:space="preserve"> Su objetivo es fortalecer las capacidades de ANEP y sus instancias locales, el CES y el CETP y los CE para gestionar y garantizar una educación pública de calidad. Este componente financiará: (i) la implementación y evaluación de un sistema de aseguramiento de la calidad de la EM, que incluye: (a) la identificación de actores educativos y sus funciones; (b) el fortalecimiento de las prácticas de entrega regular de información de indicadores de eficiencia interna y resultados educativos a los actores para fomentar el mejoramiento continuo, incluyendo la capacitación en la interpretación y uso de la información; y (c) el diseño de indicadores sintéticos por CE y territorio, vinculado a metas; (ii) apoyo al diseño, implementación y evaluación de un sistema de protección de las trayectorias educativas de los estudiantes que incluye el fortalecimiento de las CD y las UCDIES, la implementación de acciones de apoyo a las necesidades particulares de los CE para proteger las trayectorias a partir de los factores de riesgos educativos detectados y la incorporación de mecanismos periódicos de monitoreo a nivel local; y (iii) el fortalecimiento de los sistemas de gestión financiera-administrativa-recursos humanos y de la función directriz del CODICEN en relación a los mismos. </w:t>
      </w:r>
    </w:p>
    <w:p w:rsidR="00EC4D2E" w:rsidRPr="00EC4D2E" w:rsidRDefault="00EC4D2E" w:rsidP="00EC4D2E">
      <w:pPr>
        <w:pStyle w:val="ListParagraph"/>
        <w:spacing w:after="200" w:line="300" w:lineRule="exact"/>
        <w:ind w:left="864" w:hanging="504"/>
        <w:rPr>
          <w:lang w:val="es-ES"/>
        </w:rPr>
      </w:pPr>
      <w:r w:rsidRPr="00EC4D2E">
        <w:rPr>
          <w:b/>
          <w:lang w:val="es-ES"/>
        </w:rPr>
        <w:t>Componente 4. Infraestructura para la mejora educativa</w:t>
      </w:r>
      <w:r w:rsidRPr="00EC4D2E">
        <w:rPr>
          <w:b/>
          <w:vertAlign w:val="superscript"/>
          <w:lang w:val="es-ES"/>
        </w:rPr>
        <w:footnoteReference w:id="3"/>
      </w:r>
      <w:r w:rsidRPr="00EC4D2E">
        <w:rPr>
          <w:b/>
          <w:vertAlign w:val="superscript"/>
          <w:lang w:val="es-ES"/>
        </w:rPr>
        <w:t xml:space="preserve"> </w:t>
      </w:r>
      <w:r w:rsidRPr="00EC4D2E">
        <w:rPr>
          <w:b/>
          <w:lang w:val="es-ES"/>
        </w:rPr>
        <w:t>(US$36,47 millones).</w:t>
      </w:r>
      <w:r w:rsidRPr="00EC4D2E">
        <w:rPr>
          <w:lang w:val="es-ES"/>
        </w:rPr>
        <w:t xml:space="preserve"> Con el objetivo de aumentar la cobertura de EM y de EM de jornada ampliada, este componente financiará: (i) el diseño, construcción y equipamiento de 14 nuevos CE de EM lo que permitirá aumentar la oferta de EM en 2.525 vacantes y la oferta de EM en jornada ampliada en 1.925 vacantes</w:t>
      </w:r>
      <w:r w:rsidRPr="00EC4D2E">
        <w:rPr>
          <w:b/>
          <w:vertAlign w:val="superscript"/>
          <w:lang w:val="es-ES"/>
        </w:rPr>
        <w:footnoteReference w:id="4"/>
      </w:r>
      <w:r w:rsidRPr="00EC4D2E">
        <w:rPr>
          <w:b/>
          <w:vertAlign w:val="superscript"/>
          <w:lang w:val="es-ES"/>
        </w:rPr>
        <w:t>;</w:t>
      </w:r>
      <w:r w:rsidRPr="00EC4D2E">
        <w:rPr>
          <w:lang w:val="es-ES"/>
        </w:rPr>
        <w:t xml:space="preserve"> (ii) la ampliación y equipamiento de 14 CE de EM que beneficiará a 1.850 estudiantes</w:t>
      </w:r>
      <w:r w:rsidRPr="00EC4D2E">
        <w:rPr>
          <w:b/>
          <w:vertAlign w:val="superscript"/>
          <w:lang w:val="es-ES"/>
        </w:rPr>
        <w:footnoteReference w:id="5"/>
      </w:r>
      <w:r w:rsidRPr="00EC4D2E">
        <w:rPr>
          <w:b/>
          <w:vertAlign w:val="superscript"/>
          <w:lang w:val="es-ES"/>
        </w:rPr>
        <w:t>;</w:t>
      </w:r>
      <w:r w:rsidRPr="00EC4D2E">
        <w:rPr>
          <w:lang w:val="es-ES"/>
        </w:rPr>
        <w:t xml:space="preserve"> (iii) la ampliación y equipamiento de 13 centros de FI</w:t>
      </w:r>
      <w:r w:rsidRPr="00EC4D2E">
        <w:rPr>
          <w:b/>
          <w:vertAlign w:val="superscript"/>
          <w:lang w:val="es-ES"/>
        </w:rPr>
        <w:footnoteReference w:id="6"/>
      </w:r>
      <w:r w:rsidRPr="00EC4D2E">
        <w:rPr>
          <w:b/>
          <w:vertAlign w:val="superscript"/>
          <w:lang w:val="es-ES"/>
        </w:rPr>
        <w:t xml:space="preserve"> </w:t>
      </w:r>
      <w:r w:rsidRPr="00EC4D2E">
        <w:rPr>
          <w:lang w:val="es-ES"/>
        </w:rPr>
        <w:t xml:space="preserve">lo que permitirá aumentar la oferta de FE en 525 vacantes; y (ii) apoyo para el </w:t>
      </w:r>
      <w:r w:rsidRPr="00EC4D2E">
        <w:rPr>
          <w:lang w:val="es-ES"/>
        </w:rPr>
        <w:lastRenderedPageBreak/>
        <w:t>fortalecimiento de ANEP para gestionar Alianzas Público-Privadas en infraestructura escolar.</w:t>
      </w:r>
    </w:p>
    <w:bookmarkEnd w:id="15"/>
    <w:p w:rsidR="00EC4D2E" w:rsidRPr="00EC4D2E" w:rsidRDefault="00EC4D2E" w:rsidP="00EC4D2E">
      <w:pPr>
        <w:pStyle w:val="ListParagraph"/>
        <w:spacing w:after="200" w:line="300" w:lineRule="exact"/>
        <w:ind w:left="864" w:hanging="504"/>
        <w:rPr>
          <w:lang w:val="es-ES"/>
        </w:rPr>
      </w:pPr>
      <w:r w:rsidRPr="00EC4D2E">
        <w:rPr>
          <w:b/>
          <w:lang w:val="es-ES"/>
        </w:rPr>
        <w:t>Administración del programa (US$1,14 millones).</w:t>
      </w:r>
      <w:r w:rsidRPr="00EC4D2E">
        <w:rPr>
          <w:lang w:val="es-ES"/>
        </w:rPr>
        <w:t xml:space="preserve"> Este componente financiará la adquisición de bienes y la contratación de servicios (de consultoría y otros), necesarios para el funcionamiento de la unidad ejecutora del Programa. Asimismo, comprenderá los costos de la auditoría externa, los gastos de monitoreo y seguimiento y la evaluación intermedia y final del programa.</w:t>
      </w:r>
    </w:p>
    <w:p w:rsidR="006E0138" w:rsidRPr="004C1DEB" w:rsidRDefault="00F33547" w:rsidP="00EA4918">
      <w:pPr>
        <w:pStyle w:val="ListParagraph"/>
        <w:spacing w:after="200" w:line="300" w:lineRule="exact"/>
        <w:ind w:left="864" w:hanging="504"/>
        <w:rPr>
          <w:lang w:val="es-ES"/>
        </w:rPr>
      </w:pPr>
      <w:r w:rsidRPr="00E419F9">
        <w:rPr>
          <w:lang w:val="es-ES"/>
        </w:rPr>
        <w:t>De estos 5 componente</w:t>
      </w:r>
      <w:r w:rsidR="006E0138" w:rsidRPr="00E419F9">
        <w:rPr>
          <w:lang w:val="es-ES"/>
        </w:rPr>
        <w:t xml:space="preserve">s, el Componente 4 es el que incluye la construcción, ampliación y/o adecuación de obras </w:t>
      </w:r>
      <w:r w:rsidR="006E0138" w:rsidRPr="00E419F9">
        <w:rPr>
          <w:lang w:val="es-ES" w:eastAsia="en-US"/>
        </w:rPr>
        <w:t>de</w:t>
      </w:r>
      <w:r w:rsidR="006E0138" w:rsidRPr="00E419F9">
        <w:rPr>
          <w:lang w:val="es-ES"/>
        </w:rPr>
        <w:t xml:space="preserve"> infraestructura. En particular, el programa prevé el diseño, construcción y equipamiento de 14 nuevos centros educativos de enseñanza media (secundaria y técnico profesional), la ampliación, adecuación y</w:t>
      </w:r>
      <w:r w:rsidR="008E0DB6" w:rsidRPr="00E419F9">
        <w:rPr>
          <w:lang w:val="es-ES"/>
        </w:rPr>
        <w:t>/o</w:t>
      </w:r>
      <w:r w:rsidR="006E0138" w:rsidRPr="00E419F9">
        <w:rPr>
          <w:lang w:val="es-ES"/>
        </w:rPr>
        <w:t xml:space="preserve"> equipamiento de 14 centros educativos de enseñanza media y </w:t>
      </w:r>
      <w:r w:rsidR="008E0DB6" w:rsidRPr="00E419F9">
        <w:rPr>
          <w:lang w:val="es-ES"/>
        </w:rPr>
        <w:t xml:space="preserve">de </w:t>
      </w:r>
      <w:r w:rsidR="006E0138" w:rsidRPr="00E419F9">
        <w:rPr>
          <w:lang w:val="es-ES"/>
        </w:rPr>
        <w:t xml:space="preserve">13 de centros de formación inicial en educación. (incluyendo mobiliario, infraestructura TICs, materiales didácticos, y proyectos de inversión). </w:t>
      </w:r>
    </w:p>
    <w:p w:rsidR="00A16374" w:rsidRPr="00E419F9" w:rsidRDefault="009011BF" w:rsidP="00EA4918">
      <w:pPr>
        <w:pStyle w:val="Heading2"/>
        <w:rPr>
          <w:rFonts w:cs="Arial"/>
          <w:sz w:val="22"/>
          <w:szCs w:val="22"/>
          <w:lang w:val="es-ES"/>
        </w:rPr>
      </w:pPr>
      <w:bookmarkStart w:id="16" w:name="_Toc454878407"/>
      <w:bookmarkStart w:id="17" w:name="_Toc454878620"/>
      <w:bookmarkStart w:id="18" w:name="_Toc454878682"/>
      <w:bookmarkStart w:id="19" w:name="_Toc454878852"/>
      <w:bookmarkStart w:id="20" w:name="_Toc454878946"/>
      <w:bookmarkStart w:id="21" w:name="_Toc454878947"/>
      <w:bookmarkEnd w:id="16"/>
      <w:bookmarkEnd w:id="17"/>
      <w:bookmarkEnd w:id="18"/>
      <w:bookmarkEnd w:id="19"/>
      <w:bookmarkEnd w:id="20"/>
      <w:r w:rsidRPr="00E419F9">
        <w:rPr>
          <w:rFonts w:cs="Arial"/>
          <w:sz w:val="22"/>
          <w:szCs w:val="22"/>
          <w:lang w:val="es-ES"/>
        </w:rPr>
        <w:t>Localización y caracterización de las obras del programa</w:t>
      </w:r>
      <w:bookmarkEnd w:id="21"/>
    </w:p>
    <w:p w:rsidR="00B877C8" w:rsidRPr="00E419F9" w:rsidRDefault="00B877C8" w:rsidP="00EA4918">
      <w:pPr>
        <w:pStyle w:val="Heading3"/>
        <w:rPr>
          <w:rFonts w:cs="Arial"/>
          <w:b/>
          <w:sz w:val="22"/>
          <w:szCs w:val="22"/>
          <w:lang w:val="es-ES"/>
        </w:rPr>
      </w:pPr>
      <w:bookmarkStart w:id="22" w:name="_Toc454878948"/>
      <w:r w:rsidRPr="00E419F9">
        <w:rPr>
          <w:rFonts w:cs="Arial"/>
          <w:b/>
          <w:sz w:val="22"/>
          <w:szCs w:val="22"/>
          <w:lang w:val="es-ES"/>
        </w:rPr>
        <w:t>Listado de obras</w:t>
      </w:r>
      <w:bookmarkEnd w:id="22"/>
    </w:p>
    <w:p w:rsidR="008E0DB6" w:rsidRPr="004C1DEB" w:rsidRDefault="00392854" w:rsidP="00EA4918">
      <w:pPr>
        <w:pStyle w:val="ListParagraph"/>
        <w:spacing w:after="200" w:line="300" w:lineRule="exact"/>
        <w:ind w:left="864" w:hanging="504"/>
        <w:rPr>
          <w:lang w:val="es-ES"/>
        </w:rPr>
      </w:pPr>
      <w:r w:rsidRPr="00E419F9">
        <w:rPr>
          <w:lang w:val="es-ES"/>
        </w:rPr>
        <w:t>En la tabla</w:t>
      </w:r>
      <w:r w:rsidR="008E0DB6" w:rsidRPr="00E419F9">
        <w:rPr>
          <w:lang w:val="es-ES" w:eastAsia="en-US"/>
        </w:rPr>
        <w:t xml:space="preserve"> </w:t>
      </w:r>
      <w:r w:rsidR="008E0DB6" w:rsidRPr="00E419F9">
        <w:rPr>
          <w:lang w:val="es-ES"/>
        </w:rPr>
        <w:t>A</w:t>
      </w:r>
      <w:r w:rsidRPr="00E419F9">
        <w:rPr>
          <w:lang w:val="es-ES"/>
        </w:rPr>
        <w:t xml:space="preserve"> </w:t>
      </w:r>
      <w:r w:rsidR="008E0DB6" w:rsidRPr="00E419F9">
        <w:rPr>
          <w:lang w:val="es-ES"/>
        </w:rPr>
        <w:t xml:space="preserve">se </w:t>
      </w:r>
      <w:r w:rsidRPr="00E419F9">
        <w:rPr>
          <w:lang w:val="es-ES"/>
        </w:rPr>
        <w:t xml:space="preserve">presenta la lista de nuevas obras que serán construidas en el marco de la operación. De las 14 obras </w:t>
      </w:r>
      <w:r w:rsidRPr="00E419F9">
        <w:rPr>
          <w:lang w:val="es-ES" w:eastAsia="en-US"/>
        </w:rPr>
        <w:t>nuevas</w:t>
      </w:r>
      <w:r w:rsidRPr="00E419F9">
        <w:rPr>
          <w:lang w:val="es-ES"/>
        </w:rPr>
        <w:t xml:space="preserve"> de centros educativos de media, 4 serán de centros y escuelas de educación técnico profesional (CETP) y 10 de educación secundaria (CES). </w:t>
      </w:r>
    </w:p>
    <w:p w:rsidR="008E0DB6" w:rsidRPr="00787ECC" w:rsidRDefault="008E0DB6" w:rsidP="00EA4918">
      <w:pPr>
        <w:pStyle w:val="Caption"/>
        <w:keepNext/>
        <w:jc w:val="center"/>
        <w:rPr>
          <w:rFonts w:cs="Arial"/>
          <w:lang w:val="es-ES"/>
        </w:rPr>
      </w:pPr>
      <w:r w:rsidRPr="00787ECC">
        <w:rPr>
          <w:rFonts w:cs="Arial"/>
          <w:sz w:val="24"/>
          <w:szCs w:val="24"/>
          <w:lang w:val="es-ES"/>
        </w:rPr>
        <w:t xml:space="preserve">Tabla </w:t>
      </w:r>
      <w:r w:rsidRPr="00787ECC">
        <w:rPr>
          <w:rFonts w:cs="Arial"/>
          <w:sz w:val="24"/>
          <w:szCs w:val="24"/>
          <w:lang w:val="es-ES"/>
        </w:rPr>
        <w:fldChar w:fldCharType="begin"/>
      </w:r>
      <w:r w:rsidRPr="00787ECC">
        <w:rPr>
          <w:rFonts w:cs="Arial"/>
          <w:sz w:val="24"/>
          <w:szCs w:val="24"/>
          <w:lang w:val="es-ES"/>
        </w:rPr>
        <w:instrText xml:space="preserve"> SEQ Tabla \* ALPHABETIC </w:instrText>
      </w:r>
      <w:r w:rsidRPr="00787ECC">
        <w:rPr>
          <w:rFonts w:cs="Arial"/>
          <w:sz w:val="24"/>
          <w:szCs w:val="24"/>
          <w:lang w:val="es-ES"/>
        </w:rPr>
        <w:fldChar w:fldCharType="separate"/>
      </w:r>
      <w:r w:rsidR="00A24918" w:rsidRPr="00787ECC">
        <w:rPr>
          <w:rFonts w:cs="Arial"/>
          <w:noProof/>
          <w:sz w:val="24"/>
          <w:szCs w:val="24"/>
          <w:lang w:val="es-ES"/>
        </w:rPr>
        <w:t>A</w:t>
      </w:r>
      <w:r w:rsidRPr="00787ECC">
        <w:rPr>
          <w:rFonts w:cs="Arial"/>
          <w:sz w:val="24"/>
          <w:szCs w:val="24"/>
          <w:lang w:val="es-ES"/>
        </w:rPr>
        <w:fldChar w:fldCharType="end"/>
      </w:r>
      <w:r w:rsidRPr="00787ECC">
        <w:rPr>
          <w:rFonts w:cs="Arial"/>
          <w:sz w:val="24"/>
          <w:szCs w:val="24"/>
          <w:lang w:val="es-ES"/>
        </w:rPr>
        <w:t>. Construcción de centros CES y CETP</w:t>
      </w:r>
    </w:p>
    <w:tbl>
      <w:tblPr>
        <w:tblW w:w="661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5748"/>
      </w:tblGrid>
      <w:tr w:rsidR="008E0DB6" w:rsidRPr="00787ECC" w:rsidTr="00EA4918">
        <w:trPr>
          <w:trHeight w:val="255"/>
          <w:jc w:val="center"/>
        </w:trPr>
        <w:tc>
          <w:tcPr>
            <w:tcW w:w="865" w:type="dxa"/>
            <w:shd w:val="pct10" w:color="auto" w:fill="auto"/>
            <w:vAlign w:val="center"/>
          </w:tcPr>
          <w:p w:rsidR="008E0DB6" w:rsidRPr="00787ECC" w:rsidRDefault="008E0DB6" w:rsidP="006E0138">
            <w:pPr>
              <w:spacing w:after="0"/>
              <w:rPr>
                <w:rFonts w:cs="Arial"/>
                <w:color w:val="000000"/>
                <w:sz w:val="20"/>
                <w:szCs w:val="20"/>
                <w:lang w:val="es-ES"/>
              </w:rPr>
            </w:pPr>
            <w:r w:rsidRPr="00787ECC">
              <w:rPr>
                <w:rFonts w:cs="Arial"/>
                <w:color w:val="000000"/>
                <w:sz w:val="20"/>
                <w:szCs w:val="20"/>
                <w:lang w:val="es-ES"/>
              </w:rPr>
              <w:t>Consejo</w:t>
            </w:r>
          </w:p>
        </w:tc>
        <w:tc>
          <w:tcPr>
            <w:tcW w:w="5748" w:type="dxa"/>
            <w:shd w:val="pct10" w:color="auto" w:fill="auto"/>
            <w:noWrap/>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Nombre</w:t>
            </w:r>
            <w:r w:rsidR="0005689B">
              <w:rPr>
                <w:rFonts w:eastAsia="Times New Roman" w:cs="Arial"/>
                <w:color w:val="000000"/>
                <w:sz w:val="20"/>
                <w:szCs w:val="20"/>
                <w:lang w:val="es-ES" w:eastAsia="en-US"/>
              </w:rPr>
              <w:t xml:space="preserve"> de la obra</w:t>
            </w:r>
          </w:p>
        </w:tc>
      </w:tr>
      <w:tr w:rsidR="00B877C8" w:rsidRPr="00C54F3A"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5748" w:type="dxa"/>
            <w:shd w:val="clear" w:color="auto" w:fill="auto"/>
            <w:noWrap/>
            <w:vAlign w:val="center"/>
            <w:hideMark/>
          </w:tcPr>
          <w:p w:rsidR="00B877C8" w:rsidRPr="00787ECC" w:rsidRDefault="00B877C8" w:rsidP="007741DC">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CBT Flor de Maroñas (calle Sebastopol al lado de la nueva Esc 181)</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Esc. Agr. de Montes</w:t>
            </w:r>
          </w:p>
        </w:tc>
      </w:tr>
      <w:tr w:rsidR="00B877C8" w:rsidRPr="00C54F3A"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Esc. Téc. Bella Unión Nº 2</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Esc. Téc. de Casavalle</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Barrio Capra</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Barrio Manga</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Colonia Nicolich</w:t>
            </w:r>
          </w:p>
        </w:tc>
      </w:tr>
      <w:tr w:rsidR="00B877C8" w:rsidRPr="00C54F3A"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Paso de la Arena</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Punta de Rieles</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San Antonio</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El Polvorín Cerro</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Flor de Maroñas (lindero a la esc.330)</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787ECC" w:rsidRDefault="00B877C8"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N° 3 de El Pinar</w:t>
            </w:r>
          </w:p>
        </w:tc>
      </w:tr>
      <w:tr w:rsidR="00B877C8" w:rsidRPr="00787ECC" w:rsidTr="00EA4918">
        <w:trPr>
          <w:trHeight w:val="255"/>
          <w:jc w:val="center"/>
        </w:trPr>
        <w:tc>
          <w:tcPr>
            <w:tcW w:w="865" w:type="dxa"/>
            <w:vAlign w:val="center"/>
          </w:tcPr>
          <w:p w:rsidR="00B877C8" w:rsidRPr="00787ECC" w:rsidRDefault="00B877C8"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5748" w:type="dxa"/>
            <w:shd w:val="clear" w:color="auto" w:fill="auto"/>
            <w:noWrap/>
            <w:vAlign w:val="center"/>
            <w:hideMark/>
          </w:tcPr>
          <w:p w:rsidR="00B877C8" w:rsidRPr="00E419F9" w:rsidRDefault="00B877C8" w:rsidP="006E0138">
            <w:pPr>
              <w:spacing w:after="0"/>
              <w:rPr>
                <w:rFonts w:eastAsia="Times New Roman" w:cs="Arial"/>
                <w:color w:val="000000"/>
                <w:sz w:val="20"/>
                <w:szCs w:val="20"/>
                <w:lang w:eastAsia="en-US"/>
              </w:rPr>
            </w:pPr>
            <w:r w:rsidRPr="00E419F9">
              <w:rPr>
                <w:rFonts w:eastAsia="Times New Roman" w:cs="Arial"/>
                <w:color w:val="000000"/>
                <w:sz w:val="20"/>
                <w:szCs w:val="20"/>
                <w:lang w:eastAsia="en-US"/>
              </w:rPr>
              <w:t>Liceo Parque Cauceglia terr.Esc. N° 371</w:t>
            </w:r>
          </w:p>
        </w:tc>
      </w:tr>
    </w:tbl>
    <w:p w:rsidR="00392854" w:rsidRPr="004C1DEB" w:rsidRDefault="00392854" w:rsidP="00EA4918">
      <w:pPr>
        <w:pStyle w:val="ListParagraph"/>
        <w:spacing w:after="200" w:line="300" w:lineRule="exact"/>
        <w:ind w:left="864" w:hanging="504"/>
        <w:rPr>
          <w:lang w:val="es-ES"/>
        </w:rPr>
      </w:pPr>
      <w:r w:rsidRPr="00E419F9">
        <w:rPr>
          <w:lang w:val="es-ES"/>
        </w:rPr>
        <w:t>La tabla</w:t>
      </w:r>
      <w:r w:rsidRPr="00E419F9">
        <w:rPr>
          <w:lang w:val="es-ES" w:eastAsia="en-US"/>
        </w:rPr>
        <w:t xml:space="preserve"> </w:t>
      </w:r>
      <w:r w:rsidRPr="00E419F9">
        <w:rPr>
          <w:lang w:val="es-ES"/>
        </w:rPr>
        <w:t xml:space="preserve">B presenta la lista de ampliaciones y adecuaciones que se realizarán en el marco de la </w:t>
      </w:r>
      <w:r w:rsidRPr="00E419F9">
        <w:rPr>
          <w:lang w:val="es-ES" w:eastAsia="en-US"/>
        </w:rPr>
        <w:t>operación</w:t>
      </w:r>
      <w:r w:rsidRPr="00E419F9">
        <w:rPr>
          <w:lang w:val="es-ES"/>
        </w:rPr>
        <w:t xml:space="preserve">. De las 14 ampliaciones y adecuaciones de centros de educación media, 2 serán de educación técnico profesional y 12 de educación secundaria. </w:t>
      </w:r>
      <w:r w:rsidR="0005689B" w:rsidRPr="00E419F9">
        <w:rPr>
          <w:lang w:val="es-ES"/>
        </w:rPr>
        <w:t>S</w:t>
      </w:r>
      <w:r w:rsidR="0005689B">
        <w:rPr>
          <w:lang w:val="es-ES"/>
        </w:rPr>
        <w:t>on</w:t>
      </w:r>
      <w:r w:rsidR="0005689B" w:rsidRPr="00E419F9">
        <w:rPr>
          <w:lang w:val="es-ES"/>
        </w:rPr>
        <w:t xml:space="preserve"> </w:t>
      </w:r>
      <w:r w:rsidRPr="00E419F9">
        <w:rPr>
          <w:lang w:val="es-ES"/>
        </w:rPr>
        <w:t xml:space="preserve">13 los centros de formación en educación (CFE) que serán ampliados o adecuados. </w:t>
      </w:r>
    </w:p>
    <w:p w:rsidR="008E0DB6" w:rsidRPr="00787ECC" w:rsidRDefault="008E0DB6" w:rsidP="00A24918">
      <w:pPr>
        <w:pStyle w:val="Caption"/>
        <w:keepNext/>
        <w:keepLines/>
        <w:jc w:val="center"/>
        <w:rPr>
          <w:rFonts w:cs="Arial"/>
          <w:lang w:val="es-ES"/>
        </w:rPr>
      </w:pPr>
      <w:r w:rsidRPr="00787ECC">
        <w:rPr>
          <w:rFonts w:cs="Arial"/>
          <w:sz w:val="24"/>
          <w:szCs w:val="24"/>
          <w:lang w:val="es-ES"/>
        </w:rPr>
        <w:lastRenderedPageBreak/>
        <w:t xml:space="preserve">Tabla </w:t>
      </w:r>
      <w:r w:rsidRPr="00787ECC">
        <w:rPr>
          <w:rFonts w:cs="Arial"/>
          <w:sz w:val="24"/>
          <w:szCs w:val="24"/>
          <w:lang w:val="es-ES"/>
        </w:rPr>
        <w:fldChar w:fldCharType="begin"/>
      </w:r>
      <w:r w:rsidRPr="00787ECC">
        <w:rPr>
          <w:rFonts w:cs="Arial"/>
          <w:sz w:val="24"/>
          <w:szCs w:val="24"/>
          <w:lang w:val="es-ES"/>
        </w:rPr>
        <w:instrText xml:space="preserve"> SEQ Tabla \* ALPHABETIC </w:instrText>
      </w:r>
      <w:r w:rsidRPr="00787ECC">
        <w:rPr>
          <w:rFonts w:cs="Arial"/>
          <w:sz w:val="24"/>
          <w:szCs w:val="24"/>
          <w:lang w:val="es-ES"/>
        </w:rPr>
        <w:fldChar w:fldCharType="separate"/>
      </w:r>
      <w:r w:rsidR="00A24918" w:rsidRPr="00787ECC">
        <w:rPr>
          <w:rFonts w:cs="Arial"/>
          <w:noProof/>
          <w:sz w:val="24"/>
          <w:szCs w:val="24"/>
          <w:lang w:val="es-ES"/>
        </w:rPr>
        <w:t>B</w:t>
      </w:r>
      <w:r w:rsidRPr="00787ECC">
        <w:rPr>
          <w:rFonts w:cs="Arial"/>
          <w:sz w:val="24"/>
          <w:szCs w:val="24"/>
          <w:lang w:val="es-ES"/>
        </w:rPr>
        <w:fldChar w:fldCharType="end"/>
      </w:r>
      <w:r w:rsidRPr="00787ECC">
        <w:rPr>
          <w:rFonts w:cs="Arial"/>
          <w:sz w:val="24"/>
          <w:szCs w:val="24"/>
          <w:lang w:val="es-ES"/>
        </w:rPr>
        <w:t>. Ampliación y adecuación de centros CES, CETP y CFE</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759"/>
        <w:gridCol w:w="1105"/>
        <w:gridCol w:w="990"/>
        <w:gridCol w:w="2546"/>
      </w:tblGrid>
      <w:tr w:rsidR="008E0DB6" w:rsidRPr="00787ECC" w:rsidTr="00787ECC">
        <w:trPr>
          <w:trHeight w:val="255"/>
          <w:jc w:val="center"/>
        </w:trPr>
        <w:tc>
          <w:tcPr>
            <w:tcW w:w="964" w:type="dxa"/>
            <w:shd w:val="pct10" w:color="auto" w:fill="auto"/>
            <w:vAlign w:val="center"/>
          </w:tcPr>
          <w:p w:rsidR="008E0DB6" w:rsidRPr="00787ECC" w:rsidRDefault="008E0DB6" w:rsidP="00787ECC">
            <w:pPr>
              <w:keepNext/>
              <w:keepLines/>
              <w:spacing w:after="0"/>
              <w:rPr>
                <w:rFonts w:cs="Arial"/>
                <w:color w:val="000000"/>
                <w:sz w:val="20"/>
                <w:szCs w:val="20"/>
                <w:lang w:val="es-ES"/>
              </w:rPr>
            </w:pPr>
            <w:r w:rsidRPr="00787ECC">
              <w:rPr>
                <w:rFonts w:cs="Arial"/>
                <w:color w:val="000000"/>
                <w:sz w:val="20"/>
                <w:szCs w:val="20"/>
                <w:lang w:val="es-ES"/>
              </w:rPr>
              <w:t>Consejo</w:t>
            </w:r>
          </w:p>
        </w:tc>
        <w:tc>
          <w:tcPr>
            <w:tcW w:w="2759" w:type="dxa"/>
            <w:tcBorders>
              <w:right w:val="single" w:sz="4" w:space="0" w:color="auto"/>
            </w:tcBorders>
            <w:shd w:val="pct10" w:color="auto" w:fill="auto"/>
            <w:noWrap/>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Nombre</w:t>
            </w:r>
            <w:r w:rsidR="0005689B">
              <w:rPr>
                <w:rFonts w:eastAsia="Times New Roman" w:cs="Arial"/>
                <w:color w:val="000000"/>
                <w:sz w:val="20"/>
                <w:szCs w:val="20"/>
                <w:lang w:val="es-ES" w:eastAsia="en-US"/>
              </w:rPr>
              <w:t xml:space="preserve"> de la obra</w:t>
            </w:r>
          </w:p>
        </w:tc>
        <w:tc>
          <w:tcPr>
            <w:tcW w:w="1105" w:type="dxa"/>
            <w:tcBorders>
              <w:top w:val="nil"/>
              <w:left w:val="single" w:sz="4" w:space="0" w:color="auto"/>
              <w:bottom w:val="nil"/>
              <w:right w:val="single" w:sz="4" w:space="0" w:color="auto"/>
            </w:tcBorders>
          </w:tcPr>
          <w:p w:rsidR="008E0DB6" w:rsidRPr="00787ECC" w:rsidRDefault="008E0DB6" w:rsidP="00787ECC">
            <w:pPr>
              <w:keepNext/>
              <w:keepLines/>
              <w:spacing w:after="0"/>
              <w:rPr>
                <w:rFonts w:eastAsia="Times New Roman" w:cs="Arial"/>
                <w:color w:val="000000"/>
                <w:sz w:val="20"/>
                <w:szCs w:val="20"/>
                <w:lang w:val="es-ES" w:eastAsia="en-US"/>
              </w:rPr>
            </w:pPr>
          </w:p>
        </w:tc>
        <w:tc>
          <w:tcPr>
            <w:tcW w:w="990" w:type="dxa"/>
            <w:tcBorders>
              <w:left w:val="single" w:sz="4" w:space="0" w:color="auto"/>
            </w:tcBorders>
            <w:shd w:val="pct10" w:color="auto" w:fill="auto"/>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cs="Arial"/>
                <w:color w:val="000000"/>
                <w:sz w:val="20"/>
                <w:szCs w:val="20"/>
                <w:lang w:val="es-ES"/>
              </w:rPr>
              <w:t>Consejo</w:t>
            </w:r>
          </w:p>
        </w:tc>
        <w:tc>
          <w:tcPr>
            <w:tcW w:w="2546" w:type="dxa"/>
            <w:shd w:val="pct10" w:color="auto" w:fill="auto"/>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Nombre</w:t>
            </w:r>
            <w:r w:rsidR="0005689B">
              <w:rPr>
                <w:rFonts w:eastAsia="Times New Roman" w:cs="Arial"/>
                <w:color w:val="000000"/>
                <w:sz w:val="20"/>
                <w:szCs w:val="20"/>
                <w:lang w:val="es-ES" w:eastAsia="en-US"/>
              </w:rPr>
              <w:t xml:space="preserve"> de la obra</w:t>
            </w:r>
          </w:p>
        </w:tc>
      </w:tr>
      <w:tr w:rsidR="008E0DB6" w:rsidRPr="00787ECC" w:rsidTr="00787ECC">
        <w:trPr>
          <w:trHeight w:val="255"/>
          <w:jc w:val="center"/>
        </w:trPr>
        <w:tc>
          <w:tcPr>
            <w:tcW w:w="964" w:type="dxa"/>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Rosario</w:t>
            </w:r>
          </w:p>
        </w:tc>
        <w:tc>
          <w:tcPr>
            <w:tcW w:w="1105" w:type="dxa"/>
            <w:tcBorders>
              <w:top w:val="nil"/>
              <w:left w:val="single" w:sz="4" w:space="0" w:color="auto"/>
              <w:bottom w:val="nil"/>
              <w:right w:val="single" w:sz="4" w:space="0" w:color="auto"/>
            </w:tcBorders>
          </w:tcPr>
          <w:p w:rsidR="008E0DB6" w:rsidRPr="00787ECC" w:rsidRDefault="008E0DB6" w:rsidP="00787ECC">
            <w:pPr>
              <w:keepNext/>
              <w:keepLines/>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IPA</w:t>
            </w:r>
          </w:p>
        </w:tc>
      </w:tr>
      <w:tr w:rsidR="008E0DB6" w:rsidRPr="00787ECC" w:rsidTr="00787ECC">
        <w:trPr>
          <w:trHeight w:val="255"/>
          <w:jc w:val="center"/>
        </w:trPr>
        <w:tc>
          <w:tcPr>
            <w:tcW w:w="964" w:type="dxa"/>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2759" w:type="dxa"/>
            <w:tcBorders>
              <w:right w:val="single" w:sz="4" w:space="0" w:color="auto"/>
            </w:tcBorders>
            <w:shd w:val="clear" w:color="auto" w:fill="auto"/>
            <w:noWrap/>
            <w:vAlign w:val="center"/>
            <w:hideMark/>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Esc. Agr. de Minas de Corrales</w:t>
            </w:r>
          </w:p>
        </w:tc>
        <w:tc>
          <w:tcPr>
            <w:tcW w:w="1105" w:type="dxa"/>
            <w:tcBorders>
              <w:top w:val="nil"/>
              <w:left w:val="single" w:sz="4" w:space="0" w:color="auto"/>
              <w:bottom w:val="nil"/>
              <w:right w:val="single" w:sz="4" w:space="0" w:color="auto"/>
            </w:tcBorders>
          </w:tcPr>
          <w:p w:rsidR="008E0DB6" w:rsidRPr="00787ECC" w:rsidRDefault="008E0DB6" w:rsidP="00787ECC">
            <w:pPr>
              <w:keepNext/>
              <w:keepLines/>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787ECC">
            <w:pPr>
              <w:keepNext/>
              <w:keepLines/>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Canelones</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CETP</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Esc. Téc. de Fraile Muerto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CERP del Suroeste</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Las Piedras Nº3</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Artigas</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Canelon Chico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Trinidad</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Cerro Pelado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Florida</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Fraile Muerto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San José</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Joaquín Suarez</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CeRP del Sur (Atlántida)</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E419F9" w:rsidRDefault="008E0DB6" w:rsidP="006E0138">
            <w:pPr>
              <w:spacing w:after="0"/>
              <w:rPr>
                <w:rFonts w:eastAsia="Times New Roman" w:cs="Arial"/>
                <w:color w:val="000000"/>
                <w:sz w:val="20"/>
                <w:szCs w:val="20"/>
                <w:lang w:eastAsia="en-US"/>
              </w:rPr>
            </w:pPr>
            <w:r w:rsidRPr="00E419F9">
              <w:rPr>
                <w:rFonts w:eastAsia="Times New Roman" w:cs="Arial"/>
                <w:color w:val="000000"/>
                <w:sz w:val="20"/>
                <w:szCs w:val="20"/>
                <w:lang w:eastAsia="en-US"/>
              </w:rPr>
              <w:t>Liceo de José E. Rodó</w:t>
            </w:r>
          </w:p>
        </w:tc>
        <w:tc>
          <w:tcPr>
            <w:tcW w:w="1105" w:type="dxa"/>
            <w:tcBorders>
              <w:top w:val="nil"/>
              <w:left w:val="single" w:sz="4" w:space="0" w:color="auto"/>
              <w:bottom w:val="nil"/>
              <w:right w:val="single" w:sz="4" w:space="0" w:color="auto"/>
            </w:tcBorders>
          </w:tcPr>
          <w:p w:rsidR="008E0DB6" w:rsidRPr="00E419F9" w:rsidRDefault="008E0DB6" w:rsidP="006E0138">
            <w:pPr>
              <w:spacing w:after="0"/>
              <w:rPr>
                <w:rFonts w:eastAsia="Times New Roman" w:cs="Arial"/>
                <w:color w:val="000000"/>
                <w:sz w:val="20"/>
                <w:szCs w:val="20"/>
                <w:lang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CeRP del Norte (Rivera)</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de Quebracho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Mercedes</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Nº 5 de Las Piedras</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Minas</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Liceo Nº19 Montevideo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Salto</w:t>
            </w:r>
          </w:p>
        </w:tc>
      </w:tr>
      <w:tr w:rsidR="008E0DB6" w:rsidRPr="00C54F3A"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San Gregorio de Polanco</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CFE</w:t>
            </w:r>
          </w:p>
        </w:tc>
        <w:tc>
          <w:tcPr>
            <w:tcW w:w="2546"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IFD de Treinta y Tres</w:t>
            </w:r>
          </w:p>
        </w:tc>
      </w:tr>
      <w:tr w:rsidR="008E0DB6" w:rsidRPr="00787ECC" w:rsidTr="00787ECC">
        <w:trPr>
          <w:trHeight w:val="255"/>
          <w:jc w:val="center"/>
        </w:trPr>
        <w:tc>
          <w:tcPr>
            <w:tcW w:w="964" w:type="dxa"/>
            <w:vAlign w:val="center"/>
          </w:tcPr>
          <w:p w:rsidR="008E0DB6" w:rsidRPr="00787ECC" w:rsidRDefault="008E0DB6" w:rsidP="006E0138">
            <w:pPr>
              <w:spacing w:after="0"/>
              <w:rPr>
                <w:rFonts w:eastAsia="Times New Roman" w:cs="Arial"/>
                <w:color w:val="000000"/>
                <w:sz w:val="20"/>
                <w:szCs w:val="20"/>
                <w:lang w:val="es-ES" w:eastAsia="en-US"/>
              </w:rPr>
            </w:pPr>
            <w:r w:rsidRPr="00787ECC">
              <w:rPr>
                <w:rFonts w:cs="Arial"/>
                <w:color w:val="000000"/>
                <w:sz w:val="20"/>
                <w:szCs w:val="20"/>
                <w:lang w:val="es-ES"/>
              </w:rPr>
              <w:t>CES</w:t>
            </w:r>
          </w:p>
        </w:tc>
        <w:tc>
          <w:tcPr>
            <w:tcW w:w="2759" w:type="dxa"/>
            <w:tcBorders>
              <w:right w:val="single" w:sz="4" w:space="0" w:color="auto"/>
            </w:tcBorders>
            <w:shd w:val="clear" w:color="auto" w:fill="auto"/>
            <w:noWrap/>
            <w:vAlign w:val="center"/>
            <w:hideMark/>
          </w:tcPr>
          <w:p w:rsidR="008E0DB6" w:rsidRPr="00787ECC" w:rsidRDefault="008E0DB6" w:rsidP="006E0138">
            <w:pPr>
              <w:spacing w:after="0"/>
              <w:rPr>
                <w:rFonts w:eastAsia="Times New Roman" w:cs="Arial"/>
                <w:color w:val="000000"/>
                <w:sz w:val="20"/>
                <w:szCs w:val="20"/>
                <w:lang w:val="es-ES" w:eastAsia="en-US"/>
              </w:rPr>
            </w:pPr>
            <w:r w:rsidRPr="00787ECC">
              <w:rPr>
                <w:rFonts w:eastAsia="Times New Roman" w:cs="Arial"/>
                <w:color w:val="000000"/>
                <w:sz w:val="20"/>
                <w:szCs w:val="20"/>
                <w:lang w:val="es-ES" w:eastAsia="en-US"/>
              </w:rPr>
              <w:t>Santa Lucía Nº2</w:t>
            </w:r>
          </w:p>
        </w:tc>
        <w:tc>
          <w:tcPr>
            <w:tcW w:w="1105" w:type="dxa"/>
            <w:tcBorders>
              <w:top w:val="nil"/>
              <w:left w:val="single" w:sz="4" w:space="0" w:color="auto"/>
              <w:bottom w:val="nil"/>
              <w:righ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990" w:type="dxa"/>
            <w:tcBorders>
              <w:left w:val="single" w:sz="4" w:space="0" w:color="auto"/>
            </w:tcBorders>
          </w:tcPr>
          <w:p w:rsidR="008E0DB6" w:rsidRPr="00787ECC" w:rsidRDefault="008E0DB6" w:rsidP="006E0138">
            <w:pPr>
              <w:spacing w:after="0"/>
              <w:rPr>
                <w:rFonts w:eastAsia="Times New Roman" w:cs="Arial"/>
                <w:color w:val="000000"/>
                <w:sz w:val="20"/>
                <w:szCs w:val="20"/>
                <w:lang w:val="es-ES" w:eastAsia="en-US"/>
              </w:rPr>
            </w:pPr>
          </w:p>
        </w:tc>
        <w:tc>
          <w:tcPr>
            <w:tcW w:w="2546" w:type="dxa"/>
          </w:tcPr>
          <w:p w:rsidR="008E0DB6" w:rsidRPr="00787ECC" w:rsidRDefault="008E0DB6" w:rsidP="006E0138">
            <w:pPr>
              <w:spacing w:after="0"/>
              <w:rPr>
                <w:rFonts w:eastAsia="Times New Roman" w:cs="Arial"/>
                <w:color w:val="000000"/>
                <w:sz w:val="20"/>
                <w:szCs w:val="20"/>
                <w:lang w:val="es-ES" w:eastAsia="en-US"/>
              </w:rPr>
            </w:pPr>
          </w:p>
        </w:tc>
      </w:tr>
    </w:tbl>
    <w:p w:rsidR="00B877C8" w:rsidRPr="00787ECC" w:rsidRDefault="00B877C8" w:rsidP="00EA4918">
      <w:pPr>
        <w:rPr>
          <w:rFonts w:cs="Arial"/>
          <w:lang w:val="es-ES"/>
        </w:rPr>
      </w:pPr>
    </w:p>
    <w:p w:rsidR="00B877C8" w:rsidRPr="00E419F9" w:rsidRDefault="00B877C8" w:rsidP="00EA4918">
      <w:pPr>
        <w:pStyle w:val="Heading3"/>
        <w:rPr>
          <w:rFonts w:cs="Arial"/>
          <w:sz w:val="22"/>
          <w:szCs w:val="22"/>
          <w:lang w:val="es-ES"/>
        </w:rPr>
      </w:pPr>
      <w:bookmarkStart w:id="23" w:name="_Toc454878949"/>
      <w:r w:rsidRPr="00E419F9">
        <w:rPr>
          <w:rFonts w:cs="Arial"/>
          <w:b/>
          <w:sz w:val="22"/>
          <w:szCs w:val="22"/>
          <w:lang w:val="es-ES"/>
        </w:rPr>
        <w:t>Localización de las obras</w:t>
      </w:r>
      <w:bookmarkEnd w:id="23"/>
    </w:p>
    <w:p w:rsidR="00787ECC" w:rsidRPr="0005689B" w:rsidRDefault="00C727C1" w:rsidP="00787ECC">
      <w:pPr>
        <w:pStyle w:val="ListParagraph"/>
        <w:spacing w:after="200" w:line="300" w:lineRule="exact"/>
        <w:ind w:left="864" w:hanging="504"/>
        <w:rPr>
          <w:lang w:val="es-ES"/>
        </w:rPr>
      </w:pPr>
      <w:r w:rsidRPr="00E419F9">
        <w:rPr>
          <w:lang w:val="es-ES"/>
        </w:rPr>
        <w:t>La localización de las obras de ampliación y adecuación de centros fue definida por las autoridades de la A</w:t>
      </w:r>
      <w:r w:rsidR="00787ECC" w:rsidRPr="00E419F9">
        <w:rPr>
          <w:lang w:val="es-ES"/>
        </w:rPr>
        <w:t>NEP</w:t>
      </w:r>
      <w:r w:rsidRPr="00E419F9">
        <w:rPr>
          <w:lang w:val="es-ES"/>
        </w:rPr>
        <w:t xml:space="preserve">, </w:t>
      </w:r>
      <w:r w:rsidR="00787ECC" w:rsidRPr="00E419F9">
        <w:rPr>
          <w:lang w:val="es-ES"/>
        </w:rPr>
        <w:t xml:space="preserve">en el marco de la elaboración del plan de obras de la institución </w:t>
      </w:r>
      <w:r w:rsidRPr="00E419F9">
        <w:rPr>
          <w:lang w:val="es-ES"/>
        </w:rPr>
        <w:t xml:space="preserve">considerando las demandas insatisfechas de cobertura y necesidades de intervenciones edilicias. Se localizarán en el predio donde funciona el centro educativo existente. </w:t>
      </w:r>
    </w:p>
    <w:p w:rsidR="00787ECC" w:rsidRPr="0005689B" w:rsidRDefault="00C727C1" w:rsidP="00787ECC">
      <w:pPr>
        <w:pStyle w:val="ListParagraph"/>
        <w:spacing w:after="200" w:line="300" w:lineRule="exact"/>
        <w:ind w:left="864" w:hanging="504"/>
        <w:rPr>
          <w:lang w:val="es-ES"/>
        </w:rPr>
      </w:pPr>
      <w:r w:rsidRPr="00E419F9">
        <w:rPr>
          <w:lang w:val="es-ES"/>
        </w:rPr>
        <w:t>La localización de las obras de construcción de centros fue definida por las autoridades de la A</w:t>
      </w:r>
      <w:r w:rsidR="00787ECC" w:rsidRPr="00E419F9">
        <w:rPr>
          <w:lang w:val="es-ES"/>
        </w:rPr>
        <w:t>NEP</w:t>
      </w:r>
      <w:r w:rsidRPr="00E419F9">
        <w:rPr>
          <w:lang w:val="es-ES"/>
        </w:rPr>
        <w:t>. Persiguiendo el logro del cumplimiento de las metas en cobertura (con un análisis en términos de oferta y demanda) planteadas institucionalmente en el Plan quinquenal de la institución</w:t>
      </w:r>
      <w:r w:rsidR="00787ECC" w:rsidRPr="00E419F9">
        <w:rPr>
          <w:lang w:val="es-ES"/>
        </w:rPr>
        <w:t xml:space="preserve"> y su correspondiente plan de obras</w:t>
      </w:r>
      <w:r w:rsidRPr="00E419F9">
        <w:rPr>
          <w:lang w:val="es-ES"/>
        </w:rPr>
        <w:t xml:space="preserve">, se definieron los centros educativos a construir y su asignación por </w:t>
      </w:r>
      <w:r w:rsidR="00787ECC" w:rsidRPr="00E419F9">
        <w:rPr>
          <w:lang w:val="es-ES"/>
        </w:rPr>
        <w:t>consejo desconcentrado</w:t>
      </w:r>
      <w:r w:rsidRPr="00E419F9">
        <w:rPr>
          <w:lang w:val="es-ES"/>
        </w:rPr>
        <w:t xml:space="preserve">. </w:t>
      </w:r>
    </w:p>
    <w:p w:rsidR="00787ECC" w:rsidRPr="0005689B" w:rsidRDefault="00C727C1" w:rsidP="00787ECC">
      <w:pPr>
        <w:pStyle w:val="ListParagraph"/>
        <w:spacing w:after="200" w:line="300" w:lineRule="exact"/>
        <w:ind w:left="864" w:hanging="504"/>
        <w:rPr>
          <w:lang w:val="es-ES"/>
        </w:rPr>
      </w:pPr>
      <w:r w:rsidRPr="00E419F9">
        <w:rPr>
          <w:lang w:val="es-ES"/>
        </w:rPr>
        <w:t xml:space="preserve">Está previsto el emplazamiento en ambientes previamente modificados por actividades antrópicas, de propiedades públicas, desprovistas de flora y fauna que sea considerada sensible, en riesgo o en amenaza. Además, todas las obras propuestas en el Programa estarán ubicadas en sitios en los cuales se tenga acceso a los servicios básicos indispensables para este tipo de infraestructura tales como: agua potable, sistema de colección pública de aguas servidas o un sistema propio técnicamente viable y seguro de disposición final, energía eléctrica, vías de acceso, y servicio de recolección de desechos sólidos domésticos. </w:t>
      </w:r>
    </w:p>
    <w:p w:rsidR="00787ECC" w:rsidRPr="0005689B" w:rsidRDefault="00C727C1" w:rsidP="00787ECC">
      <w:pPr>
        <w:pStyle w:val="ListParagraph"/>
        <w:spacing w:after="200" w:line="300" w:lineRule="exact"/>
        <w:ind w:left="864" w:hanging="504"/>
        <w:rPr>
          <w:lang w:val="es-ES"/>
        </w:rPr>
      </w:pPr>
      <w:r w:rsidRPr="00E419F9">
        <w:rPr>
          <w:lang w:val="es-ES"/>
        </w:rPr>
        <w:t>Los proyectos para construcción</w:t>
      </w:r>
      <w:r w:rsidR="00787ECC" w:rsidRPr="00E419F9">
        <w:rPr>
          <w:lang w:val="es-ES"/>
        </w:rPr>
        <w:t xml:space="preserve"> o </w:t>
      </w:r>
      <w:r w:rsidRPr="00E419F9">
        <w:rPr>
          <w:lang w:val="es-ES"/>
        </w:rPr>
        <w:t xml:space="preserve">ampliación a desarrollar, consideran pautas constructivas y de sostenibilidad apropiadas. Los espacios educativos serán funcionales, amigables, seguros, accesibles y confortables. </w:t>
      </w:r>
    </w:p>
    <w:p w:rsidR="00787ECC" w:rsidRPr="0005689B" w:rsidRDefault="00C727C1" w:rsidP="00787ECC">
      <w:pPr>
        <w:pStyle w:val="ListParagraph"/>
        <w:spacing w:after="200" w:line="300" w:lineRule="exact"/>
        <w:ind w:left="864" w:hanging="504"/>
        <w:rPr>
          <w:lang w:val="es-ES"/>
        </w:rPr>
      </w:pPr>
      <w:r w:rsidRPr="00E419F9">
        <w:rPr>
          <w:lang w:val="es-ES"/>
        </w:rPr>
        <w:t>Desde el punto de vista constructivo, se busca la simplicidad de las soluciones y el empleo de materiales nobles que admitan un uso intenso, minimizando el mantenimiento. Se incorpora el uso eficiente de las energías, considerando el asoleamiento y el control solar, incorporando aislaciones térmicas y ventilaciones cruzadas y de invierno - verano.</w:t>
      </w:r>
    </w:p>
    <w:p w:rsidR="00787ECC" w:rsidRPr="0005689B" w:rsidRDefault="00C727C1" w:rsidP="00787ECC">
      <w:pPr>
        <w:pStyle w:val="ListParagraph"/>
        <w:spacing w:after="200" w:line="300" w:lineRule="exact"/>
        <w:ind w:left="864" w:hanging="504"/>
        <w:rPr>
          <w:lang w:val="es-ES"/>
        </w:rPr>
      </w:pPr>
      <w:r w:rsidRPr="00E419F9">
        <w:rPr>
          <w:lang w:val="es-ES"/>
        </w:rPr>
        <w:lastRenderedPageBreak/>
        <w:t>La participación de la comunidad educativa se inicia en la etapa de proyecto, a los efectos de permitir, tanto la incorporación de mejoras pertinentes en el diseño, como la primer apropiación del nuevo centro educativo.</w:t>
      </w:r>
    </w:p>
    <w:p w:rsidR="00787ECC" w:rsidRPr="00E419F9" w:rsidRDefault="00787ECC" w:rsidP="00B23B70">
      <w:pPr>
        <w:pStyle w:val="Heading3"/>
        <w:rPr>
          <w:rFonts w:cs="Arial"/>
          <w:b/>
          <w:sz w:val="22"/>
          <w:szCs w:val="22"/>
          <w:lang w:val="es-ES"/>
        </w:rPr>
      </w:pPr>
      <w:bookmarkStart w:id="24" w:name="_Toc454878950"/>
      <w:r w:rsidRPr="00E419F9">
        <w:rPr>
          <w:rFonts w:cs="Arial"/>
          <w:b/>
          <w:sz w:val="22"/>
          <w:szCs w:val="22"/>
          <w:lang w:val="es-ES"/>
        </w:rPr>
        <w:t>Características de las obras</w:t>
      </w:r>
      <w:bookmarkEnd w:id="24"/>
    </w:p>
    <w:p w:rsidR="00787ECC" w:rsidRPr="0005689B" w:rsidRDefault="00787ECC" w:rsidP="00787ECC">
      <w:pPr>
        <w:pStyle w:val="ListParagraph"/>
        <w:numPr>
          <w:ilvl w:val="0"/>
          <w:numId w:val="0"/>
        </w:numPr>
        <w:spacing w:after="200" w:line="300" w:lineRule="exact"/>
        <w:ind w:left="864"/>
        <w:rPr>
          <w:lang w:val="es-ES"/>
        </w:rPr>
      </w:pPr>
    </w:p>
    <w:p w:rsidR="00787ECC" w:rsidRPr="0005689B" w:rsidRDefault="00C727C1" w:rsidP="00787ECC">
      <w:pPr>
        <w:pStyle w:val="ListParagraph"/>
        <w:spacing w:after="200" w:line="300" w:lineRule="exact"/>
        <w:ind w:left="864" w:hanging="504"/>
        <w:rPr>
          <w:lang w:val="es-ES"/>
        </w:rPr>
      </w:pPr>
      <w:r w:rsidRPr="00E419F9">
        <w:rPr>
          <w:lang w:val="es-ES"/>
        </w:rPr>
        <w:t>Los centros educativos que se construirán tienen un diseño basado en los antecedentes similares comparables, que permite una apropiación flexible y habilita a múltiples usos de los espacios. La referencia para las obras de construcción de centros es edificios de siete aulas comunes con los correspondientes espacios especializados y de servicios. El metraje de las construcciones es del orden de 1.100 m</w:t>
      </w:r>
      <w:r w:rsidRPr="00E419F9">
        <w:rPr>
          <w:vertAlign w:val="superscript"/>
          <w:lang w:val="es-ES"/>
        </w:rPr>
        <w:t>2</w:t>
      </w:r>
      <w:r w:rsidRPr="00E419F9">
        <w:rPr>
          <w:lang w:val="es-ES"/>
        </w:rPr>
        <w:t xml:space="preserve"> llegando a los 1.300 m</w:t>
      </w:r>
      <w:r w:rsidRPr="00E419F9">
        <w:rPr>
          <w:vertAlign w:val="superscript"/>
          <w:lang w:val="es-ES"/>
        </w:rPr>
        <w:t>2</w:t>
      </w:r>
      <w:r w:rsidRPr="00E419F9">
        <w:rPr>
          <w:lang w:val="es-ES"/>
        </w:rPr>
        <w:t xml:space="preserve"> en la opción de incorporar cocina comedor. En el Plan de obras de la ANEP se definieron tipologías constructivas para cada ciclo educativo.</w:t>
      </w:r>
    </w:p>
    <w:p w:rsidR="00787ECC" w:rsidRPr="0005689B" w:rsidRDefault="00C727C1" w:rsidP="00787ECC">
      <w:pPr>
        <w:pStyle w:val="ListParagraph"/>
        <w:spacing w:after="200" w:line="300" w:lineRule="exact"/>
        <w:ind w:left="864" w:hanging="504"/>
        <w:rPr>
          <w:lang w:val="es-ES"/>
        </w:rPr>
      </w:pPr>
      <w:r w:rsidRPr="00E419F9">
        <w:rPr>
          <w:lang w:val="es-ES"/>
        </w:rPr>
        <w:t>Los casos particulares, pueden estar asociados a obras de menor porte comparativo, como ser el del Liceo de San Antonio, obra de sustitución diseñada para alojar las actividades de un centro educativo existente, con actividad en dos turnos y una capacidad de cuatro aulas; o en cambio a obras de mayor metraje, como el Liceo de Punta de Rieles, emplazado en una zona en franco crecimiento habitacional, donde se requirió un centro educativo de mayor escala.</w:t>
      </w:r>
    </w:p>
    <w:p w:rsidR="00C727C1" w:rsidRPr="0005689B" w:rsidRDefault="00C727C1" w:rsidP="00787ECC">
      <w:pPr>
        <w:pStyle w:val="ListParagraph"/>
        <w:spacing w:after="200" w:line="300" w:lineRule="exact"/>
        <w:ind w:left="864" w:hanging="504"/>
        <w:rPr>
          <w:lang w:val="es-ES"/>
        </w:rPr>
      </w:pPr>
      <w:r w:rsidRPr="00E419F9">
        <w:rPr>
          <w:lang w:val="es-ES"/>
        </w:rPr>
        <w:t xml:space="preserve">Las ampliaciones implican la incorporación de aulas nuevas, con las circulaciones y espacios de relación y socialización correspondientes. Al momento de realizar el diseño, se evalúa el conjunto de las necesidades, en atención a los temas de seguridad, detección y prevención de siniestros, accesibilidad, y demás temas pertinentes, a los efectos de considerar la viabilidad de incorporación de estos aspectos al proyecto. </w:t>
      </w:r>
    </w:p>
    <w:p w:rsidR="00403712" w:rsidRPr="00E419F9" w:rsidRDefault="00D46D12" w:rsidP="00EA4918">
      <w:pPr>
        <w:pStyle w:val="Heading1"/>
        <w:numPr>
          <w:ilvl w:val="0"/>
          <w:numId w:val="1"/>
        </w:numPr>
        <w:rPr>
          <w:sz w:val="22"/>
          <w:szCs w:val="22"/>
          <w:lang w:val="es-ES"/>
        </w:rPr>
      </w:pPr>
      <w:bookmarkStart w:id="25" w:name="_Toc454878413"/>
      <w:bookmarkStart w:id="26" w:name="_Toc454878626"/>
      <w:bookmarkStart w:id="27" w:name="_Toc454878688"/>
      <w:bookmarkStart w:id="28" w:name="_Toc454878858"/>
      <w:bookmarkStart w:id="29" w:name="_Toc454878951"/>
      <w:bookmarkStart w:id="30" w:name="_Toc454878414"/>
      <w:bookmarkStart w:id="31" w:name="_Toc454878627"/>
      <w:bookmarkStart w:id="32" w:name="_Toc454878689"/>
      <w:bookmarkStart w:id="33" w:name="_Toc454878859"/>
      <w:bookmarkStart w:id="34" w:name="_Toc454878952"/>
      <w:bookmarkStart w:id="35" w:name="_Toc454878415"/>
      <w:bookmarkStart w:id="36" w:name="_Toc454878628"/>
      <w:bookmarkStart w:id="37" w:name="_Toc454878690"/>
      <w:bookmarkStart w:id="38" w:name="_Toc454878860"/>
      <w:bookmarkStart w:id="39" w:name="_Toc45487895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E419F9">
        <w:rPr>
          <w:sz w:val="22"/>
          <w:szCs w:val="22"/>
          <w:lang w:val="es-ES"/>
        </w:rPr>
        <w:t xml:space="preserve"> </w:t>
      </w:r>
      <w:bookmarkStart w:id="40" w:name="_Toc454878954"/>
      <w:r w:rsidR="00403712" w:rsidRPr="00E419F9">
        <w:rPr>
          <w:sz w:val="22"/>
          <w:szCs w:val="22"/>
          <w:lang w:val="es-ES"/>
        </w:rPr>
        <w:t>MARCO LEGAL E INSTITUCIONAL</w:t>
      </w:r>
      <w:bookmarkEnd w:id="40"/>
      <w:r w:rsidR="00403712" w:rsidRPr="00E419F9">
        <w:rPr>
          <w:sz w:val="22"/>
          <w:szCs w:val="22"/>
          <w:lang w:val="es-ES"/>
        </w:rPr>
        <w:t xml:space="preserve"> </w:t>
      </w:r>
    </w:p>
    <w:p w:rsidR="00AC16EF" w:rsidRPr="00E419F9" w:rsidRDefault="00AC16EF" w:rsidP="00EA4918">
      <w:pPr>
        <w:rPr>
          <w:vanish/>
          <w:sz w:val="22"/>
          <w:szCs w:val="22"/>
          <w:lang w:val="es-ES"/>
        </w:rPr>
      </w:pPr>
    </w:p>
    <w:p w:rsidR="00AC16EF" w:rsidRPr="0005689B" w:rsidRDefault="00AC16EF" w:rsidP="00E419F9">
      <w:pPr>
        <w:pStyle w:val="ListParagraph"/>
        <w:spacing w:after="240" w:line="300" w:lineRule="exact"/>
        <w:ind w:left="864" w:hanging="504"/>
        <w:rPr>
          <w:lang w:val="es-ES"/>
        </w:rPr>
      </w:pPr>
      <w:r w:rsidRPr="00E419F9">
        <w:rPr>
          <w:lang w:val="es-ES"/>
        </w:rPr>
        <w:t xml:space="preserve">El encuadre jurídico general vigente aplicable a la construcción y equipamiento de edificios educativos nuevos así </w:t>
      </w:r>
      <w:r w:rsidRPr="00E419F9">
        <w:rPr>
          <w:lang w:val="es-ES" w:eastAsia="en-US"/>
        </w:rPr>
        <w:t>como</w:t>
      </w:r>
      <w:r w:rsidRPr="00E419F9">
        <w:rPr>
          <w:lang w:val="es-ES"/>
        </w:rPr>
        <w:t xml:space="preserve"> la adecuación, reparación y ampliación de la infraestructura escolar, comprende el siguiente marco normativo:</w:t>
      </w:r>
    </w:p>
    <w:p w:rsidR="009D581C" w:rsidRPr="00E419F9" w:rsidRDefault="00001DF4" w:rsidP="00B23B70">
      <w:pPr>
        <w:pStyle w:val="ListParagraph"/>
        <w:numPr>
          <w:ilvl w:val="0"/>
          <w:numId w:val="4"/>
        </w:numPr>
        <w:rPr>
          <w:lang w:val="es-ES"/>
        </w:rPr>
      </w:pPr>
      <w:r w:rsidRPr="00E419F9">
        <w:rPr>
          <w:lang w:val="es-ES"/>
        </w:rPr>
        <w:t>La Ley Nº 16.466</w:t>
      </w:r>
      <w:r w:rsidR="00E87569" w:rsidRPr="00E419F9">
        <w:rPr>
          <w:lang w:val="es-ES"/>
        </w:rPr>
        <w:t>/94</w:t>
      </w:r>
      <w:r w:rsidRPr="00E419F9">
        <w:rPr>
          <w:lang w:val="es-ES"/>
        </w:rPr>
        <w:t xml:space="preserve"> de Medio Ambiente e Impacto Ambiental y sus reglamentos</w:t>
      </w:r>
      <w:r w:rsidR="009D581C" w:rsidRPr="00E419F9">
        <w:rPr>
          <w:lang w:val="es-ES"/>
        </w:rPr>
        <w:t>. Esta Ley declara como interés general la protección del medio ambiente contra cualquier tipo de depredación, destrucción o contaminación, y plantea la obligatoriedad del estudio de impacto ambiental para ciertas actividades o construcciones. Dicha ley es reglamentada por el decreto 349/005, el cual en su Artículo 2 establece el ámbito de aplicación.</w:t>
      </w:r>
      <w:r w:rsidR="00010028" w:rsidRPr="00E419F9">
        <w:rPr>
          <w:lang w:val="es-ES"/>
        </w:rPr>
        <w:t xml:space="preserve"> Además en su Artículo 6 estipula las actividades, construcciones u obras, públicas o privadas que deberán tramitar una autorización ambiental ante el Ministerio de Vivienda, Ordenamiento Territorial y Medio Ambiente previo al inicio de la ejecución de las actividades, construcciones u obras. De acuerdo a experiencias anteriores del Programa y tomando en cuenta que ninguno de los centros a ser construidos se encuentra dentro de un área protegida, dentro de la franja de protección costera o fuera del área suburbana, se prevé que la construcción de infraestructura educativa prevista no requiere de una autorización ambiental. </w:t>
      </w:r>
    </w:p>
    <w:p w:rsidR="00001DF4" w:rsidRPr="0005689B" w:rsidRDefault="00001DF4" w:rsidP="00B23B70">
      <w:pPr>
        <w:pStyle w:val="ListParagraph"/>
        <w:numPr>
          <w:ilvl w:val="0"/>
          <w:numId w:val="4"/>
        </w:numPr>
        <w:rPr>
          <w:lang w:val="es-ES"/>
        </w:rPr>
      </w:pPr>
      <w:r w:rsidRPr="00E419F9">
        <w:rPr>
          <w:lang w:val="es-ES"/>
        </w:rPr>
        <w:t>Ley N0. 18</w:t>
      </w:r>
      <w:r w:rsidR="00E87569" w:rsidRPr="00E419F9">
        <w:rPr>
          <w:lang w:val="es-ES"/>
        </w:rPr>
        <w:t>.</w:t>
      </w:r>
      <w:r w:rsidRPr="00E419F9">
        <w:rPr>
          <w:lang w:val="es-ES"/>
        </w:rPr>
        <w:t xml:space="preserve">381 Acceso a la información publica </w:t>
      </w:r>
    </w:p>
    <w:p w:rsidR="0005689B" w:rsidRDefault="00C727C1" w:rsidP="00B23B70">
      <w:pPr>
        <w:pStyle w:val="ListParagraph"/>
        <w:numPr>
          <w:ilvl w:val="0"/>
          <w:numId w:val="4"/>
        </w:numPr>
        <w:rPr>
          <w:lang w:val="es-ES"/>
        </w:rPr>
      </w:pPr>
      <w:r w:rsidRPr="00E419F9">
        <w:rPr>
          <w:lang w:val="es-ES"/>
        </w:rPr>
        <w:lastRenderedPageBreak/>
        <w:t>Ley Nº 18.585 Energía solar térmica</w:t>
      </w:r>
      <w:r w:rsidR="0005689B">
        <w:rPr>
          <w:lang w:val="es-ES"/>
        </w:rPr>
        <w:t xml:space="preserve"> </w:t>
      </w:r>
    </w:p>
    <w:p w:rsidR="00001DF4" w:rsidRPr="0005689B" w:rsidRDefault="00001DF4" w:rsidP="00B23B70">
      <w:pPr>
        <w:pStyle w:val="ListParagraph"/>
        <w:numPr>
          <w:ilvl w:val="0"/>
          <w:numId w:val="4"/>
        </w:numPr>
        <w:rPr>
          <w:lang w:val="es-ES"/>
        </w:rPr>
      </w:pPr>
      <w:r w:rsidRPr="00E419F9">
        <w:rPr>
          <w:lang w:val="es-ES"/>
        </w:rPr>
        <w:t xml:space="preserve">Decreto </w:t>
      </w:r>
      <w:r w:rsidR="00C727C1" w:rsidRPr="00E419F9">
        <w:rPr>
          <w:lang w:val="es-ES"/>
        </w:rPr>
        <w:t xml:space="preserve">125/14 </w:t>
      </w:r>
      <w:r w:rsidRPr="00E419F9">
        <w:rPr>
          <w:lang w:val="es-ES"/>
        </w:rPr>
        <w:t>Seguridad e Higiene en la construcción</w:t>
      </w:r>
    </w:p>
    <w:p w:rsidR="00001DF4" w:rsidRPr="0005689B" w:rsidRDefault="00001DF4" w:rsidP="00B23B70">
      <w:pPr>
        <w:pStyle w:val="ListParagraph"/>
        <w:numPr>
          <w:ilvl w:val="0"/>
          <w:numId w:val="4"/>
        </w:numPr>
        <w:rPr>
          <w:lang w:val="es-ES"/>
        </w:rPr>
      </w:pPr>
      <w:r w:rsidRPr="00E419F9">
        <w:rPr>
          <w:lang w:val="es-ES"/>
        </w:rPr>
        <w:t>Decreto 253/79 Normas para prevenir la contaminación ambiental mediante el control de las aguas</w:t>
      </w:r>
    </w:p>
    <w:p w:rsidR="00001DF4" w:rsidRPr="0005689B" w:rsidRDefault="00001DF4" w:rsidP="00B23B70">
      <w:pPr>
        <w:pStyle w:val="ListParagraph"/>
        <w:numPr>
          <w:ilvl w:val="0"/>
          <w:numId w:val="4"/>
        </w:numPr>
        <w:rPr>
          <w:lang w:val="es-ES"/>
        </w:rPr>
      </w:pPr>
      <w:r w:rsidRPr="00E419F9">
        <w:rPr>
          <w:lang w:val="es-ES"/>
        </w:rPr>
        <w:t>Decreto 260/007 Reglamento de Manejo y disposición de Envases</w:t>
      </w:r>
    </w:p>
    <w:p w:rsidR="00001DF4" w:rsidRPr="0005689B" w:rsidRDefault="00001DF4" w:rsidP="00B23B70">
      <w:pPr>
        <w:pStyle w:val="ListParagraph"/>
        <w:numPr>
          <w:ilvl w:val="0"/>
          <w:numId w:val="4"/>
        </w:numPr>
        <w:rPr>
          <w:lang w:val="es-ES"/>
        </w:rPr>
      </w:pPr>
      <w:r w:rsidRPr="00E419F9">
        <w:rPr>
          <w:lang w:val="es-ES"/>
        </w:rPr>
        <w:t>Decreto 283/996 Normas que garantizan la integridad y salud de los trabajadores</w:t>
      </w:r>
    </w:p>
    <w:p w:rsidR="00001DF4" w:rsidRPr="0005689B" w:rsidRDefault="00001DF4" w:rsidP="00B23B70">
      <w:pPr>
        <w:pStyle w:val="ListParagraph"/>
        <w:numPr>
          <w:ilvl w:val="0"/>
          <w:numId w:val="4"/>
        </w:numPr>
        <w:rPr>
          <w:lang w:val="es-ES"/>
        </w:rPr>
      </w:pPr>
      <w:r w:rsidRPr="00E419F9">
        <w:rPr>
          <w:lang w:val="es-ES"/>
        </w:rPr>
        <w:t>Decreto 320/994 Preservación del medio ambiente de substancias peligrosas</w:t>
      </w:r>
    </w:p>
    <w:p w:rsidR="00001DF4" w:rsidRPr="0005689B" w:rsidRDefault="00001DF4" w:rsidP="00B23B70">
      <w:pPr>
        <w:pStyle w:val="ListParagraph"/>
        <w:numPr>
          <w:ilvl w:val="0"/>
          <w:numId w:val="4"/>
        </w:numPr>
        <w:rPr>
          <w:lang w:val="es-ES"/>
        </w:rPr>
      </w:pPr>
      <w:r w:rsidRPr="00E419F9">
        <w:rPr>
          <w:lang w:val="es-ES"/>
        </w:rPr>
        <w:t>Decreto 406/88 Prevención de Accidentes de Trabajo</w:t>
      </w:r>
    </w:p>
    <w:p w:rsidR="00001DF4" w:rsidRPr="0005689B" w:rsidRDefault="00001DF4" w:rsidP="00B23B70">
      <w:pPr>
        <w:pStyle w:val="ListParagraph"/>
        <w:numPr>
          <w:ilvl w:val="0"/>
          <w:numId w:val="4"/>
        </w:numPr>
        <w:rPr>
          <w:lang w:val="es-ES"/>
        </w:rPr>
      </w:pPr>
      <w:r w:rsidRPr="00E419F9">
        <w:rPr>
          <w:lang w:val="es-ES"/>
        </w:rPr>
        <w:t>Decreto 429/009 Eficiencia energética</w:t>
      </w:r>
    </w:p>
    <w:p w:rsidR="00001DF4" w:rsidRPr="0005689B" w:rsidRDefault="008C76E6" w:rsidP="00E419F9">
      <w:pPr>
        <w:pStyle w:val="ListParagraph"/>
        <w:spacing w:before="120" w:after="240" w:line="300" w:lineRule="exact"/>
        <w:ind w:left="864" w:hanging="504"/>
        <w:rPr>
          <w:lang w:val="es-ES"/>
        </w:rPr>
      </w:pPr>
      <w:r w:rsidRPr="00E419F9">
        <w:rPr>
          <w:lang w:val="es-ES"/>
        </w:rPr>
        <w:t>O</w:t>
      </w:r>
      <w:r w:rsidR="00001DF4" w:rsidRPr="00E419F9">
        <w:rPr>
          <w:lang w:val="es-ES"/>
        </w:rPr>
        <w:t xml:space="preserve">tros permisos relevantes en materia ambiental, de salud y seguridad ocupacional que deben tramitarse </w:t>
      </w:r>
      <w:r w:rsidR="00001DF4" w:rsidRPr="00E419F9">
        <w:rPr>
          <w:lang w:val="es-ES" w:eastAsia="en-US"/>
        </w:rPr>
        <w:t>para</w:t>
      </w:r>
      <w:r w:rsidR="00001DF4" w:rsidRPr="00E419F9">
        <w:rPr>
          <w:lang w:val="es-ES"/>
        </w:rPr>
        <w:t xml:space="preserve"> la construcción y operación de nuevos centros de educación</w:t>
      </w:r>
      <w:r w:rsidRPr="00E419F9">
        <w:rPr>
          <w:lang w:val="es-ES"/>
        </w:rPr>
        <w:t xml:space="preserve"> incluyen</w:t>
      </w:r>
      <w:r w:rsidR="00001DF4" w:rsidRPr="00E419F9">
        <w:rPr>
          <w:lang w:val="es-ES"/>
        </w:rPr>
        <w:t>:</w:t>
      </w:r>
    </w:p>
    <w:p w:rsidR="00001DF4" w:rsidRPr="004978C8" w:rsidRDefault="00001DF4" w:rsidP="00E419F9">
      <w:pPr>
        <w:pStyle w:val="ListParagraph"/>
        <w:numPr>
          <w:ilvl w:val="0"/>
          <w:numId w:val="4"/>
        </w:numPr>
        <w:rPr>
          <w:lang w:val="es-ES"/>
        </w:rPr>
      </w:pPr>
      <w:r w:rsidRPr="00B5790E">
        <w:rPr>
          <w:lang w:val="es-ES"/>
        </w:rPr>
        <w:t>Permiso de construcción de las obras de infraestructura que es otorgado por las Intendencias Depart</w:t>
      </w:r>
      <w:r w:rsidRPr="004978C8">
        <w:rPr>
          <w:lang w:val="es-ES"/>
        </w:rPr>
        <w:t>amentales, para lo cual se deberá tramitar:</w:t>
      </w:r>
    </w:p>
    <w:p w:rsidR="00001DF4" w:rsidRPr="00E419F9" w:rsidRDefault="00001DF4" w:rsidP="00B23B70">
      <w:pPr>
        <w:pStyle w:val="Paragraph"/>
        <w:numPr>
          <w:ilvl w:val="1"/>
          <w:numId w:val="3"/>
        </w:numPr>
        <w:spacing w:before="0" w:after="0"/>
        <w:outlineLvl w:val="9"/>
        <w:rPr>
          <w:rFonts w:ascii="Arial" w:hAnsi="Arial" w:cs="Arial"/>
          <w:sz w:val="22"/>
          <w:szCs w:val="22"/>
          <w:lang w:val="es-ES"/>
        </w:rPr>
      </w:pPr>
      <w:r w:rsidRPr="00E419F9">
        <w:rPr>
          <w:rFonts w:ascii="Arial" w:hAnsi="Arial" w:cs="Arial"/>
          <w:sz w:val="22"/>
          <w:szCs w:val="22"/>
          <w:lang w:val="es-ES"/>
        </w:rPr>
        <w:t>Viabilidad municipal ante la Intendencia municipal respectiva.</w:t>
      </w:r>
    </w:p>
    <w:p w:rsidR="00001DF4" w:rsidRPr="00E419F9" w:rsidRDefault="00001DF4" w:rsidP="00B23B70">
      <w:pPr>
        <w:pStyle w:val="Paragraph"/>
        <w:numPr>
          <w:ilvl w:val="1"/>
          <w:numId w:val="3"/>
        </w:numPr>
        <w:spacing w:before="0" w:after="0"/>
        <w:outlineLvl w:val="9"/>
        <w:rPr>
          <w:rFonts w:ascii="Arial" w:hAnsi="Arial" w:cs="Arial"/>
          <w:sz w:val="22"/>
          <w:szCs w:val="22"/>
          <w:lang w:val="es-ES"/>
        </w:rPr>
      </w:pPr>
      <w:r w:rsidRPr="00E419F9">
        <w:rPr>
          <w:rFonts w:ascii="Arial" w:hAnsi="Arial" w:cs="Arial"/>
          <w:sz w:val="22"/>
          <w:szCs w:val="22"/>
          <w:lang w:val="es-ES"/>
        </w:rPr>
        <w:t>Estudio de factibilidad de provisión de agua potable ante la Administración de las Obras Sanitarias del Estado (OSE).</w:t>
      </w:r>
    </w:p>
    <w:p w:rsidR="00001DF4" w:rsidRPr="00E419F9" w:rsidRDefault="00001DF4" w:rsidP="00B23B70">
      <w:pPr>
        <w:pStyle w:val="Paragraph"/>
        <w:numPr>
          <w:ilvl w:val="1"/>
          <w:numId w:val="3"/>
        </w:numPr>
        <w:spacing w:before="0" w:after="0"/>
        <w:outlineLvl w:val="9"/>
        <w:rPr>
          <w:rFonts w:ascii="Arial" w:hAnsi="Arial" w:cs="Arial"/>
          <w:sz w:val="22"/>
          <w:szCs w:val="22"/>
          <w:lang w:val="es-ES"/>
        </w:rPr>
      </w:pPr>
      <w:r w:rsidRPr="00E419F9">
        <w:rPr>
          <w:rFonts w:ascii="Arial" w:hAnsi="Arial" w:cs="Arial"/>
          <w:sz w:val="22"/>
          <w:szCs w:val="22"/>
          <w:lang w:val="es-ES"/>
        </w:rPr>
        <w:t>Estudio de factibilidad de suministro de energía eléctrica ante la administración nacional de usinas y transmisiones eléctricas (UTE).</w:t>
      </w:r>
    </w:p>
    <w:p w:rsidR="007E300B" w:rsidRPr="00E419F9" w:rsidRDefault="00912CE0" w:rsidP="00EA4918">
      <w:pPr>
        <w:pStyle w:val="Heading1"/>
        <w:numPr>
          <w:ilvl w:val="0"/>
          <w:numId w:val="1"/>
        </w:numPr>
        <w:rPr>
          <w:sz w:val="22"/>
          <w:szCs w:val="22"/>
          <w:lang w:val="es-ES"/>
        </w:rPr>
      </w:pPr>
      <w:bookmarkStart w:id="41" w:name="_Toc454878417"/>
      <w:bookmarkStart w:id="42" w:name="_Toc454878630"/>
      <w:bookmarkStart w:id="43" w:name="_Toc454878692"/>
      <w:bookmarkStart w:id="44" w:name="_Toc454878862"/>
      <w:bookmarkStart w:id="45" w:name="_Toc454878955"/>
      <w:bookmarkStart w:id="46" w:name="_Toc454878418"/>
      <w:bookmarkStart w:id="47" w:name="_Toc454878631"/>
      <w:bookmarkStart w:id="48" w:name="_Toc454878693"/>
      <w:bookmarkStart w:id="49" w:name="_Toc454878863"/>
      <w:bookmarkStart w:id="50" w:name="_Toc454878956"/>
      <w:bookmarkStart w:id="51" w:name="_Toc454878419"/>
      <w:bookmarkStart w:id="52" w:name="_Toc454878632"/>
      <w:bookmarkStart w:id="53" w:name="_Toc454878694"/>
      <w:bookmarkStart w:id="54" w:name="_Toc454878864"/>
      <w:bookmarkStart w:id="55" w:name="_Toc454878957"/>
      <w:bookmarkStart w:id="56" w:name="_Toc422409159"/>
      <w:bookmarkStart w:id="57" w:name="_Toc422409216"/>
      <w:bookmarkStart w:id="58" w:name="_Toc448774961"/>
      <w:bookmarkStart w:id="59" w:name="_Toc45487895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419F9">
        <w:rPr>
          <w:sz w:val="22"/>
          <w:szCs w:val="22"/>
          <w:lang w:val="es-ES"/>
        </w:rPr>
        <w:t>IMPACTOS Y RIESGOS AMBIENTALES Y SOCIALES Y MITIGACIÓN</w:t>
      </w:r>
      <w:bookmarkEnd w:id="56"/>
      <w:bookmarkEnd w:id="57"/>
      <w:bookmarkEnd w:id="58"/>
      <w:bookmarkEnd w:id="59"/>
      <w:r w:rsidRPr="00E419F9">
        <w:rPr>
          <w:sz w:val="22"/>
          <w:szCs w:val="22"/>
          <w:lang w:val="es-ES"/>
        </w:rPr>
        <w:t xml:space="preserve"> </w:t>
      </w:r>
    </w:p>
    <w:p w:rsidR="00D46D12" w:rsidRPr="00E419F9" w:rsidRDefault="00A60763" w:rsidP="00B23B70">
      <w:pPr>
        <w:pStyle w:val="Heading2"/>
        <w:numPr>
          <w:ilvl w:val="1"/>
          <w:numId w:val="5"/>
        </w:numPr>
        <w:rPr>
          <w:rFonts w:cs="Arial"/>
          <w:sz w:val="22"/>
          <w:szCs w:val="22"/>
          <w:lang w:val="es-ES"/>
        </w:rPr>
      </w:pPr>
      <w:bookmarkStart w:id="60" w:name="_Toc454878959"/>
      <w:r w:rsidRPr="00E419F9">
        <w:rPr>
          <w:rFonts w:cs="Arial"/>
          <w:sz w:val="22"/>
          <w:szCs w:val="22"/>
          <w:lang w:val="es-ES"/>
        </w:rPr>
        <w:t>Resumen de impactos ambientales y sociales</w:t>
      </w:r>
      <w:bookmarkEnd w:id="60"/>
    </w:p>
    <w:p w:rsidR="00A16374" w:rsidRPr="0005689B" w:rsidRDefault="00A16374" w:rsidP="00EA4918">
      <w:pPr>
        <w:pStyle w:val="ListParagraph"/>
        <w:spacing w:after="200" w:line="300" w:lineRule="exact"/>
        <w:ind w:left="864" w:hanging="504"/>
        <w:rPr>
          <w:lang w:val="es-ES" w:eastAsia="en-US"/>
        </w:rPr>
      </w:pPr>
      <w:r w:rsidRPr="0005689B">
        <w:rPr>
          <w:lang w:val="es-ES"/>
        </w:rPr>
        <w:t xml:space="preserve">De acuerdo con la </w:t>
      </w:r>
      <w:r w:rsidRPr="0005689B">
        <w:rPr>
          <w:lang w:val="es-ES" w:eastAsia="en-US"/>
        </w:rPr>
        <w:t>Política</w:t>
      </w:r>
      <w:r w:rsidRPr="00B5790E">
        <w:rPr>
          <w:lang w:val="es-ES"/>
        </w:rPr>
        <w:t xml:space="preserve"> de Medio Ambiente y Cumpli</w:t>
      </w:r>
      <w:r w:rsidRPr="004978C8">
        <w:rPr>
          <w:lang w:val="es-ES"/>
        </w:rPr>
        <w:t xml:space="preserve">miento de Salvaguardias (OP-703) del Banco, y </w:t>
      </w:r>
      <w:r w:rsidRPr="00E419F9">
        <w:rPr>
          <w:lang w:val="es-ES"/>
        </w:rPr>
        <w:t>considerando</w:t>
      </w:r>
      <w:r w:rsidRPr="0005689B">
        <w:rPr>
          <w:lang w:val="es-ES"/>
        </w:rPr>
        <w:t xml:space="preserve"> la información disponible hasta el momento</w:t>
      </w:r>
      <w:r w:rsidR="004978C8">
        <w:rPr>
          <w:lang w:val="es-ES"/>
        </w:rPr>
        <w:t>,</w:t>
      </w:r>
      <w:r w:rsidRPr="0005689B">
        <w:rPr>
          <w:lang w:val="es-ES"/>
        </w:rPr>
        <w:t xml:space="preserve"> se propone la clasificación “B” para la operación, dado que tendrá impactos negativos no significativos ambientales y sociales. Se anticipan impactos y ri</w:t>
      </w:r>
      <w:r w:rsidRPr="00B5790E">
        <w:rPr>
          <w:lang w:val="es-ES"/>
        </w:rPr>
        <w:t>esgos estándares comunes a la construcción de cualquier instalación civil de mediana escala</w:t>
      </w:r>
      <w:r w:rsidR="00010028" w:rsidRPr="004978C8">
        <w:rPr>
          <w:lang w:val="es-ES"/>
        </w:rPr>
        <w:t xml:space="preserve">. </w:t>
      </w:r>
      <w:r w:rsidRPr="007741DC">
        <w:rPr>
          <w:lang w:val="es-ES"/>
        </w:rPr>
        <w:t>Es importante mencionar que no se prevé reasentamiento de personas.</w:t>
      </w:r>
    </w:p>
    <w:p w:rsidR="008852EF" w:rsidRPr="0005689B" w:rsidRDefault="008852EF" w:rsidP="00EA4918">
      <w:pPr>
        <w:pStyle w:val="ListParagraph"/>
        <w:spacing w:after="200" w:line="300" w:lineRule="exact"/>
        <w:ind w:left="864" w:hanging="504"/>
        <w:rPr>
          <w:lang w:val="es-ES"/>
        </w:rPr>
      </w:pPr>
      <w:r w:rsidRPr="00E419F9">
        <w:rPr>
          <w:lang w:val="es-ES"/>
        </w:rPr>
        <w:t>La puesta en marcha de nueva infraestructura social generará un impacto neto positivo potencial y si bien existen ciertos impactos negativos ambientales, estos son no significativos, en vista de que esta nueva infraestructura social cerrará déficits de cobertura en cada uno de los servicios mencionados.</w:t>
      </w:r>
    </w:p>
    <w:p w:rsidR="008C76E6" w:rsidRPr="00E419F9" w:rsidRDefault="008C76E6" w:rsidP="008C76E6">
      <w:pPr>
        <w:pStyle w:val="Heading2"/>
        <w:rPr>
          <w:rFonts w:cs="Arial"/>
          <w:sz w:val="22"/>
          <w:szCs w:val="22"/>
          <w:lang w:val="es-ES"/>
        </w:rPr>
      </w:pPr>
      <w:bookmarkStart w:id="61" w:name="_Toc454878422"/>
      <w:bookmarkStart w:id="62" w:name="_Toc454878635"/>
      <w:bookmarkStart w:id="63" w:name="_Toc454878697"/>
      <w:bookmarkStart w:id="64" w:name="_Toc454878867"/>
      <w:bookmarkStart w:id="65" w:name="_Toc454878960"/>
      <w:bookmarkStart w:id="66" w:name="_Toc454878961"/>
      <w:bookmarkEnd w:id="61"/>
      <w:bookmarkEnd w:id="62"/>
      <w:bookmarkEnd w:id="63"/>
      <w:bookmarkEnd w:id="64"/>
      <w:bookmarkEnd w:id="65"/>
      <w:r w:rsidRPr="00E419F9">
        <w:rPr>
          <w:rFonts w:cs="Arial"/>
          <w:sz w:val="22"/>
          <w:szCs w:val="22"/>
          <w:lang w:val="es-ES"/>
        </w:rPr>
        <w:t>Impactos y riesgos ambientales</w:t>
      </w:r>
      <w:bookmarkEnd w:id="66"/>
    </w:p>
    <w:p w:rsidR="008852EF" w:rsidRPr="0005689B" w:rsidRDefault="008C76E6" w:rsidP="00EA4918">
      <w:pPr>
        <w:pStyle w:val="ListParagraph"/>
        <w:spacing w:after="200" w:line="300" w:lineRule="exact"/>
        <w:ind w:left="864" w:hanging="504"/>
        <w:rPr>
          <w:lang w:val="es-ES"/>
        </w:rPr>
      </w:pPr>
      <w:r w:rsidRPr="00E419F9">
        <w:rPr>
          <w:lang w:val="es-ES"/>
        </w:rPr>
        <w:t xml:space="preserve">La mayoría de los impactos y riesgos ambientales se manifestarán en la fase </w:t>
      </w:r>
      <w:bookmarkStart w:id="67" w:name="_Ref318044065"/>
      <w:bookmarkStart w:id="68" w:name="_Ref337641189"/>
      <w:r w:rsidR="008852EF" w:rsidRPr="00E419F9">
        <w:rPr>
          <w:lang w:val="es-ES"/>
        </w:rPr>
        <w:t>de construcción. Los impactos negativos podrían estar asociados con el desarrollo de eventos normales a cualquier tipo de infraestructura civil tales como: (i) generación de polvo; (ii) introducción de ruido y vibraciones; (iii) producción de desechos sólidos</w:t>
      </w:r>
      <w:r w:rsidR="004978C8">
        <w:rPr>
          <w:lang w:val="es-ES"/>
        </w:rPr>
        <w:t>,</w:t>
      </w:r>
      <w:r w:rsidR="008852EF" w:rsidRPr="00E419F9">
        <w:rPr>
          <w:lang w:val="es-ES"/>
        </w:rPr>
        <w:t xml:space="preserve"> los cuales pueden derivarse del mal manejo y disposición de los residuos procedentes de restos de materiales de construcción (cemento, concreto, piedra, arena, hierro, cajas, bolsas y otros empaques, etc.); (iv) producción de efluentes de la construcción como resultado del posible mal manejo de aceites usados, aguas residuales procedentes de servicios sanitarios temporales, derrames de combustibles y otros; (v) alteración de espacio público (vías de acceso); (vi) incremento de los riesgos a la salud y la seguridad </w:t>
      </w:r>
      <w:r w:rsidR="008852EF" w:rsidRPr="00E419F9">
        <w:rPr>
          <w:lang w:val="es-ES"/>
        </w:rPr>
        <w:lastRenderedPageBreak/>
        <w:t>industrial de los trabajadores, y de peatones; y (vii) desconfianza que genera la aparición de personas trabajadoras ajenas a la región.</w:t>
      </w:r>
      <w:bookmarkEnd w:id="67"/>
      <w:bookmarkEnd w:id="68"/>
    </w:p>
    <w:p w:rsidR="008852EF" w:rsidRPr="0005689B" w:rsidRDefault="008852EF" w:rsidP="00EA4918">
      <w:pPr>
        <w:pStyle w:val="ListParagraph"/>
        <w:spacing w:after="200" w:line="300" w:lineRule="exact"/>
        <w:ind w:left="864" w:hanging="504"/>
        <w:rPr>
          <w:lang w:val="es-ES"/>
        </w:rPr>
      </w:pPr>
      <w:r w:rsidRPr="00E419F9">
        <w:rPr>
          <w:lang w:val="es-ES"/>
        </w:rPr>
        <w:t xml:space="preserve">Durante la etapa de operación, podrían generarse residuos sólidos, que estarán concentrados en el rubro de residuos comunes, pudiendo encontrarse restos de comida, madera y </w:t>
      </w:r>
      <w:r w:rsidRPr="00E419F9">
        <w:rPr>
          <w:lang w:val="es-ES" w:eastAsia="en-US"/>
        </w:rPr>
        <w:t>plásticos</w:t>
      </w:r>
      <w:r w:rsidRPr="00E419F9">
        <w:rPr>
          <w:lang w:val="es-ES"/>
        </w:rPr>
        <w:t xml:space="preserve">. Por otra parte, las fuentes de emisiones atmosféricas que pueden generar potenciales impactos podrían incluir por su parte a los sistemas de aire acondicionado y alguna producción de agua residuales. Adicionalmente, otros impactos podrían ser el aumento en el tráfico vehicular y de público en las inmediaciones de las instalaciones. </w:t>
      </w:r>
    </w:p>
    <w:p w:rsidR="008852EF" w:rsidRPr="0005689B" w:rsidRDefault="008852EF" w:rsidP="00EA4918">
      <w:pPr>
        <w:pStyle w:val="ListParagraph"/>
        <w:spacing w:after="200" w:line="300" w:lineRule="exact"/>
        <w:ind w:left="864" w:hanging="504"/>
        <w:rPr>
          <w:lang w:val="es-ES"/>
        </w:rPr>
      </w:pPr>
      <w:r w:rsidRPr="00E419F9">
        <w:rPr>
          <w:lang w:val="es-ES"/>
        </w:rPr>
        <w:t xml:space="preserve">Los impactos negativos potenciales serán contrarrestados con los procedimientos estándares de gestión </w:t>
      </w:r>
      <w:r w:rsidRPr="00E419F9">
        <w:rPr>
          <w:lang w:val="es-ES" w:eastAsia="en-US"/>
        </w:rPr>
        <w:t>ambiental</w:t>
      </w:r>
      <w:r w:rsidRPr="00E419F9">
        <w:rPr>
          <w:lang w:val="es-ES"/>
        </w:rPr>
        <w:t xml:space="preserve">, según las normas nacionales arriba mencionadas. </w:t>
      </w:r>
    </w:p>
    <w:p w:rsidR="008C76E6" w:rsidRPr="00E419F9" w:rsidRDefault="008C76E6" w:rsidP="008C76E6">
      <w:pPr>
        <w:pStyle w:val="Heading2"/>
        <w:jc w:val="both"/>
        <w:rPr>
          <w:rFonts w:cs="Arial"/>
          <w:sz w:val="22"/>
          <w:szCs w:val="22"/>
          <w:lang w:val="es-ES"/>
        </w:rPr>
      </w:pPr>
      <w:bookmarkStart w:id="69" w:name="_Toc454878962"/>
      <w:r w:rsidRPr="00E419F9">
        <w:rPr>
          <w:rFonts w:cs="Arial"/>
          <w:sz w:val="22"/>
          <w:szCs w:val="22"/>
          <w:lang w:val="es-ES"/>
        </w:rPr>
        <w:t xml:space="preserve">Impactos </w:t>
      </w:r>
      <w:r w:rsidR="00A16374" w:rsidRPr="00E419F9">
        <w:rPr>
          <w:rFonts w:cs="Arial"/>
          <w:sz w:val="22"/>
          <w:szCs w:val="22"/>
          <w:lang w:val="es-ES"/>
        </w:rPr>
        <w:t xml:space="preserve">ambientales </w:t>
      </w:r>
      <w:r w:rsidRPr="00E419F9">
        <w:rPr>
          <w:rFonts w:cs="Arial"/>
          <w:sz w:val="22"/>
          <w:szCs w:val="22"/>
          <w:lang w:val="es-ES"/>
        </w:rPr>
        <w:t>y sociales</w:t>
      </w:r>
      <w:bookmarkEnd w:id="69"/>
    </w:p>
    <w:p w:rsidR="008852EF" w:rsidRPr="0005689B" w:rsidRDefault="008852EF" w:rsidP="00EA4918">
      <w:pPr>
        <w:pStyle w:val="ListParagraph"/>
        <w:spacing w:after="200" w:line="300" w:lineRule="exact"/>
        <w:ind w:left="864" w:hanging="504"/>
        <w:rPr>
          <w:lang w:val="es-ES"/>
        </w:rPr>
      </w:pPr>
      <w:r w:rsidRPr="00E419F9">
        <w:rPr>
          <w:lang w:val="es-ES"/>
        </w:rPr>
        <w:t xml:space="preserve">Se estima que una parte significativa de las acciones financiadas por este programa estará orientada a los jóvenes de los estratos socialmente más vulnerables, por lo que se prevé que esta operación tenga impactos sociales positivos, en particular al mejorar la acumulación </w:t>
      </w:r>
      <w:r w:rsidRPr="00E419F9">
        <w:rPr>
          <w:lang w:val="es-ES" w:eastAsia="en-US"/>
        </w:rPr>
        <w:t>de</w:t>
      </w:r>
      <w:r w:rsidRPr="00E419F9">
        <w:rPr>
          <w:lang w:val="es-ES"/>
        </w:rPr>
        <w:t xml:space="preserve"> capital humano de los jóvenes más pobres. Este programa no va a discriminar las poblaciones en términos de acceso a educación.</w:t>
      </w:r>
    </w:p>
    <w:p w:rsidR="008C76E6" w:rsidRPr="0005689B" w:rsidRDefault="008C76E6" w:rsidP="00EA4918">
      <w:pPr>
        <w:pStyle w:val="ListParagraph"/>
        <w:spacing w:after="200" w:line="300" w:lineRule="exact"/>
        <w:ind w:left="864" w:hanging="504"/>
        <w:rPr>
          <w:lang w:val="es-ES"/>
        </w:rPr>
      </w:pPr>
      <w:r w:rsidRPr="00E419F9">
        <w:rPr>
          <w:lang w:val="es-ES"/>
        </w:rPr>
        <w:t xml:space="preserve">Los impactos y riesgos potenciales que se pueden manifestar en la fase de construcción de nuevas obras son: riesgos a la seguridad y salud laboral; riesgos a la seguridad y salud </w:t>
      </w:r>
      <w:r w:rsidRPr="00E419F9">
        <w:rPr>
          <w:lang w:val="es-ES" w:eastAsia="en-US"/>
        </w:rPr>
        <w:t>comunitaria</w:t>
      </w:r>
      <w:r w:rsidRPr="00E419F9">
        <w:rPr>
          <w:lang w:val="es-ES"/>
        </w:rPr>
        <w:t xml:space="preserve"> por el aumento de vehículos y maquinaria; generación de molestias por polvo y ruido; e impactos positivos previstos por la generación temporal de empleo. </w:t>
      </w:r>
    </w:p>
    <w:p w:rsidR="008C76E6" w:rsidRPr="0005689B" w:rsidRDefault="008C76E6" w:rsidP="00EA4918">
      <w:pPr>
        <w:pStyle w:val="ListParagraph"/>
        <w:spacing w:after="200" w:line="300" w:lineRule="exact"/>
        <w:ind w:left="864" w:hanging="504"/>
        <w:rPr>
          <w:lang w:val="es-ES"/>
        </w:rPr>
      </w:pPr>
      <w:r w:rsidRPr="00E419F9">
        <w:rPr>
          <w:lang w:val="es-ES"/>
        </w:rPr>
        <w:t xml:space="preserve">Los impactos y riesgos </w:t>
      </w:r>
      <w:r w:rsidR="00CC2E3D" w:rsidRPr="00E419F9">
        <w:rPr>
          <w:lang w:val="es-ES"/>
        </w:rPr>
        <w:t xml:space="preserve">sociales </w:t>
      </w:r>
      <w:r w:rsidRPr="00E419F9">
        <w:rPr>
          <w:lang w:val="es-ES"/>
        </w:rPr>
        <w:t xml:space="preserve">negativos que se pueden generar en las fases de construcción y operación de las nuevas obras pueden ser adecuadamente controlados con procedimientos estándares y </w:t>
      </w:r>
      <w:r w:rsidR="004978C8">
        <w:rPr>
          <w:lang w:val="es-ES"/>
        </w:rPr>
        <w:t>de fácil</w:t>
      </w:r>
      <w:r w:rsidR="004978C8" w:rsidRPr="00E419F9">
        <w:rPr>
          <w:lang w:val="es-ES"/>
        </w:rPr>
        <w:t xml:space="preserve"> </w:t>
      </w:r>
      <w:r w:rsidRPr="00E419F9">
        <w:rPr>
          <w:lang w:val="es-ES"/>
        </w:rPr>
        <w:t>implementa</w:t>
      </w:r>
      <w:r w:rsidR="004978C8">
        <w:rPr>
          <w:lang w:val="es-ES"/>
        </w:rPr>
        <w:t>ción</w:t>
      </w:r>
      <w:r w:rsidRPr="00E419F9">
        <w:rPr>
          <w:lang w:val="es-ES"/>
        </w:rPr>
        <w:t xml:space="preserve"> como parte de un plan de gestión ambiental y de salud y seguridad laboral.</w:t>
      </w:r>
    </w:p>
    <w:p w:rsidR="00403712" w:rsidRPr="00E419F9" w:rsidRDefault="00912CE0" w:rsidP="00403712">
      <w:pPr>
        <w:pStyle w:val="Heading2"/>
        <w:rPr>
          <w:rFonts w:cs="Arial"/>
          <w:sz w:val="22"/>
          <w:szCs w:val="22"/>
          <w:lang w:val="es-ES"/>
        </w:rPr>
      </w:pPr>
      <w:bookmarkStart w:id="70" w:name="_Toc448774959"/>
      <w:bookmarkStart w:id="71" w:name="_Toc454878963"/>
      <w:r w:rsidRPr="00E419F9">
        <w:rPr>
          <w:rFonts w:cs="Arial"/>
          <w:sz w:val="22"/>
          <w:szCs w:val="22"/>
          <w:lang w:val="es-ES"/>
        </w:rPr>
        <w:t xml:space="preserve">Consistencia con políticas y directrices del </w:t>
      </w:r>
      <w:bookmarkEnd w:id="70"/>
      <w:r w:rsidRPr="00E419F9">
        <w:rPr>
          <w:rFonts w:cs="Arial"/>
          <w:sz w:val="22"/>
          <w:szCs w:val="22"/>
          <w:lang w:val="es-ES"/>
        </w:rPr>
        <w:t>BID</w:t>
      </w:r>
      <w:bookmarkEnd w:id="71"/>
    </w:p>
    <w:p w:rsidR="00403712" w:rsidRPr="0005689B" w:rsidRDefault="00403712" w:rsidP="00EA4918">
      <w:pPr>
        <w:pStyle w:val="ListParagraph"/>
        <w:spacing w:after="200" w:line="300" w:lineRule="exact"/>
        <w:ind w:left="864" w:hanging="504"/>
        <w:rPr>
          <w:lang w:val="es-ES"/>
        </w:rPr>
      </w:pPr>
      <w:r w:rsidRPr="00E419F9">
        <w:rPr>
          <w:lang w:val="es-ES"/>
        </w:rPr>
        <w:t>La Tabla C</w:t>
      </w:r>
      <w:r w:rsidRPr="00E419F9">
        <w:rPr>
          <w:rFonts w:eastAsia="Times New Roman"/>
          <w:lang w:val="es-ES" w:eastAsia="en-US"/>
        </w:rPr>
        <w:t xml:space="preserve">, presenta un </w:t>
      </w:r>
      <w:r w:rsidRPr="00E419F9">
        <w:rPr>
          <w:lang w:val="es-ES" w:eastAsia="en-US"/>
        </w:rPr>
        <w:t>resumen</w:t>
      </w:r>
      <w:r w:rsidRPr="00E419F9">
        <w:rPr>
          <w:rFonts w:eastAsia="Times New Roman"/>
          <w:lang w:val="es-ES" w:eastAsia="en-US"/>
        </w:rPr>
        <w:t xml:space="preserve"> del cumplimiento del Programa con la Política de Medio Ambiente y </w:t>
      </w:r>
      <w:r w:rsidRPr="00E419F9">
        <w:rPr>
          <w:lang w:val="es-ES"/>
        </w:rPr>
        <w:t>Cumplimiento</w:t>
      </w:r>
      <w:r w:rsidRPr="00E419F9">
        <w:rPr>
          <w:rFonts w:eastAsia="Times New Roman"/>
          <w:lang w:val="es-ES" w:eastAsia="en-US"/>
        </w:rPr>
        <w:t xml:space="preserve"> de Salvaguardias (OP-703). </w:t>
      </w:r>
    </w:p>
    <w:p w:rsidR="00371A22" w:rsidRPr="00787ECC" w:rsidRDefault="00371A22" w:rsidP="00EA4918">
      <w:pPr>
        <w:pStyle w:val="ListParagraph"/>
        <w:numPr>
          <w:ilvl w:val="0"/>
          <w:numId w:val="0"/>
        </w:numPr>
        <w:ind w:left="860"/>
        <w:rPr>
          <w:szCs w:val="24"/>
          <w:lang w:val="es-ES"/>
        </w:rPr>
      </w:pPr>
    </w:p>
    <w:p w:rsidR="00403712" w:rsidRPr="00787ECC" w:rsidRDefault="00403712" w:rsidP="00403712">
      <w:pPr>
        <w:pStyle w:val="Caption"/>
        <w:keepNext/>
        <w:jc w:val="center"/>
        <w:rPr>
          <w:rFonts w:cs="Arial"/>
          <w:sz w:val="24"/>
          <w:szCs w:val="24"/>
          <w:lang w:val="es-ES"/>
        </w:rPr>
      </w:pPr>
      <w:r w:rsidRPr="00787ECC">
        <w:rPr>
          <w:rFonts w:cs="Arial"/>
          <w:sz w:val="24"/>
          <w:szCs w:val="24"/>
          <w:lang w:val="es-ES"/>
        </w:rPr>
        <w:t xml:space="preserve">Tabla </w:t>
      </w:r>
      <w:r w:rsidRPr="00787ECC">
        <w:rPr>
          <w:rFonts w:cs="Arial"/>
          <w:sz w:val="24"/>
          <w:szCs w:val="24"/>
          <w:lang w:val="es-ES"/>
        </w:rPr>
        <w:fldChar w:fldCharType="begin"/>
      </w:r>
      <w:r w:rsidRPr="00787ECC">
        <w:rPr>
          <w:rFonts w:cs="Arial"/>
          <w:sz w:val="24"/>
          <w:szCs w:val="24"/>
          <w:lang w:val="es-ES"/>
        </w:rPr>
        <w:instrText xml:space="preserve"> SEQ Tabla \* ALPHABETIC </w:instrText>
      </w:r>
      <w:r w:rsidRPr="00787ECC">
        <w:rPr>
          <w:rFonts w:cs="Arial"/>
          <w:sz w:val="24"/>
          <w:szCs w:val="24"/>
          <w:lang w:val="es-ES"/>
        </w:rPr>
        <w:fldChar w:fldCharType="separate"/>
      </w:r>
      <w:r w:rsidR="00A24918" w:rsidRPr="00787ECC">
        <w:rPr>
          <w:rFonts w:cs="Arial"/>
          <w:noProof/>
          <w:sz w:val="24"/>
          <w:szCs w:val="24"/>
          <w:lang w:val="es-ES"/>
        </w:rPr>
        <w:t>C</w:t>
      </w:r>
      <w:r w:rsidRPr="00787ECC">
        <w:rPr>
          <w:rFonts w:cs="Arial"/>
          <w:sz w:val="24"/>
          <w:szCs w:val="24"/>
          <w:lang w:val="es-ES"/>
        </w:rPr>
        <w:fldChar w:fldCharType="end"/>
      </w:r>
      <w:r w:rsidRPr="00787ECC">
        <w:rPr>
          <w:rFonts w:cs="Arial"/>
          <w:sz w:val="24"/>
          <w:szCs w:val="24"/>
          <w:lang w:val="es-ES"/>
        </w:rPr>
        <w:t>. Resumen del cumplimiento políticas y directivas del BID</w:t>
      </w:r>
    </w:p>
    <w:tbl>
      <w:tblPr>
        <w:tblW w:w="9796" w:type="dxa"/>
        <w:jc w:val="cente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934"/>
        <w:gridCol w:w="3150"/>
        <w:gridCol w:w="3712"/>
      </w:tblGrid>
      <w:tr w:rsidR="00403712" w:rsidRPr="00787ECC" w:rsidTr="00457686">
        <w:trPr>
          <w:trHeight w:val="310"/>
          <w:tblHeader/>
          <w:jc w:val="center"/>
        </w:trPr>
        <w:tc>
          <w:tcPr>
            <w:tcW w:w="2934" w:type="dxa"/>
            <w:shd w:val="pct10" w:color="auto" w:fill="FFFFFF" w:themeFill="background1"/>
            <w:tcMar>
              <w:top w:w="58" w:type="dxa"/>
              <w:left w:w="115" w:type="dxa"/>
              <w:bottom w:w="58" w:type="dxa"/>
              <w:right w:w="115" w:type="dxa"/>
            </w:tcMar>
            <w:vAlign w:val="center"/>
          </w:tcPr>
          <w:p w:rsidR="00403712" w:rsidRPr="00787ECC" w:rsidRDefault="00403712" w:rsidP="00457686">
            <w:pPr>
              <w:autoSpaceDE w:val="0"/>
              <w:autoSpaceDN w:val="0"/>
              <w:adjustRightInd w:val="0"/>
              <w:spacing w:after="0"/>
              <w:contextualSpacing/>
              <w:jc w:val="center"/>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Política / Directiva</w:t>
            </w:r>
          </w:p>
        </w:tc>
        <w:tc>
          <w:tcPr>
            <w:tcW w:w="3150" w:type="dxa"/>
            <w:shd w:val="pct10" w:color="auto" w:fill="FFFFFF" w:themeFill="background1"/>
            <w:tcMar>
              <w:top w:w="58" w:type="dxa"/>
              <w:left w:w="115" w:type="dxa"/>
              <w:bottom w:w="58" w:type="dxa"/>
              <w:right w:w="115" w:type="dxa"/>
            </w:tcMar>
            <w:vAlign w:val="center"/>
          </w:tcPr>
          <w:p w:rsidR="00403712" w:rsidRPr="00787ECC" w:rsidRDefault="00403712" w:rsidP="00457686">
            <w:pPr>
              <w:autoSpaceDE w:val="0"/>
              <w:autoSpaceDN w:val="0"/>
              <w:adjustRightInd w:val="0"/>
              <w:spacing w:after="0"/>
              <w:contextualSpacing/>
              <w:jc w:val="center"/>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Acciones/Aspecto Aplicable</w:t>
            </w:r>
          </w:p>
        </w:tc>
        <w:tc>
          <w:tcPr>
            <w:tcW w:w="3712" w:type="dxa"/>
            <w:shd w:val="pct10" w:color="auto" w:fill="FFFFFF" w:themeFill="background1"/>
            <w:tcMar>
              <w:top w:w="58" w:type="dxa"/>
              <w:left w:w="115" w:type="dxa"/>
              <w:bottom w:w="58" w:type="dxa"/>
              <w:right w:w="115" w:type="dxa"/>
            </w:tcMar>
            <w:vAlign w:val="center"/>
          </w:tcPr>
          <w:p w:rsidR="00403712" w:rsidRPr="00787ECC" w:rsidRDefault="00403712" w:rsidP="00457686">
            <w:pPr>
              <w:autoSpaceDE w:val="0"/>
              <w:autoSpaceDN w:val="0"/>
              <w:adjustRightInd w:val="0"/>
              <w:spacing w:after="0"/>
              <w:contextualSpacing/>
              <w:jc w:val="center"/>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Medidas / Salvaguardas</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 Políticas del Banco</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El Programa cumple con las directrices de la Política de Medio Ambiente y Cumplimiento de Salvaguardias (OP-703) y es consistente con las disposiciones pertinentes de otras políticas del Banco.</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B.2 Legislación y regulaciones nacionales</w:t>
            </w:r>
          </w:p>
        </w:tc>
        <w:tc>
          <w:tcPr>
            <w:tcW w:w="3150" w:type="dxa"/>
            <w:shd w:val="clear" w:color="auto" w:fill="FFFFFF" w:themeFill="background1"/>
            <w:tcMar>
              <w:top w:w="29" w:type="dxa"/>
              <w:left w:w="29" w:type="dxa"/>
              <w:bottom w:w="29" w:type="dxa"/>
              <w:right w:w="29" w:type="dxa"/>
            </w:tcMar>
          </w:tcPr>
          <w:tbl>
            <w:tblPr>
              <w:tblW w:w="0" w:type="auto"/>
              <w:tblBorders>
                <w:top w:val="nil"/>
                <w:left w:val="nil"/>
                <w:bottom w:val="nil"/>
                <w:right w:val="nil"/>
              </w:tblBorders>
              <w:tblLook w:val="0000" w:firstRow="0" w:lastRow="0" w:firstColumn="0" w:lastColumn="0" w:noHBand="0" w:noVBand="0"/>
            </w:tblPr>
            <w:tblGrid>
              <w:gridCol w:w="3092"/>
            </w:tblGrid>
            <w:tr w:rsidR="00403712" w:rsidRPr="00C54F3A" w:rsidTr="00457686">
              <w:trPr>
                <w:trHeight w:val="543"/>
              </w:trPr>
              <w:tc>
                <w:tcPr>
                  <w:tcW w:w="0" w:type="auto"/>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El Programa deberá cumplir con la legislación ambiental y de seguridad ocupacional a nivel </w:t>
                  </w:r>
                  <w:r w:rsidRPr="00787ECC">
                    <w:rPr>
                      <w:rFonts w:eastAsia="Times New Roman" w:cs="Arial"/>
                      <w:color w:val="000000"/>
                      <w:sz w:val="20"/>
                      <w:szCs w:val="20"/>
                      <w:lang w:val="es-ES" w:eastAsia="en-US"/>
                    </w:rPr>
                    <w:lastRenderedPageBreak/>
                    <w:t xml:space="preserve">nacional y local. </w:t>
                  </w:r>
                </w:p>
              </w:tc>
            </w:tr>
          </w:tbl>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lastRenderedPageBreak/>
              <w:t>ANEP cumplirá con la legislación ambiental y de seguridad ocupacional a nivel nacional y local</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lastRenderedPageBreak/>
              <w:t>B.3 Pre-evaluación y clasificación</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Aplicación de la clasificación socio-ambiental apropiada.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El Programa ha sido clasificado como </w:t>
            </w:r>
            <w:r w:rsidRPr="00787ECC">
              <w:rPr>
                <w:rFonts w:eastAsia="Times New Roman" w:cs="Arial"/>
                <w:color w:val="000000"/>
                <w:sz w:val="20"/>
                <w:szCs w:val="20"/>
                <w:u w:val="single"/>
                <w:lang w:val="es-ES" w:eastAsia="en-US"/>
              </w:rPr>
              <w:t>Categoría B</w:t>
            </w:r>
            <w:r w:rsidRPr="00787ECC">
              <w:rPr>
                <w:rFonts w:eastAsia="Times New Roman" w:cs="Arial"/>
                <w:color w:val="000000"/>
                <w:sz w:val="20"/>
                <w:szCs w:val="20"/>
                <w:lang w:val="es-ES" w:eastAsia="en-US"/>
              </w:rPr>
              <w:t>.</w:t>
            </w:r>
          </w:p>
        </w:tc>
      </w:tr>
      <w:tr w:rsidR="00403712" w:rsidRPr="00C54F3A" w:rsidTr="00457686">
        <w:trPr>
          <w:trHeight w:val="850"/>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B.4 Otros factores de riesgo</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proceso de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Posibles riesgos relacionados a las debilidades de la capacidad institucional de las correspondientes entidades del gobierno encargadas de la gestión de los aspectos ambientales y sociales aplicables al Programa.</w:t>
            </w:r>
          </w:p>
        </w:tc>
        <w:tc>
          <w:tcPr>
            <w:tcW w:w="3712" w:type="dxa"/>
            <w:shd w:val="clear" w:color="auto" w:fill="FFFFFF" w:themeFill="background1"/>
            <w:tcMar>
              <w:top w:w="29" w:type="dxa"/>
              <w:left w:w="29" w:type="dxa"/>
              <w:bottom w:w="29" w:type="dxa"/>
              <w:right w:w="29" w:type="dxa"/>
            </w:tcMar>
          </w:tcPr>
          <w:tbl>
            <w:tblPr>
              <w:tblW w:w="0" w:type="auto"/>
              <w:tblBorders>
                <w:top w:val="nil"/>
                <w:left w:val="nil"/>
                <w:bottom w:val="nil"/>
                <w:right w:val="nil"/>
              </w:tblBorders>
              <w:tblLook w:val="0000" w:firstRow="0" w:lastRow="0" w:firstColumn="0" w:lastColumn="0" w:noHBand="0" w:noVBand="0"/>
            </w:tblPr>
            <w:tblGrid>
              <w:gridCol w:w="3654"/>
            </w:tblGrid>
            <w:tr w:rsidR="00403712" w:rsidRPr="00C54F3A" w:rsidTr="00457686">
              <w:trPr>
                <w:trHeight w:val="855"/>
              </w:trPr>
              <w:tc>
                <w:tcPr>
                  <w:tcW w:w="0" w:type="auto"/>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Una de las principales debilidades institucionales que presenta el Programa es la ausencia de normativa más estricta por parte de la Dirección de Medio Ambiente (DINAMA) para la construcción de obras de pequeña escala en el área urbana de Montevideo. No obstante, la operación incluirá los instrumentos necesarios para mitigar estas debilidades entre los cuales está la implementación del Marco de Gestión Ambiental y Social para la operación.</w:t>
                  </w:r>
                </w:p>
              </w:tc>
            </w:tr>
          </w:tbl>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tc>
      </w:tr>
      <w:tr w:rsidR="00403712" w:rsidRPr="00787ECC" w:rsidTr="00457686">
        <w:trPr>
          <w:trHeight w:val="454"/>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E419F9">
            <w:pPr>
              <w:keepLines/>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B.5 Requisitos de evaluación ambiental</w:t>
            </w:r>
          </w:p>
        </w:tc>
        <w:tc>
          <w:tcPr>
            <w:tcW w:w="3150" w:type="dxa"/>
            <w:shd w:val="clear" w:color="auto" w:fill="FFFFFF" w:themeFill="background1"/>
            <w:tcMar>
              <w:top w:w="29" w:type="dxa"/>
              <w:left w:w="29" w:type="dxa"/>
              <w:bottom w:w="29" w:type="dxa"/>
              <w:right w:w="29" w:type="dxa"/>
            </w:tcMar>
          </w:tcPr>
          <w:p w:rsidR="00403712" w:rsidRPr="00787ECC" w:rsidRDefault="00403712" w:rsidP="00E419F9">
            <w:pPr>
              <w:keepLines/>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E419F9">
            <w:pPr>
              <w:keepLines/>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E419F9">
            <w:pPr>
              <w:keepLines/>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Elaboración de un Análisis Ambiental y Social (AAS) para el Programa con su respectivo Marco de Gestión Ambiental y Social (MGAS).</w:t>
            </w:r>
          </w:p>
        </w:tc>
        <w:tc>
          <w:tcPr>
            <w:tcW w:w="3712" w:type="dxa"/>
            <w:shd w:val="clear" w:color="auto" w:fill="FFFFFF" w:themeFill="background1"/>
            <w:tcMar>
              <w:top w:w="29" w:type="dxa"/>
              <w:left w:w="29" w:type="dxa"/>
              <w:bottom w:w="29" w:type="dxa"/>
              <w:right w:w="29" w:type="dxa"/>
            </w:tcMar>
          </w:tcPr>
          <w:p w:rsidR="00403712" w:rsidRPr="00787ECC" w:rsidRDefault="00403712" w:rsidP="00E419F9">
            <w:pPr>
              <w:keepLines/>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Reglamento operativo </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B.6 Consultas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proceso de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7741DC">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Divulgación y Consulta del plan de gestión ambiental y social de cada una de las obras del programa. Siendo el proyecto clasificado como Categoría B, resulta necesaria por lo menos una consulta con las comunidades directa e indirectamente afectadas por cada uno de los centros educativos a ser construidos.</w:t>
            </w:r>
          </w:p>
        </w:tc>
        <w:tc>
          <w:tcPr>
            <w:tcW w:w="3712" w:type="dxa"/>
            <w:shd w:val="clear" w:color="auto" w:fill="FFFFFF" w:themeFill="background1"/>
            <w:tcMar>
              <w:top w:w="29" w:type="dxa"/>
              <w:left w:w="29" w:type="dxa"/>
              <w:bottom w:w="29" w:type="dxa"/>
              <w:right w:w="29" w:type="dxa"/>
            </w:tcMar>
          </w:tcPr>
          <w:p w:rsidR="00403712" w:rsidRPr="00787ECC" w:rsidRDefault="00403712" w:rsidP="00010028">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El Programa llevará a cabo los respectivos procesos de consulta pública a los planes de gestión ambiental y social de cada una de las obras. </w:t>
            </w:r>
            <w:r w:rsidR="00010028" w:rsidRPr="00787ECC">
              <w:rPr>
                <w:rFonts w:eastAsia="Times New Roman" w:cs="Arial"/>
                <w:color w:val="000000"/>
                <w:sz w:val="20"/>
                <w:szCs w:val="20"/>
                <w:lang w:val="es-ES" w:eastAsia="en-US"/>
              </w:rPr>
              <w:t xml:space="preserve">El objetivo de estas consultas es informar sobre las cuestiones socioambientales que surgen a partir del inicio de las obras, relacionados con los trastornos causados en la etapa de construcción y operación (polvo, ruido, residuos, aumento del </w:t>
            </w:r>
            <w:r w:rsidR="004978C8" w:rsidRPr="00787ECC">
              <w:rPr>
                <w:rFonts w:eastAsia="Times New Roman" w:cs="Arial"/>
                <w:color w:val="000000"/>
                <w:sz w:val="20"/>
                <w:szCs w:val="20"/>
                <w:lang w:val="es-ES" w:eastAsia="en-US"/>
              </w:rPr>
              <w:t>tránsito</w:t>
            </w:r>
            <w:r w:rsidR="00010028" w:rsidRPr="00787ECC">
              <w:rPr>
                <w:rFonts w:eastAsia="Times New Roman" w:cs="Arial"/>
                <w:color w:val="000000"/>
                <w:sz w:val="20"/>
                <w:szCs w:val="20"/>
                <w:lang w:val="es-ES" w:eastAsia="en-US"/>
              </w:rPr>
              <w:t xml:space="preserve"> de vehículos y eventuales alteraciones en las vías de acceso). </w:t>
            </w:r>
            <w:r w:rsidRPr="00787ECC">
              <w:rPr>
                <w:rFonts w:eastAsia="Times New Roman" w:cs="Arial"/>
                <w:color w:val="000000"/>
                <w:sz w:val="20"/>
                <w:szCs w:val="20"/>
                <w:lang w:val="es-ES" w:eastAsia="en-US"/>
              </w:rPr>
              <w:t>El proceso de consulta seguirá un mecanismo de consulta pública que será parte del MGAS y que será compatible con las políticas del Banco.</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B.7 Supervisión y cumplimiento</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proceso de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Supervisión y cumplimiento de todos los requisitos socio-ambientales que apliquen al Programa, incluyendo el MGAS y los requerimientos establecidos en el IGAS.</w:t>
            </w:r>
          </w:p>
        </w:tc>
        <w:tc>
          <w:tcPr>
            <w:tcW w:w="3712" w:type="dxa"/>
            <w:shd w:val="clear" w:color="auto" w:fill="FFFFFF" w:themeFill="background1"/>
            <w:tcMar>
              <w:top w:w="29" w:type="dxa"/>
              <w:left w:w="29" w:type="dxa"/>
              <w:bottom w:w="29" w:type="dxa"/>
              <w:right w:w="29" w:type="dxa"/>
            </w:tcMar>
          </w:tcPr>
          <w:tbl>
            <w:tblPr>
              <w:tblW w:w="0" w:type="auto"/>
              <w:tblBorders>
                <w:top w:val="nil"/>
                <w:left w:val="nil"/>
                <w:bottom w:val="nil"/>
                <w:right w:val="nil"/>
              </w:tblBorders>
              <w:tblLook w:val="0000" w:firstRow="0" w:lastRow="0" w:firstColumn="0" w:lastColumn="0" w:noHBand="0" w:noVBand="0"/>
            </w:tblPr>
            <w:tblGrid>
              <w:gridCol w:w="3654"/>
            </w:tblGrid>
            <w:tr w:rsidR="00403712" w:rsidRPr="00C54F3A" w:rsidTr="00457686">
              <w:trPr>
                <w:trHeight w:val="1637"/>
              </w:trPr>
              <w:tc>
                <w:tcPr>
                  <w:tcW w:w="0" w:type="auto"/>
                  <w:tcMar>
                    <w:top w:w="29" w:type="dxa"/>
                    <w:left w:w="29" w:type="dxa"/>
                    <w:bottom w:w="29" w:type="dxa"/>
                    <w:right w:w="29" w:type="dxa"/>
                  </w:tcMar>
                </w:tcPr>
                <w:p w:rsidR="00403712" w:rsidRPr="00787ECC" w:rsidRDefault="00403712" w:rsidP="00457686">
                  <w:pPr>
                    <w:spacing w:after="0"/>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Se dará cumplimiento a todas las medidas de mitigación y control socio-ambientales para mitigar y controlar cualquier impacto socio-ambiental del Programa.</w:t>
                  </w:r>
                </w:p>
              </w:tc>
            </w:tr>
          </w:tbl>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tc>
      </w:tr>
      <w:tr w:rsidR="00403712" w:rsidRPr="00787ECC" w:rsidTr="00457686">
        <w:trPr>
          <w:trHeight w:val="445"/>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B.8 Impactos transfronterizos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lastRenderedPageBreak/>
              <w:t>B.9 Hábitats naturales y sitios culturales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Las obras del Programa estarán ubicadas en áreas pobladas/intervenidas ya que se deberá tener acceso a todos los servicios básicos tales como sistemas de alcantarillado, energía eléctrica, vías de acceso, entre otros servicios; por esta razón, no se prevé que las obras del Programa tengan un impactos sobre hábitat naturales críticos o sitios culturales. </w:t>
            </w:r>
          </w:p>
        </w:tc>
        <w:tc>
          <w:tcPr>
            <w:tcW w:w="3712" w:type="dxa"/>
            <w:shd w:val="clear" w:color="auto" w:fill="FFFFFF" w:themeFill="background1"/>
            <w:tcMar>
              <w:top w:w="29" w:type="dxa"/>
              <w:left w:w="29" w:type="dxa"/>
              <w:bottom w:w="29" w:type="dxa"/>
              <w:right w:w="29" w:type="dxa"/>
            </w:tcMar>
          </w:tcPr>
          <w:p w:rsidR="00403712" w:rsidRPr="00787ECC" w:rsidRDefault="00403712" w:rsidP="00010028">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No se prevé que las obras del programa tengan impacto</w:t>
            </w:r>
            <w:r w:rsidR="00010028" w:rsidRPr="00787ECC">
              <w:rPr>
                <w:rFonts w:eastAsia="Times New Roman" w:cs="Arial"/>
                <w:color w:val="000000"/>
                <w:sz w:val="20"/>
                <w:szCs w:val="20"/>
                <w:lang w:val="es-ES" w:eastAsia="en-US"/>
              </w:rPr>
              <w:t xml:space="preserve"> en este sentido</w:t>
            </w:r>
            <w:r w:rsidRPr="00787ECC">
              <w:rPr>
                <w:rFonts w:eastAsia="Times New Roman" w:cs="Arial"/>
                <w:color w:val="000000"/>
                <w:sz w:val="20"/>
                <w:szCs w:val="20"/>
                <w:lang w:val="es-ES" w:eastAsia="en-US"/>
              </w:rPr>
              <w:t>.</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B.10 Materiales peligrosos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La construcción y operación de los centros educativos no incluyen el uso y/o generación de desechos residuales peligrosos/tóxicos así como tampoco descarga de aguas residuales del tipo industrial u hospitalaria.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B.11 Prevención y reducción de la contaminación</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Generación de emisiones de gases a la atmósfera, ruido y desechos sólidos.</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rPr>
                <w:rFonts w:eastAsia="Times New Roman" w:cs="Arial"/>
                <w:sz w:val="20"/>
                <w:szCs w:val="20"/>
                <w:lang w:val="es-ES" w:eastAsia="en-US"/>
              </w:rPr>
            </w:pPr>
            <w:r w:rsidRPr="00787ECC">
              <w:rPr>
                <w:rFonts w:eastAsia="Calibri" w:cs="Arial"/>
                <w:sz w:val="20"/>
                <w:szCs w:val="20"/>
                <w:lang w:val="es-ES" w:eastAsia="en-US"/>
              </w:rPr>
              <w:t>El MGAS incluirá las medidas y programas para el manejo adecuado de desechos sólidos de construcción y domésticos, emisiones de gases a la atmósfera, y generación de ruido y polvo.</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B.12 Proyectos de construcción</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B.13 Préstamos de política e instrumentos flexibles de préstamo</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B.14 Préstamos multifase o repetidos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B.15 Operaciones con cofinanciamiento</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B.16 Sistemas nacionales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B.17 Adquisiciones</w:t>
            </w:r>
          </w:p>
        </w:tc>
        <w:tc>
          <w:tcPr>
            <w:tcW w:w="3150"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Análisis de los procesos de adquisición de bienes y servicios  del Programa.</w:t>
            </w:r>
          </w:p>
        </w:tc>
        <w:tc>
          <w:tcPr>
            <w:tcW w:w="3712" w:type="dxa"/>
            <w:shd w:val="clear" w:color="auto" w:fill="FFFFFF" w:themeFill="background1"/>
            <w:tcMar>
              <w:top w:w="29" w:type="dxa"/>
              <w:left w:w="29" w:type="dxa"/>
              <w:bottom w:w="29" w:type="dxa"/>
              <w:right w:w="29" w:type="dxa"/>
            </w:tcMar>
            <w:vAlign w:val="center"/>
          </w:tcPr>
          <w:p w:rsidR="00403712" w:rsidRPr="00787ECC" w:rsidRDefault="00403712" w:rsidP="00010028">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ANEP incluirá requisitos ambientales en el texto descriptivo para el diseño, construcción y operación de la infraestructura</w:t>
            </w:r>
            <w:r w:rsidR="00010028" w:rsidRPr="00787ECC">
              <w:rPr>
                <w:rFonts w:eastAsia="Times New Roman" w:cs="Arial"/>
                <w:color w:val="000000"/>
                <w:sz w:val="20"/>
                <w:szCs w:val="20"/>
                <w:lang w:val="es-ES" w:eastAsia="en-US"/>
              </w:rPr>
              <w:t xml:space="preserve">, </w:t>
            </w:r>
            <w:r w:rsidRPr="00787ECC">
              <w:rPr>
                <w:rFonts w:eastAsia="Times New Roman" w:cs="Arial"/>
                <w:color w:val="000000"/>
                <w:sz w:val="20"/>
                <w:szCs w:val="20"/>
                <w:lang w:val="es-ES" w:eastAsia="en-US"/>
              </w:rPr>
              <w:t>especialmente aquellos requisitos relacionados al tratamiento de aguas residuales.</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OP-710 Política de Reasentamiento Involuntario</w:t>
            </w:r>
          </w:p>
        </w:tc>
        <w:tc>
          <w:tcPr>
            <w:tcW w:w="3150"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Aplicar la Política de Reasentamiento Involuntario.</w:t>
            </w:r>
          </w:p>
        </w:tc>
        <w:tc>
          <w:tcPr>
            <w:tcW w:w="3712" w:type="dxa"/>
            <w:shd w:val="clear" w:color="auto" w:fill="FFFFFF" w:themeFill="background1"/>
            <w:tcMar>
              <w:top w:w="29" w:type="dxa"/>
              <w:left w:w="29" w:type="dxa"/>
              <w:bottom w:w="29" w:type="dxa"/>
              <w:right w:w="29" w:type="dxa"/>
            </w:tcMar>
            <w:vAlign w:val="center"/>
          </w:tcPr>
          <w:p w:rsidR="00403712" w:rsidRPr="00787ECC" w:rsidRDefault="00010028" w:rsidP="00010028">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w:t>
            </w:r>
            <w:r w:rsidR="00403712" w:rsidRPr="00787ECC">
              <w:rPr>
                <w:rFonts w:eastAsia="Times New Roman" w:cs="Arial"/>
                <w:color w:val="000000"/>
                <w:sz w:val="20"/>
                <w:szCs w:val="20"/>
                <w:lang w:val="es-ES" w:eastAsia="en-US"/>
              </w:rPr>
              <w:t>inguno de los centros educativos se construirá en terrenos con situaciones de reasentamiento involuntario de personas</w:t>
            </w:r>
            <w:r w:rsidRPr="00787ECC">
              <w:rPr>
                <w:rFonts w:eastAsia="Times New Roman" w:cs="Arial"/>
                <w:color w:val="000000"/>
                <w:sz w:val="20"/>
                <w:szCs w:val="20"/>
                <w:lang w:val="es-ES" w:eastAsia="en-US"/>
              </w:rPr>
              <w:t>.</w:t>
            </w:r>
            <w:r w:rsidR="00403712" w:rsidRPr="00787ECC">
              <w:rPr>
                <w:rFonts w:eastAsia="Times New Roman" w:cs="Arial"/>
                <w:color w:val="000000"/>
                <w:sz w:val="20"/>
                <w:szCs w:val="20"/>
                <w:lang w:val="es-ES" w:eastAsia="en-US"/>
              </w:rPr>
              <w:t xml:space="preserve"> </w:t>
            </w:r>
          </w:p>
        </w:tc>
      </w:tr>
      <w:tr w:rsidR="00403712" w:rsidRPr="00787ECC"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OP-765 Política de Pueblos Indígenas</w:t>
            </w:r>
          </w:p>
        </w:tc>
        <w:tc>
          <w:tcPr>
            <w:tcW w:w="3150"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No se prevé que el Programa tenga un impacto directo sobre alguna comunidad indígena.</w:t>
            </w:r>
          </w:p>
        </w:tc>
        <w:tc>
          <w:tcPr>
            <w:tcW w:w="3712"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N/A</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OP-704 Política de Manejo de Riesgo de Desastres</w:t>
            </w:r>
          </w:p>
        </w:tc>
        <w:tc>
          <w:tcPr>
            <w:tcW w:w="3150"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Vulnerabilidad y exposición del Proyecto a desastres naturales. </w:t>
            </w:r>
          </w:p>
        </w:tc>
        <w:tc>
          <w:tcPr>
            <w:tcW w:w="3712"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El Programa es una operación de </w:t>
            </w:r>
            <w:r w:rsidRPr="00787ECC">
              <w:rPr>
                <w:rFonts w:eastAsia="Times New Roman" w:cs="Arial"/>
                <w:b/>
                <w:color w:val="000000"/>
                <w:sz w:val="20"/>
                <w:szCs w:val="20"/>
                <w:lang w:val="es-ES" w:eastAsia="en-US"/>
              </w:rPr>
              <w:t xml:space="preserve">bajo riesgo en lo que se refiere a riesgo de </w:t>
            </w:r>
            <w:r w:rsidRPr="00787ECC">
              <w:rPr>
                <w:rFonts w:eastAsia="Times New Roman" w:cs="Arial"/>
                <w:b/>
                <w:color w:val="000000"/>
                <w:sz w:val="20"/>
                <w:szCs w:val="20"/>
                <w:lang w:val="es-ES" w:eastAsia="en-US"/>
              </w:rPr>
              <w:lastRenderedPageBreak/>
              <w:t>desastres</w:t>
            </w:r>
            <w:r w:rsidRPr="00787ECC">
              <w:rPr>
                <w:rFonts w:eastAsia="Times New Roman" w:cs="Arial"/>
                <w:color w:val="000000"/>
                <w:sz w:val="20"/>
                <w:szCs w:val="20"/>
                <w:lang w:val="es-ES" w:eastAsia="en-US"/>
              </w:rPr>
              <w:t xml:space="preserve"> debido a que la construcción de los centros educativos no será en áreas expuestas a inundaciones y deslizamientos de tierra para evitar cualquier tipo de riesgo de desastre. </w:t>
            </w: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lastRenderedPageBreak/>
              <w:t>OP-761 Política de Igualdad de Género en el Desarrollo</w:t>
            </w:r>
          </w:p>
        </w:tc>
        <w:tc>
          <w:tcPr>
            <w:tcW w:w="3150"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r w:rsidRPr="00787ECC">
              <w:rPr>
                <w:rFonts w:eastAsia="Times New Roman" w:cs="Arial"/>
                <w:color w:val="000000"/>
                <w:sz w:val="20"/>
                <w:szCs w:val="20"/>
                <w:lang w:val="es-ES" w:eastAsia="en-US"/>
              </w:rPr>
              <w:t>Cumplimiento con los lineamientos de la política OP-761.</w:t>
            </w:r>
          </w:p>
        </w:tc>
        <w:tc>
          <w:tcPr>
            <w:tcW w:w="3712"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jc w:val="both"/>
              <w:rPr>
                <w:rFonts w:eastAsia="Times New Roman" w:cs="Arial"/>
                <w:color w:val="000000"/>
                <w:sz w:val="20"/>
                <w:szCs w:val="20"/>
                <w:lang w:val="es-ES" w:eastAsia="en-US"/>
              </w:rPr>
            </w:pPr>
          </w:p>
        </w:tc>
      </w:tr>
      <w:tr w:rsidR="00403712" w:rsidRPr="00C54F3A" w:rsidTr="00457686">
        <w:trPr>
          <w:jc w:val="center"/>
        </w:trPr>
        <w:tc>
          <w:tcPr>
            <w:tcW w:w="2934"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b/>
                <w:color w:val="000000"/>
                <w:sz w:val="20"/>
                <w:szCs w:val="20"/>
                <w:lang w:val="es-ES" w:eastAsia="en-US"/>
              </w:rPr>
            </w:pPr>
            <w:r w:rsidRPr="00787ECC">
              <w:rPr>
                <w:rFonts w:eastAsia="Times New Roman" w:cs="Arial"/>
                <w:b/>
                <w:color w:val="000000"/>
                <w:sz w:val="20"/>
                <w:szCs w:val="20"/>
                <w:lang w:val="es-ES" w:eastAsia="en-US"/>
              </w:rPr>
              <w:t>OP-102 Política de Acceso a la Información</w:t>
            </w:r>
          </w:p>
        </w:tc>
        <w:tc>
          <w:tcPr>
            <w:tcW w:w="3150" w:type="dxa"/>
            <w:shd w:val="clear" w:color="auto" w:fill="FFFFFF" w:themeFill="background1"/>
            <w:tcMar>
              <w:top w:w="29" w:type="dxa"/>
              <w:left w:w="29" w:type="dxa"/>
              <w:bottom w:w="29" w:type="dxa"/>
              <w:right w:w="29" w:type="dxa"/>
            </w:tcMar>
            <w:vAlign w:val="center"/>
          </w:tcPr>
          <w:p w:rsidR="00403712" w:rsidRPr="00787ECC" w:rsidRDefault="00403712" w:rsidP="00457686">
            <w:pPr>
              <w:autoSpaceDE w:val="0"/>
              <w:autoSpaceDN w:val="0"/>
              <w:adjustRightInd w:val="0"/>
              <w:spacing w:after="0"/>
              <w:contextualSpacing/>
              <w:rPr>
                <w:rFonts w:eastAsia="Times New Roman" w:cs="Arial"/>
                <w:color w:val="000000"/>
                <w:sz w:val="20"/>
                <w:szCs w:val="20"/>
                <w:lang w:val="es-ES" w:eastAsia="en-US"/>
              </w:rPr>
            </w:pPr>
            <w:r w:rsidRPr="00787ECC">
              <w:rPr>
                <w:rFonts w:eastAsia="Times New Roman" w:cs="Arial"/>
                <w:color w:val="000000"/>
                <w:sz w:val="20"/>
                <w:szCs w:val="20"/>
                <w:lang w:val="es-ES" w:eastAsia="en-US"/>
              </w:rPr>
              <w:t>En cumplimiento.</w:t>
            </w:r>
          </w:p>
          <w:p w:rsidR="00403712" w:rsidRPr="00787ECC" w:rsidRDefault="00403712" w:rsidP="00457686">
            <w:pPr>
              <w:autoSpaceDE w:val="0"/>
              <w:autoSpaceDN w:val="0"/>
              <w:adjustRightInd w:val="0"/>
              <w:spacing w:after="0"/>
              <w:contextualSpacing/>
              <w:rPr>
                <w:rFonts w:eastAsia="Times New Roman" w:cs="Arial"/>
                <w:color w:val="000000"/>
                <w:sz w:val="20"/>
                <w:szCs w:val="20"/>
                <w:lang w:val="es-ES" w:eastAsia="en-US"/>
              </w:rPr>
            </w:pPr>
            <w:r w:rsidRPr="00787ECC">
              <w:rPr>
                <w:rFonts w:eastAsia="Times New Roman" w:cs="Arial"/>
                <w:color w:val="000000"/>
                <w:sz w:val="20"/>
                <w:szCs w:val="20"/>
                <w:lang w:val="es-ES" w:eastAsia="en-US"/>
              </w:rPr>
              <w:t>Divulgación de los aspectos ambientales y sociales del Programa a través de la página de internet del Banco.</w:t>
            </w:r>
          </w:p>
        </w:tc>
        <w:tc>
          <w:tcPr>
            <w:tcW w:w="3712" w:type="dxa"/>
            <w:shd w:val="clear" w:color="auto" w:fill="FFFFFF" w:themeFill="background1"/>
            <w:tcMar>
              <w:top w:w="29" w:type="dxa"/>
              <w:left w:w="29" w:type="dxa"/>
              <w:bottom w:w="29" w:type="dxa"/>
              <w:right w:w="29" w:type="dxa"/>
            </w:tcMar>
          </w:tcPr>
          <w:p w:rsidR="00403712" w:rsidRPr="00787ECC" w:rsidRDefault="00403712" w:rsidP="00457686">
            <w:pPr>
              <w:autoSpaceDE w:val="0"/>
              <w:autoSpaceDN w:val="0"/>
              <w:adjustRightInd w:val="0"/>
              <w:spacing w:after="0"/>
              <w:contextualSpacing/>
              <w:rPr>
                <w:rFonts w:eastAsia="Times New Roman" w:cs="Arial"/>
                <w:color w:val="000000"/>
                <w:sz w:val="20"/>
                <w:szCs w:val="20"/>
                <w:lang w:val="es-ES" w:eastAsia="en-US"/>
              </w:rPr>
            </w:pPr>
            <w:r w:rsidRPr="00787ECC">
              <w:rPr>
                <w:rFonts w:eastAsia="Times New Roman" w:cs="Arial"/>
                <w:color w:val="000000"/>
                <w:sz w:val="20"/>
                <w:szCs w:val="20"/>
                <w:lang w:val="es-ES" w:eastAsia="en-US"/>
              </w:rPr>
              <w:t xml:space="preserve">Disponibilidad de la Estrategia Ambiental y Social y del Informe de Gestión Ambiental y Social (IGAS) en el sitio web del Banco. </w:t>
            </w:r>
          </w:p>
        </w:tc>
      </w:tr>
    </w:tbl>
    <w:p w:rsidR="00403712" w:rsidRPr="00787ECC" w:rsidRDefault="00403712" w:rsidP="00403712">
      <w:pPr>
        <w:spacing w:after="120"/>
        <w:jc w:val="both"/>
        <w:rPr>
          <w:rFonts w:eastAsia="Calibri" w:cs="Arial"/>
          <w:lang w:val="es-ES" w:eastAsia="en-US"/>
        </w:rPr>
      </w:pPr>
    </w:p>
    <w:p w:rsidR="00141C20" w:rsidRPr="00787ECC" w:rsidRDefault="00141C20" w:rsidP="00EA4918">
      <w:pPr>
        <w:pStyle w:val="Heading1"/>
        <w:numPr>
          <w:ilvl w:val="0"/>
          <w:numId w:val="1"/>
        </w:numPr>
        <w:rPr>
          <w:lang w:val="es-ES"/>
        </w:rPr>
      </w:pPr>
      <w:bookmarkStart w:id="72" w:name="_Toc454878426"/>
      <w:bookmarkStart w:id="73" w:name="_Toc454878639"/>
      <w:bookmarkStart w:id="74" w:name="_Toc454878701"/>
      <w:bookmarkStart w:id="75" w:name="_Toc454878871"/>
      <w:bookmarkStart w:id="76" w:name="_Toc454878964"/>
      <w:bookmarkStart w:id="77" w:name="_Toc454878427"/>
      <w:bookmarkStart w:id="78" w:name="_Toc454878640"/>
      <w:bookmarkStart w:id="79" w:name="_Toc454878702"/>
      <w:bookmarkStart w:id="80" w:name="_Toc454878872"/>
      <w:bookmarkStart w:id="81" w:name="_Toc454878965"/>
      <w:bookmarkStart w:id="82" w:name="_Toc454878428"/>
      <w:bookmarkStart w:id="83" w:name="_Toc454878641"/>
      <w:bookmarkStart w:id="84" w:name="_Toc454878703"/>
      <w:bookmarkStart w:id="85" w:name="_Toc454878873"/>
      <w:bookmarkStart w:id="86" w:name="_Toc454878966"/>
      <w:bookmarkStart w:id="87" w:name="_Toc454878429"/>
      <w:bookmarkStart w:id="88" w:name="_Toc454878642"/>
      <w:bookmarkStart w:id="89" w:name="_Toc454878704"/>
      <w:bookmarkStart w:id="90" w:name="_Toc454878874"/>
      <w:bookmarkStart w:id="91" w:name="_Toc454878967"/>
      <w:bookmarkStart w:id="92" w:name="_Toc454878430"/>
      <w:bookmarkStart w:id="93" w:name="_Toc454878643"/>
      <w:bookmarkStart w:id="94" w:name="_Toc454878705"/>
      <w:bookmarkStart w:id="95" w:name="_Toc454878875"/>
      <w:bookmarkStart w:id="96" w:name="_Toc454878968"/>
      <w:bookmarkStart w:id="97" w:name="_Toc454878431"/>
      <w:bookmarkStart w:id="98" w:name="_Toc454878644"/>
      <w:bookmarkStart w:id="99" w:name="_Toc454878706"/>
      <w:bookmarkStart w:id="100" w:name="_Toc454878876"/>
      <w:bookmarkStart w:id="101" w:name="_Toc454878969"/>
      <w:bookmarkStart w:id="102" w:name="_Toc454878432"/>
      <w:bookmarkStart w:id="103" w:name="_Toc454878645"/>
      <w:bookmarkStart w:id="104" w:name="_Toc454878707"/>
      <w:bookmarkStart w:id="105" w:name="_Toc454878877"/>
      <w:bookmarkStart w:id="106" w:name="_Toc454878970"/>
      <w:bookmarkStart w:id="107" w:name="_Toc454878433"/>
      <w:bookmarkStart w:id="108" w:name="_Toc454878646"/>
      <w:bookmarkStart w:id="109" w:name="_Toc454878708"/>
      <w:bookmarkStart w:id="110" w:name="_Toc454878878"/>
      <w:bookmarkStart w:id="111" w:name="_Toc454878971"/>
      <w:bookmarkStart w:id="112" w:name="_Toc454878434"/>
      <w:bookmarkStart w:id="113" w:name="_Toc454878647"/>
      <w:bookmarkStart w:id="114" w:name="_Toc454878709"/>
      <w:bookmarkStart w:id="115" w:name="_Toc454878879"/>
      <w:bookmarkStart w:id="116" w:name="_Toc454878972"/>
      <w:bookmarkStart w:id="117" w:name="_Toc454878435"/>
      <w:bookmarkStart w:id="118" w:name="_Toc454878648"/>
      <w:bookmarkStart w:id="119" w:name="_Toc454878710"/>
      <w:bookmarkStart w:id="120" w:name="_Toc454878880"/>
      <w:bookmarkStart w:id="121" w:name="_Toc454878973"/>
      <w:bookmarkStart w:id="122" w:name="_Toc454878436"/>
      <w:bookmarkStart w:id="123" w:name="_Toc454878649"/>
      <w:bookmarkStart w:id="124" w:name="_Toc454878711"/>
      <w:bookmarkStart w:id="125" w:name="_Toc454878881"/>
      <w:bookmarkStart w:id="126" w:name="_Toc454878974"/>
      <w:bookmarkStart w:id="127" w:name="_Toc454878437"/>
      <w:bookmarkStart w:id="128" w:name="_Toc454878650"/>
      <w:bookmarkStart w:id="129" w:name="_Toc454878712"/>
      <w:bookmarkStart w:id="130" w:name="_Toc454878882"/>
      <w:bookmarkStart w:id="131" w:name="_Toc454878975"/>
      <w:bookmarkStart w:id="132" w:name="_Toc454878976"/>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787ECC">
        <w:rPr>
          <w:lang w:val="es-ES"/>
        </w:rPr>
        <w:t>MANEJO Y MONITOREO DE IMPACTOS Y RIESGOS AMBIENTALES Y SOCIALES</w:t>
      </w:r>
      <w:bookmarkEnd w:id="132"/>
    </w:p>
    <w:p w:rsidR="00A95589" w:rsidRPr="00E419F9" w:rsidRDefault="00A95589" w:rsidP="00B23B70">
      <w:pPr>
        <w:pStyle w:val="Heading2"/>
        <w:numPr>
          <w:ilvl w:val="1"/>
          <w:numId w:val="6"/>
        </w:numPr>
        <w:rPr>
          <w:rFonts w:cs="Arial"/>
          <w:sz w:val="22"/>
          <w:szCs w:val="22"/>
          <w:lang w:val="es-ES"/>
        </w:rPr>
      </w:pPr>
      <w:bookmarkStart w:id="133" w:name="_Toc454878439"/>
      <w:bookmarkStart w:id="134" w:name="_Toc454878652"/>
      <w:bookmarkStart w:id="135" w:name="_Toc454878714"/>
      <w:bookmarkStart w:id="136" w:name="_Toc454878884"/>
      <w:bookmarkStart w:id="137" w:name="_Toc454878977"/>
      <w:bookmarkEnd w:id="133"/>
      <w:bookmarkEnd w:id="134"/>
      <w:bookmarkEnd w:id="135"/>
      <w:bookmarkEnd w:id="136"/>
      <w:bookmarkEnd w:id="137"/>
      <w:r w:rsidRPr="00E419F9">
        <w:rPr>
          <w:sz w:val="22"/>
          <w:szCs w:val="22"/>
          <w:lang w:val="es-ES"/>
        </w:rPr>
        <w:t>Plan de gestión ambiental y social</w:t>
      </w:r>
    </w:p>
    <w:p w:rsidR="00127DDC" w:rsidRPr="0005689B" w:rsidRDefault="00127DDC" w:rsidP="00EA4918">
      <w:pPr>
        <w:pStyle w:val="ListParagraph"/>
        <w:spacing w:after="200" w:line="300" w:lineRule="exact"/>
        <w:ind w:left="864" w:hanging="504"/>
        <w:rPr>
          <w:lang w:val="es-ES"/>
        </w:rPr>
      </w:pPr>
      <w:r w:rsidRPr="0005689B">
        <w:rPr>
          <w:b/>
          <w:lang w:val="es-ES"/>
        </w:rPr>
        <w:t>Marco de Gestión Ambiental y Social (MGAS):</w:t>
      </w:r>
      <w:r w:rsidRPr="00B5790E">
        <w:rPr>
          <w:lang w:val="es-ES"/>
        </w:rPr>
        <w:t xml:space="preserve"> El </w:t>
      </w:r>
      <w:r w:rsidRPr="004978C8">
        <w:rPr>
          <w:lang w:val="es-ES"/>
        </w:rPr>
        <w:t xml:space="preserve">Marco de Gestión Ambiental y Social para el Programa es un instrumento de gestión que define los aspectos ambientales y sociales, las </w:t>
      </w:r>
      <w:r w:rsidRPr="00E419F9">
        <w:rPr>
          <w:lang w:val="es-ES"/>
        </w:rPr>
        <w:t>metodologías</w:t>
      </w:r>
      <w:r w:rsidRPr="0005689B">
        <w:rPr>
          <w:lang w:val="es-ES"/>
        </w:rPr>
        <w:t>, herramientas y procedimientos de gestión socio-ambiental del Programa a ser implementados por ANEP. Además, el MGAS es un instrumento de gestión compatible con los lineamientos de la política ambiental y social (OP-703) del BID.</w:t>
      </w:r>
    </w:p>
    <w:p w:rsidR="00127DDC" w:rsidRPr="0005689B" w:rsidRDefault="00127DDC" w:rsidP="00EA4918">
      <w:pPr>
        <w:pStyle w:val="ListParagraph"/>
        <w:spacing w:after="200" w:line="300" w:lineRule="exact"/>
        <w:ind w:left="864" w:hanging="504"/>
        <w:rPr>
          <w:lang w:val="es-ES"/>
        </w:rPr>
      </w:pPr>
      <w:r w:rsidRPr="00E419F9">
        <w:rPr>
          <w:lang w:val="es-ES"/>
        </w:rPr>
        <w:t xml:space="preserve">Entre los objetivos específicos de este instrumento están los siguientes: i) desarrollar los planes y mecanismos para controlar, mitigar y evitar adecuadamente los riesgos e impactos negativos ambientales y sociales durante las etapas de construcción y operación de los centros </w:t>
      </w:r>
      <w:r w:rsidRPr="00E419F9">
        <w:rPr>
          <w:lang w:val="es-ES" w:eastAsia="en-US"/>
        </w:rPr>
        <w:t>educativos</w:t>
      </w:r>
      <w:r w:rsidRPr="00E419F9">
        <w:rPr>
          <w:lang w:val="es-ES"/>
        </w:rPr>
        <w:t>; ii) identificar en función del nivel de riesgo socio-ambiental, los estudios y presupuestos ambientales y/o sociales requeridos por la legislación ambiental nacional y la Política de Medio Ambiente y Cumplimiento de Salvaguardias (OP-703); iii) diseñar instrumentos de uso interno, con el fin de registrar y sistematizar las actividades de gestión socio-ambiental desarrolladas a lo largo del ciclo de proyecto; iv) y establecer procedimientos y responsabilidades de gestión socio-ambiental tanto en el ámbito interno como externo para cumplir con la respectiva autoridad ambiental.</w:t>
      </w:r>
    </w:p>
    <w:p w:rsidR="00CC2E3D" w:rsidRPr="0005689B" w:rsidRDefault="00CC2E3D" w:rsidP="00EA4918">
      <w:pPr>
        <w:pStyle w:val="ListParagraph"/>
        <w:spacing w:after="200" w:line="300" w:lineRule="exact"/>
        <w:ind w:left="864" w:hanging="504"/>
        <w:rPr>
          <w:lang w:val="es-ES"/>
        </w:rPr>
      </w:pPr>
      <w:r w:rsidRPr="00E419F9">
        <w:rPr>
          <w:lang w:val="es-ES"/>
        </w:rPr>
        <w:t xml:space="preserve">El Plan de Gestión Ambiental y Social que se resume a continuación formula las medidas necesarias para la </w:t>
      </w:r>
      <w:r w:rsidRPr="00E419F9">
        <w:rPr>
          <w:lang w:val="es-ES" w:eastAsia="en-US"/>
        </w:rPr>
        <w:t>mitigación</w:t>
      </w:r>
      <w:r w:rsidRPr="00E419F9">
        <w:rPr>
          <w:lang w:val="es-ES"/>
        </w:rPr>
        <w:t>, compensación y prevención de los efectos adversos, que pudiera causar las actividades de la presente operación sobre los elementos ambientales y sociales. Este plan cubre las fases de construcción y de operación de la infraestructura a ser financiada por la presente operación.</w:t>
      </w:r>
    </w:p>
    <w:tbl>
      <w:tblPr>
        <w:tblW w:w="9000" w:type="dxa"/>
        <w:jc w:val="center"/>
        <w:tblInd w:w="70" w:type="dxa"/>
        <w:tblLayout w:type="fixed"/>
        <w:tblCellMar>
          <w:left w:w="70" w:type="dxa"/>
          <w:right w:w="70" w:type="dxa"/>
        </w:tblCellMar>
        <w:tblLook w:val="0000" w:firstRow="0" w:lastRow="0" w:firstColumn="0" w:lastColumn="0" w:noHBand="0" w:noVBand="0"/>
      </w:tblPr>
      <w:tblGrid>
        <w:gridCol w:w="1456"/>
        <w:gridCol w:w="1664"/>
        <w:gridCol w:w="4800"/>
        <w:gridCol w:w="540"/>
        <w:gridCol w:w="540"/>
      </w:tblGrid>
      <w:tr w:rsidR="00CC2E3D" w:rsidRPr="00787ECC" w:rsidTr="00E419F9">
        <w:trPr>
          <w:cantSplit/>
          <w:trHeight w:val="326"/>
          <w:tblHeader/>
          <w:jc w:val="center"/>
        </w:trPr>
        <w:tc>
          <w:tcPr>
            <w:tcW w:w="1456" w:type="dxa"/>
            <w:vMerge w:val="restart"/>
            <w:tcBorders>
              <w:top w:val="single" w:sz="12" w:space="0" w:color="000000"/>
              <w:left w:val="single" w:sz="12" w:space="0" w:color="000000"/>
              <w:right w:val="single" w:sz="12" w:space="0" w:color="000000"/>
            </w:tcBorders>
            <w:shd w:val="clear" w:color="auto" w:fill="D9D9D9"/>
            <w:vAlign w:val="center"/>
          </w:tcPr>
          <w:p w:rsidR="00CC2E3D" w:rsidRPr="00787ECC" w:rsidRDefault="00CC2E3D" w:rsidP="006E0138">
            <w:pPr>
              <w:keepNext/>
              <w:keepLines/>
              <w:jc w:val="center"/>
              <w:rPr>
                <w:rFonts w:cs="Arial"/>
                <w:b/>
                <w:bCs/>
                <w:color w:val="000000"/>
                <w:sz w:val="20"/>
                <w:szCs w:val="20"/>
                <w:lang w:val="es-ES"/>
              </w:rPr>
            </w:pPr>
            <w:r w:rsidRPr="00787ECC">
              <w:rPr>
                <w:rFonts w:cs="Arial"/>
                <w:b/>
                <w:bCs/>
                <w:color w:val="000000"/>
                <w:sz w:val="20"/>
                <w:szCs w:val="20"/>
                <w:lang w:val="es-ES"/>
              </w:rPr>
              <w:lastRenderedPageBreak/>
              <w:t>PROGRAMA</w:t>
            </w:r>
          </w:p>
        </w:tc>
        <w:tc>
          <w:tcPr>
            <w:tcW w:w="1664" w:type="dxa"/>
            <w:vMerge w:val="restart"/>
            <w:tcBorders>
              <w:top w:val="single" w:sz="12" w:space="0" w:color="000000"/>
              <w:left w:val="single" w:sz="12" w:space="0" w:color="000000"/>
              <w:right w:val="single" w:sz="12" w:space="0" w:color="000000"/>
            </w:tcBorders>
            <w:shd w:val="clear" w:color="auto" w:fill="D9D9D9"/>
            <w:vAlign w:val="center"/>
          </w:tcPr>
          <w:p w:rsidR="00CC2E3D" w:rsidRPr="00787ECC" w:rsidRDefault="00CC2E3D" w:rsidP="006E0138">
            <w:pPr>
              <w:keepNext/>
              <w:keepLines/>
              <w:jc w:val="center"/>
              <w:rPr>
                <w:rFonts w:cs="Arial"/>
                <w:b/>
                <w:bCs/>
                <w:color w:val="000000"/>
                <w:sz w:val="20"/>
                <w:szCs w:val="20"/>
                <w:lang w:val="es-ES"/>
              </w:rPr>
            </w:pPr>
            <w:r w:rsidRPr="00787ECC">
              <w:rPr>
                <w:rFonts w:cs="Arial"/>
                <w:b/>
                <w:bCs/>
                <w:color w:val="000000"/>
                <w:sz w:val="20"/>
                <w:szCs w:val="20"/>
                <w:lang w:val="es-ES"/>
              </w:rPr>
              <w:t>IMPACTO/ RIESGO</w:t>
            </w:r>
          </w:p>
        </w:tc>
        <w:tc>
          <w:tcPr>
            <w:tcW w:w="4800" w:type="dxa"/>
            <w:vMerge w:val="restart"/>
            <w:tcBorders>
              <w:top w:val="single" w:sz="12" w:space="0" w:color="000000"/>
              <w:left w:val="single" w:sz="12" w:space="0" w:color="000000"/>
              <w:right w:val="single" w:sz="12" w:space="0" w:color="000000"/>
            </w:tcBorders>
            <w:shd w:val="clear" w:color="auto" w:fill="D9D9D9"/>
            <w:vAlign w:val="center"/>
          </w:tcPr>
          <w:p w:rsidR="00CC2E3D" w:rsidRPr="00787ECC" w:rsidRDefault="00CC2E3D" w:rsidP="006E0138">
            <w:pPr>
              <w:keepNext/>
              <w:keepLines/>
              <w:jc w:val="center"/>
              <w:rPr>
                <w:rFonts w:cs="Arial"/>
                <w:b/>
                <w:bCs/>
                <w:color w:val="000000"/>
                <w:sz w:val="20"/>
                <w:szCs w:val="20"/>
                <w:lang w:val="es-ES"/>
              </w:rPr>
            </w:pPr>
            <w:r w:rsidRPr="00787ECC">
              <w:rPr>
                <w:rFonts w:cs="Arial"/>
                <w:b/>
                <w:bCs/>
                <w:color w:val="000000"/>
                <w:sz w:val="20"/>
                <w:szCs w:val="20"/>
                <w:lang w:val="es-ES"/>
              </w:rPr>
              <w:t>MEDIDA</w:t>
            </w:r>
          </w:p>
        </w:tc>
        <w:tc>
          <w:tcPr>
            <w:tcW w:w="1080" w:type="dxa"/>
            <w:gridSpan w:val="2"/>
            <w:tcBorders>
              <w:top w:val="single" w:sz="12" w:space="0" w:color="000000"/>
              <w:left w:val="single" w:sz="12" w:space="0" w:color="000000"/>
              <w:bottom w:val="single" w:sz="12" w:space="0" w:color="000000"/>
              <w:right w:val="single" w:sz="12" w:space="0" w:color="000000"/>
            </w:tcBorders>
            <w:shd w:val="clear" w:color="auto" w:fill="D9D9D9"/>
            <w:vAlign w:val="center"/>
          </w:tcPr>
          <w:p w:rsidR="00CC2E3D" w:rsidRPr="00787ECC" w:rsidRDefault="00CC2E3D" w:rsidP="006E0138">
            <w:pPr>
              <w:keepNext/>
              <w:keepLines/>
              <w:jc w:val="center"/>
              <w:rPr>
                <w:rFonts w:cs="Arial"/>
                <w:b/>
                <w:bCs/>
                <w:color w:val="000000"/>
                <w:sz w:val="20"/>
                <w:szCs w:val="20"/>
                <w:lang w:val="es-ES"/>
              </w:rPr>
            </w:pPr>
            <w:r w:rsidRPr="00787ECC">
              <w:rPr>
                <w:rFonts w:cs="Arial"/>
                <w:b/>
                <w:bCs/>
                <w:color w:val="000000"/>
                <w:sz w:val="20"/>
                <w:szCs w:val="20"/>
                <w:lang w:val="es-ES"/>
              </w:rPr>
              <w:t>FASE</w:t>
            </w:r>
          </w:p>
        </w:tc>
      </w:tr>
      <w:tr w:rsidR="00CC2E3D" w:rsidRPr="00787ECC" w:rsidTr="00E419F9">
        <w:trPr>
          <w:cantSplit/>
          <w:trHeight w:val="683"/>
          <w:tblHeader/>
          <w:jc w:val="center"/>
        </w:trPr>
        <w:tc>
          <w:tcPr>
            <w:tcW w:w="1456"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CC2E3D" w:rsidRPr="00787ECC" w:rsidRDefault="00CC2E3D" w:rsidP="006E0138">
            <w:pPr>
              <w:keepNext/>
              <w:keepLines/>
              <w:rPr>
                <w:rFonts w:cs="Arial"/>
                <w:b/>
                <w:bCs/>
                <w:color w:val="000000"/>
                <w:sz w:val="20"/>
                <w:szCs w:val="20"/>
                <w:lang w:val="es-ES"/>
              </w:rPr>
            </w:pPr>
          </w:p>
        </w:tc>
        <w:tc>
          <w:tcPr>
            <w:tcW w:w="1664"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CC2E3D" w:rsidRPr="00787ECC" w:rsidRDefault="00CC2E3D" w:rsidP="006E0138">
            <w:pPr>
              <w:keepNext/>
              <w:keepLines/>
              <w:rPr>
                <w:rFonts w:cs="Arial"/>
                <w:b/>
                <w:bCs/>
                <w:color w:val="000000"/>
                <w:sz w:val="20"/>
                <w:szCs w:val="20"/>
                <w:lang w:val="es-ES"/>
              </w:rPr>
            </w:pPr>
          </w:p>
        </w:tc>
        <w:tc>
          <w:tcPr>
            <w:tcW w:w="4800" w:type="dxa"/>
            <w:vMerge/>
            <w:tcBorders>
              <w:top w:val="single" w:sz="8" w:space="0" w:color="000000"/>
              <w:left w:val="single" w:sz="12" w:space="0" w:color="000000"/>
              <w:bottom w:val="single" w:sz="12" w:space="0" w:color="000000"/>
              <w:right w:val="single" w:sz="12" w:space="0" w:color="000000"/>
            </w:tcBorders>
            <w:shd w:val="clear" w:color="auto" w:fill="D9D9D9"/>
            <w:vAlign w:val="center"/>
          </w:tcPr>
          <w:p w:rsidR="00CC2E3D" w:rsidRPr="00787ECC" w:rsidRDefault="00CC2E3D" w:rsidP="006E0138">
            <w:pPr>
              <w:keepNext/>
              <w:keepLines/>
              <w:rPr>
                <w:rFonts w:cs="Arial"/>
                <w:b/>
                <w:bCs/>
                <w:color w:val="000000"/>
                <w:sz w:val="20"/>
                <w:szCs w:val="20"/>
                <w:lang w:val="es-ES"/>
              </w:rPr>
            </w:pPr>
          </w:p>
        </w:tc>
        <w:tc>
          <w:tcPr>
            <w:tcW w:w="540" w:type="dxa"/>
            <w:tcBorders>
              <w:top w:val="single" w:sz="12" w:space="0" w:color="000000"/>
              <w:left w:val="single" w:sz="12" w:space="0" w:color="000000"/>
              <w:bottom w:val="single" w:sz="12" w:space="0" w:color="000000"/>
              <w:right w:val="single" w:sz="8" w:space="0" w:color="000000"/>
            </w:tcBorders>
            <w:shd w:val="clear" w:color="auto" w:fill="D9D9D9"/>
            <w:vAlign w:val="center"/>
          </w:tcPr>
          <w:p w:rsidR="00CC2E3D" w:rsidRPr="00787ECC" w:rsidRDefault="00CC2E3D" w:rsidP="006E0138">
            <w:pPr>
              <w:keepNext/>
              <w:keepLines/>
              <w:ind w:left="113" w:right="113"/>
              <w:rPr>
                <w:rFonts w:cs="Arial"/>
                <w:bCs/>
                <w:smallCaps/>
                <w:color w:val="000000"/>
                <w:spacing w:val="-20"/>
                <w:sz w:val="20"/>
                <w:szCs w:val="20"/>
                <w:lang w:val="es-ES"/>
              </w:rPr>
            </w:pPr>
            <w:r w:rsidRPr="00787ECC">
              <w:rPr>
                <w:rFonts w:cs="Arial"/>
                <w:bCs/>
                <w:smallCaps/>
                <w:color w:val="000000"/>
                <w:spacing w:val="-20"/>
                <w:sz w:val="20"/>
                <w:szCs w:val="20"/>
                <w:lang w:val="es-ES"/>
              </w:rPr>
              <w:t>CONST</w:t>
            </w:r>
          </w:p>
        </w:tc>
        <w:tc>
          <w:tcPr>
            <w:tcW w:w="540" w:type="dxa"/>
            <w:tcBorders>
              <w:top w:val="single" w:sz="12" w:space="0" w:color="000000"/>
              <w:bottom w:val="single" w:sz="12" w:space="0" w:color="000000"/>
              <w:right w:val="single" w:sz="12" w:space="0" w:color="000000"/>
            </w:tcBorders>
            <w:shd w:val="clear" w:color="auto" w:fill="D9D9D9"/>
            <w:vAlign w:val="center"/>
          </w:tcPr>
          <w:p w:rsidR="00CC2E3D" w:rsidRPr="00787ECC" w:rsidRDefault="00CC2E3D" w:rsidP="006E0138">
            <w:pPr>
              <w:keepNext/>
              <w:keepLines/>
              <w:ind w:left="113" w:right="113"/>
              <w:rPr>
                <w:rFonts w:cs="Arial"/>
                <w:bCs/>
                <w:smallCaps/>
                <w:color w:val="000000"/>
                <w:spacing w:val="-20"/>
                <w:sz w:val="20"/>
                <w:szCs w:val="20"/>
                <w:lang w:val="es-ES"/>
              </w:rPr>
            </w:pPr>
            <w:r w:rsidRPr="00787ECC">
              <w:rPr>
                <w:rFonts w:cs="Arial"/>
                <w:bCs/>
                <w:smallCaps/>
                <w:color w:val="000000"/>
                <w:spacing w:val="-20"/>
                <w:sz w:val="20"/>
                <w:szCs w:val="20"/>
                <w:lang w:val="es-ES"/>
              </w:rPr>
              <w:t>OPERAC</w:t>
            </w:r>
          </w:p>
        </w:tc>
      </w:tr>
      <w:tr w:rsidR="00CC2E3D" w:rsidRPr="00787ECC" w:rsidTr="00E419F9">
        <w:trPr>
          <w:cantSplit/>
          <w:trHeight w:val="50"/>
          <w:jc w:val="center"/>
        </w:trPr>
        <w:tc>
          <w:tcPr>
            <w:tcW w:w="1456" w:type="dxa"/>
            <w:vMerge w:val="restart"/>
            <w:tcBorders>
              <w:top w:val="single" w:sz="2" w:space="0" w:color="000000"/>
              <w:left w:val="single" w:sz="12" w:space="0" w:color="000000"/>
              <w:right w:val="single" w:sz="12" w:space="0" w:color="000000"/>
            </w:tcBorders>
            <w:shd w:val="clear" w:color="auto" w:fill="FFFFFF"/>
            <w:vAlign w:val="center"/>
          </w:tcPr>
          <w:p w:rsidR="00CC2E3D" w:rsidRPr="00E419F9" w:rsidRDefault="00CC2E3D" w:rsidP="006E0138">
            <w:pPr>
              <w:keepNext/>
              <w:keepLines/>
              <w:rPr>
                <w:rFonts w:cs="Arial"/>
                <w:color w:val="000000"/>
                <w:sz w:val="18"/>
                <w:szCs w:val="18"/>
                <w:lang w:val="es-ES"/>
              </w:rPr>
            </w:pPr>
            <w:r w:rsidRPr="00E419F9">
              <w:rPr>
                <w:rFonts w:cs="Arial"/>
                <w:color w:val="000000"/>
                <w:sz w:val="18"/>
                <w:szCs w:val="18"/>
                <w:lang w:val="es-ES"/>
              </w:rPr>
              <w:t>Prevención y Control de la Contaminación Ambiental</w:t>
            </w:r>
          </w:p>
        </w:tc>
        <w:tc>
          <w:tcPr>
            <w:tcW w:w="1664" w:type="dxa"/>
            <w:vMerge w:val="restart"/>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Next/>
              <w:keepLines/>
              <w:rPr>
                <w:rFonts w:cs="Arial"/>
                <w:color w:val="000000"/>
                <w:sz w:val="20"/>
                <w:szCs w:val="20"/>
                <w:lang w:val="es-ES"/>
              </w:rPr>
            </w:pPr>
            <w:r w:rsidRPr="00787ECC">
              <w:rPr>
                <w:rFonts w:cs="Arial"/>
                <w:color w:val="000000"/>
                <w:sz w:val="20"/>
                <w:szCs w:val="20"/>
                <w:lang w:val="es-ES"/>
              </w:rPr>
              <w:t>Contaminación del aire: material particulado y gases</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Next/>
              <w:keepLines/>
              <w:rPr>
                <w:rFonts w:cs="Arial"/>
                <w:color w:val="000000"/>
                <w:sz w:val="20"/>
                <w:szCs w:val="20"/>
                <w:lang w:val="es-ES"/>
              </w:rPr>
            </w:pPr>
            <w:r w:rsidRPr="00787ECC">
              <w:rPr>
                <w:rFonts w:cs="Arial"/>
                <w:color w:val="000000"/>
                <w:sz w:val="20"/>
                <w:szCs w:val="20"/>
                <w:lang w:val="es-ES"/>
              </w:rPr>
              <w:t>Mantenimiento en buen estado a los vehículos y maquinaria que ingresan al lugar.</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Next/>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Next/>
              <w:keepLines/>
              <w:spacing w:before="40" w:afterLines="40" w:after="96"/>
              <w:jc w:val="center"/>
              <w:rPr>
                <w:rFonts w:cs="Arial"/>
                <w:color w:val="000000"/>
                <w:sz w:val="20"/>
                <w:szCs w:val="20"/>
                <w:lang w:val="es-ES"/>
              </w:rPr>
            </w:pPr>
          </w:p>
        </w:tc>
      </w:tr>
      <w:tr w:rsidR="00CC2E3D" w:rsidRPr="00787ECC" w:rsidTr="00E419F9">
        <w:trPr>
          <w:cantSplit/>
          <w:trHeight w:val="204"/>
          <w:jc w:val="center"/>
        </w:trPr>
        <w:tc>
          <w:tcPr>
            <w:tcW w:w="1456" w:type="dxa"/>
            <w:vMerge/>
            <w:tcBorders>
              <w:left w:val="single" w:sz="1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p>
        </w:tc>
        <w:tc>
          <w:tcPr>
            <w:tcW w:w="1664" w:type="dxa"/>
            <w:vMerge/>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Riego del suelo con agua.</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75"/>
          <w:jc w:val="center"/>
        </w:trPr>
        <w:tc>
          <w:tcPr>
            <w:tcW w:w="1456" w:type="dxa"/>
            <w:vMerge/>
            <w:tcBorders>
              <w:left w:val="single" w:sz="1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p>
        </w:tc>
        <w:tc>
          <w:tcPr>
            <w:tcW w:w="1664" w:type="dxa"/>
            <w:tcBorders>
              <w:top w:val="single" w:sz="2" w:space="0" w:color="000000"/>
              <w:left w:val="single" w:sz="12" w:space="0" w:color="000000"/>
              <w:bottom w:val="single" w:sz="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Contaminación del agua</w:t>
            </w:r>
          </w:p>
        </w:tc>
        <w:tc>
          <w:tcPr>
            <w:tcW w:w="4800" w:type="dxa"/>
            <w:tcBorders>
              <w:top w:val="single" w:sz="2" w:space="0" w:color="000000"/>
              <w:left w:val="single" w:sz="1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Colocación de barreras de intercepción antes de cuerpos de agua, drenajes o vertientes.</w:t>
            </w:r>
          </w:p>
        </w:tc>
        <w:tc>
          <w:tcPr>
            <w:tcW w:w="540" w:type="dxa"/>
            <w:tcBorders>
              <w:top w:val="single" w:sz="2" w:space="0" w:color="000000"/>
              <w:left w:val="single" w:sz="1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75"/>
          <w:jc w:val="center"/>
        </w:trPr>
        <w:tc>
          <w:tcPr>
            <w:tcW w:w="1456" w:type="dxa"/>
            <w:vMerge/>
            <w:tcBorders>
              <w:left w:val="single" w:sz="1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p>
        </w:tc>
        <w:tc>
          <w:tcPr>
            <w:tcW w:w="1664" w:type="dxa"/>
            <w:tcBorders>
              <w:top w:val="single" w:sz="2" w:space="0" w:color="000000"/>
              <w:left w:val="single" w:sz="1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 xml:space="preserve">Contaminación acústica: ruido </w:t>
            </w:r>
          </w:p>
        </w:tc>
        <w:tc>
          <w:tcPr>
            <w:tcW w:w="4800" w:type="dxa"/>
            <w:tcBorders>
              <w:top w:val="single" w:sz="2" w:space="0" w:color="000000"/>
              <w:left w:val="single" w:sz="1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Restricciones de trabajo durante la noche.</w:t>
            </w:r>
          </w:p>
        </w:tc>
        <w:tc>
          <w:tcPr>
            <w:tcW w:w="540" w:type="dxa"/>
            <w:tcBorders>
              <w:top w:val="single" w:sz="2" w:space="0" w:color="000000"/>
              <w:left w:val="single" w:sz="1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543"/>
          <w:jc w:val="center"/>
        </w:trPr>
        <w:tc>
          <w:tcPr>
            <w:tcW w:w="1456" w:type="dxa"/>
            <w:vMerge/>
            <w:tcBorders>
              <w:left w:val="single" w:sz="1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 xml:space="preserve">Residuos Sólidos </w:t>
            </w:r>
          </w:p>
        </w:tc>
        <w:tc>
          <w:tcPr>
            <w:tcW w:w="4800" w:type="dxa"/>
            <w:tcBorders>
              <w:top w:val="single" w:sz="2" w:space="0" w:color="000000"/>
              <w:left w:val="single" w:sz="12" w:space="0" w:color="000000"/>
              <w:bottom w:val="single" w:sz="4" w:space="0" w:color="auto"/>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Traslado y disposición de escombros y desperdicios según todas las normas vigentes. No acumulación de tierras, escombros, residuos o cualquier material.</w:t>
            </w:r>
          </w:p>
        </w:tc>
        <w:tc>
          <w:tcPr>
            <w:tcW w:w="540" w:type="dxa"/>
            <w:tcBorders>
              <w:top w:val="single" w:sz="2" w:space="0" w:color="000000"/>
              <w:left w:val="single" w:sz="12" w:space="0" w:color="000000"/>
              <w:bottom w:val="single" w:sz="4" w:space="0" w:color="auto"/>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4" w:space="0" w:color="auto"/>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543"/>
          <w:jc w:val="center"/>
        </w:trPr>
        <w:tc>
          <w:tcPr>
            <w:tcW w:w="1456" w:type="dxa"/>
            <w:vMerge/>
            <w:tcBorders>
              <w:left w:val="single" w:sz="12" w:space="0" w:color="000000"/>
              <w:bottom w:val="single" w:sz="2" w:space="0" w:color="000000"/>
              <w:right w:val="single" w:sz="12" w:space="0" w:color="000000"/>
            </w:tcBorders>
            <w:shd w:val="clear" w:color="auto" w:fill="auto"/>
            <w:vAlign w:val="center"/>
          </w:tcPr>
          <w:p w:rsidR="00CC2E3D" w:rsidRPr="00787ECC" w:rsidRDefault="00CC2E3D" w:rsidP="006E0138">
            <w:pPr>
              <w:keepLines/>
              <w:rPr>
                <w:rFonts w:cs="Arial"/>
                <w:color w:val="000000"/>
                <w:sz w:val="20"/>
                <w:szCs w:val="20"/>
                <w:lang w:val="es-ES"/>
              </w:rPr>
            </w:pPr>
          </w:p>
        </w:tc>
        <w:tc>
          <w:tcPr>
            <w:tcW w:w="1664" w:type="dxa"/>
            <w:tcBorders>
              <w:top w:val="single" w:sz="2" w:space="0" w:color="000000"/>
              <w:left w:val="single" w:sz="12" w:space="0" w:color="000000"/>
              <w:bottom w:val="single" w:sz="2" w:space="0" w:color="000000"/>
              <w:right w:val="single" w:sz="4" w:space="0" w:color="auto"/>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Vertido de Aguas Servidas</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Sistema de colección pública de aguas servidas o sistema técnicamente viable y seguro de disposición final, previa desactivación de líquidos y barros, demostrando la manera técnicamente viable de disponerlos evitando contaminar los acuíferos, y asegurando el presupuesto para su mantenimiento.</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r>
      <w:tr w:rsidR="00CC2E3D" w:rsidRPr="00787ECC" w:rsidTr="00E419F9">
        <w:trPr>
          <w:cantSplit/>
          <w:trHeight w:val="75"/>
          <w:jc w:val="center"/>
        </w:trPr>
        <w:tc>
          <w:tcPr>
            <w:tcW w:w="1456" w:type="dxa"/>
            <w:vMerge w:val="restart"/>
            <w:tcBorders>
              <w:top w:val="single" w:sz="2" w:space="0" w:color="000000"/>
              <w:left w:val="single" w:sz="12" w:space="0" w:color="000000"/>
              <w:right w:val="single" w:sz="12" w:space="0" w:color="000000"/>
            </w:tcBorders>
            <w:shd w:val="clear" w:color="auto" w:fill="auto"/>
            <w:vAlign w:val="center"/>
          </w:tcPr>
          <w:p w:rsidR="00CC2E3D" w:rsidRPr="00E419F9" w:rsidRDefault="00CC2E3D" w:rsidP="006E0138">
            <w:pPr>
              <w:keepLines/>
              <w:rPr>
                <w:rFonts w:cs="Arial"/>
                <w:color w:val="000000"/>
                <w:sz w:val="18"/>
                <w:szCs w:val="18"/>
                <w:lang w:val="es-ES"/>
              </w:rPr>
            </w:pPr>
            <w:r w:rsidRPr="00E419F9">
              <w:rPr>
                <w:rFonts w:cs="Arial"/>
                <w:color w:val="000000"/>
                <w:sz w:val="18"/>
                <w:szCs w:val="18"/>
                <w:lang w:val="es-ES"/>
              </w:rPr>
              <w:t>Relaciones Comunitarias</w:t>
            </w: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Divulgación de Información</w:t>
            </w:r>
          </w:p>
        </w:tc>
        <w:tc>
          <w:tcPr>
            <w:tcW w:w="4800" w:type="dxa"/>
            <w:tcBorders>
              <w:top w:val="single" w:sz="4" w:space="0" w:color="auto"/>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Realización de procesos informativos, según normativa.</w:t>
            </w:r>
          </w:p>
        </w:tc>
        <w:tc>
          <w:tcPr>
            <w:tcW w:w="540" w:type="dxa"/>
            <w:tcBorders>
              <w:top w:val="single" w:sz="4" w:space="0" w:color="auto"/>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4" w:space="0" w:color="auto"/>
              <w:bottom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126"/>
          <w:jc w:val="center"/>
        </w:trPr>
        <w:tc>
          <w:tcPr>
            <w:tcW w:w="1456" w:type="dxa"/>
            <w:vMerge/>
            <w:tcBorders>
              <w:left w:val="single" w:sz="12" w:space="0" w:color="000000"/>
              <w:bottom w:val="single" w:sz="2" w:space="0" w:color="000000"/>
              <w:right w:val="single" w:sz="12" w:space="0" w:color="000000"/>
            </w:tcBorders>
            <w:shd w:val="clear" w:color="auto" w:fill="auto"/>
            <w:vAlign w:val="center"/>
          </w:tcPr>
          <w:p w:rsidR="00CC2E3D" w:rsidRPr="00E419F9" w:rsidRDefault="00CC2E3D" w:rsidP="006E0138">
            <w:pPr>
              <w:keepLines/>
              <w:rPr>
                <w:rFonts w:cs="Arial"/>
                <w:color w:val="000000"/>
                <w:sz w:val="18"/>
                <w:szCs w:val="18"/>
                <w:lang w:val="es-ES"/>
              </w:rPr>
            </w:pP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Patrimonio Cultural</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Evitar construcción en áreas protegidas de valor histórico o cultural. Construcción consistente con las características identitarias del área tanto de en los rasgos dominantes del proyecto como en la materialidad de la construcción.</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r>
      <w:tr w:rsidR="00CC2E3D" w:rsidRPr="00787ECC" w:rsidTr="00E419F9">
        <w:trPr>
          <w:cantSplit/>
          <w:trHeight w:val="126"/>
          <w:jc w:val="center"/>
        </w:trPr>
        <w:tc>
          <w:tcPr>
            <w:tcW w:w="1456" w:type="dxa"/>
            <w:vMerge w:val="restart"/>
            <w:tcBorders>
              <w:top w:val="single" w:sz="2" w:space="0" w:color="000000"/>
              <w:left w:val="single" w:sz="12" w:space="0" w:color="000000"/>
              <w:right w:val="single" w:sz="12" w:space="0" w:color="000000"/>
            </w:tcBorders>
            <w:shd w:val="clear" w:color="auto" w:fill="auto"/>
            <w:vAlign w:val="center"/>
          </w:tcPr>
          <w:p w:rsidR="00CC2E3D" w:rsidRPr="00E419F9" w:rsidRDefault="00CC2E3D" w:rsidP="006E0138">
            <w:pPr>
              <w:keepLines/>
              <w:rPr>
                <w:rFonts w:cs="Arial"/>
                <w:color w:val="000000"/>
                <w:sz w:val="18"/>
                <w:szCs w:val="18"/>
                <w:lang w:val="es-ES"/>
              </w:rPr>
            </w:pPr>
            <w:r w:rsidRPr="00E419F9">
              <w:rPr>
                <w:rFonts w:cs="Arial"/>
                <w:color w:val="000000"/>
                <w:sz w:val="18"/>
                <w:szCs w:val="18"/>
                <w:lang w:val="es-ES"/>
              </w:rPr>
              <w:t xml:space="preserve">Seguridad y Salud </w:t>
            </w: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Seguridad y Salud Ocupacional</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Plan de Seguridad de Obra que establecerá las condiciones y previsiones de seguridad durante el desarrollo de los trabajos.</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r>
      <w:tr w:rsidR="00CC2E3D" w:rsidRPr="00787ECC" w:rsidTr="00E419F9">
        <w:trPr>
          <w:cantSplit/>
          <w:trHeight w:val="126"/>
          <w:jc w:val="center"/>
        </w:trPr>
        <w:tc>
          <w:tcPr>
            <w:tcW w:w="1456" w:type="dxa"/>
            <w:vMerge/>
            <w:tcBorders>
              <w:left w:val="single" w:sz="12" w:space="0" w:color="000000"/>
              <w:bottom w:val="single" w:sz="2" w:space="0" w:color="000000"/>
              <w:right w:val="single" w:sz="12" w:space="0" w:color="000000"/>
            </w:tcBorders>
            <w:shd w:val="clear" w:color="auto" w:fill="auto"/>
            <w:vAlign w:val="center"/>
          </w:tcPr>
          <w:p w:rsidR="00CC2E3D" w:rsidRPr="00E419F9" w:rsidRDefault="00CC2E3D" w:rsidP="006E0138">
            <w:pPr>
              <w:keepLines/>
              <w:rPr>
                <w:rFonts w:cs="Arial"/>
                <w:color w:val="000000"/>
                <w:sz w:val="18"/>
                <w:szCs w:val="18"/>
                <w:lang w:val="es-ES"/>
              </w:rPr>
            </w:pP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Seguridad y Salud de Comunidades</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Lines/>
              <w:rPr>
                <w:rFonts w:cs="Arial"/>
                <w:color w:val="000000"/>
                <w:sz w:val="20"/>
                <w:szCs w:val="20"/>
                <w:lang w:val="es-ES"/>
              </w:rPr>
            </w:pPr>
            <w:r w:rsidRPr="00787ECC">
              <w:rPr>
                <w:rFonts w:cs="Arial"/>
                <w:color w:val="000000"/>
                <w:sz w:val="20"/>
                <w:szCs w:val="20"/>
                <w:lang w:val="es-ES"/>
              </w:rPr>
              <w:t>Cumplimiento con los Códigos locales y de zonificación, retiros, y factores de ocupación. En el caso de nuevos centros educativos urbanos, utilizar señalización para implicar precaución por zona escolar.</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r>
      <w:tr w:rsidR="00CC2E3D" w:rsidRPr="00787ECC" w:rsidTr="00E419F9">
        <w:trPr>
          <w:cantSplit/>
          <w:trHeight w:val="75"/>
          <w:jc w:val="center"/>
        </w:trPr>
        <w:tc>
          <w:tcPr>
            <w:tcW w:w="1456" w:type="dxa"/>
            <w:tcBorders>
              <w:top w:val="single" w:sz="2" w:space="0" w:color="000000"/>
              <w:left w:val="single" w:sz="12" w:space="0" w:color="000000"/>
              <w:bottom w:val="single" w:sz="2" w:space="0" w:color="000000"/>
              <w:right w:val="single" w:sz="12" w:space="0" w:color="000000"/>
            </w:tcBorders>
            <w:shd w:val="clear" w:color="auto" w:fill="auto"/>
            <w:vAlign w:val="center"/>
          </w:tcPr>
          <w:p w:rsidR="00CC2E3D" w:rsidRPr="00E419F9" w:rsidRDefault="00CC2E3D" w:rsidP="006E0138">
            <w:pPr>
              <w:keepNext/>
              <w:keepLines/>
              <w:rPr>
                <w:rFonts w:cs="Arial"/>
                <w:color w:val="000000"/>
                <w:sz w:val="18"/>
                <w:szCs w:val="18"/>
                <w:lang w:val="es-ES"/>
              </w:rPr>
            </w:pPr>
            <w:r w:rsidRPr="00E419F9">
              <w:rPr>
                <w:rFonts w:cs="Arial"/>
                <w:color w:val="000000"/>
                <w:sz w:val="18"/>
                <w:szCs w:val="18"/>
                <w:lang w:val="es-ES"/>
              </w:rPr>
              <w:t xml:space="preserve">Contingencias, Seguimiento y Monitoreo </w:t>
            </w:r>
          </w:p>
        </w:tc>
        <w:tc>
          <w:tcPr>
            <w:tcW w:w="1664"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6E0138">
            <w:pPr>
              <w:keepNext/>
              <w:keepLines/>
              <w:jc w:val="center"/>
              <w:rPr>
                <w:rFonts w:cs="Arial"/>
                <w:color w:val="000000"/>
                <w:sz w:val="20"/>
                <w:szCs w:val="20"/>
                <w:lang w:val="es-ES"/>
              </w:rPr>
            </w:pPr>
            <w:r w:rsidRPr="00787ECC">
              <w:rPr>
                <w:rFonts w:cs="Arial"/>
                <w:color w:val="000000"/>
                <w:sz w:val="20"/>
                <w:szCs w:val="20"/>
                <w:lang w:val="es-ES"/>
              </w:rPr>
              <w:t>--</w:t>
            </w:r>
          </w:p>
        </w:tc>
        <w:tc>
          <w:tcPr>
            <w:tcW w:w="4800" w:type="dxa"/>
            <w:tcBorders>
              <w:top w:val="single" w:sz="2" w:space="0" w:color="000000"/>
              <w:left w:val="single" w:sz="12" w:space="0" w:color="000000"/>
              <w:bottom w:val="single" w:sz="2" w:space="0" w:color="000000"/>
              <w:right w:val="single" w:sz="12" w:space="0" w:color="000000"/>
            </w:tcBorders>
            <w:shd w:val="clear" w:color="auto" w:fill="FFFFFF"/>
            <w:vAlign w:val="center"/>
          </w:tcPr>
          <w:p w:rsidR="00CC2E3D" w:rsidRPr="00787ECC" w:rsidRDefault="00CC2E3D" w:rsidP="009011BF">
            <w:pPr>
              <w:keepNext/>
              <w:keepLines/>
              <w:rPr>
                <w:rFonts w:cs="Arial"/>
                <w:color w:val="000000"/>
                <w:sz w:val="20"/>
                <w:szCs w:val="20"/>
                <w:lang w:val="es-ES"/>
              </w:rPr>
            </w:pPr>
            <w:r w:rsidRPr="00787ECC">
              <w:rPr>
                <w:rFonts w:cs="Arial"/>
                <w:color w:val="000000"/>
                <w:sz w:val="20"/>
                <w:szCs w:val="20"/>
                <w:lang w:val="es-ES"/>
              </w:rPr>
              <w:t xml:space="preserve">Plan de Contingencias para la mitigación de eventos previsibles que hayan sido señalados en la Evaluación de Impacto Ambiental o que sean identificados en las inspecciones al terreno. Seguimiento a la ejecución </w:t>
            </w:r>
          </w:p>
        </w:tc>
        <w:tc>
          <w:tcPr>
            <w:tcW w:w="540" w:type="dxa"/>
            <w:tcBorders>
              <w:top w:val="single" w:sz="2" w:space="0" w:color="000000"/>
              <w:left w:val="single" w:sz="12" w:space="0" w:color="000000"/>
              <w:bottom w:val="single" w:sz="2" w:space="0" w:color="000000"/>
              <w:right w:val="single" w:sz="4" w:space="0" w:color="000000"/>
            </w:tcBorders>
            <w:shd w:val="clear" w:color="auto" w:fill="FFFFFF"/>
            <w:vAlign w:val="center"/>
          </w:tcPr>
          <w:p w:rsidR="00CC2E3D" w:rsidRPr="00787ECC" w:rsidRDefault="00CC2E3D" w:rsidP="006E0138">
            <w:pPr>
              <w:keepNext/>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c>
          <w:tcPr>
            <w:tcW w:w="540" w:type="dxa"/>
            <w:tcBorders>
              <w:top w:val="single" w:sz="2" w:space="0" w:color="000000"/>
              <w:bottom w:val="single" w:sz="2" w:space="0" w:color="000000"/>
              <w:right w:val="single" w:sz="12" w:space="0" w:color="000000"/>
            </w:tcBorders>
            <w:shd w:val="clear" w:color="auto" w:fill="FFFFFF"/>
            <w:vAlign w:val="center"/>
          </w:tcPr>
          <w:p w:rsidR="00CC2E3D" w:rsidRPr="00787ECC" w:rsidRDefault="00CC2E3D" w:rsidP="006E0138">
            <w:pPr>
              <w:keepNext/>
              <w:keepLines/>
              <w:spacing w:before="40" w:afterLines="40" w:after="96"/>
              <w:jc w:val="center"/>
              <w:rPr>
                <w:rFonts w:cs="Arial"/>
                <w:color w:val="000000"/>
                <w:sz w:val="20"/>
                <w:szCs w:val="20"/>
                <w:lang w:val="es-ES"/>
              </w:rPr>
            </w:pPr>
            <w:r w:rsidRPr="00787ECC">
              <w:rPr>
                <w:rFonts w:cs="Arial"/>
                <w:color w:val="000000"/>
                <w:sz w:val="20"/>
                <w:szCs w:val="20"/>
                <w:lang w:val="es-ES"/>
              </w:rPr>
              <w:t>x</w:t>
            </w:r>
          </w:p>
        </w:tc>
      </w:tr>
    </w:tbl>
    <w:p w:rsidR="00CC2E3D" w:rsidRPr="0005689B" w:rsidRDefault="00CC2E3D" w:rsidP="00E419F9">
      <w:pPr>
        <w:pStyle w:val="ListParagraph"/>
        <w:spacing w:before="240" w:after="200" w:line="300" w:lineRule="exact"/>
        <w:ind w:left="864" w:hanging="504"/>
        <w:rPr>
          <w:lang w:val="es-ES"/>
        </w:rPr>
      </w:pPr>
      <w:r w:rsidRPr="00E419F9">
        <w:rPr>
          <w:lang w:val="es-ES"/>
        </w:rPr>
        <w:lastRenderedPageBreak/>
        <w:t xml:space="preserve">La Unidad Ejecutora desempeñará funciones de administración del Programa, incluyendo, entre otras: (i) su supervisión, garantizando el cumplimiento de las disposiciones contractuales y de política, en los aspectos legales y de adquisiciones del Programa, entre otros; y (ii) la formulación de los documentos básicos del </w:t>
      </w:r>
      <w:r w:rsidRPr="00E419F9">
        <w:rPr>
          <w:lang w:val="es-ES" w:eastAsia="en-US"/>
        </w:rPr>
        <w:t>programa</w:t>
      </w:r>
      <w:r w:rsidRPr="00E419F9">
        <w:rPr>
          <w:lang w:val="es-ES"/>
        </w:rPr>
        <w:t xml:space="preserve"> (informe inicial, plan de adquisiciones, informes de ejecución anual, informes ambientales, entre otros). </w:t>
      </w:r>
      <w:r w:rsidR="00010028" w:rsidRPr="00E419F9">
        <w:rPr>
          <w:lang w:val="es-ES"/>
        </w:rPr>
        <w:t>Sus área técnicas serán responsables de: (i) identificar y verificar las condiciones de elegibilidad de las obras a proponer para su ejecución y de coordinar las actividades necesarias para alcanzar la correcta ejecución de las obras dentro de los plazos previstos y con los presupuestos aprobados; (ii) elaborar los proyectos ejecutivos, planos, estudios, especificaciones técnicas y todo otro documento necesario para la licitación conforme a los manuales, instructivos, y el Reglamento Operativo de la presente operación; y (iii) administración y fortalecimiento de la gestión que le competa a cada jurisdicción, incluyendo el apoyo a la programación, gestión, monitoreo y evaluación de todas las intervenciones del Programa</w:t>
      </w:r>
    </w:p>
    <w:p w:rsidR="008C76E6" w:rsidRPr="00E419F9" w:rsidRDefault="00202572" w:rsidP="00EA4918">
      <w:pPr>
        <w:pStyle w:val="Heading2"/>
        <w:rPr>
          <w:rFonts w:cs="Arial"/>
          <w:sz w:val="22"/>
          <w:szCs w:val="22"/>
          <w:lang w:val="es-ES"/>
        </w:rPr>
      </w:pPr>
      <w:bookmarkStart w:id="138" w:name="_Toc454878441"/>
      <w:bookmarkStart w:id="139" w:name="_Toc454878654"/>
      <w:bookmarkStart w:id="140" w:name="_Toc454878716"/>
      <w:bookmarkStart w:id="141" w:name="_Toc454878886"/>
      <w:bookmarkStart w:id="142" w:name="_Toc454878979"/>
      <w:bookmarkStart w:id="143" w:name="_Toc454878980"/>
      <w:bookmarkEnd w:id="138"/>
      <w:bookmarkEnd w:id="139"/>
      <w:bookmarkEnd w:id="140"/>
      <w:bookmarkEnd w:id="141"/>
      <w:bookmarkEnd w:id="142"/>
      <w:r w:rsidRPr="00E419F9">
        <w:rPr>
          <w:rFonts w:cs="Arial"/>
          <w:sz w:val="22"/>
          <w:szCs w:val="22"/>
          <w:lang w:val="es-ES"/>
        </w:rPr>
        <w:t>Consulta pública</w:t>
      </w:r>
      <w:bookmarkEnd w:id="143"/>
      <w:r w:rsidR="008C76E6" w:rsidRPr="00E419F9">
        <w:rPr>
          <w:rFonts w:cs="Arial"/>
          <w:sz w:val="22"/>
          <w:szCs w:val="22"/>
          <w:lang w:val="es-ES"/>
        </w:rPr>
        <w:t xml:space="preserve"> </w:t>
      </w:r>
    </w:p>
    <w:p w:rsidR="00A06DA6" w:rsidRPr="0005689B" w:rsidRDefault="00A06DA6" w:rsidP="00EA4918">
      <w:pPr>
        <w:pStyle w:val="ListParagraph"/>
        <w:spacing w:after="200" w:line="300" w:lineRule="exact"/>
        <w:ind w:left="864" w:hanging="504"/>
        <w:rPr>
          <w:lang w:val="es-ES"/>
        </w:rPr>
      </w:pPr>
      <w:r w:rsidRPr="00E419F9">
        <w:rPr>
          <w:b/>
          <w:lang w:val="es-ES"/>
        </w:rPr>
        <w:t>Participación comunitaria.</w:t>
      </w:r>
      <w:r w:rsidRPr="00E419F9">
        <w:rPr>
          <w:lang w:val="es-ES"/>
        </w:rPr>
        <w:t xml:space="preserve"> Los proyectos edilicios que realizará el Programa (y al igual que lo realizado para el caso del</w:t>
      </w:r>
      <w:r w:rsidR="00787ECC" w:rsidRPr="00E419F9">
        <w:rPr>
          <w:lang w:val="es-ES"/>
        </w:rPr>
        <w:t xml:space="preserve"> programa PAEMFE (UR-L1050 - 2480/OC-UR)</w:t>
      </w:r>
      <w:r w:rsidRPr="00E419F9">
        <w:rPr>
          <w:lang w:val="es-ES"/>
        </w:rPr>
        <w:t xml:space="preserve">, son priorizados por las Autoridades de la Educación (Consejo Directivo Central y Consejos Desconcentrados). Conjuntamente con la priorización se incluye la información referente al destino del edificio y el programa arquitectónico preliminar. Durante todas las etapas de la obra (definición del programa </w:t>
      </w:r>
      <w:r w:rsidRPr="00E419F9">
        <w:rPr>
          <w:lang w:val="es-ES" w:eastAsia="en-US"/>
        </w:rPr>
        <w:t>arquitectónico</w:t>
      </w:r>
      <w:r w:rsidRPr="00E419F9">
        <w:rPr>
          <w:lang w:val="es-ES"/>
        </w:rPr>
        <w:t xml:space="preserve"> definitivo, inicio y desarrollo del proyecto ejecutivo, proceso licitatorio, construcción del edificio y habilitación del mismo al uso) se proponen instancias formales e informales de participación de la comunidad educativa. Estas instancias pueden ser planteadas por los Técnicos del Área de Infraestructura o Asesores de los </w:t>
      </w:r>
      <w:r w:rsidR="00CD3EAF" w:rsidRPr="00E419F9">
        <w:rPr>
          <w:lang w:val="es-ES"/>
        </w:rPr>
        <w:t xml:space="preserve">Consejos </w:t>
      </w:r>
      <w:r w:rsidRPr="00E419F9">
        <w:rPr>
          <w:lang w:val="es-ES"/>
        </w:rPr>
        <w:t xml:space="preserve">Desconcentrados, integrantes de la comunidad educativa pertenecientes al propio Centro o al área de influencia del mismo, referentes políticos locales o Autoridades de la Educación. Todos los proyectos que se desarrollan en el Programa implican al menos una reunión con las Autoridades respectivas y varios encuentros con la comunidad en donde participan, según sus intereses, integrantes del equipo directivo, docentes, alumnos, funcionarios tanto administrativos como de servicio, padres e integrantes de las comisiones de apoyo al centro educativo y de los gobiernos locales. </w:t>
      </w:r>
    </w:p>
    <w:p w:rsidR="00A06DA6" w:rsidRPr="0005689B" w:rsidRDefault="00A06DA6" w:rsidP="00EA4918">
      <w:pPr>
        <w:pStyle w:val="ListParagraph"/>
        <w:spacing w:after="200" w:line="300" w:lineRule="exact"/>
        <w:ind w:left="864" w:hanging="504"/>
        <w:rPr>
          <w:lang w:val="es-ES"/>
        </w:rPr>
      </w:pPr>
      <w:r w:rsidRPr="00E419F9">
        <w:rPr>
          <w:lang w:val="es-ES"/>
        </w:rPr>
        <w:t>Una vez habilitado el edificio</w:t>
      </w:r>
      <w:r w:rsidR="004978C8">
        <w:rPr>
          <w:lang w:val="es-ES"/>
        </w:rPr>
        <w:t>,</w:t>
      </w:r>
      <w:r w:rsidRPr="00E419F9">
        <w:rPr>
          <w:lang w:val="es-ES"/>
        </w:rPr>
        <w:t xml:space="preserve"> se organiza una nueva reunión para explicar a la comunidad el funcionamiento y potencialidades del edificio. El objetivo es presentar el edificio a la comunidad con el fin de mostrarles las características del mismo, sus potencialidades y posibilidades de uso tanto recreativas como pedagógicas e informarles sobre las </w:t>
      </w:r>
      <w:r w:rsidRPr="00E419F9">
        <w:rPr>
          <w:lang w:val="es-ES" w:eastAsia="en-US"/>
        </w:rPr>
        <w:t>principales</w:t>
      </w:r>
      <w:r w:rsidRPr="00E419F9">
        <w:rPr>
          <w:lang w:val="es-ES"/>
        </w:rPr>
        <w:t xml:space="preserve"> acciones tendientes al buen uso y mantenimiento preventivo de las instalaciones. Esto no solo involucra al edificio propiamente dicho sino también al equipamiento mobiliario. En esta instancia se entrega a la Dirección del Centro los planos definitivos de la obra y el Manual de Uso y Mantenimiento y se muestra la evolución histórica del edificio desde su priorización por parte de las Autoridades del sistema educativo hasta su conclusión física detallando las posibilidades de uso que, en general y </w:t>
      </w:r>
      <w:r w:rsidRPr="00E419F9">
        <w:rPr>
          <w:lang w:val="es-ES"/>
        </w:rPr>
        <w:lastRenderedPageBreak/>
        <w:t>dado que el edificio es fruto de varios encuentros e intercambios entre autoridades, usuarios y arquitectos, son relativamente conocidas. Se plantea un resumen de las principales acciones tendientes al mantenimiento general que están detalladas con precisión en el Manual de Uso y Mantenimiento entregados conjuntamente con los planos definitivos de la obra. Se busca generar instancias de intercambio post obra.</w:t>
      </w:r>
    </w:p>
    <w:p w:rsidR="00A06DA6" w:rsidRPr="0005689B" w:rsidRDefault="00A06DA6" w:rsidP="00EA4918">
      <w:pPr>
        <w:pStyle w:val="ListParagraph"/>
        <w:spacing w:after="200" w:line="300" w:lineRule="exact"/>
        <w:ind w:left="864" w:hanging="504"/>
        <w:rPr>
          <w:lang w:val="es-ES"/>
        </w:rPr>
      </w:pPr>
      <w:r w:rsidRPr="00E419F9">
        <w:rPr>
          <w:b/>
          <w:lang w:val="es-ES"/>
        </w:rPr>
        <w:t>Mecanismo de quejas y reclamos</w:t>
      </w:r>
      <w:r w:rsidRPr="00E419F9">
        <w:rPr>
          <w:lang w:val="es-ES"/>
        </w:rPr>
        <w:t xml:space="preserve">. La consulta pública es un instrumento establecido para arbitrar situaciones de conflicto ambiental y social, previsto en la legislación vigente en el país. En los casos </w:t>
      </w:r>
      <w:r w:rsidRPr="00E419F9">
        <w:rPr>
          <w:lang w:val="es-ES" w:eastAsia="en-US"/>
        </w:rPr>
        <w:t>de</w:t>
      </w:r>
      <w:r w:rsidRPr="00E419F9">
        <w:rPr>
          <w:lang w:val="es-ES"/>
        </w:rPr>
        <w:t xml:space="preserve"> edificios educativos construidos por el Programa, no se han registrado situaciones que ameriten dichas instancias. En virtud del conocimiento, por parte de las comunidades, de los centros nuevos a construir y sus características dichos edificios han sido muy bien recibidos. Contribuye a esto el estudio previo que se realiza de todas las implicancias medioambientales, particularmente en lo que refiere al tratamiento de las aguas, las que en todos los casos son manejadas siguiendo la normativa vigente. </w:t>
      </w:r>
    </w:p>
    <w:p w:rsidR="00D46D12" w:rsidRPr="00E419F9" w:rsidRDefault="00202572" w:rsidP="00EA4918">
      <w:pPr>
        <w:pStyle w:val="Heading2"/>
        <w:rPr>
          <w:rFonts w:cs="Arial"/>
          <w:sz w:val="22"/>
          <w:szCs w:val="22"/>
          <w:lang w:val="es-ES"/>
        </w:rPr>
      </w:pPr>
      <w:bookmarkStart w:id="144" w:name="_Toc454878443"/>
      <w:bookmarkStart w:id="145" w:name="_Toc454878656"/>
      <w:bookmarkStart w:id="146" w:name="_Toc454878718"/>
      <w:bookmarkStart w:id="147" w:name="_Toc454878888"/>
      <w:bookmarkStart w:id="148" w:name="_Toc454878981"/>
      <w:bookmarkStart w:id="149" w:name="_Toc454878444"/>
      <w:bookmarkStart w:id="150" w:name="_Toc454878657"/>
      <w:bookmarkStart w:id="151" w:name="_Toc454878719"/>
      <w:bookmarkStart w:id="152" w:name="_Toc454878889"/>
      <w:bookmarkStart w:id="153" w:name="_Toc454878982"/>
      <w:bookmarkStart w:id="154" w:name="_Toc454878983"/>
      <w:bookmarkEnd w:id="144"/>
      <w:bookmarkEnd w:id="145"/>
      <w:bookmarkEnd w:id="146"/>
      <w:bookmarkEnd w:id="147"/>
      <w:bookmarkEnd w:id="148"/>
      <w:bookmarkEnd w:id="149"/>
      <w:bookmarkEnd w:id="150"/>
      <w:bookmarkEnd w:id="151"/>
      <w:bookmarkEnd w:id="152"/>
      <w:bookmarkEnd w:id="153"/>
      <w:r w:rsidRPr="00E419F9">
        <w:rPr>
          <w:rFonts w:cs="Arial"/>
          <w:sz w:val="22"/>
          <w:szCs w:val="22"/>
          <w:lang w:val="es-ES"/>
        </w:rPr>
        <w:t>Evaluación de cumplimiento del programa</w:t>
      </w:r>
      <w:bookmarkEnd w:id="154"/>
    </w:p>
    <w:p w:rsidR="00CC2E3D" w:rsidRPr="0005689B" w:rsidRDefault="00CC2E3D" w:rsidP="00EA4918">
      <w:pPr>
        <w:pStyle w:val="ListParagraph"/>
        <w:spacing w:after="200" w:line="300" w:lineRule="exact"/>
        <w:ind w:left="864" w:hanging="504"/>
        <w:rPr>
          <w:lang w:val="es-ES" w:eastAsia="en-US"/>
        </w:rPr>
      </w:pPr>
      <w:r w:rsidRPr="00E419F9">
        <w:rPr>
          <w:lang w:val="es-ES"/>
        </w:rPr>
        <w:t xml:space="preserve">Todas las propuestas para estas construcciones incluirán una evaluación </w:t>
      </w:r>
      <w:r w:rsidRPr="00E419F9">
        <w:rPr>
          <w:b/>
          <w:lang w:val="es-ES"/>
        </w:rPr>
        <w:t>ambiental</w:t>
      </w:r>
      <w:r w:rsidRPr="00E419F9">
        <w:rPr>
          <w:lang w:val="es-ES"/>
        </w:rPr>
        <w:t xml:space="preserve"> obligatoria antes de su </w:t>
      </w:r>
      <w:r w:rsidRPr="00E419F9">
        <w:rPr>
          <w:lang w:val="es-ES" w:eastAsia="en-US"/>
        </w:rPr>
        <w:t>aprobación</w:t>
      </w:r>
      <w:r w:rsidRPr="00E419F9">
        <w:rPr>
          <w:lang w:val="es-ES"/>
        </w:rPr>
        <w:t>, en la cual el Banco verificará estén previstos y se cumplan con las normas estándares de mitigación de impacto ambiental del país así como las políticas de salvaguardias del banco.</w:t>
      </w:r>
    </w:p>
    <w:p w:rsidR="00CC2E3D" w:rsidRPr="0005689B" w:rsidRDefault="00CC2E3D" w:rsidP="00E419F9">
      <w:pPr>
        <w:pStyle w:val="ListParagraph"/>
        <w:spacing w:after="200" w:line="300" w:lineRule="exact"/>
        <w:ind w:left="864" w:hanging="504"/>
        <w:rPr>
          <w:lang w:val="es-ES" w:eastAsia="en-US"/>
        </w:rPr>
      </w:pPr>
      <w:r w:rsidRPr="00E419F9">
        <w:rPr>
          <w:lang w:val="es-ES"/>
        </w:rPr>
        <w:t xml:space="preserve">La obtención de certificados y licencias ambientales requeridas por la legislación nacional y local, presentada en la Sección </w:t>
      </w:r>
      <w:r w:rsidR="00912CE0" w:rsidRPr="00E419F9">
        <w:rPr>
          <w:lang w:val="es-ES"/>
        </w:rPr>
        <w:t xml:space="preserve">de marco legal </w:t>
      </w:r>
      <w:r w:rsidRPr="00E419F9">
        <w:rPr>
          <w:lang w:val="es-ES"/>
        </w:rPr>
        <w:t>será uno de los requisitos a supervisarse periódicamente en el marco de la presente operación durante las evaluaciones operativas que se realicen.</w:t>
      </w:r>
    </w:p>
    <w:p w:rsidR="00CC2E3D" w:rsidRPr="0005689B" w:rsidRDefault="00CC2E3D" w:rsidP="00EA4918">
      <w:pPr>
        <w:pStyle w:val="ListParagraph"/>
        <w:spacing w:after="200" w:line="300" w:lineRule="exact"/>
        <w:ind w:left="864" w:hanging="504"/>
        <w:rPr>
          <w:lang w:val="es-ES"/>
        </w:rPr>
      </w:pPr>
      <w:r w:rsidRPr="00E419F9">
        <w:rPr>
          <w:b/>
          <w:lang w:val="es-ES"/>
        </w:rPr>
        <w:t>Monitoreo y evaluación</w:t>
      </w:r>
      <w:r w:rsidRPr="00E419F9">
        <w:rPr>
          <w:lang w:val="es-ES"/>
        </w:rPr>
        <w:t xml:space="preserve">: Como parte del programa se prevén evaluaciones operativas anuales y una </w:t>
      </w:r>
      <w:r w:rsidRPr="00E419F9">
        <w:rPr>
          <w:lang w:val="es-ES" w:eastAsia="en-US"/>
        </w:rPr>
        <w:t>evaluación</w:t>
      </w:r>
      <w:r w:rsidRPr="00E419F9">
        <w:rPr>
          <w:lang w:val="es-ES"/>
        </w:rPr>
        <w:t xml:space="preserve"> final de la gestión. Estas actividades se </w:t>
      </w:r>
      <w:r w:rsidRPr="00E419F9">
        <w:rPr>
          <w:b/>
          <w:lang w:val="es-ES"/>
        </w:rPr>
        <w:t>complementarán</w:t>
      </w:r>
      <w:r w:rsidRPr="00E419F9">
        <w:rPr>
          <w:lang w:val="es-ES"/>
        </w:rPr>
        <w:t xml:space="preserve"> con reuniones técnicas anuales de monitoreo del Banco, los ejecutores y subejecutores, estudios y otras acciones que buscan promover espacios de análisis y reflexión técnica sobre los avances del programa. En el contexto de estas reuniones técnicas anuales de monitoreo, se incluirá el análisis del cumplimiento de la estrategia ambiental y social del programa, incluyendo las lecciones aprendidas.</w:t>
      </w:r>
    </w:p>
    <w:p w:rsidR="00202572" w:rsidRPr="00787ECC" w:rsidRDefault="00202572" w:rsidP="00EA4918">
      <w:pPr>
        <w:pStyle w:val="Heading1"/>
        <w:numPr>
          <w:ilvl w:val="0"/>
          <w:numId w:val="1"/>
        </w:numPr>
        <w:rPr>
          <w:lang w:val="es-ES"/>
        </w:rPr>
      </w:pPr>
      <w:bookmarkStart w:id="155" w:name="_Toc454878984"/>
      <w:r w:rsidRPr="00787ECC">
        <w:rPr>
          <w:lang w:val="es-ES"/>
        </w:rPr>
        <w:t>REQUISITOS A SER INCLUIDOS EN EL CONTRATO DE PRÉSTAMO</w:t>
      </w:r>
      <w:bookmarkEnd w:id="155"/>
      <w:r w:rsidR="00CD3EAF" w:rsidRPr="00787ECC">
        <w:rPr>
          <w:lang w:val="es-ES"/>
        </w:rPr>
        <w:t xml:space="preserve"> y EN EL REGLAMENTO OPERATIVO</w:t>
      </w:r>
    </w:p>
    <w:p w:rsidR="00233705" w:rsidRPr="00787ECC" w:rsidRDefault="00233705" w:rsidP="00EA4918">
      <w:pPr>
        <w:pStyle w:val="ListParagraph"/>
        <w:numPr>
          <w:ilvl w:val="0"/>
          <w:numId w:val="0"/>
        </w:numPr>
        <w:ind w:left="1080"/>
        <w:rPr>
          <w:vanish/>
          <w:sz w:val="24"/>
          <w:szCs w:val="24"/>
          <w:lang w:val="es-ES"/>
        </w:rPr>
      </w:pPr>
    </w:p>
    <w:p w:rsidR="00233705" w:rsidRPr="00B5790E" w:rsidRDefault="00233705" w:rsidP="00EA4918">
      <w:pPr>
        <w:pStyle w:val="ListParagraph"/>
        <w:rPr>
          <w:lang w:val="es-ES"/>
        </w:rPr>
      </w:pPr>
      <w:r w:rsidRPr="00E419F9">
        <w:rPr>
          <w:lang w:val="es-ES"/>
        </w:rPr>
        <w:t>Previo</w:t>
      </w:r>
      <w:r w:rsidRPr="0005689B">
        <w:rPr>
          <w:lang w:val="es-ES"/>
        </w:rPr>
        <w:t xml:space="preserve"> al Primer Desembolso de los recursos que financiarán la construcción o ampliación de cada una de las obras previstas en la operación se deberá presentar el Reglamento Operativo del programa en forma y contenido </w:t>
      </w:r>
      <w:r w:rsidRPr="00B5790E">
        <w:rPr>
          <w:lang w:val="es-ES"/>
        </w:rPr>
        <w:t>satisfactorio al Banco.</w:t>
      </w:r>
    </w:p>
    <w:p w:rsidR="00233705" w:rsidRPr="0005689B" w:rsidRDefault="00233705" w:rsidP="00B23B70">
      <w:pPr>
        <w:pStyle w:val="ListParagraph"/>
        <w:spacing w:after="200" w:line="300" w:lineRule="exact"/>
        <w:ind w:left="864" w:hanging="504"/>
        <w:rPr>
          <w:lang w:val="es-ES"/>
        </w:rPr>
      </w:pPr>
      <w:r w:rsidRPr="004978C8">
        <w:rPr>
          <w:lang w:val="es-ES"/>
        </w:rPr>
        <w:t xml:space="preserve">Para la elegibilidad de cada obra el prestatario tendrá en cuenta, en función de los </w:t>
      </w:r>
      <w:r w:rsidRPr="00E419F9">
        <w:rPr>
          <w:lang w:val="es-ES"/>
        </w:rPr>
        <w:t>requerimientos</w:t>
      </w:r>
      <w:r w:rsidRPr="0005689B">
        <w:rPr>
          <w:lang w:val="es-ES"/>
        </w:rPr>
        <w:t xml:space="preserve"> detallados en el RO, lo </w:t>
      </w:r>
      <w:r w:rsidRPr="00E419F9">
        <w:rPr>
          <w:lang w:val="es-ES"/>
        </w:rPr>
        <w:t>siguiente</w:t>
      </w:r>
      <w:r w:rsidRPr="0005689B">
        <w:rPr>
          <w:lang w:val="es-ES"/>
        </w:rPr>
        <w:t xml:space="preserve">: </w:t>
      </w:r>
      <w:r w:rsidR="00B23B70" w:rsidRPr="00B5790E">
        <w:rPr>
          <w:lang w:val="es-ES"/>
        </w:rPr>
        <w:t>(i) l</w:t>
      </w:r>
      <w:r w:rsidRPr="004978C8">
        <w:rPr>
          <w:lang w:val="es-ES"/>
        </w:rPr>
        <w:t xml:space="preserve">as evaluaciones de impacto ambiental y revisión de su conformidad con las políticas del </w:t>
      </w:r>
      <w:r w:rsidRPr="00E419F9">
        <w:rPr>
          <w:lang w:val="es-ES"/>
        </w:rPr>
        <w:t>Banco</w:t>
      </w:r>
      <w:r w:rsidRPr="0005689B">
        <w:rPr>
          <w:lang w:val="es-ES"/>
        </w:rPr>
        <w:t>, en caso</w:t>
      </w:r>
      <w:r w:rsidR="00B23B70" w:rsidRPr="00B5790E">
        <w:rPr>
          <w:lang w:val="es-ES"/>
        </w:rPr>
        <w:t xml:space="preserve"> sean solicitadas; (ii) l</w:t>
      </w:r>
      <w:r w:rsidRPr="004978C8">
        <w:rPr>
          <w:lang w:val="es-ES"/>
        </w:rPr>
        <w:t xml:space="preserve">os permisos ambientales y de construcción que la legislación ambiental </w:t>
      </w:r>
      <w:r w:rsidRPr="004978C8">
        <w:rPr>
          <w:lang w:val="es-ES"/>
        </w:rPr>
        <w:lastRenderedPageBreak/>
        <w:t>uruguaya requiere</w:t>
      </w:r>
      <w:r w:rsidR="00B23B70" w:rsidRPr="004978C8">
        <w:rPr>
          <w:lang w:val="es-ES"/>
        </w:rPr>
        <w:t>; y (iv)</w:t>
      </w:r>
      <w:r w:rsidRPr="004978C8">
        <w:rPr>
          <w:lang w:val="es-ES"/>
        </w:rPr>
        <w:t>.</w:t>
      </w:r>
      <w:r w:rsidR="00B23B70" w:rsidRPr="004978C8">
        <w:rPr>
          <w:lang w:val="es-ES"/>
        </w:rPr>
        <w:t>l</w:t>
      </w:r>
      <w:r w:rsidRPr="004978C8">
        <w:rPr>
          <w:lang w:val="es-ES"/>
        </w:rPr>
        <w:t xml:space="preserve">a </w:t>
      </w:r>
      <w:r w:rsidRPr="00E419F9">
        <w:rPr>
          <w:lang w:val="es-ES"/>
        </w:rPr>
        <w:t>evidencia de la tenencia legal de cada de los terrenos donde se ubicarán los edificios nuevos</w:t>
      </w:r>
      <w:r w:rsidR="004978C8">
        <w:rPr>
          <w:lang w:val="es-ES"/>
        </w:rPr>
        <w:t>.</w:t>
      </w:r>
    </w:p>
    <w:p w:rsidR="00233705" w:rsidRPr="00E419F9" w:rsidRDefault="00233705" w:rsidP="00B23B70">
      <w:pPr>
        <w:pStyle w:val="ListParagraph"/>
        <w:spacing w:after="200" w:line="300" w:lineRule="exact"/>
        <w:ind w:left="864" w:hanging="504"/>
        <w:rPr>
          <w:lang w:val="es-ES"/>
        </w:rPr>
      </w:pPr>
      <w:r w:rsidRPr="00E419F9">
        <w:rPr>
          <w:lang w:val="es-ES"/>
        </w:rPr>
        <w:t>Durante la Fase de Implementación del Programa:</w:t>
      </w:r>
      <w:r w:rsidR="00B23B70" w:rsidRPr="00E419F9">
        <w:rPr>
          <w:lang w:val="es-ES"/>
        </w:rPr>
        <w:t xml:space="preserve"> (i) c</w:t>
      </w:r>
      <w:r w:rsidRPr="00E419F9">
        <w:rPr>
          <w:lang w:val="es-ES"/>
        </w:rPr>
        <w:t>umplimiento con todos los requerimientos normativos y legales ambientales, de seguridad y salud y laborales, autorizaciones y lic</w:t>
      </w:r>
      <w:r w:rsidR="00B23B70" w:rsidRPr="00E419F9">
        <w:rPr>
          <w:lang w:val="es-ES"/>
        </w:rPr>
        <w:t>encias que apliquen al Programa; y (ii) e</w:t>
      </w:r>
      <w:r w:rsidRPr="00E419F9">
        <w:rPr>
          <w:lang w:val="es-ES"/>
        </w:rPr>
        <w:t>n el marco de su Plan de Revisión ex-post de los procedimientos de adquisiciones, el Banco</w:t>
      </w:r>
      <w:r w:rsidRPr="0005689B">
        <w:rPr>
          <w:lang w:val="es-ES"/>
        </w:rPr>
        <w:t xml:space="preserve"> </w:t>
      </w:r>
      <w:r w:rsidRPr="00E419F9">
        <w:rPr>
          <w:lang w:val="es-ES"/>
        </w:rPr>
        <w:t>incluirá</w:t>
      </w:r>
      <w:r w:rsidRPr="0005689B">
        <w:rPr>
          <w:lang w:val="es-ES"/>
        </w:rPr>
        <w:t xml:space="preserve"> el cumplimiento de lo arriba expuesto.</w:t>
      </w:r>
    </w:p>
    <w:p w:rsidR="00AC16EF" w:rsidRPr="00787ECC" w:rsidRDefault="00AC16EF" w:rsidP="00EA4918">
      <w:pPr>
        <w:rPr>
          <w:lang w:val="es-ES"/>
        </w:rPr>
      </w:pPr>
    </w:p>
    <w:p w:rsidR="001D4869" w:rsidRPr="00787ECC" w:rsidRDefault="001D4869" w:rsidP="00EA4918">
      <w:pPr>
        <w:rPr>
          <w:lang w:val="es-ES" w:eastAsia="en-US"/>
        </w:rPr>
      </w:pPr>
    </w:p>
    <w:sectPr w:rsidR="001D4869" w:rsidRPr="00787ECC" w:rsidSect="00FE4ECD">
      <w:pgSz w:w="12240" w:h="15840"/>
      <w:pgMar w:top="1418" w:right="1134" w:bottom="1134" w:left="1418" w:header="567" w:footer="567"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DEB" w:rsidRDefault="004C1DEB" w:rsidP="00737055">
      <w:pPr>
        <w:spacing w:after="0"/>
      </w:pPr>
      <w:r>
        <w:separator/>
      </w:r>
    </w:p>
  </w:endnote>
  <w:endnote w:type="continuationSeparator" w:id="0">
    <w:p w:rsidR="004C1DEB" w:rsidRDefault="004C1DEB" w:rsidP="007370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EB" w:rsidRDefault="004C1DEB" w:rsidP="009276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DEB" w:rsidRDefault="004C1DEB" w:rsidP="0092762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EB" w:rsidRDefault="004C1DEB" w:rsidP="0092762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EB" w:rsidRDefault="004C1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DEB" w:rsidRDefault="004C1DEB" w:rsidP="00737055">
      <w:pPr>
        <w:spacing w:after="0"/>
      </w:pPr>
      <w:r>
        <w:separator/>
      </w:r>
    </w:p>
  </w:footnote>
  <w:footnote w:type="continuationSeparator" w:id="0">
    <w:p w:rsidR="004C1DEB" w:rsidRDefault="004C1DEB" w:rsidP="00737055">
      <w:pPr>
        <w:spacing w:after="0"/>
      </w:pPr>
      <w:r>
        <w:continuationSeparator/>
      </w:r>
    </w:p>
  </w:footnote>
  <w:footnote w:id="1">
    <w:p w:rsidR="004C1DEB" w:rsidRPr="00EA4918" w:rsidRDefault="004C1DEB">
      <w:pPr>
        <w:pStyle w:val="FootnoteText"/>
        <w:rPr>
          <w:lang w:val="es-ES"/>
        </w:rPr>
      </w:pPr>
      <w:r>
        <w:rPr>
          <w:rStyle w:val="FootnoteReference"/>
        </w:rPr>
        <w:footnoteRef/>
      </w:r>
      <w:r w:rsidRPr="00EA4918">
        <w:rPr>
          <w:lang w:val="es-ES"/>
        </w:rPr>
        <w:t xml:space="preserve"> </w:t>
      </w:r>
      <w:r>
        <w:rPr>
          <w:lang w:val="es-ES"/>
        </w:rPr>
        <w:t xml:space="preserve">Los datos de este párrafo provienen del Anuario Estadístico 2015 publicado por el Instituto Nacional de Estadística de la República Oriental del Uruguay, excepto cuando se explicita lo contrario. </w:t>
      </w:r>
    </w:p>
  </w:footnote>
  <w:footnote w:id="2">
    <w:p w:rsidR="004C1DEB" w:rsidRPr="00EA4918" w:rsidRDefault="004C1DEB">
      <w:pPr>
        <w:pStyle w:val="FootnoteText"/>
        <w:rPr>
          <w:lang w:val="es-ES"/>
        </w:rPr>
      </w:pPr>
      <w:r>
        <w:rPr>
          <w:rStyle w:val="FootnoteReference"/>
        </w:rPr>
        <w:footnoteRef/>
      </w:r>
      <w:r w:rsidRPr="00E419F9">
        <w:rPr>
          <w:lang w:val="es-ES"/>
        </w:rPr>
        <w:t xml:space="preserve"> </w:t>
      </w:r>
      <w:r>
        <w:rPr>
          <w:lang w:val="es-ES"/>
        </w:rPr>
        <w:t>Banco Mundial.</w:t>
      </w:r>
    </w:p>
  </w:footnote>
  <w:footnote w:id="3">
    <w:p w:rsidR="00EC4D2E" w:rsidRPr="001F12E1" w:rsidRDefault="00EC4D2E" w:rsidP="00EC4D2E">
      <w:pPr>
        <w:pStyle w:val="FootnoteText"/>
        <w:ind w:left="360" w:hanging="360"/>
        <w:rPr>
          <w:lang w:val="es-AR"/>
        </w:rPr>
      </w:pPr>
      <w:r>
        <w:rPr>
          <w:rStyle w:val="FootnoteReference"/>
        </w:rPr>
        <w:footnoteRef/>
      </w:r>
      <w:r w:rsidRPr="001F12E1">
        <w:rPr>
          <w:lang w:val="es-AR"/>
        </w:rPr>
        <w:t xml:space="preserve"> </w:t>
      </w:r>
      <w:r>
        <w:rPr>
          <w:lang w:val="es-AR"/>
        </w:rPr>
        <w:tab/>
      </w:r>
      <w:r w:rsidRPr="001F12E1">
        <w:rPr>
          <w:rFonts w:ascii="Arial" w:hAnsi="Arial" w:cs="Arial"/>
          <w:sz w:val="18"/>
          <w:szCs w:val="18"/>
          <w:lang w:val="es-AR"/>
        </w:rPr>
        <w:t>No se prevé el uso del financiamiento</w:t>
      </w:r>
      <w:r>
        <w:rPr>
          <w:rFonts w:ascii="Arial" w:hAnsi="Arial" w:cs="Arial"/>
          <w:sz w:val="18"/>
          <w:szCs w:val="18"/>
          <w:lang w:val="es-AR"/>
        </w:rPr>
        <w:t xml:space="preserve"> del Banco</w:t>
      </w:r>
      <w:r w:rsidRPr="001F12E1">
        <w:rPr>
          <w:rFonts w:ascii="Arial" w:hAnsi="Arial" w:cs="Arial"/>
          <w:sz w:val="18"/>
          <w:szCs w:val="18"/>
          <w:lang w:val="es-AR"/>
        </w:rPr>
        <w:t xml:space="preserve"> para la adquisición de terrenos</w:t>
      </w:r>
      <w:r>
        <w:rPr>
          <w:rFonts w:ascii="Arial" w:hAnsi="Arial" w:cs="Arial"/>
          <w:sz w:val="18"/>
          <w:szCs w:val="18"/>
          <w:lang w:val="es-AR"/>
        </w:rPr>
        <w:t xml:space="preserve"> ni </w:t>
      </w:r>
      <w:r w:rsidRPr="001F12E1">
        <w:rPr>
          <w:rFonts w:ascii="Arial" w:hAnsi="Arial" w:cs="Arial"/>
          <w:sz w:val="18"/>
          <w:szCs w:val="18"/>
          <w:lang w:val="es-AR"/>
        </w:rPr>
        <w:t>edificios.</w:t>
      </w:r>
    </w:p>
  </w:footnote>
  <w:footnote w:id="4">
    <w:p w:rsidR="00EC4D2E" w:rsidRPr="009C5684" w:rsidRDefault="00EC4D2E" w:rsidP="00EC4D2E">
      <w:pPr>
        <w:pStyle w:val="FootnoteText"/>
        <w:spacing w:after="0"/>
        <w:ind w:left="360" w:hanging="360"/>
        <w:rPr>
          <w:rFonts w:ascii="Arial" w:hAnsi="Arial" w:cs="Arial"/>
          <w:sz w:val="18"/>
          <w:szCs w:val="18"/>
          <w:lang w:val="es-ES_tradnl"/>
        </w:rPr>
      </w:pPr>
      <w:r w:rsidRPr="009C5684">
        <w:rPr>
          <w:rStyle w:val="FootnoteReference"/>
          <w:rFonts w:ascii="Arial" w:hAnsi="Arial" w:cs="Arial"/>
          <w:sz w:val="18"/>
          <w:szCs w:val="18"/>
        </w:rPr>
        <w:footnoteRef/>
      </w:r>
      <w:r w:rsidRPr="009C5684">
        <w:rPr>
          <w:rFonts w:ascii="Arial" w:hAnsi="Arial" w:cs="Arial"/>
          <w:sz w:val="18"/>
          <w:szCs w:val="18"/>
          <w:lang w:val="es-ES_tradnl"/>
        </w:rPr>
        <w:tab/>
        <w:t>L</w:t>
      </w:r>
      <w:r>
        <w:rPr>
          <w:rFonts w:ascii="Arial" w:hAnsi="Arial" w:cs="Arial"/>
          <w:sz w:val="18"/>
          <w:szCs w:val="18"/>
          <w:lang w:val="es-ES_tradnl"/>
        </w:rPr>
        <w:t>os nue</w:t>
      </w:r>
      <w:r w:rsidRPr="009C5684">
        <w:rPr>
          <w:rFonts w:ascii="Arial" w:hAnsi="Arial" w:cs="Arial"/>
          <w:sz w:val="18"/>
          <w:szCs w:val="18"/>
          <w:lang w:val="es-ES_tradnl"/>
        </w:rPr>
        <w:t>v</w:t>
      </w:r>
      <w:r>
        <w:rPr>
          <w:rFonts w:ascii="Arial" w:hAnsi="Arial" w:cs="Arial"/>
          <w:sz w:val="18"/>
          <w:szCs w:val="18"/>
          <w:lang w:val="es-ES_tradnl"/>
        </w:rPr>
        <w:t>o</w:t>
      </w:r>
      <w:r w:rsidRPr="009C5684">
        <w:rPr>
          <w:rFonts w:ascii="Arial" w:hAnsi="Arial" w:cs="Arial"/>
          <w:sz w:val="18"/>
          <w:szCs w:val="18"/>
          <w:lang w:val="es-ES_tradnl"/>
        </w:rPr>
        <w:t>s</w:t>
      </w:r>
      <w:r>
        <w:rPr>
          <w:rFonts w:ascii="Arial" w:hAnsi="Arial" w:cs="Arial"/>
          <w:sz w:val="18"/>
          <w:szCs w:val="18"/>
          <w:lang w:val="es-ES_tradnl"/>
        </w:rPr>
        <w:t xml:space="preserve"> CE</w:t>
      </w:r>
      <w:r w:rsidRPr="009C5684">
        <w:rPr>
          <w:rFonts w:ascii="Arial" w:hAnsi="Arial" w:cs="Arial"/>
          <w:sz w:val="18"/>
          <w:szCs w:val="18"/>
          <w:lang w:val="es-ES_tradnl"/>
        </w:rPr>
        <w:t xml:space="preserve"> se localizarán </w:t>
      </w:r>
      <w:r w:rsidRPr="00BD6676">
        <w:rPr>
          <w:rFonts w:ascii="Arial" w:hAnsi="Arial" w:cs="Arial"/>
          <w:sz w:val="18"/>
          <w:szCs w:val="18"/>
          <w:lang w:val="es-ES_tradnl"/>
        </w:rPr>
        <w:t>en áreas con mayores necesidades de cobertura</w:t>
      </w:r>
      <w:r>
        <w:rPr>
          <w:rFonts w:ascii="Arial" w:hAnsi="Arial" w:cs="Arial"/>
          <w:sz w:val="18"/>
          <w:szCs w:val="18"/>
          <w:lang w:val="es-ES_tradnl"/>
        </w:rPr>
        <w:t xml:space="preserve">, vulnerabilidad social </w:t>
      </w:r>
      <w:r w:rsidRPr="009C5684">
        <w:rPr>
          <w:rFonts w:ascii="Arial" w:hAnsi="Arial" w:cs="Arial"/>
          <w:sz w:val="18"/>
          <w:szCs w:val="18"/>
          <w:lang w:val="es-ES_tradnl"/>
        </w:rPr>
        <w:t xml:space="preserve"> y con disponibilidad de terrenos.</w:t>
      </w:r>
      <w:r>
        <w:rPr>
          <w:rFonts w:ascii="Arial" w:hAnsi="Arial" w:cs="Arial"/>
          <w:sz w:val="18"/>
          <w:szCs w:val="18"/>
          <w:lang w:val="es-ES_tradnl"/>
        </w:rPr>
        <w:t xml:space="preserve"> La priorización de CE para este programa ha sido determinada por la Ley de Presupuesto Quinquenal 2015-2019.</w:t>
      </w:r>
      <w:r w:rsidRPr="009C5684">
        <w:rPr>
          <w:rFonts w:ascii="Arial" w:hAnsi="Arial" w:cs="Arial"/>
          <w:sz w:val="18"/>
          <w:szCs w:val="18"/>
          <w:lang w:val="es-ES_tradnl"/>
        </w:rPr>
        <w:t xml:space="preserve"> </w:t>
      </w:r>
      <w:r w:rsidRPr="009C5684">
        <w:rPr>
          <w:rFonts w:ascii="Arial" w:hAnsi="Arial" w:cs="Arial"/>
          <w:sz w:val="18"/>
          <w:szCs w:val="18"/>
          <w:lang w:val="es-AR"/>
        </w:rPr>
        <w:t xml:space="preserve"> </w:t>
      </w:r>
    </w:p>
  </w:footnote>
  <w:footnote w:id="5">
    <w:p w:rsidR="00EC4D2E" w:rsidRPr="009C5684" w:rsidRDefault="00EC4D2E" w:rsidP="00EC4D2E">
      <w:pPr>
        <w:pStyle w:val="FootnoteText"/>
        <w:spacing w:after="0"/>
        <w:ind w:left="360" w:hanging="360"/>
        <w:rPr>
          <w:rFonts w:ascii="Arial" w:hAnsi="Arial" w:cs="Arial"/>
          <w:sz w:val="18"/>
          <w:szCs w:val="18"/>
          <w:lang w:val="es-ES_tradnl"/>
        </w:rPr>
      </w:pPr>
      <w:r w:rsidRPr="009C5684">
        <w:rPr>
          <w:rStyle w:val="FootnoteReference"/>
          <w:rFonts w:ascii="Arial" w:hAnsi="Arial" w:cs="Arial"/>
          <w:sz w:val="18"/>
          <w:szCs w:val="18"/>
        </w:rPr>
        <w:footnoteRef/>
      </w:r>
      <w:r w:rsidRPr="009C5684">
        <w:rPr>
          <w:rFonts w:ascii="Arial" w:hAnsi="Arial" w:cs="Arial"/>
          <w:sz w:val="18"/>
          <w:szCs w:val="18"/>
          <w:lang w:val="es-ES_tradnl"/>
        </w:rPr>
        <w:tab/>
      </w:r>
      <w:r>
        <w:rPr>
          <w:rFonts w:ascii="Arial" w:hAnsi="Arial" w:cs="Arial"/>
          <w:sz w:val="18"/>
          <w:szCs w:val="18"/>
          <w:lang w:val="es-ES_tradnl"/>
        </w:rPr>
        <w:t>S</w:t>
      </w:r>
      <w:r w:rsidRPr="009C5684">
        <w:rPr>
          <w:rFonts w:ascii="Arial" w:hAnsi="Arial" w:cs="Arial"/>
          <w:sz w:val="18"/>
          <w:szCs w:val="18"/>
          <w:lang w:val="es-ES_tradnl"/>
        </w:rPr>
        <w:t>e privilegiaron aquell</w:t>
      </w:r>
      <w:r>
        <w:rPr>
          <w:rFonts w:ascii="Arial" w:hAnsi="Arial" w:cs="Arial"/>
          <w:sz w:val="18"/>
          <w:szCs w:val="18"/>
          <w:lang w:val="es-ES_tradnl"/>
        </w:rPr>
        <w:t>os CE</w:t>
      </w:r>
      <w:r w:rsidRPr="009C5684">
        <w:rPr>
          <w:rFonts w:ascii="Arial" w:hAnsi="Arial" w:cs="Arial"/>
          <w:sz w:val="18"/>
          <w:szCs w:val="18"/>
          <w:lang w:val="es-ES_tradnl"/>
        </w:rPr>
        <w:t xml:space="preserve"> en peores condiciones edilicias </w:t>
      </w:r>
      <w:r>
        <w:rPr>
          <w:rFonts w:ascii="Arial" w:hAnsi="Arial" w:cs="Arial"/>
          <w:sz w:val="18"/>
          <w:szCs w:val="18"/>
          <w:lang w:val="es-ES_tradnl"/>
        </w:rPr>
        <w:t>y</w:t>
      </w:r>
      <w:r w:rsidRPr="009C5684">
        <w:rPr>
          <w:rFonts w:ascii="Arial" w:hAnsi="Arial" w:cs="Arial"/>
          <w:sz w:val="18"/>
          <w:szCs w:val="18"/>
          <w:lang w:val="es-ES_tradnl"/>
        </w:rPr>
        <w:t xml:space="preserve"> con posibilidad de generar nuevos espacios. </w:t>
      </w:r>
      <w:r w:rsidRPr="009C5684">
        <w:rPr>
          <w:rFonts w:ascii="Arial" w:hAnsi="Arial" w:cs="Arial"/>
          <w:sz w:val="18"/>
          <w:szCs w:val="18"/>
          <w:lang w:val="es-AR"/>
        </w:rPr>
        <w:t xml:space="preserve"> </w:t>
      </w:r>
    </w:p>
  </w:footnote>
  <w:footnote w:id="6">
    <w:p w:rsidR="00EC4D2E" w:rsidRPr="009C5684" w:rsidRDefault="00EC4D2E" w:rsidP="00EC4D2E">
      <w:pPr>
        <w:pStyle w:val="FootnoteText"/>
        <w:spacing w:after="0"/>
        <w:ind w:left="360" w:hanging="360"/>
        <w:rPr>
          <w:rFonts w:ascii="Arial" w:hAnsi="Arial" w:cs="Arial"/>
          <w:sz w:val="18"/>
          <w:szCs w:val="18"/>
          <w:lang w:val="es-ES_tradnl"/>
        </w:rPr>
      </w:pPr>
      <w:r w:rsidRPr="009C5684">
        <w:rPr>
          <w:rStyle w:val="FootnoteReference"/>
          <w:rFonts w:ascii="Arial" w:hAnsi="Arial" w:cs="Arial"/>
          <w:sz w:val="18"/>
          <w:szCs w:val="18"/>
        </w:rPr>
        <w:footnoteRef/>
      </w:r>
      <w:r w:rsidRPr="009C5684">
        <w:rPr>
          <w:rFonts w:ascii="Arial" w:hAnsi="Arial" w:cs="Arial"/>
          <w:sz w:val="18"/>
          <w:szCs w:val="18"/>
          <w:lang w:val="es-ES_tradnl"/>
        </w:rPr>
        <w:tab/>
      </w:r>
      <w:r>
        <w:rPr>
          <w:rFonts w:ascii="Arial" w:hAnsi="Arial" w:cs="Arial"/>
          <w:sz w:val="18"/>
          <w:szCs w:val="18"/>
          <w:lang w:val="es-ES_tradnl"/>
        </w:rPr>
        <w:t>S</w:t>
      </w:r>
      <w:r w:rsidRPr="009C5684">
        <w:rPr>
          <w:rFonts w:ascii="Arial" w:hAnsi="Arial" w:cs="Arial"/>
          <w:sz w:val="18"/>
          <w:szCs w:val="18"/>
          <w:lang w:val="es-ES_tradnl"/>
        </w:rPr>
        <w:t>e privilegiaron aquell</w:t>
      </w:r>
      <w:r>
        <w:rPr>
          <w:rFonts w:ascii="Arial" w:hAnsi="Arial" w:cs="Arial"/>
          <w:sz w:val="18"/>
          <w:szCs w:val="18"/>
          <w:lang w:val="es-ES_tradnl"/>
        </w:rPr>
        <w:t>o</w:t>
      </w:r>
      <w:r w:rsidRPr="009C5684">
        <w:rPr>
          <w:rFonts w:ascii="Arial" w:hAnsi="Arial" w:cs="Arial"/>
          <w:sz w:val="18"/>
          <w:szCs w:val="18"/>
          <w:lang w:val="es-ES_tradnl"/>
        </w:rPr>
        <w:t>s</w:t>
      </w:r>
      <w:r>
        <w:rPr>
          <w:rFonts w:ascii="Arial" w:hAnsi="Arial" w:cs="Arial"/>
          <w:sz w:val="18"/>
          <w:szCs w:val="18"/>
          <w:lang w:val="es-ES_tradnl"/>
        </w:rPr>
        <w:t xml:space="preserve"> centros de FI</w:t>
      </w:r>
      <w:r w:rsidRPr="009C5684">
        <w:rPr>
          <w:rFonts w:ascii="Arial" w:hAnsi="Arial" w:cs="Arial"/>
          <w:sz w:val="18"/>
          <w:szCs w:val="18"/>
          <w:lang w:val="es-ES_tradnl"/>
        </w:rPr>
        <w:t xml:space="preserve"> en peores condiciones edilicias </w:t>
      </w:r>
      <w:r>
        <w:rPr>
          <w:rFonts w:ascii="Arial" w:hAnsi="Arial" w:cs="Arial"/>
          <w:sz w:val="18"/>
          <w:szCs w:val="18"/>
          <w:lang w:val="es-ES_tradnl"/>
        </w:rPr>
        <w:t>y</w:t>
      </w:r>
      <w:r w:rsidRPr="009C5684">
        <w:rPr>
          <w:rFonts w:ascii="Arial" w:hAnsi="Arial" w:cs="Arial"/>
          <w:sz w:val="18"/>
          <w:szCs w:val="18"/>
          <w:lang w:val="es-ES_tradnl"/>
        </w:rPr>
        <w:t xml:space="preserve"> con posibilidad de generar nuevos espacios. </w:t>
      </w:r>
      <w:r w:rsidRPr="009C5684">
        <w:rPr>
          <w:rFonts w:ascii="Arial" w:hAnsi="Arial" w:cs="Arial"/>
          <w:sz w:val="18"/>
          <w:szCs w:val="18"/>
          <w:lang w:val="es-A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EB" w:rsidRDefault="004C1DEB" w:rsidP="00B86AE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DEB" w:rsidRDefault="004C1DEB" w:rsidP="0092762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EB" w:rsidRDefault="004C1DEB" w:rsidP="00B86AE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1349">
      <w:rPr>
        <w:rStyle w:val="PageNumber"/>
        <w:noProof/>
      </w:rPr>
      <w:t>7</w:t>
    </w:r>
    <w:r>
      <w:rPr>
        <w:rStyle w:val="PageNumber"/>
      </w:rPr>
      <w:fldChar w:fldCharType="end"/>
    </w:r>
  </w:p>
  <w:p w:rsidR="004C1DEB" w:rsidRDefault="004C1DEB" w:rsidP="0092762C">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416E75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EA8680A"/>
    <w:multiLevelType w:val="hybridMultilevel"/>
    <w:tmpl w:val="1EC00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707773E"/>
    <w:multiLevelType w:val="multilevel"/>
    <w:tmpl w:val="18AE4476"/>
    <w:lvl w:ilvl="0">
      <w:start w:val="1"/>
      <w:numFmt w:val="upperRoman"/>
      <w:lvlText w:val="%1."/>
      <w:lvlJc w:val="left"/>
      <w:pPr>
        <w:ind w:left="1080" w:hanging="720"/>
      </w:pPr>
      <w:rPr>
        <w:rFonts w:hint="default"/>
      </w:rPr>
    </w:lvl>
    <w:lvl w:ilvl="1">
      <w:start w:val="1"/>
      <w:numFmt w:val="decimal"/>
      <w:pStyle w:val="ListParagraph"/>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80C1F67"/>
    <w:multiLevelType w:val="hybridMultilevel"/>
    <w:tmpl w:val="C7F24C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4C74592"/>
    <w:multiLevelType w:val="multilevel"/>
    <w:tmpl w:val="A886B1DC"/>
    <w:lvl w:ilvl="0">
      <w:start w:val="1"/>
      <w:numFmt w:val="upperRoman"/>
      <w:pStyle w:val="Heading1"/>
      <w:lvlText w:val="%1."/>
      <w:lvlJc w:val="right"/>
      <w:pPr>
        <w:tabs>
          <w:tab w:val="num" w:pos="36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Heading2"/>
      <w:lvlText w:val="%2."/>
      <w:lvlJc w:val="left"/>
      <w:pPr>
        <w:tabs>
          <w:tab w:val="num" w:pos="1350"/>
        </w:tabs>
        <w:ind w:left="99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
  </w:num>
  <w:num w:numId="2">
    <w:abstractNumId w:val="4"/>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2"/>
  </w:num>
  <w:num w:numId="10">
    <w:abstractNumId w:val="0"/>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CD7"/>
    <w:rsid w:val="00000CBC"/>
    <w:rsid w:val="00000D74"/>
    <w:rsid w:val="00001DF4"/>
    <w:rsid w:val="000021AA"/>
    <w:rsid w:val="00004457"/>
    <w:rsid w:val="00005014"/>
    <w:rsid w:val="00006475"/>
    <w:rsid w:val="00007091"/>
    <w:rsid w:val="00010028"/>
    <w:rsid w:val="00010CDE"/>
    <w:rsid w:val="00013BF5"/>
    <w:rsid w:val="00014F03"/>
    <w:rsid w:val="00016A8C"/>
    <w:rsid w:val="00023D42"/>
    <w:rsid w:val="00026424"/>
    <w:rsid w:val="00027451"/>
    <w:rsid w:val="000276AC"/>
    <w:rsid w:val="00030C8C"/>
    <w:rsid w:val="00030D50"/>
    <w:rsid w:val="00031CBE"/>
    <w:rsid w:val="000349B7"/>
    <w:rsid w:val="00034E92"/>
    <w:rsid w:val="0004155F"/>
    <w:rsid w:val="00041F27"/>
    <w:rsid w:val="00047EA0"/>
    <w:rsid w:val="00050362"/>
    <w:rsid w:val="00050788"/>
    <w:rsid w:val="0005181D"/>
    <w:rsid w:val="00051C07"/>
    <w:rsid w:val="000538F3"/>
    <w:rsid w:val="000544E0"/>
    <w:rsid w:val="00054749"/>
    <w:rsid w:val="0005558F"/>
    <w:rsid w:val="0005689B"/>
    <w:rsid w:val="0005769A"/>
    <w:rsid w:val="00067076"/>
    <w:rsid w:val="00071213"/>
    <w:rsid w:val="0007147C"/>
    <w:rsid w:val="00071CA3"/>
    <w:rsid w:val="00073A16"/>
    <w:rsid w:val="00074038"/>
    <w:rsid w:val="000742CD"/>
    <w:rsid w:val="00075102"/>
    <w:rsid w:val="00075923"/>
    <w:rsid w:val="00076797"/>
    <w:rsid w:val="00076866"/>
    <w:rsid w:val="00080ABE"/>
    <w:rsid w:val="0008104B"/>
    <w:rsid w:val="00083667"/>
    <w:rsid w:val="00084562"/>
    <w:rsid w:val="000853FA"/>
    <w:rsid w:val="00091B55"/>
    <w:rsid w:val="00093A0E"/>
    <w:rsid w:val="000940F2"/>
    <w:rsid w:val="0009471A"/>
    <w:rsid w:val="000961BA"/>
    <w:rsid w:val="00096797"/>
    <w:rsid w:val="00097345"/>
    <w:rsid w:val="000A2270"/>
    <w:rsid w:val="000A25F9"/>
    <w:rsid w:val="000A32F0"/>
    <w:rsid w:val="000A3526"/>
    <w:rsid w:val="000A37BD"/>
    <w:rsid w:val="000A4FA9"/>
    <w:rsid w:val="000A70ED"/>
    <w:rsid w:val="000A726F"/>
    <w:rsid w:val="000B255C"/>
    <w:rsid w:val="000B3F15"/>
    <w:rsid w:val="000B7CA0"/>
    <w:rsid w:val="000C004A"/>
    <w:rsid w:val="000C04AF"/>
    <w:rsid w:val="000C114F"/>
    <w:rsid w:val="000C3431"/>
    <w:rsid w:val="000C58DC"/>
    <w:rsid w:val="000C5D4F"/>
    <w:rsid w:val="000D0092"/>
    <w:rsid w:val="000D1A80"/>
    <w:rsid w:val="000D347D"/>
    <w:rsid w:val="000D5DD7"/>
    <w:rsid w:val="000D67B2"/>
    <w:rsid w:val="000D6E42"/>
    <w:rsid w:val="000E067B"/>
    <w:rsid w:val="000E0EC2"/>
    <w:rsid w:val="000E453E"/>
    <w:rsid w:val="000E67D0"/>
    <w:rsid w:val="000F5E33"/>
    <w:rsid w:val="000F76B5"/>
    <w:rsid w:val="00100EE8"/>
    <w:rsid w:val="001016CC"/>
    <w:rsid w:val="00104600"/>
    <w:rsid w:val="0010599A"/>
    <w:rsid w:val="00106C99"/>
    <w:rsid w:val="00106FC4"/>
    <w:rsid w:val="0010798E"/>
    <w:rsid w:val="001146C9"/>
    <w:rsid w:val="0011679D"/>
    <w:rsid w:val="0011696F"/>
    <w:rsid w:val="00116998"/>
    <w:rsid w:val="00116A55"/>
    <w:rsid w:val="0012023C"/>
    <w:rsid w:val="00121694"/>
    <w:rsid w:val="00122451"/>
    <w:rsid w:val="00123E24"/>
    <w:rsid w:val="00126BC2"/>
    <w:rsid w:val="00127077"/>
    <w:rsid w:val="001277C2"/>
    <w:rsid w:val="00127DDC"/>
    <w:rsid w:val="0013041A"/>
    <w:rsid w:val="00133421"/>
    <w:rsid w:val="00134584"/>
    <w:rsid w:val="00135845"/>
    <w:rsid w:val="0013686E"/>
    <w:rsid w:val="001407EA"/>
    <w:rsid w:val="00141C20"/>
    <w:rsid w:val="001423F5"/>
    <w:rsid w:val="00143FF9"/>
    <w:rsid w:val="00144B2B"/>
    <w:rsid w:val="00147AC2"/>
    <w:rsid w:val="00147C7B"/>
    <w:rsid w:val="00150704"/>
    <w:rsid w:val="00152BDF"/>
    <w:rsid w:val="00153B7A"/>
    <w:rsid w:val="00154CDA"/>
    <w:rsid w:val="00155A95"/>
    <w:rsid w:val="00156974"/>
    <w:rsid w:val="00156ECB"/>
    <w:rsid w:val="0015744C"/>
    <w:rsid w:val="001603F3"/>
    <w:rsid w:val="001652AF"/>
    <w:rsid w:val="001723D0"/>
    <w:rsid w:val="0017362A"/>
    <w:rsid w:val="00174D3C"/>
    <w:rsid w:val="00180AEA"/>
    <w:rsid w:val="00181087"/>
    <w:rsid w:val="00182492"/>
    <w:rsid w:val="00183626"/>
    <w:rsid w:val="00190A89"/>
    <w:rsid w:val="001911D8"/>
    <w:rsid w:val="00194A7B"/>
    <w:rsid w:val="00195945"/>
    <w:rsid w:val="00196F2B"/>
    <w:rsid w:val="00197D6C"/>
    <w:rsid w:val="001A27FB"/>
    <w:rsid w:val="001A4886"/>
    <w:rsid w:val="001A7F66"/>
    <w:rsid w:val="001B00F9"/>
    <w:rsid w:val="001B1F2B"/>
    <w:rsid w:val="001B25EC"/>
    <w:rsid w:val="001B2C4A"/>
    <w:rsid w:val="001B2F35"/>
    <w:rsid w:val="001B385E"/>
    <w:rsid w:val="001B4319"/>
    <w:rsid w:val="001B486E"/>
    <w:rsid w:val="001B58E4"/>
    <w:rsid w:val="001B5D52"/>
    <w:rsid w:val="001B5EC4"/>
    <w:rsid w:val="001C0965"/>
    <w:rsid w:val="001C121D"/>
    <w:rsid w:val="001C1800"/>
    <w:rsid w:val="001C5286"/>
    <w:rsid w:val="001C6FDA"/>
    <w:rsid w:val="001C7EDD"/>
    <w:rsid w:val="001D3882"/>
    <w:rsid w:val="001D46C7"/>
    <w:rsid w:val="001D4869"/>
    <w:rsid w:val="001D5426"/>
    <w:rsid w:val="001E00F6"/>
    <w:rsid w:val="001E1E4E"/>
    <w:rsid w:val="001E498F"/>
    <w:rsid w:val="001E6365"/>
    <w:rsid w:val="001E6753"/>
    <w:rsid w:val="001F0375"/>
    <w:rsid w:val="001F2B1A"/>
    <w:rsid w:val="001F3142"/>
    <w:rsid w:val="001F507C"/>
    <w:rsid w:val="00202572"/>
    <w:rsid w:val="0020388D"/>
    <w:rsid w:val="00204D14"/>
    <w:rsid w:val="00211755"/>
    <w:rsid w:val="0021276A"/>
    <w:rsid w:val="00213217"/>
    <w:rsid w:val="00213642"/>
    <w:rsid w:val="00213CF9"/>
    <w:rsid w:val="00214583"/>
    <w:rsid w:val="00215AD0"/>
    <w:rsid w:val="00217012"/>
    <w:rsid w:val="00217A68"/>
    <w:rsid w:val="002209A9"/>
    <w:rsid w:val="0022250E"/>
    <w:rsid w:val="002228DD"/>
    <w:rsid w:val="002228FE"/>
    <w:rsid w:val="00223EEC"/>
    <w:rsid w:val="00226FEA"/>
    <w:rsid w:val="00230923"/>
    <w:rsid w:val="002327E1"/>
    <w:rsid w:val="00233705"/>
    <w:rsid w:val="00233B78"/>
    <w:rsid w:val="00233D77"/>
    <w:rsid w:val="00235481"/>
    <w:rsid w:val="00236203"/>
    <w:rsid w:val="0024327A"/>
    <w:rsid w:val="00243DE7"/>
    <w:rsid w:val="002457DC"/>
    <w:rsid w:val="00250EDD"/>
    <w:rsid w:val="0025295F"/>
    <w:rsid w:val="00255404"/>
    <w:rsid w:val="002559F5"/>
    <w:rsid w:val="00256D4C"/>
    <w:rsid w:val="00261408"/>
    <w:rsid w:val="002634A3"/>
    <w:rsid w:val="00264CE5"/>
    <w:rsid w:val="00266F10"/>
    <w:rsid w:val="0026793A"/>
    <w:rsid w:val="002702A5"/>
    <w:rsid w:val="002725DA"/>
    <w:rsid w:val="00272D0C"/>
    <w:rsid w:val="00275490"/>
    <w:rsid w:val="00275956"/>
    <w:rsid w:val="002764F1"/>
    <w:rsid w:val="00277A01"/>
    <w:rsid w:val="00277EFE"/>
    <w:rsid w:val="002805FB"/>
    <w:rsid w:val="00280DD1"/>
    <w:rsid w:val="00281573"/>
    <w:rsid w:val="0028202D"/>
    <w:rsid w:val="002848A7"/>
    <w:rsid w:val="00284A87"/>
    <w:rsid w:val="00286A18"/>
    <w:rsid w:val="00287D84"/>
    <w:rsid w:val="002901A7"/>
    <w:rsid w:val="00290A69"/>
    <w:rsid w:val="002915C8"/>
    <w:rsid w:val="00293E2C"/>
    <w:rsid w:val="00293FD1"/>
    <w:rsid w:val="00296665"/>
    <w:rsid w:val="002A2738"/>
    <w:rsid w:val="002A28ED"/>
    <w:rsid w:val="002A290B"/>
    <w:rsid w:val="002A4FCF"/>
    <w:rsid w:val="002A67D5"/>
    <w:rsid w:val="002A76A8"/>
    <w:rsid w:val="002A784A"/>
    <w:rsid w:val="002B175F"/>
    <w:rsid w:val="002B3539"/>
    <w:rsid w:val="002B4C3B"/>
    <w:rsid w:val="002C596B"/>
    <w:rsid w:val="002C5CB4"/>
    <w:rsid w:val="002C5EF6"/>
    <w:rsid w:val="002C646E"/>
    <w:rsid w:val="002C74E3"/>
    <w:rsid w:val="002E1D7B"/>
    <w:rsid w:val="002E48FD"/>
    <w:rsid w:val="002E760C"/>
    <w:rsid w:val="002E7C17"/>
    <w:rsid w:val="002F067E"/>
    <w:rsid w:val="002F1C8C"/>
    <w:rsid w:val="002F27CF"/>
    <w:rsid w:val="002F359C"/>
    <w:rsid w:val="002F6C4F"/>
    <w:rsid w:val="00301455"/>
    <w:rsid w:val="00301A16"/>
    <w:rsid w:val="00301EBC"/>
    <w:rsid w:val="00303D0C"/>
    <w:rsid w:val="00307266"/>
    <w:rsid w:val="003207E6"/>
    <w:rsid w:val="0032181B"/>
    <w:rsid w:val="003219D8"/>
    <w:rsid w:val="00322828"/>
    <w:rsid w:val="003258A1"/>
    <w:rsid w:val="003278B7"/>
    <w:rsid w:val="00331074"/>
    <w:rsid w:val="00331B69"/>
    <w:rsid w:val="0033206A"/>
    <w:rsid w:val="00337039"/>
    <w:rsid w:val="00350D07"/>
    <w:rsid w:val="00350F4F"/>
    <w:rsid w:val="0035106C"/>
    <w:rsid w:val="00351903"/>
    <w:rsid w:val="0035223B"/>
    <w:rsid w:val="003535C9"/>
    <w:rsid w:val="00354FA8"/>
    <w:rsid w:val="003550F3"/>
    <w:rsid w:val="00355DC8"/>
    <w:rsid w:val="00355F39"/>
    <w:rsid w:val="003604EC"/>
    <w:rsid w:val="00364DEC"/>
    <w:rsid w:val="0036775E"/>
    <w:rsid w:val="0037009C"/>
    <w:rsid w:val="0037163E"/>
    <w:rsid w:val="00371A22"/>
    <w:rsid w:val="00371AB2"/>
    <w:rsid w:val="003730A3"/>
    <w:rsid w:val="00374ED9"/>
    <w:rsid w:val="003750CE"/>
    <w:rsid w:val="003768E9"/>
    <w:rsid w:val="003768F9"/>
    <w:rsid w:val="003778CB"/>
    <w:rsid w:val="003823B7"/>
    <w:rsid w:val="00382BB7"/>
    <w:rsid w:val="0038335C"/>
    <w:rsid w:val="0038485A"/>
    <w:rsid w:val="00390CC9"/>
    <w:rsid w:val="003920B8"/>
    <w:rsid w:val="00392854"/>
    <w:rsid w:val="003929B1"/>
    <w:rsid w:val="00392FDF"/>
    <w:rsid w:val="003A06E6"/>
    <w:rsid w:val="003A1892"/>
    <w:rsid w:val="003A2476"/>
    <w:rsid w:val="003A259A"/>
    <w:rsid w:val="003A6116"/>
    <w:rsid w:val="003B0D94"/>
    <w:rsid w:val="003B2EC3"/>
    <w:rsid w:val="003B6803"/>
    <w:rsid w:val="003B776F"/>
    <w:rsid w:val="003B7B34"/>
    <w:rsid w:val="003C5672"/>
    <w:rsid w:val="003D0339"/>
    <w:rsid w:val="003D04C7"/>
    <w:rsid w:val="003D282E"/>
    <w:rsid w:val="003D5382"/>
    <w:rsid w:val="003D5D92"/>
    <w:rsid w:val="003D6560"/>
    <w:rsid w:val="003D6717"/>
    <w:rsid w:val="003E3282"/>
    <w:rsid w:val="003E4419"/>
    <w:rsid w:val="003E481B"/>
    <w:rsid w:val="003E58E5"/>
    <w:rsid w:val="003F48AF"/>
    <w:rsid w:val="003F63C4"/>
    <w:rsid w:val="003F6790"/>
    <w:rsid w:val="00401AC6"/>
    <w:rsid w:val="00401AF3"/>
    <w:rsid w:val="00402779"/>
    <w:rsid w:val="0040281E"/>
    <w:rsid w:val="00403712"/>
    <w:rsid w:val="00403915"/>
    <w:rsid w:val="00406DDF"/>
    <w:rsid w:val="004115A1"/>
    <w:rsid w:val="00414176"/>
    <w:rsid w:val="004143D6"/>
    <w:rsid w:val="004155EB"/>
    <w:rsid w:val="0041663F"/>
    <w:rsid w:val="00416E15"/>
    <w:rsid w:val="00421024"/>
    <w:rsid w:val="004214E0"/>
    <w:rsid w:val="00421609"/>
    <w:rsid w:val="00422544"/>
    <w:rsid w:val="00422E9A"/>
    <w:rsid w:val="00423957"/>
    <w:rsid w:val="00424C12"/>
    <w:rsid w:val="0042520B"/>
    <w:rsid w:val="00426F3B"/>
    <w:rsid w:val="004319C5"/>
    <w:rsid w:val="004320C8"/>
    <w:rsid w:val="0043335E"/>
    <w:rsid w:val="004347F6"/>
    <w:rsid w:val="00436B5D"/>
    <w:rsid w:val="00440031"/>
    <w:rsid w:val="0044007C"/>
    <w:rsid w:val="00441601"/>
    <w:rsid w:val="00443D02"/>
    <w:rsid w:val="00443F3D"/>
    <w:rsid w:val="00445603"/>
    <w:rsid w:val="004528CB"/>
    <w:rsid w:val="00452E3C"/>
    <w:rsid w:val="004534D3"/>
    <w:rsid w:val="004564EE"/>
    <w:rsid w:val="00457686"/>
    <w:rsid w:val="00461DAF"/>
    <w:rsid w:val="0046365A"/>
    <w:rsid w:val="00463D90"/>
    <w:rsid w:val="00464D72"/>
    <w:rsid w:val="00465B52"/>
    <w:rsid w:val="00467BDC"/>
    <w:rsid w:val="00470A51"/>
    <w:rsid w:val="00470B57"/>
    <w:rsid w:val="0047463A"/>
    <w:rsid w:val="00474B33"/>
    <w:rsid w:val="00481595"/>
    <w:rsid w:val="0048601F"/>
    <w:rsid w:val="004879F7"/>
    <w:rsid w:val="00490961"/>
    <w:rsid w:val="004912D3"/>
    <w:rsid w:val="0049258A"/>
    <w:rsid w:val="00493EDF"/>
    <w:rsid w:val="00493F88"/>
    <w:rsid w:val="00493F9A"/>
    <w:rsid w:val="00494134"/>
    <w:rsid w:val="004978C8"/>
    <w:rsid w:val="004A0C37"/>
    <w:rsid w:val="004A141F"/>
    <w:rsid w:val="004A1E6E"/>
    <w:rsid w:val="004A3C65"/>
    <w:rsid w:val="004A3DB7"/>
    <w:rsid w:val="004A4140"/>
    <w:rsid w:val="004A6951"/>
    <w:rsid w:val="004B377A"/>
    <w:rsid w:val="004B3F3B"/>
    <w:rsid w:val="004B5B25"/>
    <w:rsid w:val="004C1DEB"/>
    <w:rsid w:val="004C20AA"/>
    <w:rsid w:val="004C2A4E"/>
    <w:rsid w:val="004C3173"/>
    <w:rsid w:val="004C3F0A"/>
    <w:rsid w:val="004C3FD1"/>
    <w:rsid w:val="004C7926"/>
    <w:rsid w:val="004D0BA6"/>
    <w:rsid w:val="004D202F"/>
    <w:rsid w:val="004D2420"/>
    <w:rsid w:val="004D2655"/>
    <w:rsid w:val="004D6D6B"/>
    <w:rsid w:val="004D7F08"/>
    <w:rsid w:val="004E0334"/>
    <w:rsid w:val="004E2729"/>
    <w:rsid w:val="004E3FC6"/>
    <w:rsid w:val="004E7839"/>
    <w:rsid w:val="004F0C5E"/>
    <w:rsid w:val="004F378E"/>
    <w:rsid w:val="004F4B39"/>
    <w:rsid w:val="005001F7"/>
    <w:rsid w:val="00500BA7"/>
    <w:rsid w:val="00502F51"/>
    <w:rsid w:val="005127F2"/>
    <w:rsid w:val="0051338E"/>
    <w:rsid w:val="00513DCD"/>
    <w:rsid w:val="00515DA8"/>
    <w:rsid w:val="00516071"/>
    <w:rsid w:val="00516A7E"/>
    <w:rsid w:val="00516E52"/>
    <w:rsid w:val="0052378C"/>
    <w:rsid w:val="00524E73"/>
    <w:rsid w:val="005262DC"/>
    <w:rsid w:val="005267E1"/>
    <w:rsid w:val="00532E57"/>
    <w:rsid w:val="005406EB"/>
    <w:rsid w:val="00540816"/>
    <w:rsid w:val="00542351"/>
    <w:rsid w:val="00543AAE"/>
    <w:rsid w:val="005520CD"/>
    <w:rsid w:val="0055217D"/>
    <w:rsid w:val="005531DE"/>
    <w:rsid w:val="00553D40"/>
    <w:rsid w:val="005547AF"/>
    <w:rsid w:val="005571B6"/>
    <w:rsid w:val="00557AD8"/>
    <w:rsid w:val="00557C7F"/>
    <w:rsid w:val="0056124A"/>
    <w:rsid w:val="005624A6"/>
    <w:rsid w:val="00563868"/>
    <w:rsid w:val="00565A22"/>
    <w:rsid w:val="005676CF"/>
    <w:rsid w:val="0057187F"/>
    <w:rsid w:val="00571FCB"/>
    <w:rsid w:val="00572D00"/>
    <w:rsid w:val="00574365"/>
    <w:rsid w:val="005747C3"/>
    <w:rsid w:val="00576E96"/>
    <w:rsid w:val="005823A2"/>
    <w:rsid w:val="005826CA"/>
    <w:rsid w:val="00585EA3"/>
    <w:rsid w:val="0058614F"/>
    <w:rsid w:val="00590768"/>
    <w:rsid w:val="00591349"/>
    <w:rsid w:val="00594816"/>
    <w:rsid w:val="0059485F"/>
    <w:rsid w:val="00595A1A"/>
    <w:rsid w:val="00595F7E"/>
    <w:rsid w:val="005961E6"/>
    <w:rsid w:val="00596453"/>
    <w:rsid w:val="005966DB"/>
    <w:rsid w:val="005A0D47"/>
    <w:rsid w:val="005A29A7"/>
    <w:rsid w:val="005A3564"/>
    <w:rsid w:val="005A3C96"/>
    <w:rsid w:val="005A3EFA"/>
    <w:rsid w:val="005A540A"/>
    <w:rsid w:val="005A7503"/>
    <w:rsid w:val="005A7B4A"/>
    <w:rsid w:val="005A7D4F"/>
    <w:rsid w:val="005B3EAC"/>
    <w:rsid w:val="005B425A"/>
    <w:rsid w:val="005B4D69"/>
    <w:rsid w:val="005B5A79"/>
    <w:rsid w:val="005B5D86"/>
    <w:rsid w:val="005C0306"/>
    <w:rsid w:val="005C03BB"/>
    <w:rsid w:val="005C1B22"/>
    <w:rsid w:val="005C2187"/>
    <w:rsid w:val="005C2543"/>
    <w:rsid w:val="005C2ED3"/>
    <w:rsid w:val="005C382F"/>
    <w:rsid w:val="005C3BFA"/>
    <w:rsid w:val="005C4C09"/>
    <w:rsid w:val="005C68B8"/>
    <w:rsid w:val="005D3522"/>
    <w:rsid w:val="005D3763"/>
    <w:rsid w:val="005E666D"/>
    <w:rsid w:val="005F09A6"/>
    <w:rsid w:val="005F17BE"/>
    <w:rsid w:val="005F2A06"/>
    <w:rsid w:val="005F3379"/>
    <w:rsid w:val="005F3E38"/>
    <w:rsid w:val="005F4061"/>
    <w:rsid w:val="005F4D4D"/>
    <w:rsid w:val="00600254"/>
    <w:rsid w:val="00601E5B"/>
    <w:rsid w:val="0060222E"/>
    <w:rsid w:val="00610864"/>
    <w:rsid w:val="00610D8B"/>
    <w:rsid w:val="00614664"/>
    <w:rsid w:val="006150A1"/>
    <w:rsid w:val="006150B4"/>
    <w:rsid w:val="00616600"/>
    <w:rsid w:val="006174DB"/>
    <w:rsid w:val="00617D66"/>
    <w:rsid w:val="006208E8"/>
    <w:rsid w:val="00620D82"/>
    <w:rsid w:val="00626CF9"/>
    <w:rsid w:val="00630E1F"/>
    <w:rsid w:val="006316BB"/>
    <w:rsid w:val="00632E21"/>
    <w:rsid w:val="00633882"/>
    <w:rsid w:val="006353B5"/>
    <w:rsid w:val="00635AE5"/>
    <w:rsid w:val="006364D6"/>
    <w:rsid w:val="00636C18"/>
    <w:rsid w:val="006426FB"/>
    <w:rsid w:val="0064476D"/>
    <w:rsid w:val="00644CF6"/>
    <w:rsid w:val="006505CF"/>
    <w:rsid w:val="00651F6B"/>
    <w:rsid w:val="0065298A"/>
    <w:rsid w:val="00655280"/>
    <w:rsid w:val="00656374"/>
    <w:rsid w:val="00660700"/>
    <w:rsid w:val="006623E8"/>
    <w:rsid w:val="00662921"/>
    <w:rsid w:val="00675A72"/>
    <w:rsid w:val="00676D0F"/>
    <w:rsid w:val="00682819"/>
    <w:rsid w:val="00682C0D"/>
    <w:rsid w:val="00683213"/>
    <w:rsid w:val="006835C3"/>
    <w:rsid w:val="0068435C"/>
    <w:rsid w:val="006901EF"/>
    <w:rsid w:val="00693166"/>
    <w:rsid w:val="00697F78"/>
    <w:rsid w:val="006A18AD"/>
    <w:rsid w:val="006A19B3"/>
    <w:rsid w:val="006A33A1"/>
    <w:rsid w:val="006A45C9"/>
    <w:rsid w:val="006A4C50"/>
    <w:rsid w:val="006A503D"/>
    <w:rsid w:val="006A6177"/>
    <w:rsid w:val="006A729C"/>
    <w:rsid w:val="006A7B00"/>
    <w:rsid w:val="006A7CC8"/>
    <w:rsid w:val="006B0EB9"/>
    <w:rsid w:val="006B17E7"/>
    <w:rsid w:val="006B264F"/>
    <w:rsid w:val="006B3D44"/>
    <w:rsid w:val="006C197D"/>
    <w:rsid w:val="006C1EB7"/>
    <w:rsid w:val="006C794A"/>
    <w:rsid w:val="006D122B"/>
    <w:rsid w:val="006D3287"/>
    <w:rsid w:val="006E0138"/>
    <w:rsid w:val="006E1915"/>
    <w:rsid w:val="006E1F34"/>
    <w:rsid w:val="006E213F"/>
    <w:rsid w:val="006E23C8"/>
    <w:rsid w:val="006E2B76"/>
    <w:rsid w:val="006E3BB0"/>
    <w:rsid w:val="006E6FE8"/>
    <w:rsid w:val="006F473E"/>
    <w:rsid w:val="006F5DDE"/>
    <w:rsid w:val="006F6482"/>
    <w:rsid w:val="006F6A39"/>
    <w:rsid w:val="006F7676"/>
    <w:rsid w:val="00703632"/>
    <w:rsid w:val="007040E9"/>
    <w:rsid w:val="00705D0A"/>
    <w:rsid w:val="00711337"/>
    <w:rsid w:val="007137D8"/>
    <w:rsid w:val="00714311"/>
    <w:rsid w:val="00714AC4"/>
    <w:rsid w:val="00714B4E"/>
    <w:rsid w:val="00714D9D"/>
    <w:rsid w:val="00716370"/>
    <w:rsid w:val="00720350"/>
    <w:rsid w:val="007221A2"/>
    <w:rsid w:val="00723569"/>
    <w:rsid w:val="00723DE7"/>
    <w:rsid w:val="00725B33"/>
    <w:rsid w:val="00730956"/>
    <w:rsid w:val="00731D08"/>
    <w:rsid w:val="007342CF"/>
    <w:rsid w:val="007346A7"/>
    <w:rsid w:val="00734F3E"/>
    <w:rsid w:val="00737055"/>
    <w:rsid w:val="007374DD"/>
    <w:rsid w:val="00740F79"/>
    <w:rsid w:val="00740FDD"/>
    <w:rsid w:val="00741CB4"/>
    <w:rsid w:val="00743C85"/>
    <w:rsid w:val="0074486A"/>
    <w:rsid w:val="00745380"/>
    <w:rsid w:val="00745495"/>
    <w:rsid w:val="00746C3E"/>
    <w:rsid w:val="0074734D"/>
    <w:rsid w:val="00747618"/>
    <w:rsid w:val="0074775B"/>
    <w:rsid w:val="0074776B"/>
    <w:rsid w:val="00750329"/>
    <w:rsid w:val="00750923"/>
    <w:rsid w:val="00750B26"/>
    <w:rsid w:val="00750BD1"/>
    <w:rsid w:val="007524CB"/>
    <w:rsid w:val="00753943"/>
    <w:rsid w:val="0075785E"/>
    <w:rsid w:val="0075791B"/>
    <w:rsid w:val="007620BD"/>
    <w:rsid w:val="0076361D"/>
    <w:rsid w:val="00763682"/>
    <w:rsid w:val="00765D94"/>
    <w:rsid w:val="0076766E"/>
    <w:rsid w:val="007703BE"/>
    <w:rsid w:val="007735C8"/>
    <w:rsid w:val="007741DC"/>
    <w:rsid w:val="00774245"/>
    <w:rsid w:val="007762CC"/>
    <w:rsid w:val="00776468"/>
    <w:rsid w:val="00777442"/>
    <w:rsid w:val="007810BC"/>
    <w:rsid w:val="0078141E"/>
    <w:rsid w:val="007815FE"/>
    <w:rsid w:val="0078196E"/>
    <w:rsid w:val="00786DEE"/>
    <w:rsid w:val="00787ECC"/>
    <w:rsid w:val="007903B0"/>
    <w:rsid w:val="00793296"/>
    <w:rsid w:val="007940D2"/>
    <w:rsid w:val="007945B6"/>
    <w:rsid w:val="0079684E"/>
    <w:rsid w:val="007A3263"/>
    <w:rsid w:val="007A3393"/>
    <w:rsid w:val="007A38BC"/>
    <w:rsid w:val="007A5210"/>
    <w:rsid w:val="007A5A6C"/>
    <w:rsid w:val="007A5F78"/>
    <w:rsid w:val="007A71BC"/>
    <w:rsid w:val="007A77E9"/>
    <w:rsid w:val="007B0212"/>
    <w:rsid w:val="007B2567"/>
    <w:rsid w:val="007B576C"/>
    <w:rsid w:val="007B5EFD"/>
    <w:rsid w:val="007C0EC0"/>
    <w:rsid w:val="007C2AE8"/>
    <w:rsid w:val="007C6C5A"/>
    <w:rsid w:val="007D1D11"/>
    <w:rsid w:val="007D220E"/>
    <w:rsid w:val="007D298A"/>
    <w:rsid w:val="007D3503"/>
    <w:rsid w:val="007D5196"/>
    <w:rsid w:val="007D588C"/>
    <w:rsid w:val="007D64D2"/>
    <w:rsid w:val="007D77B5"/>
    <w:rsid w:val="007E0D5D"/>
    <w:rsid w:val="007E0FE7"/>
    <w:rsid w:val="007E300B"/>
    <w:rsid w:val="007E38CD"/>
    <w:rsid w:val="007E47FA"/>
    <w:rsid w:val="007E549F"/>
    <w:rsid w:val="007E5504"/>
    <w:rsid w:val="007E76E7"/>
    <w:rsid w:val="007F0D45"/>
    <w:rsid w:val="007F0EBB"/>
    <w:rsid w:val="007F1AE4"/>
    <w:rsid w:val="007F7F1C"/>
    <w:rsid w:val="0080454A"/>
    <w:rsid w:val="00806B51"/>
    <w:rsid w:val="00811066"/>
    <w:rsid w:val="0081197B"/>
    <w:rsid w:val="00811B7F"/>
    <w:rsid w:val="008141F9"/>
    <w:rsid w:val="00814C39"/>
    <w:rsid w:val="00815461"/>
    <w:rsid w:val="00816A16"/>
    <w:rsid w:val="00817E96"/>
    <w:rsid w:val="00822344"/>
    <w:rsid w:val="0082382E"/>
    <w:rsid w:val="00823B7D"/>
    <w:rsid w:val="00823BAF"/>
    <w:rsid w:val="00823BFC"/>
    <w:rsid w:val="00823F51"/>
    <w:rsid w:val="00827945"/>
    <w:rsid w:val="00831993"/>
    <w:rsid w:val="00831C88"/>
    <w:rsid w:val="00832ED8"/>
    <w:rsid w:val="00833292"/>
    <w:rsid w:val="008344EF"/>
    <w:rsid w:val="00842350"/>
    <w:rsid w:val="00842D5D"/>
    <w:rsid w:val="008450FF"/>
    <w:rsid w:val="0085382B"/>
    <w:rsid w:val="00853B4B"/>
    <w:rsid w:val="008545EC"/>
    <w:rsid w:val="00854F60"/>
    <w:rsid w:val="00855BC2"/>
    <w:rsid w:val="0086273C"/>
    <w:rsid w:val="00862FA3"/>
    <w:rsid w:val="00866B3E"/>
    <w:rsid w:val="00871B34"/>
    <w:rsid w:val="00871F3C"/>
    <w:rsid w:val="008727B4"/>
    <w:rsid w:val="008733CA"/>
    <w:rsid w:val="00874466"/>
    <w:rsid w:val="00874F90"/>
    <w:rsid w:val="00880927"/>
    <w:rsid w:val="00881606"/>
    <w:rsid w:val="0088262D"/>
    <w:rsid w:val="008852EF"/>
    <w:rsid w:val="00887995"/>
    <w:rsid w:val="00890AE9"/>
    <w:rsid w:val="008919D1"/>
    <w:rsid w:val="00891F7A"/>
    <w:rsid w:val="00895BEF"/>
    <w:rsid w:val="0089630B"/>
    <w:rsid w:val="008963BA"/>
    <w:rsid w:val="008A0D52"/>
    <w:rsid w:val="008A1945"/>
    <w:rsid w:val="008A1E55"/>
    <w:rsid w:val="008A34BF"/>
    <w:rsid w:val="008A3E97"/>
    <w:rsid w:val="008A78A1"/>
    <w:rsid w:val="008C15A9"/>
    <w:rsid w:val="008C2B75"/>
    <w:rsid w:val="008C76E6"/>
    <w:rsid w:val="008D145A"/>
    <w:rsid w:val="008D3BCE"/>
    <w:rsid w:val="008D72C0"/>
    <w:rsid w:val="008D780C"/>
    <w:rsid w:val="008D79E1"/>
    <w:rsid w:val="008E069D"/>
    <w:rsid w:val="008E0B70"/>
    <w:rsid w:val="008E0DB6"/>
    <w:rsid w:val="008F261E"/>
    <w:rsid w:val="008F4C8D"/>
    <w:rsid w:val="008F6096"/>
    <w:rsid w:val="00900764"/>
    <w:rsid w:val="009011BF"/>
    <w:rsid w:val="0090303E"/>
    <w:rsid w:val="00903173"/>
    <w:rsid w:val="009058E5"/>
    <w:rsid w:val="009059DA"/>
    <w:rsid w:val="00910371"/>
    <w:rsid w:val="00910FBA"/>
    <w:rsid w:val="00912590"/>
    <w:rsid w:val="00912A9F"/>
    <w:rsid w:val="00912BF3"/>
    <w:rsid w:val="00912CE0"/>
    <w:rsid w:val="0091525F"/>
    <w:rsid w:val="00916040"/>
    <w:rsid w:val="00920AF7"/>
    <w:rsid w:val="0092529A"/>
    <w:rsid w:val="00926AA8"/>
    <w:rsid w:val="00927474"/>
    <w:rsid w:val="0092762C"/>
    <w:rsid w:val="009279B7"/>
    <w:rsid w:val="009314E9"/>
    <w:rsid w:val="00932356"/>
    <w:rsid w:val="009325E4"/>
    <w:rsid w:val="009328FB"/>
    <w:rsid w:val="009331AF"/>
    <w:rsid w:val="0093364A"/>
    <w:rsid w:val="00934076"/>
    <w:rsid w:val="009345DC"/>
    <w:rsid w:val="009454A7"/>
    <w:rsid w:val="009455DE"/>
    <w:rsid w:val="00946AD4"/>
    <w:rsid w:val="00950ABB"/>
    <w:rsid w:val="00951C94"/>
    <w:rsid w:val="00955DF8"/>
    <w:rsid w:val="0095729A"/>
    <w:rsid w:val="009572A7"/>
    <w:rsid w:val="009601A0"/>
    <w:rsid w:val="00960A80"/>
    <w:rsid w:val="00961181"/>
    <w:rsid w:val="00962AF5"/>
    <w:rsid w:val="00963C55"/>
    <w:rsid w:val="0096487A"/>
    <w:rsid w:val="009664C0"/>
    <w:rsid w:val="00967175"/>
    <w:rsid w:val="00974D90"/>
    <w:rsid w:val="00974F12"/>
    <w:rsid w:val="00975817"/>
    <w:rsid w:val="009774AB"/>
    <w:rsid w:val="00977887"/>
    <w:rsid w:val="00984564"/>
    <w:rsid w:val="00985D2A"/>
    <w:rsid w:val="00991EA0"/>
    <w:rsid w:val="00993068"/>
    <w:rsid w:val="00993A77"/>
    <w:rsid w:val="00997153"/>
    <w:rsid w:val="009A3CD3"/>
    <w:rsid w:val="009A6E68"/>
    <w:rsid w:val="009A76BD"/>
    <w:rsid w:val="009A7E6F"/>
    <w:rsid w:val="009B6F10"/>
    <w:rsid w:val="009D00D9"/>
    <w:rsid w:val="009D212F"/>
    <w:rsid w:val="009D273B"/>
    <w:rsid w:val="009D3AF2"/>
    <w:rsid w:val="009D446C"/>
    <w:rsid w:val="009D581C"/>
    <w:rsid w:val="009D5ECA"/>
    <w:rsid w:val="009D61D2"/>
    <w:rsid w:val="009D6530"/>
    <w:rsid w:val="009E0A0E"/>
    <w:rsid w:val="009E1B65"/>
    <w:rsid w:val="009E2D9D"/>
    <w:rsid w:val="009E4297"/>
    <w:rsid w:val="009E62CF"/>
    <w:rsid w:val="009E686B"/>
    <w:rsid w:val="009E68A2"/>
    <w:rsid w:val="009E7519"/>
    <w:rsid w:val="009F081A"/>
    <w:rsid w:val="009F3386"/>
    <w:rsid w:val="009F3401"/>
    <w:rsid w:val="009F5917"/>
    <w:rsid w:val="009F67D8"/>
    <w:rsid w:val="00A03674"/>
    <w:rsid w:val="00A04CEA"/>
    <w:rsid w:val="00A05316"/>
    <w:rsid w:val="00A05861"/>
    <w:rsid w:val="00A06DA6"/>
    <w:rsid w:val="00A111B5"/>
    <w:rsid w:val="00A11507"/>
    <w:rsid w:val="00A127B7"/>
    <w:rsid w:val="00A144DA"/>
    <w:rsid w:val="00A14E0B"/>
    <w:rsid w:val="00A153B5"/>
    <w:rsid w:val="00A15F02"/>
    <w:rsid w:val="00A16374"/>
    <w:rsid w:val="00A1643F"/>
    <w:rsid w:val="00A16E16"/>
    <w:rsid w:val="00A1703F"/>
    <w:rsid w:val="00A201CB"/>
    <w:rsid w:val="00A2213B"/>
    <w:rsid w:val="00A22838"/>
    <w:rsid w:val="00A22DCE"/>
    <w:rsid w:val="00A24918"/>
    <w:rsid w:val="00A2683F"/>
    <w:rsid w:val="00A312A7"/>
    <w:rsid w:val="00A3207F"/>
    <w:rsid w:val="00A328F6"/>
    <w:rsid w:val="00A37B44"/>
    <w:rsid w:val="00A4044A"/>
    <w:rsid w:val="00A414FB"/>
    <w:rsid w:val="00A41613"/>
    <w:rsid w:val="00A4212B"/>
    <w:rsid w:val="00A45CCA"/>
    <w:rsid w:val="00A5001A"/>
    <w:rsid w:val="00A540EE"/>
    <w:rsid w:val="00A56ADB"/>
    <w:rsid w:val="00A572C6"/>
    <w:rsid w:val="00A60763"/>
    <w:rsid w:val="00A618B9"/>
    <w:rsid w:val="00A62B53"/>
    <w:rsid w:val="00A62EAB"/>
    <w:rsid w:val="00A630C9"/>
    <w:rsid w:val="00A70063"/>
    <w:rsid w:val="00A72370"/>
    <w:rsid w:val="00A74C2F"/>
    <w:rsid w:val="00A76E91"/>
    <w:rsid w:val="00A77F5E"/>
    <w:rsid w:val="00A77FF8"/>
    <w:rsid w:val="00A80BC4"/>
    <w:rsid w:val="00A860CD"/>
    <w:rsid w:val="00A918EC"/>
    <w:rsid w:val="00A94AFB"/>
    <w:rsid w:val="00A95589"/>
    <w:rsid w:val="00AA0BCC"/>
    <w:rsid w:val="00AA1747"/>
    <w:rsid w:val="00AA1892"/>
    <w:rsid w:val="00AA1D2B"/>
    <w:rsid w:val="00AA414A"/>
    <w:rsid w:val="00AA4FEC"/>
    <w:rsid w:val="00AA5DEE"/>
    <w:rsid w:val="00AA632C"/>
    <w:rsid w:val="00AB06DC"/>
    <w:rsid w:val="00AB657A"/>
    <w:rsid w:val="00AB6D61"/>
    <w:rsid w:val="00AC1255"/>
    <w:rsid w:val="00AC1603"/>
    <w:rsid w:val="00AC16EF"/>
    <w:rsid w:val="00AC65E4"/>
    <w:rsid w:val="00AC6673"/>
    <w:rsid w:val="00AD25AD"/>
    <w:rsid w:val="00AD50FD"/>
    <w:rsid w:val="00AD540A"/>
    <w:rsid w:val="00AD7591"/>
    <w:rsid w:val="00AE0397"/>
    <w:rsid w:val="00AE30E6"/>
    <w:rsid w:val="00AE39B4"/>
    <w:rsid w:val="00AE68F0"/>
    <w:rsid w:val="00AE6A7F"/>
    <w:rsid w:val="00AF078C"/>
    <w:rsid w:val="00AF0FC8"/>
    <w:rsid w:val="00AF484E"/>
    <w:rsid w:val="00AF4A55"/>
    <w:rsid w:val="00AF556A"/>
    <w:rsid w:val="00AF7F76"/>
    <w:rsid w:val="00B001EB"/>
    <w:rsid w:val="00B0146E"/>
    <w:rsid w:val="00B01A1B"/>
    <w:rsid w:val="00B01CB9"/>
    <w:rsid w:val="00B020FD"/>
    <w:rsid w:val="00B04165"/>
    <w:rsid w:val="00B04F98"/>
    <w:rsid w:val="00B0586B"/>
    <w:rsid w:val="00B13CC9"/>
    <w:rsid w:val="00B16E49"/>
    <w:rsid w:val="00B17388"/>
    <w:rsid w:val="00B2007B"/>
    <w:rsid w:val="00B22002"/>
    <w:rsid w:val="00B220D0"/>
    <w:rsid w:val="00B22CB2"/>
    <w:rsid w:val="00B23491"/>
    <w:rsid w:val="00B23B70"/>
    <w:rsid w:val="00B24750"/>
    <w:rsid w:val="00B27723"/>
    <w:rsid w:val="00B3309B"/>
    <w:rsid w:val="00B33626"/>
    <w:rsid w:val="00B37890"/>
    <w:rsid w:val="00B4357A"/>
    <w:rsid w:val="00B45ADA"/>
    <w:rsid w:val="00B46EBF"/>
    <w:rsid w:val="00B50E06"/>
    <w:rsid w:val="00B518A1"/>
    <w:rsid w:val="00B525DA"/>
    <w:rsid w:val="00B54C28"/>
    <w:rsid w:val="00B5748B"/>
    <w:rsid w:val="00B5790E"/>
    <w:rsid w:val="00B61142"/>
    <w:rsid w:val="00B6720D"/>
    <w:rsid w:val="00B67339"/>
    <w:rsid w:val="00B70C53"/>
    <w:rsid w:val="00B73AF0"/>
    <w:rsid w:val="00B75320"/>
    <w:rsid w:val="00B7692B"/>
    <w:rsid w:val="00B77ABE"/>
    <w:rsid w:val="00B80857"/>
    <w:rsid w:val="00B80ECF"/>
    <w:rsid w:val="00B85F13"/>
    <w:rsid w:val="00B8604C"/>
    <w:rsid w:val="00B86AE5"/>
    <w:rsid w:val="00B8712A"/>
    <w:rsid w:val="00B8724C"/>
    <w:rsid w:val="00B877C8"/>
    <w:rsid w:val="00B900C6"/>
    <w:rsid w:val="00B9082B"/>
    <w:rsid w:val="00B91694"/>
    <w:rsid w:val="00B94686"/>
    <w:rsid w:val="00B95721"/>
    <w:rsid w:val="00B96BCB"/>
    <w:rsid w:val="00BA0187"/>
    <w:rsid w:val="00BA097D"/>
    <w:rsid w:val="00BA0C4D"/>
    <w:rsid w:val="00BA1C95"/>
    <w:rsid w:val="00BA1E6E"/>
    <w:rsid w:val="00BA1F3E"/>
    <w:rsid w:val="00BA4860"/>
    <w:rsid w:val="00BA500C"/>
    <w:rsid w:val="00BA7745"/>
    <w:rsid w:val="00BB4155"/>
    <w:rsid w:val="00BB4FAF"/>
    <w:rsid w:val="00BB583B"/>
    <w:rsid w:val="00BB6B82"/>
    <w:rsid w:val="00BC0A3F"/>
    <w:rsid w:val="00BC0BE7"/>
    <w:rsid w:val="00BC7F3A"/>
    <w:rsid w:val="00BE1171"/>
    <w:rsid w:val="00BE1DD0"/>
    <w:rsid w:val="00BE27C4"/>
    <w:rsid w:val="00BE29F3"/>
    <w:rsid w:val="00BE3AC6"/>
    <w:rsid w:val="00BE438A"/>
    <w:rsid w:val="00BE62DE"/>
    <w:rsid w:val="00BE72B9"/>
    <w:rsid w:val="00BF04DD"/>
    <w:rsid w:val="00BF2447"/>
    <w:rsid w:val="00BF2DD1"/>
    <w:rsid w:val="00BF5BEF"/>
    <w:rsid w:val="00BF72E0"/>
    <w:rsid w:val="00BF7D10"/>
    <w:rsid w:val="00C000B0"/>
    <w:rsid w:val="00C01295"/>
    <w:rsid w:val="00C01637"/>
    <w:rsid w:val="00C0268E"/>
    <w:rsid w:val="00C026DB"/>
    <w:rsid w:val="00C105F7"/>
    <w:rsid w:val="00C1234C"/>
    <w:rsid w:val="00C12A66"/>
    <w:rsid w:val="00C13D7B"/>
    <w:rsid w:val="00C13E10"/>
    <w:rsid w:val="00C148F1"/>
    <w:rsid w:val="00C15FC7"/>
    <w:rsid w:val="00C178C4"/>
    <w:rsid w:val="00C20D12"/>
    <w:rsid w:val="00C211A1"/>
    <w:rsid w:val="00C226B1"/>
    <w:rsid w:val="00C234C8"/>
    <w:rsid w:val="00C255B6"/>
    <w:rsid w:val="00C25960"/>
    <w:rsid w:val="00C265B1"/>
    <w:rsid w:val="00C30007"/>
    <w:rsid w:val="00C31077"/>
    <w:rsid w:val="00C31454"/>
    <w:rsid w:val="00C325A0"/>
    <w:rsid w:val="00C3373A"/>
    <w:rsid w:val="00C35066"/>
    <w:rsid w:val="00C36B77"/>
    <w:rsid w:val="00C4008A"/>
    <w:rsid w:val="00C400BF"/>
    <w:rsid w:val="00C4066A"/>
    <w:rsid w:val="00C415EE"/>
    <w:rsid w:val="00C42BBA"/>
    <w:rsid w:val="00C44AB8"/>
    <w:rsid w:val="00C47AA6"/>
    <w:rsid w:val="00C50164"/>
    <w:rsid w:val="00C5104A"/>
    <w:rsid w:val="00C540F9"/>
    <w:rsid w:val="00C549AF"/>
    <w:rsid w:val="00C54F3A"/>
    <w:rsid w:val="00C61127"/>
    <w:rsid w:val="00C61A40"/>
    <w:rsid w:val="00C61C30"/>
    <w:rsid w:val="00C63C24"/>
    <w:rsid w:val="00C63EF4"/>
    <w:rsid w:val="00C6670B"/>
    <w:rsid w:val="00C727C1"/>
    <w:rsid w:val="00C72F6C"/>
    <w:rsid w:val="00C75529"/>
    <w:rsid w:val="00C76D15"/>
    <w:rsid w:val="00C774DE"/>
    <w:rsid w:val="00C81E23"/>
    <w:rsid w:val="00C84FEB"/>
    <w:rsid w:val="00C860C4"/>
    <w:rsid w:val="00C86701"/>
    <w:rsid w:val="00C90D12"/>
    <w:rsid w:val="00C91783"/>
    <w:rsid w:val="00C97AC3"/>
    <w:rsid w:val="00CA1470"/>
    <w:rsid w:val="00CA207E"/>
    <w:rsid w:val="00CA349F"/>
    <w:rsid w:val="00CA380B"/>
    <w:rsid w:val="00CA3F0D"/>
    <w:rsid w:val="00CA4531"/>
    <w:rsid w:val="00CA557C"/>
    <w:rsid w:val="00CA5835"/>
    <w:rsid w:val="00CB0532"/>
    <w:rsid w:val="00CB0825"/>
    <w:rsid w:val="00CB3A00"/>
    <w:rsid w:val="00CB59C6"/>
    <w:rsid w:val="00CC05DE"/>
    <w:rsid w:val="00CC0E32"/>
    <w:rsid w:val="00CC2E3D"/>
    <w:rsid w:val="00CC32A6"/>
    <w:rsid w:val="00CC3D55"/>
    <w:rsid w:val="00CC4A28"/>
    <w:rsid w:val="00CC5B6D"/>
    <w:rsid w:val="00CC60F6"/>
    <w:rsid w:val="00CC7441"/>
    <w:rsid w:val="00CC7F71"/>
    <w:rsid w:val="00CD133E"/>
    <w:rsid w:val="00CD1EA2"/>
    <w:rsid w:val="00CD3568"/>
    <w:rsid w:val="00CD3BCE"/>
    <w:rsid w:val="00CD3EAF"/>
    <w:rsid w:val="00CD47B5"/>
    <w:rsid w:val="00CD49AC"/>
    <w:rsid w:val="00CD6157"/>
    <w:rsid w:val="00CD7040"/>
    <w:rsid w:val="00CE1D21"/>
    <w:rsid w:val="00CE1F18"/>
    <w:rsid w:val="00CE2D54"/>
    <w:rsid w:val="00CE62D1"/>
    <w:rsid w:val="00CE6E55"/>
    <w:rsid w:val="00CF2A57"/>
    <w:rsid w:val="00CF2D43"/>
    <w:rsid w:val="00CF3FB3"/>
    <w:rsid w:val="00CF455B"/>
    <w:rsid w:val="00CF49C7"/>
    <w:rsid w:val="00CF555E"/>
    <w:rsid w:val="00D028C0"/>
    <w:rsid w:val="00D03101"/>
    <w:rsid w:val="00D03C3C"/>
    <w:rsid w:val="00D03FB4"/>
    <w:rsid w:val="00D059EC"/>
    <w:rsid w:val="00D10FD5"/>
    <w:rsid w:val="00D24289"/>
    <w:rsid w:val="00D302E3"/>
    <w:rsid w:val="00D35841"/>
    <w:rsid w:val="00D36632"/>
    <w:rsid w:val="00D36880"/>
    <w:rsid w:val="00D37036"/>
    <w:rsid w:val="00D37598"/>
    <w:rsid w:val="00D37A95"/>
    <w:rsid w:val="00D447D8"/>
    <w:rsid w:val="00D46999"/>
    <w:rsid w:val="00D46D12"/>
    <w:rsid w:val="00D54C20"/>
    <w:rsid w:val="00D54C9E"/>
    <w:rsid w:val="00D5532D"/>
    <w:rsid w:val="00D57804"/>
    <w:rsid w:val="00D63067"/>
    <w:rsid w:val="00D65911"/>
    <w:rsid w:val="00D66493"/>
    <w:rsid w:val="00D66C2E"/>
    <w:rsid w:val="00D70A88"/>
    <w:rsid w:val="00D7191B"/>
    <w:rsid w:val="00D75561"/>
    <w:rsid w:val="00D75D8C"/>
    <w:rsid w:val="00D801DA"/>
    <w:rsid w:val="00D83258"/>
    <w:rsid w:val="00D8437E"/>
    <w:rsid w:val="00D84E61"/>
    <w:rsid w:val="00D87266"/>
    <w:rsid w:val="00D91146"/>
    <w:rsid w:val="00D91CFD"/>
    <w:rsid w:val="00D925D6"/>
    <w:rsid w:val="00D9359E"/>
    <w:rsid w:val="00D94018"/>
    <w:rsid w:val="00D961FC"/>
    <w:rsid w:val="00D963B0"/>
    <w:rsid w:val="00DA776A"/>
    <w:rsid w:val="00DB27E1"/>
    <w:rsid w:val="00DB3461"/>
    <w:rsid w:val="00DB3F81"/>
    <w:rsid w:val="00DC1746"/>
    <w:rsid w:val="00DC2FB5"/>
    <w:rsid w:val="00DC398D"/>
    <w:rsid w:val="00DC4DDE"/>
    <w:rsid w:val="00DC54CD"/>
    <w:rsid w:val="00DC5F59"/>
    <w:rsid w:val="00DD0890"/>
    <w:rsid w:val="00DD617C"/>
    <w:rsid w:val="00DD6C4A"/>
    <w:rsid w:val="00DE00EE"/>
    <w:rsid w:val="00DE040E"/>
    <w:rsid w:val="00DE32E2"/>
    <w:rsid w:val="00DE3BE5"/>
    <w:rsid w:val="00DE4BB8"/>
    <w:rsid w:val="00DE4BDE"/>
    <w:rsid w:val="00DE59A0"/>
    <w:rsid w:val="00DE6AD9"/>
    <w:rsid w:val="00DE7BC1"/>
    <w:rsid w:val="00DF2739"/>
    <w:rsid w:val="00DF3243"/>
    <w:rsid w:val="00DF5BFC"/>
    <w:rsid w:val="00DF6D2C"/>
    <w:rsid w:val="00E02E5D"/>
    <w:rsid w:val="00E03712"/>
    <w:rsid w:val="00E045E8"/>
    <w:rsid w:val="00E04607"/>
    <w:rsid w:val="00E073B8"/>
    <w:rsid w:val="00E12097"/>
    <w:rsid w:val="00E133FC"/>
    <w:rsid w:val="00E172FF"/>
    <w:rsid w:val="00E203D3"/>
    <w:rsid w:val="00E20C50"/>
    <w:rsid w:val="00E242A5"/>
    <w:rsid w:val="00E255C9"/>
    <w:rsid w:val="00E25BF2"/>
    <w:rsid w:val="00E27255"/>
    <w:rsid w:val="00E303D1"/>
    <w:rsid w:val="00E329A5"/>
    <w:rsid w:val="00E34005"/>
    <w:rsid w:val="00E419F9"/>
    <w:rsid w:val="00E422BD"/>
    <w:rsid w:val="00E426E0"/>
    <w:rsid w:val="00E4657B"/>
    <w:rsid w:val="00E5053B"/>
    <w:rsid w:val="00E52FEF"/>
    <w:rsid w:val="00E536D7"/>
    <w:rsid w:val="00E57475"/>
    <w:rsid w:val="00E57BA7"/>
    <w:rsid w:val="00E602F8"/>
    <w:rsid w:val="00E60544"/>
    <w:rsid w:val="00E61A74"/>
    <w:rsid w:val="00E61CB9"/>
    <w:rsid w:val="00E626D1"/>
    <w:rsid w:val="00E64005"/>
    <w:rsid w:val="00E64F45"/>
    <w:rsid w:val="00E702E3"/>
    <w:rsid w:val="00E70BD9"/>
    <w:rsid w:val="00E73BC3"/>
    <w:rsid w:val="00E75D01"/>
    <w:rsid w:val="00E77CD7"/>
    <w:rsid w:val="00E82492"/>
    <w:rsid w:val="00E87569"/>
    <w:rsid w:val="00E90E18"/>
    <w:rsid w:val="00E91174"/>
    <w:rsid w:val="00E924B2"/>
    <w:rsid w:val="00E96D46"/>
    <w:rsid w:val="00E972B5"/>
    <w:rsid w:val="00EA0154"/>
    <w:rsid w:val="00EA135D"/>
    <w:rsid w:val="00EA1B27"/>
    <w:rsid w:val="00EA3B08"/>
    <w:rsid w:val="00EA4918"/>
    <w:rsid w:val="00EA5BA8"/>
    <w:rsid w:val="00EA6A8D"/>
    <w:rsid w:val="00EB2F0C"/>
    <w:rsid w:val="00EB3420"/>
    <w:rsid w:val="00EB522D"/>
    <w:rsid w:val="00EB555E"/>
    <w:rsid w:val="00EC10C4"/>
    <w:rsid w:val="00EC2932"/>
    <w:rsid w:val="00EC3381"/>
    <w:rsid w:val="00EC3492"/>
    <w:rsid w:val="00EC4D2E"/>
    <w:rsid w:val="00EC7BF4"/>
    <w:rsid w:val="00ED0862"/>
    <w:rsid w:val="00ED141F"/>
    <w:rsid w:val="00ED25C9"/>
    <w:rsid w:val="00ED30E0"/>
    <w:rsid w:val="00ED7E4C"/>
    <w:rsid w:val="00EE3476"/>
    <w:rsid w:val="00EE44FD"/>
    <w:rsid w:val="00EE75D9"/>
    <w:rsid w:val="00EE7AEF"/>
    <w:rsid w:val="00EF1A72"/>
    <w:rsid w:val="00EF4809"/>
    <w:rsid w:val="00EF5110"/>
    <w:rsid w:val="00EF5EF1"/>
    <w:rsid w:val="00EF5F9A"/>
    <w:rsid w:val="00EF60B0"/>
    <w:rsid w:val="00EF793D"/>
    <w:rsid w:val="00EF7F85"/>
    <w:rsid w:val="00F053DE"/>
    <w:rsid w:val="00F05634"/>
    <w:rsid w:val="00F058EB"/>
    <w:rsid w:val="00F05BE3"/>
    <w:rsid w:val="00F063F6"/>
    <w:rsid w:val="00F11B2F"/>
    <w:rsid w:val="00F11BD2"/>
    <w:rsid w:val="00F12684"/>
    <w:rsid w:val="00F12E25"/>
    <w:rsid w:val="00F13946"/>
    <w:rsid w:val="00F141DA"/>
    <w:rsid w:val="00F14740"/>
    <w:rsid w:val="00F14C71"/>
    <w:rsid w:val="00F1670C"/>
    <w:rsid w:val="00F20891"/>
    <w:rsid w:val="00F21C65"/>
    <w:rsid w:val="00F22895"/>
    <w:rsid w:val="00F23121"/>
    <w:rsid w:val="00F23CC3"/>
    <w:rsid w:val="00F33547"/>
    <w:rsid w:val="00F344A5"/>
    <w:rsid w:val="00F35FD4"/>
    <w:rsid w:val="00F443DF"/>
    <w:rsid w:val="00F44BDB"/>
    <w:rsid w:val="00F46B92"/>
    <w:rsid w:val="00F470F2"/>
    <w:rsid w:val="00F47292"/>
    <w:rsid w:val="00F52386"/>
    <w:rsid w:val="00F52A74"/>
    <w:rsid w:val="00F52B6E"/>
    <w:rsid w:val="00F54A35"/>
    <w:rsid w:val="00F55BA9"/>
    <w:rsid w:val="00F55D26"/>
    <w:rsid w:val="00F563B5"/>
    <w:rsid w:val="00F62D7A"/>
    <w:rsid w:val="00F633DD"/>
    <w:rsid w:val="00F7114F"/>
    <w:rsid w:val="00F72E38"/>
    <w:rsid w:val="00F73F37"/>
    <w:rsid w:val="00F75E6D"/>
    <w:rsid w:val="00F75E75"/>
    <w:rsid w:val="00F806DC"/>
    <w:rsid w:val="00F81A19"/>
    <w:rsid w:val="00F82849"/>
    <w:rsid w:val="00F838EB"/>
    <w:rsid w:val="00F847D4"/>
    <w:rsid w:val="00F8712C"/>
    <w:rsid w:val="00F8736A"/>
    <w:rsid w:val="00FA0335"/>
    <w:rsid w:val="00FA224E"/>
    <w:rsid w:val="00FA2A1A"/>
    <w:rsid w:val="00FA3D3C"/>
    <w:rsid w:val="00FA63C1"/>
    <w:rsid w:val="00FA76E8"/>
    <w:rsid w:val="00FA79C5"/>
    <w:rsid w:val="00FB0E8C"/>
    <w:rsid w:val="00FB53F5"/>
    <w:rsid w:val="00FB6240"/>
    <w:rsid w:val="00FB6919"/>
    <w:rsid w:val="00FB767B"/>
    <w:rsid w:val="00FC08F8"/>
    <w:rsid w:val="00FC1A37"/>
    <w:rsid w:val="00FC285B"/>
    <w:rsid w:val="00FC3CA5"/>
    <w:rsid w:val="00FC41AD"/>
    <w:rsid w:val="00FC4A52"/>
    <w:rsid w:val="00FC5E3A"/>
    <w:rsid w:val="00FC698B"/>
    <w:rsid w:val="00FC7251"/>
    <w:rsid w:val="00FC7648"/>
    <w:rsid w:val="00FD0F6E"/>
    <w:rsid w:val="00FD3371"/>
    <w:rsid w:val="00FD54BF"/>
    <w:rsid w:val="00FE0559"/>
    <w:rsid w:val="00FE16D8"/>
    <w:rsid w:val="00FE4ECD"/>
    <w:rsid w:val="00FE558D"/>
    <w:rsid w:val="00FE6363"/>
    <w:rsid w:val="00FE691E"/>
    <w:rsid w:val="00FE7CCA"/>
    <w:rsid w:val="00FF04A2"/>
    <w:rsid w:val="00FF4B03"/>
  </w:rsids>
  <m:mathPr>
    <m:mathFont m:val="Cambria Math"/>
    <m:brkBin m:val="before"/>
    <m:brkBinSub m:val="--"/>
    <m:smallFrac m:val="0"/>
    <m:dispDef m:val="0"/>
    <m:lMargin m:val="0"/>
    <m:rMargin m:val="0"/>
    <m:defJc m:val="centerGroup"/>
    <m:wrapRight/>
    <m:intLim m:val="subSup"/>
    <m:naryLim m:val="subSup"/>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BB7"/>
    <w:rPr>
      <w:rFonts w:ascii="Arial" w:hAnsi="Arial"/>
    </w:rPr>
  </w:style>
  <w:style w:type="paragraph" w:styleId="Heading1">
    <w:name w:val="heading 1"/>
    <w:basedOn w:val="Normal"/>
    <w:next w:val="Normal"/>
    <w:link w:val="Heading1Char"/>
    <w:qFormat/>
    <w:rsid w:val="004B377A"/>
    <w:pPr>
      <w:keepNext/>
      <w:numPr>
        <w:numId w:val="2"/>
      </w:numPr>
      <w:spacing w:before="240" w:after="60"/>
      <w:outlineLvl w:val="0"/>
    </w:pPr>
    <w:rPr>
      <w:rFonts w:eastAsia="Times New Roman" w:cs="Times New Roman"/>
      <w:b/>
      <w:kern w:val="28"/>
      <w:sz w:val="28"/>
      <w:szCs w:val="20"/>
      <w:lang w:val="es-ES_tradnl" w:eastAsia="en-US"/>
    </w:rPr>
  </w:style>
  <w:style w:type="paragraph" w:styleId="Heading2">
    <w:name w:val="heading 2"/>
    <w:basedOn w:val="Normal"/>
    <w:next w:val="Normal"/>
    <w:link w:val="Heading2Char"/>
    <w:qFormat/>
    <w:rsid w:val="004B377A"/>
    <w:pPr>
      <w:keepNext/>
      <w:numPr>
        <w:ilvl w:val="1"/>
        <w:numId w:val="2"/>
      </w:numPr>
      <w:spacing w:before="240" w:after="60"/>
      <w:outlineLvl w:val="1"/>
    </w:pPr>
    <w:rPr>
      <w:rFonts w:eastAsia="Times New Roman" w:cs="Times New Roman"/>
      <w:b/>
      <w:i/>
      <w:szCs w:val="20"/>
      <w:lang w:val="es-ES_tradnl" w:eastAsia="en-US"/>
    </w:rPr>
  </w:style>
  <w:style w:type="paragraph" w:styleId="Heading3">
    <w:name w:val="heading 3"/>
    <w:basedOn w:val="Normal"/>
    <w:next w:val="Normal"/>
    <w:link w:val="Heading3Char"/>
    <w:qFormat/>
    <w:rsid w:val="004B377A"/>
    <w:pPr>
      <w:keepNext/>
      <w:numPr>
        <w:ilvl w:val="2"/>
        <w:numId w:val="2"/>
      </w:numPr>
      <w:spacing w:before="240" w:after="60"/>
      <w:outlineLvl w:val="2"/>
    </w:pPr>
    <w:rPr>
      <w:rFonts w:eastAsia="Times New Roman" w:cs="Times New Roman"/>
      <w:szCs w:val="20"/>
      <w:lang w:val="es-ES_tradnl" w:eastAsia="en-US"/>
    </w:rPr>
  </w:style>
  <w:style w:type="paragraph" w:styleId="Heading4">
    <w:name w:val="heading 4"/>
    <w:basedOn w:val="Normal"/>
    <w:next w:val="Normal"/>
    <w:link w:val="Heading4Char"/>
    <w:qFormat/>
    <w:rsid w:val="004B377A"/>
    <w:pPr>
      <w:keepNext/>
      <w:numPr>
        <w:ilvl w:val="3"/>
        <w:numId w:val="2"/>
      </w:numPr>
      <w:spacing w:before="240" w:after="60"/>
      <w:outlineLvl w:val="3"/>
    </w:pPr>
    <w:rPr>
      <w:rFonts w:eastAsia="Times New Roman" w:cs="Times New Roman"/>
      <w:b/>
      <w:szCs w:val="20"/>
      <w:lang w:val="es-ES_tradnl" w:eastAsia="en-US"/>
    </w:rPr>
  </w:style>
  <w:style w:type="paragraph" w:styleId="Heading5">
    <w:name w:val="heading 5"/>
    <w:basedOn w:val="Normal"/>
    <w:next w:val="Normal"/>
    <w:link w:val="Heading5Char"/>
    <w:unhideWhenUsed/>
    <w:qFormat/>
    <w:rsid w:val="008D145A"/>
    <w:pPr>
      <w:keepNext/>
      <w:keepLines/>
      <w:spacing w:before="200" w:after="0"/>
      <w:outlineLvl w:val="4"/>
    </w:pPr>
    <w:rPr>
      <w:rFonts w:asciiTheme="majorHAnsi" w:eastAsiaTheme="majorEastAsia" w:hAnsiTheme="majorHAnsi" w:cstheme="majorBidi"/>
      <w:color w:val="243F60" w:themeColor="accent1" w:themeShade="7F"/>
      <w:szCs w:val="20"/>
      <w:lang w:val="en-US" w:eastAsia="en-US"/>
    </w:rPr>
  </w:style>
  <w:style w:type="paragraph" w:styleId="Heading6">
    <w:name w:val="heading 6"/>
    <w:basedOn w:val="Normal"/>
    <w:next w:val="Normal"/>
    <w:link w:val="Heading6Char"/>
    <w:unhideWhenUsed/>
    <w:qFormat/>
    <w:rsid w:val="008D145A"/>
    <w:pPr>
      <w:keepNext/>
      <w:keepLines/>
      <w:spacing w:before="200" w:after="0"/>
      <w:outlineLvl w:val="5"/>
    </w:pPr>
    <w:rPr>
      <w:rFonts w:asciiTheme="majorHAnsi" w:eastAsiaTheme="majorEastAsia" w:hAnsiTheme="majorHAnsi" w:cstheme="majorBidi"/>
      <w:i/>
      <w:iCs/>
      <w:color w:val="243F60" w:themeColor="accent1" w:themeShade="7F"/>
      <w:szCs w:val="20"/>
      <w:lang w:val="en-US" w:eastAsia="en-US"/>
    </w:rPr>
  </w:style>
  <w:style w:type="paragraph" w:styleId="Heading7">
    <w:name w:val="heading 7"/>
    <w:basedOn w:val="Normal"/>
    <w:next w:val="Normal"/>
    <w:link w:val="Heading7Char"/>
    <w:unhideWhenUsed/>
    <w:qFormat/>
    <w:rsid w:val="008D145A"/>
    <w:pPr>
      <w:keepNext/>
      <w:keepLines/>
      <w:spacing w:before="200" w:after="0"/>
      <w:outlineLvl w:val="6"/>
    </w:pPr>
    <w:rPr>
      <w:rFonts w:asciiTheme="majorHAnsi" w:eastAsiaTheme="majorEastAsia" w:hAnsiTheme="majorHAnsi" w:cstheme="majorBidi"/>
      <w:i/>
      <w:iCs/>
      <w:color w:val="404040" w:themeColor="text1" w:themeTint="BF"/>
      <w:szCs w:val="20"/>
      <w:lang w:val="en-US" w:eastAsia="en-US"/>
    </w:rPr>
  </w:style>
  <w:style w:type="paragraph" w:styleId="Heading8">
    <w:name w:val="heading 8"/>
    <w:basedOn w:val="Normal"/>
    <w:next w:val="Normal"/>
    <w:link w:val="Heading8Char"/>
    <w:unhideWhenUsed/>
    <w:qFormat/>
    <w:rsid w:val="008D145A"/>
    <w:pPr>
      <w:keepNext/>
      <w:keepLines/>
      <w:spacing w:before="200" w:after="0"/>
      <w:outlineLvl w:val="7"/>
    </w:pPr>
    <w:rPr>
      <w:rFonts w:asciiTheme="majorHAnsi" w:eastAsiaTheme="majorEastAsia" w:hAnsiTheme="majorHAnsi" w:cstheme="majorBidi"/>
      <w:color w:val="404040" w:themeColor="text1" w:themeTint="BF"/>
      <w:sz w:val="20"/>
      <w:szCs w:val="20"/>
      <w:lang w:val="en-US" w:eastAsia="en-US"/>
    </w:rPr>
  </w:style>
  <w:style w:type="paragraph" w:styleId="Heading9">
    <w:name w:val="heading 9"/>
    <w:basedOn w:val="Normal"/>
    <w:next w:val="Normal"/>
    <w:link w:val="Heading9Char"/>
    <w:unhideWhenUsed/>
    <w:qFormat/>
    <w:rsid w:val="008D145A"/>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CD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CD7"/>
    <w:rPr>
      <w:rFonts w:ascii="Lucida Grande" w:hAnsi="Lucida Grande" w:cs="Lucida Grande"/>
      <w:sz w:val="18"/>
      <w:szCs w:val="18"/>
    </w:rPr>
  </w:style>
  <w:style w:type="table" w:styleId="TableGrid">
    <w:name w:val="Table Grid"/>
    <w:basedOn w:val="TableNormal"/>
    <w:uiPriority w:val="39"/>
    <w:rsid w:val="00E77CD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1F2B"/>
    <w:pPr>
      <w:numPr>
        <w:ilvl w:val="1"/>
        <w:numId w:val="1"/>
      </w:numPr>
      <w:spacing w:after="0"/>
      <w:contextualSpacing/>
      <w:jc w:val="both"/>
    </w:pPr>
    <w:rPr>
      <w:rFonts w:cs="Arial"/>
      <w:sz w:val="22"/>
      <w:szCs w:val="22"/>
    </w:rPr>
  </w:style>
  <w:style w:type="character" w:customStyle="1" w:styleId="Heading5Char">
    <w:name w:val="Heading 5 Char"/>
    <w:basedOn w:val="DefaultParagraphFont"/>
    <w:link w:val="Heading5"/>
    <w:rsid w:val="00135845"/>
    <w:rPr>
      <w:rFonts w:asciiTheme="majorHAnsi" w:eastAsiaTheme="majorEastAsia" w:hAnsiTheme="majorHAnsi" w:cstheme="majorBidi"/>
      <w:color w:val="243F60" w:themeColor="accent1" w:themeShade="7F"/>
      <w:szCs w:val="20"/>
      <w:lang w:val="en-US" w:eastAsia="en-US"/>
    </w:rPr>
  </w:style>
  <w:style w:type="character" w:customStyle="1" w:styleId="Heading6Char">
    <w:name w:val="Heading 6 Char"/>
    <w:basedOn w:val="DefaultParagraphFont"/>
    <w:link w:val="Heading6"/>
    <w:rsid w:val="00135845"/>
    <w:rPr>
      <w:rFonts w:asciiTheme="majorHAnsi" w:eastAsiaTheme="majorEastAsia" w:hAnsiTheme="majorHAnsi" w:cstheme="majorBidi"/>
      <w:i/>
      <w:iCs/>
      <w:color w:val="243F60" w:themeColor="accent1" w:themeShade="7F"/>
      <w:szCs w:val="20"/>
      <w:lang w:val="en-US" w:eastAsia="en-US"/>
    </w:rPr>
  </w:style>
  <w:style w:type="character" w:customStyle="1" w:styleId="Heading7Char">
    <w:name w:val="Heading 7 Char"/>
    <w:basedOn w:val="DefaultParagraphFont"/>
    <w:link w:val="Heading7"/>
    <w:rsid w:val="00135845"/>
    <w:rPr>
      <w:rFonts w:asciiTheme="majorHAnsi" w:eastAsiaTheme="majorEastAsia" w:hAnsiTheme="majorHAnsi" w:cstheme="majorBidi"/>
      <w:i/>
      <w:iCs/>
      <w:color w:val="404040" w:themeColor="text1" w:themeTint="BF"/>
      <w:szCs w:val="20"/>
      <w:lang w:val="en-US" w:eastAsia="en-US"/>
    </w:rPr>
  </w:style>
  <w:style w:type="character" w:customStyle="1" w:styleId="Heading8Char">
    <w:name w:val="Heading 8 Char"/>
    <w:basedOn w:val="DefaultParagraphFont"/>
    <w:link w:val="Heading8"/>
    <w:rsid w:val="00135845"/>
    <w:rPr>
      <w:rFonts w:asciiTheme="majorHAnsi" w:eastAsiaTheme="majorEastAsia" w:hAnsiTheme="majorHAnsi" w:cstheme="majorBidi"/>
      <w:color w:val="404040" w:themeColor="text1" w:themeTint="BF"/>
      <w:sz w:val="20"/>
      <w:szCs w:val="20"/>
      <w:lang w:val="en-US" w:eastAsia="en-US"/>
    </w:rPr>
  </w:style>
  <w:style w:type="character" w:customStyle="1" w:styleId="Heading9Char">
    <w:name w:val="Heading 9 Char"/>
    <w:basedOn w:val="DefaultParagraphFont"/>
    <w:link w:val="Heading9"/>
    <w:rsid w:val="00135845"/>
    <w:rPr>
      <w:rFonts w:asciiTheme="majorHAnsi" w:eastAsiaTheme="majorEastAsia" w:hAnsiTheme="majorHAnsi" w:cstheme="majorBidi"/>
      <w:i/>
      <w:iCs/>
      <w:color w:val="404040" w:themeColor="text1" w:themeTint="BF"/>
      <w:sz w:val="20"/>
      <w:szCs w:val="20"/>
      <w:lang w:val="en-US" w:eastAsia="en-US"/>
    </w:rPr>
  </w:style>
  <w:style w:type="paragraph" w:customStyle="1" w:styleId="Chapter">
    <w:name w:val="Chapter"/>
    <w:basedOn w:val="Normal"/>
    <w:next w:val="Normal"/>
    <w:rsid w:val="008D145A"/>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n-US" w:eastAsia="en-US"/>
    </w:rPr>
  </w:style>
  <w:style w:type="paragraph" w:customStyle="1" w:styleId="FirstHeading">
    <w:name w:val="FirstHeading"/>
    <w:basedOn w:val="Normal"/>
    <w:next w:val="Normal"/>
    <w:link w:val="FirstHeadingChar"/>
    <w:rsid w:val="008D145A"/>
    <w:pPr>
      <w:keepNext/>
      <w:tabs>
        <w:tab w:val="left" w:pos="0"/>
        <w:tab w:val="left" w:pos="86"/>
      </w:tabs>
      <w:spacing w:before="120" w:after="120"/>
      <w:ind w:left="720" w:hanging="720"/>
    </w:pPr>
    <w:rPr>
      <w:rFonts w:ascii="Times New Roman" w:eastAsia="Times New Roman" w:hAnsi="Times New Roman" w:cs="Times New Roman"/>
      <w:b/>
      <w:szCs w:val="20"/>
      <w:lang w:val="en-US" w:eastAsia="en-US"/>
    </w:rPr>
  </w:style>
  <w:style w:type="paragraph" w:customStyle="1" w:styleId="Paragraph">
    <w:name w:val="Paragraph"/>
    <w:aliases w:val="paragraph,p,PARAGRAPH,PG,pa,at"/>
    <w:basedOn w:val="BodyTextIndent"/>
    <w:link w:val="ParagraphCar"/>
    <w:qFormat/>
    <w:rsid w:val="008D145A"/>
    <w:pPr>
      <w:tabs>
        <w:tab w:val="num" w:pos="720"/>
      </w:tabs>
      <w:spacing w:before="120"/>
      <w:ind w:left="720" w:hanging="720"/>
      <w:jc w:val="both"/>
      <w:outlineLvl w:val="1"/>
    </w:pPr>
    <w:rPr>
      <w:rFonts w:eastAsia="Times New Roman"/>
      <w:szCs w:val="20"/>
      <w:lang w:val="en-US" w:eastAsia="en-US"/>
    </w:rPr>
  </w:style>
  <w:style w:type="paragraph" w:customStyle="1" w:styleId="SecHeading">
    <w:name w:val="SecHeading"/>
    <w:basedOn w:val="Normal"/>
    <w:next w:val="Paragraph"/>
    <w:rsid w:val="008D145A"/>
    <w:pPr>
      <w:keepNext/>
      <w:tabs>
        <w:tab w:val="num" w:pos="1296"/>
      </w:tabs>
      <w:spacing w:before="120" w:after="120"/>
      <w:ind w:left="1296" w:hanging="576"/>
    </w:pPr>
    <w:rPr>
      <w:rFonts w:ascii="Times New Roman" w:eastAsia="Times New Roman" w:hAnsi="Times New Roman" w:cs="Times New Roman"/>
      <w:b/>
      <w:szCs w:val="20"/>
      <w:lang w:val="en-US" w:eastAsia="en-US"/>
    </w:rPr>
  </w:style>
  <w:style w:type="paragraph" w:customStyle="1" w:styleId="SubHeading1">
    <w:name w:val="SubHeading1"/>
    <w:basedOn w:val="SecHeading"/>
    <w:rsid w:val="00135845"/>
    <w:pPr>
      <w:numPr>
        <w:ilvl w:val="2"/>
      </w:numPr>
      <w:tabs>
        <w:tab w:val="num" w:pos="1296"/>
        <w:tab w:val="num" w:pos="1872"/>
      </w:tabs>
      <w:ind w:left="1872" w:hanging="576"/>
    </w:pPr>
  </w:style>
  <w:style w:type="paragraph" w:customStyle="1" w:styleId="Subheading2">
    <w:name w:val="Subheading2"/>
    <w:basedOn w:val="SecHeading"/>
    <w:rsid w:val="00135845"/>
    <w:pPr>
      <w:numPr>
        <w:ilvl w:val="3"/>
      </w:numPr>
      <w:tabs>
        <w:tab w:val="num" w:pos="1296"/>
        <w:tab w:val="num" w:pos="2376"/>
      </w:tabs>
      <w:ind w:left="2376" w:hanging="288"/>
    </w:pPr>
  </w:style>
  <w:style w:type="paragraph" w:customStyle="1" w:styleId="subpar">
    <w:name w:val="subpar"/>
    <w:basedOn w:val="BodyTextIndent3"/>
    <w:rsid w:val="008D145A"/>
    <w:pPr>
      <w:tabs>
        <w:tab w:val="num" w:pos="1152"/>
      </w:tabs>
      <w:spacing w:before="120"/>
      <w:ind w:left="1152" w:hanging="432"/>
      <w:jc w:val="both"/>
      <w:outlineLvl w:val="2"/>
    </w:pPr>
    <w:rPr>
      <w:rFonts w:eastAsia="Times New Roman"/>
      <w:szCs w:val="20"/>
      <w:lang w:val="en-US" w:eastAsia="en-US"/>
    </w:rPr>
  </w:style>
  <w:style w:type="paragraph" w:customStyle="1" w:styleId="SubSubPar">
    <w:name w:val="SubSubPar"/>
    <w:basedOn w:val="subpar"/>
    <w:rsid w:val="00135845"/>
    <w:pPr>
      <w:numPr>
        <w:ilvl w:val="3"/>
      </w:numPr>
      <w:tabs>
        <w:tab w:val="left" w:pos="0"/>
        <w:tab w:val="num" w:pos="1152"/>
        <w:tab w:val="num" w:pos="1296"/>
      </w:tabs>
      <w:ind w:left="1296" w:hanging="288"/>
    </w:pPr>
  </w:style>
  <w:style w:type="character" w:customStyle="1" w:styleId="ParagraphCar">
    <w:name w:val="Paragraph Car"/>
    <w:basedOn w:val="DefaultParagraphFont"/>
    <w:link w:val="Paragraph"/>
    <w:rsid w:val="00135845"/>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semiHidden/>
    <w:unhideWhenUsed/>
    <w:rsid w:val="00135845"/>
    <w:pPr>
      <w:spacing w:after="120"/>
      <w:ind w:left="360"/>
    </w:pPr>
    <w:rPr>
      <w:rFonts w:ascii="Times New Roman" w:hAnsi="Times New Roman" w:cs="Times New Roman"/>
    </w:rPr>
  </w:style>
  <w:style w:type="character" w:customStyle="1" w:styleId="BodyTextIndentChar">
    <w:name w:val="Body Text Indent Char"/>
    <w:basedOn w:val="DefaultParagraphFont"/>
    <w:link w:val="BodyTextIndent"/>
    <w:uiPriority w:val="99"/>
    <w:semiHidden/>
    <w:rsid w:val="00135845"/>
    <w:rPr>
      <w:rFonts w:ascii="Times New Roman" w:hAnsi="Times New Roman" w:cs="Times New Roman"/>
    </w:rPr>
  </w:style>
  <w:style w:type="paragraph" w:styleId="BodyTextIndent3">
    <w:name w:val="Body Text Indent 3"/>
    <w:basedOn w:val="Normal"/>
    <w:link w:val="BodyTextIndent3Char"/>
    <w:uiPriority w:val="99"/>
    <w:semiHidden/>
    <w:unhideWhenUsed/>
    <w:rsid w:val="00135845"/>
    <w:pPr>
      <w:spacing w:after="120"/>
      <w:ind w:left="360"/>
    </w:pPr>
    <w:rPr>
      <w:rFonts w:ascii="Times New Roman" w:hAnsi="Times New Roman" w:cs="Times New Roman"/>
      <w:szCs w:val="16"/>
    </w:rPr>
  </w:style>
  <w:style w:type="character" w:customStyle="1" w:styleId="BodyTextIndent3Char">
    <w:name w:val="Body Text Indent 3 Char"/>
    <w:basedOn w:val="DefaultParagraphFont"/>
    <w:link w:val="BodyTextIndent3"/>
    <w:uiPriority w:val="99"/>
    <w:semiHidden/>
    <w:rsid w:val="00135845"/>
    <w:rPr>
      <w:rFonts w:ascii="Times New Roman" w:hAnsi="Times New Roman" w:cs="Times New Roman"/>
      <w:szCs w:val="16"/>
    </w:r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texto de nota al pie"/>
    <w:basedOn w:val="Normal"/>
    <w:link w:val="FootnoteTextChar"/>
    <w:unhideWhenUsed/>
    <w:qFormat/>
    <w:rsid w:val="00737055"/>
    <w:pPr>
      <w:keepNext/>
      <w:keepLines/>
      <w:spacing w:after="120"/>
      <w:ind w:left="288" w:hanging="288"/>
      <w:jc w:val="both"/>
    </w:pPr>
    <w:rPr>
      <w:rFonts w:ascii="Times New Roman" w:hAnsi="Times New Roman" w:cs="Times New Roman"/>
      <w:spacing w:val="-3"/>
      <w:sz w:val="20"/>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foottextfra Char,F Char,texto de nota al pie Char"/>
    <w:basedOn w:val="DefaultParagraphFont"/>
    <w:link w:val="FootnoteText"/>
    <w:rsid w:val="00737055"/>
    <w:rPr>
      <w:rFonts w:ascii="Times New Roman" w:hAnsi="Times New Roman" w:cs="Times New Roman"/>
      <w:spacing w:val="-3"/>
      <w:sz w:val="20"/>
    </w:rPr>
  </w:style>
  <w:style w:type="character" w:styleId="FootnoteReference">
    <w:name w:val="footnote reference"/>
    <w:aliases w:val="titulo 2,Style 24,pie pddes,referencia nota al pie,Fußnotenzeichen DISS,16 Point,Superscript 6 Point,ftref,FC,Ref. de nota al pie.,Ref,de nota al pie,Ref. de nota al pie EDEP,Footnote Reference Number,Footnote Reference_LVL6,fr,SUPERS"/>
    <w:basedOn w:val="DefaultParagraphFont"/>
    <w:unhideWhenUsed/>
    <w:qFormat/>
    <w:rsid w:val="00737055"/>
    <w:rPr>
      <w:vertAlign w:val="superscript"/>
    </w:rPr>
  </w:style>
  <w:style w:type="character" w:customStyle="1" w:styleId="FootnoteTextChar1">
    <w:name w:val="Footnote Text Char1"/>
    <w:aliases w:val="fn Char,FOOTNOTES Char,single space Char,Footnote Text Char Char Char,Footnote Text Char Char1,footnote Char,Texto de rodapé Char,nota_rodapé Char,nota de rodapé Char,footnote text Char"/>
    <w:basedOn w:val="DefaultParagraphFont"/>
    <w:semiHidden/>
    <w:rsid w:val="0049258A"/>
    <w:rPr>
      <w:lang w:val="pt-BR" w:eastAsia="pt-BR" w:bidi="ar-SA"/>
    </w:rPr>
  </w:style>
  <w:style w:type="character" w:customStyle="1" w:styleId="apple-converted-space">
    <w:name w:val="apple-converted-space"/>
    <w:basedOn w:val="DefaultParagraphFont"/>
    <w:rsid w:val="008A78A1"/>
  </w:style>
  <w:style w:type="character" w:customStyle="1" w:styleId="hps">
    <w:name w:val="hps"/>
    <w:basedOn w:val="DefaultParagraphFont"/>
    <w:rsid w:val="000C004A"/>
  </w:style>
  <w:style w:type="paragraph" w:styleId="BodyText">
    <w:name w:val="Body Text"/>
    <w:basedOn w:val="Normal"/>
    <w:link w:val="BodyTextChar"/>
    <w:rsid w:val="0092762C"/>
    <w:pPr>
      <w:spacing w:after="120"/>
    </w:pPr>
    <w:rPr>
      <w:rFonts w:ascii="Verdana" w:eastAsia="Times New Roman" w:hAnsi="Verdana" w:cs="Times New Roman"/>
      <w:sz w:val="22"/>
      <w:lang w:eastAsia="pt-BR"/>
    </w:rPr>
  </w:style>
  <w:style w:type="character" w:customStyle="1" w:styleId="BodyTextChar">
    <w:name w:val="Body Text Char"/>
    <w:basedOn w:val="DefaultParagraphFont"/>
    <w:link w:val="BodyText"/>
    <w:rsid w:val="0092762C"/>
    <w:rPr>
      <w:rFonts w:ascii="Verdana" w:eastAsia="Times New Roman" w:hAnsi="Verdana" w:cs="Times New Roman"/>
      <w:sz w:val="22"/>
      <w:lang w:eastAsia="pt-BR"/>
    </w:rPr>
  </w:style>
  <w:style w:type="paragraph" w:styleId="BodyText3">
    <w:name w:val="Body Text 3"/>
    <w:basedOn w:val="Normal"/>
    <w:link w:val="BodyText3Char"/>
    <w:rsid w:val="0092762C"/>
    <w:pPr>
      <w:spacing w:after="120"/>
    </w:pPr>
    <w:rPr>
      <w:rFonts w:ascii="Verdana" w:eastAsia="Times New Roman" w:hAnsi="Verdana" w:cs="Times New Roman"/>
      <w:sz w:val="16"/>
      <w:szCs w:val="16"/>
      <w:lang w:eastAsia="pt-BR"/>
    </w:rPr>
  </w:style>
  <w:style w:type="character" w:customStyle="1" w:styleId="BodyText3Char">
    <w:name w:val="Body Text 3 Char"/>
    <w:basedOn w:val="DefaultParagraphFont"/>
    <w:link w:val="BodyText3"/>
    <w:rsid w:val="0092762C"/>
    <w:rPr>
      <w:rFonts w:ascii="Verdana" w:eastAsia="Times New Roman" w:hAnsi="Verdana" w:cs="Times New Roman"/>
      <w:sz w:val="16"/>
      <w:szCs w:val="16"/>
      <w:lang w:eastAsia="pt-BR"/>
    </w:rPr>
  </w:style>
  <w:style w:type="paragraph" w:styleId="Header">
    <w:name w:val="header"/>
    <w:basedOn w:val="Normal"/>
    <w:link w:val="HeaderChar"/>
    <w:uiPriority w:val="99"/>
    <w:unhideWhenUsed/>
    <w:rsid w:val="0092762C"/>
    <w:pPr>
      <w:tabs>
        <w:tab w:val="center" w:pos="4320"/>
        <w:tab w:val="right" w:pos="8640"/>
      </w:tabs>
      <w:spacing w:after="0"/>
    </w:pPr>
  </w:style>
  <w:style w:type="character" w:customStyle="1" w:styleId="HeaderChar">
    <w:name w:val="Header Char"/>
    <w:basedOn w:val="DefaultParagraphFont"/>
    <w:link w:val="Header"/>
    <w:uiPriority w:val="99"/>
    <w:rsid w:val="0092762C"/>
  </w:style>
  <w:style w:type="character" w:styleId="PageNumber">
    <w:name w:val="page number"/>
    <w:basedOn w:val="DefaultParagraphFont"/>
    <w:uiPriority w:val="99"/>
    <w:semiHidden/>
    <w:unhideWhenUsed/>
    <w:rsid w:val="0092762C"/>
  </w:style>
  <w:style w:type="paragraph" w:styleId="Footer">
    <w:name w:val="footer"/>
    <w:basedOn w:val="Normal"/>
    <w:link w:val="FooterChar"/>
    <w:uiPriority w:val="99"/>
    <w:unhideWhenUsed/>
    <w:rsid w:val="0092762C"/>
    <w:pPr>
      <w:tabs>
        <w:tab w:val="center" w:pos="4320"/>
        <w:tab w:val="right" w:pos="8640"/>
      </w:tabs>
      <w:spacing w:after="0"/>
    </w:pPr>
  </w:style>
  <w:style w:type="character" w:customStyle="1" w:styleId="FooterChar">
    <w:name w:val="Footer Char"/>
    <w:basedOn w:val="DefaultParagraphFont"/>
    <w:link w:val="Footer"/>
    <w:uiPriority w:val="99"/>
    <w:rsid w:val="0092762C"/>
  </w:style>
  <w:style w:type="paragraph" w:styleId="NormalWeb">
    <w:name w:val="Normal (Web)"/>
    <w:basedOn w:val="Normal"/>
    <w:uiPriority w:val="99"/>
    <w:unhideWhenUsed/>
    <w:rsid w:val="00BE438A"/>
    <w:pPr>
      <w:spacing w:before="100" w:beforeAutospacing="1" w:after="100" w:afterAutospacing="1"/>
    </w:pPr>
    <w:rPr>
      <w:rFonts w:ascii="Times" w:hAnsi="Times" w:cs="Times New Roman"/>
      <w:sz w:val="20"/>
      <w:szCs w:val="20"/>
      <w:lang w:eastAsia="en-US"/>
    </w:rPr>
  </w:style>
  <w:style w:type="paragraph" w:styleId="EndnoteText">
    <w:name w:val="endnote text"/>
    <w:basedOn w:val="Normal"/>
    <w:link w:val="EndnoteTextChar"/>
    <w:uiPriority w:val="99"/>
    <w:unhideWhenUsed/>
    <w:rsid w:val="00350F4F"/>
    <w:pPr>
      <w:spacing w:after="0"/>
    </w:pPr>
  </w:style>
  <w:style w:type="character" w:customStyle="1" w:styleId="EndnoteTextChar">
    <w:name w:val="Endnote Text Char"/>
    <w:basedOn w:val="DefaultParagraphFont"/>
    <w:link w:val="EndnoteText"/>
    <w:uiPriority w:val="99"/>
    <w:rsid w:val="00350F4F"/>
  </w:style>
  <w:style w:type="character" w:styleId="EndnoteReference">
    <w:name w:val="endnote reference"/>
    <w:basedOn w:val="DefaultParagraphFont"/>
    <w:uiPriority w:val="99"/>
    <w:unhideWhenUsed/>
    <w:rsid w:val="00350F4F"/>
    <w:rPr>
      <w:vertAlign w:val="superscript"/>
    </w:rPr>
  </w:style>
  <w:style w:type="character" w:styleId="Hyperlink">
    <w:name w:val="Hyperlink"/>
    <w:basedOn w:val="DefaultParagraphFont"/>
    <w:unhideWhenUsed/>
    <w:rsid w:val="001B1F2B"/>
    <w:rPr>
      <w:color w:val="0000FF"/>
      <w:u w:val="single"/>
    </w:rPr>
  </w:style>
  <w:style w:type="character" w:styleId="Strong">
    <w:name w:val="Strong"/>
    <w:basedOn w:val="DefaultParagraphFont"/>
    <w:uiPriority w:val="22"/>
    <w:qFormat/>
    <w:rsid w:val="00BC0A3F"/>
    <w:rPr>
      <w:b/>
      <w:bCs/>
    </w:rPr>
  </w:style>
  <w:style w:type="character" w:styleId="Emphasis">
    <w:name w:val="Emphasis"/>
    <w:basedOn w:val="DefaultParagraphFont"/>
    <w:uiPriority w:val="20"/>
    <w:qFormat/>
    <w:rsid w:val="00CF555E"/>
    <w:rPr>
      <w:i/>
      <w:iCs/>
    </w:rPr>
  </w:style>
  <w:style w:type="character" w:customStyle="1" w:styleId="Heading1Char">
    <w:name w:val="Heading 1 Char"/>
    <w:basedOn w:val="DefaultParagraphFont"/>
    <w:link w:val="Heading1"/>
    <w:rsid w:val="004B377A"/>
    <w:rPr>
      <w:rFonts w:ascii="Arial" w:eastAsia="Times New Roman" w:hAnsi="Arial" w:cs="Times New Roman"/>
      <w:b/>
      <w:kern w:val="28"/>
      <w:sz w:val="28"/>
      <w:szCs w:val="20"/>
      <w:lang w:val="es-ES_tradnl" w:eastAsia="en-US"/>
    </w:rPr>
  </w:style>
  <w:style w:type="character" w:customStyle="1" w:styleId="Heading2Char">
    <w:name w:val="Heading 2 Char"/>
    <w:basedOn w:val="DefaultParagraphFont"/>
    <w:link w:val="Heading2"/>
    <w:rsid w:val="004B377A"/>
    <w:rPr>
      <w:rFonts w:ascii="Arial" w:eastAsia="Times New Roman" w:hAnsi="Arial" w:cs="Times New Roman"/>
      <w:b/>
      <w:i/>
      <w:szCs w:val="20"/>
      <w:lang w:val="es-ES_tradnl" w:eastAsia="en-US"/>
    </w:rPr>
  </w:style>
  <w:style w:type="character" w:customStyle="1" w:styleId="Heading3Char">
    <w:name w:val="Heading 3 Char"/>
    <w:basedOn w:val="DefaultParagraphFont"/>
    <w:link w:val="Heading3"/>
    <w:rsid w:val="004B377A"/>
    <w:rPr>
      <w:rFonts w:ascii="Arial" w:eastAsia="Times New Roman" w:hAnsi="Arial" w:cs="Times New Roman"/>
      <w:szCs w:val="20"/>
      <w:lang w:val="es-ES_tradnl" w:eastAsia="en-US"/>
    </w:rPr>
  </w:style>
  <w:style w:type="character" w:customStyle="1" w:styleId="Heading4Char">
    <w:name w:val="Heading 4 Char"/>
    <w:basedOn w:val="DefaultParagraphFont"/>
    <w:link w:val="Heading4"/>
    <w:rsid w:val="004B377A"/>
    <w:rPr>
      <w:rFonts w:ascii="Arial" w:eastAsia="Times New Roman" w:hAnsi="Arial" w:cs="Times New Roman"/>
      <w:b/>
      <w:szCs w:val="20"/>
      <w:lang w:val="es-ES_tradnl" w:eastAsia="en-US"/>
    </w:rPr>
  </w:style>
  <w:style w:type="character" w:customStyle="1" w:styleId="ParagraphChar">
    <w:name w:val="Paragraph Char"/>
    <w:rsid w:val="004B377A"/>
    <w:rPr>
      <w:sz w:val="24"/>
      <w:lang w:val="es-ES_tradnl" w:eastAsia="x-none"/>
    </w:rPr>
  </w:style>
  <w:style w:type="character" w:styleId="CommentReference">
    <w:name w:val="annotation reference"/>
    <w:basedOn w:val="DefaultParagraphFont"/>
    <w:unhideWhenUsed/>
    <w:rsid w:val="00ED25C9"/>
    <w:rPr>
      <w:sz w:val="18"/>
      <w:szCs w:val="18"/>
    </w:rPr>
  </w:style>
  <w:style w:type="paragraph" w:styleId="CommentText">
    <w:name w:val="annotation text"/>
    <w:basedOn w:val="Normal"/>
    <w:link w:val="CommentTextChar"/>
    <w:unhideWhenUsed/>
    <w:rsid w:val="00ED25C9"/>
  </w:style>
  <w:style w:type="character" w:customStyle="1" w:styleId="CommentTextChar">
    <w:name w:val="Comment Text Char"/>
    <w:basedOn w:val="DefaultParagraphFont"/>
    <w:link w:val="CommentText"/>
    <w:rsid w:val="00ED25C9"/>
  </w:style>
  <w:style w:type="paragraph" w:styleId="CommentSubject">
    <w:name w:val="annotation subject"/>
    <w:basedOn w:val="CommentText"/>
    <w:next w:val="CommentText"/>
    <w:link w:val="CommentSubjectChar"/>
    <w:uiPriority w:val="99"/>
    <w:semiHidden/>
    <w:unhideWhenUsed/>
    <w:rsid w:val="00ED25C9"/>
    <w:rPr>
      <w:b/>
      <w:bCs/>
      <w:sz w:val="20"/>
      <w:szCs w:val="20"/>
    </w:rPr>
  </w:style>
  <w:style w:type="character" w:customStyle="1" w:styleId="CommentSubjectChar">
    <w:name w:val="Comment Subject Char"/>
    <w:basedOn w:val="CommentTextChar"/>
    <w:link w:val="CommentSubject"/>
    <w:uiPriority w:val="99"/>
    <w:semiHidden/>
    <w:rsid w:val="00ED25C9"/>
    <w:rPr>
      <w:b/>
      <w:bCs/>
      <w:sz w:val="20"/>
      <w:szCs w:val="20"/>
    </w:rPr>
  </w:style>
  <w:style w:type="character" w:customStyle="1" w:styleId="FirstHeadingChar">
    <w:name w:val="FirstHeading Char"/>
    <w:link w:val="FirstHeading"/>
    <w:locked/>
    <w:rsid w:val="00811066"/>
    <w:rPr>
      <w:rFonts w:ascii="Times New Roman" w:eastAsia="Times New Roman" w:hAnsi="Times New Roman" w:cs="Times New Roman"/>
      <w:b/>
      <w:szCs w:val="20"/>
      <w:lang w:val="en-US" w:eastAsia="en-US"/>
    </w:rPr>
  </w:style>
  <w:style w:type="paragraph" w:customStyle="1" w:styleId="Default">
    <w:name w:val="Default"/>
    <w:rsid w:val="003258A1"/>
    <w:pPr>
      <w:autoSpaceDE w:val="0"/>
      <w:autoSpaceDN w:val="0"/>
      <w:adjustRightInd w:val="0"/>
      <w:spacing w:after="0"/>
    </w:pPr>
    <w:rPr>
      <w:rFonts w:ascii="Tahoma" w:eastAsia="Times New Roman" w:hAnsi="Tahoma" w:cs="Tahoma"/>
      <w:color w:val="000000"/>
      <w:lang w:val="en-US" w:eastAsia="en-US"/>
    </w:rPr>
  </w:style>
  <w:style w:type="paragraph" w:customStyle="1" w:styleId="ABBR">
    <w:name w:val="ABBR"/>
    <w:basedOn w:val="Normal"/>
    <w:rsid w:val="0055217D"/>
    <w:pPr>
      <w:spacing w:after="0"/>
    </w:pPr>
    <w:rPr>
      <w:rFonts w:ascii="Times New Roman" w:eastAsia="Times New Roman" w:hAnsi="Times New Roman" w:cs="Times New Roman"/>
      <w:caps/>
      <w:szCs w:val="20"/>
      <w:lang w:val="es-ES_tradnl" w:eastAsia="en-US"/>
    </w:rPr>
  </w:style>
  <w:style w:type="paragraph" w:customStyle="1" w:styleId="AbbrDesc">
    <w:name w:val="AbbrDesc"/>
    <w:basedOn w:val="Normal"/>
    <w:rsid w:val="0055217D"/>
    <w:pPr>
      <w:tabs>
        <w:tab w:val="left" w:pos="3060"/>
      </w:tabs>
      <w:spacing w:after="0"/>
      <w:jc w:val="both"/>
    </w:pPr>
    <w:rPr>
      <w:rFonts w:ascii="Times New Roman" w:eastAsia="Times New Roman" w:hAnsi="Times New Roman" w:cs="Times New Roman"/>
      <w:szCs w:val="20"/>
      <w:lang w:val="es-ES_tradnl" w:eastAsia="en-US"/>
    </w:rPr>
  </w:style>
  <w:style w:type="paragraph" w:customStyle="1" w:styleId="Newpage">
    <w:name w:val="Newpage"/>
    <w:basedOn w:val="Normal"/>
    <w:rsid w:val="0055217D"/>
    <w:pPr>
      <w:tabs>
        <w:tab w:val="left" w:pos="3060"/>
      </w:tabs>
      <w:spacing w:after="0"/>
    </w:pPr>
    <w:rPr>
      <w:rFonts w:ascii="Times New Roman" w:eastAsia="Times New Roman" w:hAnsi="Times New Roman" w:cs="Times New Roman"/>
      <w:szCs w:val="20"/>
      <w:lang w:val="en-US" w:eastAsia="en-US"/>
    </w:rPr>
  </w:style>
  <w:style w:type="paragraph" w:customStyle="1" w:styleId="Regtable">
    <w:name w:val="Regtable"/>
    <w:basedOn w:val="Normal"/>
    <w:link w:val="RegtableChar"/>
    <w:rsid w:val="008D145A"/>
    <w:pPr>
      <w:keepLines/>
      <w:framePr w:wrap="around" w:vAnchor="text" w:hAnchor="text" w:y="1"/>
      <w:spacing w:before="20" w:after="20"/>
    </w:pPr>
    <w:rPr>
      <w:rFonts w:ascii="Times New Roman" w:hAnsi="Times New Roman" w:cs="Times New Roman"/>
      <w:sz w:val="20"/>
      <w:lang w:val="es-ES_tradnl"/>
    </w:rPr>
  </w:style>
  <w:style w:type="character" w:customStyle="1" w:styleId="RegtableChar">
    <w:name w:val="Regtable Char"/>
    <w:basedOn w:val="DefaultParagraphFont"/>
    <w:link w:val="Regtable"/>
    <w:rsid w:val="008D145A"/>
    <w:rPr>
      <w:rFonts w:ascii="Times New Roman" w:hAnsi="Times New Roman" w:cs="Times New Roman"/>
      <w:sz w:val="20"/>
      <w:lang w:val="es-ES_tradnl"/>
    </w:rPr>
  </w:style>
  <w:style w:type="paragraph" w:customStyle="1" w:styleId="TableTitle">
    <w:name w:val="TableTitle"/>
    <w:basedOn w:val="Normal"/>
    <w:link w:val="TableTitleChar"/>
    <w:rsid w:val="008D145A"/>
    <w:pPr>
      <w:keepNext/>
      <w:framePr w:wrap="around" w:vAnchor="text" w:hAnchor="text" w:y="1"/>
      <w:spacing w:before="20" w:after="20"/>
      <w:jc w:val="center"/>
    </w:pPr>
    <w:rPr>
      <w:rFonts w:ascii="Times New Roman Bold" w:hAnsi="Times New Roman Bold" w:cs="Arial"/>
      <w:b/>
      <w:spacing w:val="-3"/>
      <w:sz w:val="20"/>
      <w:lang w:val="es-ES_tradnl"/>
    </w:rPr>
  </w:style>
  <w:style w:type="character" w:customStyle="1" w:styleId="TableTitleChar">
    <w:name w:val="TableTitle Char"/>
    <w:basedOn w:val="DefaultParagraphFont"/>
    <w:link w:val="TableTitle"/>
    <w:rsid w:val="008D145A"/>
    <w:rPr>
      <w:rFonts w:ascii="Times New Roman Bold" w:hAnsi="Times New Roman Bold" w:cs="Arial"/>
      <w:b/>
      <w:spacing w:val="-3"/>
      <w:sz w:val="20"/>
      <w:lang w:val="es-ES_tradnl"/>
    </w:rPr>
  </w:style>
  <w:style w:type="paragraph" w:styleId="Caption">
    <w:name w:val="caption"/>
    <w:basedOn w:val="Normal"/>
    <w:next w:val="Normal"/>
    <w:uiPriority w:val="35"/>
    <w:unhideWhenUsed/>
    <w:qFormat/>
    <w:rsid w:val="00A45CCA"/>
    <w:rPr>
      <w:b/>
      <w:bCs/>
      <w:color w:val="4F81BD" w:themeColor="accent1"/>
      <w:sz w:val="18"/>
      <w:szCs w:val="18"/>
    </w:rPr>
  </w:style>
  <w:style w:type="paragraph" w:styleId="Revision">
    <w:name w:val="Revision"/>
    <w:hidden/>
    <w:uiPriority w:val="99"/>
    <w:semiHidden/>
    <w:rsid w:val="00EF793D"/>
    <w:pPr>
      <w:spacing w:after="0"/>
    </w:pPr>
    <w:rPr>
      <w:rFonts w:ascii="Arial" w:hAnsi="Arial"/>
    </w:rPr>
  </w:style>
  <w:style w:type="paragraph" w:styleId="TOCHeading">
    <w:name w:val="TOC Heading"/>
    <w:basedOn w:val="Heading1"/>
    <w:next w:val="Normal"/>
    <w:uiPriority w:val="39"/>
    <w:semiHidden/>
    <w:unhideWhenUsed/>
    <w:qFormat/>
    <w:rsid w:val="00392FDF"/>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TOC1">
    <w:name w:val="toc 1"/>
    <w:basedOn w:val="Normal"/>
    <w:next w:val="Normal"/>
    <w:autoRedefine/>
    <w:uiPriority w:val="39"/>
    <w:unhideWhenUsed/>
    <w:qFormat/>
    <w:rsid w:val="00392FDF"/>
    <w:pPr>
      <w:tabs>
        <w:tab w:val="right" w:leader="dot" w:pos="8741"/>
      </w:tabs>
      <w:spacing w:before="240" w:after="240"/>
      <w:ind w:left="547" w:hanging="547"/>
    </w:pPr>
    <w:rPr>
      <w:rFonts w:ascii="Times New Roman" w:hAnsi="Times New Roman" w:cs="Times New Roman"/>
      <w:smallCaps/>
    </w:rPr>
  </w:style>
  <w:style w:type="paragraph" w:styleId="TOC2">
    <w:name w:val="toc 2"/>
    <w:basedOn w:val="Normal"/>
    <w:next w:val="Normal"/>
    <w:autoRedefine/>
    <w:uiPriority w:val="39"/>
    <w:unhideWhenUsed/>
    <w:qFormat/>
    <w:rsid w:val="00392FDF"/>
    <w:pPr>
      <w:tabs>
        <w:tab w:val="left" w:pos="1152"/>
        <w:tab w:val="right" w:leader="dot" w:pos="8741"/>
      </w:tabs>
      <w:spacing w:after="0"/>
      <w:ind w:left="1166" w:hanging="605"/>
    </w:pPr>
    <w:rPr>
      <w:rFonts w:ascii="Times New Roman" w:hAnsi="Times New Roman" w:cs="Times New Roman"/>
    </w:rPr>
  </w:style>
  <w:style w:type="paragraph" w:styleId="TOC3">
    <w:name w:val="toc 3"/>
    <w:basedOn w:val="Normal"/>
    <w:next w:val="Normal"/>
    <w:autoRedefine/>
    <w:uiPriority w:val="39"/>
    <w:unhideWhenUsed/>
    <w:qFormat/>
    <w:rsid w:val="00392FDF"/>
    <w:pPr>
      <w:tabs>
        <w:tab w:val="left" w:pos="1728"/>
        <w:tab w:val="right" w:leader="dot" w:pos="8741"/>
      </w:tabs>
      <w:spacing w:after="0"/>
      <w:ind w:left="1714" w:hanging="562"/>
    </w:pPr>
    <w:rPr>
      <w:rFonts w:ascii="Times New Roman" w:hAnsi="Times New Roman" w:cs="Times New Roman"/>
    </w:rPr>
  </w:style>
  <w:style w:type="paragraph" w:styleId="TOC4">
    <w:name w:val="toc 4"/>
    <w:basedOn w:val="Normal"/>
    <w:next w:val="Normal"/>
    <w:autoRedefine/>
    <w:uiPriority w:val="39"/>
    <w:unhideWhenUsed/>
    <w:rsid w:val="00392FDF"/>
    <w:pPr>
      <w:spacing w:after="100" w:line="276" w:lineRule="auto"/>
      <w:ind w:left="660"/>
    </w:pPr>
    <w:rPr>
      <w:rFonts w:asciiTheme="minorHAnsi" w:hAnsiTheme="minorHAnsi"/>
      <w:sz w:val="22"/>
      <w:szCs w:val="22"/>
      <w:lang w:val="en-US" w:eastAsia="en-US"/>
    </w:rPr>
  </w:style>
  <w:style w:type="paragraph" w:styleId="TOC5">
    <w:name w:val="toc 5"/>
    <w:basedOn w:val="Normal"/>
    <w:next w:val="Normal"/>
    <w:autoRedefine/>
    <w:uiPriority w:val="39"/>
    <w:unhideWhenUsed/>
    <w:rsid w:val="00392FDF"/>
    <w:pPr>
      <w:spacing w:after="100" w:line="276" w:lineRule="auto"/>
      <w:ind w:left="880"/>
    </w:pPr>
    <w:rPr>
      <w:rFonts w:asciiTheme="minorHAnsi" w:hAnsiTheme="minorHAnsi"/>
      <w:sz w:val="22"/>
      <w:szCs w:val="22"/>
      <w:lang w:val="en-US" w:eastAsia="en-US"/>
    </w:rPr>
  </w:style>
  <w:style w:type="paragraph" w:styleId="TOC6">
    <w:name w:val="toc 6"/>
    <w:basedOn w:val="Normal"/>
    <w:next w:val="Normal"/>
    <w:autoRedefine/>
    <w:uiPriority w:val="39"/>
    <w:unhideWhenUsed/>
    <w:rsid w:val="00392FDF"/>
    <w:pPr>
      <w:spacing w:after="100" w:line="276" w:lineRule="auto"/>
      <w:ind w:left="1100"/>
    </w:pPr>
    <w:rPr>
      <w:rFonts w:asciiTheme="minorHAnsi" w:hAnsiTheme="minorHAnsi"/>
      <w:sz w:val="22"/>
      <w:szCs w:val="22"/>
      <w:lang w:val="en-US" w:eastAsia="en-US"/>
    </w:rPr>
  </w:style>
  <w:style w:type="paragraph" w:styleId="TOC7">
    <w:name w:val="toc 7"/>
    <w:basedOn w:val="Normal"/>
    <w:next w:val="Normal"/>
    <w:autoRedefine/>
    <w:uiPriority w:val="39"/>
    <w:unhideWhenUsed/>
    <w:rsid w:val="00392FDF"/>
    <w:pPr>
      <w:spacing w:after="100" w:line="276" w:lineRule="auto"/>
      <w:ind w:left="1320"/>
    </w:pPr>
    <w:rPr>
      <w:rFonts w:asciiTheme="minorHAnsi" w:hAnsiTheme="minorHAnsi"/>
      <w:sz w:val="22"/>
      <w:szCs w:val="22"/>
      <w:lang w:val="en-US" w:eastAsia="en-US"/>
    </w:rPr>
  </w:style>
  <w:style w:type="paragraph" w:styleId="TOC8">
    <w:name w:val="toc 8"/>
    <w:basedOn w:val="Normal"/>
    <w:next w:val="Normal"/>
    <w:autoRedefine/>
    <w:uiPriority w:val="39"/>
    <w:unhideWhenUsed/>
    <w:rsid w:val="00392FDF"/>
    <w:pPr>
      <w:spacing w:after="100" w:line="276" w:lineRule="auto"/>
      <w:ind w:left="1540"/>
    </w:pPr>
    <w:rPr>
      <w:rFonts w:asciiTheme="minorHAnsi" w:hAnsiTheme="minorHAnsi"/>
      <w:sz w:val="22"/>
      <w:szCs w:val="22"/>
      <w:lang w:val="en-US" w:eastAsia="en-US"/>
    </w:rPr>
  </w:style>
  <w:style w:type="paragraph" w:styleId="TOC9">
    <w:name w:val="toc 9"/>
    <w:basedOn w:val="Normal"/>
    <w:next w:val="Normal"/>
    <w:autoRedefine/>
    <w:uiPriority w:val="39"/>
    <w:unhideWhenUsed/>
    <w:rsid w:val="00392FDF"/>
    <w:pPr>
      <w:spacing w:after="100" w:line="276" w:lineRule="auto"/>
      <w:ind w:left="1760"/>
    </w:pPr>
    <w:rPr>
      <w:rFonts w:asciiTheme="minorHAnsi" w:hAnsiTheme="minorHAns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BB7"/>
    <w:rPr>
      <w:rFonts w:ascii="Arial" w:hAnsi="Arial"/>
    </w:rPr>
  </w:style>
  <w:style w:type="paragraph" w:styleId="Heading1">
    <w:name w:val="heading 1"/>
    <w:basedOn w:val="Normal"/>
    <w:next w:val="Normal"/>
    <w:link w:val="Heading1Char"/>
    <w:qFormat/>
    <w:rsid w:val="004B377A"/>
    <w:pPr>
      <w:keepNext/>
      <w:numPr>
        <w:numId w:val="2"/>
      </w:numPr>
      <w:spacing w:before="240" w:after="60"/>
      <w:outlineLvl w:val="0"/>
    </w:pPr>
    <w:rPr>
      <w:rFonts w:eastAsia="Times New Roman" w:cs="Times New Roman"/>
      <w:b/>
      <w:kern w:val="28"/>
      <w:sz w:val="28"/>
      <w:szCs w:val="20"/>
      <w:lang w:val="es-ES_tradnl" w:eastAsia="en-US"/>
    </w:rPr>
  </w:style>
  <w:style w:type="paragraph" w:styleId="Heading2">
    <w:name w:val="heading 2"/>
    <w:basedOn w:val="Normal"/>
    <w:next w:val="Normal"/>
    <w:link w:val="Heading2Char"/>
    <w:qFormat/>
    <w:rsid w:val="004B377A"/>
    <w:pPr>
      <w:keepNext/>
      <w:numPr>
        <w:ilvl w:val="1"/>
        <w:numId w:val="2"/>
      </w:numPr>
      <w:spacing w:before="240" w:after="60"/>
      <w:outlineLvl w:val="1"/>
    </w:pPr>
    <w:rPr>
      <w:rFonts w:eastAsia="Times New Roman" w:cs="Times New Roman"/>
      <w:b/>
      <w:i/>
      <w:szCs w:val="20"/>
      <w:lang w:val="es-ES_tradnl" w:eastAsia="en-US"/>
    </w:rPr>
  </w:style>
  <w:style w:type="paragraph" w:styleId="Heading3">
    <w:name w:val="heading 3"/>
    <w:basedOn w:val="Normal"/>
    <w:next w:val="Normal"/>
    <w:link w:val="Heading3Char"/>
    <w:qFormat/>
    <w:rsid w:val="004B377A"/>
    <w:pPr>
      <w:keepNext/>
      <w:numPr>
        <w:ilvl w:val="2"/>
        <w:numId w:val="2"/>
      </w:numPr>
      <w:spacing w:before="240" w:after="60"/>
      <w:outlineLvl w:val="2"/>
    </w:pPr>
    <w:rPr>
      <w:rFonts w:eastAsia="Times New Roman" w:cs="Times New Roman"/>
      <w:szCs w:val="20"/>
      <w:lang w:val="es-ES_tradnl" w:eastAsia="en-US"/>
    </w:rPr>
  </w:style>
  <w:style w:type="paragraph" w:styleId="Heading4">
    <w:name w:val="heading 4"/>
    <w:basedOn w:val="Normal"/>
    <w:next w:val="Normal"/>
    <w:link w:val="Heading4Char"/>
    <w:qFormat/>
    <w:rsid w:val="004B377A"/>
    <w:pPr>
      <w:keepNext/>
      <w:numPr>
        <w:ilvl w:val="3"/>
        <w:numId w:val="2"/>
      </w:numPr>
      <w:spacing w:before="240" w:after="60"/>
      <w:outlineLvl w:val="3"/>
    </w:pPr>
    <w:rPr>
      <w:rFonts w:eastAsia="Times New Roman" w:cs="Times New Roman"/>
      <w:b/>
      <w:szCs w:val="20"/>
      <w:lang w:val="es-ES_tradnl" w:eastAsia="en-US"/>
    </w:rPr>
  </w:style>
  <w:style w:type="paragraph" w:styleId="Heading5">
    <w:name w:val="heading 5"/>
    <w:basedOn w:val="Normal"/>
    <w:next w:val="Normal"/>
    <w:link w:val="Heading5Char"/>
    <w:unhideWhenUsed/>
    <w:qFormat/>
    <w:rsid w:val="008D145A"/>
    <w:pPr>
      <w:keepNext/>
      <w:keepLines/>
      <w:spacing w:before="200" w:after="0"/>
      <w:outlineLvl w:val="4"/>
    </w:pPr>
    <w:rPr>
      <w:rFonts w:asciiTheme="majorHAnsi" w:eastAsiaTheme="majorEastAsia" w:hAnsiTheme="majorHAnsi" w:cstheme="majorBidi"/>
      <w:color w:val="243F60" w:themeColor="accent1" w:themeShade="7F"/>
      <w:szCs w:val="20"/>
      <w:lang w:val="en-US" w:eastAsia="en-US"/>
    </w:rPr>
  </w:style>
  <w:style w:type="paragraph" w:styleId="Heading6">
    <w:name w:val="heading 6"/>
    <w:basedOn w:val="Normal"/>
    <w:next w:val="Normal"/>
    <w:link w:val="Heading6Char"/>
    <w:unhideWhenUsed/>
    <w:qFormat/>
    <w:rsid w:val="008D145A"/>
    <w:pPr>
      <w:keepNext/>
      <w:keepLines/>
      <w:spacing w:before="200" w:after="0"/>
      <w:outlineLvl w:val="5"/>
    </w:pPr>
    <w:rPr>
      <w:rFonts w:asciiTheme="majorHAnsi" w:eastAsiaTheme="majorEastAsia" w:hAnsiTheme="majorHAnsi" w:cstheme="majorBidi"/>
      <w:i/>
      <w:iCs/>
      <w:color w:val="243F60" w:themeColor="accent1" w:themeShade="7F"/>
      <w:szCs w:val="20"/>
      <w:lang w:val="en-US" w:eastAsia="en-US"/>
    </w:rPr>
  </w:style>
  <w:style w:type="paragraph" w:styleId="Heading7">
    <w:name w:val="heading 7"/>
    <w:basedOn w:val="Normal"/>
    <w:next w:val="Normal"/>
    <w:link w:val="Heading7Char"/>
    <w:unhideWhenUsed/>
    <w:qFormat/>
    <w:rsid w:val="008D145A"/>
    <w:pPr>
      <w:keepNext/>
      <w:keepLines/>
      <w:spacing w:before="200" w:after="0"/>
      <w:outlineLvl w:val="6"/>
    </w:pPr>
    <w:rPr>
      <w:rFonts w:asciiTheme="majorHAnsi" w:eastAsiaTheme="majorEastAsia" w:hAnsiTheme="majorHAnsi" w:cstheme="majorBidi"/>
      <w:i/>
      <w:iCs/>
      <w:color w:val="404040" w:themeColor="text1" w:themeTint="BF"/>
      <w:szCs w:val="20"/>
      <w:lang w:val="en-US" w:eastAsia="en-US"/>
    </w:rPr>
  </w:style>
  <w:style w:type="paragraph" w:styleId="Heading8">
    <w:name w:val="heading 8"/>
    <w:basedOn w:val="Normal"/>
    <w:next w:val="Normal"/>
    <w:link w:val="Heading8Char"/>
    <w:unhideWhenUsed/>
    <w:qFormat/>
    <w:rsid w:val="008D145A"/>
    <w:pPr>
      <w:keepNext/>
      <w:keepLines/>
      <w:spacing w:before="200" w:after="0"/>
      <w:outlineLvl w:val="7"/>
    </w:pPr>
    <w:rPr>
      <w:rFonts w:asciiTheme="majorHAnsi" w:eastAsiaTheme="majorEastAsia" w:hAnsiTheme="majorHAnsi" w:cstheme="majorBidi"/>
      <w:color w:val="404040" w:themeColor="text1" w:themeTint="BF"/>
      <w:sz w:val="20"/>
      <w:szCs w:val="20"/>
      <w:lang w:val="en-US" w:eastAsia="en-US"/>
    </w:rPr>
  </w:style>
  <w:style w:type="paragraph" w:styleId="Heading9">
    <w:name w:val="heading 9"/>
    <w:basedOn w:val="Normal"/>
    <w:next w:val="Normal"/>
    <w:link w:val="Heading9Char"/>
    <w:unhideWhenUsed/>
    <w:qFormat/>
    <w:rsid w:val="008D145A"/>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CD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CD7"/>
    <w:rPr>
      <w:rFonts w:ascii="Lucida Grande" w:hAnsi="Lucida Grande" w:cs="Lucida Grande"/>
      <w:sz w:val="18"/>
      <w:szCs w:val="18"/>
    </w:rPr>
  </w:style>
  <w:style w:type="table" w:styleId="TableGrid">
    <w:name w:val="Table Grid"/>
    <w:basedOn w:val="TableNormal"/>
    <w:uiPriority w:val="39"/>
    <w:rsid w:val="00E77CD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1F2B"/>
    <w:pPr>
      <w:numPr>
        <w:ilvl w:val="1"/>
        <w:numId w:val="1"/>
      </w:numPr>
      <w:spacing w:after="0"/>
      <w:contextualSpacing/>
      <w:jc w:val="both"/>
    </w:pPr>
    <w:rPr>
      <w:rFonts w:cs="Arial"/>
      <w:sz w:val="22"/>
      <w:szCs w:val="22"/>
    </w:rPr>
  </w:style>
  <w:style w:type="character" w:customStyle="1" w:styleId="Heading5Char">
    <w:name w:val="Heading 5 Char"/>
    <w:basedOn w:val="DefaultParagraphFont"/>
    <w:link w:val="Heading5"/>
    <w:rsid w:val="00135845"/>
    <w:rPr>
      <w:rFonts w:asciiTheme="majorHAnsi" w:eastAsiaTheme="majorEastAsia" w:hAnsiTheme="majorHAnsi" w:cstheme="majorBidi"/>
      <w:color w:val="243F60" w:themeColor="accent1" w:themeShade="7F"/>
      <w:szCs w:val="20"/>
      <w:lang w:val="en-US" w:eastAsia="en-US"/>
    </w:rPr>
  </w:style>
  <w:style w:type="character" w:customStyle="1" w:styleId="Heading6Char">
    <w:name w:val="Heading 6 Char"/>
    <w:basedOn w:val="DefaultParagraphFont"/>
    <w:link w:val="Heading6"/>
    <w:rsid w:val="00135845"/>
    <w:rPr>
      <w:rFonts w:asciiTheme="majorHAnsi" w:eastAsiaTheme="majorEastAsia" w:hAnsiTheme="majorHAnsi" w:cstheme="majorBidi"/>
      <w:i/>
      <w:iCs/>
      <w:color w:val="243F60" w:themeColor="accent1" w:themeShade="7F"/>
      <w:szCs w:val="20"/>
      <w:lang w:val="en-US" w:eastAsia="en-US"/>
    </w:rPr>
  </w:style>
  <w:style w:type="character" w:customStyle="1" w:styleId="Heading7Char">
    <w:name w:val="Heading 7 Char"/>
    <w:basedOn w:val="DefaultParagraphFont"/>
    <w:link w:val="Heading7"/>
    <w:rsid w:val="00135845"/>
    <w:rPr>
      <w:rFonts w:asciiTheme="majorHAnsi" w:eastAsiaTheme="majorEastAsia" w:hAnsiTheme="majorHAnsi" w:cstheme="majorBidi"/>
      <w:i/>
      <w:iCs/>
      <w:color w:val="404040" w:themeColor="text1" w:themeTint="BF"/>
      <w:szCs w:val="20"/>
      <w:lang w:val="en-US" w:eastAsia="en-US"/>
    </w:rPr>
  </w:style>
  <w:style w:type="character" w:customStyle="1" w:styleId="Heading8Char">
    <w:name w:val="Heading 8 Char"/>
    <w:basedOn w:val="DefaultParagraphFont"/>
    <w:link w:val="Heading8"/>
    <w:rsid w:val="00135845"/>
    <w:rPr>
      <w:rFonts w:asciiTheme="majorHAnsi" w:eastAsiaTheme="majorEastAsia" w:hAnsiTheme="majorHAnsi" w:cstheme="majorBidi"/>
      <w:color w:val="404040" w:themeColor="text1" w:themeTint="BF"/>
      <w:sz w:val="20"/>
      <w:szCs w:val="20"/>
      <w:lang w:val="en-US" w:eastAsia="en-US"/>
    </w:rPr>
  </w:style>
  <w:style w:type="character" w:customStyle="1" w:styleId="Heading9Char">
    <w:name w:val="Heading 9 Char"/>
    <w:basedOn w:val="DefaultParagraphFont"/>
    <w:link w:val="Heading9"/>
    <w:rsid w:val="00135845"/>
    <w:rPr>
      <w:rFonts w:asciiTheme="majorHAnsi" w:eastAsiaTheme="majorEastAsia" w:hAnsiTheme="majorHAnsi" w:cstheme="majorBidi"/>
      <w:i/>
      <w:iCs/>
      <w:color w:val="404040" w:themeColor="text1" w:themeTint="BF"/>
      <w:sz w:val="20"/>
      <w:szCs w:val="20"/>
      <w:lang w:val="en-US" w:eastAsia="en-US"/>
    </w:rPr>
  </w:style>
  <w:style w:type="paragraph" w:customStyle="1" w:styleId="Chapter">
    <w:name w:val="Chapter"/>
    <w:basedOn w:val="Normal"/>
    <w:next w:val="Normal"/>
    <w:rsid w:val="008D145A"/>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n-US" w:eastAsia="en-US"/>
    </w:rPr>
  </w:style>
  <w:style w:type="paragraph" w:customStyle="1" w:styleId="FirstHeading">
    <w:name w:val="FirstHeading"/>
    <w:basedOn w:val="Normal"/>
    <w:next w:val="Normal"/>
    <w:link w:val="FirstHeadingChar"/>
    <w:rsid w:val="008D145A"/>
    <w:pPr>
      <w:keepNext/>
      <w:tabs>
        <w:tab w:val="left" w:pos="0"/>
        <w:tab w:val="left" w:pos="86"/>
      </w:tabs>
      <w:spacing w:before="120" w:after="120"/>
      <w:ind w:left="720" w:hanging="720"/>
    </w:pPr>
    <w:rPr>
      <w:rFonts w:ascii="Times New Roman" w:eastAsia="Times New Roman" w:hAnsi="Times New Roman" w:cs="Times New Roman"/>
      <w:b/>
      <w:szCs w:val="20"/>
      <w:lang w:val="en-US" w:eastAsia="en-US"/>
    </w:rPr>
  </w:style>
  <w:style w:type="paragraph" w:customStyle="1" w:styleId="Paragraph">
    <w:name w:val="Paragraph"/>
    <w:aliases w:val="paragraph,p,PARAGRAPH,PG,pa,at"/>
    <w:basedOn w:val="BodyTextIndent"/>
    <w:link w:val="ParagraphCar"/>
    <w:qFormat/>
    <w:rsid w:val="008D145A"/>
    <w:pPr>
      <w:tabs>
        <w:tab w:val="num" w:pos="720"/>
      </w:tabs>
      <w:spacing w:before="120"/>
      <w:ind w:left="720" w:hanging="720"/>
      <w:jc w:val="both"/>
      <w:outlineLvl w:val="1"/>
    </w:pPr>
    <w:rPr>
      <w:rFonts w:eastAsia="Times New Roman"/>
      <w:szCs w:val="20"/>
      <w:lang w:val="en-US" w:eastAsia="en-US"/>
    </w:rPr>
  </w:style>
  <w:style w:type="paragraph" w:customStyle="1" w:styleId="SecHeading">
    <w:name w:val="SecHeading"/>
    <w:basedOn w:val="Normal"/>
    <w:next w:val="Paragraph"/>
    <w:rsid w:val="008D145A"/>
    <w:pPr>
      <w:keepNext/>
      <w:tabs>
        <w:tab w:val="num" w:pos="1296"/>
      </w:tabs>
      <w:spacing w:before="120" w:after="120"/>
      <w:ind w:left="1296" w:hanging="576"/>
    </w:pPr>
    <w:rPr>
      <w:rFonts w:ascii="Times New Roman" w:eastAsia="Times New Roman" w:hAnsi="Times New Roman" w:cs="Times New Roman"/>
      <w:b/>
      <w:szCs w:val="20"/>
      <w:lang w:val="en-US" w:eastAsia="en-US"/>
    </w:rPr>
  </w:style>
  <w:style w:type="paragraph" w:customStyle="1" w:styleId="SubHeading1">
    <w:name w:val="SubHeading1"/>
    <w:basedOn w:val="SecHeading"/>
    <w:rsid w:val="00135845"/>
    <w:pPr>
      <w:numPr>
        <w:ilvl w:val="2"/>
      </w:numPr>
      <w:tabs>
        <w:tab w:val="num" w:pos="1296"/>
        <w:tab w:val="num" w:pos="1872"/>
      </w:tabs>
      <w:ind w:left="1872" w:hanging="576"/>
    </w:pPr>
  </w:style>
  <w:style w:type="paragraph" w:customStyle="1" w:styleId="Subheading2">
    <w:name w:val="Subheading2"/>
    <w:basedOn w:val="SecHeading"/>
    <w:rsid w:val="00135845"/>
    <w:pPr>
      <w:numPr>
        <w:ilvl w:val="3"/>
      </w:numPr>
      <w:tabs>
        <w:tab w:val="num" w:pos="1296"/>
        <w:tab w:val="num" w:pos="2376"/>
      </w:tabs>
      <w:ind w:left="2376" w:hanging="288"/>
    </w:pPr>
  </w:style>
  <w:style w:type="paragraph" w:customStyle="1" w:styleId="subpar">
    <w:name w:val="subpar"/>
    <w:basedOn w:val="BodyTextIndent3"/>
    <w:rsid w:val="008D145A"/>
    <w:pPr>
      <w:tabs>
        <w:tab w:val="num" w:pos="1152"/>
      </w:tabs>
      <w:spacing w:before="120"/>
      <w:ind w:left="1152" w:hanging="432"/>
      <w:jc w:val="both"/>
      <w:outlineLvl w:val="2"/>
    </w:pPr>
    <w:rPr>
      <w:rFonts w:eastAsia="Times New Roman"/>
      <w:szCs w:val="20"/>
      <w:lang w:val="en-US" w:eastAsia="en-US"/>
    </w:rPr>
  </w:style>
  <w:style w:type="paragraph" w:customStyle="1" w:styleId="SubSubPar">
    <w:name w:val="SubSubPar"/>
    <w:basedOn w:val="subpar"/>
    <w:rsid w:val="00135845"/>
    <w:pPr>
      <w:numPr>
        <w:ilvl w:val="3"/>
      </w:numPr>
      <w:tabs>
        <w:tab w:val="left" w:pos="0"/>
        <w:tab w:val="num" w:pos="1152"/>
        <w:tab w:val="num" w:pos="1296"/>
      </w:tabs>
      <w:ind w:left="1296" w:hanging="288"/>
    </w:pPr>
  </w:style>
  <w:style w:type="character" w:customStyle="1" w:styleId="ParagraphCar">
    <w:name w:val="Paragraph Car"/>
    <w:basedOn w:val="DefaultParagraphFont"/>
    <w:link w:val="Paragraph"/>
    <w:rsid w:val="00135845"/>
    <w:rPr>
      <w:rFonts w:ascii="Times New Roman" w:eastAsia="Times New Roman" w:hAnsi="Times New Roman" w:cs="Times New Roman"/>
      <w:szCs w:val="20"/>
      <w:lang w:val="en-US" w:eastAsia="en-US"/>
    </w:rPr>
  </w:style>
  <w:style w:type="paragraph" w:styleId="BodyTextIndent">
    <w:name w:val="Body Text Indent"/>
    <w:basedOn w:val="Normal"/>
    <w:link w:val="BodyTextIndentChar"/>
    <w:uiPriority w:val="99"/>
    <w:semiHidden/>
    <w:unhideWhenUsed/>
    <w:rsid w:val="00135845"/>
    <w:pPr>
      <w:spacing w:after="120"/>
      <w:ind w:left="360"/>
    </w:pPr>
    <w:rPr>
      <w:rFonts w:ascii="Times New Roman" w:hAnsi="Times New Roman" w:cs="Times New Roman"/>
    </w:rPr>
  </w:style>
  <w:style w:type="character" w:customStyle="1" w:styleId="BodyTextIndentChar">
    <w:name w:val="Body Text Indent Char"/>
    <w:basedOn w:val="DefaultParagraphFont"/>
    <w:link w:val="BodyTextIndent"/>
    <w:uiPriority w:val="99"/>
    <w:semiHidden/>
    <w:rsid w:val="00135845"/>
    <w:rPr>
      <w:rFonts w:ascii="Times New Roman" w:hAnsi="Times New Roman" w:cs="Times New Roman"/>
    </w:rPr>
  </w:style>
  <w:style w:type="paragraph" w:styleId="BodyTextIndent3">
    <w:name w:val="Body Text Indent 3"/>
    <w:basedOn w:val="Normal"/>
    <w:link w:val="BodyTextIndent3Char"/>
    <w:uiPriority w:val="99"/>
    <w:semiHidden/>
    <w:unhideWhenUsed/>
    <w:rsid w:val="00135845"/>
    <w:pPr>
      <w:spacing w:after="120"/>
      <w:ind w:left="360"/>
    </w:pPr>
    <w:rPr>
      <w:rFonts w:ascii="Times New Roman" w:hAnsi="Times New Roman" w:cs="Times New Roman"/>
      <w:szCs w:val="16"/>
    </w:rPr>
  </w:style>
  <w:style w:type="character" w:customStyle="1" w:styleId="BodyTextIndent3Char">
    <w:name w:val="Body Text Indent 3 Char"/>
    <w:basedOn w:val="DefaultParagraphFont"/>
    <w:link w:val="BodyTextIndent3"/>
    <w:uiPriority w:val="99"/>
    <w:semiHidden/>
    <w:rsid w:val="00135845"/>
    <w:rPr>
      <w:rFonts w:ascii="Times New Roman" w:hAnsi="Times New Roman" w:cs="Times New Roman"/>
      <w:szCs w:val="16"/>
    </w:rPr>
  </w:style>
  <w:style w:type="paragraph" w:styleId="FootnoteText">
    <w:name w:val="footnote text"/>
    <w:aliases w:val="fn,FOOTNOTES,single space,Footnote Text Char Char,footnote,Texto de rodapé,nota_rodapé,nota de rodapé,footnote text,foottextfra,F,Footnote Text Char Char Char Char Char Char Char,Footnote Text Char Char Char Char Char,texto de nota al pie"/>
    <w:basedOn w:val="Normal"/>
    <w:link w:val="FootnoteTextChar"/>
    <w:unhideWhenUsed/>
    <w:qFormat/>
    <w:rsid w:val="00737055"/>
    <w:pPr>
      <w:keepNext/>
      <w:keepLines/>
      <w:spacing w:after="120"/>
      <w:ind w:left="288" w:hanging="288"/>
      <w:jc w:val="both"/>
    </w:pPr>
    <w:rPr>
      <w:rFonts w:ascii="Times New Roman" w:hAnsi="Times New Roman" w:cs="Times New Roman"/>
      <w:spacing w:val="-3"/>
      <w:sz w:val="20"/>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foottextfra Char,F Char,texto de nota al pie Char"/>
    <w:basedOn w:val="DefaultParagraphFont"/>
    <w:link w:val="FootnoteText"/>
    <w:rsid w:val="00737055"/>
    <w:rPr>
      <w:rFonts w:ascii="Times New Roman" w:hAnsi="Times New Roman" w:cs="Times New Roman"/>
      <w:spacing w:val="-3"/>
      <w:sz w:val="20"/>
    </w:rPr>
  </w:style>
  <w:style w:type="character" w:styleId="FootnoteReference">
    <w:name w:val="footnote reference"/>
    <w:aliases w:val="titulo 2,Style 24,pie pddes,referencia nota al pie,Fußnotenzeichen DISS,16 Point,Superscript 6 Point,ftref,FC,Ref. de nota al pie.,Ref,de nota al pie,Ref. de nota al pie EDEP,Footnote Reference Number,Footnote Reference_LVL6,fr,SUPERS"/>
    <w:basedOn w:val="DefaultParagraphFont"/>
    <w:unhideWhenUsed/>
    <w:qFormat/>
    <w:rsid w:val="00737055"/>
    <w:rPr>
      <w:vertAlign w:val="superscript"/>
    </w:rPr>
  </w:style>
  <w:style w:type="character" w:customStyle="1" w:styleId="FootnoteTextChar1">
    <w:name w:val="Footnote Text Char1"/>
    <w:aliases w:val="fn Char,FOOTNOTES Char,single space Char,Footnote Text Char Char Char,Footnote Text Char Char1,footnote Char,Texto de rodapé Char,nota_rodapé Char,nota de rodapé Char,footnote text Char"/>
    <w:basedOn w:val="DefaultParagraphFont"/>
    <w:semiHidden/>
    <w:rsid w:val="0049258A"/>
    <w:rPr>
      <w:lang w:val="pt-BR" w:eastAsia="pt-BR" w:bidi="ar-SA"/>
    </w:rPr>
  </w:style>
  <w:style w:type="character" w:customStyle="1" w:styleId="apple-converted-space">
    <w:name w:val="apple-converted-space"/>
    <w:basedOn w:val="DefaultParagraphFont"/>
    <w:rsid w:val="008A78A1"/>
  </w:style>
  <w:style w:type="character" w:customStyle="1" w:styleId="hps">
    <w:name w:val="hps"/>
    <w:basedOn w:val="DefaultParagraphFont"/>
    <w:rsid w:val="000C004A"/>
  </w:style>
  <w:style w:type="paragraph" w:styleId="BodyText">
    <w:name w:val="Body Text"/>
    <w:basedOn w:val="Normal"/>
    <w:link w:val="BodyTextChar"/>
    <w:rsid w:val="0092762C"/>
    <w:pPr>
      <w:spacing w:after="120"/>
    </w:pPr>
    <w:rPr>
      <w:rFonts w:ascii="Verdana" w:eastAsia="Times New Roman" w:hAnsi="Verdana" w:cs="Times New Roman"/>
      <w:sz w:val="22"/>
      <w:lang w:eastAsia="pt-BR"/>
    </w:rPr>
  </w:style>
  <w:style w:type="character" w:customStyle="1" w:styleId="BodyTextChar">
    <w:name w:val="Body Text Char"/>
    <w:basedOn w:val="DefaultParagraphFont"/>
    <w:link w:val="BodyText"/>
    <w:rsid w:val="0092762C"/>
    <w:rPr>
      <w:rFonts w:ascii="Verdana" w:eastAsia="Times New Roman" w:hAnsi="Verdana" w:cs="Times New Roman"/>
      <w:sz w:val="22"/>
      <w:lang w:eastAsia="pt-BR"/>
    </w:rPr>
  </w:style>
  <w:style w:type="paragraph" w:styleId="BodyText3">
    <w:name w:val="Body Text 3"/>
    <w:basedOn w:val="Normal"/>
    <w:link w:val="BodyText3Char"/>
    <w:rsid w:val="0092762C"/>
    <w:pPr>
      <w:spacing w:after="120"/>
    </w:pPr>
    <w:rPr>
      <w:rFonts w:ascii="Verdana" w:eastAsia="Times New Roman" w:hAnsi="Verdana" w:cs="Times New Roman"/>
      <w:sz w:val="16"/>
      <w:szCs w:val="16"/>
      <w:lang w:eastAsia="pt-BR"/>
    </w:rPr>
  </w:style>
  <w:style w:type="character" w:customStyle="1" w:styleId="BodyText3Char">
    <w:name w:val="Body Text 3 Char"/>
    <w:basedOn w:val="DefaultParagraphFont"/>
    <w:link w:val="BodyText3"/>
    <w:rsid w:val="0092762C"/>
    <w:rPr>
      <w:rFonts w:ascii="Verdana" w:eastAsia="Times New Roman" w:hAnsi="Verdana" w:cs="Times New Roman"/>
      <w:sz w:val="16"/>
      <w:szCs w:val="16"/>
      <w:lang w:eastAsia="pt-BR"/>
    </w:rPr>
  </w:style>
  <w:style w:type="paragraph" w:styleId="Header">
    <w:name w:val="header"/>
    <w:basedOn w:val="Normal"/>
    <w:link w:val="HeaderChar"/>
    <w:uiPriority w:val="99"/>
    <w:unhideWhenUsed/>
    <w:rsid w:val="0092762C"/>
    <w:pPr>
      <w:tabs>
        <w:tab w:val="center" w:pos="4320"/>
        <w:tab w:val="right" w:pos="8640"/>
      </w:tabs>
      <w:spacing w:after="0"/>
    </w:pPr>
  </w:style>
  <w:style w:type="character" w:customStyle="1" w:styleId="HeaderChar">
    <w:name w:val="Header Char"/>
    <w:basedOn w:val="DefaultParagraphFont"/>
    <w:link w:val="Header"/>
    <w:uiPriority w:val="99"/>
    <w:rsid w:val="0092762C"/>
  </w:style>
  <w:style w:type="character" w:styleId="PageNumber">
    <w:name w:val="page number"/>
    <w:basedOn w:val="DefaultParagraphFont"/>
    <w:uiPriority w:val="99"/>
    <w:semiHidden/>
    <w:unhideWhenUsed/>
    <w:rsid w:val="0092762C"/>
  </w:style>
  <w:style w:type="paragraph" w:styleId="Footer">
    <w:name w:val="footer"/>
    <w:basedOn w:val="Normal"/>
    <w:link w:val="FooterChar"/>
    <w:uiPriority w:val="99"/>
    <w:unhideWhenUsed/>
    <w:rsid w:val="0092762C"/>
    <w:pPr>
      <w:tabs>
        <w:tab w:val="center" w:pos="4320"/>
        <w:tab w:val="right" w:pos="8640"/>
      </w:tabs>
      <w:spacing w:after="0"/>
    </w:pPr>
  </w:style>
  <w:style w:type="character" w:customStyle="1" w:styleId="FooterChar">
    <w:name w:val="Footer Char"/>
    <w:basedOn w:val="DefaultParagraphFont"/>
    <w:link w:val="Footer"/>
    <w:uiPriority w:val="99"/>
    <w:rsid w:val="0092762C"/>
  </w:style>
  <w:style w:type="paragraph" w:styleId="NormalWeb">
    <w:name w:val="Normal (Web)"/>
    <w:basedOn w:val="Normal"/>
    <w:uiPriority w:val="99"/>
    <w:unhideWhenUsed/>
    <w:rsid w:val="00BE438A"/>
    <w:pPr>
      <w:spacing w:before="100" w:beforeAutospacing="1" w:after="100" w:afterAutospacing="1"/>
    </w:pPr>
    <w:rPr>
      <w:rFonts w:ascii="Times" w:hAnsi="Times" w:cs="Times New Roman"/>
      <w:sz w:val="20"/>
      <w:szCs w:val="20"/>
      <w:lang w:eastAsia="en-US"/>
    </w:rPr>
  </w:style>
  <w:style w:type="paragraph" w:styleId="EndnoteText">
    <w:name w:val="endnote text"/>
    <w:basedOn w:val="Normal"/>
    <w:link w:val="EndnoteTextChar"/>
    <w:uiPriority w:val="99"/>
    <w:unhideWhenUsed/>
    <w:rsid w:val="00350F4F"/>
    <w:pPr>
      <w:spacing w:after="0"/>
    </w:pPr>
  </w:style>
  <w:style w:type="character" w:customStyle="1" w:styleId="EndnoteTextChar">
    <w:name w:val="Endnote Text Char"/>
    <w:basedOn w:val="DefaultParagraphFont"/>
    <w:link w:val="EndnoteText"/>
    <w:uiPriority w:val="99"/>
    <w:rsid w:val="00350F4F"/>
  </w:style>
  <w:style w:type="character" w:styleId="EndnoteReference">
    <w:name w:val="endnote reference"/>
    <w:basedOn w:val="DefaultParagraphFont"/>
    <w:uiPriority w:val="99"/>
    <w:unhideWhenUsed/>
    <w:rsid w:val="00350F4F"/>
    <w:rPr>
      <w:vertAlign w:val="superscript"/>
    </w:rPr>
  </w:style>
  <w:style w:type="character" w:styleId="Hyperlink">
    <w:name w:val="Hyperlink"/>
    <w:basedOn w:val="DefaultParagraphFont"/>
    <w:unhideWhenUsed/>
    <w:rsid w:val="001B1F2B"/>
    <w:rPr>
      <w:color w:val="0000FF"/>
      <w:u w:val="single"/>
    </w:rPr>
  </w:style>
  <w:style w:type="character" w:styleId="Strong">
    <w:name w:val="Strong"/>
    <w:basedOn w:val="DefaultParagraphFont"/>
    <w:uiPriority w:val="22"/>
    <w:qFormat/>
    <w:rsid w:val="00BC0A3F"/>
    <w:rPr>
      <w:b/>
      <w:bCs/>
    </w:rPr>
  </w:style>
  <w:style w:type="character" w:styleId="Emphasis">
    <w:name w:val="Emphasis"/>
    <w:basedOn w:val="DefaultParagraphFont"/>
    <w:uiPriority w:val="20"/>
    <w:qFormat/>
    <w:rsid w:val="00CF555E"/>
    <w:rPr>
      <w:i/>
      <w:iCs/>
    </w:rPr>
  </w:style>
  <w:style w:type="character" w:customStyle="1" w:styleId="Heading1Char">
    <w:name w:val="Heading 1 Char"/>
    <w:basedOn w:val="DefaultParagraphFont"/>
    <w:link w:val="Heading1"/>
    <w:rsid w:val="004B377A"/>
    <w:rPr>
      <w:rFonts w:ascii="Arial" w:eastAsia="Times New Roman" w:hAnsi="Arial" w:cs="Times New Roman"/>
      <w:b/>
      <w:kern w:val="28"/>
      <w:sz w:val="28"/>
      <w:szCs w:val="20"/>
      <w:lang w:val="es-ES_tradnl" w:eastAsia="en-US"/>
    </w:rPr>
  </w:style>
  <w:style w:type="character" w:customStyle="1" w:styleId="Heading2Char">
    <w:name w:val="Heading 2 Char"/>
    <w:basedOn w:val="DefaultParagraphFont"/>
    <w:link w:val="Heading2"/>
    <w:rsid w:val="004B377A"/>
    <w:rPr>
      <w:rFonts w:ascii="Arial" w:eastAsia="Times New Roman" w:hAnsi="Arial" w:cs="Times New Roman"/>
      <w:b/>
      <w:i/>
      <w:szCs w:val="20"/>
      <w:lang w:val="es-ES_tradnl" w:eastAsia="en-US"/>
    </w:rPr>
  </w:style>
  <w:style w:type="character" w:customStyle="1" w:styleId="Heading3Char">
    <w:name w:val="Heading 3 Char"/>
    <w:basedOn w:val="DefaultParagraphFont"/>
    <w:link w:val="Heading3"/>
    <w:rsid w:val="004B377A"/>
    <w:rPr>
      <w:rFonts w:ascii="Arial" w:eastAsia="Times New Roman" w:hAnsi="Arial" w:cs="Times New Roman"/>
      <w:szCs w:val="20"/>
      <w:lang w:val="es-ES_tradnl" w:eastAsia="en-US"/>
    </w:rPr>
  </w:style>
  <w:style w:type="character" w:customStyle="1" w:styleId="Heading4Char">
    <w:name w:val="Heading 4 Char"/>
    <w:basedOn w:val="DefaultParagraphFont"/>
    <w:link w:val="Heading4"/>
    <w:rsid w:val="004B377A"/>
    <w:rPr>
      <w:rFonts w:ascii="Arial" w:eastAsia="Times New Roman" w:hAnsi="Arial" w:cs="Times New Roman"/>
      <w:b/>
      <w:szCs w:val="20"/>
      <w:lang w:val="es-ES_tradnl" w:eastAsia="en-US"/>
    </w:rPr>
  </w:style>
  <w:style w:type="character" w:customStyle="1" w:styleId="ParagraphChar">
    <w:name w:val="Paragraph Char"/>
    <w:rsid w:val="004B377A"/>
    <w:rPr>
      <w:sz w:val="24"/>
      <w:lang w:val="es-ES_tradnl" w:eastAsia="x-none"/>
    </w:rPr>
  </w:style>
  <w:style w:type="character" w:styleId="CommentReference">
    <w:name w:val="annotation reference"/>
    <w:basedOn w:val="DefaultParagraphFont"/>
    <w:unhideWhenUsed/>
    <w:rsid w:val="00ED25C9"/>
    <w:rPr>
      <w:sz w:val="18"/>
      <w:szCs w:val="18"/>
    </w:rPr>
  </w:style>
  <w:style w:type="paragraph" w:styleId="CommentText">
    <w:name w:val="annotation text"/>
    <w:basedOn w:val="Normal"/>
    <w:link w:val="CommentTextChar"/>
    <w:unhideWhenUsed/>
    <w:rsid w:val="00ED25C9"/>
  </w:style>
  <w:style w:type="character" w:customStyle="1" w:styleId="CommentTextChar">
    <w:name w:val="Comment Text Char"/>
    <w:basedOn w:val="DefaultParagraphFont"/>
    <w:link w:val="CommentText"/>
    <w:rsid w:val="00ED25C9"/>
  </w:style>
  <w:style w:type="paragraph" w:styleId="CommentSubject">
    <w:name w:val="annotation subject"/>
    <w:basedOn w:val="CommentText"/>
    <w:next w:val="CommentText"/>
    <w:link w:val="CommentSubjectChar"/>
    <w:uiPriority w:val="99"/>
    <w:semiHidden/>
    <w:unhideWhenUsed/>
    <w:rsid w:val="00ED25C9"/>
    <w:rPr>
      <w:b/>
      <w:bCs/>
      <w:sz w:val="20"/>
      <w:szCs w:val="20"/>
    </w:rPr>
  </w:style>
  <w:style w:type="character" w:customStyle="1" w:styleId="CommentSubjectChar">
    <w:name w:val="Comment Subject Char"/>
    <w:basedOn w:val="CommentTextChar"/>
    <w:link w:val="CommentSubject"/>
    <w:uiPriority w:val="99"/>
    <w:semiHidden/>
    <w:rsid w:val="00ED25C9"/>
    <w:rPr>
      <w:b/>
      <w:bCs/>
      <w:sz w:val="20"/>
      <w:szCs w:val="20"/>
    </w:rPr>
  </w:style>
  <w:style w:type="character" w:customStyle="1" w:styleId="FirstHeadingChar">
    <w:name w:val="FirstHeading Char"/>
    <w:link w:val="FirstHeading"/>
    <w:locked/>
    <w:rsid w:val="00811066"/>
    <w:rPr>
      <w:rFonts w:ascii="Times New Roman" w:eastAsia="Times New Roman" w:hAnsi="Times New Roman" w:cs="Times New Roman"/>
      <w:b/>
      <w:szCs w:val="20"/>
      <w:lang w:val="en-US" w:eastAsia="en-US"/>
    </w:rPr>
  </w:style>
  <w:style w:type="paragraph" w:customStyle="1" w:styleId="Default">
    <w:name w:val="Default"/>
    <w:rsid w:val="003258A1"/>
    <w:pPr>
      <w:autoSpaceDE w:val="0"/>
      <w:autoSpaceDN w:val="0"/>
      <w:adjustRightInd w:val="0"/>
      <w:spacing w:after="0"/>
    </w:pPr>
    <w:rPr>
      <w:rFonts w:ascii="Tahoma" w:eastAsia="Times New Roman" w:hAnsi="Tahoma" w:cs="Tahoma"/>
      <w:color w:val="000000"/>
      <w:lang w:val="en-US" w:eastAsia="en-US"/>
    </w:rPr>
  </w:style>
  <w:style w:type="paragraph" w:customStyle="1" w:styleId="ABBR">
    <w:name w:val="ABBR"/>
    <w:basedOn w:val="Normal"/>
    <w:rsid w:val="0055217D"/>
    <w:pPr>
      <w:spacing w:after="0"/>
    </w:pPr>
    <w:rPr>
      <w:rFonts w:ascii="Times New Roman" w:eastAsia="Times New Roman" w:hAnsi="Times New Roman" w:cs="Times New Roman"/>
      <w:caps/>
      <w:szCs w:val="20"/>
      <w:lang w:val="es-ES_tradnl" w:eastAsia="en-US"/>
    </w:rPr>
  </w:style>
  <w:style w:type="paragraph" w:customStyle="1" w:styleId="AbbrDesc">
    <w:name w:val="AbbrDesc"/>
    <w:basedOn w:val="Normal"/>
    <w:rsid w:val="0055217D"/>
    <w:pPr>
      <w:tabs>
        <w:tab w:val="left" w:pos="3060"/>
      </w:tabs>
      <w:spacing w:after="0"/>
      <w:jc w:val="both"/>
    </w:pPr>
    <w:rPr>
      <w:rFonts w:ascii="Times New Roman" w:eastAsia="Times New Roman" w:hAnsi="Times New Roman" w:cs="Times New Roman"/>
      <w:szCs w:val="20"/>
      <w:lang w:val="es-ES_tradnl" w:eastAsia="en-US"/>
    </w:rPr>
  </w:style>
  <w:style w:type="paragraph" w:customStyle="1" w:styleId="Newpage">
    <w:name w:val="Newpage"/>
    <w:basedOn w:val="Normal"/>
    <w:rsid w:val="0055217D"/>
    <w:pPr>
      <w:tabs>
        <w:tab w:val="left" w:pos="3060"/>
      </w:tabs>
      <w:spacing w:after="0"/>
    </w:pPr>
    <w:rPr>
      <w:rFonts w:ascii="Times New Roman" w:eastAsia="Times New Roman" w:hAnsi="Times New Roman" w:cs="Times New Roman"/>
      <w:szCs w:val="20"/>
      <w:lang w:val="en-US" w:eastAsia="en-US"/>
    </w:rPr>
  </w:style>
  <w:style w:type="paragraph" w:customStyle="1" w:styleId="Regtable">
    <w:name w:val="Regtable"/>
    <w:basedOn w:val="Normal"/>
    <w:link w:val="RegtableChar"/>
    <w:rsid w:val="008D145A"/>
    <w:pPr>
      <w:keepLines/>
      <w:framePr w:wrap="around" w:vAnchor="text" w:hAnchor="text" w:y="1"/>
      <w:spacing w:before="20" w:after="20"/>
    </w:pPr>
    <w:rPr>
      <w:rFonts w:ascii="Times New Roman" w:hAnsi="Times New Roman" w:cs="Times New Roman"/>
      <w:sz w:val="20"/>
      <w:lang w:val="es-ES_tradnl"/>
    </w:rPr>
  </w:style>
  <w:style w:type="character" w:customStyle="1" w:styleId="RegtableChar">
    <w:name w:val="Regtable Char"/>
    <w:basedOn w:val="DefaultParagraphFont"/>
    <w:link w:val="Regtable"/>
    <w:rsid w:val="008D145A"/>
    <w:rPr>
      <w:rFonts w:ascii="Times New Roman" w:hAnsi="Times New Roman" w:cs="Times New Roman"/>
      <w:sz w:val="20"/>
      <w:lang w:val="es-ES_tradnl"/>
    </w:rPr>
  </w:style>
  <w:style w:type="paragraph" w:customStyle="1" w:styleId="TableTitle">
    <w:name w:val="TableTitle"/>
    <w:basedOn w:val="Normal"/>
    <w:link w:val="TableTitleChar"/>
    <w:rsid w:val="008D145A"/>
    <w:pPr>
      <w:keepNext/>
      <w:framePr w:wrap="around" w:vAnchor="text" w:hAnchor="text" w:y="1"/>
      <w:spacing w:before="20" w:after="20"/>
      <w:jc w:val="center"/>
    </w:pPr>
    <w:rPr>
      <w:rFonts w:ascii="Times New Roman Bold" w:hAnsi="Times New Roman Bold" w:cs="Arial"/>
      <w:b/>
      <w:spacing w:val="-3"/>
      <w:sz w:val="20"/>
      <w:lang w:val="es-ES_tradnl"/>
    </w:rPr>
  </w:style>
  <w:style w:type="character" w:customStyle="1" w:styleId="TableTitleChar">
    <w:name w:val="TableTitle Char"/>
    <w:basedOn w:val="DefaultParagraphFont"/>
    <w:link w:val="TableTitle"/>
    <w:rsid w:val="008D145A"/>
    <w:rPr>
      <w:rFonts w:ascii="Times New Roman Bold" w:hAnsi="Times New Roman Bold" w:cs="Arial"/>
      <w:b/>
      <w:spacing w:val="-3"/>
      <w:sz w:val="20"/>
      <w:lang w:val="es-ES_tradnl"/>
    </w:rPr>
  </w:style>
  <w:style w:type="paragraph" w:styleId="Caption">
    <w:name w:val="caption"/>
    <w:basedOn w:val="Normal"/>
    <w:next w:val="Normal"/>
    <w:uiPriority w:val="35"/>
    <w:unhideWhenUsed/>
    <w:qFormat/>
    <w:rsid w:val="00A45CCA"/>
    <w:rPr>
      <w:b/>
      <w:bCs/>
      <w:color w:val="4F81BD" w:themeColor="accent1"/>
      <w:sz w:val="18"/>
      <w:szCs w:val="18"/>
    </w:rPr>
  </w:style>
  <w:style w:type="paragraph" w:styleId="Revision">
    <w:name w:val="Revision"/>
    <w:hidden/>
    <w:uiPriority w:val="99"/>
    <w:semiHidden/>
    <w:rsid w:val="00EF793D"/>
    <w:pPr>
      <w:spacing w:after="0"/>
    </w:pPr>
    <w:rPr>
      <w:rFonts w:ascii="Arial" w:hAnsi="Arial"/>
    </w:rPr>
  </w:style>
  <w:style w:type="paragraph" w:styleId="TOCHeading">
    <w:name w:val="TOC Heading"/>
    <w:basedOn w:val="Heading1"/>
    <w:next w:val="Normal"/>
    <w:uiPriority w:val="39"/>
    <w:semiHidden/>
    <w:unhideWhenUsed/>
    <w:qFormat/>
    <w:rsid w:val="00392FDF"/>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TOC1">
    <w:name w:val="toc 1"/>
    <w:basedOn w:val="Normal"/>
    <w:next w:val="Normal"/>
    <w:autoRedefine/>
    <w:uiPriority w:val="39"/>
    <w:unhideWhenUsed/>
    <w:qFormat/>
    <w:rsid w:val="00392FDF"/>
    <w:pPr>
      <w:tabs>
        <w:tab w:val="right" w:leader="dot" w:pos="8741"/>
      </w:tabs>
      <w:spacing w:before="240" w:after="240"/>
      <w:ind w:left="547" w:hanging="547"/>
    </w:pPr>
    <w:rPr>
      <w:rFonts w:ascii="Times New Roman" w:hAnsi="Times New Roman" w:cs="Times New Roman"/>
      <w:smallCaps/>
    </w:rPr>
  </w:style>
  <w:style w:type="paragraph" w:styleId="TOC2">
    <w:name w:val="toc 2"/>
    <w:basedOn w:val="Normal"/>
    <w:next w:val="Normal"/>
    <w:autoRedefine/>
    <w:uiPriority w:val="39"/>
    <w:unhideWhenUsed/>
    <w:qFormat/>
    <w:rsid w:val="00392FDF"/>
    <w:pPr>
      <w:tabs>
        <w:tab w:val="left" w:pos="1152"/>
        <w:tab w:val="right" w:leader="dot" w:pos="8741"/>
      </w:tabs>
      <w:spacing w:after="0"/>
      <w:ind w:left="1166" w:hanging="605"/>
    </w:pPr>
    <w:rPr>
      <w:rFonts w:ascii="Times New Roman" w:hAnsi="Times New Roman" w:cs="Times New Roman"/>
    </w:rPr>
  </w:style>
  <w:style w:type="paragraph" w:styleId="TOC3">
    <w:name w:val="toc 3"/>
    <w:basedOn w:val="Normal"/>
    <w:next w:val="Normal"/>
    <w:autoRedefine/>
    <w:uiPriority w:val="39"/>
    <w:unhideWhenUsed/>
    <w:qFormat/>
    <w:rsid w:val="00392FDF"/>
    <w:pPr>
      <w:tabs>
        <w:tab w:val="left" w:pos="1728"/>
        <w:tab w:val="right" w:leader="dot" w:pos="8741"/>
      </w:tabs>
      <w:spacing w:after="0"/>
      <w:ind w:left="1714" w:hanging="562"/>
    </w:pPr>
    <w:rPr>
      <w:rFonts w:ascii="Times New Roman" w:hAnsi="Times New Roman" w:cs="Times New Roman"/>
    </w:rPr>
  </w:style>
  <w:style w:type="paragraph" w:styleId="TOC4">
    <w:name w:val="toc 4"/>
    <w:basedOn w:val="Normal"/>
    <w:next w:val="Normal"/>
    <w:autoRedefine/>
    <w:uiPriority w:val="39"/>
    <w:unhideWhenUsed/>
    <w:rsid w:val="00392FDF"/>
    <w:pPr>
      <w:spacing w:after="100" w:line="276" w:lineRule="auto"/>
      <w:ind w:left="660"/>
    </w:pPr>
    <w:rPr>
      <w:rFonts w:asciiTheme="minorHAnsi" w:hAnsiTheme="minorHAnsi"/>
      <w:sz w:val="22"/>
      <w:szCs w:val="22"/>
      <w:lang w:val="en-US" w:eastAsia="en-US"/>
    </w:rPr>
  </w:style>
  <w:style w:type="paragraph" w:styleId="TOC5">
    <w:name w:val="toc 5"/>
    <w:basedOn w:val="Normal"/>
    <w:next w:val="Normal"/>
    <w:autoRedefine/>
    <w:uiPriority w:val="39"/>
    <w:unhideWhenUsed/>
    <w:rsid w:val="00392FDF"/>
    <w:pPr>
      <w:spacing w:after="100" w:line="276" w:lineRule="auto"/>
      <w:ind w:left="880"/>
    </w:pPr>
    <w:rPr>
      <w:rFonts w:asciiTheme="minorHAnsi" w:hAnsiTheme="minorHAnsi"/>
      <w:sz w:val="22"/>
      <w:szCs w:val="22"/>
      <w:lang w:val="en-US" w:eastAsia="en-US"/>
    </w:rPr>
  </w:style>
  <w:style w:type="paragraph" w:styleId="TOC6">
    <w:name w:val="toc 6"/>
    <w:basedOn w:val="Normal"/>
    <w:next w:val="Normal"/>
    <w:autoRedefine/>
    <w:uiPriority w:val="39"/>
    <w:unhideWhenUsed/>
    <w:rsid w:val="00392FDF"/>
    <w:pPr>
      <w:spacing w:after="100" w:line="276" w:lineRule="auto"/>
      <w:ind w:left="1100"/>
    </w:pPr>
    <w:rPr>
      <w:rFonts w:asciiTheme="minorHAnsi" w:hAnsiTheme="minorHAnsi"/>
      <w:sz w:val="22"/>
      <w:szCs w:val="22"/>
      <w:lang w:val="en-US" w:eastAsia="en-US"/>
    </w:rPr>
  </w:style>
  <w:style w:type="paragraph" w:styleId="TOC7">
    <w:name w:val="toc 7"/>
    <w:basedOn w:val="Normal"/>
    <w:next w:val="Normal"/>
    <w:autoRedefine/>
    <w:uiPriority w:val="39"/>
    <w:unhideWhenUsed/>
    <w:rsid w:val="00392FDF"/>
    <w:pPr>
      <w:spacing w:after="100" w:line="276" w:lineRule="auto"/>
      <w:ind w:left="1320"/>
    </w:pPr>
    <w:rPr>
      <w:rFonts w:asciiTheme="minorHAnsi" w:hAnsiTheme="minorHAnsi"/>
      <w:sz w:val="22"/>
      <w:szCs w:val="22"/>
      <w:lang w:val="en-US" w:eastAsia="en-US"/>
    </w:rPr>
  </w:style>
  <w:style w:type="paragraph" w:styleId="TOC8">
    <w:name w:val="toc 8"/>
    <w:basedOn w:val="Normal"/>
    <w:next w:val="Normal"/>
    <w:autoRedefine/>
    <w:uiPriority w:val="39"/>
    <w:unhideWhenUsed/>
    <w:rsid w:val="00392FDF"/>
    <w:pPr>
      <w:spacing w:after="100" w:line="276" w:lineRule="auto"/>
      <w:ind w:left="1540"/>
    </w:pPr>
    <w:rPr>
      <w:rFonts w:asciiTheme="minorHAnsi" w:hAnsiTheme="minorHAnsi"/>
      <w:sz w:val="22"/>
      <w:szCs w:val="22"/>
      <w:lang w:val="en-US" w:eastAsia="en-US"/>
    </w:rPr>
  </w:style>
  <w:style w:type="paragraph" w:styleId="TOC9">
    <w:name w:val="toc 9"/>
    <w:basedOn w:val="Normal"/>
    <w:next w:val="Normal"/>
    <w:autoRedefine/>
    <w:uiPriority w:val="39"/>
    <w:unhideWhenUsed/>
    <w:rsid w:val="00392FDF"/>
    <w:pPr>
      <w:spacing w:after="100" w:line="276" w:lineRule="auto"/>
      <w:ind w:left="1760"/>
    </w:pPr>
    <w:rPr>
      <w:rFonts w:asciiTheme="minorHAnsi" w:hAnsiTheme="minorHAns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8872">
      <w:bodyDiv w:val="1"/>
      <w:marLeft w:val="0"/>
      <w:marRight w:val="0"/>
      <w:marTop w:val="0"/>
      <w:marBottom w:val="0"/>
      <w:divBdr>
        <w:top w:val="none" w:sz="0" w:space="0" w:color="auto"/>
        <w:left w:val="none" w:sz="0" w:space="0" w:color="auto"/>
        <w:bottom w:val="none" w:sz="0" w:space="0" w:color="auto"/>
        <w:right w:val="none" w:sz="0" w:space="0" w:color="auto"/>
      </w:divBdr>
    </w:div>
    <w:div w:id="72704226">
      <w:bodyDiv w:val="1"/>
      <w:marLeft w:val="0"/>
      <w:marRight w:val="0"/>
      <w:marTop w:val="0"/>
      <w:marBottom w:val="0"/>
      <w:divBdr>
        <w:top w:val="none" w:sz="0" w:space="0" w:color="auto"/>
        <w:left w:val="none" w:sz="0" w:space="0" w:color="auto"/>
        <w:bottom w:val="none" w:sz="0" w:space="0" w:color="auto"/>
        <w:right w:val="none" w:sz="0" w:space="0" w:color="auto"/>
      </w:divBdr>
    </w:div>
    <w:div w:id="250743117">
      <w:bodyDiv w:val="1"/>
      <w:marLeft w:val="0"/>
      <w:marRight w:val="0"/>
      <w:marTop w:val="0"/>
      <w:marBottom w:val="0"/>
      <w:divBdr>
        <w:top w:val="none" w:sz="0" w:space="0" w:color="auto"/>
        <w:left w:val="none" w:sz="0" w:space="0" w:color="auto"/>
        <w:bottom w:val="none" w:sz="0" w:space="0" w:color="auto"/>
        <w:right w:val="none" w:sz="0" w:space="0" w:color="auto"/>
      </w:divBdr>
    </w:div>
    <w:div w:id="328292038">
      <w:bodyDiv w:val="1"/>
      <w:marLeft w:val="0"/>
      <w:marRight w:val="0"/>
      <w:marTop w:val="0"/>
      <w:marBottom w:val="0"/>
      <w:divBdr>
        <w:top w:val="none" w:sz="0" w:space="0" w:color="auto"/>
        <w:left w:val="none" w:sz="0" w:space="0" w:color="auto"/>
        <w:bottom w:val="none" w:sz="0" w:space="0" w:color="auto"/>
        <w:right w:val="none" w:sz="0" w:space="0" w:color="auto"/>
      </w:divBdr>
    </w:div>
    <w:div w:id="561646725">
      <w:bodyDiv w:val="1"/>
      <w:marLeft w:val="0"/>
      <w:marRight w:val="0"/>
      <w:marTop w:val="0"/>
      <w:marBottom w:val="0"/>
      <w:divBdr>
        <w:top w:val="none" w:sz="0" w:space="0" w:color="auto"/>
        <w:left w:val="none" w:sz="0" w:space="0" w:color="auto"/>
        <w:bottom w:val="none" w:sz="0" w:space="0" w:color="auto"/>
        <w:right w:val="none" w:sz="0" w:space="0" w:color="auto"/>
      </w:divBdr>
    </w:div>
    <w:div w:id="612443122">
      <w:bodyDiv w:val="1"/>
      <w:marLeft w:val="0"/>
      <w:marRight w:val="0"/>
      <w:marTop w:val="0"/>
      <w:marBottom w:val="0"/>
      <w:divBdr>
        <w:top w:val="none" w:sz="0" w:space="0" w:color="auto"/>
        <w:left w:val="none" w:sz="0" w:space="0" w:color="auto"/>
        <w:bottom w:val="none" w:sz="0" w:space="0" w:color="auto"/>
        <w:right w:val="none" w:sz="0" w:space="0" w:color="auto"/>
      </w:divBdr>
    </w:div>
    <w:div w:id="617183620">
      <w:bodyDiv w:val="1"/>
      <w:marLeft w:val="0"/>
      <w:marRight w:val="0"/>
      <w:marTop w:val="0"/>
      <w:marBottom w:val="0"/>
      <w:divBdr>
        <w:top w:val="none" w:sz="0" w:space="0" w:color="auto"/>
        <w:left w:val="none" w:sz="0" w:space="0" w:color="auto"/>
        <w:bottom w:val="none" w:sz="0" w:space="0" w:color="auto"/>
        <w:right w:val="none" w:sz="0" w:space="0" w:color="auto"/>
      </w:divBdr>
    </w:div>
    <w:div w:id="617370227">
      <w:bodyDiv w:val="1"/>
      <w:marLeft w:val="0"/>
      <w:marRight w:val="0"/>
      <w:marTop w:val="0"/>
      <w:marBottom w:val="0"/>
      <w:divBdr>
        <w:top w:val="none" w:sz="0" w:space="0" w:color="auto"/>
        <w:left w:val="none" w:sz="0" w:space="0" w:color="auto"/>
        <w:bottom w:val="none" w:sz="0" w:space="0" w:color="auto"/>
        <w:right w:val="none" w:sz="0" w:space="0" w:color="auto"/>
      </w:divBdr>
    </w:div>
    <w:div w:id="634604603">
      <w:bodyDiv w:val="1"/>
      <w:marLeft w:val="0"/>
      <w:marRight w:val="0"/>
      <w:marTop w:val="0"/>
      <w:marBottom w:val="0"/>
      <w:divBdr>
        <w:top w:val="none" w:sz="0" w:space="0" w:color="auto"/>
        <w:left w:val="none" w:sz="0" w:space="0" w:color="auto"/>
        <w:bottom w:val="none" w:sz="0" w:space="0" w:color="auto"/>
        <w:right w:val="none" w:sz="0" w:space="0" w:color="auto"/>
      </w:divBdr>
    </w:div>
    <w:div w:id="640354002">
      <w:bodyDiv w:val="1"/>
      <w:marLeft w:val="0"/>
      <w:marRight w:val="0"/>
      <w:marTop w:val="0"/>
      <w:marBottom w:val="0"/>
      <w:divBdr>
        <w:top w:val="none" w:sz="0" w:space="0" w:color="auto"/>
        <w:left w:val="none" w:sz="0" w:space="0" w:color="auto"/>
        <w:bottom w:val="none" w:sz="0" w:space="0" w:color="auto"/>
        <w:right w:val="none" w:sz="0" w:space="0" w:color="auto"/>
      </w:divBdr>
    </w:div>
    <w:div w:id="737636457">
      <w:bodyDiv w:val="1"/>
      <w:marLeft w:val="0"/>
      <w:marRight w:val="0"/>
      <w:marTop w:val="0"/>
      <w:marBottom w:val="0"/>
      <w:divBdr>
        <w:top w:val="none" w:sz="0" w:space="0" w:color="auto"/>
        <w:left w:val="none" w:sz="0" w:space="0" w:color="auto"/>
        <w:bottom w:val="none" w:sz="0" w:space="0" w:color="auto"/>
        <w:right w:val="none" w:sz="0" w:space="0" w:color="auto"/>
      </w:divBdr>
    </w:div>
    <w:div w:id="771097615">
      <w:bodyDiv w:val="1"/>
      <w:marLeft w:val="0"/>
      <w:marRight w:val="0"/>
      <w:marTop w:val="0"/>
      <w:marBottom w:val="0"/>
      <w:divBdr>
        <w:top w:val="none" w:sz="0" w:space="0" w:color="auto"/>
        <w:left w:val="none" w:sz="0" w:space="0" w:color="auto"/>
        <w:bottom w:val="none" w:sz="0" w:space="0" w:color="auto"/>
        <w:right w:val="none" w:sz="0" w:space="0" w:color="auto"/>
      </w:divBdr>
    </w:div>
    <w:div w:id="955792073">
      <w:bodyDiv w:val="1"/>
      <w:marLeft w:val="0"/>
      <w:marRight w:val="0"/>
      <w:marTop w:val="0"/>
      <w:marBottom w:val="0"/>
      <w:divBdr>
        <w:top w:val="none" w:sz="0" w:space="0" w:color="auto"/>
        <w:left w:val="none" w:sz="0" w:space="0" w:color="auto"/>
        <w:bottom w:val="none" w:sz="0" w:space="0" w:color="auto"/>
        <w:right w:val="none" w:sz="0" w:space="0" w:color="auto"/>
      </w:divBdr>
      <w:divsChild>
        <w:div w:id="871267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69339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521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7428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4866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57376584">
      <w:bodyDiv w:val="1"/>
      <w:marLeft w:val="0"/>
      <w:marRight w:val="0"/>
      <w:marTop w:val="0"/>
      <w:marBottom w:val="0"/>
      <w:divBdr>
        <w:top w:val="none" w:sz="0" w:space="0" w:color="auto"/>
        <w:left w:val="none" w:sz="0" w:space="0" w:color="auto"/>
        <w:bottom w:val="none" w:sz="0" w:space="0" w:color="auto"/>
        <w:right w:val="none" w:sz="0" w:space="0" w:color="auto"/>
      </w:divBdr>
    </w:div>
    <w:div w:id="1036854693">
      <w:bodyDiv w:val="1"/>
      <w:marLeft w:val="0"/>
      <w:marRight w:val="0"/>
      <w:marTop w:val="0"/>
      <w:marBottom w:val="0"/>
      <w:divBdr>
        <w:top w:val="none" w:sz="0" w:space="0" w:color="auto"/>
        <w:left w:val="none" w:sz="0" w:space="0" w:color="auto"/>
        <w:bottom w:val="none" w:sz="0" w:space="0" w:color="auto"/>
        <w:right w:val="none" w:sz="0" w:space="0" w:color="auto"/>
      </w:divBdr>
    </w:div>
    <w:div w:id="1068839720">
      <w:bodyDiv w:val="1"/>
      <w:marLeft w:val="0"/>
      <w:marRight w:val="0"/>
      <w:marTop w:val="0"/>
      <w:marBottom w:val="0"/>
      <w:divBdr>
        <w:top w:val="none" w:sz="0" w:space="0" w:color="auto"/>
        <w:left w:val="none" w:sz="0" w:space="0" w:color="auto"/>
        <w:bottom w:val="none" w:sz="0" w:space="0" w:color="auto"/>
        <w:right w:val="none" w:sz="0" w:space="0" w:color="auto"/>
      </w:divBdr>
    </w:div>
    <w:div w:id="1145782782">
      <w:bodyDiv w:val="1"/>
      <w:marLeft w:val="0"/>
      <w:marRight w:val="0"/>
      <w:marTop w:val="0"/>
      <w:marBottom w:val="0"/>
      <w:divBdr>
        <w:top w:val="none" w:sz="0" w:space="0" w:color="auto"/>
        <w:left w:val="none" w:sz="0" w:space="0" w:color="auto"/>
        <w:bottom w:val="none" w:sz="0" w:space="0" w:color="auto"/>
        <w:right w:val="none" w:sz="0" w:space="0" w:color="auto"/>
      </w:divBdr>
    </w:div>
    <w:div w:id="1197743434">
      <w:bodyDiv w:val="1"/>
      <w:marLeft w:val="0"/>
      <w:marRight w:val="0"/>
      <w:marTop w:val="0"/>
      <w:marBottom w:val="0"/>
      <w:divBdr>
        <w:top w:val="none" w:sz="0" w:space="0" w:color="auto"/>
        <w:left w:val="none" w:sz="0" w:space="0" w:color="auto"/>
        <w:bottom w:val="none" w:sz="0" w:space="0" w:color="auto"/>
        <w:right w:val="none" w:sz="0" w:space="0" w:color="auto"/>
      </w:divBdr>
    </w:div>
    <w:div w:id="1231619163">
      <w:bodyDiv w:val="1"/>
      <w:marLeft w:val="0"/>
      <w:marRight w:val="0"/>
      <w:marTop w:val="0"/>
      <w:marBottom w:val="0"/>
      <w:divBdr>
        <w:top w:val="none" w:sz="0" w:space="0" w:color="auto"/>
        <w:left w:val="none" w:sz="0" w:space="0" w:color="auto"/>
        <w:bottom w:val="none" w:sz="0" w:space="0" w:color="auto"/>
        <w:right w:val="none" w:sz="0" w:space="0" w:color="auto"/>
      </w:divBdr>
    </w:div>
    <w:div w:id="1238906671">
      <w:bodyDiv w:val="1"/>
      <w:marLeft w:val="0"/>
      <w:marRight w:val="0"/>
      <w:marTop w:val="0"/>
      <w:marBottom w:val="0"/>
      <w:divBdr>
        <w:top w:val="none" w:sz="0" w:space="0" w:color="auto"/>
        <w:left w:val="none" w:sz="0" w:space="0" w:color="auto"/>
        <w:bottom w:val="none" w:sz="0" w:space="0" w:color="auto"/>
        <w:right w:val="none" w:sz="0" w:space="0" w:color="auto"/>
      </w:divBdr>
    </w:div>
    <w:div w:id="1245725240">
      <w:bodyDiv w:val="1"/>
      <w:marLeft w:val="0"/>
      <w:marRight w:val="0"/>
      <w:marTop w:val="0"/>
      <w:marBottom w:val="0"/>
      <w:divBdr>
        <w:top w:val="none" w:sz="0" w:space="0" w:color="auto"/>
        <w:left w:val="none" w:sz="0" w:space="0" w:color="auto"/>
        <w:bottom w:val="none" w:sz="0" w:space="0" w:color="auto"/>
        <w:right w:val="none" w:sz="0" w:space="0" w:color="auto"/>
      </w:divBdr>
    </w:div>
    <w:div w:id="1256476050">
      <w:bodyDiv w:val="1"/>
      <w:marLeft w:val="0"/>
      <w:marRight w:val="0"/>
      <w:marTop w:val="0"/>
      <w:marBottom w:val="0"/>
      <w:divBdr>
        <w:top w:val="none" w:sz="0" w:space="0" w:color="auto"/>
        <w:left w:val="none" w:sz="0" w:space="0" w:color="auto"/>
        <w:bottom w:val="none" w:sz="0" w:space="0" w:color="auto"/>
        <w:right w:val="none" w:sz="0" w:space="0" w:color="auto"/>
      </w:divBdr>
    </w:div>
    <w:div w:id="1324620863">
      <w:bodyDiv w:val="1"/>
      <w:marLeft w:val="0"/>
      <w:marRight w:val="0"/>
      <w:marTop w:val="0"/>
      <w:marBottom w:val="0"/>
      <w:divBdr>
        <w:top w:val="none" w:sz="0" w:space="0" w:color="auto"/>
        <w:left w:val="none" w:sz="0" w:space="0" w:color="auto"/>
        <w:bottom w:val="none" w:sz="0" w:space="0" w:color="auto"/>
        <w:right w:val="none" w:sz="0" w:space="0" w:color="auto"/>
      </w:divBdr>
    </w:div>
    <w:div w:id="1350335610">
      <w:bodyDiv w:val="1"/>
      <w:marLeft w:val="0"/>
      <w:marRight w:val="0"/>
      <w:marTop w:val="0"/>
      <w:marBottom w:val="0"/>
      <w:divBdr>
        <w:top w:val="none" w:sz="0" w:space="0" w:color="auto"/>
        <w:left w:val="none" w:sz="0" w:space="0" w:color="auto"/>
        <w:bottom w:val="none" w:sz="0" w:space="0" w:color="auto"/>
        <w:right w:val="none" w:sz="0" w:space="0" w:color="auto"/>
      </w:divBdr>
    </w:div>
    <w:div w:id="1399086691">
      <w:bodyDiv w:val="1"/>
      <w:marLeft w:val="0"/>
      <w:marRight w:val="0"/>
      <w:marTop w:val="0"/>
      <w:marBottom w:val="0"/>
      <w:divBdr>
        <w:top w:val="none" w:sz="0" w:space="0" w:color="auto"/>
        <w:left w:val="none" w:sz="0" w:space="0" w:color="auto"/>
        <w:bottom w:val="none" w:sz="0" w:space="0" w:color="auto"/>
        <w:right w:val="none" w:sz="0" w:space="0" w:color="auto"/>
      </w:divBdr>
    </w:div>
    <w:div w:id="1403141589">
      <w:bodyDiv w:val="1"/>
      <w:marLeft w:val="0"/>
      <w:marRight w:val="0"/>
      <w:marTop w:val="0"/>
      <w:marBottom w:val="0"/>
      <w:divBdr>
        <w:top w:val="none" w:sz="0" w:space="0" w:color="auto"/>
        <w:left w:val="none" w:sz="0" w:space="0" w:color="auto"/>
        <w:bottom w:val="none" w:sz="0" w:space="0" w:color="auto"/>
        <w:right w:val="none" w:sz="0" w:space="0" w:color="auto"/>
      </w:divBdr>
    </w:div>
    <w:div w:id="1415977647">
      <w:bodyDiv w:val="1"/>
      <w:marLeft w:val="0"/>
      <w:marRight w:val="0"/>
      <w:marTop w:val="0"/>
      <w:marBottom w:val="0"/>
      <w:divBdr>
        <w:top w:val="none" w:sz="0" w:space="0" w:color="auto"/>
        <w:left w:val="none" w:sz="0" w:space="0" w:color="auto"/>
        <w:bottom w:val="none" w:sz="0" w:space="0" w:color="auto"/>
        <w:right w:val="none" w:sz="0" w:space="0" w:color="auto"/>
      </w:divBdr>
    </w:div>
    <w:div w:id="1425372445">
      <w:bodyDiv w:val="1"/>
      <w:marLeft w:val="0"/>
      <w:marRight w:val="0"/>
      <w:marTop w:val="0"/>
      <w:marBottom w:val="0"/>
      <w:divBdr>
        <w:top w:val="none" w:sz="0" w:space="0" w:color="auto"/>
        <w:left w:val="none" w:sz="0" w:space="0" w:color="auto"/>
        <w:bottom w:val="none" w:sz="0" w:space="0" w:color="auto"/>
        <w:right w:val="none" w:sz="0" w:space="0" w:color="auto"/>
      </w:divBdr>
      <w:divsChild>
        <w:div w:id="226306560">
          <w:marLeft w:val="0"/>
          <w:marRight w:val="0"/>
          <w:marTop w:val="0"/>
          <w:marBottom w:val="0"/>
          <w:divBdr>
            <w:top w:val="none" w:sz="0" w:space="0" w:color="auto"/>
            <w:left w:val="none" w:sz="0" w:space="0" w:color="auto"/>
            <w:bottom w:val="none" w:sz="0" w:space="0" w:color="auto"/>
            <w:right w:val="none" w:sz="0" w:space="0" w:color="auto"/>
          </w:divBdr>
          <w:divsChild>
            <w:div w:id="550308468">
              <w:marLeft w:val="0"/>
              <w:marRight w:val="0"/>
              <w:marTop w:val="0"/>
              <w:marBottom w:val="0"/>
              <w:divBdr>
                <w:top w:val="none" w:sz="0" w:space="0" w:color="auto"/>
                <w:left w:val="none" w:sz="0" w:space="0" w:color="auto"/>
                <w:bottom w:val="none" w:sz="0" w:space="0" w:color="auto"/>
                <w:right w:val="none" w:sz="0" w:space="0" w:color="auto"/>
              </w:divBdr>
            </w:div>
          </w:divsChild>
        </w:div>
        <w:div w:id="1322738010">
          <w:marLeft w:val="0"/>
          <w:marRight w:val="0"/>
          <w:marTop w:val="0"/>
          <w:marBottom w:val="0"/>
          <w:divBdr>
            <w:top w:val="none" w:sz="0" w:space="0" w:color="auto"/>
            <w:left w:val="none" w:sz="0" w:space="0" w:color="auto"/>
            <w:bottom w:val="none" w:sz="0" w:space="0" w:color="auto"/>
            <w:right w:val="none" w:sz="0" w:space="0" w:color="auto"/>
          </w:divBdr>
        </w:div>
      </w:divsChild>
    </w:div>
    <w:div w:id="1427771457">
      <w:bodyDiv w:val="1"/>
      <w:marLeft w:val="0"/>
      <w:marRight w:val="0"/>
      <w:marTop w:val="0"/>
      <w:marBottom w:val="0"/>
      <w:divBdr>
        <w:top w:val="none" w:sz="0" w:space="0" w:color="auto"/>
        <w:left w:val="none" w:sz="0" w:space="0" w:color="auto"/>
        <w:bottom w:val="none" w:sz="0" w:space="0" w:color="auto"/>
        <w:right w:val="none" w:sz="0" w:space="0" w:color="auto"/>
      </w:divBdr>
    </w:div>
    <w:div w:id="1594169742">
      <w:bodyDiv w:val="1"/>
      <w:marLeft w:val="0"/>
      <w:marRight w:val="0"/>
      <w:marTop w:val="0"/>
      <w:marBottom w:val="0"/>
      <w:divBdr>
        <w:top w:val="none" w:sz="0" w:space="0" w:color="auto"/>
        <w:left w:val="none" w:sz="0" w:space="0" w:color="auto"/>
        <w:bottom w:val="none" w:sz="0" w:space="0" w:color="auto"/>
        <w:right w:val="none" w:sz="0" w:space="0" w:color="auto"/>
      </w:divBdr>
    </w:div>
    <w:div w:id="1606184171">
      <w:bodyDiv w:val="1"/>
      <w:marLeft w:val="0"/>
      <w:marRight w:val="0"/>
      <w:marTop w:val="0"/>
      <w:marBottom w:val="0"/>
      <w:divBdr>
        <w:top w:val="none" w:sz="0" w:space="0" w:color="auto"/>
        <w:left w:val="none" w:sz="0" w:space="0" w:color="auto"/>
        <w:bottom w:val="none" w:sz="0" w:space="0" w:color="auto"/>
        <w:right w:val="none" w:sz="0" w:space="0" w:color="auto"/>
      </w:divBdr>
    </w:div>
    <w:div w:id="1617788438">
      <w:bodyDiv w:val="1"/>
      <w:marLeft w:val="0"/>
      <w:marRight w:val="0"/>
      <w:marTop w:val="0"/>
      <w:marBottom w:val="0"/>
      <w:divBdr>
        <w:top w:val="none" w:sz="0" w:space="0" w:color="auto"/>
        <w:left w:val="none" w:sz="0" w:space="0" w:color="auto"/>
        <w:bottom w:val="none" w:sz="0" w:space="0" w:color="auto"/>
        <w:right w:val="none" w:sz="0" w:space="0" w:color="auto"/>
      </w:divBdr>
    </w:div>
    <w:div w:id="1813861746">
      <w:bodyDiv w:val="1"/>
      <w:marLeft w:val="0"/>
      <w:marRight w:val="0"/>
      <w:marTop w:val="0"/>
      <w:marBottom w:val="0"/>
      <w:divBdr>
        <w:top w:val="none" w:sz="0" w:space="0" w:color="auto"/>
        <w:left w:val="none" w:sz="0" w:space="0" w:color="auto"/>
        <w:bottom w:val="none" w:sz="0" w:space="0" w:color="auto"/>
        <w:right w:val="none" w:sz="0" w:space="0" w:color="auto"/>
      </w:divBdr>
    </w:div>
    <w:div w:id="1833450785">
      <w:bodyDiv w:val="1"/>
      <w:marLeft w:val="0"/>
      <w:marRight w:val="0"/>
      <w:marTop w:val="0"/>
      <w:marBottom w:val="0"/>
      <w:divBdr>
        <w:top w:val="none" w:sz="0" w:space="0" w:color="auto"/>
        <w:left w:val="none" w:sz="0" w:space="0" w:color="auto"/>
        <w:bottom w:val="none" w:sz="0" w:space="0" w:color="auto"/>
        <w:right w:val="none" w:sz="0" w:space="0" w:color="auto"/>
      </w:divBdr>
    </w:div>
    <w:div w:id="1898004247">
      <w:bodyDiv w:val="1"/>
      <w:marLeft w:val="0"/>
      <w:marRight w:val="0"/>
      <w:marTop w:val="0"/>
      <w:marBottom w:val="0"/>
      <w:divBdr>
        <w:top w:val="none" w:sz="0" w:space="0" w:color="auto"/>
        <w:left w:val="none" w:sz="0" w:space="0" w:color="auto"/>
        <w:bottom w:val="none" w:sz="0" w:space="0" w:color="auto"/>
        <w:right w:val="none" w:sz="0" w:space="0" w:color="auto"/>
      </w:divBdr>
    </w:div>
    <w:div w:id="1898007497">
      <w:bodyDiv w:val="1"/>
      <w:marLeft w:val="0"/>
      <w:marRight w:val="0"/>
      <w:marTop w:val="0"/>
      <w:marBottom w:val="0"/>
      <w:divBdr>
        <w:top w:val="none" w:sz="0" w:space="0" w:color="auto"/>
        <w:left w:val="none" w:sz="0" w:space="0" w:color="auto"/>
        <w:bottom w:val="none" w:sz="0" w:space="0" w:color="auto"/>
        <w:right w:val="none" w:sz="0" w:space="0" w:color="auto"/>
      </w:divBdr>
    </w:div>
    <w:div w:id="1994873072">
      <w:bodyDiv w:val="1"/>
      <w:marLeft w:val="0"/>
      <w:marRight w:val="0"/>
      <w:marTop w:val="0"/>
      <w:marBottom w:val="0"/>
      <w:divBdr>
        <w:top w:val="none" w:sz="0" w:space="0" w:color="auto"/>
        <w:left w:val="none" w:sz="0" w:space="0" w:color="auto"/>
        <w:bottom w:val="none" w:sz="0" w:space="0" w:color="auto"/>
        <w:right w:val="none" w:sz="0" w:space="0" w:color="auto"/>
      </w:divBdr>
    </w:div>
    <w:div w:id="20297920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E287C2AAB838043B7FEEB2457323F73" ma:contentTypeVersion="0" ma:contentTypeDescription="A content type to manage public (operations) IDB documents" ma:contentTypeScope="" ma:versionID="6354b31999b2362b430dcc3e38d5f982">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40420850</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UR-L1116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CD86226D-3D3D-4665-9642-3CF7B99BE9E1}"/>
</file>

<file path=customXml/itemProps2.xml><?xml version="1.0" encoding="utf-8"?>
<ds:datastoreItem xmlns:ds="http://schemas.openxmlformats.org/officeDocument/2006/customXml" ds:itemID="{FED19A9F-4849-4C02-B2DA-47D20AA1F2BA}"/>
</file>

<file path=customXml/itemProps3.xml><?xml version="1.0" encoding="utf-8"?>
<ds:datastoreItem xmlns:ds="http://schemas.openxmlformats.org/officeDocument/2006/customXml" ds:itemID="{3E99C591-506A-4F4C-BD93-C3A91C97B091}"/>
</file>

<file path=customXml/itemProps4.xml><?xml version="1.0" encoding="utf-8"?>
<ds:datastoreItem xmlns:ds="http://schemas.openxmlformats.org/officeDocument/2006/customXml" ds:itemID="{CA00C95F-7BCC-4488-9801-D2386C171A6E}"/>
</file>

<file path=customXml/itemProps5.xml><?xml version="1.0" encoding="utf-8"?>
<ds:datastoreItem xmlns:ds="http://schemas.openxmlformats.org/officeDocument/2006/customXml" ds:itemID="{32A08F9E-2B94-4DD2-8CD7-864C20223F45}"/>
</file>

<file path=customXml/itemProps6.xml><?xml version="1.0" encoding="utf-8"?>
<ds:datastoreItem xmlns:ds="http://schemas.openxmlformats.org/officeDocument/2006/customXml" ds:itemID="{B66F5CAF-7725-4161-B14D-D8B94EAB55AA}"/>
</file>

<file path=docProps/app.xml><?xml version="1.0" encoding="utf-8"?>
<Properties xmlns="http://schemas.openxmlformats.org/officeDocument/2006/extended-properties" xmlns:vt="http://schemas.openxmlformats.org/officeDocument/2006/docPropsVTypes">
  <Template>Normal.dotm</Template>
  <TotalTime>1</TotalTime>
  <Pages>17</Pages>
  <Words>6128</Words>
  <Characters>34932</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40979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 IGAS</dc:title>
  <dc:creator>Luiz Fernando  Galli</dc:creator>
  <cp:lastModifiedBy>IADB</cp:lastModifiedBy>
  <cp:revision>3</cp:revision>
  <cp:lastPrinted>2016-07-15T21:10:00Z</cp:lastPrinted>
  <dcterms:created xsi:type="dcterms:W3CDTF">2016-09-26T23:35:00Z</dcterms:created>
  <dcterms:modified xsi:type="dcterms:W3CDTF">2016-09-26T23:35:00Z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0x01010046CF21643EE8D14686A648AA6DAD089200CE287C2AAB838043B7FEEB2457323F73</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