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EC1" w:rsidRPr="008B2B66" w:rsidRDefault="00230EC1" w:rsidP="00230EC1">
      <w:pPr>
        <w:pStyle w:val="SubSubPar"/>
        <w:numPr>
          <w:ilvl w:val="0"/>
          <w:numId w:val="0"/>
        </w:numPr>
        <w:spacing w:after="0"/>
        <w:jc w:val="center"/>
        <w:rPr>
          <w:rFonts w:ascii="Arial" w:hAnsi="Arial" w:cs="Arial"/>
          <w:smallCaps/>
          <w:sz w:val="22"/>
          <w:szCs w:val="22"/>
          <w:lang w:val="es-ES"/>
        </w:rPr>
      </w:pPr>
      <w:r w:rsidRPr="008B2B66">
        <w:rPr>
          <w:rFonts w:ascii="Arial" w:hAnsi="Arial" w:cs="Arial"/>
          <w:smallCaps/>
          <w:sz w:val="22"/>
          <w:szCs w:val="22"/>
          <w:lang w:val="es-ES"/>
        </w:rPr>
        <w:t>Documento del Banco Interamericano De Desarrollo</w:t>
      </w:r>
    </w:p>
    <w:p w:rsidR="00230EC1" w:rsidRPr="008B2B66" w:rsidRDefault="00230EC1" w:rsidP="00230EC1">
      <w:pPr>
        <w:tabs>
          <w:tab w:val="left" w:pos="1440"/>
          <w:tab w:val="left" w:pos="3060"/>
        </w:tabs>
        <w:jc w:val="center"/>
        <w:rPr>
          <w:rFonts w:ascii="Arial" w:hAnsi="Arial" w:cs="Arial"/>
          <w:smallCaps/>
        </w:rPr>
      </w:pPr>
    </w:p>
    <w:p w:rsidR="00230EC1" w:rsidRPr="008B2B66" w:rsidRDefault="00230EC1" w:rsidP="00230EC1">
      <w:pPr>
        <w:tabs>
          <w:tab w:val="left" w:pos="1440"/>
          <w:tab w:val="left" w:pos="3060"/>
        </w:tabs>
        <w:jc w:val="center"/>
        <w:rPr>
          <w:rFonts w:ascii="Arial" w:hAnsi="Arial" w:cs="Arial"/>
          <w:smallCaps/>
        </w:rPr>
      </w:pPr>
    </w:p>
    <w:p w:rsidR="00230EC1" w:rsidRPr="008B2B66" w:rsidRDefault="00230EC1" w:rsidP="00230EC1">
      <w:pPr>
        <w:tabs>
          <w:tab w:val="left" w:pos="1440"/>
          <w:tab w:val="left" w:pos="3060"/>
        </w:tabs>
        <w:jc w:val="center"/>
        <w:rPr>
          <w:rFonts w:ascii="Arial" w:hAnsi="Arial" w:cs="Arial"/>
          <w:smallCaps/>
        </w:rPr>
      </w:pPr>
    </w:p>
    <w:p w:rsidR="00230EC1" w:rsidRPr="008B2B66" w:rsidRDefault="00230EC1" w:rsidP="00230EC1">
      <w:pPr>
        <w:tabs>
          <w:tab w:val="left" w:pos="1440"/>
          <w:tab w:val="left" w:pos="3060"/>
        </w:tabs>
        <w:jc w:val="center"/>
        <w:rPr>
          <w:rFonts w:ascii="Arial" w:hAnsi="Arial" w:cs="Arial"/>
          <w:smallCaps/>
        </w:rPr>
      </w:pPr>
    </w:p>
    <w:p w:rsidR="00230EC1" w:rsidRPr="008B2B66" w:rsidRDefault="00230EC1" w:rsidP="00230EC1">
      <w:pPr>
        <w:tabs>
          <w:tab w:val="left" w:pos="1440"/>
          <w:tab w:val="left" w:pos="3060"/>
        </w:tabs>
        <w:jc w:val="center"/>
        <w:rPr>
          <w:rFonts w:ascii="Arial" w:hAnsi="Arial" w:cs="Arial"/>
          <w:smallCaps/>
        </w:rPr>
      </w:pPr>
    </w:p>
    <w:p w:rsidR="00230EC1" w:rsidRPr="008B2B66" w:rsidRDefault="00230EC1" w:rsidP="00230EC1">
      <w:pPr>
        <w:tabs>
          <w:tab w:val="left" w:pos="1440"/>
          <w:tab w:val="left" w:pos="3060"/>
        </w:tabs>
        <w:jc w:val="center"/>
        <w:rPr>
          <w:rFonts w:ascii="Arial" w:hAnsi="Arial" w:cs="Arial"/>
          <w:smallCaps/>
        </w:rPr>
      </w:pPr>
    </w:p>
    <w:p w:rsidR="00230EC1" w:rsidRPr="008B2B66" w:rsidRDefault="001D5E59" w:rsidP="00230EC1">
      <w:pPr>
        <w:tabs>
          <w:tab w:val="left" w:pos="1440"/>
          <w:tab w:val="left" w:pos="3060"/>
        </w:tabs>
        <w:jc w:val="center"/>
        <w:rPr>
          <w:rFonts w:ascii="Arial" w:hAnsi="Arial" w:cs="Arial"/>
          <w:b/>
          <w:smallCaps/>
          <w:sz w:val="28"/>
          <w:szCs w:val="28"/>
          <w:lang w:val="es-ES_tradnl"/>
        </w:rPr>
      </w:pPr>
      <w:r w:rsidRPr="008B2B66">
        <w:rPr>
          <w:rFonts w:ascii="Arial" w:hAnsi="Arial" w:cs="Arial"/>
          <w:b/>
          <w:smallCaps/>
          <w:sz w:val="28"/>
          <w:szCs w:val="28"/>
          <w:lang w:val="es-ES_tradnl"/>
        </w:rPr>
        <w:t>Uruguay</w:t>
      </w:r>
    </w:p>
    <w:p w:rsidR="00230EC1" w:rsidRPr="008B2B66" w:rsidRDefault="00230EC1" w:rsidP="00230EC1">
      <w:pPr>
        <w:tabs>
          <w:tab w:val="left" w:pos="1440"/>
          <w:tab w:val="left" w:pos="3060"/>
        </w:tabs>
        <w:jc w:val="center"/>
        <w:rPr>
          <w:rFonts w:ascii="Arial" w:hAnsi="Arial" w:cs="Arial"/>
          <w:smallCaps/>
        </w:rPr>
      </w:pPr>
    </w:p>
    <w:p w:rsidR="00230EC1" w:rsidRPr="008B2B66" w:rsidRDefault="00230EC1" w:rsidP="00230EC1">
      <w:pPr>
        <w:tabs>
          <w:tab w:val="left" w:pos="1440"/>
          <w:tab w:val="left" w:pos="3060"/>
        </w:tabs>
        <w:jc w:val="center"/>
        <w:rPr>
          <w:rFonts w:ascii="Arial" w:hAnsi="Arial" w:cs="Arial"/>
          <w:smallCaps/>
        </w:rPr>
      </w:pPr>
    </w:p>
    <w:p w:rsidR="00230EC1" w:rsidRPr="008B2B66" w:rsidRDefault="00230EC1" w:rsidP="00230EC1">
      <w:pPr>
        <w:tabs>
          <w:tab w:val="left" w:pos="1440"/>
          <w:tab w:val="left" w:pos="3060"/>
        </w:tabs>
        <w:jc w:val="center"/>
        <w:rPr>
          <w:rFonts w:ascii="Arial" w:hAnsi="Arial" w:cs="Arial"/>
          <w:smallCaps/>
        </w:rPr>
      </w:pPr>
    </w:p>
    <w:p w:rsidR="00230EC1" w:rsidRPr="008B2B66" w:rsidRDefault="00230EC1" w:rsidP="00230EC1">
      <w:pPr>
        <w:tabs>
          <w:tab w:val="left" w:pos="1440"/>
          <w:tab w:val="left" w:pos="3060"/>
        </w:tabs>
        <w:jc w:val="center"/>
        <w:rPr>
          <w:rFonts w:ascii="Arial" w:hAnsi="Arial" w:cs="Arial"/>
          <w:smallCaps/>
        </w:rPr>
      </w:pPr>
    </w:p>
    <w:p w:rsidR="00230EC1" w:rsidRPr="008B2B66" w:rsidRDefault="00230EC1" w:rsidP="00230EC1">
      <w:pPr>
        <w:tabs>
          <w:tab w:val="left" w:pos="1440"/>
          <w:tab w:val="left" w:pos="3060"/>
        </w:tabs>
        <w:jc w:val="center"/>
        <w:rPr>
          <w:rFonts w:ascii="Arial" w:hAnsi="Arial" w:cs="Arial"/>
          <w:smallCaps/>
        </w:rPr>
      </w:pPr>
    </w:p>
    <w:p w:rsidR="00230EC1" w:rsidRPr="008B2B66" w:rsidRDefault="00230EC1" w:rsidP="00230EC1">
      <w:pPr>
        <w:pStyle w:val="Newpage"/>
        <w:keepNext/>
        <w:jc w:val="left"/>
        <w:rPr>
          <w:rFonts w:ascii="Arial" w:hAnsi="Arial"/>
          <w:sz w:val="28"/>
          <w:szCs w:val="28"/>
          <w:lang w:val="es-ES_tradnl"/>
        </w:rPr>
      </w:pPr>
    </w:p>
    <w:p w:rsidR="00B80868" w:rsidRPr="008B2B66" w:rsidRDefault="00B80868" w:rsidP="00B80868">
      <w:pPr>
        <w:jc w:val="center"/>
        <w:rPr>
          <w:rFonts w:ascii="Arial" w:hAnsi="Arial" w:cs="Arial"/>
          <w:b/>
          <w:smallCaps/>
          <w:sz w:val="28"/>
          <w:szCs w:val="28"/>
          <w:lang w:val="es-AR"/>
        </w:rPr>
      </w:pPr>
      <w:r w:rsidRPr="008B2B66">
        <w:rPr>
          <w:rFonts w:ascii="Arial" w:hAnsi="Arial" w:cs="Arial"/>
          <w:b/>
          <w:smallCaps/>
          <w:sz w:val="28"/>
          <w:szCs w:val="28"/>
          <w:lang w:val="es-AR"/>
        </w:rPr>
        <w:t>Programa de Apoyo a la Educación Media y Técnica y a la Formación Docente: Hacia Trayectorias Educativas Continuas y Completas</w:t>
      </w:r>
    </w:p>
    <w:p w:rsidR="00230EC1" w:rsidRPr="008B2B66" w:rsidRDefault="00B80868" w:rsidP="00230EC1">
      <w:pPr>
        <w:tabs>
          <w:tab w:val="left" w:pos="1440"/>
          <w:tab w:val="left" w:pos="3060"/>
        </w:tabs>
        <w:jc w:val="center"/>
        <w:rPr>
          <w:rFonts w:ascii="Arial" w:hAnsi="Arial" w:cs="Arial"/>
          <w:b/>
          <w:smallCaps/>
          <w:sz w:val="28"/>
          <w:szCs w:val="28"/>
        </w:rPr>
      </w:pPr>
      <w:r w:rsidRPr="008B2B66">
        <w:rPr>
          <w:rFonts w:ascii="Arial" w:hAnsi="Arial" w:cs="Arial"/>
          <w:b/>
          <w:smallCaps/>
          <w:sz w:val="28"/>
          <w:szCs w:val="28"/>
          <w:lang w:eastAsia="en-US"/>
        </w:rPr>
        <w:br/>
      </w:r>
      <w:r w:rsidRPr="008B2B66">
        <w:rPr>
          <w:rFonts w:ascii="Arial" w:hAnsi="Arial" w:cs="Arial"/>
          <w:b/>
          <w:smallCaps/>
          <w:sz w:val="28"/>
          <w:szCs w:val="28"/>
          <w:lang w:eastAsia="en-US"/>
        </w:rPr>
        <w:br/>
      </w:r>
      <w:r w:rsidRPr="008B2B66">
        <w:rPr>
          <w:rFonts w:ascii="Arial" w:hAnsi="Arial" w:cs="Arial"/>
          <w:b/>
          <w:bCs/>
          <w:smallCaps/>
          <w:sz w:val="28"/>
          <w:szCs w:val="28"/>
          <w:lang w:eastAsia="en-US"/>
        </w:rPr>
        <w:t>(UR-L1116)</w:t>
      </w:r>
    </w:p>
    <w:p w:rsidR="00230EC1" w:rsidRPr="008B2B66" w:rsidRDefault="00230EC1" w:rsidP="00230EC1">
      <w:pPr>
        <w:pStyle w:val="Newpage"/>
        <w:rPr>
          <w:rFonts w:ascii="Arial" w:hAnsi="Arial"/>
          <w:caps/>
          <w:sz w:val="28"/>
          <w:szCs w:val="28"/>
          <w:lang w:val="es-ES"/>
        </w:rPr>
      </w:pPr>
    </w:p>
    <w:p w:rsidR="00230EC1" w:rsidRPr="008B2B66" w:rsidRDefault="00230EC1" w:rsidP="00230EC1">
      <w:pPr>
        <w:tabs>
          <w:tab w:val="left" w:pos="1440"/>
          <w:tab w:val="left" w:pos="3060"/>
        </w:tabs>
        <w:jc w:val="center"/>
        <w:rPr>
          <w:rFonts w:ascii="Arial" w:hAnsi="Arial" w:cs="Arial"/>
          <w:b/>
          <w:smallCaps/>
          <w:sz w:val="28"/>
          <w:szCs w:val="28"/>
        </w:rPr>
      </w:pPr>
    </w:p>
    <w:p w:rsidR="00230EC1" w:rsidRPr="008B2B66" w:rsidRDefault="00230EC1" w:rsidP="00230EC1">
      <w:pPr>
        <w:jc w:val="center"/>
        <w:rPr>
          <w:rFonts w:ascii="Arial" w:hAnsi="Arial" w:cs="Arial"/>
          <w:b/>
          <w:smallCaps/>
        </w:rPr>
      </w:pPr>
      <w:bookmarkStart w:id="0" w:name="_Toc400482131"/>
      <w:r w:rsidRPr="008B2B66">
        <w:rPr>
          <w:rFonts w:ascii="Arial" w:hAnsi="Arial" w:cs="Arial"/>
          <w:b/>
          <w:smallCaps/>
        </w:rPr>
        <w:t>Análisis Económico</w:t>
      </w:r>
      <w:bookmarkEnd w:id="0"/>
    </w:p>
    <w:p w:rsidR="00230EC1" w:rsidRPr="008B2B66" w:rsidRDefault="00230EC1" w:rsidP="00E67639">
      <w:pPr>
        <w:pStyle w:val="ListParagraph"/>
        <w:spacing w:before="120" w:after="0" w:line="360" w:lineRule="auto"/>
        <w:ind w:left="1080"/>
        <w:rPr>
          <w:rFonts w:ascii="Arial" w:hAnsi="Arial" w:cs="Arial"/>
          <w:b/>
          <w:sz w:val="24"/>
          <w:szCs w:val="24"/>
        </w:rPr>
      </w:pPr>
    </w:p>
    <w:p w:rsidR="00B80868" w:rsidRPr="008B2B66" w:rsidRDefault="00B80868" w:rsidP="00B80868">
      <w:pPr>
        <w:pStyle w:val="ListParagraph"/>
        <w:spacing w:before="120" w:after="0" w:line="360" w:lineRule="auto"/>
        <w:ind w:left="1080"/>
        <w:jc w:val="right"/>
        <w:rPr>
          <w:rFonts w:ascii="Arial" w:hAnsi="Arial" w:cs="Arial"/>
          <w:sz w:val="24"/>
          <w:szCs w:val="24"/>
        </w:rPr>
      </w:pPr>
    </w:p>
    <w:p w:rsidR="00B80868" w:rsidRPr="008B2B66" w:rsidRDefault="00B80868" w:rsidP="00B80868">
      <w:pPr>
        <w:pStyle w:val="ListParagraph"/>
        <w:spacing w:before="120" w:after="0" w:line="360" w:lineRule="auto"/>
        <w:ind w:left="1080"/>
        <w:jc w:val="right"/>
        <w:rPr>
          <w:rFonts w:ascii="Arial" w:hAnsi="Arial" w:cs="Arial"/>
          <w:sz w:val="24"/>
          <w:szCs w:val="24"/>
        </w:rPr>
      </w:pPr>
    </w:p>
    <w:p w:rsidR="00B80868" w:rsidRPr="008B2B66" w:rsidRDefault="00B80868" w:rsidP="00B80868">
      <w:pPr>
        <w:pStyle w:val="ListParagraph"/>
        <w:spacing w:before="120" w:after="0" w:line="360" w:lineRule="auto"/>
        <w:ind w:left="1080"/>
        <w:jc w:val="right"/>
        <w:rPr>
          <w:rFonts w:ascii="Arial" w:hAnsi="Arial" w:cs="Arial"/>
          <w:sz w:val="20"/>
          <w:szCs w:val="20"/>
        </w:rPr>
      </w:pPr>
    </w:p>
    <w:p w:rsidR="00B80868" w:rsidRPr="008B2B66" w:rsidRDefault="00B80868" w:rsidP="00B80868">
      <w:pPr>
        <w:pStyle w:val="ListParagraph"/>
        <w:spacing w:before="120" w:after="0" w:line="360" w:lineRule="auto"/>
        <w:ind w:left="1080"/>
        <w:jc w:val="right"/>
        <w:rPr>
          <w:rFonts w:ascii="Arial" w:hAnsi="Arial" w:cs="Arial"/>
          <w:sz w:val="20"/>
          <w:szCs w:val="20"/>
        </w:rPr>
      </w:pPr>
    </w:p>
    <w:p w:rsidR="00B80868" w:rsidRPr="008B2B66" w:rsidRDefault="00B80868" w:rsidP="00B80868">
      <w:pPr>
        <w:pStyle w:val="ListParagraph"/>
        <w:spacing w:before="120" w:after="0" w:line="360" w:lineRule="auto"/>
        <w:ind w:left="1080"/>
        <w:jc w:val="right"/>
        <w:rPr>
          <w:rFonts w:ascii="Arial" w:hAnsi="Arial" w:cs="Arial"/>
          <w:sz w:val="20"/>
          <w:szCs w:val="20"/>
        </w:rPr>
      </w:pPr>
    </w:p>
    <w:p w:rsidR="00B80868" w:rsidRPr="008B2B66" w:rsidRDefault="00B80868" w:rsidP="00B80868">
      <w:pPr>
        <w:pStyle w:val="ListParagraph"/>
        <w:spacing w:before="120" w:after="0" w:line="360" w:lineRule="auto"/>
        <w:ind w:left="1080"/>
        <w:jc w:val="right"/>
        <w:rPr>
          <w:rFonts w:ascii="Arial" w:hAnsi="Arial" w:cs="Arial"/>
          <w:sz w:val="20"/>
          <w:szCs w:val="20"/>
        </w:rPr>
      </w:pPr>
    </w:p>
    <w:p w:rsidR="00B80868" w:rsidRPr="008B2B66" w:rsidRDefault="00B80868" w:rsidP="00B80868">
      <w:pPr>
        <w:pStyle w:val="ListParagraph"/>
        <w:spacing w:before="120" w:after="0" w:line="360" w:lineRule="auto"/>
        <w:ind w:left="1080"/>
        <w:jc w:val="right"/>
        <w:rPr>
          <w:rFonts w:ascii="Arial" w:hAnsi="Arial" w:cs="Arial"/>
          <w:sz w:val="20"/>
          <w:szCs w:val="20"/>
        </w:rPr>
      </w:pPr>
    </w:p>
    <w:p w:rsidR="00B80868" w:rsidRPr="008B2B66" w:rsidRDefault="00B80868" w:rsidP="00B80868">
      <w:pPr>
        <w:pStyle w:val="ListParagraph"/>
        <w:spacing w:before="120" w:after="0" w:line="360" w:lineRule="auto"/>
        <w:ind w:left="1080"/>
        <w:jc w:val="right"/>
        <w:rPr>
          <w:rFonts w:ascii="Arial" w:hAnsi="Arial" w:cs="Arial"/>
          <w:sz w:val="20"/>
          <w:szCs w:val="20"/>
        </w:rPr>
      </w:pPr>
    </w:p>
    <w:p w:rsidR="00B80868" w:rsidRPr="008B2B66" w:rsidRDefault="00B80868" w:rsidP="00B80868">
      <w:pPr>
        <w:pStyle w:val="ListParagraph"/>
        <w:spacing w:before="120" w:after="0" w:line="360" w:lineRule="auto"/>
        <w:ind w:left="1080"/>
        <w:jc w:val="right"/>
        <w:rPr>
          <w:rFonts w:ascii="Arial" w:hAnsi="Arial" w:cs="Arial"/>
          <w:sz w:val="20"/>
          <w:szCs w:val="20"/>
        </w:rPr>
      </w:pPr>
    </w:p>
    <w:p w:rsidR="00230EC1" w:rsidRPr="008B2B66" w:rsidRDefault="00CD5DBA" w:rsidP="00C235D5">
      <w:pPr>
        <w:jc w:val="center"/>
        <w:rPr>
          <w:rFonts w:ascii="Arial" w:hAnsi="Arial" w:cs="Arial"/>
          <w:b/>
          <w:smallCaps/>
        </w:rPr>
      </w:pPr>
      <w:r w:rsidRPr="008B2B66">
        <w:rPr>
          <w:rFonts w:ascii="Arial" w:hAnsi="Arial" w:cs="Arial"/>
          <w:b/>
          <w:smallCaps/>
        </w:rPr>
        <w:t xml:space="preserve">Marcelo Pérez Alfaro, Mariana Alfonso y </w:t>
      </w:r>
      <w:r w:rsidR="00B80868" w:rsidRPr="008B2B66">
        <w:rPr>
          <w:rFonts w:ascii="Arial" w:hAnsi="Arial" w:cs="Arial"/>
          <w:b/>
          <w:smallCaps/>
        </w:rPr>
        <w:t>Sebastián Rocha</w:t>
      </w:r>
    </w:p>
    <w:p w:rsidR="00C235D5" w:rsidRPr="008B2B66" w:rsidRDefault="00C235D5" w:rsidP="00C235D5">
      <w:pPr>
        <w:jc w:val="center"/>
        <w:rPr>
          <w:rFonts w:ascii="Arial" w:hAnsi="Arial" w:cs="Arial"/>
          <w:b/>
          <w:smallCaps/>
        </w:rPr>
      </w:pPr>
      <w:r w:rsidRPr="008B2B66">
        <w:rPr>
          <w:rFonts w:ascii="Arial" w:hAnsi="Arial" w:cs="Arial"/>
          <w:b/>
          <w:smallCaps/>
        </w:rPr>
        <w:t>Julio 2016</w:t>
      </w:r>
    </w:p>
    <w:p w:rsidR="00230EC1" w:rsidRPr="00B80868" w:rsidRDefault="00230EC1" w:rsidP="00230EC1">
      <w:pPr>
        <w:tabs>
          <w:tab w:val="left" w:pos="1440"/>
          <w:tab w:val="left" w:pos="3060"/>
        </w:tabs>
        <w:jc w:val="both"/>
      </w:pPr>
    </w:p>
    <w:p w:rsidR="00B80868" w:rsidRPr="00B80868" w:rsidRDefault="00B80868">
      <w:pPr>
        <w:rPr>
          <w:b/>
          <w:bCs/>
          <w:smallCaps/>
          <w:kern w:val="32"/>
        </w:rPr>
      </w:pPr>
      <w:bookmarkStart w:id="1" w:name="_Toc400482132"/>
      <w:r w:rsidRPr="00B80868">
        <w:rPr>
          <w:smallCaps/>
        </w:rPr>
        <w:br w:type="page"/>
      </w:r>
    </w:p>
    <w:p w:rsidR="00230EC1" w:rsidRPr="008B2B66" w:rsidRDefault="00230EC1" w:rsidP="00A57488">
      <w:pPr>
        <w:pStyle w:val="Heading1"/>
        <w:numPr>
          <w:ilvl w:val="0"/>
          <w:numId w:val="1"/>
        </w:numPr>
        <w:spacing w:before="120" w:after="120"/>
        <w:ind w:left="720" w:hanging="720"/>
        <w:rPr>
          <w:rFonts w:ascii="Arial" w:hAnsi="Arial" w:cs="Arial"/>
          <w:smallCaps/>
          <w:sz w:val="24"/>
          <w:szCs w:val="24"/>
        </w:rPr>
      </w:pPr>
      <w:r w:rsidRPr="008B2B66">
        <w:rPr>
          <w:rFonts w:ascii="Arial" w:hAnsi="Arial" w:cs="Arial"/>
          <w:smallCaps/>
          <w:sz w:val="24"/>
          <w:szCs w:val="24"/>
        </w:rPr>
        <w:lastRenderedPageBreak/>
        <w:t>Introducción</w:t>
      </w:r>
      <w:bookmarkEnd w:id="1"/>
    </w:p>
    <w:p w:rsidR="00C63F13" w:rsidRPr="008B2B66" w:rsidRDefault="00B80868" w:rsidP="00A57488">
      <w:pPr>
        <w:pStyle w:val="Paragraph"/>
        <w:numPr>
          <w:ilvl w:val="1"/>
          <w:numId w:val="5"/>
        </w:numPr>
        <w:ind w:left="720" w:hanging="720"/>
        <w:rPr>
          <w:rFonts w:ascii="Arial" w:hAnsi="Arial" w:cs="Arial"/>
          <w:sz w:val="22"/>
          <w:szCs w:val="22"/>
        </w:rPr>
      </w:pPr>
      <w:bookmarkStart w:id="2" w:name="_Toc400482133"/>
      <w:r w:rsidRPr="008B2B66">
        <w:rPr>
          <w:rFonts w:ascii="Arial" w:hAnsi="Arial" w:cs="Arial"/>
          <w:sz w:val="22"/>
          <w:szCs w:val="22"/>
        </w:rPr>
        <w:t xml:space="preserve">El Programa </w:t>
      </w:r>
      <w:r w:rsidR="008D6396" w:rsidRPr="008B2B66">
        <w:rPr>
          <w:rFonts w:ascii="Arial" w:hAnsi="Arial" w:cs="Arial"/>
          <w:sz w:val="22"/>
          <w:szCs w:val="22"/>
        </w:rPr>
        <w:t xml:space="preserve">de Apoyo a la Educación Media y Técnica y a la Formación Docente: Hacia Trayectorias Educativas Continuas y Completas </w:t>
      </w:r>
      <w:bookmarkEnd w:id="2"/>
      <w:r w:rsidRPr="008B2B66">
        <w:rPr>
          <w:rFonts w:ascii="Arial" w:hAnsi="Arial" w:cs="Arial"/>
          <w:sz w:val="22"/>
          <w:szCs w:val="22"/>
        </w:rPr>
        <w:t>(UR-L1116)</w:t>
      </w:r>
      <w:r w:rsidR="00C63F13" w:rsidRPr="008B2B66">
        <w:rPr>
          <w:rFonts w:ascii="Arial" w:hAnsi="Arial" w:cs="Arial"/>
          <w:sz w:val="22"/>
          <w:szCs w:val="22"/>
        </w:rPr>
        <w:t xml:space="preserve"> comprende la primera etapa de una operación bajo la modalidad </w:t>
      </w:r>
      <w:r w:rsidRPr="008B2B66">
        <w:rPr>
          <w:rFonts w:ascii="Arial" w:hAnsi="Arial" w:cs="Arial"/>
          <w:sz w:val="22"/>
          <w:szCs w:val="22"/>
        </w:rPr>
        <w:t xml:space="preserve">CCLIP </w:t>
      </w:r>
      <w:r w:rsidR="00CF2053" w:rsidRPr="008B2B66">
        <w:rPr>
          <w:rFonts w:ascii="Arial" w:hAnsi="Arial" w:cs="Arial"/>
          <w:sz w:val="22"/>
          <w:szCs w:val="22"/>
        </w:rPr>
        <w:t>que tiene como objetivo contribuir a mejorar el acceso y la calidad de la educación media (</w:t>
      </w:r>
      <w:r w:rsidRPr="008B2B66">
        <w:rPr>
          <w:rFonts w:ascii="Arial" w:hAnsi="Arial" w:cs="Arial"/>
          <w:sz w:val="22"/>
          <w:szCs w:val="22"/>
        </w:rPr>
        <w:t>EM</w:t>
      </w:r>
      <w:r w:rsidR="00CF2053" w:rsidRPr="008B2B66">
        <w:rPr>
          <w:rFonts w:ascii="Arial" w:hAnsi="Arial" w:cs="Arial"/>
          <w:sz w:val="22"/>
          <w:szCs w:val="22"/>
        </w:rPr>
        <w:t>)</w:t>
      </w:r>
      <w:r w:rsidRPr="008B2B66">
        <w:rPr>
          <w:rFonts w:ascii="Arial" w:hAnsi="Arial" w:cs="Arial"/>
          <w:sz w:val="22"/>
          <w:szCs w:val="22"/>
        </w:rPr>
        <w:t xml:space="preserve">. </w:t>
      </w:r>
      <w:r w:rsidR="00C63F13" w:rsidRPr="008B2B66">
        <w:rPr>
          <w:rFonts w:ascii="Arial" w:hAnsi="Arial" w:cs="Arial"/>
          <w:sz w:val="22"/>
          <w:szCs w:val="22"/>
        </w:rPr>
        <w:t>El objetivo de</w:t>
      </w:r>
      <w:r w:rsidR="00CF2053" w:rsidRPr="008B2B66">
        <w:rPr>
          <w:rFonts w:ascii="Arial" w:hAnsi="Arial" w:cs="Arial"/>
          <w:sz w:val="22"/>
          <w:szCs w:val="22"/>
        </w:rPr>
        <w:t xml:space="preserve"> </w:t>
      </w:r>
      <w:r w:rsidR="00C63F13" w:rsidRPr="008B2B66">
        <w:rPr>
          <w:rFonts w:ascii="Arial" w:hAnsi="Arial" w:cs="Arial"/>
          <w:sz w:val="22"/>
          <w:szCs w:val="22"/>
        </w:rPr>
        <w:t>l</w:t>
      </w:r>
      <w:r w:rsidR="00CF2053" w:rsidRPr="008B2B66">
        <w:rPr>
          <w:rFonts w:ascii="Arial" w:hAnsi="Arial" w:cs="Arial"/>
          <w:sz w:val="22"/>
          <w:szCs w:val="22"/>
        </w:rPr>
        <w:t xml:space="preserve">a primera operación individual </w:t>
      </w:r>
      <w:r w:rsidRPr="008B2B66">
        <w:rPr>
          <w:rFonts w:ascii="Arial" w:hAnsi="Arial" w:cs="Arial"/>
          <w:sz w:val="22"/>
          <w:szCs w:val="22"/>
        </w:rPr>
        <w:t>es</w:t>
      </w:r>
      <w:r w:rsidR="00CF2053" w:rsidRPr="008B2B66">
        <w:rPr>
          <w:rFonts w:ascii="Arial" w:hAnsi="Arial" w:cs="Arial"/>
          <w:sz w:val="22"/>
          <w:szCs w:val="22"/>
        </w:rPr>
        <w:t xml:space="preserve"> expandir el acceso y</w:t>
      </w:r>
      <w:r w:rsidRPr="008B2B66">
        <w:rPr>
          <w:rFonts w:ascii="Arial" w:hAnsi="Arial" w:cs="Arial"/>
          <w:sz w:val="22"/>
          <w:szCs w:val="22"/>
        </w:rPr>
        <w:t xml:space="preserve"> mejorar la calidad de la EM</w:t>
      </w:r>
      <w:r w:rsidR="001B6843" w:rsidRPr="008B2B66">
        <w:rPr>
          <w:rStyle w:val="FootnoteReference"/>
          <w:rFonts w:ascii="Arial" w:hAnsi="Arial" w:cs="Arial"/>
          <w:sz w:val="22"/>
          <w:szCs w:val="22"/>
        </w:rPr>
        <w:footnoteReference w:id="1"/>
      </w:r>
      <w:r w:rsidRPr="008B2B66">
        <w:rPr>
          <w:rFonts w:ascii="Arial" w:hAnsi="Arial" w:cs="Arial"/>
          <w:sz w:val="22"/>
          <w:szCs w:val="22"/>
        </w:rPr>
        <w:t xml:space="preserve"> en Uruguay, a fin de lograr trayectorias educativas continuas y completas</w:t>
      </w:r>
      <w:r w:rsidR="00C63F13" w:rsidRPr="008B2B66">
        <w:rPr>
          <w:rFonts w:ascii="Arial" w:hAnsi="Arial" w:cs="Arial"/>
          <w:sz w:val="22"/>
          <w:szCs w:val="22"/>
        </w:rPr>
        <w:t xml:space="preserve">, de manera de </w:t>
      </w:r>
      <w:r w:rsidRPr="008B2B66">
        <w:rPr>
          <w:rFonts w:ascii="Arial" w:hAnsi="Arial" w:cs="Arial"/>
          <w:sz w:val="22"/>
          <w:szCs w:val="22"/>
        </w:rPr>
        <w:t xml:space="preserve">(i) mejorar los puntajes promedios en el Sistema de Evaluación de Logros Educativos (SELE) del </w:t>
      </w:r>
      <w:r w:rsidR="00C63F13" w:rsidRPr="008B2B66">
        <w:rPr>
          <w:rFonts w:ascii="Arial" w:hAnsi="Arial" w:cs="Arial"/>
          <w:sz w:val="22"/>
          <w:szCs w:val="22"/>
        </w:rPr>
        <w:t xml:space="preserve">Instituto Nacional de </w:t>
      </w:r>
      <w:r w:rsidR="0031723E" w:rsidRPr="008B2B66">
        <w:rPr>
          <w:rFonts w:ascii="Arial" w:hAnsi="Arial" w:cs="Arial"/>
          <w:sz w:val="22"/>
          <w:szCs w:val="22"/>
        </w:rPr>
        <w:t xml:space="preserve">Evaluación Educativa </w:t>
      </w:r>
      <w:r w:rsidR="00C63F13" w:rsidRPr="008B2B66">
        <w:rPr>
          <w:rFonts w:ascii="Arial" w:hAnsi="Arial" w:cs="Arial"/>
          <w:sz w:val="22"/>
          <w:szCs w:val="22"/>
        </w:rPr>
        <w:t>(</w:t>
      </w:r>
      <w:r w:rsidRPr="008B2B66">
        <w:rPr>
          <w:rFonts w:ascii="Arial" w:hAnsi="Arial" w:cs="Arial"/>
          <w:sz w:val="22"/>
          <w:szCs w:val="22"/>
        </w:rPr>
        <w:t>INEED</w:t>
      </w:r>
      <w:r w:rsidR="00C63F13" w:rsidRPr="008B2B66">
        <w:rPr>
          <w:rFonts w:ascii="Arial" w:hAnsi="Arial" w:cs="Arial"/>
          <w:sz w:val="22"/>
          <w:szCs w:val="22"/>
        </w:rPr>
        <w:t>)</w:t>
      </w:r>
      <w:r w:rsidRPr="008B2B66">
        <w:rPr>
          <w:rFonts w:ascii="Arial" w:hAnsi="Arial" w:cs="Arial"/>
          <w:sz w:val="22"/>
          <w:szCs w:val="22"/>
        </w:rPr>
        <w:t xml:space="preserve"> en la prueba que se aplicará en 3er año de EMB</w:t>
      </w:r>
      <w:r w:rsidR="00C63F13" w:rsidRPr="008B2B66">
        <w:rPr>
          <w:rFonts w:ascii="Arial" w:hAnsi="Arial" w:cs="Arial"/>
          <w:sz w:val="22"/>
          <w:szCs w:val="22"/>
        </w:rPr>
        <w:t xml:space="preserve"> (Educación Media Básica)</w:t>
      </w:r>
      <w:r w:rsidRPr="008B2B66">
        <w:rPr>
          <w:rFonts w:ascii="Arial" w:hAnsi="Arial" w:cs="Arial"/>
          <w:sz w:val="22"/>
          <w:szCs w:val="22"/>
        </w:rPr>
        <w:t xml:space="preserve">; (ii) aumentar a 91% la proporción de jóvenes de 17 años que asisten a alguna oferta educativa; y (iii) aumentar a 85% la proporción de jóvenes de 18 a 20 años que completaron </w:t>
      </w:r>
      <w:r w:rsidR="00C63F13" w:rsidRPr="008B2B66">
        <w:rPr>
          <w:rFonts w:ascii="Arial" w:hAnsi="Arial" w:cs="Arial"/>
          <w:sz w:val="22"/>
          <w:szCs w:val="22"/>
        </w:rPr>
        <w:t>la EMB (general y tecnológica).</w:t>
      </w:r>
    </w:p>
    <w:p w:rsidR="00C63F13" w:rsidRPr="008B2B66" w:rsidRDefault="00766D0F" w:rsidP="00A57488">
      <w:pPr>
        <w:pStyle w:val="Paragraph"/>
        <w:numPr>
          <w:ilvl w:val="1"/>
          <w:numId w:val="5"/>
        </w:numPr>
        <w:ind w:left="720" w:hanging="720"/>
        <w:rPr>
          <w:rFonts w:ascii="Arial" w:hAnsi="Arial" w:cs="Arial"/>
          <w:sz w:val="22"/>
          <w:szCs w:val="22"/>
        </w:rPr>
      </w:pPr>
      <w:r w:rsidRPr="008B2B66">
        <w:rPr>
          <w:rFonts w:ascii="Arial" w:hAnsi="Arial" w:cs="Arial"/>
          <w:sz w:val="22"/>
          <w:szCs w:val="22"/>
        </w:rPr>
        <w:t xml:space="preserve">El monto </w:t>
      </w:r>
      <w:r w:rsidR="0014798D" w:rsidRPr="008B2B66">
        <w:rPr>
          <w:rFonts w:ascii="Arial" w:hAnsi="Arial" w:cs="Arial"/>
          <w:sz w:val="22"/>
          <w:szCs w:val="22"/>
        </w:rPr>
        <w:t xml:space="preserve">total </w:t>
      </w:r>
      <w:r w:rsidRPr="008B2B66">
        <w:rPr>
          <w:rFonts w:ascii="Arial" w:hAnsi="Arial" w:cs="Arial"/>
          <w:sz w:val="22"/>
          <w:szCs w:val="22"/>
        </w:rPr>
        <w:t>del pr</w:t>
      </w:r>
      <w:r w:rsidR="0014798D" w:rsidRPr="008B2B66">
        <w:rPr>
          <w:rFonts w:ascii="Arial" w:hAnsi="Arial" w:cs="Arial"/>
          <w:sz w:val="22"/>
          <w:szCs w:val="22"/>
        </w:rPr>
        <w:t>ograma</w:t>
      </w:r>
      <w:r w:rsidRPr="008B2B66">
        <w:rPr>
          <w:rFonts w:ascii="Arial" w:hAnsi="Arial" w:cs="Arial"/>
          <w:sz w:val="22"/>
          <w:szCs w:val="22"/>
        </w:rPr>
        <w:t xml:space="preserve"> </w:t>
      </w:r>
      <w:r w:rsidR="0056740A" w:rsidRPr="008B2B66">
        <w:rPr>
          <w:rFonts w:ascii="Arial" w:hAnsi="Arial" w:cs="Arial"/>
          <w:sz w:val="22"/>
          <w:szCs w:val="22"/>
        </w:rPr>
        <w:t>es</w:t>
      </w:r>
      <w:r w:rsidRPr="008B2B66">
        <w:rPr>
          <w:rFonts w:ascii="Arial" w:hAnsi="Arial" w:cs="Arial"/>
          <w:sz w:val="22"/>
          <w:szCs w:val="22"/>
        </w:rPr>
        <w:t xml:space="preserve"> de US$</w:t>
      </w:r>
      <w:r w:rsidR="009804F4" w:rsidRPr="008B2B66">
        <w:rPr>
          <w:rFonts w:ascii="Arial" w:hAnsi="Arial" w:cs="Arial"/>
          <w:sz w:val="22"/>
          <w:szCs w:val="22"/>
        </w:rPr>
        <w:t>74,70</w:t>
      </w:r>
      <w:r w:rsidRPr="008B2B66">
        <w:rPr>
          <w:rFonts w:ascii="Arial" w:hAnsi="Arial" w:cs="Arial"/>
          <w:sz w:val="22"/>
          <w:szCs w:val="22"/>
        </w:rPr>
        <w:t xml:space="preserve"> millones</w:t>
      </w:r>
      <w:r w:rsidR="00C63F13" w:rsidRPr="008B2B66">
        <w:rPr>
          <w:rFonts w:ascii="Arial" w:hAnsi="Arial" w:cs="Arial"/>
          <w:sz w:val="22"/>
          <w:szCs w:val="22"/>
        </w:rPr>
        <w:t xml:space="preserve">, destinado a financiar cuatro componentes más </w:t>
      </w:r>
      <w:r w:rsidR="008D6396" w:rsidRPr="008B2B66">
        <w:rPr>
          <w:rFonts w:ascii="Arial" w:hAnsi="Arial" w:cs="Arial"/>
          <w:sz w:val="22"/>
          <w:szCs w:val="22"/>
        </w:rPr>
        <w:t>una línea que</w:t>
      </w:r>
      <w:r w:rsidR="00C63F13" w:rsidRPr="008B2B66">
        <w:rPr>
          <w:rFonts w:ascii="Arial" w:hAnsi="Arial" w:cs="Arial"/>
          <w:sz w:val="22"/>
          <w:szCs w:val="22"/>
        </w:rPr>
        <w:t xml:space="preserve"> financia los costos de administración y gerenciamiento.</w:t>
      </w:r>
    </w:p>
    <w:p w:rsidR="00B75FA6" w:rsidRPr="008B2B66" w:rsidRDefault="00C63F13" w:rsidP="00A57488">
      <w:pPr>
        <w:pStyle w:val="Paragraph"/>
        <w:numPr>
          <w:ilvl w:val="1"/>
          <w:numId w:val="5"/>
        </w:numPr>
        <w:ind w:left="720" w:hanging="720"/>
        <w:rPr>
          <w:rFonts w:ascii="Arial" w:hAnsi="Arial" w:cs="Arial"/>
          <w:sz w:val="22"/>
          <w:szCs w:val="22"/>
        </w:rPr>
      </w:pPr>
      <w:r w:rsidRPr="008B2B66">
        <w:rPr>
          <w:rFonts w:ascii="Arial" w:hAnsi="Arial" w:cs="Arial"/>
          <w:sz w:val="22"/>
          <w:szCs w:val="22"/>
        </w:rPr>
        <w:t xml:space="preserve">El </w:t>
      </w:r>
      <w:r w:rsidRPr="008B2B66">
        <w:rPr>
          <w:rFonts w:ascii="Arial" w:hAnsi="Arial" w:cs="Arial"/>
          <w:b/>
          <w:sz w:val="22"/>
          <w:szCs w:val="22"/>
        </w:rPr>
        <w:t>Componente 1</w:t>
      </w:r>
      <w:r w:rsidR="00B75FA6" w:rsidRPr="008B2B66">
        <w:rPr>
          <w:rFonts w:ascii="Arial" w:hAnsi="Arial" w:cs="Arial"/>
          <w:b/>
          <w:sz w:val="22"/>
          <w:szCs w:val="22"/>
        </w:rPr>
        <w:t xml:space="preserve"> “</w:t>
      </w:r>
      <w:r w:rsidRPr="008B2B66">
        <w:rPr>
          <w:rFonts w:ascii="Arial" w:hAnsi="Arial" w:cs="Arial"/>
          <w:b/>
          <w:sz w:val="22"/>
          <w:szCs w:val="22"/>
        </w:rPr>
        <w:t>Mejora de la calidad educativa</w:t>
      </w:r>
      <w:r w:rsidR="00B75FA6" w:rsidRPr="008B2B66">
        <w:rPr>
          <w:rFonts w:ascii="Arial" w:hAnsi="Arial" w:cs="Arial"/>
          <w:b/>
          <w:sz w:val="22"/>
          <w:szCs w:val="22"/>
        </w:rPr>
        <w:t>”</w:t>
      </w:r>
      <w:r w:rsidRPr="008B2B66">
        <w:rPr>
          <w:rFonts w:ascii="Arial" w:hAnsi="Arial" w:cs="Arial"/>
          <w:b/>
          <w:sz w:val="22"/>
          <w:szCs w:val="22"/>
        </w:rPr>
        <w:t xml:space="preserve"> (US$ </w:t>
      </w:r>
      <w:r w:rsidR="009804F4" w:rsidRPr="008B2B66">
        <w:rPr>
          <w:rFonts w:ascii="Arial" w:hAnsi="Arial" w:cs="Arial"/>
          <w:b/>
          <w:sz w:val="22"/>
          <w:szCs w:val="22"/>
        </w:rPr>
        <w:t>4,46</w:t>
      </w:r>
      <w:r w:rsidR="00336968" w:rsidRPr="008B2B66">
        <w:rPr>
          <w:rFonts w:ascii="Arial" w:hAnsi="Arial" w:cs="Arial"/>
          <w:b/>
          <w:sz w:val="22"/>
          <w:szCs w:val="22"/>
        </w:rPr>
        <w:t xml:space="preserve"> </w:t>
      </w:r>
      <w:r w:rsidRPr="008B2B66">
        <w:rPr>
          <w:rFonts w:ascii="Arial" w:hAnsi="Arial" w:cs="Arial"/>
          <w:b/>
          <w:sz w:val="22"/>
          <w:szCs w:val="22"/>
        </w:rPr>
        <w:t>millones)</w:t>
      </w:r>
      <w:r w:rsidR="00B75FA6" w:rsidRPr="008B2B66">
        <w:rPr>
          <w:rFonts w:ascii="Arial" w:hAnsi="Arial" w:cs="Arial"/>
          <w:b/>
          <w:sz w:val="22"/>
          <w:szCs w:val="22"/>
        </w:rPr>
        <w:t xml:space="preserve">, </w:t>
      </w:r>
      <w:r w:rsidR="00B75FA6" w:rsidRPr="008B2B66">
        <w:rPr>
          <w:rFonts w:ascii="Arial" w:hAnsi="Arial" w:cs="Arial"/>
          <w:sz w:val="22"/>
          <w:szCs w:val="22"/>
        </w:rPr>
        <w:t>e</w:t>
      </w:r>
      <w:r w:rsidRPr="008B2B66">
        <w:rPr>
          <w:rFonts w:ascii="Arial" w:hAnsi="Arial" w:cs="Arial"/>
          <w:sz w:val="22"/>
          <w:szCs w:val="22"/>
        </w:rPr>
        <w:t>stá destinado a mejorar los resultados educativos de los alumnos de EM</w:t>
      </w:r>
      <w:r w:rsidR="00B75FA6" w:rsidRPr="008B2B66">
        <w:rPr>
          <w:rFonts w:ascii="Arial" w:hAnsi="Arial" w:cs="Arial"/>
          <w:sz w:val="22"/>
          <w:szCs w:val="22"/>
        </w:rPr>
        <w:t xml:space="preserve">; el </w:t>
      </w:r>
      <w:r w:rsidR="00B75FA6" w:rsidRPr="008B2B66">
        <w:rPr>
          <w:rFonts w:ascii="Arial" w:hAnsi="Arial" w:cs="Arial"/>
          <w:b/>
          <w:sz w:val="22"/>
          <w:szCs w:val="22"/>
        </w:rPr>
        <w:t>Componente 2</w:t>
      </w:r>
      <w:r w:rsidRPr="008B2B66">
        <w:rPr>
          <w:rFonts w:ascii="Arial" w:hAnsi="Arial" w:cs="Arial"/>
          <w:b/>
          <w:sz w:val="22"/>
          <w:szCs w:val="22"/>
        </w:rPr>
        <w:t xml:space="preserve"> </w:t>
      </w:r>
      <w:r w:rsidR="00B75FA6" w:rsidRPr="008B2B66">
        <w:rPr>
          <w:rFonts w:ascii="Arial" w:hAnsi="Arial" w:cs="Arial"/>
          <w:b/>
          <w:sz w:val="22"/>
          <w:szCs w:val="22"/>
        </w:rPr>
        <w:t>“</w:t>
      </w:r>
      <w:r w:rsidRPr="008B2B66">
        <w:rPr>
          <w:rFonts w:ascii="Arial" w:hAnsi="Arial" w:cs="Arial"/>
          <w:b/>
          <w:sz w:val="22"/>
          <w:szCs w:val="22"/>
        </w:rPr>
        <w:t>Formación en educación</w:t>
      </w:r>
      <w:r w:rsidR="00B75FA6" w:rsidRPr="008B2B66">
        <w:rPr>
          <w:rFonts w:ascii="Arial" w:hAnsi="Arial" w:cs="Arial"/>
          <w:b/>
          <w:sz w:val="22"/>
          <w:szCs w:val="22"/>
        </w:rPr>
        <w:t>”</w:t>
      </w:r>
      <w:r w:rsidRPr="008B2B66">
        <w:rPr>
          <w:rFonts w:ascii="Arial" w:hAnsi="Arial" w:cs="Arial"/>
          <w:b/>
          <w:sz w:val="22"/>
          <w:szCs w:val="22"/>
        </w:rPr>
        <w:t xml:space="preserve"> (US$</w:t>
      </w:r>
      <w:r w:rsidR="009804F4" w:rsidRPr="008B2B66">
        <w:rPr>
          <w:rFonts w:ascii="Arial" w:hAnsi="Arial" w:cs="Arial"/>
          <w:b/>
          <w:sz w:val="22"/>
          <w:szCs w:val="22"/>
        </w:rPr>
        <w:t xml:space="preserve"> 3,33 </w:t>
      </w:r>
      <w:r w:rsidRPr="008B2B66">
        <w:rPr>
          <w:rFonts w:ascii="Arial" w:hAnsi="Arial" w:cs="Arial"/>
          <w:b/>
          <w:sz w:val="22"/>
          <w:szCs w:val="22"/>
        </w:rPr>
        <w:t xml:space="preserve"> millones)</w:t>
      </w:r>
      <w:r w:rsidR="00B75FA6" w:rsidRPr="008B2B66">
        <w:rPr>
          <w:rFonts w:ascii="Arial" w:hAnsi="Arial" w:cs="Arial"/>
          <w:sz w:val="22"/>
          <w:szCs w:val="22"/>
        </w:rPr>
        <w:t xml:space="preserve">, tiene por objeto </w:t>
      </w:r>
      <w:r w:rsidRPr="008B2B66">
        <w:rPr>
          <w:rFonts w:ascii="Arial" w:hAnsi="Arial" w:cs="Arial"/>
          <w:sz w:val="22"/>
          <w:szCs w:val="22"/>
        </w:rPr>
        <w:t xml:space="preserve">fortalecer la </w:t>
      </w:r>
      <w:r w:rsidR="00B52633" w:rsidRPr="008B2B66">
        <w:rPr>
          <w:rFonts w:ascii="Arial" w:hAnsi="Arial" w:cs="Arial"/>
          <w:sz w:val="22"/>
          <w:szCs w:val="22"/>
        </w:rPr>
        <w:t xml:space="preserve">Formación Inicial </w:t>
      </w:r>
      <w:r w:rsidR="009804F4" w:rsidRPr="008B2B66">
        <w:rPr>
          <w:rFonts w:ascii="Arial" w:hAnsi="Arial" w:cs="Arial"/>
          <w:sz w:val="22"/>
          <w:szCs w:val="22"/>
        </w:rPr>
        <w:t xml:space="preserve">Docente </w:t>
      </w:r>
      <w:r w:rsidR="00B52633" w:rsidRPr="008B2B66">
        <w:rPr>
          <w:rFonts w:ascii="Arial" w:hAnsi="Arial" w:cs="Arial"/>
          <w:sz w:val="22"/>
          <w:szCs w:val="22"/>
        </w:rPr>
        <w:t>(FI)</w:t>
      </w:r>
      <w:r w:rsidRPr="008B2B66">
        <w:rPr>
          <w:rFonts w:ascii="Arial" w:hAnsi="Arial" w:cs="Arial"/>
          <w:sz w:val="22"/>
          <w:szCs w:val="22"/>
        </w:rPr>
        <w:t xml:space="preserve"> y el desarrollo profesional docente en EM</w:t>
      </w:r>
      <w:r w:rsidR="00B75FA6" w:rsidRPr="008B2B66">
        <w:rPr>
          <w:rFonts w:ascii="Arial" w:hAnsi="Arial" w:cs="Arial"/>
          <w:sz w:val="22"/>
          <w:szCs w:val="22"/>
        </w:rPr>
        <w:t xml:space="preserve">; </w:t>
      </w:r>
      <w:r w:rsidR="00B75FA6" w:rsidRPr="008B2B66">
        <w:rPr>
          <w:rFonts w:ascii="Arial" w:hAnsi="Arial" w:cs="Arial"/>
          <w:b/>
          <w:sz w:val="22"/>
          <w:szCs w:val="22"/>
        </w:rPr>
        <w:t xml:space="preserve">el </w:t>
      </w:r>
      <w:r w:rsidRPr="008B2B66">
        <w:rPr>
          <w:rFonts w:ascii="Arial" w:hAnsi="Arial" w:cs="Arial"/>
          <w:b/>
          <w:sz w:val="22"/>
          <w:szCs w:val="22"/>
        </w:rPr>
        <w:t>Componente 3</w:t>
      </w:r>
      <w:r w:rsidR="00B75FA6" w:rsidRPr="008B2B66">
        <w:rPr>
          <w:rFonts w:ascii="Arial" w:hAnsi="Arial" w:cs="Arial"/>
          <w:b/>
          <w:sz w:val="22"/>
          <w:szCs w:val="22"/>
        </w:rPr>
        <w:t xml:space="preserve"> </w:t>
      </w:r>
      <w:r w:rsidRPr="008B2B66">
        <w:rPr>
          <w:rFonts w:ascii="Arial" w:hAnsi="Arial" w:cs="Arial"/>
          <w:b/>
          <w:sz w:val="22"/>
          <w:szCs w:val="22"/>
        </w:rPr>
        <w:t xml:space="preserve"> </w:t>
      </w:r>
      <w:r w:rsidR="00B75FA6" w:rsidRPr="008B2B66">
        <w:rPr>
          <w:rFonts w:ascii="Arial" w:hAnsi="Arial" w:cs="Arial"/>
          <w:b/>
          <w:sz w:val="22"/>
          <w:szCs w:val="22"/>
        </w:rPr>
        <w:t>“</w:t>
      </w:r>
      <w:r w:rsidRPr="008B2B66">
        <w:rPr>
          <w:rFonts w:ascii="Arial" w:hAnsi="Arial" w:cs="Arial"/>
          <w:b/>
          <w:sz w:val="22"/>
          <w:szCs w:val="22"/>
        </w:rPr>
        <w:t xml:space="preserve">Integración </w:t>
      </w:r>
      <w:r w:rsidR="00336968" w:rsidRPr="008B2B66">
        <w:rPr>
          <w:rFonts w:ascii="Arial" w:hAnsi="Arial" w:cs="Arial"/>
          <w:b/>
          <w:sz w:val="22"/>
          <w:szCs w:val="22"/>
        </w:rPr>
        <w:t xml:space="preserve">territorial </w:t>
      </w:r>
      <w:r w:rsidRPr="008B2B66">
        <w:rPr>
          <w:rFonts w:ascii="Arial" w:hAnsi="Arial" w:cs="Arial"/>
          <w:b/>
          <w:sz w:val="22"/>
          <w:szCs w:val="22"/>
        </w:rPr>
        <w:t>y gestión para la mejora educativa</w:t>
      </w:r>
      <w:r w:rsidR="00B75FA6" w:rsidRPr="008B2B66">
        <w:rPr>
          <w:rFonts w:ascii="Arial" w:hAnsi="Arial" w:cs="Arial"/>
          <w:b/>
          <w:sz w:val="22"/>
          <w:szCs w:val="22"/>
        </w:rPr>
        <w:t>”</w:t>
      </w:r>
      <w:r w:rsidRPr="008B2B66">
        <w:rPr>
          <w:rFonts w:ascii="Arial" w:hAnsi="Arial" w:cs="Arial"/>
          <w:b/>
          <w:sz w:val="22"/>
          <w:szCs w:val="22"/>
        </w:rPr>
        <w:t xml:space="preserve"> (US$</w:t>
      </w:r>
      <w:r w:rsidR="009804F4" w:rsidRPr="008B2B66">
        <w:rPr>
          <w:rFonts w:ascii="Arial" w:hAnsi="Arial" w:cs="Arial"/>
          <w:b/>
          <w:sz w:val="22"/>
          <w:szCs w:val="22"/>
        </w:rPr>
        <w:t xml:space="preserve">12,65 </w:t>
      </w:r>
      <w:r w:rsidRPr="008B2B66">
        <w:rPr>
          <w:rFonts w:ascii="Arial" w:hAnsi="Arial" w:cs="Arial"/>
          <w:b/>
          <w:sz w:val="22"/>
          <w:szCs w:val="22"/>
        </w:rPr>
        <w:t xml:space="preserve"> millones)</w:t>
      </w:r>
      <w:r w:rsidR="00B75FA6" w:rsidRPr="008B2B66">
        <w:rPr>
          <w:rFonts w:ascii="Arial" w:hAnsi="Arial" w:cs="Arial"/>
          <w:b/>
          <w:sz w:val="22"/>
          <w:szCs w:val="22"/>
        </w:rPr>
        <w:t xml:space="preserve">, </w:t>
      </w:r>
      <w:r w:rsidR="00B75FA6" w:rsidRPr="008B2B66">
        <w:rPr>
          <w:rFonts w:ascii="Arial" w:hAnsi="Arial" w:cs="Arial"/>
          <w:sz w:val="22"/>
          <w:szCs w:val="22"/>
        </w:rPr>
        <w:t xml:space="preserve">tiene por objeto </w:t>
      </w:r>
      <w:r w:rsidRPr="008B2B66">
        <w:rPr>
          <w:rFonts w:ascii="Arial" w:hAnsi="Arial" w:cs="Arial"/>
          <w:sz w:val="22"/>
          <w:szCs w:val="22"/>
        </w:rPr>
        <w:t xml:space="preserve">fortalecer las capacidades de </w:t>
      </w:r>
      <w:r w:rsidR="00B52633" w:rsidRPr="008B2B66">
        <w:rPr>
          <w:rFonts w:ascii="Arial" w:hAnsi="Arial" w:cs="Arial"/>
          <w:sz w:val="22"/>
          <w:szCs w:val="22"/>
        </w:rPr>
        <w:t>la Administración Nacional de Educación Pública (ANEP)</w:t>
      </w:r>
      <w:r w:rsidRPr="008B2B66">
        <w:rPr>
          <w:rFonts w:ascii="Arial" w:hAnsi="Arial" w:cs="Arial"/>
          <w:sz w:val="22"/>
          <w:szCs w:val="22"/>
        </w:rPr>
        <w:t xml:space="preserve">, sus instancias locales, los Consejos de Secundaria y Educación Técnico Profesional y los centros educativos para gestionar y garantizar </w:t>
      </w:r>
      <w:r w:rsidR="00B75FA6" w:rsidRPr="008B2B66">
        <w:rPr>
          <w:rFonts w:ascii="Arial" w:hAnsi="Arial" w:cs="Arial"/>
          <w:sz w:val="22"/>
          <w:szCs w:val="22"/>
        </w:rPr>
        <w:t>una educación pública de calidad;</w:t>
      </w:r>
      <w:r w:rsidRPr="008B2B66">
        <w:rPr>
          <w:rFonts w:ascii="Arial" w:hAnsi="Arial" w:cs="Arial"/>
          <w:sz w:val="22"/>
          <w:szCs w:val="22"/>
        </w:rPr>
        <w:t xml:space="preserve"> </w:t>
      </w:r>
      <w:r w:rsidR="00B75FA6" w:rsidRPr="008B2B66">
        <w:rPr>
          <w:rFonts w:ascii="Arial" w:hAnsi="Arial" w:cs="Arial"/>
          <w:sz w:val="22"/>
          <w:szCs w:val="22"/>
        </w:rPr>
        <w:t xml:space="preserve">y el </w:t>
      </w:r>
      <w:r w:rsidRPr="008B2B66">
        <w:rPr>
          <w:rFonts w:ascii="Arial" w:hAnsi="Arial" w:cs="Arial"/>
          <w:b/>
          <w:sz w:val="22"/>
          <w:szCs w:val="22"/>
        </w:rPr>
        <w:t>Componente 4</w:t>
      </w:r>
      <w:r w:rsidR="00B75FA6" w:rsidRPr="008B2B66">
        <w:rPr>
          <w:rFonts w:ascii="Arial" w:hAnsi="Arial" w:cs="Arial"/>
          <w:b/>
          <w:sz w:val="22"/>
          <w:szCs w:val="22"/>
        </w:rPr>
        <w:t xml:space="preserve">: </w:t>
      </w:r>
      <w:r w:rsidRPr="008B2B66">
        <w:rPr>
          <w:rFonts w:ascii="Arial" w:hAnsi="Arial" w:cs="Arial"/>
          <w:b/>
          <w:sz w:val="22"/>
          <w:szCs w:val="22"/>
        </w:rPr>
        <w:t>Infraestructura para la mejora educativa  (US$</w:t>
      </w:r>
      <w:r w:rsidR="00C6662F">
        <w:t> </w:t>
      </w:r>
      <w:r w:rsidR="009804F4" w:rsidRPr="008B2B66">
        <w:rPr>
          <w:rFonts w:ascii="Arial" w:hAnsi="Arial" w:cs="Arial"/>
          <w:b/>
          <w:sz w:val="22"/>
          <w:szCs w:val="22"/>
        </w:rPr>
        <w:t>49,29</w:t>
      </w:r>
      <w:r w:rsidRPr="008B2B66">
        <w:rPr>
          <w:rFonts w:ascii="Arial" w:hAnsi="Arial" w:cs="Arial"/>
          <w:b/>
          <w:sz w:val="22"/>
          <w:szCs w:val="22"/>
        </w:rPr>
        <w:t xml:space="preserve"> millones)</w:t>
      </w:r>
      <w:r w:rsidR="00B75FA6" w:rsidRPr="008B2B66">
        <w:rPr>
          <w:rFonts w:ascii="Arial" w:hAnsi="Arial" w:cs="Arial"/>
          <w:b/>
          <w:sz w:val="22"/>
          <w:szCs w:val="22"/>
        </w:rPr>
        <w:t xml:space="preserve">,  </w:t>
      </w:r>
      <w:r w:rsidR="00B75FA6" w:rsidRPr="008B2B66">
        <w:rPr>
          <w:rFonts w:ascii="Arial" w:hAnsi="Arial" w:cs="Arial"/>
          <w:sz w:val="22"/>
          <w:szCs w:val="22"/>
        </w:rPr>
        <w:t>está destinado a a</w:t>
      </w:r>
      <w:r w:rsidRPr="008B2B66">
        <w:rPr>
          <w:rFonts w:ascii="Arial" w:hAnsi="Arial" w:cs="Arial"/>
          <w:sz w:val="22"/>
          <w:szCs w:val="22"/>
        </w:rPr>
        <w:t>umentar la cobertura de EM y de EM de jornada ampliada, y mejorar la infraestructura escolar</w:t>
      </w:r>
      <w:r w:rsidR="009804F4" w:rsidRPr="008B2B66">
        <w:rPr>
          <w:rStyle w:val="FootnoteReference"/>
          <w:rFonts w:ascii="Arial" w:hAnsi="Arial" w:cs="Arial"/>
          <w:sz w:val="22"/>
          <w:szCs w:val="22"/>
        </w:rPr>
        <w:footnoteReference w:id="2"/>
      </w:r>
      <w:r w:rsidR="00B75FA6" w:rsidRPr="008B2B66">
        <w:rPr>
          <w:rFonts w:ascii="Arial" w:hAnsi="Arial" w:cs="Arial"/>
          <w:sz w:val="22"/>
          <w:szCs w:val="22"/>
        </w:rPr>
        <w:t>.</w:t>
      </w:r>
    </w:p>
    <w:p w:rsidR="00251DFD" w:rsidRPr="008B2B66" w:rsidRDefault="00B75FA6" w:rsidP="00A57488">
      <w:pPr>
        <w:pStyle w:val="Paragraph"/>
        <w:numPr>
          <w:ilvl w:val="1"/>
          <w:numId w:val="5"/>
        </w:numPr>
        <w:ind w:left="720" w:hanging="720"/>
        <w:rPr>
          <w:rFonts w:ascii="Arial" w:hAnsi="Arial" w:cs="Arial"/>
          <w:bCs/>
          <w:sz w:val="22"/>
          <w:szCs w:val="22"/>
          <w:lang w:val="es-ES_tradnl"/>
        </w:rPr>
      </w:pPr>
      <w:r w:rsidRPr="008B2B66">
        <w:rPr>
          <w:rFonts w:ascii="Arial" w:hAnsi="Arial" w:cs="Arial"/>
          <w:bCs/>
          <w:sz w:val="22"/>
          <w:szCs w:val="22"/>
          <w:lang w:val="es-ES_tradnl"/>
        </w:rPr>
        <w:t xml:space="preserve">El </w:t>
      </w:r>
      <w:r w:rsidRPr="008B2B66">
        <w:rPr>
          <w:rFonts w:ascii="Arial" w:hAnsi="Arial" w:cs="Arial"/>
          <w:b/>
          <w:bCs/>
          <w:sz w:val="22"/>
          <w:szCs w:val="22"/>
          <w:lang w:val="es-ES_tradnl"/>
        </w:rPr>
        <w:t>Análisis</w:t>
      </w:r>
      <w:r w:rsidRPr="008B2B66">
        <w:rPr>
          <w:rFonts w:ascii="Arial" w:hAnsi="Arial" w:cs="Arial"/>
          <w:bCs/>
          <w:sz w:val="22"/>
          <w:szCs w:val="22"/>
          <w:lang w:val="es-ES_tradnl"/>
        </w:rPr>
        <w:t xml:space="preserve"> </w:t>
      </w:r>
      <w:r w:rsidRPr="008B2B66">
        <w:rPr>
          <w:rFonts w:ascii="Arial" w:hAnsi="Arial" w:cs="Arial"/>
          <w:b/>
          <w:bCs/>
          <w:sz w:val="22"/>
          <w:szCs w:val="22"/>
          <w:lang w:val="es-ES_tradnl"/>
        </w:rPr>
        <w:t>Económico</w:t>
      </w:r>
      <w:r w:rsidRPr="008B2B66">
        <w:rPr>
          <w:rFonts w:ascii="Arial" w:hAnsi="Arial" w:cs="Arial"/>
          <w:b/>
          <w:bCs/>
          <w:i/>
          <w:sz w:val="22"/>
          <w:szCs w:val="22"/>
          <w:lang w:val="es-ES_tradnl"/>
        </w:rPr>
        <w:t xml:space="preserve"> </w:t>
      </w:r>
      <w:r w:rsidRPr="008B2B66">
        <w:rPr>
          <w:rFonts w:ascii="Arial" w:hAnsi="Arial" w:cs="Arial"/>
          <w:bCs/>
          <w:sz w:val="22"/>
          <w:szCs w:val="22"/>
          <w:lang w:val="es-ES_tradnl"/>
        </w:rPr>
        <w:t xml:space="preserve">se concentra en </w:t>
      </w:r>
      <w:r w:rsidR="00E621A1" w:rsidRPr="008B2B66">
        <w:rPr>
          <w:rFonts w:ascii="Arial" w:hAnsi="Arial" w:cs="Arial"/>
          <w:bCs/>
          <w:sz w:val="22"/>
          <w:szCs w:val="22"/>
          <w:lang w:val="es-ES_tradnl"/>
        </w:rPr>
        <w:t>los resultados que se identifica</w:t>
      </w:r>
      <w:r w:rsidR="00EF52CA" w:rsidRPr="008B2B66">
        <w:rPr>
          <w:rFonts w:ascii="Arial" w:hAnsi="Arial" w:cs="Arial"/>
          <w:bCs/>
          <w:sz w:val="22"/>
          <w:szCs w:val="22"/>
          <w:lang w:val="es-ES_tradnl"/>
        </w:rPr>
        <w:t>n</w:t>
      </w:r>
      <w:r w:rsidR="00E621A1" w:rsidRPr="008B2B66">
        <w:rPr>
          <w:rFonts w:ascii="Arial" w:hAnsi="Arial" w:cs="Arial"/>
          <w:bCs/>
          <w:sz w:val="22"/>
          <w:szCs w:val="22"/>
          <w:lang w:val="es-ES_tradnl"/>
        </w:rPr>
        <w:t xml:space="preserve"> en el Componente 4 del programa vinculado al: </w:t>
      </w:r>
      <w:r w:rsidR="00E621A1" w:rsidRPr="008B2B66">
        <w:rPr>
          <w:rFonts w:ascii="Arial" w:hAnsi="Arial" w:cs="Arial"/>
          <w:sz w:val="22"/>
          <w:szCs w:val="22"/>
        </w:rPr>
        <w:t xml:space="preserve">(i) </w:t>
      </w:r>
      <w:r w:rsidRPr="008B2B66">
        <w:rPr>
          <w:rFonts w:ascii="Arial" w:hAnsi="Arial" w:cs="Arial"/>
          <w:sz w:val="22"/>
          <w:szCs w:val="22"/>
        </w:rPr>
        <w:t>diseño, construcción y equipamiento de 14 nuevos centros educativos de EM lo que permitirá aumentar la oferta de EM en 2.525 vacantes y la oferta de EM en jornada ampl</w:t>
      </w:r>
      <w:r w:rsidR="00E621A1" w:rsidRPr="008B2B66">
        <w:rPr>
          <w:rFonts w:ascii="Arial" w:hAnsi="Arial" w:cs="Arial"/>
          <w:sz w:val="22"/>
          <w:szCs w:val="22"/>
        </w:rPr>
        <w:t>iada en 1.925 vacantes; (ii)</w:t>
      </w:r>
      <w:r w:rsidR="00681401">
        <w:rPr>
          <w:rFonts w:ascii="Arial" w:hAnsi="Arial" w:cs="Arial"/>
          <w:sz w:val="22"/>
          <w:szCs w:val="22"/>
        </w:rPr>
        <w:t> </w:t>
      </w:r>
      <w:r w:rsidRPr="008B2B66">
        <w:rPr>
          <w:rFonts w:ascii="Arial" w:hAnsi="Arial" w:cs="Arial"/>
          <w:sz w:val="22"/>
          <w:szCs w:val="22"/>
        </w:rPr>
        <w:t xml:space="preserve">ampliación y equipamiento de 14 centros educativos de EM que </w:t>
      </w:r>
      <w:r w:rsidR="00251DFD" w:rsidRPr="008B2B66">
        <w:rPr>
          <w:rFonts w:ascii="Arial" w:hAnsi="Arial" w:cs="Arial"/>
          <w:sz w:val="22"/>
          <w:szCs w:val="22"/>
        </w:rPr>
        <w:t>beneficiará a 1.850 estudiantes</w:t>
      </w:r>
      <w:r w:rsidR="00681401">
        <w:rPr>
          <w:rFonts w:ascii="Arial" w:hAnsi="Arial" w:cs="Arial"/>
          <w:sz w:val="22"/>
          <w:szCs w:val="22"/>
        </w:rPr>
        <w:t>; (iii) </w:t>
      </w:r>
      <w:r w:rsidRPr="008B2B66">
        <w:rPr>
          <w:rFonts w:ascii="Arial" w:hAnsi="Arial" w:cs="Arial"/>
          <w:sz w:val="22"/>
          <w:szCs w:val="22"/>
        </w:rPr>
        <w:t>ampliación y equipamiento de 13</w:t>
      </w:r>
      <w:r w:rsidR="00C6662F">
        <w:rPr>
          <w:rFonts w:ascii="Arial" w:hAnsi="Arial" w:cs="Arial"/>
          <w:sz w:val="22"/>
          <w:szCs w:val="22"/>
        </w:rPr>
        <w:t> </w:t>
      </w:r>
      <w:r w:rsidRPr="008B2B66">
        <w:rPr>
          <w:rFonts w:ascii="Arial" w:hAnsi="Arial" w:cs="Arial"/>
          <w:sz w:val="22"/>
          <w:szCs w:val="22"/>
        </w:rPr>
        <w:t>centros de F</w:t>
      </w:r>
      <w:r w:rsidR="0016141A" w:rsidRPr="008B2B66">
        <w:rPr>
          <w:rFonts w:ascii="Arial" w:hAnsi="Arial" w:cs="Arial"/>
          <w:sz w:val="22"/>
          <w:szCs w:val="22"/>
        </w:rPr>
        <w:t>ormación Inicial</w:t>
      </w:r>
      <w:r w:rsidRPr="008B2B66">
        <w:rPr>
          <w:rFonts w:ascii="Arial" w:hAnsi="Arial" w:cs="Arial"/>
          <w:sz w:val="22"/>
          <w:szCs w:val="22"/>
        </w:rPr>
        <w:t xml:space="preserve"> lo que permitirá aumentar la oferta de F</w:t>
      </w:r>
      <w:r w:rsidR="0016141A" w:rsidRPr="008B2B66">
        <w:rPr>
          <w:rFonts w:ascii="Arial" w:hAnsi="Arial" w:cs="Arial"/>
          <w:sz w:val="22"/>
          <w:szCs w:val="22"/>
        </w:rPr>
        <w:t xml:space="preserve">ormación Educativa </w:t>
      </w:r>
      <w:r w:rsidRPr="008B2B66">
        <w:rPr>
          <w:rFonts w:ascii="Arial" w:hAnsi="Arial" w:cs="Arial"/>
          <w:sz w:val="22"/>
          <w:szCs w:val="22"/>
        </w:rPr>
        <w:t>e</w:t>
      </w:r>
      <w:r w:rsidR="00251DFD" w:rsidRPr="008B2B66">
        <w:rPr>
          <w:rFonts w:ascii="Arial" w:hAnsi="Arial" w:cs="Arial"/>
          <w:sz w:val="22"/>
          <w:szCs w:val="22"/>
        </w:rPr>
        <w:t>n 525</w:t>
      </w:r>
      <w:r w:rsidR="00681401">
        <w:rPr>
          <w:rFonts w:ascii="Arial" w:hAnsi="Arial" w:cs="Arial"/>
          <w:sz w:val="22"/>
          <w:szCs w:val="22"/>
        </w:rPr>
        <w:t> </w:t>
      </w:r>
      <w:r w:rsidR="00681401">
        <w:rPr>
          <w:rFonts w:ascii="Arial" w:hAnsi="Arial" w:cs="Arial"/>
          <w:sz w:val="22"/>
          <w:szCs w:val="22"/>
        </w:rPr>
        <w:tab/>
      </w:r>
      <w:r w:rsidR="00251DFD" w:rsidRPr="008B2B66">
        <w:rPr>
          <w:rFonts w:ascii="Arial" w:hAnsi="Arial" w:cs="Arial"/>
          <w:sz w:val="22"/>
          <w:szCs w:val="22"/>
        </w:rPr>
        <w:t>vacantes; y (iv</w:t>
      </w:r>
      <w:r w:rsidRPr="008B2B66">
        <w:rPr>
          <w:rFonts w:ascii="Arial" w:hAnsi="Arial" w:cs="Arial"/>
          <w:sz w:val="22"/>
          <w:szCs w:val="22"/>
        </w:rPr>
        <w:t xml:space="preserve">) apoyo para el fortalecimiento de </w:t>
      </w:r>
      <w:r w:rsidR="00B52633" w:rsidRPr="008B2B66">
        <w:rPr>
          <w:rFonts w:ascii="Arial" w:hAnsi="Arial" w:cs="Arial"/>
          <w:sz w:val="22"/>
          <w:szCs w:val="22"/>
        </w:rPr>
        <w:t>la ANEP</w:t>
      </w:r>
      <w:r w:rsidRPr="008B2B66">
        <w:rPr>
          <w:rFonts w:ascii="Arial" w:hAnsi="Arial" w:cs="Arial"/>
          <w:sz w:val="22"/>
          <w:szCs w:val="22"/>
        </w:rPr>
        <w:t xml:space="preserve"> para gestionar Alianzas Público-Privadas en infraestructura escolar</w:t>
      </w:r>
      <w:r w:rsidR="00282354" w:rsidRPr="008B2B66">
        <w:rPr>
          <w:rFonts w:ascii="Arial" w:hAnsi="Arial" w:cs="Arial"/>
          <w:sz w:val="22"/>
          <w:szCs w:val="22"/>
        </w:rPr>
        <w:t xml:space="preserve">, y </w:t>
      </w:r>
      <w:r w:rsidR="00EF52CA" w:rsidRPr="008B2B66">
        <w:rPr>
          <w:rFonts w:ascii="Arial" w:hAnsi="Arial" w:cs="Arial"/>
          <w:sz w:val="22"/>
          <w:szCs w:val="22"/>
        </w:rPr>
        <w:t xml:space="preserve">en </w:t>
      </w:r>
      <w:r w:rsidR="00282354" w:rsidRPr="008B2B66">
        <w:rPr>
          <w:rFonts w:ascii="Arial" w:hAnsi="Arial" w:cs="Arial"/>
          <w:sz w:val="22"/>
          <w:szCs w:val="22"/>
        </w:rPr>
        <w:t>e</w:t>
      </w:r>
      <w:r w:rsidR="00240DD9" w:rsidRPr="008B2B66">
        <w:rPr>
          <w:rFonts w:ascii="Arial" w:hAnsi="Arial" w:cs="Arial"/>
          <w:sz w:val="22"/>
          <w:szCs w:val="22"/>
        </w:rPr>
        <w:t xml:space="preserve">l Componente 1 que contempla: (i) la definición de perfiles de egreso y de progresión de aprendizajes para toda la EM, considerando la trayectoria completa del estudiante y el desarrollo e implementación de un nuevo marco curricular de referencia nacional; </w:t>
      </w:r>
      <w:r w:rsidR="00EF52CA" w:rsidRPr="008B2B66">
        <w:rPr>
          <w:rFonts w:ascii="Arial" w:hAnsi="Arial" w:cs="Arial"/>
          <w:sz w:val="22"/>
          <w:szCs w:val="22"/>
        </w:rPr>
        <w:t>y</w:t>
      </w:r>
      <w:r w:rsidR="00240DD9" w:rsidRPr="008B2B66">
        <w:rPr>
          <w:rFonts w:ascii="Arial" w:hAnsi="Arial" w:cs="Arial"/>
          <w:sz w:val="22"/>
          <w:szCs w:val="22"/>
        </w:rPr>
        <w:t xml:space="preserve"> (ii) el diseño, implementación, monitoreo y evaluación de una estrategia de expansión de la jornada escolar en EM , con el objetivo de mejorar los aprendizajes y la equidad educativa.</w:t>
      </w:r>
    </w:p>
    <w:p w:rsidR="00762DD8" w:rsidRPr="008B2B66" w:rsidRDefault="00762DD8" w:rsidP="00A57488">
      <w:pPr>
        <w:pStyle w:val="Paragraph"/>
        <w:numPr>
          <w:ilvl w:val="1"/>
          <w:numId w:val="5"/>
        </w:numPr>
        <w:ind w:left="720" w:hanging="689"/>
        <w:rPr>
          <w:rFonts w:ascii="Arial" w:hAnsi="Arial" w:cs="Arial"/>
          <w:b/>
          <w:sz w:val="22"/>
          <w:szCs w:val="22"/>
        </w:rPr>
      </w:pPr>
      <w:r w:rsidRPr="008B2B66">
        <w:rPr>
          <w:rFonts w:ascii="Arial" w:hAnsi="Arial" w:cs="Arial"/>
          <w:sz w:val="22"/>
          <w:szCs w:val="22"/>
        </w:rPr>
        <w:t xml:space="preserve">En la Tabla 1, se </w:t>
      </w:r>
      <w:r w:rsidR="0031723E" w:rsidRPr="008B2B66">
        <w:rPr>
          <w:rFonts w:ascii="Arial" w:hAnsi="Arial" w:cs="Arial"/>
          <w:sz w:val="22"/>
          <w:szCs w:val="22"/>
        </w:rPr>
        <w:t>describen los Productos y los Beneficios esperados a ser monetizados.</w:t>
      </w:r>
      <w:r w:rsidR="00254680" w:rsidRPr="008B2B66">
        <w:rPr>
          <w:rFonts w:ascii="Arial" w:hAnsi="Arial" w:cs="Arial"/>
          <w:b/>
          <w:sz w:val="22"/>
          <w:szCs w:val="22"/>
        </w:rPr>
        <w:t xml:space="preserve"> </w:t>
      </w:r>
      <w:r w:rsidRPr="008B2B66">
        <w:rPr>
          <w:rFonts w:ascii="Arial" w:hAnsi="Arial" w:cs="Arial"/>
          <w:b/>
          <w:sz w:val="22"/>
          <w:szCs w:val="22"/>
        </w:rPr>
        <w:br w:type="page"/>
      </w:r>
    </w:p>
    <w:p w:rsidR="00FE4C78" w:rsidRPr="008B2B66" w:rsidRDefault="00762DD8" w:rsidP="0031723E">
      <w:pPr>
        <w:pStyle w:val="Paragraph"/>
        <w:numPr>
          <w:ilvl w:val="0"/>
          <w:numId w:val="0"/>
        </w:numPr>
        <w:jc w:val="center"/>
        <w:rPr>
          <w:rFonts w:ascii="Arial" w:hAnsi="Arial" w:cs="Arial"/>
          <w:sz w:val="22"/>
          <w:szCs w:val="22"/>
        </w:rPr>
      </w:pPr>
      <w:r w:rsidRPr="008B2B66">
        <w:rPr>
          <w:rFonts w:ascii="Arial" w:hAnsi="Arial" w:cs="Arial"/>
          <w:b/>
          <w:sz w:val="22"/>
          <w:szCs w:val="22"/>
        </w:rPr>
        <w:lastRenderedPageBreak/>
        <w:t xml:space="preserve">Tabla 1. </w:t>
      </w:r>
      <w:r w:rsidR="00FE4C78" w:rsidRPr="008B2B66">
        <w:rPr>
          <w:rFonts w:ascii="Arial" w:hAnsi="Arial" w:cs="Arial"/>
          <w:b/>
          <w:sz w:val="22"/>
          <w:szCs w:val="22"/>
        </w:rPr>
        <w:t xml:space="preserve"> </w:t>
      </w:r>
      <w:r w:rsidR="0031723E" w:rsidRPr="008B2B66">
        <w:rPr>
          <w:rFonts w:ascii="Arial" w:hAnsi="Arial" w:cs="Arial"/>
          <w:b/>
          <w:sz w:val="22"/>
          <w:szCs w:val="22"/>
        </w:rPr>
        <w:t xml:space="preserve">Descripción de los Productos y </w:t>
      </w:r>
      <w:r w:rsidR="00FE4C78" w:rsidRPr="008B2B66">
        <w:rPr>
          <w:rFonts w:ascii="Arial" w:hAnsi="Arial" w:cs="Arial"/>
          <w:b/>
          <w:sz w:val="22"/>
          <w:szCs w:val="22"/>
        </w:rPr>
        <w:t>Resultados Esperados</w:t>
      </w:r>
      <w:r w:rsidR="007D2745" w:rsidRPr="008B2B66">
        <w:rPr>
          <w:rFonts w:ascii="Arial" w:hAnsi="Arial" w:cs="Arial"/>
          <w:b/>
          <w:sz w:val="22"/>
          <w:szCs w:val="22"/>
        </w:rPr>
        <w:t xml:space="preserve"> a conside</w:t>
      </w:r>
      <w:r w:rsidR="00922EBD" w:rsidRPr="008B2B66">
        <w:rPr>
          <w:rFonts w:ascii="Arial" w:hAnsi="Arial" w:cs="Arial"/>
          <w:b/>
          <w:sz w:val="22"/>
          <w:szCs w:val="22"/>
        </w:rPr>
        <w:t xml:space="preserve">rar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2073"/>
        <w:gridCol w:w="1952"/>
        <w:gridCol w:w="2643"/>
      </w:tblGrid>
      <w:tr w:rsidR="0031723E" w:rsidRPr="008B2B66" w:rsidTr="008A3BFE">
        <w:trPr>
          <w:trHeight w:hRule="exact" w:val="507"/>
          <w:jc w:val="center"/>
        </w:trPr>
        <w:tc>
          <w:tcPr>
            <w:tcW w:w="4361" w:type="dxa"/>
            <w:gridSpan w:val="2"/>
            <w:shd w:val="clear" w:color="auto" w:fill="D9D9D9" w:themeFill="background1" w:themeFillShade="D9"/>
            <w:vAlign w:val="center"/>
          </w:tcPr>
          <w:p w:rsidR="0031723E" w:rsidRPr="008B2B66" w:rsidRDefault="0031723E" w:rsidP="0031723E">
            <w:pPr>
              <w:pStyle w:val="Paragraph"/>
              <w:numPr>
                <w:ilvl w:val="0"/>
                <w:numId w:val="0"/>
              </w:numPr>
              <w:spacing w:before="0" w:after="0"/>
              <w:jc w:val="center"/>
              <w:rPr>
                <w:rFonts w:ascii="Arial" w:hAnsi="Arial" w:cs="Arial"/>
                <w:b/>
                <w:sz w:val="20"/>
              </w:rPr>
            </w:pPr>
            <w:r w:rsidRPr="008B2B66">
              <w:rPr>
                <w:rFonts w:ascii="Arial" w:hAnsi="Arial" w:cs="Arial"/>
                <w:b/>
                <w:sz w:val="20"/>
              </w:rPr>
              <w:t>Productos</w:t>
            </w:r>
          </w:p>
        </w:tc>
        <w:tc>
          <w:tcPr>
            <w:tcW w:w="4693" w:type="dxa"/>
            <w:gridSpan w:val="2"/>
            <w:shd w:val="clear" w:color="auto" w:fill="D9D9D9" w:themeFill="background1" w:themeFillShade="D9"/>
            <w:vAlign w:val="center"/>
          </w:tcPr>
          <w:p w:rsidR="0031723E" w:rsidRPr="008B2B66" w:rsidRDefault="0031723E" w:rsidP="0031723E">
            <w:pPr>
              <w:pStyle w:val="Paragraph"/>
              <w:numPr>
                <w:ilvl w:val="0"/>
                <w:numId w:val="0"/>
              </w:numPr>
              <w:spacing w:before="0" w:after="0"/>
              <w:jc w:val="center"/>
              <w:rPr>
                <w:rFonts w:ascii="Arial" w:hAnsi="Arial" w:cs="Arial"/>
                <w:b/>
                <w:sz w:val="20"/>
              </w:rPr>
            </w:pPr>
            <w:r w:rsidRPr="008B2B66">
              <w:rPr>
                <w:rFonts w:ascii="Arial" w:hAnsi="Arial" w:cs="Arial"/>
                <w:b/>
                <w:sz w:val="20"/>
              </w:rPr>
              <w:t>Beneficios</w:t>
            </w:r>
          </w:p>
        </w:tc>
      </w:tr>
      <w:tr w:rsidR="007D2745" w:rsidRPr="008B2B66" w:rsidTr="008A3BFE">
        <w:trPr>
          <w:trHeight w:hRule="exact" w:val="826"/>
          <w:jc w:val="center"/>
        </w:trPr>
        <w:tc>
          <w:tcPr>
            <w:tcW w:w="2235" w:type="dxa"/>
            <w:shd w:val="clear" w:color="auto" w:fill="D9D9D9" w:themeFill="background1" w:themeFillShade="D9"/>
            <w:vAlign w:val="center"/>
          </w:tcPr>
          <w:p w:rsidR="007D2745" w:rsidRPr="00A57488" w:rsidRDefault="007D2745" w:rsidP="0031723E">
            <w:pPr>
              <w:pStyle w:val="Paragraph"/>
              <w:numPr>
                <w:ilvl w:val="0"/>
                <w:numId w:val="0"/>
              </w:numPr>
              <w:spacing w:before="0" w:after="0"/>
              <w:jc w:val="center"/>
              <w:rPr>
                <w:rFonts w:ascii="Arial" w:hAnsi="Arial" w:cs="Arial"/>
                <w:sz w:val="18"/>
              </w:rPr>
            </w:pPr>
            <w:r w:rsidRPr="00A57488">
              <w:rPr>
                <w:rFonts w:ascii="Arial" w:hAnsi="Arial" w:cs="Arial"/>
                <w:sz w:val="18"/>
              </w:rPr>
              <w:t>Conceptos</w:t>
            </w:r>
          </w:p>
        </w:tc>
        <w:tc>
          <w:tcPr>
            <w:tcW w:w="2126" w:type="dxa"/>
            <w:shd w:val="clear" w:color="auto" w:fill="D9D9D9" w:themeFill="background1" w:themeFillShade="D9"/>
            <w:vAlign w:val="center"/>
          </w:tcPr>
          <w:p w:rsidR="007D2745" w:rsidRPr="00A57488" w:rsidRDefault="007D2745" w:rsidP="0031723E">
            <w:pPr>
              <w:pStyle w:val="Paragraph"/>
              <w:numPr>
                <w:ilvl w:val="0"/>
                <w:numId w:val="0"/>
              </w:numPr>
              <w:spacing w:before="0" w:after="0"/>
              <w:jc w:val="center"/>
              <w:rPr>
                <w:rFonts w:ascii="Arial" w:hAnsi="Arial" w:cs="Arial"/>
                <w:sz w:val="18"/>
              </w:rPr>
            </w:pPr>
            <w:r w:rsidRPr="00A57488">
              <w:rPr>
                <w:rFonts w:ascii="Arial" w:hAnsi="Arial" w:cs="Arial"/>
                <w:sz w:val="18"/>
              </w:rPr>
              <w:t>Cobertura en Educación</w:t>
            </w:r>
          </w:p>
        </w:tc>
        <w:tc>
          <w:tcPr>
            <w:tcW w:w="1984" w:type="dxa"/>
            <w:shd w:val="clear" w:color="auto" w:fill="D9D9D9" w:themeFill="background1" w:themeFillShade="D9"/>
            <w:vAlign w:val="center"/>
          </w:tcPr>
          <w:p w:rsidR="007D2745" w:rsidRPr="00A57488" w:rsidRDefault="007D2745" w:rsidP="0031723E">
            <w:pPr>
              <w:pStyle w:val="Paragraph"/>
              <w:numPr>
                <w:ilvl w:val="0"/>
                <w:numId w:val="0"/>
              </w:numPr>
              <w:spacing w:before="0" w:after="0"/>
              <w:jc w:val="center"/>
              <w:rPr>
                <w:rFonts w:ascii="Arial" w:hAnsi="Arial" w:cs="Arial"/>
                <w:sz w:val="18"/>
              </w:rPr>
            </w:pPr>
            <w:r w:rsidRPr="00A57488">
              <w:rPr>
                <w:rFonts w:ascii="Arial" w:hAnsi="Arial" w:cs="Arial"/>
                <w:sz w:val="18"/>
              </w:rPr>
              <w:t>Mejoras en los Salarios de los Egresados</w:t>
            </w:r>
          </w:p>
        </w:tc>
        <w:tc>
          <w:tcPr>
            <w:tcW w:w="2709" w:type="dxa"/>
            <w:shd w:val="clear" w:color="auto" w:fill="D9D9D9" w:themeFill="background1" w:themeFillShade="D9"/>
            <w:vAlign w:val="center"/>
          </w:tcPr>
          <w:p w:rsidR="008A3BFE" w:rsidRPr="00A57488" w:rsidRDefault="007D2745" w:rsidP="008A3BFE">
            <w:pPr>
              <w:pStyle w:val="Paragraph"/>
              <w:numPr>
                <w:ilvl w:val="0"/>
                <w:numId w:val="0"/>
              </w:numPr>
              <w:spacing w:before="0" w:after="0"/>
              <w:jc w:val="center"/>
              <w:rPr>
                <w:rFonts w:ascii="Arial" w:hAnsi="Arial" w:cs="Arial"/>
                <w:sz w:val="18"/>
              </w:rPr>
            </w:pPr>
            <w:r w:rsidRPr="00A57488">
              <w:rPr>
                <w:rFonts w:ascii="Arial" w:hAnsi="Arial" w:cs="Arial"/>
                <w:sz w:val="18"/>
              </w:rPr>
              <w:t>Ahorro de Costos</w:t>
            </w:r>
          </w:p>
          <w:p w:rsidR="007D2745" w:rsidRPr="00A57488" w:rsidRDefault="007D2745" w:rsidP="008A3BFE">
            <w:pPr>
              <w:pStyle w:val="Paragraph"/>
              <w:numPr>
                <w:ilvl w:val="0"/>
                <w:numId w:val="0"/>
              </w:numPr>
              <w:spacing w:before="0" w:after="0"/>
              <w:jc w:val="center"/>
              <w:rPr>
                <w:rFonts w:ascii="Arial" w:hAnsi="Arial" w:cs="Arial"/>
                <w:sz w:val="18"/>
              </w:rPr>
            </w:pPr>
            <w:r w:rsidRPr="00A57488">
              <w:rPr>
                <w:rFonts w:ascii="Arial" w:hAnsi="Arial" w:cs="Arial"/>
                <w:sz w:val="18"/>
              </w:rPr>
              <w:t>por Mejora de Eficiencia</w:t>
            </w:r>
          </w:p>
        </w:tc>
      </w:tr>
      <w:tr w:rsidR="007D2745" w:rsidRPr="008B2B66" w:rsidTr="008A3BFE">
        <w:trPr>
          <w:trHeight w:val="3241"/>
          <w:jc w:val="center"/>
        </w:trPr>
        <w:tc>
          <w:tcPr>
            <w:tcW w:w="2235" w:type="dxa"/>
            <w:shd w:val="clear" w:color="auto" w:fill="auto"/>
          </w:tcPr>
          <w:p w:rsidR="007D2745" w:rsidRPr="00A57488" w:rsidRDefault="007D2745" w:rsidP="008A3BFE">
            <w:pPr>
              <w:pStyle w:val="Paragraph"/>
              <w:numPr>
                <w:ilvl w:val="0"/>
                <w:numId w:val="0"/>
              </w:numPr>
              <w:spacing w:before="0" w:after="0"/>
              <w:jc w:val="left"/>
              <w:rPr>
                <w:rFonts w:ascii="Arial" w:hAnsi="Arial" w:cs="Arial"/>
                <w:sz w:val="18"/>
              </w:rPr>
            </w:pPr>
            <w:r w:rsidRPr="00A57488">
              <w:rPr>
                <w:rFonts w:ascii="Arial" w:hAnsi="Arial" w:cs="Arial"/>
                <w:sz w:val="18"/>
              </w:rPr>
              <w:t>Construcción y Equipamiento 14 Centros Nuevos Educativos en EM</w:t>
            </w:r>
          </w:p>
          <w:p w:rsidR="007D2745" w:rsidRPr="00A57488" w:rsidRDefault="007D2745" w:rsidP="008A3BFE">
            <w:pPr>
              <w:pStyle w:val="Paragraph"/>
              <w:numPr>
                <w:ilvl w:val="0"/>
                <w:numId w:val="0"/>
              </w:numPr>
              <w:spacing w:before="0" w:after="0"/>
              <w:jc w:val="left"/>
              <w:rPr>
                <w:rFonts w:ascii="Arial" w:hAnsi="Arial" w:cs="Arial"/>
                <w:sz w:val="18"/>
              </w:rPr>
            </w:pPr>
          </w:p>
          <w:p w:rsidR="008A3BFE" w:rsidRPr="00A57488" w:rsidRDefault="008A3BFE" w:rsidP="008A3BFE">
            <w:pPr>
              <w:pStyle w:val="Paragraph"/>
              <w:numPr>
                <w:ilvl w:val="0"/>
                <w:numId w:val="0"/>
              </w:numPr>
              <w:spacing w:before="0" w:after="0"/>
              <w:jc w:val="left"/>
              <w:rPr>
                <w:rFonts w:ascii="Arial" w:hAnsi="Arial" w:cs="Arial"/>
                <w:sz w:val="18"/>
              </w:rPr>
            </w:pPr>
          </w:p>
          <w:p w:rsidR="007D2745" w:rsidRPr="00A57488" w:rsidRDefault="007D2745" w:rsidP="008A3BFE">
            <w:pPr>
              <w:pStyle w:val="Paragraph"/>
              <w:numPr>
                <w:ilvl w:val="0"/>
                <w:numId w:val="0"/>
              </w:numPr>
              <w:spacing w:before="0" w:after="0"/>
              <w:jc w:val="left"/>
              <w:rPr>
                <w:rFonts w:ascii="Arial" w:hAnsi="Arial" w:cs="Arial"/>
                <w:sz w:val="18"/>
              </w:rPr>
            </w:pPr>
            <w:r w:rsidRPr="00A57488">
              <w:rPr>
                <w:rFonts w:ascii="Arial" w:hAnsi="Arial" w:cs="Arial"/>
                <w:sz w:val="18"/>
              </w:rPr>
              <w:t>Ampliación y Equipamiento en 14 Centro Preexistentes</w:t>
            </w:r>
          </w:p>
          <w:p w:rsidR="007D2745" w:rsidRPr="00A57488" w:rsidRDefault="007D2745" w:rsidP="008A3BFE">
            <w:pPr>
              <w:pStyle w:val="Paragraph"/>
              <w:numPr>
                <w:ilvl w:val="0"/>
                <w:numId w:val="0"/>
              </w:numPr>
              <w:spacing w:before="0" w:after="0"/>
              <w:jc w:val="left"/>
              <w:rPr>
                <w:rFonts w:ascii="Arial" w:hAnsi="Arial" w:cs="Arial"/>
                <w:sz w:val="18"/>
              </w:rPr>
            </w:pPr>
          </w:p>
          <w:p w:rsidR="007D2745" w:rsidRPr="00A57488" w:rsidRDefault="007D2745" w:rsidP="008A3BFE">
            <w:pPr>
              <w:pStyle w:val="Paragraph"/>
              <w:numPr>
                <w:ilvl w:val="0"/>
                <w:numId w:val="0"/>
              </w:numPr>
              <w:spacing w:before="0" w:after="0"/>
              <w:jc w:val="left"/>
              <w:rPr>
                <w:rFonts w:ascii="Arial" w:hAnsi="Arial" w:cs="Arial"/>
                <w:sz w:val="18"/>
              </w:rPr>
            </w:pPr>
            <w:r w:rsidRPr="00A57488">
              <w:rPr>
                <w:rFonts w:ascii="Arial" w:hAnsi="Arial" w:cs="Arial"/>
                <w:sz w:val="18"/>
              </w:rPr>
              <w:t>Ampliación y Equipamiento en 13 Centro Preexistentes de Formación Inicia</w:t>
            </w:r>
            <w:r w:rsidR="00240DD9" w:rsidRPr="00A57488">
              <w:rPr>
                <w:rFonts w:ascii="Arial" w:hAnsi="Arial" w:cs="Arial"/>
                <w:sz w:val="18"/>
              </w:rPr>
              <w:t xml:space="preserve"> </w:t>
            </w:r>
            <w:r w:rsidR="00EF52CA" w:rsidRPr="00A57488">
              <w:rPr>
                <w:rFonts w:ascii="Arial" w:hAnsi="Arial" w:cs="Arial"/>
                <w:sz w:val="18"/>
              </w:rPr>
              <w:t>Docente</w:t>
            </w:r>
            <w:r w:rsidR="00240DD9" w:rsidRPr="00A57488">
              <w:rPr>
                <w:rFonts w:ascii="Arial" w:hAnsi="Arial" w:cs="Arial"/>
                <w:sz w:val="18"/>
              </w:rPr>
              <w:t xml:space="preserve"> (FID)</w:t>
            </w:r>
          </w:p>
          <w:p w:rsidR="00D3541E" w:rsidRPr="00A57488" w:rsidRDefault="00D3541E" w:rsidP="008A3BFE">
            <w:pPr>
              <w:pStyle w:val="Paragraph"/>
              <w:numPr>
                <w:ilvl w:val="0"/>
                <w:numId w:val="0"/>
              </w:numPr>
              <w:spacing w:before="0" w:after="0"/>
              <w:jc w:val="left"/>
              <w:rPr>
                <w:rFonts w:ascii="Arial" w:hAnsi="Arial" w:cs="Arial"/>
                <w:sz w:val="18"/>
              </w:rPr>
            </w:pPr>
          </w:p>
          <w:p w:rsidR="00D3541E" w:rsidRPr="00A57488" w:rsidRDefault="00240DD9" w:rsidP="008A3BFE">
            <w:pPr>
              <w:pStyle w:val="Paragraph"/>
              <w:numPr>
                <w:ilvl w:val="0"/>
                <w:numId w:val="0"/>
              </w:numPr>
              <w:spacing w:before="0" w:after="0"/>
              <w:jc w:val="left"/>
              <w:rPr>
                <w:rFonts w:ascii="Arial" w:hAnsi="Arial" w:cs="Arial"/>
                <w:sz w:val="18"/>
              </w:rPr>
            </w:pPr>
            <w:r w:rsidRPr="00A57488">
              <w:rPr>
                <w:rFonts w:ascii="Arial" w:hAnsi="Arial" w:cs="Arial"/>
                <w:sz w:val="18"/>
              </w:rPr>
              <w:t>Estudiantes que se incorporan a la Educación Media bajo el nuevo marco curricular</w:t>
            </w:r>
          </w:p>
          <w:p w:rsidR="007D2745" w:rsidRPr="00A57488" w:rsidRDefault="007D2745" w:rsidP="008A3BFE">
            <w:pPr>
              <w:pStyle w:val="Paragraph"/>
              <w:numPr>
                <w:ilvl w:val="0"/>
                <w:numId w:val="0"/>
              </w:numPr>
              <w:spacing w:before="0" w:after="0"/>
              <w:jc w:val="left"/>
              <w:rPr>
                <w:rFonts w:ascii="Arial" w:hAnsi="Arial" w:cs="Arial"/>
                <w:sz w:val="18"/>
              </w:rPr>
            </w:pPr>
          </w:p>
        </w:tc>
        <w:tc>
          <w:tcPr>
            <w:tcW w:w="2126" w:type="dxa"/>
            <w:shd w:val="clear" w:color="auto" w:fill="auto"/>
          </w:tcPr>
          <w:p w:rsidR="007D2745" w:rsidRPr="00A57488" w:rsidRDefault="007D2745" w:rsidP="008A3BFE">
            <w:pPr>
              <w:pStyle w:val="Paragraph"/>
              <w:numPr>
                <w:ilvl w:val="0"/>
                <w:numId w:val="0"/>
              </w:numPr>
              <w:spacing w:before="0" w:after="0"/>
              <w:ind w:left="33"/>
              <w:jc w:val="left"/>
              <w:rPr>
                <w:rFonts w:ascii="Arial" w:hAnsi="Arial" w:cs="Arial"/>
                <w:sz w:val="18"/>
              </w:rPr>
            </w:pPr>
            <w:r w:rsidRPr="00A57488">
              <w:rPr>
                <w:rFonts w:ascii="Arial" w:hAnsi="Arial" w:cs="Arial"/>
                <w:sz w:val="18"/>
              </w:rPr>
              <w:t>2.525 vacantes en Educación  Media</w:t>
            </w:r>
          </w:p>
          <w:p w:rsidR="007D2745" w:rsidRPr="00A57488" w:rsidRDefault="007D2745" w:rsidP="008A3BFE">
            <w:pPr>
              <w:pStyle w:val="Paragraph"/>
              <w:numPr>
                <w:ilvl w:val="0"/>
                <w:numId w:val="0"/>
              </w:numPr>
              <w:spacing w:before="0" w:after="0"/>
              <w:ind w:left="2"/>
              <w:jc w:val="left"/>
              <w:rPr>
                <w:rFonts w:ascii="Arial" w:hAnsi="Arial" w:cs="Arial"/>
                <w:sz w:val="18"/>
              </w:rPr>
            </w:pPr>
            <w:r w:rsidRPr="00A57488">
              <w:rPr>
                <w:rFonts w:ascii="Arial" w:hAnsi="Arial" w:cs="Arial"/>
                <w:sz w:val="18"/>
              </w:rPr>
              <w:t>1.925 vacantes en Educación Media Ampliada</w:t>
            </w:r>
          </w:p>
          <w:p w:rsidR="007D2745" w:rsidRPr="00A57488" w:rsidRDefault="007D2745" w:rsidP="008A3BFE">
            <w:pPr>
              <w:pStyle w:val="Paragraph"/>
              <w:numPr>
                <w:ilvl w:val="0"/>
                <w:numId w:val="0"/>
              </w:numPr>
              <w:spacing w:before="0" w:after="0"/>
              <w:ind w:left="362"/>
              <w:jc w:val="left"/>
              <w:rPr>
                <w:rFonts w:ascii="Arial" w:hAnsi="Arial" w:cs="Arial"/>
                <w:sz w:val="18"/>
              </w:rPr>
            </w:pPr>
          </w:p>
          <w:p w:rsidR="007D2745" w:rsidRPr="00A57488" w:rsidRDefault="007D2745" w:rsidP="008A3BFE">
            <w:pPr>
              <w:pStyle w:val="Paragraph"/>
              <w:numPr>
                <w:ilvl w:val="0"/>
                <w:numId w:val="0"/>
              </w:numPr>
              <w:spacing w:before="0" w:after="0"/>
              <w:ind w:left="4"/>
              <w:jc w:val="left"/>
              <w:rPr>
                <w:rFonts w:ascii="Arial" w:hAnsi="Arial" w:cs="Arial"/>
                <w:sz w:val="18"/>
              </w:rPr>
            </w:pPr>
            <w:r w:rsidRPr="00A57488">
              <w:rPr>
                <w:rFonts w:ascii="Arial" w:hAnsi="Arial" w:cs="Arial"/>
                <w:sz w:val="18"/>
              </w:rPr>
              <w:t>1.850 vacantes en Educación  Media</w:t>
            </w:r>
          </w:p>
          <w:p w:rsidR="007D2745" w:rsidRPr="00A57488" w:rsidRDefault="007D2745" w:rsidP="008A3BFE">
            <w:pPr>
              <w:pStyle w:val="Paragraph"/>
              <w:numPr>
                <w:ilvl w:val="0"/>
                <w:numId w:val="0"/>
              </w:numPr>
              <w:spacing w:before="0" w:after="0"/>
              <w:ind w:left="1080" w:hanging="720"/>
              <w:jc w:val="left"/>
              <w:rPr>
                <w:rFonts w:ascii="Arial" w:hAnsi="Arial" w:cs="Arial"/>
                <w:sz w:val="18"/>
              </w:rPr>
            </w:pPr>
          </w:p>
          <w:p w:rsidR="00EF52CA" w:rsidRPr="00A57488" w:rsidRDefault="00EF52CA" w:rsidP="008A3BFE">
            <w:pPr>
              <w:pStyle w:val="Paragraph"/>
              <w:numPr>
                <w:ilvl w:val="0"/>
                <w:numId w:val="0"/>
              </w:numPr>
              <w:spacing w:before="0" w:after="0"/>
              <w:ind w:left="4"/>
              <w:jc w:val="left"/>
              <w:rPr>
                <w:rFonts w:ascii="Arial" w:hAnsi="Arial" w:cs="Arial"/>
                <w:sz w:val="18"/>
              </w:rPr>
            </w:pPr>
          </w:p>
          <w:p w:rsidR="007D2745" w:rsidRPr="00A57488" w:rsidRDefault="007D2745" w:rsidP="008A3BFE">
            <w:pPr>
              <w:pStyle w:val="Paragraph"/>
              <w:numPr>
                <w:ilvl w:val="0"/>
                <w:numId w:val="0"/>
              </w:numPr>
              <w:spacing w:before="0" w:after="0"/>
              <w:ind w:left="4"/>
              <w:jc w:val="left"/>
              <w:rPr>
                <w:rFonts w:ascii="Arial" w:hAnsi="Arial" w:cs="Arial"/>
                <w:sz w:val="18"/>
              </w:rPr>
            </w:pPr>
            <w:r w:rsidRPr="00A57488">
              <w:rPr>
                <w:rFonts w:ascii="Arial" w:hAnsi="Arial" w:cs="Arial"/>
                <w:sz w:val="18"/>
              </w:rPr>
              <w:t>525 vacantes en Formación  Inicial</w:t>
            </w:r>
          </w:p>
          <w:p w:rsidR="007D2745" w:rsidRPr="00A57488" w:rsidRDefault="007D2745" w:rsidP="008A3BFE">
            <w:pPr>
              <w:pStyle w:val="Paragraph"/>
              <w:numPr>
                <w:ilvl w:val="0"/>
                <w:numId w:val="0"/>
              </w:numPr>
              <w:spacing w:before="0" w:after="0"/>
              <w:ind w:left="362"/>
              <w:jc w:val="left"/>
              <w:rPr>
                <w:rFonts w:ascii="Arial" w:hAnsi="Arial" w:cs="Arial"/>
                <w:sz w:val="18"/>
              </w:rPr>
            </w:pPr>
          </w:p>
          <w:p w:rsidR="00D3541E" w:rsidRPr="00A57488" w:rsidRDefault="00D3541E" w:rsidP="008A3BFE">
            <w:pPr>
              <w:pStyle w:val="Paragraph"/>
              <w:numPr>
                <w:ilvl w:val="0"/>
                <w:numId w:val="0"/>
              </w:numPr>
              <w:spacing w:before="0" w:after="0"/>
              <w:ind w:left="362"/>
              <w:jc w:val="left"/>
              <w:rPr>
                <w:rFonts w:ascii="Arial" w:hAnsi="Arial" w:cs="Arial"/>
                <w:sz w:val="18"/>
              </w:rPr>
            </w:pPr>
          </w:p>
          <w:p w:rsidR="00D3541E" w:rsidRPr="00A57488" w:rsidRDefault="00D3541E" w:rsidP="008A3BFE">
            <w:pPr>
              <w:pStyle w:val="Paragraph"/>
              <w:numPr>
                <w:ilvl w:val="0"/>
                <w:numId w:val="0"/>
              </w:numPr>
              <w:spacing w:before="0" w:after="0"/>
              <w:ind w:left="362"/>
              <w:jc w:val="left"/>
              <w:rPr>
                <w:rFonts w:ascii="Arial" w:hAnsi="Arial" w:cs="Arial"/>
                <w:sz w:val="18"/>
              </w:rPr>
            </w:pPr>
          </w:p>
          <w:p w:rsidR="00EF52CA" w:rsidRPr="00A57488" w:rsidRDefault="00EF52CA" w:rsidP="00D3541E">
            <w:pPr>
              <w:pStyle w:val="Paragraph"/>
              <w:numPr>
                <w:ilvl w:val="0"/>
                <w:numId w:val="0"/>
              </w:numPr>
              <w:spacing w:before="0" w:after="0"/>
              <w:jc w:val="left"/>
              <w:rPr>
                <w:rFonts w:ascii="Arial" w:hAnsi="Arial" w:cs="Arial"/>
                <w:sz w:val="18"/>
              </w:rPr>
            </w:pPr>
          </w:p>
          <w:p w:rsidR="00D3541E" w:rsidRPr="00A57488" w:rsidRDefault="00D3541E" w:rsidP="00D3541E">
            <w:pPr>
              <w:pStyle w:val="Paragraph"/>
              <w:numPr>
                <w:ilvl w:val="0"/>
                <w:numId w:val="0"/>
              </w:numPr>
              <w:spacing w:before="0" w:after="0"/>
              <w:jc w:val="left"/>
              <w:rPr>
                <w:rFonts w:ascii="Arial" w:hAnsi="Arial" w:cs="Arial"/>
                <w:sz w:val="18"/>
              </w:rPr>
            </w:pPr>
            <w:r w:rsidRPr="00A57488">
              <w:rPr>
                <w:rFonts w:ascii="Arial" w:hAnsi="Arial" w:cs="Arial"/>
                <w:sz w:val="18"/>
              </w:rPr>
              <w:t>43.800 alumnos el primer año</w:t>
            </w:r>
          </w:p>
        </w:tc>
        <w:tc>
          <w:tcPr>
            <w:tcW w:w="1984" w:type="dxa"/>
          </w:tcPr>
          <w:p w:rsidR="00E621A1" w:rsidRPr="00A57488" w:rsidRDefault="00E621A1" w:rsidP="008A3BFE">
            <w:pPr>
              <w:pStyle w:val="Paragraph"/>
              <w:numPr>
                <w:ilvl w:val="0"/>
                <w:numId w:val="0"/>
              </w:numPr>
              <w:spacing w:before="0" w:after="0"/>
              <w:jc w:val="left"/>
              <w:rPr>
                <w:rFonts w:ascii="Arial" w:hAnsi="Arial" w:cs="Arial"/>
                <w:sz w:val="18"/>
              </w:rPr>
            </w:pPr>
          </w:p>
          <w:p w:rsidR="00E621A1" w:rsidRPr="00A57488" w:rsidRDefault="00E621A1" w:rsidP="008A3BFE">
            <w:pPr>
              <w:pStyle w:val="Paragraph"/>
              <w:numPr>
                <w:ilvl w:val="0"/>
                <w:numId w:val="0"/>
              </w:numPr>
              <w:spacing w:before="0" w:after="0"/>
              <w:jc w:val="left"/>
              <w:rPr>
                <w:rFonts w:ascii="Arial" w:hAnsi="Arial" w:cs="Arial"/>
                <w:sz w:val="18"/>
              </w:rPr>
            </w:pPr>
          </w:p>
          <w:p w:rsidR="00D3541E" w:rsidRPr="00A57488" w:rsidRDefault="00D3541E" w:rsidP="008A3BFE">
            <w:pPr>
              <w:pStyle w:val="Paragraph"/>
              <w:numPr>
                <w:ilvl w:val="0"/>
                <w:numId w:val="0"/>
              </w:numPr>
              <w:spacing w:before="0" w:after="0"/>
              <w:jc w:val="left"/>
              <w:rPr>
                <w:rFonts w:ascii="Arial" w:hAnsi="Arial" w:cs="Arial"/>
                <w:sz w:val="18"/>
              </w:rPr>
            </w:pPr>
          </w:p>
          <w:p w:rsidR="00EF52CA" w:rsidRPr="00A57488" w:rsidRDefault="00EF52CA" w:rsidP="008A3BFE">
            <w:pPr>
              <w:pStyle w:val="Paragraph"/>
              <w:numPr>
                <w:ilvl w:val="0"/>
                <w:numId w:val="0"/>
              </w:numPr>
              <w:spacing w:before="0" w:after="0"/>
              <w:jc w:val="left"/>
              <w:rPr>
                <w:rFonts w:ascii="Arial" w:hAnsi="Arial" w:cs="Arial"/>
                <w:sz w:val="18"/>
              </w:rPr>
            </w:pPr>
          </w:p>
          <w:p w:rsidR="00EF52CA" w:rsidRPr="00A57488" w:rsidRDefault="00EF52CA" w:rsidP="008A3BFE">
            <w:pPr>
              <w:pStyle w:val="Paragraph"/>
              <w:numPr>
                <w:ilvl w:val="0"/>
                <w:numId w:val="0"/>
              </w:numPr>
              <w:spacing w:before="0" w:after="0"/>
              <w:jc w:val="left"/>
              <w:rPr>
                <w:rFonts w:ascii="Arial" w:hAnsi="Arial" w:cs="Arial"/>
                <w:sz w:val="18"/>
              </w:rPr>
            </w:pPr>
          </w:p>
          <w:p w:rsidR="00EF52CA" w:rsidRPr="00A57488" w:rsidRDefault="00EF52CA" w:rsidP="008A3BFE">
            <w:pPr>
              <w:pStyle w:val="Paragraph"/>
              <w:numPr>
                <w:ilvl w:val="0"/>
                <w:numId w:val="0"/>
              </w:numPr>
              <w:spacing w:before="0" w:after="0"/>
              <w:jc w:val="left"/>
              <w:rPr>
                <w:rFonts w:ascii="Arial" w:hAnsi="Arial" w:cs="Arial"/>
                <w:sz w:val="18"/>
              </w:rPr>
            </w:pPr>
          </w:p>
          <w:p w:rsidR="00D3541E" w:rsidRPr="00A57488" w:rsidRDefault="00D3541E" w:rsidP="008A3BFE">
            <w:pPr>
              <w:pStyle w:val="Paragraph"/>
              <w:numPr>
                <w:ilvl w:val="0"/>
                <w:numId w:val="0"/>
              </w:numPr>
              <w:spacing w:before="0" w:after="0"/>
              <w:jc w:val="left"/>
              <w:rPr>
                <w:rFonts w:ascii="Arial" w:hAnsi="Arial" w:cs="Arial"/>
                <w:sz w:val="18"/>
              </w:rPr>
            </w:pPr>
          </w:p>
          <w:p w:rsidR="007D2745" w:rsidRPr="00A57488" w:rsidRDefault="007D2745" w:rsidP="008A3BFE">
            <w:pPr>
              <w:pStyle w:val="Paragraph"/>
              <w:numPr>
                <w:ilvl w:val="0"/>
                <w:numId w:val="0"/>
              </w:numPr>
              <w:spacing w:before="0" w:after="0"/>
              <w:jc w:val="left"/>
              <w:rPr>
                <w:rFonts w:ascii="Arial" w:hAnsi="Arial" w:cs="Arial"/>
                <w:sz w:val="18"/>
              </w:rPr>
            </w:pPr>
            <w:r w:rsidRPr="00A57488">
              <w:rPr>
                <w:rFonts w:ascii="Arial" w:hAnsi="Arial" w:cs="Arial"/>
                <w:sz w:val="18"/>
              </w:rPr>
              <w:t>Mejoras en los diferenciales salariales por incremento en las tasas de escolarización</w:t>
            </w:r>
            <w:r w:rsidR="00D3541E" w:rsidRPr="00A57488">
              <w:rPr>
                <w:rFonts w:ascii="Arial" w:hAnsi="Arial" w:cs="Arial"/>
                <w:sz w:val="18"/>
              </w:rPr>
              <w:t xml:space="preserve"> y aprobación</w:t>
            </w:r>
          </w:p>
          <w:p w:rsidR="007D2745" w:rsidRPr="00A57488" w:rsidRDefault="007D2745" w:rsidP="008A3BFE">
            <w:pPr>
              <w:pStyle w:val="Paragraph"/>
              <w:numPr>
                <w:ilvl w:val="0"/>
                <w:numId w:val="0"/>
              </w:numPr>
              <w:spacing w:before="0" w:after="0"/>
              <w:jc w:val="left"/>
              <w:rPr>
                <w:rFonts w:ascii="Arial" w:hAnsi="Arial" w:cs="Arial"/>
                <w:sz w:val="18"/>
              </w:rPr>
            </w:pPr>
          </w:p>
          <w:p w:rsidR="007D2745" w:rsidRPr="00A57488" w:rsidRDefault="007D2745" w:rsidP="008A3BFE">
            <w:pPr>
              <w:pStyle w:val="Paragraph"/>
              <w:numPr>
                <w:ilvl w:val="0"/>
                <w:numId w:val="0"/>
              </w:numPr>
              <w:spacing w:before="0" w:after="0"/>
              <w:jc w:val="left"/>
              <w:rPr>
                <w:rFonts w:ascii="Arial" w:hAnsi="Arial" w:cs="Arial"/>
                <w:sz w:val="18"/>
              </w:rPr>
            </w:pPr>
          </w:p>
        </w:tc>
        <w:tc>
          <w:tcPr>
            <w:tcW w:w="2709" w:type="dxa"/>
          </w:tcPr>
          <w:p w:rsidR="00D3541E" w:rsidRPr="00A57488" w:rsidRDefault="00D3541E" w:rsidP="008A3BFE">
            <w:pPr>
              <w:pStyle w:val="Paragraph"/>
              <w:numPr>
                <w:ilvl w:val="0"/>
                <w:numId w:val="0"/>
              </w:numPr>
              <w:spacing w:before="0" w:after="0"/>
              <w:jc w:val="left"/>
              <w:rPr>
                <w:rFonts w:ascii="Arial" w:hAnsi="Arial" w:cs="Arial"/>
                <w:sz w:val="18"/>
              </w:rPr>
            </w:pPr>
          </w:p>
          <w:p w:rsidR="00D3541E" w:rsidRPr="00A57488" w:rsidRDefault="00D3541E" w:rsidP="008A3BFE">
            <w:pPr>
              <w:pStyle w:val="Paragraph"/>
              <w:numPr>
                <w:ilvl w:val="0"/>
                <w:numId w:val="0"/>
              </w:numPr>
              <w:spacing w:before="0" w:after="0"/>
              <w:jc w:val="left"/>
              <w:rPr>
                <w:rFonts w:ascii="Arial" w:hAnsi="Arial" w:cs="Arial"/>
                <w:sz w:val="18"/>
              </w:rPr>
            </w:pPr>
          </w:p>
          <w:p w:rsidR="00EF52CA" w:rsidRPr="00A57488" w:rsidRDefault="00EF52CA" w:rsidP="008A3BFE">
            <w:pPr>
              <w:pStyle w:val="Paragraph"/>
              <w:numPr>
                <w:ilvl w:val="0"/>
                <w:numId w:val="0"/>
              </w:numPr>
              <w:spacing w:before="0" w:after="0"/>
              <w:jc w:val="left"/>
              <w:rPr>
                <w:rFonts w:ascii="Arial" w:hAnsi="Arial" w:cs="Arial"/>
                <w:sz w:val="18"/>
              </w:rPr>
            </w:pPr>
          </w:p>
          <w:p w:rsidR="00EF52CA" w:rsidRPr="00A57488" w:rsidRDefault="00EF52CA" w:rsidP="008A3BFE">
            <w:pPr>
              <w:pStyle w:val="Paragraph"/>
              <w:numPr>
                <w:ilvl w:val="0"/>
                <w:numId w:val="0"/>
              </w:numPr>
              <w:spacing w:before="0" w:after="0"/>
              <w:jc w:val="left"/>
              <w:rPr>
                <w:rFonts w:ascii="Arial" w:hAnsi="Arial" w:cs="Arial"/>
                <w:sz w:val="18"/>
              </w:rPr>
            </w:pPr>
          </w:p>
          <w:p w:rsidR="00EF52CA" w:rsidRPr="00A57488" w:rsidRDefault="00EF52CA" w:rsidP="008A3BFE">
            <w:pPr>
              <w:pStyle w:val="Paragraph"/>
              <w:numPr>
                <w:ilvl w:val="0"/>
                <w:numId w:val="0"/>
              </w:numPr>
              <w:spacing w:before="0" w:after="0"/>
              <w:jc w:val="left"/>
              <w:rPr>
                <w:rFonts w:ascii="Arial" w:hAnsi="Arial" w:cs="Arial"/>
                <w:sz w:val="18"/>
              </w:rPr>
            </w:pPr>
          </w:p>
          <w:p w:rsidR="00EF52CA" w:rsidRPr="00A57488" w:rsidRDefault="00EF52CA" w:rsidP="008A3BFE">
            <w:pPr>
              <w:pStyle w:val="Paragraph"/>
              <w:numPr>
                <w:ilvl w:val="0"/>
                <w:numId w:val="0"/>
              </w:numPr>
              <w:spacing w:before="0" w:after="0"/>
              <w:jc w:val="left"/>
              <w:rPr>
                <w:rFonts w:ascii="Arial" w:hAnsi="Arial" w:cs="Arial"/>
                <w:sz w:val="18"/>
              </w:rPr>
            </w:pPr>
          </w:p>
          <w:p w:rsidR="007D2745" w:rsidRPr="00A57488" w:rsidRDefault="007D2745" w:rsidP="008A3BFE">
            <w:pPr>
              <w:pStyle w:val="Paragraph"/>
              <w:numPr>
                <w:ilvl w:val="0"/>
                <w:numId w:val="0"/>
              </w:numPr>
              <w:spacing w:before="0" w:after="0"/>
              <w:jc w:val="left"/>
              <w:rPr>
                <w:rFonts w:ascii="Arial" w:hAnsi="Arial" w:cs="Arial"/>
                <w:sz w:val="18"/>
              </w:rPr>
            </w:pPr>
            <w:r w:rsidRPr="00A57488">
              <w:rPr>
                <w:rFonts w:ascii="Arial" w:hAnsi="Arial" w:cs="Arial"/>
                <w:sz w:val="18"/>
              </w:rPr>
              <w:t>Menor abandono y mayores tasas de aprobación en la EM</w:t>
            </w:r>
          </w:p>
          <w:p w:rsidR="007D2745" w:rsidRPr="00A57488" w:rsidRDefault="007D2745" w:rsidP="008A3BFE">
            <w:pPr>
              <w:pStyle w:val="Paragraph"/>
              <w:numPr>
                <w:ilvl w:val="0"/>
                <w:numId w:val="0"/>
              </w:numPr>
              <w:spacing w:before="0" w:after="0"/>
              <w:jc w:val="left"/>
              <w:rPr>
                <w:rFonts w:ascii="Arial" w:hAnsi="Arial" w:cs="Arial"/>
                <w:sz w:val="18"/>
              </w:rPr>
            </w:pPr>
          </w:p>
          <w:p w:rsidR="007D2745" w:rsidRPr="00A57488" w:rsidRDefault="007D2745" w:rsidP="008A3BFE">
            <w:pPr>
              <w:pStyle w:val="Paragraph"/>
              <w:numPr>
                <w:ilvl w:val="0"/>
                <w:numId w:val="0"/>
              </w:numPr>
              <w:spacing w:before="0" w:after="0"/>
              <w:jc w:val="left"/>
              <w:rPr>
                <w:rFonts w:ascii="Arial" w:hAnsi="Arial" w:cs="Arial"/>
                <w:sz w:val="18"/>
              </w:rPr>
            </w:pPr>
            <w:r w:rsidRPr="00A57488">
              <w:rPr>
                <w:rFonts w:ascii="Arial" w:hAnsi="Arial" w:cs="Arial"/>
                <w:sz w:val="18"/>
              </w:rPr>
              <w:t>Mejoras en el desempeño de los alumnos en el EM,</w:t>
            </w:r>
          </w:p>
          <w:p w:rsidR="007D2745" w:rsidRPr="00A57488" w:rsidRDefault="007D2745" w:rsidP="008A3BFE">
            <w:pPr>
              <w:pStyle w:val="Paragraph"/>
              <w:numPr>
                <w:ilvl w:val="0"/>
                <w:numId w:val="0"/>
              </w:numPr>
              <w:spacing w:before="0" w:after="0"/>
              <w:jc w:val="left"/>
              <w:rPr>
                <w:rFonts w:ascii="Arial" w:hAnsi="Arial" w:cs="Arial"/>
                <w:sz w:val="18"/>
              </w:rPr>
            </w:pPr>
          </w:p>
          <w:p w:rsidR="007D2745" w:rsidRPr="00A57488" w:rsidRDefault="007D2745" w:rsidP="00D3541E">
            <w:pPr>
              <w:pStyle w:val="Paragraph"/>
              <w:numPr>
                <w:ilvl w:val="0"/>
                <w:numId w:val="0"/>
              </w:numPr>
              <w:spacing w:before="0" w:after="0"/>
              <w:jc w:val="left"/>
              <w:rPr>
                <w:rFonts w:ascii="Arial" w:hAnsi="Arial" w:cs="Arial"/>
                <w:sz w:val="18"/>
              </w:rPr>
            </w:pPr>
            <w:r w:rsidRPr="00A57488">
              <w:rPr>
                <w:rFonts w:ascii="Arial" w:hAnsi="Arial" w:cs="Arial"/>
                <w:sz w:val="18"/>
              </w:rPr>
              <w:t>Mejoras en el desempeño de los alumnos en la EM como resultado de las mejoras en la infraestructura, equipamiento</w:t>
            </w:r>
          </w:p>
        </w:tc>
      </w:tr>
    </w:tbl>
    <w:p w:rsidR="00FE4C78" w:rsidRPr="008B2B66" w:rsidRDefault="00FE4C78" w:rsidP="008A3BFE">
      <w:pPr>
        <w:pStyle w:val="Paragraph"/>
        <w:numPr>
          <w:ilvl w:val="0"/>
          <w:numId w:val="0"/>
        </w:numPr>
        <w:rPr>
          <w:rFonts w:ascii="Arial" w:hAnsi="Arial" w:cs="Arial"/>
          <w:sz w:val="22"/>
          <w:szCs w:val="22"/>
        </w:rPr>
      </w:pPr>
    </w:p>
    <w:p w:rsidR="00345B15" w:rsidRPr="008B2B66" w:rsidRDefault="00345B15" w:rsidP="00681401">
      <w:pPr>
        <w:pStyle w:val="Heading1"/>
        <w:numPr>
          <w:ilvl w:val="0"/>
          <w:numId w:val="1"/>
        </w:numPr>
        <w:spacing w:before="120" w:after="120"/>
        <w:ind w:left="720" w:hanging="720"/>
        <w:rPr>
          <w:rFonts w:ascii="Arial" w:hAnsi="Arial" w:cs="Arial"/>
          <w:smallCaps/>
          <w:sz w:val="24"/>
          <w:szCs w:val="24"/>
        </w:rPr>
      </w:pPr>
      <w:r w:rsidRPr="008B2B66">
        <w:rPr>
          <w:rFonts w:ascii="Arial" w:hAnsi="Arial" w:cs="Arial"/>
          <w:smallCaps/>
          <w:sz w:val="24"/>
          <w:szCs w:val="24"/>
        </w:rPr>
        <w:t>Metodología</w:t>
      </w:r>
    </w:p>
    <w:p w:rsidR="00F35A28" w:rsidRPr="008B2B66" w:rsidRDefault="00762DD8" w:rsidP="009B7D0C">
      <w:pPr>
        <w:ind w:left="720"/>
        <w:rPr>
          <w:rFonts w:ascii="Arial" w:hAnsi="Arial" w:cs="Arial"/>
          <w:sz w:val="22"/>
          <w:szCs w:val="22"/>
        </w:rPr>
      </w:pPr>
      <w:r w:rsidRPr="008B2B66">
        <w:rPr>
          <w:rFonts w:ascii="Arial" w:hAnsi="Arial" w:cs="Arial"/>
          <w:sz w:val="22"/>
          <w:szCs w:val="22"/>
        </w:rPr>
        <w:t>Para llevar a delante la evaluación, se utilizó la siguiente metodología:</w:t>
      </w:r>
    </w:p>
    <w:p w:rsidR="00254680" w:rsidRPr="008B2B66" w:rsidRDefault="006D6689" w:rsidP="00621862">
      <w:pPr>
        <w:pStyle w:val="Paragraph"/>
        <w:numPr>
          <w:ilvl w:val="0"/>
          <w:numId w:val="10"/>
        </w:numPr>
        <w:ind w:left="720" w:hanging="720"/>
        <w:rPr>
          <w:rFonts w:ascii="Arial" w:hAnsi="Arial" w:cs="Arial"/>
          <w:sz w:val="22"/>
          <w:szCs w:val="22"/>
        </w:rPr>
      </w:pPr>
      <w:r w:rsidRPr="008B2B66">
        <w:rPr>
          <w:rFonts w:ascii="Arial" w:hAnsi="Arial" w:cs="Arial"/>
          <w:b/>
          <w:sz w:val="22"/>
          <w:szCs w:val="22"/>
        </w:rPr>
        <w:t>Beneficios</w:t>
      </w:r>
      <w:r w:rsidR="00345B15" w:rsidRPr="008B2B66">
        <w:rPr>
          <w:rFonts w:ascii="Arial" w:hAnsi="Arial" w:cs="Arial"/>
          <w:b/>
          <w:sz w:val="22"/>
          <w:szCs w:val="22"/>
        </w:rPr>
        <w:t xml:space="preserve"> Económicos</w:t>
      </w:r>
      <w:r w:rsidR="00254680" w:rsidRPr="008B2B66">
        <w:rPr>
          <w:rFonts w:ascii="Arial" w:hAnsi="Arial" w:cs="Arial"/>
          <w:sz w:val="22"/>
          <w:szCs w:val="22"/>
        </w:rPr>
        <w:t>.</w:t>
      </w:r>
    </w:p>
    <w:p w:rsidR="00370482" w:rsidRPr="008B2B66" w:rsidRDefault="00254680" w:rsidP="00681401">
      <w:pPr>
        <w:pStyle w:val="Paragraph"/>
        <w:numPr>
          <w:ilvl w:val="1"/>
          <w:numId w:val="7"/>
        </w:numPr>
        <w:ind w:left="720" w:hanging="720"/>
        <w:rPr>
          <w:rFonts w:ascii="Arial" w:hAnsi="Arial" w:cs="Arial"/>
          <w:i/>
          <w:sz w:val="22"/>
          <w:szCs w:val="22"/>
        </w:rPr>
      </w:pPr>
      <w:r w:rsidRPr="008B2B66">
        <w:rPr>
          <w:rFonts w:ascii="Arial" w:hAnsi="Arial" w:cs="Arial"/>
          <w:sz w:val="22"/>
          <w:szCs w:val="22"/>
        </w:rPr>
        <w:t xml:space="preserve">Se </w:t>
      </w:r>
      <w:r w:rsidR="00762DD8" w:rsidRPr="008B2B66">
        <w:rPr>
          <w:rFonts w:ascii="Arial" w:hAnsi="Arial" w:cs="Arial"/>
          <w:sz w:val="22"/>
          <w:szCs w:val="22"/>
        </w:rPr>
        <w:t>estim</w:t>
      </w:r>
      <w:r w:rsidRPr="008B2B66">
        <w:rPr>
          <w:rFonts w:ascii="Arial" w:hAnsi="Arial" w:cs="Arial"/>
          <w:sz w:val="22"/>
          <w:szCs w:val="22"/>
        </w:rPr>
        <w:t xml:space="preserve">aron </w:t>
      </w:r>
      <w:r w:rsidR="00762DD8" w:rsidRPr="008B2B66">
        <w:rPr>
          <w:rFonts w:ascii="Arial" w:hAnsi="Arial" w:cs="Arial"/>
          <w:sz w:val="22"/>
          <w:szCs w:val="22"/>
        </w:rPr>
        <w:t xml:space="preserve">los beneficios sociales del proyecto, que se derivan de la ampliación de la oferta de </w:t>
      </w:r>
      <w:r w:rsidRPr="008B2B66">
        <w:rPr>
          <w:rFonts w:ascii="Arial" w:hAnsi="Arial" w:cs="Arial"/>
          <w:sz w:val="22"/>
          <w:szCs w:val="22"/>
        </w:rPr>
        <w:t>Educación Media</w:t>
      </w:r>
      <w:r w:rsidR="00762DD8" w:rsidRPr="008B2B66">
        <w:rPr>
          <w:rFonts w:ascii="Arial" w:hAnsi="Arial" w:cs="Arial"/>
          <w:sz w:val="22"/>
          <w:szCs w:val="22"/>
        </w:rPr>
        <w:t xml:space="preserve"> </w:t>
      </w:r>
      <w:r w:rsidRPr="008B2B66">
        <w:rPr>
          <w:rFonts w:ascii="Arial" w:hAnsi="Arial" w:cs="Arial"/>
          <w:sz w:val="22"/>
          <w:szCs w:val="22"/>
        </w:rPr>
        <w:t>en jornada simple y de la Educación Media en Jornada completa</w:t>
      </w:r>
      <w:r w:rsidR="00762DD8" w:rsidRPr="008B2B66">
        <w:rPr>
          <w:rFonts w:ascii="Arial" w:hAnsi="Arial" w:cs="Arial"/>
          <w:sz w:val="22"/>
          <w:szCs w:val="22"/>
        </w:rPr>
        <w:t xml:space="preserve">, así como </w:t>
      </w:r>
      <w:r w:rsidR="00240DD9" w:rsidRPr="008B2B66">
        <w:rPr>
          <w:rFonts w:ascii="Arial" w:hAnsi="Arial" w:cs="Arial"/>
          <w:sz w:val="22"/>
          <w:szCs w:val="22"/>
        </w:rPr>
        <w:t>las mejoras esperadas en los resultado</w:t>
      </w:r>
      <w:r w:rsidR="00EF52CA" w:rsidRPr="008B2B66">
        <w:rPr>
          <w:rFonts w:ascii="Arial" w:hAnsi="Arial" w:cs="Arial"/>
          <w:sz w:val="22"/>
          <w:szCs w:val="22"/>
        </w:rPr>
        <w:t>s</w:t>
      </w:r>
      <w:r w:rsidR="00240DD9" w:rsidRPr="008B2B66">
        <w:rPr>
          <w:rFonts w:ascii="Arial" w:hAnsi="Arial" w:cs="Arial"/>
          <w:sz w:val="22"/>
          <w:szCs w:val="22"/>
        </w:rPr>
        <w:t xml:space="preserve"> de los alumnos de la EM por la implantación de un nuevo marco curricular</w:t>
      </w:r>
      <w:r w:rsidR="00EF52CA" w:rsidRPr="008B2B66">
        <w:rPr>
          <w:rFonts w:ascii="Arial" w:hAnsi="Arial" w:cs="Arial"/>
          <w:sz w:val="22"/>
          <w:szCs w:val="22"/>
        </w:rPr>
        <w:t xml:space="preserve">. </w:t>
      </w:r>
      <w:r w:rsidR="006D6689" w:rsidRPr="008B2B66">
        <w:rPr>
          <w:rFonts w:ascii="Arial" w:hAnsi="Arial" w:cs="Arial"/>
          <w:sz w:val="22"/>
          <w:szCs w:val="22"/>
        </w:rPr>
        <w:t xml:space="preserve">Los resultados educativos esperados del Programa se </w:t>
      </w:r>
      <w:r w:rsidR="00EE10C4" w:rsidRPr="008B2B66">
        <w:rPr>
          <w:rFonts w:ascii="Arial" w:hAnsi="Arial" w:cs="Arial"/>
          <w:sz w:val="22"/>
          <w:szCs w:val="22"/>
        </w:rPr>
        <w:t>vinculan a dos tipologías:</w:t>
      </w:r>
      <w:r w:rsidR="00762DD8" w:rsidRPr="008B2B66">
        <w:rPr>
          <w:rFonts w:ascii="Arial" w:hAnsi="Arial" w:cs="Arial"/>
          <w:sz w:val="22"/>
          <w:szCs w:val="22"/>
        </w:rPr>
        <w:t xml:space="preserve"> </w:t>
      </w:r>
      <w:r w:rsidR="006D6689" w:rsidRPr="008B2B66">
        <w:rPr>
          <w:rFonts w:ascii="Arial" w:hAnsi="Arial" w:cs="Arial"/>
          <w:sz w:val="22"/>
          <w:szCs w:val="22"/>
        </w:rPr>
        <w:t xml:space="preserve">i) </w:t>
      </w:r>
      <w:r w:rsidR="006D6689" w:rsidRPr="008B2B66">
        <w:rPr>
          <w:rFonts w:ascii="Arial" w:hAnsi="Arial" w:cs="Arial"/>
          <w:i/>
          <w:sz w:val="22"/>
          <w:szCs w:val="22"/>
        </w:rPr>
        <w:t>mejoras en los salarios esperados como resultado de mayores niveles de escolaridad</w:t>
      </w:r>
      <w:r w:rsidR="006D6689" w:rsidRPr="008B2B66">
        <w:rPr>
          <w:rFonts w:ascii="Arial" w:hAnsi="Arial" w:cs="Arial"/>
          <w:sz w:val="22"/>
          <w:szCs w:val="22"/>
        </w:rPr>
        <w:t xml:space="preserve">; y ii) </w:t>
      </w:r>
      <w:r w:rsidR="006D6689" w:rsidRPr="008B2B66">
        <w:rPr>
          <w:rFonts w:ascii="Arial" w:hAnsi="Arial" w:cs="Arial"/>
          <w:i/>
          <w:sz w:val="22"/>
          <w:szCs w:val="22"/>
        </w:rPr>
        <w:t xml:space="preserve">ahorros en costos recurrentes del sistema educativo resultantes de las mayores tasas de aprobación y las consiguientes mejoras en la </w:t>
      </w:r>
      <w:r w:rsidR="00587771" w:rsidRPr="008B2B66">
        <w:rPr>
          <w:rFonts w:ascii="Arial" w:hAnsi="Arial" w:cs="Arial"/>
          <w:i/>
          <w:sz w:val="22"/>
          <w:szCs w:val="22"/>
        </w:rPr>
        <w:t>eficiencia interna del sistema</w:t>
      </w:r>
    </w:p>
    <w:p w:rsidR="005053D0" w:rsidRPr="008B2B66" w:rsidRDefault="00BF60B5" w:rsidP="00681401">
      <w:pPr>
        <w:pStyle w:val="Paragraph"/>
        <w:numPr>
          <w:ilvl w:val="1"/>
          <w:numId w:val="7"/>
        </w:numPr>
        <w:ind w:left="720" w:hanging="720"/>
        <w:rPr>
          <w:rFonts w:ascii="Arial" w:hAnsi="Arial" w:cs="Arial"/>
          <w:b/>
          <w:sz w:val="22"/>
          <w:szCs w:val="22"/>
        </w:rPr>
      </w:pPr>
      <w:r w:rsidRPr="008B2B66">
        <w:rPr>
          <w:rFonts w:ascii="Arial" w:hAnsi="Arial" w:cs="Arial"/>
          <w:sz w:val="22"/>
          <w:szCs w:val="22"/>
        </w:rPr>
        <w:t xml:space="preserve">Los beneficios asociados a mejoras en los salarios </w:t>
      </w:r>
      <w:r w:rsidR="00EE10C4" w:rsidRPr="008B2B66">
        <w:rPr>
          <w:rFonts w:ascii="Arial" w:hAnsi="Arial" w:cs="Arial"/>
          <w:sz w:val="22"/>
          <w:szCs w:val="22"/>
        </w:rPr>
        <w:t xml:space="preserve">pueden determinarse tanto por la expansión </w:t>
      </w:r>
      <w:r w:rsidRPr="008B2B66">
        <w:rPr>
          <w:rFonts w:ascii="Arial" w:hAnsi="Arial" w:cs="Arial"/>
          <w:sz w:val="22"/>
          <w:szCs w:val="22"/>
        </w:rPr>
        <w:t xml:space="preserve">del acceso a la Educación Media por la ampliación de la cobertura </w:t>
      </w:r>
      <w:r w:rsidR="0041784B" w:rsidRPr="008B2B66">
        <w:rPr>
          <w:rFonts w:ascii="Arial" w:hAnsi="Arial" w:cs="Arial"/>
          <w:sz w:val="22"/>
          <w:szCs w:val="22"/>
        </w:rPr>
        <w:t>(B1 y B</w:t>
      </w:r>
      <w:r w:rsidR="0041784B" w:rsidRPr="008B2B66">
        <w:rPr>
          <w:rFonts w:ascii="Arial" w:hAnsi="Arial" w:cs="Arial"/>
          <w:sz w:val="22"/>
          <w:szCs w:val="22"/>
          <w:vertAlign w:val="subscript"/>
        </w:rPr>
        <w:t>2</w:t>
      </w:r>
      <w:r w:rsidR="0041784B" w:rsidRPr="008B2B66">
        <w:rPr>
          <w:rFonts w:ascii="Arial" w:hAnsi="Arial" w:cs="Arial"/>
          <w:sz w:val="22"/>
          <w:szCs w:val="22"/>
        </w:rPr>
        <w:t>)</w:t>
      </w:r>
      <w:r w:rsidR="00EE10C4" w:rsidRPr="008B2B66">
        <w:rPr>
          <w:rFonts w:ascii="Arial" w:hAnsi="Arial" w:cs="Arial"/>
          <w:sz w:val="22"/>
          <w:szCs w:val="22"/>
        </w:rPr>
        <w:t xml:space="preserve"> o por las mayores tasas de aprobación de los alumnos (B</w:t>
      </w:r>
      <w:r w:rsidR="0041784B" w:rsidRPr="008B2B66">
        <w:rPr>
          <w:rFonts w:ascii="Arial" w:hAnsi="Arial" w:cs="Arial"/>
          <w:sz w:val="22"/>
          <w:szCs w:val="22"/>
          <w:vertAlign w:val="subscript"/>
        </w:rPr>
        <w:t>3</w:t>
      </w:r>
      <w:r w:rsidR="0041784B" w:rsidRPr="008B2B66">
        <w:rPr>
          <w:rFonts w:ascii="Arial" w:hAnsi="Arial" w:cs="Arial"/>
          <w:sz w:val="22"/>
          <w:szCs w:val="22"/>
        </w:rPr>
        <w:t xml:space="preserve"> y B</w:t>
      </w:r>
      <w:r w:rsidR="0041784B" w:rsidRPr="008B2B66">
        <w:rPr>
          <w:rFonts w:ascii="Arial" w:hAnsi="Arial" w:cs="Arial"/>
          <w:sz w:val="22"/>
          <w:szCs w:val="22"/>
          <w:vertAlign w:val="subscript"/>
        </w:rPr>
        <w:t>4</w:t>
      </w:r>
      <w:r w:rsidR="00EE10C4" w:rsidRPr="008B2B66">
        <w:rPr>
          <w:rFonts w:ascii="Arial" w:hAnsi="Arial" w:cs="Arial"/>
          <w:sz w:val="22"/>
          <w:szCs w:val="22"/>
        </w:rPr>
        <w:t>).</w:t>
      </w:r>
    </w:p>
    <w:p w:rsidR="00EE10C4" w:rsidRPr="008B2B66" w:rsidRDefault="00EE10C4" w:rsidP="00681401">
      <w:pPr>
        <w:pStyle w:val="Paragraph"/>
        <w:numPr>
          <w:ilvl w:val="1"/>
          <w:numId w:val="7"/>
        </w:numPr>
        <w:ind w:left="720" w:hanging="720"/>
        <w:rPr>
          <w:rFonts w:ascii="Arial" w:hAnsi="Arial" w:cs="Arial"/>
          <w:b/>
          <w:sz w:val="22"/>
          <w:szCs w:val="22"/>
        </w:rPr>
      </w:pPr>
      <w:r w:rsidRPr="008B2B66">
        <w:rPr>
          <w:rFonts w:ascii="Arial" w:hAnsi="Arial" w:cs="Arial"/>
          <w:sz w:val="22"/>
          <w:szCs w:val="22"/>
        </w:rPr>
        <w:t>En la Tabla 2 se resumen los criterios utilizados para su medición</w:t>
      </w:r>
    </w:p>
    <w:p w:rsidR="00BF60B5" w:rsidRPr="008B2B66" w:rsidRDefault="00EE10C4" w:rsidP="00681401">
      <w:pPr>
        <w:pStyle w:val="Paragraph"/>
        <w:numPr>
          <w:ilvl w:val="0"/>
          <w:numId w:val="0"/>
        </w:numPr>
        <w:ind w:left="720" w:hanging="900"/>
        <w:rPr>
          <w:rFonts w:ascii="Arial" w:hAnsi="Arial" w:cs="Arial"/>
          <w:b/>
          <w:sz w:val="22"/>
          <w:szCs w:val="22"/>
        </w:rPr>
      </w:pPr>
      <w:r w:rsidRPr="008B2B66">
        <w:rPr>
          <w:rFonts w:ascii="Arial" w:hAnsi="Arial" w:cs="Arial"/>
          <w:sz w:val="22"/>
          <w:szCs w:val="22"/>
        </w:rPr>
        <w:t xml:space="preserve">  </w:t>
      </w:r>
    </w:p>
    <w:p w:rsidR="008A3BFE" w:rsidRPr="008B2B66" w:rsidRDefault="008A3BFE">
      <w:pPr>
        <w:rPr>
          <w:rFonts w:ascii="Arial" w:hAnsi="Arial" w:cs="Arial"/>
          <w:b/>
          <w:sz w:val="22"/>
          <w:szCs w:val="22"/>
          <w:lang w:eastAsia="en-US"/>
        </w:rPr>
      </w:pPr>
      <w:r w:rsidRPr="008B2B66">
        <w:rPr>
          <w:rFonts w:ascii="Arial" w:hAnsi="Arial" w:cs="Arial"/>
          <w:b/>
          <w:sz w:val="22"/>
          <w:szCs w:val="22"/>
        </w:rPr>
        <w:br w:type="page"/>
      </w:r>
    </w:p>
    <w:p w:rsidR="006D6689" w:rsidRPr="008B2B66" w:rsidRDefault="007A0CB5" w:rsidP="0031723E">
      <w:pPr>
        <w:pStyle w:val="Paragraph"/>
        <w:numPr>
          <w:ilvl w:val="0"/>
          <w:numId w:val="0"/>
        </w:numPr>
        <w:ind w:left="720"/>
        <w:jc w:val="center"/>
        <w:rPr>
          <w:rFonts w:ascii="Arial" w:hAnsi="Arial" w:cs="Arial"/>
          <w:b/>
          <w:sz w:val="22"/>
          <w:szCs w:val="22"/>
        </w:rPr>
      </w:pPr>
      <w:r w:rsidRPr="008B2B66">
        <w:rPr>
          <w:rFonts w:ascii="Arial" w:hAnsi="Arial" w:cs="Arial"/>
          <w:b/>
          <w:sz w:val="22"/>
          <w:szCs w:val="22"/>
        </w:rPr>
        <w:lastRenderedPageBreak/>
        <w:t>Tabla</w:t>
      </w:r>
      <w:r w:rsidR="006D6689" w:rsidRPr="008B2B66">
        <w:rPr>
          <w:rFonts w:ascii="Arial" w:hAnsi="Arial" w:cs="Arial"/>
          <w:b/>
          <w:sz w:val="22"/>
          <w:szCs w:val="22"/>
        </w:rPr>
        <w:t xml:space="preserve"> 2: Beneficios Económicos </w:t>
      </w:r>
      <w:r w:rsidR="0031723E" w:rsidRPr="008B2B66">
        <w:rPr>
          <w:rFonts w:ascii="Arial" w:hAnsi="Arial" w:cs="Arial"/>
          <w:b/>
          <w:sz w:val="22"/>
          <w:szCs w:val="22"/>
        </w:rPr>
        <w:t>Estimados</w:t>
      </w:r>
      <w:r w:rsidR="00622889" w:rsidRPr="008B2B66">
        <w:rPr>
          <w:rFonts w:ascii="Arial" w:hAnsi="Arial" w:cs="Arial"/>
          <w:b/>
          <w:sz w:val="22"/>
          <w:szCs w:val="22"/>
        </w:rPr>
        <w:t>. Criterios Utilizados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6D6689" w:rsidRPr="008B2B66" w:rsidTr="004B1732">
        <w:tc>
          <w:tcPr>
            <w:tcW w:w="3018" w:type="dxa"/>
            <w:shd w:val="clear" w:color="auto" w:fill="D9D9D9" w:themeFill="background1" w:themeFillShade="D9"/>
          </w:tcPr>
          <w:p w:rsidR="006D6689" w:rsidRPr="008B2B66" w:rsidRDefault="0031723E" w:rsidP="00CF77E9">
            <w:pPr>
              <w:pStyle w:val="Paragraph"/>
              <w:numPr>
                <w:ilvl w:val="0"/>
                <w:numId w:val="0"/>
              </w:numPr>
              <w:spacing w:before="0" w:after="0"/>
              <w:jc w:val="center"/>
              <w:rPr>
                <w:rFonts w:ascii="Arial" w:hAnsi="Arial" w:cs="Arial"/>
                <w:b/>
                <w:sz w:val="20"/>
              </w:rPr>
            </w:pPr>
            <w:r w:rsidRPr="008B2B66">
              <w:rPr>
                <w:rFonts w:ascii="Arial" w:hAnsi="Arial" w:cs="Arial"/>
                <w:b/>
                <w:sz w:val="20"/>
              </w:rPr>
              <w:t>Conceptos</w:t>
            </w:r>
          </w:p>
        </w:tc>
        <w:tc>
          <w:tcPr>
            <w:tcW w:w="3018" w:type="dxa"/>
            <w:shd w:val="clear" w:color="auto" w:fill="D9D9D9" w:themeFill="background1" w:themeFillShade="D9"/>
          </w:tcPr>
          <w:p w:rsidR="006D6689" w:rsidRPr="008B2B66" w:rsidRDefault="00622889" w:rsidP="00CF77E9">
            <w:pPr>
              <w:pStyle w:val="Paragraph"/>
              <w:numPr>
                <w:ilvl w:val="0"/>
                <w:numId w:val="0"/>
              </w:numPr>
              <w:spacing w:before="0" w:after="0"/>
              <w:jc w:val="center"/>
              <w:rPr>
                <w:rFonts w:ascii="Arial" w:hAnsi="Arial" w:cs="Arial"/>
                <w:b/>
                <w:sz w:val="20"/>
              </w:rPr>
            </w:pPr>
            <w:r w:rsidRPr="008B2B66">
              <w:rPr>
                <w:rFonts w:ascii="Arial" w:hAnsi="Arial" w:cs="Arial"/>
                <w:b/>
                <w:sz w:val="20"/>
              </w:rPr>
              <w:t>Por M</w:t>
            </w:r>
            <w:r w:rsidR="0031723E" w:rsidRPr="008B2B66">
              <w:rPr>
                <w:rFonts w:ascii="Arial" w:hAnsi="Arial" w:cs="Arial"/>
                <w:b/>
                <w:sz w:val="20"/>
              </w:rPr>
              <w:t>ejora en los salarios</w:t>
            </w:r>
          </w:p>
        </w:tc>
        <w:tc>
          <w:tcPr>
            <w:tcW w:w="3018" w:type="dxa"/>
            <w:shd w:val="clear" w:color="auto" w:fill="D9D9D9" w:themeFill="background1" w:themeFillShade="D9"/>
          </w:tcPr>
          <w:p w:rsidR="006D6689" w:rsidRPr="008B2B66" w:rsidRDefault="00622889" w:rsidP="00CF77E9">
            <w:pPr>
              <w:pStyle w:val="Paragraph"/>
              <w:numPr>
                <w:ilvl w:val="0"/>
                <w:numId w:val="0"/>
              </w:numPr>
              <w:spacing w:before="0" w:after="0"/>
              <w:ind w:left="-82"/>
              <w:jc w:val="center"/>
              <w:rPr>
                <w:rFonts w:ascii="Arial" w:hAnsi="Arial" w:cs="Arial"/>
                <w:b/>
                <w:sz w:val="20"/>
              </w:rPr>
            </w:pPr>
            <w:r w:rsidRPr="008B2B66">
              <w:rPr>
                <w:rFonts w:ascii="Arial" w:hAnsi="Arial" w:cs="Arial"/>
                <w:b/>
                <w:sz w:val="20"/>
              </w:rPr>
              <w:t xml:space="preserve">Por </w:t>
            </w:r>
            <w:r w:rsidR="006D6689" w:rsidRPr="008B2B66">
              <w:rPr>
                <w:rFonts w:ascii="Arial" w:hAnsi="Arial" w:cs="Arial"/>
                <w:b/>
                <w:sz w:val="20"/>
              </w:rPr>
              <w:t>Ahorros en Costos</w:t>
            </w:r>
          </w:p>
        </w:tc>
      </w:tr>
      <w:tr w:rsidR="006D6689" w:rsidRPr="008B2B66" w:rsidTr="00681401">
        <w:trPr>
          <w:trHeight w:val="3338"/>
        </w:trPr>
        <w:tc>
          <w:tcPr>
            <w:tcW w:w="3018" w:type="dxa"/>
            <w:shd w:val="clear" w:color="auto" w:fill="auto"/>
          </w:tcPr>
          <w:p w:rsidR="00E10D0C" w:rsidRPr="00681401" w:rsidRDefault="00A52DB7" w:rsidP="00CF77E9">
            <w:pPr>
              <w:pStyle w:val="Paragraph"/>
              <w:numPr>
                <w:ilvl w:val="0"/>
                <w:numId w:val="0"/>
              </w:numPr>
              <w:spacing w:before="0" w:after="0"/>
              <w:rPr>
                <w:rFonts w:ascii="Arial" w:hAnsi="Arial" w:cs="Arial"/>
                <w:b/>
                <w:sz w:val="18"/>
              </w:rPr>
            </w:pPr>
            <w:r w:rsidRPr="00681401">
              <w:rPr>
                <w:rFonts w:ascii="Arial" w:hAnsi="Arial" w:cs="Arial"/>
                <w:b/>
                <w:sz w:val="18"/>
              </w:rPr>
              <w:t>Ampliación de la Cobertura (nuevos cupos) en E</w:t>
            </w:r>
            <w:r w:rsidR="00E10D0C" w:rsidRPr="00681401">
              <w:rPr>
                <w:rFonts w:ascii="Arial" w:hAnsi="Arial" w:cs="Arial"/>
                <w:b/>
                <w:sz w:val="18"/>
              </w:rPr>
              <w:t>M</w:t>
            </w:r>
          </w:p>
          <w:p w:rsidR="00E10D0C" w:rsidRPr="00681401" w:rsidRDefault="00E10D0C" w:rsidP="00CF77E9">
            <w:pPr>
              <w:pStyle w:val="Paragraph"/>
              <w:numPr>
                <w:ilvl w:val="0"/>
                <w:numId w:val="0"/>
              </w:numPr>
              <w:spacing w:before="0" w:after="0"/>
              <w:rPr>
                <w:rFonts w:ascii="Arial" w:hAnsi="Arial" w:cs="Arial"/>
                <w:b/>
                <w:sz w:val="18"/>
              </w:rPr>
            </w:pPr>
          </w:p>
          <w:p w:rsidR="00CF77E9" w:rsidRPr="00681401" w:rsidRDefault="00CF77E9" w:rsidP="00CF77E9">
            <w:pPr>
              <w:pStyle w:val="Paragraph"/>
              <w:numPr>
                <w:ilvl w:val="0"/>
                <w:numId w:val="0"/>
              </w:numPr>
              <w:spacing w:before="0" w:after="0"/>
              <w:rPr>
                <w:rFonts w:ascii="Arial" w:hAnsi="Arial" w:cs="Arial"/>
                <w:b/>
                <w:sz w:val="18"/>
              </w:rPr>
            </w:pPr>
          </w:p>
          <w:p w:rsidR="00CF77E9" w:rsidRPr="00681401" w:rsidRDefault="00CF77E9" w:rsidP="00CF77E9">
            <w:pPr>
              <w:pStyle w:val="Paragraph"/>
              <w:numPr>
                <w:ilvl w:val="0"/>
                <w:numId w:val="0"/>
              </w:numPr>
              <w:spacing w:before="0" w:after="0"/>
              <w:rPr>
                <w:rFonts w:ascii="Arial" w:hAnsi="Arial" w:cs="Arial"/>
                <w:b/>
                <w:sz w:val="18"/>
              </w:rPr>
            </w:pPr>
          </w:p>
          <w:p w:rsidR="00CF77E9" w:rsidRPr="00681401" w:rsidRDefault="00CF77E9" w:rsidP="00CF77E9">
            <w:pPr>
              <w:pStyle w:val="Paragraph"/>
              <w:numPr>
                <w:ilvl w:val="0"/>
                <w:numId w:val="0"/>
              </w:numPr>
              <w:spacing w:before="0" w:after="0"/>
              <w:rPr>
                <w:rFonts w:ascii="Arial" w:hAnsi="Arial" w:cs="Arial"/>
                <w:b/>
                <w:sz w:val="18"/>
              </w:rPr>
            </w:pPr>
          </w:p>
          <w:p w:rsidR="00CF77E9" w:rsidRPr="00681401" w:rsidRDefault="00CF77E9" w:rsidP="00CF77E9">
            <w:pPr>
              <w:pStyle w:val="Paragraph"/>
              <w:numPr>
                <w:ilvl w:val="0"/>
                <w:numId w:val="0"/>
              </w:numPr>
              <w:spacing w:before="0" w:after="0"/>
              <w:rPr>
                <w:rFonts w:ascii="Arial" w:hAnsi="Arial" w:cs="Arial"/>
                <w:b/>
                <w:sz w:val="18"/>
              </w:rPr>
            </w:pPr>
          </w:p>
          <w:p w:rsidR="00CF77E9" w:rsidRPr="00681401" w:rsidRDefault="00CF77E9" w:rsidP="00CF77E9">
            <w:pPr>
              <w:pStyle w:val="Paragraph"/>
              <w:numPr>
                <w:ilvl w:val="0"/>
                <w:numId w:val="0"/>
              </w:numPr>
              <w:spacing w:before="0" w:after="0"/>
              <w:rPr>
                <w:rFonts w:ascii="Arial" w:hAnsi="Arial" w:cs="Arial"/>
                <w:b/>
                <w:sz w:val="18"/>
              </w:rPr>
            </w:pPr>
          </w:p>
          <w:p w:rsidR="00CF77E9" w:rsidRPr="00681401" w:rsidRDefault="00CF77E9" w:rsidP="00CF77E9">
            <w:pPr>
              <w:pStyle w:val="Paragraph"/>
              <w:numPr>
                <w:ilvl w:val="0"/>
                <w:numId w:val="0"/>
              </w:numPr>
              <w:spacing w:before="0" w:after="0"/>
              <w:rPr>
                <w:rFonts w:ascii="Arial" w:hAnsi="Arial" w:cs="Arial"/>
                <w:b/>
                <w:sz w:val="18"/>
              </w:rPr>
            </w:pPr>
          </w:p>
          <w:p w:rsidR="00CF77E9" w:rsidRPr="00681401" w:rsidRDefault="00CF77E9" w:rsidP="00CF77E9">
            <w:pPr>
              <w:pStyle w:val="Paragraph"/>
              <w:numPr>
                <w:ilvl w:val="0"/>
                <w:numId w:val="0"/>
              </w:numPr>
              <w:spacing w:before="0" w:after="0"/>
              <w:rPr>
                <w:rFonts w:ascii="Arial" w:hAnsi="Arial" w:cs="Arial"/>
                <w:b/>
                <w:sz w:val="18"/>
              </w:rPr>
            </w:pPr>
          </w:p>
          <w:p w:rsidR="006D6689" w:rsidRPr="00681401" w:rsidRDefault="00CF77E9" w:rsidP="00CF77E9">
            <w:pPr>
              <w:pStyle w:val="Paragraph"/>
              <w:numPr>
                <w:ilvl w:val="0"/>
                <w:numId w:val="0"/>
              </w:numPr>
              <w:spacing w:before="0" w:after="0"/>
              <w:rPr>
                <w:rFonts w:ascii="Arial" w:hAnsi="Arial" w:cs="Arial"/>
                <w:b/>
                <w:sz w:val="18"/>
                <w:highlight w:val="yellow"/>
              </w:rPr>
            </w:pPr>
            <w:r w:rsidRPr="00681401">
              <w:rPr>
                <w:rFonts w:ascii="Arial" w:hAnsi="Arial" w:cs="Arial"/>
                <w:b/>
                <w:sz w:val="18"/>
              </w:rPr>
              <w:t xml:space="preserve">Ampliación de la Cobertura (nuevos cupos) en </w:t>
            </w:r>
            <w:r w:rsidR="002232FD" w:rsidRPr="00681401">
              <w:rPr>
                <w:rFonts w:ascii="Arial" w:hAnsi="Arial" w:cs="Arial"/>
                <w:b/>
                <w:sz w:val="18"/>
              </w:rPr>
              <w:t>FI</w:t>
            </w:r>
            <w:r w:rsidR="00240DD9" w:rsidRPr="00681401">
              <w:rPr>
                <w:rFonts w:ascii="Arial" w:hAnsi="Arial" w:cs="Arial"/>
                <w:b/>
                <w:sz w:val="18"/>
              </w:rPr>
              <w:t>D</w:t>
            </w:r>
          </w:p>
        </w:tc>
        <w:tc>
          <w:tcPr>
            <w:tcW w:w="3018" w:type="dxa"/>
            <w:shd w:val="clear" w:color="auto" w:fill="auto"/>
          </w:tcPr>
          <w:p w:rsidR="006D6689" w:rsidRPr="00681401" w:rsidRDefault="00335B79" w:rsidP="00CF77E9">
            <w:pPr>
              <w:pStyle w:val="Paragraph"/>
              <w:numPr>
                <w:ilvl w:val="0"/>
                <w:numId w:val="0"/>
              </w:numPr>
              <w:spacing w:before="0" w:after="0"/>
              <w:rPr>
                <w:rFonts w:ascii="Arial" w:hAnsi="Arial" w:cs="Arial"/>
                <w:sz w:val="18"/>
              </w:rPr>
            </w:pPr>
            <w:r w:rsidRPr="00681401">
              <w:rPr>
                <w:rFonts w:ascii="Arial" w:hAnsi="Arial" w:cs="Arial"/>
                <w:sz w:val="18"/>
              </w:rPr>
              <w:t>B</w:t>
            </w:r>
            <w:r w:rsidRPr="00681401">
              <w:rPr>
                <w:rFonts w:ascii="Arial" w:hAnsi="Arial" w:cs="Arial"/>
                <w:sz w:val="18"/>
                <w:vertAlign w:val="subscript"/>
              </w:rPr>
              <w:t>1</w:t>
            </w:r>
            <w:r w:rsidRPr="00681401">
              <w:rPr>
                <w:rFonts w:ascii="Arial" w:hAnsi="Arial" w:cs="Arial"/>
                <w:sz w:val="18"/>
              </w:rPr>
              <w:t xml:space="preserve">. </w:t>
            </w:r>
            <w:r w:rsidR="00A52DB7" w:rsidRPr="00681401">
              <w:rPr>
                <w:rFonts w:ascii="Arial" w:hAnsi="Arial" w:cs="Arial"/>
                <w:sz w:val="18"/>
              </w:rPr>
              <w:t xml:space="preserve">Aumento en el número de </w:t>
            </w:r>
            <w:r w:rsidR="0092299E" w:rsidRPr="00681401">
              <w:rPr>
                <w:rFonts w:ascii="Arial" w:hAnsi="Arial" w:cs="Arial"/>
                <w:sz w:val="18"/>
              </w:rPr>
              <w:t>jóvenes</w:t>
            </w:r>
            <w:r w:rsidR="00A52DB7" w:rsidRPr="00681401">
              <w:rPr>
                <w:rFonts w:ascii="Arial" w:hAnsi="Arial" w:cs="Arial"/>
                <w:sz w:val="18"/>
              </w:rPr>
              <w:t xml:space="preserve"> </w:t>
            </w:r>
            <w:r w:rsidR="0092299E" w:rsidRPr="00681401">
              <w:rPr>
                <w:rFonts w:ascii="Arial" w:hAnsi="Arial" w:cs="Arial"/>
                <w:sz w:val="18"/>
              </w:rPr>
              <w:t xml:space="preserve">matriculados en </w:t>
            </w:r>
            <w:r w:rsidRPr="00681401">
              <w:rPr>
                <w:rFonts w:ascii="Arial" w:hAnsi="Arial" w:cs="Arial"/>
                <w:sz w:val="18"/>
              </w:rPr>
              <w:t>EM</w:t>
            </w:r>
            <w:r w:rsidR="0092299E" w:rsidRPr="00681401">
              <w:rPr>
                <w:rFonts w:ascii="Arial" w:hAnsi="Arial" w:cs="Arial"/>
                <w:sz w:val="18"/>
              </w:rPr>
              <w:t xml:space="preserve"> </w:t>
            </w:r>
            <w:r w:rsidR="00A52DB7" w:rsidRPr="00681401">
              <w:rPr>
                <w:rFonts w:ascii="Arial" w:hAnsi="Arial" w:cs="Arial"/>
                <w:sz w:val="18"/>
              </w:rPr>
              <w:t xml:space="preserve">que concluyen x </w:t>
            </w:r>
            <w:r w:rsidR="00492783" w:rsidRPr="00681401">
              <w:rPr>
                <w:rFonts w:ascii="Arial" w:hAnsi="Arial" w:cs="Arial"/>
                <w:sz w:val="18"/>
              </w:rPr>
              <w:t xml:space="preserve">Tasas de aprobación en EM ajustada por impacto </w:t>
            </w:r>
            <w:r w:rsidR="002565D8" w:rsidRPr="00681401">
              <w:rPr>
                <w:rFonts w:ascii="Arial" w:hAnsi="Arial" w:cs="Arial"/>
                <w:sz w:val="18"/>
              </w:rPr>
              <w:t>d</w:t>
            </w:r>
            <w:r w:rsidR="00492783" w:rsidRPr="00681401">
              <w:rPr>
                <w:rFonts w:ascii="Arial" w:hAnsi="Arial" w:cs="Arial"/>
                <w:sz w:val="18"/>
              </w:rPr>
              <w:t xml:space="preserve">e la mejora x </w:t>
            </w:r>
            <w:r w:rsidR="00A52DB7" w:rsidRPr="00681401">
              <w:rPr>
                <w:rFonts w:ascii="Arial" w:hAnsi="Arial" w:cs="Arial"/>
                <w:sz w:val="18"/>
              </w:rPr>
              <w:t xml:space="preserve">Diferencial </w:t>
            </w:r>
            <w:r w:rsidRPr="00681401">
              <w:rPr>
                <w:rFonts w:ascii="Arial" w:hAnsi="Arial" w:cs="Arial"/>
                <w:sz w:val="18"/>
              </w:rPr>
              <w:t>S</w:t>
            </w:r>
            <w:r w:rsidR="00A52DB7" w:rsidRPr="00681401">
              <w:rPr>
                <w:rFonts w:ascii="Arial" w:hAnsi="Arial" w:cs="Arial"/>
                <w:sz w:val="18"/>
              </w:rPr>
              <w:t xml:space="preserve">alarial </w:t>
            </w:r>
            <w:r w:rsidRPr="00681401">
              <w:rPr>
                <w:rFonts w:ascii="Arial" w:hAnsi="Arial" w:cs="Arial"/>
                <w:sz w:val="18"/>
              </w:rPr>
              <w:t xml:space="preserve">concluir vs. </w:t>
            </w:r>
            <w:r w:rsidR="00492783" w:rsidRPr="00681401">
              <w:rPr>
                <w:rFonts w:ascii="Arial" w:hAnsi="Arial" w:cs="Arial"/>
                <w:sz w:val="18"/>
              </w:rPr>
              <w:t>n</w:t>
            </w:r>
            <w:r w:rsidRPr="00681401">
              <w:rPr>
                <w:rFonts w:ascii="Arial" w:hAnsi="Arial" w:cs="Arial"/>
                <w:sz w:val="18"/>
              </w:rPr>
              <w:t xml:space="preserve">o concluir </w:t>
            </w:r>
            <w:r w:rsidR="00240DD9" w:rsidRPr="00681401">
              <w:rPr>
                <w:rFonts w:ascii="Arial" w:hAnsi="Arial" w:cs="Arial"/>
                <w:sz w:val="18"/>
              </w:rPr>
              <w:t>la EM</w:t>
            </w:r>
            <w:r w:rsidR="005F730F" w:rsidRPr="00681401">
              <w:rPr>
                <w:rFonts w:ascii="Arial" w:hAnsi="Arial" w:cs="Arial"/>
                <w:sz w:val="18"/>
              </w:rPr>
              <w:t xml:space="preserve"> </w:t>
            </w:r>
            <w:r w:rsidR="004509FD" w:rsidRPr="00681401">
              <w:rPr>
                <w:rFonts w:ascii="Arial" w:hAnsi="Arial" w:cs="Arial"/>
                <w:sz w:val="18"/>
              </w:rPr>
              <w:t xml:space="preserve">x </w:t>
            </w:r>
            <w:r w:rsidR="004554BD" w:rsidRPr="00681401">
              <w:rPr>
                <w:rFonts w:ascii="Arial" w:hAnsi="Arial" w:cs="Arial"/>
                <w:sz w:val="18"/>
              </w:rPr>
              <w:t xml:space="preserve">Tasa de Ocupación </w:t>
            </w:r>
            <w:r w:rsidR="00890ECF" w:rsidRPr="00681401">
              <w:rPr>
                <w:rFonts w:ascii="Arial" w:hAnsi="Arial" w:cs="Arial"/>
                <w:sz w:val="18"/>
              </w:rPr>
              <w:t>de la población de 20-6</w:t>
            </w:r>
            <w:r w:rsidR="00562D68" w:rsidRPr="00681401">
              <w:rPr>
                <w:rFonts w:ascii="Arial" w:hAnsi="Arial" w:cs="Arial"/>
                <w:sz w:val="18"/>
              </w:rPr>
              <w:t>0</w:t>
            </w:r>
            <w:r w:rsidR="004509FD" w:rsidRPr="00681401">
              <w:rPr>
                <w:rFonts w:ascii="Arial" w:hAnsi="Arial" w:cs="Arial"/>
                <w:sz w:val="18"/>
              </w:rPr>
              <w:t xml:space="preserve"> años de edad, con EM</w:t>
            </w:r>
            <w:r w:rsidR="000D4A25" w:rsidRPr="00681401">
              <w:rPr>
                <w:rFonts w:ascii="Arial" w:hAnsi="Arial" w:cs="Arial"/>
                <w:sz w:val="18"/>
              </w:rPr>
              <w:t xml:space="preserve"> </w:t>
            </w:r>
            <w:r w:rsidR="004509FD" w:rsidRPr="00681401">
              <w:rPr>
                <w:rFonts w:ascii="Arial" w:hAnsi="Arial" w:cs="Arial"/>
                <w:sz w:val="18"/>
              </w:rPr>
              <w:t>concluido</w:t>
            </w:r>
          </w:p>
          <w:p w:rsidR="00CF77E9" w:rsidRPr="00681401" w:rsidRDefault="00CF77E9" w:rsidP="00CF77E9">
            <w:pPr>
              <w:pStyle w:val="Paragraph"/>
              <w:numPr>
                <w:ilvl w:val="0"/>
                <w:numId w:val="0"/>
              </w:numPr>
              <w:spacing w:before="0" w:after="0"/>
              <w:rPr>
                <w:rFonts w:ascii="Arial" w:hAnsi="Arial" w:cs="Arial"/>
                <w:sz w:val="18"/>
              </w:rPr>
            </w:pPr>
          </w:p>
          <w:p w:rsidR="00E10D0C" w:rsidRPr="00681401" w:rsidRDefault="00E10D0C" w:rsidP="005F730F">
            <w:pPr>
              <w:pStyle w:val="Paragraph"/>
              <w:numPr>
                <w:ilvl w:val="0"/>
                <w:numId w:val="0"/>
              </w:numPr>
              <w:spacing w:before="0" w:after="0"/>
              <w:rPr>
                <w:rFonts w:ascii="Arial" w:hAnsi="Arial" w:cs="Arial"/>
                <w:sz w:val="18"/>
                <w:highlight w:val="yellow"/>
              </w:rPr>
            </w:pPr>
            <w:r w:rsidRPr="00681401">
              <w:rPr>
                <w:rFonts w:ascii="Arial" w:hAnsi="Arial" w:cs="Arial"/>
                <w:sz w:val="18"/>
              </w:rPr>
              <w:t>B</w:t>
            </w:r>
            <w:r w:rsidRPr="00681401">
              <w:rPr>
                <w:rFonts w:ascii="Arial" w:hAnsi="Arial" w:cs="Arial"/>
                <w:sz w:val="18"/>
                <w:vertAlign w:val="subscript"/>
              </w:rPr>
              <w:t>2</w:t>
            </w:r>
            <w:r w:rsidR="00CF77E9" w:rsidRPr="00681401">
              <w:rPr>
                <w:rFonts w:ascii="Arial" w:hAnsi="Arial" w:cs="Arial"/>
                <w:sz w:val="18"/>
                <w:vertAlign w:val="subscript"/>
              </w:rPr>
              <w:t xml:space="preserve">. </w:t>
            </w:r>
            <w:r w:rsidR="00AA6370" w:rsidRPr="00681401">
              <w:rPr>
                <w:rFonts w:ascii="Arial" w:hAnsi="Arial" w:cs="Arial"/>
                <w:sz w:val="18"/>
              </w:rPr>
              <w:t>Aumento en el número de jóvenes matriculados en FI</w:t>
            </w:r>
            <w:r w:rsidR="005F730F" w:rsidRPr="00681401">
              <w:rPr>
                <w:rFonts w:ascii="Arial" w:hAnsi="Arial" w:cs="Arial"/>
                <w:sz w:val="18"/>
              </w:rPr>
              <w:t>D</w:t>
            </w:r>
            <w:r w:rsidR="00AA6370" w:rsidRPr="00681401">
              <w:rPr>
                <w:rFonts w:ascii="Arial" w:hAnsi="Arial" w:cs="Arial"/>
                <w:sz w:val="18"/>
              </w:rPr>
              <w:t xml:space="preserve"> que concluyen x Tasas de aprobación en x Diferencial Salarial x Tasa de Ocupación de la población de 20-6</w:t>
            </w:r>
            <w:r w:rsidR="00562D68" w:rsidRPr="00681401">
              <w:rPr>
                <w:rFonts w:ascii="Arial" w:hAnsi="Arial" w:cs="Arial"/>
                <w:sz w:val="18"/>
              </w:rPr>
              <w:t>0</w:t>
            </w:r>
            <w:r w:rsidR="00926C32" w:rsidRPr="00681401">
              <w:rPr>
                <w:rFonts w:ascii="Arial" w:hAnsi="Arial" w:cs="Arial"/>
                <w:sz w:val="18"/>
              </w:rPr>
              <w:t xml:space="preserve"> años de edad.</w:t>
            </w:r>
          </w:p>
        </w:tc>
        <w:tc>
          <w:tcPr>
            <w:tcW w:w="3018" w:type="dxa"/>
            <w:shd w:val="clear" w:color="auto" w:fill="auto"/>
          </w:tcPr>
          <w:p w:rsidR="006D6689" w:rsidRPr="00681401" w:rsidRDefault="006D6689" w:rsidP="00CF77E9">
            <w:pPr>
              <w:pStyle w:val="Paragraph"/>
              <w:numPr>
                <w:ilvl w:val="0"/>
                <w:numId w:val="0"/>
              </w:numPr>
              <w:spacing w:before="0" w:after="0"/>
              <w:rPr>
                <w:rFonts w:ascii="Arial" w:hAnsi="Arial" w:cs="Arial"/>
                <w:sz w:val="18"/>
                <w:highlight w:val="yellow"/>
              </w:rPr>
            </w:pPr>
          </w:p>
        </w:tc>
      </w:tr>
      <w:tr w:rsidR="006D6689" w:rsidRPr="008B2B66" w:rsidTr="00E56CFC">
        <w:tc>
          <w:tcPr>
            <w:tcW w:w="3018" w:type="dxa"/>
            <w:shd w:val="clear" w:color="auto" w:fill="auto"/>
          </w:tcPr>
          <w:p w:rsidR="00562D68" w:rsidRPr="00681401" w:rsidRDefault="00562D68" w:rsidP="00CF77E9">
            <w:pPr>
              <w:pStyle w:val="Paragraph"/>
              <w:numPr>
                <w:ilvl w:val="0"/>
                <w:numId w:val="0"/>
              </w:numPr>
              <w:spacing w:before="0" w:after="0"/>
              <w:rPr>
                <w:rFonts w:ascii="Arial" w:hAnsi="Arial" w:cs="Arial"/>
                <w:b/>
                <w:sz w:val="18"/>
              </w:rPr>
            </w:pPr>
          </w:p>
          <w:p w:rsidR="00562D68" w:rsidRPr="00681401" w:rsidRDefault="00562D68" w:rsidP="00CF77E9">
            <w:pPr>
              <w:pStyle w:val="Paragraph"/>
              <w:numPr>
                <w:ilvl w:val="0"/>
                <w:numId w:val="0"/>
              </w:numPr>
              <w:spacing w:before="0" w:after="0"/>
              <w:rPr>
                <w:rFonts w:ascii="Arial" w:hAnsi="Arial" w:cs="Arial"/>
                <w:b/>
                <w:sz w:val="18"/>
              </w:rPr>
            </w:pPr>
          </w:p>
          <w:p w:rsidR="00A52DB7" w:rsidRPr="00681401" w:rsidRDefault="00A52DB7" w:rsidP="00CF77E9">
            <w:pPr>
              <w:pStyle w:val="Paragraph"/>
              <w:numPr>
                <w:ilvl w:val="0"/>
                <w:numId w:val="0"/>
              </w:numPr>
              <w:spacing w:before="0" w:after="0"/>
              <w:rPr>
                <w:rFonts w:ascii="Arial" w:hAnsi="Arial" w:cs="Arial"/>
                <w:b/>
                <w:sz w:val="18"/>
              </w:rPr>
            </w:pPr>
            <w:r w:rsidRPr="00681401">
              <w:rPr>
                <w:rFonts w:ascii="Arial" w:hAnsi="Arial" w:cs="Arial"/>
                <w:b/>
                <w:sz w:val="18"/>
              </w:rPr>
              <w:t xml:space="preserve">Mayores tasas de Aprobación en </w:t>
            </w:r>
            <w:r w:rsidR="004554BD" w:rsidRPr="00681401">
              <w:rPr>
                <w:rFonts w:ascii="Arial" w:hAnsi="Arial" w:cs="Arial"/>
                <w:b/>
                <w:sz w:val="18"/>
              </w:rPr>
              <w:t>EM</w:t>
            </w:r>
          </w:p>
          <w:p w:rsidR="004554BD" w:rsidRPr="00681401" w:rsidRDefault="004554BD" w:rsidP="00CF77E9">
            <w:pPr>
              <w:pStyle w:val="Paragraph"/>
              <w:numPr>
                <w:ilvl w:val="0"/>
                <w:numId w:val="0"/>
              </w:numPr>
              <w:spacing w:before="0" w:after="0"/>
              <w:rPr>
                <w:rFonts w:ascii="Arial" w:hAnsi="Arial" w:cs="Arial"/>
                <w:b/>
                <w:sz w:val="18"/>
              </w:rPr>
            </w:pPr>
          </w:p>
          <w:p w:rsidR="006D6689" w:rsidRPr="00681401" w:rsidRDefault="006D6689" w:rsidP="00CF77E9">
            <w:pPr>
              <w:pStyle w:val="Paragraph"/>
              <w:numPr>
                <w:ilvl w:val="0"/>
                <w:numId w:val="0"/>
              </w:numPr>
              <w:spacing w:before="0" w:after="0"/>
              <w:rPr>
                <w:rFonts w:ascii="Arial" w:hAnsi="Arial" w:cs="Arial"/>
                <w:b/>
                <w:sz w:val="18"/>
              </w:rPr>
            </w:pPr>
          </w:p>
        </w:tc>
        <w:tc>
          <w:tcPr>
            <w:tcW w:w="3018" w:type="dxa"/>
            <w:shd w:val="clear" w:color="auto" w:fill="auto"/>
          </w:tcPr>
          <w:p w:rsidR="0092299E" w:rsidRPr="00681401" w:rsidRDefault="00614695" w:rsidP="00562D68">
            <w:pPr>
              <w:pStyle w:val="Paragraph"/>
              <w:numPr>
                <w:ilvl w:val="0"/>
                <w:numId w:val="0"/>
              </w:numPr>
              <w:spacing w:before="0" w:after="0"/>
              <w:rPr>
                <w:rFonts w:ascii="Arial" w:hAnsi="Arial" w:cs="Arial"/>
                <w:sz w:val="18"/>
              </w:rPr>
            </w:pPr>
            <w:r w:rsidRPr="00681401">
              <w:rPr>
                <w:rFonts w:ascii="Arial" w:hAnsi="Arial" w:cs="Arial"/>
                <w:sz w:val="18"/>
              </w:rPr>
              <w:t>B</w:t>
            </w:r>
            <w:r w:rsidR="00562D68" w:rsidRPr="00681401">
              <w:rPr>
                <w:rFonts w:ascii="Arial" w:hAnsi="Arial" w:cs="Arial"/>
                <w:sz w:val="18"/>
                <w:vertAlign w:val="subscript"/>
              </w:rPr>
              <w:t>3</w:t>
            </w:r>
            <w:r w:rsidR="00335B79" w:rsidRPr="00681401">
              <w:rPr>
                <w:rFonts w:ascii="Arial" w:hAnsi="Arial" w:cs="Arial"/>
                <w:sz w:val="18"/>
              </w:rPr>
              <w:t>. Aumento en el número de jóvenes matr</w:t>
            </w:r>
            <w:r w:rsidR="00492783" w:rsidRPr="00681401">
              <w:rPr>
                <w:rFonts w:ascii="Arial" w:hAnsi="Arial" w:cs="Arial"/>
                <w:sz w:val="18"/>
              </w:rPr>
              <w:t xml:space="preserve">iculados en EM que concluyen x </w:t>
            </w:r>
            <w:r w:rsidR="00335B79" w:rsidRPr="00681401">
              <w:rPr>
                <w:rFonts w:ascii="Arial" w:hAnsi="Arial" w:cs="Arial"/>
                <w:sz w:val="18"/>
              </w:rPr>
              <w:t>Tasas de aprobación con proyectos x Diferencial Salarial concluir vs. no concluir x Tasa de Ocupación</w:t>
            </w:r>
            <w:r w:rsidRPr="00681401">
              <w:rPr>
                <w:rFonts w:ascii="Arial" w:hAnsi="Arial" w:cs="Arial"/>
                <w:sz w:val="18"/>
              </w:rPr>
              <w:t xml:space="preserve"> de la población de 20-6</w:t>
            </w:r>
            <w:r w:rsidR="00562D68" w:rsidRPr="00681401">
              <w:rPr>
                <w:rFonts w:ascii="Arial" w:hAnsi="Arial" w:cs="Arial"/>
                <w:sz w:val="18"/>
              </w:rPr>
              <w:t>0</w:t>
            </w:r>
            <w:r w:rsidRPr="00681401">
              <w:rPr>
                <w:rFonts w:ascii="Arial" w:hAnsi="Arial" w:cs="Arial"/>
                <w:sz w:val="18"/>
              </w:rPr>
              <w:t xml:space="preserve"> años de edad, con EM concluido</w:t>
            </w:r>
          </w:p>
        </w:tc>
        <w:tc>
          <w:tcPr>
            <w:tcW w:w="3018" w:type="dxa"/>
            <w:shd w:val="clear" w:color="auto" w:fill="auto"/>
          </w:tcPr>
          <w:p w:rsidR="006D6689" w:rsidRPr="00681401" w:rsidRDefault="004554BD" w:rsidP="00CF77E9">
            <w:pPr>
              <w:pStyle w:val="Paragraph"/>
              <w:numPr>
                <w:ilvl w:val="0"/>
                <w:numId w:val="0"/>
              </w:numPr>
              <w:spacing w:before="0" w:after="0"/>
              <w:rPr>
                <w:rFonts w:ascii="Arial" w:hAnsi="Arial" w:cs="Arial"/>
                <w:sz w:val="18"/>
              </w:rPr>
            </w:pPr>
            <w:r w:rsidRPr="00681401">
              <w:rPr>
                <w:rFonts w:ascii="Arial" w:hAnsi="Arial" w:cs="Arial"/>
                <w:sz w:val="18"/>
              </w:rPr>
              <w:t>B</w:t>
            </w:r>
            <w:r w:rsidR="00562D68" w:rsidRPr="00681401">
              <w:rPr>
                <w:rFonts w:ascii="Arial" w:hAnsi="Arial" w:cs="Arial"/>
                <w:sz w:val="18"/>
                <w:vertAlign w:val="subscript"/>
              </w:rPr>
              <w:t>4</w:t>
            </w:r>
            <w:r w:rsidR="0092299E" w:rsidRPr="00681401">
              <w:rPr>
                <w:rFonts w:ascii="Arial" w:hAnsi="Arial" w:cs="Arial"/>
                <w:sz w:val="18"/>
              </w:rPr>
              <w:t xml:space="preserve">. Menores costos por alumno que concluye </w:t>
            </w:r>
            <w:r w:rsidRPr="00681401">
              <w:rPr>
                <w:rFonts w:ascii="Arial" w:hAnsi="Arial" w:cs="Arial"/>
                <w:sz w:val="18"/>
              </w:rPr>
              <w:t>la EM</w:t>
            </w:r>
            <w:r w:rsidR="0092299E" w:rsidRPr="00681401">
              <w:rPr>
                <w:rFonts w:ascii="Arial" w:hAnsi="Arial" w:cs="Arial"/>
                <w:sz w:val="18"/>
              </w:rPr>
              <w:t xml:space="preserve"> por reducción en el tiempo promedio de conclusión</w:t>
            </w:r>
            <w:r w:rsidRPr="00681401">
              <w:rPr>
                <w:rFonts w:ascii="Arial" w:hAnsi="Arial" w:cs="Arial"/>
                <w:sz w:val="18"/>
              </w:rPr>
              <w:t xml:space="preserve">: Costo por alumnos/año x Diferencial de </w:t>
            </w:r>
            <w:r w:rsidR="0092299E" w:rsidRPr="00681401">
              <w:rPr>
                <w:rFonts w:ascii="Arial" w:hAnsi="Arial" w:cs="Arial"/>
                <w:sz w:val="18"/>
              </w:rPr>
              <w:t xml:space="preserve">(1/tasa de </w:t>
            </w:r>
            <w:r w:rsidRPr="00681401">
              <w:rPr>
                <w:rFonts w:ascii="Arial" w:hAnsi="Arial" w:cs="Arial"/>
                <w:sz w:val="18"/>
              </w:rPr>
              <w:t>a</w:t>
            </w:r>
            <w:r w:rsidR="0092299E" w:rsidRPr="00681401">
              <w:rPr>
                <w:rFonts w:ascii="Arial" w:hAnsi="Arial" w:cs="Arial"/>
                <w:sz w:val="18"/>
              </w:rPr>
              <w:t>probación)</w:t>
            </w:r>
            <w:r w:rsidRPr="00681401">
              <w:rPr>
                <w:rFonts w:ascii="Arial" w:hAnsi="Arial" w:cs="Arial"/>
                <w:sz w:val="18"/>
              </w:rPr>
              <w:t xml:space="preserve"> situación sin proyecto vs con proyecto.</w:t>
            </w:r>
            <w:r w:rsidR="00EF057E" w:rsidRPr="00681401">
              <w:rPr>
                <w:rFonts w:ascii="Arial" w:hAnsi="Arial" w:cs="Arial"/>
                <w:sz w:val="18"/>
              </w:rPr>
              <w:t xml:space="preserve"> </w:t>
            </w:r>
          </w:p>
          <w:p w:rsidR="00AD054A" w:rsidRPr="00681401" w:rsidRDefault="00AD054A" w:rsidP="00CF77E9">
            <w:pPr>
              <w:pStyle w:val="Paragraph"/>
              <w:numPr>
                <w:ilvl w:val="0"/>
                <w:numId w:val="0"/>
              </w:numPr>
              <w:spacing w:before="0" w:after="0"/>
              <w:rPr>
                <w:rFonts w:ascii="Arial" w:hAnsi="Arial" w:cs="Arial"/>
                <w:sz w:val="18"/>
              </w:rPr>
            </w:pPr>
          </w:p>
        </w:tc>
      </w:tr>
    </w:tbl>
    <w:p w:rsidR="006D6689" w:rsidRPr="008B2B66" w:rsidRDefault="006D6689" w:rsidP="006D6689">
      <w:pPr>
        <w:pStyle w:val="Paragraph"/>
        <w:numPr>
          <w:ilvl w:val="0"/>
          <w:numId w:val="0"/>
        </w:numPr>
        <w:rPr>
          <w:rFonts w:ascii="Arial" w:hAnsi="Arial" w:cs="Arial"/>
          <w:b/>
          <w:sz w:val="22"/>
          <w:szCs w:val="22"/>
        </w:rPr>
      </w:pPr>
    </w:p>
    <w:p w:rsidR="005053D0" w:rsidRPr="008B2B66" w:rsidRDefault="005053D0" w:rsidP="00681401">
      <w:pPr>
        <w:pStyle w:val="Paragraph"/>
        <w:numPr>
          <w:ilvl w:val="1"/>
          <w:numId w:val="7"/>
        </w:numPr>
        <w:ind w:left="720" w:hanging="720"/>
        <w:rPr>
          <w:rFonts w:ascii="Arial" w:hAnsi="Arial" w:cs="Arial"/>
          <w:sz w:val="22"/>
          <w:szCs w:val="22"/>
        </w:rPr>
      </w:pPr>
      <w:r w:rsidRPr="008B2B66">
        <w:rPr>
          <w:rFonts w:ascii="Arial" w:hAnsi="Arial" w:cs="Arial"/>
          <w:sz w:val="22"/>
          <w:szCs w:val="22"/>
        </w:rPr>
        <w:t xml:space="preserve">Los valores son expresados en dólares utilizando un promedio del tipo </w:t>
      </w:r>
      <w:r w:rsidR="005F3B9B" w:rsidRPr="008B2B66">
        <w:rPr>
          <w:rFonts w:ascii="Arial" w:hAnsi="Arial" w:cs="Arial"/>
          <w:sz w:val="22"/>
          <w:szCs w:val="22"/>
        </w:rPr>
        <w:t>d</w:t>
      </w:r>
      <w:r w:rsidRPr="008B2B66">
        <w:rPr>
          <w:rFonts w:ascii="Arial" w:hAnsi="Arial" w:cs="Arial"/>
          <w:sz w:val="22"/>
          <w:szCs w:val="22"/>
        </w:rPr>
        <w:t xml:space="preserve">e cambio </w:t>
      </w:r>
      <w:r w:rsidR="005F3B9B" w:rsidRPr="008B2B66">
        <w:rPr>
          <w:rFonts w:ascii="Arial" w:hAnsi="Arial" w:cs="Arial"/>
          <w:sz w:val="22"/>
          <w:szCs w:val="22"/>
        </w:rPr>
        <w:t>que se utiliza en el Progr</w:t>
      </w:r>
      <w:r w:rsidR="00517251" w:rsidRPr="008B2B66">
        <w:rPr>
          <w:rFonts w:ascii="Arial" w:hAnsi="Arial" w:cs="Arial"/>
          <w:sz w:val="22"/>
          <w:szCs w:val="22"/>
        </w:rPr>
        <w:t>a</w:t>
      </w:r>
      <w:r w:rsidR="005F3B9B" w:rsidRPr="008B2B66">
        <w:rPr>
          <w:rFonts w:ascii="Arial" w:hAnsi="Arial" w:cs="Arial"/>
          <w:sz w:val="22"/>
          <w:szCs w:val="22"/>
        </w:rPr>
        <w:t>ma para la reexpresión de los pesos uruguayo en dólares</w:t>
      </w:r>
      <w:r w:rsidR="00B55CF9" w:rsidRPr="008B2B66">
        <w:rPr>
          <w:rStyle w:val="FootnoteReference"/>
          <w:rFonts w:ascii="Arial" w:hAnsi="Arial" w:cs="Arial"/>
          <w:sz w:val="22"/>
          <w:szCs w:val="22"/>
        </w:rPr>
        <w:footnoteReference w:id="3"/>
      </w:r>
      <w:r w:rsidRPr="008B2B66">
        <w:rPr>
          <w:rFonts w:ascii="Arial" w:hAnsi="Arial" w:cs="Arial"/>
          <w:sz w:val="22"/>
          <w:szCs w:val="22"/>
        </w:rPr>
        <w:t>.</w:t>
      </w:r>
    </w:p>
    <w:p w:rsidR="00C6662F" w:rsidRDefault="00D9429F" w:rsidP="00C6662F">
      <w:pPr>
        <w:pStyle w:val="ListParagraph"/>
        <w:numPr>
          <w:ilvl w:val="1"/>
          <w:numId w:val="7"/>
        </w:numPr>
        <w:ind w:left="720" w:hanging="720"/>
        <w:jc w:val="both"/>
        <w:rPr>
          <w:rFonts w:ascii="Arial" w:hAnsi="Arial" w:cs="Arial"/>
          <w:lang w:val="es-AR"/>
        </w:rPr>
      </w:pPr>
      <w:r w:rsidRPr="008B2B66">
        <w:rPr>
          <w:rFonts w:ascii="Arial" w:hAnsi="Arial" w:cs="Arial"/>
        </w:rPr>
        <w:t xml:space="preserve">Los </w:t>
      </w:r>
      <w:r w:rsidR="00EE10C4" w:rsidRPr="008B2B66">
        <w:rPr>
          <w:rFonts w:ascii="Arial" w:hAnsi="Arial" w:cs="Arial"/>
        </w:rPr>
        <w:t>B</w:t>
      </w:r>
      <w:r w:rsidR="00EE10C4" w:rsidRPr="008B2B66">
        <w:rPr>
          <w:rFonts w:ascii="Arial" w:hAnsi="Arial" w:cs="Arial"/>
          <w:vertAlign w:val="subscript"/>
        </w:rPr>
        <w:t>1</w:t>
      </w:r>
      <w:r w:rsidR="00EE10C4" w:rsidRPr="008B2B66">
        <w:rPr>
          <w:rFonts w:ascii="Arial" w:hAnsi="Arial" w:cs="Arial"/>
        </w:rPr>
        <w:t xml:space="preserve">, se estimaron como el </w:t>
      </w:r>
      <w:r w:rsidR="00A16EBF" w:rsidRPr="008B2B66">
        <w:rPr>
          <w:rFonts w:ascii="Arial" w:hAnsi="Arial" w:cs="Arial"/>
        </w:rPr>
        <w:t xml:space="preserve">aumento esperado en el número de jóvenes </w:t>
      </w:r>
      <w:r w:rsidRPr="008B2B66">
        <w:rPr>
          <w:rFonts w:ascii="Arial" w:hAnsi="Arial" w:cs="Arial"/>
        </w:rPr>
        <w:t xml:space="preserve">que logren concluir </w:t>
      </w:r>
      <w:r w:rsidR="00EE10C4" w:rsidRPr="008B2B66">
        <w:rPr>
          <w:rFonts w:ascii="Arial" w:hAnsi="Arial" w:cs="Arial"/>
        </w:rPr>
        <w:t xml:space="preserve">la </w:t>
      </w:r>
      <w:r w:rsidR="007D2745" w:rsidRPr="008B2B66">
        <w:rPr>
          <w:rFonts w:ascii="Arial" w:hAnsi="Arial" w:cs="Arial"/>
        </w:rPr>
        <w:t>Educación Media Básica</w:t>
      </w:r>
      <w:r w:rsidR="001B6843" w:rsidRPr="008B2B66">
        <w:rPr>
          <w:rFonts w:ascii="Arial" w:hAnsi="Arial" w:cs="Arial"/>
        </w:rPr>
        <w:t xml:space="preserve"> (</w:t>
      </w:r>
      <w:r w:rsidR="007D2745" w:rsidRPr="008B2B66">
        <w:rPr>
          <w:rFonts w:ascii="Arial" w:hAnsi="Arial" w:cs="Arial"/>
        </w:rPr>
        <w:t>EMB</w:t>
      </w:r>
      <w:r w:rsidR="001B6843" w:rsidRPr="008B2B66">
        <w:rPr>
          <w:rFonts w:ascii="Arial" w:hAnsi="Arial" w:cs="Arial"/>
        </w:rPr>
        <w:t>)</w:t>
      </w:r>
      <w:r w:rsidR="007D2745" w:rsidRPr="008B2B66">
        <w:rPr>
          <w:rFonts w:ascii="Arial" w:hAnsi="Arial" w:cs="Arial"/>
        </w:rPr>
        <w:t xml:space="preserve"> y </w:t>
      </w:r>
      <w:r w:rsidR="001B6843" w:rsidRPr="008B2B66">
        <w:rPr>
          <w:rFonts w:ascii="Arial" w:hAnsi="Arial" w:cs="Arial"/>
        </w:rPr>
        <w:t xml:space="preserve">a la </w:t>
      </w:r>
      <w:r w:rsidR="007D2745" w:rsidRPr="008B2B66">
        <w:rPr>
          <w:rFonts w:ascii="Arial" w:hAnsi="Arial" w:cs="Arial"/>
        </w:rPr>
        <w:t>Educación Media</w:t>
      </w:r>
      <w:r w:rsidR="001B6843" w:rsidRPr="008B2B66">
        <w:rPr>
          <w:rFonts w:ascii="Arial" w:hAnsi="Arial" w:cs="Arial"/>
        </w:rPr>
        <w:t xml:space="preserve"> Superior (</w:t>
      </w:r>
      <w:r w:rsidR="007D2745" w:rsidRPr="008B2B66">
        <w:rPr>
          <w:rFonts w:ascii="Arial" w:hAnsi="Arial" w:cs="Arial"/>
        </w:rPr>
        <w:t>EMS</w:t>
      </w:r>
      <w:r w:rsidR="001B6843" w:rsidRPr="008B2B66">
        <w:rPr>
          <w:rFonts w:ascii="Arial" w:hAnsi="Arial" w:cs="Arial"/>
        </w:rPr>
        <w:t xml:space="preserve">), </w:t>
      </w:r>
      <w:r w:rsidR="007D2745" w:rsidRPr="008B2B66">
        <w:rPr>
          <w:rFonts w:ascii="Arial" w:hAnsi="Arial" w:cs="Arial"/>
        </w:rPr>
        <w:t xml:space="preserve"> </w:t>
      </w:r>
      <w:r w:rsidR="000D4A25" w:rsidRPr="008B2B66">
        <w:rPr>
          <w:rFonts w:ascii="Arial" w:hAnsi="Arial" w:cs="Arial"/>
        </w:rPr>
        <w:t>multiplicado por el diferencial de salarios esperados</w:t>
      </w:r>
      <w:r w:rsidRPr="008B2B66">
        <w:rPr>
          <w:rFonts w:ascii="Arial" w:hAnsi="Arial" w:cs="Arial"/>
        </w:rPr>
        <w:t xml:space="preserve"> para una población entre 20 y 6</w:t>
      </w:r>
      <w:r w:rsidR="002C6F39" w:rsidRPr="008B2B66">
        <w:rPr>
          <w:rFonts w:ascii="Arial" w:hAnsi="Arial" w:cs="Arial"/>
        </w:rPr>
        <w:t>0</w:t>
      </w:r>
      <w:r w:rsidRPr="008B2B66">
        <w:rPr>
          <w:rFonts w:ascii="Arial" w:hAnsi="Arial" w:cs="Arial"/>
        </w:rPr>
        <w:t xml:space="preserve"> años de edad, </w:t>
      </w:r>
      <w:r w:rsidR="00EE10C4" w:rsidRPr="008B2B66">
        <w:rPr>
          <w:rFonts w:ascii="Arial" w:hAnsi="Arial" w:cs="Arial"/>
        </w:rPr>
        <w:t xml:space="preserve">medido como </w:t>
      </w:r>
      <w:r w:rsidRPr="008B2B66">
        <w:rPr>
          <w:rFonts w:ascii="Arial" w:hAnsi="Arial" w:cs="Arial"/>
        </w:rPr>
        <w:t>la diferencia entre el salario promedio de asalariados que hayan terminado la EM respecto al salario medio de aquellos que no lo hayan finalizado.</w:t>
      </w:r>
      <w:r w:rsidR="002C6F39" w:rsidRPr="008B2B66">
        <w:rPr>
          <w:rFonts w:ascii="Arial" w:hAnsi="Arial" w:cs="Arial"/>
        </w:rPr>
        <w:t xml:space="preserve"> </w:t>
      </w:r>
      <w:r w:rsidR="005C412B" w:rsidRPr="008B2B66">
        <w:rPr>
          <w:rFonts w:ascii="Arial" w:hAnsi="Arial" w:cs="Arial"/>
        </w:rPr>
        <w:t>El resultado se pondera por la tasas de empleabilidad</w:t>
      </w:r>
      <w:r w:rsidR="00ED7BB5" w:rsidRPr="008B2B66">
        <w:rPr>
          <w:rStyle w:val="FootnoteReference"/>
          <w:rFonts w:ascii="Arial" w:hAnsi="Arial" w:cs="Arial"/>
        </w:rPr>
        <w:footnoteReference w:id="4"/>
      </w:r>
      <w:r w:rsidR="005C412B" w:rsidRPr="008B2B66">
        <w:rPr>
          <w:rFonts w:ascii="Arial" w:hAnsi="Arial" w:cs="Arial"/>
        </w:rPr>
        <w:t>.</w:t>
      </w:r>
      <w:r w:rsidR="002B5471" w:rsidRPr="008B2B66">
        <w:rPr>
          <w:rFonts w:ascii="Arial" w:hAnsi="Arial" w:cs="Arial"/>
        </w:rPr>
        <w:t xml:space="preserve"> </w:t>
      </w:r>
      <w:r w:rsidR="00E30CD8" w:rsidRPr="008B2B66">
        <w:rPr>
          <w:rFonts w:ascii="Arial" w:hAnsi="Arial" w:cs="Arial"/>
        </w:rPr>
        <w:t xml:space="preserve">Para medir el impacto </w:t>
      </w:r>
      <w:r w:rsidR="00AF04A4" w:rsidRPr="008B2B66">
        <w:rPr>
          <w:rFonts w:ascii="Arial" w:hAnsi="Arial" w:cs="Arial"/>
        </w:rPr>
        <w:t xml:space="preserve">de mejora </w:t>
      </w:r>
      <w:r w:rsidR="00E30CD8" w:rsidRPr="008B2B66">
        <w:rPr>
          <w:rFonts w:ascii="Arial" w:hAnsi="Arial" w:cs="Arial"/>
        </w:rPr>
        <w:t>de l</w:t>
      </w:r>
      <w:r w:rsidR="006579FB" w:rsidRPr="008B2B66">
        <w:rPr>
          <w:rFonts w:ascii="Arial" w:hAnsi="Arial" w:cs="Arial"/>
        </w:rPr>
        <w:t xml:space="preserve">os niveles de escolaridad </w:t>
      </w:r>
      <w:r w:rsidR="007D2745" w:rsidRPr="008B2B66">
        <w:rPr>
          <w:rFonts w:ascii="Arial" w:hAnsi="Arial" w:cs="Arial"/>
        </w:rPr>
        <w:t xml:space="preserve">de cada ciclo (EMB y EMS) sobre las tasas de promoción (egreso) de </w:t>
      </w:r>
      <w:r w:rsidR="00E30CD8" w:rsidRPr="008B2B66">
        <w:rPr>
          <w:rFonts w:ascii="Arial" w:hAnsi="Arial" w:cs="Arial"/>
        </w:rPr>
        <w:t xml:space="preserve">la EM </w:t>
      </w:r>
      <w:r w:rsidR="005832E2" w:rsidRPr="008B2B66">
        <w:rPr>
          <w:rFonts w:ascii="Arial" w:hAnsi="Arial" w:cs="Arial"/>
        </w:rPr>
        <w:t xml:space="preserve">se utilizaron los resultados </w:t>
      </w:r>
      <w:r w:rsidR="00352220" w:rsidRPr="008B2B66">
        <w:rPr>
          <w:rFonts w:ascii="Arial" w:hAnsi="Arial" w:cs="Arial"/>
        </w:rPr>
        <w:t>de De los Campos, H. y Ferrando, F. (2014)</w:t>
      </w:r>
      <w:r w:rsidR="00E30CD8" w:rsidRPr="008B2B66">
        <w:rPr>
          <w:rStyle w:val="FootnoteReference"/>
          <w:rFonts w:ascii="Arial" w:hAnsi="Arial" w:cs="Arial"/>
          <w:lang w:val="en-US"/>
        </w:rPr>
        <w:footnoteReference w:id="5"/>
      </w:r>
      <w:r w:rsidR="005832E2" w:rsidRPr="008B2B66">
        <w:rPr>
          <w:rFonts w:ascii="Arial" w:hAnsi="Arial" w:cs="Arial"/>
          <w:lang w:val="es-AR"/>
        </w:rPr>
        <w:t xml:space="preserve">. </w:t>
      </w:r>
      <w:r w:rsidR="006579FB" w:rsidRPr="008B2B66">
        <w:rPr>
          <w:rFonts w:ascii="Arial" w:hAnsi="Arial" w:cs="Arial"/>
          <w:lang w:val="es-AR"/>
        </w:rPr>
        <w:t>Formalmente:</w:t>
      </w:r>
    </w:p>
    <w:p w:rsidR="00C6662F" w:rsidRPr="008B2B66" w:rsidRDefault="00C6662F" w:rsidP="00C6662F">
      <w:pPr>
        <w:pStyle w:val="Paragraph"/>
        <w:numPr>
          <w:ilvl w:val="0"/>
          <w:numId w:val="0"/>
        </w:numPr>
        <w:jc w:val="center"/>
        <w:rPr>
          <w:rFonts w:ascii="Arial" w:hAnsi="Arial" w:cs="Arial"/>
          <w:i/>
          <w:sz w:val="22"/>
          <w:szCs w:val="22"/>
          <w:lang w:val="es-AR"/>
        </w:rPr>
      </w:pPr>
      <w:r w:rsidRPr="008B2B66">
        <w:rPr>
          <w:rFonts w:ascii="Arial" w:hAnsi="Arial" w:cs="Arial"/>
          <w:i/>
          <w:sz w:val="22"/>
          <w:szCs w:val="22"/>
          <w:lang w:val="es-AR"/>
        </w:rPr>
        <w:t>B</w:t>
      </w:r>
      <w:r w:rsidRPr="008B2B66">
        <w:rPr>
          <w:rFonts w:ascii="Arial" w:hAnsi="Arial" w:cs="Arial"/>
          <w:i/>
          <w:sz w:val="22"/>
          <w:szCs w:val="22"/>
          <w:vertAlign w:val="subscript"/>
          <w:lang w:val="es-AR"/>
        </w:rPr>
        <w:t>1</w:t>
      </w:r>
      <w:r w:rsidRPr="008B2B66">
        <w:rPr>
          <w:rFonts w:ascii="Arial" w:hAnsi="Arial" w:cs="Arial"/>
          <w:i/>
          <w:sz w:val="22"/>
          <w:szCs w:val="22"/>
          <w:lang w:val="es-AR"/>
        </w:rPr>
        <w:t>= (</w:t>
      </w:r>
      <w:r w:rsidRPr="008B2B66">
        <w:rPr>
          <w:rFonts w:ascii="Arial" w:hAnsi="Arial" w:cs="Arial"/>
          <w:i/>
          <w:sz w:val="22"/>
          <w:szCs w:val="22"/>
          <w:lang w:val="es-ES_tradnl"/>
        </w:rPr>
        <w:t></w:t>
      </w:r>
      <w:r w:rsidRPr="008B2B66">
        <w:rPr>
          <w:rFonts w:ascii="Arial" w:hAnsi="Arial" w:cs="Arial"/>
          <w:i/>
          <w:sz w:val="22"/>
          <w:szCs w:val="22"/>
          <w:lang w:val="es-AR"/>
        </w:rPr>
        <w:t xml:space="preserve">A </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t</w:t>
      </w:r>
      <w:r w:rsidRPr="008B2B66">
        <w:rPr>
          <w:rFonts w:ascii="Arial" w:hAnsi="Arial" w:cs="Arial"/>
          <w:i/>
          <w:sz w:val="22"/>
          <w:szCs w:val="22"/>
          <w:vertAlign w:val="subscript"/>
          <w:lang w:val="es-AR"/>
        </w:rPr>
        <w:t xml:space="preserve">ma  *  </w:t>
      </w:r>
      <w:r w:rsidRPr="008B2B66">
        <w:rPr>
          <w:rFonts w:ascii="Arial" w:hAnsi="Arial" w:cs="Arial"/>
          <w:i/>
          <w:sz w:val="22"/>
          <w:szCs w:val="22"/>
          <w:lang w:val="es-AR"/>
        </w:rPr>
        <w:t>(</w:t>
      </w:r>
      <w:r w:rsidRPr="008B2B66">
        <w:rPr>
          <w:rFonts w:ascii="Arial" w:hAnsi="Arial" w:cs="Arial"/>
          <w:i/>
          <w:sz w:val="22"/>
          <w:szCs w:val="22"/>
          <w:lang w:val="es-ES_tradnl"/>
        </w:rPr>
        <w:t></w:t>
      </w:r>
      <w:r w:rsidRPr="008B2B66">
        <w:rPr>
          <w:rFonts w:ascii="Arial" w:hAnsi="Arial" w:cs="Arial"/>
          <w:i/>
          <w:sz w:val="22"/>
          <w:szCs w:val="22"/>
          <w:lang w:val="es-AR"/>
        </w:rPr>
        <w:t xml:space="preserve"> W </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12)</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t</w:t>
      </w:r>
      <w:r w:rsidRPr="008B2B66">
        <w:rPr>
          <w:rFonts w:ascii="Arial" w:hAnsi="Arial" w:cs="Arial"/>
          <w:i/>
          <w:sz w:val="22"/>
          <w:szCs w:val="22"/>
          <w:vertAlign w:val="subscript"/>
          <w:lang w:val="es-AR"/>
        </w:rPr>
        <w:t>e</w:t>
      </w:r>
      <w:r w:rsidRPr="008B2B66">
        <w:rPr>
          <w:rFonts w:ascii="Arial" w:hAnsi="Arial" w:cs="Arial"/>
          <w:i/>
          <w:sz w:val="22"/>
          <w:szCs w:val="22"/>
          <w:lang w:val="es-AR"/>
        </w:rPr>
        <w:t>)</w:t>
      </w:r>
    </w:p>
    <w:p w:rsidR="003A7A2A" w:rsidRPr="003A7A2A" w:rsidRDefault="00C6662F" w:rsidP="003A7A2A">
      <w:pPr>
        <w:pStyle w:val="ListParagraph"/>
        <w:numPr>
          <w:ilvl w:val="1"/>
          <w:numId w:val="7"/>
        </w:numPr>
        <w:ind w:left="720" w:hanging="720"/>
        <w:jc w:val="both"/>
        <w:rPr>
          <w:rFonts w:ascii="Arial" w:hAnsi="Arial" w:cs="Arial"/>
          <w:lang w:val="es-AR"/>
        </w:rPr>
      </w:pPr>
      <w:r w:rsidRPr="00C6662F">
        <w:rPr>
          <w:rFonts w:ascii="Arial" w:hAnsi="Arial" w:cs="Arial"/>
          <w:lang w:val="es-AR"/>
        </w:rPr>
        <w:t>D</w:t>
      </w:r>
      <w:r w:rsidR="00EA159B" w:rsidRPr="00C6662F">
        <w:rPr>
          <w:rFonts w:ascii="Arial" w:hAnsi="Arial" w:cs="Arial"/>
          <w:lang w:val="es-AR"/>
        </w:rPr>
        <w:t xml:space="preserve">onde, </w:t>
      </w:r>
      <w:r w:rsidR="006579FB" w:rsidRPr="00C6662F">
        <w:rPr>
          <w:rFonts w:ascii="Arial" w:hAnsi="Arial" w:cs="Arial"/>
          <w:i/>
          <w:lang w:val="es-ES_tradnl"/>
        </w:rPr>
        <w:t>A</w:t>
      </w:r>
      <w:r w:rsidR="006579FB" w:rsidRPr="00C6662F">
        <w:rPr>
          <w:rFonts w:ascii="Arial" w:hAnsi="Arial" w:cs="Arial"/>
          <w:lang w:val="es-ES_tradnl"/>
        </w:rPr>
        <w:t xml:space="preserve"> </w:t>
      </w:r>
      <w:r w:rsidR="00EA159B" w:rsidRPr="00C6662F">
        <w:rPr>
          <w:rFonts w:ascii="Arial" w:hAnsi="Arial" w:cs="Arial"/>
          <w:lang w:val="es-ES_tradnl"/>
        </w:rPr>
        <w:t>es el incremento de a</w:t>
      </w:r>
      <w:r w:rsidR="006579FB" w:rsidRPr="00C6662F">
        <w:rPr>
          <w:rFonts w:ascii="Arial" w:hAnsi="Arial" w:cs="Arial"/>
          <w:lang w:val="es-ES_tradnl"/>
        </w:rPr>
        <w:t xml:space="preserve">lumnos matriculados en </w:t>
      </w:r>
      <w:r w:rsidR="00EA159B" w:rsidRPr="00C6662F">
        <w:rPr>
          <w:rFonts w:ascii="Arial" w:hAnsi="Arial" w:cs="Arial"/>
          <w:lang w:val="es-ES_tradnl"/>
        </w:rPr>
        <w:t xml:space="preserve">la </w:t>
      </w:r>
      <w:r w:rsidR="006579FB" w:rsidRPr="00C6662F">
        <w:rPr>
          <w:rFonts w:ascii="Arial" w:hAnsi="Arial" w:cs="Arial"/>
          <w:lang w:val="es-ES_tradnl"/>
        </w:rPr>
        <w:t>EM</w:t>
      </w:r>
      <w:r w:rsidR="005C412B" w:rsidRPr="00C6662F">
        <w:rPr>
          <w:rFonts w:ascii="Arial" w:hAnsi="Arial" w:cs="Arial"/>
          <w:lang w:val="es-ES_tradnl"/>
        </w:rPr>
        <w:t xml:space="preserve"> (cupos construcción de centros educativos nuevos más cupos por ampliaciones de </w:t>
      </w:r>
      <w:r w:rsidR="005C412B" w:rsidRPr="00C6662F">
        <w:rPr>
          <w:rFonts w:ascii="Arial" w:hAnsi="Arial" w:cs="Arial"/>
          <w:lang w:val="es-ES_tradnl"/>
        </w:rPr>
        <w:lastRenderedPageBreak/>
        <w:t>centros existentes</w:t>
      </w:r>
      <w:r w:rsidR="005F3B9B" w:rsidRPr="00C6662F">
        <w:rPr>
          <w:rFonts w:ascii="Arial" w:hAnsi="Arial" w:cs="Arial"/>
          <w:lang w:val="es-ES_tradnl"/>
        </w:rPr>
        <w:t>)</w:t>
      </w:r>
      <w:r w:rsidR="00EA159B" w:rsidRPr="00C6662F">
        <w:rPr>
          <w:rFonts w:ascii="Arial" w:hAnsi="Arial" w:cs="Arial"/>
          <w:lang w:val="es-ES_tradnl"/>
        </w:rPr>
        <w:t xml:space="preserve">; </w:t>
      </w:r>
      <w:r w:rsidR="00EA159B" w:rsidRPr="00C6662F">
        <w:rPr>
          <w:rFonts w:ascii="Arial" w:hAnsi="Arial" w:cs="Arial"/>
          <w:i/>
          <w:lang w:val="es-ES_tradnl"/>
        </w:rPr>
        <w:t>t</w:t>
      </w:r>
      <w:r w:rsidR="00394C2A" w:rsidRPr="00C6662F">
        <w:rPr>
          <w:rFonts w:ascii="Arial" w:hAnsi="Arial" w:cs="Arial"/>
          <w:i/>
          <w:vertAlign w:val="subscript"/>
          <w:lang w:val="es-ES_tradnl"/>
        </w:rPr>
        <w:t>m</w:t>
      </w:r>
      <w:r w:rsidR="00EA159B" w:rsidRPr="00C6662F">
        <w:rPr>
          <w:rFonts w:ascii="Arial" w:hAnsi="Arial" w:cs="Arial"/>
          <w:i/>
          <w:vertAlign w:val="subscript"/>
          <w:lang w:val="es-ES_tradnl"/>
        </w:rPr>
        <w:t xml:space="preserve">a </w:t>
      </w:r>
      <w:r w:rsidR="00EA159B" w:rsidRPr="00C6662F">
        <w:rPr>
          <w:rFonts w:ascii="Arial" w:hAnsi="Arial" w:cs="Arial"/>
          <w:lang w:val="es-ES_tradnl"/>
        </w:rPr>
        <w:t xml:space="preserve"> es la </w:t>
      </w:r>
      <w:r w:rsidR="006579FB" w:rsidRPr="00C6662F">
        <w:rPr>
          <w:rFonts w:ascii="Arial" w:hAnsi="Arial" w:cs="Arial"/>
          <w:vertAlign w:val="subscript"/>
          <w:lang w:val="es-ES_tradnl"/>
        </w:rPr>
        <w:t xml:space="preserve"> </w:t>
      </w:r>
      <w:r w:rsidR="00EA159B" w:rsidRPr="00C6662F">
        <w:rPr>
          <w:rFonts w:ascii="Arial" w:hAnsi="Arial" w:cs="Arial"/>
          <w:lang w:val="es-ES_tradnl"/>
        </w:rPr>
        <w:t>t</w:t>
      </w:r>
      <w:r w:rsidR="006579FB" w:rsidRPr="00C6662F">
        <w:rPr>
          <w:rFonts w:ascii="Arial" w:hAnsi="Arial" w:cs="Arial"/>
          <w:lang w:val="es-ES_tradnl"/>
        </w:rPr>
        <w:t>asa de aprobación de la EM</w:t>
      </w:r>
      <w:r w:rsidR="00430FED" w:rsidRPr="00C6662F">
        <w:rPr>
          <w:rFonts w:ascii="Arial" w:hAnsi="Arial" w:cs="Arial"/>
          <w:lang w:val="es-ES_tradnl"/>
        </w:rPr>
        <w:t xml:space="preserve"> ajustada por el impacto de la mejora</w:t>
      </w:r>
      <w:r w:rsidR="00394C2A" w:rsidRPr="00C6662F">
        <w:rPr>
          <w:rFonts w:ascii="Arial" w:hAnsi="Arial" w:cs="Arial"/>
          <w:lang w:val="es-ES_tradnl"/>
        </w:rPr>
        <w:t xml:space="preserve"> </w:t>
      </w:r>
      <w:r w:rsidR="001B6843" w:rsidRPr="00C6662F">
        <w:rPr>
          <w:rFonts w:ascii="Arial" w:hAnsi="Arial" w:cs="Arial"/>
          <w:lang w:val="es-ES_tradnl"/>
        </w:rPr>
        <w:t xml:space="preserve">por </w:t>
      </w:r>
      <w:r w:rsidR="002C6F39" w:rsidRPr="00C6662F">
        <w:rPr>
          <w:rFonts w:ascii="Arial" w:hAnsi="Arial" w:cs="Arial"/>
          <w:lang w:val="es-ES_tradnl"/>
        </w:rPr>
        <w:t xml:space="preserve">haber concluido </w:t>
      </w:r>
      <w:r w:rsidR="001B6843" w:rsidRPr="00C6662F">
        <w:rPr>
          <w:rFonts w:ascii="Arial" w:hAnsi="Arial" w:cs="Arial"/>
          <w:lang w:val="es-ES_tradnl"/>
        </w:rPr>
        <w:t xml:space="preserve">la </w:t>
      </w:r>
      <w:r w:rsidR="00394C2A" w:rsidRPr="00C6662F">
        <w:rPr>
          <w:rFonts w:ascii="Arial" w:hAnsi="Arial" w:cs="Arial"/>
          <w:lang w:val="es-ES_tradnl"/>
        </w:rPr>
        <w:t xml:space="preserve">EMB y </w:t>
      </w:r>
      <w:r w:rsidR="001B6843" w:rsidRPr="00C6662F">
        <w:rPr>
          <w:rFonts w:ascii="Arial" w:hAnsi="Arial" w:cs="Arial"/>
          <w:lang w:val="es-ES_tradnl"/>
        </w:rPr>
        <w:t xml:space="preserve">a la </w:t>
      </w:r>
      <w:r w:rsidR="00394C2A" w:rsidRPr="00C6662F">
        <w:rPr>
          <w:rFonts w:ascii="Arial" w:hAnsi="Arial" w:cs="Arial"/>
          <w:lang w:val="es-ES_tradnl"/>
        </w:rPr>
        <w:t>EMS</w:t>
      </w:r>
      <w:r w:rsidR="005F3B9B" w:rsidRPr="008B2B66">
        <w:rPr>
          <w:rStyle w:val="FootnoteReference"/>
          <w:rFonts w:ascii="Arial" w:hAnsi="Arial" w:cs="Arial"/>
          <w:lang w:val="es-ES_tradnl"/>
        </w:rPr>
        <w:footnoteReference w:id="6"/>
      </w:r>
      <w:r w:rsidR="00EA159B" w:rsidRPr="00C6662F">
        <w:rPr>
          <w:rFonts w:ascii="Arial" w:hAnsi="Arial" w:cs="Arial"/>
          <w:lang w:val="es-ES_tradnl"/>
        </w:rPr>
        <w:t xml:space="preserve">; </w:t>
      </w:r>
      <w:r w:rsidR="00EA159B" w:rsidRPr="00C6662F">
        <w:rPr>
          <w:rFonts w:ascii="Arial" w:hAnsi="Arial" w:cs="Arial"/>
          <w:i/>
          <w:lang w:val="es-ES_tradnl"/>
        </w:rPr>
        <w:t></w:t>
      </w:r>
      <w:r w:rsidR="00EA159B" w:rsidRPr="00C6662F">
        <w:rPr>
          <w:rFonts w:ascii="Arial" w:hAnsi="Arial" w:cs="Arial"/>
          <w:i/>
          <w:lang w:val="es-AR"/>
        </w:rPr>
        <w:t>W</w:t>
      </w:r>
      <w:r w:rsidR="00EA159B" w:rsidRPr="00C6662F">
        <w:rPr>
          <w:rFonts w:ascii="Arial" w:hAnsi="Arial" w:cs="Arial"/>
          <w:lang w:val="es-ES_tradnl"/>
        </w:rPr>
        <w:t xml:space="preserve"> es el diferencial salarial promedio </w:t>
      </w:r>
      <w:r w:rsidR="00BE7DCB" w:rsidRPr="00C6662F">
        <w:rPr>
          <w:rFonts w:ascii="Arial" w:hAnsi="Arial" w:cs="Arial"/>
          <w:lang w:val="es-ES_tradnl"/>
        </w:rPr>
        <w:t xml:space="preserve">mensual </w:t>
      </w:r>
      <w:r w:rsidR="00EA159B" w:rsidRPr="00C6662F">
        <w:rPr>
          <w:rFonts w:ascii="Arial" w:hAnsi="Arial" w:cs="Arial"/>
          <w:lang w:val="es-ES_tradnl"/>
        </w:rPr>
        <w:t xml:space="preserve">por concluir </w:t>
      </w:r>
      <w:r w:rsidR="00BE7DCB" w:rsidRPr="00C6662F">
        <w:rPr>
          <w:rFonts w:ascii="Arial" w:hAnsi="Arial" w:cs="Arial"/>
          <w:lang w:val="es-ES_tradnl"/>
        </w:rPr>
        <w:t xml:space="preserve">los estudios en la </w:t>
      </w:r>
      <w:r w:rsidR="00EA159B" w:rsidRPr="00C6662F">
        <w:rPr>
          <w:rFonts w:ascii="Arial" w:hAnsi="Arial" w:cs="Arial"/>
          <w:lang w:val="es-ES_tradnl"/>
        </w:rPr>
        <w:t>EM en relación a no concluirl</w:t>
      </w:r>
      <w:r w:rsidR="00BE7DCB" w:rsidRPr="00C6662F">
        <w:rPr>
          <w:rFonts w:ascii="Arial" w:hAnsi="Arial" w:cs="Arial"/>
          <w:lang w:val="es-ES_tradnl"/>
        </w:rPr>
        <w:t>os</w:t>
      </w:r>
      <w:r w:rsidR="00EA159B" w:rsidRPr="00C6662F">
        <w:rPr>
          <w:rFonts w:ascii="Arial" w:hAnsi="Arial" w:cs="Arial"/>
          <w:lang w:val="es-ES_tradnl"/>
        </w:rPr>
        <w:t xml:space="preserve"> y </w:t>
      </w:r>
      <w:r w:rsidR="00EA159B" w:rsidRPr="00C6662F">
        <w:rPr>
          <w:rFonts w:ascii="Arial" w:hAnsi="Arial" w:cs="Arial"/>
          <w:i/>
          <w:lang w:val="es-ES_tradnl"/>
        </w:rPr>
        <w:t>t</w:t>
      </w:r>
      <w:r w:rsidR="005F3B9B" w:rsidRPr="00C6662F">
        <w:rPr>
          <w:rFonts w:ascii="Arial" w:hAnsi="Arial" w:cs="Arial"/>
          <w:i/>
          <w:vertAlign w:val="subscript"/>
          <w:lang w:val="es-ES_tradnl"/>
        </w:rPr>
        <w:t>e</w:t>
      </w:r>
      <w:r w:rsidR="00EA159B" w:rsidRPr="00C6662F">
        <w:rPr>
          <w:rFonts w:ascii="Arial" w:hAnsi="Arial" w:cs="Arial"/>
          <w:i/>
          <w:lang w:val="es-ES_tradnl"/>
        </w:rPr>
        <w:t xml:space="preserve"> </w:t>
      </w:r>
      <w:r w:rsidR="00EA159B" w:rsidRPr="00C6662F">
        <w:rPr>
          <w:rFonts w:ascii="Arial" w:hAnsi="Arial" w:cs="Arial"/>
          <w:lang w:val="es-ES_tradnl"/>
        </w:rPr>
        <w:t>es la tasa de ocupación para de la población entre 20 y 6</w:t>
      </w:r>
      <w:r w:rsidR="005F3B9B" w:rsidRPr="00C6662F">
        <w:rPr>
          <w:rFonts w:ascii="Arial" w:hAnsi="Arial" w:cs="Arial"/>
          <w:lang w:val="es-ES_tradnl"/>
        </w:rPr>
        <w:t>0</w:t>
      </w:r>
      <w:r w:rsidR="00EA159B" w:rsidRPr="00C6662F">
        <w:rPr>
          <w:rFonts w:ascii="Arial" w:hAnsi="Arial" w:cs="Arial"/>
          <w:lang w:val="es-ES_tradnl"/>
        </w:rPr>
        <w:t xml:space="preserve"> años que haya concluido el EM</w:t>
      </w:r>
      <w:r w:rsidRPr="00C6662F">
        <w:rPr>
          <w:rFonts w:ascii="Arial" w:hAnsi="Arial" w:cs="Arial"/>
          <w:lang w:val="es-ES_tradnl"/>
        </w:rPr>
        <w:t xml:space="preserve"> </w:t>
      </w:r>
      <w:r w:rsidR="00BE7DCB" w:rsidRPr="00C6662F">
        <w:rPr>
          <w:rFonts w:ascii="Arial" w:hAnsi="Arial" w:cs="Arial"/>
          <w:lang w:val="es-ES_tradnl"/>
        </w:rPr>
        <w:t>Reemplazando los valores:</w:t>
      </w:r>
    </w:p>
    <w:p w:rsidR="003A7A2A" w:rsidRDefault="003A7A2A" w:rsidP="003A7A2A">
      <w:pPr>
        <w:pStyle w:val="ListParagraph"/>
        <w:jc w:val="both"/>
        <w:rPr>
          <w:rFonts w:ascii="Arial" w:hAnsi="Arial" w:cs="Arial"/>
          <w:lang w:val="es-ES_tradnl"/>
        </w:rPr>
      </w:pPr>
    </w:p>
    <w:p w:rsidR="003A7A2A" w:rsidRPr="00C6662F" w:rsidRDefault="003A7A2A" w:rsidP="003A7A2A">
      <w:pPr>
        <w:pStyle w:val="ListParagraph"/>
        <w:ind w:left="360"/>
        <w:jc w:val="center"/>
        <w:rPr>
          <w:rFonts w:ascii="Arial" w:hAnsi="Arial" w:cs="Arial"/>
          <w:i/>
        </w:rPr>
      </w:pPr>
      <w:r w:rsidRPr="00C6662F">
        <w:rPr>
          <w:rFonts w:ascii="Arial" w:hAnsi="Arial" w:cs="Arial"/>
          <w:i/>
          <w:lang w:val="es-AR"/>
        </w:rPr>
        <w:t>B</w:t>
      </w:r>
      <w:r w:rsidRPr="00C6662F">
        <w:rPr>
          <w:rFonts w:ascii="Arial" w:hAnsi="Arial" w:cs="Arial"/>
          <w:i/>
          <w:vertAlign w:val="subscript"/>
          <w:lang w:val="es-AR"/>
        </w:rPr>
        <w:t>1</w:t>
      </w:r>
      <w:r w:rsidRPr="00C6662F">
        <w:rPr>
          <w:rFonts w:ascii="Arial" w:hAnsi="Arial" w:cs="Arial"/>
          <w:i/>
          <w:lang w:val="es-AR"/>
        </w:rPr>
        <w:t xml:space="preserve"> = 6.300</w:t>
      </w:r>
      <w:r w:rsidRPr="00C6662F">
        <w:rPr>
          <w:rFonts w:ascii="Arial" w:hAnsi="Arial" w:cs="Arial"/>
          <w:i/>
          <w:vertAlign w:val="subscript"/>
          <w:lang w:val="es-AR"/>
        </w:rPr>
        <w:t>*</w:t>
      </w:r>
      <w:r w:rsidRPr="00C6662F">
        <w:rPr>
          <w:rFonts w:ascii="Arial" w:hAnsi="Arial" w:cs="Arial"/>
          <w:i/>
        </w:rPr>
        <w:t xml:space="preserve"> 0,5012</w:t>
      </w:r>
      <w:r w:rsidRPr="008B2B66">
        <w:rPr>
          <w:rStyle w:val="FootnoteReference"/>
          <w:rFonts w:ascii="Arial" w:hAnsi="Arial" w:cs="Arial"/>
          <w:i/>
        </w:rPr>
        <w:footnoteReference w:id="7"/>
      </w:r>
      <w:r w:rsidRPr="00C6662F">
        <w:rPr>
          <w:rFonts w:ascii="Arial" w:hAnsi="Arial" w:cs="Arial"/>
          <w:i/>
          <w:vertAlign w:val="subscript"/>
          <w:lang w:val="es-AR"/>
        </w:rPr>
        <w:t>*</w:t>
      </w:r>
      <w:r w:rsidRPr="00C6662F">
        <w:rPr>
          <w:rFonts w:ascii="Arial" w:hAnsi="Arial" w:cs="Arial"/>
          <w:i/>
        </w:rPr>
        <w:t xml:space="preserve"> ((U$S 573,03- U$S 552,00) </w:t>
      </w:r>
      <w:r w:rsidRPr="00C6662F">
        <w:rPr>
          <w:rFonts w:ascii="Arial" w:hAnsi="Arial" w:cs="Arial"/>
          <w:i/>
          <w:vertAlign w:val="subscript"/>
          <w:lang w:val="es-AR"/>
        </w:rPr>
        <w:t>*</w:t>
      </w:r>
      <w:r w:rsidRPr="00C6662F">
        <w:rPr>
          <w:rFonts w:ascii="Arial" w:hAnsi="Arial" w:cs="Arial"/>
          <w:i/>
        </w:rPr>
        <w:t xml:space="preserve"> 12) </w:t>
      </w:r>
      <w:r w:rsidRPr="00C6662F">
        <w:rPr>
          <w:rFonts w:ascii="Arial" w:hAnsi="Arial" w:cs="Arial"/>
          <w:i/>
          <w:vertAlign w:val="subscript"/>
          <w:lang w:val="es-AR"/>
        </w:rPr>
        <w:t>*</w:t>
      </w:r>
      <w:r w:rsidRPr="00C6662F">
        <w:rPr>
          <w:rFonts w:ascii="Arial" w:hAnsi="Arial" w:cs="Arial"/>
          <w:i/>
        </w:rPr>
        <w:t xml:space="preserve"> 0,6756</w:t>
      </w:r>
    </w:p>
    <w:p w:rsidR="003A7A2A" w:rsidRDefault="003A7A2A" w:rsidP="003A7A2A">
      <w:pPr>
        <w:pStyle w:val="Paragraph"/>
        <w:numPr>
          <w:ilvl w:val="0"/>
          <w:numId w:val="0"/>
        </w:numPr>
        <w:ind w:left="720"/>
        <w:rPr>
          <w:rFonts w:ascii="Arial" w:hAnsi="Arial" w:cs="Arial"/>
          <w:b/>
          <w:sz w:val="22"/>
          <w:szCs w:val="22"/>
          <w:lang w:val="es-ES_tradnl"/>
        </w:rPr>
      </w:pPr>
      <w:r w:rsidRPr="008B2B66">
        <w:rPr>
          <w:rFonts w:ascii="Arial" w:hAnsi="Arial" w:cs="Arial"/>
          <w:b/>
          <w:sz w:val="22"/>
          <w:szCs w:val="22"/>
          <w:lang w:val="es-ES_tradnl"/>
        </w:rPr>
        <w:t xml:space="preserve">Los beneficios estimados por mayores salarios esperados, para el incremento de alumnos matriculados en la EM son de U$S 653,06 miles para el primer año de la intervención. </w:t>
      </w:r>
    </w:p>
    <w:p w:rsidR="003A7A2A" w:rsidRPr="003A7A2A" w:rsidRDefault="00CF77E9" w:rsidP="003A7A2A">
      <w:pPr>
        <w:pStyle w:val="ListParagraph"/>
        <w:numPr>
          <w:ilvl w:val="1"/>
          <w:numId w:val="7"/>
        </w:numPr>
        <w:ind w:left="720" w:hanging="720"/>
        <w:jc w:val="both"/>
        <w:rPr>
          <w:rFonts w:ascii="Arial" w:hAnsi="Arial" w:cs="Arial"/>
          <w:lang w:val="es-AR"/>
        </w:rPr>
      </w:pPr>
      <w:r w:rsidRPr="003A7A2A">
        <w:rPr>
          <w:rFonts w:ascii="Arial" w:hAnsi="Arial" w:cs="Arial"/>
        </w:rPr>
        <w:t>Para los B</w:t>
      </w:r>
      <w:r w:rsidRPr="003A7A2A">
        <w:rPr>
          <w:rFonts w:ascii="Arial" w:hAnsi="Arial" w:cs="Arial"/>
          <w:vertAlign w:val="subscript"/>
        </w:rPr>
        <w:t>2</w:t>
      </w:r>
      <w:r w:rsidRPr="003A7A2A">
        <w:rPr>
          <w:rFonts w:ascii="Arial" w:hAnsi="Arial" w:cs="Arial"/>
        </w:rPr>
        <w:t>, se siguió la misma metodología que para los B</w:t>
      </w:r>
      <w:r w:rsidR="002B5471" w:rsidRPr="003A7A2A">
        <w:rPr>
          <w:rFonts w:ascii="Arial" w:hAnsi="Arial" w:cs="Arial"/>
          <w:vertAlign w:val="subscript"/>
        </w:rPr>
        <w:t>1</w:t>
      </w:r>
      <w:r w:rsidRPr="003A7A2A">
        <w:rPr>
          <w:rFonts w:ascii="Arial" w:hAnsi="Arial" w:cs="Arial"/>
        </w:rPr>
        <w:t>.</w:t>
      </w:r>
      <w:r w:rsidRPr="008B2B66">
        <w:rPr>
          <w:rStyle w:val="FootnoteReference"/>
          <w:rFonts w:ascii="Arial" w:hAnsi="Arial" w:cs="Arial"/>
        </w:rPr>
        <w:footnoteReference w:id="8"/>
      </w:r>
      <w:r w:rsidR="002B5471" w:rsidRPr="003A7A2A">
        <w:rPr>
          <w:rFonts w:ascii="Arial" w:hAnsi="Arial" w:cs="Arial"/>
        </w:rPr>
        <w:t xml:space="preserve"> </w:t>
      </w:r>
      <w:r w:rsidR="00240DD9" w:rsidRPr="003A7A2A">
        <w:rPr>
          <w:rFonts w:ascii="Arial" w:hAnsi="Arial" w:cs="Arial"/>
          <w:lang w:val="es-ES_tradnl"/>
        </w:rPr>
        <w:t>Al no ser obligatorio l</w:t>
      </w:r>
      <w:r w:rsidR="005F730F" w:rsidRPr="003A7A2A">
        <w:rPr>
          <w:rFonts w:ascii="Arial" w:hAnsi="Arial" w:cs="Arial"/>
          <w:lang w:val="es-ES_tradnl"/>
        </w:rPr>
        <w:t>a</w:t>
      </w:r>
      <w:r w:rsidR="00240DD9" w:rsidRPr="003A7A2A">
        <w:rPr>
          <w:rFonts w:ascii="Arial" w:hAnsi="Arial" w:cs="Arial"/>
          <w:lang w:val="es-ES_tradnl"/>
        </w:rPr>
        <w:t xml:space="preserve"> FID, no habría un grupo control </w:t>
      </w:r>
      <w:r w:rsidR="00EB717F" w:rsidRPr="003A7A2A">
        <w:rPr>
          <w:rFonts w:ascii="Arial" w:hAnsi="Arial" w:cs="Arial"/>
          <w:lang w:val="es-ES_tradnl"/>
        </w:rPr>
        <w:t xml:space="preserve">para comparar </w:t>
      </w:r>
      <w:r w:rsidR="00240DD9" w:rsidRPr="003A7A2A">
        <w:rPr>
          <w:rFonts w:ascii="Arial" w:hAnsi="Arial" w:cs="Arial"/>
          <w:lang w:val="es-ES_tradnl"/>
        </w:rPr>
        <w:t xml:space="preserve">la situación con o sin egreso </w:t>
      </w:r>
      <w:r w:rsidR="005F730F" w:rsidRPr="003A7A2A">
        <w:rPr>
          <w:rFonts w:ascii="Arial" w:hAnsi="Arial" w:cs="Arial"/>
          <w:lang w:val="es-ES_tradnl"/>
        </w:rPr>
        <w:t>de la</w:t>
      </w:r>
      <w:r w:rsidR="00240DD9" w:rsidRPr="003A7A2A">
        <w:rPr>
          <w:rFonts w:ascii="Arial" w:hAnsi="Arial" w:cs="Arial"/>
          <w:lang w:val="es-ES_tradnl"/>
        </w:rPr>
        <w:t xml:space="preserve"> FID</w:t>
      </w:r>
      <w:r w:rsidR="00EB717F" w:rsidRPr="003A7A2A">
        <w:rPr>
          <w:rFonts w:ascii="Arial" w:hAnsi="Arial" w:cs="Arial"/>
          <w:lang w:val="es-ES_tradnl"/>
        </w:rPr>
        <w:t>, p</w:t>
      </w:r>
      <w:r w:rsidR="00240DD9" w:rsidRPr="003A7A2A">
        <w:rPr>
          <w:rFonts w:ascii="Arial" w:hAnsi="Arial" w:cs="Arial"/>
          <w:lang w:val="es-ES_tradnl"/>
        </w:rPr>
        <w:t>or ello se utiliza el mismo diferencial de salarios</w:t>
      </w:r>
      <w:r w:rsidR="005F730F" w:rsidRPr="003A7A2A">
        <w:rPr>
          <w:rFonts w:ascii="Arial" w:hAnsi="Arial" w:cs="Arial"/>
          <w:lang w:val="es-ES_tradnl"/>
        </w:rPr>
        <w:t xml:space="preserve"> que en el caso anterior</w:t>
      </w:r>
      <w:r w:rsidR="00240DD9" w:rsidRPr="003A7A2A">
        <w:rPr>
          <w:rFonts w:ascii="Arial" w:hAnsi="Arial" w:cs="Arial"/>
          <w:lang w:val="es-ES_tradnl"/>
        </w:rPr>
        <w:t>. El diferencial salarial de asalariados docentes con FID vs asalariados sin FID, no representaría al universo de la muestra, ya que</w:t>
      </w:r>
      <w:r w:rsidR="00EB717F" w:rsidRPr="003A7A2A">
        <w:rPr>
          <w:rFonts w:ascii="Arial" w:hAnsi="Arial" w:cs="Arial"/>
          <w:lang w:val="es-ES_tradnl"/>
        </w:rPr>
        <w:t xml:space="preserve"> puede ser que no se </w:t>
      </w:r>
      <w:r w:rsidR="00240DD9" w:rsidRPr="003A7A2A">
        <w:rPr>
          <w:rFonts w:ascii="Arial" w:hAnsi="Arial" w:cs="Arial"/>
          <w:lang w:val="es-ES_tradnl"/>
        </w:rPr>
        <w:t>estudi</w:t>
      </w:r>
      <w:r w:rsidR="00EB717F" w:rsidRPr="003A7A2A">
        <w:rPr>
          <w:rFonts w:ascii="Arial" w:hAnsi="Arial" w:cs="Arial"/>
          <w:lang w:val="es-ES_tradnl"/>
        </w:rPr>
        <w:t>e</w:t>
      </w:r>
      <w:r w:rsidR="00240DD9" w:rsidRPr="003A7A2A">
        <w:rPr>
          <w:rFonts w:ascii="Arial" w:hAnsi="Arial" w:cs="Arial"/>
          <w:lang w:val="es-ES_tradnl"/>
        </w:rPr>
        <w:t xml:space="preserve"> </w:t>
      </w:r>
      <w:r w:rsidR="00EB717F" w:rsidRPr="003A7A2A">
        <w:rPr>
          <w:rFonts w:ascii="Arial" w:hAnsi="Arial" w:cs="Arial"/>
          <w:lang w:val="es-ES_tradnl"/>
        </w:rPr>
        <w:t xml:space="preserve">en </w:t>
      </w:r>
      <w:r w:rsidR="00240DD9" w:rsidRPr="003A7A2A">
        <w:rPr>
          <w:rFonts w:ascii="Arial" w:hAnsi="Arial" w:cs="Arial"/>
          <w:lang w:val="es-ES_tradnl"/>
        </w:rPr>
        <w:t xml:space="preserve">FID y </w:t>
      </w:r>
      <w:r w:rsidR="00EB717F" w:rsidRPr="003A7A2A">
        <w:rPr>
          <w:rFonts w:ascii="Arial" w:hAnsi="Arial" w:cs="Arial"/>
          <w:lang w:val="es-ES_tradnl"/>
        </w:rPr>
        <w:t>se trabaje</w:t>
      </w:r>
      <w:r w:rsidR="00240DD9" w:rsidRPr="003A7A2A">
        <w:rPr>
          <w:rFonts w:ascii="Arial" w:hAnsi="Arial" w:cs="Arial"/>
          <w:lang w:val="es-ES_tradnl"/>
        </w:rPr>
        <w:t xml:space="preserve"> de docente</w:t>
      </w:r>
      <w:r w:rsidR="00EB717F" w:rsidRPr="003A7A2A">
        <w:rPr>
          <w:rFonts w:ascii="Arial" w:hAnsi="Arial" w:cs="Arial"/>
          <w:lang w:val="es-ES_tradnl"/>
        </w:rPr>
        <w:t xml:space="preserve"> y viceversa. </w:t>
      </w:r>
      <w:r w:rsidR="002B5471" w:rsidRPr="003A7A2A">
        <w:rPr>
          <w:rFonts w:ascii="Arial" w:hAnsi="Arial" w:cs="Arial"/>
        </w:rPr>
        <w:t>Los datos sobre tasas de aprobación se obtuvieron del Observatorio de la Educación (OdE), sobre la pauta del año 2013 (</w:t>
      </w:r>
      <w:r w:rsidR="00AC24F2" w:rsidRPr="003A7A2A">
        <w:rPr>
          <w:rFonts w:ascii="Arial" w:hAnsi="Arial" w:cs="Arial"/>
        </w:rPr>
        <w:t xml:space="preserve">muestra de </w:t>
      </w:r>
      <w:r w:rsidR="002B5471" w:rsidRPr="003A7A2A">
        <w:rPr>
          <w:rFonts w:ascii="Arial" w:hAnsi="Arial" w:cs="Arial"/>
        </w:rPr>
        <w:t>1</w:t>
      </w:r>
      <w:r w:rsidR="00AC24F2" w:rsidRPr="003A7A2A">
        <w:rPr>
          <w:rFonts w:ascii="Arial" w:hAnsi="Arial" w:cs="Arial"/>
        </w:rPr>
        <w:t>.</w:t>
      </w:r>
      <w:r w:rsidR="002B5471" w:rsidRPr="003A7A2A">
        <w:rPr>
          <w:rFonts w:ascii="Arial" w:hAnsi="Arial" w:cs="Arial"/>
        </w:rPr>
        <w:t>402 egresados).</w:t>
      </w:r>
      <w:r w:rsidR="005F730F" w:rsidRPr="003A7A2A">
        <w:rPr>
          <w:rFonts w:ascii="Arial" w:hAnsi="Arial" w:cs="Arial"/>
        </w:rPr>
        <w:t xml:space="preserve"> </w:t>
      </w:r>
      <w:r w:rsidR="00EB717F" w:rsidRPr="003A7A2A">
        <w:rPr>
          <w:rFonts w:ascii="Arial" w:hAnsi="Arial" w:cs="Arial"/>
        </w:rPr>
        <w:t xml:space="preserve">EL impacto se verifica a partir del cuarto </w:t>
      </w:r>
      <w:r w:rsidR="002B5471" w:rsidRPr="003A7A2A">
        <w:rPr>
          <w:rFonts w:ascii="Arial" w:hAnsi="Arial" w:cs="Arial"/>
        </w:rPr>
        <w:t>año de finalizad</w:t>
      </w:r>
      <w:r w:rsidR="00EB717F" w:rsidRPr="003A7A2A">
        <w:rPr>
          <w:rFonts w:ascii="Arial" w:hAnsi="Arial" w:cs="Arial"/>
        </w:rPr>
        <w:t>a</w:t>
      </w:r>
      <w:r w:rsidR="002B5471" w:rsidRPr="003A7A2A">
        <w:rPr>
          <w:rFonts w:ascii="Arial" w:hAnsi="Arial" w:cs="Arial"/>
        </w:rPr>
        <w:t xml:space="preserve"> la EMS.</w:t>
      </w:r>
    </w:p>
    <w:p w:rsidR="003A7A2A" w:rsidRPr="008B2B66" w:rsidRDefault="003A7A2A" w:rsidP="003A7A2A">
      <w:pPr>
        <w:pStyle w:val="Paragraph"/>
        <w:numPr>
          <w:ilvl w:val="0"/>
          <w:numId w:val="0"/>
        </w:numPr>
        <w:jc w:val="center"/>
        <w:rPr>
          <w:rFonts w:ascii="Arial" w:hAnsi="Arial" w:cs="Arial"/>
          <w:i/>
          <w:sz w:val="22"/>
          <w:szCs w:val="22"/>
          <w:lang w:val="es-AR"/>
        </w:rPr>
      </w:pPr>
      <w:r w:rsidRPr="008B2B66">
        <w:rPr>
          <w:rFonts w:ascii="Arial" w:hAnsi="Arial" w:cs="Arial"/>
          <w:i/>
          <w:sz w:val="22"/>
          <w:szCs w:val="22"/>
          <w:lang w:val="es-AR"/>
        </w:rPr>
        <w:t>B</w:t>
      </w:r>
      <w:r w:rsidRPr="008B2B66">
        <w:rPr>
          <w:rFonts w:ascii="Arial" w:hAnsi="Arial" w:cs="Arial"/>
          <w:i/>
          <w:sz w:val="22"/>
          <w:szCs w:val="22"/>
          <w:vertAlign w:val="subscript"/>
          <w:lang w:val="es-AR"/>
        </w:rPr>
        <w:t>2</w:t>
      </w:r>
      <w:r w:rsidRPr="008B2B66">
        <w:rPr>
          <w:rFonts w:ascii="Arial" w:hAnsi="Arial" w:cs="Arial"/>
          <w:i/>
          <w:sz w:val="22"/>
          <w:szCs w:val="22"/>
          <w:lang w:val="es-AR"/>
        </w:rPr>
        <w:t>= (</w:t>
      </w:r>
      <w:r w:rsidRPr="008B2B66">
        <w:rPr>
          <w:rFonts w:ascii="Arial" w:hAnsi="Arial" w:cs="Arial"/>
          <w:i/>
          <w:sz w:val="22"/>
          <w:szCs w:val="22"/>
          <w:lang w:val="es-ES_tradnl"/>
        </w:rPr>
        <w:t></w:t>
      </w:r>
      <w:r w:rsidRPr="008B2B66">
        <w:rPr>
          <w:rFonts w:ascii="Arial" w:hAnsi="Arial" w:cs="Arial"/>
          <w:i/>
          <w:sz w:val="22"/>
          <w:szCs w:val="22"/>
          <w:lang w:val="es-AR"/>
        </w:rPr>
        <w:t xml:space="preserve">A </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t</w:t>
      </w:r>
      <w:r w:rsidRPr="008B2B66">
        <w:rPr>
          <w:rFonts w:ascii="Arial" w:hAnsi="Arial" w:cs="Arial"/>
          <w:i/>
          <w:sz w:val="22"/>
          <w:szCs w:val="22"/>
          <w:vertAlign w:val="subscript"/>
          <w:lang w:val="es-AR"/>
        </w:rPr>
        <w:t xml:space="preserve">i  *  </w:t>
      </w:r>
      <w:r w:rsidRPr="008B2B66">
        <w:rPr>
          <w:rFonts w:ascii="Arial" w:hAnsi="Arial" w:cs="Arial"/>
          <w:i/>
          <w:sz w:val="22"/>
          <w:szCs w:val="22"/>
          <w:lang w:val="es-AR"/>
        </w:rPr>
        <w:t>(</w:t>
      </w:r>
      <w:r w:rsidRPr="008B2B66">
        <w:rPr>
          <w:rFonts w:ascii="Arial" w:hAnsi="Arial" w:cs="Arial"/>
          <w:i/>
          <w:sz w:val="22"/>
          <w:szCs w:val="22"/>
          <w:lang w:val="es-ES_tradnl"/>
        </w:rPr>
        <w:t></w:t>
      </w:r>
      <w:r w:rsidRPr="008B2B66">
        <w:rPr>
          <w:rFonts w:ascii="Arial" w:hAnsi="Arial" w:cs="Arial"/>
          <w:i/>
          <w:sz w:val="22"/>
          <w:szCs w:val="22"/>
          <w:lang w:val="es-AR"/>
        </w:rPr>
        <w:t xml:space="preserve"> W </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12)</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t</w:t>
      </w:r>
      <w:r w:rsidRPr="008B2B66">
        <w:rPr>
          <w:rFonts w:ascii="Arial" w:hAnsi="Arial" w:cs="Arial"/>
          <w:i/>
          <w:sz w:val="22"/>
          <w:szCs w:val="22"/>
          <w:vertAlign w:val="subscript"/>
          <w:lang w:val="es-AR"/>
        </w:rPr>
        <w:t>e</w:t>
      </w:r>
      <w:r w:rsidRPr="008B2B66">
        <w:rPr>
          <w:rFonts w:ascii="Arial" w:hAnsi="Arial" w:cs="Arial"/>
          <w:i/>
          <w:sz w:val="22"/>
          <w:szCs w:val="22"/>
          <w:lang w:val="es-AR"/>
        </w:rPr>
        <w:t>)</w:t>
      </w:r>
    </w:p>
    <w:p w:rsidR="003A7A2A" w:rsidRPr="008B2B66" w:rsidRDefault="003A7A2A" w:rsidP="003A7A2A">
      <w:pPr>
        <w:pStyle w:val="Paragraph"/>
        <w:numPr>
          <w:ilvl w:val="0"/>
          <w:numId w:val="0"/>
        </w:numPr>
        <w:ind w:left="720"/>
        <w:rPr>
          <w:rFonts w:ascii="Arial" w:hAnsi="Arial" w:cs="Arial"/>
          <w:sz w:val="22"/>
          <w:szCs w:val="22"/>
          <w:lang w:val="es-ES_tradnl"/>
        </w:rPr>
      </w:pPr>
      <w:r w:rsidRPr="008B2B66">
        <w:rPr>
          <w:rFonts w:ascii="Arial" w:hAnsi="Arial" w:cs="Arial"/>
          <w:sz w:val="22"/>
          <w:szCs w:val="22"/>
          <w:lang w:val="es-AR"/>
        </w:rPr>
        <w:t xml:space="preserve">donde, </w:t>
      </w:r>
      <w:r w:rsidRPr="008B2B66">
        <w:rPr>
          <w:rFonts w:ascii="Arial" w:hAnsi="Arial" w:cs="Arial"/>
          <w:i/>
          <w:sz w:val="22"/>
          <w:szCs w:val="22"/>
          <w:lang w:val="es-ES_tradnl"/>
        </w:rPr>
        <w:t>A</w:t>
      </w:r>
      <w:r w:rsidRPr="008B2B66">
        <w:rPr>
          <w:rFonts w:ascii="Arial" w:hAnsi="Arial" w:cs="Arial"/>
          <w:sz w:val="22"/>
          <w:szCs w:val="22"/>
          <w:lang w:val="es-ES_tradnl"/>
        </w:rPr>
        <w:t xml:space="preserve"> es el incremento de alumnos matriculados en FI (cupos por ampliaciones de centros existentes); </w:t>
      </w:r>
      <w:r w:rsidRPr="008B2B66">
        <w:rPr>
          <w:rFonts w:ascii="Arial" w:hAnsi="Arial" w:cs="Arial"/>
          <w:i/>
          <w:sz w:val="22"/>
          <w:szCs w:val="22"/>
          <w:lang w:val="es-ES_tradnl"/>
        </w:rPr>
        <w:t>t</w:t>
      </w:r>
      <w:r w:rsidRPr="008B2B66">
        <w:rPr>
          <w:rFonts w:ascii="Arial" w:hAnsi="Arial" w:cs="Arial"/>
          <w:i/>
          <w:sz w:val="22"/>
          <w:szCs w:val="22"/>
          <w:vertAlign w:val="subscript"/>
          <w:lang w:val="es-ES_tradnl"/>
        </w:rPr>
        <w:t xml:space="preserve">i </w:t>
      </w:r>
      <w:r w:rsidRPr="008B2B66">
        <w:rPr>
          <w:rFonts w:ascii="Arial" w:hAnsi="Arial" w:cs="Arial"/>
          <w:sz w:val="22"/>
          <w:szCs w:val="22"/>
          <w:lang w:val="es-ES_tradnl"/>
        </w:rPr>
        <w:t xml:space="preserve"> es la </w:t>
      </w:r>
      <w:r w:rsidRPr="008B2B66">
        <w:rPr>
          <w:rFonts w:ascii="Arial" w:hAnsi="Arial" w:cs="Arial"/>
          <w:sz w:val="22"/>
          <w:szCs w:val="22"/>
          <w:vertAlign w:val="subscript"/>
          <w:lang w:val="es-ES_tradnl"/>
        </w:rPr>
        <w:t xml:space="preserve"> </w:t>
      </w:r>
      <w:r w:rsidRPr="008B2B66">
        <w:rPr>
          <w:rFonts w:ascii="Arial" w:hAnsi="Arial" w:cs="Arial"/>
          <w:sz w:val="22"/>
          <w:szCs w:val="22"/>
          <w:lang w:val="es-ES_tradnl"/>
        </w:rPr>
        <w:t xml:space="preserve">tasa de aprobación en FI; </w:t>
      </w:r>
      <w:r w:rsidRPr="008B2B66">
        <w:rPr>
          <w:rFonts w:ascii="Arial" w:hAnsi="Arial" w:cs="Arial"/>
          <w:i/>
          <w:sz w:val="22"/>
          <w:szCs w:val="22"/>
          <w:lang w:val="es-ES_tradnl"/>
        </w:rPr>
        <w:t></w:t>
      </w:r>
      <w:r w:rsidRPr="008B2B66">
        <w:rPr>
          <w:rFonts w:ascii="Arial" w:hAnsi="Arial" w:cs="Arial"/>
          <w:i/>
          <w:sz w:val="22"/>
          <w:szCs w:val="22"/>
          <w:lang w:val="es-AR"/>
        </w:rPr>
        <w:t>W</w:t>
      </w:r>
      <w:r w:rsidRPr="008B2B66">
        <w:rPr>
          <w:rFonts w:ascii="Arial" w:hAnsi="Arial" w:cs="Arial"/>
          <w:sz w:val="22"/>
          <w:szCs w:val="22"/>
          <w:lang w:val="es-ES_tradnl"/>
        </w:rPr>
        <w:t xml:space="preserve"> es el diferencial salarial promedio mensual por concluir en relación a no concluirlos y </w:t>
      </w:r>
      <w:r w:rsidRPr="008B2B66">
        <w:rPr>
          <w:rFonts w:ascii="Arial" w:hAnsi="Arial" w:cs="Arial"/>
          <w:i/>
          <w:sz w:val="22"/>
          <w:szCs w:val="22"/>
          <w:lang w:val="es-ES_tradnl"/>
        </w:rPr>
        <w:t>t</w:t>
      </w:r>
      <w:r w:rsidRPr="008B2B66">
        <w:rPr>
          <w:rFonts w:ascii="Arial" w:hAnsi="Arial" w:cs="Arial"/>
          <w:i/>
          <w:sz w:val="22"/>
          <w:szCs w:val="22"/>
          <w:vertAlign w:val="subscript"/>
          <w:lang w:val="es-ES_tradnl"/>
        </w:rPr>
        <w:t>e</w:t>
      </w:r>
      <w:r w:rsidRPr="008B2B66">
        <w:rPr>
          <w:rFonts w:ascii="Arial" w:hAnsi="Arial" w:cs="Arial"/>
          <w:i/>
          <w:sz w:val="22"/>
          <w:szCs w:val="22"/>
          <w:lang w:val="es-ES_tradnl"/>
        </w:rPr>
        <w:t xml:space="preserve"> </w:t>
      </w:r>
      <w:r w:rsidRPr="008B2B66">
        <w:rPr>
          <w:rFonts w:ascii="Arial" w:hAnsi="Arial" w:cs="Arial"/>
          <w:sz w:val="22"/>
          <w:szCs w:val="22"/>
          <w:lang w:val="es-ES_tradnl"/>
        </w:rPr>
        <w:t>es la tasa de ocupación para de la población entre 20 y 60 años que haya el ciclo</w:t>
      </w:r>
    </w:p>
    <w:p w:rsidR="003A7A2A" w:rsidRPr="008B2B66" w:rsidRDefault="003A7A2A" w:rsidP="009B7D0C">
      <w:pPr>
        <w:jc w:val="center"/>
        <w:rPr>
          <w:rFonts w:ascii="Arial" w:hAnsi="Arial" w:cs="Arial"/>
          <w:i/>
          <w:sz w:val="22"/>
          <w:szCs w:val="22"/>
          <w:lang w:eastAsia="en-US"/>
        </w:rPr>
      </w:pPr>
      <w:r w:rsidRPr="008B2B66">
        <w:rPr>
          <w:rFonts w:ascii="Arial" w:hAnsi="Arial" w:cs="Arial"/>
          <w:i/>
          <w:sz w:val="22"/>
          <w:szCs w:val="22"/>
          <w:lang w:val="es-AR"/>
        </w:rPr>
        <w:t>B</w:t>
      </w:r>
      <w:r w:rsidRPr="008B2B66">
        <w:rPr>
          <w:rFonts w:ascii="Arial" w:hAnsi="Arial" w:cs="Arial"/>
          <w:i/>
          <w:sz w:val="22"/>
          <w:szCs w:val="22"/>
          <w:vertAlign w:val="subscript"/>
          <w:lang w:val="es-AR"/>
        </w:rPr>
        <w:t>2</w:t>
      </w:r>
      <w:r w:rsidRPr="008B2B66">
        <w:rPr>
          <w:rFonts w:ascii="Arial" w:hAnsi="Arial" w:cs="Arial"/>
          <w:i/>
          <w:sz w:val="22"/>
          <w:szCs w:val="22"/>
          <w:lang w:val="es-AR"/>
        </w:rPr>
        <w:t xml:space="preserve"> = 525</w:t>
      </w:r>
      <w:r w:rsidRPr="008B2B66">
        <w:rPr>
          <w:rFonts w:ascii="Arial" w:hAnsi="Arial" w:cs="Arial"/>
          <w:i/>
          <w:sz w:val="22"/>
          <w:szCs w:val="22"/>
          <w:vertAlign w:val="subscript"/>
          <w:lang w:val="es-AR"/>
        </w:rPr>
        <w:t>*</w:t>
      </w:r>
      <w:r w:rsidRPr="008B2B66">
        <w:rPr>
          <w:rFonts w:ascii="Arial" w:hAnsi="Arial" w:cs="Arial"/>
          <w:i/>
          <w:sz w:val="22"/>
          <w:szCs w:val="22"/>
          <w:lang w:eastAsia="en-US"/>
        </w:rPr>
        <w:t xml:space="preserve"> 0,0713,</w:t>
      </w:r>
      <w:r w:rsidRPr="008B2B66">
        <w:rPr>
          <w:rStyle w:val="FootnoteReference"/>
          <w:rFonts w:ascii="Arial" w:hAnsi="Arial" w:cs="Arial"/>
          <w:i/>
          <w:sz w:val="22"/>
          <w:szCs w:val="22"/>
          <w:lang w:eastAsia="en-US"/>
        </w:rPr>
        <w:footnoteReference w:id="9"/>
      </w:r>
      <w:r w:rsidRPr="008B2B66">
        <w:rPr>
          <w:rFonts w:ascii="Arial" w:hAnsi="Arial" w:cs="Arial"/>
          <w:i/>
          <w:sz w:val="22"/>
          <w:szCs w:val="22"/>
          <w:vertAlign w:val="subscript"/>
          <w:lang w:val="es-AR"/>
        </w:rPr>
        <w:t>*</w:t>
      </w:r>
      <w:r w:rsidRPr="008B2B66">
        <w:rPr>
          <w:rFonts w:ascii="Arial" w:hAnsi="Arial" w:cs="Arial"/>
          <w:i/>
          <w:sz w:val="22"/>
          <w:szCs w:val="22"/>
          <w:lang w:eastAsia="en-US"/>
        </w:rPr>
        <w:t xml:space="preserve"> </w:t>
      </w:r>
      <w:r w:rsidRPr="008B2B66">
        <w:rPr>
          <w:rFonts w:ascii="Arial" w:hAnsi="Arial" w:cs="Arial"/>
          <w:i/>
          <w:sz w:val="22"/>
          <w:szCs w:val="22"/>
        </w:rPr>
        <w:t>(</w:t>
      </w:r>
      <w:r w:rsidRPr="008B2B66">
        <w:rPr>
          <w:rFonts w:ascii="Arial" w:hAnsi="Arial" w:cs="Arial"/>
          <w:i/>
          <w:sz w:val="22"/>
          <w:szCs w:val="22"/>
          <w:lang w:eastAsia="en-US"/>
        </w:rPr>
        <w:t xml:space="preserve">U$S 21,00 </w:t>
      </w:r>
      <w:r w:rsidRPr="008B2B66">
        <w:rPr>
          <w:rFonts w:ascii="Arial" w:hAnsi="Arial" w:cs="Arial"/>
          <w:i/>
          <w:sz w:val="22"/>
          <w:szCs w:val="22"/>
          <w:vertAlign w:val="subscript"/>
          <w:lang w:val="es-AR"/>
        </w:rPr>
        <w:t>*</w:t>
      </w:r>
      <w:r w:rsidRPr="008B2B66">
        <w:rPr>
          <w:rFonts w:ascii="Arial" w:hAnsi="Arial" w:cs="Arial"/>
          <w:i/>
          <w:sz w:val="22"/>
          <w:szCs w:val="22"/>
          <w:lang w:eastAsia="en-US"/>
        </w:rPr>
        <w:t xml:space="preserve"> 12</w:t>
      </w:r>
      <w:r w:rsidRPr="008B2B66">
        <w:rPr>
          <w:rFonts w:ascii="Arial" w:hAnsi="Arial" w:cs="Arial"/>
          <w:i/>
          <w:sz w:val="22"/>
          <w:szCs w:val="22"/>
        </w:rPr>
        <w:t xml:space="preserve">) </w:t>
      </w:r>
      <w:r w:rsidRPr="008B2B66">
        <w:rPr>
          <w:rFonts w:ascii="Arial" w:hAnsi="Arial" w:cs="Arial"/>
          <w:i/>
          <w:sz w:val="22"/>
          <w:szCs w:val="22"/>
          <w:vertAlign w:val="subscript"/>
          <w:lang w:val="es-AR"/>
        </w:rPr>
        <w:t>*</w:t>
      </w:r>
      <w:r w:rsidRPr="008B2B66">
        <w:rPr>
          <w:rFonts w:ascii="Arial" w:hAnsi="Arial" w:cs="Arial"/>
          <w:i/>
          <w:sz w:val="22"/>
          <w:szCs w:val="22"/>
        </w:rPr>
        <w:t xml:space="preserve"> </w:t>
      </w:r>
      <w:r w:rsidRPr="008B2B66">
        <w:rPr>
          <w:rFonts w:ascii="Arial" w:hAnsi="Arial" w:cs="Arial"/>
          <w:i/>
          <w:sz w:val="22"/>
          <w:szCs w:val="22"/>
          <w:lang w:eastAsia="en-US"/>
        </w:rPr>
        <w:t>0,6756</w:t>
      </w:r>
      <w:r w:rsidRPr="008B2B66">
        <w:rPr>
          <w:rFonts w:ascii="Arial" w:hAnsi="Arial" w:cs="Arial"/>
          <w:i/>
          <w:sz w:val="22"/>
          <w:szCs w:val="22"/>
        </w:rPr>
        <w:t xml:space="preserve"> </w:t>
      </w:r>
    </w:p>
    <w:p w:rsidR="003A7A2A" w:rsidRPr="008B2B66" w:rsidRDefault="003A7A2A" w:rsidP="009B7D0C">
      <w:pPr>
        <w:pStyle w:val="Paragraph"/>
        <w:numPr>
          <w:ilvl w:val="0"/>
          <w:numId w:val="0"/>
        </w:numPr>
        <w:ind w:left="720"/>
        <w:rPr>
          <w:rFonts w:ascii="Arial" w:hAnsi="Arial" w:cs="Arial"/>
          <w:b/>
          <w:sz w:val="22"/>
          <w:szCs w:val="22"/>
          <w:lang w:val="es-ES_tradnl"/>
        </w:rPr>
      </w:pPr>
      <w:r w:rsidRPr="008B2B66">
        <w:rPr>
          <w:rFonts w:ascii="Arial" w:hAnsi="Arial" w:cs="Arial"/>
          <w:b/>
          <w:sz w:val="22"/>
          <w:szCs w:val="22"/>
          <w:lang w:val="es-ES_tradnl"/>
        </w:rPr>
        <w:t xml:space="preserve">Los beneficios estimados por mayores salarios esperados, para el incremento de alumnos matriculados en FI son de U$S 38,71 miles para el primer año de la intervención. </w:t>
      </w:r>
    </w:p>
    <w:p w:rsidR="009B7D0C" w:rsidRPr="009B7D0C" w:rsidRDefault="00562D68" w:rsidP="009B7D0C">
      <w:pPr>
        <w:pStyle w:val="ListParagraph"/>
        <w:numPr>
          <w:ilvl w:val="1"/>
          <w:numId w:val="7"/>
        </w:numPr>
        <w:ind w:left="720" w:hanging="720"/>
        <w:jc w:val="both"/>
        <w:rPr>
          <w:rFonts w:ascii="Arial" w:hAnsi="Arial" w:cs="Arial"/>
          <w:lang w:val="es-AR"/>
        </w:rPr>
      </w:pPr>
      <w:r w:rsidRPr="003A7A2A">
        <w:rPr>
          <w:rFonts w:ascii="Arial" w:hAnsi="Arial" w:cs="Arial"/>
        </w:rPr>
        <w:t xml:space="preserve">Para el cálculo de los B3, asociado a los mayores salarios esperados como resultados de las mayores tasas de aprobación de la EMB y EMS y el </w:t>
      </w:r>
      <w:r w:rsidRPr="003A7A2A">
        <w:rPr>
          <w:rFonts w:ascii="Arial" w:hAnsi="Arial" w:cs="Arial"/>
        </w:rPr>
        <w:lastRenderedPageBreak/>
        <w:t>consiguiente aumento en el número de jóvenes de 18 años que concluirán la EM, se multiplica en número de total de estudiantes beneficiados por la implantación de la nueva propuesta curricular y pedagógica por las mayores tasas de aprobación en la educación superior que se esperan como resultado de esta implementación. Para estimar las tasas de aprobación se supone una mejora de 5 puntos porcentuales</w:t>
      </w:r>
      <w:r w:rsidR="007C37F5" w:rsidRPr="003A7A2A">
        <w:footnoteReference w:id="10"/>
      </w:r>
      <w:r w:rsidRPr="003A7A2A">
        <w:rPr>
          <w:rFonts w:ascii="Arial" w:hAnsi="Arial" w:cs="Arial"/>
        </w:rPr>
        <w:t xml:space="preserve">. </w:t>
      </w:r>
      <w:r w:rsidR="007C37F5" w:rsidRPr="003A7A2A">
        <w:rPr>
          <w:rFonts w:ascii="Arial" w:hAnsi="Arial" w:cs="Arial"/>
        </w:rPr>
        <w:t xml:space="preserve">El efecto combinado de la mejora del 5%, implica que la tasa de aprobación </w:t>
      </w:r>
      <w:r w:rsidR="00AC382E" w:rsidRPr="003A7A2A">
        <w:rPr>
          <w:rFonts w:ascii="Arial" w:hAnsi="Arial" w:cs="Arial"/>
        </w:rPr>
        <w:t>en la educación media</w:t>
      </w:r>
      <w:r w:rsidR="007C37F5" w:rsidRPr="003A7A2A">
        <w:rPr>
          <w:rFonts w:ascii="Arial" w:hAnsi="Arial" w:cs="Arial"/>
        </w:rPr>
        <w:t xml:space="preserve"> alcanzaría 80,5%.</w:t>
      </w:r>
    </w:p>
    <w:p w:rsidR="009B7D0C" w:rsidRPr="008B2B66" w:rsidRDefault="009B7D0C" w:rsidP="009B7D0C">
      <w:pPr>
        <w:pStyle w:val="Paragraph"/>
        <w:numPr>
          <w:ilvl w:val="0"/>
          <w:numId w:val="0"/>
        </w:numPr>
        <w:ind w:left="360"/>
        <w:jc w:val="center"/>
        <w:rPr>
          <w:rFonts w:ascii="Arial" w:hAnsi="Arial" w:cs="Arial"/>
          <w:i/>
          <w:sz w:val="22"/>
          <w:szCs w:val="22"/>
          <w:lang w:val="es-AR"/>
        </w:rPr>
      </w:pPr>
      <w:r w:rsidRPr="008B2B66">
        <w:rPr>
          <w:rFonts w:ascii="Arial" w:hAnsi="Arial" w:cs="Arial"/>
          <w:i/>
          <w:sz w:val="22"/>
          <w:szCs w:val="22"/>
          <w:lang w:val="es-AR"/>
        </w:rPr>
        <w:t>B</w:t>
      </w:r>
      <w:r w:rsidRPr="008B2B66">
        <w:rPr>
          <w:rFonts w:ascii="Arial" w:hAnsi="Arial" w:cs="Arial"/>
          <w:i/>
          <w:sz w:val="22"/>
          <w:szCs w:val="22"/>
          <w:vertAlign w:val="subscript"/>
          <w:lang w:val="es-AR"/>
        </w:rPr>
        <w:t>3</w:t>
      </w:r>
      <w:r w:rsidRPr="008B2B66">
        <w:rPr>
          <w:rFonts w:ascii="Arial" w:hAnsi="Arial" w:cs="Arial"/>
          <w:i/>
          <w:sz w:val="22"/>
          <w:szCs w:val="22"/>
          <w:lang w:val="es-AR"/>
        </w:rPr>
        <w:t>= (</w:t>
      </w:r>
      <w:r w:rsidRPr="008B2B66">
        <w:rPr>
          <w:rFonts w:ascii="Arial" w:hAnsi="Arial" w:cs="Arial"/>
          <w:i/>
          <w:sz w:val="22"/>
          <w:szCs w:val="22"/>
          <w:lang w:val="es-ES_tradnl"/>
        </w:rPr>
        <w:t></w:t>
      </w:r>
      <w:r w:rsidRPr="008B2B66">
        <w:rPr>
          <w:rFonts w:ascii="Arial" w:hAnsi="Arial" w:cs="Arial"/>
          <w:i/>
          <w:sz w:val="22"/>
          <w:szCs w:val="22"/>
          <w:lang w:val="es-ES_tradnl"/>
        </w:rPr>
        <w:t></w:t>
      </w:r>
      <w:r w:rsidRPr="008B2B66">
        <w:rPr>
          <w:rFonts w:ascii="Arial" w:hAnsi="Arial" w:cs="Arial"/>
          <w:i/>
          <w:sz w:val="22"/>
          <w:szCs w:val="22"/>
          <w:lang w:val="es-ES_tradnl"/>
        </w:rPr>
        <w:t></w:t>
      </w:r>
      <w:r w:rsidRPr="008B2B66">
        <w:rPr>
          <w:rFonts w:ascii="Arial" w:hAnsi="Arial" w:cs="Arial"/>
          <w:i/>
          <w:sz w:val="22"/>
          <w:szCs w:val="22"/>
          <w:vertAlign w:val="subscript"/>
          <w:lang w:val="es-ES_tradnl"/>
        </w:rPr>
        <w:t>p</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t</w:t>
      </w:r>
      <w:r w:rsidRPr="008B2B66">
        <w:rPr>
          <w:rFonts w:ascii="Arial" w:hAnsi="Arial" w:cs="Arial"/>
          <w:i/>
          <w:sz w:val="22"/>
          <w:szCs w:val="22"/>
          <w:vertAlign w:val="subscript"/>
          <w:lang w:val="es-AR"/>
        </w:rPr>
        <w:t xml:space="preserve">mc  *  </w:t>
      </w:r>
      <w:r w:rsidRPr="008B2B66">
        <w:rPr>
          <w:rFonts w:ascii="Arial" w:hAnsi="Arial" w:cs="Arial"/>
          <w:i/>
          <w:sz w:val="22"/>
          <w:szCs w:val="22"/>
          <w:lang w:val="es-AR"/>
        </w:rPr>
        <w:t>(</w:t>
      </w:r>
      <w:r w:rsidRPr="008B2B66">
        <w:rPr>
          <w:rFonts w:ascii="Arial" w:hAnsi="Arial" w:cs="Arial"/>
          <w:i/>
          <w:sz w:val="22"/>
          <w:szCs w:val="22"/>
          <w:lang w:val="es-ES_tradnl"/>
        </w:rPr>
        <w:t></w:t>
      </w:r>
      <w:r w:rsidRPr="008B2B66">
        <w:rPr>
          <w:rFonts w:ascii="Arial" w:hAnsi="Arial" w:cs="Arial"/>
          <w:i/>
          <w:sz w:val="22"/>
          <w:szCs w:val="22"/>
          <w:lang w:val="es-AR"/>
        </w:rPr>
        <w:t xml:space="preserve"> W </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12)</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t</w:t>
      </w:r>
      <w:r w:rsidRPr="008B2B66">
        <w:rPr>
          <w:rFonts w:ascii="Arial" w:hAnsi="Arial" w:cs="Arial"/>
          <w:i/>
          <w:sz w:val="22"/>
          <w:szCs w:val="22"/>
          <w:vertAlign w:val="subscript"/>
          <w:lang w:val="es-AR"/>
        </w:rPr>
        <w:t>e</w:t>
      </w:r>
      <w:r w:rsidRPr="008B2B66">
        <w:rPr>
          <w:rFonts w:ascii="Arial" w:hAnsi="Arial" w:cs="Arial"/>
          <w:i/>
          <w:sz w:val="22"/>
          <w:szCs w:val="22"/>
          <w:lang w:val="es-AR"/>
        </w:rPr>
        <w:t>)</w:t>
      </w:r>
    </w:p>
    <w:p w:rsidR="009B7D0C" w:rsidRPr="008B2B66" w:rsidRDefault="009B7D0C" w:rsidP="009B7D0C">
      <w:pPr>
        <w:pStyle w:val="Paragraph"/>
        <w:numPr>
          <w:ilvl w:val="0"/>
          <w:numId w:val="0"/>
        </w:numPr>
        <w:ind w:left="720"/>
        <w:rPr>
          <w:rFonts w:ascii="Arial" w:hAnsi="Arial" w:cs="Arial"/>
          <w:sz w:val="22"/>
          <w:szCs w:val="22"/>
          <w:lang w:val="es-ES_tradnl"/>
        </w:rPr>
      </w:pPr>
      <w:r w:rsidRPr="008B2B66">
        <w:rPr>
          <w:rFonts w:ascii="Arial" w:hAnsi="Arial" w:cs="Arial"/>
          <w:sz w:val="22"/>
          <w:szCs w:val="22"/>
          <w:lang w:val="es-AR"/>
        </w:rPr>
        <w:t xml:space="preserve">donde, </w:t>
      </w:r>
      <w:r w:rsidRPr="008B2B66">
        <w:rPr>
          <w:rFonts w:ascii="Arial" w:hAnsi="Arial" w:cs="Arial"/>
          <w:i/>
          <w:sz w:val="22"/>
          <w:szCs w:val="22"/>
          <w:lang w:val="es-ES_tradnl"/>
        </w:rPr>
        <w:t></w:t>
      </w:r>
      <w:r w:rsidRPr="008B2B66">
        <w:rPr>
          <w:rFonts w:ascii="Arial" w:hAnsi="Arial" w:cs="Arial"/>
          <w:i/>
          <w:sz w:val="22"/>
          <w:szCs w:val="22"/>
          <w:lang w:val="es-ES_tradnl"/>
        </w:rPr>
        <w:t></w:t>
      </w:r>
      <w:r w:rsidRPr="008B2B66">
        <w:rPr>
          <w:rFonts w:ascii="Arial" w:hAnsi="Arial" w:cs="Arial"/>
          <w:i/>
          <w:sz w:val="22"/>
          <w:szCs w:val="22"/>
          <w:lang w:val="es-ES_tradnl"/>
        </w:rPr>
        <w:t></w:t>
      </w:r>
      <w:r w:rsidRPr="008B2B66">
        <w:rPr>
          <w:rFonts w:ascii="Arial" w:hAnsi="Arial" w:cs="Arial"/>
          <w:i/>
          <w:sz w:val="22"/>
          <w:szCs w:val="22"/>
          <w:vertAlign w:val="subscript"/>
          <w:lang w:val="es-ES_tradnl"/>
        </w:rPr>
        <w:t>p</w:t>
      </w:r>
      <w:r w:rsidRPr="008B2B66">
        <w:rPr>
          <w:rFonts w:ascii="Arial" w:hAnsi="Arial" w:cs="Arial"/>
          <w:sz w:val="22"/>
          <w:szCs w:val="22"/>
          <w:lang w:val="es-ES_tradnl"/>
        </w:rPr>
        <w:t xml:space="preserve"> es el incremento de nuevos beneficiarios por la reforma en primer año; </w:t>
      </w:r>
      <w:r w:rsidRPr="008B2B66">
        <w:rPr>
          <w:rFonts w:ascii="Arial" w:hAnsi="Arial" w:cs="Arial"/>
          <w:i/>
          <w:sz w:val="22"/>
          <w:szCs w:val="22"/>
          <w:lang w:val="es-ES_tradnl"/>
        </w:rPr>
        <w:t>t</w:t>
      </w:r>
      <w:r w:rsidRPr="008B2B66">
        <w:rPr>
          <w:rFonts w:ascii="Arial" w:hAnsi="Arial" w:cs="Arial"/>
          <w:i/>
          <w:sz w:val="22"/>
          <w:szCs w:val="22"/>
          <w:vertAlign w:val="subscript"/>
          <w:lang w:val="es-ES_tradnl"/>
        </w:rPr>
        <w:t xml:space="preserve">mc </w:t>
      </w:r>
      <w:r w:rsidRPr="008B2B66">
        <w:rPr>
          <w:rFonts w:ascii="Arial" w:hAnsi="Arial" w:cs="Arial"/>
          <w:sz w:val="22"/>
          <w:szCs w:val="22"/>
          <w:lang w:val="es-ES_tradnl"/>
        </w:rPr>
        <w:t xml:space="preserve"> es la </w:t>
      </w:r>
      <w:r w:rsidRPr="008B2B66">
        <w:rPr>
          <w:rFonts w:ascii="Arial" w:hAnsi="Arial" w:cs="Arial"/>
          <w:sz w:val="22"/>
          <w:szCs w:val="22"/>
          <w:vertAlign w:val="subscript"/>
          <w:lang w:val="es-ES_tradnl"/>
        </w:rPr>
        <w:t xml:space="preserve"> </w:t>
      </w:r>
      <w:r w:rsidRPr="008B2B66">
        <w:rPr>
          <w:rFonts w:ascii="Arial" w:hAnsi="Arial" w:cs="Arial"/>
          <w:sz w:val="22"/>
          <w:szCs w:val="22"/>
          <w:lang w:val="es-ES_tradnl"/>
        </w:rPr>
        <w:t xml:space="preserve">tasa de aprobación de la EM combinada por la mejora; </w:t>
      </w:r>
      <w:r w:rsidRPr="008B2B66">
        <w:rPr>
          <w:rFonts w:ascii="Arial" w:hAnsi="Arial" w:cs="Arial"/>
          <w:i/>
          <w:sz w:val="22"/>
          <w:szCs w:val="22"/>
          <w:lang w:val="es-ES_tradnl"/>
        </w:rPr>
        <w:t></w:t>
      </w:r>
      <w:r w:rsidRPr="008B2B66">
        <w:rPr>
          <w:rFonts w:ascii="Arial" w:hAnsi="Arial" w:cs="Arial"/>
          <w:i/>
          <w:sz w:val="22"/>
          <w:szCs w:val="22"/>
          <w:lang w:val="es-AR"/>
        </w:rPr>
        <w:t>W</w:t>
      </w:r>
      <w:r w:rsidRPr="008B2B66">
        <w:rPr>
          <w:rFonts w:ascii="Arial" w:hAnsi="Arial" w:cs="Arial"/>
          <w:sz w:val="22"/>
          <w:szCs w:val="22"/>
          <w:lang w:val="es-ES_tradnl"/>
        </w:rPr>
        <w:t xml:space="preserve"> es el diferencial salarial promedio mensual por concluir en relación a no concluirlos y </w:t>
      </w:r>
      <w:r w:rsidRPr="008B2B66">
        <w:rPr>
          <w:rFonts w:ascii="Arial" w:hAnsi="Arial" w:cs="Arial"/>
          <w:i/>
          <w:sz w:val="22"/>
          <w:szCs w:val="22"/>
          <w:lang w:val="es-ES_tradnl"/>
        </w:rPr>
        <w:t>t</w:t>
      </w:r>
      <w:r w:rsidRPr="008B2B66">
        <w:rPr>
          <w:rFonts w:ascii="Arial" w:hAnsi="Arial" w:cs="Arial"/>
          <w:i/>
          <w:sz w:val="22"/>
          <w:szCs w:val="22"/>
          <w:vertAlign w:val="subscript"/>
          <w:lang w:val="es-ES_tradnl"/>
        </w:rPr>
        <w:t>e</w:t>
      </w:r>
      <w:r w:rsidRPr="008B2B66">
        <w:rPr>
          <w:rFonts w:ascii="Arial" w:hAnsi="Arial" w:cs="Arial"/>
          <w:i/>
          <w:sz w:val="22"/>
          <w:szCs w:val="22"/>
          <w:lang w:val="es-ES_tradnl"/>
        </w:rPr>
        <w:t xml:space="preserve"> </w:t>
      </w:r>
      <w:r w:rsidRPr="008B2B66">
        <w:rPr>
          <w:rFonts w:ascii="Arial" w:hAnsi="Arial" w:cs="Arial"/>
          <w:sz w:val="22"/>
          <w:szCs w:val="22"/>
          <w:lang w:val="es-ES_tradnl"/>
        </w:rPr>
        <w:t>es la tasa de ocupación para de la población entre 20 y 60 años que haya el ciclo.</w:t>
      </w:r>
    </w:p>
    <w:p w:rsidR="009B7D0C" w:rsidRPr="008B2B66" w:rsidRDefault="009B7D0C" w:rsidP="009B7D0C">
      <w:pPr>
        <w:jc w:val="center"/>
        <w:rPr>
          <w:rFonts w:ascii="Arial" w:hAnsi="Arial" w:cs="Arial"/>
          <w:i/>
          <w:sz w:val="22"/>
          <w:szCs w:val="22"/>
          <w:lang w:eastAsia="en-US"/>
        </w:rPr>
      </w:pPr>
      <w:r w:rsidRPr="008B2B66">
        <w:rPr>
          <w:rFonts w:ascii="Arial" w:hAnsi="Arial" w:cs="Arial"/>
          <w:i/>
          <w:sz w:val="22"/>
          <w:szCs w:val="22"/>
          <w:lang w:val="es-AR"/>
        </w:rPr>
        <w:t>B</w:t>
      </w:r>
      <w:r w:rsidRPr="008B2B66">
        <w:rPr>
          <w:rFonts w:ascii="Arial" w:hAnsi="Arial" w:cs="Arial"/>
          <w:i/>
          <w:sz w:val="22"/>
          <w:szCs w:val="22"/>
          <w:vertAlign w:val="subscript"/>
          <w:lang w:val="es-AR"/>
        </w:rPr>
        <w:t>3</w:t>
      </w:r>
      <w:r w:rsidRPr="008B2B66">
        <w:rPr>
          <w:rFonts w:ascii="Arial" w:hAnsi="Arial" w:cs="Arial"/>
          <w:i/>
          <w:sz w:val="22"/>
          <w:szCs w:val="22"/>
          <w:lang w:val="es-AR"/>
        </w:rPr>
        <w:t xml:space="preserve"> = 43.800</w:t>
      </w:r>
      <w:r w:rsidRPr="008B2B66">
        <w:rPr>
          <w:rFonts w:ascii="Arial" w:hAnsi="Arial" w:cs="Arial"/>
          <w:i/>
          <w:sz w:val="22"/>
          <w:szCs w:val="22"/>
          <w:vertAlign w:val="subscript"/>
          <w:lang w:val="es-AR"/>
        </w:rPr>
        <w:t>*</w:t>
      </w:r>
      <w:r w:rsidRPr="008B2B66">
        <w:rPr>
          <w:rFonts w:ascii="Arial" w:hAnsi="Arial" w:cs="Arial"/>
          <w:i/>
          <w:sz w:val="22"/>
          <w:szCs w:val="22"/>
          <w:lang w:eastAsia="en-US"/>
        </w:rPr>
        <w:t xml:space="preserve"> 0.805</w:t>
      </w:r>
      <w:r w:rsidRPr="008B2B66">
        <w:rPr>
          <w:rFonts w:ascii="Arial" w:hAnsi="Arial" w:cs="Arial"/>
          <w:i/>
          <w:sz w:val="22"/>
          <w:szCs w:val="22"/>
          <w:vertAlign w:val="subscript"/>
          <w:lang w:val="es-AR"/>
        </w:rPr>
        <w:t>*</w:t>
      </w:r>
      <w:r w:rsidRPr="008B2B66">
        <w:rPr>
          <w:rFonts w:ascii="Arial" w:hAnsi="Arial" w:cs="Arial"/>
          <w:i/>
          <w:sz w:val="22"/>
          <w:szCs w:val="22"/>
          <w:lang w:eastAsia="en-US"/>
        </w:rPr>
        <w:t xml:space="preserve"> </w:t>
      </w:r>
      <w:r w:rsidRPr="008B2B66">
        <w:rPr>
          <w:rFonts w:ascii="Arial" w:hAnsi="Arial" w:cs="Arial"/>
          <w:i/>
          <w:sz w:val="22"/>
          <w:szCs w:val="22"/>
        </w:rPr>
        <w:t>(</w:t>
      </w:r>
      <w:r w:rsidRPr="008B2B66">
        <w:rPr>
          <w:rFonts w:ascii="Arial" w:hAnsi="Arial" w:cs="Arial"/>
          <w:i/>
          <w:sz w:val="22"/>
          <w:szCs w:val="22"/>
          <w:lang w:eastAsia="en-US"/>
        </w:rPr>
        <w:t xml:space="preserve">(U$S 573,03- U$S 552,00) </w:t>
      </w:r>
      <w:r w:rsidRPr="008B2B66">
        <w:rPr>
          <w:rFonts w:ascii="Arial" w:hAnsi="Arial" w:cs="Arial"/>
          <w:i/>
          <w:sz w:val="22"/>
          <w:szCs w:val="22"/>
          <w:vertAlign w:val="subscript"/>
          <w:lang w:val="es-AR"/>
        </w:rPr>
        <w:t>*</w:t>
      </w:r>
      <w:r w:rsidRPr="008B2B66">
        <w:rPr>
          <w:rFonts w:ascii="Arial" w:hAnsi="Arial" w:cs="Arial"/>
          <w:i/>
          <w:sz w:val="22"/>
          <w:szCs w:val="22"/>
          <w:lang w:eastAsia="en-US"/>
        </w:rPr>
        <w:t xml:space="preserve"> 12</w:t>
      </w:r>
      <w:r w:rsidRPr="008B2B66">
        <w:rPr>
          <w:rFonts w:ascii="Arial" w:hAnsi="Arial" w:cs="Arial"/>
          <w:i/>
          <w:sz w:val="22"/>
          <w:szCs w:val="22"/>
        </w:rPr>
        <w:t xml:space="preserve">) </w:t>
      </w:r>
      <w:r w:rsidRPr="008B2B66">
        <w:rPr>
          <w:rFonts w:ascii="Arial" w:hAnsi="Arial" w:cs="Arial"/>
          <w:i/>
          <w:sz w:val="22"/>
          <w:szCs w:val="22"/>
          <w:vertAlign w:val="subscript"/>
          <w:lang w:val="es-AR"/>
        </w:rPr>
        <w:t>*</w:t>
      </w:r>
      <w:r w:rsidRPr="008B2B66">
        <w:rPr>
          <w:rFonts w:ascii="Arial" w:hAnsi="Arial" w:cs="Arial"/>
          <w:i/>
          <w:sz w:val="22"/>
          <w:szCs w:val="22"/>
        </w:rPr>
        <w:t xml:space="preserve"> </w:t>
      </w:r>
      <w:r w:rsidRPr="008B2B66">
        <w:rPr>
          <w:rFonts w:ascii="Arial" w:hAnsi="Arial" w:cs="Arial"/>
          <w:i/>
          <w:sz w:val="22"/>
          <w:szCs w:val="22"/>
          <w:lang w:eastAsia="en-US"/>
        </w:rPr>
        <w:t>0,6756</w:t>
      </w:r>
      <w:r w:rsidRPr="008B2B66">
        <w:rPr>
          <w:rFonts w:ascii="Arial" w:hAnsi="Arial" w:cs="Arial"/>
          <w:i/>
          <w:sz w:val="22"/>
          <w:szCs w:val="22"/>
        </w:rPr>
        <w:t xml:space="preserve"> </w:t>
      </w:r>
    </w:p>
    <w:p w:rsidR="009B7D0C" w:rsidRPr="008B2B66" w:rsidRDefault="009B7D0C" w:rsidP="009B7D0C">
      <w:pPr>
        <w:pStyle w:val="Paragraph"/>
        <w:numPr>
          <w:ilvl w:val="0"/>
          <w:numId w:val="0"/>
        </w:numPr>
        <w:ind w:left="720"/>
        <w:rPr>
          <w:rFonts w:ascii="Arial" w:hAnsi="Arial" w:cs="Arial"/>
          <w:b/>
          <w:sz w:val="22"/>
          <w:szCs w:val="22"/>
          <w:lang w:val="es-ES_tradnl"/>
        </w:rPr>
      </w:pPr>
      <w:r w:rsidRPr="008B2B66">
        <w:rPr>
          <w:rFonts w:ascii="Arial" w:hAnsi="Arial" w:cs="Arial"/>
          <w:b/>
          <w:sz w:val="22"/>
          <w:szCs w:val="22"/>
          <w:lang w:val="es-ES_tradnl"/>
        </w:rPr>
        <w:t xml:space="preserve">Los beneficios estimados por mayores salarios esperados, por mayores tasas de aprobación ascienden para el primer año de la reforma en  U$S 7290,28 miles </w:t>
      </w:r>
    </w:p>
    <w:p w:rsidR="00D42E74" w:rsidRPr="00D42E74" w:rsidRDefault="001502BF" w:rsidP="00D42E74">
      <w:pPr>
        <w:pStyle w:val="ListParagraph"/>
        <w:numPr>
          <w:ilvl w:val="1"/>
          <w:numId w:val="7"/>
        </w:numPr>
        <w:ind w:left="720" w:hanging="720"/>
        <w:jc w:val="both"/>
        <w:rPr>
          <w:rFonts w:ascii="Arial" w:hAnsi="Arial" w:cs="Arial"/>
          <w:sz w:val="24"/>
          <w:lang w:val="es-AR"/>
        </w:rPr>
      </w:pPr>
      <w:r w:rsidRPr="009B7D0C">
        <w:rPr>
          <w:rFonts w:ascii="Arial" w:hAnsi="Arial" w:cs="Arial"/>
          <w:kern w:val="28"/>
        </w:rPr>
        <w:t xml:space="preserve">Para la determinación de los </w:t>
      </w:r>
      <w:r w:rsidR="001C40ED" w:rsidRPr="009B7D0C">
        <w:rPr>
          <w:rFonts w:ascii="Arial" w:hAnsi="Arial" w:cs="Arial"/>
          <w:kern w:val="28"/>
        </w:rPr>
        <w:t>B</w:t>
      </w:r>
      <w:r w:rsidR="007C37F5" w:rsidRPr="009B7D0C">
        <w:rPr>
          <w:rFonts w:ascii="Arial" w:hAnsi="Arial" w:cs="Arial"/>
          <w:kern w:val="28"/>
          <w:vertAlign w:val="subscript"/>
        </w:rPr>
        <w:t>4</w:t>
      </w:r>
      <w:r w:rsidRPr="009B7D0C">
        <w:rPr>
          <w:rFonts w:ascii="Arial" w:hAnsi="Arial" w:cs="Arial"/>
          <w:kern w:val="28"/>
        </w:rPr>
        <w:t>, relacionado con los ahorros en c</w:t>
      </w:r>
      <w:r w:rsidR="004B4070" w:rsidRPr="009B7D0C">
        <w:rPr>
          <w:rFonts w:ascii="Arial" w:hAnsi="Arial" w:cs="Arial"/>
          <w:kern w:val="28"/>
        </w:rPr>
        <w:t>o</w:t>
      </w:r>
      <w:r w:rsidRPr="009B7D0C">
        <w:rPr>
          <w:rFonts w:ascii="Arial" w:hAnsi="Arial" w:cs="Arial"/>
          <w:kern w:val="28"/>
        </w:rPr>
        <w:t>stos por mejoras en la eficiencia i</w:t>
      </w:r>
      <w:r w:rsidR="00CC0261" w:rsidRPr="009B7D0C">
        <w:rPr>
          <w:rFonts w:ascii="Arial" w:hAnsi="Arial" w:cs="Arial"/>
          <w:kern w:val="28"/>
        </w:rPr>
        <w:t>nterna</w:t>
      </w:r>
      <w:r w:rsidRPr="009B7D0C">
        <w:rPr>
          <w:rFonts w:ascii="Arial" w:hAnsi="Arial" w:cs="Arial"/>
          <w:kern w:val="28"/>
        </w:rPr>
        <w:t>,</w:t>
      </w:r>
      <w:r w:rsidR="00BB3E8D" w:rsidRPr="009B7D0C">
        <w:rPr>
          <w:rFonts w:ascii="Arial" w:hAnsi="Arial" w:cs="Arial"/>
          <w:kern w:val="28"/>
        </w:rPr>
        <w:t xml:space="preserve"> como resultado de la implementación de las reformas y de la nueva propuesta pedagógica desarrollada en el Componente 1</w:t>
      </w:r>
      <w:r w:rsidR="00A05B6C" w:rsidRPr="009B7CB1">
        <w:rPr>
          <w:rStyle w:val="FootnoteReference"/>
          <w:rFonts w:ascii="Arial" w:hAnsi="Arial" w:cs="Arial"/>
          <w:kern w:val="28"/>
        </w:rPr>
        <w:footnoteReference w:id="11"/>
      </w:r>
      <w:r w:rsidR="00BB3E8D" w:rsidRPr="009B7D0C">
        <w:rPr>
          <w:rFonts w:ascii="Arial" w:hAnsi="Arial" w:cs="Arial"/>
          <w:kern w:val="28"/>
        </w:rPr>
        <w:t xml:space="preserve">, se utilizan </w:t>
      </w:r>
      <w:r w:rsidR="007C37F5" w:rsidRPr="009B7D0C">
        <w:rPr>
          <w:rFonts w:ascii="Arial" w:hAnsi="Arial" w:cs="Arial"/>
          <w:kern w:val="28"/>
        </w:rPr>
        <w:t>cifras oficiales</w:t>
      </w:r>
      <w:r w:rsidR="00BB3E8D" w:rsidRPr="009B7D0C">
        <w:rPr>
          <w:rFonts w:ascii="Arial" w:hAnsi="Arial" w:cs="Arial"/>
          <w:kern w:val="28"/>
        </w:rPr>
        <w:t xml:space="preserve"> de</w:t>
      </w:r>
      <w:r w:rsidR="007C37F5" w:rsidRPr="009B7D0C">
        <w:rPr>
          <w:rFonts w:ascii="Arial" w:hAnsi="Arial" w:cs="Arial"/>
          <w:kern w:val="28"/>
        </w:rPr>
        <w:t xml:space="preserve"> la tasa de promoción para el nivel secundario según datos del OE </w:t>
      </w:r>
      <w:r w:rsidR="00BB3E8D" w:rsidRPr="009B7D0C">
        <w:rPr>
          <w:rFonts w:ascii="Arial" w:hAnsi="Arial" w:cs="Arial"/>
          <w:kern w:val="28"/>
        </w:rPr>
        <w:t>(</w:t>
      </w:r>
      <w:r w:rsidR="007C37F5" w:rsidRPr="009B7D0C">
        <w:rPr>
          <w:rFonts w:ascii="Arial" w:hAnsi="Arial" w:cs="Arial"/>
          <w:kern w:val="28"/>
        </w:rPr>
        <w:t>71,2%</w:t>
      </w:r>
      <w:r w:rsidR="00BB3E8D" w:rsidRPr="009B7D0C">
        <w:rPr>
          <w:rFonts w:ascii="Arial" w:hAnsi="Arial" w:cs="Arial"/>
          <w:kern w:val="28"/>
        </w:rPr>
        <w:t>)</w:t>
      </w:r>
      <w:r w:rsidR="007C37F5" w:rsidRPr="009B7D0C">
        <w:rPr>
          <w:rFonts w:ascii="Arial" w:hAnsi="Arial" w:cs="Arial"/>
          <w:kern w:val="28"/>
        </w:rPr>
        <w:t>. El crecimiento promedio para el periodo 2009-2014 fue del 1,06%. Aplicando esta tasa de crecimiento, manteniendo todo lo demás constante, la tasa de promoción rondaría el 77% para el 2021 sin proyecto. Así si se supone un efecto proporcional del 5% en mayores tasas de aprobación de la EM, por encima del esc</w:t>
      </w:r>
      <w:r w:rsidR="00BB3E8D" w:rsidRPr="009B7D0C">
        <w:rPr>
          <w:rFonts w:ascii="Arial" w:hAnsi="Arial" w:cs="Arial"/>
          <w:kern w:val="28"/>
        </w:rPr>
        <w:t>enario inercial, es decir 76,6%</w:t>
      </w:r>
      <w:r w:rsidR="00585677" w:rsidRPr="009B7D0C">
        <w:rPr>
          <w:rFonts w:ascii="Arial" w:hAnsi="Arial" w:cs="Arial"/>
          <w:kern w:val="28"/>
        </w:rPr>
        <w:t xml:space="preserve">. </w:t>
      </w:r>
      <w:r w:rsidR="00AC24F2" w:rsidRPr="009B7D0C">
        <w:rPr>
          <w:rFonts w:ascii="Arial" w:hAnsi="Arial" w:cs="Arial"/>
          <w:kern w:val="28"/>
        </w:rPr>
        <w:t xml:space="preserve">La mejora de eficiencia se expresa como la </w:t>
      </w:r>
      <w:r w:rsidR="00A05B6C" w:rsidRPr="009B7D0C">
        <w:rPr>
          <w:rFonts w:ascii="Arial" w:hAnsi="Arial" w:cs="Arial"/>
          <w:kern w:val="28"/>
        </w:rPr>
        <w:t xml:space="preserve">diferencia de la inversa de la tasa de aprobación sin proyecto </w:t>
      </w:r>
      <w:r w:rsidR="00AC24F2" w:rsidRPr="009B7D0C">
        <w:rPr>
          <w:rFonts w:ascii="Arial" w:hAnsi="Arial" w:cs="Arial"/>
          <w:kern w:val="28"/>
        </w:rPr>
        <w:t xml:space="preserve">y </w:t>
      </w:r>
      <w:r w:rsidR="00A05B6C" w:rsidRPr="009B7D0C">
        <w:rPr>
          <w:rFonts w:ascii="Arial" w:hAnsi="Arial" w:cs="Arial"/>
          <w:kern w:val="28"/>
        </w:rPr>
        <w:t xml:space="preserve">la tasa </w:t>
      </w:r>
      <w:r w:rsidR="00AC24F2" w:rsidRPr="009B7D0C">
        <w:rPr>
          <w:rFonts w:ascii="Arial" w:hAnsi="Arial" w:cs="Arial"/>
          <w:kern w:val="28"/>
        </w:rPr>
        <w:t xml:space="preserve">de aprobación </w:t>
      </w:r>
      <w:r w:rsidR="00A05B6C" w:rsidRPr="009B7D0C">
        <w:rPr>
          <w:rFonts w:ascii="Arial" w:hAnsi="Arial" w:cs="Arial"/>
          <w:kern w:val="28"/>
        </w:rPr>
        <w:t xml:space="preserve">con proyecto. </w:t>
      </w:r>
      <w:r w:rsidR="00360FCE" w:rsidRPr="00D42E74">
        <w:rPr>
          <w:rFonts w:ascii="Arial" w:hAnsi="Arial" w:cs="Arial"/>
        </w:rPr>
        <w:t xml:space="preserve">El ahorro estimado </w:t>
      </w:r>
      <w:r w:rsidR="00D83045" w:rsidRPr="00D42E74">
        <w:rPr>
          <w:rFonts w:ascii="Arial" w:hAnsi="Arial" w:cs="Arial"/>
        </w:rPr>
        <w:t>por alumno</w:t>
      </w:r>
      <w:r w:rsidR="00CB5EA8" w:rsidRPr="00D42E74">
        <w:rPr>
          <w:rFonts w:ascii="Arial" w:hAnsi="Arial" w:cs="Arial"/>
        </w:rPr>
        <w:t>-año</w:t>
      </w:r>
      <w:r w:rsidR="00D83045" w:rsidRPr="00D42E74">
        <w:rPr>
          <w:rFonts w:ascii="Arial" w:hAnsi="Arial" w:cs="Arial"/>
        </w:rPr>
        <w:t xml:space="preserve"> </w:t>
      </w:r>
      <w:r w:rsidRPr="00D42E74">
        <w:rPr>
          <w:rFonts w:ascii="Arial" w:hAnsi="Arial" w:cs="Arial"/>
        </w:rPr>
        <w:t xml:space="preserve">vendrá dado por: </w:t>
      </w:r>
    </w:p>
    <w:p w:rsidR="00D42E74" w:rsidRPr="008B2B66" w:rsidRDefault="00D42E74" w:rsidP="00D42E74">
      <w:pPr>
        <w:pStyle w:val="Paragraph"/>
        <w:numPr>
          <w:ilvl w:val="0"/>
          <w:numId w:val="0"/>
        </w:numPr>
        <w:jc w:val="center"/>
        <w:rPr>
          <w:rFonts w:ascii="Arial" w:hAnsi="Arial" w:cs="Arial"/>
          <w:i/>
          <w:sz w:val="22"/>
          <w:szCs w:val="22"/>
          <w:lang w:val="es-AR"/>
        </w:rPr>
      </w:pPr>
      <w:r w:rsidRPr="008B2B66">
        <w:rPr>
          <w:rFonts w:ascii="Arial" w:hAnsi="Arial" w:cs="Arial"/>
          <w:i/>
          <w:sz w:val="22"/>
          <w:szCs w:val="22"/>
          <w:lang w:val="es-AR"/>
        </w:rPr>
        <w:t>B</w:t>
      </w:r>
      <w:r w:rsidRPr="008B2B66">
        <w:rPr>
          <w:rFonts w:ascii="Arial" w:hAnsi="Arial" w:cs="Arial"/>
          <w:i/>
          <w:sz w:val="22"/>
          <w:szCs w:val="22"/>
          <w:vertAlign w:val="subscript"/>
          <w:lang w:val="es-AR"/>
        </w:rPr>
        <w:t>4</w:t>
      </w:r>
      <w:r w:rsidRPr="008B2B66">
        <w:rPr>
          <w:rFonts w:ascii="Arial" w:hAnsi="Arial" w:cs="Arial"/>
          <w:i/>
          <w:sz w:val="22"/>
          <w:szCs w:val="22"/>
          <w:lang w:val="es-AR"/>
        </w:rPr>
        <w:t xml:space="preserve">= </w:t>
      </w:r>
      <w:r w:rsidRPr="008B2B66">
        <w:rPr>
          <w:rFonts w:ascii="Arial" w:hAnsi="Arial" w:cs="Arial"/>
          <w:i/>
          <w:sz w:val="22"/>
          <w:szCs w:val="22"/>
          <w:lang w:val="es-AR"/>
        </w:rPr>
        <w:t>A*C</w:t>
      </w:r>
      <w:r w:rsidRPr="008B2B66">
        <w:rPr>
          <w:rFonts w:ascii="Arial" w:hAnsi="Arial" w:cs="Arial"/>
          <w:i/>
          <w:sz w:val="22"/>
          <w:szCs w:val="22"/>
          <w:vertAlign w:val="subscript"/>
          <w:lang w:val="es-AR"/>
        </w:rPr>
        <w:t>a</w:t>
      </w:r>
      <w:r w:rsidRPr="008B2B66">
        <w:rPr>
          <w:rFonts w:ascii="Arial" w:hAnsi="Arial" w:cs="Arial"/>
          <w:i/>
          <w:sz w:val="22"/>
          <w:szCs w:val="22"/>
          <w:lang w:val="es-AR"/>
        </w:rPr>
        <w:t xml:space="preserve"> </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((1/ t</w:t>
      </w:r>
      <w:r w:rsidRPr="008B2B66">
        <w:rPr>
          <w:rFonts w:ascii="Arial" w:hAnsi="Arial" w:cs="Arial"/>
          <w:i/>
          <w:sz w:val="22"/>
          <w:szCs w:val="22"/>
          <w:vertAlign w:val="subscript"/>
          <w:lang w:val="es-AR"/>
        </w:rPr>
        <w:t xml:space="preserve">as </w:t>
      </w:r>
      <w:r w:rsidRPr="008B2B66">
        <w:rPr>
          <w:rFonts w:ascii="Arial" w:hAnsi="Arial" w:cs="Arial"/>
          <w:i/>
          <w:sz w:val="22"/>
          <w:szCs w:val="22"/>
          <w:lang w:val="es-AR"/>
        </w:rPr>
        <w:t xml:space="preserve"> - (1/ t</w:t>
      </w:r>
      <w:r w:rsidRPr="008B2B66">
        <w:rPr>
          <w:rFonts w:ascii="Arial" w:hAnsi="Arial" w:cs="Arial"/>
          <w:i/>
          <w:sz w:val="22"/>
          <w:szCs w:val="22"/>
          <w:vertAlign w:val="subscript"/>
          <w:lang w:val="es-AR"/>
        </w:rPr>
        <w:t xml:space="preserve">ac </w:t>
      </w:r>
      <w:r w:rsidRPr="008B2B66">
        <w:rPr>
          <w:rFonts w:ascii="Arial" w:hAnsi="Arial" w:cs="Arial"/>
          <w:i/>
          <w:sz w:val="22"/>
          <w:szCs w:val="22"/>
          <w:lang w:val="es-AR"/>
        </w:rPr>
        <w:t>))</w:t>
      </w:r>
      <w:r w:rsidRPr="008B2B66">
        <w:rPr>
          <w:rFonts w:ascii="Arial" w:hAnsi="Arial" w:cs="Arial"/>
          <w:i/>
          <w:sz w:val="22"/>
          <w:szCs w:val="22"/>
          <w:vertAlign w:val="subscript"/>
          <w:lang w:val="es-AR"/>
        </w:rPr>
        <w:t xml:space="preserve">  </w:t>
      </w:r>
    </w:p>
    <w:p w:rsidR="00D42E74" w:rsidRPr="008B2B66" w:rsidRDefault="00D42E74" w:rsidP="00D42E74">
      <w:pPr>
        <w:pStyle w:val="Paragraph"/>
        <w:numPr>
          <w:ilvl w:val="0"/>
          <w:numId w:val="0"/>
        </w:numPr>
        <w:ind w:left="720"/>
        <w:rPr>
          <w:rFonts w:ascii="Arial" w:hAnsi="Arial" w:cs="Arial"/>
          <w:sz w:val="22"/>
          <w:szCs w:val="22"/>
          <w:lang w:val="es-ES_tradnl"/>
        </w:rPr>
      </w:pPr>
      <w:r w:rsidRPr="008B2B66">
        <w:rPr>
          <w:rFonts w:ascii="Arial" w:hAnsi="Arial" w:cs="Arial"/>
          <w:sz w:val="22"/>
          <w:szCs w:val="22"/>
          <w:lang w:val="es-AR"/>
        </w:rPr>
        <w:t xml:space="preserve">donde, </w:t>
      </w:r>
      <w:r w:rsidRPr="008B2B66">
        <w:rPr>
          <w:rFonts w:ascii="Arial" w:hAnsi="Arial" w:cs="Arial"/>
          <w:i/>
          <w:sz w:val="22"/>
          <w:szCs w:val="22"/>
          <w:lang w:val="es-ES_tradnl"/>
        </w:rPr>
        <w:t>A</w:t>
      </w:r>
      <w:r w:rsidRPr="008B2B66">
        <w:rPr>
          <w:rFonts w:ascii="Arial" w:hAnsi="Arial" w:cs="Arial"/>
          <w:sz w:val="22"/>
          <w:szCs w:val="22"/>
          <w:lang w:val="es-ES_tradnl"/>
        </w:rPr>
        <w:t xml:space="preserve"> es el incremento de alumnos matriculados en la EM (cupos construcción de centros educativos nuevos más cupos por ampliaciones de centros existentes)</w:t>
      </w:r>
      <w:r w:rsidRPr="008B2B66">
        <w:rPr>
          <w:rFonts w:ascii="Arial" w:hAnsi="Arial" w:cs="Arial"/>
          <w:i/>
          <w:sz w:val="22"/>
          <w:szCs w:val="22"/>
          <w:lang w:val="es-AR"/>
        </w:rPr>
        <w:t>C</w:t>
      </w:r>
      <w:r w:rsidRPr="008B2B66">
        <w:rPr>
          <w:rFonts w:ascii="Arial" w:hAnsi="Arial" w:cs="Arial"/>
          <w:i/>
          <w:sz w:val="22"/>
          <w:szCs w:val="22"/>
          <w:vertAlign w:val="subscript"/>
          <w:lang w:val="es-AR"/>
        </w:rPr>
        <w:t>a</w:t>
      </w:r>
      <w:r w:rsidRPr="008B2B66">
        <w:rPr>
          <w:rFonts w:ascii="Arial" w:hAnsi="Arial" w:cs="Arial"/>
          <w:sz w:val="22"/>
          <w:szCs w:val="22"/>
          <w:lang w:val="es-AR"/>
        </w:rPr>
        <w:t xml:space="preserve"> es el </w:t>
      </w:r>
      <w:r w:rsidRPr="008B2B66">
        <w:rPr>
          <w:rFonts w:ascii="Arial" w:hAnsi="Arial" w:cs="Arial"/>
          <w:sz w:val="22"/>
          <w:szCs w:val="22"/>
          <w:lang w:val="es-ES_tradnl"/>
        </w:rPr>
        <w:t xml:space="preserve">costo por alumno por año; </w:t>
      </w:r>
      <w:r w:rsidRPr="008B2B66">
        <w:rPr>
          <w:rFonts w:ascii="Arial" w:hAnsi="Arial" w:cs="Arial"/>
          <w:i/>
          <w:sz w:val="22"/>
          <w:szCs w:val="22"/>
          <w:lang w:val="es-ES_tradnl"/>
        </w:rPr>
        <w:t>t</w:t>
      </w:r>
      <w:r w:rsidRPr="008B2B66">
        <w:rPr>
          <w:rFonts w:ascii="Arial" w:hAnsi="Arial" w:cs="Arial"/>
          <w:i/>
          <w:sz w:val="22"/>
          <w:szCs w:val="22"/>
          <w:vertAlign w:val="subscript"/>
          <w:lang w:val="es-ES_tradnl"/>
        </w:rPr>
        <w:t>as</w:t>
      </w:r>
      <w:r w:rsidRPr="008B2B66">
        <w:rPr>
          <w:rFonts w:ascii="Arial" w:hAnsi="Arial" w:cs="Arial"/>
          <w:sz w:val="22"/>
          <w:szCs w:val="22"/>
          <w:lang w:val="es-ES_tradnl"/>
        </w:rPr>
        <w:t xml:space="preserve"> es tasa de aprobación sin proyecto; </w:t>
      </w:r>
      <w:r w:rsidRPr="008B2B66">
        <w:rPr>
          <w:rFonts w:ascii="Arial" w:hAnsi="Arial" w:cs="Arial"/>
          <w:i/>
          <w:sz w:val="22"/>
          <w:szCs w:val="22"/>
          <w:lang w:val="es-ES_tradnl"/>
        </w:rPr>
        <w:t>t</w:t>
      </w:r>
      <w:r w:rsidRPr="008B2B66">
        <w:rPr>
          <w:rFonts w:ascii="Arial" w:hAnsi="Arial" w:cs="Arial"/>
          <w:i/>
          <w:sz w:val="22"/>
          <w:szCs w:val="22"/>
          <w:vertAlign w:val="subscript"/>
          <w:lang w:val="es-ES_tradnl"/>
        </w:rPr>
        <w:t>ac</w:t>
      </w:r>
      <w:r w:rsidRPr="008B2B66">
        <w:rPr>
          <w:rFonts w:ascii="Arial" w:hAnsi="Arial" w:cs="Arial"/>
          <w:i/>
          <w:sz w:val="22"/>
          <w:szCs w:val="22"/>
          <w:lang w:val="es-ES_tradnl"/>
        </w:rPr>
        <w:t xml:space="preserve"> </w:t>
      </w:r>
      <w:r w:rsidRPr="008B2B66">
        <w:rPr>
          <w:rFonts w:ascii="Arial" w:hAnsi="Arial" w:cs="Arial"/>
          <w:sz w:val="22"/>
          <w:szCs w:val="22"/>
          <w:lang w:val="es-ES_tradnl"/>
        </w:rPr>
        <w:t xml:space="preserve">es tasa de aprobación con proyecto; siendo </w:t>
      </w:r>
      <w:r w:rsidRPr="008B2B66">
        <w:rPr>
          <w:rFonts w:ascii="Arial" w:hAnsi="Arial" w:cs="Arial"/>
          <w:i/>
          <w:sz w:val="22"/>
          <w:szCs w:val="22"/>
          <w:lang w:val="es-ES_tradnl"/>
        </w:rPr>
        <w:t>1/t</w:t>
      </w:r>
      <w:r w:rsidRPr="008B2B66">
        <w:rPr>
          <w:rFonts w:ascii="Arial" w:hAnsi="Arial" w:cs="Arial"/>
          <w:i/>
          <w:sz w:val="22"/>
          <w:szCs w:val="22"/>
          <w:vertAlign w:val="subscript"/>
          <w:lang w:val="es-ES_tradnl"/>
        </w:rPr>
        <w:t>a</w:t>
      </w:r>
      <w:r w:rsidRPr="008B2B66">
        <w:rPr>
          <w:rFonts w:ascii="Arial" w:hAnsi="Arial" w:cs="Arial"/>
          <w:sz w:val="22"/>
          <w:szCs w:val="22"/>
          <w:lang w:val="es-ES_tradnl"/>
        </w:rPr>
        <w:t xml:space="preserve"> el tiempo estimado en finalizar el ciclo.</w:t>
      </w:r>
    </w:p>
    <w:p w:rsidR="00D42E74" w:rsidRPr="008B2B66" w:rsidRDefault="00D42E74" w:rsidP="00D42E74">
      <w:pPr>
        <w:pStyle w:val="Paragraph"/>
        <w:numPr>
          <w:ilvl w:val="0"/>
          <w:numId w:val="0"/>
        </w:numPr>
        <w:ind w:left="720"/>
        <w:jc w:val="left"/>
        <w:rPr>
          <w:rFonts w:ascii="Arial" w:hAnsi="Arial" w:cs="Arial"/>
          <w:sz w:val="22"/>
          <w:szCs w:val="22"/>
          <w:lang w:val="es-ES_tradnl"/>
        </w:rPr>
      </w:pPr>
      <w:r w:rsidRPr="008B2B66">
        <w:rPr>
          <w:rFonts w:ascii="Arial" w:hAnsi="Arial" w:cs="Arial"/>
          <w:sz w:val="22"/>
          <w:szCs w:val="22"/>
          <w:lang w:val="es-ES_tradnl"/>
        </w:rPr>
        <w:t>Según los cálculos:</w:t>
      </w:r>
    </w:p>
    <w:p w:rsidR="00D42E74" w:rsidRPr="008B2B66" w:rsidRDefault="00D42E74" w:rsidP="00D42E74">
      <w:pPr>
        <w:pStyle w:val="Paragraph"/>
        <w:numPr>
          <w:ilvl w:val="0"/>
          <w:numId w:val="0"/>
        </w:numPr>
        <w:ind w:left="720"/>
        <w:jc w:val="center"/>
        <w:rPr>
          <w:rFonts w:ascii="Arial" w:hAnsi="Arial" w:cs="Arial"/>
          <w:i/>
          <w:sz w:val="22"/>
          <w:szCs w:val="22"/>
          <w:lang w:val="es-AR"/>
        </w:rPr>
      </w:pPr>
      <w:r w:rsidRPr="008B2B66">
        <w:rPr>
          <w:rFonts w:ascii="Arial" w:hAnsi="Arial" w:cs="Arial"/>
          <w:i/>
          <w:sz w:val="22"/>
          <w:szCs w:val="22"/>
          <w:lang w:val="es-AR"/>
        </w:rPr>
        <w:t>B</w:t>
      </w:r>
      <w:r w:rsidRPr="008B2B66">
        <w:rPr>
          <w:rFonts w:ascii="Arial" w:hAnsi="Arial" w:cs="Arial"/>
          <w:i/>
          <w:sz w:val="22"/>
          <w:szCs w:val="22"/>
          <w:vertAlign w:val="subscript"/>
          <w:lang w:val="es-AR"/>
        </w:rPr>
        <w:t>4</w:t>
      </w:r>
      <w:r w:rsidRPr="008B2B66">
        <w:rPr>
          <w:rFonts w:ascii="Arial" w:hAnsi="Arial" w:cs="Arial"/>
          <w:i/>
          <w:sz w:val="22"/>
          <w:szCs w:val="22"/>
          <w:lang w:val="es-AR"/>
        </w:rPr>
        <w:t>= 6300</w:t>
      </w:r>
      <w:r w:rsidRPr="008B2B66">
        <w:rPr>
          <w:rFonts w:ascii="Arial" w:hAnsi="Arial" w:cs="Arial"/>
          <w:i/>
          <w:sz w:val="22"/>
          <w:szCs w:val="22"/>
          <w:vertAlign w:val="subscript"/>
          <w:lang w:val="es-AR"/>
        </w:rPr>
        <w:t>*</w:t>
      </w:r>
      <w:r w:rsidRPr="008B2B66">
        <w:rPr>
          <w:rFonts w:ascii="Arial" w:hAnsi="Arial" w:cs="Arial"/>
          <w:i/>
          <w:sz w:val="22"/>
          <w:szCs w:val="22"/>
          <w:lang w:val="es-AR"/>
        </w:rPr>
        <w:t xml:space="preserve"> 1.278,42</w:t>
      </w:r>
      <w:r w:rsidRPr="008B2B66">
        <w:rPr>
          <w:rFonts w:ascii="Arial" w:hAnsi="Arial" w:cs="Arial"/>
          <w:i/>
          <w:sz w:val="22"/>
          <w:szCs w:val="22"/>
          <w:vertAlign w:val="subscript"/>
          <w:lang w:val="es-AR"/>
        </w:rPr>
        <w:t xml:space="preserve">* </w:t>
      </w:r>
      <w:r w:rsidRPr="008B2B66">
        <w:rPr>
          <w:rFonts w:ascii="Arial" w:hAnsi="Arial" w:cs="Arial"/>
          <w:i/>
          <w:sz w:val="22"/>
          <w:szCs w:val="22"/>
          <w:lang w:val="es-AR"/>
        </w:rPr>
        <w:t xml:space="preserve"> 0,0621</w:t>
      </w:r>
    </w:p>
    <w:p w:rsidR="00D42E74" w:rsidRPr="008B2B66" w:rsidRDefault="00D42E74" w:rsidP="00D42E74">
      <w:pPr>
        <w:pStyle w:val="Paragraph"/>
        <w:numPr>
          <w:ilvl w:val="0"/>
          <w:numId w:val="0"/>
        </w:numPr>
        <w:ind w:left="720"/>
        <w:rPr>
          <w:rFonts w:ascii="Arial" w:hAnsi="Arial" w:cs="Arial"/>
          <w:b/>
          <w:sz w:val="22"/>
          <w:szCs w:val="22"/>
          <w:lang w:val="es-ES_tradnl"/>
        </w:rPr>
      </w:pPr>
      <w:r w:rsidRPr="008B2B66">
        <w:rPr>
          <w:rFonts w:ascii="Arial" w:hAnsi="Arial" w:cs="Arial"/>
          <w:b/>
          <w:sz w:val="22"/>
          <w:szCs w:val="22"/>
          <w:lang w:val="es-ES_tradnl"/>
        </w:rPr>
        <w:t>Los que significa que el ahorro estimado en costos de las escuelas U$S 402,73 miles al año</w:t>
      </w:r>
    </w:p>
    <w:p w:rsidR="00D42E74" w:rsidRPr="008B2B66" w:rsidRDefault="00D42E74" w:rsidP="00D42E74">
      <w:pPr>
        <w:rPr>
          <w:rFonts w:ascii="Arial" w:hAnsi="Arial" w:cs="Arial"/>
          <w:b/>
          <w:sz w:val="22"/>
          <w:szCs w:val="22"/>
          <w:lang w:eastAsia="en-US"/>
        </w:rPr>
      </w:pPr>
    </w:p>
    <w:p w:rsidR="00D42E74" w:rsidRPr="008B2B66" w:rsidRDefault="00D42E74" w:rsidP="00621862">
      <w:pPr>
        <w:pStyle w:val="Paragraph"/>
        <w:numPr>
          <w:ilvl w:val="0"/>
          <w:numId w:val="10"/>
        </w:numPr>
        <w:tabs>
          <w:tab w:val="left" w:pos="720"/>
        </w:tabs>
        <w:ind w:left="720" w:hanging="720"/>
        <w:jc w:val="left"/>
        <w:rPr>
          <w:rFonts w:ascii="Arial" w:hAnsi="Arial" w:cs="Arial"/>
          <w:sz w:val="22"/>
          <w:szCs w:val="22"/>
        </w:rPr>
      </w:pPr>
      <w:r w:rsidRPr="008B2B66">
        <w:rPr>
          <w:rFonts w:ascii="Arial" w:hAnsi="Arial" w:cs="Arial"/>
          <w:b/>
          <w:sz w:val="22"/>
          <w:szCs w:val="22"/>
        </w:rPr>
        <w:t>Costos Financieros del Programa</w:t>
      </w:r>
    </w:p>
    <w:p w:rsidR="00D42E74" w:rsidRPr="00D42E74" w:rsidRDefault="00AD054A" w:rsidP="00D42E74">
      <w:pPr>
        <w:pStyle w:val="ListParagraph"/>
        <w:numPr>
          <w:ilvl w:val="1"/>
          <w:numId w:val="7"/>
        </w:numPr>
        <w:ind w:left="720" w:hanging="720"/>
        <w:jc w:val="both"/>
        <w:rPr>
          <w:rFonts w:ascii="Arial" w:hAnsi="Arial" w:cs="Arial"/>
          <w:sz w:val="24"/>
          <w:lang w:val="es-AR"/>
        </w:rPr>
      </w:pPr>
      <w:r w:rsidRPr="00D42E74">
        <w:rPr>
          <w:rFonts w:ascii="Arial" w:hAnsi="Arial" w:cs="Arial"/>
        </w:rPr>
        <w:t xml:space="preserve">Los costos </w:t>
      </w:r>
      <w:r w:rsidR="0039624A" w:rsidRPr="00D42E74">
        <w:rPr>
          <w:rFonts w:ascii="Arial" w:hAnsi="Arial" w:cs="Arial"/>
        </w:rPr>
        <w:t xml:space="preserve">considerados para la evaluación </w:t>
      </w:r>
      <w:r w:rsidRPr="00D42E74">
        <w:rPr>
          <w:rFonts w:ascii="Arial" w:hAnsi="Arial" w:cs="Arial"/>
        </w:rPr>
        <w:t xml:space="preserve">incluyen </w:t>
      </w:r>
      <w:r w:rsidR="0039624A" w:rsidRPr="00D42E74">
        <w:rPr>
          <w:rFonts w:ascii="Arial" w:hAnsi="Arial" w:cs="Arial"/>
        </w:rPr>
        <w:t xml:space="preserve">los relacionados con las inversiones así como </w:t>
      </w:r>
      <w:r w:rsidR="000E41B6" w:rsidRPr="00D42E74">
        <w:rPr>
          <w:rFonts w:ascii="Arial" w:hAnsi="Arial" w:cs="Arial"/>
        </w:rPr>
        <w:t xml:space="preserve">los costos </w:t>
      </w:r>
      <w:r w:rsidR="0039624A" w:rsidRPr="00D42E74">
        <w:rPr>
          <w:rFonts w:ascii="Arial" w:hAnsi="Arial" w:cs="Arial"/>
        </w:rPr>
        <w:t xml:space="preserve">de operación </w:t>
      </w:r>
      <w:r w:rsidR="000E41B6" w:rsidRPr="00D42E74">
        <w:rPr>
          <w:rFonts w:ascii="Arial" w:hAnsi="Arial" w:cs="Arial"/>
        </w:rPr>
        <w:t>del</w:t>
      </w:r>
      <w:r w:rsidR="0039624A" w:rsidRPr="00D42E74">
        <w:rPr>
          <w:rFonts w:ascii="Arial" w:hAnsi="Arial" w:cs="Arial"/>
        </w:rPr>
        <w:t xml:space="preserve"> programa, </w:t>
      </w:r>
      <w:r w:rsidR="00CA0C05" w:rsidRPr="00D42E74">
        <w:rPr>
          <w:rFonts w:ascii="Arial" w:hAnsi="Arial" w:cs="Arial"/>
        </w:rPr>
        <w:t xml:space="preserve">tanto </w:t>
      </w:r>
      <w:r w:rsidR="000E41B6" w:rsidRPr="00D42E74">
        <w:rPr>
          <w:rFonts w:ascii="Arial" w:hAnsi="Arial" w:cs="Arial"/>
        </w:rPr>
        <w:t xml:space="preserve">por </w:t>
      </w:r>
      <w:r w:rsidR="00CA0C05" w:rsidRPr="00D42E74">
        <w:rPr>
          <w:rFonts w:ascii="Arial" w:hAnsi="Arial" w:cs="Arial"/>
        </w:rPr>
        <w:t xml:space="preserve">el </w:t>
      </w:r>
      <w:r w:rsidRPr="00D42E74">
        <w:rPr>
          <w:rFonts w:ascii="Arial" w:hAnsi="Arial" w:cs="Arial"/>
        </w:rPr>
        <w:t>financiamient</w:t>
      </w:r>
      <w:r w:rsidR="00CA0C05" w:rsidRPr="00D42E74">
        <w:rPr>
          <w:rFonts w:ascii="Arial" w:hAnsi="Arial" w:cs="Arial"/>
        </w:rPr>
        <w:t xml:space="preserve">o del Banco como </w:t>
      </w:r>
      <w:r w:rsidR="000E41B6" w:rsidRPr="00D42E74">
        <w:rPr>
          <w:rFonts w:ascii="Arial" w:hAnsi="Arial" w:cs="Arial"/>
        </w:rPr>
        <w:t>con</w:t>
      </w:r>
      <w:r w:rsidR="00CA0C05" w:rsidRPr="00D42E74">
        <w:rPr>
          <w:rFonts w:ascii="Arial" w:hAnsi="Arial" w:cs="Arial"/>
        </w:rPr>
        <w:t xml:space="preserve"> recursos de contrapartida</w:t>
      </w:r>
      <w:r w:rsidR="000E41B6" w:rsidRPr="00D42E74">
        <w:rPr>
          <w:rFonts w:ascii="Arial" w:hAnsi="Arial" w:cs="Arial"/>
        </w:rPr>
        <w:t xml:space="preserve">. Los mismos se detallan por </w:t>
      </w:r>
      <w:r w:rsidR="00CA0C05" w:rsidRPr="00D42E74">
        <w:rPr>
          <w:rFonts w:ascii="Arial" w:hAnsi="Arial" w:cs="Arial"/>
        </w:rPr>
        <w:t>Componente, por línea de acción y por año</w:t>
      </w:r>
      <w:r w:rsidR="00E36784" w:rsidRPr="00D42E74">
        <w:rPr>
          <w:rFonts w:ascii="Arial" w:hAnsi="Arial" w:cs="Arial"/>
        </w:rPr>
        <w:t xml:space="preserve">. </w:t>
      </w:r>
      <w:r w:rsidR="00CA0C05" w:rsidRPr="00D42E74">
        <w:rPr>
          <w:rFonts w:ascii="Arial" w:hAnsi="Arial" w:cs="Arial"/>
        </w:rPr>
        <w:t xml:space="preserve">Todos los costos </w:t>
      </w:r>
      <w:r w:rsidR="0039624A" w:rsidRPr="00D42E74">
        <w:rPr>
          <w:rFonts w:ascii="Arial" w:hAnsi="Arial" w:cs="Arial"/>
        </w:rPr>
        <w:t>fueron expresados en dólares de la misma forma que los beneficios</w:t>
      </w:r>
      <w:r w:rsidR="0039624A" w:rsidRPr="008B2B66">
        <w:rPr>
          <w:rStyle w:val="FootnoteReference"/>
          <w:rFonts w:ascii="Arial" w:hAnsi="Arial" w:cs="Arial"/>
        </w:rPr>
        <w:footnoteReference w:id="12"/>
      </w:r>
      <w:r w:rsidR="0039624A" w:rsidRPr="00D42E74">
        <w:rPr>
          <w:rFonts w:ascii="Arial" w:hAnsi="Arial" w:cs="Arial"/>
        </w:rPr>
        <w:t xml:space="preserve"> .</w:t>
      </w:r>
      <w:r w:rsidR="00D80C36" w:rsidRPr="00D42E74">
        <w:rPr>
          <w:rFonts w:ascii="Arial" w:hAnsi="Arial" w:cs="Arial"/>
        </w:rPr>
        <w:t xml:space="preserve"> </w:t>
      </w:r>
      <w:r w:rsidR="0039624A" w:rsidRPr="00D42E74">
        <w:rPr>
          <w:rFonts w:ascii="Arial" w:hAnsi="Arial" w:cs="Arial"/>
        </w:rPr>
        <w:t>En la Tabla 4 se</w:t>
      </w:r>
      <w:r w:rsidR="00CA0C05" w:rsidRPr="00D42E74">
        <w:rPr>
          <w:rFonts w:ascii="Arial" w:hAnsi="Arial" w:cs="Arial"/>
        </w:rPr>
        <w:t xml:space="preserve"> resume los costos financieros </w:t>
      </w:r>
      <w:r w:rsidR="0039624A" w:rsidRPr="00D42E74">
        <w:rPr>
          <w:rFonts w:ascii="Arial" w:hAnsi="Arial" w:cs="Arial"/>
        </w:rPr>
        <w:t xml:space="preserve">utilizados para la evaluación, mostrado la curva de inversión para todo el período considerado. </w:t>
      </w:r>
    </w:p>
    <w:p w:rsidR="00D42E74" w:rsidRPr="008B2B66" w:rsidRDefault="00D42E74" w:rsidP="00D42E74">
      <w:pPr>
        <w:pStyle w:val="Paragraph"/>
        <w:numPr>
          <w:ilvl w:val="0"/>
          <w:numId w:val="0"/>
        </w:numPr>
        <w:spacing w:before="0" w:after="0"/>
        <w:ind w:left="720" w:hanging="720"/>
        <w:jc w:val="center"/>
        <w:rPr>
          <w:rFonts w:ascii="Arial" w:hAnsi="Arial" w:cs="Arial"/>
          <w:b/>
          <w:sz w:val="22"/>
          <w:szCs w:val="22"/>
        </w:rPr>
      </w:pPr>
      <w:r w:rsidRPr="008B2B66">
        <w:rPr>
          <w:rFonts w:ascii="Arial" w:hAnsi="Arial" w:cs="Arial"/>
          <w:b/>
          <w:sz w:val="22"/>
          <w:szCs w:val="22"/>
        </w:rPr>
        <w:t>Tabla 4. Costos de Inversión del Programa</w:t>
      </w:r>
    </w:p>
    <w:p w:rsidR="00D42E74" w:rsidRPr="008B2B66" w:rsidRDefault="00D42E74" w:rsidP="00D42E74">
      <w:pPr>
        <w:pStyle w:val="Paragraph"/>
        <w:numPr>
          <w:ilvl w:val="0"/>
          <w:numId w:val="0"/>
        </w:numPr>
        <w:spacing w:before="0" w:after="0"/>
        <w:ind w:left="720" w:hanging="720"/>
        <w:jc w:val="center"/>
        <w:rPr>
          <w:rFonts w:ascii="Arial" w:hAnsi="Arial" w:cs="Arial"/>
          <w:b/>
          <w:sz w:val="22"/>
          <w:szCs w:val="22"/>
        </w:rPr>
      </w:pPr>
      <w:r w:rsidRPr="008B2B66">
        <w:rPr>
          <w:rFonts w:ascii="Arial" w:hAnsi="Arial" w:cs="Arial"/>
          <w:b/>
          <w:sz w:val="22"/>
          <w:szCs w:val="22"/>
        </w:rPr>
        <w:t>En millones de 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1024"/>
        <w:gridCol w:w="1027"/>
        <w:gridCol w:w="1029"/>
        <w:gridCol w:w="1026"/>
        <w:gridCol w:w="999"/>
        <w:gridCol w:w="1055"/>
      </w:tblGrid>
      <w:tr w:rsidR="00D42E74" w:rsidRPr="008B2B66" w:rsidTr="00070B71">
        <w:trPr>
          <w:jc w:val="center"/>
        </w:trPr>
        <w:tc>
          <w:tcPr>
            <w:tcW w:w="1814" w:type="dxa"/>
            <w:shd w:val="clear" w:color="auto" w:fill="D9D9D9" w:themeFill="background1" w:themeFillShade="D9"/>
          </w:tcPr>
          <w:p w:rsidR="00D42E74" w:rsidRPr="008B2B66" w:rsidRDefault="00D42E74" w:rsidP="00070B71">
            <w:pPr>
              <w:pStyle w:val="Paragraph"/>
              <w:numPr>
                <w:ilvl w:val="0"/>
                <w:numId w:val="0"/>
              </w:numPr>
              <w:jc w:val="center"/>
              <w:rPr>
                <w:rFonts w:ascii="Arial" w:hAnsi="Arial" w:cs="Arial"/>
                <w:b/>
                <w:sz w:val="20"/>
              </w:rPr>
            </w:pPr>
            <w:r w:rsidRPr="008B2B66">
              <w:rPr>
                <w:rFonts w:ascii="Arial" w:hAnsi="Arial" w:cs="Arial"/>
                <w:b/>
                <w:sz w:val="20"/>
              </w:rPr>
              <w:t>Componentes</w:t>
            </w:r>
          </w:p>
        </w:tc>
        <w:tc>
          <w:tcPr>
            <w:tcW w:w="1024" w:type="dxa"/>
            <w:shd w:val="clear" w:color="auto" w:fill="D9D9D9" w:themeFill="background1" w:themeFillShade="D9"/>
          </w:tcPr>
          <w:p w:rsidR="00D42E74" w:rsidRPr="008B2B66" w:rsidRDefault="00D42E74" w:rsidP="00070B71">
            <w:pPr>
              <w:pStyle w:val="Paragraph"/>
              <w:numPr>
                <w:ilvl w:val="0"/>
                <w:numId w:val="0"/>
              </w:numPr>
              <w:jc w:val="center"/>
              <w:rPr>
                <w:rFonts w:ascii="Arial" w:hAnsi="Arial" w:cs="Arial"/>
                <w:b/>
                <w:sz w:val="20"/>
              </w:rPr>
            </w:pPr>
            <w:r w:rsidRPr="008B2B66">
              <w:rPr>
                <w:rFonts w:ascii="Arial" w:hAnsi="Arial" w:cs="Arial"/>
                <w:b/>
                <w:sz w:val="20"/>
              </w:rPr>
              <w:t>Año 1</w:t>
            </w:r>
          </w:p>
        </w:tc>
        <w:tc>
          <w:tcPr>
            <w:tcW w:w="1027" w:type="dxa"/>
            <w:shd w:val="clear" w:color="auto" w:fill="D9D9D9" w:themeFill="background1" w:themeFillShade="D9"/>
          </w:tcPr>
          <w:p w:rsidR="00D42E74" w:rsidRPr="008B2B66" w:rsidRDefault="00D42E74" w:rsidP="00070B71">
            <w:pPr>
              <w:pStyle w:val="Paragraph"/>
              <w:numPr>
                <w:ilvl w:val="0"/>
                <w:numId w:val="0"/>
              </w:numPr>
              <w:jc w:val="center"/>
              <w:rPr>
                <w:rFonts w:ascii="Arial" w:hAnsi="Arial" w:cs="Arial"/>
                <w:b/>
                <w:sz w:val="20"/>
              </w:rPr>
            </w:pPr>
            <w:r w:rsidRPr="008B2B66">
              <w:rPr>
                <w:rFonts w:ascii="Arial" w:hAnsi="Arial" w:cs="Arial"/>
                <w:b/>
                <w:sz w:val="20"/>
              </w:rPr>
              <w:t>Año 2</w:t>
            </w:r>
          </w:p>
        </w:tc>
        <w:tc>
          <w:tcPr>
            <w:tcW w:w="1029" w:type="dxa"/>
            <w:shd w:val="clear" w:color="auto" w:fill="D9D9D9" w:themeFill="background1" w:themeFillShade="D9"/>
          </w:tcPr>
          <w:p w:rsidR="00D42E74" w:rsidRPr="008B2B66" w:rsidRDefault="00D42E74" w:rsidP="00070B71">
            <w:pPr>
              <w:pStyle w:val="Paragraph"/>
              <w:numPr>
                <w:ilvl w:val="0"/>
                <w:numId w:val="0"/>
              </w:numPr>
              <w:jc w:val="center"/>
              <w:rPr>
                <w:rFonts w:ascii="Arial" w:hAnsi="Arial" w:cs="Arial"/>
                <w:b/>
                <w:sz w:val="20"/>
              </w:rPr>
            </w:pPr>
            <w:r w:rsidRPr="008B2B66">
              <w:rPr>
                <w:rFonts w:ascii="Arial" w:hAnsi="Arial" w:cs="Arial"/>
                <w:b/>
                <w:sz w:val="20"/>
              </w:rPr>
              <w:t>Año 3</w:t>
            </w:r>
          </w:p>
        </w:tc>
        <w:tc>
          <w:tcPr>
            <w:tcW w:w="1026" w:type="dxa"/>
            <w:shd w:val="clear" w:color="auto" w:fill="D9D9D9" w:themeFill="background1" w:themeFillShade="D9"/>
          </w:tcPr>
          <w:p w:rsidR="00D42E74" w:rsidRPr="008B2B66" w:rsidRDefault="00D42E74" w:rsidP="00070B71">
            <w:pPr>
              <w:pStyle w:val="Paragraph"/>
              <w:numPr>
                <w:ilvl w:val="0"/>
                <w:numId w:val="0"/>
              </w:numPr>
              <w:jc w:val="center"/>
              <w:rPr>
                <w:rFonts w:ascii="Arial" w:hAnsi="Arial" w:cs="Arial"/>
                <w:b/>
                <w:sz w:val="20"/>
              </w:rPr>
            </w:pPr>
            <w:r w:rsidRPr="008B2B66">
              <w:rPr>
                <w:rFonts w:ascii="Arial" w:hAnsi="Arial" w:cs="Arial"/>
                <w:b/>
                <w:sz w:val="20"/>
              </w:rPr>
              <w:t>Año 4</w:t>
            </w:r>
          </w:p>
        </w:tc>
        <w:tc>
          <w:tcPr>
            <w:tcW w:w="999" w:type="dxa"/>
            <w:shd w:val="clear" w:color="auto" w:fill="D9D9D9" w:themeFill="background1" w:themeFillShade="D9"/>
          </w:tcPr>
          <w:p w:rsidR="00D42E74" w:rsidRPr="008B2B66" w:rsidRDefault="00D42E74" w:rsidP="00070B71">
            <w:pPr>
              <w:pStyle w:val="Paragraph"/>
              <w:numPr>
                <w:ilvl w:val="0"/>
                <w:numId w:val="0"/>
              </w:numPr>
              <w:jc w:val="center"/>
              <w:rPr>
                <w:rFonts w:ascii="Arial" w:hAnsi="Arial" w:cs="Arial"/>
                <w:b/>
                <w:sz w:val="20"/>
              </w:rPr>
            </w:pPr>
            <w:r w:rsidRPr="008B2B66">
              <w:rPr>
                <w:rFonts w:ascii="Arial" w:hAnsi="Arial" w:cs="Arial"/>
                <w:b/>
                <w:sz w:val="20"/>
              </w:rPr>
              <w:t>Año 5</w:t>
            </w:r>
          </w:p>
        </w:tc>
        <w:tc>
          <w:tcPr>
            <w:tcW w:w="1055" w:type="dxa"/>
            <w:shd w:val="clear" w:color="auto" w:fill="D9D9D9" w:themeFill="background1" w:themeFillShade="D9"/>
          </w:tcPr>
          <w:p w:rsidR="00D42E74" w:rsidRPr="008B2B66" w:rsidRDefault="00D42E74" w:rsidP="00070B71">
            <w:pPr>
              <w:pStyle w:val="Paragraph"/>
              <w:numPr>
                <w:ilvl w:val="0"/>
                <w:numId w:val="0"/>
              </w:numPr>
              <w:jc w:val="center"/>
              <w:rPr>
                <w:rFonts w:ascii="Arial" w:hAnsi="Arial" w:cs="Arial"/>
                <w:b/>
                <w:sz w:val="20"/>
              </w:rPr>
            </w:pPr>
            <w:r w:rsidRPr="008B2B66">
              <w:rPr>
                <w:rFonts w:ascii="Arial" w:hAnsi="Arial" w:cs="Arial"/>
                <w:b/>
                <w:sz w:val="20"/>
              </w:rPr>
              <w:t>Total</w:t>
            </w:r>
          </w:p>
        </w:tc>
      </w:tr>
      <w:tr w:rsidR="00D42E74" w:rsidRPr="008B2B66" w:rsidTr="00070B71">
        <w:trPr>
          <w:jc w:val="center"/>
        </w:trPr>
        <w:tc>
          <w:tcPr>
            <w:tcW w:w="1814" w:type="dxa"/>
            <w:shd w:val="clear" w:color="auto" w:fill="auto"/>
          </w:tcPr>
          <w:p w:rsidR="00D42E74" w:rsidRPr="008B2B66" w:rsidRDefault="00D42E74" w:rsidP="00070B71">
            <w:pPr>
              <w:pStyle w:val="Paragraph"/>
              <w:numPr>
                <w:ilvl w:val="0"/>
                <w:numId w:val="0"/>
              </w:numPr>
              <w:jc w:val="left"/>
              <w:rPr>
                <w:rFonts w:ascii="Arial" w:hAnsi="Arial" w:cs="Arial"/>
                <w:sz w:val="20"/>
              </w:rPr>
            </w:pPr>
            <w:r w:rsidRPr="008B2B66">
              <w:rPr>
                <w:rFonts w:ascii="Arial" w:hAnsi="Arial" w:cs="Arial"/>
                <w:sz w:val="20"/>
              </w:rPr>
              <w:t>Componente 1.</w:t>
            </w:r>
          </w:p>
        </w:tc>
        <w:tc>
          <w:tcPr>
            <w:tcW w:w="1024"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0.93 </w:t>
            </w:r>
          </w:p>
        </w:tc>
        <w:tc>
          <w:tcPr>
            <w:tcW w:w="1027"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 1.09 </w:t>
            </w:r>
          </w:p>
        </w:tc>
        <w:tc>
          <w:tcPr>
            <w:tcW w:w="1029"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 0.85 </w:t>
            </w:r>
          </w:p>
        </w:tc>
        <w:tc>
          <w:tcPr>
            <w:tcW w:w="1026"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 0.77 </w:t>
            </w:r>
          </w:p>
        </w:tc>
        <w:tc>
          <w:tcPr>
            <w:tcW w:w="999"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 0.83 </w:t>
            </w:r>
          </w:p>
        </w:tc>
        <w:tc>
          <w:tcPr>
            <w:tcW w:w="1055" w:type="dxa"/>
            <w:shd w:val="clear" w:color="auto" w:fill="auto"/>
          </w:tcPr>
          <w:p w:rsidR="00D42E74" w:rsidRPr="008B2B66" w:rsidRDefault="00D42E74" w:rsidP="00070B71">
            <w:pPr>
              <w:pStyle w:val="Paragraph"/>
              <w:numPr>
                <w:ilvl w:val="0"/>
                <w:numId w:val="0"/>
              </w:numPr>
              <w:jc w:val="center"/>
              <w:rPr>
                <w:rFonts w:ascii="Arial" w:hAnsi="Arial" w:cs="Arial"/>
                <w:b/>
                <w:sz w:val="20"/>
              </w:rPr>
            </w:pPr>
            <w:r w:rsidRPr="008B2B66">
              <w:rPr>
                <w:rFonts w:ascii="Arial" w:hAnsi="Arial" w:cs="Arial"/>
                <w:b/>
                <w:bCs/>
                <w:sz w:val="20"/>
                <w:lang w:val="es-UY" w:eastAsia="es-UY"/>
              </w:rPr>
              <w:t>4.46</w:t>
            </w:r>
          </w:p>
        </w:tc>
      </w:tr>
      <w:tr w:rsidR="00D42E74" w:rsidRPr="008B2B66" w:rsidTr="00070B71">
        <w:trPr>
          <w:jc w:val="center"/>
        </w:trPr>
        <w:tc>
          <w:tcPr>
            <w:tcW w:w="1814" w:type="dxa"/>
            <w:shd w:val="clear" w:color="auto" w:fill="auto"/>
          </w:tcPr>
          <w:p w:rsidR="00D42E74" w:rsidRPr="008B2B66" w:rsidRDefault="00D42E74" w:rsidP="00070B71">
            <w:pPr>
              <w:pStyle w:val="Paragraph"/>
              <w:numPr>
                <w:ilvl w:val="0"/>
                <w:numId w:val="0"/>
              </w:numPr>
              <w:jc w:val="left"/>
              <w:rPr>
                <w:rFonts w:ascii="Arial" w:hAnsi="Arial" w:cs="Arial"/>
                <w:sz w:val="20"/>
              </w:rPr>
            </w:pPr>
            <w:r w:rsidRPr="008B2B66">
              <w:rPr>
                <w:rFonts w:ascii="Arial" w:hAnsi="Arial" w:cs="Arial"/>
                <w:sz w:val="20"/>
              </w:rPr>
              <w:t>Componente 2.</w:t>
            </w:r>
          </w:p>
        </w:tc>
        <w:tc>
          <w:tcPr>
            <w:tcW w:w="1024"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 0.51 </w:t>
            </w:r>
          </w:p>
        </w:tc>
        <w:tc>
          <w:tcPr>
            <w:tcW w:w="1027"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 0.55 </w:t>
            </w:r>
          </w:p>
        </w:tc>
        <w:tc>
          <w:tcPr>
            <w:tcW w:w="1029"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 0.61 </w:t>
            </w:r>
          </w:p>
        </w:tc>
        <w:tc>
          <w:tcPr>
            <w:tcW w:w="1026"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 0.79 </w:t>
            </w:r>
          </w:p>
        </w:tc>
        <w:tc>
          <w:tcPr>
            <w:tcW w:w="999"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 0.89 </w:t>
            </w:r>
          </w:p>
        </w:tc>
        <w:tc>
          <w:tcPr>
            <w:tcW w:w="1055" w:type="dxa"/>
            <w:shd w:val="clear" w:color="auto" w:fill="auto"/>
            <w:vAlign w:val="center"/>
          </w:tcPr>
          <w:p w:rsidR="00D42E74" w:rsidRPr="008B2B66" w:rsidRDefault="00D42E74" w:rsidP="00070B71">
            <w:pPr>
              <w:spacing w:line="276" w:lineRule="auto"/>
              <w:jc w:val="center"/>
              <w:rPr>
                <w:rFonts w:ascii="Arial" w:hAnsi="Arial" w:cs="Arial"/>
                <w:b/>
                <w:bCs/>
                <w:sz w:val="20"/>
                <w:szCs w:val="20"/>
                <w:lang w:val="es-UY" w:eastAsia="es-UY"/>
              </w:rPr>
            </w:pPr>
            <w:r w:rsidRPr="008B2B66">
              <w:rPr>
                <w:rFonts w:ascii="Arial" w:hAnsi="Arial" w:cs="Arial"/>
                <w:b/>
                <w:bCs/>
                <w:sz w:val="20"/>
                <w:szCs w:val="20"/>
                <w:lang w:val="es-UY" w:eastAsia="es-UY"/>
              </w:rPr>
              <w:t>3.33</w:t>
            </w:r>
          </w:p>
        </w:tc>
      </w:tr>
      <w:tr w:rsidR="00D42E74" w:rsidRPr="008B2B66" w:rsidTr="00070B71">
        <w:trPr>
          <w:jc w:val="center"/>
        </w:trPr>
        <w:tc>
          <w:tcPr>
            <w:tcW w:w="1814" w:type="dxa"/>
            <w:shd w:val="clear" w:color="auto" w:fill="auto"/>
          </w:tcPr>
          <w:p w:rsidR="00D42E74" w:rsidRPr="008B2B66" w:rsidRDefault="00D42E74" w:rsidP="00070B71">
            <w:pPr>
              <w:pStyle w:val="Paragraph"/>
              <w:numPr>
                <w:ilvl w:val="0"/>
                <w:numId w:val="0"/>
              </w:numPr>
              <w:jc w:val="left"/>
              <w:rPr>
                <w:rFonts w:ascii="Arial" w:hAnsi="Arial" w:cs="Arial"/>
                <w:sz w:val="20"/>
              </w:rPr>
            </w:pPr>
            <w:r w:rsidRPr="008B2B66">
              <w:rPr>
                <w:rFonts w:ascii="Arial" w:hAnsi="Arial" w:cs="Arial"/>
                <w:sz w:val="20"/>
              </w:rPr>
              <w:t>Componente 3</w:t>
            </w:r>
          </w:p>
        </w:tc>
        <w:tc>
          <w:tcPr>
            <w:tcW w:w="1024"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2.64 </w:t>
            </w:r>
          </w:p>
        </w:tc>
        <w:tc>
          <w:tcPr>
            <w:tcW w:w="1027"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2.80</w:t>
            </w:r>
          </w:p>
        </w:tc>
        <w:tc>
          <w:tcPr>
            <w:tcW w:w="1029"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2.43</w:t>
            </w:r>
          </w:p>
        </w:tc>
        <w:tc>
          <w:tcPr>
            <w:tcW w:w="1026"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2.35</w:t>
            </w:r>
          </w:p>
        </w:tc>
        <w:tc>
          <w:tcPr>
            <w:tcW w:w="999"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2.43</w:t>
            </w:r>
          </w:p>
        </w:tc>
        <w:tc>
          <w:tcPr>
            <w:tcW w:w="1055" w:type="dxa"/>
            <w:shd w:val="clear" w:color="auto" w:fill="auto"/>
            <w:vAlign w:val="center"/>
          </w:tcPr>
          <w:p w:rsidR="00D42E74" w:rsidRPr="008B2B66" w:rsidRDefault="00D42E74" w:rsidP="00070B71">
            <w:pPr>
              <w:spacing w:line="276" w:lineRule="auto"/>
              <w:jc w:val="center"/>
              <w:rPr>
                <w:rFonts w:ascii="Arial" w:hAnsi="Arial" w:cs="Arial"/>
                <w:b/>
                <w:bCs/>
                <w:sz w:val="20"/>
                <w:szCs w:val="20"/>
                <w:lang w:val="es-UY" w:eastAsia="es-UY"/>
              </w:rPr>
            </w:pPr>
            <w:r w:rsidRPr="008B2B66">
              <w:rPr>
                <w:rFonts w:ascii="Arial" w:hAnsi="Arial" w:cs="Arial"/>
                <w:b/>
                <w:bCs/>
                <w:sz w:val="20"/>
                <w:szCs w:val="20"/>
                <w:lang w:val="es-UY" w:eastAsia="es-UY"/>
              </w:rPr>
              <w:t>12.65</w:t>
            </w:r>
          </w:p>
        </w:tc>
      </w:tr>
      <w:tr w:rsidR="00D42E74" w:rsidRPr="008B2B66" w:rsidTr="00070B71">
        <w:trPr>
          <w:jc w:val="center"/>
        </w:trPr>
        <w:tc>
          <w:tcPr>
            <w:tcW w:w="1814" w:type="dxa"/>
            <w:shd w:val="clear" w:color="auto" w:fill="auto"/>
          </w:tcPr>
          <w:p w:rsidR="00D42E74" w:rsidRPr="008B2B66" w:rsidRDefault="00D42E74" w:rsidP="00070B71">
            <w:pPr>
              <w:pStyle w:val="Paragraph"/>
              <w:numPr>
                <w:ilvl w:val="0"/>
                <w:numId w:val="0"/>
              </w:numPr>
              <w:jc w:val="left"/>
              <w:rPr>
                <w:rFonts w:ascii="Arial" w:hAnsi="Arial" w:cs="Arial"/>
                <w:sz w:val="20"/>
              </w:rPr>
            </w:pPr>
            <w:r w:rsidRPr="008B2B66">
              <w:rPr>
                <w:rFonts w:ascii="Arial" w:hAnsi="Arial" w:cs="Arial"/>
                <w:sz w:val="20"/>
              </w:rPr>
              <w:t>Componente 4</w:t>
            </w:r>
          </w:p>
        </w:tc>
        <w:tc>
          <w:tcPr>
            <w:tcW w:w="1024"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11.57 </w:t>
            </w:r>
          </w:p>
        </w:tc>
        <w:tc>
          <w:tcPr>
            <w:tcW w:w="1027"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 xml:space="preserve">6.51 </w:t>
            </w:r>
          </w:p>
        </w:tc>
        <w:tc>
          <w:tcPr>
            <w:tcW w:w="1029"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10.90</w:t>
            </w:r>
          </w:p>
        </w:tc>
        <w:tc>
          <w:tcPr>
            <w:tcW w:w="1026"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10.17</w:t>
            </w:r>
          </w:p>
        </w:tc>
        <w:tc>
          <w:tcPr>
            <w:tcW w:w="999"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10.15</w:t>
            </w:r>
          </w:p>
        </w:tc>
        <w:tc>
          <w:tcPr>
            <w:tcW w:w="1055" w:type="dxa"/>
            <w:shd w:val="clear" w:color="auto" w:fill="auto"/>
            <w:vAlign w:val="center"/>
          </w:tcPr>
          <w:p w:rsidR="00D42E74" w:rsidRPr="008B2B66" w:rsidRDefault="00D42E74" w:rsidP="00070B71">
            <w:pPr>
              <w:spacing w:line="276" w:lineRule="auto"/>
              <w:jc w:val="center"/>
              <w:rPr>
                <w:rFonts w:ascii="Arial" w:hAnsi="Arial" w:cs="Arial"/>
                <w:b/>
                <w:bCs/>
                <w:sz w:val="20"/>
                <w:szCs w:val="20"/>
                <w:lang w:val="es-UY" w:eastAsia="es-UY"/>
              </w:rPr>
            </w:pPr>
            <w:r w:rsidRPr="008B2B66">
              <w:rPr>
                <w:rFonts w:ascii="Arial" w:hAnsi="Arial" w:cs="Arial"/>
                <w:b/>
                <w:bCs/>
                <w:sz w:val="20"/>
                <w:szCs w:val="20"/>
                <w:lang w:val="es-UY" w:eastAsia="es-UY"/>
              </w:rPr>
              <w:t>49.29</w:t>
            </w:r>
          </w:p>
        </w:tc>
      </w:tr>
      <w:tr w:rsidR="00D42E74" w:rsidRPr="008B2B66" w:rsidTr="00070B71">
        <w:trPr>
          <w:jc w:val="center"/>
        </w:trPr>
        <w:tc>
          <w:tcPr>
            <w:tcW w:w="1814" w:type="dxa"/>
            <w:shd w:val="clear" w:color="auto" w:fill="auto"/>
          </w:tcPr>
          <w:p w:rsidR="00D42E74" w:rsidRPr="008B2B66" w:rsidRDefault="00D42E74" w:rsidP="00070B71">
            <w:pPr>
              <w:pStyle w:val="Paragraph"/>
              <w:numPr>
                <w:ilvl w:val="0"/>
                <w:numId w:val="0"/>
              </w:numPr>
              <w:jc w:val="left"/>
              <w:rPr>
                <w:rFonts w:ascii="Arial" w:hAnsi="Arial" w:cs="Arial"/>
                <w:sz w:val="20"/>
              </w:rPr>
            </w:pPr>
            <w:r w:rsidRPr="008B2B66">
              <w:rPr>
                <w:rFonts w:ascii="Arial" w:hAnsi="Arial" w:cs="Arial"/>
                <w:sz w:val="20"/>
              </w:rPr>
              <w:t xml:space="preserve">Administración </w:t>
            </w:r>
          </w:p>
        </w:tc>
        <w:tc>
          <w:tcPr>
            <w:tcW w:w="1024"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0.81</w:t>
            </w:r>
          </w:p>
        </w:tc>
        <w:tc>
          <w:tcPr>
            <w:tcW w:w="1027"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0.88</w:t>
            </w:r>
          </w:p>
        </w:tc>
        <w:tc>
          <w:tcPr>
            <w:tcW w:w="1029"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1.01</w:t>
            </w:r>
          </w:p>
        </w:tc>
        <w:tc>
          <w:tcPr>
            <w:tcW w:w="1026"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1.06</w:t>
            </w:r>
          </w:p>
        </w:tc>
        <w:tc>
          <w:tcPr>
            <w:tcW w:w="999" w:type="dxa"/>
            <w:shd w:val="clear" w:color="auto" w:fill="auto"/>
            <w:vAlign w:val="center"/>
          </w:tcPr>
          <w:p w:rsidR="00D42E74" w:rsidRPr="008B2B66" w:rsidRDefault="00D42E74" w:rsidP="00070B71">
            <w:pPr>
              <w:spacing w:line="276" w:lineRule="auto"/>
              <w:jc w:val="right"/>
              <w:rPr>
                <w:rFonts w:ascii="Arial" w:hAnsi="Arial" w:cs="Arial"/>
                <w:bCs/>
                <w:sz w:val="20"/>
                <w:szCs w:val="20"/>
                <w:lang w:val="es-UY" w:eastAsia="es-UY"/>
              </w:rPr>
            </w:pPr>
            <w:r w:rsidRPr="008B2B66">
              <w:rPr>
                <w:rFonts w:ascii="Arial" w:hAnsi="Arial" w:cs="Arial"/>
                <w:bCs/>
                <w:sz w:val="20"/>
                <w:szCs w:val="20"/>
                <w:lang w:val="es-UY" w:eastAsia="es-UY"/>
              </w:rPr>
              <w:t>1.21</w:t>
            </w:r>
          </w:p>
        </w:tc>
        <w:tc>
          <w:tcPr>
            <w:tcW w:w="1055" w:type="dxa"/>
            <w:shd w:val="clear" w:color="auto" w:fill="auto"/>
          </w:tcPr>
          <w:p w:rsidR="00D42E74" w:rsidRPr="008B2B66" w:rsidRDefault="00D42E74" w:rsidP="00070B71">
            <w:pPr>
              <w:pStyle w:val="Paragraph"/>
              <w:numPr>
                <w:ilvl w:val="0"/>
                <w:numId w:val="0"/>
              </w:numPr>
              <w:jc w:val="center"/>
              <w:rPr>
                <w:rFonts w:ascii="Arial" w:hAnsi="Arial" w:cs="Arial"/>
                <w:b/>
                <w:sz w:val="20"/>
              </w:rPr>
            </w:pPr>
            <w:r w:rsidRPr="008B2B66">
              <w:rPr>
                <w:rFonts w:ascii="Arial" w:hAnsi="Arial" w:cs="Arial"/>
                <w:b/>
                <w:bCs/>
                <w:sz w:val="20"/>
                <w:lang w:val="es-UY" w:eastAsia="es-UY"/>
              </w:rPr>
              <w:t>4.97</w:t>
            </w:r>
          </w:p>
        </w:tc>
      </w:tr>
      <w:tr w:rsidR="00D42E74" w:rsidRPr="008B2B66" w:rsidTr="00070B71">
        <w:trPr>
          <w:jc w:val="center"/>
        </w:trPr>
        <w:tc>
          <w:tcPr>
            <w:tcW w:w="1814" w:type="dxa"/>
            <w:shd w:val="clear" w:color="auto" w:fill="auto"/>
          </w:tcPr>
          <w:p w:rsidR="00D42E74" w:rsidRPr="008B2B66" w:rsidRDefault="00D42E74" w:rsidP="00070B71">
            <w:pPr>
              <w:pStyle w:val="Paragraph"/>
              <w:numPr>
                <w:ilvl w:val="0"/>
                <w:numId w:val="0"/>
              </w:numPr>
              <w:jc w:val="left"/>
              <w:rPr>
                <w:rFonts w:ascii="Arial" w:hAnsi="Arial" w:cs="Arial"/>
                <w:b/>
                <w:sz w:val="20"/>
              </w:rPr>
            </w:pPr>
            <w:r w:rsidRPr="008B2B66">
              <w:rPr>
                <w:rFonts w:ascii="Arial" w:hAnsi="Arial" w:cs="Arial"/>
                <w:b/>
                <w:sz w:val="20"/>
              </w:rPr>
              <w:t>Totales</w:t>
            </w:r>
          </w:p>
        </w:tc>
        <w:tc>
          <w:tcPr>
            <w:tcW w:w="1024" w:type="dxa"/>
            <w:shd w:val="clear" w:color="auto" w:fill="auto"/>
            <w:vAlign w:val="center"/>
          </w:tcPr>
          <w:p w:rsidR="00D42E74" w:rsidRPr="008B2B66" w:rsidRDefault="00D42E74" w:rsidP="00070B71">
            <w:pPr>
              <w:spacing w:line="276" w:lineRule="auto"/>
              <w:jc w:val="right"/>
              <w:rPr>
                <w:rFonts w:ascii="Arial" w:hAnsi="Arial" w:cs="Arial"/>
                <w:sz w:val="20"/>
                <w:szCs w:val="20"/>
                <w:lang w:val="es-UY" w:eastAsia="es-UY"/>
              </w:rPr>
            </w:pPr>
            <w:r w:rsidRPr="008B2B66">
              <w:rPr>
                <w:rFonts w:ascii="Arial" w:hAnsi="Arial" w:cs="Arial"/>
                <w:sz w:val="20"/>
                <w:szCs w:val="20"/>
                <w:lang w:val="es-UY" w:eastAsia="es-UY"/>
              </w:rPr>
              <w:t xml:space="preserve">16.44 </w:t>
            </w:r>
          </w:p>
        </w:tc>
        <w:tc>
          <w:tcPr>
            <w:tcW w:w="1027" w:type="dxa"/>
            <w:shd w:val="clear" w:color="auto" w:fill="auto"/>
            <w:vAlign w:val="center"/>
          </w:tcPr>
          <w:p w:rsidR="00D42E74" w:rsidRPr="008B2B66" w:rsidRDefault="00D42E74" w:rsidP="00070B71">
            <w:pPr>
              <w:spacing w:line="276" w:lineRule="auto"/>
              <w:jc w:val="right"/>
              <w:rPr>
                <w:rFonts w:ascii="Arial" w:hAnsi="Arial" w:cs="Arial"/>
                <w:sz w:val="20"/>
                <w:szCs w:val="20"/>
                <w:lang w:val="es-UY" w:eastAsia="es-UY"/>
              </w:rPr>
            </w:pPr>
            <w:r w:rsidRPr="008B2B66">
              <w:rPr>
                <w:rFonts w:ascii="Arial" w:hAnsi="Arial" w:cs="Arial"/>
                <w:sz w:val="20"/>
                <w:szCs w:val="20"/>
                <w:lang w:val="es-UY" w:eastAsia="es-UY"/>
              </w:rPr>
              <w:t xml:space="preserve">11.82 </w:t>
            </w:r>
          </w:p>
        </w:tc>
        <w:tc>
          <w:tcPr>
            <w:tcW w:w="1029" w:type="dxa"/>
            <w:shd w:val="clear" w:color="auto" w:fill="auto"/>
            <w:vAlign w:val="center"/>
          </w:tcPr>
          <w:p w:rsidR="00D42E74" w:rsidRPr="008B2B66" w:rsidRDefault="00D42E74" w:rsidP="00070B71">
            <w:pPr>
              <w:spacing w:line="276" w:lineRule="auto"/>
              <w:jc w:val="right"/>
              <w:rPr>
                <w:rFonts w:ascii="Arial" w:hAnsi="Arial" w:cs="Arial"/>
                <w:sz w:val="20"/>
                <w:szCs w:val="20"/>
                <w:lang w:val="es-UY" w:eastAsia="es-UY"/>
              </w:rPr>
            </w:pPr>
            <w:r w:rsidRPr="008B2B66">
              <w:rPr>
                <w:rFonts w:ascii="Arial" w:hAnsi="Arial" w:cs="Arial"/>
                <w:sz w:val="20"/>
                <w:szCs w:val="20"/>
                <w:lang w:val="es-UY" w:eastAsia="es-UY"/>
              </w:rPr>
              <w:t xml:space="preserve">15.80 </w:t>
            </w:r>
          </w:p>
        </w:tc>
        <w:tc>
          <w:tcPr>
            <w:tcW w:w="1026" w:type="dxa"/>
            <w:shd w:val="clear" w:color="auto" w:fill="auto"/>
            <w:vAlign w:val="center"/>
          </w:tcPr>
          <w:p w:rsidR="00D42E74" w:rsidRPr="008B2B66" w:rsidRDefault="00D42E74" w:rsidP="00070B71">
            <w:pPr>
              <w:spacing w:line="276" w:lineRule="auto"/>
              <w:jc w:val="right"/>
              <w:rPr>
                <w:rFonts w:ascii="Arial" w:hAnsi="Arial" w:cs="Arial"/>
                <w:sz w:val="20"/>
                <w:szCs w:val="20"/>
                <w:lang w:val="es-UY" w:eastAsia="es-UY"/>
              </w:rPr>
            </w:pPr>
            <w:r w:rsidRPr="008B2B66">
              <w:rPr>
                <w:rFonts w:ascii="Arial" w:hAnsi="Arial" w:cs="Arial"/>
                <w:sz w:val="20"/>
                <w:szCs w:val="20"/>
                <w:lang w:val="es-UY" w:eastAsia="es-UY"/>
              </w:rPr>
              <w:t xml:space="preserve">15.13 </w:t>
            </w:r>
          </w:p>
        </w:tc>
        <w:tc>
          <w:tcPr>
            <w:tcW w:w="999" w:type="dxa"/>
            <w:shd w:val="clear" w:color="auto" w:fill="auto"/>
            <w:vAlign w:val="center"/>
          </w:tcPr>
          <w:p w:rsidR="00D42E74" w:rsidRPr="008B2B66" w:rsidRDefault="00D42E74" w:rsidP="00070B71">
            <w:pPr>
              <w:spacing w:line="276" w:lineRule="auto"/>
              <w:jc w:val="right"/>
              <w:rPr>
                <w:rFonts w:ascii="Arial" w:hAnsi="Arial" w:cs="Arial"/>
                <w:sz w:val="20"/>
                <w:szCs w:val="20"/>
                <w:lang w:val="es-UY" w:eastAsia="es-UY"/>
              </w:rPr>
            </w:pPr>
            <w:r w:rsidRPr="008B2B66">
              <w:rPr>
                <w:rFonts w:ascii="Arial" w:hAnsi="Arial" w:cs="Arial"/>
                <w:sz w:val="20"/>
                <w:szCs w:val="20"/>
                <w:lang w:val="es-UY" w:eastAsia="es-UY"/>
              </w:rPr>
              <w:t xml:space="preserve">15.51 </w:t>
            </w:r>
          </w:p>
        </w:tc>
        <w:tc>
          <w:tcPr>
            <w:tcW w:w="1055" w:type="dxa"/>
            <w:shd w:val="clear" w:color="auto" w:fill="auto"/>
            <w:vAlign w:val="center"/>
          </w:tcPr>
          <w:p w:rsidR="00D42E74" w:rsidRPr="008B2B66" w:rsidRDefault="00D42E74" w:rsidP="00070B71">
            <w:pPr>
              <w:spacing w:line="276" w:lineRule="auto"/>
              <w:jc w:val="center"/>
              <w:rPr>
                <w:rFonts w:ascii="Arial" w:hAnsi="Arial" w:cs="Arial"/>
                <w:b/>
                <w:sz w:val="20"/>
                <w:szCs w:val="20"/>
                <w:lang w:val="es-UY" w:eastAsia="es-UY"/>
              </w:rPr>
            </w:pPr>
            <w:r w:rsidRPr="008B2B66">
              <w:rPr>
                <w:rFonts w:ascii="Arial" w:hAnsi="Arial" w:cs="Arial"/>
                <w:b/>
                <w:sz w:val="20"/>
                <w:szCs w:val="20"/>
                <w:lang w:val="es-UY" w:eastAsia="es-UY"/>
              </w:rPr>
              <w:t>74.70</w:t>
            </w:r>
          </w:p>
        </w:tc>
      </w:tr>
    </w:tbl>
    <w:p w:rsidR="00D42E74" w:rsidRPr="008B2B66" w:rsidRDefault="00D42E74" w:rsidP="00D42E74">
      <w:pPr>
        <w:pStyle w:val="Paragraph"/>
        <w:numPr>
          <w:ilvl w:val="0"/>
          <w:numId w:val="0"/>
        </w:numPr>
        <w:jc w:val="left"/>
        <w:rPr>
          <w:rFonts w:ascii="Arial" w:hAnsi="Arial" w:cs="Arial"/>
          <w:sz w:val="20"/>
        </w:rPr>
      </w:pPr>
      <w:r w:rsidRPr="008B2B66">
        <w:rPr>
          <w:rFonts w:ascii="Arial" w:hAnsi="Arial" w:cs="Arial"/>
          <w:sz w:val="20"/>
        </w:rPr>
        <w:t xml:space="preserve">       </w:t>
      </w:r>
      <w:r>
        <w:rPr>
          <w:rFonts w:ascii="Arial" w:hAnsi="Arial" w:cs="Arial"/>
          <w:sz w:val="20"/>
        </w:rPr>
        <w:t xml:space="preserve"> </w:t>
      </w:r>
      <w:r w:rsidRPr="008B2B66">
        <w:rPr>
          <w:rFonts w:ascii="Arial" w:hAnsi="Arial" w:cs="Arial"/>
          <w:sz w:val="20"/>
        </w:rPr>
        <w:t xml:space="preserve">Fuente: Matriz de Financiamiento </w:t>
      </w:r>
    </w:p>
    <w:p w:rsidR="00D42E74" w:rsidRPr="00D42E74" w:rsidRDefault="002A2AE3" w:rsidP="00D42E74">
      <w:pPr>
        <w:pStyle w:val="ListParagraph"/>
        <w:numPr>
          <w:ilvl w:val="1"/>
          <w:numId w:val="7"/>
        </w:numPr>
        <w:ind w:left="720" w:hanging="720"/>
        <w:contextualSpacing w:val="0"/>
        <w:jc w:val="both"/>
        <w:rPr>
          <w:rFonts w:ascii="Arial" w:hAnsi="Arial" w:cs="Arial"/>
          <w:sz w:val="24"/>
          <w:lang w:val="es-AR"/>
        </w:rPr>
      </w:pPr>
      <w:r w:rsidRPr="00D42E74">
        <w:rPr>
          <w:rFonts w:ascii="Arial" w:hAnsi="Arial" w:cs="Arial"/>
        </w:rPr>
        <w:t xml:space="preserve">El </w:t>
      </w:r>
      <w:r w:rsidR="00D241BB" w:rsidRPr="00D42E74">
        <w:rPr>
          <w:rFonts w:ascii="Arial" w:hAnsi="Arial" w:cs="Arial"/>
        </w:rPr>
        <w:t>66,0</w:t>
      </w:r>
      <w:r w:rsidR="0001000C" w:rsidRPr="00D42E74">
        <w:rPr>
          <w:rFonts w:ascii="Arial" w:hAnsi="Arial" w:cs="Arial"/>
        </w:rPr>
        <w:t xml:space="preserve"> </w:t>
      </w:r>
      <w:r w:rsidRPr="00D42E74">
        <w:rPr>
          <w:rFonts w:ascii="Arial" w:hAnsi="Arial" w:cs="Arial"/>
        </w:rPr>
        <w:t xml:space="preserve">% de los costos de inversión del proyecto corresponden a infraestructura y equipamiento (Componente </w:t>
      </w:r>
      <w:r w:rsidR="00E750EC" w:rsidRPr="00D42E74">
        <w:rPr>
          <w:rFonts w:ascii="Arial" w:hAnsi="Arial" w:cs="Arial"/>
        </w:rPr>
        <w:t>4</w:t>
      </w:r>
      <w:r w:rsidRPr="00D42E74">
        <w:rPr>
          <w:rFonts w:ascii="Arial" w:hAnsi="Arial" w:cs="Arial"/>
        </w:rPr>
        <w:t xml:space="preserve">). El </w:t>
      </w:r>
      <w:r w:rsidR="0056159E" w:rsidRPr="00D42E74">
        <w:rPr>
          <w:rFonts w:ascii="Arial" w:hAnsi="Arial" w:cs="Arial"/>
        </w:rPr>
        <w:t>1</w:t>
      </w:r>
      <w:r w:rsidR="00D241BB" w:rsidRPr="00D42E74">
        <w:rPr>
          <w:rFonts w:ascii="Arial" w:hAnsi="Arial" w:cs="Arial"/>
        </w:rPr>
        <w:t>6</w:t>
      </w:r>
      <w:r w:rsidR="0056159E" w:rsidRPr="00D42E74">
        <w:rPr>
          <w:rFonts w:ascii="Arial" w:hAnsi="Arial" w:cs="Arial"/>
        </w:rPr>
        <w:t xml:space="preserve">, </w:t>
      </w:r>
      <w:r w:rsidR="00D241BB" w:rsidRPr="00D42E74">
        <w:rPr>
          <w:rFonts w:ascii="Arial" w:hAnsi="Arial" w:cs="Arial"/>
        </w:rPr>
        <w:t>9</w:t>
      </w:r>
      <w:r w:rsidR="0056159E" w:rsidRPr="00D42E74">
        <w:rPr>
          <w:rFonts w:ascii="Arial" w:hAnsi="Arial" w:cs="Arial"/>
        </w:rPr>
        <w:t xml:space="preserve"> </w:t>
      </w:r>
      <w:r w:rsidRPr="00D42E74">
        <w:rPr>
          <w:rFonts w:ascii="Arial" w:hAnsi="Arial" w:cs="Arial"/>
        </w:rPr>
        <w:t xml:space="preserve">% corresponde </w:t>
      </w:r>
      <w:r w:rsidR="0056159E" w:rsidRPr="00D42E74">
        <w:rPr>
          <w:rFonts w:ascii="Arial" w:hAnsi="Arial" w:cs="Arial"/>
        </w:rPr>
        <w:t>al fortalecimiento de las capacidades de la Administración Nacional de Educación Pública (ANEP), sus instancias locales, los Consejos de Secundaria y Educación Técnico Profesional y los centros educativos para gestionar y garantizar una educación pública de calidad</w:t>
      </w:r>
      <w:r w:rsidR="00D241BB" w:rsidRPr="00D42E74">
        <w:rPr>
          <w:rFonts w:ascii="Arial" w:hAnsi="Arial" w:cs="Arial"/>
        </w:rPr>
        <w:t xml:space="preserve"> (Componente 3)</w:t>
      </w:r>
      <w:r w:rsidR="00083214" w:rsidRPr="00D42E74">
        <w:rPr>
          <w:rFonts w:ascii="Arial" w:hAnsi="Arial" w:cs="Arial"/>
        </w:rPr>
        <w:t xml:space="preserve">. El </w:t>
      </w:r>
      <w:r w:rsidR="00D241BB" w:rsidRPr="00D42E74">
        <w:rPr>
          <w:rFonts w:ascii="Arial" w:hAnsi="Arial" w:cs="Arial"/>
        </w:rPr>
        <w:t>10,5</w:t>
      </w:r>
      <w:r w:rsidR="00083214" w:rsidRPr="00D42E74">
        <w:rPr>
          <w:rFonts w:ascii="Arial" w:hAnsi="Arial" w:cs="Arial"/>
        </w:rPr>
        <w:t xml:space="preserve"> % se corresponde con </w:t>
      </w:r>
      <w:r w:rsidR="00D241BB" w:rsidRPr="00D42E74">
        <w:rPr>
          <w:rFonts w:ascii="Arial" w:hAnsi="Arial" w:cs="Arial"/>
        </w:rPr>
        <w:t>la mejora de los resultados educat</w:t>
      </w:r>
      <w:r w:rsidR="005F730F" w:rsidRPr="00D42E74">
        <w:rPr>
          <w:rFonts w:ascii="Arial" w:hAnsi="Arial" w:cs="Arial"/>
        </w:rPr>
        <w:t xml:space="preserve">ivos de los alumnos de EM y </w:t>
      </w:r>
      <w:r w:rsidR="00D241BB" w:rsidRPr="00D42E74">
        <w:rPr>
          <w:rFonts w:ascii="Arial" w:hAnsi="Arial" w:cs="Arial"/>
        </w:rPr>
        <w:t>fortalecer la FI y el desarrollo profesional docente en EM (Componente 1 y 2).</w:t>
      </w:r>
      <w:r w:rsidR="00E36784" w:rsidRPr="00D42E74">
        <w:rPr>
          <w:rFonts w:ascii="Arial" w:hAnsi="Arial" w:cs="Arial"/>
        </w:rPr>
        <w:t xml:space="preserve"> </w:t>
      </w:r>
      <w:r w:rsidR="00D241BB" w:rsidRPr="00D42E74">
        <w:rPr>
          <w:rFonts w:ascii="Arial" w:hAnsi="Arial" w:cs="Arial"/>
        </w:rPr>
        <w:t>Finalmente se destina el 6,6 % a los costos de</w:t>
      </w:r>
      <w:r w:rsidR="00D42E74">
        <w:rPr>
          <w:rFonts w:ascii="Arial" w:hAnsi="Arial" w:cs="Arial"/>
        </w:rPr>
        <w:t xml:space="preserve"> gerenciamiento del programa.</w:t>
      </w:r>
    </w:p>
    <w:p w:rsidR="00CD0B54" w:rsidRPr="00D42E74" w:rsidRDefault="0055231D" w:rsidP="00D42E74">
      <w:pPr>
        <w:pStyle w:val="ListParagraph"/>
        <w:numPr>
          <w:ilvl w:val="1"/>
          <w:numId w:val="7"/>
        </w:numPr>
        <w:ind w:left="720" w:hanging="720"/>
        <w:contextualSpacing w:val="0"/>
        <w:jc w:val="both"/>
        <w:rPr>
          <w:rFonts w:ascii="Arial" w:hAnsi="Arial" w:cs="Arial"/>
          <w:sz w:val="24"/>
          <w:lang w:val="es-AR"/>
        </w:rPr>
      </w:pPr>
      <w:r w:rsidRPr="00D42E74">
        <w:rPr>
          <w:rFonts w:ascii="Arial" w:hAnsi="Arial" w:cs="Arial"/>
        </w:rPr>
        <w:t>Para la valoración económica de los costos del programa es preciso transformar los costos financieros en costos sociales, que tienen en cuenta el costo de oportunidad de los recursos para la sociedad</w:t>
      </w:r>
      <w:r w:rsidR="009F3C6F" w:rsidRPr="00D42E74">
        <w:rPr>
          <w:rFonts w:ascii="Arial" w:hAnsi="Arial" w:cs="Arial"/>
        </w:rPr>
        <w:t xml:space="preserve">, incluyendo el de las divisas, </w:t>
      </w:r>
      <w:r w:rsidRPr="00D42E74">
        <w:rPr>
          <w:rFonts w:ascii="Arial" w:hAnsi="Arial" w:cs="Arial"/>
        </w:rPr>
        <w:t>y corrige las distorsiones</w:t>
      </w:r>
      <w:r w:rsidR="009F3C6F" w:rsidRPr="00D42E74">
        <w:rPr>
          <w:rFonts w:ascii="Arial" w:hAnsi="Arial" w:cs="Arial"/>
        </w:rPr>
        <w:t xml:space="preserve"> en el </w:t>
      </w:r>
      <w:r w:rsidRPr="00D42E74">
        <w:rPr>
          <w:rFonts w:ascii="Arial" w:hAnsi="Arial" w:cs="Arial"/>
        </w:rPr>
        <w:t xml:space="preserve"> introducidas en los costos por concepto de impuestos y subsidios a los principales insumos del proyecto (bienes y </w:t>
      </w:r>
      <w:r w:rsidR="00F44F1F" w:rsidRPr="00D42E74">
        <w:rPr>
          <w:rFonts w:ascii="Arial" w:hAnsi="Arial" w:cs="Arial"/>
        </w:rPr>
        <w:t xml:space="preserve">servicios de </w:t>
      </w:r>
      <w:r w:rsidRPr="00D42E74">
        <w:rPr>
          <w:rFonts w:ascii="Arial" w:hAnsi="Arial" w:cs="Arial"/>
        </w:rPr>
        <w:t>mano de obra</w:t>
      </w:r>
      <w:r w:rsidR="00F44F1F" w:rsidRPr="00D42E74">
        <w:rPr>
          <w:rFonts w:ascii="Arial" w:hAnsi="Arial" w:cs="Arial"/>
        </w:rPr>
        <w:t xml:space="preserve"> calificada y no calificada</w:t>
      </w:r>
      <w:r w:rsidRPr="00D42E74">
        <w:rPr>
          <w:rFonts w:ascii="Arial" w:hAnsi="Arial" w:cs="Arial"/>
        </w:rPr>
        <w:t xml:space="preserve">). Esta corrección se hizo aplicando </w:t>
      </w:r>
      <w:r w:rsidR="00E750EC" w:rsidRPr="00D42E74">
        <w:rPr>
          <w:rFonts w:ascii="Arial" w:hAnsi="Arial" w:cs="Arial"/>
        </w:rPr>
        <w:t>el Factor de C</w:t>
      </w:r>
      <w:r w:rsidRPr="00D42E74">
        <w:rPr>
          <w:rFonts w:ascii="Arial" w:hAnsi="Arial" w:cs="Arial"/>
        </w:rPr>
        <w:t xml:space="preserve">orrección </w:t>
      </w:r>
      <w:r w:rsidR="00DF3631" w:rsidRPr="00D42E74">
        <w:rPr>
          <w:rFonts w:ascii="Arial" w:hAnsi="Arial" w:cs="Arial"/>
        </w:rPr>
        <w:t>que surge información que elabora la Oficina de Pl</w:t>
      </w:r>
      <w:r w:rsidR="00BF2CD5" w:rsidRPr="00D42E74">
        <w:rPr>
          <w:rFonts w:ascii="Arial" w:hAnsi="Arial" w:cs="Arial"/>
        </w:rPr>
        <w:t>a</w:t>
      </w:r>
      <w:r w:rsidR="00DF3631" w:rsidRPr="00D42E74">
        <w:rPr>
          <w:rFonts w:ascii="Arial" w:hAnsi="Arial" w:cs="Arial"/>
        </w:rPr>
        <w:t>neamiento y Presupuesto de la Presidencia del Gobierno de Uruguay</w:t>
      </w:r>
      <w:r w:rsidR="00CD0B54" w:rsidRPr="008B2B66">
        <w:rPr>
          <w:rStyle w:val="FootnoteReference"/>
          <w:rFonts w:ascii="Arial" w:hAnsi="Arial" w:cs="Arial"/>
        </w:rPr>
        <w:footnoteReference w:id="13"/>
      </w:r>
    </w:p>
    <w:p w:rsidR="009804F4" w:rsidRPr="008B2B66" w:rsidRDefault="009804F4">
      <w:pPr>
        <w:rPr>
          <w:rFonts w:ascii="Arial" w:hAnsi="Arial" w:cs="Arial"/>
          <w:b/>
          <w:bCs/>
          <w:smallCaps/>
          <w:kern w:val="32"/>
        </w:rPr>
      </w:pPr>
      <w:r w:rsidRPr="008B2B66">
        <w:rPr>
          <w:rFonts w:ascii="Arial" w:hAnsi="Arial" w:cs="Arial"/>
          <w:smallCaps/>
        </w:rPr>
        <w:br w:type="page"/>
      </w:r>
    </w:p>
    <w:p w:rsidR="00B63722" w:rsidRPr="008B2B66" w:rsidRDefault="00B63722" w:rsidP="003B3DB9">
      <w:pPr>
        <w:pStyle w:val="Heading1"/>
        <w:numPr>
          <w:ilvl w:val="0"/>
          <w:numId w:val="1"/>
        </w:numPr>
        <w:spacing w:before="120" w:after="120"/>
        <w:ind w:left="720" w:hanging="900"/>
        <w:rPr>
          <w:rFonts w:ascii="Arial" w:hAnsi="Arial" w:cs="Arial"/>
          <w:smallCaps/>
          <w:sz w:val="24"/>
          <w:szCs w:val="24"/>
        </w:rPr>
      </w:pPr>
      <w:r w:rsidRPr="008B2B66">
        <w:rPr>
          <w:rFonts w:ascii="Arial" w:hAnsi="Arial" w:cs="Arial"/>
          <w:smallCaps/>
          <w:sz w:val="24"/>
          <w:szCs w:val="24"/>
        </w:rPr>
        <w:lastRenderedPageBreak/>
        <w:t>S</w:t>
      </w:r>
      <w:r w:rsidR="00710E32" w:rsidRPr="008B2B66">
        <w:rPr>
          <w:rFonts w:ascii="Arial" w:hAnsi="Arial" w:cs="Arial"/>
          <w:smallCaps/>
          <w:sz w:val="24"/>
          <w:szCs w:val="24"/>
        </w:rPr>
        <w:t>upuestos Críticos Proyecciones del Flujo de Beneficios Netos</w:t>
      </w:r>
    </w:p>
    <w:p w:rsidR="007464E8" w:rsidRPr="003B3DB9" w:rsidRDefault="00B63722" w:rsidP="00621862">
      <w:pPr>
        <w:pStyle w:val="Paragraph"/>
        <w:numPr>
          <w:ilvl w:val="1"/>
          <w:numId w:val="9"/>
        </w:numPr>
        <w:ind w:hanging="720"/>
        <w:rPr>
          <w:rFonts w:ascii="Arial" w:hAnsi="Arial" w:cs="Arial"/>
          <w:kern w:val="28"/>
          <w:sz w:val="22"/>
          <w:szCs w:val="22"/>
        </w:rPr>
      </w:pPr>
      <w:r w:rsidRPr="003B3DB9">
        <w:rPr>
          <w:rFonts w:ascii="Arial" w:hAnsi="Arial" w:cs="Arial"/>
          <w:sz w:val="22"/>
          <w:szCs w:val="22"/>
        </w:rPr>
        <w:t>La tasa de descuento utilizada es del 12%, según el estándar del Banco.</w:t>
      </w:r>
    </w:p>
    <w:p w:rsidR="008B3DEF" w:rsidRPr="003B3DB9" w:rsidRDefault="008B3DEF" w:rsidP="00621862">
      <w:pPr>
        <w:pStyle w:val="Paragraph"/>
        <w:numPr>
          <w:ilvl w:val="1"/>
          <w:numId w:val="9"/>
        </w:numPr>
        <w:ind w:hanging="720"/>
        <w:rPr>
          <w:rFonts w:ascii="Arial" w:hAnsi="Arial" w:cs="Arial"/>
          <w:kern w:val="28"/>
          <w:sz w:val="22"/>
          <w:szCs w:val="22"/>
        </w:rPr>
      </w:pPr>
      <w:r w:rsidRPr="003B3DB9">
        <w:rPr>
          <w:rFonts w:ascii="Arial" w:hAnsi="Arial" w:cs="Arial"/>
          <w:kern w:val="28"/>
          <w:sz w:val="22"/>
          <w:szCs w:val="22"/>
        </w:rPr>
        <w:t xml:space="preserve">La totalidad de los nuevos cupos creados en la EM que se corresponden con la creación de nuevos establecimientos o ampliaciones, se corresponden con los centros educativos de ese nivel. No hay sustitución de la matrícula </w:t>
      </w:r>
    </w:p>
    <w:p w:rsidR="008B3DEF" w:rsidRPr="003B3DB9" w:rsidRDefault="008B3DEF" w:rsidP="00621862">
      <w:pPr>
        <w:pStyle w:val="Paragraph"/>
        <w:numPr>
          <w:ilvl w:val="1"/>
          <w:numId w:val="9"/>
        </w:numPr>
        <w:ind w:hanging="720"/>
        <w:rPr>
          <w:rFonts w:ascii="Arial" w:hAnsi="Arial" w:cs="Arial"/>
          <w:kern w:val="28"/>
          <w:sz w:val="22"/>
          <w:szCs w:val="22"/>
        </w:rPr>
      </w:pPr>
      <w:r w:rsidRPr="003B3DB9">
        <w:rPr>
          <w:rFonts w:ascii="Arial" w:hAnsi="Arial" w:cs="Arial"/>
          <w:kern w:val="28"/>
          <w:sz w:val="22"/>
          <w:szCs w:val="22"/>
        </w:rPr>
        <w:t>Se supone una vida útil del proyecto de 30 años, por lo que 30 cohortes se beneficiar</w:t>
      </w:r>
      <w:r w:rsidR="00AC382E" w:rsidRPr="003B3DB9">
        <w:rPr>
          <w:rFonts w:ascii="Arial" w:hAnsi="Arial" w:cs="Arial"/>
          <w:kern w:val="28"/>
          <w:sz w:val="22"/>
          <w:szCs w:val="22"/>
        </w:rPr>
        <w:t>á</w:t>
      </w:r>
      <w:r w:rsidRPr="003B3DB9">
        <w:rPr>
          <w:rFonts w:ascii="Arial" w:hAnsi="Arial" w:cs="Arial"/>
          <w:kern w:val="28"/>
          <w:sz w:val="22"/>
          <w:szCs w:val="22"/>
        </w:rPr>
        <w:t>n un año después de que finalicen la EM (18 años), cuando ingresen al mercado laboral y percib</w:t>
      </w:r>
      <w:r w:rsidR="00AC382E" w:rsidRPr="003B3DB9">
        <w:rPr>
          <w:rFonts w:ascii="Arial" w:hAnsi="Arial" w:cs="Arial"/>
          <w:kern w:val="28"/>
          <w:sz w:val="22"/>
          <w:szCs w:val="22"/>
        </w:rPr>
        <w:t>a</w:t>
      </w:r>
      <w:r w:rsidRPr="003B3DB9">
        <w:rPr>
          <w:rFonts w:ascii="Arial" w:hAnsi="Arial" w:cs="Arial"/>
          <w:kern w:val="28"/>
          <w:sz w:val="22"/>
          <w:szCs w:val="22"/>
        </w:rPr>
        <w:t>n mejores salarios a lo largo de su vida laboral hasta los 60 años de edad que se supone como la edad que alcanza el máximo salario.</w:t>
      </w:r>
    </w:p>
    <w:p w:rsidR="00AA7D0F" w:rsidRPr="003B3DB9" w:rsidRDefault="00AA7D0F" w:rsidP="00621862">
      <w:pPr>
        <w:pStyle w:val="Paragraph"/>
        <w:numPr>
          <w:ilvl w:val="1"/>
          <w:numId w:val="9"/>
        </w:numPr>
        <w:ind w:hanging="720"/>
        <w:rPr>
          <w:rFonts w:ascii="Arial" w:hAnsi="Arial" w:cs="Arial"/>
          <w:kern w:val="28"/>
          <w:sz w:val="22"/>
          <w:szCs w:val="22"/>
        </w:rPr>
      </w:pPr>
      <w:r w:rsidRPr="003B3DB9">
        <w:rPr>
          <w:rFonts w:ascii="Arial" w:hAnsi="Arial" w:cs="Arial"/>
          <w:kern w:val="28"/>
          <w:sz w:val="22"/>
          <w:szCs w:val="22"/>
        </w:rPr>
        <w:t xml:space="preserve">Para proyectar la situación “con proyecto” se utilizaron las metas que define la Matriz de Resultados del Proyecto para el indicador </w:t>
      </w:r>
      <w:r w:rsidRPr="003B3DB9">
        <w:rPr>
          <w:rFonts w:ascii="Arial" w:hAnsi="Arial" w:cs="Arial"/>
          <w:i/>
          <w:kern w:val="28"/>
          <w:sz w:val="22"/>
          <w:szCs w:val="22"/>
        </w:rPr>
        <w:t>“% de jóvenes de entre 18 y 20 años egresados de la EMB”</w:t>
      </w:r>
      <w:r w:rsidRPr="003B3DB9">
        <w:rPr>
          <w:rFonts w:ascii="Arial" w:hAnsi="Arial" w:cs="Arial"/>
          <w:kern w:val="28"/>
          <w:sz w:val="22"/>
          <w:szCs w:val="22"/>
        </w:rPr>
        <w:t xml:space="preserve">. Para la situación sin proyecto para la EMB se calculó la tasa de crecimiento promedio de la serie </w:t>
      </w:r>
      <w:r w:rsidR="000D0E8D" w:rsidRPr="003B3DB9">
        <w:rPr>
          <w:rFonts w:ascii="Arial" w:hAnsi="Arial" w:cs="Arial"/>
          <w:kern w:val="28"/>
          <w:sz w:val="22"/>
          <w:szCs w:val="22"/>
        </w:rPr>
        <w:t>2009 y 2014</w:t>
      </w:r>
      <w:r w:rsidRPr="003B3DB9">
        <w:rPr>
          <w:rFonts w:ascii="Arial" w:hAnsi="Arial" w:cs="Arial"/>
          <w:kern w:val="28"/>
          <w:sz w:val="22"/>
          <w:szCs w:val="22"/>
        </w:rPr>
        <w:t xml:space="preserve">. Para la EMS </w:t>
      </w:r>
      <w:r w:rsidR="000D0E8D" w:rsidRPr="003B3DB9">
        <w:rPr>
          <w:rFonts w:ascii="Arial" w:hAnsi="Arial" w:cs="Arial"/>
          <w:kern w:val="28"/>
          <w:sz w:val="22"/>
          <w:szCs w:val="22"/>
        </w:rPr>
        <w:t>utilizó la misma tasa de crecimiento inercial que para la EMB, suponiendo que tendrá el mismo comportamiento.</w:t>
      </w:r>
    </w:p>
    <w:p w:rsidR="005F3B9B" w:rsidRPr="003B3DB9" w:rsidRDefault="00ED7BB5" w:rsidP="00621862">
      <w:pPr>
        <w:pStyle w:val="Paragraph"/>
        <w:numPr>
          <w:ilvl w:val="1"/>
          <w:numId w:val="9"/>
        </w:numPr>
        <w:ind w:hanging="720"/>
        <w:rPr>
          <w:rFonts w:ascii="Arial" w:hAnsi="Arial" w:cs="Arial"/>
          <w:kern w:val="28"/>
          <w:sz w:val="22"/>
          <w:szCs w:val="22"/>
        </w:rPr>
      </w:pPr>
      <w:r w:rsidRPr="003B3DB9">
        <w:rPr>
          <w:rFonts w:ascii="Arial" w:hAnsi="Arial" w:cs="Arial"/>
          <w:kern w:val="28"/>
          <w:sz w:val="22"/>
          <w:szCs w:val="22"/>
        </w:rPr>
        <w:t>Para definir un alumno egresado, finalización de ambos ciclos, se debe calcular la tasa de aprobación “con proyecto” como el producto de las tasas de aprobación en ambos ciclos. Para captar el impacto de la EMB sobre la EMS, se utilizó un estudio del Instituto Nacional de Evaluación Educativa</w:t>
      </w:r>
      <w:r w:rsidRPr="003B3DB9">
        <w:rPr>
          <w:rFonts w:ascii="Arial" w:hAnsi="Arial" w:cs="Arial"/>
          <w:kern w:val="28"/>
          <w:sz w:val="22"/>
          <w:szCs w:val="22"/>
        </w:rPr>
        <w:footnoteReference w:id="14"/>
      </w:r>
      <w:r w:rsidRPr="003B3DB9">
        <w:rPr>
          <w:rFonts w:ascii="Arial" w:hAnsi="Arial" w:cs="Arial"/>
          <w:kern w:val="28"/>
          <w:sz w:val="22"/>
          <w:szCs w:val="22"/>
        </w:rPr>
        <w:t>. En este trabajo se presenta la distribución poblacional 2013 que tenía entre 21 y 23 años (al momento de la encuesta). Con una muestra de 1000 casos, sólo 385 finalizaron el ciclo completo de estudios. El principal hallazgo del estudio es que de 709 alumnos que finalizaron la EMB, sólo 385 finalizaron la EMS, es decir que la Probabilidad (EMS|EMB) es igual a 0,3374.</w:t>
      </w:r>
    </w:p>
    <w:p w:rsidR="00ED7BB5" w:rsidRPr="003B3DB9" w:rsidRDefault="00ED7BB5" w:rsidP="00621862">
      <w:pPr>
        <w:pStyle w:val="Paragraph"/>
        <w:numPr>
          <w:ilvl w:val="1"/>
          <w:numId w:val="9"/>
        </w:numPr>
        <w:tabs>
          <w:tab w:val="left" w:pos="851"/>
        </w:tabs>
        <w:ind w:hanging="720"/>
        <w:rPr>
          <w:rFonts w:ascii="Arial" w:hAnsi="Arial" w:cs="Arial"/>
          <w:kern w:val="28"/>
          <w:sz w:val="22"/>
          <w:szCs w:val="22"/>
        </w:rPr>
      </w:pPr>
      <w:r w:rsidRPr="003B3DB9">
        <w:rPr>
          <w:rFonts w:ascii="Arial" w:hAnsi="Arial" w:cs="Arial"/>
          <w:kern w:val="28"/>
          <w:sz w:val="22"/>
          <w:szCs w:val="22"/>
        </w:rPr>
        <w:t>Para el cálculo de los salarios y tasas de empleabilidad, se utilizaron los datos de la Encuesta Continua de los Hogares (ECH) que elabora el Instituto Nacional de Estadística de Uruguay (INE) para el segundo semestre del año 2015. Para la estimación de salarios, se tomó como límite inferior el salario mínimo de $11.500, para la población de referencia de entre 20 y 25 años con y sin EM finalizados. Para la tasa de empleabilidad, se tomó el rango de edad de 20 a 60 con y sin EM finalizados</w:t>
      </w:r>
      <w:r w:rsidR="00191289" w:rsidRPr="003B3DB9">
        <w:rPr>
          <w:rStyle w:val="FootnoteReference"/>
          <w:rFonts w:ascii="Arial" w:hAnsi="Arial" w:cs="Arial"/>
          <w:kern w:val="28"/>
          <w:sz w:val="22"/>
          <w:szCs w:val="22"/>
        </w:rPr>
        <w:footnoteReference w:id="15"/>
      </w:r>
      <w:r w:rsidR="00CF77E9" w:rsidRPr="003B3DB9">
        <w:rPr>
          <w:rFonts w:ascii="Arial" w:hAnsi="Arial" w:cs="Arial"/>
          <w:kern w:val="28"/>
          <w:sz w:val="22"/>
          <w:szCs w:val="22"/>
        </w:rPr>
        <w:t>.</w:t>
      </w:r>
    </w:p>
    <w:p w:rsidR="00CF77E9" w:rsidRPr="003B3DB9" w:rsidRDefault="00CF77E9" w:rsidP="00621862">
      <w:pPr>
        <w:pStyle w:val="Paragraph"/>
        <w:numPr>
          <w:ilvl w:val="1"/>
          <w:numId w:val="9"/>
        </w:numPr>
        <w:tabs>
          <w:tab w:val="left" w:pos="720"/>
        </w:tabs>
        <w:ind w:hanging="720"/>
        <w:rPr>
          <w:rFonts w:ascii="Arial" w:hAnsi="Arial" w:cs="Arial"/>
          <w:kern w:val="28"/>
          <w:sz w:val="22"/>
        </w:rPr>
      </w:pPr>
      <w:r w:rsidRPr="003B3DB9">
        <w:rPr>
          <w:rFonts w:ascii="Arial" w:hAnsi="Arial" w:cs="Arial"/>
          <w:kern w:val="28"/>
          <w:sz w:val="22"/>
        </w:rPr>
        <w:lastRenderedPageBreak/>
        <w:t>Para calcular los beneficios de los nuevos graduados de los FI</w:t>
      </w:r>
      <w:r w:rsidR="002B5471" w:rsidRPr="003B3DB9">
        <w:rPr>
          <w:rStyle w:val="FootnoteReference"/>
          <w:rFonts w:ascii="Arial" w:hAnsi="Arial" w:cs="Arial"/>
          <w:kern w:val="28"/>
          <w:sz w:val="22"/>
        </w:rPr>
        <w:footnoteReference w:id="16"/>
      </w:r>
      <w:r w:rsidRPr="003B3DB9">
        <w:rPr>
          <w:rFonts w:ascii="Arial" w:hAnsi="Arial" w:cs="Arial"/>
          <w:kern w:val="28"/>
          <w:sz w:val="22"/>
        </w:rPr>
        <w:t>, se aplica la misma metodología que las estimaciones para los nuevos cupos generados en EM, tomando datos del Observatorio de la Educación sobre la base de información al año 2013.</w:t>
      </w:r>
      <w:r w:rsidR="002B5471" w:rsidRPr="003B3DB9">
        <w:rPr>
          <w:rFonts w:ascii="Arial" w:hAnsi="Arial" w:cs="Arial"/>
          <w:kern w:val="28"/>
          <w:sz w:val="22"/>
        </w:rPr>
        <w:t xml:space="preserve"> La tasa de egresos surge como comparación de total de egresados en relación a la matrícula para el mismo año (7,13%). </w:t>
      </w:r>
      <w:r w:rsidRPr="003B3DB9">
        <w:rPr>
          <w:rFonts w:ascii="Arial" w:hAnsi="Arial" w:cs="Arial"/>
          <w:kern w:val="28"/>
          <w:sz w:val="22"/>
        </w:rPr>
        <w:t>Para el cálculo del beneficio se tomó el mismo diferencial salarial, pero los beneficios se van a ver recién 4 años después de finalizado la EMS.</w:t>
      </w:r>
    </w:p>
    <w:p w:rsidR="008B3DEF" w:rsidRPr="003B3DB9" w:rsidRDefault="008B3DEF" w:rsidP="00621862">
      <w:pPr>
        <w:pStyle w:val="Paragraph"/>
        <w:numPr>
          <w:ilvl w:val="1"/>
          <w:numId w:val="9"/>
        </w:numPr>
        <w:ind w:hanging="720"/>
        <w:rPr>
          <w:rFonts w:ascii="Arial" w:hAnsi="Arial" w:cs="Arial"/>
          <w:kern w:val="28"/>
          <w:sz w:val="22"/>
        </w:rPr>
      </w:pPr>
      <w:r w:rsidRPr="003B3DB9">
        <w:rPr>
          <w:rFonts w:ascii="Arial" w:hAnsi="Arial" w:cs="Arial"/>
          <w:kern w:val="28"/>
          <w:sz w:val="22"/>
        </w:rPr>
        <w:t>Para el cálculo de los beneficios por ahorro de costos, se multiplica el costo por alumno</w:t>
      </w:r>
      <w:r w:rsidR="00EB4490" w:rsidRPr="003B3DB9">
        <w:rPr>
          <w:rFonts w:ascii="Arial" w:hAnsi="Arial" w:cs="Arial"/>
          <w:sz w:val="22"/>
          <w:vertAlign w:val="superscript"/>
        </w:rPr>
        <w:footnoteReference w:id="17"/>
      </w:r>
      <w:r w:rsidR="00EB4490" w:rsidRPr="003B3DB9">
        <w:rPr>
          <w:rFonts w:ascii="Arial" w:hAnsi="Arial" w:cs="Arial"/>
          <w:kern w:val="28"/>
          <w:sz w:val="22"/>
          <w:vertAlign w:val="superscript"/>
        </w:rPr>
        <w:t xml:space="preserve"> </w:t>
      </w:r>
      <w:r w:rsidRPr="003B3DB9">
        <w:rPr>
          <w:rFonts w:ascii="Arial" w:hAnsi="Arial" w:cs="Arial"/>
          <w:kern w:val="28"/>
          <w:sz w:val="22"/>
        </w:rPr>
        <w:t>por la reducción en el tiempo necesario para cursar la EM, que es la diferencia entre la inversa de las tasas de aprobación con y sin proyecto. Ese ahorro se multiplica por el tamaño de una cohorte de alumnos concluyentes de la EM.</w:t>
      </w:r>
    </w:p>
    <w:p w:rsidR="008B3DEF" w:rsidRPr="003B3DB9" w:rsidRDefault="008B3DEF" w:rsidP="00621862">
      <w:pPr>
        <w:pStyle w:val="Paragraph"/>
        <w:numPr>
          <w:ilvl w:val="1"/>
          <w:numId w:val="9"/>
        </w:numPr>
        <w:ind w:hanging="720"/>
        <w:rPr>
          <w:rFonts w:ascii="Arial" w:hAnsi="Arial" w:cs="Arial"/>
          <w:kern w:val="28"/>
          <w:sz w:val="22"/>
        </w:rPr>
      </w:pPr>
      <w:r w:rsidRPr="003B3DB9">
        <w:rPr>
          <w:rFonts w:ascii="Arial" w:hAnsi="Arial" w:cs="Arial"/>
          <w:kern w:val="28"/>
          <w:sz w:val="22"/>
        </w:rPr>
        <w:t>La implementación de la reforma se hace de manera gradual, en un horizonte de 16 años, iniciando con el desarrollo de las propuestas necesarias durante los primeros dos años y luego se implementa según la curva de inversión del proyecto, alcanzando un 70% en el año 6 y el total en el año 16.</w:t>
      </w:r>
    </w:p>
    <w:p w:rsidR="00585677" w:rsidRPr="003B3DB9" w:rsidRDefault="00585677" w:rsidP="00621862">
      <w:pPr>
        <w:pStyle w:val="Paragraph"/>
        <w:numPr>
          <w:ilvl w:val="1"/>
          <w:numId w:val="9"/>
        </w:numPr>
        <w:tabs>
          <w:tab w:val="left" w:pos="720"/>
        </w:tabs>
        <w:ind w:hanging="720"/>
        <w:rPr>
          <w:rFonts w:ascii="Arial" w:hAnsi="Arial" w:cs="Arial"/>
          <w:kern w:val="28"/>
          <w:sz w:val="22"/>
        </w:rPr>
      </w:pPr>
      <w:r w:rsidRPr="003B3DB9">
        <w:rPr>
          <w:rFonts w:ascii="Arial" w:hAnsi="Arial" w:cs="Arial"/>
          <w:kern w:val="28"/>
          <w:sz w:val="22"/>
        </w:rPr>
        <w:t xml:space="preserve">Para obtener los mayores salarios esperados como resultados de las mayores tasas de aprobación de la EMB y EMS y, el consiguiente aumento en el número de jóvenes de 18 años que concluirán la EM, se multiplica en número de total de estudiantes beneficiados por la implantación de la nueva propuesta curricular y pedagógica por las mayores tasas de aprobación en la educación </w:t>
      </w:r>
      <w:r w:rsidR="00E12863" w:rsidRPr="003B3DB9">
        <w:rPr>
          <w:rFonts w:ascii="Arial" w:hAnsi="Arial" w:cs="Arial"/>
          <w:kern w:val="28"/>
          <w:sz w:val="22"/>
        </w:rPr>
        <w:t>media</w:t>
      </w:r>
      <w:r w:rsidRPr="003B3DB9">
        <w:rPr>
          <w:rFonts w:ascii="Arial" w:hAnsi="Arial" w:cs="Arial"/>
          <w:kern w:val="28"/>
          <w:sz w:val="22"/>
        </w:rPr>
        <w:t xml:space="preserve"> que se esperan como resultado de esta implementación. Para estimar las tasas de aprobación se supone una mejora de 5 puntos porcentuales (en base al estudio de </w:t>
      </w:r>
      <w:r w:rsidR="00AC382E" w:rsidRPr="003B3DB9">
        <w:rPr>
          <w:rFonts w:ascii="Arial" w:hAnsi="Arial" w:cs="Arial"/>
          <w:kern w:val="28"/>
          <w:sz w:val="22"/>
        </w:rPr>
        <w:t>Whitehurst se asume</w:t>
      </w:r>
      <w:r w:rsidRPr="003B3DB9">
        <w:rPr>
          <w:rFonts w:ascii="Arial" w:hAnsi="Arial" w:cs="Arial"/>
          <w:kern w:val="28"/>
          <w:sz w:val="22"/>
        </w:rPr>
        <w:t xml:space="preserve"> que va haber un efecto positivo para estos alumnos, pero </w:t>
      </w:r>
      <w:r w:rsidR="00AC382E" w:rsidRPr="003B3DB9">
        <w:rPr>
          <w:rFonts w:ascii="Arial" w:hAnsi="Arial" w:cs="Arial"/>
          <w:kern w:val="28"/>
          <w:sz w:val="22"/>
        </w:rPr>
        <w:t xml:space="preserve">se </w:t>
      </w:r>
      <w:r w:rsidRPr="003B3DB9">
        <w:rPr>
          <w:rFonts w:ascii="Arial" w:hAnsi="Arial" w:cs="Arial"/>
          <w:kern w:val="28"/>
          <w:sz w:val="22"/>
        </w:rPr>
        <w:t>mant</w:t>
      </w:r>
      <w:r w:rsidR="00AC382E" w:rsidRPr="003B3DB9">
        <w:rPr>
          <w:rFonts w:ascii="Arial" w:hAnsi="Arial" w:cs="Arial"/>
          <w:kern w:val="28"/>
          <w:sz w:val="22"/>
        </w:rPr>
        <w:t>iene</w:t>
      </w:r>
      <w:r w:rsidRPr="003B3DB9">
        <w:rPr>
          <w:rFonts w:ascii="Arial" w:hAnsi="Arial" w:cs="Arial"/>
          <w:kern w:val="28"/>
          <w:sz w:val="22"/>
        </w:rPr>
        <w:t xml:space="preserve"> la idea de que el tamaño del efecto no es importante). Según las cifras oficiales, la tasa de promoción para el nivel secundario según datos del OE fue de 71,2%. El crecimiento promedio para el periodo 2009-2014 fue del 1,06%. Aplicando esta tasa de crecimiento, manteniendo todo lo demás constante, la tasa de promoción rondaría el 77%. El efecto combinado de la mejora del 5%, implica que la tasa de aprobación de la </w:t>
      </w:r>
      <w:r w:rsidR="00DE2930" w:rsidRPr="003B3DB9">
        <w:rPr>
          <w:rFonts w:ascii="Arial" w:hAnsi="Arial" w:cs="Arial"/>
          <w:kern w:val="28"/>
          <w:sz w:val="22"/>
        </w:rPr>
        <w:t xml:space="preserve">EM </w:t>
      </w:r>
      <w:r w:rsidRPr="003B3DB9">
        <w:rPr>
          <w:rFonts w:ascii="Arial" w:hAnsi="Arial" w:cs="Arial"/>
          <w:kern w:val="28"/>
          <w:sz w:val="22"/>
        </w:rPr>
        <w:t>alcanzaría 80,5%. Así si se supone un efecto proporcional del 5% en mayores tasas de aprobación de la EM, por encima del escenario inercial, es decir 76,6% (sin proyecto) al 80,5% (con proyecto).</w:t>
      </w:r>
    </w:p>
    <w:p w:rsidR="008A3BFE" w:rsidRPr="008B2B66" w:rsidRDefault="008A3BFE">
      <w:pPr>
        <w:rPr>
          <w:rFonts w:ascii="Arial" w:hAnsi="Arial" w:cs="Arial"/>
          <w:b/>
          <w:bCs/>
          <w:smallCaps/>
          <w:kern w:val="32"/>
        </w:rPr>
      </w:pPr>
      <w:r w:rsidRPr="008B2B66">
        <w:rPr>
          <w:rFonts w:ascii="Arial" w:hAnsi="Arial" w:cs="Arial"/>
          <w:smallCaps/>
        </w:rPr>
        <w:br w:type="page"/>
      </w:r>
    </w:p>
    <w:p w:rsidR="00AB3873" w:rsidRPr="008B2B66" w:rsidRDefault="00710E32" w:rsidP="003B3DB9">
      <w:pPr>
        <w:pStyle w:val="Heading1"/>
        <w:numPr>
          <w:ilvl w:val="0"/>
          <w:numId w:val="1"/>
        </w:numPr>
        <w:spacing w:before="120" w:after="120"/>
        <w:ind w:left="720" w:hanging="720"/>
        <w:rPr>
          <w:rFonts w:ascii="Arial" w:hAnsi="Arial" w:cs="Arial"/>
          <w:smallCaps/>
          <w:sz w:val="24"/>
          <w:szCs w:val="24"/>
        </w:rPr>
      </w:pPr>
      <w:r w:rsidRPr="008B2B66">
        <w:rPr>
          <w:rFonts w:ascii="Arial" w:hAnsi="Arial" w:cs="Arial"/>
          <w:smallCaps/>
          <w:sz w:val="24"/>
          <w:szCs w:val="24"/>
        </w:rPr>
        <w:lastRenderedPageBreak/>
        <w:t>Rentabilidad del P</w:t>
      </w:r>
      <w:r w:rsidR="00BB09A7" w:rsidRPr="008B2B66">
        <w:rPr>
          <w:rFonts w:ascii="Arial" w:hAnsi="Arial" w:cs="Arial"/>
          <w:smallCaps/>
          <w:sz w:val="24"/>
          <w:szCs w:val="24"/>
        </w:rPr>
        <w:t>r</w:t>
      </w:r>
      <w:r w:rsidRPr="008B2B66">
        <w:rPr>
          <w:rFonts w:ascii="Arial" w:hAnsi="Arial" w:cs="Arial"/>
          <w:smallCaps/>
          <w:sz w:val="24"/>
          <w:szCs w:val="24"/>
        </w:rPr>
        <w:t>oyecto</w:t>
      </w:r>
      <w:r w:rsidR="00BB09A7" w:rsidRPr="008B2B66">
        <w:rPr>
          <w:rFonts w:ascii="Arial" w:hAnsi="Arial" w:cs="Arial"/>
          <w:smallCaps/>
          <w:sz w:val="24"/>
          <w:szCs w:val="24"/>
        </w:rPr>
        <w:t>: VAN y TIR</w:t>
      </w:r>
    </w:p>
    <w:p w:rsidR="00637A11" w:rsidRPr="008B2B66" w:rsidRDefault="00637A11" w:rsidP="00637A11">
      <w:pPr>
        <w:pStyle w:val="ListParagraph"/>
        <w:spacing w:before="120" w:after="120" w:line="240" w:lineRule="auto"/>
        <w:ind w:left="1080"/>
        <w:contextualSpacing w:val="0"/>
        <w:jc w:val="both"/>
        <w:rPr>
          <w:rFonts w:ascii="Arial" w:eastAsia="Times New Roman" w:hAnsi="Arial" w:cs="Arial"/>
          <w:kern w:val="28"/>
        </w:rPr>
      </w:pPr>
    </w:p>
    <w:p w:rsidR="00710E32" w:rsidRPr="008B2B66" w:rsidRDefault="00710E32" w:rsidP="00621862">
      <w:pPr>
        <w:pStyle w:val="Paragraph"/>
        <w:numPr>
          <w:ilvl w:val="1"/>
          <w:numId w:val="8"/>
        </w:numPr>
        <w:ind w:hanging="720"/>
        <w:rPr>
          <w:rFonts w:ascii="Arial" w:hAnsi="Arial" w:cs="Arial"/>
          <w:sz w:val="22"/>
          <w:szCs w:val="22"/>
        </w:rPr>
      </w:pPr>
      <w:r w:rsidRPr="008B2B66">
        <w:rPr>
          <w:rFonts w:ascii="Arial" w:hAnsi="Arial" w:cs="Arial"/>
          <w:sz w:val="22"/>
          <w:szCs w:val="22"/>
        </w:rPr>
        <w:t>La Estimación del valor presente neto del programa se calculó descontando el flujo neto de beneficios (costos menos beneficios) de acuerdo a la siguiente fórmula:</w:t>
      </w:r>
    </w:p>
    <w:p w:rsidR="00710E32" w:rsidRPr="008B2B66" w:rsidRDefault="00710E32" w:rsidP="00710E32">
      <w:pPr>
        <w:pStyle w:val="ListParagraph"/>
        <w:spacing w:before="120" w:after="120"/>
        <w:ind w:left="360"/>
        <w:jc w:val="both"/>
        <w:rPr>
          <w:rFonts w:ascii="Arial" w:hAnsi="Arial" w:cs="Arial"/>
        </w:rPr>
      </w:pPr>
      <m:oMathPara>
        <m:oMath>
          <m:r>
            <w:rPr>
              <w:rFonts w:ascii="Cambria Math" w:hAnsi="Cambria Math" w:cs="Arial"/>
            </w:rPr>
            <m:t>VPN=</m:t>
          </m:r>
          <m:d>
            <m:dPr>
              <m:ctrlPr>
                <w:rPr>
                  <w:rFonts w:ascii="Cambria Math" w:hAnsi="Cambria Math" w:cs="Arial"/>
                  <w:i/>
                </w:rPr>
              </m:ctrlPr>
            </m:dPr>
            <m:e>
              <m:r>
                <w:rPr>
                  <w:rFonts w:ascii="Cambria Math" w:hAnsi="Cambria Math" w:cs="Arial"/>
                </w:rPr>
                <m:t>Bo-Co</m:t>
              </m:r>
            </m:e>
          </m:d>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n</m:t>
              </m:r>
            </m:sup>
            <m:e>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B</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CO</m:t>
                      </m:r>
                    </m:e>
                    <m:sub>
                      <m:r>
                        <w:rPr>
                          <w:rFonts w:ascii="Cambria Math" w:hAnsi="Cambria Math" w:cs="Arial"/>
                        </w:rPr>
                        <m:t>t</m:t>
                      </m:r>
                    </m:sub>
                  </m:sSub>
                  <m:r>
                    <w:rPr>
                      <w:rFonts w:ascii="Cambria Math" w:hAnsi="Cambria Math" w:cs="Arial"/>
                    </w:rPr>
                    <m:t xml:space="preserve">) </m:t>
                  </m:r>
                </m:num>
                <m:den>
                  <m:r>
                    <w:rPr>
                      <w:rFonts w:ascii="Cambria Math" w:hAnsi="Cambria Math" w:cs="Arial"/>
                    </w:rPr>
                    <m:t>(</m:t>
                  </m:r>
                  <m:sSup>
                    <m:sSupPr>
                      <m:ctrlPr>
                        <w:rPr>
                          <w:rFonts w:ascii="Cambria Math" w:hAnsi="Cambria Math" w:cs="Arial"/>
                          <w:i/>
                        </w:rPr>
                      </m:ctrlPr>
                    </m:sSupPr>
                    <m:e>
                      <m:r>
                        <w:rPr>
                          <w:rFonts w:ascii="Cambria Math" w:hAnsi="Cambria Math" w:cs="Arial"/>
                        </w:rPr>
                        <m:t>1.12)</m:t>
                      </m:r>
                    </m:e>
                    <m:sup>
                      <m:r>
                        <w:rPr>
                          <w:rFonts w:ascii="Cambria Math" w:hAnsi="Cambria Math" w:cs="Arial"/>
                        </w:rPr>
                        <m:t>t</m:t>
                      </m:r>
                    </m:sup>
                  </m:sSup>
                </m:den>
              </m:f>
            </m:e>
          </m:nary>
        </m:oMath>
      </m:oMathPara>
    </w:p>
    <w:p w:rsidR="00BB09A7" w:rsidRPr="008B2B66" w:rsidRDefault="00EB4490" w:rsidP="003B3DB9">
      <w:pPr>
        <w:pStyle w:val="Paragraph"/>
        <w:numPr>
          <w:ilvl w:val="0"/>
          <w:numId w:val="0"/>
        </w:numPr>
        <w:tabs>
          <w:tab w:val="left" w:pos="720"/>
        </w:tabs>
        <w:ind w:left="720"/>
        <w:rPr>
          <w:rFonts w:ascii="Arial" w:hAnsi="Arial" w:cs="Arial"/>
          <w:sz w:val="22"/>
          <w:szCs w:val="22"/>
        </w:rPr>
      </w:pPr>
      <w:r w:rsidRPr="008B2B66">
        <w:rPr>
          <w:rFonts w:ascii="Arial" w:hAnsi="Arial" w:cs="Arial"/>
          <w:sz w:val="22"/>
          <w:szCs w:val="22"/>
        </w:rPr>
        <w:t>donde</w:t>
      </w:r>
      <w:r w:rsidRPr="008B2B66">
        <w:rPr>
          <w:rFonts w:ascii="Arial" w:hAnsi="Arial" w:cs="Arial"/>
          <w:i/>
          <w:sz w:val="22"/>
          <w:szCs w:val="22"/>
        </w:rPr>
        <w:t xml:space="preserve"> </w:t>
      </w:r>
      <w:r w:rsidR="00BB09A7" w:rsidRPr="008B2B66">
        <w:rPr>
          <w:rFonts w:ascii="Arial" w:hAnsi="Arial" w:cs="Arial"/>
          <w:i/>
          <w:sz w:val="22"/>
          <w:szCs w:val="22"/>
        </w:rPr>
        <w:t>VPB</w:t>
      </w:r>
      <w:r w:rsidR="00BB09A7" w:rsidRPr="008B2B66">
        <w:rPr>
          <w:rFonts w:ascii="Arial" w:hAnsi="Arial" w:cs="Arial"/>
          <w:sz w:val="22"/>
          <w:szCs w:val="22"/>
        </w:rPr>
        <w:t xml:space="preserve"> es el </w:t>
      </w:r>
      <w:r w:rsidRPr="008B2B66">
        <w:rPr>
          <w:rFonts w:ascii="Arial" w:hAnsi="Arial" w:cs="Arial"/>
          <w:sz w:val="22"/>
          <w:szCs w:val="22"/>
        </w:rPr>
        <w:t>v</w:t>
      </w:r>
      <w:r w:rsidR="00BB09A7" w:rsidRPr="008B2B66">
        <w:rPr>
          <w:rFonts w:ascii="Arial" w:hAnsi="Arial" w:cs="Arial"/>
          <w:sz w:val="22"/>
          <w:szCs w:val="22"/>
        </w:rPr>
        <w:t xml:space="preserve">alor presente de los beneficios; </w:t>
      </w:r>
      <w:r w:rsidR="00BB09A7" w:rsidRPr="008B2B66">
        <w:rPr>
          <w:rFonts w:ascii="Arial" w:hAnsi="Arial" w:cs="Arial"/>
          <w:i/>
          <w:sz w:val="22"/>
          <w:szCs w:val="22"/>
        </w:rPr>
        <w:t>B</w:t>
      </w:r>
      <w:r w:rsidR="00BB09A7" w:rsidRPr="008B2B66">
        <w:rPr>
          <w:rFonts w:ascii="Arial" w:hAnsi="Arial" w:cs="Arial"/>
          <w:i/>
          <w:sz w:val="22"/>
          <w:szCs w:val="22"/>
          <w:vertAlign w:val="subscript"/>
        </w:rPr>
        <w:t>0</w:t>
      </w:r>
      <w:r w:rsidR="00BB09A7" w:rsidRPr="008B2B66">
        <w:rPr>
          <w:rFonts w:ascii="Arial" w:hAnsi="Arial" w:cs="Arial"/>
          <w:sz w:val="22"/>
          <w:szCs w:val="22"/>
        </w:rPr>
        <w:t xml:space="preserve"> son los beneficios en el año 0; </w:t>
      </w:r>
      <w:r w:rsidRPr="008B2B66">
        <w:rPr>
          <w:rFonts w:ascii="Arial" w:hAnsi="Arial" w:cs="Arial"/>
          <w:i/>
          <w:sz w:val="22"/>
          <w:szCs w:val="22"/>
        </w:rPr>
        <w:t>Co</w:t>
      </w:r>
      <w:r w:rsidRPr="008B2B66">
        <w:rPr>
          <w:rFonts w:ascii="Arial" w:hAnsi="Arial" w:cs="Arial"/>
          <w:sz w:val="22"/>
          <w:szCs w:val="22"/>
        </w:rPr>
        <w:t xml:space="preserve"> son los costos en el período 0; </w:t>
      </w:r>
      <w:r w:rsidR="00BB09A7" w:rsidRPr="008B2B66">
        <w:rPr>
          <w:rFonts w:ascii="Arial" w:hAnsi="Arial" w:cs="Arial"/>
          <w:i/>
          <w:sz w:val="22"/>
          <w:szCs w:val="22"/>
        </w:rPr>
        <w:t>B</w:t>
      </w:r>
      <w:r w:rsidR="00BB09A7" w:rsidRPr="008B2B66">
        <w:rPr>
          <w:rFonts w:ascii="Arial" w:hAnsi="Arial" w:cs="Arial"/>
          <w:i/>
          <w:sz w:val="22"/>
          <w:szCs w:val="22"/>
          <w:vertAlign w:val="subscript"/>
        </w:rPr>
        <w:t>t</w:t>
      </w:r>
      <w:r w:rsidR="00BB09A7" w:rsidRPr="008B2B66">
        <w:rPr>
          <w:rFonts w:ascii="Arial" w:hAnsi="Arial" w:cs="Arial"/>
          <w:sz w:val="22"/>
          <w:szCs w:val="22"/>
        </w:rPr>
        <w:t xml:space="preserve"> los beneficios en el período t; </w:t>
      </w:r>
      <w:r w:rsidRPr="008B2B66">
        <w:rPr>
          <w:rFonts w:ascii="Arial" w:hAnsi="Arial" w:cs="Arial"/>
          <w:i/>
          <w:sz w:val="22"/>
          <w:szCs w:val="22"/>
        </w:rPr>
        <w:t>CO</w:t>
      </w:r>
      <w:r w:rsidRPr="008B2B66">
        <w:rPr>
          <w:rFonts w:ascii="Arial" w:hAnsi="Arial" w:cs="Arial"/>
          <w:i/>
          <w:sz w:val="22"/>
          <w:szCs w:val="22"/>
          <w:vertAlign w:val="subscript"/>
        </w:rPr>
        <w:t>t</w:t>
      </w:r>
      <w:r w:rsidRPr="008B2B66">
        <w:rPr>
          <w:rFonts w:ascii="Arial" w:hAnsi="Arial" w:cs="Arial"/>
          <w:sz w:val="22"/>
          <w:szCs w:val="22"/>
        </w:rPr>
        <w:t xml:space="preserve"> son los costos en el período t</w:t>
      </w:r>
      <w:r w:rsidRPr="008B2B66">
        <w:rPr>
          <w:rFonts w:ascii="Arial" w:hAnsi="Arial" w:cs="Arial"/>
          <w:i/>
          <w:sz w:val="22"/>
          <w:szCs w:val="22"/>
        </w:rPr>
        <w:t>;</w:t>
      </w:r>
      <w:r w:rsidR="00BB09A7" w:rsidRPr="008B2B66">
        <w:rPr>
          <w:rFonts w:ascii="Arial" w:hAnsi="Arial" w:cs="Arial"/>
          <w:i/>
          <w:sz w:val="22"/>
          <w:szCs w:val="22"/>
        </w:rPr>
        <w:t>0,12</w:t>
      </w:r>
      <w:r w:rsidR="00BB09A7" w:rsidRPr="008B2B66">
        <w:rPr>
          <w:rFonts w:ascii="Arial" w:hAnsi="Arial" w:cs="Arial"/>
          <w:sz w:val="22"/>
          <w:szCs w:val="22"/>
        </w:rPr>
        <w:t xml:space="preserve"> es la tasas de descuento, </w:t>
      </w:r>
      <w:r w:rsidR="00BB09A7" w:rsidRPr="008B2B66">
        <w:rPr>
          <w:rFonts w:ascii="Arial" w:hAnsi="Arial" w:cs="Arial"/>
          <w:i/>
          <w:sz w:val="22"/>
          <w:szCs w:val="22"/>
        </w:rPr>
        <w:t>n</w:t>
      </w:r>
      <w:r w:rsidR="00BB09A7" w:rsidRPr="008B2B66">
        <w:rPr>
          <w:rFonts w:ascii="Arial" w:hAnsi="Arial" w:cs="Arial"/>
          <w:sz w:val="22"/>
          <w:szCs w:val="22"/>
        </w:rPr>
        <w:t xml:space="preserve"> es el número periodos de vida del proyecto</w:t>
      </w:r>
      <w:r w:rsidR="009804F4" w:rsidRPr="008B2B66">
        <w:rPr>
          <w:rFonts w:ascii="Arial" w:hAnsi="Arial" w:cs="Arial"/>
          <w:sz w:val="22"/>
          <w:szCs w:val="22"/>
        </w:rPr>
        <w:t>.</w:t>
      </w:r>
    </w:p>
    <w:p w:rsidR="00BB09A7" w:rsidRPr="008B2B66" w:rsidRDefault="00710E32" w:rsidP="00621862">
      <w:pPr>
        <w:pStyle w:val="Paragraph"/>
        <w:numPr>
          <w:ilvl w:val="1"/>
          <w:numId w:val="8"/>
        </w:numPr>
        <w:ind w:hanging="720"/>
        <w:rPr>
          <w:rFonts w:ascii="Arial" w:hAnsi="Arial" w:cs="Arial"/>
          <w:sz w:val="22"/>
          <w:szCs w:val="22"/>
        </w:rPr>
      </w:pPr>
      <w:r w:rsidRPr="008B2B66">
        <w:rPr>
          <w:rFonts w:ascii="Arial" w:hAnsi="Arial" w:cs="Arial"/>
          <w:sz w:val="22"/>
          <w:szCs w:val="22"/>
        </w:rPr>
        <w:t>Paralelamente y como medida adicional para evaluar la rentabilidad del programa se calculó la TIR</w:t>
      </w:r>
      <w:r w:rsidR="00BB09A7" w:rsidRPr="008B2B66">
        <w:rPr>
          <w:rFonts w:ascii="Arial" w:hAnsi="Arial" w:cs="Arial"/>
          <w:sz w:val="22"/>
          <w:szCs w:val="22"/>
        </w:rPr>
        <w:t>. Los resultados alcanzados se exponen a continuación</w:t>
      </w:r>
      <w:r w:rsidR="00516735" w:rsidRPr="008B2B66">
        <w:rPr>
          <w:rFonts w:ascii="Arial" w:hAnsi="Arial" w:cs="Arial"/>
          <w:sz w:val="22"/>
          <w:szCs w:val="22"/>
        </w:rPr>
        <w:t xml:space="preserve"> para el </w:t>
      </w:r>
      <w:r w:rsidR="00516735" w:rsidRPr="008B2B66">
        <w:rPr>
          <w:rFonts w:ascii="Arial" w:hAnsi="Arial" w:cs="Arial"/>
          <w:b/>
          <w:sz w:val="22"/>
          <w:szCs w:val="22"/>
        </w:rPr>
        <w:t>escenario base</w:t>
      </w:r>
      <w:r w:rsidR="00516735" w:rsidRPr="008B2B66">
        <w:rPr>
          <w:rFonts w:ascii="Arial" w:hAnsi="Arial" w:cs="Arial"/>
          <w:sz w:val="22"/>
          <w:szCs w:val="22"/>
        </w:rPr>
        <w:t xml:space="preserve"> en donde se proyectan los beneficios según los supuestos críticos expuesto en el Capítulo II</w:t>
      </w:r>
    </w:p>
    <w:p w:rsidR="00516735" w:rsidRPr="008B2B66" w:rsidRDefault="00516735" w:rsidP="00621862">
      <w:pPr>
        <w:pStyle w:val="Paragraph"/>
        <w:numPr>
          <w:ilvl w:val="1"/>
          <w:numId w:val="8"/>
        </w:numPr>
        <w:ind w:hanging="720"/>
        <w:rPr>
          <w:rFonts w:ascii="Arial" w:hAnsi="Arial" w:cs="Arial"/>
          <w:sz w:val="22"/>
          <w:szCs w:val="22"/>
        </w:rPr>
      </w:pPr>
      <w:r w:rsidRPr="008B2B66">
        <w:rPr>
          <w:rFonts w:ascii="Arial" w:hAnsi="Arial" w:cs="Arial"/>
          <w:sz w:val="22"/>
          <w:szCs w:val="22"/>
        </w:rPr>
        <w:t xml:space="preserve"> Los resultados muestran que el proyecto tiene una rentabilidad costo-beneficio positivo con un </w:t>
      </w:r>
      <w:r w:rsidRPr="008B2B66">
        <w:rPr>
          <w:rFonts w:ascii="Arial" w:hAnsi="Arial" w:cs="Arial"/>
          <w:b/>
          <w:sz w:val="22"/>
          <w:szCs w:val="22"/>
        </w:rPr>
        <w:t>V</w:t>
      </w:r>
      <w:r w:rsidR="005B31EA" w:rsidRPr="008B2B66">
        <w:rPr>
          <w:rFonts w:ascii="Arial" w:hAnsi="Arial" w:cs="Arial"/>
          <w:b/>
          <w:sz w:val="22"/>
          <w:szCs w:val="22"/>
        </w:rPr>
        <w:t>P</w:t>
      </w:r>
      <w:r w:rsidRPr="008B2B66">
        <w:rPr>
          <w:rFonts w:ascii="Arial" w:hAnsi="Arial" w:cs="Arial"/>
          <w:b/>
          <w:sz w:val="22"/>
          <w:szCs w:val="22"/>
        </w:rPr>
        <w:t xml:space="preserve">N de U$S </w:t>
      </w:r>
      <w:r w:rsidR="00384D8A" w:rsidRPr="008B2B66">
        <w:rPr>
          <w:rFonts w:ascii="Arial" w:hAnsi="Arial" w:cs="Arial"/>
          <w:b/>
          <w:sz w:val="22"/>
          <w:szCs w:val="22"/>
        </w:rPr>
        <w:t xml:space="preserve">33.510.595 </w:t>
      </w:r>
      <w:r w:rsidRPr="008B2B66">
        <w:rPr>
          <w:rFonts w:ascii="Arial" w:hAnsi="Arial" w:cs="Arial"/>
          <w:sz w:val="22"/>
          <w:szCs w:val="22"/>
        </w:rPr>
        <w:t xml:space="preserve">y una </w:t>
      </w:r>
      <w:r w:rsidRPr="008B2B66">
        <w:rPr>
          <w:rFonts w:ascii="Arial" w:hAnsi="Arial" w:cs="Arial"/>
          <w:b/>
          <w:sz w:val="22"/>
          <w:szCs w:val="22"/>
        </w:rPr>
        <w:t>TIR de</w:t>
      </w:r>
      <w:r w:rsidR="00384D8A" w:rsidRPr="008B2B66">
        <w:rPr>
          <w:rFonts w:ascii="Arial" w:hAnsi="Arial" w:cs="Arial"/>
          <w:b/>
          <w:sz w:val="22"/>
          <w:szCs w:val="22"/>
        </w:rPr>
        <w:t xml:space="preserve"> 16,78</w:t>
      </w:r>
      <w:r w:rsidRPr="008B2B66">
        <w:rPr>
          <w:rFonts w:ascii="Arial" w:hAnsi="Arial" w:cs="Arial"/>
          <w:b/>
          <w:sz w:val="22"/>
          <w:szCs w:val="22"/>
        </w:rPr>
        <w:t xml:space="preserve"> %</w:t>
      </w:r>
      <w:r w:rsidRPr="008B2B66">
        <w:rPr>
          <w:rFonts w:ascii="Arial" w:hAnsi="Arial" w:cs="Arial"/>
          <w:sz w:val="22"/>
          <w:szCs w:val="22"/>
        </w:rPr>
        <w:t xml:space="preserve"> superior a la tasas de descuento del 12 %.</w:t>
      </w:r>
    </w:p>
    <w:p w:rsidR="00710E32" w:rsidRPr="008B2B66" w:rsidRDefault="00BB09A7" w:rsidP="00134429">
      <w:pPr>
        <w:pStyle w:val="Paragraph"/>
        <w:numPr>
          <w:ilvl w:val="0"/>
          <w:numId w:val="0"/>
        </w:numPr>
        <w:spacing w:before="0" w:after="0"/>
        <w:ind w:left="720" w:hanging="720"/>
        <w:jc w:val="center"/>
        <w:rPr>
          <w:rFonts w:ascii="Arial" w:hAnsi="Arial" w:cs="Arial"/>
          <w:kern w:val="28"/>
        </w:rPr>
      </w:pPr>
      <w:r w:rsidRPr="008B2B66">
        <w:rPr>
          <w:rFonts w:ascii="Arial" w:hAnsi="Arial" w:cs="Arial"/>
          <w:b/>
          <w:sz w:val="22"/>
          <w:szCs w:val="22"/>
        </w:rPr>
        <w:t xml:space="preserve">Tabla </w:t>
      </w:r>
      <w:r w:rsidR="00516735" w:rsidRPr="008B2B66">
        <w:rPr>
          <w:rFonts w:ascii="Arial" w:hAnsi="Arial" w:cs="Arial"/>
          <w:b/>
          <w:sz w:val="22"/>
          <w:szCs w:val="22"/>
        </w:rPr>
        <w:t>5</w:t>
      </w:r>
      <w:r w:rsidRPr="008B2B66">
        <w:rPr>
          <w:rFonts w:ascii="Arial" w:hAnsi="Arial" w:cs="Arial"/>
          <w:b/>
          <w:sz w:val="22"/>
          <w:szCs w:val="22"/>
        </w:rPr>
        <w:t xml:space="preserve">.  </w:t>
      </w:r>
      <w:r w:rsidR="006C5391" w:rsidRPr="008B2B66">
        <w:rPr>
          <w:rFonts w:ascii="Arial" w:hAnsi="Arial" w:cs="Arial"/>
          <w:b/>
          <w:sz w:val="22"/>
          <w:szCs w:val="22"/>
        </w:rPr>
        <w:t xml:space="preserve">Cálculo </w:t>
      </w:r>
      <w:r w:rsidRPr="008B2B66">
        <w:rPr>
          <w:rFonts w:ascii="Arial" w:hAnsi="Arial" w:cs="Arial"/>
          <w:b/>
          <w:sz w:val="22"/>
          <w:szCs w:val="22"/>
        </w:rPr>
        <w:t>del V</w:t>
      </w:r>
      <w:r w:rsidR="005B31EA" w:rsidRPr="008B2B66">
        <w:rPr>
          <w:rFonts w:ascii="Arial" w:hAnsi="Arial" w:cs="Arial"/>
          <w:b/>
          <w:sz w:val="22"/>
          <w:szCs w:val="22"/>
        </w:rPr>
        <w:t>P</w:t>
      </w:r>
      <w:r w:rsidRPr="008B2B66">
        <w:rPr>
          <w:rFonts w:ascii="Arial" w:hAnsi="Arial" w:cs="Arial"/>
          <w:b/>
          <w:sz w:val="22"/>
          <w:szCs w:val="22"/>
        </w:rPr>
        <w:t>N y TIR</w:t>
      </w:r>
      <w:r w:rsidR="00516735" w:rsidRPr="008B2B66">
        <w:rPr>
          <w:rFonts w:ascii="Arial" w:hAnsi="Arial" w:cs="Arial"/>
          <w:b/>
          <w:sz w:val="22"/>
          <w:szCs w:val="22"/>
        </w:rPr>
        <w:t xml:space="preserve"> Escenario Base</w:t>
      </w:r>
    </w:p>
    <w:p w:rsidR="00134429" w:rsidRPr="008B2B66" w:rsidRDefault="00384D8A" w:rsidP="00134429">
      <w:pPr>
        <w:pStyle w:val="ListParagraph"/>
        <w:spacing w:before="120" w:after="120" w:line="240" w:lineRule="auto"/>
        <w:ind w:left="0"/>
        <w:contextualSpacing w:val="0"/>
        <w:jc w:val="center"/>
        <w:rPr>
          <w:rFonts w:ascii="Arial" w:eastAsia="Times New Roman" w:hAnsi="Arial" w:cs="Arial"/>
          <w:kern w:val="28"/>
        </w:rPr>
      </w:pPr>
      <w:r w:rsidRPr="008B2B66">
        <w:rPr>
          <w:rFonts w:ascii="Arial" w:hAnsi="Arial" w:cs="Arial"/>
          <w:noProof/>
          <w:lang w:val="en-US"/>
        </w:rPr>
        <w:drawing>
          <wp:inline distT="0" distB="0" distL="0" distR="0" wp14:anchorId="7E0765E0" wp14:editId="7CDC30F7">
            <wp:extent cx="5612130" cy="3908145"/>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3908145"/>
                    </a:xfrm>
                    <a:prstGeom prst="rect">
                      <a:avLst/>
                    </a:prstGeom>
                    <a:noFill/>
                    <a:ln>
                      <a:noFill/>
                    </a:ln>
                  </pic:spPr>
                </pic:pic>
              </a:graphicData>
            </a:graphic>
          </wp:inline>
        </w:drawing>
      </w:r>
    </w:p>
    <w:p w:rsidR="00E12863" w:rsidRPr="008B2B66" w:rsidRDefault="00E12863" w:rsidP="00384D8A">
      <w:pPr>
        <w:pStyle w:val="Paragraph"/>
        <w:numPr>
          <w:ilvl w:val="0"/>
          <w:numId w:val="0"/>
        </w:numPr>
        <w:spacing w:before="0" w:after="0"/>
        <w:ind w:left="720" w:hanging="720"/>
        <w:jc w:val="center"/>
        <w:rPr>
          <w:rFonts w:ascii="Arial" w:hAnsi="Arial" w:cs="Arial"/>
          <w:b/>
          <w:sz w:val="22"/>
          <w:szCs w:val="22"/>
        </w:rPr>
      </w:pPr>
    </w:p>
    <w:p w:rsidR="003B3DB9" w:rsidRDefault="003B3DB9" w:rsidP="00384D8A">
      <w:pPr>
        <w:pStyle w:val="Paragraph"/>
        <w:numPr>
          <w:ilvl w:val="0"/>
          <w:numId w:val="0"/>
        </w:numPr>
        <w:spacing w:before="0" w:after="0"/>
        <w:ind w:left="720" w:hanging="720"/>
        <w:jc w:val="center"/>
        <w:rPr>
          <w:rFonts w:ascii="Arial" w:hAnsi="Arial" w:cs="Arial"/>
          <w:b/>
          <w:sz w:val="22"/>
          <w:szCs w:val="22"/>
        </w:rPr>
      </w:pPr>
    </w:p>
    <w:p w:rsidR="00384D8A" w:rsidRPr="008B2B66" w:rsidRDefault="00384D8A" w:rsidP="00384D8A">
      <w:pPr>
        <w:pStyle w:val="Paragraph"/>
        <w:numPr>
          <w:ilvl w:val="0"/>
          <w:numId w:val="0"/>
        </w:numPr>
        <w:spacing w:before="0" w:after="0"/>
        <w:ind w:left="720" w:hanging="720"/>
        <w:jc w:val="center"/>
        <w:rPr>
          <w:rFonts w:ascii="Arial" w:hAnsi="Arial" w:cs="Arial"/>
          <w:kern w:val="28"/>
        </w:rPr>
      </w:pPr>
      <w:r w:rsidRPr="008B2B66">
        <w:rPr>
          <w:rFonts w:ascii="Arial" w:hAnsi="Arial" w:cs="Arial"/>
          <w:b/>
          <w:sz w:val="22"/>
          <w:szCs w:val="22"/>
        </w:rPr>
        <w:t xml:space="preserve">Tabla 5.  Cálculo del VPN y TIR Escenario Base – </w:t>
      </w:r>
      <w:r w:rsidRPr="008B2B66">
        <w:rPr>
          <w:rFonts w:ascii="Arial" w:hAnsi="Arial" w:cs="Arial"/>
          <w:b/>
          <w:i/>
          <w:sz w:val="22"/>
          <w:szCs w:val="22"/>
        </w:rPr>
        <w:t>Cont 1</w:t>
      </w:r>
    </w:p>
    <w:p w:rsidR="00BB09A7" w:rsidRPr="008B2B66" w:rsidRDefault="00384D8A" w:rsidP="00384D8A">
      <w:pPr>
        <w:pStyle w:val="ListParagraph"/>
        <w:spacing w:before="120" w:after="120" w:line="240" w:lineRule="auto"/>
        <w:ind w:left="0"/>
        <w:contextualSpacing w:val="0"/>
        <w:jc w:val="center"/>
        <w:rPr>
          <w:rFonts w:ascii="Arial" w:eastAsia="Times New Roman" w:hAnsi="Arial" w:cs="Arial"/>
          <w:kern w:val="28"/>
        </w:rPr>
      </w:pPr>
      <w:r w:rsidRPr="008B2B66">
        <w:rPr>
          <w:rFonts w:ascii="Arial" w:hAnsi="Arial" w:cs="Arial"/>
          <w:noProof/>
          <w:lang w:val="en-US"/>
        </w:rPr>
        <w:lastRenderedPageBreak/>
        <w:drawing>
          <wp:inline distT="0" distB="0" distL="0" distR="0" wp14:anchorId="264F77D5" wp14:editId="51B4E2D8">
            <wp:extent cx="5612130" cy="6646390"/>
            <wp:effectExtent l="0" t="0" r="7620" b="254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6646390"/>
                    </a:xfrm>
                    <a:prstGeom prst="rect">
                      <a:avLst/>
                    </a:prstGeom>
                    <a:noFill/>
                    <a:ln>
                      <a:noFill/>
                    </a:ln>
                  </pic:spPr>
                </pic:pic>
              </a:graphicData>
            </a:graphic>
          </wp:inline>
        </w:drawing>
      </w:r>
    </w:p>
    <w:p w:rsidR="00384D8A" w:rsidRPr="008B2B66" w:rsidRDefault="00384D8A">
      <w:pPr>
        <w:rPr>
          <w:rFonts w:ascii="Arial" w:hAnsi="Arial" w:cs="Arial"/>
          <w:kern w:val="28"/>
          <w:sz w:val="22"/>
          <w:szCs w:val="22"/>
          <w:lang w:eastAsia="en-US"/>
        </w:rPr>
      </w:pPr>
      <w:r w:rsidRPr="008B2B66">
        <w:rPr>
          <w:rFonts w:ascii="Arial" w:hAnsi="Arial" w:cs="Arial"/>
          <w:kern w:val="28"/>
        </w:rPr>
        <w:br w:type="page"/>
      </w:r>
    </w:p>
    <w:p w:rsidR="00BB09A7" w:rsidRPr="008B2B66" w:rsidRDefault="00384D8A" w:rsidP="00384D8A">
      <w:pPr>
        <w:pStyle w:val="Paragraph"/>
        <w:numPr>
          <w:ilvl w:val="0"/>
          <w:numId w:val="0"/>
        </w:numPr>
        <w:spacing w:before="0" w:after="0"/>
        <w:ind w:left="720" w:hanging="720"/>
        <w:jc w:val="center"/>
        <w:rPr>
          <w:rFonts w:ascii="Arial" w:hAnsi="Arial" w:cs="Arial"/>
          <w:b/>
          <w:i/>
          <w:sz w:val="22"/>
          <w:szCs w:val="22"/>
        </w:rPr>
      </w:pPr>
      <w:r w:rsidRPr="008B2B66">
        <w:rPr>
          <w:rFonts w:ascii="Arial" w:hAnsi="Arial" w:cs="Arial"/>
          <w:b/>
          <w:sz w:val="22"/>
          <w:szCs w:val="22"/>
        </w:rPr>
        <w:lastRenderedPageBreak/>
        <w:t>Tabla 5.  Cálculo del V</w:t>
      </w:r>
      <w:r w:rsidR="005B31EA" w:rsidRPr="008B2B66">
        <w:rPr>
          <w:rFonts w:ascii="Arial" w:hAnsi="Arial" w:cs="Arial"/>
          <w:b/>
          <w:sz w:val="22"/>
          <w:szCs w:val="22"/>
        </w:rPr>
        <w:t>P</w:t>
      </w:r>
      <w:r w:rsidRPr="008B2B66">
        <w:rPr>
          <w:rFonts w:ascii="Arial" w:hAnsi="Arial" w:cs="Arial"/>
          <w:b/>
          <w:sz w:val="22"/>
          <w:szCs w:val="22"/>
        </w:rPr>
        <w:t xml:space="preserve">N y TIR Escenario Base – </w:t>
      </w:r>
      <w:r w:rsidRPr="008B2B66">
        <w:rPr>
          <w:rFonts w:ascii="Arial" w:hAnsi="Arial" w:cs="Arial"/>
          <w:b/>
          <w:i/>
          <w:sz w:val="22"/>
          <w:szCs w:val="22"/>
        </w:rPr>
        <w:t>Cont 2</w:t>
      </w:r>
    </w:p>
    <w:p w:rsidR="00384D8A" w:rsidRPr="008B2B66" w:rsidRDefault="00384D8A" w:rsidP="00384D8A">
      <w:pPr>
        <w:pStyle w:val="Paragraph"/>
        <w:numPr>
          <w:ilvl w:val="0"/>
          <w:numId w:val="0"/>
        </w:numPr>
        <w:spacing w:before="0" w:after="0"/>
        <w:jc w:val="center"/>
        <w:rPr>
          <w:rFonts w:ascii="Arial" w:hAnsi="Arial" w:cs="Arial"/>
          <w:b/>
          <w:sz w:val="22"/>
          <w:szCs w:val="22"/>
        </w:rPr>
      </w:pPr>
      <w:r w:rsidRPr="008B2B66">
        <w:rPr>
          <w:rFonts w:ascii="Arial" w:hAnsi="Arial" w:cs="Arial"/>
          <w:noProof/>
          <w:lang w:val="en-US"/>
        </w:rPr>
        <w:drawing>
          <wp:inline distT="0" distB="0" distL="0" distR="0" wp14:anchorId="236F68B7" wp14:editId="0410EBB5">
            <wp:extent cx="5612130" cy="3043436"/>
            <wp:effectExtent l="0" t="0" r="762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3043436"/>
                    </a:xfrm>
                    <a:prstGeom prst="rect">
                      <a:avLst/>
                    </a:prstGeom>
                    <a:noFill/>
                    <a:ln>
                      <a:noFill/>
                    </a:ln>
                  </pic:spPr>
                </pic:pic>
              </a:graphicData>
            </a:graphic>
          </wp:inline>
        </w:drawing>
      </w:r>
    </w:p>
    <w:p w:rsidR="00BB09A7" w:rsidRPr="008B2B66" w:rsidRDefault="00BB09A7">
      <w:pPr>
        <w:rPr>
          <w:rFonts w:ascii="Arial" w:hAnsi="Arial" w:cs="Arial"/>
          <w:b/>
          <w:bCs/>
          <w:smallCaps/>
          <w:kern w:val="32"/>
          <w:highlight w:val="lightGray"/>
        </w:rPr>
      </w:pPr>
      <w:r w:rsidRPr="008B2B66">
        <w:rPr>
          <w:rFonts w:ascii="Arial" w:hAnsi="Arial" w:cs="Arial"/>
          <w:smallCaps/>
          <w:highlight w:val="lightGray"/>
        </w:rPr>
        <w:br w:type="page"/>
      </w:r>
    </w:p>
    <w:p w:rsidR="005F46E9" w:rsidRPr="008B2B66" w:rsidRDefault="00BB09A7" w:rsidP="003B3DB9">
      <w:pPr>
        <w:pStyle w:val="Heading1"/>
        <w:numPr>
          <w:ilvl w:val="0"/>
          <w:numId w:val="1"/>
        </w:numPr>
        <w:spacing w:before="120" w:after="120"/>
        <w:ind w:left="720" w:hanging="720"/>
        <w:rPr>
          <w:rFonts w:ascii="Arial" w:hAnsi="Arial" w:cs="Arial"/>
          <w:smallCaps/>
          <w:sz w:val="24"/>
          <w:szCs w:val="24"/>
        </w:rPr>
      </w:pPr>
      <w:r w:rsidRPr="008B2B66">
        <w:rPr>
          <w:rFonts w:ascii="Arial" w:hAnsi="Arial" w:cs="Arial"/>
          <w:smallCaps/>
          <w:sz w:val="24"/>
          <w:szCs w:val="24"/>
        </w:rPr>
        <w:lastRenderedPageBreak/>
        <w:t>Análisis de Sensibilidad</w:t>
      </w:r>
    </w:p>
    <w:p w:rsidR="005F46E9" w:rsidRPr="000B6327" w:rsidRDefault="000B6327" w:rsidP="000B6327">
      <w:pPr>
        <w:pStyle w:val="Paragraph"/>
        <w:numPr>
          <w:ilvl w:val="0"/>
          <w:numId w:val="0"/>
        </w:numPr>
        <w:ind w:left="720" w:hanging="720"/>
        <w:rPr>
          <w:rFonts w:ascii="Arial" w:hAnsi="Arial" w:cs="Arial"/>
          <w:sz w:val="22"/>
          <w:szCs w:val="22"/>
        </w:rPr>
      </w:pPr>
      <w:r>
        <w:rPr>
          <w:rFonts w:ascii="Arial" w:hAnsi="Arial" w:cs="Arial"/>
          <w:sz w:val="22"/>
          <w:szCs w:val="22"/>
        </w:rPr>
        <w:t xml:space="preserve">5.1 </w:t>
      </w:r>
      <w:r>
        <w:rPr>
          <w:rFonts w:ascii="Arial" w:hAnsi="Arial" w:cs="Arial"/>
          <w:sz w:val="22"/>
          <w:szCs w:val="22"/>
        </w:rPr>
        <w:tab/>
      </w:r>
      <w:r w:rsidRPr="000B6327">
        <w:rPr>
          <w:rFonts w:ascii="Arial" w:hAnsi="Arial" w:cs="Arial"/>
          <w:sz w:val="22"/>
          <w:szCs w:val="22"/>
        </w:rPr>
        <w:t>S</w:t>
      </w:r>
      <w:r w:rsidR="007810A4" w:rsidRPr="000B6327">
        <w:rPr>
          <w:rFonts w:ascii="Arial" w:hAnsi="Arial" w:cs="Arial"/>
          <w:sz w:val="22"/>
          <w:szCs w:val="22"/>
        </w:rPr>
        <w:t xml:space="preserve">obre estos parámetros se ensayaron supuestos diferentes para testear la sensibilidad de los resultados a cambios en </w:t>
      </w:r>
      <w:r w:rsidR="005B31EA" w:rsidRPr="000B6327">
        <w:rPr>
          <w:rFonts w:ascii="Arial" w:hAnsi="Arial" w:cs="Arial"/>
          <w:sz w:val="22"/>
          <w:szCs w:val="22"/>
        </w:rPr>
        <w:t>las tasas de aprobación</w:t>
      </w:r>
      <w:r w:rsidR="00D74D31" w:rsidRPr="000B6327">
        <w:rPr>
          <w:rFonts w:ascii="Arial" w:hAnsi="Arial" w:cs="Arial"/>
          <w:sz w:val="22"/>
          <w:szCs w:val="22"/>
        </w:rPr>
        <w:t xml:space="preserve"> y diferenciales salariales</w:t>
      </w:r>
      <w:r w:rsidR="00AD21A5" w:rsidRPr="000B6327">
        <w:rPr>
          <w:rFonts w:ascii="Arial" w:hAnsi="Arial" w:cs="Arial"/>
          <w:sz w:val="22"/>
          <w:szCs w:val="22"/>
        </w:rPr>
        <w:t>. Los escenarios son escenario pesimista y escenario optimista</w:t>
      </w:r>
      <w:r w:rsidR="00042A49" w:rsidRPr="000B6327">
        <w:rPr>
          <w:rFonts w:ascii="Arial" w:hAnsi="Arial" w:cs="Arial"/>
          <w:sz w:val="22"/>
          <w:szCs w:val="22"/>
        </w:rPr>
        <w:t>.</w:t>
      </w:r>
      <w:r w:rsidR="00AD21A5" w:rsidRPr="000B6327">
        <w:rPr>
          <w:rFonts w:ascii="Arial" w:hAnsi="Arial" w:cs="Arial"/>
          <w:sz w:val="22"/>
          <w:szCs w:val="22"/>
        </w:rPr>
        <w:t xml:space="preserve"> </w:t>
      </w:r>
      <w:r w:rsidR="00042A49" w:rsidRPr="000B6327">
        <w:rPr>
          <w:rFonts w:ascii="Arial" w:hAnsi="Arial" w:cs="Arial"/>
          <w:sz w:val="22"/>
          <w:szCs w:val="22"/>
        </w:rPr>
        <w:t>Para los tres escenarios se muestran los resultados por incrementar el VAN y la TIR en un 40 %</w:t>
      </w:r>
    </w:p>
    <w:p w:rsidR="005F46E9" w:rsidRPr="000B6327" w:rsidRDefault="000B6327" w:rsidP="000B6327">
      <w:pPr>
        <w:spacing w:before="120" w:after="120"/>
        <w:ind w:left="720" w:hanging="720"/>
        <w:jc w:val="both"/>
        <w:rPr>
          <w:rFonts w:ascii="Arial" w:hAnsi="Arial" w:cs="Arial"/>
          <w:b/>
          <w:kern w:val="28"/>
          <w:sz w:val="22"/>
        </w:rPr>
      </w:pPr>
      <w:r w:rsidRPr="000B6327">
        <w:rPr>
          <w:rFonts w:ascii="Arial" w:hAnsi="Arial" w:cs="Arial"/>
          <w:kern w:val="28"/>
          <w:sz w:val="22"/>
        </w:rPr>
        <w:t xml:space="preserve">5.2 </w:t>
      </w:r>
      <w:r>
        <w:rPr>
          <w:rFonts w:ascii="Arial" w:hAnsi="Arial" w:cs="Arial"/>
          <w:kern w:val="28"/>
          <w:sz w:val="22"/>
        </w:rPr>
        <w:tab/>
      </w:r>
      <w:r w:rsidR="007810A4" w:rsidRPr="000B6327">
        <w:rPr>
          <w:rFonts w:ascii="Arial" w:hAnsi="Arial" w:cs="Arial"/>
          <w:kern w:val="28"/>
          <w:sz w:val="22"/>
        </w:rPr>
        <w:t xml:space="preserve">La Tabla 6 </w:t>
      </w:r>
      <w:r w:rsidR="005F46E9" w:rsidRPr="000B6327">
        <w:rPr>
          <w:rFonts w:ascii="Arial" w:hAnsi="Arial" w:cs="Arial"/>
          <w:kern w:val="28"/>
          <w:sz w:val="22"/>
        </w:rPr>
        <w:t xml:space="preserve">resume los diferentes supuestos </w:t>
      </w:r>
      <w:r w:rsidR="00E0533E" w:rsidRPr="000B6327">
        <w:rPr>
          <w:rFonts w:ascii="Arial" w:hAnsi="Arial" w:cs="Arial"/>
          <w:kern w:val="28"/>
          <w:sz w:val="22"/>
        </w:rPr>
        <w:t xml:space="preserve">y los resultados </w:t>
      </w:r>
      <w:r w:rsidR="007810A4" w:rsidRPr="000B6327">
        <w:rPr>
          <w:rFonts w:ascii="Arial" w:hAnsi="Arial" w:cs="Arial"/>
          <w:kern w:val="28"/>
          <w:sz w:val="22"/>
        </w:rPr>
        <w:t xml:space="preserve">dos </w:t>
      </w:r>
      <w:r w:rsidR="005F46E9" w:rsidRPr="000B6327">
        <w:rPr>
          <w:rFonts w:ascii="Arial" w:hAnsi="Arial" w:cs="Arial"/>
          <w:kern w:val="28"/>
          <w:sz w:val="22"/>
        </w:rPr>
        <w:t>escenarios</w:t>
      </w:r>
      <w:r w:rsidR="007810A4" w:rsidRPr="000B6327">
        <w:rPr>
          <w:rFonts w:ascii="Arial" w:hAnsi="Arial" w:cs="Arial"/>
          <w:kern w:val="28"/>
          <w:sz w:val="22"/>
        </w:rPr>
        <w:t xml:space="preserve"> alternativos </w:t>
      </w:r>
      <w:r w:rsidR="00AD21A5" w:rsidRPr="000B6327">
        <w:rPr>
          <w:rFonts w:ascii="Arial" w:hAnsi="Arial" w:cs="Arial"/>
          <w:kern w:val="28"/>
          <w:sz w:val="22"/>
        </w:rPr>
        <w:t xml:space="preserve">en comparación con el </w:t>
      </w:r>
      <w:r w:rsidR="00AD21A5" w:rsidRPr="000B6327">
        <w:rPr>
          <w:rFonts w:ascii="Arial" w:hAnsi="Arial" w:cs="Arial"/>
          <w:b/>
          <w:kern w:val="28"/>
          <w:sz w:val="22"/>
        </w:rPr>
        <w:t>E</w:t>
      </w:r>
      <w:r w:rsidR="007810A4" w:rsidRPr="000B6327">
        <w:rPr>
          <w:rFonts w:ascii="Arial" w:hAnsi="Arial" w:cs="Arial"/>
          <w:b/>
          <w:kern w:val="28"/>
          <w:sz w:val="22"/>
        </w:rPr>
        <w:t>scenario base</w:t>
      </w:r>
      <w:r w:rsidR="005F46E9" w:rsidRPr="000B6327">
        <w:rPr>
          <w:rFonts w:ascii="Arial" w:hAnsi="Arial" w:cs="Arial"/>
          <w:b/>
          <w:kern w:val="28"/>
          <w:sz w:val="22"/>
        </w:rPr>
        <w:t>:</w:t>
      </w:r>
    </w:p>
    <w:p w:rsidR="0077355D" w:rsidRPr="008B2B66" w:rsidRDefault="00516735" w:rsidP="00516735">
      <w:pPr>
        <w:pStyle w:val="Paragraph"/>
        <w:numPr>
          <w:ilvl w:val="0"/>
          <w:numId w:val="0"/>
        </w:numPr>
        <w:spacing w:before="0" w:after="0"/>
        <w:ind w:left="720" w:hanging="720"/>
        <w:jc w:val="center"/>
        <w:rPr>
          <w:rFonts w:ascii="Arial" w:hAnsi="Arial" w:cs="Arial"/>
          <w:b/>
          <w:sz w:val="22"/>
          <w:szCs w:val="22"/>
        </w:rPr>
      </w:pPr>
      <w:r w:rsidRPr="008B2B66">
        <w:rPr>
          <w:rFonts w:ascii="Arial" w:hAnsi="Arial" w:cs="Arial"/>
          <w:b/>
          <w:sz w:val="22"/>
          <w:szCs w:val="22"/>
        </w:rPr>
        <w:t xml:space="preserve">Tabla 6. </w:t>
      </w:r>
      <w:r w:rsidR="0077355D" w:rsidRPr="008B2B66">
        <w:rPr>
          <w:rFonts w:ascii="Arial" w:hAnsi="Arial" w:cs="Arial"/>
          <w:b/>
          <w:sz w:val="22"/>
          <w:szCs w:val="22"/>
        </w:rPr>
        <w:t xml:space="preserve"> Escenarios y resultados del Análisis Costo-Beneficio</w:t>
      </w:r>
    </w:p>
    <w:tbl>
      <w:tblPr>
        <w:tblW w:w="8623"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2512"/>
        <w:gridCol w:w="2431"/>
        <w:gridCol w:w="2126"/>
      </w:tblGrid>
      <w:tr w:rsidR="00516735" w:rsidRPr="008B2B66" w:rsidTr="000B6327">
        <w:trPr>
          <w:jc w:val="center"/>
        </w:trPr>
        <w:tc>
          <w:tcPr>
            <w:tcW w:w="1554" w:type="dxa"/>
            <w:shd w:val="clear" w:color="auto" w:fill="D9D9D9" w:themeFill="background1" w:themeFillShade="D9"/>
          </w:tcPr>
          <w:p w:rsidR="00516735" w:rsidRPr="008B2B66" w:rsidRDefault="00516735" w:rsidP="00516735">
            <w:pPr>
              <w:spacing w:before="120" w:after="120"/>
              <w:jc w:val="center"/>
              <w:rPr>
                <w:rFonts w:ascii="Arial" w:hAnsi="Arial" w:cs="Arial"/>
                <w:b/>
                <w:kern w:val="28"/>
                <w:sz w:val="20"/>
                <w:szCs w:val="20"/>
              </w:rPr>
            </w:pPr>
            <w:r w:rsidRPr="008B2B66">
              <w:rPr>
                <w:rFonts w:ascii="Arial" w:hAnsi="Arial" w:cs="Arial"/>
                <w:b/>
                <w:kern w:val="28"/>
                <w:sz w:val="20"/>
                <w:szCs w:val="20"/>
              </w:rPr>
              <w:t>Escenarios</w:t>
            </w:r>
          </w:p>
        </w:tc>
        <w:tc>
          <w:tcPr>
            <w:tcW w:w="2512" w:type="dxa"/>
            <w:shd w:val="clear" w:color="auto" w:fill="D9D9D9" w:themeFill="background1" w:themeFillShade="D9"/>
          </w:tcPr>
          <w:p w:rsidR="00516735" w:rsidRPr="008B2B66" w:rsidRDefault="00516735" w:rsidP="00516735">
            <w:pPr>
              <w:spacing w:before="120" w:after="120"/>
              <w:jc w:val="center"/>
              <w:rPr>
                <w:rFonts w:ascii="Arial" w:hAnsi="Arial" w:cs="Arial"/>
                <w:b/>
                <w:kern w:val="28"/>
                <w:sz w:val="20"/>
                <w:szCs w:val="20"/>
              </w:rPr>
            </w:pPr>
            <w:r w:rsidRPr="008B2B66">
              <w:rPr>
                <w:rFonts w:ascii="Arial" w:hAnsi="Arial" w:cs="Arial"/>
                <w:b/>
                <w:kern w:val="28"/>
                <w:sz w:val="20"/>
                <w:szCs w:val="20"/>
              </w:rPr>
              <w:t>Parámetros</w:t>
            </w:r>
          </w:p>
        </w:tc>
        <w:tc>
          <w:tcPr>
            <w:tcW w:w="2431" w:type="dxa"/>
            <w:shd w:val="clear" w:color="auto" w:fill="D9D9D9" w:themeFill="background1" w:themeFillShade="D9"/>
          </w:tcPr>
          <w:p w:rsidR="00516735" w:rsidRPr="008B2B66" w:rsidRDefault="00516735" w:rsidP="00516735">
            <w:pPr>
              <w:spacing w:before="120" w:after="120"/>
              <w:jc w:val="center"/>
              <w:rPr>
                <w:rFonts w:ascii="Arial" w:hAnsi="Arial" w:cs="Arial"/>
                <w:b/>
                <w:kern w:val="28"/>
                <w:sz w:val="20"/>
                <w:szCs w:val="20"/>
              </w:rPr>
            </w:pPr>
            <w:r w:rsidRPr="008B2B66">
              <w:rPr>
                <w:rFonts w:ascii="Arial" w:hAnsi="Arial" w:cs="Arial"/>
                <w:b/>
                <w:kern w:val="28"/>
                <w:sz w:val="20"/>
                <w:szCs w:val="20"/>
              </w:rPr>
              <w:t>Resultados</w:t>
            </w:r>
          </w:p>
        </w:tc>
        <w:tc>
          <w:tcPr>
            <w:tcW w:w="2126" w:type="dxa"/>
            <w:shd w:val="clear" w:color="auto" w:fill="D9D9D9" w:themeFill="background1" w:themeFillShade="D9"/>
          </w:tcPr>
          <w:p w:rsidR="00516735" w:rsidRPr="008B2B66" w:rsidRDefault="00516735" w:rsidP="00516735">
            <w:pPr>
              <w:spacing w:before="120" w:after="120"/>
              <w:jc w:val="center"/>
              <w:rPr>
                <w:rFonts w:ascii="Arial" w:hAnsi="Arial" w:cs="Arial"/>
                <w:b/>
                <w:kern w:val="28"/>
                <w:sz w:val="20"/>
                <w:szCs w:val="20"/>
              </w:rPr>
            </w:pPr>
            <w:r w:rsidRPr="008B2B66">
              <w:rPr>
                <w:rFonts w:ascii="Arial" w:hAnsi="Arial" w:cs="Arial"/>
                <w:b/>
                <w:kern w:val="28"/>
                <w:sz w:val="20"/>
                <w:szCs w:val="20"/>
              </w:rPr>
              <w:t>Comentarios</w:t>
            </w:r>
          </w:p>
        </w:tc>
      </w:tr>
      <w:tr w:rsidR="00516735" w:rsidRPr="008B2B66" w:rsidTr="000B6327">
        <w:trPr>
          <w:jc w:val="center"/>
        </w:trPr>
        <w:tc>
          <w:tcPr>
            <w:tcW w:w="1554" w:type="dxa"/>
            <w:shd w:val="clear" w:color="auto" w:fill="auto"/>
          </w:tcPr>
          <w:p w:rsidR="00516735" w:rsidRPr="008B2B66" w:rsidRDefault="00516735" w:rsidP="00BD554E">
            <w:pPr>
              <w:pStyle w:val="ListParagraph"/>
              <w:numPr>
                <w:ilvl w:val="0"/>
                <w:numId w:val="3"/>
              </w:numPr>
              <w:spacing w:before="120" w:after="120"/>
              <w:jc w:val="both"/>
              <w:rPr>
                <w:rFonts w:ascii="Arial" w:hAnsi="Arial" w:cs="Arial"/>
                <w:kern w:val="28"/>
                <w:sz w:val="20"/>
                <w:szCs w:val="20"/>
              </w:rPr>
            </w:pPr>
            <w:r w:rsidRPr="008B2B66">
              <w:rPr>
                <w:rFonts w:ascii="Arial" w:hAnsi="Arial" w:cs="Arial"/>
                <w:kern w:val="28"/>
                <w:sz w:val="20"/>
                <w:szCs w:val="20"/>
              </w:rPr>
              <w:t>Base</w:t>
            </w:r>
          </w:p>
        </w:tc>
        <w:tc>
          <w:tcPr>
            <w:tcW w:w="2512" w:type="dxa"/>
          </w:tcPr>
          <w:p w:rsidR="008B14F3" w:rsidRPr="008B2B66" w:rsidRDefault="008B14F3" w:rsidP="00516735">
            <w:pPr>
              <w:spacing w:before="120" w:after="120"/>
              <w:jc w:val="both"/>
              <w:rPr>
                <w:rFonts w:ascii="Arial" w:hAnsi="Arial" w:cs="Arial"/>
                <w:kern w:val="28"/>
                <w:sz w:val="20"/>
                <w:szCs w:val="20"/>
              </w:rPr>
            </w:pPr>
            <w:r w:rsidRPr="008B2B66">
              <w:rPr>
                <w:rFonts w:ascii="Arial" w:hAnsi="Arial" w:cs="Arial"/>
                <w:kern w:val="28"/>
                <w:sz w:val="20"/>
                <w:szCs w:val="20"/>
              </w:rPr>
              <w:t>Tasa de Aprobación (2012):</w:t>
            </w:r>
          </w:p>
          <w:p w:rsidR="008B14F3" w:rsidRPr="008B2B66" w:rsidRDefault="008B14F3" w:rsidP="00516735">
            <w:pPr>
              <w:spacing w:before="120" w:after="120"/>
              <w:jc w:val="both"/>
              <w:rPr>
                <w:rFonts w:ascii="Arial" w:hAnsi="Arial" w:cs="Arial"/>
                <w:kern w:val="28"/>
                <w:sz w:val="20"/>
                <w:szCs w:val="20"/>
              </w:rPr>
            </w:pPr>
            <w:r w:rsidRPr="008B2B66">
              <w:rPr>
                <w:rFonts w:ascii="Arial" w:hAnsi="Arial" w:cs="Arial"/>
                <w:kern w:val="28"/>
                <w:sz w:val="20"/>
                <w:szCs w:val="20"/>
              </w:rPr>
              <w:t>EM: 80%</w:t>
            </w:r>
          </w:p>
          <w:p w:rsidR="00516735" w:rsidRPr="008B2B66" w:rsidRDefault="00516735" w:rsidP="00516735">
            <w:pPr>
              <w:spacing w:before="120" w:after="120"/>
              <w:jc w:val="both"/>
              <w:rPr>
                <w:rFonts w:ascii="Arial" w:hAnsi="Arial" w:cs="Arial"/>
                <w:kern w:val="28"/>
                <w:sz w:val="20"/>
                <w:szCs w:val="20"/>
              </w:rPr>
            </w:pPr>
            <w:r w:rsidRPr="008B2B66">
              <w:rPr>
                <w:rFonts w:ascii="Arial" w:hAnsi="Arial" w:cs="Arial"/>
                <w:kern w:val="28"/>
                <w:sz w:val="20"/>
                <w:szCs w:val="20"/>
              </w:rPr>
              <w:t>EMB: 85%</w:t>
            </w:r>
          </w:p>
          <w:p w:rsidR="00516735" w:rsidRPr="008B2B66" w:rsidRDefault="00516735" w:rsidP="00516735">
            <w:pPr>
              <w:spacing w:before="120" w:after="120"/>
              <w:jc w:val="both"/>
              <w:rPr>
                <w:rFonts w:ascii="Arial" w:hAnsi="Arial" w:cs="Arial"/>
                <w:kern w:val="28"/>
                <w:sz w:val="20"/>
                <w:szCs w:val="20"/>
              </w:rPr>
            </w:pPr>
            <w:r w:rsidRPr="008B2B66">
              <w:rPr>
                <w:rFonts w:ascii="Arial" w:hAnsi="Arial" w:cs="Arial"/>
                <w:kern w:val="28"/>
                <w:sz w:val="20"/>
                <w:szCs w:val="20"/>
              </w:rPr>
              <w:t>EMS: 44,1%</w:t>
            </w:r>
          </w:p>
          <w:p w:rsidR="00516735" w:rsidRPr="008B2B66" w:rsidRDefault="00516735" w:rsidP="00516735">
            <w:pPr>
              <w:spacing w:before="120" w:after="120"/>
              <w:jc w:val="both"/>
              <w:rPr>
                <w:rFonts w:ascii="Arial" w:hAnsi="Arial" w:cs="Arial"/>
                <w:kern w:val="28"/>
                <w:sz w:val="20"/>
                <w:szCs w:val="20"/>
              </w:rPr>
            </w:pPr>
          </w:p>
        </w:tc>
        <w:tc>
          <w:tcPr>
            <w:tcW w:w="2431" w:type="dxa"/>
            <w:shd w:val="clear" w:color="auto" w:fill="auto"/>
          </w:tcPr>
          <w:p w:rsidR="005B31EA" w:rsidRPr="008B2B66" w:rsidRDefault="005B31EA" w:rsidP="005B31EA">
            <w:pPr>
              <w:spacing w:before="120" w:after="120"/>
              <w:jc w:val="both"/>
              <w:rPr>
                <w:rFonts w:ascii="Arial" w:hAnsi="Arial" w:cs="Arial"/>
                <w:b/>
                <w:sz w:val="22"/>
                <w:szCs w:val="22"/>
              </w:rPr>
            </w:pPr>
          </w:p>
          <w:p w:rsidR="005B31EA" w:rsidRPr="008B2B66" w:rsidRDefault="005B31EA" w:rsidP="005B31EA">
            <w:pPr>
              <w:spacing w:before="120" w:after="120"/>
              <w:jc w:val="both"/>
              <w:rPr>
                <w:rFonts w:ascii="Arial" w:hAnsi="Arial" w:cs="Arial"/>
                <w:kern w:val="28"/>
                <w:sz w:val="20"/>
                <w:szCs w:val="20"/>
              </w:rPr>
            </w:pPr>
            <w:r w:rsidRPr="008B2B66">
              <w:rPr>
                <w:rFonts w:ascii="Arial" w:hAnsi="Arial" w:cs="Arial"/>
                <w:kern w:val="28"/>
                <w:sz w:val="20"/>
                <w:szCs w:val="20"/>
              </w:rPr>
              <w:t xml:space="preserve">VPN: U$S 33.510.595 </w:t>
            </w:r>
          </w:p>
          <w:p w:rsidR="00516735" w:rsidRPr="008B2B66" w:rsidRDefault="005B31EA" w:rsidP="005B31EA">
            <w:pPr>
              <w:spacing w:before="120" w:after="120"/>
              <w:jc w:val="both"/>
              <w:rPr>
                <w:rFonts w:ascii="Arial" w:hAnsi="Arial" w:cs="Arial"/>
                <w:kern w:val="28"/>
                <w:sz w:val="20"/>
                <w:szCs w:val="20"/>
              </w:rPr>
            </w:pPr>
            <w:r w:rsidRPr="008B2B66">
              <w:rPr>
                <w:rFonts w:ascii="Arial" w:hAnsi="Arial" w:cs="Arial"/>
                <w:kern w:val="28"/>
                <w:sz w:val="20"/>
                <w:szCs w:val="20"/>
              </w:rPr>
              <w:t>TIR de 16,78 %</w:t>
            </w:r>
          </w:p>
          <w:p w:rsidR="00042A49" w:rsidRPr="008B2B66" w:rsidRDefault="00042A49" w:rsidP="005B31EA">
            <w:pPr>
              <w:spacing w:before="120" w:after="120"/>
              <w:jc w:val="both"/>
              <w:rPr>
                <w:rFonts w:ascii="Arial" w:hAnsi="Arial" w:cs="Arial"/>
                <w:kern w:val="28"/>
                <w:sz w:val="20"/>
                <w:szCs w:val="20"/>
              </w:rPr>
            </w:pPr>
          </w:p>
          <w:p w:rsidR="00042A49" w:rsidRPr="008B2B66" w:rsidRDefault="00042A49" w:rsidP="00042A49">
            <w:pPr>
              <w:spacing w:before="120" w:after="120"/>
              <w:jc w:val="both"/>
              <w:rPr>
                <w:rFonts w:ascii="Arial" w:hAnsi="Arial" w:cs="Arial"/>
                <w:kern w:val="28"/>
                <w:sz w:val="20"/>
                <w:szCs w:val="20"/>
              </w:rPr>
            </w:pPr>
            <w:r w:rsidRPr="008B2B66">
              <w:rPr>
                <w:rFonts w:ascii="Arial" w:hAnsi="Arial" w:cs="Arial"/>
                <w:kern w:val="28"/>
                <w:sz w:val="20"/>
                <w:szCs w:val="20"/>
              </w:rPr>
              <w:t>VPN+40: U$S 62.304.880</w:t>
            </w:r>
          </w:p>
          <w:p w:rsidR="00042A49" w:rsidRPr="008B2B66" w:rsidRDefault="00042A49" w:rsidP="00042A49">
            <w:pPr>
              <w:spacing w:before="120" w:after="120"/>
              <w:jc w:val="both"/>
              <w:rPr>
                <w:rFonts w:ascii="Arial" w:hAnsi="Arial" w:cs="Arial"/>
                <w:kern w:val="28"/>
                <w:sz w:val="20"/>
                <w:szCs w:val="20"/>
              </w:rPr>
            </w:pPr>
            <w:r w:rsidRPr="008B2B66">
              <w:rPr>
                <w:rFonts w:ascii="Arial" w:hAnsi="Arial" w:cs="Arial"/>
                <w:kern w:val="28"/>
                <w:sz w:val="20"/>
                <w:szCs w:val="20"/>
              </w:rPr>
              <w:t>TIR+40: 20,00 %</w:t>
            </w:r>
          </w:p>
        </w:tc>
        <w:tc>
          <w:tcPr>
            <w:tcW w:w="2126" w:type="dxa"/>
            <w:shd w:val="clear" w:color="auto" w:fill="auto"/>
          </w:tcPr>
          <w:p w:rsidR="00516735" w:rsidRPr="008B2B66" w:rsidRDefault="00516735" w:rsidP="00E56CFC">
            <w:pPr>
              <w:spacing w:before="120" w:after="120"/>
              <w:rPr>
                <w:rFonts w:ascii="Arial" w:hAnsi="Arial" w:cs="Arial"/>
                <w:kern w:val="28"/>
                <w:sz w:val="20"/>
                <w:szCs w:val="20"/>
              </w:rPr>
            </w:pPr>
            <w:r w:rsidRPr="008B2B66">
              <w:rPr>
                <w:rFonts w:ascii="Arial" w:hAnsi="Arial" w:cs="Arial"/>
                <w:kern w:val="28"/>
                <w:sz w:val="20"/>
                <w:szCs w:val="20"/>
              </w:rPr>
              <w:t>La Reforma se implementa con éxito y logra sus resultados esperados</w:t>
            </w:r>
            <w:r w:rsidR="005B31EA" w:rsidRPr="008B2B66">
              <w:rPr>
                <w:rFonts w:ascii="Arial" w:hAnsi="Arial" w:cs="Arial"/>
                <w:kern w:val="28"/>
                <w:sz w:val="20"/>
                <w:szCs w:val="20"/>
              </w:rPr>
              <w:t xml:space="preserve"> </w:t>
            </w:r>
            <w:r w:rsidRPr="008B2B66">
              <w:rPr>
                <w:rFonts w:ascii="Arial" w:hAnsi="Arial" w:cs="Arial"/>
                <w:kern w:val="28"/>
                <w:sz w:val="20"/>
                <w:szCs w:val="20"/>
              </w:rPr>
              <w:t xml:space="preserve"> lo que representa beneficios salariales esperados y ahorros de costos/graduado.</w:t>
            </w:r>
          </w:p>
        </w:tc>
      </w:tr>
      <w:tr w:rsidR="00516735" w:rsidRPr="008B2B66" w:rsidTr="000B6327">
        <w:trPr>
          <w:jc w:val="center"/>
        </w:trPr>
        <w:tc>
          <w:tcPr>
            <w:tcW w:w="1554" w:type="dxa"/>
            <w:shd w:val="clear" w:color="auto" w:fill="auto"/>
          </w:tcPr>
          <w:p w:rsidR="00516735" w:rsidRPr="008B2B66" w:rsidRDefault="00516735" w:rsidP="00BD554E">
            <w:pPr>
              <w:pStyle w:val="ListParagraph"/>
              <w:numPr>
                <w:ilvl w:val="0"/>
                <w:numId w:val="3"/>
              </w:numPr>
              <w:spacing w:before="120" w:after="120"/>
              <w:jc w:val="both"/>
              <w:rPr>
                <w:rFonts w:ascii="Arial" w:hAnsi="Arial" w:cs="Arial"/>
                <w:kern w:val="28"/>
                <w:sz w:val="20"/>
                <w:szCs w:val="20"/>
              </w:rPr>
            </w:pPr>
            <w:r w:rsidRPr="008B2B66">
              <w:rPr>
                <w:rFonts w:ascii="Arial" w:hAnsi="Arial" w:cs="Arial"/>
                <w:kern w:val="28"/>
                <w:sz w:val="20"/>
                <w:szCs w:val="20"/>
              </w:rPr>
              <w:t>Pesimista</w:t>
            </w:r>
          </w:p>
        </w:tc>
        <w:tc>
          <w:tcPr>
            <w:tcW w:w="2512" w:type="dxa"/>
          </w:tcPr>
          <w:p w:rsidR="008B14F3" w:rsidRPr="008B2B66" w:rsidRDefault="008B14F3" w:rsidP="008B14F3">
            <w:pPr>
              <w:spacing w:before="120" w:after="120"/>
              <w:jc w:val="both"/>
              <w:rPr>
                <w:rFonts w:ascii="Arial" w:hAnsi="Arial" w:cs="Arial"/>
                <w:kern w:val="28"/>
                <w:sz w:val="20"/>
                <w:szCs w:val="20"/>
              </w:rPr>
            </w:pPr>
            <w:r w:rsidRPr="008B2B66">
              <w:rPr>
                <w:rFonts w:ascii="Arial" w:hAnsi="Arial" w:cs="Arial"/>
                <w:kern w:val="28"/>
                <w:sz w:val="20"/>
                <w:szCs w:val="20"/>
              </w:rPr>
              <w:t>Tasa de Aprobación (2021):</w:t>
            </w:r>
          </w:p>
          <w:p w:rsidR="008B14F3" w:rsidRPr="008B2B66" w:rsidRDefault="008B14F3" w:rsidP="008B14F3">
            <w:pPr>
              <w:spacing w:before="120" w:after="120"/>
              <w:jc w:val="both"/>
              <w:rPr>
                <w:rFonts w:ascii="Arial" w:hAnsi="Arial" w:cs="Arial"/>
                <w:kern w:val="28"/>
                <w:sz w:val="20"/>
                <w:szCs w:val="20"/>
              </w:rPr>
            </w:pPr>
            <w:r w:rsidRPr="008B2B66">
              <w:rPr>
                <w:rFonts w:ascii="Arial" w:hAnsi="Arial" w:cs="Arial"/>
                <w:kern w:val="28"/>
                <w:sz w:val="20"/>
                <w:szCs w:val="20"/>
              </w:rPr>
              <w:t>EM: 67%</w:t>
            </w:r>
          </w:p>
          <w:p w:rsidR="008B14F3" w:rsidRPr="008B2B66" w:rsidRDefault="008B14F3" w:rsidP="008B14F3">
            <w:pPr>
              <w:spacing w:before="120" w:after="120"/>
              <w:jc w:val="both"/>
              <w:rPr>
                <w:rFonts w:ascii="Arial" w:hAnsi="Arial" w:cs="Arial"/>
                <w:kern w:val="28"/>
                <w:sz w:val="20"/>
                <w:szCs w:val="20"/>
              </w:rPr>
            </w:pPr>
            <w:r w:rsidRPr="008B2B66">
              <w:rPr>
                <w:rFonts w:ascii="Arial" w:hAnsi="Arial" w:cs="Arial"/>
                <w:kern w:val="28"/>
                <w:sz w:val="20"/>
                <w:szCs w:val="20"/>
              </w:rPr>
              <w:t>EMB:70 %</w:t>
            </w:r>
          </w:p>
          <w:p w:rsidR="00516735" w:rsidRPr="008B2B66" w:rsidRDefault="008B14F3" w:rsidP="00042A49">
            <w:pPr>
              <w:spacing w:before="120" w:after="120"/>
              <w:jc w:val="both"/>
              <w:rPr>
                <w:rFonts w:ascii="Arial" w:hAnsi="Arial" w:cs="Arial"/>
                <w:kern w:val="28"/>
                <w:sz w:val="20"/>
                <w:szCs w:val="20"/>
              </w:rPr>
            </w:pPr>
            <w:r w:rsidRPr="008B2B66">
              <w:rPr>
                <w:rFonts w:ascii="Arial" w:hAnsi="Arial" w:cs="Arial"/>
                <w:kern w:val="28"/>
                <w:sz w:val="20"/>
                <w:szCs w:val="20"/>
              </w:rPr>
              <w:t>EMS: 35%</w:t>
            </w:r>
          </w:p>
        </w:tc>
        <w:tc>
          <w:tcPr>
            <w:tcW w:w="2431" w:type="dxa"/>
            <w:shd w:val="clear" w:color="auto" w:fill="auto"/>
          </w:tcPr>
          <w:p w:rsidR="00516735" w:rsidRPr="008B2B66" w:rsidRDefault="00516735" w:rsidP="00E56CFC">
            <w:pPr>
              <w:spacing w:before="120" w:after="120"/>
              <w:jc w:val="both"/>
              <w:rPr>
                <w:rFonts w:ascii="Arial" w:hAnsi="Arial" w:cs="Arial"/>
                <w:kern w:val="28"/>
                <w:sz w:val="20"/>
                <w:szCs w:val="20"/>
              </w:rPr>
            </w:pPr>
            <w:r w:rsidRPr="008B2B66">
              <w:rPr>
                <w:rFonts w:ascii="Arial" w:hAnsi="Arial" w:cs="Arial"/>
                <w:kern w:val="28"/>
                <w:sz w:val="20"/>
                <w:szCs w:val="20"/>
              </w:rPr>
              <w:t>VPN: -$</w:t>
            </w:r>
            <w:r w:rsidR="00042A49" w:rsidRPr="008B2B66">
              <w:rPr>
                <w:rFonts w:ascii="Arial" w:hAnsi="Arial" w:cs="Arial"/>
              </w:rPr>
              <w:t xml:space="preserve"> </w:t>
            </w:r>
            <w:r w:rsidR="00042A49" w:rsidRPr="008B2B66">
              <w:rPr>
                <w:rFonts w:ascii="Arial" w:hAnsi="Arial" w:cs="Arial"/>
                <w:kern w:val="28"/>
                <w:sz w:val="20"/>
                <w:szCs w:val="20"/>
              </w:rPr>
              <w:t>291.175,29</w:t>
            </w:r>
          </w:p>
          <w:p w:rsidR="00516735" w:rsidRPr="008B2B66" w:rsidRDefault="00516735" w:rsidP="00E56CFC">
            <w:pPr>
              <w:spacing w:before="120" w:after="120"/>
              <w:jc w:val="both"/>
              <w:rPr>
                <w:rFonts w:ascii="Arial" w:hAnsi="Arial" w:cs="Arial"/>
                <w:kern w:val="28"/>
                <w:sz w:val="20"/>
                <w:szCs w:val="20"/>
              </w:rPr>
            </w:pPr>
            <w:r w:rsidRPr="008B2B66">
              <w:rPr>
                <w:rFonts w:ascii="Arial" w:hAnsi="Arial" w:cs="Arial"/>
                <w:kern w:val="28"/>
                <w:sz w:val="20"/>
                <w:szCs w:val="20"/>
              </w:rPr>
              <w:t xml:space="preserve">TIR: </w:t>
            </w:r>
            <w:r w:rsidR="00042A49" w:rsidRPr="008B2B66">
              <w:rPr>
                <w:rFonts w:ascii="Arial" w:hAnsi="Arial" w:cs="Arial"/>
                <w:kern w:val="28"/>
                <w:sz w:val="20"/>
                <w:szCs w:val="20"/>
              </w:rPr>
              <w:t>11,96</w:t>
            </w:r>
            <w:r w:rsidRPr="008B2B66">
              <w:rPr>
                <w:rFonts w:ascii="Arial" w:hAnsi="Arial" w:cs="Arial"/>
                <w:kern w:val="28"/>
                <w:sz w:val="20"/>
                <w:szCs w:val="20"/>
              </w:rPr>
              <w:t>%</w:t>
            </w:r>
          </w:p>
          <w:p w:rsidR="00042A49" w:rsidRPr="008B2B66" w:rsidRDefault="00042A49" w:rsidP="00E56CFC">
            <w:pPr>
              <w:spacing w:before="120" w:after="120"/>
              <w:jc w:val="both"/>
              <w:rPr>
                <w:rFonts w:ascii="Arial" w:hAnsi="Arial" w:cs="Arial"/>
                <w:kern w:val="28"/>
                <w:sz w:val="20"/>
                <w:szCs w:val="20"/>
              </w:rPr>
            </w:pPr>
          </w:p>
          <w:p w:rsidR="00042A49" w:rsidRPr="008B2B66" w:rsidRDefault="00042A49" w:rsidP="00042A49">
            <w:pPr>
              <w:spacing w:before="120" w:after="120"/>
              <w:jc w:val="both"/>
              <w:rPr>
                <w:rFonts w:ascii="Arial" w:hAnsi="Arial" w:cs="Arial"/>
                <w:kern w:val="28"/>
                <w:sz w:val="20"/>
                <w:szCs w:val="20"/>
              </w:rPr>
            </w:pPr>
            <w:r w:rsidRPr="008B2B66">
              <w:rPr>
                <w:rFonts w:ascii="Arial" w:hAnsi="Arial" w:cs="Arial"/>
                <w:kern w:val="28"/>
                <w:sz w:val="20"/>
                <w:szCs w:val="20"/>
              </w:rPr>
              <w:t>VPN+40:U$S 14.982.401</w:t>
            </w:r>
          </w:p>
          <w:p w:rsidR="00042A49" w:rsidRPr="008B2B66" w:rsidRDefault="00042A49" w:rsidP="00042A49">
            <w:pPr>
              <w:spacing w:before="120" w:after="120"/>
              <w:jc w:val="both"/>
              <w:rPr>
                <w:rFonts w:ascii="Arial" w:hAnsi="Arial" w:cs="Arial"/>
                <w:kern w:val="28"/>
                <w:sz w:val="20"/>
                <w:szCs w:val="20"/>
              </w:rPr>
            </w:pPr>
            <w:r w:rsidRPr="008B2B66">
              <w:rPr>
                <w:rFonts w:ascii="Arial" w:hAnsi="Arial" w:cs="Arial"/>
                <w:kern w:val="28"/>
                <w:sz w:val="20"/>
                <w:szCs w:val="20"/>
              </w:rPr>
              <w:t>TIR+40: 14,00 %</w:t>
            </w:r>
          </w:p>
          <w:p w:rsidR="00516735" w:rsidRPr="008B2B66" w:rsidRDefault="00516735" w:rsidP="00E56CFC">
            <w:pPr>
              <w:spacing w:before="120" w:after="120"/>
              <w:jc w:val="both"/>
              <w:rPr>
                <w:rFonts w:ascii="Arial" w:hAnsi="Arial" w:cs="Arial"/>
                <w:kern w:val="28"/>
                <w:sz w:val="20"/>
                <w:szCs w:val="20"/>
              </w:rPr>
            </w:pPr>
          </w:p>
          <w:p w:rsidR="00042A49" w:rsidRPr="008B2B66" w:rsidRDefault="00042A49" w:rsidP="00E56CFC">
            <w:pPr>
              <w:spacing w:before="120" w:after="120"/>
              <w:jc w:val="both"/>
              <w:rPr>
                <w:rFonts w:ascii="Arial" w:hAnsi="Arial" w:cs="Arial"/>
                <w:kern w:val="28"/>
                <w:sz w:val="20"/>
                <w:szCs w:val="20"/>
              </w:rPr>
            </w:pPr>
          </w:p>
        </w:tc>
        <w:tc>
          <w:tcPr>
            <w:tcW w:w="2126" w:type="dxa"/>
            <w:shd w:val="clear" w:color="auto" w:fill="auto"/>
          </w:tcPr>
          <w:p w:rsidR="00516735" w:rsidRPr="008B2B66" w:rsidRDefault="005B31EA" w:rsidP="00E56CFC">
            <w:pPr>
              <w:spacing w:before="120" w:after="120"/>
              <w:rPr>
                <w:rFonts w:ascii="Arial" w:hAnsi="Arial" w:cs="Arial"/>
                <w:kern w:val="28"/>
                <w:sz w:val="20"/>
                <w:szCs w:val="20"/>
              </w:rPr>
            </w:pPr>
            <w:r w:rsidRPr="008B2B66">
              <w:rPr>
                <w:rFonts w:ascii="Arial" w:hAnsi="Arial" w:cs="Arial"/>
                <w:kern w:val="28"/>
                <w:sz w:val="20"/>
                <w:szCs w:val="20"/>
              </w:rPr>
              <w:t>Los efectos de la reforma se comienzan a visualizar recién en el 2021 y afecta al 80% de los alumnos previstos. Los cupos creados a partir de las construcciones y ampliaciones alcanzan solamente al 83% de los planificados.</w:t>
            </w:r>
          </w:p>
        </w:tc>
      </w:tr>
      <w:tr w:rsidR="00516735" w:rsidRPr="008B2B66" w:rsidTr="000B6327">
        <w:trPr>
          <w:jc w:val="center"/>
        </w:trPr>
        <w:tc>
          <w:tcPr>
            <w:tcW w:w="1554" w:type="dxa"/>
            <w:shd w:val="clear" w:color="auto" w:fill="auto"/>
          </w:tcPr>
          <w:p w:rsidR="00516735" w:rsidRPr="008B2B66" w:rsidRDefault="008B14F3" w:rsidP="008B14F3">
            <w:pPr>
              <w:pStyle w:val="ListParagraph"/>
              <w:numPr>
                <w:ilvl w:val="0"/>
                <w:numId w:val="3"/>
              </w:numPr>
              <w:spacing w:before="120" w:after="120"/>
              <w:jc w:val="both"/>
              <w:rPr>
                <w:rFonts w:ascii="Arial" w:hAnsi="Arial" w:cs="Arial"/>
                <w:kern w:val="28"/>
                <w:sz w:val="20"/>
                <w:szCs w:val="20"/>
              </w:rPr>
            </w:pPr>
            <w:r w:rsidRPr="008B2B66">
              <w:rPr>
                <w:rFonts w:ascii="Arial" w:hAnsi="Arial" w:cs="Arial"/>
                <w:kern w:val="28"/>
                <w:sz w:val="20"/>
                <w:szCs w:val="20"/>
              </w:rPr>
              <w:t>Optimista</w:t>
            </w:r>
          </w:p>
        </w:tc>
        <w:tc>
          <w:tcPr>
            <w:tcW w:w="2512" w:type="dxa"/>
          </w:tcPr>
          <w:p w:rsidR="008B14F3" w:rsidRPr="008B2B66" w:rsidRDefault="008B14F3" w:rsidP="008B14F3">
            <w:pPr>
              <w:spacing w:before="120" w:after="120"/>
              <w:jc w:val="both"/>
              <w:rPr>
                <w:rFonts w:ascii="Arial" w:hAnsi="Arial" w:cs="Arial"/>
                <w:kern w:val="28"/>
                <w:sz w:val="20"/>
                <w:szCs w:val="20"/>
              </w:rPr>
            </w:pPr>
            <w:r w:rsidRPr="008B2B66">
              <w:rPr>
                <w:rFonts w:ascii="Arial" w:hAnsi="Arial" w:cs="Arial"/>
                <w:kern w:val="28"/>
                <w:sz w:val="20"/>
                <w:szCs w:val="20"/>
              </w:rPr>
              <w:t>Tasa de Aprobación (2021):</w:t>
            </w:r>
          </w:p>
          <w:p w:rsidR="008B14F3" w:rsidRPr="008B2B66" w:rsidRDefault="008B14F3" w:rsidP="008B14F3">
            <w:pPr>
              <w:spacing w:before="120" w:after="120"/>
              <w:jc w:val="both"/>
              <w:rPr>
                <w:rFonts w:ascii="Arial" w:hAnsi="Arial" w:cs="Arial"/>
                <w:kern w:val="28"/>
                <w:sz w:val="20"/>
                <w:szCs w:val="20"/>
              </w:rPr>
            </w:pPr>
            <w:r w:rsidRPr="008B2B66">
              <w:rPr>
                <w:rFonts w:ascii="Arial" w:hAnsi="Arial" w:cs="Arial"/>
                <w:kern w:val="28"/>
                <w:sz w:val="20"/>
                <w:szCs w:val="20"/>
              </w:rPr>
              <w:t>EM: 84 %</w:t>
            </w:r>
          </w:p>
          <w:p w:rsidR="008B14F3" w:rsidRPr="008B2B66" w:rsidRDefault="008B14F3" w:rsidP="008B14F3">
            <w:pPr>
              <w:spacing w:before="120" w:after="120"/>
              <w:jc w:val="both"/>
              <w:rPr>
                <w:rFonts w:ascii="Arial" w:hAnsi="Arial" w:cs="Arial"/>
                <w:kern w:val="28"/>
                <w:sz w:val="20"/>
                <w:szCs w:val="20"/>
              </w:rPr>
            </w:pPr>
            <w:r w:rsidRPr="008B2B66">
              <w:rPr>
                <w:rFonts w:ascii="Arial" w:hAnsi="Arial" w:cs="Arial"/>
                <w:kern w:val="28"/>
                <w:sz w:val="20"/>
                <w:szCs w:val="20"/>
              </w:rPr>
              <w:t>EMB: 90%</w:t>
            </w:r>
          </w:p>
          <w:p w:rsidR="008B14F3" w:rsidRPr="008B2B66" w:rsidRDefault="008B14F3" w:rsidP="008B14F3">
            <w:pPr>
              <w:spacing w:before="120" w:after="120"/>
              <w:jc w:val="both"/>
              <w:rPr>
                <w:rFonts w:ascii="Arial" w:hAnsi="Arial" w:cs="Arial"/>
                <w:kern w:val="28"/>
                <w:sz w:val="20"/>
                <w:szCs w:val="20"/>
              </w:rPr>
            </w:pPr>
            <w:r w:rsidRPr="008B2B66">
              <w:rPr>
                <w:rFonts w:ascii="Arial" w:hAnsi="Arial" w:cs="Arial"/>
                <w:kern w:val="28"/>
                <w:sz w:val="20"/>
                <w:szCs w:val="20"/>
              </w:rPr>
              <w:t>EMS: 59%</w:t>
            </w:r>
          </w:p>
          <w:p w:rsidR="00516735" w:rsidRPr="008B2B66" w:rsidRDefault="00516735" w:rsidP="008B14F3">
            <w:pPr>
              <w:spacing w:before="120" w:after="120"/>
              <w:jc w:val="both"/>
              <w:rPr>
                <w:rFonts w:ascii="Arial" w:hAnsi="Arial" w:cs="Arial"/>
                <w:kern w:val="28"/>
                <w:sz w:val="20"/>
                <w:szCs w:val="20"/>
              </w:rPr>
            </w:pPr>
          </w:p>
        </w:tc>
        <w:tc>
          <w:tcPr>
            <w:tcW w:w="2431" w:type="dxa"/>
            <w:shd w:val="clear" w:color="auto" w:fill="auto"/>
          </w:tcPr>
          <w:p w:rsidR="00042A49" w:rsidRPr="008B2B66" w:rsidRDefault="00042A49" w:rsidP="00042A49">
            <w:pPr>
              <w:spacing w:before="120" w:after="120"/>
              <w:jc w:val="both"/>
              <w:rPr>
                <w:rFonts w:ascii="Arial" w:hAnsi="Arial" w:cs="Arial"/>
                <w:kern w:val="28"/>
                <w:sz w:val="20"/>
                <w:szCs w:val="20"/>
              </w:rPr>
            </w:pPr>
            <w:r w:rsidRPr="008B2B66">
              <w:rPr>
                <w:rFonts w:ascii="Arial" w:hAnsi="Arial" w:cs="Arial"/>
                <w:kern w:val="28"/>
                <w:sz w:val="20"/>
                <w:szCs w:val="20"/>
              </w:rPr>
              <w:t>VPN: U$S 37.549.226</w:t>
            </w:r>
          </w:p>
          <w:p w:rsidR="00042A49" w:rsidRPr="008B2B66" w:rsidRDefault="00042A49" w:rsidP="00042A49">
            <w:pPr>
              <w:spacing w:before="120" w:after="120"/>
              <w:jc w:val="both"/>
              <w:rPr>
                <w:rFonts w:ascii="Arial" w:hAnsi="Arial" w:cs="Arial"/>
                <w:kern w:val="28"/>
                <w:sz w:val="20"/>
                <w:szCs w:val="20"/>
              </w:rPr>
            </w:pPr>
            <w:r w:rsidRPr="008B2B66">
              <w:rPr>
                <w:rFonts w:ascii="Arial" w:hAnsi="Arial" w:cs="Arial"/>
                <w:kern w:val="28"/>
                <w:sz w:val="20"/>
                <w:szCs w:val="20"/>
              </w:rPr>
              <w:t>TIR de 17,32 %</w:t>
            </w:r>
          </w:p>
          <w:p w:rsidR="00042A49" w:rsidRPr="008B2B66" w:rsidRDefault="00042A49" w:rsidP="00042A49">
            <w:pPr>
              <w:spacing w:before="120" w:after="120"/>
              <w:jc w:val="both"/>
              <w:rPr>
                <w:rFonts w:ascii="Arial" w:hAnsi="Arial" w:cs="Arial"/>
                <w:kern w:val="28"/>
                <w:sz w:val="20"/>
                <w:szCs w:val="20"/>
              </w:rPr>
            </w:pPr>
          </w:p>
          <w:p w:rsidR="00042A49" w:rsidRPr="008B2B66" w:rsidRDefault="00042A49" w:rsidP="00042A49">
            <w:pPr>
              <w:spacing w:before="120" w:after="120"/>
              <w:jc w:val="both"/>
              <w:rPr>
                <w:rFonts w:ascii="Arial" w:hAnsi="Arial" w:cs="Arial"/>
                <w:kern w:val="28"/>
                <w:sz w:val="20"/>
                <w:szCs w:val="20"/>
              </w:rPr>
            </w:pPr>
            <w:r w:rsidRPr="008B2B66">
              <w:rPr>
                <w:rFonts w:ascii="Arial" w:hAnsi="Arial" w:cs="Arial"/>
                <w:kern w:val="28"/>
                <w:sz w:val="20"/>
                <w:szCs w:val="20"/>
              </w:rPr>
              <w:t>VPN+40: U$S</w:t>
            </w:r>
            <w:r w:rsidRPr="008B2B66">
              <w:rPr>
                <w:rFonts w:ascii="Arial" w:hAnsi="Arial" w:cs="Arial"/>
              </w:rPr>
              <w:t xml:space="preserve"> </w:t>
            </w:r>
            <w:r w:rsidRPr="008B2B66">
              <w:rPr>
                <w:rFonts w:ascii="Arial" w:hAnsi="Arial" w:cs="Arial"/>
                <w:kern w:val="28"/>
                <w:sz w:val="20"/>
                <w:szCs w:val="20"/>
              </w:rPr>
              <w:t xml:space="preserve">67.959.019 </w:t>
            </w:r>
          </w:p>
          <w:p w:rsidR="00516735" w:rsidRPr="008B2B66" w:rsidRDefault="00042A49" w:rsidP="00042A49">
            <w:pPr>
              <w:spacing w:before="120" w:after="120"/>
              <w:jc w:val="both"/>
              <w:rPr>
                <w:rFonts w:ascii="Arial" w:hAnsi="Arial" w:cs="Arial"/>
                <w:kern w:val="28"/>
                <w:sz w:val="20"/>
                <w:szCs w:val="20"/>
              </w:rPr>
            </w:pPr>
            <w:r w:rsidRPr="008B2B66">
              <w:rPr>
                <w:rFonts w:ascii="Arial" w:hAnsi="Arial" w:cs="Arial"/>
                <w:kern w:val="28"/>
                <w:sz w:val="20"/>
                <w:szCs w:val="20"/>
              </w:rPr>
              <w:t>TIR+40:  20,68%</w:t>
            </w:r>
          </w:p>
        </w:tc>
        <w:tc>
          <w:tcPr>
            <w:tcW w:w="2126" w:type="dxa"/>
            <w:shd w:val="clear" w:color="auto" w:fill="auto"/>
          </w:tcPr>
          <w:p w:rsidR="00516735" w:rsidRPr="008B2B66" w:rsidRDefault="00516735" w:rsidP="00F670D4">
            <w:pPr>
              <w:spacing w:before="120" w:after="120"/>
              <w:rPr>
                <w:rFonts w:ascii="Arial" w:hAnsi="Arial" w:cs="Arial"/>
                <w:kern w:val="28"/>
                <w:sz w:val="20"/>
                <w:szCs w:val="20"/>
              </w:rPr>
            </w:pPr>
          </w:p>
        </w:tc>
      </w:tr>
    </w:tbl>
    <w:p w:rsidR="00D74D31" w:rsidRPr="008B2B66" w:rsidRDefault="00D74D31">
      <w:pPr>
        <w:rPr>
          <w:rFonts w:ascii="Arial" w:eastAsia="Calibri" w:hAnsi="Arial" w:cs="Arial"/>
          <w:kern w:val="28"/>
          <w:sz w:val="22"/>
          <w:szCs w:val="22"/>
          <w:lang w:eastAsia="en-US"/>
        </w:rPr>
      </w:pPr>
      <w:r w:rsidRPr="008B2B66">
        <w:rPr>
          <w:rFonts w:ascii="Arial" w:hAnsi="Arial" w:cs="Arial"/>
          <w:kern w:val="28"/>
        </w:rPr>
        <w:br w:type="page"/>
      </w:r>
    </w:p>
    <w:p w:rsidR="00AD21A5" w:rsidRPr="00621862" w:rsidRDefault="00621862" w:rsidP="00621862">
      <w:pPr>
        <w:spacing w:before="120" w:after="120"/>
        <w:ind w:left="720" w:hanging="720"/>
        <w:jc w:val="both"/>
        <w:rPr>
          <w:rFonts w:ascii="Arial" w:hAnsi="Arial" w:cs="Arial"/>
          <w:kern w:val="28"/>
          <w:sz w:val="22"/>
        </w:rPr>
      </w:pPr>
      <w:r w:rsidRPr="00621862">
        <w:rPr>
          <w:rFonts w:ascii="Arial" w:hAnsi="Arial" w:cs="Arial"/>
          <w:kern w:val="28"/>
          <w:sz w:val="22"/>
        </w:rPr>
        <w:lastRenderedPageBreak/>
        <w:t xml:space="preserve">5.3 </w:t>
      </w:r>
      <w:r>
        <w:rPr>
          <w:rFonts w:ascii="Arial" w:hAnsi="Arial" w:cs="Arial"/>
          <w:kern w:val="28"/>
          <w:sz w:val="22"/>
        </w:rPr>
        <w:tab/>
      </w:r>
      <w:r w:rsidR="00AD21A5" w:rsidRPr="00621862">
        <w:rPr>
          <w:rFonts w:ascii="Arial" w:hAnsi="Arial" w:cs="Arial"/>
          <w:kern w:val="28"/>
          <w:sz w:val="22"/>
        </w:rPr>
        <w:t xml:space="preserve">Para comprobar en cuanto se cumplirían los resultados del VAN del Escenario base ante los cambios en los parámetros, se modelo una prueba de </w:t>
      </w:r>
      <w:r w:rsidR="00AC24F2" w:rsidRPr="00621862">
        <w:rPr>
          <w:rFonts w:ascii="Arial" w:hAnsi="Arial" w:cs="Arial"/>
          <w:kern w:val="28"/>
          <w:sz w:val="22"/>
        </w:rPr>
        <w:t>Monte Carlo</w:t>
      </w:r>
      <w:r w:rsidR="00E12863" w:rsidRPr="00621862">
        <w:rPr>
          <w:rFonts w:ascii="Arial" w:hAnsi="Arial" w:cs="Arial"/>
          <w:kern w:val="28"/>
          <w:sz w:val="22"/>
        </w:rPr>
        <w:t>.</w:t>
      </w:r>
    </w:p>
    <w:p w:rsidR="00D74D31" w:rsidRPr="008B2B66" w:rsidRDefault="00D74D31" w:rsidP="00042A49">
      <w:pPr>
        <w:pStyle w:val="ListParagraph"/>
        <w:spacing w:before="120" w:after="120"/>
        <w:ind w:left="360"/>
        <w:jc w:val="both"/>
        <w:rPr>
          <w:rFonts w:ascii="Arial" w:hAnsi="Arial" w:cs="Arial"/>
          <w:kern w:val="28"/>
          <w:highlight w:val="magenta"/>
        </w:rPr>
      </w:pPr>
      <w:r w:rsidRPr="008B2B66">
        <w:rPr>
          <w:rFonts w:ascii="Arial" w:hAnsi="Arial" w:cs="Arial"/>
          <w:noProof/>
          <w:lang w:val="en-US"/>
        </w:rPr>
        <w:drawing>
          <wp:inline distT="0" distB="0" distL="0" distR="0" wp14:anchorId="10A7E692" wp14:editId="14451B06">
            <wp:extent cx="5400040" cy="33166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40" cy="3316605"/>
                    </a:xfrm>
                    <a:prstGeom prst="rect">
                      <a:avLst/>
                    </a:prstGeom>
                  </pic:spPr>
                </pic:pic>
              </a:graphicData>
            </a:graphic>
          </wp:inline>
        </w:drawing>
      </w:r>
    </w:p>
    <w:p w:rsidR="00D74D31" w:rsidRPr="008B2B66" w:rsidRDefault="00D74D31" w:rsidP="00042A49">
      <w:pPr>
        <w:pStyle w:val="ListParagraph"/>
        <w:spacing w:before="120" w:after="120"/>
        <w:ind w:left="360"/>
        <w:jc w:val="both"/>
        <w:rPr>
          <w:rFonts w:ascii="Arial" w:hAnsi="Arial" w:cs="Arial"/>
          <w:kern w:val="28"/>
          <w:highlight w:val="magenta"/>
        </w:rPr>
      </w:pPr>
    </w:p>
    <w:p w:rsidR="00D74D31" w:rsidRPr="00621862" w:rsidRDefault="00621862" w:rsidP="00621862">
      <w:pPr>
        <w:spacing w:before="120" w:after="120"/>
        <w:ind w:left="720" w:hanging="720"/>
        <w:jc w:val="both"/>
        <w:rPr>
          <w:rFonts w:ascii="Arial" w:hAnsi="Arial" w:cs="Arial"/>
          <w:kern w:val="28"/>
          <w:sz w:val="22"/>
        </w:rPr>
      </w:pPr>
      <w:r>
        <w:rPr>
          <w:rFonts w:ascii="Arial" w:hAnsi="Arial" w:cs="Arial"/>
          <w:kern w:val="28"/>
          <w:sz w:val="22"/>
        </w:rPr>
        <w:t>5.4</w:t>
      </w:r>
      <w:r>
        <w:rPr>
          <w:rFonts w:ascii="Arial" w:hAnsi="Arial" w:cs="Arial"/>
          <w:kern w:val="28"/>
          <w:sz w:val="22"/>
        </w:rPr>
        <w:tab/>
      </w:r>
      <w:r w:rsidR="00D74D31" w:rsidRPr="00621862">
        <w:rPr>
          <w:rFonts w:ascii="Arial" w:hAnsi="Arial" w:cs="Arial"/>
          <w:kern w:val="28"/>
          <w:sz w:val="22"/>
        </w:rPr>
        <w:t xml:space="preserve">Para testear </w:t>
      </w:r>
      <w:r w:rsidR="00917C30" w:rsidRPr="00621862">
        <w:rPr>
          <w:rFonts w:ascii="Arial" w:hAnsi="Arial" w:cs="Arial"/>
          <w:kern w:val="28"/>
          <w:sz w:val="22"/>
        </w:rPr>
        <w:t xml:space="preserve">el </w:t>
      </w:r>
      <w:r w:rsidR="00D74D31" w:rsidRPr="00621862">
        <w:rPr>
          <w:rFonts w:ascii="Arial" w:hAnsi="Arial" w:cs="Arial"/>
          <w:kern w:val="28"/>
          <w:sz w:val="22"/>
        </w:rPr>
        <w:t>resultado del modelo</w:t>
      </w:r>
      <w:r w:rsidR="00E12863" w:rsidRPr="00621862">
        <w:rPr>
          <w:rFonts w:ascii="Arial" w:hAnsi="Arial" w:cs="Arial"/>
          <w:kern w:val="28"/>
          <w:sz w:val="22"/>
        </w:rPr>
        <w:t xml:space="preserve"> se</w:t>
      </w:r>
      <w:r w:rsidR="00917C30" w:rsidRPr="00621862">
        <w:rPr>
          <w:rFonts w:ascii="Arial" w:hAnsi="Arial" w:cs="Arial"/>
          <w:kern w:val="28"/>
          <w:sz w:val="22"/>
        </w:rPr>
        <w:t xml:space="preserve"> </w:t>
      </w:r>
      <w:r w:rsidR="00AC24F2" w:rsidRPr="00621862">
        <w:rPr>
          <w:rFonts w:ascii="Arial" w:hAnsi="Arial" w:cs="Arial"/>
          <w:kern w:val="28"/>
          <w:sz w:val="22"/>
        </w:rPr>
        <w:t>realiza</w:t>
      </w:r>
      <w:r w:rsidR="00E12863" w:rsidRPr="00621862">
        <w:rPr>
          <w:rFonts w:ascii="Arial" w:hAnsi="Arial" w:cs="Arial"/>
          <w:kern w:val="28"/>
          <w:sz w:val="22"/>
        </w:rPr>
        <w:t>ron</w:t>
      </w:r>
      <w:r w:rsidR="00AC24F2" w:rsidRPr="00621862">
        <w:rPr>
          <w:rFonts w:ascii="Arial" w:hAnsi="Arial" w:cs="Arial"/>
          <w:kern w:val="28"/>
          <w:sz w:val="22"/>
        </w:rPr>
        <w:t xml:space="preserve"> 10</w:t>
      </w:r>
      <w:r w:rsidR="00917C30" w:rsidRPr="00621862">
        <w:rPr>
          <w:rFonts w:ascii="Arial" w:hAnsi="Arial" w:cs="Arial"/>
          <w:kern w:val="28"/>
          <w:sz w:val="22"/>
        </w:rPr>
        <w:t>0</w:t>
      </w:r>
      <w:r w:rsidR="00AC24F2" w:rsidRPr="00621862">
        <w:rPr>
          <w:rFonts w:ascii="Arial" w:hAnsi="Arial" w:cs="Arial"/>
          <w:kern w:val="28"/>
          <w:sz w:val="22"/>
        </w:rPr>
        <w:t xml:space="preserve">.000 iteraciones de cambios en las variables </w:t>
      </w:r>
      <w:r w:rsidR="00D74D31" w:rsidRPr="00621862">
        <w:rPr>
          <w:rFonts w:ascii="Arial" w:hAnsi="Arial" w:cs="Arial"/>
          <w:kern w:val="28"/>
          <w:sz w:val="22"/>
        </w:rPr>
        <w:t xml:space="preserve">tasas de aprobación de la EM </w:t>
      </w:r>
      <w:r w:rsidR="00AC24F2" w:rsidRPr="00621862">
        <w:rPr>
          <w:rFonts w:ascii="Arial" w:hAnsi="Arial" w:cs="Arial"/>
          <w:kern w:val="28"/>
          <w:sz w:val="22"/>
        </w:rPr>
        <w:t>sin proyecto,</w:t>
      </w:r>
      <w:r w:rsidR="00D74D31" w:rsidRPr="00621862">
        <w:rPr>
          <w:rFonts w:ascii="Arial" w:hAnsi="Arial" w:cs="Arial"/>
          <w:kern w:val="28"/>
          <w:sz w:val="22"/>
        </w:rPr>
        <w:t xml:space="preserve"> tasa de finalización de la EM con proyecto, </w:t>
      </w:r>
      <w:r w:rsidR="00E12863" w:rsidRPr="00621862">
        <w:rPr>
          <w:rFonts w:ascii="Arial" w:hAnsi="Arial" w:cs="Arial"/>
          <w:kern w:val="28"/>
          <w:sz w:val="22"/>
        </w:rPr>
        <w:t xml:space="preserve">y el </w:t>
      </w:r>
      <w:r w:rsidR="00D74D31" w:rsidRPr="00621862">
        <w:rPr>
          <w:rFonts w:ascii="Arial" w:hAnsi="Arial" w:cs="Arial"/>
          <w:kern w:val="28"/>
          <w:sz w:val="22"/>
        </w:rPr>
        <w:t>diferencia</w:t>
      </w:r>
      <w:r w:rsidR="00E12863" w:rsidRPr="00621862">
        <w:rPr>
          <w:rFonts w:ascii="Arial" w:hAnsi="Arial" w:cs="Arial"/>
          <w:kern w:val="28"/>
          <w:sz w:val="22"/>
        </w:rPr>
        <w:t>l</w:t>
      </w:r>
      <w:r w:rsidR="00D74D31" w:rsidRPr="00621862">
        <w:rPr>
          <w:rFonts w:ascii="Arial" w:hAnsi="Arial" w:cs="Arial"/>
          <w:kern w:val="28"/>
          <w:sz w:val="22"/>
        </w:rPr>
        <w:t xml:space="preserve"> salarial (salario por concluir la EM – salario promedio sin concluirlo). Existe una probabilidad del 50,1</w:t>
      </w:r>
      <w:r w:rsidR="00AC24F2" w:rsidRPr="00621862">
        <w:rPr>
          <w:rFonts w:ascii="Arial" w:hAnsi="Arial" w:cs="Arial"/>
          <w:kern w:val="28"/>
          <w:sz w:val="22"/>
        </w:rPr>
        <w:t>3 % de que los resultados del VAN se cumplen.</w:t>
      </w:r>
    </w:p>
    <w:p w:rsidR="00E12863" w:rsidRPr="008B2B66" w:rsidRDefault="00E12863">
      <w:pPr>
        <w:rPr>
          <w:rFonts w:ascii="Arial" w:eastAsia="Calibri" w:hAnsi="Arial" w:cs="Arial"/>
          <w:kern w:val="28"/>
          <w:sz w:val="22"/>
          <w:szCs w:val="22"/>
          <w:lang w:eastAsia="en-US"/>
        </w:rPr>
      </w:pPr>
      <w:r w:rsidRPr="008B2B66">
        <w:rPr>
          <w:rFonts w:ascii="Arial" w:hAnsi="Arial" w:cs="Arial"/>
          <w:kern w:val="28"/>
        </w:rPr>
        <w:br w:type="page"/>
      </w:r>
    </w:p>
    <w:p w:rsidR="00356FC1" w:rsidRPr="008B2B66" w:rsidRDefault="00AC1BC2" w:rsidP="00621862">
      <w:pPr>
        <w:pStyle w:val="Heading1"/>
        <w:numPr>
          <w:ilvl w:val="0"/>
          <w:numId w:val="11"/>
        </w:numPr>
        <w:spacing w:before="120" w:after="120"/>
        <w:ind w:left="720" w:hanging="720"/>
        <w:rPr>
          <w:rFonts w:ascii="Arial" w:hAnsi="Arial" w:cs="Arial"/>
          <w:smallCaps/>
          <w:sz w:val="24"/>
          <w:szCs w:val="24"/>
        </w:rPr>
      </w:pPr>
      <w:bookmarkStart w:id="3" w:name="_GoBack"/>
      <w:bookmarkEnd w:id="3"/>
      <w:r w:rsidRPr="008B2B66">
        <w:rPr>
          <w:rFonts w:ascii="Arial" w:hAnsi="Arial" w:cs="Arial"/>
          <w:smallCaps/>
          <w:sz w:val="24"/>
          <w:szCs w:val="24"/>
        </w:rPr>
        <w:lastRenderedPageBreak/>
        <w:t xml:space="preserve">Resultados y </w:t>
      </w:r>
      <w:r w:rsidR="00356FC1" w:rsidRPr="008B2B66">
        <w:rPr>
          <w:rFonts w:ascii="Arial" w:hAnsi="Arial" w:cs="Arial"/>
          <w:smallCaps/>
          <w:sz w:val="24"/>
          <w:szCs w:val="24"/>
        </w:rPr>
        <w:t>Consideraciones finales</w:t>
      </w:r>
    </w:p>
    <w:p w:rsidR="00E12863" w:rsidRPr="00621862" w:rsidRDefault="00621862" w:rsidP="00621862">
      <w:pPr>
        <w:spacing w:before="120" w:after="120"/>
        <w:ind w:left="720" w:hanging="720"/>
        <w:jc w:val="both"/>
        <w:rPr>
          <w:rFonts w:ascii="Arial" w:hAnsi="Arial" w:cs="Arial"/>
          <w:kern w:val="28"/>
          <w:sz w:val="22"/>
        </w:rPr>
      </w:pPr>
      <w:r w:rsidRPr="00621862">
        <w:rPr>
          <w:rFonts w:ascii="Arial" w:hAnsi="Arial" w:cs="Arial"/>
          <w:kern w:val="28"/>
          <w:sz w:val="22"/>
        </w:rPr>
        <w:t>6.1</w:t>
      </w:r>
      <w:r>
        <w:rPr>
          <w:rFonts w:ascii="Arial" w:hAnsi="Arial" w:cs="Arial"/>
          <w:kern w:val="28"/>
          <w:sz w:val="22"/>
        </w:rPr>
        <w:tab/>
      </w:r>
      <w:r w:rsidRPr="00621862">
        <w:rPr>
          <w:rFonts w:ascii="Arial" w:hAnsi="Arial" w:cs="Arial"/>
          <w:kern w:val="28"/>
          <w:sz w:val="22"/>
        </w:rPr>
        <w:t xml:space="preserve"> </w:t>
      </w:r>
      <w:r w:rsidR="00AC24F2" w:rsidRPr="00621862">
        <w:rPr>
          <w:rFonts w:ascii="Arial" w:hAnsi="Arial" w:cs="Arial"/>
          <w:kern w:val="28"/>
          <w:sz w:val="22"/>
        </w:rPr>
        <w:t>La evaluación económica muestra que las inversiones del programa son rentables según el análisis costo beneficio, con un VAN positivo (escenario base y escenario optimista) y una TIR mayor a la tasas de descuento utilizada</w:t>
      </w:r>
      <w:r w:rsidR="00E12863" w:rsidRPr="00621862">
        <w:rPr>
          <w:rFonts w:ascii="Arial" w:hAnsi="Arial" w:cs="Arial"/>
          <w:kern w:val="28"/>
          <w:sz w:val="22"/>
        </w:rPr>
        <w:t>s</w:t>
      </w:r>
      <w:r w:rsidR="00AC24F2" w:rsidRPr="00621862">
        <w:rPr>
          <w:rFonts w:ascii="Arial" w:hAnsi="Arial" w:cs="Arial"/>
          <w:kern w:val="28"/>
          <w:sz w:val="22"/>
        </w:rPr>
        <w:t xml:space="preserve"> para descontar el flujo de beneficios netos para todo el período bajo consideración.</w:t>
      </w:r>
    </w:p>
    <w:p w:rsidR="00B373D6" w:rsidRPr="00621862" w:rsidRDefault="00621862" w:rsidP="00621862">
      <w:pPr>
        <w:spacing w:before="120" w:after="120"/>
        <w:ind w:left="720" w:hanging="720"/>
        <w:jc w:val="both"/>
        <w:rPr>
          <w:rFonts w:ascii="Arial" w:hAnsi="Arial" w:cs="Arial"/>
          <w:kern w:val="28"/>
          <w:sz w:val="22"/>
        </w:rPr>
      </w:pPr>
      <w:r>
        <w:rPr>
          <w:rFonts w:ascii="Arial" w:hAnsi="Arial" w:cs="Arial"/>
          <w:kern w:val="28"/>
          <w:sz w:val="22"/>
        </w:rPr>
        <w:t>6.2</w:t>
      </w:r>
      <w:r>
        <w:rPr>
          <w:rFonts w:ascii="Arial" w:hAnsi="Arial" w:cs="Arial"/>
          <w:kern w:val="28"/>
          <w:sz w:val="22"/>
        </w:rPr>
        <w:tab/>
        <w:t xml:space="preserve"> </w:t>
      </w:r>
      <w:r w:rsidR="00EB717F" w:rsidRPr="00621862">
        <w:rPr>
          <w:rFonts w:ascii="Arial" w:hAnsi="Arial" w:cs="Arial"/>
          <w:kern w:val="28"/>
          <w:sz w:val="22"/>
        </w:rPr>
        <w:t>Las variables m</w:t>
      </w:r>
      <w:r w:rsidR="006F3B1D" w:rsidRPr="00621862">
        <w:rPr>
          <w:rFonts w:ascii="Arial" w:hAnsi="Arial" w:cs="Arial"/>
          <w:kern w:val="28"/>
          <w:sz w:val="22"/>
        </w:rPr>
        <w:t>á</w:t>
      </w:r>
      <w:r w:rsidR="00EB717F" w:rsidRPr="00621862">
        <w:rPr>
          <w:rFonts w:ascii="Arial" w:hAnsi="Arial" w:cs="Arial"/>
          <w:kern w:val="28"/>
          <w:sz w:val="22"/>
        </w:rPr>
        <w:t xml:space="preserve">s significativas en el análisis realizado son las tasas de aprobación en la EM y el diferencial de salarios entre concluir </w:t>
      </w:r>
      <w:r w:rsidR="00E12863" w:rsidRPr="00621862">
        <w:rPr>
          <w:rFonts w:ascii="Arial" w:hAnsi="Arial" w:cs="Arial"/>
          <w:kern w:val="28"/>
          <w:sz w:val="22"/>
        </w:rPr>
        <w:t xml:space="preserve">como mínimo </w:t>
      </w:r>
      <w:r w:rsidR="00EB717F" w:rsidRPr="00621862">
        <w:rPr>
          <w:rFonts w:ascii="Arial" w:hAnsi="Arial" w:cs="Arial"/>
          <w:kern w:val="28"/>
          <w:sz w:val="22"/>
        </w:rPr>
        <w:t>l</w:t>
      </w:r>
      <w:r w:rsidR="00E12863" w:rsidRPr="00621862">
        <w:rPr>
          <w:rFonts w:ascii="Arial" w:hAnsi="Arial" w:cs="Arial"/>
          <w:kern w:val="28"/>
          <w:sz w:val="22"/>
        </w:rPr>
        <w:t>a</w:t>
      </w:r>
      <w:r w:rsidR="00EB717F" w:rsidRPr="00621862">
        <w:rPr>
          <w:rFonts w:ascii="Arial" w:hAnsi="Arial" w:cs="Arial"/>
          <w:kern w:val="28"/>
          <w:sz w:val="22"/>
        </w:rPr>
        <w:t xml:space="preserve"> EM y no concluirl</w:t>
      </w:r>
      <w:r w:rsidR="00E12863" w:rsidRPr="00621862">
        <w:rPr>
          <w:rFonts w:ascii="Arial" w:hAnsi="Arial" w:cs="Arial"/>
          <w:kern w:val="28"/>
          <w:sz w:val="22"/>
        </w:rPr>
        <w:t>a</w:t>
      </w:r>
      <w:r w:rsidR="00EB717F" w:rsidRPr="00621862">
        <w:rPr>
          <w:rFonts w:ascii="Arial" w:hAnsi="Arial" w:cs="Arial"/>
          <w:kern w:val="28"/>
          <w:sz w:val="22"/>
        </w:rPr>
        <w:t>. Es notable además el impacto de la diferencia en la tasa de aprobación de la EMB respecto a la EMS. Ello lleva a que el impacto esperado en los beneficios no sea tan alto, en donde lo significativo es el porcentaje de egreso en la EMB (+85%), que es donde debería hacer hincapié la reforma.</w:t>
      </w:r>
    </w:p>
    <w:p w:rsidR="00B373D6" w:rsidRPr="00621862" w:rsidRDefault="00621862" w:rsidP="00621862">
      <w:pPr>
        <w:spacing w:before="120" w:after="120"/>
        <w:ind w:left="720" w:hanging="720"/>
        <w:jc w:val="both"/>
        <w:rPr>
          <w:rFonts w:ascii="Arial" w:hAnsi="Arial" w:cs="Arial"/>
          <w:kern w:val="28"/>
          <w:sz w:val="22"/>
        </w:rPr>
      </w:pPr>
      <w:r>
        <w:rPr>
          <w:rFonts w:ascii="Arial" w:hAnsi="Arial" w:cs="Arial"/>
          <w:kern w:val="28"/>
          <w:sz w:val="22"/>
        </w:rPr>
        <w:t>6.3</w:t>
      </w:r>
      <w:r>
        <w:rPr>
          <w:rFonts w:ascii="Arial" w:hAnsi="Arial" w:cs="Arial"/>
          <w:kern w:val="28"/>
          <w:sz w:val="22"/>
        </w:rPr>
        <w:tab/>
        <w:t xml:space="preserve"> </w:t>
      </w:r>
      <w:r w:rsidR="006F3B1D" w:rsidRPr="00621862">
        <w:rPr>
          <w:rFonts w:ascii="Arial" w:hAnsi="Arial" w:cs="Arial"/>
          <w:kern w:val="28"/>
          <w:sz w:val="22"/>
        </w:rPr>
        <w:t>Cuan</w:t>
      </w:r>
      <w:r w:rsidR="00917C30" w:rsidRPr="00621862">
        <w:rPr>
          <w:rFonts w:ascii="Arial" w:hAnsi="Arial" w:cs="Arial"/>
          <w:kern w:val="28"/>
          <w:sz w:val="22"/>
        </w:rPr>
        <w:t xml:space="preserve">do se fuerzan los resultados bajando las tasas de aprobación de la EM al 67%, mostrando el impacto de </w:t>
      </w:r>
      <w:r w:rsidR="006F3B1D" w:rsidRPr="00621862">
        <w:rPr>
          <w:rFonts w:ascii="Arial" w:hAnsi="Arial" w:cs="Arial"/>
          <w:kern w:val="28"/>
          <w:sz w:val="22"/>
        </w:rPr>
        <w:t>la reforma recién en el 2021</w:t>
      </w:r>
      <w:r w:rsidR="00B373D6" w:rsidRPr="00621862">
        <w:rPr>
          <w:rFonts w:ascii="Arial" w:hAnsi="Arial" w:cs="Arial"/>
          <w:kern w:val="28"/>
          <w:sz w:val="22"/>
        </w:rPr>
        <w:t>,</w:t>
      </w:r>
      <w:r w:rsidR="00917C30" w:rsidRPr="00621862">
        <w:rPr>
          <w:rFonts w:ascii="Arial" w:hAnsi="Arial" w:cs="Arial"/>
          <w:kern w:val="28"/>
          <w:sz w:val="22"/>
        </w:rPr>
        <w:t xml:space="preserve"> </w:t>
      </w:r>
      <w:r w:rsidR="006F3B1D" w:rsidRPr="00621862">
        <w:rPr>
          <w:rFonts w:ascii="Arial" w:hAnsi="Arial" w:cs="Arial"/>
          <w:kern w:val="28"/>
          <w:sz w:val="22"/>
        </w:rPr>
        <w:t>afecta</w:t>
      </w:r>
      <w:r w:rsidR="00917C30" w:rsidRPr="00621862">
        <w:rPr>
          <w:rFonts w:ascii="Arial" w:hAnsi="Arial" w:cs="Arial"/>
          <w:kern w:val="28"/>
          <w:sz w:val="22"/>
        </w:rPr>
        <w:t>ndo</w:t>
      </w:r>
      <w:r w:rsidR="006F3B1D" w:rsidRPr="00621862">
        <w:rPr>
          <w:rFonts w:ascii="Arial" w:hAnsi="Arial" w:cs="Arial"/>
          <w:kern w:val="28"/>
          <w:sz w:val="22"/>
        </w:rPr>
        <w:t xml:space="preserve"> al 80% de los alumnos previstos</w:t>
      </w:r>
      <w:r w:rsidR="00917C30" w:rsidRPr="00621862">
        <w:rPr>
          <w:rFonts w:ascii="Arial" w:hAnsi="Arial" w:cs="Arial"/>
          <w:kern w:val="28"/>
          <w:sz w:val="22"/>
        </w:rPr>
        <w:t xml:space="preserve">, y disminuyendo los </w:t>
      </w:r>
      <w:r w:rsidR="006F3B1D" w:rsidRPr="00621862">
        <w:rPr>
          <w:rFonts w:ascii="Arial" w:hAnsi="Arial" w:cs="Arial"/>
          <w:kern w:val="28"/>
          <w:sz w:val="22"/>
        </w:rPr>
        <w:t xml:space="preserve">cupos creados a partir de las construcciones y ampliaciones alcanzan </w:t>
      </w:r>
      <w:r w:rsidR="00917C30" w:rsidRPr="00621862">
        <w:rPr>
          <w:rFonts w:ascii="Arial" w:hAnsi="Arial" w:cs="Arial"/>
          <w:kern w:val="28"/>
          <w:sz w:val="22"/>
        </w:rPr>
        <w:t xml:space="preserve">(sólo el </w:t>
      </w:r>
      <w:r w:rsidR="006F3B1D" w:rsidRPr="00621862">
        <w:rPr>
          <w:rFonts w:ascii="Arial" w:hAnsi="Arial" w:cs="Arial"/>
          <w:kern w:val="28"/>
          <w:sz w:val="22"/>
        </w:rPr>
        <w:t>83% de los planificados</w:t>
      </w:r>
      <w:r w:rsidR="00917C30" w:rsidRPr="00621862">
        <w:rPr>
          <w:rFonts w:ascii="Arial" w:hAnsi="Arial" w:cs="Arial"/>
          <w:kern w:val="28"/>
          <w:sz w:val="22"/>
        </w:rPr>
        <w:t>), la TIR comienza a ser menor a la tasa de descuento.</w:t>
      </w:r>
    </w:p>
    <w:p w:rsidR="00917C30" w:rsidRPr="00621862" w:rsidRDefault="00621862" w:rsidP="00621862">
      <w:pPr>
        <w:spacing w:before="120" w:after="120"/>
        <w:ind w:left="720" w:hanging="720"/>
        <w:jc w:val="both"/>
        <w:rPr>
          <w:rFonts w:ascii="Arial" w:hAnsi="Arial" w:cs="Arial"/>
          <w:kern w:val="28"/>
          <w:sz w:val="22"/>
        </w:rPr>
      </w:pPr>
      <w:r>
        <w:rPr>
          <w:rFonts w:ascii="Arial" w:hAnsi="Arial" w:cs="Arial"/>
          <w:kern w:val="28"/>
          <w:sz w:val="22"/>
        </w:rPr>
        <w:t>6.4</w:t>
      </w:r>
      <w:r>
        <w:rPr>
          <w:rFonts w:ascii="Arial" w:hAnsi="Arial" w:cs="Arial"/>
          <w:kern w:val="28"/>
          <w:sz w:val="22"/>
        </w:rPr>
        <w:tab/>
        <w:t xml:space="preserve"> </w:t>
      </w:r>
      <w:r w:rsidR="00917C30" w:rsidRPr="00621862">
        <w:rPr>
          <w:rFonts w:ascii="Arial" w:hAnsi="Arial" w:cs="Arial"/>
          <w:kern w:val="28"/>
          <w:sz w:val="22"/>
        </w:rPr>
        <w:t xml:space="preserve">El </w:t>
      </w:r>
      <w:r w:rsidR="00BC336F" w:rsidRPr="00621862">
        <w:rPr>
          <w:rFonts w:ascii="Arial" w:hAnsi="Arial" w:cs="Arial"/>
          <w:kern w:val="28"/>
          <w:sz w:val="22"/>
        </w:rPr>
        <w:t>beneficio más significativo, como es de esperar, está</w:t>
      </w:r>
      <w:r w:rsidR="00917C30" w:rsidRPr="00621862">
        <w:rPr>
          <w:rFonts w:ascii="Arial" w:hAnsi="Arial" w:cs="Arial"/>
          <w:kern w:val="28"/>
          <w:sz w:val="22"/>
        </w:rPr>
        <w:t xml:space="preserve"> representado por </w:t>
      </w:r>
      <w:r w:rsidR="00BC336F" w:rsidRPr="00621862">
        <w:rPr>
          <w:rFonts w:ascii="Arial" w:hAnsi="Arial" w:cs="Arial"/>
          <w:kern w:val="28"/>
          <w:sz w:val="22"/>
        </w:rPr>
        <w:t xml:space="preserve">el efecto de la reforma sobre las tasas de aprobación, ya que impacta no sólo sobre los nuevos cupos sino sobre la matrícula vigente, previa a la intervención. </w:t>
      </w:r>
    </w:p>
    <w:p w:rsidR="00E34FA5" w:rsidRPr="008B2B66" w:rsidRDefault="00E34FA5" w:rsidP="008A3BFE">
      <w:pPr>
        <w:pStyle w:val="Paragraph"/>
        <w:numPr>
          <w:ilvl w:val="0"/>
          <w:numId w:val="0"/>
        </w:numPr>
        <w:spacing w:before="0" w:after="0"/>
        <w:rPr>
          <w:rFonts w:ascii="Arial" w:hAnsi="Arial" w:cs="Arial"/>
          <w:highlight w:val="magenta"/>
        </w:rPr>
      </w:pPr>
    </w:p>
    <w:p w:rsidR="00FE06C8" w:rsidRPr="008B2B66" w:rsidRDefault="00FE06C8" w:rsidP="008A3BFE">
      <w:pPr>
        <w:pStyle w:val="Paragraph"/>
        <w:numPr>
          <w:ilvl w:val="0"/>
          <w:numId w:val="0"/>
        </w:numPr>
        <w:spacing w:before="0" w:after="0"/>
        <w:rPr>
          <w:rFonts w:ascii="Arial" w:hAnsi="Arial" w:cs="Arial"/>
          <w:highlight w:val="magenta"/>
        </w:rPr>
      </w:pPr>
    </w:p>
    <w:p w:rsidR="00FE06C8" w:rsidRPr="008B2B66" w:rsidRDefault="00FE06C8" w:rsidP="008A3BFE">
      <w:pPr>
        <w:rPr>
          <w:rFonts w:ascii="Arial" w:hAnsi="Arial" w:cs="Arial"/>
          <w:b/>
          <w:bCs/>
          <w:smallCaps/>
          <w:kern w:val="32"/>
          <w:highlight w:val="magenta"/>
        </w:rPr>
      </w:pPr>
      <w:r w:rsidRPr="008B2B66">
        <w:rPr>
          <w:rFonts w:ascii="Arial" w:hAnsi="Arial" w:cs="Arial"/>
          <w:smallCaps/>
          <w:highlight w:val="magenta"/>
        </w:rPr>
        <w:br w:type="page"/>
      </w:r>
    </w:p>
    <w:p w:rsidR="00143BEF" w:rsidRPr="008B2B66" w:rsidRDefault="00356FC1" w:rsidP="00B373D6">
      <w:pPr>
        <w:pStyle w:val="Heading1"/>
        <w:spacing w:before="0" w:after="0"/>
        <w:rPr>
          <w:rFonts w:ascii="Arial" w:hAnsi="Arial" w:cs="Arial"/>
          <w:smallCaps/>
          <w:sz w:val="24"/>
          <w:szCs w:val="24"/>
        </w:rPr>
      </w:pPr>
      <w:r w:rsidRPr="008B2B66">
        <w:rPr>
          <w:rFonts w:ascii="Arial" w:hAnsi="Arial" w:cs="Arial"/>
          <w:smallCaps/>
          <w:sz w:val="24"/>
          <w:szCs w:val="24"/>
        </w:rPr>
        <w:lastRenderedPageBreak/>
        <w:t>Bibliografía</w:t>
      </w:r>
    </w:p>
    <w:p w:rsidR="003A5DCF" w:rsidRPr="008B2B66" w:rsidRDefault="003A5DCF" w:rsidP="008A3BFE">
      <w:pPr>
        <w:jc w:val="both"/>
        <w:rPr>
          <w:rFonts w:ascii="Arial" w:hAnsi="Arial" w:cs="Arial"/>
          <w:sz w:val="22"/>
          <w:szCs w:val="22"/>
          <w:lang w:val="en-US"/>
        </w:rPr>
      </w:pPr>
    </w:p>
    <w:p w:rsidR="008A37C4" w:rsidRPr="00621862" w:rsidRDefault="00E30CD8" w:rsidP="00621862">
      <w:pPr>
        <w:pStyle w:val="ListParagraph"/>
        <w:numPr>
          <w:ilvl w:val="0"/>
          <w:numId w:val="12"/>
        </w:numPr>
        <w:tabs>
          <w:tab w:val="left" w:pos="360"/>
        </w:tabs>
        <w:spacing w:before="120" w:after="120"/>
        <w:ind w:left="360"/>
        <w:contextualSpacing w:val="0"/>
        <w:jc w:val="both"/>
        <w:rPr>
          <w:rFonts w:ascii="Arial" w:hAnsi="Arial" w:cs="Arial"/>
          <w:lang w:val="en-US"/>
        </w:rPr>
      </w:pPr>
      <w:r w:rsidRPr="00621862">
        <w:rPr>
          <w:rFonts w:ascii="Arial" w:hAnsi="Arial" w:cs="Arial"/>
          <w:lang w:val="en-US"/>
        </w:rPr>
        <w:t xml:space="preserve">BARNETT, </w:t>
      </w:r>
      <w:r w:rsidR="008A37C4" w:rsidRPr="00621862">
        <w:rPr>
          <w:rFonts w:ascii="Arial" w:hAnsi="Arial" w:cs="Arial"/>
          <w:lang w:val="en-US"/>
        </w:rPr>
        <w:t>S. y LEONARD N. Masse. (2007). “Comparative benefit-cost analysis of the Abecedarian program and its policy implications” Economics of Education Review 26 (2007) 113-125.</w:t>
      </w:r>
    </w:p>
    <w:p w:rsidR="008A37C4" w:rsidRPr="00621862" w:rsidRDefault="008A37C4" w:rsidP="00621862">
      <w:pPr>
        <w:pStyle w:val="ListParagraph"/>
        <w:numPr>
          <w:ilvl w:val="0"/>
          <w:numId w:val="12"/>
        </w:numPr>
        <w:tabs>
          <w:tab w:val="left" w:pos="360"/>
        </w:tabs>
        <w:spacing w:before="120" w:after="120"/>
        <w:ind w:left="360"/>
        <w:contextualSpacing w:val="0"/>
        <w:jc w:val="both"/>
        <w:rPr>
          <w:rFonts w:ascii="Arial" w:hAnsi="Arial" w:cs="Arial"/>
          <w:lang w:val="en-US"/>
        </w:rPr>
      </w:pPr>
      <w:r w:rsidRPr="00621862">
        <w:rPr>
          <w:rFonts w:ascii="Arial" w:hAnsi="Arial" w:cs="Arial"/>
          <w:lang w:val="en-US"/>
        </w:rPr>
        <w:t>BARNETT, Steven (2008) “Preschool Education and Its Lasting Effects:Research and Policy Implications” National Institute for Early Education Research.</w:t>
      </w:r>
    </w:p>
    <w:p w:rsidR="003A5DCF" w:rsidRPr="00621862" w:rsidRDefault="003A5DCF" w:rsidP="00621862">
      <w:pPr>
        <w:pStyle w:val="ListParagraph"/>
        <w:numPr>
          <w:ilvl w:val="0"/>
          <w:numId w:val="12"/>
        </w:numPr>
        <w:tabs>
          <w:tab w:val="left" w:pos="360"/>
        </w:tabs>
        <w:spacing w:before="120" w:after="120"/>
        <w:ind w:left="360"/>
        <w:contextualSpacing w:val="0"/>
        <w:jc w:val="both"/>
        <w:rPr>
          <w:rFonts w:ascii="Arial" w:hAnsi="Arial" w:cs="Arial"/>
          <w:lang w:val="en-US"/>
        </w:rPr>
      </w:pPr>
      <w:r w:rsidRPr="00621862">
        <w:rPr>
          <w:rFonts w:ascii="Arial" w:hAnsi="Arial" w:cs="Arial"/>
        </w:rPr>
        <w:t xml:space="preserve">Campos, H. y Ferrando, F. (2014) </w:t>
      </w:r>
      <w:r w:rsidRPr="00621862">
        <w:rPr>
          <w:rFonts w:ascii="Arial" w:hAnsi="Arial" w:cs="Arial"/>
          <w:kern w:val="28"/>
        </w:rPr>
        <w:t xml:space="preserve">"La universalización de la educación obligatoria en Uruguay: Avances y desafíos". </w:t>
      </w:r>
      <w:r w:rsidRPr="00621862">
        <w:rPr>
          <w:rFonts w:ascii="Arial" w:hAnsi="Arial" w:cs="Arial"/>
          <w:kern w:val="28"/>
          <w:lang w:val="en-US"/>
        </w:rPr>
        <w:t>UNEED. Uruguay.</w:t>
      </w:r>
      <w:r w:rsidRPr="00621862">
        <w:rPr>
          <w:rFonts w:ascii="Arial" w:hAnsi="Arial" w:cs="Arial"/>
          <w:lang w:val="en-US"/>
        </w:rPr>
        <w:t xml:space="preserve"> </w:t>
      </w:r>
      <w:hyperlink r:id="rId13" w:tgtFrame="_blank" w:history="1">
        <w:r w:rsidRPr="00621862">
          <w:rPr>
            <w:rStyle w:val="Hyperlink"/>
            <w:rFonts w:ascii="Arial" w:hAnsi="Arial" w:cs="Arial"/>
            <w:color w:val="1155CC"/>
            <w:shd w:val="clear" w:color="auto" w:fill="FFFFFF"/>
            <w:lang w:val="en-US"/>
          </w:rPr>
          <w:t>http://www.ineed.edu.uy/sites/default/files/Aristas-%20La%20universalizaci%C3%B3n%20de%20la%20educaci%C3%B3n%20obligatoria%20en%20Uruguay.pdf</w:t>
        </w:r>
      </w:hyperlink>
    </w:p>
    <w:p w:rsidR="008B14F3" w:rsidRPr="00621862" w:rsidRDefault="003A5DCF" w:rsidP="00621862">
      <w:pPr>
        <w:pStyle w:val="FootnoteText"/>
        <w:numPr>
          <w:ilvl w:val="0"/>
          <w:numId w:val="12"/>
        </w:numPr>
        <w:tabs>
          <w:tab w:val="left" w:pos="360"/>
        </w:tabs>
        <w:spacing w:before="120" w:after="120"/>
        <w:ind w:left="360"/>
        <w:rPr>
          <w:rFonts w:ascii="Arial" w:hAnsi="Arial" w:cs="Arial"/>
          <w:sz w:val="22"/>
          <w:szCs w:val="22"/>
        </w:rPr>
      </w:pPr>
      <w:r w:rsidRPr="00621862">
        <w:rPr>
          <w:rFonts w:ascii="Arial" w:hAnsi="Arial" w:cs="Arial"/>
          <w:sz w:val="22"/>
          <w:szCs w:val="22"/>
        </w:rPr>
        <w:t xml:space="preserve">Instituto Nacional de Estadísticas de Uruguay. </w:t>
      </w:r>
      <w:hyperlink r:id="rId14" w:tgtFrame="_blank" w:history="1">
        <w:r w:rsidR="008B14F3" w:rsidRPr="00621862">
          <w:rPr>
            <w:rStyle w:val="Hyperlink"/>
            <w:rFonts w:ascii="Arial" w:hAnsi="Arial" w:cs="Arial"/>
            <w:color w:val="1155CC"/>
            <w:sz w:val="22"/>
            <w:szCs w:val="22"/>
            <w:shd w:val="clear" w:color="auto" w:fill="FFFFFF"/>
          </w:rPr>
          <w:t>http://www.ine.gub.uy/salario-minimo-nacional</w:t>
        </w:r>
      </w:hyperlink>
    </w:p>
    <w:p w:rsidR="003A5DCF" w:rsidRPr="00621862" w:rsidRDefault="003A5DCF" w:rsidP="00621862">
      <w:pPr>
        <w:pStyle w:val="ListParagraph"/>
        <w:numPr>
          <w:ilvl w:val="0"/>
          <w:numId w:val="12"/>
        </w:numPr>
        <w:tabs>
          <w:tab w:val="left" w:pos="360"/>
        </w:tabs>
        <w:spacing w:before="120" w:after="120"/>
        <w:ind w:left="360"/>
        <w:contextualSpacing w:val="0"/>
        <w:rPr>
          <w:rStyle w:val="Hyperlink"/>
          <w:rFonts w:ascii="Arial" w:hAnsi="Arial" w:cs="Arial"/>
        </w:rPr>
      </w:pPr>
      <w:r w:rsidRPr="00621862">
        <w:rPr>
          <w:rFonts w:ascii="Arial" w:hAnsi="Arial" w:cs="Arial"/>
        </w:rPr>
        <w:t xml:space="preserve">Instituto Nacional de Evaluación Educativa  </w:t>
      </w:r>
      <w:hyperlink r:id="rId15" w:history="1">
        <w:r w:rsidRPr="00621862">
          <w:rPr>
            <w:rStyle w:val="Hyperlink"/>
            <w:rFonts w:ascii="Arial" w:hAnsi="Arial" w:cs="Arial"/>
            <w:lang w:val="es-AR"/>
          </w:rPr>
          <w:t>http://www.ineed.edu.uy/sites/default/files/Resumen%20semanal%20del%207%20al%2013%20de%20febrero.pdf</w:t>
        </w:r>
      </w:hyperlink>
    </w:p>
    <w:p w:rsidR="003A5DCF" w:rsidRPr="00621862" w:rsidRDefault="003A5DCF" w:rsidP="00621862">
      <w:pPr>
        <w:pStyle w:val="ListParagraph"/>
        <w:numPr>
          <w:ilvl w:val="0"/>
          <w:numId w:val="12"/>
        </w:numPr>
        <w:tabs>
          <w:tab w:val="left" w:pos="360"/>
        </w:tabs>
        <w:spacing w:before="120" w:after="120"/>
        <w:ind w:left="360"/>
        <w:contextualSpacing w:val="0"/>
        <w:jc w:val="both"/>
        <w:rPr>
          <w:rFonts w:ascii="Arial" w:hAnsi="Arial" w:cs="Arial"/>
          <w:lang w:val="es-AR"/>
        </w:rPr>
      </w:pPr>
      <w:r w:rsidRPr="00621862">
        <w:rPr>
          <w:rFonts w:ascii="Arial" w:hAnsi="Arial" w:cs="Arial"/>
          <w:lang w:val="es-AR"/>
        </w:rPr>
        <w:t>Programa de Mejoría de la Calidad de la Educación del Municipio de Porto Alegre (BR-1393)</w:t>
      </w:r>
    </w:p>
    <w:p w:rsidR="003A5DCF" w:rsidRPr="00621862" w:rsidRDefault="003A5DCF" w:rsidP="00621862">
      <w:pPr>
        <w:pStyle w:val="FootnoteText"/>
        <w:numPr>
          <w:ilvl w:val="0"/>
          <w:numId w:val="12"/>
        </w:numPr>
        <w:tabs>
          <w:tab w:val="left" w:pos="360"/>
        </w:tabs>
        <w:spacing w:before="120" w:after="120"/>
        <w:ind w:left="360"/>
        <w:rPr>
          <w:rStyle w:val="Hyperlink"/>
          <w:rFonts w:ascii="Arial" w:hAnsi="Arial" w:cs="Arial"/>
          <w:color w:val="1155CC"/>
          <w:sz w:val="22"/>
          <w:szCs w:val="22"/>
          <w:shd w:val="clear" w:color="auto" w:fill="FFFFFF"/>
        </w:rPr>
      </w:pPr>
      <w:r w:rsidRPr="00621862">
        <w:rPr>
          <w:rFonts w:ascii="Arial" w:hAnsi="Arial" w:cs="Arial"/>
          <w:sz w:val="22"/>
          <w:szCs w:val="22"/>
        </w:rPr>
        <w:t xml:space="preserve">Sistema Nacional de Inversión Pública. Oficina de Planeamiento y Presupuesto. “Precios sociales y pautas técnicas para  la evaluación socioeconómica”.Octubre 2014. </w:t>
      </w:r>
      <w:hyperlink r:id="rId16" w:history="1">
        <w:r w:rsidRPr="00621862">
          <w:rPr>
            <w:rStyle w:val="Hyperlink"/>
            <w:rFonts w:ascii="Arial" w:hAnsi="Arial" w:cs="Arial"/>
            <w:color w:val="1155CC"/>
            <w:sz w:val="22"/>
            <w:szCs w:val="22"/>
            <w:shd w:val="clear" w:color="auto" w:fill="FFFFFF"/>
          </w:rPr>
          <w:t>http://www.opp.gub.uy/images/Precios_y_pautas.pdf</w:t>
        </w:r>
      </w:hyperlink>
    </w:p>
    <w:p w:rsidR="008B14F3" w:rsidRPr="00621862" w:rsidRDefault="003A5DCF" w:rsidP="00621862">
      <w:pPr>
        <w:pStyle w:val="FootnoteText"/>
        <w:numPr>
          <w:ilvl w:val="0"/>
          <w:numId w:val="12"/>
        </w:numPr>
        <w:tabs>
          <w:tab w:val="left" w:pos="360"/>
        </w:tabs>
        <w:spacing w:before="120" w:after="120"/>
        <w:ind w:left="360"/>
        <w:rPr>
          <w:rStyle w:val="Hyperlink"/>
          <w:rFonts w:ascii="Arial" w:hAnsi="Arial" w:cs="Arial"/>
          <w:color w:val="1155CC"/>
          <w:sz w:val="22"/>
          <w:szCs w:val="22"/>
          <w:shd w:val="clear" w:color="auto" w:fill="FFFFFF"/>
        </w:rPr>
      </w:pPr>
      <w:r w:rsidRPr="00621862">
        <w:rPr>
          <w:rFonts w:ascii="Arial" w:hAnsi="Arial" w:cs="Arial"/>
          <w:sz w:val="22"/>
          <w:szCs w:val="22"/>
          <w:lang w:val="en-US"/>
        </w:rPr>
        <w:t xml:space="preserve">Whitehurst, G (2009): “Don’t Forget Curriculum”. Brown Center Letters On Education. </w:t>
      </w:r>
      <w:r w:rsidRPr="00621862">
        <w:rPr>
          <w:rFonts w:ascii="Arial" w:hAnsi="Arial" w:cs="Arial"/>
          <w:sz w:val="22"/>
          <w:szCs w:val="22"/>
        </w:rPr>
        <w:t xml:space="preserve">Octubre 2009. </w:t>
      </w:r>
      <w:hyperlink r:id="rId17" w:history="1">
        <w:r w:rsidRPr="00621862">
          <w:rPr>
            <w:rStyle w:val="Hyperlink"/>
            <w:rFonts w:ascii="Arial" w:hAnsi="Arial" w:cs="Arial"/>
            <w:color w:val="1155CC"/>
            <w:sz w:val="22"/>
            <w:szCs w:val="22"/>
            <w:shd w:val="clear" w:color="auto" w:fill="FFFFFF"/>
          </w:rPr>
          <w:t>http://www.brookings.edu/~/media/Files/rc/papers/2009/1014_curriculum_whitehurst/1014_curriculum_whitehurst.pdf</w:t>
        </w:r>
      </w:hyperlink>
    </w:p>
    <w:p w:rsidR="003A5DCF" w:rsidRPr="008B2B66" w:rsidRDefault="003A5DCF" w:rsidP="003A5DCF">
      <w:pPr>
        <w:pStyle w:val="FootnoteText"/>
        <w:spacing w:before="120" w:after="120"/>
        <w:ind w:left="142"/>
        <w:jc w:val="both"/>
        <w:rPr>
          <w:rFonts w:ascii="Arial" w:hAnsi="Arial" w:cs="Arial"/>
          <w:sz w:val="22"/>
          <w:szCs w:val="22"/>
        </w:rPr>
      </w:pPr>
    </w:p>
    <w:sectPr w:rsidR="003A5DCF" w:rsidRPr="008B2B66" w:rsidSect="00681401">
      <w:headerReference w:type="default" r:id="rId1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998" w:rsidRDefault="00251998" w:rsidP="00225F47">
      <w:r>
        <w:separator/>
      </w:r>
    </w:p>
  </w:endnote>
  <w:endnote w:type="continuationSeparator" w:id="0">
    <w:p w:rsidR="00251998" w:rsidRDefault="00251998" w:rsidP="00225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998" w:rsidRDefault="00251998" w:rsidP="00225F47">
      <w:r>
        <w:separator/>
      </w:r>
    </w:p>
  </w:footnote>
  <w:footnote w:type="continuationSeparator" w:id="0">
    <w:p w:rsidR="00251998" w:rsidRDefault="00251998" w:rsidP="00225F47">
      <w:r>
        <w:continuationSeparator/>
      </w:r>
    </w:p>
  </w:footnote>
  <w:footnote w:id="1">
    <w:p w:rsidR="00917C30" w:rsidRPr="00A57488" w:rsidRDefault="00917C30" w:rsidP="00A57488">
      <w:pPr>
        <w:pStyle w:val="FootnoteText"/>
        <w:ind w:left="360" w:hanging="360"/>
        <w:rPr>
          <w:rFonts w:ascii="Arial" w:hAnsi="Arial" w:cs="Arial"/>
          <w:sz w:val="18"/>
          <w:lang w:val="es-AR"/>
        </w:rPr>
      </w:pPr>
      <w:r w:rsidRPr="00A57488">
        <w:rPr>
          <w:rStyle w:val="FootnoteReference"/>
          <w:rFonts w:ascii="Arial" w:hAnsi="Arial" w:cs="Arial"/>
          <w:sz w:val="18"/>
        </w:rPr>
        <w:footnoteRef/>
      </w:r>
      <w:r w:rsidRPr="00A57488">
        <w:rPr>
          <w:rFonts w:ascii="Arial" w:hAnsi="Arial" w:cs="Arial"/>
          <w:sz w:val="18"/>
        </w:rPr>
        <w:t xml:space="preserve"> </w:t>
      </w:r>
      <w:r w:rsidR="00A57488">
        <w:rPr>
          <w:rFonts w:ascii="Arial" w:hAnsi="Arial" w:cs="Arial"/>
          <w:sz w:val="18"/>
        </w:rPr>
        <w:tab/>
      </w:r>
      <w:r w:rsidRPr="00A57488">
        <w:rPr>
          <w:rFonts w:ascii="Arial" w:hAnsi="Arial" w:cs="Arial"/>
          <w:sz w:val="18"/>
          <w:lang w:val="es-AR"/>
        </w:rPr>
        <w:t>La EM consta de dos ciclos de tres años. La Educación Media Básica (EMB) y la Educación Media Superior (EMS).</w:t>
      </w:r>
    </w:p>
  </w:footnote>
  <w:footnote w:id="2">
    <w:p w:rsidR="00917C30" w:rsidRPr="009804F4" w:rsidRDefault="00917C30" w:rsidP="00A57488">
      <w:pPr>
        <w:pStyle w:val="FootnoteText"/>
        <w:ind w:left="360" w:hanging="360"/>
        <w:jc w:val="both"/>
        <w:rPr>
          <w:lang w:val="es-AR"/>
        </w:rPr>
      </w:pPr>
      <w:r w:rsidRPr="00A57488">
        <w:rPr>
          <w:rStyle w:val="FootnoteReference"/>
          <w:rFonts w:ascii="Arial" w:hAnsi="Arial" w:cs="Arial"/>
          <w:sz w:val="18"/>
        </w:rPr>
        <w:footnoteRef/>
      </w:r>
      <w:r w:rsidRPr="00A57488">
        <w:rPr>
          <w:rFonts w:ascii="Arial" w:hAnsi="Arial" w:cs="Arial"/>
          <w:sz w:val="18"/>
        </w:rPr>
        <w:t xml:space="preserve"> </w:t>
      </w:r>
      <w:r w:rsidR="00A57488">
        <w:rPr>
          <w:rFonts w:ascii="Arial" w:hAnsi="Arial" w:cs="Arial"/>
          <w:sz w:val="18"/>
        </w:rPr>
        <w:tab/>
      </w:r>
      <w:r w:rsidR="008D6396" w:rsidRPr="00A57488">
        <w:rPr>
          <w:rFonts w:ascii="Arial" w:hAnsi="Arial" w:cs="Arial"/>
          <w:sz w:val="18"/>
          <w:lang w:val="es-AR"/>
        </w:rPr>
        <w:t>La línea de</w:t>
      </w:r>
      <w:r w:rsidRPr="00A57488">
        <w:rPr>
          <w:rFonts w:ascii="Arial" w:hAnsi="Arial" w:cs="Arial"/>
          <w:sz w:val="18"/>
          <w:lang w:val="es-AR"/>
        </w:rPr>
        <w:t xml:space="preserve"> costos por gerenciamiento del programa se estima en U$S 4.97 millones.</w:t>
      </w:r>
    </w:p>
  </w:footnote>
  <w:footnote w:id="3">
    <w:p w:rsidR="00917C30" w:rsidRPr="00C6662F" w:rsidRDefault="00917C30" w:rsidP="00681401">
      <w:pPr>
        <w:pStyle w:val="FootnoteText"/>
        <w:ind w:left="360" w:hanging="360"/>
        <w:jc w:val="both"/>
        <w:rPr>
          <w:rFonts w:ascii="Arial" w:hAnsi="Arial" w:cs="Arial"/>
          <w:sz w:val="18"/>
          <w:szCs w:val="18"/>
        </w:rPr>
      </w:pPr>
      <w:r w:rsidRPr="00681401">
        <w:rPr>
          <w:rStyle w:val="FootnoteReference"/>
          <w:rFonts w:ascii="Arial" w:hAnsi="Arial" w:cs="Arial"/>
          <w:sz w:val="18"/>
        </w:rPr>
        <w:footnoteRef/>
      </w:r>
      <w:r w:rsidRPr="00681401">
        <w:rPr>
          <w:rFonts w:ascii="Arial" w:hAnsi="Arial" w:cs="Arial"/>
          <w:sz w:val="18"/>
        </w:rPr>
        <w:t xml:space="preserve"> </w:t>
      </w:r>
      <w:r w:rsidR="00681401">
        <w:rPr>
          <w:rFonts w:ascii="Arial" w:hAnsi="Arial" w:cs="Arial"/>
          <w:sz w:val="18"/>
        </w:rPr>
        <w:tab/>
      </w:r>
      <w:r w:rsidRPr="00C6662F">
        <w:rPr>
          <w:rFonts w:ascii="Arial" w:hAnsi="Arial" w:cs="Arial"/>
          <w:sz w:val="18"/>
          <w:szCs w:val="18"/>
        </w:rPr>
        <w:t>TC: 1=33</w:t>
      </w:r>
    </w:p>
  </w:footnote>
  <w:footnote w:id="4">
    <w:p w:rsidR="00917C30" w:rsidRPr="00C6662F" w:rsidRDefault="00917C30" w:rsidP="00681401">
      <w:pPr>
        <w:pStyle w:val="FootnoteText"/>
        <w:ind w:left="360" w:hanging="360"/>
        <w:rPr>
          <w:rFonts w:ascii="Arial" w:hAnsi="Arial" w:cs="Arial"/>
          <w:sz w:val="18"/>
          <w:szCs w:val="18"/>
          <w:lang w:val="es-AR"/>
        </w:rPr>
      </w:pPr>
      <w:r w:rsidRPr="00C6662F">
        <w:rPr>
          <w:rStyle w:val="FootnoteReference"/>
          <w:rFonts w:ascii="Arial" w:hAnsi="Arial" w:cs="Arial"/>
          <w:sz w:val="18"/>
          <w:szCs w:val="18"/>
        </w:rPr>
        <w:footnoteRef/>
      </w:r>
      <w:r w:rsidRPr="00C6662F">
        <w:rPr>
          <w:rFonts w:ascii="Arial" w:hAnsi="Arial" w:cs="Arial"/>
          <w:sz w:val="18"/>
          <w:szCs w:val="18"/>
        </w:rPr>
        <w:t xml:space="preserve"> </w:t>
      </w:r>
      <w:r w:rsidR="00681401" w:rsidRPr="00C6662F">
        <w:rPr>
          <w:rFonts w:ascii="Arial" w:hAnsi="Arial" w:cs="Arial"/>
          <w:sz w:val="18"/>
          <w:szCs w:val="18"/>
        </w:rPr>
        <w:tab/>
      </w:r>
      <w:r w:rsidRPr="00C6662F">
        <w:rPr>
          <w:rFonts w:ascii="Arial" w:hAnsi="Arial" w:cs="Arial"/>
          <w:sz w:val="18"/>
          <w:szCs w:val="18"/>
          <w:lang w:val="es-AR"/>
        </w:rPr>
        <w:t xml:space="preserve">Ver Capitulo de Supuestos Críticos para ver detalle de las fuentes de información consideradas. </w:t>
      </w:r>
    </w:p>
  </w:footnote>
  <w:footnote w:id="5">
    <w:p w:rsidR="00917C30" w:rsidRPr="00C6662F" w:rsidRDefault="00917C30" w:rsidP="00C6662F">
      <w:pPr>
        <w:pStyle w:val="FootnoteText"/>
        <w:tabs>
          <w:tab w:val="left" w:pos="360"/>
        </w:tabs>
        <w:ind w:left="360" w:hanging="360"/>
        <w:jc w:val="both"/>
        <w:rPr>
          <w:rFonts w:ascii="Arial" w:hAnsi="Arial" w:cs="Arial"/>
          <w:sz w:val="18"/>
          <w:szCs w:val="18"/>
          <w:lang w:val="en-US"/>
        </w:rPr>
      </w:pPr>
      <w:r w:rsidRPr="00C6662F">
        <w:rPr>
          <w:rStyle w:val="FootnoteReference"/>
          <w:rFonts w:ascii="Arial" w:hAnsi="Arial" w:cs="Arial"/>
          <w:sz w:val="18"/>
          <w:szCs w:val="18"/>
        </w:rPr>
        <w:footnoteRef/>
      </w:r>
      <w:r w:rsidRPr="00C6662F">
        <w:rPr>
          <w:rFonts w:ascii="Arial" w:hAnsi="Arial" w:cs="Arial"/>
          <w:sz w:val="18"/>
          <w:szCs w:val="18"/>
          <w:lang w:val="fr-FR"/>
        </w:rPr>
        <w:t xml:space="preserve"> </w:t>
      </w:r>
      <w:r w:rsidR="00C6662F" w:rsidRPr="00C6662F">
        <w:rPr>
          <w:rFonts w:ascii="Arial" w:hAnsi="Arial" w:cs="Arial"/>
          <w:sz w:val="18"/>
          <w:szCs w:val="18"/>
          <w:lang w:val="fr-FR"/>
        </w:rPr>
        <w:tab/>
      </w:r>
      <w:r w:rsidRPr="00C6662F">
        <w:rPr>
          <w:rFonts w:ascii="Arial" w:hAnsi="Arial" w:cs="Arial"/>
          <w:sz w:val="18"/>
          <w:szCs w:val="18"/>
          <w:lang w:val="fr-FR"/>
        </w:rPr>
        <w:t xml:space="preserve">En BARNETT, S. y LEONARD N. Masse. </w:t>
      </w:r>
      <w:r w:rsidRPr="00C6662F">
        <w:rPr>
          <w:rFonts w:ascii="Arial" w:hAnsi="Arial" w:cs="Arial"/>
          <w:sz w:val="18"/>
          <w:szCs w:val="18"/>
          <w:lang w:val="es-ES_tradnl"/>
        </w:rPr>
        <w:t>(2007). “Comparative benefit-cost analysis of the Abecedarian program and its policy impl</w:t>
      </w:r>
      <w:r w:rsidRPr="00C6662F">
        <w:rPr>
          <w:rFonts w:ascii="Arial" w:hAnsi="Arial" w:cs="Arial"/>
          <w:sz w:val="18"/>
          <w:szCs w:val="18"/>
          <w:lang w:val="en-US"/>
        </w:rPr>
        <w:t>ications” Economics of Education Review 26 (2007) 113-125 y BARNETT, Steven (2008) “Preschool Education and Its Lasting Effects:Research and Policy Implications” National Institute for Early Education Research se exponen resultados similares para los Estados Unidos.</w:t>
      </w:r>
    </w:p>
  </w:footnote>
  <w:footnote w:id="6">
    <w:p w:rsidR="00917C30" w:rsidRPr="003A7A2A" w:rsidRDefault="00917C30" w:rsidP="003A7A2A">
      <w:pPr>
        <w:pStyle w:val="FootnoteText"/>
        <w:ind w:left="360" w:hanging="360"/>
        <w:rPr>
          <w:rFonts w:ascii="Arial" w:hAnsi="Arial" w:cs="Arial"/>
          <w:sz w:val="18"/>
          <w:szCs w:val="18"/>
        </w:rPr>
      </w:pPr>
      <w:r w:rsidRPr="003A7A2A">
        <w:rPr>
          <w:rStyle w:val="FootnoteReference"/>
          <w:rFonts w:ascii="Arial" w:hAnsi="Arial" w:cs="Arial"/>
          <w:sz w:val="18"/>
          <w:szCs w:val="18"/>
        </w:rPr>
        <w:footnoteRef/>
      </w:r>
      <w:r w:rsidRPr="003A7A2A">
        <w:rPr>
          <w:rFonts w:ascii="Arial" w:hAnsi="Arial" w:cs="Arial"/>
          <w:sz w:val="18"/>
          <w:szCs w:val="18"/>
        </w:rPr>
        <w:t xml:space="preserve"> </w:t>
      </w:r>
      <w:r w:rsidR="003A7A2A">
        <w:rPr>
          <w:rFonts w:ascii="Arial" w:hAnsi="Arial" w:cs="Arial"/>
          <w:sz w:val="18"/>
          <w:szCs w:val="18"/>
        </w:rPr>
        <w:tab/>
      </w:r>
      <w:r w:rsidRPr="003A7A2A">
        <w:rPr>
          <w:rFonts w:ascii="Arial" w:hAnsi="Arial" w:cs="Arial"/>
          <w:sz w:val="18"/>
          <w:szCs w:val="18"/>
        </w:rPr>
        <w:t xml:space="preserve">En el capítulo de supuestos el detalle para el cálculo de </w:t>
      </w:r>
      <w:r w:rsidRPr="003A7A2A">
        <w:rPr>
          <w:rFonts w:ascii="Arial" w:hAnsi="Arial" w:cs="Arial"/>
          <w:i/>
          <w:sz w:val="18"/>
          <w:szCs w:val="18"/>
        </w:rPr>
        <w:t>t</w:t>
      </w:r>
      <w:r w:rsidRPr="003A7A2A">
        <w:rPr>
          <w:rFonts w:ascii="Arial" w:hAnsi="Arial" w:cs="Arial"/>
          <w:i/>
          <w:sz w:val="18"/>
          <w:szCs w:val="18"/>
          <w:vertAlign w:val="subscript"/>
        </w:rPr>
        <w:t>ma</w:t>
      </w:r>
      <w:r w:rsidRPr="003A7A2A">
        <w:rPr>
          <w:rFonts w:ascii="Arial" w:hAnsi="Arial" w:cs="Arial"/>
          <w:sz w:val="18"/>
          <w:szCs w:val="18"/>
        </w:rPr>
        <w:t xml:space="preserve"> ajustada</w:t>
      </w:r>
    </w:p>
  </w:footnote>
  <w:footnote w:id="7">
    <w:p w:rsidR="003A7A2A" w:rsidRPr="003A7A2A" w:rsidRDefault="003A7A2A" w:rsidP="003A7A2A">
      <w:pPr>
        <w:pStyle w:val="FootnoteText"/>
        <w:ind w:left="360" w:hanging="360"/>
        <w:jc w:val="both"/>
        <w:rPr>
          <w:rFonts w:ascii="Arial" w:hAnsi="Arial" w:cs="Arial"/>
          <w:sz w:val="18"/>
          <w:szCs w:val="18"/>
          <w:lang w:val="es-AR"/>
        </w:rPr>
      </w:pPr>
      <w:r w:rsidRPr="003A7A2A">
        <w:rPr>
          <w:rStyle w:val="FootnoteReference"/>
          <w:rFonts w:ascii="Arial" w:hAnsi="Arial" w:cs="Arial"/>
          <w:sz w:val="18"/>
          <w:szCs w:val="18"/>
        </w:rPr>
        <w:footnoteRef/>
      </w:r>
      <w:r w:rsidRPr="003A7A2A">
        <w:rPr>
          <w:rFonts w:ascii="Arial" w:hAnsi="Arial" w:cs="Arial"/>
          <w:sz w:val="18"/>
          <w:szCs w:val="18"/>
        </w:rPr>
        <w:t xml:space="preserve"> </w:t>
      </w:r>
      <w:r>
        <w:rPr>
          <w:rFonts w:ascii="Arial" w:hAnsi="Arial" w:cs="Arial"/>
          <w:sz w:val="18"/>
          <w:szCs w:val="18"/>
        </w:rPr>
        <w:tab/>
      </w:r>
      <w:r w:rsidRPr="003A7A2A">
        <w:rPr>
          <w:rFonts w:ascii="Arial" w:hAnsi="Arial" w:cs="Arial"/>
          <w:sz w:val="18"/>
          <w:szCs w:val="18"/>
          <w:lang w:val="es-AR"/>
        </w:rPr>
        <w:t>La tasa de aprobación aún con el ajuste de mejora es baja, debido a la importante diferencia que existe entre las tasas de promoción de la EMB y la EMS. Mientras las tasas del primer ciclo alcanzan cerca del 85 %, para el segundo rondan  el 44 %.</w:t>
      </w:r>
    </w:p>
  </w:footnote>
  <w:footnote w:id="8">
    <w:p w:rsidR="00917C30" w:rsidRPr="003A7A2A" w:rsidRDefault="00917C30" w:rsidP="003A7A2A">
      <w:pPr>
        <w:pStyle w:val="FootnoteText"/>
        <w:ind w:left="360" w:hanging="360"/>
        <w:rPr>
          <w:rFonts w:ascii="Arial" w:hAnsi="Arial" w:cs="Arial"/>
          <w:sz w:val="18"/>
          <w:szCs w:val="18"/>
          <w:lang w:val="es-AR"/>
        </w:rPr>
      </w:pPr>
      <w:r w:rsidRPr="003A7A2A">
        <w:rPr>
          <w:rStyle w:val="FootnoteReference"/>
          <w:rFonts w:ascii="Arial" w:hAnsi="Arial" w:cs="Arial"/>
          <w:sz w:val="18"/>
          <w:szCs w:val="18"/>
        </w:rPr>
        <w:footnoteRef/>
      </w:r>
      <w:r w:rsidR="005F730F" w:rsidRPr="003A7A2A">
        <w:rPr>
          <w:rFonts w:ascii="Arial" w:hAnsi="Arial" w:cs="Arial"/>
          <w:sz w:val="18"/>
          <w:szCs w:val="18"/>
        </w:rPr>
        <w:t xml:space="preserve"> </w:t>
      </w:r>
      <w:r w:rsidR="003A7A2A">
        <w:rPr>
          <w:rFonts w:ascii="Arial" w:hAnsi="Arial" w:cs="Arial"/>
          <w:sz w:val="18"/>
          <w:szCs w:val="18"/>
        </w:rPr>
        <w:tab/>
      </w:r>
      <w:r w:rsidR="005F730F" w:rsidRPr="003A7A2A">
        <w:rPr>
          <w:rFonts w:ascii="Arial" w:hAnsi="Arial" w:cs="Arial"/>
          <w:sz w:val="18"/>
          <w:szCs w:val="18"/>
        </w:rPr>
        <w:t xml:space="preserve">Para el </w:t>
      </w:r>
      <w:r w:rsidR="005F730F" w:rsidRPr="003A7A2A">
        <w:rPr>
          <w:rFonts w:ascii="Arial" w:hAnsi="Arial" w:cs="Arial"/>
          <w:sz w:val="18"/>
          <w:szCs w:val="18"/>
          <w:lang w:val="es-AR"/>
        </w:rPr>
        <w:t>detalle</w:t>
      </w:r>
      <w:r w:rsidRPr="003A7A2A">
        <w:rPr>
          <w:rFonts w:ascii="Arial" w:hAnsi="Arial" w:cs="Arial"/>
          <w:sz w:val="18"/>
          <w:szCs w:val="18"/>
          <w:lang w:val="es-AR"/>
        </w:rPr>
        <w:t xml:space="preserve"> de estimación de la tasa de aprobación, ver capítulo de supuestos críticos. </w:t>
      </w:r>
    </w:p>
  </w:footnote>
  <w:footnote w:id="9">
    <w:p w:rsidR="003A7A2A" w:rsidRPr="00394C2A" w:rsidRDefault="003A7A2A" w:rsidP="003A7A2A">
      <w:pPr>
        <w:pStyle w:val="FootnoteText"/>
        <w:ind w:left="360" w:hanging="360"/>
        <w:jc w:val="both"/>
        <w:rPr>
          <w:lang w:val="es-AR"/>
        </w:rPr>
      </w:pPr>
      <w:r w:rsidRPr="003A7A2A">
        <w:rPr>
          <w:rStyle w:val="FootnoteReference"/>
          <w:rFonts w:ascii="Arial" w:hAnsi="Arial" w:cs="Arial"/>
          <w:sz w:val="18"/>
          <w:szCs w:val="18"/>
        </w:rPr>
        <w:footnoteRef/>
      </w:r>
      <w:r w:rsidRPr="003A7A2A">
        <w:rPr>
          <w:rFonts w:ascii="Arial" w:hAnsi="Arial" w:cs="Arial"/>
          <w:sz w:val="18"/>
          <w:szCs w:val="18"/>
        </w:rPr>
        <w:t xml:space="preserve"> </w:t>
      </w:r>
      <w:r>
        <w:rPr>
          <w:rFonts w:ascii="Arial" w:hAnsi="Arial" w:cs="Arial"/>
          <w:sz w:val="18"/>
          <w:szCs w:val="18"/>
        </w:rPr>
        <w:tab/>
      </w:r>
      <w:r w:rsidRPr="003A7A2A">
        <w:rPr>
          <w:rFonts w:ascii="Arial" w:hAnsi="Arial" w:cs="Arial"/>
          <w:sz w:val="18"/>
          <w:szCs w:val="18"/>
        </w:rPr>
        <w:t>El bajo nivel de aprobación está asociado a que este ciclo no es obligatorio. Detalle de estas tasas se exponen en el capítulo de supuestos críticos.</w:t>
      </w:r>
    </w:p>
  </w:footnote>
  <w:footnote w:id="10">
    <w:p w:rsidR="00917C30" w:rsidRPr="009B7D0C" w:rsidRDefault="00917C30" w:rsidP="009B7D0C">
      <w:pPr>
        <w:pStyle w:val="FootnoteText"/>
        <w:ind w:left="360" w:hanging="360"/>
        <w:jc w:val="both"/>
        <w:rPr>
          <w:rFonts w:ascii="Arial" w:hAnsi="Arial" w:cs="Arial"/>
          <w:sz w:val="18"/>
        </w:rPr>
      </w:pPr>
      <w:r w:rsidRPr="009B7D0C">
        <w:rPr>
          <w:rStyle w:val="FootnoteReference"/>
          <w:rFonts w:ascii="Arial" w:hAnsi="Arial" w:cs="Arial"/>
          <w:sz w:val="18"/>
        </w:rPr>
        <w:footnoteRef/>
      </w:r>
      <w:r w:rsidRPr="009B7D0C">
        <w:rPr>
          <w:rFonts w:ascii="Arial" w:hAnsi="Arial" w:cs="Arial"/>
          <w:sz w:val="18"/>
          <w:lang w:val="en-US"/>
        </w:rPr>
        <w:t xml:space="preserve"> </w:t>
      </w:r>
      <w:r w:rsidR="009B7D0C">
        <w:rPr>
          <w:rFonts w:ascii="Arial" w:hAnsi="Arial" w:cs="Arial"/>
          <w:sz w:val="18"/>
          <w:lang w:val="en-US"/>
        </w:rPr>
        <w:tab/>
      </w:r>
      <w:r w:rsidRPr="009B7D0C">
        <w:rPr>
          <w:rFonts w:ascii="Arial" w:hAnsi="Arial" w:cs="Arial"/>
          <w:sz w:val="18"/>
          <w:lang w:val="en-US"/>
        </w:rPr>
        <w:t xml:space="preserve">En Whitehurst, G (2009): “Don’t Forget Curriculum”. Brown Center Letters On Education. </w:t>
      </w:r>
      <w:r w:rsidRPr="009B7D0C">
        <w:rPr>
          <w:rFonts w:ascii="Arial" w:hAnsi="Arial" w:cs="Arial"/>
          <w:sz w:val="18"/>
        </w:rPr>
        <w:t>Octubre 2009, compara el tamaño de los efectos de reformas curriculares en aprendizajes y progresión escolar y concluye que las estimaciones puntuales sobre el tamaño del efecto no son importantes, pero el alcance y la magnitud si los son. Les efectos de las reformas curriculares son mayores en comparación a las políticas más populares.</w:t>
      </w:r>
    </w:p>
    <w:p w:rsidR="00917C30" w:rsidRPr="009B7D0C" w:rsidRDefault="00917C30" w:rsidP="009B7D0C">
      <w:pPr>
        <w:pStyle w:val="FootnoteText"/>
        <w:ind w:left="360"/>
        <w:jc w:val="both"/>
        <w:rPr>
          <w:rFonts w:ascii="Arial" w:hAnsi="Arial" w:cs="Arial"/>
          <w:sz w:val="18"/>
          <w:lang w:val="es-AR"/>
        </w:rPr>
      </w:pPr>
      <w:r w:rsidRPr="009B7D0C">
        <w:rPr>
          <w:rFonts w:ascii="Arial" w:hAnsi="Arial" w:cs="Arial"/>
          <w:sz w:val="18"/>
        </w:rPr>
        <w:t>http://www.brookings.edu/~/media/Files/rc/papers/2009/1014_curriculum_whitehurst/1014_curriculum_whitehurst.pdf.</w:t>
      </w:r>
    </w:p>
  </w:footnote>
  <w:footnote w:id="11">
    <w:p w:rsidR="00917C30" w:rsidRPr="00A05B6C" w:rsidRDefault="00917C30" w:rsidP="009B7D0C">
      <w:pPr>
        <w:pStyle w:val="FootnoteText"/>
        <w:ind w:left="360" w:hanging="360"/>
        <w:jc w:val="both"/>
        <w:rPr>
          <w:lang w:val="es-AR"/>
        </w:rPr>
      </w:pPr>
      <w:r w:rsidRPr="009B7D0C">
        <w:rPr>
          <w:rStyle w:val="FootnoteReference"/>
          <w:rFonts w:ascii="Arial" w:hAnsi="Arial" w:cs="Arial"/>
          <w:sz w:val="18"/>
        </w:rPr>
        <w:footnoteRef/>
      </w:r>
      <w:r w:rsidRPr="009B7D0C">
        <w:rPr>
          <w:rFonts w:ascii="Arial" w:hAnsi="Arial" w:cs="Arial"/>
          <w:sz w:val="18"/>
        </w:rPr>
        <w:t xml:space="preserve"> </w:t>
      </w:r>
      <w:r w:rsidR="009B7D0C">
        <w:rPr>
          <w:rFonts w:ascii="Arial" w:hAnsi="Arial" w:cs="Arial"/>
          <w:sz w:val="18"/>
        </w:rPr>
        <w:tab/>
      </w:r>
      <w:r w:rsidRPr="009B7D0C">
        <w:rPr>
          <w:rFonts w:ascii="Arial" w:hAnsi="Arial" w:cs="Arial"/>
          <w:sz w:val="18"/>
        </w:rPr>
        <w:t>De la matriz del POD surge los Estudiantes beneficiados por el nuevo marco curricular ronda los 156 mil alumnos para el 2021.</w:t>
      </w:r>
    </w:p>
  </w:footnote>
  <w:footnote w:id="12">
    <w:p w:rsidR="00917C30" w:rsidRPr="00D42E74" w:rsidRDefault="00917C30" w:rsidP="00D42E74">
      <w:pPr>
        <w:pStyle w:val="FootnoteText"/>
        <w:ind w:left="360" w:hanging="360"/>
        <w:rPr>
          <w:rFonts w:ascii="Arial" w:hAnsi="Arial" w:cs="Arial"/>
        </w:rPr>
      </w:pPr>
      <w:r w:rsidRPr="00D42E74">
        <w:rPr>
          <w:rStyle w:val="FootnoteReference"/>
          <w:rFonts w:ascii="Arial" w:hAnsi="Arial" w:cs="Arial"/>
          <w:sz w:val="18"/>
        </w:rPr>
        <w:footnoteRef/>
      </w:r>
      <w:r w:rsidRPr="00D42E74">
        <w:rPr>
          <w:rFonts w:ascii="Arial" w:hAnsi="Arial" w:cs="Arial"/>
          <w:sz w:val="18"/>
        </w:rPr>
        <w:t xml:space="preserve"> </w:t>
      </w:r>
      <w:r w:rsidR="00D42E74">
        <w:rPr>
          <w:rFonts w:ascii="Arial" w:hAnsi="Arial" w:cs="Arial"/>
          <w:sz w:val="18"/>
        </w:rPr>
        <w:tab/>
      </w:r>
      <w:r w:rsidRPr="00D42E74">
        <w:rPr>
          <w:rFonts w:ascii="Arial" w:hAnsi="Arial" w:cs="Arial"/>
          <w:sz w:val="18"/>
        </w:rPr>
        <w:t>Ver cita en nota al pie 1.</w:t>
      </w:r>
    </w:p>
  </w:footnote>
  <w:footnote w:id="13">
    <w:p w:rsidR="00917C30" w:rsidRPr="00D42E74" w:rsidRDefault="00917C30" w:rsidP="00D42E74">
      <w:pPr>
        <w:pStyle w:val="FootnoteText"/>
        <w:ind w:left="360" w:hanging="360"/>
        <w:jc w:val="both"/>
        <w:rPr>
          <w:rFonts w:ascii="Arial" w:hAnsi="Arial" w:cs="Arial"/>
          <w:sz w:val="18"/>
        </w:rPr>
      </w:pPr>
      <w:r w:rsidRPr="00D42E74">
        <w:rPr>
          <w:rStyle w:val="FootnoteReference"/>
          <w:rFonts w:ascii="Arial" w:hAnsi="Arial" w:cs="Arial"/>
          <w:sz w:val="18"/>
        </w:rPr>
        <w:footnoteRef/>
      </w:r>
      <w:r w:rsidRPr="00D42E74">
        <w:rPr>
          <w:rFonts w:ascii="Arial" w:hAnsi="Arial" w:cs="Arial"/>
          <w:sz w:val="18"/>
        </w:rPr>
        <w:t xml:space="preserve"> </w:t>
      </w:r>
      <w:r w:rsidR="00D42E74">
        <w:rPr>
          <w:rFonts w:ascii="Arial" w:hAnsi="Arial" w:cs="Arial"/>
          <w:sz w:val="18"/>
        </w:rPr>
        <w:tab/>
      </w:r>
      <w:r w:rsidRPr="00D42E74">
        <w:rPr>
          <w:rFonts w:ascii="Arial" w:hAnsi="Arial" w:cs="Arial"/>
          <w:i/>
          <w:sz w:val="18"/>
        </w:rPr>
        <w:t>“Precios sociales y pautas técnicas para  la evaluación socioeconómica”</w:t>
      </w:r>
      <w:r w:rsidRPr="00D42E74">
        <w:rPr>
          <w:rFonts w:ascii="Arial" w:hAnsi="Arial" w:cs="Arial"/>
          <w:sz w:val="18"/>
        </w:rPr>
        <w:t xml:space="preserve">. Sistema Nacional de Inversión Pública. Oficina de Planeamiento y Presupuesto. Octubre 2014. </w:t>
      </w:r>
      <w:hyperlink r:id="rId1" w:history="1">
        <w:r w:rsidRPr="00D42E74">
          <w:rPr>
            <w:rStyle w:val="Hyperlink"/>
            <w:rFonts w:ascii="Arial" w:hAnsi="Arial" w:cs="Arial"/>
            <w:sz w:val="18"/>
          </w:rPr>
          <w:t>http://www.opp.gub.uy/images/Precios_y_pautas.pdf</w:t>
        </w:r>
      </w:hyperlink>
    </w:p>
  </w:footnote>
  <w:footnote w:id="14">
    <w:p w:rsidR="00917C30" w:rsidRPr="00E12863" w:rsidRDefault="00917C30" w:rsidP="00ED7BB5">
      <w:pPr>
        <w:pStyle w:val="FootnoteText"/>
        <w:rPr>
          <w:lang w:val="en-US"/>
        </w:rPr>
      </w:pPr>
      <w:r>
        <w:rPr>
          <w:rStyle w:val="FootnoteReference"/>
        </w:rPr>
        <w:footnoteRef/>
      </w:r>
      <w:r>
        <w:t xml:space="preserve"> </w:t>
      </w:r>
      <w:r w:rsidRPr="00352220">
        <w:t xml:space="preserve">Campos, H. y Ferrando, F. (2014) </w:t>
      </w:r>
      <w:r w:rsidRPr="00352220">
        <w:rPr>
          <w:kern w:val="28"/>
        </w:rPr>
        <w:t xml:space="preserve">"La universalización de la educación obligatoria en Uruguay: Avances y desafíos". </w:t>
      </w:r>
      <w:r w:rsidRPr="00D42E74">
        <w:rPr>
          <w:kern w:val="28"/>
          <w:lang w:val="es-ES_tradnl"/>
        </w:rPr>
        <w:t>UNEED. Uru</w:t>
      </w:r>
      <w:r w:rsidRPr="00E12863">
        <w:rPr>
          <w:kern w:val="28"/>
          <w:lang w:val="en-US"/>
        </w:rPr>
        <w:t>guay.</w:t>
      </w:r>
      <w:r w:rsidRPr="00E12863">
        <w:rPr>
          <w:lang w:val="en-US"/>
        </w:rPr>
        <w:t xml:space="preserve"> </w:t>
      </w:r>
      <w:hyperlink r:id="rId2" w:tgtFrame="_blank" w:history="1">
        <w:r w:rsidRPr="00E12863">
          <w:rPr>
            <w:rStyle w:val="Hyperlink"/>
            <w:color w:val="1155CC"/>
            <w:shd w:val="clear" w:color="auto" w:fill="FFFFFF"/>
            <w:lang w:val="en-US"/>
          </w:rPr>
          <w:t>http://www.ineed.edu.uy/sites/default/files/Aristas-%20La%20universalizaci%C3%B3n%20de%20la%20educaci%C3%B3n%20obligatoria%20en%20Uruguay.pdf</w:t>
        </w:r>
      </w:hyperlink>
    </w:p>
  </w:footnote>
  <w:footnote w:id="15">
    <w:p w:rsidR="00917C30" w:rsidRPr="00E12863" w:rsidRDefault="00917C30">
      <w:pPr>
        <w:pStyle w:val="FootnoteText"/>
        <w:rPr>
          <w:lang w:val="en-US"/>
        </w:rPr>
      </w:pPr>
      <w:r>
        <w:rPr>
          <w:rStyle w:val="FootnoteReference"/>
        </w:rPr>
        <w:footnoteRef/>
      </w:r>
      <w:r w:rsidRPr="00E12863">
        <w:rPr>
          <w:lang w:val="en-US"/>
        </w:rPr>
        <w:t xml:space="preserve"> </w:t>
      </w:r>
      <w:hyperlink r:id="rId3" w:tgtFrame="_blank" w:history="1">
        <w:r w:rsidRPr="00E12863">
          <w:rPr>
            <w:rStyle w:val="Hyperlink"/>
            <w:color w:val="1155CC"/>
            <w:shd w:val="clear" w:color="auto" w:fill="FFFFFF"/>
            <w:lang w:val="en-US"/>
          </w:rPr>
          <w:t>http://www.ine.gub.uy/salario-minimo-nacional</w:t>
        </w:r>
      </w:hyperlink>
    </w:p>
  </w:footnote>
  <w:footnote w:id="16">
    <w:p w:rsidR="00917C30" w:rsidRPr="002B5471" w:rsidRDefault="00917C30">
      <w:pPr>
        <w:pStyle w:val="FootnoteText"/>
      </w:pPr>
      <w:r>
        <w:rPr>
          <w:rStyle w:val="FootnoteReference"/>
        </w:rPr>
        <w:footnoteRef/>
      </w:r>
      <w:r>
        <w:t xml:space="preserve"> </w:t>
      </w:r>
      <w:r w:rsidRPr="002B5471">
        <w:t>Los institutos de formación docente representan un ciclo posterior a la Educación Media, no obligatoria, que tiene una duración de 4 años.</w:t>
      </w:r>
    </w:p>
  </w:footnote>
  <w:footnote w:id="17">
    <w:p w:rsidR="00917C30" w:rsidRPr="003B3DB9" w:rsidRDefault="00917C30" w:rsidP="003B3DB9">
      <w:pPr>
        <w:pStyle w:val="FootnoteText"/>
        <w:ind w:left="360" w:hanging="360"/>
        <w:rPr>
          <w:rFonts w:ascii="Arial" w:hAnsi="Arial" w:cs="Arial"/>
        </w:rPr>
      </w:pPr>
      <w:r w:rsidRPr="003B3DB9">
        <w:rPr>
          <w:rStyle w:val="FootnoteReference"/>
          <w:rFonts w:ascii="Arial" w:hAnsi="Arial" w:cs="Arial"/>
          <w:sz w:val="18"/>
        </w:rPr>
        <w:footnoteRef/>
      </w:r>
      <w:r w:rsidRPr="003B3DB9">
        <w:rPr>
          <w:rFonts w:ascii="Arial" w:hAnsi="Arial" w:cs="Arial"/>
          <w:sz w:val="18"/>
        </w:rPr>
        <w:t xml:space="preserve"> </w:t>
      </w:r>
      <w:r w:rsidR="003B3DB9">
        <w:rPr>
          <w:rFonts w:ascii="Arial" w:hAnsi="Arial" w:cs="Arial"/>
          <w:sz w:val="18"/>
        </w:rPr>
        <w:tab/>
      </w:r>
      <w:r w:rsidRPr="003B3DB9">
        <w:rPr>
          <w:rFonts w:ascii="Arial" w:hAnsi="Arial" w:cs="Arial"/>
          <w:sz w:val="18"/>
        </w:rPr>
        <w:t xml:space="preserve">El costo de operación por alumnos fue tomado de </w:t>
      </w:r>
      <w:hyperlink r:id="rId4" w:history="1">
        <w:r w:rsidR="003B3DB9" w:rsidRPr="00FF1D16">
          <w:rPr>
            <w:rStyle w:val="Hyperlink"/>
            <w:rFonts w:ascii="Arial" w:hAnsi="Arial" w:cs="Arial"/>
            <w:sz w:val="18"/>
          </w:rPr>
          <w:t>http://www.ineed.edu.uy/sites/default/files/Resumen%20semanal%20del%207%20al%2013%20de%20febrero.pdf</w:t>
        </w:r>
      </w:hyperlink>
      <w:r w:rsidRPr="003B3DB9">
        <w:rPr>
          <w:rFonts w:ascii="Arial" w:hAnsi="Arial" w:cs="Arial"/>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C30" w:rsidRPr="003B3DB9" w:rsidRDefault="00621862" w:rsidP="00BD554E">
    <w:pPr>
      <w:pStyle w:val="Header"/>
      <w:numPr>
        <w:ilvl w:val="0"/>
        <w:numId w:val="4"/>
      </w:numPr>
      <w:jc w:val="center"/>
      <w:rPr>
        <w:rFonts w:ascii="Arial" w:hAnsi="Arial" w:cs="Arial"/>
        <w:sz w:val="22"/>
      </w:rPr>
    </w:pPr>
    <w:sdt>
      <w:sdtPr>
        <w:id w:val="644241809"/>
        <w:docPartObj>
          <w:docPartGallery w:val="Page Numbers (Top of Page)"/>
          <w:docPartUnique/>
        </w:docPartObj>
      </w:sdtPr>
      <w:sdtEndPr>
        <w:rPr>
          <w:rFonts w:ascii="Arial" w:hAnsi="Arial" w:cs="Arial"/>
          <w:noProof/>
          <w:sz w:val="22"/>
        </w:rPr>
      </w:sdtEndPr>
      <w:sdtContent>
        <w:r w:rsidR="00917C30" w:rsidRPr="003B3DB9">
          <w:rPr>
            <w:rFonts w:ascii="Arial" w:hAnsi="Arial" w:cs="Arial"/>
            <w:sz w:val="22"/>
          </w:rPr>
          <w:fldChar w:fldCharType="begin"/>
        </w:r>
        <w:r w:rsidR="00917C30" w:rsidRPr="003B3DB9">
          <w:rPr>
            <w:rFonts w:ascii="Arial" w:hAnsi="Arial" w:cs="Arial"/>
            <w:sz w:val="22"/>
          </w:rPr>
          <w:instrText xml:space="preserve"> PAGE   \* MERGEFORMAT </w:instrText>
        </w:r>
        <w:r w:rsidR="00917C30" w:rsidRPr="003B3DB9">
          <w:rPr>
            <w:rFonts w:ascii="Arial" w:hAnsi="Arial" w:cs="Arial"/>
            <w:sz w:val="22"/>
          </w:rPr>
          <w:fldChar w:fldCharType="separate"/>
        </w:r>
        <w:r>
          <w:rPr>
            <w:rFonts w:ascii="Arial" w:hAnsi="Arial" w:cs="Arial"/>
            <w:noProof/>
            <w:sz w:val="22"/>
          </w:rPr>
          <w:t>16</w:t>
        </w:r>
        <w:r w:rsidR="00917C30" w:rsidRPr="003B3DB9">
          <w:rPr>
            <w:rFonts w:ascii="Arial" w:hAnsi="Arial" w:cs="Arial"/>
            <w:noProof/>
            <w:sz w:val="22"/>
          </w:rPr>
          <w:fldChar w:fldCharType="end"/>
        </w:r>
        <w:r w:rsidR="00917C30" w:rsidRPr="003B3DB9">
          <w:rPr>
            <w:rFonts w:ascii="Arial" w:hAnsi="Arial" w:cs="Arial"/>
            <w:noProof/>
            <w:sz w:val="22"/>
          </w:rPr>
          <w:t xml:space="preserve"> -</w:t>
        </w:r>
      </w:sdtContent>
    </w:sdt>
  </w:p>
  <w:p w:rsidR="00917C30" w:rsidRDefault="00917C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D9E"/>
    <w:multiLevelType w:val="hybridMultilevel"/>
    <w:tmpl w:val="96B8BDF4"/>
    <w:lvl w:ilvl="0" w:tplc="9D60E58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01D20"/>
    <w:multiLevelType w:val="multilevel"/>
    <w:tmpl w:val="5D0041AE"/>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2"/>
        <w:lang w:val="es-ES"/>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2">
    <w:nsid w:val="0DAB7FC9"/>
    <w:multiLevelType w:val="multilevel"/>
    <w:tmpl w:val="A2B2F9A6"/>
    <w:lvl w:ilvl="0">
      <w:start w:val="1"/>
      <w:numFmt w:val="upperRoman"/>
      <w:pStyle w:val="Chapter"/>
      <w:lvlText w:val="%1."/>
      <w:lvlJc w:val="center"/>
      <w:pPr>
        <w:tabs>
          <w:tab w:val="num" w:pos="1008"/>
        </w:tabs>
        <w:ind w:left="360" w:firstLine="288"/>
      </w:pPr>
      <w:rPr>
        <w:b/>
        <w:i w:val="0"/>
      </w:rPr>
    </w:lvl>
    <w:lvl w:ilvl="1">
      <w:start w:val="1"/>
      <w:numFmt w:val="decimal"/>
      <w:pStyle w:val="Paragraph"/>
      <w:isLgl/>
      <w:lvlText w:val="%1.%2"/>
      <w:lvlJc w:val="left"/>
      <w:pPr>
        <w:tabs>
          <w:tab w:val="num" w:pos="1080"/>
        </w:tabs>
        <w:ind w:left="1080" w:hanging="720"/>
      </w:pPr>
      <w:rPr>
        <w:b w:val="0"/>
        <w:color w:val="auto"/>
        <w:lang w:val="es-ES"/>
      </w:rPr>
    </w:lvl>
    <w:lvl w:ilvl="2">
      <w:start w:val="1"/>
      <w:numFmt w:val="lowerLetter"/>
      <w:pStyle w:val="subpar"/>
      <w:lvlText w:val="%3."/>
      <w:lvlJc w:val="left"/>
      <w:pPr>
        <w:tabs>
          <w:tab w:val="num" w:pos="1512"/>
        </w:tabs>
        <w:ind w:left="1512" w:hanging="432"/>
      </w:pPr>
    </w:lvl>
    <w:lvl w:ilvl="3">
      <w:start w:val="1"/>
      <w:numFmt w:val="lowerRoman"/>
      <w:pStyle w:val="SubSubPar"/>
      <w:lvlText w:val="%4."/>
      <w:lvlJc w:val="right"/>
      <w:pPr>
        <w:tabs>
          <w:tab w:val="num" w:pos="1944"/>
        </w:tabs>
        <w:ind w:left="1944" w:hanging="288"/>
      </w:pPr>
    </w:lvl>
    <w:lvl w:ilvl="4">
      <w:start w:val="1"/>
      <w:numFmt w:val="none"/>
      <w:lvlText w:val=""/>
      <w:lvlJc w:val="left"/>
      <w:pPr>
        <w:tabs>
          <w:tab w:val="num" w:pos="3600"/>
        </w:tabs>
        <w:ind w:left="3240" w:firstLine="0"/>
      </w:pPr>
    </w:lvl>
    <w:lvl w:ilvl="5">
      <w:start w:val="1"/>
      <w:numFmt w:val="none"/>
      <w:lvlText w:val=""/>
      <w:lvlJc w:val="left"/>
      <w:pPr>
        <w:tabs>
          <w:tab w:val="num" w:pos="4320"/>
        </w:tabs>
        <w:ind w:left="3960" w:firstLine="0"/>
      </w:pPr>
    </w:lvl>
    <w:lvl w:ilvl="6">
      <w:start w:val="1"/>
      <w:numFmt w:val="none"/>
      <w:lvlText w:val=""/>
      <w:lvlJc w:val="left"/>
      <w:pPr>
        <w:tabs>
          <w:tab w:val="num" w:pos="5040"/>
        </w:tabs>
        <w:ind w:left="4680" w:firstLine="0"/>
      </w:pPr>
    </w:lvl>
    <w:lvl w:ilvl="7">
      <w:start w:val="1"/>
      <w:numFmt w:val="none"/>
      <w:lvlText w:val=""/>
      <w:lvlJc w:val="left"/>
      <w:pPr>
        <w:tabs>
          <w:tab w:val="num" w:pos="5760"/>
        </w:tabs>
        <w:ind w:left="5400" w:firstLine="0"/>
      </w:pPr>
    </w:lvl>
    <w:lvl w:ilvl="8">
      <w:start w:val="1"/>
      <w:numFmt w:val="none"/>
      <w:lvlText w:val=""/>
      <w:lvlJc w:val="left"/>
      <w:pPr>
        <w:tabs>
          <w:tab w:val="num" w:pos="6480"/>
        </w:tabs>
        <w:ind w:left="6120" w:firstLine="0"/>
      </w:pPr>
    </w:lvl>
  </w:abstractNum>
  <w:abstractNum w:abstractNumId="3">
    <w:nsid w:val="11F2267F"/>
    <w:multiLevelType w:val="multilevel"/>
    <w:tmpl w:val="6A025D0C"/>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4D432D0"/>
    <w:multiLevelType w:val="multilevel"/>
    <w:tmpl w:val="18BE9F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D630C9B"/>
    <w:multiLevelType w:val="multilevel"/>
    <w:tmpl w:val="BFD263BC"/>
    <w:lvl w:ilvl="0">
      <w:start w:val="3"/>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6">
    <w:nsid w:val="324717C0"/>
    <w:multiLevelType w:val="hybridMultilevel"/>
    <w:tmpl w:val="E0220E32"/>
    <w:lvl w:ilvl="0" w:tplc="0218CBCE">
      <w:start w:val="1"/>
      <w:numFmt w:val="upperLetter"/>
      <w:lvlText w:val="%1."/>
      <w:lvlJc w:val="left"/>
      <w:pPr>
        <w:ind w:left="540" w:hanging="360"/>
      </w:pPr>
      <w:rPr>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335B6C33"/>
    <w:multiLevelType w:val="hybridMultilevel"/>
    <w:tmpl w:val="3B0C92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5182A57"/>
    <w:multiLevelType w:val="multilevel"/>
    <w:tmpl w:val="E4FEA338"/>
    <w:lvl w:ilvl="0">
      <w:start w:val="6"/>
      <w:numFmt w:val="upperRoman"/>
      <w:lvlText w:val="%1."/>
      <w:lvlJc w:val="left"/>
      <w:pPr>
        <w:ind w:left="360" w:hanging="360"/>
      </w:pPr>
      <w:rPr>
        <w:rFonts w:hint="default"/>
      </w:rPr>
    </w:lvl>
    <w:lvl w:ilvl="1">
      <w:start w:val="1"/>
      <w:numFmt w:val="none"/>
      <w:isLgl/>
      <w:lvlText w:val="2.7"/>
      <w:lvlJc w:val="left"/>
      <w:pPr>
        <w:ind w:left="36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5%1.1"/>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nsid w:val="4ADA5B92"/>
    <w:multiLevelType w:val="multilevel"/>
    <w:tmpl w:val="F0E2BAAE"/>
    <w:lvl w:ilvl="0">
      <w:start w:val="1"/>
      <w:numFmt w:val="decimal"/>
      <w:pStyle w:val="SPLAP1"/>
      <w:lvlText w:val="%1."/>
      <w:lvlJc w:val="left"/>
      <w:pPr>
        <w:tabs>
          <w:tab w:val="num" w:pos="360"/>
        </w:tabs>
        <w:ind w:left="360" w:hanging="360"/>
      </w:pPr>
      <w:rPr>
        <w:rFonts w:ascii="Arial" w:hAnsi="Arial" w:hint="default"/>
        <w:b/>
      </w:rPr>
    </w:lvl>
    <w:lvl w:ilvl="1">
      <w:start w:val="1"/>
      <w:numFmt w:val="decimal"/>
      <w:pStyle w:val="SPLAP2"/>
      <w:lvlText w:val="%1.%2."/>
      <w:lvlJc w:val="left"/>
      <w:pPr>
        <w:tabs>
          <w:tab w:val="num" w:pos="720"/>
        </w:tabs>
        <w:ind w:left="432" w:hanging="432"/>
      </w:pPr>
      <w:rPr>
        <w:rFonts w:hint="default"/>
      </w:rPr>
    </w:lvl>
    <w:lvl w:ilvl="2">
      <w:start w:val="1"/>
      <w:numFmt w:val="decimal"/>
      <w:pStyle w:val="SPLAP3"/>
      <w:lvlText w:val="%1.%2.%3."/>
      <w:lvlJc w:val="left"/>
      <w:pPr>
        <w:tabs>
          <w:tab w:val="num" w:pos="2139"/>
        </w:tabs>
        <w:ind w:left="192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515915DF"/>
    <w:multiLevelType w:val="multilevel"/>
    <w:tmpl w:val="1FE86F30"/>
    <w:lvl w:ilvl="0">
      <w:start w:val="1"/>
      <w:numFmt w:val="upperRoman"/>
      <w:lvlText w:val="%1."/>
      <w:lvlJc w:val="left"/>
      <w:pPr>
        <w:ind w:left="360" w:hanging="360"/>
      </w:pPr>
      <w:rPr>
        <w:rFonts w:hint="default"/>
      </w:rPr>
    </w:lvl>
    <w:lvl w:ilvl="1">
      <w:start w:val="1"/>
      <w:numFmt w:val="decimal"/>
      <w:lvlText w:val="%2."/>
      <w:lvlJc w:val="left"/>
      <w:pPr>
        <w:ind w:left="36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1"/>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nsid w:val="5ABB7A3A"/>
    <w:multiLevelType w:val="hybridMultilevel"/>
    <w:tmpl w:val="B0F42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7"/>
  </w:num>
  <w:num w:numId="4">
    <w:abstractNumId w:val="0"/>
  </w:num>
  <w:num w:numId="5">
    <w:abstractNumId w:val="3"/>
  </w:num>
  <w:num w:numId="6">
    <w:abstractNumId w:val="9"/>
  </w:num>
  <w:num w:numId="7">
    <w:abstractNumId w:val="1"/>
  </w:num>
  <w:num w:numId="8">
    <w:abstractNumId w:val="4"/>
  </w:num>
  <w:num w:numId="9">
    <w:abstractNumId w:val="5"/>
  </w:num>
  <w:num w:numId="10">
    <w:abstractNumId w:val="6"/>
  </w:num>
  <w:num w:numId="11">
    <w:abstractNumId w:val="8"/>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EC1"/>
    <w:rsid w:val="00000E77"/>
    <w:rsid w:val="00002730"/>
    <w:rsid w:val="000029A7"/>
    <w:rsid w:val="00002D66"/>
    <w:rsid w:val="0001000C"/>
    <w:rsid w:val="00010794"/>
    <w:rsid w:val="000122CF"/>
    <w:rsid w:val="000330E3"/>
    <w:rsid w:val="00042A49"/>
    <w:rsid w:val="00045F72"/>
    <w:rsid w:val="00046A9C"/>
    <w:rsid w:val="00050B0E"/>
    <w:rsid w:val="000557C1"/>
    <w:rsid w:val="00057E7D"/>
    <w:rsid w:val="00076E4E"/>
    <w:rsid w:val="00083214"/>
    <w:rsid w:val="00097637"/>
    <w:rsid w:val="000B5193"/>
    <w:rsid w:val="000B6327"/>
    <w:rsid w:val="000B7746"/>
    <w:rsid w:val="000C3D89"/>
    <w:rsid w:val="000C6726"/>
    <w:rsid w:val="000D0E8D"/>
    <w:rsid w:val="000D211C"/>
    <w:rsid w:val="000D4A25"/>
    <w:rsid w:val="000D67FC"/>
    <w:rsid w:val="000E309D"/>
    <w:rsid w:val="000E41B6"/>
    <w:rsid w:val="00103347"/>
    <w:rsid w:val="00106E7F"/>
    <w:rsid w:val="00111EA7"/>
    <w:rsid w:val="00113A78"/>
    <w:rsid w:val="00113B5C"/>
    <w:rsid w:val="001147BA"/>
    <w:rsid w:val="00126A05"/>
    <w:rsid w:val="0013238F"/>
    <w:rsid w:val="00134429"/>
    <w:rsid w:val="00136EB9"/>
    <w:rsid w:val="00143BEF"/>
    <w:rsid w:val="00144409"/>
    <w:rsid w:val="00145815"/>
    <w:rsid w:val="00146293"/>
    <w:rsid w:val="0014798D"/>
    <w:rsid w:val="001502BF"/>
    <w:rsid w:val="0016141A"/>
    <w:rsid w:val="00162DDE"/>
    <w:rsid w:val="001650D4"/>
    <w:rsid w:val="00166070"/>
    <w:rsid w:val="0016624B"/>
    <w:rsid w:val="001717A3"/>
    <w:rsid w:val="00173480"/>
    <w:rsid w:val="00175228"/>
    <w:rsid w:val="00176850"/>
    <w:rsid w:val="00191289"/>
    <w:rsid w:val="001A4BF9"/>
    <w:rsid w:val="001B271B"/>
    <w:rsid w:val="001B6843"/>
    <w:rsid w:val="001C041C"/>
    <w:rsid w:val="001C40ED"/>
    <w:rsid w:val="001D10FA"/>
    <w:rsid w:val="001D126F"/>
    <w:rsid w:val="001D2D50"/>
    <w:rsid w:val="001D4FF8"/>
    <w:rsid w:val="001D5E59"/>
    <w:rsid w:val="001D6E04"/>
    <w:rsid w:val="001E0E2A"/>
    <w:rsid w:val="001F699B"/>
    <w:rsid w:val="00203862"/>
    <w:rsid w:val="00217F2C"/>
    <w:rsid w:val="002232FD"/>
    <w:rsid w:val="00225F47"/>
    <w:rsid w:val="00230EC1"/>
    <w:rsid w:val="00240DD9"/>
    <w:rsid w:val="00246969"/>
    <w:rsid w:val="00247458"/>
    <w:rsid w:val="00251998"/>
    <w:rsid w:val="00251DFD"/>
    <w:rsid w:val="00254174"/>
    <w:rsid w:val="00254680"/>
    <w:rsid w:val="002565D8"/>
    <w:rsid w:val="002600D2"/>
    <w:rsid w:val="002756B5"/>
    <w:rsid w:val="00275B1E"/>
    <w:rsid w:val="00282354"/>
    <w:rsid w:val="00290489"/>
    <w:rsid w:val="00292420"/>
    <w:rsid w:val="002932C6"/>
    <w:rsid w:val="00294F7B"/>
    <w:rsid w:val="00297005"/>
    <w:rsid w:val="002A2AE3"/>
    <w:rsid w:val="002A3345"/>
    <w:rsid w:val="002A7EB1"/>
    <w:rsid w:val="002B0F65"/>
    <w:rsid w:val="002B3A3B"/>
    <w:rsid w:val="002B5471"/>
    <w:rsid w:val="002C6F39"/>
    <w:rsid w:val="002E62A4"/>
    <w:rsid w:val="002F1310"/>
    <w:rsid w:val="002F592E"/>
    <w:rsid w:val="002F5E96"/>
    <w:rsid w:val="003031D1"/>
    <w:rsid w:val="00306E55"/>
    <w:rsid w:val="00317145"/>
    <w:rsid w:val="0031723E"/>
    <w:rsid w:val="00317ECE"/>
    <w:rsid w:val="003302C6"/>
    <w:rsid w:val="00332456"/>
    <w:rsid w:val="00334ECF"/>
    <w:rsid w:val="00335B79"/>
    <w:rsid w:val="00336968"/>
    <w:rsid w:val="0034347E"/>
    <w:rsid w:val="00345B15"/>
    <w:rsid w:val="00350A45"/>
    <w:rsid w:val="00351FB4"/>
    <w:rsid w:val="00352220"/>
    <w:rsid w:val="0035515B"/>
    <w:rsid w:val="00355E55"/>
    <w:rsid w:val="00356FC1"/>
    <w:rsid w:val="00360FCE"/>
    <w:rsid w:val="00362DC3"/>
    <w:rsid w:val="00370482"/>
    <w:rsid w:val="00373CEA"/>
    <w:rsid w:val="00375DE4"/>
    <w:rsid w:val="00377B8F"/>
    <w:rsid w:val="00384D8A"/>
    <w:rsid w:val="00385BC5"/>
    <w:rsid w:val="003913A5"/>
    <w:rsid w:val="00394C2A"/>
    <w:rsid w:val="0039624A"/>
    <w:rsid w:val="003A17CA"/>
    <w:rsid w:val="003A5DCF"/>
    <w:rsid w:val="003A7A2A"/>
    <w:rsid w:val="003B133A"/>
    <w:rsid w:val="003B3DB9"/>
    <w:rsid w:val="003D05BB"/>
    <w:rsid w:val="003D22DA"/>
    <w:rsid w:val="003D59BA"/>
    <w:rsid w:val="00402599"/>
    <w:rsid w:val="00414643"/>
    <w:rsid w:val="0041784B"/>
    <w:rsid w:val="00417B81"/>
    <w:rsid w:val="00430FED"/>
    <w:rsid w:val="00433B3D"/>
    <w:rsid w:val="0043670C"/>
    <w:rsid w:val="0044060C"/>
    <w:rsid w:val="00445C6F"/>
    <w:rsid w:val="0044790E"/>
    <w:rsid w:val="004509FD"/>
    <w:rsid w:val="00451040"/>
    <w:rsid w:val="004554BD"/>
    <w:rsid w:val="00462250"/>
    <w:rsid w:val="00462524"/>
    <w:rsid w:val="00492783"/>
    <w:rsid w:val="00494D82"/>
    <w:rsid w:val="004A1544"/>
    <w:rsid w:val="004A2B21"/>
    <w:rsid w:val="004A5767"/>
    <w:rsid w:val="004B1732"/>
    <w:rsid w:val="004B33E5"/>
    <w:rsid w:val="004B4070"/>
    <w:rsid w:val="004B4B5C"/>
    <w:rsid w:val="004C2B05"/>
    <w:rsid w:val="004C3573"/>
    <w:rsid w:val="004C7A55"/>
    <w:rsid w:val="004E0E32"/>
    <w:rsid w:val="004E75A5"/>
    <w:rsid w:val="004F6C6B"/>
    <w:rsid w:val="00502A26"/>
    <w:rsid w:val="00504B1E"/>
    <w:rsid w:val="005053D0"/>
    <w:rsid w:val="00506DBA"/>
    <w:rsid w:val="00514531"/>
    <w:rsid w:val="00516735"/>
    <w:rsid w:val="00517251"/>
    <w:rsid w:val="00517D42"/>
    <w:rsid w:val="00522475"/>
    <w:rsid w:val="005378D4"/>
    <w:rsid w:val="0054688D"/>
    <w:rsid w:val="0055231D"/>
    <w:rsid w:val="005560DC"/>
    <w:rsid w:val="00557608"/>
    <w:rsid w:val="0056159E"/>
    <w:rsid w:val="00561C55"/>
    <w:rsid w:val="00562D68"/>
    <w:rsid w:val="0056740A"/>
    <w:rsid w:val="005832E2"/>
    <w:rsid w:val="00585677"/>
    <w:rsid w:val="00587771"/>
    <w:rsid w:val="00591E45"/>
    <w:rsid w:val="005B0065"/>
    <w:rsid w:val="005B31EA"/>
    <w:rsid w:val="005B53FD"/>
    <w:rsid w:val="005C412B"/>
    <w:rsid w:val="005E37EC"/>
    <w:rsid w:val="005F03E7"/>
    <w:rsid w:val="005F3B9B"/>
    <w:rsid w:val="005F46E9"/>
    <w:rsid w:val="005F730F"/>
    <w:rsid w:val="0060022B"/>
    <w:rsid w:val="00601DEC"/>
    <w:rsid w:val="006024D9"/>
    <w:rsid w:val="00614695"/>
    <w:rsid w:val="00621862"/>
    <w:rsid w:val="00622889"/>
    <w:rsid w:val="00626F79"/>
    <w:rsid w:val="00627266"/>
    <w:rsid w:val="0063201D"/>
    <w:rsid w:val="00632AAF"/>
    <w:rsid w:val="00632D7C"/>
    <w:rsid w:val="0063405F"/>
    <w:rsid w:val="00635430"/>
    <w:rsid w:val="00637A11"/>
    <w:rsid w:val="00641FC3"/>
    <w:rsid w:val="00642FED"/>
    <w:rsid w:val="00644842"/>
    <w:rsid w:val="00650DB7"/>
    <w:rsid w:val="00652BE3"/>
    <w:rsid w:val="006579FB"/>
    <w:rsid w:val="00673233"/>
    <w:rsid w:val="006737B9"/>
    <w:rsid w:val="00681401"/>
    <w:rsid w:val="00682BCA"/>
    <w:rsid w:val="00683643"/>
    <w:rsid w:val="00685504"/>
    <w:rsid w:val="00690981"/>
    <w:rsid w:val="00691EFB"/>
    <w:rsid w:val="00697036"/>
    <w:rsid w:val="00697B9A"/>
    <w:rsid w:val="006A3869"/>
    <w:rsid w:val="006A4114"/>
    <w:rsid w:val="006A7A20"/>
    <w:rsid w:val="006B23D0"/>
    <w:rsid w:val="006C1FD1"/>
    <w:rsid w:val="006C5391"/>
    <w:rsid w:val="006D1E7B"/>
    <w:rsid w:val="006D3BDC"/>
    <w:rsid w:val="006D662C"/>
    <w:rsid w:val="006D6689"/>
    <w:rsid w:val="006E517E"/>
    <w:rsid w:val="006E5855"/>
    <w:rsid w:val="006F3B1D"/>
    <w:rsid w:val="006F4519"/>
    <w:rsid w:val="006F56B7"/>
    <w:rsid w:val="0071062B"/>
    <w:rsid w:val="00710E32"/>
    <w:rsid w:val="007117EC"/>
    <w:rsid w:val="00712C96"/>
    <w:rsid w:val="0071399D"/>
    <w:rsid w:val="007350F5"/>
    <w:rsid w:val="00735AE7"/>
    <w:rsid w:val="0074022F"/>
    <w:rsid w:val="00745D75"/>
    <w:rsid w:val="007464E8"/>
    <w:rsid w:val="0075161D"/>
    <w:rsid w:val="00755BCD"/>
    <w:rsid w:val="00762DD8"/>
    <w:rsid w:val="00766D0F"/>
    <w:rsid w:val="00767057"/>
    <w:rsid w:val="00771C01"/>
    <w:rsid w:val="0077355D"/>
    <w:rsid w:val="0077435E"/>
    <w:rsid w:val="007810A4"/>
    <w:rsid w:val="007851B2"/>
    <w:rsid w:val="00790959"/>
    <w:rsid w:val="00791B44"/>
    <w:rsid w:val="007937AE"/>
    <w:rsid w:val="00793B09"/>
    <w:rsid w:val="00793DFD"/>
    <w:rsid w:val="00794C41"/>
    <w:rsid w:val="007A0CB5"/>
    <w:rsid w:val="007A70C4"/>
    <w:rsid w:val="007A7553"/>
    <w:rsid w:val="007B1340"/>
    <w:rsid w:val="007C37F5"/>
    <w:rsid w:val="007C504B"/>
    <w:rsid w:val="007D2745"/>
    <w:rsid w:val="007E4505"/>
    <w:rsid w:val="007E7308"/>
    <w:rsid w:val="007F2421"/>
    <w:rsid w:val="007F289E"/>
    <w:rsid w:val="007F3C3B"/>
    <w:rsid w:val="007F791A"/>
    <w:rsid w:val="008026BC"/>
    <w:rsid w:val="00803541"/>
    <w:rsid w:val="00827B21"/>
    <w:rsid w:val="00837DD9"/>
    <w:rsid w:val="008404DB"/>
    <w:rsid w:val="0085073F"/>
    <w:rsid w:val="00850881"/>
    <w:rsid w:val="00860B02"/>
    <w:rsid w:val="00871E3D"/>
    <w:rsid w:val="00872A08"/>
    <w:rsid w:val="00872BA5"/>
    <w:rsid w:val="00876FF3"/>
    <w:rsid w:val="00885EBD"/>
    <w:rsid w:val="00890ECF"/>
    <w:rsid w:val="008955C1"/>
    <w:rsid w:val="00897B2D"/>
    <w:rsid w:val="008A30AF"/>
    <w:rsid w:val="008A324D"/>
    <w:rsid w:val="008A37C4"/>
    <w:rsid w:val="008A3BFE"/>
    <w:rsid w:val="008B14F3"/>
    <w:rsid w:val="008B2B66"/>
    <w:rsid w:val="008B3DEF"/>
    <w:rsid w:val="008B3EF2"/>
    <w:rsid w:val="008C022A"/>
    <w:rsid w:val="008C61BD"/>
    <w:rsid w:val="008C79BA"/>
    <w:rsid w:val="008D6396"/>
    <w:rsid w:val="008D7B0B"/>
    <w:rsid w:val="008E2937"/>
    <w:rsid w:val="008E4E2D"/>
    <w:rsid w:val="008E777F"/>
    <w:rsid w:val="008F266B"/>
    <w:rsid w:val="008F6814"/>
    <w:rsid w:val="009056C6"/>
    <w:rsid w:val="0090745D"/>
    <w:rsid w:val="00917C30"/>
    <w:rsid w:val="0092299E"/>
    <w:rsid w:val="00922EBD"/>
    <w:rsid w:val="00926C32"/>
    <w:rsid w:val="009272DD"/>
    <w:rsid w:val="00957CE0"/>
    <w:rsid w:val="009804F4"/>
    <w:rsid w:val="00985E02"/>
    <w:rsid w:val="009938FD"/>
    <w:rsid w:val="009954DD"/>
    <w:rsid w:val="009964BC"/>
    <w:rsid w:val="009A5EA8"/>
    <w:rsid w:val="009B112A"/>
    <w:rsid w:val="009B4E1E"/>
    <w:rsid w:val="009B5460"/>
    <w:rsid w:val="009B6D2B"/>
    <w:rsid w:val="009B7CB1"/>
    <w:rsid w:val="009B7D0C"/>
    <w:rsid w:val="009D0F8D"/>
    <w:rsid w:val="009D2ADC"/>
    <w:rsid w:val="009D4D8D"/>
    <w:rsid w:val="009F1F5B"/>
    <w:rsid w:val="009F3C6F"/>
    <w:rsid w:val="009F4511"/>
    <w:rsid w:val="009F7480"/>
    <w:rsid w:val="00A05B6C"/>
    <w:rsid w:val="00A127A3"/>
    <w:rsid w:val="00A14AE9"/>
    <w:rsid w:val="00A16EBF"/>
    <w:rsid w:val="00A17C79"/>
    <w:rsid w:val="00A406B5"/>
    <w:rsid w:val="00A40BBE"/>
    <w:rsid w:val="00A440A1"/>
    <w:rsid w:val="00A45427"/>
    <w:rsid w:val="00A47964"/>
    <w:rsid w:val="00A52DB7"/>
    <w:rsid w:val="00A57488"/>
    <w:rsid w:val="00A665A6"/>
    <w:rsid w:val="00A701F1"/>
    <w:rsid w:val="00A71D29"/>
    <w:rsid w:val="00A71F51"/>
    <w:rsid w:val="00A75FCD"/>
    <w:rsid w:val="00A85AF5"/>
    <w:rsid w:val="00A87048"/>
    <w:rsid w:val="00A94F23"/>
    <w:rsid w:val="00A96737"/>
    <w:rsid w:val="00AA6370"/>
    <w:rsid w:val="00AA7D0F"/>
    <w:rsid w:val="00AB1FCD"/>
    <w:rsid w:val="00AB30DF"/>
    <w:rsid w:val="00AB3750"/>
    <w:rsid w:val="00AB3873"/>
    <w:rsid w:val="00AB3A1F"/>
    <w:rsid w:val="00AC0761"/>
    <w:rsid w:val="00AC1BC2"/>
    <w:rsid w:val="00AC24F2"/>
    <w:rsid w:val="00AC382E"/>
    <w:rsid w:val="00AC4949"/>
    <w:rsid w:val="00AC5152"/>
    <w:rsid w:val="00AC5661"/>
    <w:rsid w:val="00AD00F6"/>
    <w:rsid w:val="00AD054A"/>
    <w:rsid w:val="00AD21A5"/>
    <w:rsid w:val="00AD2887"/>
    <w:rsid w:val="00AD7F85"/>
    <w:rsid w:val="00AE0976"/>
    <w:rsid w:val="00AF04A4"/>
    <w:rsid w:val="00B05D35"/>
    <w:rsid w:val="00B10D30"/>
    <w:rsid w:val="00B117EB"/>
    <w:rsid w:val="00B11AD7"/>
    <w:rsid w:val="00B1666A"/>
    <w:rsid w:val="00B16FEB"/>
    <w:rsid w:val="00B23B87"/>
    <w:rsid w:val="00B33FB7"/>
    <w:rsid w:val="00B373D6"/>
    <w:rsid w:val="00B37EE9"/>
    <w:rsid w:val="00B473A1"/>
    <w:rsid w:val="00B51BEC"/>
    <w:rsid w:val="00B52633"/>
    <w:rsid w:val="00B55CF9"/>
    <w:rsid w:val="00B57839"/>
    <w:rsid w:val="00B63722"/>
    <w:rsid w:val="00B677BF"/>
    <w:rsid w:val="00B7064A"/>
    <w:rsid w:val="00B73619"/>
    <w:rsid w:val="00B75FA6"/>
    <w:rsid w:val="00B80868"/>
    <w:rsid w:val="00B817B2"/>
    <w:rsid w:val="00B834BF"/>
    <w:rsid w:val="00B83827"/>
    <w:rsid w:val="00B87A72"/>
    <w:rsid w:val="00B9601A"/>
    <w:rsid w:val="00BA1C02"/>
    <w:rsid w:val="00BB09A7"/>
    <w:rsid w:val="00BB1715"/>
    <w:rsid w:val="00BB3E8D"/>
    <w:rsid w:val="00BC0641"/>
    <w:rsid w:val="00BC336F"/>
    <w:rsid w:val="00BD554E"/>
    <w:rsid w:val="00BE0969"/>
    <w:rsid w:val="00BE4098"/>
    <w:rsid w:val="00BE7DCB"/>
    <w:rsid w:val="00BF0751"/>
    <w:rsid w:val="00BF2CD5"/>
    <w:rsid w:val="00BF60B5"/>
    <w:rsid w:val="00C02AC4"/>
    <w:rsid w:val="00C03976"/>
    <w:rsid w:val="00C10F16"/>
    <w:rsid w:val="00C15290"/>
    <w:rsid w:val="00C17C6E"/>
    <w:rsid w:val="00C223F4"/>
    <w:rsid w:val="00C235D5"/>
    <w:rsid w:val="00C2375B"/>
    <w:rsid w:val="00C445F8"/>
    <w:rsid w:val="00C47251"/>
    <w:rsid w:val="00C570DF"/>
    <w:rsid w:val="00C61D9E"/>
    <w:rsid w:val="00C63173"/>
    <w:rsid w:val="00C63F13"/>
    <w:rsid w:val="00C6662F"/>
    <w:rsid w:val="00C72482"/>
    <w:rsid w:val="00C74004"/>
    <w:rsid w:val="00C74C4D"/>
    <w:rsid w:val="00C761EA"/>
    <w:rsid w:val="00C938D5"/>
    <w:rsid w:val="00CA03C0"/>
    <w:rsid w:val="00CA0C05"/>
    <w:rsid w:val="00CA273A"/>
    <w:rsid w:val="00CA3E4B"/>
    <w:rsid w:val="00CA5FD0"/>
    <w:rsid w:val="00CB5EA8"/>
    <w:rsid w:val="00CB723C"/>
    <w:rsid w:val="00CC0261"/>
    <w:rsid w:val="00CD0B54"/>
    <w:rsid w:val="00CD35B2"/>
    <w:rsid w:val="00CD5DBA"/>
    <w:rsid w:val="00CD704F"/>
    <w:rsid w:val="00CE41B1"/>
    <w:rsid w:val="00CE5ABE"/>
    <w:rsid w:val="00CE788A"/>
    <w:rsid w:val="00CF1734"/>
    <w:rsid w:val="00CF2053"/>
    <w:rsid w:val="00CF77E9"/>
    <w:rsid w:val="00D11143"/>
    <w:rsid w:val="00D13C36"/>
    <w:rsid w:val="00D16BB2"/>
    <w:rsid w:val="00D2173F"/>
    <w:rsid w:val="00D241BB"/>
    <w:rsid w:val="00D26598"/>
    <w:rsid w:val="00D2729E"/>
    <w:rsid w:val="00D3541E"/>
    <w:rsid w:val="00D42E74"/>
    <w:rsid w:val="00D5041E"/>
    <w:rsid w:val="00D52BAD"/>
    <w:rsid w:val="00D712DB"/>
    <w:rsid w:val="00D7467E"/>
    <w:rsid w:val="00D74D31"/>
    <w:rsid w:val="00D80C36"/>
    <w:rsid w:val="00D83045"/>
    <w:rsid w:val="00D85F4E"/>
    <w:rsid w:val="00D91F69"/>
    <w:rsid w:val="00D93315"/>
    <w:rsid w:val="00D9429F"/>
    <w:rsid w:val="00D96115"/>
    <w:rsid w:val="00D966EC"/>
    <w:rsid w:val="00DC0B6E"/>
    <w:rsid w:val="00DC6B1E"/>
    <w:rsid w:val="00DD0691"/>
    <w:rsid w:val="00DD4AF4"/>
    <w:rsid w:val="00DD5083"/>
    <w:rsid w:val="00DE0936"/>
    <w:rsid w:val="00DE2930"/>
    <w:rsid w:val="00DE66D1"/>
    <w:rsid w:val="00DF3631"/>
    <w:rsid w:val="00E0533E"/>
    <w:rsid w:val="00E05F78"/>
    <w:rsid w:val="00E10AC7"/>
    <w:rsid w:val="00E10D0C"/>
    <w:rsid w:val="00E12863"/>
    <w:rsid w:val="00E20A0F"/>
    <w:rsid w:val="00E2265A"/>
    <w:rsid w:val="00E24818"/>
    <w:rsid w:val="00E27259"/>
    <w:rsid w:val="00E277C5"/>
    <w:rsid w:val="00E30CD8"/>
    <w:rsid w:val="00E31BF8"/>
    <w:rsid w:val="00E34FA5"/>
    <w:rsid w:val="00E35B76"/>
    <w:rsid w:val="00E36784"/>
    <w:rsid w:val="00E5471B"/>
    <w:rsid w:val="00E56CFC"/>
    <w:rsid w:val="00E621A1"/>
    <w:rsid w:val="00E6498A"/>
    <w:rsid w:val="00E67639"/>
    <w:rsid w:val="00E71D97"/>
    <w:rsid w:val="00E7450D"/>
    <w:rsid w:val="00E750EC"/>
    <w:rsid w:val="00E755E1"/>
    <w:rsid w:val="00E80D55"/>
    <w:rsid w:val="00E84DEF"/>
    <w:rsid w:val="00E8627F"/>
    <w:rsid w:val="00E91E09"/>
    <w:rsid w:val="00E93152"/>
    <w:rsid w:val="00E9537B"/>
    <w:rsid w:val="00EA159B"/>
    <w:rsid w:val="00EA25C0"/>
    <w:rsid w:val="00EA2C4E"/>
    <w:rsid w:val="00EB1920"/>
    <w:rsid w:val="00EB4490"/>
    <w:rsid w:val="00EB5C61"/>
    <w:rsid w:val="00EB717F"/>
    <w:rsid w:val="00EB789B"/>
    <w:rsid w:val="00EB7BF7"/>
    <w:rsid w:val="00ED3347"/>
    <w:rsid w:val="00ED36B4"/>
    <w:rsid w:val="00ED7BB5"/>
    <w:rsid w:val="00EE10C4"/>
    <w:rsid w:val="00EE4D0D"/>
    <w:rsid w:val="00EF057E"/>
    <w:rsid w:val="00EF4C9D"/>
    <w:rsid w:val="00EF52CA"/>
    <w:rsid w:val="00F016D0"/>
    <w:rsid w:val="00F0215A"/>
    <w:rsid w:val="00F07C1F"/>
    <w:rsid w:val="00F13638"/>
    <w:rsid w:val="00F15441"/>
    <w:rsid w:val="00F16243"/>
    <w:rsid w:val="00F20FBD"/>
    <w:rsid w:val="00F26A7A"/>
    <w:rsid w:val="00F26B2D"/>
    <w:rsid w:val="00F27FA0"/>
    <w:rsid w:val="00F30C05"/>
    <w:rsid w:val="00F35A28"/>
    <w:rsid w:val="00F43C42"/>
    <w:rsid w:val="00F44F1F"/>
    <w:rsid w:val="00F458E2"/>
    <w:rsid w:val="00F47AC1"/>
    <w:rsid w:val="00F62A58"/>
    <w:rsid w:val="00F670D4"/>
    <w:rsid w:val="00F75F5F"/>
    <w:rsid w:val="00F86EC6"/>
    <w:rsid w:val="00F9057B"/>
    <w:rsid w:val="00F917F1"/>
    <w:rsid w:val="00FA0525"/>
    <w:rsid w:val="00FA3291"/>
    <w:rsid w:val="00FA4BC0"/>
    <w:rsid w:val="00FB1071"/>
    <w:rsid w:val="00FB3AC7"/>
    <w:rsid w:val="00FB481F"/>
    <w:rsid w:val="00FC5B5B"/>
    <w:rsid w:val="00FC6B0F"/>
    <w:rsid w:val="00FC6D89"/>
    <w:rsid w:val="00FD191F"/>
    <w:rsid w:val="00FD3588"/>
    <w:rsid w:val="00FE06C8"/>
    <w:rsid w:val="00FE2AFA"/>
    <w:rsid w:val="00FE4C78"/>
    <w:rsid w:val="00FF739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EC1"/>
    <w:rPr>
      <w:rFonts w:ascii="Times New Roman" w:eastAsia="Times New Roman" w:hAnsi="Times New Roman"/>
      <w:sz w:val="24"/>
      <w:szCs w:val="24"/>
      <w:lang w:val="es-ES" w:eastAsia="es-ES"/>
    </w:rPr>
  </w:style>
  <w:style w:type="paragraph" w:styleId="Heading1">
    <w:name w:val="heading 1"/>
    <w:basedOn w:val="Normal"/>
    <w:next w:val="Normal"/>
    <w:link w:val="Heading1Char"/>
    <w:uiPriority w:val="9"/>
    <w:qFormat/>
    <w:rsid w:val="00230EC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B75F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75F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30EC1"/>
    <w:rPr>
      <w:rFonts w:ascii="Cambria" w:eastAsia="Times New Roman" w:hAnsi="Cambria" w:cs="Times New Roman"/>
      <w:b/>
      <w:bCs/>
      <w:kern w:val="32"/>
      <w:sz w:val="32"/>
      <w:szCs w:val="32"/>
      <w:lang w:val="es-ES" w:eastAsia="es-ES"/>
    </w:rPr>
  </w:style>
  <w:style w:type="paragraph" w:styleId="ListParagraph">
    <w:name w:val="List Paragraph"/>
    <w:basedOn w:val="Normal"/>
    <w:uiPriority w:val="34"/>
    <w:qFormat/>
    <w:rsid w:val="00230EC1"/>
    <w:pPr>
      <w:spacing w:after="200" w:line="276" w:lineRule="auto"/>
      <w:ind w:left="720"/>
      <w:contextualSpacing/>
    </w:pPr>
    <w:rPr>
      <w:rFonts w:ascii="Calibri" w:eastAsia="Calibri" w:hAnsi="Calibri"/>
      <w:sz w:val="22"/>
      <w:szCs w:val="22"/>
      <w:lang w:eastAsia="en-US"/>
    </w:rPr>
  </w:style>
  <w:style w:type="paragraph" w:customStyle="1" w:styleId="Chapter">
    <w:name w:val="Chapter"/>
    <w:basedOn w:val="Normal"/>
    <w:next w:val="Normal"/>
    <w:rsid w:val="00230EC1"/>
    <w:pPr>
      <w:numPr>
        <w:numId w:val="2"/>
      </w:numPr>
      <w:tabs>
        <w:tab w:val="left" w:pos="1440"/>
      </w:tabs>
      <w:spacing w:after="240"/>
      <w:jc w:val="center"/>
    </w:pPr>
    <w:rPr>
      <w:b/>
      <w:smallCaps/>
      <w:szCs w:val="20"/>
      <w:lang w:eastAsia="en-US"/>
    </w:rPr>
  </w:style>
  <w:style w:type="paragraph" w:customStyle="1" w:styleId="Paragraph">
    <w:name w:val="Paragraph"/>
    <w:aliases w:val="paragraph,p,PARAGRAPH,PG,pa,at"/>
    <w:basedOn w:val="BodyTextIndent"/>
    <w:link w:val="ParagraphChar"/>
    <w:qFormat/>
    <w:rsid w:val="00230EC1"/>
    <w:pPr>
      <w:numPr>
        <w:ilvl w:val="1"/>
        <w:numId w:val="2"/>
      </w:numPr>
      <w:spacing w:before="120"/>
      <w:jc w:val="both"/>
      <w:outlineLvl w:val="1"/>
    </w:pPr>
    <w:rPr>
      <w:szCs w:val="20"/>
      <w:lang w:eastAsia="en-US"/>
    </w:rPr>
  </w:style>
  <w:style w:type="paragraph" w:customStyle="1" w:styleId="subpar">
    <w:name w:val="subpar"/>
    <w:basedOn w:val="BodyTextIndent3"/>
    <w:rsid w:val="00230EC1"/>
    <w:pPr>
      <w:numPr>
        <w:ilvl w:val="2"/>
        <w:numId w:val="2"/>
      </w:numPr>
      <w:spacing w:before="120"/>
      <w:jc w:val="both"/>
      <w:outlineLvl w:val="2"/>
    </w:pPr>
    <w:rPr>
      <w:sz w:val="24"/>
      <w:szCs w:val="20"/>
      <w:lang w:val="es-ES_tradnl" w:eastAsia="en-US"/>
    </w:rPr>
  </w:style>
  <w:style w:type="paragraph" w:customStyle="1" w:styleId="SubSubPar">
    <w:name w:val="SubSubPar"/>
    <w:basedOn w:val="subpar"/>
    <w:rsid w:val="00230EC1"/>
    <w:pPr>
      <w:numPr>
        <w:ilvl w:val="3"/>
      </w:numPr>
      <w:tabs>
        <w:tab w:val="left" w:pos="0"/>
      </w:tabs>
      <w:ind w:left="2880" w:hanging="360"/>
    </w:pPr>
  </w:style>
  <w:style w:type="paragraph" w:styleId="BodyText">
    <w:name w:val="Body Text"/>
    <w:basedOn w:val="Normal"/>
    <w:link w:val="BodyTextChar"/>
    <w:uiPriority w:val="99"/>
    <w:semiHidden/>
    <w:unhideWhenUsed/>
    <w:rsid w:val="00230EC1"/>
    <w:pPr>
      <w:spacing w:after="120"/>
    </w:pPr>
  </w:style>
  <w:style w:type="character" w:customStyle="1" w:styleId="BodyTextChar">
    <w:name w:val="Body Text Char"/>
    <w:link w:val="BodyText"/>
    <w:uiPriority w:val="99"/>
    <w:semiHidden/>
    <w:rsid w:val="00230EC1"/>
    <w:rPr>
      <w:rFonts w:ascii="Times New Roman" w:eastAsia="Times New Roman" w:hAnsi="Times New Roman" w:cs="Times New Roman"/>
      <w:sz w:val="24"/>
      <w:szCs w:val="24"/>
      <w:lang w:val="es-ES" w:eastAsia="es-ES"/>
    </w:rPr>
  </w:style>
  <w:style w:type="paragraph" w:customStyle="1" w:styleId="Newpage">
    <w:name w:val="Newpage"/>
    <w:basedOn w:val="Normal"/>
    <w:rsid w:val="00230EC1"/>
    <w:pPr>
      <w:tabs>
        <w:tab w:val="left" w:pos="1440"/>
        <w:tab w:val="left" w:pos="3060"/>
      </w:tabs>
      <w:jc w:val="center"/>
    </w:pPr>
    <w:rPr>
      <w:rFonts w:cs="Arial"/>
      <w:b/>
      <w:smallCaps/>
      <w:szCs w:val="20"/>
      <w:lang w:val="en-US" w:eastAsia="en-US"/>
    </w:rPr>
  </w:style>
  <w:style w:type="paragraph" w:styleId="BodyTextIndent">
    <w:name w:val="Body Text Indent"/>
    <w:basedOn w:val="Normal"/>
    <w:link w:val="BodyTextIndentChar"/>
    <w:uiPriority w:val="99"/>
    <w:semiHidden/>
    <w:unhideWhenUsed/>
    <w:rsid w:val="00230EC1"/>
    <w:pPr>
      <w:spacing w:after="120"/>
      <w:ind w:left="283"/>
    </w:pPr>
  </w:style>
  <w:style w:type="character" w:customStyle="1" w:styleId="BodyTextIndentChar">
    <w:name w:val="Body Text Indent Char"/>
    <w:link w:val="BodyTextIndent"/>
    <w:uiPriority w:val="99"/>
    <w:semiHidden/>
    <w:rsid w:val="00230EC1"/>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230EC1"/>
    <w:pPr>
      <w:spacing w:after="120"/>
      <w:ind w:left="283"/>
    </w:pPr>
    <w:rPr>
      <w:sz w:val="16"/>
      <w:szCs w:val="16"/>
    </w:rPr>
  </w:style>
  <w:style w:type="character" w:customStyle="1" w:styleId="BodyTextIndent3Char">
    <w:name w:val="Body Text Indent 3 Char"/>
    <w:link w:val="BodyTextIndent3"/>
    <w:uiPriority w:val="99"/>
    <w:semiHidden/>
    <w:rsid w:val="00230EC1"/>
    <w:rPr>
      <w:rFonts w:ascii="Times New Roman" w:eastAsia="Times New Roman" w:hAnsi="Times New Roman" w:cs="Times New Roman"/>
      <w:sz w:val="16"/>
      <w:szCs w:val="16"/>
      <w:lang w:val="es-ES" w:eastAsia="es-ES"/>
    </w:rPr>
  </w:style>
  <w:style w:type="character" w:customStyle="1" w:styleId="ParagraphChar">
    <w:name w:val="Paragraph Char"/>
    <w:link w:val="Paragraph"/>
    <w:rsid w:val="00766D0F"/>
    <w:rPr>
      <w:rFonts w:ascii="Times New Roman" w:eastAsia="Times New Roman" w:hAnsi="Times New Roman"/>
      <w:sz w:val="24"/>
      <w:lang w:val="es-ES"/>
    </w:rPr>
  </w:style>
  <w:style w:type="paragraph" w:styleId="FootnoteText">
    <w:name w:val="footnote text"/>
    <w:aliases w:val="fn,Texto de rodapé,nota_rodapé,nota de rodapé,ADB"/>
    <w:basedOn w:val="Normal"/>
    <w:link w:val="FootnoteTextChar"/>
    <w:uiPriority w:val="99"/>
    <w:unhideWhenUsed/>
    <w:rsid w:val="00225F47"/>
    <w:rPr>
      <w:sz w:val="20"/>
      <w:szCs w:val="20"/>
    </w:rPr>
  </w:style>
  <w:style w:type="character" w:customStyle="1" w:styleId="FootnoteTextChar">
    <w:name w:val="Footnote Text Char"/>
    <w:aliases w:val="fn Char,Texto de rodapé Char,nota_rodapé Char,nota de rodapé Char,ADB Char"/>
    <w:link w:val="FootnoteText"/>
    <w:uiPriority w:val="99"/>
    <w:rsid w:val="00225F47"/>
    <w:rPr>
      <w:rFonts w:ascii="Times New Roman" w:eastAsia="Times New Roman" w:hAnsi="Times New Roman" w:cs="Times New Roman"/>
      <w:sz w:val="20"/>
      <w:szCs w:val="20"/>
      <w:lang w:val="es-ES" w:eastAsia="es-ES"/>
    </w:rPr>
  </w:style>
  <w:style w:type="character" w:styleId="FootnoteReference">
    <w:name w:val="footnote reference"/>
    <w:uiPriority w:val="99"/>
    <w:unhideWhenUsed/>
    <w:rsid w:val="00225F47"/>
    <w:rPr>
      <w:vertAlign w:val="superscript"/>
    </w:rPr>
  </w:style>
  <w:style w:type="paragraph" w:styleId="BalloonText">
    <w:name w:val="Balloon Text"/>
    <w:basedOn w:val="Normal"/>
    <w:link w:val="BalloonTextChar"/>
    <w:uiPriority w:val="99"/>
    <w:semiHidden/>
    <w:unhideWhenUsed/>
    <w:rsid w:val="008F266B"/>
    <w:rPr>
      <w:rFonts w:ascii="Tahoma" w:hAnsi="Tahoma" w:cs="Tahoma"/>
      <w:sz w:val="16"/>
      <w:szCs w:val="16"/>
    </w:rPr>
  </w:style>
  <w:style w:type="character" w:customStyle="1" w:styleId="BalloonTextChar">
    <w:name w:val="Balloon Text Char"/>
    <w:link w:val="BalloonText"/>
    <w:uiPriority w:val="99"/>
    <w:semiHidden/>
    <w:rsid w:val="008F266B"/>
    <w:rPr>
      <w:rFonts w:ascii="Tahoma" w:eastAsia="Times New Roman" w:hAnsi="Tahoma" w:cs="Tahoma"/>
      <w:sz w:val="16"/>
      <w:szCs w:val="16"/>
      <w:lang w:val="es-ES" w:eastAsia="es-ES"/>
    </w:rPr>
  </w:style>
  <w:style w:type="paragraph" w:styleId="Header">
    <w:name w:val="header"/>
    <w:basedOn w:val="Normal"/>
    <w:link w:val="HeaderChar"/>
    <w:uiPriority w:val="99"/>
    <w:unhideWhenUsed/>
    <w:rsid w:val="00377B8F"/>
    <w:pPr>
      <w:tabs>
        <w:tab w:val="center" w:pos="4680"/>
        <w:tab w:val="right" w:pos="9360"/>
      </w:tabs>
    </w:pPr>
  </w:style>
  <w:style w:type="character" w:customStyle="1" w:styleId="HeaderChar">
    <w:name w:val="Header Char"/>
    <w:link w:val="Header"/>
    <w:uiPriority w:val="99"/>
    <w:rsid w:val="00377B8F"/>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377B8F"/>
    <w:pPr>
      <w:tabs>
        <w:tab w:val="center" w:pos="4680"/>
        <w:tab w:val="right" w:pos="9360"/>
      </w:tabs>
    </w:pPr>
  </w:style>
  <w:style w:type="character" w:customStyle="1" w:styleId="FooterChar">
    <w:name w:val="Footer Char"/>
    <w:link w:val="Footer"/>
    <w:uiPriority w:val="99"/>
    <w:rsid w:val="00377B8F"/>
    <w:rPr>
      <w:rFonts w:ascii="Times New Roman" w:eastAsia="Times New Roman" w:hAnsi="Times New Roman" w:cs="Times New Roman"/>
      <w:sz w:val="24"/>
      <w:szCs w:val="24"/>
      <w:lang w:val="es-ES" w:eastAsia="es-ES"/>
    </w:rPr>
  </w:style>
  <w:style w:type="paragraph" w:styleId="EndnoteText">
    <w:name w:val="endnote text"/>
    <w:basedOn w:val="Normal"/>
    <w:link w:val="EndnoteTextChar"/>
    <w:semiHidden/>
    <w:unhideWhenUsed/>
    <w:rsid w:val="00345B15"/>
    <w:rPr>
      <w:sz w:val="20"/>
      <w:szCs w:val="20"/>
      <w:lang w:val="en-US" w:eastAsia="en-US"/>
    </w:rPr>
  </w:style>
  <w:style w:type="character" w:customStyle="1" w:styleId="EndnoteTextChar">
    <w:name w:val="Endnote Text Char"/>
    <w:link w:val="EndnoteText"/>
    <w:semiHidden/>
    <w:rsid w:val="00345B15"/>
    <w:rPr>
      <w:rFonts w:ascii="Times New Roman" w:eastAsia="Times New Roman" w:hAnsi="Times New Roman" w:cs="Times New Roman"/>
      <w:sz w:val="20"/>
      <w:szCs w:val="20"/>
      <w:lang w:val="en-US"/>
    </w:rPr>
  </w:style>
  <w:style w:type="character" w:styleId="EndnoteReference">
    <w:name w:val="endnote reference"/>
    <w:semiHidden/>
    <w:unhideWhenUsed/>
    <w:rsid w:val="00345B15"/>
    <w:rPr>
      <w:vertAlign w:val="superscript"/>
    </w:rPr>
  </w:style>
  <w:style w:type="character" w:styleId="CommentReference">
    <w:name w:val="annotation reference"/>
    <w:uiPriority w:val="99"/>
    <w:semiHidden/>
    <w:unhideWhenUsed/>
    <w:rsid w:val="008C61BD"/>
    <w:rPr>
      <w:sz w:val="16"/>
      <w:szCs w:val="16"/>
    </w:rPr>
  </w:style>
  <w:style w:type="paragraph" w:styleId="CommentText">
    <w:name w:val="annotation text"/>
    <w:basedOn w:val="Normal"/>
    <w:link w:val="CommentTextChar"/>
    <w:uiPriority w:val="99"/>
    <w:semiHidden/>
    <w:unhideWhenUsed/>
    <w:rsid w:val="008C61BD"/>
    <w:rPr>
      <w:sz w:val="20"/>
      <w:szCs w:val="20"/>
    </w:rPr>
  </w:style>
  <w:style w:type="character" w:customStyle="1" w:styleId="CommentTextChar">
    <w:name w:val="Comment Text Char"/>
    <w:link w:val="CommentText"/>
    <w:uiPriority w:val="99"/>
    <w:semiHidden/>
    <w:rsid w:val="008C61BD"/>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8C61BD"/>
    <w:rPr>
      <w:b/>
      <w:bCs/>
    </w:rPr>
  </w:style>
  <w:style w:type="character" w:customStyle="1" w:styleId="CommentSubjectChar">
    <w:name w:val="Comment Subject Char"/>
    <w:link w:val="CommentSubject"/>
    <w:uiPriority w:val="99"/>
    <w:semiHidden/>
    <w:rsid w:val="008C61BD"/>
    <w:rPr>
      <w:rFonts w:ascii="Times New Roman" w:eastAsia="Times New Roman" w:hAnsi="Times New Roman" w:cs="Times New Roman"/>
      <w:b/>
      <w:bCs/>
      <w:sz w:val="20"/>
      <w:szCs w:val="20"/>
      <w:lang w:val="es-ES" w:eastAsia="es-ES"/>
    </w:rPr>
  </w:style>
  <w:style w:type="table" w:styleId="TableGrid">
    <w:name w:val="Table Grid"/>
    <w:basedOn w:val="TableNormal"/>
    <w:uiPriority w:val="59"/>
    <w:rsid w:val="004E7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65A6"/>
    <w:rPr>
      <w:color w:val="0000FF" w:themeColor="hyperlink"/>
      <w:u w:val="single"/>
    </w:rPr>
  </w:style>
  <w:style w:type="character" w:styleId="FollowedHyperlink">
    <w:name w:val="FollowedHyperlink"/>
    <w:basedOn w:val="DefaultParagraphFont"/>
    <w:uiPriority w:val="99"/>
    <w:semiHidden/>
    <w:unhideWhenUsed/>
    <w:rsid w:val="00A665A6"/>
    <w:rPr>
      <w:color w:val="800080" w:themeColor="followedHyperlink"/>
      <w:u w:val="single"/>
    </w:rPr>
  </w:style>
  <w:style w:type="paragraph" w:customStyle="1" w:styleId="SPLAP1">
    <w:name w:val="SPLAP 1"/>
    <w:basedOn w:val="Heading1"/>
    <w:rsid w:val="00B75FA6"/>
    <w:pPr>
      <w:numPr>
        <w:numId w:val="6"/>
      </w:numPr>
      <w:pBdr>
        <w:bottom w:val="single" w:sz="4" w:space="1" w:color="auto"/>
      </w:pBdr>
      <w:spacing w:after="240"/>
    </w:pPr>
    <w:rPr>
      <w:rFonts w:ascii="Arial" w:eastAsia="Times" w:hAnsi="Arial"/>
      <w:bCs w:val="0"/>
      <w:sz w:val="24"/>
      <w:lang w:val="en-AU" w:eastAsia="en-US"/>
    </w:rPr>
  </w:style>
  <w:style w:type="paragraph" w:customStyle="1" w:styleId="SPLAP2">
    <w:name w:val="SPLAP 2"/>
    <w:basedOn w:val="Heading2"/>
    <w:rsid w:val="00B75FA6"/>
    <w:pPr>
      <w:keepLines w:val="0"/>
      <w:numPr>
        <w:ilvl w:val="1"/>
        <w:numId w:val="6"/>
      </w:numPr>
      <w:tabs>
        <w:tab w:val="num" w:pos="567"/>
      </w:tabs>
      <w:spacing w:before="240" w:after="60"/>
      <w:ind w:left="567" w:hanging="567"/>
      <w:outlineLvl w:val="0"/>
    </w:pPr>
    <w:rPr>
      <w:rFonts w:ascii="Arial" w:eastAsia="Times" w:hAnsi="Arial" w:cs="Times New Roman"/>
      <w:bCs w:val="0"/>
      <w:i/>
      <w:color w:val="auto"/>
      <w:sz w:val="24"/>
      <w:szCs w:val="28"/>
      <w:lang w:val="en-AU" w:eastAsia="en-US"/>
    </w:rPr>
  </w:style>
  <w:style w:type="paragraph" w:customStyle="1" w:styleId="SPLAP3">
    <w:name w:val="SPLAP 3"/>
    <w:basedOn w:val="Heading3"/>
    <w:rsid w:val="00B75FA6"/>
    <w:pPr>
      <w:keepLines w:val="0"/>
      <w:numPr>
        <w:ilvl w:val="2"/>
        <w:numId w:val="6"/>
      </w:numPr>
      <w:spacing w:before="240" w:after="60"/>
    </w:pPr>
    <w:rPr>
      <w:rFonts w:ascii="Arial" w:eastAsia="Times" w:hAnsi="Arial" w:cs="Times New Roman"/>
      <w:b w:val="0"/>
      <w:bCs w:val="0"/>
      <w:i/>
      <w:color w:val="auto"/>
      <w:szCs w:val="26"/>
      <w:lang w:val="en-AU" w:eastAsia="en-US"/>
    </w:rPr>
  </w:style>
  <w:style w:type="character" w:customStyle="1" w:styleId="Heading2Char">
    <w:name w:val="Heading 2 Char"/>
    <w:basedOn w:val="DefaultParagraphFont"/>
    <w:link w:val="Heading2"/>
    <w:uiPriority w:val="9"/>
    <w:semiHidden/>
    <w:rsid w:val="00B75FA6"/>
    <w:rPr>
      <w:rFonts w:asciiTheme="majorHAnsi" w:eastAsiaTheme="majorEastAsia" w:hAnsiTheme="majorHAnsi" w:cstheme="majorBidi"/>
      <w:b/>
      <w:bCs/>
      <w:color w:val="4F81BD" w:themeColor="accent1"/>
      <w:sz w:val="26"/>
      <w:szCs w:val="26"/>
      <w:lang w:val="es-ES" w:eastAsia="es-ES"/>
    </w:rPr>
  </w:style>
  <w:style w:type="character" w:customStyle="1" w:styleId="Heading3Char">
    <w:name w:val="Heading 3 Char"/>
    <w:basedOn w:val="DefaultParagraphFont"/>
    <w:link w:val="Heading3"/>
    <w:uiPriority w:val="9"/>
    <w:semiHidden/>
    <w:rsid w:val="00B75FA6"/>
    <w:rPr>
      <w:rFonts w:asciiTheme="majorHAnsi" w:eastAsiaTheme="majorEastAsia" w:hAnsiTheme="majorHAnsi" w:cstheme="majorBidi"/>
      <w:b/>
      <w:bCs/>
      <w:color w:val="4F81BD" w:themeColor="accent1"/>
      <w:sz w:val="24"/>
      <w:szCs w:val="24"/>
      <w:lang w:val="es-ES" w:eastAsia="es-ES"/>
    </w:rPr>
  </w:style>
  <w:style w:type="paragraph" w:styleId="NormalWeb">
    <w:name w:val="Normal (Web)"/>
    <w:basedOn w:val="Normal"/>
    <w:uiPriority w:val="99"/>
    <w:semiHidden/>
    <w:unhideWhenUsed/>
    <w:rsid w:val="005053D0"/>
    <w:pPr>
      <w:spacing w:before="100" w:beforeAutospacing="1" w:after="100" w:afterAutospacing="1"/>
    </w:pPr>
    <w:rPr>
      <w:lang w:val="es-AR" w:eastAsia="es-AR"/>
    </w:rPr>
  </w:style>
  <w:style w:type="paragraph" w:styleId="TOCHeading">
    <w:name w:val="TOC Heading"/>
    <w:basedOn w:val="Heading1"/>
    <w:next w:val="Normal"/>
    <w:uiPriority w:val="39"/>
    <w:semiHidden/>
    <w:unhideWhenUsed/>
    <w:qFormat/>
    <w:rsid w:val="001D6E0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OC3">
    <w:name w:val="toc 3"/>
    <w:basedOn w:val="Normal"/>
    <w:next w:val="Normal"/>
    <w:autoRedefine/>
    <w:uiPriority w:val="39"/>
    <w:unhideWhenUsed/>
    <w:rsid w:val="001D6E04"/>
    <w:pPr>
      <w:spacing w:after="100"/>
      <w:ind w:left="480"/>
    </w:pPr>
  </w:style>
  <w:style w:type="paragraph" w:styleId="TOC1">
    <w:name w:val="toc 1"/>
    <w:basedOn w:val="Normal"/>
    <w:next w:val="Normal"/>
    <w:autoRedefine/>
    <w:uiPriority w:val="39"/>
    <w:unhideWhenUsed/>
    <w:rsid w:val="001D6E04"/>
    <w:pPr>
      <w:spacing w:after="100"/>
    </w:pPr>
  </w:style>
  <w:style w:type="paragraph" w:styleId="TOC2">
    <w:name w:val="toc 2"/>
    <w:basedOn w:val="Normal"/>
    <w:next w:val="Normal"/>
    <w:autoRedefine/>
    <w:uiPriority w:val="39"/>
    <w:unhideWhenUsed/>
    <w:rsid w:val="001D6E04"/>
    <w:pPr>
      <w:spacing w:after="100"/>
      <w:ind w:left="240"/>
    </w:pPr>
  </w:style>
  <w:style w:type="paragraph" w:styleId="TOC4">
    <w:name w:val="toc 4"/>
    <w:basedOn w:val="Normal"/>
    <w:next w:val="Normal"/>
    <w:autoRedefine/>
    <w:uiPriority w:val="39"/>
    <w:unhideWhenUsed/>
    <w:rsid w:val="001D6E04"/>
    <w:pPr>
      <w:spacing w:after="100" w:line="276" w:lineRule="auto"/>
      <w:ind w:left="660"/>
    </w:pPr>
    <w:rPr>
      <w:rFonts w:asciiTheme="minorHAnsi" w:eastAsiaTheme="minorEastAsia" w:hAnsiTheme="minorHAnsi" w:cstheme="minorBidi"/>
      <w:sz w:val="22"/>
      <w:szCs w:val="22"/>
      <w:lang w:val="es-AR" w:eastAsia="es-AR"/>
    </w:rPr>
  </w:style>
  <w:style w:type="paragraph" w:styleId="TOC5">
    <w:name w:val="toc 5"/>
    <w:basedOn w:val="Normal"/>
    <w:next w:val="Normal"/>
    <w:autoRedefine/>
    <w:uiPriority w:val="39"/>
    <w:unhideWhenUsed/>
    <w:rsid w:val="001D6E04"/>
    <w:pPr>
      <w:spacing w:after="100" w:line="276" w:lineRule="auto"/>
      <w:ind w:left="880"/>
    </w:pPr>
    <w:rPr>
      <w:rFonts w:asciiTheme="minorHAnsi" w:eastAsiaTheme="minorEastAsia" w:hAnsiTheme="minorHAnsi" w:cstheme="minorBidi"/>
      <w:sz w:val="22"/>
      <w:szCs w:val="22"/>
      <w:lang w:val="es-AR" w:eastAsia="es-AR"/>
    </w:rPr>
  </w:style>
  <w:style w:type="paragraph" w:styleId="TOC6">
    <w:name w:val="toc 6"/>
    <w:basedOn w:val="Normal"/>
    <w:next w:val="Normal"/>
    <w:autoRedefine/>
    <w:uiPriority w:val="39"/>
    <w:unhideWhenUsed/>
    <w:rsid w:val="001D6E04"/>
    <w:pPr>
      <w:spacing w:after="100" w:line="276" w:lineRule="auto"/>
      <w:ind w:left="1100"/>
    </w:pPr>
    <w:rPr>
      <w:rFonts w:asciiTheme="minorHAnsi" w:eastAsiaTheme="minorEastAsia" w:hAnsiTheme="minorHAnsi" w:cstheme="minorBidi"/>
      <w:sz w:val="22"/>
      <w:szCs w:val="22"/>
      <w:lang w:val="es-AR" w:eastAsia="es-AR"/>
    </w:rPr>
  </w:style>
  <w:style w:type="paragraph" w:styleId="TOC7">
    <w:name w:val="toc 7"/>
    <w:basedOn w:val="Normal"/>
    <w:next w:val="Normal"/>
    <w:autoRedefine/>
    <w:uiPriority w:val="39"/>
    <w:unhideWhenUsed/>
    <w:rsid w:val="001D6E04"/>
    <w:pPr>
      <w:spacing w:after="100" w:line="276" w:lineRule="auto"/>
      <w:ind w:left="1320"/>
    </w:pPr>
    <w:rPr>
      <w:rFonts w:asciiTheme="minorHAnsi" w:eastAsiaTheme="minorEastAsia" w:hAnsiTheme="minorHAnsi" w:cstheme="minorBidi"/>
      <w:sz w:val="22"/>
      <w:szCs w:val="22"/>
      <w:lang w:val="es-AR" w:eastAsia="es-AR"/>
    </w:rPr>
  </w:style>
  <w:style w:type="paragraph" w:styleId="TOC8">
    <w:name w:val="toc 8"/>
    <w:basedOn w:val="Normal"/>
    <w:next w:val="Normal"/>
    <w:autoRedefine/>
    <w:uiPriority w:val="39"/>
    <w:unhideWhenUsed/>
    <w:rsid w:val="001D6E04"/>
    <w:pPr>
      <w:spacing w:after="100" w:line="276" w:lineRule="auto"/>
      <w:ind w:left="1540"/>
    </w:pPr>
    <w:rPr>
      <w:rFonts w:asciiTheme="minorHAnsi" w:eastAsiaTheme="minorEastAsia" w:hAnsiTheme="minorHAnsi" w:cstheme="minorBidi"/>
      <w:sz w:val="22"/>
      <w:szCs w:val="22"/>
      <w:lang w:val="es-AR" w:eastAsia="es-AR"/>
    </w:rPr>
  </w:style>
  <w:style w:type="paragraph" w:styleId="TOC9">
    <w:name w:val="toc 9"/>
    <w:basedOn w:val="Normal"/>
    <w:next w:val="Normal"/>
    <w:autoRedefine/>
    <w:uiPriority w:val="39"/>
    <w:unhideWhenUsed/>
    <w:rsid w:val="001D6E04"/>
    <w:pPr>
      <w:spacing w:after="100" w:line="276" w:lineRule="auto"/>
      <w:ind w:left="1760"/>
    </w:pPr>
    <w:rPr>
      <w:rFonts w:asciiTheme="minorHAnsi" w:eastAsiaTheme="minorEastAsia" w:hAnsiTheme="minorHAnsi" w:cstheme="minorBidi"/>
      <w:sz w:val="22"/>
      <w:szCs w:val="22"/>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EC1"/>
    <w:rPr>
      <w:rFonts w:ascii="Times New Roman" w:eastAsia="Times New Roman" w:hAnsi="Times New Roman"/>
      <w:sz w:val="24"/>
      <w:szCs w:val="24"/>
      <w:lang w:val="es-ES" w:eastAsia="es-ES"/>
    </w:rPr>
  </w:style>
  <w:style w:type="paragraph" w:styleId="Heading1">
    <w:name w:val="heading 1"/>
    <w:basedOn w:val="Normal"/>
    <w:next w:val="Normal"/>
    <w:link w:val="Heading1Char"/>
    <w:uiPriority w:val="9"/>
    <w:qFormat/>
    <w:rsid w:val="00230EC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B75F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75F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30EC1"/>
    <w:rPr>
      <w:rFonts w:ascii="Cambria" w:eastAsia="Times New Roman" w:hAnsi="Cambria" w:cs="Times New Roman"/>
      <w:b/>
      <w:bCs/>
      <w:kern w:val="32"/>
      <w:sz w:val="32"/>
      <w:szCs w:val="32"/>
      <w:lang w:val="es-ES" w:eastAsia="es-ES"/>
    </w:rPr>
  </w:style>
  <w:style w:type="paragraph" w:styleId="ListParagraph">
    <w:name w:val="List Paragraph"/>
    <w:basedOn w:val="Normal"/>
    <w:uiPriority w:val="34"/>
    <w:qFormat/>
    <w:rsid w:val="00230EC1"/>
    <w:pPr>
      <w:spacing w:after="200" w:line="276" w:lineRule="auto"/>
      <w:ind w:left="720"/>
      <w:contextualSpacing/>
    </w:pPr>
    <w:rPr>
      <w:rFonts w:ascii="Calibri" w:eastAsia="Calibri" w:hAnsi="Calibri"/>
      <w:sz w:val="22"/>
      <w:szCs w:val="22"/>
      <w:lang w:eastAsia="en-US"/>
    </w:rPr>
  </w:style>
  <w:style w:type="paragraph" w:customStyle="1" w:styleId="Chapter">
    <w:name w:val="Chapter"/>
    <w:basedOn w:val="Normal"/>
    <w:next w:val="Normal"/>
    <w:rsid w:val="00230EC1"/>
    <w:pPr>
      <w:numPr>
        <w:numId w:val="2"/>
      </w:numPr>
      <w:tabs>
        <w:tab w:val="left" w:pos="1440"/>
      </w:tabs>
      <w:spacing w:after="240"/>
      <w:jc w:val="center"/>
    </w:pPr>
    <w:rPr>
      <w:b/>
      <w:smallCaps/>
      <w:szCs w:val="20"/>
      <w:lang w:eastAsia="en-US"/>
    </w:rPr>
  </w:style>
  <w:style w:type="paragraph" w:customStyle="1" w:styleId="Paragraph">
    <w:name w:val="Paragraph"/>
    <w:aliases w:val="paragraph,p,PARAGRAPH,PG,pa,at"/>
    <w:basedOn w:val="BodyTextIndent"/>
    <w:link w:val="ParagraphChar"/>
    <w:qFormat/>
    <w:rsid w:val="00230EC1"/>
    <w:pPr>
      <w:numPr>
        <w:ilvl w:val="1"/>
        <w:numId w:val="2"/>
      </w:numPr>
      <w:spacing w:before="120"/>
      <w:jc w:val="both"/>
      <w:outlineLvl w:val="1"/>
    </w:pPr>
    <w:rPr>
      <w:szCs w:val="20"/>
      <w:lang w:eastAsia="en-US"/>
    </w:rPr>
  </w:style>
  <w:style w:type="paragraph" w:customStyle="1" w:styleId="subpar">
    <w:name w:val="subpar"/>
    <w:basedOn w:val="BodyTextIndent3"/>
    <w:rsid w:val="00230EC1"/>
    <w:pPr>
      <w:numPr>
        <w:ilvl w:val="2"/>
        <w:numId w:val="2"/>
      </w:numPr>
      <w:spacing w:before="120"/>
      <w:jc w:val="both"/>
      <w:outlineLvl w:val="2"/>
    </w:pPr>
    <w:rPr>
      <w:sz w:val="24"/>
      <w:szCs w:val="20"/>
      <w:lang w:val="es-ES_tradnl" w:eastAsia="en-US"/>
    </w:rPr>
  </w:style>
  <w:style w:type="paragraph" w:customStyle="1" w:styleId="SubSubPar">
    <w:name w:val="SubSubPar"/>
    <w:basedOn w:val="subpar"/>
    <w:rsid w:val="00230EC1"/>
    <w:pPr>
      <w:numPr>
        <w:ilvl w:val="3"/>
      </w:numPr>
      <w:tabs>
        <w:tab w:val="left" w:pos="0"/>
      </w:tabs>
      <w:ind w:left="2880" w:hanging="360"/>
    </w:pPr>
  </w:style>
  <w:style w:type="paragraph" w:styleId="BodyText">
    <w:name w:val="Body Text"/>
    <w:basedOn w:val="Normal"/>
    <w:link w:val="BodyTextChar"/>
    <w:uiPriority w:val="99"/>
    <w:semiHidden/>
    <w:unhideWhenUsed/>
    <w:rsid w:val="00230EC1"/>
    <w:pPr>
      <w:spacing w:after="120"/>
    </w:pPr>
  </w:style>
  <w:style w:type="character" w:customStyle="1" w:styleId="BodyTextChar">
    <w:name w:val="Body Text Char"/>
    <w:link w:val="BodyText"/>
    <w:uiPriority w:val="99"/>
    <w:semiHidden/>
    <w:rsid w:val="00230EC1"/>
    <w:rPr>
      <w:rFonts w:ascii="Times New Roman" w:eastAsia="Times New Roman" w:hAnsi="Times New Roman" w:cs="Times New Roman"/>
      <w:sz w:val="24"/>
      <w:szCs w:val="24"/>
      <w:lang w:val="es-ES" w:eastAsia="es-ES"/>
    </w:rPr>
  </w:style>
  <w:style w:type="paragraph" w:customStyle="1" w:styleId="Newpage">
    <w:name w:val="Newpage"/>
    <w:basedOn w:val="Normal"/>
    <w:rsid w:val="00230EC1"/>
    <w:pPr>
      <w:tabs>
        <w:tab w:val="left" w:pos="1440"/>
        <w:tab w:val="left" w:pos="3060"/>
      </w:tabs>
      <w:jc w:val="center"/>
    </w:pPr>
    <w:rPr>
      <w:rFonts w:cs="Arial"/>
      <w:b/>
      <w:smallCaps/>
      <w:szCs w:val="20"/>
      <w:lang w:val="en-US" w:eastAsia="en-US"/>
    </w:rPr>
  </w:style>
  <w:style w:type="paragraph" w:styleId="BodyTextIndent">
    <w:name w:val="Body Text Indent"/>
    <w:basedOn w:val="Normal"/>
    <w:link w:val="BodyTextIndentChar"/>
    <w:uiPriority w:val="99"/>
    <w:semiHidden/>
    <w:unhideWhenUsed/>
    <w:rsid w:val="00230EC1"/>
    <w:pPr>
      <w:spacing w:after="120"/>
      <w:ind w:left="283"/>
    </w:pPr>
  </w:style>
  <w:style w:type="character" w:customStyle="1" w:styleId="BodyTextIndentChar">
    <w:name w:val="Body Text Indent Char"/>
    <w:link w:val="BodyTextIndent"/>
    <w:uiPriority w:val="99"/>
    <w:semiHidden/>
    <w:rsid w:val="00230EC1"/>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230EC1"/>
    <w:pPr>
      <w:spacing w:after="120"/>
      <w:ind w:left="283"/>
    </w:pPr>
    <w:rPr>
      <w:sz w:val="16"/>
      <w:szCs w:val="16"/>
    </w:rPr>
  </w:style>
  <w:style w:type="character" w:customStyle="1" w:styleId="BodyTextIndent3Char">
    <w:name w:val="Body Text Indent 3 Char"/>
    <w:link w:val="BodyTextIndent3"/>
    <w:uiPriority w:val="99"/>
    <w:semiHidden/>
    <w:rsid w:val="00230EC1"/>
    <w:rPr>
      <w:rFonts w:ascii="Times New Roman" w:eastAsia="Times New Roman" w:hAnsi="Times New Roman" w:cs="Times New Roman"/>
      <w:sz w:val="16"/>
      <w:szCs w:val="16"/>
      <w:lang w:val="es-ES" w:eastAsia="es-ES"/>
    </w:rPr>
  </w:style>
  <w:style w:type="character" w:customStyle="1" w:styleId="ParagraphChar">
    <w:name w:val="Paragraph Char"/>
    <w:link w:val="Paragraph"/>
    <w:rsid w:val="00766D0F"/>
    <w:rPr>
      <w:rFonts w:ascii="Times New Roman" w:eastAsia="Times New Roman" w:hAnsi="Times New Roman"/>
      <w:sz w:val="24"/>
      <w:lang w:val="es-ES"/>
    </w:rPr>
  </w:style>
  <w:style w:type="paragraph" w:styleId="FootnoteText">
    <w:name w:val="footnote text"/>
    <w:aliases w:val="fn,Texto de rodapé,nota_rodapé,nota de rodapé,ADB"/>
    <w:basedOn w:val="Normal"/>
    <w:link w:val="FootnoteTextChar"/>
    <w:uiPriority w:val="99"/>
    <w:unhideWhenUsed/>
    <w:rsid w:val="00225F47"/>
    <w:rPr>
      <w:sz w:val="20"/>
      <w:szCs w:val="20"/>
    </w:rPr>
  </w:style>
  <w:style w:type="character" w:customStyle="1" w:styleId="FootnoteTextChar">
    <w:name w:val="Footnote Text Char"/>
    <w:aliases w:val="fn Char,Texto de rodapé Char,nota_rodapé Char,nota de rodapé Char,ADB Char"/>
    <w:link w:val="FootnoteText"/>
    <w:uiPriority w:val="99"/>
    <w:rsid w:val="00225F47"/>
    <w:rPr>
      <w:rFonts w:ascii="Times New Roman" w:eastAsia="Times New Roman" w:hAnsi="Times New Roman" w:cs="Times New Roman"/>
      <w:sz w:val="20"/>
      <w:szCs w:val="20"/>
      <w:lang w:val="es-ES" w:eastAsia="es-ES"/>
    </w:rPr>
  </w:style>
  <w:style w:type="character" w:styleId="FootnoteReference">
    <w:name w:val="footnote reference"/>
    <w:uiPriority w:val="99"/>
    <w:unhideWhenUsed/>
    <w:rsid w:val="00225F47"/>
    <w:rPr>
      <w:vertAlign w:val="superscript"/>
    </w:rPr>
  </w:style>
  <w:style w:type="paragraph" w:styleId="BalloonText">
    <w:name w:val="Balloon Text"/>
    <w:basedOn w:val="Normal"/>
    <w:link w:val="BalloonTextChar"/>
    <w:uiPriority w:val="99"/>
    <w:semiHidden/>
    <w:unhideWhenUsed/>
    <w:rsid w:val="008F266B"/>
    <w:rPr>
      <w:rFonts w:ascii="Tahoma" w:hAnsi="Tahoma" w:cs="Tahoma"/>
      <w:sz w:val="16"/>
      <w:szCs w:val="16"/>
    </w:rPr>
  </w:style>
  <w:style w:type="character" w:customStyle="1" w:styleId="BalloonTextChar">
    <w:name w:val="Balloon Text Char"/>
    <w:link w:val="BalloonText"/>
    <w:uiPriority w:val="99"/>
    <w:semiHidden/>
    <w:rsid w:val="008F266B"/>
    <w:rPr>
      <w:rFonts w:ascii="Tahoma" w:eastAsia="Times New Roman" w:hAnsi="Tahoma" w:cs="Tahoma"/>
      <w:sz w:val="16"/>
      <w:szCs w:val="16"/>
      <w:lang w:val="es-ES" w:eastAsia="es-ES"/>
    </w:rPr>
  </w:style>
  <w:style w:type="paragraph" w:styleId="Header">
    <w:name w:val="header"/>
    <w:basedOn w:val="Normal"/>
    <w:link w:val="HeaderChar"/>
    <w:uiPriority w:val="99"/>
    <w:unhideWhenUsed/>
    <w:rsid w:val="00377B8F"/>
    <w:pPr>
      <w:tabs>
        <w:tab w:val="center" w:pos="4680"/>
        <w:tab w:val="right" w:pos="9360"/>
      </w:tabs>
    </w:pPr>
  </w:style>
  <w:style w:type="character" w:customStyle="1" w:styleId="HeaderChar">
    <w:name w:val="Header Char"/>
    <w:link w:val="Header"/>
    <w:uiPriority w:val="99"/>
    <w:rsid w:val="00377B8F"/>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377B8F"/>
    <w:pPr>
      <w:tabs>
        <w:tab w:val="center" w:pos="4680"/>
        <w:tab w:val="right" w:pos="9360"/>
      </w:tabs>
    </w:pPr>
  </w:style>
  <w:style w:type="character" w:customStyle="1" w:styleId="FooterChar">
    <w:name w:val="Footer Char"/>
    <w:link w:val="Footer"/>
    <w:uiPriority w:val="99"/>
    <w:rsid w:val="00377B8F"/>
    <w:rPr>
      <w:rFonts w:ascii="Times New Roman" w:eastAsia="Times New Roman" w:hAnsi="Times New Roman" w:cs="Times New Roman"/>
      <w:sz w:val="24"/>
      <w:szCs w:val="24"/>
      <w:lang w:val="es-ES" w:eastAsia="es-ES"/>
    </w:rPr>
  </w:style>
  <w:style w:type="paragraph" w:styleId="EndnoteText">
    <w:name w:val="endnote text"/>
    <w:basedOn w:val="Normal"/>
    <w:link w:val="EndnoteTextChar"/>
    <w:semiHidden/>
    <w:unhideWhenUsed/>
    <w:rsid w:val="00345B15"/>
    <w:rPr>
      <w:sz w:val="20"/>
      <w:szCs w:val="20"/>
      <w:lang w:val="en-US" w:eastAsia="en-US"/>
    </w:rPr>
  </w:style>
  <w:style w:type="character" w:customStyle="1" w:styleId="EndnoteTextChar">
    <w:name w:val="Endnote Text Char"/>
    <w:link w:val="EndnoteText"/>
    <w:semiHidden/>
    <w:rsid w:val="00345B15"/>
    <w:rPr>
      <w:rFonts w:ascii="Times New Roman" w:eastAsia="Times New Roman" w:hAnsi="Times New Roman" w:cs="Times New Roman"/>
      <w:sz w:val="20"/>
      <w:szCs w:val="20"/>
      <w:lang w:val="en-US"/>
    </w:rPr>
  </w:style>
  <w:style w:type="character" w:styleId="EndnoteReference">
    <w:name w:val="endnote reference"/>
    <w:semiHidden/>
    <w:unhideWhenUsed/>
    <w:rsid w:val="00345B15"/>
    <w:rPr>
      <w:vertAlign w:val="superscript"/>
    </w:rPr>
  </w:style>
  <w:style w:type="character" w:styleId="CommentReference">
    <w:name w:val="annotation reference"/>
    <w:uiPriority w:val="99"/>
    <w:semiHidden/>
    <w:unhideWhenUsed/>
    <w:rsid w:val="008C61BD"/>
    <w:rPr>
      <w:sz w:val="16"/>
      <w:szCs w:val="16"/>
    </w:rPr>
  </w:style>
  <w:style w:type="paragraph" w:styleId="CommentText">
    <w:name w:val="annotation text"/>
    <w:basedOn w:val="Normal"/>
    <w:link w:val="CommentTextChar"/>
    <w:uiPriority w:val="99"/>
    <w:semiHidden/>
    <w:unhideWhenUsed/>
    <w:rsid w:val="008C61BD"/>
    <w:rPr>
      <w:sz w:val="20"/>
      <w:szCs w:val="20"/>
    </w:rPr>
  </w:style>
  <w:style w:type="character" w:customStyle="1" w:styleId="CommentTextChar">
    <w:name w:val="Comment Text Char"/>
    <w:link w:val="CommentText"/>
    <w:uiPriority w:val="99"/>
    <w:semiHidden/>
    <w:rsid w:val="008C61BD"/>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8C61BD"/>
    <w:rPr>
      <w:b/>
      <w:bCs/>
    </w:rPr>
  </w:style>
  <w:style w:type="character" w:customStyle="1" w:styleId="CommentSubjectChar">
    <w:name w:val="Comment Subject Char"/>
    <w:link w:val="CommentSubject"/>
    <w:uiPriority w:val="99"/>
    <w:semiHidden/>
    <w:rsid w:val="008C61BD"/>
    <w:rPr>
      <w:rFonts w:ascii="Times New Roman" w:eastAsia="Times New Roman" w:hAnsi="Times New Roman" w:cs="Times New Roman"/>
      <w:b/>
      <w:bCs/>
      <w:sz w:val="20"/>
      <w:szCs w:val="20"/>
      <w:lang w:val="es-ES" w:eastAsia="es-ES"/>
    </w:rPr>
  </w:style>
  <w:style w:type="table" w:styleId="TableGrid">
    <w:name w:val="Table Grid"/>
    <w:basedOn w:val="TableNormal"/>
    <w:uiPriority w:val="59"/>
    <w:rsid w:val="004E7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65A6"/>
    <w:rPr>
      <w:color w:val="0000FF" w:themeColor="hyperlink"/>
      <w:u w:val="single"/>
    </w:rPr>
  </w:style>
  <w:style w:type="character" w:styleId="FollowedHyperlink">
    <w:name w:val="FollowedHyperlink"/>
    <w:basedOn w:val="DefaultParagraphFont"/>
    <w:uiPriority w:val="99"/>
    <w:semiHidden/>
    <w:unhideWhenUsed/>
    <w:rsid w:val="00A665A6"/>
    <w:rPr>
      <w:color w:val="800080" w:themeColor="followedHyperlink"/>
      <w:u w:val="single"/>
    </w:rPr>
  </w:style>
  <w:style w:type="paragraph" w:customStyle="1" w:styleId="SPLAP1">
    <w:name w:val="SPLAP 1"/>
    <w:basedOn w:val="Heading1"/>
    <w:rsid w:val="00B75FA6"/>
    <w:pPr>
      <w:numPr>
        <w:numId w:val="6"/>
      </w:numPr>
      <w:pBdr>
        <w:bottom w:val="single" w:sz="4" w:space="1" w:color="auto"/>
      </w:pBdr>
      <w:spacing w:after="240"/>
    </w:pPr>
    <w:rPr>
      <w:rFonts w:ascii="Arial" w:eastAsia="Times" w:hAnsi="Arial"/>
      <w:bCs w:val="0"/>
      <w:sz w:val="24"/>
      <w:lang w:val="en-AU" w:eastAsia="en-US"/>
    </w:rPr>
  </w:style>
  <w:style w:type="paragraph" w:customStyle="1" w:styleId="SPLAP2">
    <w:name w:val="SPLAP 2"/>
    <w:basedOn w:val="Heading2"/>
    <w:rsid w:val="00B75FA6"/>
    <w:pPr>
      <w:keepLines w:val="0"/>
      <w:numPr>
        <w:ilvl w:val="1"/>
        <w:numId w:val="6"/>
      </w:numPr>
      <w:tabs>
        <w:tab w:val="num" w:pos="567"/>
      </w:tabs>
      <w:spacing w:before="240" w:after="60"/>
      <w:ind w:left="567" w:hanging="567"/>
      <w:outlineLvl w:val="0"/>
    </w:pPr>
    <w:rPr>
      <w:rFonts w:ascii="Arial" w:eastAsia="Times" w:hAnsi="Arial" w:cs="Times New Roman"/>
      <w:bCs w:val="0"/>
      <w:i/>
      <w:color w:val="auto"/>
      <w:sz w:val="24"/>
      <w:szCs w:val="28"/>
      <w:lang w:val="en-AU" w:eastAsia="en-US"/>
    </w:rPr>
  </w:style>
  <w:style w:type="paragraph" w:customStyle="1" w:styleId="SPLAP3">
    <w:name w:val="SPLAP 3"/>
    <w:basedOn w:val="Heading3"/>
    <w:rsid w:val="00B75FA6"/>
    <w:pPr>
      <w:keepLines w:val="0"/>
      <w:numPr>
        <w:ilvl w:val="2"/>
        <w:numId w:val="6"/>
      </w:numPr>
      <w:spacing w:before="240" w:after="60"/>
    </w:pPr>
    <w:rPr>
      <w:rFonts w:ascii="Arial" w:eastAsia="Times" w:hAnsi="Arial" w:cs="Times New Roman"/>
      <w:b w:val="0"/>
      <w:bCs w:val="0"/>
      <w:i/>
      <w:color w:val="auto"/>
      <w:szCs w:val="26"/>
      <w:lang w:val="en-AU" w:eastAsia="en-US"/>
    </w:rPr>
  </w:style>
  <w:style w:type="character" w:customStyle="1" w:styleId="Heading2Char">
    <w:name w:val="Heading 2 Char"/>
    <w:basedOn w:val="DefaultParagraphFont"/>
    <w:link w:val="Heading2"/>
    <w:uiPriority w:val="9"/>
    <w:semiHidden/>
    <w:rsid w:val="00B75FA6"/>
    <w:rPr>
      <w:rFonts w:asciiTheme="majorHAnsi" w:eastAsiaTheme="majorEastAsia" w:hAnsiTheme="majorHAnsi" w:cstheme="majorBidi"/>
      <w:b/>
      <w:bCs/>
      <w:color w:val="4F81BD" w:themeColor="accent1"/>
      <w:sz w:val="26"/>
      <w:szCs w:val="26"/>
      <w:lang w:val="es-ES" w:eastAsia="es-ES"/>
    </w:rPr>
  </w:style>
  <w:style w:type="character" w:customStyle="1" w:styleId="Heading3Char">
    <w:name w:val="Heading 3 Char"/>
    <w:basedOn w:val="DefaultParagraphFont"/>
    <w:link w:val="Heading3"/>
    <w:uiPriority w:val="9"/>
    <w:semiHidden/>
    <w:rsid w:val="00B75FA6"/>
    <w:rPr>
      <w:rFonts w:asciiTheme="majorHAnsi" w:eastAsiaTheme="majorEastAsia" w:hAnsiTheme="majorHAnsi" w:cstheme="majorBidi"/>
      <w:b/>
      <w:bCs/>
      <w:color w:val="4F81BD" w:themeColor="accent1"/>
      <w:sz w:val="24"/>
      <w:szCs w:val="24"/>
      <w:lang w:val="es-ES" w:eastAsia="es-ES"/>
    </w:rPr>
  </w:style>
  <w:style w:type="paragraph" w:styleId="NormalWeb">
    <w:name w:val="Normal (Web)"/>
    <w:basedOn w:val="Normal"/>
    <w:uiPriority w:val="99"/>
    <w:semiHidden/>
    <w:unhideWhenUsed/>
    <w:rsid w:val="005053D0"/>
    <w:pPr>
      <w:spacing w:before="100" w:beforeAutospacing="1" w:after="100" w:afterAutospacing="1"/>
    </w:pPr>
    <w:rPr>
      <w:lang w:val="es-AR" w:eastAsia="es-AR"/>
    </w:rPr>
  </w:style>
  <w:style w:type="paragraph" w:styleId="TOCHeading">
    <w:name w:val="TOC Heading"/>
    <w:basedOn w:val="Heading1"/>
    <w:next w:val="Normal"/>
    <w:uiPriority w:val="39"/>
    <w:semiHidden/>
    <w:unhideWhenUsed/>
    <w:qFormat/>
    <w:rsid w:val="001D6E0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OC3">
    <w:name w:val="toc 3"/>
    <w:basedOn w:val="Normal"/>
    <w:next w:val="Normal"/>
    <w:autoRedefine/>
    <w:uiPriority w:val="39"/>
    <w:unhideWhenUsed/>
    <w:rsid w:val="001D6E04"/>
    <w:pPr>
      <w:spacing w:after="100"/>
      <w:ind w:left="480"/>
    </w:pPr>
  </w:style>
  <w:style w:type="paragraph" w:styleId="TOC1">
    <w:name w:val="toc 1"/>
    <w:basedOn w:val="Normal"/>
    <w:next w:val="Normal"/>
    <w:autoRedefine/>
    <w:uiPriority w:val="39"/>
    <w:unhideWhenUsed/>
    <w:rsid w:val="001D6E04"/>
    <w:pPr>
      <w:spacing w:after="100"/>
    </w:pPr>
  </w:style>
  <w:style w:type="paragraph" w:styleId="TOC2">
    <w:name w:val="toc 2"/>
    <w:basedOn w:val="Normal"/>
    <w:next w:val="Normal"/>
    <w:autoRedefine/>
    <w:uiPriority w:val="39"/>
    <w:unhideWhenUsed/>
    <w:rsid w:val="001D6E04"/>
    <w:pPr>
      <w:spacing w:after="100"/>
      <w:ind w:left="240"/>
    </w:pPr>
  </w:style>
  <w:style w:type="paragraph" w:styleId="TOC4">
    <w:name w:val="toc 4"/>
    <w:basedOn w:val="Normal"/>
    <w:next w:val="Normal"/>
    <w:autoRedefine/>
    <w:uiPriority w:val="39"/>
    <w:unhideWhenUsed/>
    <w:rsid w:val="001D6E04"/>
    <w:pPr>
      <w:spacing w:after="100" w:line="276" w:lineRule="auto"/>
      <w:ind w:left="660"/>
    </w:pPr>
    <w:rPr>
      <w:rFonts w:asciiTheme="minorHAnsi" w:eastAsiaTheme="minorEastAsia" w:hAnsiTheme="minorHAnsi" w:cstheme="minorBidi"/>
      <w:sz w:val="22"/>
      <w:szCs w:val="22"/>
      <w:lang w:val="es-AR" w:eastAsia="es-AR"/>
    </w:rPr>
  </w:style>
  <w:style w:type="paragraph" w:styleId="TOC5">
    <w:name w:val="toc 5"/>
    <w:basedOn w:val="Normal"/>
    <w:next w:val="Normal"/>
    <w:autoRedefine/>
    <w:uiPriority w:val="39"/>
    <w:unhideWhenUsed/>
    <w:rsid w:val="001D6E04"/>
    <w:pPr>
      <w:spacing w:after="100" w:line="276" w:lineRule="auto"/>
      <w:ind w:left="880"/>
    </w:pPr>
    <w:rPr>
      <w:rFonts w:asciiTheme="minorHAnsi" w:eastAsiaTheme="minorEastAsia" w:hAnsiTheme="minorHAnsi" w:cstheme="minorBidi"/>
      <w:sz w:val="22"/>
      <w:szCs w:val="22"/>
      <w:lang w:val="es-AR" w:eastAsia="es-AR"/>
    </w:rPr>
  </w:style>
  <w:style w:type="paragraph" w:styleId="TOC6">
    <w:name w:val="toc 6"/>
    <w:basedOn w:val="Normal"/>
    <w:next w:val="Normal"/>
    <w:autoRedefine/>
    <w:uiPriority w:val="39"/>
    <w:unhideWhenUsed/>
    <w:rsid w:val="001D6E04"/>
    <w:pPr>
      <w:spacing w:after="100" w:line="276" w:lineRule="auto"/>
      <w:ind w:left="1100"/>
    </w:pPr>
    <w:rPr>
      <w:rFonts w:asciiTheme="minorHAnsi" w:eastAsiaTheme="minorEastAsia" w:hAnsiTheme="minorHAnsi" w:cstheme="minorBidi"/>
      <w:sz w:val="22"/>
      <w:szCs w:val="22"/>
      <w:lang w:val="es-AR" w:eastAsia="es-AR"/>
    </w:rPr>
  </w:style>
  <w:style w:type="paragraph" w:styleId="TOC7">
    <w:name w:val="toc 7"/>
    <w:basedOn w:val="Normal"/>
    <w:next w:val="Normal"/>
    <w:autoRedefine/>
    <w:uiPriority w:val="39"/>
    <w:unhideWhenUsed/>
    <w:rsid w:val="001D6E04"/>
    <w:pPr>
      <w:spacing w:after="100" w:line="276" w:lineRule="auto"/>
      <w:ind w:left="1320"/>
    </w:pPr>
    <w:rPr>
      <w:rFonts w:asciiTheme="minorHAnsi" w:eastAsiaTheme="minorEastAsia" w:hAnsiTheme="minorHAnsi" w:cstheme="minorBidi"/>
      <w:sz w:val="22"/>
      <w:szCs w:val="22"/>
      <w:lang w:val="es-AR" w:eastAsia="es-AR"/>
    </w:rPr>
  </w:style>
  <w:style w:type="paragraph" w:styleId="TOC8">
    <w:name w:val="toc 8"/>
    <w:basedOn w:val="Normal"/>
    <w:next w:val="Normal"/>
    <w:autoRedefine/>
    <w:uiPriority w:val="39"/>
    <w:unhideWhenUsed/>
    <w:rsid w:val="001D6E04"/>
    <w:pPr>
      <w:spacing w:after="100" w:line="276" w:lineRule="auto"/>
      <w:ind w:left="1540"/>
    </w:pPr>
    <w:rPr>
      <w:rFonts w:asciiTheme="minorHAnsi" w:eastAsiaTheme="minorEastAsia" w:hAnsiTheme="minorHAnsi" w:cstheme="minorBidi"/>
      <w:sz w:val="22"/>
      <w:szCs w:val="22"/>
      <w:lang w:val="es-AR" w:eastAsia="es-AR"/>
    </w:rPr>
  </w:style>
  <w:style w:type="paragraph" w:styleId="TOC9">
    <w:name w:val="toc 9"/>
    <w:basedOn w:val="Normal"/>
    <w:next w:val="Normal"/>
    <w:autoRedefine/>
    <w:uiPriority w:val="39"/>
    <w:unhideWhenUsed/>
    <w:rsid w:val="001D6E04"/>
    <w:pPr>
      <w:spacing w:after="100" w:line="276" w:lineRule="auto"/>
      <w:ind w:left="1760"/>
    </w:pPr>
    <w:rPr>
      <w:rFonts w:asciiTheme="minorHAnsi" w:eastAsiaTheme="minorEastAsia" w:hAnsiTheme="minorHAnsi" w:cstheme="minorBidi"/>
      <w:sz w:val="22"/>
      <w:szCs w:val="22"/>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4677">
      <w:bodyDiv w:val="1"/>
      <w:marLeft w:val="0"/>
      <w:marRight w:val="0"/>
      <w:marTop w:val="0"/>
      <w:marBottom w:val="0"/>
      <w:divBdr>
        <w:top w:val="none" w:sz="0" w:space="0" w:color="auto"/>
        <w:left w:val="none" w:sz="0" w:space="0" w:color="auto"/>
        <w:bottom w:val="none" w:sz="0" w:space="0" w:color="auto"/>
        <w:right w:val="none" w:sz="0" w:space="0" w:color="auto"/>
      </w:divBdr>
    </w:div>
    <w:div w:id="161355858">
      <w:bodyDiv w:val="1"/>
      <w:marLeft w:val="0"/>
      <w:marRight w:val="0"/>
      <w:marTop w:val="0"/>
      <w:marBottom w:val="0"/>
      <w:divBdr>
        <w:top w:val="none" w:sz="0" w:space="0" w:color="auto"/>
        <w:left w:val="none" w:sz="0" w:space="0" w:color="auto"/>
        <w:bottom w:val="none" w:sz="0" w:space="0" w:color="auto"/>
        <w:right w:val="none" w:sz="0" w:space="0" w:color="auto"/>
      </w:divBdr>
    </w:div>
    <w:div w:id="181405214">
      <w:bodyDiv w:val="1"/>
      <w:marLeft w:val="0"/>
      <w:marRight w:val="0"/>
      <w:marTop w:val="0"/>
      <w:marBottom w:val="0"/>
      <w:divBdr>
        <w:top w:val="none" w:sz="0" w:space="0" w:color="auto"/>
        <w:left w:val="none" w:sz="0" w:space="0" w:color="auto"/>
        <w:bottom w:val="none" w:sz="0" w:space="0" w:color="auto"/>
        <w:right w:val="none" w:sz="0" w:space="0" w:color="auto"/>
      </w:divBdr>
    </w:div>
    <w:div w:id="231893561">
      <w:bodyDiv w:val="1"/>
      <w:marLeft w:val="0"/>
      <w:marRight w:val="0"/>
      <w:marTop w:val="0"/>
      <w:marBottom w:val="0"/>
      <w:divBdr>
        <w:top w:val="none" w:sz="0" w:space="0" w:color="auto"/>
        <w:left w:val="none" w:sz="0" w:space="0" w:color="auto"/>
        <w:bottom w:val="none" w:sz="0" w:space="0" w:color="auto"/>
        <w:right w:val="none" w:sz="0" w:space="0" w:color="auto"/>
      </w:divBdr>
    </w:div>
    <w:div w:id="316693147">
      <w:bodyDiv w:val="1"/>
      <w:marLeft w:val="0"/>
      <w:marRight w:val="0"/>
      <w:marTop w:val="0"/>
      <w:marBottom w:val="0"/>
      <w:divBdr>
        <w:top w:val="none" w:sz="0" w:space="0" w:color="auto"/>
        <w:left w:val="none" w:sz="0" w:space="0" w:color="auto"/>
        <w:bottom w:val="none" w:sz="0" w:space="0" w:color="auto"/>
        <w:right w:val="none" w:sz="0" w:space="0" w:color="auto"/>
      </w:divBdr>
    </w:div>
    <w:div w:id="492138544">
      <w:bodyDiv w:val="1"/>
      <w:marLeft w:val="0"/>
      <w:marRight w:val="0"/>
      <w:marTop w:val="0"/>
      <w:marBottom w:val="0"/>
      <w:divBdr>
        <w:top w:val="none" w:sz="0" w:space="0" w:color="auto"/>
        <w:left w:val="none" w:sz="0" w:space="0" w:color="auto"/>
        <w:bottom w:val="none" w:sz="0" w:space="0" w:color="auto"/>
        <w:right w:val="none" w:sz="0" w:space="0" w:color="auto"/>
      </w:divBdr>
    </w:div>
    <w:div w:id="568539098">
      <w:bodyDiv w:val="1"/>
      <w:marLeft w:val="0"/>
      <w:marRight w:val="0"/>
      <w:marTop w:val="0"/>
      <w:marBottom w:val="0"/>
      <w:divBdr>
        <w:top w:val="none" w:sz="0" w:space="0" w:color="auto"/>
        <w:left w:val="none" w:sz="0" w:space="0" w:color="auto"/>
        <w:bottom w:val="none" w:sz="0" w:space="0" w:color="auto"/>
        <w:right w:val="none" w:sz="0" w:space="0" w:color="auto"/>
      </w:divBdr>
    </w:div>
    <w:div w:id="663706366">
      <w:bodyDiv w:val="1"/>
      <w:marLeft w:val="0"/>
      <w:marRight w:val="0"/>
      <w:marTop w:val="0"/>
      <w:marBottom w:val="0"/>
      <w:divBdr>
        <w:top w:val="none" w:sz="0" w:space="0" w:color="auto"/>
        <w:left w:val="none" w:sz="0" w:space="0" w:color="auto"/>
        <w:bottom w:val="none" w:sz="0" w:space="0" w:color="auto"/>
        <w:right w:val="none" w:sz="0" w:space="0" w:color="auto"/>
      </w:divBdr>
    </w:div>
    <w:div w:id="677853064">
      <w:bodyDiv w:val="1"/>
      <w:marLeft w:val="0"/>
      <w:marRight w:val="0"/>
      <w:marTop w:val="0"/>
      <w:marBottom w:val="0"/>
      <w:divBdr>
        <w:top w:val="none" w:sz="0" w:space="0" w:color="auto"/>
        <w:left w:val="none" w:sz="0" w:space="0" w:color="auto"/>
        <w:bottom w:val="none" w:sz="0" w:space="0" w:color="auto"/>
        <w:right w:val="none" w:sz="0" w:space="0" w:color="auto"/>
      </w:divBdr>
    </w:div>
    <w:div w:id="884370212">
      <w:bodyDiv w:val="1"/>
      <w:marLeft w:val="0"/>
      <w:marRight w:val="0"/>
      <w:marTop w:val="0"/>
      <w:marBottom w:val="0"/>
      <w:divBdr>
        <w:top w:val="none" w:sz="0" w:space="0" w:color="auto"/>
        <w:left w:val="none" w:sz="0" w:space="0" w:color="auto"/>
        <w:bottom w:val="none" w:sz="0" w:space="0" w:color="auto"/>
        <w:right w:val="none" w:sz="0" w:space="0" w:color="auto"/>
      </w:divBdr>
    </w:div>
    <w:div w:id="1091009656">
      <w:bodyDiv w:val="1"/>
      <w:marLeft w:val="0"/>
      <w:marRight w:val="0"/>
      <w:marTop w:val="0"/>
      <w:marBottom w:val="0"/>
      <w:divBdr>
        <w:top w:val="none" w:sz="0" w:space="0" w:color="auto"/>
        <w:left w:val="none" w:sz="0" w:space="0" w:color="auto"/>
        <w:bottom w:val="none" w:sz="0" w:space="0" w:color="auto"/>
        <w:right w:val="none" w:sz="0" w:space="0" w:color="auto"/>
      </w:divBdr>
    </w:div>
    <w:div w:id="1166676005">
      <w:bodyDiv w:val="1"/>
      <w:marLeft w:val="0"/>
      <w:marRight w:val="0"/>
      <w:marTop w:val="0"/>
      <w:marBottom w:val="0"/>
      <w:divBdr>
        <w:top w:val="none" w:sz="0" w:space="0" w:color="auto"/>
        <w:left w:val="none" w:sz="0" w:space="0" w:color="auto"/>
        <w:bottom w:val="none" w:sz="0" w:space="0" w:color="auto"/>
        <w:right w:val="none" w:sz="0" w:space="0" w:color="auto"/>
      </w:divBdr>
    </w:div>
    <w:div w:id="1223491636">
      <w:bodyDiv w:val="1"/>
      <w:marLeft w:val="0"/>
      <w:marRight w:val="0"/>
      <w:marTop w:val="0"/>
      <w:marBottom w:val="0"/>
      <w:divBdr>
        <w:top w:val="none" w:sz="0" w:space="0" w:color="auto"/>
        <w:left w:val="none" w:sz="0" w:space="0" w:color="auto"/>
        <w:bottom w:val="none" w:sz="0" w:space="0" w:color="auto"/>
        <w:right w:val="none" w:sz="0" w:space="0" w:color="auto"/>
      </w:divBdr>
    </w:div>
    <w:div w:id="1309214062">
      <w:bodyDiv w:val="1"/>
      <w:marLeft w:val="0"/>
      <w:marRight w:val="0"/>
      <w:marTop w:val="0"/>
      <w:marBottom w:val="0"/>
      <w:divBdr>
        <w:top w:val="none" w:sz="0" w:space="0" w:color="auto"/>
        <w:left w:val="none" w:sz="0" w:space="0" w:color="auto"/>
        <w:bottom w:val="none" w:sz="0" w:space="0" w:color="auto"/>
        <w:right w:val="none" w:sz="0" w:space="0" w:color="auto"/>
      </w:divBdr>
    </w:div>
    <w:div w:id="1442920284">
      <w:bodyDiv w:val="1"/>
      <w:marLeft w:val="0"/>
      <w:marRight w:val="0"/>
      <w:marTop w:val="0"/>
      <w:marBottom w:val="0"/>
      <w:divBdr>
        <w:top w:val="none" w:sz="0" w:space="0" w:color="auto"/>
        <w:left w:val="none" w:sz="0" w:space="0" w:color="auto"/>
        <w:bottom w:val="none" w:sz="0" w:space="0" w:color="auto"/>
        <w:right w:val="none" w:sz="0" w:space="0" w:color="auto"/>
      </w:divBdr>
    </w:div>
    <w:div w:id="1633485775">
      <w:bodyDiv w:val="1"/>
      <w:marLeft w:val="0"/>
      <w:marRight w:val="0"/>
      <w:marTop w:val="0"/>
      <w:marBottom w:val="0"/>
      <w:divBdr>
        <w:top w:val="none" w:sz="0" w:space="0" w:color="auto"/>
        <w:left w:val="none" w:sz="0" w:space="0" w:color="auto"/>
        <w:bottom w:val="none" w:sz="0" w:space="0" w:color="auto"/>
        <w:right w:val="none" w:sz="0" w:space="0" w:color="auto"/>
      </w:divBdr>
    </w:div>
    <w:div w:id="1667437057">
      <w:bodyDiv w:val="1"/>
      <w:marLeft w:val="0"/>
      <w:marRight w:val="0"/>
      <w:marTop w:val="0"/>
      <w:marBottom w:val="0"/>
      <w:divBdr>
        <w:top w:val="none" w:sz="0" w:space="0" w:color="auto"/>
        <w:left w:val="none" w:sz="0" w:space="0" w:color="auto"/>
        <w:bottom w:val="none" w:sz="0" w:space="0" w:color="auto"/>
        <w:right w:val="none" w:sz="0" w:space="0" w:color="auto"/>
      </w:divBdr>
    </w:div>
    <w:div w:id="1678075736">
      <w:bodyDiv w:val="1"/>
      <w:marLeft w:val="0"/>
      <w:marRight w:val="0"/>
      <w:marTop w:val="0"/>
      <w:marBottom w:val="0"/>
      <w:divBdr>
        <w:top w:val="none" w:sz="0" w:space="0" w:color="auto"/>
        <w:left w:val="none" w:sz="0" w:space="0" w:color="auto"/>
        <w:bottom w:val="none" w:sz="0" w:space="0" w:color="auto"/>
        <w:right w:val="none" w:sz="0" w:space="0" w:color="auto"/>
      </w:divBdr>
    </w:div>
    <w:div w:id="1739665547">
      <w:bodyDiv w:val="1"/>
      <w:marLeft w:val="0"/>
      <w:marRight w:val="0"/>
      <w:marTop w:val="0"/>
      <w:marBottom w:val="0"/>
      <w:divBdr>
        <w:top w:val="none" w:sz="0" w:space="0" w:color="auto"/>
        <w:left w:val="none" w:sz="0" w:space="0" w:color="auto"/>
        <w:bottom w:val="none" w:sz="0" w:space="0" w:color="auto"/>
        <w:right w:val="none" w:sz="0" w:space="0" w:color="auto"/>
      </w:divBdr>
    </w:div>
    <w:div w:id="1921406746">
      <w:bodyDiv w:val="1"/>
      <w:marLeft w:val="0"/>
      <w:marRight w:val="0"/>
      <w:marTop w:val="0"/>
      <w:marBottom w:val="0"/>
      <w:divBdr>
        <w:top w:val="none" w:sz="0" w:space="0" w:color="auto"/>
        <w:left w:val="none" w:sz="0" w:space="0" w:color="auto"/>
        <w:bottom w:val="none" w:sz="0" w:space="0" w:color="auto"/>
        <w:right w:val="none" w:sz="0" w:space="0" w:color="auto"/>
      </w:divBdr>
    </w:div>
    <w:div w:id="2022390723">
      <w:bodyDiv w:val="1"/>
      <w:marLeft w:val="0"/>
      <w:marRight w:val="0"/>
      <w:marTop w:val="0"/>
      <w:marBottom w:val="0"/>
      <w:divBdr>
        <w:top w:val="none" w:sz="0" w:space="0" w:color="auto"/>
        <w:left w:val="none" w:sz="0" w:space="0" w:color="auto"/>
        <w:bottom w:val="none" w:sz="0" w:space="0" w:color="auto"/>
        <w:right w:val="none" w:sz="0" w:space="0" w:color="auto"/>
      </w:divBdr>
    </w:div>
    <w:div w:id="2073387263">
      <w:bodyDiv w:val="1"/>
      <w:marLeft w:val="0"/>
      <w:marRight w:val="0"/>
      <w:marTop w:val="0"/>
      <w:marBottom w:val="0"/>
      <w:divBdr>
        <w:top w:val="none" w:sz="0" w:space="0" w:color="auto"/>
        <w:left w:val="none" w:sz="0" w:space="0" w:color="auto"/>
        <w:bottom w:val="none" w:sz="0" w:space="0" w:color="auto"/>
        <w:right w:val="none" w:sz="0" w:space="0" w:color="auto"/>
      </w:divBdr>
    </w:div>
    <w:div w:id="210753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eed.edu.uy/sites/default/files/Aristas-%20La%20universalizaci%C3%B3n%20de%20la%20educaci%C3%B3n%20obligatoria%20en%20Uruguay.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brookings.edu/~/media/Files/rc/papers/2009/1014_curriculum_whitehurst/1014_curriculum_whitehurst.pdf" TargetMode="Externa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yperlink" Target="http://www.opp.gub.uy/images/Precios_y_pautas.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http://www.ineed.edu.uy/sites/default/files/Resumen%20semanal%20del%207%20al%2013%20de%20febrero.pdf" TargetMode="External"/><Relationship Id="rId23" Type="http://schemas.openxmlformats.org/officeDocument/2006/relationships/customXml" Target="../customXml/item4.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ine.gub.uy/salario-minimo-nacional" TargetMode="Externa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ine.gub.uy/salario-minimo-nacional" TargetMode="External"/><Relationship Id="rId2" Type="http://schemas.openxmlformats.org/officeDocument/2006/relationships/hyperlink" Target="http://www.ineed.edu.uy/sites/default/files/Aristas-%20La%20universalizaci%C3%B3n%20de%20la%20educaci%C3%B3n%20obligatoria%20en%20Uruguay.pdf" TargetMode="External"/><Relationship Id="rId1" Type="http://schemas.openxmlformats.org/officeDocument/2006/relationships/hyperlink" Target="http://www.opp.gub.uy/images/Precios_y_pautas.pdf" TargetMode="External"/><Relationship Id="rId4" Type="http://schemas.openxmlformats.org/officeDocument/2006/relationships/hyperlink" Target="http://www.ineed.edu.uy/sites/default/files/Resumen%20semanal%20del%207%20al%2013%20de%20febrer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E287C2AAB838043B7FEEB2457323F73" ma:contentTypeVersion="0" ma:contentTypeDescription="A content type to manage public (operations) IDB documents" ma:contentTypeScope="" ma:versionID="6354b31999b2362b430dcc3e38d5f982">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40420963</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Perez Alfaro, Marcelo 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UR-L1116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BA9139F4-D729-4554-928F-41F3985C7A67}"/>
</file>

<file path=customXml/itemProps2.xml><?xml version="1.0" encoding="utf-8"?>
<ds:datastoreItem xmlns:ds="http://schemas.openxmlformats.org/officeDocument/2006/customXml" ds:itemID="{9FC44DA7-9AFD-4D4C-BE31-C08CE756C26C}"/>
</file>

<file path=customXml/itemProps3.xml><?xml version="1.0" encoding="utf-8"?>
<ds:datastoreItem xmlns:ds="http://schemas.openxmlformats.org/officeDocument/2006/customXml" ds:itemID="{C568F5EE-767E-44C9-A097-C34C9502BEBC}"/>
</file>

<file path=customXml/itemProps4.xml><?xml version="1.0" encoding="utf-8"?>
<ds:datastoreItem xmlns:ds="http://schemas.openxmlformats.org/officeDocument/2006/customXml" ds:itemID="{FFB72659-58A0-4405-AA7B-3D19953B54A1}"/>
</file>

<file path=customXml/itemProps5.xml><?xml version="1.0" encoding="utf-8"?>
<ds:datastoreItem xmlns:ds="http://schemas.openxmlformats.org/officeDocument/2006/customXml" ds:itemID="{414694D4-C8BA-4069-AB3D-9214707AD19A}"/>
</file>

<file path=customXml/itemProps6.xml><?xml version="1.0" encoding="utf-8"?>
<ds:datastoreItem xmlns:ds="http://schemas.openxmlformats.org/officeDocument/2006/customXml" ds:itemID="{919D5AAA-C337-4C32-91C8-959380820512}"/>
</file>

<file path=docProps/app.xml><?xml version="1.0" encoding="utf-8"?>
<Properties xmlns="http://schemas.openxmlformats.org/officeDocument/2006/extended-properties" xmlns:vt="http://schemas.openxmlformats.org/officeDocument/2006/docPropsVTypes">
  <Template>Normal.dotm</Template>
  <TotalTime>128</TotalTime>
  <Pages>17</Pages>
  <Words>3811</Words>
  <Characters>21724</Characters>
  <Application>Microsoft Office Word</Application>
  <DocSecurity>0</DocSecurity>
  <Lines>181</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EEO2-Análisis Económico</dc:title>
  <dc:creator>Bismarck</dc:creator>
  <cp:lastModifiedBy>IADB</cp:lastModifiedBy>
  <cp:revision>4</cp:revision>
  <cp:lastPrinted>2016-07-26T19:07:00Z</cp:lastPrinted>
  <dcterms:created xsi:type="dcterms:W3CDTF">2016-08-01T15:33:00Z</dcterms:created>
  <dcterms:modified xsi:type="dcterms:W3CDTF">2016-08-01T20:10:00Z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0x01010046CF21643EE8D14686A648AA6DAD089200CE287C2AAB838043B7FEEB2457323F73</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