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0BA" w:rsidRPr="00DC3714" w:rsidRDefault="008050BA" w:rsidP="008050BA">
      <w:pPr>
        <w:pStyle w:val="NormalWeb"/>
        <w:tabs>
          <w:tab w:val="center" w:pos="4680"/>
          <w:tab w:val="left" w:pos="5490"/>
        </w:tabs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DC3714">
        <w:rPr>
          <w:rFonts w:ascii="Arial" w:hAnsi="Arial" w:cs="Arial"/>
          <w:b/>
          <w:sz w:val="22"/>
          <w:szCs w:val="22"/>
          <w:lang w:val="es-ES"/>
        </w:rPr>
        <w:t xml:space="preserve">Línea CCLIP </w:t>
      </w:r>
      <w:r w:rsidR="00EE301B" w:rsidRPr="00DC3714">
        <w:rPr>
          <w:rFonts w:ascii="Arial" w:hAnsi="Arial" w:cs="Arial"/>
          <w:b/>
          <w:sz w:val="22"/>
          <w:szCs w:val="22"/>
          <w:lang w:val="es-ES"/>
        </w:rPr>
        <w:t xml:space="preserve">(ME-X1024) </w:t>
      </w:r>
      <w:r w:rsidRPr="00DC3714">
        <w:rPr>
          <w:rFonts w:ascii="Arial" w:hAnsi="Arial" w:cs="Arial"/>
          <w:b/>
          <w:sz w:val="22"/>
          <w:szCs w:val="22"/>
          <w:lang w:val="es-ES"/>
        </w:rPr>
        <w:t xml:space="preserve">y </w:t>
      </w:r>
      <w:r w:rsidR="00390A6F" w:rsidRPr="00DC3714">
        <w:rPr>
          <w:rFonts w:ascii="Arial" w:hAnsi="Arial" w:cs="Arial"/>
          <w:b/>
          <w:sz w:val="22"/>
          <w:szCs w:val="22"/>
          <w:lang w:val="es-ES"/>
        </w:rPr>
        <w:t>Segundo</w:t>
      </w:r>
      <w:r w:rsidRPr="00DC3714">
        <w:rPr>
          <w:rFonts w:ascii="Arial" w:hAnsi="Arial" w:cs="Arial"/>
          <w:b/>
          <w:sz w:val="22"/>
          <w:szCs w:val="22"/>
          <w:lang w:val="es-ES"/>
        </w:rPr>
        <w:t xml:space="preserve"> Programa para el Financiamiento Rural Productivo</w:t>
      </w:r>
      <w:r w:rsidR="00390A6F" w:rsidRPr="00DC3714">
        <w:rPr>
          <w:rFonts w:ascii="Arial" w:hAnsi="Arial" w:cs="Arial"/>
          <w:b/>
          <w:sz w:val="22"/>
          <w:szCs w:val="22"/>
          <w:lang w:val="es-ES"/>
        </w:rPr>
        <w:t xml:space="preserve"> e Inclusivo</w:t>
      </w:r>
      <w:r w:rsidRPr="00DC3714">
        <w:rPr>
          <w:rFonts w:ascii="Arial" w:hAnsi="Arial" w:cs="Arial"/>
          <w:b/>
          <w:sz w:val="22"/>
          <w:szCs w:val="22"/>
          <w:lang w:val="es-ES"/>
        </w:rPr>
        <w:t xml:space="preserve">  </w:t>
      </w:r>
    </w:p>
    <w:p w:rsidR="008050BA" w:rsidRPr="00DC3714" w:rsidRDefault="008050BA" w:rsidP="008050BA">
      <w:pPr>
        <w:pStyle w:val="NormalWeb"/>
        <w:tabs>
          <w:tab w:val="center" w:pos="4680"/>
          <w:tab w:val="left" w:pos="5490"/>
        </w:tabs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DC3714">
        <w:rPr>
          <w:rFonts w:ascii="Arial" w:hAnsi="Arial" w:cs="Arial"/>
          <w:b/>
          <w:sz w:val="22"/>
          <w:szCs w:val="22"/>
          <w:lang w:val="es-ES"/>
        </w:rPr>
        <w:t>(ME-L11</w:t>
      </w:r>
      <w:r w:rsidR="00390A6F" w:rsidRPr="00DC3714">
        <w:rPr>
          <w:rFonts w:ascii="Arial" w:hAnsi="Arial" w:cs="Arial"/>
          <w:b/>
          <w:sz w:val="22"/>
          <w:szCs w:val="22"/>
          <w:lang w:val="es-ES"/>
        </w:rPr>
        <w:t>70</w:t>
      </w:r>
      <w:r w:rsidRPr="00DC3714">
        <w:rPr>
          <w:rFonts w:ascii="Arial" w:hAnsi="Arial" w:cs="Arial"/>
          <w:b/>
          <w:sz w:val="22"/>
          <w:szCs w:val="22"/>
          <w:lang w:val="es-ES"/>
        </w:rPr>
        <w:t>)</w:t>
      </w:r>
    </w:p>
    <w:p w:rsidR="008050BA" w:rsidRPr="00DC3714" w:rsidRDefault="008050BA" w:rsidP="008050BA">
      <w:pPr>
        <w:jc w:val="center"/>
        <w:rPr>
          <w:rFonts w:ascii="Arial" w:hAnsi="Arial" w:cs="Arial"/>
          <w:b/>
          <w:lang w:val="es-ES"/>
        </w:rPr>
      </w:pPr>
    </w:p>
    <w:p w:rsidR="008050BA" w:rsidRPr="00DC3714" w:rsidRDefault="00B76A3F" w:rsidP="008050BA">
      <w:pPr>
        <w:jc w:val="center"/>
        <w:rPr>
          <w:rFonts w:ascii="Arial" w:hAnsi="Arial" w:cs="Arial"/>
          <w:b/>
          <w:lang w:val="es-ES_tradnl"/>
        </w:rPr>
      </w:pPr>
      <w:r w:rsidRPr="00DC3714">
        <w:rPr>
          <w:rFonts w:ascii="Arial" w:hAnsi="Arial" w:cs="Arial"/>
          <w:b/>
          <w:lang w:val="es-ES_tradnl"/>
        </w:rPr>
        <w:t>Descripción de los paquetes tecnológicos y proyectos de capitalización</w:t>
      </w:r>
      <w:r w:rsidRPr="00DC3714">
        <w:rPr>
          <w:rStyle w:val="FootnoteReference"/>
          <w:rFonts w:ascii="Arial" w:hAnsi="Arial" w:cs="Arial"/>
          <w:b/>
          <w:lang w:val="es-ES_tradnl"/>
        </w:rPr>
        <w:footnoteReference w:id="1"/>
      </w:r>
    </w:p>
    <w:p w:rsidR="00B76A3F" w:rsidRPr="00DC3714" w:rsidRDefault="00B76A3F" w:rsidP="008050BA">
      <w:pPr>
        <w:jc w:val="center"/>
        <w:rPr>
          <w:rFonts w:ascii="Arial" w:hAnsi="Arial" w:cs="Arial"/>
          <w:b/>
          <w:lang w:val="es-ES_tradnl"/>
        </w:rPr>
      </w:pPr>
    </w:p>
    <w:p w:rsidR="008050BA" w:rsidRPr="00DC3714" w:rsidRDefault="008050BA" w:rsidP="00B76A3F">
      <w:pPr>
        <w:pStyle w:val="ListParagraph"/>
        <w:numPr>
          <w:ilvl w:val="0"/>
          <w:numId w:val="8"/>
        </w:numPr>
        <w:ind w:hanging="360"/>
        <w:rPr>
          <w:rFonts w:ascii="Arial" w:hAnsi="Arial" w:cs="Arial"/>
          <w:b/>
          <w:lang w:val="es-ES_tradnl"/>
        </w:rPr>
      </w:pPr>
      <w:r w:rsidRPr="00DC3714">
        <w:rPr>
          <w:rFonts w:ascii="Arial" w:hAnsi="Arial" w:cs="Arial"/>
          <w:b/>
          <w:lang w:val="es-ES_tradnl"/>
        </w:rPr>
        <w:t>Descripción de los paquetes tecnológicos</w:t>
      </w:r>
    </w:p>
    <w:p w:rsidR="008050BA" w:rsidRPr="00DC3714" w:rsidRDefault="008050BA" w:rsidP="008050BA">
      <w:pPr>
        <w:jc w:val="both"/>
        <w:rPr>
          <w:rFonts w:ascii="Arial" w:hAnsi="Arial" w:cs="Arial"/>
          <w:b/>
          <w:lang w:val="es-ES_tradnl"/>
        </w:rPr>
      </w:pPr>
    </w:p>
    <w:p w:rsidR="008050BA" w:rsidRPr="00DC3714" w:rsidRDefault="008050BA" w:rsidP="00754EC8">
      <w:p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 xml:space="preserve">Los </w:t>
      </w:r>
      <w:r w:rsidR="006D38E6" w:rsidRPr="00DC3714">
        <w:rPr>
          <w:rFonts w:ascii="Arial" w:hAnsi="Arial" w:cs="Arial"/>
          <w:lang w:val="es-ES_tradnl"/>
        </w:rPr>
        <w:t xml:space="preserve">paquetes tecnológicos </w:t>
      </w:r>
      <w:r w:rsidR="00D35357" w:rsidRPr="00DC3714">
        <w:rPr>
          <w:rFonts w:ascii="Arial" w:hAnsi="Arial" w:cs="Arial"/>
          <w:lang w:val="es-ES_tradnl"/>
        </w:rPr>
        <w:t>(</w:t>
      </w:r>
      <w:r w:rsidRPr="00DC3714">
        <w:rPr>
          <w:rFonts w:ascii="Arial" w:hAnsi="Arial" w:cs="Arial"/>
          <w:lang w:val="es-ES_tradnl"/>
        </w:rPr>
        <w:t>PT</w:t>
      </w:r>
      <w:r w:rsidR="00D35357" w:rsidRPr="00DC3714">
        <w:rPr>
          <w:rFonts w:ascii="Arial" w:hAnsi="Arial" w:cs="Arial"/>
          <w:lang w:val="es-ES_tradnl"/>
        </w:rPr>
        <w:t>)</w:t>
      </w:r>
      <w:r w:rsidRPr="00DC3714">
        <w:rPr>
          <w:rFonts w:ascii="Arial" w:hAnsi="Arial" w:cs="Arial"/>
          <w:lang w:val="es-ES_tradnl"/>
        </w:rPr>
        <w:t xml:space="preserve"> son modelos técnicos que definen parámetros técnicos para el cultivo o proceso de producción</w:t>
      </w:r>
      <w:r w:rsidR="006D38E6" w:rsidRPr="00DC3714">
        <w:rPr>
          <w:rFonts w:ascii="Arial" w:hAnsi="Arial" w:cs="Arial"/>
          <w:lang w:val="es-ES_tradnl"/>
        </w:rPr>
        <w:t xml:space="preserve">. Estos parámetros técnicos </w:t>
      </w:r>
      <w:r w:rsidRPr="00DC3714">
        <w:rPr>
          <w:rFonts w:ascii="Arial" w:hAnsi="Arial" w:cs="Arial"/>
          <w:lang w:val="es-ES_tradnl"/>
        </w:rPr>
        <w:t>indican</w:t>
      </w:r>
      <w:r w:rsidR="006D38E6" w:rsidRPr="00DC3714">
        <w:rPr>
          <w:rFonts w:ascii="Arial" w:hAnsi="Arial" w:cs="Arial"/>
          <w:lang w:val="es-ES_tradnl"/>
        </w:rPr>
        <w:t>,</w:t>
      </w:r>
      <w:r w:rsidRPr="00DC3714">
        <w:rPr>
          <w:rFonts w:ascii="Arial" w:hAnsi="Arial" w:cs="Arial"/>
          <w:lang w:val="es-ES_tradnl"/>
        </w:rPr>
        <w:t xml:space="preserve"> entre otras variables</w:t>
      </w:r>
      <w:r w:rsidR="006D38E6" w:rsidRPr="00DC3714">
        <w:rPr>
          <w:rFonts w:ascii="Arial" w:hAnsi="Arial" w:cs="Arial"/>
          <w:lang w:val="es-ES_tradnl"/>
        </w:rPr>
        <w:t>,</w:t>
      </w:r>
      <w:r w:rsidRPr="00DC3714">
        <w:rPr>
          <w:rFonts w:ascii="Arial" w:hAnsi="Arial" w:cs="Arial"/>
          <w:lang w:val="es-ES_tradnl"/>
        </w:rPr>
        <w:t xml:space="preserve"> el tipo de semilla, la densidad de siembra, la aplicación de insumos y el empleo de mano de obra y maquinaria, por labor en el tiempo.</w:t>
      </w:r>
    </w:p>
    <w:p w:rsidR="008050BA" w:rsidRPr="00DC3714" w:rsidRDefault="008050BA" w:rsidP="00754EC8">
      <w:pPr>
        <w:spacing w:after="120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El PT indica qué se debe hacer, cómo, cuándo y con qué, lo que permite: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Establecer la estructura de costos del cultivo o proceso de producción</w:t>
      </w:r>
      <w:r w:rsidR="00D35357" w:rsidRPr="00DC3714">
        <w:rPr>
          <w:rFonts w:ascii="Arial" w:hAnsi="Arial" w:cs="Arial"/>
        </w:rPr>
        <w:t>.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Parametrizar los costos de producción por hectárea</w:t>
      </w:r>
      <w:r w:rsidR="00D35357" w:rsidRPr="00DC3714">
        <w:rPr>
          <w:rFonts w:ascii="Arial" w:hAnsi="Arial" w:cs="Arial"/>
        </w:rPr>
        <w:t>.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Establecer la secuencia de actividades y labores en el tiempo</w:t>
      </w:r>
      <w:r w:rsidR="00D35357" w:rsidRPr="00DC3714">
        <w:rPr>
          <w:rFonts w:ascii="Arial" w:hAnsi="Arial" w:cs="Arial"/>
        </w:rPr>
        <w:t>.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Derivar, en términos generales, la calidad de los productos</w:t>
      </w:r>
      <w:r w:rsidR="00D35357" w:rsidRPr="00DC3714">
        <w:rPr>
          <w:rFonts w:ascii="Arial" w:hAnsi="Arial" w:cs="Arial"/>
        </w:rPr>
        <w:t>.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Fijar un margen de resultados económicos promedio razonable</w:t>
      </w:r>
      <w:r w:rsidR="00D35357" w:rsidRPr="00DC3714">
        <w:rPr>
          <w:rFonts w:ascii="Arial" w:hAnsi="Arial" w:cs="Arial"/>
        </w:rPr>
        <w:t>.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Facilita</w:t>
      </w:r>
      <w:r w:rsidR="006D38E6" w:rsidRPr="00DC3714">
        <w:rPr>
          <w:rFonts w:ascii="Arial" w:hAnsi="Arial" w:cs="Arial"/>
        </w:rPr>
        <w:t>r</w:t>
      </w:r>
      <w:r w:rsidRPr="00DC3714">
        <w:rPr>
          <w:rFonts w:ascii="Arial" w:hAnsi="Arial" w:cs="Arial"/>
        </w:rPr>
        <w:t xml:space="preserve"> y optimiza</w:t>
      </w:r>
      <w:r w:rsidR="006D38E6" w:rsidRPr="00DC3714">
        <w:rPr>
          <w:rFonts w:ascii="Arial" w:hAnsi="Arial" w:cs="Arial"/>
        </w:rPr>
        <w:t>r la supervisión del crédito</w:t>
      </w:r>
      <w:r w:rsidR="00D35357" w:rsidRPr="00DC3714">
        <w:rPr>
          <w:rFonts w:ascii="Arial" w:hAnsi="Arial" w:cs="Arial"/>
        </w:rPr>
        <w:t>.</w:t>
      </w:r>
    </w:p>
    <w:p w:rsidR="006D38E6" w:rsidRPr="00DC3714" w:rsidRDefault="006D38E6" w:rsidP="00754EC8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Mejorar la productividad de la tierra</w:t>
      </w:r>
      <w:r w:rsidR="00D35357" w:rsidRPr="00DC3714">
        <w:rPr>
          <w:rFonts w:ascii="Arial" w:hAnsi="Arial" w:cs="Arial"/>
        </w:rPr>
        <w:t>.</w:t>
      </w:r>
      <w:r w:rsidRPr="00DC3714">
        <w:rPr>
          <w:rFonts w:ascii="Arial" w:hAnsi="Arial" w:cs="Arial"/>
        </w:rPr>
        <w:t xml:space="preserve"> </w:t>
      </w:r>
    </w:p>
    <w:p w:rsidR="008050BA" w:rsidRPr="00DC3714" w:rsidRDefault="008050BA" w:rsidP="00754EC8">
      <w:p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 xml:space="preserve">Entre sus principales ventajas financieras, los PT agilizan la gestión y operación crediticia, </w:t>
      </w:r>
      <w:r w:rsidR="006D38E6" w:rsidRPr="00DC3714">
        <w:rPr>
          <w:rFonts w:ascii="Arial" w:hAnsi="Arial" w:cs="Arial"/>
          <w:lang w:val="es-ES_tradnl"/>
        </w:rPr>
        <w:t xml:space="preserve">y </w:t>
      </w:r>
      <w:r w:rsidRPr="00DC3714">
        <w:rPr>
          <w:rFonts w:ascii="Arial" w:hAnsi="Arial" w:cs="Arial"/>
          <w:lang w:val="es-ES_tradnl"/>
        </w:rPr>
        <w:t>reducen y permiten una mejor identificación de los riesgos. A</w:t>
      </w:r>
      <w:r w:rsidR="006D38E6" w:rsidRPr="00DC3714">
        <w:rPr>
          <w:rFonts w:ascii="Arial" w:hAnsi="Arial" w:cs="Arial"/>
          <w:lang w:val="es-ES_tradnl"/>
        </w:rPr>
        <w:t>simismo,</w:t>
      </w:r>
      <w:r w:rsidRPr="00DC3714">
        <w:rPr>
          <w:rFonts w:ascii="Arial" w:hAnsi="Arial" w:cs="Arial"/>
          <w:lang w:val="es-ES_tradnl"/>
        </w:rPr>
        <w:t xml:space="preserve"> la generalización de los PT permite mayor homologación tecnológica y una mejor previsión sobre la cantidad y calidad de los productos, facilitando los procesos de comercialización y manejo post</w:t>
      </w:r>
      <w:r w:rsidR="00CE230F" w:rsidRPr="00DC3714">
        <w:rPr>
          <w:rFonts w:ascii="Arial" w:hAnsi="Arial" w:cs="Arial"/>
          <w:lang w:val="es-ES_tradnl"/>
        </w:rPr>
        <w:t>-</w:t>
      </w:r>
      <w:r w:rsidRPr="00DC3714">
        <w:rPr>
          <w:rFonts w:ascii="Arial" w:hAnsi="Arial" w:cs="Arial"/>
          <w:lang w:val="es-ES_tradnl"/>
        </w:rPr>
        <w:t>cosecha.</w:t>
      </w:r>
    </w:p>
    <w:p w:rsidR="008050BA" w:rsidRPr="00DC3714" w:rsidRDefault="008050BA" w:rsidP="00754EC8">
      <w:p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Para diseñar un PT se realiza una labor en conjunto de las Coordinaciones Regionales</w:t>
      </w:r>
      <w:r w:rsidR="0037693A" w:rsidRPr="00DC3714">
        <w:rPr>
          <w:rFonts w:ascii="Arial" w:hAnsi="Arial" w:cs="Arial"/>
          <w:lang w:val="es-ES_tradnl"/>
        </w:rPr>
        <w:t xml:space="preserve"> y</w:t>
      </w:r>
      <w:r w:rsidRPr="00DC3714">
        <w:rPr>
          <w:rFonts w:ascii="Arial" w:hAnsi="Arial" w:cs="Arial"/>
          <w:lang w:val="es-ES_tradnl"/>
        </w:rPr>
        <w:t xml:space="preserve"> Agencias Estatales</w:t>
      </w:r>
      <w:r w:rsidR="0037693A" w:rsidRPr="00DC3714">
        <w:rPr>
          <w:rFonts w:ascii="Arial" w:hAnsi="Arial" w:cs="Arial"/>
          <w:lang w:val="es-ES_tradnl"/>
        </w:rPr>
        <w:t xml:space="preserve"> de</w:t>
      </w:r>
      <w:r w:rsidRPr="00DC3714">
        <w:rPr>
          <w:rFonts w:ascii="Arial" w:hAnsi="Arial" w:cs="Arial"/>
          <w:lang w:val="es-ES_tradnl"/>
        </w:rPr>
        <w:t xml:space="preserve"> Finan</w:t>
      </w:r>
      <w:r w:rsidR="006D38E6" w:rsidRPr="00DC3714">
        <w:rPr>
          <w:rFonts w:ascii="Arial" w:hAnsi="Arial" w:cs="Arial"/>
          <w:lang w:val="es-ES_tradnl"/>
        </w:rPr>
        <w:t xml:space="preserve">ciera Nacional (FN) y </w:t>
      </w:r>
      <w:r w:rsidR="0037693A" w:rsidRPr="00DC3714">
        <w:rPr>
          <w:rFonts w:ascii="Arial" w:hAnsi="Arial" w:cs="Arial"/>
          <w:lang w:val="es-ES_tradnl"/>
        </w:rPr>
        <w:t xml:space="preserve">los </w:t>
      </w:r>
      <w:r w:rsidR="006D38E6" w:rsidRPr="00DC3714">
        <w:rPr>
          <w:rFonts w:ascii="Arial" w:hAnsi="Arial" w:cs="Arial"/>
          <w:lang w:val="es-ES_tradnl"/>
        </w:rPr>
        <w:t>p</w:t>
      </w:r>
      <w:r w:rsidRPr="00DC3714">
        <w:rPr>
          <w:rFonts w:ascii="Arial" w:hAnsi="Arial" w:cs="Arial"/>
          <w:lang w:val="es-ES_tradnl"/>
        </w:rPr>
        <w:t xml:space="preserve">roductores, para </w:t>
      </w:r>
      <w:r w:rsidR="006D38E6" w:rsidRPr="00DC3714">
        <w:rPr>
          <w:rFonts w:ascii="Arial" w:hAnsi="Arial" w:cs="Arial"/>
          <w:lang w:val="es-ES_tradnl"/>
        </w:rPr>
        <w:t>identific</w:t>
      </w:r>
      <w:r w:rsidRPr="00DC3714">
        <w:rPr>
          <w:rFonts w:ascii="Arial" w:hAnsi="Arial" w:cs="Arial"/>
          <w:lang w:val="es-ES_tradnl"/>
        </w:rPr>
        <w:t>ar actividades económicas que cumplan con los requisitos y tengan la necesidad de desarrollar un PT. Una vez verificado que la actividad cumple con los requisitos establecidos para realizar el PT</w:t>
      </w:r>
      <w:r w:rsidR="006D38E6" w:rsidRPr="00DC3714">
        <w:rPr>
          <w:rFonts w:ascii="Arial" w:hAnsi="Arial" w:cs="Arial"/>
          <w:lang w:val="es-ES_tradnl"/>
        </w:rPr>
        <w:t>,</w:t>
      </w:r>
      <w:r w:rsidRPr="00DC3714">
        <w:rPr>
          <w:rFonts w:ascii="Arial" w:hAnsi="Arial" w:cs="Arial"/>
          <w:lang w:val="es-ES_tradnl"/>
        </w:rPr>
        <w:t xml:space="preserve"> se siguen los siguientes pasos: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Parametrización de la</w:t>
      </w:r>
      <w:r w:rsidR="006D38E6" w:rsidRPr="00DC3714">
        <w:rPr>
          <w:rFonts w:ascii="Arial" w:hAnsi="Arial" w:cs="Arial"/>
        </w:rPr>
        <w:t xml:space="preserve"> actividad: los productores, los </w:t>
      </w:r>
      <w:r w:rsidRPr="00DC3714">
        <w:rPr>
          <w:rFonts w:ascii="Arial" w:hAnsi="Arial" w:cs="Arial"/>
        </w:rPr>
        <w:t xml:space="preserve">Agentes o Promotores de la </w:t>
      </w:r>
      <w:r w:rsidR="006D38E6" w:rsidRPr="00DC3714">
        <w:rPr>
          <w:rFonts w:ascii="Arial" w:hAnsi="Arial" w:cs="Arial"/>
        </w:rPr>
        <w:t>FN</w:t>
      </w:r>
      <w:r w:rsidRPr="00DC3714">
        <w:rPr>
          <w:rFonts w:ascii="Arial" w:hAnsi="Arial" w:cs="Arial"/>
        </w:rPr>
        <w:t xml:space="preserve"> y </w:t>
      </w:r>
      <w:r w:rsidR="006D38E6" w:rsidRPr="00DC3714">
        <w:rPr>
          <w:rFonts w:ascii="Arial" w:hAnsi="Arial" w:cs="Arial"/>
        </w:rPr>
        <w:t xml:space="preserve">el </w:t>
      </w:r>
      <w:r w:rsidRPr="00DC3714">
        <w:rPr>
          <w:rFonts w:ascii="Arial" w:hAnsi="Arial" w:cs="Arial"/>
        </w:rPr>
        <w:t>Especialista en el ramo trabajan en conjunto para homologar todo el proceso pre, pro y post producción de la actividad escogida.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Obtención de costos de la actividad parametrizada: los Agente</w:t>
      </w:r>
      <w:r w:rsidR="006D38E6" w:rsidRPr="00DC3714">
        <w:rPr>
          <w:rFonts w:ascii="Arial" w:hAnsi="Arial" w:cs="Arial"/>
        </w:rPr>
        <w:t xml:space="preserve">s estatales y los Especialistas verifican </w:t>
      </w:r>
      <w:r w:rsidRPr="00DC3714">
        <w:rPr>
          <w:rFonts w:ascii="Arial" w:hAnsi="Arial" w:cs="Arial"/>
        </w:rPr>
        <w:t>los costos de producción de cada proceso parametrizado.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 xml:space="preserve">Validación del </w:t>
      </w:r>
      <w:r w:rsidR="006D38E6" w:rsidRPr="00DC3714">
        <w:rPr>
          <w:rFonts w:ascii="Arial" w:hAnsi="Arial" w:cs="Arial"/>
        </w:rPr>
        <w:t>PT</w:t>
      </w:r>
      <w:r w:rsidRPr="00DC3714">
        <w:rPr>
          <w:rFonts w:ascii="Arial" w:hAnsi="Arial" w:cs="Arial"/>
        </w:rPr>
        <w:t>: una vez que se obtiene</w:t>
      </w:r>
      <w:r w:rsidR="006D38E6" w:rsidRPr="00DC3714">
        <w:rPr>
          <w:rFonts w:ascii="Arial" w:hAnsi="Arial" w:cs="Arial"/>
        </w:rPr>
        <w:t>n</w:t>
      </w:r>
      <w:r w:rsidRPr="00DC3714">
        <w:rPr>
          <w:rFonts w:ascii="Arial" w:hAnsi="Arial" w:cs="Arial"/>
        </w:rPr>
        <w:t xml:space="preserve"> los costos </w:t>
      </w:r>
      <w:r w:rsidR="006D38E6" w:rsidRPr="00DC3714">
        <w:rPr>
          <w:rFonts w:ascii="Arial" w:hAnsi="Arial" w:cs="Arial"/>
        </w:rPr>
        <w:t>del</w:t>
      </w:r>
      <w:r w:rsidRPr="00DC3714">
        <w:rPr>
          <w:rFonts w:ascii="Arial" w:hAnsi="Arial" w:cs="Arial"/>
        </w:rPr>
        <w:t xml:space="preserve"> PT</w:t>
      </w:r>
      <w:r w:rsidR="006D38E6" w:rsidRPr="00DC3714">
        <w:rPr>
          <w:rFonts w:ascii="Arial" w:hAnsi="Arial" w:cs="Arial"/>
        </w:rPr>
        <w:t>, el PT es enviado</w:t>
      </w:r>
      <w:r w:rsidRPr="00DC3714">
        <w:rPr>
          <w:rFonts w:ascii="Arial" w:hAnsi="Arial" w:cs="Arial"/>
        </w:rPr>
        <w:t xml:space="preserve"> a una Instancia Autorizada donde se revisa y se da el visto bueno. Las Instancias Au</w:t>
      </w:r>
      <w:r w:rsidR="006D38E6" w:rsidRPr="00DC3714">
        <w:rPr>
          <w:rFonts w:ascii="Arial" w:hAnsi="Arial" w:cs="Arial"/>
        </w:rPr>
        <w:t xml:space="preserve">torizadas para este fin son: </w:t>
      </w:r>
      <w:r w:rsidR="005C572D" w:rsidRPr="00DC3714">
        <w:rPr>
          <w:rFonts w:ascii="Arial" w:hAnsi="Arial" w:cs="Arial"/>
        </w:rPr>
        <w:t>l</w:t>
      </w:r>
      <w:r w:rsidR="005C572D" w:rsidRPr="00DC3714">
        <w:rPr>
          <w:rFonts w:ascii="Arial" w:hAnsi="Arial" w:cs="Arial"/>
          <w:lang w:val="es-ES"/>
        </w:rPr>
        <w:t xml:space="preserve">a Secretaría de Agricultura, Ganadería, Desarrollo Rural, Pesca y Alimentación (SAGARPA); Fideicomisos Constituidos en Relación a la Agricultura (FIRA); el Instituto Nacional de Investigaciones Forestales y Agropecuarias (INIFAP); </w:t>
      </w:r>
      <w:r w:rsidRPr="00DC3714">
        <w:rPr>
          <w:rFonts w:ascii="Arial" w:hAnsi="Arial" w:cs="Arial"/>
        </w:rPr>
        <w:t>o cualquier Universidad</w:t>
      </w:r>
      <w:r w:rsidR="006D38E6" w:rsidRPr="00DC3714">
        <w:rPr>
          <w:rFonts w:ascii="Arial" w:hAnsi="Arial" w:cs="Arial"/>
        </w:rPr>
        <w:t>. E</w:t>
      </w:r>
      <w:r w:rsidRPr="00DC3714">
        <w:rPr>
          <w:rFonts w:ascii="Arial" w:hAnsi="Arial" w:cs="Arial"/>
        </w:rPr>
        <w:t xml:space="preserve">l área encargada de </w:t>
      </w:r>
      <w:r w:rsidR="006D38E6" w:rsidRPr="00DC3714">
        <w:rPr>
          <w:rFonts w:ascii="Arial" w:hAnsi="Arial" w:cs="Arial"/>
        </w:rPr>
        <w:t>enviar el PT</w:t>
      </w:r>
      <w:r w:rsidRPr="00DC3714">
        <w:rPr>
          <w:rFonts w:ascii="Arial" w:hAnsi="Arial" w:cs="Arial"/>
        </w:rPr>
        <w:t xml:space="preserve"> a la Instancia es la Agencia Estatal con apoyo de la Gerencia Regional de Promoción y Fomento.</w:t>
      </w:r>
    </w:p>
    <w:p w:rsidR="008050BA" w:rsidRPr="00DC3714" w:rsidRDefault="008050BA" w:rsidP="00754EC8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Presentación al Subcomité de Crédito</w:t>
      </w:r>
      <w:r w:rsidR="0037693A" w:rsidRPr="00DC3714">
        <w:rPr>
          <w:rFonts w:ascii="Arial" w:hAnsi="Arial" w:cs="Arial"/>
        </w:rPr>
        <w:t xml:space="preserve"> de FN</w:t>
      </w:r>
      <w:r w:rsidRPr="00DC3714">
        <w:rPr>
          <w:rFonts w:ascii="Arial" w:hAnsi="Arial" w:cs="Arial"/>
        </w:rPr>
        <w:t>: Una vez dado el visto bueno</w:t>
      </w:r>
      <w:r w:rsidR="006D38E6" w:rsidRPr="00DC3714">
        <w:rPr>
          <w:rFonts w:ascii="Arial" w:hAnsi="Arial" w:cs="Arial"/>
        </w:rPr>
        <w:t>,</w:t>
      </w:r>
      <w:r w:rsidRPr="00DC3714">
        <w:rPr>
          <w:rFonts w:ascii="Arial" w:hAnsi="Arial" w:cs="Arial"/>
        </w:rPr>
        <w:t xml:space="preserve"> la Gerencia de Crédito Regional</w:t>
      </w:r>
      <w:r w:rsidR="006D38E6" w:rsidRPr="00DC3714">
        <w:rPr>
          <w:rFonts w:ascii="Arial" w:hAnsi="Arial" w:cs="Arial"/>
        </w:rPr>
        <w:t xml:space="preserve"> envía</w:t>
      </w:r>
      <w:r w:rsidRPr="00DC3714">
        <w:rPr>
          <w:rFonts w:ascii="Arial" w:hAnsi="Arial" w:cs="Arial"/>
        </w:rPr>
        <w:t xml:space="preserve"> el PT para su revisión</w:t>
      </w:r>
      <w:r w:rsidR="006D38E6" w:rsidRPr="00DC3714">
        <w:rPr>
          <w:rFonts w:ascii="Arial" w:hAnsi="Arial" w:cs="Arial"/>
        </w:rPr>
        <w:t xml:space="preserve"> y aprobación </w:t>
      </w:r>
      <w:r w:rsidRPr="00DC3714">
        <w:rPr>
          <w:rFonts w:ascii="Arial" w:hAnsi="Arial" w:cs="Arial"/>
        </w:rPr>
        <w:t>al Comité de Crédito</w:t>
      </w:r>
      <w:r w:rsidR="006D38E6" w:rsidRPr="00DC3714">
        <w:rPr>
          <w:rFonts w:ascii="Arial" w:hAnsi="Arial" w:cs="Arial"/>
        </w:rPr>
        <w:t>. El encargado de la aprobación</w:t>
      </w:r>
      <w:r w:rsidR="00CE230F" w:rsidRPr="00DC3714">
        <w:rPr>
          <w:rFonts w:ascii="Arial" w:hAnsi="Arial" w:cs="Arial"/>
        </w:rPr>
        <w:t xml:space="preserve"> del PT</w:t>
      </w:r>
      <w:r w:rsidRPr="00DC3714">
        <w:rPr>
          <w:rFonts w:ascii="Arial" w:hAnsi="Arial" w:cs="Arial"/>
        </w:rPr>
        <w:t xml:space="preserve"> es el Área de Crédito Corporativo.</w:t>
      </w:r>
    </w:p>
    <w:p w:rsidR="008B666C" w:rsidRPr="00DC3714" w:rsidRDefault="008B666C" w:rsidP="00754EC8">
      <w:p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lastRenderedPageBreak/>
        <w:t>Producto del proceso de parametrización de la actividad y del trabajo en conjunto con los Agentes o Promotores de la FN y los Especialistas sectoriales, a</w:t>
      </w:r>
      <w:r w:rsidR="008050BA" w:rsidRPr="00DC3714">
        <w:rPr>
          <w:rFonts w:ascii="Arial" w:hAnsi="Arial" w:cs="Arial"/>
          <w:lang w:val="es-ES_tradnl"/>
        </w:rPr>
        <w:t>l momento de gestionar el crédito</w:t>
      </w:r>
      <w:r w:rsidRPr="00DC3714">
        <w:rPr>
          <w:rFonts w:ascii="Arial" w:hAnsi="Arial" w:cs="Arial"/>
          <w:lang w:val="es-ES_tradnl"/>
        </w:rPr>
        <w:t xml:space="preserve"> para el PT,</w:t>
      </w:r>
      <w:r w:rsidR="008050BA" w:rsidRPr="00DC3714">
        <w:rPr>
          <w:rFonts w:ascii="Arial" w:hAnsi="Arial" w:cs="Arial"/>
          <w:lang w:val="es-ES_tradnl"/>
        </w:rPr>
        <w:t xml:space="preserve"> los productores conocen la estructura de costos, </w:t>
      </w:r>
      <w:r w:rsidRPr="00DC3714">
        <w:rPr>
          <w:rFonts w:ascii="Arial" w:hAnsi="Arial" w:cs="Arial"/>
          <w:lang w:val="es-ES_tradnl"/>
        </w:rPr>
        <w:t>los márgenes de productividad y cuentan con</w:t>
      </w:r>
      <w:r w:rsidR="008050BA" w:rsidRPr="00DC3714">
        <w:rPr>
          <w:rFonts w:ascii="Arial" w:hAnsi="Arial" w:cs="Arial"/>
          <w:lang w:val="es-ES_tradnl"/>
        </w:rPr>
        <w:t xml:space="preserve"> una previsión de rendimientos y utilidades promedio a precios dados.</w:t>
      </w:r>
      <w:r w:rsidRPr="00DC3714">
        <w:rPr>
          <w:rFonts w:ascii="Arial" w:hAnsi="Arial" w:cs="Arial"/>
          <w:lang w:val="es-ES_tradnl"/>
        </w:rPr>
        <w:t xml:space="preserve"> De la misma manera, dado que la promoción para la utilización de un crédito al amparo de un PT es realizada por las Coordinaciones Regionales y las Agencias Estatales</w:t>
      </w:r>
      <w:r w:rsidR="002A0FAE" w:rsidRPr="00DC3714">
        <w:rPr>
          <w:rFonts w:ascii="Arial" w:hAnsi="Arial" w:cs="Arial"/>
          <w:lang w:val="es-ES_tradnl"/>
        </w:rPr>
        <w:t xml:space="preserve"> con presencia territorial</w:t>
      </w:r>
      <w:r w:rsidRPr="00DC3714">
        <w:rPr>
          <w:rFonts w:ascii="Arial" w:hAnsi="Arial" w:cs="Arial"/>
          <w:lang w:val="es-ES_tradnl"/>
        </w:rPr>
        <w:t>, los promotores</w:t>
      </w:r>
      <w:r w:rsidR="002A0FAE" w:rsidRPr="00DC3714">
        <w:rPr>
          <w:rFonts w:ascii="Arial" w:hAnsi="Arial" w:cs="Arial"/>
          <w:lang w:val="es-ES_tradnl"/>
        </w:rPr>
        <w:t xml:space="preserve"> conocen de cerca las necesidades de sus clientes, lo que permite identificar y ofrecer el producto sobre la base de los beneficios que puede proporcionar a los clientes</w:t>
      </w:r>
      <w:r w:rsidRPr="00DC3714">
        <w:rPr>
          <w:rFonts w:ascii="Arial" w:hAnsi="Arial" w:cs="Arial"/>
          <w:lang w:val="es-ES_tradnl"/>
        </w:rPr>
        <w:t>.</w:t>
      </w:r>
    </w:p>
    <w:p w:rsidR="008050BA" w:rsidRPr="00DC3714" w:rsidRDefault="008050BA" w:rsidP="00754EC8">
      <w:p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 xml:space="preserve">Dentro del </w:t>
      </w:r>
      <w:r w:rsidR="008B666C" w:rsidRPr="00DC3714">
        <w:rPr>
          <w:rFonts w:ascii="Arial" w:hAnsi="Arial" w:cs="Arial"/>
          <w:lang w:val="es-ES_tradnl"/>
        </w:rPr>
        <w:t xml:space="preserve">PT </w:t>
      </w:r>
      <w:r w:rsidRPr="00DC3714">
        <w:rPr>
          <w:rFonts w:ascii="Arial" w:hAnsi="Arial" w:cs="Arial"/>
          <w:lang w:val="es-ES_tradnl"/>
        </w:rPr>
        <w:t xml:space="preserve">se </w:t>
      </w:r>
      <w:r w:rsidR="008B666C" w:rsidRPr="00DC3714">
        <w:rPr>
          <w:rFonts w:ascii="Arial" w:hAnsi="Arial" w:cs="Arial"/>
          <w:lang w:val="es-ES_tradnl"/>
        </w:rPr>
        <w:t>encuentra contemplad</w:t>
      </w:r>
      <w:r w:rsidR="004C4CDA" w:rsidRPr="00DC3714">
        <w:rPr>
          <w:rFonts w:ascii="Arial" w:hAnsi="Arial" w:cs="Arial"/>
          <w:lang w:val="es-ES_tradnl"/>
        </w:rPr>
        <w:t>a</w:t>
      </w:r>
      <w:r w:rsidRPr="00DC3714">
        <w:rPr>
          <w:rFonts w:ascii="Arial" w:hAnsi="Arial" w:cs="Arial"/>
          <w:lang w:val="es-ES_tradnl"/>
        </w:rPr>
        <w:t xml:space="preserve"> la Asistencia Téc</w:t>
      </w:r>
      <w:r w:rsidR="008B666C" w:rsidRPr="00DC3714">
        <w:rPr>
          <w:rFonts w:ascii="Arial" w:hAnsi="Arial" w:cs="Arial"/>
          <w:lang w:val="es-ES_tradnl"/>
        </w:rPr>
        <w:t>nica para el Proceso Productivo. Ello consiste en la contratación de un</w:t>
      </w:r>
      <w:r w:rsidRPr="00DC3714">
        <w:rPr>
          <w:rFonts w:ascii="Arial" w:hAnsi="Arial" w:cs="Arial"/>
          <w:lang w:val="es-ES_tradnl"/>
        </w:rPr>
        <w:t xml:space="preserve"> especialista externo </w:t>
      </w:r>
      <w:r w:rsidR="008B666C" w:rsidRPr="00DC3714">
        <w:rPr>
          <w:rFonts w:ascii="Arial" w:hAnsi="Arial" w:cs="Arial"/>
          <w:lang w:val="es-ES_tradnl"/>
        </w:rPr>
        <w:t>para a</w:t>
      </w:r>
      <w:r w:rsidRPr="00DC3714">
        <w:rPr>
          <w:rFonts w:ascii="Arial" w:hAnsi="Arial" w:cs="Arial"/>
          <w:lang w:val="es-ES_tradnl"/>
        </w:rPr>
        <w:t>compaña</w:t>
      </w:r>
      <w:r w:rsidR="008B666C" w:rsidRPr="00DC3714">
        <w:rPr>
          <w:rFonts w:ascii="Arial" w:hAnsi="Arial" w:cs="Arial"/>
          <w:lang w:val="es-ES_tradnl"/>
        </w:rPr>
        <w:t>r</w:t>
      </w:r>
      <w:r w:rsidRPr="00DC3714">
        <w:rPr>
          <w:rFonts w:ascii="Arial" w:hAnsi="Arial" w:cs="Arial"/>
          <w:lang w:val="es-ES_tradnl"/>
        </w:rPr>
        <w:t xml:space="preserve"> al productor en el proceso de producción</w:t>
      </w:r>
      <w:r w:rsidR="008B666C" w:rsidRPr="00DC3714">
        <w:rPr>
          <w:rFonts w:ascii="Arial" w:hAnsi="Arial" w:cs="Arial"/>
          <w:lang w:val="es-ES_tradnl"/>
        </w:rPr>
        <w:t xml:space="preserve"> y brindarle</w:t>
      </w:r>
      <w:r w:rsidRPr="00DC3714">
        <w:rPr>
          <w:rFonts w:ascii="Arial" w:hAnsi="Arial" w:cs="Arial"/>
          <w:lang w:val="es-ES_tradnl"/>
        </w:rPr>
        <w:t xml:space="preserve"> asesoría</w:t>
      </w:r>
      <w:r w:rsidR="008B666C" w:rsidRPr="00DC3714">
        <w:rPr>
          <w:rFonts w:ascii="Arial" w:hAnsi="Arial" w:cs="Arial"/>
          <w:lang w:val="es-ES_tradnl"/>
        </w:rPr>
        <w:t>, de modo de</w:t>
      </w:r>
      <w:r w:rsidRPr="00DC3714">
        <w:rPr>
          <w:rFonts w:ascii="Arial" w:hAnsi="Arial" w:cs="Arial"/>
          <w:lang w:val="es-ES_tradnl"/>
        </w:rPr>
        <w:t xml:space="preserve"> maxim</w:t>
      </w:r>
      <w:r w:rsidR="008B666C" w:rsidRPr="00DC3714">
        <w:rPr>
          <w:rFonts w:ascii="Arial" w:hAnsi="Arial" w:cs="Arial"/>
          <w:lang w:val="es-ES_tradnl"/>
        </w:rPr>
        <w:t xml:space="preserve">izar los niveles de producción y asegurar un manejo óptimo del cultivo. La Asistencia Técnica es utilizada principalmente en los casos en los que los productores no poseen experiencia con la actividad productiva o cultivo específico. </w:t>
      </w:r>
    </w:p>
    <w:p w:rsidR="008050BA" w:rsidRPr="00DC3714" w:rsidRDefault="008050BA" w:rsidP="00754EC8">
      <w:p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Los costos por PT generalmente están homologados por unidad (básicamente hectárea) y</w:t>
      </w:r>
      <w:r w:rsidR="00754EC8" w:rsidRPr="00DC3714">
        <w:rPr>
          <w:rFonts w:ascii="Arial" w:hAnsi="Arial" w:cs="Arial"/>
          <w:lang w:val="es-ES_tradnl"/>
        </w:rPr>
        <w:t>,</w:t>
      </w:r>
      <w:r w:rsidRPr="00DC3714">
        <w:rPr>
          <w:rFonts w:ascii="Arial" w:hAnsi="Arial" w:cs="Arial"/>
          <w:lang w:val="es-ES_tradnl"/>
        </w:rPr>
        <w:t xml:space="preserve"> dependiendo del </w:t>
      </w:r>
      <w:r w:rsidR="00754EC8" w:rsidRPr="00DC3714">
        <w:rPr>
          <w:rFonts w:ascii="Arial" w:hAnsi="Arial" w:cs="Arial"/>
          <w:lang w:val="es-ES_tradnl"/>
        </w:rPr>
        <w:t>PT,</w:t>
      </w:r>
      <w:r w:rsidRPr="00DC3714">
        <w:rPr>
          <w:rFonts w:ascii="Arial" w:hAnsi="Arial" w:cs="Arial"/>
          <w:lang w:val="es-ES_tradnl"/>
        </w:rPr>
        <w:t xml:space="preserve"> se pueden financiar hasta </w:t>
      </w:r>
      <w:r w:rsidR="00754EC8" w:rsidRPr="00DC3714">
        <w:rPr>
          <w:rFonts w:ascii="Arial" w:hAnsi="Arial" w:cs="Arial"/>
          <w:lang w:val="es-ES_tradnl"/>
        </w:rPr>
        <w:t>un determinado número de unidades.</w:t>
      </w:r>
      <w:r w:rsidRPr="00DC3714">
        <w:rPr>
          <w:rFonts w:ascii="Arial" w:hAnsi="Arial" w:cs="Arial"/>
          <w:lang w:val="es-ES_tradnl"/>
        </w:rPr>
        <w:t xml:space="preserve"> La dispersión de los PT se opera mediante ministraciones por concepto de inversión.  Posterior a cada ministración, se realiza una supervisión en la cual el productor debe presentar las facturas</w:t>
      </w:r>
      <w:r w:rsidR="00754EC8" w:rsidRPr="00DC3714">
        <w:rPr>
          <w:rFonts w:ascii="Arial" w:hAnsi="Arial" w:cs="Arial"/>
          <w:lang w:val="es-ES_tradnl"/>
        </w:rPr>
        <w:t xml:space="preserve"> de cada uno de los conceptos. E</w:t>
      </w:r>
      <w:r w:rsidRPr="00DC3714">
        <w:rPr>
          <w:rFonts w:ascii="Arial" w:hAnsi="Arial" w:cs="Arial"/>
          <w:lang w:val="es-ES_tradnl"/>
        </w:rPr>
        <w:t>n caso de algún incumplimiento o desvío de recursos</w:t>
      </w:r>
      <w:r w:rsidR="00754EC8" w:rsidRPr="00DC3714">
        <w:rPr>
          <w:rFonts w:ascii="Arial" w:hAnsi="Arial" w:cs="Arial"/>
          <w:lang w:val="es-ES_tradnl"/>
        </w:rPr>
        <w:t>,</w:t>
      </w:r>
      <w:r w:rsidRPr="00DC3714">
        <w:rPr>
          <w:rFonts w:ascii="Arial" w:hAnsi="Arial" w:cs="Arial"/>
          <w:lang w:val="es-ES_tradnl"/>
        </w:rPr>
        <w:t xml:space="preserve"> se suspenden las ministraciones y se siguen otras vías legales.  Un ejemplo de ministraciones de PT es:</w:t>
      </w:r>
    </w:p>
    <w:p w:rsidR="008050BA" w:rsidRPr="00DC3714" w:rsidRDefault="008050BA" w:rsidP="00754EC8">
      <w:pPr>
        <w:pStyle w:val="ListParagraph"/>
        <w:numPr>
          <w:ilvl w:val="0"/>
          <w:numId w:val="7"/>
        </w:numPr>
        <w:spacing w:after="120"/>
        <w:ind w:left="1483"/>
        <w:contextualSpacing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Preparación del terreno, anticipo de semilla y fertilizante y cuota de agua.</w:t>
      </w:r>
    </w:p>
    <w:p w:rsidR="008050BA" w:rsidRPr="00DC3714" w:rsidRDefault="008050BA" w:rsidP="00754EC8">
      <w:pPr>
        <w:pStyle w:val="ListParagraph"/>
        <w:numPr>
          <w:ilvl w:val="0"/>
          <w:numId w:val="7"/>
        </w:numPr>
        <w:spacing w:after="120"/>
        <w:ind w:left="1483"/>
        <w:contextualSpacing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Siembra y fertilización.</w:t>
      </w:r>
    </w:p>
    <w:p w:rsidR="008050BA" w:rsidRPr="00DC3714" w:rsidRDefault="008050BA" w:rsidP="00754EC8">
      <w:pPr>
        <w:pStyle w:val="ListParagraph"/>
        <w:numPr>
          <w:ilvl w:val="0"/>
          <w:numId w:val="7"/>
        </w:numPr>
        <w:spacing w:after="120"/>
        <w:ind w:left="1483"/>
        <w:contextualSpacing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Seguro básico.</w:t>
      </w:r>
    </w:p>
    <w:p w:rsidR="008050BA" w:rsidRPr="00DC3714" w:rsidRDefault="008050BA" w:rsidP="00754EC8">
      <w:pPr>
        <w:pStyle w:val="ListParagraph"/>
        <w:numPr>
          <w:ilvl w:val="0"/>
          <w:numId w:val="7"/>
        </w:num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 xml:space="preserve">Labores culturales, riego y cosecha. </w:t>
      </w:r>
    </w:p>
    <w:p w:rsidR="008050BA" w:rsidRPr="00DC3714" w:rsidRDefault="008050BA" w:rsidP="00754EC8">
      <w:p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Los PT facilitan y optimizan la ministración del crédito debido a la determinación de los montos, destinos y momentos en</w:t>
      </w:r>
      <w:r w:rsidR="00754EC8" w:rsidRPr="00DC3714">
        <w:rPr>
          <w:rFonts w:ascii="Arial" w:hAnsi="Arial" w:cs="Arial"/>
          <w:lang w:val="es-ES_tradnl"/>
        </w:rPr>
        <w:t xml:space="preserve"> que los productores necesitan recursos crediticios</w:t>
      </w:r>
      <w:r w:rsidRPr="00DC3714">
        <w:rPr>
          <w:rFonts w:ascii="Arial" w:hAnsi="Arial" w:cs="Arial"/>
          <w:lang w:val="es-ES_tradnl"/>
        </w:rPr>
        <w:t>.</w:t>
      </w:r>
    </w:p>
    <w:p w:rsidR="008050BA" w:rsidRPr="00DC3714" w:rsidRDefault="008050BA" w:rsidP="00754EC8">
      <w:pPr>
        <w:spacing w:after="120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La ren</w:t>
      </w:r>
      <w:r w:rsidR="00754EC8" w:rsidRPr="00DC3714">
        <w:rPr>
          <w:rFonts w:ascii="Arial" w:hAnsi="Arial" w:cs="Arial"/>
          <w:lang w:val="es-ES_tradnl"/>
        </w:rPr>
        <w:t>tabilidad de los PT es variable. L</w:t>
      </w:r>
      <w:r w:rsidRPr="00DC3714">
        <w:rPr>
          <w:rFonts w:ascii="Arial" w:hAnsi="Arial" w:cs="Arial"/>
          <w:lang w:val="es-ES_tradnl"/>
        </w:rPr>
        <w:t xml:space="preserve">a virtud esencial es que </w:t>
      </w:r>
      <w:r w:rsidR="00754EC8" w:rsidRPr="00DC3714">
        <w:rPr>
          <w:rFonts w:ascii="Arial" w:hAnsi="Arial" w:cs="Arial"/>
          <w:lang w:val="es-ES_tradnl"/>
        </w:rPr>
        <w:t xml:space="preserve">la rentabilidad esperada se encuentra </w:t>
      </w:r>
      <w:r w:rsidRPr="00DC3714">
        <w:rPr>
          <w:rFonts w:ascii="Arial" w:hAnsi="Arial" w:cs="Arial"/>
          <w:lang w:val="es-ES_tradnl"/>
        </w:rPr>
        <w:t>definida en términos promediales en condiciones dadas, lo que permite establecer una mejor previsión de los resultados e identificación de riesgos.</w:t>
      </w:r>
    </w:p>
    <w:p w:rsidR="008050BA" w:rsidRPr="00DC3714" w:rsidRDefault="008050BA" w:rsidP="008050BA">
      <w:pPr>
        <w:ind w:left="709"/>
        <w:rPr>
          <w:rFonts w:ascii="Arial" w:hAnsi="Arial" w:cs="Arial"/>
          <w:lang w:val="es-ES_tradnl"/>
        </w:rPr>
      </w:pPr>
    </w:p>
    <w:p w:rsidR="00CE230F" w:rsidRPr="00DC3714" w:rsidRDefault="00CE230F" w:rsidP="008050BA">
      <w:pPr>
        <w:ind w:left="709"/>
        <w:rPr>
          <w:rFonts w:ascii="Arial" w:hAnsi="Arial" w:cs="Arial"/>
          <w:lang w:val="es-ES_tradnl"/>
        </w:rPr>
      </w:pPr>
    </w:p>
    <w:p w:rsidR="008050BA" w:rsidRPr="00DC3714" w:rsidRDefault="008050BA" w:rsidP="00B76A3F">
      <w:pPr>
        <w:pStyle w:val="ListParagraph"/>
        <w:numPr>
          <w:ilvl w:val="0"/>
          <w:numId w:val="8"/>
        </w:numPr>
        <w:ind w:hanging="360"/>
        <w:rPr>
          <w:rFonts w:ascii="Arial" w:hAnsi="Arial" w:cs="Arial"/>
          <w:b/>
          <w:lang w:val="es-ES_tradnl"/>
        </w:rPr>
      </w:pPr>
      <w:r w:rsidRPr="00DC3714">
        <w:rPr>
          <w:rFonts w:ascii="Arial" w:hAnsi="Arial" w:cs="Arial"/>
          <w:b/>
          <w:lang w:val="es-ES_tradnl"/>
        </w:rPr>
        <w:t xml:space="preserve">Descripción de proyectos </w:t>
      </w:r>
      <w:r w:rsidR="00CE230F" w:rsidRPr="00DC3714">
        <w:rPr>
          <w:rFonts w:ascii="Arial" w:hAnsi="Arial" w:cs="Arial"/>
          <w:b/>
          <w:lang w:val="es-ES_tradnl"/>
        </w:rPr>
        <w:t>de capitalización</w:t>
      </w:r>
    </w:p>
    <w:p w:rsidR="008050BA" w:rsidRPr="00DC3714" w:rsidRDefault="008050BA" w:rsidP="008050BA">
      <w:pPr>
        <w:ind w:left="709"/>
        <w:jc w:val="both"/>
        <w:rPr>
          <w:rFonts w:ascii="Arial" w:hAnsi="Arial" w:cs="Arial"/>
          <w:lang w:val="es-ES_tradnl"/>
        </w:rPr>
      </w:pPr>
    </w:p>
    <w:p w:rsidR="008050BA" w:rsidRPr="00DC3714" w:rsidRDefault="008050BA" w:rsidP="008050BA">
      <w:pPr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Podemos distinguir al menos dos tipos de proyectos donde los créditos para capitalización son factor clave:</w:t>
      </w:r>
    </w:p>
    <w:p w:rsidR="008050BA" w:rsidRPr="00DC3714" w:rsidRDefault="008050BA" w:rsidP="008050BA">
      <w:pPr>
        <w:ind w:left="709"/>
        <w:jc w:val="both"/>
        <w:rPr>
          <w:rFonts w:ascii="Arial" w:hAnsi="Arial" w:cs="Arial"/>
          <w:b/>
          <w:lang w:val="es-ES_tradnl"/>
        </w:rPr>
      </w:pPr>
    </w:p>
    <w:p w:rsidR="008050BA" w:rsidRPr="00DC3714" w:rsidRDefault="008050BA" w:rsidP="008050BA">
      <w:pPr>
        <w:pStyle w:val="ListParagraph"/>
        <w:numPr>
          <w:ilvl w:val="0"/>
          <w:numId w:val="2"/>
        </w:numPr>
        <w:ind w:left="567" w:hanging="283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De financiamiento a la producción primaria, donde el crédito permite elevar directamente la productividad como es el caso de adquisición de maquinaria, sistemas de riego, el establecimiento de invernaderos y la implantación de sistemas de control sobre el comportamiento del cultivo, o que tienen gran impacto en el control de la calidad (ordeñadoras y enfriadoras de leche), entre otras.</w:t>
      </w:r>
    </w:p>
    <w:p w:rsidR="008050BA" w:rsidRPr="00DC3714" w:rsidRDefault="008050BA" w:rsidP="00762999">
      <w:pPr>
        <w:jc w:val="both"/>
        <w:rPr>
          <w:rFonts w:ascii="Arial" w:hAnsi="Arial" w:cs="Arial"/>
          <w:lang w:val="es-ES_tradnl"/>
        </w:rPr>
      </w:pPr>
    </w:p>
    <w:p w:rsidR="008050BA" w:rsidRPr="00DC3714" w:rsidRDefault="008050BA" w:rsidP="008050BA">
      <w:pPr>
        <w:pStyle w:val="ListParagraph"/>
        <w:numPr>
          <w:ilvl w:val="0"/>
          <w:numId w:val="2"/>
        </w:numPr>
        <w:ind w:left="567" w:hanging="283"/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>De financiamiento a los servicios a la producción, donde la función económica sólo se puede realizar si se cuenta con la infraestructura y equipo adecuado, como es el caso del acopio, comercialización, transporte, beneficio y transformación de la producción primaria.</w:t>
      </w:r>
    </w:p>
    <w:p w:rsidR="008050BA" w:rsidRPr="00DC3714" w:rsidRDefault="008050BA" w:rsidP="008050BA">
      <w:pPr>
        <w:rPr>
          <w:rFonts w:ascii="Arial" w:hAnsi="Arial" w:cs="Arial"/>
          <w:lang w:val="es-ES_tradnl"/>
        </w:rPr>
      </w:pPr>
    </w:p>
    <w:p w:rsidR="008050BA" w:rsidRPr="00DC3714" w:rsidRDefault="008050BA" w:rsidP="008050BA">
      <w:pPr>
        <w:jc w:val="both"/>
        <w:rPr>
          <w:rFonts w:ascii="Arial" w:hAnsi="Arial" w:cs="Arial"/>
          <w:lang w:val="es-ES_tradnl"/>
        </w:rPr>
      </w:pPr>
      <w:r w:rsidRPr="00DC3714">
        <w:rPr>
          <w:rFonts w:ascii="Arial" w:hAnsi="Arial" w:cs="Arial"/>
          <w:lang w:val="es-ES_tradnl"/>
        </w:rPr>
        <w:t xml:space="preserve">Estos proyectos se financian a través del producto de crédito </w:t>
      </w:r>
      <w:r w:rsidR="00762999" w:rsidRPr="00DC3714">
        <w:rPr>
          <w:rFonts w:ascii="Arial" w:hAnsi="Arial" w:cs="Arial"/>
          <w:lang w:val="es-ES_tradnl"/>
        </w:rPr>
        <w:t>de mediano y largo plazo (o crédito refaccionario, según la terminología utilizada por la FN)</w:t>
      </w:r>
      <w:r w:rsidRPr="00DC3714">
        <w:rPr>
          <w:rFonts w:ascii="Arial" w:hAnsi="Arial" w:cs="Arial"/>
          <w:lang w:val="es-ES_tradnl"/>
        </w:rPr>
        <w:t>, el cual tiene como objetivo financiar a mediano y largo plazo necesidades de adquisición, construcción, ampliación o remodelación de infraestructura productiva.</w:t>
      </w:r>
    </w:p>
    <w:p w:rsidR="008050BA" w:rsidRPr="00DC3714" w:rsidRDefault="008050BA" w:rsidP="00B27ADF">
      <w:pPr>
        <w:jc w:val="both"/>
        <w:rPr>
          <w:rFonts w:ascii="Arial" w:hAnsi="Arial" w:cs="Arial"/>
          <w:lang w:val="es-ES_tradnl"/>
        </w:rPr>
      </w:pPr>
    </w:p>
    <w:p w:rsidR="008050BA" w:rsidRPr="00DC3714" w:rsidRDefault="008050BA" w:rsidP="00B27ADF">
      <w:pPr>
        <w:jc w:val="both"/>
        <w:rPr>
          <w:rFonts w:ascii="Arial" w:hAnsi="Arial" w:cs="Arial"/>
          <w:b/>
          <w:lang w:val="es-ES_tradnl"/>
        </w:rPr>
      </w:pPr>
      <w:r w:rsidRPr="00DC3714">
        <w:rPr>
          <w:rFonts w:ascii="Arial" w:hAnsi="Arial" w:cs="Arial"/>
          <w:b/>
          <w:lang w:val="es-ES_tradnl"/>
        </w:rPr>
        <w:t>Ejemplos</w:t>
      </w:r>
      <w:r w:rsidR="00242313" w:rsidRPr="00DC3714">
        <w:rPr>
          <w:rFonts w:ascii="Arial" w:hAnsi="Arial" w:cs="Arial"/>
          <w:b/>
          <w:lang w:val="es-ES_tradnl"/>
        </w:rPr>
        <w:t xml:space="preserve"> </w:t>
      </w:r>
    </w:p>
    <w:p w:rsidR="008050BA" w:rsidRPr="00DC3714" w:rsidRDefault="008050BA" w:rsidP="00B27ADF">
      <w:pPr>
        <w:jc w:val="both"/>
        <w:rPr>
          <w:rFonts w:ascii="Arial" w:hAnsi="Arial" w:cs="Arial"/>
          <w:b/>
          <w:lang w:val="es-ES_tradnl"/>
        </w:rPr>
      </w:pPr>
    </w:p>
    <w:p w:rsidR="008050BA" w:rsidRPr="00DC3714" w:rsidRDefault="008050BA" w:rsidP="00B27ADF">
      <w:pPr>
        <w:jc w:val="both"/>
        <w:rPr>
          <w:rFonts w:ascii="Arial" w:hAnsi="Arial" w:cs="Arial"/>
          <w:b/>
          <w:lang w:val="es-ES_tradnl"/>
        </w:rPr>
      </w:pPr>
      <w:r w:rsidRPr="00DC3714">
        <w:rPr>
          <w:rFonts w:ascii="Arial" w:hAnsi="Arial" w:cs="Arial"/>
          <w:b/>
          <w:lang w:val="es-ES_tradnl"/>
        </w:rPr>
        <w:t>Tecnificación de Riego</w:t>
      </w:r>
    </w:p>
    <w:p w:rsidR="008050BA" w:rsidRPr="00DC3714" w:rsidRDefault="008050BA" w:rsidP="00B27ADF">
      <w:p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La adopción de sistemas de tecnificación de riego permite aplicar al cultivo el agua que requiere en cantidad, calidad y oportunidad para mejorar la producción, eliminando las pérdidas y desperdicios.</w:t>
      </w:r>
      <w:r w:rsidR="00762999" w:rsidRPr="00DC3714">
        <w:rPr>
          <w:rFonts w:ascii="Arial" w:hAnsi="Arial" w:cs="Arial"/>
        </w:rPr>
        <w:t xml:space="preserve"> </w:t>
      </w:r>
      <w:r w:rsidRPr="00DC3714">
        <w:rPr>
          <w:rFonts w:ascii="Arial" w:hAnsi="Arial" w:cs="Arial"/>
        </w:rPr>
        <w:t>Beneficios</w:t>
      </w:r>
      <w:r w:rsidR="00762999" w:rsidRPr="00DC3714">
        <w:rPr>
          <w:rFonts w:ascii="Arial" w:hAnsi="Arial" w:cs="Arial"/>
        </w:rPr>
        <w:t>:</w:t>
      </w:r>
    </w:p>
    <w:p w:rsidR="008050BA" w:rsidRPr="00DC3714" w:rsidRDefault="008050BA" w:rsidP="00B27ADF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Disminución del consumo de agua en las parcelas y por consiguiente, disminución de gastos por tarifa.</w:t>
      </w:r>
    </w:p>
    <w:p w:rsidR="008050BA" w:rsidRPr="00DC3714" w:rsidRDefault="008050BA" w:rsidP="00B27ADF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Mayor eficiencia en el uso del agua y fertilizantes, por consiguiente, obtención de mayor producción y mejor calidad de los productos; consecuentemente mayores ganancias.</w:t>
      </w:r>
    </w:p>
    <w:p w:rsidR="008050BA" w:rsidRPr="00DC3714" w:rsidRDefault="008050BA" w:rsidP="00B27ADF">
      <w:pPr>
        <w:jc w:val="both"/>
        <w:rPr>
          <w:rFonts w:ascii="Arial" w:hAnsi="Arial" w:cs="Arial"/>
        </w:rPr>
      </w:pPr>
    </w:p>
    <w:p w:rsidR="008050BA" w:rsidRPr="00DC3714" w:rsidRDefault="008050BA" w:rsidP="00B27ADF">
      <w:pPr>
        <w:jc w:val="both"/>
        <w:rPr>
          <w:rFonts w:ascii="Arial" w:hAnsi="Arial" w:cs="Arial"/>
          <w:b/>
        </w:rPr>
      </w:pPr>
      <w:r w:rsidRPr="00DC3714">
        <w:rPr>
          <w:rFonts w:ascii="Arial" w:hAnsi="Arial" w:cs="Arial"/>
          <w:b/>
        </w:rPr>
        <w:t>Maquinaria agrícola</w:t>
      </w:r>
    </w:p>
    <w:p w:rsidR="008050BA" w:rsidRPr="00DC3714" w:rsidRDefault="008050BA" w:rsidP="00B27ADF">
      <w:p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 xml:space="preserve">La inversión en fertilizadoras, sembradoras, cosechadoras en general equipos de agricultura de precisión para </w:t>
      </w:r>
      <w:r w:rsidRPr="00DC3714">
        <w:rPr>
          <w:rFonts w:ascii="Arial" w:hAnsi="Arial" w:cs="Arial"/>
          <w:lang w:eastAsia="en-US"/>
        </w:rPr>
        <w:t xml:space="preserve">la </w:t>
      </w:r>
      <w:r w:rsidRPr="00DC3714">
        <w:rPr>
          <w:rFonts w:ascii="Arial" w:hAnsi="Arial" w:cs="Arial"/>
        </w:rPr>
        <w:t>mecanización de siembra, permite:</w:t>
      </w:r>
    </w:p>
    <w:p w:rsidR="008050BA" w:rsidRPr="00DC3714" w:rsidRDefault="008050BA" w:rsidP="00B27ADF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La mejora en sus rendimientos derivado de la optimización de la densidad y profundidad de siembra y tratamiento de la semilla.</w:t>
      </w:r>
    </w:p>
    <w:p w:rsidR="008050BA" w:rsidRPr="00DC3714" w:rsidRDefault="008050BA" w:rsidP="00B27ADF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Uso óptimo de la aplicación de los insumos: semillas y fertilizantes.</w:t>
      </w:r>
    </w:p>
    <w:p w:rsidR="008050BA" w:rsidRPr="00DC3714" w:rsidRDefault="008050BA" w:rsidP="00B27ADF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Ahorro de combustible y tiempo.</w:t>
      </w:r>
    </w:p>
    <w:p w:rsidR="008050BA" w:rsidRPr="00DC3714" w:rsidRDefault="008050BA" w:rsidP="00B27ADF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Menor merma.</w:t>
      </w:r>
    </w:p>
    <w:p w:rsidR="008050BA" w:rsidRPr="00DC3714" w:rsidRDefault="008050BA" w:rsidP="00B27ADF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Rendimientos y beneficios económicos más rentables.</w:t>
      </w:r>
    </w:p>
    <w:p w:rsidR="008050BA" w:rsidRPr="00DC3714" w:rsidRDefault="008050BA" w:rsidP="00B27ADF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Optimiza el manejo del suelo agrícola.</w:t>
      </w:r>
    </w:p>
    <w:p w:rsidR="008050BA" w:rsidRPr="00DC3714" w:rsidRDefault="008050BA" w:rsidP="00B27ADF">
      <w:pPr>
        <w:jc w:val="both"/>
        <w:rPr>
          <w:rFonts w:ascii="Arial" w:hAnsi="Arial" w:cs="Arial"/>
        </w:rPr>
      </w:pPr>
    </w:p>
    <w:p w:rsidR="008050BA" w:rsidRPr="00DC3714" w:rsidRDefault="008050BA" w:rsidP="00B27ADF">
      <w:pPr>
        <w:jc w:val="both"/>
        <w:rPr>
          <w:rFonts w:ascii="Arial" w:hAnsi="Arial" w:cs="Arial"/>
          <w:b/>
        </w:rPr>
      </w:pPr>
      <w:r w:rsidRPr="00DC3714">
        <w:rPr>
          <w:rFonts w:ascii="Arial" w:hAnsi="Arial" w:cs="Arial"/>
          <w:b/>
        </w:rPr>
        <w:t>Manejo de ganado estabulado y semi-estabulado.</w:t>
      </w:r>
    </w:p>
    <w:p w:rsidR="008050BA" w:rsidRPr="00DC3714" w:rsidRDefault="008050BA" w:rsidP="00B27ADF">
      <w:p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Estabulado se refiere a mantener las cabezas de</w:t>
      </w:r>
      <w:r w:rsidR="00762999" w:rsidRPr="00DC3714">
        <w:rPr>
          <w:rFonts w:ascii="Arial" w:hAnsi="Arial" w:cs="Arial"/>
        </w:rPr>
        <w:t xml:space="preserve"> ganado en establos o potreros. S</w:t>
      </w:r>
      <w:r w:rsidRPr="00DC3714">
        <w:rPr>
          <w:rFonts w:ascii="Arial" w:hAnsi="Arial" w:cs="Arial"/>
        </w:rPr>
        <w:t xml:space="preserve">emi-estabulado </w:t>
      </w:r>
      <w:r w:rsidR="00762999" w:rsidRPr="00DC3714">
        <w:rPr>
          <w:rFonts w:ascii="Arial" w:hAnsi="Arial" w:cs="Arial"/>
        </w:rPr>
        <w:t>se refiere al establecimiento de cercas. En comparación con el sistema tradicional de pastoreo extensivo, l</w:t>
      </w:r>
      <w:r w:rsidRPr="00DC3714">
        <w:rPr>
          <w:rFonts w:ascii="Arial" w:hAnsi="Arial" w:cs="Arial"/>
        </w:rPr>
        <w:t xml:space="preserve">os sistemas de producción </w:t>
      </w:r>
      <w:r w:rsidR="00762999" w:rsidRPr="00DC3714">
        <w:rPr>
          <w:rFonts w:ascii="Arial" w:hAnsi="Arial" w:cs="Arial"/>
        </w:rPr>
        <w:t>estabulados o semi-estabulados,</w:t>
      </w:r>
      <w:r w:rsidRPr="00DC3714">
        <w:rPr>
          <w:rFonts w:ascii="Arial" w:hAnsi="Arial" w:cs="Arial"/>
        </w:rPr>
        <w:t xml:space="preserve"> permite</w:t>
      </w:r>
      <w:r w:rsidR="00762999" w:rsidRPr="00DC3714">
        <w:rPr>
          <w:rFonts w:ascii="Arial" w:hAnsi="Arial" w:cs="Arial"/>
        </w:rPr>
        <w:t>n</w:t>
      </w:r>
      <w:r w:rsidRPr="00DC3714">
        <w:rPr>
          <w:rFonts w:ascii="Arial" w:hAnsi="Arial" w:cs="Arial"/>
        </w:rPr>
        <w:t>:</w:t>
      </w:r>
    </w:p>
    <w:p w:rsidR="008050BA" w:rsidRPr="00DC3714" w:rsidRDefault="008050BA" w:rsidP="00B27ADF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Elevar la tasa de conversión alimento carne.</w:t>
      </w:r>
    </w:p>
    <w:p w:rsidR="008050BA" w:rsidRPr="00DC3714" w:rsidRDefault="008050BA" w:rsidP="00B27ADF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Mayor rendimiento en número de animales por hectárea (alta capacidad de carga: 6 o 7 unidades animal</w:t>
      </w:r>
      <w:r w:rsidRPr="00DC3714">
        <w:rPr>
          <w:rStyle w:val="FootnoteReference"/>
          <w:rFonts w:ascii="Arial" w:hAnsi="Arial" w:cs="Arial"/>
        </w:rPr>
        <w:footnoteReference w:id="2"/>
      </w:r>
      <w:r w:rsidRPr="00DC3714">
        <w:rPr>
          <w:rFonts w:ascii="Arial" w:hAnsi="Arial" w:cs="Arial"/>
        </w:rPr>
        <w:t xml:space="preserve"> por hectárea sembrada, contra hasta 1 unidad animal del sistema extensivo de pastoreo por hectárea).</w:t>
      </w:r>
    </w:p>
    <w:p w:rsidR="008050BA" w:rsidRPr="00DC3714" w:rsidRDefault="008050BA" w:rsidP="00B27ADF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Mayor producción y mejor calidad de la carne en el menor tiempo posible</w:t>
      </w:r>
    </w:p>
    <w:p w:rsidR="008050BA" w:rsidRPr="00DC3714" w:rsidRDefault="008050BA" w:rsidP="00B27ADF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Minimiza el daño en la tierra por la compactación del suelo por sobrepastoreo (menor impacto ambiental).</w:t>
      </w:r>
    </w:p>
    <w:p w:rsidR="008050BA" w:rsidRPr="00DC3714" w:rsidRDefault="008050BA" w:rsidP="00B27ADF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Permite control y trazabilidad mayor (calidad).</w:t>
      </w:r>
    </w:p>
    <w:p w:rsidR="008050BA" w:rsidRPr="00DC3714" w:rsidRDefault="008050BA" w:rsidP="00B27ADF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Uso óptimo de la tierra.</w:t>
      </w:r>
    </w:p>
    <w:p w:rsidR="008050BA" w:rsidRPr="00DC3714" w:rsidRDefault="008050BA" w:rsidP="00B27ADF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DC3714">
        <w:rPr>
          <w:rFonts w:ascii="Arial" w:hAnsi="Arial" w:cs="Arial"/>
        </w:rPr>
        <w:t>Uso óptimo de los insumos, haciendo más eficiente la etapa de engorde del animal.</w:t>
      </w:r>
    </w:p>
    <w:p w:rsidR="008050BA" w:rsidRPr="00DC3714" w:rsidRDefault="008050BA" w:rsidP="00B27ADF">
      <w:pPr>
        <w:jc w:val="both"/>
        <w:rPr>
          <w:rFonts w:ascii="Arial" w:hAnsi="Arial" w:cs="Arial"/>
        </w:rPr>
      </w:pPr>
    </w:p>
    <w:p w:rsidR="004A141A" w:rsidRPr="00DC3714" w:rsidRDefault="004A141A">
      <w:pPr>
        <w:rPr>
          <w:rFonts w:ascii="Arial" w:hAnsi="Arial" w:cs="Arial"/>
        </w:rPr>
      </w:pPr>
      <w:bookmarkStart w:id="0" w:name="_GoBack"/>
      <w:bookmarkEnd w:id="0"/>
    </w:p>
    <w:sectPr w:rsidR="004A141A" w:rsidRPr="00DC3714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0BA" w:rsidRDefault="008050BA" w:rsidP="008050BA">
      <w:r>
        <w:separator/>
      </w:r>
    </w:p>
  </w:endnote>
  <w:endnote w:type="continuationSeparator" w:id="0">
    <w:p w:rsidR="008050BA" w:rsidRDefault="008050BA" w:rsidP="0080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120229"/>
      <w:docPartObj>
        <w:docPartGallery w:val="Page Numbers (Bottom of Page)"/>
        <w:docPartUnique/>
      </w:docPartObj>
    </w:sdtPr>
    <w:sdtEndPr/>
    <w:sdtContent>
      <w:p w:rsidR="00C735E4" w:rsidRDefault="00B27AD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714" w:rsidRPr="00DC3714">
          <w:rPr>
            <w:noProof/>
            <w:lang w:val="es-ES"/>
          </w:rPr>
          <w:t>3</w:t>
        </w:r>
        <w:r>
          <w:fldChar w:fldCharType="end"/>
        </w:r>
      </w:p>
    </w:sdtContent>
  </w:sdt>
  <w:p w:rsidR="00C735E4" w:rsidRDefault="00DC37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0BA" w:rsidRDefault="008050BA" w:rsidP="008050BA">
      <w:r>
        <w:separator/>
      </w:r>
    </w:p>
  </w:footnote>
  <w:footnote w:type="continuationSeparator" w:id="0">
    <w:p w:rsidR="008050BA" w:rsidRDefault="008050BA" w:rsidP="008050BA">
      <w:r>
        <w:continuationSeparator/>
      </w:r>
    </w:p>
  </w:footnote>
  <w:footnote w:id="1">
    <w:p w:rsidR="00B76A3F" w:rsidRPr="00DC3714" w:rsidRDefault="00B76A3F" w:rsidP="00B76A3F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DC3714">
        <w:rPr>
          <w:rStyle w:val="FootnoteReference"/>
          <w:rFonts w:ascii="Arial" w:hAnsi="Arial" w:cs="Arial"/>
          <w:sz w:val="18"/>
          <w:szCs w:val="18"/>
        </w:rPr>
        <w:footnoteRef/>
      </w:r>
      <w:r w:rsidRPr="00DC3714">
        <w:rPr>
          <w:rFonts w:ascii="Arial" w:hAnsi="Arial" w:cs="Arial"/>
          <w:sz w:val="18"/>
          <w:szCs w:val="18"/>
        </w:rPr>
        <w:t xml:space="preserve"> Fuente</w:t>
      </w:r>
      <w:r w:rsidRPr="00DC3714">
        <w:rPr>
          <w:rFonts w:ascii="Arial" w:hAnsi="Arial" w:cs="Arial"/>
          <w:sz w:val="18"/>
          <w:szCs w:val="18"/>
          <w:lang w:val="es-ES_tradnl"/>
        </w:rPr>
        <w:t xml:space="preserve">: Financiera Nacional de Desarrollo Agropecuario, Rural, Forestal y Pesquero </w:t>
      </w:r>
    </w:p>
  </w:footnote>
  <w:footnote w:id="2">
    <w:p w:rsidR="008050BA" w:rsidRPr="00DC3714" w:rsidRDefault="008050BA" w:rsidP="008050BA">
      <w:pPr>
        <w:pStyle w:val="FootnoteText"/>
        <w:rPr>
          <w:rFonts w:ascii="Arial" w:hAnsi="Arial" w:cs="Arial"/>
          <w:sz w:val="18"/>
          <w:szCs w:val="18"/>
        </w:rPr>
      </w:pPr>
      <w:r w:rsidRPr="00DC3714">
        <w:rPr>
          <w:rStyle w:val="FootnoteReference"/>
          <w:rFonts w:ascii="Arial" w:hAnsi="Arial" w:cs="Arial"/>
          <w:sz w:val="18"/>
          <w:szCs w:val="18"/>
        </w:rPr>
        <w:footnoteRef/>
      </w:r>
      <w:r w:rsidRPr="00DC3714">
        <w:rPr>
          <w:rFonts w:ascii="Arial" w:hAnsi="Arial" w:cs="Arial"/>
          <w:sz w:val="18"/>
          <w:szCs w:val="18"/>
        </w:rPr>
        <w:t xml:space="preserve"> </w:t>
      </w:r>
      <w:r w:rsidRPr="00DC3714">
        <w:rPr>
          <w:rFonts w:ascii="Arial" w:hAnsi="Arial" w:cs="Arial"/>
          <w:i/>
          <w:sz w:val="18"/>
          <w:szCs w:val="18"/>
        </w:rPr>
        <w:t>Unidad Animal</w:t>
      </w:r>
      <w:r w:rsidRPr="00DC3714">
        <w:rPr>
          <w:rFonts w:ascii="Arial" w:hAnsi="Arial" w:cs="Arial"/>
          <w:sz w:val="18"/>
          <w:szCs w:val="18"/>
        </w:rPr>
        <w:t xml:space="preserve"> equivale a vaca con becerro antes del destete.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15A4D"/>
    <w:multiLevelType w:val="hybridMultilevel"/>
    <w:tmpl w:val="EB5A6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107A0"/>
    <w:multiLevelType w:val="hybridMultilevel"/>
    <w:tmpl w:val="72E8BF86"/>
    <w:lvl w:ilvl="0" w:tplc="0409000F">
      <w:start w:val="1"/>
      <w:numFmt w:val="decimal"/>
      <w:lvlText w:val="%1."/>
      <w:lvlJc w:val="left"/>
      <w:pPr>
        <w:ind w:left="1482" w:hanging="360"/>
      </w:pPr>
    </w:lvl>
    <w:lvl w:ilvl="1" w:tplc="080A0019" w:tentative="1">
      <w:start w:val="1"/>
      <w:numFmt w:val="lowerLetter"/>
      <w:lvlText w:val="%2."/>
      <w:lvlJc w:val="left"/>
      <w:pPr>
        <w:ind w:left="2202" w:hanging="360"/>
      </w:pPr>
    </w:lvl>
    <w:lvl w:ilvl="2" w:tplc="080A001B" w:tentative="1">
      <w:start w:val="1"/>
      <w:numFmt w:val="lowerRoman"/>
      <w:lvlText w:val="%3."/>
      <w:lvlJc w:val="right"/>
      <w:pPr>
        <w:ind w:left="2922" w:hanging="180"/>
      </w:pPr>
    </w:lvl>
    <w:lvl w:ilvl="3" w:tplc="080A000F" w:tentative="1">
      <w:start w:val="1"/>
      <w:numFmt w:val="decimal"/>
      <w:lvlText w:val="%4."/>
      <w:lvlJc w:val="left"/>
      <w:pPr>
        <w:ind w:left="3642" w:hanging="360"/>
      </w:pPr>
    </w:lvl>
    <w:lvl w:ilvl="4" w:tplc="080A0019" w:tentative="1">
      <w:start w:val="1"/>
      <w:numFmt w:val="lowerLetter"/>
      <w:lvlText w:val="%5."/>
      <w:lvlJc w:val="left"/>
      <w:pPr>
        <w:ind w:left="4362" w:hanging="360"/>
      </w:pPr>
    </w:lvl>
    <w:lvl w:ilvl="5" w:tplc="080A001B" w:tentative="1">
      <w:start w:val="1"/>
      <w:numFmt w:val="lowerRoman"/>
      <w:lvlText w:val="%6."/>
      <w:lvlJc w:val="right"/>
      <w:pPr>
        <w:ind w:left="5082" w:hanging="180"/>
      </w:pPr>
    </w:lvl>
    <w:lvl w:ilvl="6" w:tplc="080A000F" w:tentative="1">
      <w:start w:val="1"/>
      <w:numFmt w:val="decimal"/>
      <w:lvlText w:val="%7."/>
      <w:lvlJc w:val="left"/>
      <w:pPr>
        <w:ind w:left="5802" w:hanging="360"/>
      </w:pPr>
    </w:lvl>
    <w:lvl w:ilvl="7" w:tplc="080A0019" w:tentative="1">
      <w:start w:val="1"/>
      <w:numFmt w:val="lowerLetter"/>
      <w:lvlText w:val="%8."/>
      <w:lvlJc w:val="left"/>
      <w:pPr>
        <w:ind w:left="6522" w:hanging="360"/>
      </w:pPr>
    </w:lvl>
    <w:lvl w:ilvl="8" w:tplc="080A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">
    <w:nsid w:val="16BA018D"/>
    <w:multiLevelType w:val="multilevel"/>
    <w:tmpl w:val="3AECE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E42C56"/>
    <w:multiLevelType w:val="hybridMultilevel"/>
    <w:tmpl w:val="2E666210"/>
    <w:lvl w:ilvl="0" w:tplc="98BAB0A4">
      <w:numFmt w:val="bullet"/>
      <w:lvlText w:val="•"/>
      <w:lvlJc w:val="left"/>
      <w:pPr>
        <w:ind w:left="1080" w:hanging="360"/>
      </w:pPr>
      <w:rPr>
        <w:rFonts w:ascii="Arial" w:eastAsia="MS Mincho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C57084"/>
    <w:multiLevelType w:val="hybridMultilevel"/>
    <w:tmpl w:val="DC182A50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76300FC"/>
    <w:multiLevelType w:val="hybridMultilevel"/>
    <w:tmpl w:val="B270272A"/>
    <w:lvl w:ilvl="0" w:tplc="960011F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2C48B1"/>
    <w:multiLevelType w:val="hybridMultilevel"/>
    <w:tmpl w:val="FB28B13C"/>
    <w:lvl w:ilvl="0" w:tplc="98BAB0A4">
      <w:numFmt w:val="bullet"/>
      <w:lvlText w:val="•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52E9F"/>
    <w:multiLevelType w:val="hybridMultilevel"/>
    <w:tmpl w:val="794255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BA"/>
    <w:rsid w:val="000B2786"/>
    <w:rsid w:val="000B3317"/>
    <w:rsid w:val="00137100"/>
    <w:rsid w:val="00242313"/>
    <w:rsid w:val="002A0FAE"/>
    <w:rsid w:val="00321725"/>
    <w:rsid w:val="0037693A"/>
    <w:rsid w:val="00390A6F"/>
    <w:rsid w:val="0041441E"/>
    <w:rsid w:val="004A141A"/>
    <w:rsid w:val="004C4CDA"/>
    <w:rsid w:val="004C6034"/>
    <w:rsid w:val="005C572D"/>
    <w:rsid w:val="006D38E6"/>
    <w:rsid w:val="00754EC8"/>
    <w:rsid w:val="00762999"/>
    <w:rsid w:val="008050BA"/>
    <w:rsid w:val="00871E7B"/>
    <w:rsid w:val="008B666C"/>
    <w:rsid w:val="00A75E90"/>
    <w:rsid w:val="00B27ADF"/>
    <w:rsid w:val="00B76A3F"/>
    <w:rsid w:val="00BD350E"/>
    <w:rsid w:val="00C3479D"/>
    <w:rsid w:val="00C9664B"/>
    <w:rsid w:val="00CE230F"/>
    <w:rsid w:val="00CF7EA3"/>
    <w:rsid w:val="00D35357"/>
    <w:rsid w:val="00DC3714"/>
    <w:rsid w:val="00EE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0BA"/>
    <w:pPr>
      <w:spacing w:after="0" w:line="240" w:lineRule="auto"/>
    </w:pPr>
    <w:rPr>
      <w:rFonts w:ascii="Calibri" w:hAnsi="Calibri" w:cs="Times New Roman"/>
      <w:lang w:val="es-MX"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0BA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8050B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0BA"/>
    <w:rPr>
      <w:rFonts w:ascii="Calibri" w:hAnsi="Calibri" w:cs="Times New Roman"/>
      <w:lang w:val="es-MX" w:eastAsia="es-MX"/>
    </w:rPr>
  </w:style>
  <w:style w:type="table" w:styleId="TableGrid">
    <w:name w:val="Table Grid"/>
    <w:basedOn w:val="TableNormal"/>
    <w:uiPriority w:val="59"/>
    <w:rsid w:val="008050BA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050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50BA"/>
    <w:rPr>
      <w:rFonts w:ascii="Calibri" w:hAnsi="Calibri" w:cs="Times New Roman"/>
      <w:sz w:val="20"/>
      <w:szCs w:val="20"/>
      <w:lang w:val="es-MX" w:eastAsia="es-MX"/>
    </w:rPr>
  </w:style>
  <w:style w:type="character" w:styleId="FootnoteReference">
    <w:name w:val="footnote reference"/>
    <w:basedOn w:val="DefaultParagraphFont"/>
    <w:uiPriority w:val="99"/>
    <w:semiHidden/>
    <w:unhideWhenUsed/>
    <w:rsid w:val="008050B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050BA"/>
    <w:rPr>
      <w:rFonts w:ascii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0BA"/>
    <w:pPr>
      <w:spacing w:after="0" w:line="240" w:lineRule="auto"/>
    </w:pPr>
    <w:rPr>
      <w:rFonts w:ascii="Calibri" w:hAnsi="Calibri" w:cs="Times New Roman"/>
      <w:lang w:val="es-MX"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0BA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8050B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0BA"/>
    <w:rPr>
      <w:rFonts w:ascii="Calibri" w:hAnsi="Calibri" w:cs="Times New Roman"/>
      <w:lang w:val="es-MX" w:eastAsia="es-MX"/>
    </w:rPr>
  </w:style>
  <w:style w:type="table" w:styleId="TableGrid">
    <w:name w:val="Table Grid"/>
    <w:basedOn w:val="TableNormal"/>
    <w:uiPriority w:val="59"/>
    <w:rsid w:val="008050BA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050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50BA"/>
    <w:rPr>
      <w:rFonts w:ascii="Calibri" w:hAnsi="Calibri" w:cs="Times New Roman"/>
      <w:sz w:val="20"/>
      <w:szCs w:val="20"/>
      <w:lang w:val="es-MX" w:eastAsia="es-MX"/>
    </w:rPr>
  </w:style>
  <w:style w:type="character" w:styleId="FootnoteReference">
    <w:name w:val="footnote reference"/>
    <w:basedOn w:val="DefaultParagraphFont"/>
    <w:uiPriority w:val="99"/>
    <w:semiHidden/>
    <w:unhideWhenUsed/>
    <w:rsid w:val="008050B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050BA"/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39606707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IFD/CMF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De Olloqui, Fernando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ME-L1170,ME-X1024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AG-ADR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7BCAA1AFFF70B4E9C5A2CDA0692B174" ma:contentTypeVersion="0" ma:contentTypeDescription="A content type to manage public (operations) IDB documents" ma:contentTypeScope="" ma:versionID="e4ff969d90dbe8c5aa2b699cb079181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37e258fd1c47562c185210fabf64e0e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2618b90-8453-43f4-a49f-7089672a37f2}" ma:internalName="TaxCatchAll" ma:showField="CatchAllData" ma:web="bb0255e7-ee8b-46cf-8bf3-bae2cce8d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2618b90-8453-43f4-a49f-7089672a37f2}" ma:internalName="TaxCatchAllLabel" ma:readOnly="true" ma:showField="CatchAllDataLabel" ma:web="bb0255e7-ee8b-46cf-8bf3-bae2cce8d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EF366701-31BD-49ED-8274-02B307E09835}"/>
</file>

<file path=customXml/itemProps2.xml><?xml version="1.0" encoding="utf-8"?>
<ds:datastoreItem xmlns:ds="http://schemas.openxmlformats.org/officeDocument/2006/customXml" ds:itemID="{E4856150-5AFB-49AC-BA80-E1EC82D500D3}"/>
</file>

<file path=customXml/itemProps3.xml><?xml version="1.0" encoding="utf-8"?>
<ds:datastoreItem xmlns:ds="http://schemas.openxmlformats.org/officeDocument/2006/customXml" ds:itemID="{883EF2CD-5FD0-4EEB-B57D-6C165725A404}"/>
</file>

<file path=customXml/itemProps4.xml><?xml version="1.0" encoding="utf-8"?>
<ds:datastoreItem xmlns:ds="http://schemas.openxmlformats.org/officeDocument/2006/customXml" ds:itemID="{2B0E2031-BFAB-494F-898B-B844E45774D3}"/>
</file>

<file path=customXml/itemProps5.xml><?xml version="1.0" encoding="utf-8"?>
<ds:datastoreItem xmlns:ds="http://schemas.openxmlformats.org/officeDocument/2006/customXml" ds:itemID="{56E93AD8-6C30-49A9-920B-D0615B2ABB9A}"/>
</file>

<file path=customXml/itemProps6.xml><?xml version="1.0" encoding="utf-8"?>
<ds:datastoreItem xmlns:ds="http://schemas.openxmlformats.org/officeDocument/2006/customXml" ds:itemID="{552C0D7F-E726-457E-B039-AB2D346AEC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Descripción de Proyectos</dc:title>
  <dc:creator>AC</dc:creator>
  <cp:lastModifiedBy>Annabella Gaggero</cp:lastModifiedBy>
  <cp:revision>5</cp:revision>
  <dcterms:created xsi:type="dcterms:W3CDTF">2015-04-30T18:50:00Z</dcterms:created>
  <dcterms:modified xsi:type="dcterms:W3CDTF">2015-06-24T19:13:00Z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0x01010046CF21643EE8D14686A648AA6DAD089200D7BCAA1AFFF70B4E9C5A2CDA0692B174</vt:lpwstr>
  </property>
  <property fmtid="{D5CDD505-2E9C-101B-9397-08002B2CF9AE}" pid="3" name="TaxKeyword">
    <vt:lpwstr/>
  </property>
  <property fmtid="{D5CDD505-2E9C-101B-9397-08002B2CF9AE}" pid="4" name="Function Operations IDB">
    <vt:lpwstr>8;#IDBDocs|cca77002-e150-4b2d-ab1f-1d7a7cdcae16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