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841EE4" w14:textId="77777777" w:rsidR="0038596D" w:rsidRPr="003D364A" w:rsidRDefault="0038596D" w:rsidP="00D6428F">
      <w:pPr>
        <w:spacing w:after="0"/>
        <w:jc w:val="center"/>
        <w:rPr>
          <w:rFonts w:ascii="Arial" w:hAnsi="Arial" w:cs="Arial"/>
          <w:b/>
          <w:lang w:val="es-ES_tradnl"/>
        </w:rPr>
      </w:pPr>
      <w:r w:rsidRPr="003D364A">
        <w:rPr>
          <w:rFonts w:ascii="Arial" w:hAnsi="Arial" w:cs="Arial"/>
          <w:b/>
          <w:lang w:val="es-ES_tradnl"/>
        </w:rPr>
        <w:t>PROGRAMA DE ACOMPAÑAMIENTO A LAS REFORMAS PARA INCREMENTAR LA PRODUCTIVIDAD EN EL PERÚ</w:t>
      </w:r>
    </w:p>
    <w:p w14:paraId="2DFC33E8" w14:textId="6A7DC79D" w:rsidR="00992CCD" w:rsidRDefault="009F6F62" w:rsidP="00D6428F">
      <w:pPr>
        <w:spacing w:after="0"/>
        <w:jc w:val="center"/>
        <w:rPr>
          <w:rFonts w:ascii="Arial" w:hAnsi="Arial"/>
          <w:b/>
          <w:lang w:val="es-ES_tradnl"/>
        </w:rPr>
      </w:pPr>
      <w:r w:rsidRPr="006021BF">
        <w:rPr>
          <w:rFonts w:ascii="Arial" w:hAnsi="Arial"/>
          <w:b/>
          <w:lang w:val="es-ES_tradnl"/>
        </w:rPr>
        <w:t xml:space="preserve">MATRIZ DE </w:t>
      </w:r>
      <w:r w:rsidR="000975B6" w:rsidRPr="006021BF">
        <w:rPr>
          <w:rFonts w:ascii="Arial" w:hAnsi="Arial"/>
          <w:b/>
          <w:lang w:val="es-ES_tradnl"/>
        </w:rPr>
        <w:t>MEDIOS DE VERIFICACIÓN</w:t>
      </w:r>
    </w:p>
    <w:p w14:paraId="08AE15FB" w14:textId="561028F5" w:rsidR="009F6F62" w:rsidRPr="006021BF" w:rsidRDefault="009F6F62" w:rsidP="009F6F62">
      <w:pPr>
        <w:spacing w:after="120"/>
        <w:jc w:val="center"/>
        <w:rPr>
          <w:rFonts w:ascii="Arial" w:hAnsi="Arial"/>
          <w:b/>
          <w:lang w:val="es-ES_tradnl"/>
        </w:rPr>
      </w:pPr>
      <w:r w:rsidRPr="006021BF">
        <w:rPr>
          <w:rFonts w:ascii="Arial" w:hAnsi="Arial"/>
          <w:b/>
          <w:lang w:val="es-ES_tradnl"/>
        </w:rPr>
        <w:t xml:space="preserve"> </w:t>
      </w:r>
    </w:p>
    <w:tbl>
      <w:tblPr>
        <w:tblStyle w:val="TableGrid"/>
        <w:tblW w:w="14211" w:type="dxa"/>
        <w:tblInd w:w="-176" w:type="dxa"/>
        <w:tblLook w:val="04A0" w:firstRow="1" w:lastRow="0" w:firstColumn="1" w:lastColumn="0" w:noHBand="0" w:noVBand="1"/>
      </w:tblPr>
      <w:tblGrid>
        <w:gridCol w:w="2643"/>
        <w:gridCol w:w="4815"/>
        <w:gridCol w:w="3371"/>
        <w:gridCol w:w="1769"/>
        <w:gridCol w:w="1613"/>
      </w:tblGrid>
      <w:tr w:rsidR="00D26A5C" w:rsidRPr="00931FBF" w14:paraId="74F334A9" w14:textId="77777777" w:rsidTr="00992CCD">
        <w:trPr>
          <w:trHeight w:val="438"/>
          <w:tblHeader/>
        </w:trPr>
        <w:tc>
          <w:tcPr>
            <w:tcW w:w="2691" w:type="dxa"/>
            <w:shd w:val="clear" w:color="auto" w:fill="DBE5F1" w:themeFill="accent1" w:themeFillTint="33"/>
            <w:vAlign w:val="center"/>
          </w:tcPr>
          <w:p w14:paraId="08AF7F42" w14:textId="77777777" w:rsidR="001C2617" w:rsidRPr="006021BF" w:rsidRDefault="001C2617" w:rsidP="00C17762">
            <w:pPr>
              <w:spacing w:before="60" w:after="60"/>
              <w:jc w:val="center"/>
              <w:rPr>
                <w:rFonts w:ascii="Arial" w:hAnsi="Arial"/>
                <w:b/>
                <w:sz w:val="20"/>
                <w:lang w:val="es-ES_tradnl"/>
              </w:rPr>
            </w:pPr>
            <w:r w:rsidRPr="006021BF">
              <w:rPr>
                <w:rFonts w:ascii="Arial" w:hAnsi="Arial"/>
                <w:b/>
                <w:sz w:val="20"/>
                <w:lang w:val="es-ES_tradnl"/>
              </w:rPr>
              <w:t>Objetivo de Política</w:t>
            </w:r>
          </w:p>
        </w:tc>
        <w:tc>
          <w:tcPr>
            <w:tcW w:w="4950" w:type="dxa"/>
            <w:shd w:val="clear" w:color="auto" w:fill="DBE5F1" w:themeFill="accent1" w:themeFillTint="33"/>
            <w:vAlign w:val="center"/>
          </w:tcPr>
          <w:p w14:paraId="4FB1CB63" w14:textId="77777777" w:rsidR="001C2617" w:rsidRPr="006021BF" w:rsidRDefault="001C2617" w:rsidP="00C17762">
            <w:pPr>
              <w:spacing w:before="60" w:after="60"/>
              <w:jc w:val="center"/>
              <w:rPr>
                <w:rFonts w:ascii="Arial" w:hAnsi="Arial"/>
                <w:b/>
                <w:sz w:val="20"/>
                <w:lang w:val="es-ES_tradnl"/>
              </w:rPr>
            </w:pPr>
            <w:r w:rsidRPr="006021BF">
              <w:rPr>
                <w:rFonts w:ascii="Arial" w:hAnsi="Arial"/>
                <w:b/>
                <w:sz w:val="20"/>
                <w:lang w:val="es-ES_tradnl"/>
              </w:rPr>
              <w:t>Compromisos de Política I</w:t>
            </w:r>
          </w:p>
        </w:tc>
        <w:tc>
          <w:tcPr>
            <w:tcW w:w="3150" w:type="dxa"/>
            <w:shd w:val="clear" w:color="auto" w:fill="DBE5F1" w:themeFill="accent1" w:themeFillTint="33"/>
            <w:vAlign w:val="center"/>
          </w:tcPr>
          <w:p w14:paraId="72D46895" w14:textId="77777777" w:rsidR="001C2617" w:rsidRPr="006021BF" w:rsidRDefault="001C2617" w:rsidP="00C17762">
            <w:pPr>
              <w:spacing w:before="60" w:after="60"/>
              <w:jc w:val="center"/>
              <w:rPr>
                <w:rFonts w:ascii="Arial" w:hAnsi="Arial"/>
                <w:b/>
                <w:sz w:val="20"/>
                <w:lang w:val="es-ES_tradnl"/>
              </w:rPr>
            </w:pPr>
            <w:r w:rsidRPr="006021BF">
              <w:rPr>
                <w:rFonts w:ascii="Arial" w:hAnsi="Arial"/>
                <w:b/>
                <w:sz w:val="20"/>
                <w:lang w:val="es-ES_tradnl"/>
              </w:rPr>
              <w:t xml:space="preserve">Medios de Verificación </w:t>
            </w:r>
          </w:p>
        </w:tc>
        <w:tc>
          <w:tcPr>
            <w:tcW w:w="1800" w:type="dxa"/>
            <w:shd w:val="clear" w:color="auto" w:fill="DBE5F1" w:themeFill="accent1" w:themeFillTint="33"/>
          </w:tcPr>
          <w:p w14:paraId="59BD113E" w14:textId="765FB889" w:rsidR="001C2617" w:rsidRPr="006021BF" w:rsidRDefault="001C2617" w:rsidP="00C17762">
            <w:pPr>
              <w:spacing w:before="60" w:after="60"/>
              <w:jc w:val="center"/>
              <w:rPr>
                <w:rFonts w:ascii="Arial" w:hAnsi="Arial"/>
                <w:b/>
                <w:sz w:val="20"/>
                <w:lang w:val="es-ES_tradnl"/>
              </w:rPr>
            </w:pPr>
            <w:r w:rsidRPr="006021BF">
              <w:rPr>
                <w:rFonts w:ascii="Arial" w:hAnsi="Arial"/>
                <w:b/>
                <w:sz w:val="20"/>
                <w:lang w:val="es-ES_tradnl"/>
              </w:rPr>
              <w:t>Estado</w:t>
            </w:r>
            <w:r w:rsidR="00134D9F" w:rsidRPr="00DD0FAA">
              <w:rPr>
                <w:rStyle w:val="FootnoteReference"/>
                <w:rFonts w:ascii="Arial" w:hAnsi="Arial" w:cs="Arial"/>
                <w:b/>
                <w:sz w:val="20"/>
                <w:szCs w:val="20"/>
                <w:lang w:val="es-ES_tradnl"/>
              </w:rPr>
              <w:footnoteReference w:id="2"/>
            </w:r>
          </w:p>
        </w:tc>
        <w:tc>
          <w:tcPr>
            <w:tcW w:w="1620" w:type="dxa"/>
            <w:shd w:val="clear" w:color="auto" w:fill="DBE5F1" w:themeFill="accent1" w:themeFillTint="33"/>
          </w:tcPr>
          <w:p w14:paraId="454B4DC4" w14:textId="77777777" w:rsidR="001C2617" w:rsidRPr="006021BF" w:rsidRDefault="001C2617" w:rsidP="00C17762">
            <w:pPr>
              <w:spacing w:before="60" w:after="60"/>
              <w:jc w:val="center"/>
              <w:rPr>
                <w:rFonts w:ascii="Arial" w:hAnsi="Arial"/>
                <w:b/>
                <w:sz w:val="20"/>
                <w:lang w:val="es-ES_tradnl"/>
              </w:rPr>
            </w:pPr>
            <w:r w:rsidRPr="006021BF">
              <w:rPr>
                <w:rFonts w:ascii="Arial" w:hAnsi="Arial"/>
                <w:b/>
                <w:sz w:val="20"/>
                <w:lang w:val="es-ES_tradnl"/>
              </w:rPr>
              <w:t>Entidad Responsable</w:t>
            </w:r>
          </w:p>
        </w:tc>
      </w:tr>
      <w:tr w:rsidR="00442EC7" w:rsidRPr="009F6F62" w14:paraId="4593ED1E" w14:textId="77777777" w:rsidTr="003260CD">
        <w:tc>
          <w:tcPr>
            <w:tcW w:w="14211" w:type="dxa"/>
            <w:gridSpan w:val="5"/>
          </w:tcPr>
          <w:p w14:paraId="4AD4176F" w14:textId="77777777" w:rsidR="00442EC7" w:rsidRPr="00A94B16" w:rsidRDefault="00442EC7" w:rsidP="006021BF">
            <w:pPr>
              <w:spacing w:before="60" w:after="60"/>
              <w:rPr>
                <w:rFonts w:ascii="Arial" w:hAnsi="Arial" w:cs="Arial"/>
                <w:b/>
                <w:sz w:val="20"/>
                <w:szCs w:val="20"/>
                <w:lang w:val="es-ES_tradnl"/>
              </w:rPr>
            </w:pPr>
            <w:r w:rsidRPr="006021BF">
              <w:rPr>
                <w:rFonts w:ascii="Arial" w:hAnsi="Arial"/>
                <w:b/>
                <w:sz w:val="20"/>
                <w:lang w:val="es-ES_tradnl"/>
              </w:rPr>
              <w:t>Componente I – Estabilidad Macroeconómica</w:t>
            </w:r>
          </w:p>
        </w:tc>
      </w:tr>
      <w:tr w:rsidR="00442EC7" w:rsidRPr="00390238" w14:paraId="3819A391" w14:textId="77777777" w:rsidTr="00992CCD">
        <w:trPr>
          <w:trHeight w:val="696"/>
        </w:trPr>
        <w:tc>
          <w:tcPr>
            <w:tcW w:w="2691" w:type="dxa"/>
          </w:tcPr>
          <w:p w14:paraId="7302D31D" w14:textId="51374C31" w:rsidR="001C2617" w:rsidRPr="009E4DF0" w:rsidRDefault="001C2617" w:rsidP="006021BF">
            <w:pPr>
              <w:jc w:val="both"/>
              <w:rPr>
                <w:rFonts w:ascii="Arial" w:hAnsi="Arial" w:cs="Arial"/>
                <w:sz w:val="20"/>
                <w:szCs w:val="20"/>
                <w:lang w:val="es-ES_tradnl"/>
              </w:rPr>
            </w:pPr>
            <w:r w:rsidRPr="009E4DF0">
              <w:rPr>
                <w:rFonts w:ascii="Arial" w:hAnsi="Arial" w:cs="Arial"/>
                <w:sz w:val="20"/>
                <w:szCs w:val="20"/>
                <w:lang w:val="es-ES_tradnl"/>
              </w:rPr>
              <w:t>1. Mantener el entorno macro- económico conducente a la sostenibilidad fiscal</w:t>
            </w:r>
          </w:p>
        </w:tc>
        <w:tc>
          <w:tcPr>
            <w:tcW w:w="4950" w:type="dxa"/>
          </w:tcPr>
          <w:p w14:paraId="4E69F818" w14:textId="669A258D" w:rsidR="001C2617" w:rsidRPr="009E4DF0" w:rsidRDefault="001C2617" w:rsidP="006021BF">
            <w:pPr>
              <w:ind w:left="-4"/>
              <w:jc w:val="both"/>
              <w:rPr>
                <w:rFonts w:ascii="Arial" w:hAnsi="Arial" w:cs="Arial"/>
                <w:sz w:val="20"/>
                <w:szCs w:val="20"/>
                <w:lang w:val="es-ES_tradnl"/>
              </w:rPr>
            </w:pPr>
            <w:r w:rsidRPr="009E4DF0">
              <w:rPr>
                <w:rFonts w:ascii="Arial" w:hAnsi="Arial" w:cs="Arial"/>
                <w:sz w:val="20"/>
                <w:szCs w:val="20"/>
                <w:lang w:val="es-ES_tradnl"/>
              </w:rPr>
              <w:t xml:space="preserve">1.1 </w:t>
            </w:r>
            <w:r w:rsidR="0007457D">
              <w:rPr>
                <w:rFonts w:ascii="Arial" w:hAnsi="Arial" w:cs="Arial"/>
                <w:sz w:val="20"/>
                <w:szCs w:val="20"/>
                <w:lang w:val="es-ES_tradnl"/>
              </w:rPr>
              <w:t>Promover</w:t>
            </w:r>
            <w:r w:rsidR="0007457D" w:rsidRPr="009E4DF0">
              <w:rPr>
                <w:rFonts w:ascii="Arial" w:hAnsi="Arial" w:cs="Arial"/>
                <w:sz w:val="20"/>
                <w:szCs w:val="20"/>
                <w:lang w:val="es-ES_tradnl"/>
              </w:rPr>
              <w:t xml:space="preserve"> </w:t>
            </w:r>
            <w:r w:rsidRPr="009E4DF0">
              <w:rPr>
                <w:rFonts w:ascii="Arial" w:hAnsi="Arial" w:cs="Arial"/>
                <w:sz w:val="20"/>
                <w:szCs w:val="20"/>
                <w:lang w:val="es-ES_tradnl"/>
              </w:rPr>
              <w:t>un contexto macroeconómico congruente con los objetivos del programa</w:t>
            </w:r>
            <w:r w:rsidR="0007457D">
              <w:rPr>
                <w:rFonts w:ascii="Arial" w:hAnsi="Arial" w:cs="Arial"/>
                <w:sz w:val="20"/>
                <w:szCs w:val="20"/>
                <w:lang w:val="es-ES_tradnl"/>
              </w:rPr>
              <w:t>, según lo establecido en la matriz de políticas</w:t>
            </w:r>
            <w:r w:rsidRPr="009E4DF0">
              <w:rPr>
                <w:rFonts w:ascii="Arial" w:hAnsi="Arial" w:cs="Arial"/>
                <w:sz w:val="20"/>
                <w:szCs w:val="20"/>
                <w:lang w:val="es-ES_tradnl"/>
              </w:rPr>
              <w:t>.</w:t>
            </w:r>
          </w:p>
        </w:tc>
        <w:tc>
          <w:tcPr>
            <w:tcW w:w="3150" w:type="dxa"/>
          </w:tcPr>
          <w:p w14:paraId="525F9499" w14:textId="5172C758" w:rsidR="001C2617" w:rsidRPr="009E4DF0" w:rsidRDefault="001C2617" w:rsidP="006021BF">
            <w:pPr>
              <w:jc w:val="both"/>
              <w:rPr>
                <w:rFonts w:ascii="Arial" w:hAnsi="Arial" w:cs="Arial"/>
                <w:sz w:val="20"/>
                <w:szCs w:val="20"/>
                <w:lang w:val="es-ES_tradnl"/>
              </w:rPr>
            </w:pPr>
            <w:r w:rsidRPr="009E4DF0">
              <w:rPr>
                <w:rFonts w:ascii="Arial" w:hAnsi="Arial" w:cs="Arial"/>
                <w:sz w:val="20"/>
                <w:szCs w:val="20"/>
                <w:lang w:val="es-ES_tradnl"/>
              </w:rPr>
              <w:t xml:space="preserve">1.1 </w:t>
            </w:r>
            <w:r>
              <w:rPr>
                <w:rFonts w:ascii="Arial" w:hAnsi="Arial" w:cs="Arial"/>
                <w:sz w:val="20"/>
                <w:szCs w:val="20"/>
                <w:lang w:val="es-ES_tradnl"/>
              </w:rPr>
              <w:t xml:space="preserve">Evaluación </w:t>
            </w:r>
            <w:r w:rsidR="004C3DA5">
              <w:rPr>
                <w:rFonts w:ascii="Arial" w:hAnsi="Arial" w:cs="Arial"/>
                <w:sz w:val="20"/>
                <w:szCs w:val="20"/>
                <w:lang w:val="es-ES_tradnl"/>
              </w:rPr>
              <w:t>macroeconómica</w:t>
            </w:r>
            <w:r>
              <w:rPr>
                <w:rFonts w:ascii="Arial" w:hAnsi="Arial" w:cs="Arial"/>
                <w:sz w:val="20"/>
                <w:szCs w:val="20"/>
                <w:lang w:val="es-ES_tradnl"/>
              </w:rPr>
              <w:t xml:space="preserve"> independiente</w:t>
            </w:r>
            <w:r w:rsidRPr="009E4DF0">
              <w:rPr>
                <w:rFonts w:ascii="Arial" w:hAnsi="Arial" w:cs="Arial"/>
                <w:sz w:val="20"/>
                <w:szCs w:val="20"/>
                <w:lang w:val="es-ES_tradnl"/>
              </w:rPr>
              <w:t>.</w:t>
            </w:r>
          </w:p>
        </w:tc>
        <w:tc>
          <w:tcPr>
            <w:tcW w:w="1800" w:type="dxa"/>
          </w:tcPr>
          <w:p w14:paraId="37D4904B" w14:textId="77777777" w:rsidR="001C2617" w:rsidRPr="00726417" w:rsidRDefault="0042201E" w:rsidP="006021BF">
            <w:pPr>
              <w:jc w:val="both"/>
              <w:rPr>
                <w:rFonts w:ascii="Arial" w:hAnsi="Arial"/>
                <w:b/>
                <w:sz w:val="20"/>
                <w:lang w:val="es-ES_tradnl"/>
              </w:rPr>
            </w:pPr>
            <w:r w:rsidRPr="00726417">
              <w:rPr>
                <w:rFonts w:ascii="Arial" w:hAnsi="Arial"/>
                <w:b/>
                <w:sz w:val="20"/>
                <w:lang w:val="es-ES_tradnl"/>
              </w:rPr>
              <w:t>Cumplido</w:t>
            </w:r>
          </w:p>
        </w:tc>
        <w:tc>
          <w:tcPr>
            <w:tcW w:w="1620" w:type="dxa"/>
          </w:tcPr>
          <w:p w14:paraId="70B0577F" w14:textId="77777777" w:rsidR="001C2617" w:rsidRPr="009E4DF0" w:rsidRDefault="001C2617" w:rsidP="006021BF">
            <w:pPr>
              <w:jc w:val="both"/>
              <w:rPr>
                <w:rFonts w:ascii="Arial" w:hAnsi="Arial" w:cs="Arial"/>
                <w:sz w:val="20"/>
                <w:szCs w:val="20"/>
                <w:lang w:val="es-ES_tradnl"/>
              </w:rPr>
            </w:pPr>
            <w:r>
              <w:rPr>
                <w:rFonts w:ascii="Arial" w:hAnsi="Arial" w:cs="Arial"/>
                <w:sz w:val="20"/>
                <w:szCs w:val="20"/>
                <w:lang w:val="es-ES_tradnl"/>
              </w:rPr>
              <w:t>BID-MEF</w:t>
            </w:r>
          </w:p>
        </w:tc>
      </w:tr>
      <w:tr w:rsidR="00442EC7" w:rsidRPr="00390238" w14:paraId="148CA5AD" w14:textId="77777777" w:rsidTr="003260CD">
        <w:tc>
          <w:tcPr>
            <w:tcW w:w="14211" w:type="dxa"/>
            <w:gridSpan w:val="5"/>
          </w:tcPr>
          <w:p w14:paraId="293C977F" w14:textId="77777777" w:rsidR="00442EC7" w:rsidRPr="00390238" w:rsidRDefault="00442EC7" w:rsidP="006021BF">
            <w:pPr>
              <w:spacing w:before="60" w:after="60"/>
              <w:ind w:left="-4"/>
              <w:rPr>
                <w:rFonts w:ascii="Arial" w:hAnsi="Arial" w:cs="Arial"/>
                <w:b/>
                <w:sz w:val="20"/>
                <w:szCs w:val="20"/>
                <w:lang w:val="es-ES_tradnl"/>
              </w:rPr>
            </w:pPr>
            <w:r w:rsidRPr="006021BF">
              <w:rPr>
                <w:rFonts w:ascii="Arial" w:hAnsi="Arial"/>
                <w:b/>
                <w:sz w:val="20"/>
                <w:lang w:val="es-ES_tradnl"/>
              </w:rPr>
              <w:t>Componente II – Mejorar las habilidades de la fuerza laboral</w:t>
            </w:r>
          </w:p>
        </w:tc>
      </w:tr>
      <w:tr w:rsidR="006021BF" w:rsidRPr="00390238" w14:paraId="2CBEEF7E" w14:textId="77777777" w:rsidTr="00992CCD">
        <w:tc>
          <w:tcPr>
            <w:tcW w:w="2691" w:type="dxa"/>
          </w:tcPr>
          <w:p w14:paraId="400E4299" w14:textId="77777777" w:rsidR="001C2617" w:rsidRPr="00390238" w:rsidRDefault="001C2617" w:rsidP="008F6FD6">
            <w:pPr>
              <w:spacing w:before="60" w:after="60"/>
              <w:ind w:left="-4"/>
              <w:jc w:val="both"/>
              <w:rPr>
                <w:rFonts w:ascii="Arial" w:eastAsia="Times New Roman" w:hAnsi="Arial" w:cs="Arial"/>
                <w:sz w:val="20"/>
                <w:szCs w:val="20"/>
                <w:lang w:eastAsia="es-ES"/>
              </w:rPr>
            </w:pPr>
            <w:r w:rsidRPr="006021BF">
              <w:rPr>
                <w:rFonts w:ascii="Arial" w:hAnsi="Arial"/>
                <w:sz w:val="20"/>
                <w:lang w:val="es-ES_tradnl"/>
              </w:rPr>
              <w:t>2.1 Mejorar la calidad y pertinencia de la formación para el trabajo</w:t>
            </w:r>
          </w:p>
          <w:p w14:paraId="7E1DC4B7" w14:textId="77777777" w:rsidR="001C2617" w:rsidRPr="006021BF" w:rsidRDefault="001C2617" w:rsidP="00D26A5C">
            <w:pPr>
              <w:spacing w:before="60" w:after="60"/>
              <w:ind w:left="-4"/>
              <w:jc w:val="both"/>
              <w:rPr>
                <w:rFonts w:ascii="Arial" w:hAnsi="Arial"/>
                <w:sz w:val="20"/>
                <w:lang w:val="es-ES_tradnl"/>
              </w:rPr>
            </w:pPr>
          </w:p>
        </w:tc>
        <w:tc>
          <w:tcPr>
            <w:tcW w:w="4950" w:type="dxa"/>
          </w:tcPr>
          <w:p w14:paraId="57109837" w14:textId="2F88E833" w:rsidR="001C2617" w:rsidRPr="00390238" w:rsidRDefault="001C2617" w:rsidP="00D26A5C">
            <w:pPr>
              <w:spacing w:before="60" w:after="60"/>
              <w:ind w:left="-4"/>
              <w:jc w:val="both"/>
              <w:rPr>
                <w:rFonts w:ascii="Arial" w:hAnsi="Arial" w:cs="Arial"/>
                <w:sz w:val="20"/>
                <w:szCs w:val="20"/>
                <w:lang w:val="es-ES_tradnl"/>
              </w:rPr>
            </w:pPr>
            <w:bookmarkStart w:id="0" w:name="_Hlk519236632"/>
            <w:r w:rsidRPr="00390238">
              <w:rPr>
                <w:rFonts w:ascii="Arial" w:hAnsi="Arial" w:cs="Arial"/>
                <w:sz w:val="20"/>
                <w:szCs w:val="20"/>
                <w:lang w:val="es-ES_tradnl"/>
              </w:rPr>
              <w:t xml:space="preserve">2.1.1 </w:t>
            </w:r>
            <w:r w:rsidR="0007457D" w:rsidRPr="00390238">
              <w:rPr>
                <w:rFonts w:ascii="Arial" w:hAnsi="Arial" w:cs="Arial"/>
                <w:sz w:val="20"/>
                <w:szCs w:val="20"/>
                <w:lang w:val="es-ES_tradnl"/>
              </w:rPr>
              <w:t xml:space="preserve">Que el Ministerio de Educación (MINEDU) haya elaborado el modelo de excelencia para los institutos tecnológicos públicos y seleccionado a un instituto público de excelencia por región. El modelo especificará las principales características de estos institutos. </w:t>
            </w:r>
            <w:r w:rsidR="0007457D">
              <w:rPr>
                <w:rFonts w:ascii="Arial" w:hAnsi="Arial" w:cs="Arial"/>
                <w:sz w:val="20"/>
                <w:szCs w:val="20"/>
                <w:lang w:val="es-ES_tradnl"/>
              </w:rPr>
              <w:t xml:space="preserve">También </w:t>
            </w:r>
            <w:r w:rsidR="0007457D" w:rsidRPr="00390238">
              <w:rPr>
                <w:rFonts w:ascii="Arial" w:hAnsi="Arial" w:cs="Arial"/>
                <w:sz w:val="20"/>
                <w:szCs w:val="20"/>
                <w:lang w:val="es-ES_tradnl"/>
              </w:rPr>
              <w:t>explicitará los mecanismos para que los institutos identifiquen adecuadamente las necesidades de habilidades del sector productivo y ofrezcan una formación técnica pertinente y con calidad.</w:t>
            </w:r>
            <w:r w:rsidRPr="00390238">
              <w:rPr>
                <w:rFonts w:ascii="Arial" w:hAnsi="Arial" w:cs="Arial"/>
                <w:sz w:val="20"/>
                <w:szCs w:val="20"/>
                <w:lang w:val="es-ES_tradnl"/>
              </w:rPr>
              <w:t xml:space="preserve"> </w:t>
            </w:r>
          </w:p>
          <w:bookmarkEnd w:id="0"/>
          <w:p w14:paraId="32AC5A03" w14:textId="77777777" w:rsidR="001C2617" w:rsidRDefault="001C2617" w:rsidP="00D26A5C">
            <w:pPr>
              <w:spacing w:before="60" w:after="60"/>
              <w:ind w:left="-4"/>
              <w:jc w:val="both"/>
              <w:rPr>
                <w:rFonts w:ascii="Arial" w:hAnsi="Arial" w:cs="Arial"/>
                <w:sz w:val="20"/>
                <w:szCs w:val="20"/>
                <w:lang w:val="es-ES_tradnl"/>
              </w:rPr>
            </w:pPr>
          </w:p>
          <w:p w14:paraId="54877647" w14:textId="77777777" w:rsidR="001C2617" w:rsidRDefault="001C2617" w:rsidP="00D26A5C">
            <w:pPr>
              <w:spacing w:before="60" w:after="60"/>
              <w:ind w:left="-4"/>
              <w:jc w:val="both"/>
              <w:rPr>
                <w:rFonts w:ascii="Arial" w:hAnsi="Arial" w:cs="Arial"/>
                <w:sz w:val="20"/>
                <w:szCs w:val="20"/>
                <w:lang w:val="es-ES_tradnl"/>
              </w:rPr>
            </w:pPr>
          </w:p>
          <w:p w14:paraId="6BD16153" w14:textId="77777777" w:rsidR="002D3BF6" w:rsidRDefault="002D3BF6" w:rsidP="00D26A5C">
            <w:pPr>
              <w:spacing w:before="60" w:after="60"/>
              <w:ind w:left="-4"/>
              <w:jc w:val="both"/>
              <w:rPr>
                <w:rFonts w:ascii="Arial" w:hAnsi="Arial" w:cs="Arial"/>
                <w:sz w:val="20"/>
                <w:szCs w:val="20"/>
                <w:lang w:val="es-ES_tradnl"/>
              </w:rPr>
            </w:pPr>
          </w:p>
          <w:p w14:paraId="4790A8C3" w14:textId="77777777" w:rsidR="009E2BF2" w:rsidRDefault="009E2BF2" w:rsidP="00D26A5C">
            <w:pPr>
              <w:spacing w:before="60" w:after="60"/>
              <w:ind w:left="-4"/>
              <w:jc w:val="both"/>
              <w:rPr>
                <w:rFonts w:ascii="Arial" w:hAnsi="Arial" w:cs="Arial"/>
                <w:sz w:val="20"/>
                <w:szCs w:val="20"/>
                <w:lang w:val="es-ES_tradnl"/>
              </w:rPr>
            </w:pPr>
          </w:p>
          <w:p w14:paraId="13A71643" w14:textId="77777777" w:rsidR="009E2BF2" w:rsidRDefault="009E2BF2" w:rsidP="00D26A5C">
            <w:pPr>
              <w:spacing w:before="60" w:after="60"/>
              <w:ind w:left="-4"/>
              <w:jc w:val="both"/>
              <w:rPr>
                <w:rFonts w:ascii="Arial" w:hAnsi="Arial" w:cs="Arial"/>
                <w:sz w:val="20"/>
                <w:szCs w:val="20"/>
                <w:lang w:val="es-ES_tradnl"/>
              </w:rPr>
            </w:pPr>
          </w:p>
          <w:p w14:paraId="6B9AE338" w14:textId="77777777" w:rsidR="003873E8" w:rsidRDefault="003873E8" w:rsidP="00D26A5C">
            <w:pPr>
              <w:spacing w:before="60" w:after="60"/>
              <w:ind w:left="-4"/>
              <w:jc w:val="both"/>
              <w:rPr>
                <w:rFonts w:ascii="Arial" w:hAnsi="Arial" w:cs="Arial"/>
                <w:sz w:val="20"/>
                <w:szCs w:val="20"/>
                <w:lang w:val="es-ES_tradnl"/>
              </w:rPr>
            </w:pPr>
          </w:p>
          <w:p w14:paraId="5A8F9DB1" w14:textId="77777777" w:rsidR="001C2617" w:rsidRPr="00390238" w:rsidRDefault="001C2617" w:rsidP="00D26A5C">
            <w:pPr>
              <w:spacing w:before="60" w:after="60"/>
              <w:ind w:left="-4"/>
              <w:jc w:val="both"/>
              <w:rPr>
                <w:rFonts w:ascii="Arial" w:hAnsi="Arial" w:cs="Arial"/>
                <w:sz w:val="20"/>
                <w:szCs w:val="20"/>
                <w:lang w:val="es-ES_tradnl"/>
              </w:rPr>
            </w:pPr>
          </w:p>
          <w:p w14:paraId="1A0E24EB" w14:textId="3B61D375" w:rsidR="001C2617" w:rsidRPr="00390238" w:rsidRDefault="001C2617" w:rsidP="00D26A5C">
            <w:pPr>
              <w:spacing w:before="60" w:after="60"/>
              <w:ind w:left="-4"/>
              <w:jc w:val="both"/>
              <w:rPr>
                <w:rFonts w:ascii="Arial" w:hAnsi="Arial" w:cs="Arial"/>
                <w:sz w:val="20"/>
                <w:szCs w:val="20"/>
                <w:lang w:val="es-ES_tradnl"/>
              </w:rPr>
            </w:pPr>
            <w:r w:rsidRPr="00390238">
              <w:rPr>
                <w:rFonts w:ascii="Arial" w:hAnsi="Arial" w:cs="Arial"/>
                <w:sz w:val="20"/>
                <w:szCs w:val="20"/>
                <w:lang w:val="es-ES_tradnl"/>
              </w:rPr>
              <w:lastRenderedPageBreak/>
              <w:t xml:space="preserve">2.1.2 Que el MINEDU </w:t>
            </w:r>
            <w:r w:rsidR="0007457D">
              <w:rPr>
                <w:rFonts w:ascii="Arial" w:hAnsi="Arial" w:cs="Arial"/>
                <w:sz w:val="20"/>
                <w:szCs w:val="20"/>
                <w:lang w:val="es-ES_tradnl"/>
              </w:rPr>
              <w:t xml:space="preserve">haya definido </w:t>
            </w:r>
            <w:r w:rsidR="00DE7A58">
              <w:rPr>
                <w:rFonts w:ascii="Arial" w:hAnsi="Arial" w:cs="Arial"/>
                <w:sz w:val="20"/>
                <w:szCs w:val="20"/>
                <w:lang w:val="es-ES_tradnl"/>
              </w:rPr>
              <w:t>la fuente de financiamiento para las principales actividades o productos</w:t>
            </w:r>
            <w:r w:rsidR="00DE7A58" w:rsidRPr="00390238">
              <w:rPr>
                <w:rFonts w:ascii="Arial" w:hAnsi="Arial" w:cs="Arial"/>
                <w:sz w:val="20"/>
                <w:szCs w:val="20"/>
                <w:lang w:val="es-ES_tradnl"/>
              </w:rPr>
              <w:t xml:space="preserve"> </w:t>
            </w:r>
            <w:r w:rsidRPr="00390238">
              <w:rPr>
                <w:rFonts w:ascii="Arial" w:hAnsi="Arial" w:cs="Arial"/>
                <w:sz w:val="20"/>
                <w:szCs w:val="20"/>
                <w:lang w:val="es-ES_tradnl"/>
              </w:rPr>
              <w:t>de por los menos tres Consejos Sectoriales de Competencias (CSC) en sectores estratégicos</w:t>
            </w:r>
            <w:r w:rsidR="00DE7A58">
              <w:rPr>
                <w:rFonts w:ascii="Arial" w:hAnsi="Arial" w:cs="Arial"/>
                <w:sz w:val="20"/>
                <w:szCs w:val="20"/>
                <w:lang w:val="es-ES_tradnl"/>
              </w:rPr>
              <w:t xml:space="preserve">, como pueden ser: </w:t>
            </w:r>
            <w:r w:rsidR="00BF2493">
              <w:rPr>
                <w:rFonts w:ascii="Arial" w:hAnsi="Arial" w:cs="Arial"/>
                <w:sz w:val="20"/>
                <w:szCs w:val="20"/>
                <w:lang w:val="es-ES_tradnl"/>
              </w:rPr>
              <w:t>(</w:t>
            </w:r>
            <w:r w:rsidR="00DE7A58">
              <w:rPr>
                <w:rFonts w:ascii="Arial" w:hAnsi="Arial" w:cs="Arial"/>
                <w:sz w:val="20"/>
                <w:szCs w:val="20"/>
                <w:lang w:val="es-ES_tradnl"/>
              </w:rPr>
              <w:t>i)</w:t>
            </w:r>
            <w:r w:rsidR="00522044">
              <w:rPr>
                <w:rFonts w:ascii="Arial" w:hAnsi="Arial" w:cs="Arial"/>
                <w:sz w:val="20"/>
                <w:szCs w:val="20"/>
                <w:lang w:val="es-ES_tradnl"/>
              </w:rPr>
              <w:t> </w:t>
            </w:r>
            <w:r w:rsidR="00DE7A58">
              <w:rPr>
                <w:rFonts w:ascii="Arial" w:hAnsi="Arial" w:cs="Arial"/>
                <w:sz w:val="20"/>
                <w:szCs w:val="20"/>
                <w:lang w:val="es-ES_tradnl"/>
              </w:rPr>
              <w:t>identificación de habilidades requeridas por el sector privado</w:t>
            </w:r>
            <w:r w:rsidR="00BF2493">
              <w:rPr>
                <w:rFonts w:ascii="Arial" w:hAnsi="Arial" w:cs="Arial"/>
                <w:sz w:val="20"/>
                <w:szCs w:val="20"/>
                <w:lang w:val="es-ES_tradnl"/>
              </w:rPr>
              <w:t>;</w:t>
            </w:r>
            <w:r w:rsidR="00DE7A58">
              <w:rPr>
                <w:rFonts w:ascii="Arial" w:hAnsi="Arial" w:cs="Arial"/>
                <w:sz w:val="20"/>
                <w:szCs w:val="20"/>
                <w:lang w:val="es-ES_tradnl"/>
              </w:rPr>
              <w:t xml:space="preserve"> y </w:t>
            </w:r>
            <w:r w:rsidR="00BF2493">
              <w:rPr>
                <w:rFonts w:ascii="Arial" w:hAnsi="Arial" w:cs="Arial"/>
                <w:sz w:val="20"/>
                <w:szCs w:val="20"/>
                <w:lang w:val="es-ES_tradnl"/>
              </w:rPr>
              <w:t>(</w:t>
            </w:r>
            <w:r w:rsidR="00DE7A58">
              <w:rPr>
                <w:rFonts w:ascii="Arial" w:hAnsi="Arial" w:cs="Arial"/>
                <w:sz w:val="20"/>
                <w:szCs w:val="20"/>
                <w:lang w:val="es-ES_tradnl"/>
              </w:rPr>
              <w:t>ii)</w:t>
            </w:r>
            <w:r w:rsidR="00522044">
              <w:rPr>
                <w:rFonts w:ascii="Arial" w:hAnsi="Arial" w:cs="Arial"/>
                <w:sz w:val="20"/>
                <w:szCs w:val="20"/>
                <w:lang w:val="es-ES_tradnl"/>
              </w:rPr>
              <w:t> </w:t>
            </w:r>
            <w:r w:rsidR="00DE7A58">
              <w:rPr>
                <w:rFonts w:ascii="Arial" w:hAnsi="Arial" w:cs="Arial"/>
                <w:sz w:val="20"/>
                <w:szCs w:val="20"/>
                <w:lang w:val="es-ES_tradnl"/>
              </w:rPr>
              <w:t>unidades de competencias</w:t>
            </w:r>
            <w:r w:rsidRPr="00390238">
              <w:rPr>
                <w:rFonts w:ascii="Arial" w:hAnsi="Arial" w:cs="Arial"/>
                <w:sz w:val="20"/>
                <w:szCs w:val="20"/>
                <w:lang w:val="es-ES_tradnl"/>
              </w:rPr>
              <w:t>.</w:t>
            </w:r>
          </w:p>
        </w:tc>
        <w:tc>
          <w:tcPr>
            <w:tcW w:w="3150" w:type="dxa"/>
            <w:shd w:val="clear" w:color="auto" w:fill="auto"/>
          </w:tcPr>
          <w:p w14:paraId="2BAB0FC8" w14:textId="1CA5A452" w:rsidR="001C2617" w:rsidRPr="00390238" w:rsidRDefault="001C2617" w:rsidP="00D26A5C">
            <w:pPr>
              <w:spacing w:before="60" w:after="60"/>
              <w:ind w:left="-4"/>
              <w:jc w:val="both"/>
              <w:rPr>
                <w:rFonts w:ascii="Arial" w:hAnsi="Arial" w:cs="Arial"/>
                <w:sz w:val="20"/>
                <w:szCs w:val="20"/>
                <w:lang w:val="es-ES_tradnl"/>
              </w:rPr>
            </w:pPr>
            <w:r w:rsidRPr="00390238">
              <w:rPr>
                <w:rFonts w:ascii="Arial" w:hAnsi="Arial" w:cs="Arial"/>
                <w:sz w:val="20"/>
                <w:szCs w:val="20"/>
                <w:lang w:val="es-ES_tradnl"/>
              </w:rPr>
              <w:lastRenderedPageBreak/>
              <w:t>2.1.1</w:t>
            </w:r>
            <w:r>
              <w:rPr>
                <w:rFonts w:ascii="Arial" w:hAnsi="Arial" w:cs="Arial"/>
                <w:sz w:val="20"/>
                <w:szCs w:val="20"/>
                <w:lang w:val="es-ES_tradnl"/>
              </w:rPr>
              <w:t>.a</w:t>
            </w:r>
            <w:r w:rsidRPr="00390238">
              <w:rPr>
                <w:rFonts w:ascii="Arial" w:hAnsi="Arial" w:cs="Arial"/>
                <w:sz w:val="20"/>
                <w:szCs w:val="20"/>
                <w:lang w:val="es-ES_tradnl"/>
              </w:rPr>
              <w:t xml:space="preserve"> </w:t>
            </w:r>
            <w:r>
              <w:rPr>
                <w:rFonts w:ascii="Arial" w:hAnsi="Arial" w:cs="Arial"/>
                <w:sz w:val="20"/>
                <w:szCs w:val="20"/>
                <w:lang w:val="es-ES_tradnl"/>
              </w:rPr>
              <w:t>Resolución Ministerial</w:t>
            </w:r>
            <w:r w:rsidR="00A62F70" w:rsidRPr="003873E8">
              <w:rPr>
                <w:rFonts w:ascii="Arial" w:hAnsi="Arial" w:cs="Arial"/>
                <w:sz w:val="20"/>
                <w:szCs w:val="20"/>
                <w:lang w:val="es-ES_tradnl"/>
              </w:rPr>
              <w:t xml:space="preserve"> N°</w:t>
            </w:r>
            <w:r w:rsidR="00761E8D">
              <w:rPr>
                <w:rFonts w:ascii="Arial" w:hAnsi="Arial" w:cs="Arial"/>
                <w:sz w:val="20"/>
                <w:szCs w:val="20"/>
                <w:lang w:val="es-ES_tradnl"/>
              </w:rPr>
              <w:t> </w:t>
            </w:r>
            <w:r w:rsidR="00A62F70" w:rsidRPr="003873E8">
              <w:rPr>
                <w:rFonts w:ascii="Arial" w:hAnsi="Arial" w:cs="Arial"/>
                <w:sz w:val="20"/>
                <w:szCs w:val="20"/>
                <w:lang w:val="es-ES_tradnl"/>
              </w:rPr>
              <w:t>409-2017</w:t>
            </w:r>
            <w:r w:rsidR="00761E8D">
              <w:rPr>
                <w:rFonts w:ascii="Arial" w:hAnsi="Arial" w:cs="Arial"/>
                <w:sz w:val="20"/>
                <w:szCs w:val="20"/>
                <w:lang w:val="es-ES_tradnl"/>
              </w:rPr>
              <w:noBreakHyphen/>
            </w:r>
            <w:r w:rsidR="00A62F70" w:rsidRPr="003873E8">
              <w:rPr>
                <w:rFonts w:ascii="Arial" w:hAnsi="Arial" w:cs="Arial"/>
                <w:sz w:val="20"/>
                <w:szCs w:val="20"/>
                <w:lang w:val="es-ES_tradnl"/>
              </w:rPr>
              <w:t>MINEDU</w:t>
            </w:r>
            <w:r>
              <w:rPr>
                <w:rFonts w:ascii="Arial" w:hAnsi="Arial" w:cs="Arial"/>
                <w:sz w:val="20"/>
                <w:szCs w:val="20"/>
                <w:lang w:val="es-ES_tradnl"/>
              </w:rPr>
              <w:t xml:space="preserve"> </w:t>
            </w:r>
            <w:r w:rsidR="00F92DFB">
              <w:rPr>
                <w:rFonts w:ascii="Arial" w:hAnsi="Arial" w:cs="Arial"/>
                <w:sz w:val="20"/>
                <w:szCs w:val="20"/>
                <w:lang w:val="es-ES_tradnl"/>
              </w:rPr>
              <w:t>del 14</w:t>
            </w:r>
            <w:r w:rsidR="00D6428F">
              <w:rPr>
                <w:rFonts w:ascii="Arial" w:hAnsi="Arial" w:cs="Arial"/>
                <w:sz w:val="20"/>
                <w:szCs w:val="20"/>
                <w:lang w:val="es-ES_tradnl"/>
              </w:rPr>
              <w:t> </w:t>
            </w:r>
            <w:r w:rsidR="000A3961">
              <w:rPr>
                <w:rFonts w:ascii="Arial" w:hAnsi="Arial" w:cs="Arial"/>
                <w:sz w:val="20"/>
                <w:szCs w:val="20"/>
                <w:lang w:val="es-ES_tradnl"/>
              </w:rPr>
              <w:t>de</w:t>
            </w:r>
            <w:r w:rsidR="00D6428F">
              <w:rPr>
                <w:rFonts w:ascii="Arial" w:hAnsi="Arial" w:cs="Arial"/>
                <w:sz w:val="20"/>
                <w:szCs w:val="20"/>
                <w:lang w:val="es-ES_tradnl"/>
              </w:rPr>
              <w:t> </w:t>
            </w:r>
            <w:r w:rsidR="00F92DFB">
              <w:rPr>
                <w:rFonts w:ascii="Arial" w:hAnsi="Arial" w:cs="Arial"/>
                <w:sz w:val="20"/>
                <w:szCs w:val="20"/>
                <w:lang w:val="es-ES_tradnl"/>
              </w:rPr>
              <w:t>jul</w:t>
            </w:r>
            <w:r w:rsidR="000A3961">
              <w:rPr>
                <w:rFonts w:ascii="Arial" w:hAnsi="Arial" w:cs="Arial"/>
                <w:sz w:val="20"/>
                <w:szCs w:val="20"/>
                <w:lang w:val="es-ES_tradnl"/>
              </w:rPr>
              <w:t>io</w:t>
            </w:r>
            <w:r w:rsidR="00D6428F">
              <w:rPr>
                <w:rFonts w:ascii="Arial" w:hAnsi="Arial" w:cs="Arial"/>
                <w:sz w:val="20"/>
                <w:szCs w:val="20"/>
                <w:lang w:val="es-ES_tradnl"/>
              </w:rPr>
              <w:t> </w:t>
            </w:r>
            <w:r w:rsidR="000A3961">
              <w:rPr>
                <w:rFonts w:ascii="Arial" w:hAnsi="Arial" w:cs="Arial"/>
                <w:sz w:val="20"/>
                <w:szCs w:val="20"/>
                <w:lang w:val="es-ES_tradnl"/>
              </w:rPr>
              <w:t>de</w:t>
            </w:r>
            <w:r w:rsidR="00D6428F">
              <w:rPr>
                <w:rFonts w:ascii="Arial" w:hAnsi="Arial" w:cs="Arial"/>
                <w:sz w:val="20"/>
                <w:szCs w:val="20"/>
                <w:lang w:val="es-ES_tradnl"/>
              </w:rPr>
              <w:t> </w:t>
            </w:r>
            <w:r w:rsidR="000A3961">
              <w:rPr>
                <w:rFonts w:ascii="Arial" w:hAnsi="Arial" w:cs="Arial"/>
                <w:sz w:val="20"/>
                <w:szCs w:val="20"/>
                <w:lang w:val="es-ES_tradnl"/>
              </w:rPr>
              <w:t>20</w:t>
            </w:r>
            <w:r w:rsidR="00F92DFB">
              <w:rPr>
                <w:rFonts w:ascii="Arial" w:hAnsi="Arial" w:cs="Arial"/>
                <w:sz w:val="20"/>
                <w:szCs w:val="20"/>
                <w:lang w:val="es-ES_tradnl"/>
              </w:rPr>
              <w:t xml:space="preserve">18 </w:t>
            </w:r>
            <w:r>
              <w:rPr>
                <w:rFonts w:ascii="Arial" w:hAnsi="Arial" w:cs="Arial"/>
                <w:sz w:val="20"/>
                <w:szCs w:val="20"/>
                <w:lang w:val="es-ES_tradnl"/>
              </w:rPr>
              <w:t>mediante la cual se aprueba el modelo de excelencia</w:t>
            </w:r>
            <w:r w:rsidRPr="00390238">
              <w:rPr>
                <w:rFonts w:ascii="Arial" w:hAnsi="Arial" w:cs="Arial"/>
                <w:sz w:val="20"/>
                <w:szCs w:val="20"/>
                <w:lang w:val="es-ES_tradnl"/>
              </w:rPr>
              <w:t>.</w:t>
            </w:r>
          </w:p>
          <w:p w14:paraId="5C893F46" w14:textId="376517F0" w:rsidR="002D3BF6" w:rsidRDefault="002D3BF6" w:rsidP="00D26A5C">
            <w:pPr>
              <w:spacing w:before="60" w:after="60"/>
              <w:ind w:left="-4"/>
              <w:jc w:val="both"/>
              <w:rPr>
                <w:rFonts w:ascii="Arial" w:hAnsi="Arial" w:cs="Arial"/>
                <w:sz w:val="20"/>
                <w:szCs w:val="20"/>
                <w:lang w:val="es-ES_tradnl"/>
              </w:rPr>
            </w:pPr>
          </w:p>
          <w:p w14:paraId="3C542DE6" w14:textId="686619C0" w:rsidR="00992CCD" w:rsidRDefault="00992CCD" w:rsidP="00D26A5C">
            <w:pPr>
              <w:spacing w:before="60" w:after="60"/>
              <w:ind w:left="-4"/>
              <w:jc w:val="both"/>
              <w:rPr>
                <w:rFonts w:ascii="Arial" w:hAnsi="Arial" w:cs="Arial"/>
                <w:sz w:val="20"/>
                <w:szCs w:val="20"/>
                <w:lang w:val="es-ES_tradnl"/>
              </w:rPr>
            </w:pPr>
          </w:p>
          <w:p w14:paraId="2FF6C680" w14:textId="2929D79F" w:rsidR="00992CCD" w:rsidRDefault="00992CCD" w:rsidP="00D26A5C">
            <w:pPr>
              <w:spacing w:before="60" w:after="60"/>
              <w:ind w:left="-4"/>
              <w:jc w:val="both"/>
              <w:rPr>
                <w:rFonts w:ascii="Arial" w:hAnsi="Arial" w:cs="Arial"/>
                <w:sz w:val="20"/>
                <w:szCs w:val="20"/>
                <w:lang w:val="es-ES_tradnl"/>
              </w:rPr>
            </w:pPr>
          </w:p>
          <w:p w14:paraId="57E4EFDB" w14:textId="0E0316E1" w:rsidR="00992CCD" w:rsidRDefault="00992CCD" w:rsidP="00D26A5C">
            <w:pPr>
              <w:spacing w:before="60" w:after="60"/>
              <w:ind w:left="-4"/>
              <w:jc w:val="both"/>
              <w:rPr>
                <w:rFonts w:ascii="Arial" w:hAnsi="Arial" w:cs="Arial"/>
                <w:sz w:val="20"/>
                <w:szCs w:val="20"/>
                <w:lang w:val="es-ES_tradnl"/>
              </w:rPr>
            </w:pPr>
          </w:p>
          <w:p w14:paraId="69D78BA9" w14:textId="77777777" w:rsidR="001C2617" w:rsidRPr="00390238" w:rsidRDefault="001C2617" w:rsidP="00D26A5C">
            <w:pPr>
              <w:spacing w:before="60" w:after="60"/>
              <w:ind w:left="-4"/>
              <w:jc w:val="both"/>
              <w:rPr>
                <w:rFonts w:ascii="Arial" w:hAnsi="Arial" w:cs="Arial"/>
                <w:sz w:val="20"/>
                <w:szCs w:val="20"/>
                <w:lang w:val="es-ES_tradnl"/>
              </w:rPr>
            </w:pPr>
            <w:r>
              <w:rPr>
                <w:rFonts w:ascii="Arial" w:hAnsi="Arial" w:cs="Arial"/>
                <w:sz w:val="20"/>
                <w:szCs w:val="20"/>
                <w:lang w:val="es-ES_tradnl"/>
              </w:rPr>
              <w:t>2.1.1.b Oficio</w:t>
            </w:r>
            <w:r w:rsidR="00F92DFB">
              <w:rPr>
                <w:rFonts w:ascii="Arial" w:hAnsi="Arial" w:cs="Arial"/>
                <w:sz w:val="20"/>
                <w:szCs w:val="20"/>
                <w:lang w:val="es-ES_tradnl"/>
              </w:rPr>
              <w:t xml:space="preserve"> N°</w:t>
            </w:r>
            <w:r w:rsidR="000A3961">
              <w:rPr>
                <w:rFonts w:ascii="Arial" w:hAnsi="Arial" w:cs="Arial"/>
                <w:sz w:val="20"/>
                <w:szCs w:val="20"/>
                <w:lang w:val="es-ES_tradnl"/>
              </w:rPr>
              <w:t> </w:t>
            </w:r>
            <w:r w:rsidR="00F92DFB">
              <w:rPr>
                <w:rFonts w:ascii="Arial" w:hAnsi="Arial" w:cs="Arial"/>
                <w:sz w:val="20"/>
                <w:szCs w:val="20"/>
                <w:lang w:val="es-ES_tradnl"/>
              </w:rPr>
              <w:t>0625-2018</w:t>
            </w:r>
            <w:r w:rsidR="00D6428F">
              <w:rPr>
                <w:rFonts w:ascii="Arial" w:hAnsi="Arial" w:cs="Arial"/>
                <w:sz w:val="20"/>
                <w:szCs w:val="20"/>
                <w:lang w:val="es-ES_tradnl"/>
              </w:rPr>
              <w:noBreakHyphen/>
            </w:r>
            <w:r w:rsidR="00F92DFB">
              <w:rPr>
                <w:rFonts w:ascii="Arial" w:hAnsi="Arial" w:cs="Arial"/>
                <w:sz w:val="20"/>
                <w:szCs w:val="20"/>
                <w:lang w:val="es-ES_tradnl"/>
              </w:rPr>
              <w:t>MINEDU/VMGP-DIGESUTPA-DISERTPA del 11</w:t>
            </w:r>
            <w:r w:rsidR="00761E8D">
              <w:rPr>
                <w:rFonts w:ascii="Arial" w:hAnsi="Arial" w:cs="Arial"/>
                <w:sz w:val="20"/>
                <w:szCs w:val="20"/>
                <w:lang w:val="es-ES_tradnl"/>
              </w:rPr>
              <w:t> </w:t>
            </w:r>
            <w:r w:rsidR="000A3961">
              <w:rPr>
                <w:rFonts w:ascii="Arial" w:hAnsi="Arial" w:cs="Arial"/>
                <w:sz w:val="20"/>
                <w:szCs w:val="20"/>
                <w:lang w:val="es-ES_tradnl"/>
              </w:rPr>
              <w:t>de</w:t>
            </w:r>
            <w:r w:rsidR="00761E8D">
              <w:rPr>
                <w:rFonts w:ascii="Arial" w:hAnsi="Arial" w:cs="Arial"/>
                <w:sz w:val="20"/>
                <w:szCs w:val="20"/>
                <w:lang w:val="es-ES_tradnl"/>
              </w:rPr>
              <w:t> </w:t>
            </w:r>
            <w:r w:rsidR="000A3961">
              <w:rPr>
                <w:rFonts w:ascii="Arial" w:hAnsi="Arial" w:cs="Arial"/>
                <w:sz w:val="20"/>
                <w:szCs w:val="20"/>
                <w:lang w:val="es-ES_tradnl"/>
              </w:rPr>
              <w:t>septiembre</w:t>
            </w:r>
            <w:r w:rsidR="00761E8D">
              <w:rPr>
                <w:rFonts w:ascii="Arial" w:hAnsi="Arial" w:cs="Arial"/>
                <w:sz w:val="20"/>
                <w:szCs w:val="20"/>
                <w:lang w:val="es-ES_tradnl"/>
              </w:rPr>
              <w:t> </w:t>
            </w:r>
            <w:r w:rsidR="000A3961">
              <w:rPr>
                <w:rFonts w:ascii="Arial" w:hAnsi="Arial" w:cs="Arial"/>
                <w:sz w:val="20"/>
                <w:szCs w:val="20"/>
                <w:lang w:val="es-ES_tradnl"/>
              </w:rPr>
              <w:t>de</w:t>
            </w:r>
            <w:r w:rsidR="00761E8D">
              <w:rPr>
                <w:rFonts w:ascii="Arial" w:hAnsi="Arial" w:cs="Arial"/>
                <w:sz w:val="20"/>
                <w:szCs w:val="20"/>
                <w:lang w:val="es-ES_tradnl"/>
              </w:rPr>
              <w:t> </w:t>
            </w:r>
            <w:r w:rsidR="000A3961">
              <w:rPr>
                <w:rFonts w:ascii="Arial" w:hAnsi="Arial" w:cs="Arial"/>
                <w:sz w:val="20"/>
                <w:szCs w:val="20"/>
                <w:lang w:val="es-ES_tradnl"/>
              </w:rPr>
              <w:t>20</w:t>
            </w:r>
            <w:r w:rsidR="00F92DFB">
              <w:rPr>
                <w:rFonts w:ascii="Arial" w:hAnsi="Arial" w:cs="Arial"/>
                <w:sz w:val="20"/>
                <w:szCs w:val="20"/>
                <w:lang w:val="es-ES_tradnl"/>
              </w:rPr>
              <w:t>18</w:t>
            </w:r>
            <w:r>
              <w:rPr>
                <w:rFonts w:ascii="Arial" w:hAnsi="Arial" w:cs="Arial"/>
                <w:sz w:val="20"/>
                <w:szCs w:val="20"/>
                <w:lang w:val="es-ES_tradnl"/>
              </w:rPr>
              <w:t xml:space="preserve"> del MINEDU mediante el cual se remite l</w:t>
            </w:r>
            <w:r w:rsidR="00BF1CB3">
              <w:rPr>
                <w:rFonts w:ascii="Arial" w:hAnsi="Arial" w:cs="Arial"/>
                <w:sz w:val="20"/>
                <w:szCs w:val="20"/>
                <w:lang w:val="es-ES_tradnl"/>
              </w:rPr>
              <w:t>as</w:t>
            </w:r>
            <w:r>
              <w:rPr>
                <w:rFonts w:ascii="Arial" w:hAnsi="Arial" w:cs="Arial"/>
                <w:sz w:val="20"/>
                <w:szCs w:val="20"/>
                <w:lang w:val="es-ES_tradnl"/>
              </w:rPr>
              <w:t xml:space="preserve"> Acta</w:t>
            </w:r>
            <w:r w:rsidR="00BF1CB3">
              <w:rPr>
                <w:rFonts w:ascii="Arial" w:hAnsi="Arial" w:cs="Arial"/>
                <w:sz w:val="20"/>
                <w:szCs w:val="20"/>
                <w:lang w:val="es-ES_tradnl"/>
              </w:rPr>
              <w:t>s de Selección de los Institutos de Excelencia y los Oficios que las formalizaron ante el MINEDU</w:t>
            </w:r>
            <w:r w:rsidR="0013252F">
              <w:rPr>
                <w:rFonts w:ascii="Arial" w:hAnsi="Arial" w:cs="Arial"/>
                <w:sz w:val="20"/>
                <w:szCs w:val="20"/>
                <w:lang w:val="es-ES_tradnl"/>
              </w:rPr>
              <w:t>.</w:t>
            </w:r>
            <w:r>
              <w:rPr>
                <w:rFonts w:ascii="Arial" w:hAnsi="Arial" w:cs="Arial"/>
                <w:sz w:val="20"/>
                <w:szCs w:val="20"/>
                <w:lang w:val="es-ES_tradnl"/>
              </w:rPr>
              <w:t xml:space="preserve"> </w:t>
            </w:r>
          </w:p>
          <w:p w14:paraId="189650C2" w14:textId="77B40117" w:rsidR="001C2617" w:rsidRPr="00390238" w:rsidRDefault="001C2617" w:rsidP="00D26A5C">
            <w:pPr>
              <w:spacing w:before="60" w:after="60"/>
              <w:ind w:left="-4"/>
              <w:jc w:val="both"/>
              <w:rPr>
                <w:rFonts w:ascii="Arial" w:hAnsi="Arial" w:cs="Arial"/>
                <w:sz w:val="20"/>
                <w:szCs w:val="20"/>
                <w:lang w:val="es-ES_tradnl"/>
              </w:rPr>
            </w:pPr>
            <w:r w:rsidRPr="00390238">
              <w:rPr>
                <w:rFonts w:ascii="Arial" w:hAnsi="Arial" w:cs="Arial"/>
                <w:sz w:val="20"/>
                <w:szCs w:val="20"/>
                <w:lang w:val="es-ES_tradnl"/>
              </w:rPr>
              <w:lastRenderedPageBreak/>
              <w:t xml:space="preserve">2.1.2 </w:t>
            </w:r>
            <w:r>
              <w:rPr>
                <w:rFonts w:ascii="Arial" w:hAnsi="Arial" w:cs="Arial"/>
                <w:sz w:val="20"/>
                <w:szCs w:val="20"/>
                <w:lang w:val="es-ES_tradnl"/>
              </w:rPr>
              <w:t>Decreto Supremo</w:t>
            </w:r>
            <w:r w:rsidR="00A62F70">
              <w:rPr>
                <w:rFonts w:ascii="Arial" w:hAnsi="Arial" w:cs="Arial"/>
                <w:sz w:val="20"/>
                <w:szCs w:val="20"/>
                <w:lang w:val="es-ES_tradnl"/>
              </w:rPr>
              <w:t xml:space="preserve"> </w:t>
            </w:r>
            <w:r w:rsidR="00EC2090">
              <w:rPr>
                <w:rFonts w:ascii="Arial" w:hAnsi="Arial" w:cs="Arial"/>
                <w:sz w:val="20"/>
                <w:szCs w:val="20"/>
                <w:lang w:val="es-ES_tradnl"/>
              </w:rPr>
              <w:t>N°</w:t>
            </w:r>
            <w:r w:rsidR="00761E8D">
              <w:rPr>
                <w:rFonts w:ascii="Arial" w:hAnsi="Arial" w:cs="Arial"/>
                <w:sz w:val="20"/>
                <w:szCs w:val="20"/>
                <w:lang w:val="es-ES_tradnl"/>
              </w:rPr>
              <w:t> </w:t>
            </w:r>
            <w:r w:rsidR="00EC2090">
              <w:rPr>
                <w:rFonts w:ascii="Arial" w:hAnsi="Arial" w:cs="Arial"/>
                <w:sz w:val="20"/>
                <w:szCs w:val="20"/>
                <w:lang w:val="es-ES_tradnl"/>
              </w:rPr>
              <w:t>201-2018-EF</w:t>
            </w:r>
            <w:r w:rsidR="00416412">
              <w:rPr>
                <w:rFonts w:ascii="Arial" w:hAnsi="Arial" w:cs="Arial"/>
                <w:sz w:val="20"/>
                <w:szCs w:val="20"/>
                <w:lang w:val="es-ES_tradnl"/>
              </w:rPr>
              <w:t>,</w:t>
            </w:r>
            <w:r w:rsidR="00EC2090">
              <w:rPr>
                <w:rFonts w:ascii="Arial" w:hAnsi="Arial" w:cs="Arial"/>
                <w:sz w:val="20"/>
                <w:szCs w:val="20"/>
                <w:lang w:val="es-ES_tradnl"/>
              </w:rPr>
              <w:t xml:space="preserve"> publicado el 5</w:t>
            </w:r>
            <w:r w:rsidR="00761E8D">
              <w:rPr>
                <w:rFonts w:ascii="Arial" w:hAnsi="Arial" w:cs="Arial"/>
                <w:sz w:val="20"/>
                <w:szCs w:val="20"/>
                <w:lang w:val="es-ES_tradnl"/>
              </w:rPr>
              <w:t> </w:t>
            </w:r>
            <w:r w:rsidR="000A3961">
              <w:rPr>
                <w:rFonts w:ascii="Arial" w:hAnsi="Arial" w:cs="Arial"/>
                <w:sz w:val="20"/>
                <w:szCs w:val="20"/>
                <w:lang w:val="es-ES_tradnl"/>
              </w:rPr>
              <w:t>de</w:t>
            </w:r>
            <w:r w:rsidR="00761E8D">
              <w:rPr>
                <w:rFonts w:ascii="Arial" w:hAnsi="Arial" w:cs="Arial"/>
                <w:sz w:val="20"/>
                <w:szCs w:val="20"/>
                <w:lang w:val="es-ES_tradnl"/>
              </w:rPr>
              <w:t> </w:t>
            </w:r>
            <w:r w:rsidR="000A3961">
              <w:rPr>
                <w:rFonts w:ascii="Arial" w:hAnsi="Arial" w:cs="Arial"/>
                <w:sz w:val="20"/>
                <w:szCs w:val="20"/>
                <w:lang w:val="es-ES_tradnl"/>
              </w:rPr>
              <w:t>septiembre</w:t>
            </w:r>
            <w:r w:rsidR="00761E8D">
              <w:rPr>
                <w:rFonts w:ascii="Arial" w:hAnsi="Arial" w:cs="Arial"/>
                <w:sz w:val="20"/>
                <w:szCs w:val="20"/>
                <w:lang w:val="es-ES_tradnl"/>
              </w:rPr>
              <w:t> </w:t>
            </w:r>
            <w:r w:rsidR="000A3961">
              <w:rPr>
                <w:rFonts w:ascii="Arial" w:hAnsi="Arial" w:cs="Arial"/>
                <w:sz w:val="20"/>
                <w:szCs w:val="20"/>
                <w:lang w:val="es-ES_tradnl"/>
              </w:rPr>
              <w:t>de</w:t>
            </w:r>
            <w:r w:rsidR="00761E8D">
              <w:rPr>
                <w:rFonts w:ascii="Arial" w:hAnsi="Arial" w:cs="Arial"/>
                <w:sz w:val="20"/>
                <w:szCs w:val="20"/>
                <w:lang w:val="es-ES_tradnl"/>
              </w:rPr>
              <w:t> </w:t>
            </w:r>
            <w:r w:rsidR="000A3961">
              <w:rPr>
                <w:rFonts w:ascii="Arial" w:hAnsi="Arial" w:cs="Arial"/>
                <w:sz w:val="20"/>
                <w:szCs w:val="20"/>
                <w:lang w:val="es-ES_tradnl"/>
              </w:rPr>
              <w:t>20</w:t>
            </w:r>
            <w:r w:rsidR="00EC2090">
              <w:rPr>
                <w:rFonts w:ascii="Arial" w:hAnsi="Arial" w:cs="Arial"/>
                <w:sz w:val="20"/>
                <w:szCs w:val="20"/>
                <w:lang w:val="es-ES_tradnl"/>
              </w:rPr>
              <w:t>18</w:t>
            </w:r>
            <w:r w:rsidR="00416412">
              <w:rPr>
                <w:rFonts w:ascii="Arial" w:hAnsi="Arial" w:cs="Arial"/>
                <w:sz w:val="20"/>
                <w:szCs w:val="20"/>
                <w:lang w:val="es-ES_tradnl"/>
              </w:rPr>
              <w:t>,</w:t>
            </w:r>
            <w:r>
              <w:rPr>
                <w:rFonts w:ascii="Arial" w:hAnsi="Arial" w:cs="Arial"/>
                <w:sz w:val="20"/>
                <w:szCs w:val="20"/>
                <w:lang w:val="es-ES_tradnl"/>
              </w:rPr>
              <w:t xml:space="preserve"> que aprueba el Programa para la Mejora de la Calidad y Pertinencia de los Servicios de Educación Superior Universitaria y Tecnológica a Nivel Nacional.</w:t>
            </w:r>
            <w:r w:rsidRPr="00390238">
              <w:rPr>
                <w:rFonts w:ascii="Arial" w:hAnsi="Arial" w:cs="Arial"/>
                <w:sz w:val="20"/>
                <w:szCs w:val="20"/>
                <w:lang w:val="es-ES_tradnl"/>
              </w:rPr>
              <w:t xml:space="preserve"> </w:t>
            </w:r>
          </w:p>
        </w:tc>
        <w:tc>
          <w:tcPr>
            <w:tcW w:w="1800" w:type="dxa"/>
          </w:tcPr>
          <w:p w14:paraId="59A4DE58" w14:textId="35AD554B" w:rsidR="001C2617" w:rsidRPr="006021BF" w:rsidRDefault="001C2617" w:rsidP="00D26A5C">
            <w:pPr>
              <w:spacing w:before="60" w:after="60"/>
              <w:ind w:left="-4"/>
              <w:jc w:val="both"/>
              <w:rPr>
                <w:rFonts w:ascii="Arial" w:hAnsi="Arial"/>
                <w:b/>
                <w:sz w:val="20"/>
                <w:lang w:val="es-ES_tradnl"/>
              </w:rPr>
            </w:pPr>
            <w:r w:rsidRPr="00726417">
              <w:rPr>
                <w:rFonts w:ascii="Arial" w:hAnsi="Arial"/>
                <w:b/>
                <w:sz w:val="20"/>
                <w:lang w:val="es-ES_tradnl"/>
              </w:rPr>
              <w:lastRenderedPageBreak/>
              <w:t>Cumplido</w:t>
            </w:r>
            <w:r w:rsidRPr="003873E8">
              <w:rPr>
                <w:rFonts w:ascii="Arial" w:hAnsi="Arial" w:cs="Arial"/>
                <w:sz w:val="20"/>
                <w:szCs w:val="20"/>
                <w:lang w:val="pt-BR"/>
              </w:rPr>
              <w:t xml:space="preserve"> </w:t>
            </w:r>
          </w:p>
          <w:p w14:paraId="0E100136" w14:textId="77777777" w:rsidR="00797EC6" w:rsidRPr="006021BF" w:rsidRDefault="00797EC6" w:rsidP="00D26A5C">
            <w:pPr>
              <w:spacing w:before="60" w:after="60"/>
              <w:ind w:left="-4"/>
              <w:jc w:val="both"/>
              <w:rPr>
                <w:rFonts w:ascii="Arial" w:hAnsi="Arial"/>
                <w:b/>
                <w:sz w:val="20"/>
                <w:lang w:val="es-ES_tradnl"/>
              </w:rPr>
            </w:pPr>
          </w:p>
          <w:p w14:paraId="2DFB65C6" w14:textId="77777777" w:rsidR="009E2BF2" w:rsidRPr="00726417" w:rsidRDefault="009E2BF2" w:rsidP="00D26A5C">
            <w:pPr>
              <w:spacing w:before="60" w:after="60"/>
              <w:ind w:left="-4"/>
              <w:jc w:val="both"/>
              <w:rPr>
                <w:rFonts w:ascii="Arial" w:hAnsi="Arial"/>
                <w:b/>
                <w:sz w:val="20"/>
                <w:lang w:val="es-ES_tradnl"/>
              </w:rPr>
            </w:pPr>
          </w:p>
          <w:p w14:paraId="207C1E0B" w14:textId="77777777" w:rsidR="009E2BF2" w:rsidRPr="00726417" w:rsidRDefault="009E2BF2" w:rsidP="00D26A5C">
            <w:pPr>
              <w:spacing w:before="60" w:after="60"/>
              <w:ind w:left="-4"/>
              <w:jc w:val="both"/>
              <w:rPr>
                <w:rFonts w:ascii="Arial" w:hAnsi="Arial"/>
                <w:b/>
                <w:sz w:val="20"/>
                <w:lang w:val="es-ES_tradnl"/>
              </w:rPr>
            </w:pPr>
          </w:p>
          <w:p w14:paraId="54995FEA" w14:textId="14C0EA5D" w:rsidR="009E2BF2" w:rsidRDefault="009E2BF2" w:rsidP="00D26A5C">
            <w:pPr>
              <w:spacing w:before="60" w:after="60"/>
              <w:ind w:left="-4"/>
              <w:jc w:val="both"/>
              <w:rPr>
                <w:rFonts w:ascii="Arial" w:hAnsi="Arial"/>
                <w:b/>
                <w:sz w:val="20"/>
                <w:lang w:val="es-ES_tradnl"/>
              </w:rPr>
            </w:pPr>
          </w:p>
          <w:p w14:paraId="47EBA290" w14:textId="01209933" w:rsidR="00555F4B" w:rsidRDefault="00555F4B" w:rsidP="00D26A5C">
            <w:pPr>
              <w:spacing w:before="60" w:after="60"/>
              <w:ind w:left="-4"/>
              <w:jc w:val="both"/>
              <w:rPr>
                <w:rFonts w:ascii="Arial" w:hAnsi="Arial"/>
                <w:b/>
                <w:sz w:val="20"/>
                <w:lang w:val="es-ES_tradnl"/>
              </w:rPr>
            </w:pPr>
          </w:p>
          <w:p w14:paraId="5AA1EC67" w14:textId="10F71213" w:rsidR="00522044" w:rsidRDefault="00522044" w:rsidP="00D26A5C">
            <w:pPr>
              <w:spacing w:before="60" w:after="60"/>
              <w:ind w:left="-4"/>
              <w:jc w:val="both"/>
              <w:rPr>
                <w:rFonts w:ascii="Arial" w:hAnsi="Arial"/>
                <w:b/>
                <w:sz w:val="20"/>
                <w:lang w:val="es-ES_tradnl"/>
              </w:rPr>
            </w:pPr>
          </w:p>
          <w:p w14:paraId="717D1BFF" w14:textId="77777777" w:rsidR="00522044" w:rsidRDefault="00522044" w:rsidP="00D26A5C">
            <w:pPr>
              <w:spacing w:before="60" w:after="60"/>
              <w:ind w:left="-4"/>
              <w:jc w:val="both"/>
              <w:rPr>
                <w:rFonts w:ascii="Arial" w:hAnsi="Arial"/>
                <w:b/>
                <w:sz w:val="20"/>
                <w:lang w:val="es-ES_tradnl"/>
              </w:rPr>
            </w:pPr>
          </w:p>
          <w:p w14:paraId="20DA603B" w14:textId="0AF06DD8" w:rsidR="00E004B6" w:rsidRPr="006021BF" w:rsidRDefault="00E004B6" w:rsidP="00D26A5C">
            <w:pPr>
              <w:spacing w:before="60" w:after="60"/>
              <w:ind w:left="-4"/>
              <w:jc w:val="both"/>
              <w:rPr>
                <w:rFonts w:ascii="Arial" w:hAnsi="Arial"/>
                <w:b/>
                <w:sz w:val="20"/>
                <w:lang w:val="es-ES_tradnl"/>
              </w:rPr>
            </w:pPr>
            <w:r w:rsidRPr="00726417">
              <w:rPr>
                <w:rFonts w:ascii="Arial" w:hAnsi="Arial"/>
                <w:b/>
                <w:sz w:val="20"/>
                <w:lang w:val="es-ES_tradnl"/>
              </w:rPr>
              <w:t>Cumplido</w:t>
            </w:r>
          </w:p>
          <w:p w14:paraId="4B9A3E5F" w14:textId="77777777" w:rsidR="00DF00AC" w:rsidRPr="00726417" w:rsidRDefault="00DF00AC" w:rsidP="00D26A5C">
            <w:pPr>
              <w:spacing w:before="60" w:after="60"/>
              <w:ind w:left="-4"/>
              <w:jc w:val="both"/>
              <w:rPr>
                <w:rFonts w:ascii="Arial" w:hAnsi="Arial"/>
                <w:b/>
                <w:sz w:val="20"/>
                <w:lang w:val="es-ES_tradnl"/>
              </w:rPr>
            </w:pPr>
          </w:p>
          <w:p w14:paraId="36F8E8E2" w14:textId="77777777" w:rsidR="002D3BF6" w:rsidRPr="00726417" w:rsidRDefault="002D3BF6" w:rsidP="00D26A5C">
            <w:pPr>
              <w:spacing w:before="60" w:after="60"/>
              <w:ind w:left="-4"/>
              <w:jc w:val="both"/>
              <w:rPr>
                <w:rFonts w:ascii="Arial" w:hAnsi="Arial"/>
                <w:b/>
                <w:sz w:val="20"/>
                <w:lang w:val="es-ES_tradnl"/>
              </w:rPr>
            </w:pPr>
          </w:p>
          <w:p w14:paraId="0C0DBE84" w14:textId="5AD2C581" w:rsidR="009E2BF2" w:rsidRDefault="009E2BF2" w:rsidP="00D26A5C">
            <w:pPr>
              <w:spacing w:before="60" w:after="60"/>
              <w:ind w:left="-4"/>
              <w:jc w:val="both"/>
              <w:rPr>
                <w:rFonts w:ascii="Arial" w:hAnsi="Arial"/>
                <w:b/>
                <w:sz w:val="20"/>
                <w:lang w:val="es-ES_tradnl"/>
              </w:rPr>
            </w:pPr>
          </w:p>
          <w:p w14:paraId="62EFC5C5" w14:textId="77777777" w:rsidR="00FE5DE8" w:rsidRPr="00726417" w:rsidRDefault="00FE5DE8" w:rsidP="00D26A5C">
            <w:pPr>
              <w:spacing w:before="60" w:after="60"/>
              <w:ind w:left="-4"/>
              <w:jc w:val="both"/>
              <w:rPr>
                <w:rFonts w:ascii="Arial" w:hAnsi="Arial"/>
                <w:b/>
                <w:sz w:val="20"/>
                <w:lang w:val="es-ES_tradnl"/>
              </w:rPr>
            </w:pPr>
          </w:p>
          <w:p w14:paraId="06528DF2" w14:textId="77777777" w:rsidR="009E2BF2" w:rsidRPr="00726417" w:rsidRDefault="009E2BF2" w:rsidP="00D26A5C">
            <w:pPr>
              <w:spacing w:before="60" w:after="60"/>
              <w:ind w:left="-4"/>
              <w:jc w:val="both"/>
              <w:rPr>
                <w:rFonts w:ascii="Arial" w:hAnsi="Arial"/>
                <w:b/>
                <w:sz w:val="20"/>
                <w:lang w:val="es-ES_tradnl"/>
              </w:rPr>
            </w:pPr>
          </w:p>
          <w:p w14:paraId="281C350A" w14:textId="77777777" w:rsidR="009E2BF2" w:rsidRPr="00726417" w:rsidRDefault="009E2BF2" w:rsidP="00D26A5C">
            <w:pPr>
              <w:spacing w:before="60" w:after="60"/>
              <w:ind w:left="-4"/>
              <w:jc w:val="both"/>
              <w:rPr>
                <w:rFonts w:ascii="Arial" w:hAnsi="Arial"/>
                <w:b/>
                <w:sz w:val="20"/>
                <w:lang w:val="es-ES_tradnl"/>
              </w:rPr>
            </w:pPr>
          </w:p>
          <w:p w14:paraId="5D2B75FB" w14:textId="77777777" w:rsidR="009E2BF2" w:rsidRPr="00726417" w:rsidRDefault="009E2BF2" w:rsidP="00D26A5C">
            <w:pPr>
              <w:spacing w:before="60" w:after="60"/>
              <w:ind w:left="-4"/>
              <w:jc w:val="both"/>
              <w:rPr>
                <w:rFonts w:ascii="Arial" w:hAnsi="Arial"/>
                <w:b/>
                <w:sz w:val="20"/>
                <w:lang w:val="es-ES_tradnl"/>
              </w:rPr>
            </w:pPr>
          </w:p>
          <w:p w14:paraId="6B383E31" w14:textId="19227429" w:rsidR="00E004B6" w:rsidRDefault="00E004B6" w:rsidP="00E004B6">
            <w:pPr>
              <w:spacing w:before="60" w:after="60"/>
              <w:ind w:left="-4"/>
              <w:jc w:val="both"/>
              <w:rPr>
                <w:rFonts w:ascii="Arial" w:hAnsi="Arial" w:cs="Arial"/>
                <w:sz w:val="20"/>
                <w:szCs w:val="20"/>
                <w:lang w:val="es-ES_tradnl"/>
              </w:rPr>
            </w:pPr>
            <w:r w:rsidRPr="00726417">
              <w:rPr>
                <w:rFonts w:ascii="Arial" w:hAnsi="Arial"/>
                <w:b/>
                <w:sz w:val="20"/>
                <w:lang w:val="es-ES_tradnl"/>
              </w:rPr>
              <w:lastRenderedPageBreak/>
              <w:t>Cumplido</w:t>
            </w:r>
          </w:p>
          <w:p w14:paraId="6AA0FE70" w14:textId="24431D81" w:rsidR="002D3BF6" w:rsidRPr="006021BF" w:rsidRDefault="002D3BF6" w:rsidP="00D26A5C">
            <w:pPr>
              <w:spacing w:before="60" w:after="60"/>
              <w:ind w:left="-4"/>
              <w:jc w:val="both"/>
              <w:rPr>
                <w:rFonts w:ascii="Arial" w:hAnsi="Arial"/>
                <w:b/>
                <w:sz w:val="20"/>
                <w:lang w:val="es-ES_tradnl"/>
              </w:rPr>
            </w:pPr>
          </w:p>
        </w:tc>
        <w:tc>
          <w:tcPr>
            <w:tcW w:w="1620" w:type="dxa"/>
          </w:tcPr>
          <w:p w14:paraId="3D4E0FDD" w14:textId="4E7B0F46" w:rsidR="001C2617" w:rsidRDefault="001C2617" w:rsidP="00D26A5C">
            <w:pPr>
              <w:spacing w:before="60" w:after="60"/>
              <w:ind w:left="-4"/>
              <w:jc w:val="both"/>
              <w:rPr>
                <w:rFonts w:ascii="Arial" w:hAnsi="Arial" w:cs="Arial"/>
                <w:sz w:val="20"/>
                <w:szCs w:val="20"/>
                <w:lang w:val="es-ES_tradnl"/>
              </w:rPr>
            </w:pPr>
            <w:r>
              <w:rPr>
                <w:rFonts w:ascii="Arial" w:hAnsi="Arial" w:cs="Arial"/>
                <w:sz w:val="20"/>
                <w:szCs w:val="20"/>
                <w:lang w:val="es-ES_tradnl"/>
              </w:rPr>
              <w:lastRenderedPageBreak/>
              <w:t>MINEDU</w:t>
            </w:r>
            <w:r w:rsidR="00DF00AC">
              <w:rPr>
                <w:rFonts w:ascii="Arial" w:hAnsi="Arial" w:cs="Arial"/>
                <w:sz w:val="20"/>
                <w:szCs w:val="20"/>
                <w:lang w:val="es-ES_tradnl"/>
              </w:rPr>
              <w:t xml:space="preserve"> </w:t>
            </w:r>
          </w:p>
          <w:p w14:paraId="76C370D1" w14:textId="77777777" w:rsidR="001C2617" w:rsidRDefault="001C2617" w:rsidP="00D26A5C">
            <w:pPr>
              <w:spacing w:before="60" w:after="60"/>
              <w:ind w:left="-4"/>
              <w:jc w:val="both"/>
              <w:rPr>
                <w:rFonts w:ascii="Arial" w:hAnsi="Arial" w:cs="Arial"/>
                <w:sz w:val="20"/>
                <w:szCs w:val="20"/>
                <w:lang w:val="es-ES_tradnl"/>
              </w:rPr>
            </w:pPr>
          </w:p>
          <w:p w14:paraId="42CBF278" w14:textId="67A7EF35" w:rsidR="001C2617" w:rsidRDefault="001C2617" w:rsidP="00D26A5C">
            <w:pPr>
              <w:spacing w:before="60" w:after="60"/>
              <w:ind w:left="-4"/>
              <w:jc w:val="both"/>
              <w:rPr>
                <w:rFonts w:ascii="Arial" w:hAnsi="Arial" w:cs="Arial"/>
                <w:sz w:val="20"/>
                <w:szCs w:val="20"/>
                <w:lang w:val="es-ES_tradnl"/>
              </w:rPr>
            </w:pPr>
          </w:p>
          <w:p w14:paraId="3090C1E9" w14:textId="3C6BD293" w:rsidR="00522044" w:rsidRDefault="00522044" w:rsidP="00D26A5C">
            <w:pPr>
              <w:spacing w:before="60" w:after="60"/>
              <w:ind w:left="-4"/>
              <w:jc w:val="both"/>
              <w:rPr>
                <w:rFonts w:ascii="Arial" w:hAnsi="Arial" w:cs="Arial"/>
                <w:sz w:val="20"/>
                <w:szCs w:val="20"/>
                <w:lang w:val="es-ES_tradnl"/>
              </w:rPr>
            </w:pPr>
          </w:p>
          <w:p w14:paraId="0F7A1D75" w14:textId="77777777" w:rsidR="00522044" w:rsidRDefault="00522044" w:rsidP="00D26A5C">
            <w:pPr>
              <w:spacing w:before="60" w:after="60"/>
              <w:ind w:left="-4"/>
              <w:jc w:val="both"/>
              <w:rPr>
                <w:rFonts w:ascii="Arial" w:hAnsi="Arial" w:cs="Arial"/>
                <w:sz w:val="20"/>
                <w:szCs w:val="20"/>
                <w:lang w:val="es-ES_tradnl"/>
              </w:rPr>
            </w:pPr>
          </w:p>
          <w:p w14:paraId="2521B8D7" w14:textId="1A195CCE" w:rsidR="001C2617" w:rsidRDefault="001C2617" w:rsidP="00D26A5C">
            <w:pPr>
              <w:spacing w:before="60" w:after="60"/>
              <w:ind w:left="-4"/>
              <w:jc w:val="both"/>
              <w:rPr>
                <w:rFonts w:ascii="Arial" w:hAnsi="Arial" w:cs="Arial"/>
                <w:sz w:val="20"/>
                <w:szCs w:val="20"/>
                <w:lang w:val="es-ES_tradnl"/>
              </w:rPr>
            </w:pPr>
          </w:p>
          <w:p w14:paraId="5A09FC23" w14:textId="6B8A579F" w:rsidR="00555F4B" w:rsidRDefault="00555F4B" w:rsidP="00D26A5C">
            <w:pPr>
              <w:spacing w:before="60" w:after="60"/>
              <w:ind w:left="-4"/>
              <w:jc w:val="both"/>
              <w:rPr>
                <w:rFonts w:ascii="Arial" w:hAnsi="Arial" w:cs="Arial"/>
                <w:sz w:val="20"/>
                <w:szCs w:val="20"/>
                <w:lang w:val="es-ES_tradnl"/>
              </w:rPr>
            </w:pPr>
          </w:p>
          <w:p w14:paraId="35505BA2" w14:textId="77777777" w:rsidR="00FE5DE8" w:rsidRDefault="00FE5DE8" w:rsidP="00D26A5C">
            <w:pPr>
              <w:spacing w:before="60" w:after="60"/>
              <w:ind w:left="-4"/>
              <w:jc w:val="both"/>
              <w:rPr>
                <w:rFonts w:ascii="Arial" w:hAnsi="Arial" w:cs="Arial"/>
                <w:sz w:val="20"/>
                <w:szCs w:val="20"/>
                <w:lang w:val="es-ES_tradnl"/>
              </w:rPr>
            </w:pPr>
          </w:p>
          <w:p w14:paraId="19BCE261" w14:textId="6205BFA1" w:rsidR="001C2617" w:rsidRDefault="001C2617" w:rsidP="00FE5DE8">
            <w:pPr>
              <w:spacing w:before="120" w:after="60"/>
              <w:ind w:left="-4"/>
              <w:jc w:val="both"/>
              <w:rPr>
                <w:rFonts w:ascii="Arial" w:hAnsi="Arial" w:cs="Arial"/>
                <w:sz w:val="20"/>
                <w:szCs w:val="20"/>
                <w:lang w:val="es-ES_tradnl"/>
              </w:rPr>
            </w:pPr>
            <w:r>
              <w:rPr>
                <w:rFonts w:ascii="Arial" w:hAnsi="Arial" w:cs="Arial"/>
                <w:sz w:val="20"/>
                <w:szCs w:val="20"/>
                <w:lang w:val="es-ES_tradnl"/>
              </w:rPr>
              <w:t>MINEDU</w:t>
            </w:r>
            <w:r w:rsidR="00DF00AC">
              <w:rPr>
                <w:rFonts w:ascii="Arial" w:hAnsi="Arial" w:cs="Arial"/>
                <w:sz w:val="20"/>
                <w:szCs w:val="20"/>
                <w:lang w:val="es-ES_tradnl"/>
              </w:rPr>
              <w:t xml:space="preserve"> </w:t>
            </w:r>
          </w:p>
          <w:p w14:paraId="7E4567A5" w14:textId="77777777" w:rsidR="001C2617" w:rsidRDefault="001C2617" w:rsidP="00D26A5C">
            <w:pPr>
              <w:spacing w:before="60" w:after="60"/>
              <w:ind w:left="-4"/>
              <w:jc w:val="both"/>
              <w:rPr>
                <w:rFonts w:ascii="Arial" w:hAnsi="Arial" w:cs="Arial"/>
                <w:sz w:val="20"/>
                <w:szCs w:val="20"/>
                <w:lang w:val="es-ES_tradnl"/>
              </w:rPr>
            </w:pPr>
          </w:p>
          <w:p w14:paraId="47A61EED" w14:textId="77777777" w:rsidR="001C2617" w:rsidRDefault="001C2617" w:rsidP="00D26A5C">
            <w:pPr>
              <w:spacing w:before="60" w:after="60"/>
              <w:ind w:left="-4"/>
              <w:jc w:val="both"/>
              <w:rPr>
                <w:rFonts w:ascii="Arial" w:hAnsi="Arial" w:cs="Arial"/>
                <w:sz w:val="20"/>
                <w:szCs w:val="20"/>
                <w:lang w:val="es-ES_tradnl"/>
              </w:rPr>
            </w:pPr>
          </w:p>
          <w:p w14:paraId="4AFD38D9" w14:textId="77777777" w:rsidR="001C2617" w:rsidRDefault="001C2617" w:rsidP="00D26A5C">
            <w:pPr>
              <w:spacing w:before="60" w:after="60"/>
              <w:ind w:left="-4"/>
              <w:jc w:val="both"/>
              <w:rPr>
                <w:rFonts w:ascii="Arial" w:hAnsi="Arial" w:cs="Arial"/>
                <w:sz w:val="20"/>
                <w:szCs w:val="20"/>
                <w:lang w:val="es-ES_tradnl"/>
              </w:rPr>
            </w:pPr>
          </w:p>
          <w:p w14:paraId="6F7AB2FF" w14:textId="23830397" w:rsidR="001C2617" w:rsidRDefault="001C2617" w:rsidP="00D26A5C">
            <w:pPr>
              <w:spacing w:before="60" w:after="60"/>
              <w:ind w:left="-4"/>
              <w:jc w:val="both"/>
              <w:rPr>
                <w:rFonts w:ascii="Arial" w:hAnsi="Arial" w:cs="Arial"/>
                <w:sz w:val="20"/>
                <w:szCs w:val="20"/>
                <w:lang w:val="es-ES_tradnl"/>
              </w:rPr>
            </w:pPr>
          </w:p>
          <w:p w14:paraId="742D7658" w14:textId="77777777" w:rsidR="00FE5DE8" w:rsidRDefault="00FE5DE8" w:rsidP="00D26A5C">
            <w:pPr>
              <w:spacing w:before="60" w:after="60"/>
              <w:ind w:left="-4"/>
              <w:jc w:val="both"/>
              <w:rPr>
                <w:rFonts w:ascii="Arial" w:hAnsi="Arial" w:cs="Arial"/>
                <w:sz w:val="20"/>
                <w:szCs w:val="20"/>
                <w:lang w:val="es-ES_tradnl"/>
              </w:rPr>
            </w:pPr>
          </w:p>
          <w:p w14:paraId="5131DC7E" w14:textId="77777777" w:rsidR="002D3BF6" w:rsidRDefault="002D3BF6" w:rsidP="00D26A5C">
            <w:pPr>
              <w:spacing w:before="60" w:after="60"/>
              <w:ind w:left="-4"/>
              <w:jc w:val="both"/>
              <w:rPr>
                <w:rFonts w:ascii="Arial" w:hAnsi="Arial" w:cs="Arial"/>
                <w:sz w:val="20"/>
                <w:szCs w:val="20"/>
                <w:lang w:val="es-ES_tradnl"/>
              </w:rPr>
            </w:pPr>
          </w:p>
          <w:p w14:paraId="6074B2E5" w14:textId="77777777" w:rsidR="001C2617" w:rsidRDefault="001C2617" w:rsidP="00934CB5">
            <w:pPr>
              <w:spacing w:before="60" w:after="60"/>
              <w:ind w:left="-4"/>
              <w:jc w:val="both"/>
              <w:rPr>
                <w:rFonts w:ascii="Arial" w:hAnsi="Arial" w:cs="Arial"/>
                <w:sz w:val="20"/>
                <w:szCs w:val="20"/>
                <w:lang w:val="es-ES_tradnl"/>
              </w:rPr>
            </w:pPr>
            <w:r>
              <w:rPr>
                <w:rFonts w:ascii="Arial" w:hAnsi="Arial" w:cs="Arial"/>
                <w:sz w:val="20"/>
                <w:szCs w:val="20"/>
                <w:lang w:val="es-ES_tradnl"/>
              </w:rPr>
              <w:lastRenderedPageBreak/>
              <w:t>MINEDU</w:t>
            </w:r>
            <w:r w:rsidR="00DF00AC">
              <w:rPr>
                <w:rFonts w:ascii="Arial" w:hAnsi="Arial" w:cs="Arial"/>
                <w:sz w:val="20"/>
                <w:szCs w:val="20"/>
                <w:lang w:val="es-ES_tradnl"/>
              </w:rPr>
              <w:t xml:space="preserve"> </w:t>
            </w:r>
          </w:p>
          <w:p w14:paraId="77FFD5ED" w14:textId="77777777" w:rsidR="001C2617" w:rsidRPr="00390238" w:rsidRDefault="001C2617" w:rsidP="00D26A5C">
            <w:pPr>
              <w:spacing w:before="60" w:after="60"/>
              <w:ind w:left="-4"/>
              <w:jc w:val="both"/>
              <w:rPr>
                <w:rFonts w:ascii="Arial" w:hAnsi="Arial" w:cs="Arial"/>
                <w:sz w:val="20"/>
                <w:szCs w:val="20"/>
                <w:lang w:val="es-ES_tradnl"/>
              </w:rPr>
            </w:pPr>
          </w:p>
        </w:tc>
      </w:tr>
      <w:tr w:rsidR="006021BF" w:rsidRPr="00390238" w14:paraId="777E1D06" w14:textId="77777777" w:rsidTr="00992CCD">
        <w:trPr>
          <w:trHeight w:val="3036"/>
        </w:trPr>
        <w:tc>
          <w:tcPr>
            <w:tcW w:w="2691" w:type="dxa"/>
          </w:tcPr>
          <w:p w14:paraId="5EC52BEF" w14:textId="77777777" w:rsidR="001C2617" w:rsidRPr="00390238" w:rsidRDefault="001C2617" w:rsidP="00155D3D">
            <w:pPr>
              <w:jc w:val="both"/>
              <w:rPr>
                <w:rFonts w:ascii="Arial" w:hAnsi="Arial" w:cs="Arial"/>
                <w:sz w:val="20"/>
                <w:szCs w:val="20"/>
                <w:lang w:val="es-ES_tradnl"/>
              </w:rPr>
            </w:pPr>
            <w:r w:rsidRPr="00390238">
              <w:rPr>
                <w:rFonts w:ascii="Arial" w:hAnsi="Arial" w:cs="Arial"/>
                <w:sz w:val="20"/>
                <w:szCs w:val="20"/>
                <w:lang w:val="es-ES_tradnl"/>
              </w:rPr>
              <w:lastRenderedPageBreak/>
              <w:t xml:space="preserve">2.2 </w:t>
            </w:r>
            <w:r w:rsidRPr="00155D3D">
              <w:rPr>
                <w:rFonts w:ascii="Arial" w:hAnsi="Arial" w:cs="Arial"/>
                <w:sz w:val="20"/>
                <w:szCs w:val="20"/>
                <w:lang w:val="es-ES_tradnl"/>
              </w:rPr>
              <w:t>Mejorar la información para la toma de decisiones sobre educación</w:t>
            </w:r>
          </w:p>
        </w:tc>
        <w:tc>
          <w:tcPr>
            <w:tcW w:w="4950" w:type="dxa"/>
          </w:tcPr>
          <w:p w14:paraId="4D3354AD" w14:textId="77777777" w:rsidR="0007457D" w:rsidRDefault="0007457D" w:rsidP="006021BF">
            <w:pPr>
              <w:ind w:left="-4"/>
              <w:jc w:val="both"/>
              <w:rPr>
                <w:rFonts w:ascii="Arial" w:hAnsi="Arial" w:cs="Arial"/>
                <w:sz w:val="20"/>
                <w:szCs w:val="20"/>
                <w:lang w:val="es-ES_tradnl"/>
              </w:rPr>
            </w:pPr>
            <w:bookmarkStart w:id="1" w:name="_Hlk519236687"/>
            <w:r>
              <w:rPr>
                <w:rFonts w:ascii="Arial" w:hAnsi="Arial" w:cs="Arial"/>
                <w:sz w:val="20"/>
                <w:szCs w:val="20"/>
                <w:lang w:val="es-ES_tradnl"/>
              </w:rPr>
              <w:t xml:space="preserve">2.2.1 </w:t>
            </w:r>
            <w:r w:rsidRPr="002F6B9B">
              <w:rPr>
                <w:rFonts w:ascii="Arial" w:hAnsi="Arial" w:cs="Arial"/>
                <w:sz w:val="20"/>
                <w:szCs w:val="20"/>
                <w:lang w:val="es-ES_tradnl"/>
              </w:rPr>
              <w:t>Que se haya modificado la Ley Universitaria para que las universidades públicas y privadas brinden información confiable y oportuna sobre sus egresados al MINEDU.</w:t>
            </w:r>
          </w:p>
          <w:p w14:paraId="45445D6B" w14:textId="5254235B" w:rsidR="0007457D" w:rsidRDefault="0007457D" w:rsidP="00433CF0">
            <w:pPr>
              <w:spacing w:before="60" w:after="60"/>
              <w:ind w:left="-4"/>
              <w:jc w:val="both"/>
              <w:rPr>
                <w:rFonts w:ascii="Arial" w:hAnsi="Arial" w:cs="Arial"/>
                <w:sz w:val="20"/>
                <w:szCs w:val="20"/>
                <w:lang w:val="es-ES_tradnl"/>
              </w:rPr>
            </w:pPr>
          </w:p>
          <w:p w14:paraId="00DD4450" w14:textId="439253E7" w:rsidR="00FE5DE8" w:rsidRDefault="00FE5DE8" w:rsidP="00433CF0">
            <w:pPr>
              <w:spacing w:before="60" w:after="60"/>
              <w:ind w:left="-4"/>
              <w:jc w:val="both"/>
              <w:rPr>
                <w:rFonts w:ascii="Arial" w:hAnsi="Arial" w:cs="Arial"/>
                <w:sz w:val="20"/>
                <w:szCs w:val="20"/>
                <w:lang w:val="es-ES_tradnl"/>
              </w:rPr>
            </w:pPr>
          </w:p>
          <w:p w14:paraId="5FA9B084" w14:textId="77777777" w:rsidR="00FE5DE8" w:rsidRDefault="00FE5DE8" w:rsidP="00433CF0">
            <w:pPr>
              <w:spacing w:before="60" w:after="60"/>
              <w:ind w:left="-4"/>
              <w:jc w:val="both"/>
              <w:rPr>
                <w:rFonts w:ascii="Arial" w:hAnsi="Arial" w:cs="Arial"/>
                <w:sz w:val="20"/>
                <w:szCs w:val="20"/>
                <w:lang w:val="es-ES_tradnl"/>
              </w:rPr>
            </w:pPr>
          </w:p>
          <w:p w14:paraId="568748C4" w14:textId="77777777" w:rsidR="000161F6" w:rsidRDefault="000161F6" w:rsidP="006021BF">
            <w:pPr>
              <w:ind w:left="-4"/>
              <w:jc w:val="both"/>
              <w:rPr>
                <w:rFonts w:ascii="Arial" w:hAnsi="Arial" w:cs="Arial"/>
                <w:sz w:val="20"/>
                <w:szCs w:val="20"/>
                <w:lang w:val="es-ES_tradnl"/>
              </w:rPr>
            </w:pPr>
          </w:p>
          <w:p w14:paraId="1EFF7606" w14:textId="77777777" w:rsidR="000161F6" w:rsidRDefault="000161F6" w:rsidP="006021BF">
            <w:pPr>
              <w:ind w:left="-4"/>
              <w:jc w:val="both"/>
              <w:rPr>
                <w:rFonts w:ascii="Arial" w:hAnsi="Arial" w:cs="Arial"/>
                <w:sz w:val="20"/>
                <w:szCs w:val="20"/>
                <w:lang w:val="es-ES_tradnl"/>
              </w:rPr>
            </w:pPr>
          </w:p>
          <w:p w14:paraId="6AC0B347" w14:textId="284C41F5" w:rsidR="001C2617" w:rsidRPr="00390238" w:rsidRDefault="001C2617" w:rsidP="006021BF">
            <w:pPr>
              <w:ind w:left="-4"/>
              <w:jc w:val="both"/>
              <w:rPr>
                <w:rFonts w:ascii="Arial" w:hAnsi="Arial" w:cs="Arial"/>
                <w:sz w:val="20"/>
                <w:szCs w:val="20"/>
                <w:lang w:val="es-ES_tradnl"/>
              </w:rPr>
            </w:pPr>
            <w:r w:rsidRPr="00390238">
              <w:rPr>
                <w:rFonts w:ascii="Arial" w:hAnsi="Arial" w:cs="Arial"/>
                <w:sz w:val="20"/>
                <w:szCs w:val="20"/>
                <w:lang w:val="es-ES_tradnl"/>
              </w:rPr>
              <w:t>2.2</w:t>
            </w:r>
            <w:r w:rsidR="0007457D">
              <w:rPr>
                <w:rFonts w:ascii="Arial" w:hAnsi="Arial" w:cs="Arial"/>
                <w:sz w:val="20"/>
                <w:szCs w:val="20"/>
                <w:lang w:val="es-ES_tradnl"/>
              </w:rPr>
              <w:t>.2</w:t>
            </w:r>
            <w:r w:rsidRPr="00390238">
              <w:rPr>
                <w:rFonts w:ascii="Arial" w:hAnsi="Arial" w:cs="Arial"/>
                <w:sz w:val="20"/>
                <w:szCs w:val="20"/>
                <w:lang w:val="es-ES_tradnl"/>
              </w:rPr>
              <w:t xml:space="preserve"> Que, en coordinación con el MTPE y el Instituto Peruano de Administración de Empresas (IPAE), el MINEDU haya definido una propuesta de plan de trabajo para mejorar la calidad de los datos del portal web Ponte en Carrera y su usabilidad. Este plan considerará: </w:t>
            </w:r>
            <w:r w:rsidR="008C4D2A">
              <w:rPr>
                <w:rFonts w:ascii="Arial" w:hAnsi="Arial" w:cs="Arial"/>
                <w:sz w:val="20"/>
                <w:szCs w:val="20"/>
                <w:lang w:val="es-ES_tradnl"/>
              </w:rPr>
              <w:t>(</w:t>
            </w:r>
            <w:r w:rsidRPr="00390238">
              <w:rPr>
                <w:rFonts w:ascii="Arial" w:hAnsi="Arial" w:cs="Arial"/>
                <w:sz w:val="20"/>
                <w:szCs w:val="20"/>
                <w:lang w:val="es-ES_tradnl"/>
              </w:rPr>
              <w:t>i)</w:t>
            </w:r>
            <w:r w:rsidR="00522044">
              <w:rPr>
                <w:rFonts w:ascii="Arial" w:hAnsi="Arial" w:cs="Arial"/>
                <w:sz w:val="20"/>
                <w:szCs w:val="20"/>
                <w:lang w:val="es-ES_tradnl"/>
              </w:rPr>
              <w:t> </w:t>
            </w:r>
            <w:r w:rsidRPr="00390238">
              <w:rPr>
                <w:rFonts w:ascii="Arial" w:hAnsi="Arial" w:cs="Arial"/>
                <w:sz w:val="20"/>
                <w:szCs w:val="20"/>
                <w:lang w:val="es-ES_tradnl"/>
              </w:rPr>
              <w:t xml:space="preserve">analizar la cobertura y calidad de la información sobre oferta formativa y empleabilidad que se ofrece; </w:t>
            </w:r>
            <w:r w:rsidR="008C4D2A">
              <w:rPr>
                <w:rFonts w:ascii="Arial" w:hAnsi="Arial" w:cs="Arial"/>
                <w:sz w:val="20"/>
                <w:szCs w:val="20"/>
                <w:lang w:val="es-ES_tradnl"/>
              </w:rPr>
              <w:t>(</w:t>
            </w:r>
            <w:r w:rsidRPr="00390238">
              <w:rPr>
                <w:rFonts w:ascii="Arial" w:hAnsi="Arial" w:cs="Arial"/>
                <w:sz w:val="20"/>
                <w:szCs w:val="20"/>
                <w:lang w:val="es-ES_tradnl"/>
              </w:rPr>
              <w:t>ii)</w:t>
            </w:r>
            <w:r w:rsidR="00522044">
              <w:rPr>
                <w:rFonts w:ascii="Arial" w:hAnsi="Arial" w:cs="Arial"/>
                <w:sz w:val="20"/>
                <w:szCs w:val="20"/>
                <w:lang w:val="es-ES_tradnl"/>
              </w:rPr>
              <w:t> </w:t>
            </w:r>
            <w:r w:rsidRPr="00390238">
              <w:rPr>
                <w:rFonts w:ascii="Arial" w:hAnsi="Arial" w:cs="Arial"/>
                <w:sz w:val="20"/>
                <w:szCs w:val="20"/>
                <w:lang w:val="es-ES_tradnl"/>
              </w:rPr>
              <w:t xml:space="preserve">diseñar una hoja de ruta para el cruce de las bases de datos de egresados de la educación superior (técnica </w:t>
            </w:r>
            <w:r>
              <w:rPr>
                <w:rFonts w:ascii="Arial" w:hAnsi="Arial" w:cs="Arial"/>
                <w:sz w:val="20"/>
                <w:szCs w:val="20"/>
                <w:lang w:val="es-ES_tradnl"/>
              </w:rPr>
              <w:t>y</w:t>
            </w:r>
            <w:r w:rsidRPr="00390238">
              <w:rPr>
                <w:rFonts w:ascii="Arial" w:hAnsi="Arial" w:cs="Arial"/>
                <w:sz w:val="20"/>
                <w:szCs w:val="20"/>
                <w:lang w:val="es-ES_tradnl"/>
              </w:rPr>
              <w:t xml:space="preserve"> universitaria) con los de la Planilla Electrónica; </w:t>
            </w:r>
            <w:r w:rsidR="008C4D2A">
              <w:rPr>
                <w:rFonts w:ascii="Arial" w:hAnsi="Arial" w:cs="Arial"/>
                <w:sz w:val="20"/>
                <w:szCs w:val="20"/>
                <w:lang w:val="es-ES_tradnl"/>
              </w:rPr>
              <w:t>(</w:t>
            </w:r>
            <w:r w:rsidRPr="00390238">
              <w:rPr>
                <w:rFonts w:ascii="Arial" w:hAnsi="Arial" w:cs="Arial"/>
                <w:sz w:val="20"/>
                <w:szCs w:val="20"/>
                <w:lang w:val="es-ES_tradnl"/>
              </w:rPr>
              <w:t>iii)</w:t>
            </w:r>
            <w:r w:rsidR="00522044">
              <w:rPr>
                <w:rFonts w:ascii="Arial" w:hAnsi="Arial" w:cs="Arial"/>
                <w:sz w:val="20"/>
                <w:szCs w:val="20"/>
                <w:lang w:val="es-ES_tradnl"/>
              </w:rPr>
              <w:t> </w:t>
            </w:r>
            <w:r w:rsidRPr="00390238">
              <w:rPr>
                <w:rFonts w:ascii="Arial" w:hAnsi="Arial" w:cs="Arial"/>
                <w:sz w:val="20"/>
                <w:szCs w:val="20"/>
                <w:lang w:val="es-ES_tradnl"/>
              </w:rPr>
              <w:t xml:space="preserve">integrar la construcción de indicadores con perspectiva de género, que orienten hacia una menor segregación ocupacional; y </w:t>
            </w:r>
            <w:r w:rsidR="008C4D2A">
              <w:rPr>
                <w:rFonts w:ascii="Arial" w:hAnsi="Arial" w:cs="Arial"/>
                <w:sz w:val="20"/>
                <w:szCs w:val="20"/>
                <w:lang w:val="es-ES_tradnl"/>
              </w:rPr>
              <w:t>(</w:t>
            </w:r>
            <w:r w:rsidRPr="00390238">
              <w:rPr>
                <w:rFonts w:ascii="Arial" w:hAnsi="Arial" w:cs="Arial"/>
                <w:sz w:val="20"/>
                <w:szCs w:val="20"/>
                <w:lang w:val="es-ES_tradnl"/>
              </w:rPr>
              <w:t>iv)</w:t>
            </w:r>
            <w:r w:rsidR="00522044">
              <w:rPr>
                <w:rFonts w:ascii="Arial" w:hAnsi="Arial" w:cs="Arial"/>
                <w:sz w:val="20"/>
                <w:szCs w:val="20"/>
                <w:lang w:val="es-ES_tradnl"/>
              </w:rPr>
              <w:t> </w:t>
            </w:r>
            <w:r w:rsidRPr="00390238">
              <w:rPr>
                <w:rFonts w:ascii="Arial" w:hAnsi="Arial" w:cs="Arial"/>
                <w:sz w:val="20"/>
                <w:szCs w:val="20"/>
                <w:lang w:val="es-ES_tradnl"/>
              </w:rPr>
              <w:t>analizar el acceso, claridad y usabilidad de la información.</w:t>
            </w:r>
            <w:bookmarkEnd w:id="1"/>
          </w:p>
        </w:tc>
        <w:tc>
          <w:tcPr>
            <w:tcW w:w="3150" w:type="dxa"/>
            <w:shd w:val="clear" w:color="auto" w:fill="auto"/>
          </w:tcPr>
          <w:p w14:paraId="7DAA89B9" w14:textId="160E0203" w:rsidR="0007457D" w:rsidRDefault="0007457D" w:rsidP="006021BF">
            <w:pPr>
              <w:ind w:left="-4"/>
              <w:jc w:val="both"/>
              <w:rPr>
                <w:rFonts w:ascii="Arial" w:hAnsi="Arial" w:cs="Arial"/>
                <w:sz w:val="20"/>
                <w:szCs w:val="20"/>
                <w:lang w:val="es-ES_tradnl"/>
              </w:rPr>
            </w:pPr>
            <w:r>
              <w:rPr>
                <w:rFonts w:ascii="Arial" w:hAnsi="Arial" w:cs="Arial"/>
                <w:sz w:val="20"/>
                <w:szCs w:val="20"/>
                <w:lang w:val="es-ES_tradnl"/>
              </w:rPr>
              <w:t xml:space="preserve">2.2.1 </w:t>
            </w:r>
            <w:r w:rsidRPr="003873E8">
              <w:rPr>
                <w:rFonts w:ascii="Arial" w:hAnsi="Arial" w:cs="Arial"/>
                <w:sz w:val="20"/>
                <w:szCs w:val="20"/>
                <w:lang w:val="es-ES_tradnl"/>
              </w:rPr>
              <w:t>Decreto Legislativo N</w:t>
            </w:r>
            <w:r w:rsidR="00314A11">
              <w:rPr>
                <w:rFonts w:ascii="Arial" w:hAnsi="Arial" w:cs="Arial"/>
                <w:sz w:val="20"/>
                <w:szCs w:val="20"/>
                <w:lang w:val="es-ES_tradnl"/>
              </w:rPr>
              <w:t>°</w:t>
            </w:r>
            <w:r w:rsidR="000A3961">
              <w:rPr>
                <w:rFonts w:ascii="Arial" w:hAnsi="Arial" w:cs="Arial"/>
                <w:sz w:val="20"/>
                <w:szCs w:val="20"/>
                <w:lang w:val="es-ES_tradnl"/>
              </w:rPr>
              <w:t> </w:t>
            </w:r>
            <w:r w:rsidRPr="003873E8">
              <w:rPr>
                <w:rFonts w:ascii="Arial" w:hAnsi="Arial" w:cs="Arial"/>
                <w:sz w:val="20"/>
                <w:szCs w:val="20"/>
                <w:lang w:val="es-ES_tradnl"/>
              </w:rPr>
              <w:t xml:space="preserve">1451 </w:t>
            </w:r>
            <w:r w:rsidR="00402F20">
              <w:rPr>
                <w:rFonts w:ascii="Arial" w:hAnsi="Arial" w:cs="Arial"/>
                <w:sz w:val="20"/>
                <w:szCs w:val="20"/>
                <w:lang w:val="es-ES_tradnl"/>
              </w:rPr>
              <w:t xml:space="preserve">que fortalece el funcionamiento de las entidades del Gobierno Nacional, del Gobierno Regional y del Gobierno Local, a través de precisiones de sus competencias, regulaciones y funciones, </w:t>
            </w:r>
            <w:r w:rsidRPr="003873E8">
              <w:rPr>
                <w:rFonts w:ascii="Arial" w:hAnsi="Arial" w:cs="Arial"/>
                <w:sz w:val="20"/>
                <w:szCs w:val="20"/>
                <w:lang w:val="es-ES_tradnl"/>
              </w:rPr>
              <w:t>publicado el 16</w:t>
            </w:r>
            <w:r w:rsidR="000A3961">
              <w:rPr>
                <w:rFonts w:ascii="Arial" w:hAnsi="Arial" w:cs="Arial"/>
                <w:sz w:val="20"/>
                <w:szCs w:val="20"/>
                <w:lang w:val="es-ES_tradnl"/>
              </w:rPr>
              <w:t> de septiembre</w:t>
            </w:r>
            <w:r w:rsidR="00761E8D">
              <w:rPr>
                <w:rFonts w:ascii="Arial" w:hAnsi="Arial" w:cs="Arial"/>
                <w:sz w:val="20"/>
                <w:szCs w:val="20"/>
                <w:lang w:val="es-ES_tradnl"/>
              </w:rPr>
              <w:t> </w:t>
            </w:r>
            <w:r w:rsidR="000A3961">
              <w:rPr>
                <w:rFonts w:ascii="Arial" w:hAnsi="Arial" w:cs="Arial"/>
                <w:sz w:val="20"/>
                <w:szCs w:val="20"/>
                <w:lang w:val="es-ES_tradnl"/>
              </w:rPr>
              <w:t>de</w:t>
            </w:r>
            <w:r w:rsidR="00761E8D">
              <w:rPr>
                <w:rFonts w:ascii="Arial" w:hAnsi="Arial" w:cs="Arial"/>
                <w:sz w:val="20"/>
                <w:szCs w:val="20"/>
                <w:lang w:val="es-ES_tradnl"/>
              </w:rPr>
              <w:t> </w:t>
            </w:r>
            <w:r w:rsidR="000A3961">
              <w:rPr>
                <w:rFonts w:ascii="Arial" w:hAnsi="Arial" w:cs="Arial"/>
                <w:sz w:val="20"/>
                <w:szCs w:val="20"/>
                <w:lang w:val="es-ES_tradnl"/>
              </w:rPr>
              <w:t>20</w:t>
            </w:r>
            <w:r w:rsidRPr="003873E8">
              <w:rPr>
                <w:rFonts w:ascii="Arial" w:hAnsi="Arial" w:cs="Arial"/>
                <w:sz w:val="20"/>
                <w:szCs w:val="20"/>
                <w:lang w:val="es-ES_tradnl"/>
              </w:rPr>
              <w:t>18)</w:t>
            </w:r>
            <w:r w:rsidR="0013252F">
              <w:rPr>
                <w:rFonts w:ascii="Arial" w:hAnsi="Arial" w:cs="Arial"/>
                <w:sz w:val="20"/>
                <w:szCs w:val="20"/>
                <w:lang w:val="es-ES_tradnl"/>
              </w:rPr>
              <w:t>.</w:t>
            </w:r>
          </w:p>
          <w:p w14:paraId="127283BB" w14:textId="0B401A3C" w:rsidR="0007457D" w:rsidRDefault="0007457D" w:rsidP="006021BF">
            <w:pPr>
              <w:ind w:left="-4"/>
              <w:jc w:val="both"/>
              <w:rPr>
                <w:rFonts w:ascii="Arial" w:hAnsi="Arial" w:cs="Arial"/>
                <w:sz w:val="20"/>
                <w:szCs w:val="20"/>
                <w:lang w:val="es-ES_tradnl"/>
              </w:rPr>
            </w:pPr>
          </w:p>
          <w:p w14:paraId="353B1BB5" w14:textId="37A2B32A" w:rsidR="00522044" w:rsidRDefault="00522044" w:rsidP="006021BF">
            <w:pPr>
              <w:ind w:left="-4"/>
              <w:jc w:val="both"/>
              <w:rPr>
                <w:rFonts w:ascii="Arial" w:hAnsi="Arial" w:cs="Arial"/>
                <w:sz w:val="20"/>
                <w:szCs w:val="20"/>
                <w:lang w:val="es-ES_tradnl"/>
              </w:rPr>
            </w:pPr>
          </w:p>
          <w:p w14:paraId="4E346AC9" w14:textId="3F12430D" w:rsidR="001C2617" w:rsidRPr="00390238" w:rsidRDefault="001C2617" w:rsidP="006021BF">
            <w:pPr>
              <w:ind w:left="-4"/>
              <w:jc w:val="both"/>
              <w:rPr>
                <w:rFonts w:ascii="Arial" w:hAnsi="Arial" w:cs="Arial"/>
                <w:sz w:val="20"/>
                <w:szCs w:val="20"/>
                <w:lang w:val="es-ES_tradnl"/>
              </w:rPr>
            </w:pPr>
            <w:r w:rsidRPr="00796108">
              <w:rPr>
                <w:rFonts w:ascii="Arial" w:hAnsi="Arial" w:cs="Arial"/>
                <w:sz w:val="20"/>
                <w:szCs w:val="20"/>
                <w:lang w:val="es-ES_tradnl"/>
              </w:rPr>
              <w:t>2.2</w:t>
            </w:r>
            <w:r w:rsidR="0007457D" w:rsidRPr="00796108">
              <w:rPr>
                <w:rFonts w:ascii="Arial" w:hAnsi="Arial" w:cs="Arial"/>
                <w:sz w:val="20"/>
                <w:szCs w:val="20"/>
                <w:lang w:val="es-ES_tradnl"/>
              </w:rPr>
              <w:t>.2</w:t>
            </w:r>
            <w:r w:rsidR="00FE5DE8">
              <w:rPr>
                <w:rFonts w:ascii="Arial" w:hAnsi="Arial" w:cs="Arial"/>
                <w:sz w:val="20"/>
                <w:szCs w:val="20"/>
                <w:lang w:val="es-ES_tradnl"/>
              </w:rPr>
              <w:t> </w:t>
            </w:r>
            <w:r w:rsidR="006C7F59">
              <w:rPr>
                <w:rFonts w:ascii="Arial" w:hAnsi="Arial" w:cs="Arial"/>
                <w:sz w:val="20"/>
                <w:szCs w:val="20"/>
                <w:lang w:val="es-ES_tradnl"/>
              </w:rPr>
              <w:t>Oficio</w:t>
            </w:r>
            <w:r w:rsidR="00FE5DE8">
              <w:rPr>
                <w:rFonts w:ascii="Arial" w:hAnsi="Arial" w:cs="Arial"/>
                <w:sz w:val="20"/>
                <w:szCs w:val="20"/>
                <w:lang w:val="es-ES_tradnl"/>
              </w:rPr>
              <w:t> </w:t>
            </w:r>
            <w:r w:rsidR="006C7F59">
              <w:rPr>
                <w:rFonts w:ascii="Arial" w:hAnsi="Arial" w:cs="Arial"/>
                <w:sz w:val="20"/>
                <w:szCs w:val="20"/>
                <w:lang w:val="es-ES_tradnl"/>
              </w:rPr>
              <w:t>N°</w:t>
            </w:r>
            <w:r w:rsidR="00761E8D">
              <w:rPr>
                <w:rFonts w:ascii="Arial" w:hAnsi="Arial" w:cs="Arial"/>
                <w:sz w:val="20"/>
                <w:szCs w:val="20"/>
                <w:lang w:val="es-ES_tradnl"/>
              </w:rPr>
              <w:t> </w:t>
            </w:r>
            <w:r w:rsidR="004179E6">
              <w:rPr>
                <w:rFonts w:ascii="Arial" w:hAnsi="Arial" w:cs="Arial"/>
                <w:sz w:val="20"/>
                <w:szCs w:val="20"/>
                <w:lang w:val="es-ES_tradnl"/>
              </w:rPr>
              <w:t>1181</w:t>
            </w:r>
            <w:r w:rsidR="006C7F59">
              <w:rPr>
                <w:rFonts w:ascii="Arial" w:hAnsi="Arial" w:cs="Arial"/>
                <w:sz w:val="20"/>
                <w:szCs w:val="20"/>
                <w:lang w:val="es-ES_tradnl"/>
              </w:rPr>
              <w:t>-2018-M</w:t>
            </w:r>
            <w:r w:rsidR="004179E6">
              <w:rPr>
                <w:rFonts w:ascii="Arial" w:hAnsi="Arial" w:cs="Arial"/>
                <w:sz w:val="20"/>
                <w:szCs w:val="20"/>
                <w:lang w:val="es-ES_tradnl"/>
              </w:rPr>
              <w:t>INEDU</w:t>
            </w:r>
            <w:r w:rsidR="006C7F59">
              <w:rPr>
                <w:rFonts w:ascii="Arial" w:hAnsi="Arial" w:cs="Arial"/>
                <w:sz w:val="20"/>
                <w:szCs w:val="20"/>
                <w:lang w:val="es-ES_tradnl"/>
              </w:rPr>
              <w:t>/</w:t>
            </w:r>
            <w:r w:rsidR="004179E6">
              <w:rPr>
                <w:rFonts w:ascii="Arial" w:hAnsi="Arial" w:cs="Arial"/>
                <w:sz w:val="20"/>
                <w:szCs w:val="20"/>
                <w:lang w:val="es-ES_tradnl"/>
              </w:rPr>
              <w:t>VMGP</w:t>
            </w:r>
            <w:r w:rsidR="00761E8D">
              <w:rPr>
                <w:rFonts w:ascii="Arial" w:hAnsi="Arial" w:cs="Arial"/>
                <w:sz w:val="20"/>
                <w:szCs w:val="20"/>
                <w:lang w:val="es-ES_tradnl"/>
              </w:rPr>
              <w:noBreakHyphen/>
            </w:r>
            <w:r w:rsidR="004179E6">
              <w:rPr>
                <w:rFonts w:ascii="Arial" w:hAnsi="Arial" w:cs="Arial"/>
                <w:sz w:val="20"/>
                <w:szCs w:val="20"/>
                <w:lang w:val="es-ES_tradnl"/>
              </w:rPr>
              <w:t>DIGESU</w:t>
            </w:r>
            <w:r w:rsidR="006C7F59">
              <w:rPr>
                <w:rFonts w:ascii="Arial" w:hAnsi="Arial" w:cs="Arial"/>
                <w:sz w:val="20"/>
                <w:szCs w:val="20"/>
                <w:lang w:val="es-ES_tradnl"/>
              </w:rPr>
              <w:t xml:space="preserve"> del </w:t>
            </w:r>
            <w:r w:rsidR="00416412">
              <w:rPr>
                <w:rFonts w:ascii="Arial" w:hAnsi="Arial" w:cs="Arial"/>
                <w:sz w:val="20"/>
                <w:szCs w:val="20"/>
                <w:lang w:val="es-ES_tradnl"/>
              </w:rPr>
              <w:t>2</w:t>
            </w:r>
            <w:r w:rsidR="00761E8D">
              <w:rPr>
                <w:rFonts w:ascii="Arial" w:hAnsi="Arial" w:cs="Arial"/>
                <w:sz w:val="20"/>
                <w:szCs w:val="20"/>
                <w:lang w:val="es-ES_tradnl"/>
              </w:rPr>
              <w:t> </w:t>
            </w:r>
            <w:r w:rsidR="000A3961">
              <w:rPr>
                <w:rFonts w:ascii="Arial" w:hAnsi="Arial" w:cs="Arial"/>
                <w:sz w:val="20"/>
                <w:szCs w:val="20"/>
                <w:lang w:val="es-ES_tradnl"/>
              </w:rPr>
              <w:t>de</w:t>
            </w:r>
            <w:r w:rsidR="00761E8D">
              <w:rPr>
                <w:rFonts w:ascii="Arial" w:hAnsi="Arial" w:cs="Arial"/>
                <w:sz w:val="20"/>
                <w:szCs w:val="20"/>
                <w:lang w:val="es-ES_tradnl"/>
              </w:rPr>
              <w:t> </w:t>
            </w:r>
            <w:r w:rsidR="000A3961">
              <w:rPr>
                <w:rFonts w:ascii="Arial" w:hAnsi="Arial" w:cs="Arial"/>
                <w:sz w:val="20"/>
                <w:szCs w:val="20"/>
                <w:lang w:val="es-ES_tradnl"/>
              </w:rPr>
              <w:t>octubre</w:t>
            </w:r>
            <w:r w:rsidR="00761E8D">
              <w:rPr>
                <w:rFonts w:ascii="Arial" w:hAnsi="Arial" w:cs="Arial"/>
                <w:sz w:val="20"/>
                <w:szCs w:val="20"/>
                <w:lang w:val="es-ES_tradnl"/>
              </w:rPr>
              <w:t> </w:t>
            </w:r>
            <w:r w:rsidR="000A3961">
              <w:rPr>
                <w:rFonts w:ascii="Arial" w:hAnsi="Arial" w:cs="Arial"/>
                <w:sz w:val="20"/>
                <w:szCs w:val="20"/>
                <w:lang w:val="es-ES_tradnl"/>
              </w:rPr>
              <w:t>de</w:t>
            </w:r>
            <w:r w:rsidR="00761E8D">
              <w:rPr>
                <w:rFonts w:ascii="Arial" w:hAnsi="Arial" w:cs="Arial"/>
                <w:sz w:val="20"/>
                <w:szCs w:val="20"/>
                <w:lang w:val="es-ES_tradnl"/>
              </w:rPr>
              <w:t> </w:t>
            </w:r>
            <w:r w:rsidR="000A3961">
              <w:rPr>
                <w:rFonts w:ascii="Arial" w:hAnsi="Arial" w:cs="Arial"/>
                <w:sz w:val="20"/>
                <w:szCs w:val="20"/>
                <w:lang w:val="es-ES_tradnl"/>
              </w:rPr>
              <w:t>20</w:t>
            </w:r>
            <w:r w:rsidR="006C7F59">
              <w:rPr>
                <w:rFonts w:ascii="Arial" w:hAnsi="Arial" w:cs="Arial"/>
                <w:sz w:val="20"/>
                <w:szCs w:val="20"/>
                <w:lang w:val="es-ES_tradnl"/>
              </w:rPr>
              <w:t xml:space="preserve">18 </w:t>
            </w:r>
            <w:r>
              <w:rPr>
                <w:rFonts w:ascii="Arial" w:hAnsi="Arial" w:cs="Arial"/>
                <w:sz w:val="20"/>
                <w:szCs w:val="20"/>
                <w:lang w:val="es-ES_tradnl"/>
              </w:rPr>
              <w:t xml:space="preserve">del MINEDU remitiendo el Documento de Propuesta de Plan de Trabajo presentado al </w:t>
            </w:r>
            <w:r w:rsidRPr="000E4B0B">
              <w:rPr>
                <w:rFonts w:ascii="Arial" w:hAnsi="Arial" w:cs="Arial"/>
                <w:sz w:val="20"/>
                <w:szCs w:val="20"/>
                <w:lang w:val="es-ES_tradnl"/>
              </w:rPr>
              <w:t>Equipo</w:t>
            </w:r>
            <w:r w:rsidRPr="00B774E2">
              <w:rPr>
                <w:rFonts w:ascii="Arial" w:hAnsi="Arial" w:cs="Arial"/>
                <w:sz w:val="20"/>
                <w:szCs w:val="20"/>
                <w:lang w:val="es-ES_tradnl"/>
              </w:rPr>
              <w:t xml:space="preserve"> </w:t>
            </w:r>
            <w:r w:rsidRPr="00997A54">
              <w:rPr>
                <w:rFonts w:ascii="Arial" w:hAnsi="Arial" w:cs="Arial"/>
                <w:sz w:val="20"/>
                <w:szCs w:val="20"/>
                <w:lang w:val="es-ES_tradnl"/>
              </w:rPr>
              <w:t xml:space="preserve">de Dirección de </w:t>
            </w:r>
            <w:r w:rsidRPr="00796108">
              <w:rPr>
                <w:rFonts w:ascii="Arial" w:hAnsi="Arial" w:cs="Arial"/>
                <w:sz w:val="20"/>
                <w:szCs w:val="20"/>
                <w:lang w:val="es-ES_tradnl"/>
              </w:rPr>
              <w:t>Ponte en Carrera</w:t>
            </w:r>
            <w:r>
              <w:rPr>
                <w:rFonts w:ascii="Arial" w:hAnsi="Arial" w:cs="Arial"/>
                <w:sz w:val="20"/>
                <w:szCs w:val="20"/>
                <w:lang w:val="es-ES_tradnl"/>
              </w:rPr>
              <w:t xml:space="preserve"> (integrado por Viceministerio de Gestión Pedagógica-MINEDU, Viceministerio de Promoción del Empleo y Capacitación Laboral-MTPE y el Director Ejecutivo de IPAE)</w:t>
            </w:r>
            <w:r w:rsidRPr="00997A54">
              <w:rPr>
                <w:rFonts w:ascii="Arial" w:hAnsi="Arial" w:cs="Arial"/>
                <w:sz w:val="20"/>
                <w:szCs w:val="20"/>
                <w:lang w:val="es-ES_tradnl"/>
              </w:rPr>
              <w:t>.</w:t>
            </w:r>
            <w:r>
              <w:rPr>
                <w:rFonts w:ascii="Arial" w:hAnsi="Arial" w:cs="Arial"/>
                <w:sz w:val="20"/>
                <w:szCs w:val="20"/>
                <w:lang w:val="es-ES_tradnl"/>
              </w:rPr>
              <w:t xml:space="preserve"> </w:t>
            </w:r>
            <w:r w:rsidRPr="00390238">
              <w:rPr>
                <w:rFonts w:ascii="Arial" w:hAnsi="Arial" w:cs="Arial"/>
                <w:sz w:val="20"/>
                <w:szCs w:val="20"/>
                <w:lang w:val="es-ES_tradnl"/>
              </w:rPr>
              <w:t xml:space="preserve"> </w:t>
            </w:r>
          </w:p>
        </w:tc>
        <w:tc>
          <w:tcPr>
            <w:tcW w:w="1800" w:type="dxa"/>
          </w:tcPr>
          <w:p w14:paraId="7A31EEDC" w14:textId="4E228A7B" w:rsidR="001C2617" w:rsidRPr="00726417" w:rsidRDefault="0042201E" w:rsidP="006021BF">
            <w:pPr>
              <w:ind w:left="-4"/>
              <w:jc w:val="both"/>
              <w:rPr>
                <w:rFonts w:ascii="Arial" w:hAnsi="Arial"/>
                <w:b/>
                <w:sz w:val="20"/>
                <w:lang w:val="es-ES_tradnl"/>
              </w:rPr>
            </w:pPr>
            <w:r w:rsidRPr="00726417">
              <w:rPr>
                <w:rFonts w:ascii="Arial" w:hAnsi="Arial"/>
                <w:b/>
                <w:sz w:val="20"/>
                <w:lang w:val="es-ES_tradnl"/>
              </w:rPr>
              <w:t>Cumplido</w:t>
            </w:r>
          </w:p>
          <w:p w14:paraId="68A555D8" w14:textId="77777777" w:rsidR="006C7F59" w:rsidRPr="00726417" w:rsidRDefault="006C7F59" w:rsidP="006021BF">
            <w:pPr>
              <w:ind w:left="-4"/>
              <w:jc w:val="both"/>
              <w:rPr>
                <w:rFonts w:ascii="Arial" w:hAnsi="Arial"/>
                <w:b/>
                <w:sz w:val="20"/>
                <w:lang w:val="es-ES_tradnl"/>
              </w:rPr>
            </w:pPr>
          </w:p>
          <w:p w14:paraId="29DB3D46" w14:textId="77777777" w:rsidR="006C7F59" w:rsidRPr="00726417" w:rsidRDefault="006C7F59" w:rsidP="006021BF">
            <w:pPr>
              <w:ind w:left="-4"/>
              <w:jc w:val="both"/>
              <w:rPr>
                <w:rFonts w:ascii="Arial" w:hAnsi="Arial"/>
                <w:b/>
                <w:sz w:val="20"/>
                <w:lang w:val="es-ES_tradnl"/>
              </w:rPr>
            </w:pPr>
          </w:p>
          <w:p w14:paraId="5ACA7F4B" w14:textId="77777777" w:rsidR="006C7F59" w:rsidRPr="00726417" w:rsidRDefault="006C7F59" w:rsidP="006021BF">
            <w:pPr>
              <w:ind w:left="-4"/>
              <w:jc w:val="both"/>
              <w:rPr>
                <w:rFonts w:ascii="Arial" w:hAnsi="Arial"/>
                <w:b/>
                <w:sz w:val="20"/>
                <w:lang w:val="es-ES_tradnl"/>
              </w:rPr>
            </w:pPr>
          </w:p>
          <w:p w14:paraId="25824A6C" w14:textId="77777777" w:rsidR="006C7F59" w:rsidRPr="00726417" w:rsidRDefault="006C7F59" w:rsidP="006021BF">
            <w:pPr>
              <w:ind w:left="-4"/>
              <w:jc w:val="both"/>
              <w:rPr>
                <w:rFonts w:ascii="Arial" w:hAnsi="Arial"/>
                <w:b/>
                <w:sz w:val="20"/>
                <w:lang w:val="es-ES_tradnl"/>
              </w:rPr>
            </w:pPr>
          </w:p>
          <w:p w14:paraId="0B600DFF" w14:textId="77777777" w:rsidR="000161F6" w:rsidRPr="00726417" w:rsidRDefault="000161F6" w:rsidP="006021BF">
            <w:pPr>
              <w:ind w:left="-4"/>
              <w:jc w:val="both"/>
              <w:rPr>
                <w:rFonts w:ascii="Arial" w:hAnsi="Arial"/>
                <w:b/>
                <w:sz w:val="20"/>
                <w:lang w:val="es-ES_tradnl"/>
              </w:rPr>
            </w:pPr>
          </w:p>
          <w:p w14:paraId="7F059D90" w14:textId="77777777" w:rsidR="000161F6" w:rsidRPr="00726417" w:rsidRDefault="000161F6" w:rsidP="006021BF">
            <w:pPr>
              <w:ind w:left="-4"/>
              <w:jc w:val="both"/>
              <w:rPr>
                <w:rFonts w:ascii="Arial" w:hAnsi="Arial"/>
                <w:b/>
                <w:sz w:val="20"/>
                <w:lang w:val="es-ES_tradnl"/>
              </w:rPr>
            </w:pPr>
          </w:p>
          <w:p w14:paraId="157AAAC8" w14:textId="77777777" w:rsidR="000161F6" w:rsidRPr="00726417" w:rsidRDefault="000161F6" w:rsidP="006021BF">
            <w:pPr>
              <w:ind w:left="-4"/>
              <w:jc w:val="both"/>
              <w:rPr>
                <w:rFonts w:ascii="Arial" w:hAnsi="Arial"/>
                <w:b/>
                <w:sz w:val="20"/>
                <w:lang w:val="es-ES_tradnl"/>
              </w:rPr>
            </w:pPr>
          </w:p>
          <w:p w14:paraId="1DF66BBD" w14:textId="77777777" w:rsidR="000161F6" w:rsidRPr="00726417" w:rsidRDefault="000161F6" w:rsidP="006021BF">
            <w:pPr>
              <w:ind w:left="-4"/>
              <w:jc w:val="both"/>
              <w:rPr>
                <w:rFonts w:ascii="Arial" w:hAnsi="Arial"/>
                <w:b/>
                <w:sz w:val="20"/>
                <w:lang w:val="es-ES_tradnl"/>
              </w:rPr>
            </w:pPr>
          </w:p>
          <w:p w14:paraId="126DD379" w14:textId="1E277983" w:rsidR="006C7F59" w:rsidRDefault="006C7F59" w:rsidP="00FE5DE8">
            <w:pPr>
              <w:spacing w:before="240" w:after="60"/>
              <w:ind w:left="-4"/>
              <w:jc w:val="both"/>
              <w:rPr>
                <w:rFonts w:ascii="Arial" w:hAnsi="Arial" w:cs="Arial"/>
                <w:sz w:val="20"/>
                <w:szCs w:val="20"/>
                <w:lang w:val="es-ES_tradnl"/>
              </w:rPr>
            </w:pPr>
            <w:r w:rsidRPr="00726417">
              <w:rPr>
                <w:rFonts w:ascii="Arial" w:hAnsi="Arial"/>
                <w:b/>
                <w:sz w:val="20"/>
                <w:lang w:val="es-ES_tradnl"/>
              </w:rPr>
              <w:t>Cumplido</w:t>
            </w:r>
            <w:r>
              <w:rPr>
                <w:rFonts w:ascii="Arial" w:hAnsi="Arial" w:cs="Arial"/>
                <w:sz w:val="20"/>
                <w:szCs w:val="20"/>
                <w:lang w:val="es-ES_tradnl"/>
              </w:rPr>
              <w:t xml:space="preserve"> </w:t>
            </w:r>
          </w:p>
          <w:p w14:paraId="1A569251" w14:textId="77777777" w:rsidR="006C7F59" w:rsidRDefault="006C7F59" w:rsidP="00F06BB8">
            <w:pPr>
              <w:spacing w:before="60" w:after="60"/>
              <w:ind w:left="-4"/>
              <w:jc w:val="both"/>
              <w:rPr>
                <w:rFonts w:ascii="Arial" w:hAnsi="Arial" w:cs="Arial"/>
                <w:sz w:val="20"/>
                <w:szCs w:val="20"/>
                <w:lang w:val="es-ES_tradnl"/>
              </w:rPr>
            </w:pPr>
          </w:p>
          <w:p w14:paraId="4BF1704B" w14:textId="77777777" w:rsidR="006C7F59" w:rsidRPr="006021BF" w:rsidRDefault="006C7F59" w:rsidP="006021BF">
            <w:pPr>
              <w:ind w:left="-4"/>
              <w:jc w:val="both"/>
              <w:rPr>
                <w:rFonts w:ascii="Arial" w:hAnsi="Arial"/>
                <w:b/>
                <w:sz w:val="20"/>
                <w:lang w:val="es-ES_tradnl"/>
              </w:rPr>
            </w:pPr>
          </w:p>
        </w:tc>
        <w:tc>
          <w:tcPr>
            <w:tcW w:w="1620" w:type="dxa"/>
          </w:tcPr>
          <w:p w14:paraId="16824E21" w14:textId="3AA324FC" w:rsidR="001C2617" w:rsidRDefault="001C2617" w:rsidP="006021BF">
            <w:pPr>
              <w:ind w:left="-4"/>
              <w:jc w:val="both"/>
              <w:rPr>
                <w:rFonts w:ascii="Arial" w:hAnsi="Arial" w:cs="Arial"/>
                <w:sz w:val="20"/>
                <w:szCs w:val="20"/>
                <w:lang w:val="es-ES_tradnl"/>
              </w:rPr>
            </w:pPr>
            <w:r>
              <w:rPr>
                <w:rFonts w:ascii="Arial" w:hAnsi="Arial" w:cs="Arial"/>
                <w:sz w:val="20"/>
                <w:szCs w:val="20"/>
                <w:lang w:val="es-ES_tradnl"/>
              </w:rPr>
              <w:t>MINEDU)</w:t>
            </w:r>
          </w:p>
          <w:p w14:paraId="20DF566C" w14:textId="77777777" w:rsidR="00FE5DE8" w:rsidRDefault="00FE5DE8" w:rsidP="006021BF">
            <w:pPr>
              <w:ind w:left="-4"/>
              <w:jc w:val="both"/>
              <w:rPr>
                <w:rFonts w:ascii="Arial" w:hAnsi="Arial" w:cs="Arial"/>
                <w:sz w:val="20"/>
                <w:szCs w:val="20"/>
                <w:lang w:val="es-ES_tradnl"/>
              </w:rPr>
            </w:pPr>
          </w:p>
          <w:p w14:paraId="1C71DC1E" w14:textId="77777777" w:rsidR="00FE5DE8" w:rsidRDefault="00FE5DE8" w:rsidP="006021BF">
            <w:pPr>
              <w:ind w:left="-4"/>
              <w:jc w:val="both"/>
              <w:rPr>
                <w:rFonts w:ascii="Arial" w:hAnsi="Arial" w:cs="Arial"/>
                <w:sz w:val="20"/>
                <w:szCs w:val="20"/>
                <w:lang w:val="es-ES_tradnl"/>
              </w:rPr>
            </w:pPr>
          </w:p>
          <w:p w14:paraId="06981A8D" w14:textId="77777777" w:rsidR="00FE5DE8" w:rsidRDefault="00FE5DE8" w:rsidP="006021BF">
            <w:pPr>
              <w:ind w:left="-4"/>
              <w:jc w:val="both"/>
              <w:rPr>
                <w:rFonts w:ascii="Arial" w:hAnsi="Arial" w:cs="Arial"/>
                <w:sz w:val="20"/>
                <w:szCs w:val="20"/>
                <w:lang w:val="es-ES_tradnl"/>
              </w:rPr>
            </w:pPr>
          </w:p>
          <w:p w14:paraId="5A76D379" w14:textId="77777777" w:rsidR="00FE5DE8" w:rsidRDefault="00FE5DE8" w:rsidP="006021BF">
            <w:pPr>
              <w:ind w:left="-4"/>
              <w:jc w:val="both"/>
              <w:rPr>
                <w:rFonts w:ascii="Arial" w:hAnsi="Arial" w:cs="Arial"/>
                <w:sz w:val="20"/>
                <w:szCs w:val="20"/>
                <w:lang w:val="es-ES_tradnl"/>
              </w:rPr>
            </w:pPr>
          </w:p>
          <w:p w14:paraId="406493E1" w14:textId="66D82CD7" w:rsidR="00FE5DE8" w:rsidRDefault="00FE5DE8" w:rsidP="006021BF">
            <w:pPr>
              <w:ind w:left="-4"/>
              <w:jc w:val="both"/>
              <w:rPr>
                <w:rFonts w:ascii="Arial" w:hAnsi="Arial" w:cs="Arial"/>
                <w:sz w:val="20"/>
                <w:szCs w:val="20"/>
                <w:lang w:val="es-ES_tradnl"/>
              </w:rPr>
            </w:pPr>
          </w:p>
          <w:p w14:paraId="0E3D2FE4" w14:textId="5C62F400" w:rsidR="00FE5DE8" w:rsidRDefault="00FE5DE8" w:rsidP="006021BF">
            <w:pPr>
              <w:ind w:left="-4"/>
              <w:jc w:val="both"/>
              <w:rPr>
                <w:rFonts w:ascii="Arial" w:hAnsi="Arial" w:cs="Arial"/>
                <w:sz w:val="20"/>
                <w:szCs w:val="20"/>
                <w:lang w:val="es-ES_tradnl"/>
              </w:rPr>
            </w:pPr>
          </w:p>
          <w:p w14:paraId="5B378A5A" w14:textId="77777777" w:rsidR="00FE5DE8" w:rsidRDefault="00FE5DE8" w:rsidP="006021BF">
            <w:pPr>
              <w:ind w:left="-4"/>
              <w:jc w:val="both"/>
              <w:rPr>
                <w:rFonts w:ascii="Arial" w:hAnsi="Arial" w:cs="Arial"/>
                <w:sz w:val="20"/>
                <w:szCs w:val="20"/>
                <w:lang w:val="es-ES_tradnl"/>
              </w:rPr>
            </w:pPr>
          </w:p>
          <w:p w14:paraId="62204B47" w14:textId="77777777" w:rsidR="00FE5DE8" w:rsidRDefault="00FE5DE8" w:rsidP="006021BF">
            <w:pPr>
              <w:ind w:left="-4"/>
              <w:jc w:val="both"/>
              <w:rPr>
                <w:rFonts w:ascii="Arial" w:hAnsi="Arial" w:cs="Arial"/>
                <w:sz w:val="20"/>
                <w:szCs w:val="20"/>
                <w:lang w:val="es-ES_tradnl"/>
              </w:rPr>
            </w:pPr>
          </w:p>
          <w:p w14:paraId="4C14298D" w14:textId="77777777" w:rsidR="00FE5DE8" w:rsidRDefault="00FE5DE8" w:rsidP="006021BF">
            <w:pPr>
              <w:ind w:left="-4"/>
              <w:jc w:val="both"/>
              <w:rPr>
                <w:rFonts w:ascii="Arial" w:hAnsi="Arial" w:cs="Arial"/>
                <w:sz w:val="20"/>
                <w:szCs w:val="20"/>
                <w:lang w:val="es-ES_tradnl"/>
              </w:rPr>
            </w:pPr>
          </w:p>
          <w:p w14:paraId="086DCDD5" w14:textId="0277C27F" w:rsidR="00FE5DE8" w:rsidRPr="00390238" w:rsidRDefault="00FE5DE8" w:rsidP="006021BF">
            <w:pPr>
              <w:ind w:left="-4"/>
              <w:jc w:val="both"/>
              <w:rPr>
                <w:rFonts w:ascii="Arial" w:hAnsi="Arial" w:cs="Arial"/>
                <w:sz w:val="20"/>
                <w:szCs w:val="20"/>
                <w:lang w:val="es-ES_tradnl"/>
              </w:rPr>
            </w:pPr>
            <w:r>
              <w:rPr>
                <w:rFonts w:ascii="Arial" w:hAnsi="Arial" w:cs="Arial"/>
                <w:sz w:val="20"/>
                <w:szCs w:val="20"/>
                <w:lang w:val="es-ES_tradnl"/>
              </w:rPr>
              <w:t>MINEDU-MTPE</w:t>
            </w:r>
          </w:p>
        </w:tc>
      </w:tr>
      <w:tr w:rsidR="006021BF" w:rsidRPr="00390238" w14:paraId="0E71A3B6" w14:textId="77777777" w:rsidTr="00992CCD">
        <w:tc>
          <w:tcPr>
            <w:tcW w:w="2691" w:type="dxa"/>
          </w:tcPr>
          <w:p w14:paraId="3C2C554F" w14:textId="77777777" w:rsidR="001C2617" w:rsidRPr="00390238" w:rsidRDefault="001C2617" w:rsidP="006021BF">
            <w:pPr>
              <w:jc w:val="both"/>
              <w:rPr>
                <w:rFonts w:ascii="Arial" w:hAnsi="Arial" w:cs="Arial"/>
                <w:sz w:val="20"/>
                <w:szCs w:val="20"/>
                <w:lang w:val="es-ES_tradnl"/>
              </w:rPr>
            </w:pPr>
            <w:r w:rsidRPr="00390238">
              <w:rPr>
                <w:rFonts w:ascii="Arial" w:hAnsi="Arial" w:cs="Arial"/>
                <w:sz w:val="20"/>
                <w:szCs w:val="20"/>
                <w:lang w:val="es-ES_tradnl"/>
              </w:rPr>
              <w:t xml:space="preserve">2.3 </w:t>
            </w:r>
            <w:r w:rsidRPr="006021BF">
              <w:rPr>
                <w:rFonts w:ascii="Arial" w:hAnsi="Arial"/>
                <w:sz w:val="20"/>
                <w:lang w:val="es-ES_tradnl"/>
              </w:rPr>
              <w:t>Mejorar la convalidación de conocimientos en el sistema educativo y la portabilidad de los aprendizajes</w:t>
            </w:r>
            <w:r w:rsidRPr="00390238">
              <w:rPr>
                <w:rFonts w:ascii="Arial" w:hAnsi="Arial" w:cs="Arial"/>
                <w:sz w:val="20"/>
                <w:szCs w:val="20"/>
                <w:lang w:val="es-ES_tradnl"/>
              </w:rPr>
              <w:t xml:space="preserve"> </w:t>
            </w:r>
          </w:p>
        </w:tc>
        <w:tc>
          <w:tcPr>
            <w:tcW w:w="4950" w:type="dxa"/>
          </w:tcPr>
          <w:p w14:paraId="0BD1815B" w14:textId="52DFDB40" w:rsidR="001C2617" w:rsidRPr="00390238" w:rsidRDefault="001C2617" w:rsidP="006021BF">
            <w:pPr>
              <w:ind w:left="-4"/>
              <w:jc w:val="both"/>
              <w:rPr>
                <w:rFonts w:ascii="Arial" w:hAnsi="Arial" w:cs="Arial"/>
                <w:sz w:val="20"/>
                <w:szCs w:val="20"/>
                <w:lang w:val="es-ES_tradnl"/>
              </w:rPr>
            </w:pPr>
            <w:r w:rsidRPr="00390238">
              <w:rPr>
                <w:rFonts w:ascii="Arial" w:hAnsi="Arial" w:cs="Arial"/>
                <w:sz w:val="20"/>
                <w:szCs w:val="20"/>
                <w:lang w:val="es-ES_tradnl"/>
              </w:rPr>
              <w:t xml:space="preserve">2.3 </w:t>
            </w:r>
            <w:r w:rsidR="0007457D" w:rsidRPr="00390238">
              <w:rPr>
                <w:rFonts w:ascii="Arial" w:hAnsi="Arial" w:cs="Arial"/>
                <w:sz w:val="20"/>
                <w:szCs w:val="20"/>
                <w:lang w:val="es-ES_tradnl"/>
              </w:rPr>
              <w:t>Que</w:t>
            </w:r>
            <w:r w:rsidR="0007457D">
              <w:rPr>
                <w:rFonts w:ascii="Arial" w:hAnsi="Arial" w:cs="Arial"/>
                <w:sz w:val="20"/>
                <w:szCs w:val="20"/>
                <w:lang w:val="es-ES_tradnl"/>
              </w:rPr>
              <w:t xml:space="preserve"> MINEDU haya definido la fuente de financiamiento para el desarrollo e implementación del MNC y que</w:t>
            </w:r>
            <w:r w:rsidR="0007457D" w:rsidRPr="00390238">
              <w:rPr>
                <w:rFonts w:ascii="Arial" w:hAnsi="Arial" w:cs="Arial"/>
                <w:sz w:val="20"/>
                <w:szCs w:val="20"/>
                <w:lang w:val="es-ES_tradnl"/>
              </w:rPr>
              <w:t xml:space="preserve">, en coordinación con el MTPE, haya </w:t>
            </w:r>
            <w:r w:rsidR="0007457D">
              <w:rPr>
                <w:rFonts w:ascii="Arial" w:hAnsi="Arial" w:cs="Arial"/>
                <w:sz w:val="20"/>
                <w:szCs w:val="20"/>
                <w:lang w:val="es-ES_tradnl"/>
              </w:rPr>
              <w:t>elaborado</w:t>
            </w:r>
            <w:r w:rsidR="0007457D" w:rsidRPr="00390238">
              <w:rPr>
                <w:rFonts w:ascii="Arial" w:hAnsi="Arial" w:cs="Arial"/>
                <w:sz w:val="20"/>
                <w:szCs w:val="20"/>
                <w:lang w:val="es-ES_tradnl"/>
              </w:rPr>
              <w:t xml:space="preserve"> una propuesta de plan de trabajo para </w:t>
            </w:r>
            <w:r w:rsidR="0007457D">
              <w:rPr>
                <w:rFonts w:ascii="Arial" w:hAnsi="Arial" w:cs="Arial"/>
                <w:sz w:val="20"/>
                <w:szCs w:val="20"/>
                <w:lang w:val="es-ES_tradnl"/>
              </w:rPr>
              <w:t>su</w:t>
            </w:r>
            <w:r w:rsidR="0007457D" w:rsidRPr="00390238">
              <w:rPr>
                <w:rFonts w:ascii="Arial" w:hAnsi="Arial" w:cs="Arial"/>
                <w:sz w:val="20"/>
                <w:szCs w:val="20"/>
                <w:lang w:val="es-ES_tradnl"/>
              </w:rPr>
              <w:t xml:space="preserve"> desarrollo, y designado al equipo encargado de implementarlo. Este plan considerará: (i)</w:t>
            </w:r>
            <w:r w:rsidR="0007457D">
              <w:rPr>
                <w:rFonts w:ascii="Arial" w:hAnsi="Arial" w:cs="Arial"/>
                <w:sz w:val="20"/>
                <w:szCs w:val="20"/>
                <w:lang w:val="es-ES_tradnl"/>
              </w:rPr>
              <w:t> </w:t>
            </w:r>
            <w:r w:rsidR="0007457D" w:rsidRPr="00390238">
              <w:rPr>
                <w:rFonts w:ascii="Arial" w:hAnsi="Arial" w:cs="Arial"/>
                <w:sz w:val="20"/>
                <w:szCs w:val="20"/>
                <w:lang w:val="es-ES_tradnl"/>
              </w:rPr>
              <w:t xml:space="preserve">diseño conceptual del </w:t>
            </w:r>
            <w:r w:rsidR="0007457D" w:rsidRPr="00796108">
              <w:rPr>
                <w:rFonts w:ascii="Arial" w:hAnsi="Arial" w:cs="Arial"/>
                <w:sz w:val="20"/>
                <w:szCs w:val="20"/>
                <w:lang w:val="es-ES_tradnl"/>
              </w:rPr>
              <w:t>MNC;</w:t>
            </w:r>
            <w:r w:rsidR="0007457D" w:rsidRPr="00390238">
              <w:rPr>
                <w:rFonts w:ascii="Arial" w:hAnsi="Arial" w:cs="Arial"/>
                <w:sz w:val="20"/>
                <w:szCs w:val="20"/>
                <w:lang w:val="es-ES_tradnl"/>
              </w:rPr>
              <w:t xml:space="preserve"> (ii)</w:t>
            </w:r>
            <w:r w:rsidR="00522044">
              <w:rPr>
                <w:rFonts w:ascii="Arial" w:hAnsi="Arial" w:cs="Arial"/>
                <w:sz w:val="20"/>
                <w:szCs w:val="20"/>
                <w:lang w:val="es-ES_tradnl"/>
              </w:rPr>
              <w:t> </w:t>
            </w:r>
            <w:r w:rsidR="0007457D" w:rsidRPr="00390238">
              <w:rPr>
                <w:rFonts w:ascii="Arial" w:hAnsi="Arial" w:cs="Arial"/>
                <w:sz w:val="20"/>
                <w:szCs w:val="20"/>
                <w:lang w:val="es-ES_tradnl"/>
              </w:rPr>
              <w:t>proceso de capacitación de los funcionarios sobre los objetivos y alcance de</w:t>
            </w:r>
            <w:r w:rsidR="0007457D">
              <w:rPr>
                <w:rFonts w:ascii="Arial" w:hAnsi="Arial" w:cs="Arial"/>
                <w:sz w:val="20"/>
                <w:szCs w:val="20"/>
                <w:lang w:val="es-ES_tradnl"/>
              </w:rPr>
              <w:t>l</w:t>
            </w:r>
            <w:r w:rsidR="0007457D" w:rsidRPr="00390238">
              <w:rPr>
                <w:rFonts w:ascii="Arial" w:hAnsi="Arial" w:cs="Arial"/>
                <w:sz w:val="20"/>
                <w:szCs w:val="20"/>
                <w:lang w:val="es-ES_tradnl"/>
              </w:rPr>
              <w:t xml:space="preserve"> MNC a la luz de las experiencias internacionales;</w:t>
            </w:r>
            <w:r w:rsidR="0007457D">
              <w:rPr>
                <w:rFonts w:ascii="Arial" w:hAnsi="Arial" w:cs="Arial"/>
                <w:sz w:val="20"/>
                <w:szCs w:val="20"/>
                <w:lang w:val="es-ES_tradnl"/>
              </w:rPr>
              <w:t xml:space="preserve"> y</w:t>
            </w:r>
            <w:r w:rsidR="0007457D" w:rsidRPr="00390238">
              <w:rPr>
                <w:rFonts w:ascii="Arial" w:hAnsi="Arial" w:cs="Arial"/>
                <w:sz w:val="20"/>
                <w:szCs w:val="20"/>
                <w:lang w:val="es-ES_tradnl"/>
              </w:rPr>
              <w:t xml:space="preserve"> (iii)</w:t>
            </w:r>
            <w:r w:rsidR="00522044">
              <w:rPr>
                <w:rFonts w:ascii="Arial" w:hAnsi="Arial" w:cs="Arial"/>
                <w:sz w:val="20"/>
                <w:szCs w:val="20"/>
                <w:lang w:val="es-ES_tradnl"/>
              </w:rPr>
              <w:t> </w:t>
            </w:r>
            <w:r w:rsidR="0007457D">
              <w:rPr>
                <w:rFonts w:ascii="Arial" w:hAnsi="Arial" w:cs="Arial"/>
                <w:sz w:val="20"/>
                <w:szCs w:val="20"/>
                <w:lang w:val="es-ES_tradnl"/>
              </w:rPr>
              <w:t>identificación de un piloto para el poblamiento del MNC</w:t>
            </w:r>
            <w:r w:rsidR="0007457D" w:rsidRPr="00390238">
              <w:rPr>
                <w:rFonts w:ascii="Arial" w:hAnsi="Arial" w:cs="Arial"/>
                <w:sz w:val="20"/>
                <w:szCs w:val="20"/>
                <w:lang w:val="es-ES_tradnl"/>
              </w:rPr>
              <w:t>.</w:t>
            </w:r>
          </w:p>
        </w:tc>
        <w:tc>
          <w:tcPr>
            <w:tcW w:w="3150" w:type="dxa"/>
            <w:shd w:val="clear" w:color="auto" w:fill="auto"/>
          </w:tcPr>
          <w:p w14:paraId="7F5C48BC" w14:textId="70EB0D0D" w:rsidR="0042201E" w:rsidRDefault="001C2617" w:rsidP="006021BF">
            <w:pPr>
              <w:ind w:left="-4"/>
              <w:jc w:val="both"/>
              <w:rPr>
                <w:rFonts w:ascii="Arial" w:hAnsi="Arial" w:cs="Arial"/>
                <w:sz w:val="20"/>
                <w:szCs w:val="20"/>
                <w:lang w:val="es-ES_tradnl"/>
              </w:rPr>
            </w:pPr>
            <w:r>
              <w:rPr>
                <w:rFonts w:ascii="Arial" w:hAnsi="Arial" w:cs="Arial"/>
                <w:sz w:val="20"/>
                <w:szCs w:val="20"/>
                <w:lang w:val="es-ES_tradnl"/>
              </w:rPr>
              <w:t>2.3</w:t>
            </w:r>
            <w:r w:rsidR="0042201E">
              <w:rPr>
                <w:rFonts w:ascii="Arial" w:hAnsi="Arial" w:cs="Arial"/>
                <w:sz w:val="20"/>
                <w:szCs w:val="20"/>
                <w:lang w:val="es-ES_tradnl"/>
              </w:rPr>
              <w:t>.1 Decreto Supremo</w:t>
            </w:r>
            <w:r w:rsidR="0025229F">
              <w:rPr>
                <w:rFonts w:ascii="Arial" w:hAnsi="Arial" w:cs="Arial"/>
                <w:sz w:val="20"/>
                <w:szCs w:val="20"/>
                <w:lang w:val="es-ES_tradnl"/>
              </w:rPr>
              <w:t xml:space="preserve"> </w:t>
            </w:r>
            <w:r w:rsidR="00416412">
              <w:rPr>
                <w:rFonts w:ascii="Arial" w:hAnsi="Arial" w:cs="Arial"/>
                <w:sz w:val="20"/>
                <w:szCs w:val="20"/>
                <w:lang w:val="es-ES_tradnl"/>
              </w:rPr>
              <w:t>N°</w:t>
            </w:r>
            <w:r w:rsidR="00761E8D">
              <w:rPr>
                <w:rFonts w:ascii="Arial" w:hAnsi="Arial" w:cs="Arial"/>
                <w:sz w:val="20"/>
                <w:szCs w:val="20"/>
                <w:lang w:val="es-ES_tradnl"/>
              </w:rPr>
              <w:t> </w:t>
            </w:r>
            <w:r w:rsidR="00416412">
              <w:rPr>
                <w:rFonts w:ascii="Arial" w:hAnsi="Arial" w:cs="Arial"/>
                <w:sz w:val="20"/>
                <w:szCs w:val="20"/>
                <w:lang w:val="es-ES_tradnl"/>
              </w:rPr>
              <w:t>201</w:t>
            </w:r>
            <w:r w:rsidR="00D6428F">
              <w:rPr>
                <w:rFonts w:ascii="Arial" w:hAnsi="Arial" w:cs="Arial"/>
                <w:sz w:val="20"/>
                <w:szCs w:val="20"/>
                <w:lang w:val="es-ES_tradnl"/>
              </w:rPr>
              <w:noBreakHyphen/>
            </w:r>
            <w:r w:rsidR="00416412">
              <w:rPr>
                <w:rFonts w:ascii="Arial" w:hAnsi="Arial" w:cs="Arial"/>
                <w:sz w:val="20"/>
                <w:szCs w:val="20"/>
                <w:lang w:val="es-ES_tradnl"/>
              </w:rPr>
              <w:t>2018-EF, publicado el 5</w:t>
            </w:r>
            <w:r w:rsidR="00761E8D">
              <w:rPr>
                <w:rFonts w:ascii="Arial" w:hAnsi="Arial" w:cs="Arial"/>
                <w:sz w:val="20"/>
                <w:szCs w:val="20"/>
                <w:lang w:val="es-ES_tradnl"/>
              </w:rPr>
              <w:t> </w:t>
            </w:r>
            <w:r w:rsidR="000A3961">
              <w:rPr>
                <w:rFonts w:ascii="Arial" w:hAnsi="Arial" w:cs="Arial"/>
                <w:sz w:val="20"/>
                <w:szCs w:val="20"/>
                <w:lang w:val="es-ES_tradnl"/>
              </w:rPr>
              <w:t>de</w:t>
            </w:r>
            <w:r w:rsidR="00761E8D">
              <w:rPr>
                <w:rFonts w:ascii="Arial" w:hAnsi="Arial" w:cs="Arial"/>
                <w:sz w:val="20"/>
                <w:szCs w:val="20"/>
                <w:lang w:val="es-ES_tradnl"/>
              </w:rPr>
              <w:t> </w:t>
            </w:r>
            <w:r w:rsidR="000A3961">
              <w:rPr>
                <w:rFonts w:ascii="Arial" w:hAnsi="Arial" w:cs="Arial"/>
                <w:sz w:val="20"/>
                <w:szCs w:val="20"/>
                <w:lang w:val="es-ES_tradnl"/>
              </w:rPr>
              <w:t>septiembre</w:t>
            </w:r>
            <w:r w:rsidR="00761E8D">
              <w:rPr>
                <w:rFonts w:ascii="Arial" w:hAnsi="Arial" w:cs="Arial"/>
                <w:sz w:val="20"/>
                <w:szCs w:val="20"/>
                <w:lang w:val="es-ES_tradnl"/>
              </w:rPr>
              <w:t> </w:t>
            </w:r>
            <w:r w:rsidR="000A3961">
              <w:rPr>
                <w:rFonts w:ascii="Arial" w:hAnsi="Arial" w:cs="Arial"/>
                <w:sz w:val="20"/>
                <w:szCs w:val="20"/>
                <w:lang w:val="es-ES_tradnl"/>
              </w:rPr>
              <w:t>de</w:t>
            </w:r>
            <w:r w:rsidR="00761E8D">
              <w:rPr>
                <w:rFonts w:ascii="Arial" w:hAnsi="Arial" w:cs="Arial"/>
                <w:sz w:val="20"/>
                <w:szCs w:val="20"/>
                <w:lang w:val="es-ES_tradnl"/>
              </w:rPr>
              <w:t> </w:t>
            </w:r>
            <w:r w:rsidR="000A3961">
              <w:rPr>
                <w:rFonts w:ascii="Arial" w:hAnsi="Arial" w:cs="Arial"/>
                <w:sz w:val="20"/>
                <w:szCs w:val="20"/>
                <w:lang w:val="es-ES_tradnl"/>
              </w:rPr>
              <w:t>20</w:t>
            </w:r>
            <w:r w:rsidR="00416412">
              <w:rPr>
                <w:rFonts w:ascii="Arial" w:hAnsi="Arial" w:cs="Arial"/>
                <w:sz w:val="20"/>
                <w:szCs w:val="20"/>
                <w:lang w:val="es-ES_tradnl"/>
              </w:rPr>
              <w:t xml:space="preserve">18, </w:t>
            </w:r>
            <w:r w:rsidR="0042201E">
              <w:rPr>
                <w:rFonts w:ascii="Arial" w:hAnsi="Arial" w:cs="Arial"/>
                <w:sz w:val="20"/>
                <w:szCs w:val="20"/>
                <w:lang w:val="es-ES_tradnl"/>
              </w:rPr>
              <w:t>que aprueba el Programa para la Mejora de la Calidad y Pertinencia de los Servicios de Educación Superior Universitaria y Tecnológica a Nivel Nacional.</w:t>
            </w:r>
          </w:p>
          <w:p w14:paraId="125F5BD8" w14:textId="683A43A0" w:rsidR="0042201E" w:rsidRDefault="0042201E" w:rsidP="006021BF">
            <w:pPr>
              <w:ind w:left="-4"/>
              <w:jc w:val="both"/>
              <w:rPr>
                <w:rFonts w:ascii="Arial" w:hAnsi="Arial" w:cs="Arial"/>
                <w:sz w:val="20"/>
                <w:szCs w:val="20"/>
                <w:lang w:val="es-ES_tradnl"/>
              </w:rPr>
            </w:pPr>
          </w:p>
          <w:p w14:paraId="1E413D40" w14:textId="47D777D9" w:rsidR="00FE5DE8" w:rsidRDefault="00FE5DE8" w:rsidP="006021BF">
            <w:pPr>
              <w:ind w:left="-4"/>
              <w:jc w:val="both"/>
              <w:rPr>
                <w:rFonts w:ascii="Arial" w:hAnsi="Arial" w:cs="Arial"/>
                <w:sz w:val="20"/>
                <w:szCs w:val="20"/>
                <w:lang w:val="es-ES_tradnl"/>
              </w:rPr>
            </w:pPr>
          </w:p>
          <w:p w14:paraId="301D9121" w14:textId="79557BE5" w:rsidR="00FE5DE8" w:rsidRDefault="00FE5DE8" w:rsidP="006021BF">
            <w:pPr>
              <w:ind w:left="-4"/>
              <w:jc w:val="both"/>
              <w:rPr>
                <w:rFonts w:ascii="Arial" w:hAnsi="Arial" w:cs="Arial"/>
                <w:sz w:val="20"/>
                <w:szCs w:val="20"/>
                <w:lang w:val="es-ES_tradnl"/>
              </w:rPr>
            </w:pPr>
          </w:p>
          <w:p w14:paraId="5F7F0962" w14:textId="77777777" w:rsidR="00FE5DE8" w:rsidRDefault="00FE5DE8" w:rsidP="006021BF">
            <w:pPr>
              <w:ind w:left="-4"/>
              <w:jc w:val="both"/>
              <w:rPr>
                <w:rFonts w:ascii="Arial" w:hAnsi="Arial" w:cs="Arial"/>
                <w:sz w:val="20"/>
                <w:szCs w:val="20"/>
                <w:lang w:val="es-ES_tradnl"/>
              </w:rPr>
            </w:pPr>
          </w:p>
          <w:p w14:paraId="6687CE87" w14:textId="1FCEBA88" w:rsidR="0025229F" w:rsidRPr="00390238" w:rsidRDefault="0042201E" w:rsidP="006021BF">
            <w:pPr>
              <w:ind w:left="-4"/>
              <w:jc w:val="both"/>
              <w:rPr>
                <w:rFonts w:ascii="Arial" w:hAnsi="Arial" w:cs="Arial"/>
                <w:sz w:val="20"/>
                <w:szCs w:val="20"/>
                <w:lang w:val="es-ES_tradnl"/>
              </w:rPr>
            </w:pPr>
            <w:r w:rsidRPr="00796108">
              <w:rPr>
                <w:rFonts w:ascii="Arial" w:hAnsi="Arial" w:cs="Arial"/>
                <w:sz w:val="20"/>
                <w:szCs w:val="20"/>
                <w:lang w:val="es-ES_tradnl"/>
              </w:rPr>
              <w:t>2.3.2</w:t>
            </w:r>
            <w:r w:rsidR="00522044">
              <w:rPr>
                <w:rFonts w:ascii="Arial" w:hAnsi="Arial" w:cs="Arial"/>
                <w:sz w:val="20"/>
                <w:szCs w:val="20"/>
                <w:lang w:val="es-ES_tradnl"/>
              </w:rPr>
              <w:t> </w:t>
            </w:r>
            <w:r w:rsidR="006C7F59">
              <w:rPr>
                <w:rFonts w:ascii="Arial" w:hAnsi="Arial" w:cs="Arial"/>
                <w:sz w:val="20"/>
                <w:szCs w:val="20"/>
                <w:lang w:val="es-ES_tradnl"/>
              </w:rPr>
              <w:t>Oficio</w:t>
            </w:r>
            <w:r w:rsidR="00522044">
              <w:rPr>
                <w:rFonts w:ascii="Arial" w:hAnsi="Arial" w:cs="Arial"/>
                <w:sz w:val="20"/>
                <w:szCs w:val="20"/>
                <w:lang w:val="es-ES_tradnl"/>
              </w:rPr>
              <w:t> </w:t>
            </w:r>
            <w:r w:rsidR="006C7F59">
              <w:rPr>
                <w:rFonts w:ascii="Arial" w:hAnsi="Arial" w:cs="Arial"/>
                <w:sz w:val="20"/>
                <w:szCs w:val="20"/>
                <w:lang w:val="es-ES_tradnl"/>
              </w:rPr>
              <w:t>N°</w:t>
            </w:r>
            <w:r w:rsidR="00761E8D">
              <w:rPr>
                <w:rFonts w:ascii="Arial" w:hAnsi="Arial" w:cs="Arial"/>
                <w:sz w:val="20"/>
                <w:szCs w:val="20"/>
                <w:lang w:val="es-ES_tradnl"/>
              </w:rPr>
              <w:t> </w:t>
            </w:r>
            <w:r w:rsidR="004473A1">
              <w:rPr>
                <w:rFonts w:ascii="Arial" w:hAnsi="Arial" w:cs="Arial"/>
                <w:sz w:val="20"/>
                <w:szCs w:val="20"/>
                <w:lang w:val="es-ES_tradnl"/>
              </w:rPr>
              <w:t>0754</w:t>
            </w:r>
            <w:r w:rsidR="006C7F59">
              <w:rPr>
                <w:rFonts w:ascii="Arial" w:hAnsi="Arial" w:cs="Arial"/>
                <w:sz w:val="20"/>
                <w:szCs w:val="20"/>
                <w:lang w:val="es-ES_tradnl"/>
              </w:rPr>
              <w:t>-2018</w:t>
            </w:r>
            <w:r w:rsidR="00FE5DE8">
              <w:rPr>
                <w:rFonts w:ascii="Arial" w:hAnsi="Arial" w:cs="Arial"/>
                <w:sz w:val="20"/>
                <w:szCs w:val="20"/>
                <w:lang w:val="es-ES_tradnl"/>
              </w:rPr>
              <w:t>-</w:t>
            </w:r>
            <w:r w:rsidR="006C7F59">
              <w:rPr>
                <w:rFonts w:ascii="Arial" w:hAnsi="Arial" w:cs="Arial"/>
                <w:sz w:val="20"/>
                <w:szCs w:val="20"/>
                <w:lang w:val="es-ES_tradnl"/>
              </w:rPr>
              <w:t>M</w:t>
            </w:r>
            <w:r w:rsidR="004473A1">
              <w:rPr>
                <w:rFonts w:ascii="Arial" w:hAnsi="Arial" w:cs="Arial"/>
                <w:sz w:val="20"/>
                <w:szCs w:val="20"/>
                <w:lang w:val="es-ES_tradnl"/>
              </w:rPr>
              <w:t>INEDU</w:t>
            </w:r>
            <w:r w:rsidR="006C7F59">
              <w:rPr>
                <w:rFonts w:ascii="Arial" w:hAnsi="Arial" w:cs="Arial"/>
                <w:sz w:val="20"/>
                <w:szCs w:val="20"/>
                <w:lang w:val="es-ES_tradnl"/>
              </w:rPr>
              <w:t>/</w:t>
            </w:r>
            <w:r w:rsidR="004473A1">
              <w:rPr>
                <w:rFonts w:ascii="Arial" w:hAnsi="Arial" w:cs="Arial"/>
                <w:sz w:val="20"/>
                <w:szCs w:val="20"/>
                <w:lang w:val="es-ES_tradnl"/>
              </w:rPr>
              <w:t>VMGP</w:t>
            </w:r>
            <w:r w:rsidR="00761E8D">
              <w:rPr>
                <w:rFonts w:ascii="Arial" w:hAnsi="Arial" w:cs="Arial"/>
                <w:sz w:val="20"/>
                <w:szCs w:val="20"/>
                <w:lang w:val="es-ES_tradnl"/>
              </w:rPr>
              <w:noBreakHyphen/>
            </w:r>
            <w:r w:rsidR="004473A1">
              <w:rPr>
                <w:rFonts w:ascii="Arial" w:hAnsi="Arial" w:cs="Arial"/>
                <w:sz w:val="20"/>
                <w:szCs w:val="20"/>
                <w:lang w:val="es-ES_tradnl"/>
              </w:rPr>
              <w:t xml:space="preserve">DIGESUTPA </w:t>
            </w:r>
            <w:r w:rsidR="006C7F59">
              <w:rPr>
                <w:rFonts w:ascii="Arial" w:hAnsi="Arial" w:cs="Arial"/>
                <w:sz w:val="20"/>
                <w:szCs w:val="20"/>
                <w:lang w:val="es-ES_tradnl"/>
              </w:rPr>
              <w:t xml:space="preserve">del </w:t>
            </w:r>
            <w:r w:rsidR="004473A1">
              <w:rPr>
                <w:rFonts w:ascii="Arial" w:hAnsi="Arial" w:cs="Arial"/>
                <w:sz w:val="20"/>
                <w:szCs w:val="20"/>
                <w:lang w:val="es-ES_tradnl"/>
              </w:rPr>
              <w:t>3</w:t>
            </w:r>
            <w:r w:rsidR="00761E8D">
              <w:rPr>
                <w:rFonts w:ascii="Arial" w:hAnsi="Arial" w:cs="Arial"/>
                <w:sz w:val="20"/>
                <w:szCs w:val="20"/>
                <w:lang w:val="es-ES_tradnl"/>
              </w:rPr>
              <w:t> </w:t>
            </w:r>
            <w:r w:rsidR="000A3961">
              <w:rPr>
                <w:rFonts w:ascii="Arial" w:hAnsi="Arial" w:cs="Arial"/>
                <w:sz w:val="20"/>
                <w:szCs w:val="20"/>
                <w:lang w:val="es-ES_tradnl"/>
              </w:rPr>
              <w:t>de</w:t>
            </w:r>
            <w:r w:rsidR="00761E8D">
              <w:rPr>
                <w:rFonts w:ascii="Arial" w:hAnsi="Arial" w:cs="Arial"/>
                <w:sz w:val="20"/>
                <w:szCs w:val="20"/>
                <w:lang w:val="es-ES_tradnl"/>
              </w:rPr>
              <w:t> </w:t>
            </w:r>
            <w:r w:rsidR="000A3961">
              <w:rPr>
                <w:rFonts w:ascii="Arial" w:hAnsi="Arial" w:cs="Arial"/>
                <w:sz w:val="20"/>
                <w:szCs w:val="20"/>
                <w:lang w:val="es-ES_tradnl"/>
              </w:rPr>
              <w:t>octubre</w:t>
            </w:r>
            <w:r w:rsidR="00761E8D">
              <w:rPr>
                <w:rFonts w:ascii="Arial" w:hAnsi="Arial" w:cs="Arial"/>
                <w:sz w:val="20"/>
                <w:szCs w:val="20"/>
                <w:lang w:val="es-ES_tradnl"/>
              </w:rPr>
              <w:t> </w:t>
            </w:r>
            <w:r w:rsidR="000A3961">
              <w:rPr>
                <w:rFonts w:ascii="Arial" w:hAnsi="Arial" w:cs="Arial"/>
                <w:sz w:val="20"/>
                <w:szCs w:val="20"/>
                <w:lang w:val="es-ES_tradnl"/>
              </w:rPr>
              <w:t>de</w:t>
            </w:r>
            <w:r w:rsidR="00761E8D">
              <w:rPr>
                <w:rFonts w:ascii="Arial" w:hAnsi="Arial" w:cs="Arial"/>
                <w:sz w:val="20"/>
                <w:szCs w:val="20"/>
                <w:lang w:val="es-ES_tradnl"/>
              </w:rPr>
              <w:t> </w:t>
            </w:r>
            <w:r w:rsidR="000A3961">
              <w:rPr>
                <w:rFonts w:ascii="Arial" w:hAnsi="Arial" w:cs="Arial"/>
                <w:sz w:val="20"/>
                <w:szCs w:val="20"/>
                <w:lang w:val="es-ES_tradnl"/>
              </w:rPr>
              <w:t>20</w:t>
            </w:r>
            <w:r w:rsidR="006C7F59">
              <w:rPr>
                <w:rFonts w:ascii="Arial" w:hAnsi="Arial" w:cs="Arial"/>
                <w:sz w:val="20"/>
                <w:szCs w:val="20"/>
                <w:lang w:val="es-ES_tradnl"/>
              </w:rPr>
              <w:t>18</w:t>
            </w:r>
            <w:r w:rsidR="00CE1852">
              <w:rPr>
                <w:rFonts w:ascii="Arial" w:hAnsi="Arial" w:cs="Arial"/>
                <w:sz w:val="20"/>
                <w:szCs w:val="20"/>
                <w:lang w:val="es-ES_tradnl"/>
              </w:rPr>
              <w:t xml:space="preserve"> del MINEDU remitiendo el </w:t>
            </w:r>
            <w:r w:rsidR="001C2617">
              <w:rPr>
                <w:rFonts w:ascii="Arial" w:hAnsi="Arial" w:cs="Arial"/>
                <w:sz w:val="20"/>
                <w:szCs w:val="20"/>
                <w:lang w:val="es-ES_tradnl"/>
              </w:rPr>
              <w:t xml:space="preserve">Documento de Plan de Trabajo y designación del equipo de trabajo. </w:t>
            </w:r>
            <w:r w:rsidR="001C2617" w:rsidRPr="00390238">
              <w:rPr>
                <w:rFonts w:ascii="Arial" w:hAnsi="Arial" w:cs="Arial"/>
                <w:sz w:val="20"/>
                <w:szCs w:val="20"/>
                <w:lang w:val="es-ES_tradnl"/>
              </w:rPr>
              <w:t xml:space="preserve">  </w:t>
            </w:r>
          </w:p>
        </w:tc>
        <w:tc>
          <w:tcPr>
            <w:tcW w:w="1800" w:type="dxa"/>
          </w:tcPr>
          <w:p w14:paraId="69A8FA37" w14:textId="7965C482" w:rsidR="001C2617" w:rsidRPr="00726417" w:rsidRDefault="00414E5F" w:rsidP="006021BF">
            <w:pPr>
              <w:ind w:left="-4"/>
              <w:jc w:val="both"/>
              <w:rPr>
                <w:rFonts w:ascii="Arial" w:hAnsi="Arial"/>
                <w:b/>
                <w:sz w:val="20"/>
                <w:lang w:val="es-ES_tradnl"/>
              </w:rPr>
            </w:pPr>
            <w:r w:rsidRPr="00726417">
              <w:rPr>
                <w:rFonts w:ascii="Arial" w:hAnsi="Arial"/>
                <w:b/>
                <w:sz w:val="20"/>
                <w:lang w:val="es-ES_tradnl"/>
              </w:rPr>
              <w:t>Cumplido</w:t>
            </w:r>
          </w:p>
          <w:p w14:paraId="1293FFED" w14:textId="77777777" w:rsidR="006C7F59" w:rsidRPr="00726417" w:rsidRDefault="006C7F59" w:rsidP="006021BF">
            <w:pPr>
              <w:ind w:left="-4"/>
              <w:jc w:val="both"/>
              <w:rPr>
                <w:rFonts w:ascii="Arial" w:hAnsi="Arial"/>
                <w:b/>
                <w:sz w:val="20"/>
                <w:lang w:val="es-ES_tradnl"/>
              </w:rPr>
            </w:pPr>
          </w:p>
          <w:p w14:paraId="52CDE8CF" w14:textId="77777777" w:rsidR="006C7F59" w:rsidRPr="00726417" w:rsidRDefault="006C7F59" w:rsidP="006021BF">
            <w:pPr>
              <w:ind w:left="-4"/>
              <w:jc w:val="both"/>
              <w:rPr>
                <w:rFonts w:ascii="Arial" w:hAnsi="Arial"/>
                <w:b/>
                <w:sz w:val="20"/>
                <w:lang w:val="es-ES_tradnl"/>
              </w:rPr>
            </w:pPr>
          </w:p>
          <w:p w14:paraId="02219FAE" w14:textId="2228283D" w:rsidR="00DC4605" w:rsidRDefault="00DC4605" w:rsidP="006021BF">
            <w:pPr>
              <w:ind w:left="-4"/>
              <w:jc w:val="both"/>
              <w:rPr>
                <w:rFonts w:ascii="Arial" w:hAnsi="Arial" w:cs="Arial"/>
                <w:b/>
                <w:sz w:val="20"/>
                <w:szCs w:val="20"/>
                <w:lang w:val="es-ES_tradnl"/>
              </w:rPr>
            </w:pPr>
          </w:p>
          <w:p w14:paraId="799C64E1" w14:textId="523A9986" w:rsidR="00555F4B" w:rsidRDefault="00555F4B" w:rsidP="006021BF">
            <w:pPr>
              <w:ind w:left="-4"/>
              <w:jc w:val="both"/>
              <w:rPr>
                <w:rFonts w:ascii="Arial" w:hAnsi="Arial" w:cs="Arial"/>
                <w:b/>
                <w:sz w:val="20"/>
                <w:szCs w:val="20"/>
                <w:lang w:val="es-ES_tradnl"/>
              </w:rPr>
            </w:pPr>
          </w:p>
          <w:p w14:paraId="2D2078BB" w14:textId="51C4699C" w:rsidR="00555F4B" w:rsidRDefault="00555F4B" w:rsidP="006021BF">
            <w:pPr>
              <w:ind w:left="-4"/>
              <w:jc w:val="both"/>
              <w:rPr>
                <w:rFonts w:ascii="Arial" w:hAnsi="Arial" w:cs="Arial"/>
                <w:b/>
                <w:sz w:val="20"/>
                <w:szCs w:val="20"/>
                <w:lang w:val="es-ES_tradnl"/>
              </w:rPr>
            </w:pPr>
          </w:p>
          <w:p w14:paraId="7714710B" w14:textId="2797E4EC" w:rsidR="00555F4B" w:rsidRDefault="00555F4B" w:rsidP="006021BF">
            <w:pPr>
              <w:ind w:left="-4"/>
              <w:jc w:val="both"/>
              <w:rPr>
                <w:rFonts w:ascii="Arial" w:hAnsi="Arial" w:cs="Arial"/>
                <w:b/>
                <w:sz w:val="20"/>
                <w:szCs w:val="20"/>
                <w:lang w:val="es-ES_tradnl"/>
              </w:rPr>
            </w:pPr>
          </w:p>
          <w:p w14:paraId="0935EFEE" w14:textId="754227CB" w:rsidR="00FE5DE8" w:rsidRDefault="00FE5DE8" w:rsidP="006021BF">
            <w:pPr>
              <w:ind w:left="-4"/>
              <w:jc w:val="both"/>
              <w:rPr>
                <w:rFonts w:ascii="Arial" w:hAnsi="Arial" w:cs="Arial"/>
                <w:b/>
                <w:sz w:val="20"/>
                <w:szCs w:val="20"/>
                <w:lang w:val="es-ES_tradnl"/>
              </w:rPr>
            </w:pPr>
          </w:p>
          <w:p w14:paraId="05FD88A4" w14:textId="6A6FB2A6" w:rsidR="00FE5DE8" w:rsidRDefault="00FE5DE8" w:rsidP="006021BF">
            <w:pPr>
              <w:ind w:left="-4"/>
              <w:jc w:val="both"/>
              <w:rPr>
                <w:rFonts w:ascii="Arial" w:hAnsi="Arial" w:cs="Arial"/>
                <w:b/>
                <w:sz w:val="20"/>
                <w:szCs w:val="20"/>
                <w:lang w:val="es-ES_tradnl"/>
              </w:rPr>
            </w:pPr>
          </w:p>
          <w:p w14:paraId="5A25778D" w14:textId="77777777" w:rsidR="00FE5DE8" w:rsidRDefault="00FE5DE8" w:rsidP="006021BF">
            <w:pPr>
              <w:ind w:left="-4"/>
              <w:jc w:val="both"/>
              <w:rPr>
                <w:rFonts w:ascii="Arial" w:hAnsi="Arial" w:cs="Arial"/>
                <w:b/>
                <w:sz w:val="20"/>
                <w:szCs w:val="20"/>
                <w:lang w:val="es-ES_tradnl"/>
              </w:rPr>
            </w:pPr>
          </w:p>
          <w:p w14:paraId="7D710C24" w14:textId="74EBC09A" w:rsidR="00555F4B" w:rsidRDefault="00555F4B" w:rsidP="006021BF">
            <w:pPr>
              <w:ind w:left="-4"/>
              <w:jc w:val="both"/>
              <w:rPr>
                <w:rFonts w:ascii="Arial" w:hAnsi="Arial" w:cs="Arial"/>
                <w:b/>
                <w:sz w:val="20"/>
                <w:szCs w:val="20"/>
                <w:lang w:val="es-ES_tradnl"/>
              </w:rPr>
            </w:pPr>
          </w:p>
          <w:p w14:paraId="1348DA25" w14:textId="7F878F9F" w:rsidR="00555F4B" w:rsidRDefault="00555F4B" w:rsidP="006021BF">
            <w:pPr>
              <w:ind w:left="-4"/>
              <w:jc w:val="both"/>
              <w:rPr>
                <w:rFonts w:ascii="Arial" w:hAnsi="Arial" w:cs="Arial"/>
                <w:b/>
                <w:sz w:val="20"/>
                <w:szCs w:val="20"/>
                <w:lang w:val="es-ES_tradnl"/>
              </w:rPr>
            </w:pPr>
          </w:p>
          <w:p w14:paraId="030AFFDE" w14:textId="4F16E0E1" w:rsidR="00C43400" w:rsidRPr="00726417" w:rsidRDefault="006C7F59" w:rsidP="006021BF">
            <w:pPr>
              <w:ind w:left="-4"/>
              <w:jc w:val="both"/>
              <w:rPr>
                <w:rFonts w:ascii="Arial" w:hAnsi="Arial"/>
                <w:b/>
                <w:sz w:val="20"/>
                <w:lang w:val="es-ES_tradnl"/>
              </w:rPr>
            </w:pPr>
            <w:r w:rsidRPr="00726417">
              <w:rPr>
                <w:rFonts w:ascii="Arial" w:hAnsi="Arial"/>
                <w:b/>
                <w:sz w:val="20"/>
                <w:lang w:val="es-ES_tradnl"/>
              </w:rPr>
              <w:t>Cumplido</w:t>
            </w:r>
          </w:p>
        </w:tc>
        <w:tc>
          <w:tcPr>
            <w:tcW w:w="1620" w:type="dxa"/>
          </w:tcPr>
          <w:p w14:paraId="40A81875" w14:textId="5AC34345" w:rsidR="001C2617" w:rsidRDefault="001C2617" w:rsidP="006021BF">
            <w:pPr>
              <w:ind w:left="-4"/>
              <w:jc w:val="both"/>
              <w:rPr>
                <w:rFonts w:ascii="Arial" w:hAnsi="Arial" w:cs="Arial"/>
                <w:sz w:val="20"/>
                <w:szCs w:val="20"/>
                <w:lang w:val="es-ES_tradnl"/>
              </w:rPr>
            </w:pPr>
            <w:r>
              <w:rPr>
                <w:rFonts w:ascii="Arial" w:hAnsi="Arial" w:cs="Arial"/>
                <w:sz w:val="20"/>
                <w:szCs w:val="20"/>
                <w:lang w:val="es-ES_tradnl"/>
              </w:rPr>
              <w:t>MINEDU</w:t>
            </w:r>
            <w:r w:rsidR="00FE5DE8">
              <w:rPr>
                <w:rFonts w:ascii="Arial" w:hAnsi="Arial" w:cs="Arial"/>
                <w:sz w:val="20"/>
                <w:szCs w:val="20"/>
                <w:lang w:val="es-ES_tradnl"/>
              </w:rPr>
              <w:t>-</w:t>
            </w:r>
            <w:r>
              <w:rPr>
                <w:rFonts w:ascii="Arial" w:hAnsi="Arial" w:cs="Arial"/>
                <w:sz w:val="20"/>
                <w:szCs w:val="20"/>
                <w:lang w:val="es-ES_tradnl"/>
              </w:rPr>
              <w:t>-MTPE</w:t>
            </w:r>
            <w:r w:rsidR="009A2E1B">
              <w:rPr>
                <w:rFonts w:ascii="Arial" w:hAnsi="Arial" w:cs="Arial"/>
                <w:sz w:val="20"/>
                <w:szCs w:val="20"/>
                <w:lang w:val="es-ES_tradnl"/>
              </w:rPr>
              <w:t xml:space="preserve"> </w:t>
            </w:r>
          </w:p>
          <w:p w14:paraId="3DF50D0C" w14:textId="77777777" w:rsidR="00FE5DE8" w:rsidRDefault="00FE5DE8" w:rsidP="006021BF">
            <w:pPr>
              <w:ind w:left="-4"/>
              <w:jc w:val="both"/>
              <w:rPr>
                <w:rFonts w:ascii="Arial" w:hAnsi="Arial" w:cs="Arial"/>
                <w:sz w:val="20"/>
                <w:szCs w:val="20"/>
                <w:lang w:val="es-ES_tradnl"/>
              </w:rPr>
            </w:pPr>
          </w:p>
          <w:p w14:paraId="5C3979A9" w14:textId="77777777" w:rsidR="00FE5DE8" w:rsidRDefault="00FE5DE8" w:rsidP="006021BF">
            <w:pPr>
              <w:ind w:left="-4"/>
              <w:jc w:val="both"/>
              <w:rPr>
                <w:rFonts w:ascii="Arial" w:hAnsi="Arial" w:cs="Arial"/>
                <w:sz w:val="20"/>
                <w:szCs w:val="20"/>
                <w:lang w:val="es-ES_tradnl"/>
              </w:rPr>
            </w:pPr>
          </w:p>
          <w:p w14:paraId="40D22C93" w14:textId="77777777" w:rsidR="00FE5DE8" w:rsidRDefault="00FE5DE8" w:rsidP="006021BF">
            <w:pPr>
              <w:ind w:left="-4"/>
              <w:jc w:val="both"/>
              <w:rPr>
                <w:rFonts w:ascii="Arial" w:hAnsi="Arial" w:cs="Arial"/>
                <w:sz w:val="20"/>
                <w:szCs w:val="20"/>
                <w:lang w:val="es-ES_tradnl"/>
              </w:rPr>
            </w:pPr>
          </w:p>
          <w:p w14:paraId="052A41E9" w14:textId="77777777" w:rsidR="00FE5DE8" w:rsidRDefault="00FE5DE8" w:rsidP="006021BF">
            <w:pPr>
              <w:ind w:left="-4"/>
              <w:jc w:val="both"/>
              <w:rPr>
                <w:rFonts w:ascii="Arial" w:hAnsi="Arial" w:cs="Arial"/>
                <w:sz w:val="20"/>
                <w:szCs w:val="20"/>
                <w:lang w:val="es-ES_tradnl"/>
              </w:rPr>
            </w:pPr>
          </w:p>
          <w:p w14:paraId="4B0A70CC" w14:textId="77777777" w:rsidR="00FE5DE8" w:rsidRDefault="00FE5DE8" w:rsidP="006021BF">
            <w:pPr>
              <w:ind w:left="-4"/>
              <w:jc w:val="both"/>
              <w:rPr>
                <w:rFonts w:ascii="Arial" w:hAnsi="Arial" w:cs="Arial"/>
                <w:sz w:val="20"/>
                <w:szCs w:val="20"/>
                <w:lang w:val="es-ES_tradnl"/>
              </w:rPr>
            </w:pPr>
          </w:p>
          <w:p w14:paraId="1BCC4A2D" w14:textId="77777777" w:rsidR="00FE5DE8" w:rsidRDefault="00FE5DE8" w:rsidP="006021BF">
            <w:pPr>
              <w:ind w:left="-4"/>
              <w:jc w:val="both"/>
              <w:rPr>
                <w:rFonts w:ascii="Arial" w:hAnsi="Arial" w:cs="Arial"/>
                <w:sz w:val="20"/>
                <w:szCs w:val="20"/>
                <w:lang w:val="es-ES_tradnl"/>
              </w:rPr>
            </w:pPr>
          </w:p>
          <w:p w14:paraId="32048090" w14:textId="77777777" w:rsidR="00FE5DE8" w:rsidRDefault="00FE5DE8" w:rsidP="006021BF">
            <w:pPr>
              <w:ind w:left="-4"/>
              <w:jc w:val="both"/>
              <w:rPr>
                <w:rFonts w:ascii="Arial" w:hAnsi="Arial" w:cs="Arial"/>
                <w:sz w:val="20"/>
                <w:szCs w:val="20"/>
                <w:lang w:val="es-ES_tradnl"/>
              </w:rPr>
            </w:pPr>
          </w:p>
          <w:p w14:paraId="2B69DA69" w14:textId="7CC37D2D" w:rsidR="00FE5DE8" w:rsidRDefault="00FE5DE8" w:rsidP="006021BF">
            <w:pPr>
              <w:ind w:left="-4"/>
              <w:jc w:val="both"/>
              <w:rPr>
                <w:rFonts w:ascii="Arial" w:hAnsi="Arial" w:cs="Arial"/>
                <w:sz w:val="20"/>
                <w:szCs w:val="20"/>
                <w:lang w:val="es-ES_tradnl"/>
              </w:rPr>
            </w:pPr>
          </w:p>
          <w:p w14:paraId="72A6296C" w14:textId="77777777" w:rsidR="00FE5DE8" w:rsidRDefault="00FE5DE8" w:rsidP="006021BF">
            <w:pPr>
              <w:ind w:left="-4"/>
              <w:jc w:val="both"/>
              <w:rPr>
                <w:rFonts w:ascii="Arial" w:hAnsi="Arial" w:cs="Arial"/>
                <w:sz w:val="20"/>
                <w:szCs w:val="20"/>
                <w:lang w:val="es-ES_tradnl"/>
              </w:rPr>
            </w:pPr>
          </w:p>
          <w:p w14:paraId="11BE82E2" w14:textId="77777777" w:rsidR="00FE5DE8" w:rsidRDefault="00FE5DE8" w:rsidP="006021BF">
            <w:pPr>
              <w:ind w:left="-4"/>
              <w:jc w:val="both"/>
              <w:rPr>
                <w:rFonts w:ascii="Arial" w:hAnsi="Arial" w:cs="Arial"/>
                <w:sz w:val="20"/>
                <w:szCs w:val="20"/>
                <w:lang w:val="es-ES_tradnl"/>
              </w:rPr>
            </w:pPr>
          </w:p>
          <w:p w14:paraId="58068D90" w14:textId="600E3B1F" w:rsidR="00FE5DE8" w:rsidRPr="00390238" w:rsidRDefault="00FE5DE8" w:rsidP="006021BF">
            <w:pPr>
              <w:ind w:left="-4"/>
              <w:jc w:val="both"/>
              <w:rPr>
                <w:rFonts w:ascii="Arial" w:hAnsi="Arial" w:cs="Arial"/>
                <w:sz w:val="20"/>
                <w:szCs w:val="20"/>
                <w:lang w:val="es-ES_tradnl"/>
              </w:rPr>
            </w:pPr>
            <w:r>
              <w:rPr>
                <w:rFonts w:ascii="Arial" w:hAnsi="Arial" w:cs="Arial"/>
                <w:sz w:val="20"/>
                <w:szCs w:val="20"/>
                <w:lang w:val="es-ES_tradnl"/>
              </w:rPr>
              <w:t>MINEDU-MTPE</w:t>
            </w:r>
          </w:p>
        </w:tc>
      </w:tr>
      <w:tr w:rsidR="00442EC7" w:rsidRPr="00390238" w14:paraId="017C7392" w14:textId="77777777" w:rsidTr="003260CD">
        <w:tc>
          <w:tcPr>
            <w:tcW w:w="14211" w:type="dxa"/>
            <w:gridSpan w:val="5"/>
          </w:tcPr>
          <w:p w14:paraId="7123B24F" w14:textId="77777777" w:rsidR="00442EC7" w:rsidRPr="00390238" w:rsidRDefault="00442EC7" w:rsidP="006021BF">
            <w:pPr>
              <w:keepNext/>
              <w:spacing w:before="120" w:after="120"/>
              <w:ind w:left="-4"/>
              <w:jc w:val="both"/>
              <w:rPr>
                <w:rFonts w:ascii="Arial" w:hAnsi="Arial" w:cs="Arial"/>
                <w:sz w:val="20"/>
                <w:szCs w:val="20"/>
                <w:lang w:val="es-ES_tradnl"/>
              </w:rPr>
            </w:pPr>
            <w:r w:rsidRPr="006021BF">
              <w:rPr>
                <w:rFonts w:ascii="Arial" w:hAnsi="Arial"/>
                <w:b/>
                <w:sz w:val="20"/>
                <w:lang w:val="es-ES_tradnl"/>
              </w:rPr>
              <w:t>Componente III – Mejorar las políticas de mercado laboral y la capacidad para fiscalizarlas</w:t>
            </w:r>
          </w:p>
        </w:tc>
      </w:tr>
      <w:tr w:rsidR="006021BF" w:rsidRPr="00390238" w14:paraId="406F1680" w14:textId="77777777" w:rsidTr="00992CCD">
        <w:tc>
          <w:tcPr>
            <w:tcW w:w="2691" w:type="dxa"/>
            <w:vAlign w:val="center"/>
          </w:tcPr>
          <w:p w14:paraId="275898B3" w14:textId="77777777" w:rsidR="001C2617" w:rsidRPr="00390238" w:rsidRDefault="001C2617" w:rsidP="006021BF">
            <w:pPr>
              <w:keepNext/>
              <w:spacing w:after="120"/>
              <w:jc w:val="both"/>
              <w:rPr>
                <w:rFonts w:ascii="Arial" w:hAnsi="Arial" w:cs="Arial"/>
                <w:sz w:val="20"/>
                <w:szCs w:val="20"/>
                <w:lang w:val="es-ES_tradnl"/>
              </w:rPr>
            </w:pPr>
            <w:r w:rsidRPr="00390238">
              <w:rPr>
                <w:rFonts w:ascii="Arial" w:hAnsi="Arial" w:cs="Arial"/>
                <w:sz w:val="20"/>
                <w:szCs w:val="20"/>
                <w:lang w:val="es-ES_tradnl"/>
              </w:rPr>
              <w:t xml:space="preserve">3.1 Mejorar la legislación laboral </w:t>
            </w:r>
          </w:p>
        </w:tc>
        <w:tc>
          <w:tcPr>
            <w:tcW w:w="4950" w:type="dxa"/>
          </w:tcPr>
          <w:p w14:paraId="0CE6C03B" w14:textId="77777777" w:rsidR="001C2617" w:rsidRPr="00390238" w:rsidRDefault="001C2617" w:rsidP="006021BF">
            <w:pPr>
              <w:ind w:left="-4"/>
              <w:jc w:val="both"/>
              <w:rPr>
                <w:rFonts w:ascii="Arial" w:hAnsi="Arial" w:cs="Arial"/>
                <w:sz w:val="20"/>
                <w:szCs w:val="20"/>
                <w:lang w:val="es-ES_tradnl"/>
              </w:rPr>
            </w:pPr>
            <w:r>
              <w:rPr>
                <w:rFonts w:ascii="Arial" w:hAnsi="Arial" w:cs="Arial"/>
                <w:sz w:val="20"/>
                <w:szCs w:val="20"/>
                <w:lang w:val="es-ES_tradnl"/>
              </w:rPr>
              <w:t>N</w:t>
            </w:r>
            <w:r w:rsidR="0042201E">
              <w:rPr>
                <w:rFonts w:ascii="Arial" w:hAnsi="Arial" w:cs="Arial"/>
                <w:sz w:val="20"/>
                <w:szCs w:val="20"/>
                <w:lang w:val="es-ES_tradnl"/>
              </w:rPr>
              <w:t xml:space="preserve">o </w:t>
            </w:r>
            <w:r>
              <w:rPr>
                <w:rFonts w:ascii="Arial" w:hAnsi="Arial" w:cs="Arial"/>
                <w:sz w:val="20"/>
                <w:szCs w:val="20"/>
                <w:lang w:val="es-ES_tradnl"/>
              </w:rPr>
              <w:t>C</w:t>
            </w:r>
            <w:r w:rsidR="0042201E">
              <w:rPr>
                <w:rFonts w:ascii="Arial" w:hAnsi="Arial" w:cs="Arial"/>
                <w:sz w:val="20"/>
                <w:szCs w:val="20"/>
                <w:lang w:val="es-ES_tradnl"/>
              </w:rPr>
              <w:t>orresponde (NC)</w:t>
            </w:r>
          </w:p>
        </w:tc>
        <w:tc>
          <w:tcPr>
            <w:tcW w:w="3150" w:type="dxa"/>
            <w:shd w:val="clear" w:color="auto" w:fill="auto"/>
          </w:tcPr>
          <w:p w14:paraId="0B694990" w14:textId="77777777" w:rsidR="001C2617" w:rsidRPr="00390238" w:rsidRDefault="001C2617" w:rsidP="006021BF">
            <w:pPr>
              <w:ind w:left="-4"/>
              <w:jc w:val="both"/>
              <w:rPr>
                <w:rFonts w:ascii="Arial" w:hAnsi="Arial" w:cs="Arial"/>
                <w:sz w:val="20"/>
                <w:szCs w:val="20"/>
                <w:lang w:val="es-ES_tradnl"/>
              </w:rPr>
            </w:pPr>
            <w:r>
              <w:rPr>
                <w:rFonts w:ascii="Arial" w:hAnsi="Arial" w:cs="Arial"/>
                <w:sz w:val="20"/>
                <w:szCs w:val="20"/>
                <w:lang w:val="es-ES_tradnl"/>
              </w:rPr>
              <w:t>NC</w:t>
            </w:r>
          </w:p>
        </w:tc>
        <w:tc>
          <w:tcPr>
            <w:tcW w:w="1800" w:type="dxa"/>
          </w:tcPr>
          <w:p w14:paraId="6137E0A4" w14:textId="77777777" w:rsidR="001C2617" w:rsidRPr="006021BF" w:rsidRDefault="0042201E" w:rsidP="006021BF">
            <w:pPr>
              <w:ind w:left="-4"/>
              <w:jc w:val="both"/>
              <w:rPr>
                <w:rFonts w:ascii="Arial" w:hAnsi="Arial"/>
                <w:b/>
                <w:sz w:val="20"/>
                <w:lang w:val="es-ES_tradnl"/>
              </w:rPr>
            </w:pPr>
            <w:r>
              <w:rPr>
                <w:rFonts w:ascii="Arial" w:hAnsi="Arial" w:cs="Arial"/>
                <w:sz w:val="20"/>
                <w:szCs w:val="20"/>
                <w:lang w:val="es-ES_tradnl"/>
              </w:rPr>
              <w:t>NC</w:t>
            </w:r>
          </w:p>
        </w:tc>
        <w:tc>
          <w:tcPr>
            <w:tcW w:w="1620" w:type="dxa"/>
          </w:tcPr>
          <w:p w14:paraId="37B1F0C9" w14:textId="77777777" w:rsidR="001C2617" w:rsidRPr="00390238" w:rsidRDefault="001C2617" w:rsidP="006021BF">
            <w:pPr>
              <w:ind w:left="-4"/>
              <w:jc w:val="both"/>
              <w:rPr>
                <w:rFonts w:ascii="Arial" w:hAnsi="Arial" w:cs="Arial"/>
                <w:sz w:val="20"/>
                <w:szCs w:val="20"/>
                <w:lang w:val="es-ES_tradnl"/>
              </w:rPr>
            </w:pPr>
            <w:r>
              <w:rPr>
                <w:rFonts w:ascii="Arial" w:hAnsi="Arial" w:cs="Arial"/>
                <w:sz w:val="20"/>
                <w:szCs w:val="20"/>
                <w:lang w:val="es-ES_tradnl"/>
              </w:rPr>
              <w:t>NC</w:t>
            </w:r>
          </w:p>
        </w:tc>
      </w:tr>
      <w:tr w:rsidR="006021BF" w:rsidRPr="00390238" w14:paraId="52418415" w14:textId="77777777" w:rsidTr="00992CCD">
        <w:tc>
          <w:tcPr>
            <w:tcW w:w="2691" w:type="dxa"/>
          </w:tcPr>
          <w:p w14:paraId="00BF1148" w14:textId="77777777" w:rsidR="001C2617" w:rsidRPr="00390238" w:rsidRDefault="001C2617" w:rsidP="000C0844">
            <w:pPr>
              <w:spacing w:after="120"/>
              <w:jc w:val="both"/>
              <w:rPr>
                <w:rFonts w:ascii="Arial" w:hAnsi="Arial" w:cs="Arial"/>
                <w:sz w:val="20"/>
                <w:szCs w:val="20"/>
                <w:lang w:val="es-ES_tradnl"/>
              </w:rPr>
            </w:pPr>
            <w:r w:rsidRPr="00390238">
              <w:rPr>
                <w:rFonts w:ascii="Arial" w:hAnsi="Arial" w:cs="Arial"/>
                <w:sz w:val="20"/>
                <w:szCs w:val="20"/>
                <w:lang w:val="es-ES_tradnl"/>
              </w:rPr>
              <w:t>3.2 Mejorar la capacidad de fiscalización de la SUNAFIL</w:t>
            </w:r>
          </w:p>
        </w:tc>
        <w:tc>
          <w:tcPr>
            <w:tcW w:w="4950" w:type="dxa"/>
          </w:tcPr>
          <w:p w14:paraId="3D06B665" w14:textId="77777777" w:rsidR="001C2617" w:rsidRPr="00225606" w:rsidRDefault="001C2617" w:rsidP="006021BF">
            <w:pPr>
              <w:ind w:left="-4"/>
              <w:jc w:val="both"/>
              <w:rPr>
                <w:rFonts w:ascii="Arial" w:hAnsi="Arial" w:cs="Arial"/>
                <w:color w:val="222222"/>
                <w:sz w:val="20"/>
                <w:szCs w:val="20"/>
                <w:lang w:val="es-ES_tradnl"/>
              </w:rPr>
            </w:pPr>
            <w:r w:rsidRPr="00225606">
              <w:rPr>
                <w:rFonts w:ascii="Arial" w:hAnsi="Arial" w:cs="Arial"/>
                <w:sz w:val="20"/>
                <w:szCs w:val="20"/>
                <w:lang w:val="es-ES_tradnl"/>
              </w:rPr>
              <w:t xml:space="preserve">3.2.1 </w:t>
            </w:r>
            <w:r w:rsidR="00225606" w:rsidRPr="000E4B0B">
              <w:rPr>
                <w:rFonts w:ascii="Arial" w:eastAsia="Times New Roman" w:hAnsi="Arial" w:cs="Arial"/>
                <w:sz w:val="20"/>
                <w:szCs w:val="20"/>
                <w:lang w:val="es-ES_tradnl"/>
              </w:rPr>
              <w:t>Que la SUNAFIL haya incrementado su presupuesto anual para mejorar su capacidad de fiscalización.</w:t>
            </w:r>
            <w:r w:rsidRPr="00225606">
              <w:rPr>
                <w:rFonts w:ascii="Arial" w:hAnsi="Arial" w:cs="Arial"/>
                <w:color w:val="222222"/>
                <w:sz w:val="20"/>
                <w:szCs w:val="20"/>
                <w:lang w:val="es-ES_tradnl"/>
              </w:rPr>
              <w:t> </w:t>
            </w:r>
          </w:p>
          <w:p w14:paraId="45902638" w14:textId="77777777" w:rsidR="001C2617" w:rsidRPr="00390238" w:rsidRDefault="001C2617" w:rsidP="006021BF">
            <w:pPr>
              <w:ind w:left="-4"/>
              <w:jc w:val="both"/>
              <w:rPr>
                <w:rFonts w:ascii="Arial" w:hAnsi="Arial" w:cs="Arial"/>
                <w:sz w:val="20"/>
                <w:szCs w:val="20"/>
                <w:lang w:val="es-ES_tradnl"/>
              </w:rPr>
            </w:pPr>
          </w:p>
          <w:p w14:paraId="46171C5E" w14:textId="77777777" w:rsidR="001C2617" w:rsidRDefault="001C2617" w:rsidP="006021BF">
            <w:pPr>
              <w:ind w:left="-4"/>
              <w:jc w:val="both"/>
              <w:rPr>
                <w:rFonts w:ascii="Arial" w:hAnsi="Arial" w:cs="Arial"/>
                <w:sz w:val="20"/>
                <w:szCs w:val="20"/>
                <w:lang w:val="es-ES_tradnl"/>
              </w:rPr>
            </w:pPr>
          </w:p>
          <w:p w14:paraId="7FA81CCF" w14:textId="77777777" w:rsidR="0071111A" w:rsidRDefault="0071111A" w:rsidP="006021BF">
            <w:pPr>
              <w:ind w:left="-4"/>
              <w:jc w:val="both"/>
              <w:rPr>
                <w:rFonts w:ascii="Arial" w:hAnsi="Arial" w:cs="Arial"/>
                <w:sz w:val="20"/>
                <w:szCs w:val="20"/>
                <w:lang w:val="es-ES_tradnl"/>
              </w:rPr>
            </w:pPr>
          </w:p>
          <w:p w14:paraId="73831BEF" w14:textId="6BD93CD6" w:rsidR="002F18D6" w:rsidRDefault="002F18D6" w:rsidP="006021BF">
            <w:pPr>
              <w:ind w:left="-4"/>
              <w:jc w:val="both"/>
              <w:rPr>
                <w:rFonts w:ascii="Arial" w:hAnsi="Arial" w:cs="Arial"/>
                <w:sz w:val="20"/>
                <w:szCs w:val="20"/>
                <w:lang w:val="es-ES_tradnl"/>
              </w:rPr>
            </w:pPr>
          </w:p>
          <w:p w14:paraId="07FFD87A" w14:textId="77777777" w:rsidR="00FE5DE8" w:rsidRDefault="00FE5DE8" w:rsidP="006021BF">
            <w:pPr>
              <w:ind w:left="-4"/>
              <w:jc w:val="both"/>
              <w:rPr>
                <w:rFonts w:ascii="Arial" w:hAnsi="Arial" w:cs="Arial"/>
                <w:sz w:val="20"/>
                <w:szCs w:val="20"/>
                <w:lang w:val="es-ES_tradnl"/>
              </w:rPr>
            </w:pPr>
          </w:p>
          <w:p w14:paraId="39F7A09B" w14:textId="77777777" w:rsidR="00FE5DE8" w:rsidRPr="00390238" w:rsidRDefault="00FE5DE8" w:rsidP="006021BF">
            <w:pPr>
              <w:ind w:left="-4"/>
              <w:jc w:val="both"/>
              <w:rPr>
                <w:rFonts w:ascii="Arial" w:hAnsi="Arial" w:cs="Arial"/>
                <w:sz w:val="20"/>
                <w:szCs w:val="20"/>
                <w:lang w:val="es-ES_tradnl"/>
              </w:rPr>
            </w:pPr>
          </w:p>
          <w:p w14:paraId="6F662928" w14:textId="5030A371" w:rsidR="001C2617" w:rsidRDefault="001C2617" w:rsidP="00522044">
            <w:pPr>
              <w:spacing w:before="120"/>
              <w:ind w:left="-4"/>
              <w:jc w:val="both"/>
              <w:rPr>
                <w:rFonts w:ascii="Arial" w:hAnsi="Arial" w:cs="Arial"/>
                <w:color w:val="222222"/>
                <w:sz w:val="20"/>
                <w:szCs w:val="20"/>
                <w:lang w:val="es-ES_tradnl"/>
              </w:rPr>
            </w:pPr>
            <w:r w:rsidRPr="00390238">
              <w:rPr>
                <w:rFonts w:ascii="Arial" w:hAnsi="Arial" w:cs="Arial"/>
                <w:color w:val="222222"/>
                <w:sz w:val="20"/>
                <w:szCs w:val="20"/>
                <w:lang w:val="es-ES_tradnl"/>
              </w:rPr>
              <w:t>3.2.2 Que la SUNAFIL haya diseñado e implementado un Repositorio Integrado de Inteligencia Inspectiva, el cual permit</w:t>
            </w:r>
            <w:r w:rsidR="0042201E">
              <w:rPr>
                <w:rFonts w:ascii="Arial" w:hAnsi="Arial" w:cs="Arial"/>
                <w:color w:val="222222"/>
                <w:sz w:val="20"/>
                <w:szCs w:val="20"/>
                <w:lang w:val="es-ES_tradnl"/>
              </w:rPr>
              <w:t>e</w:t>
            </w:r>
            <w:r w:rsidRPr="00390238">
              <w:rPr>
                <w:rFonts w:ascii="Arial" w:hAnsi="Arial" w:cs="Arial"/>
                <w:color w:val="222222"/>
                <w:sz w:val="20"/>
                <w:szCs w:val="20"/>
                <w:lang w:val="es-ES_tradnl"/>
              </w:rPr>
              <w:t>, entre otros, el análisis estratégico del Sistema Informático de Inspecciones de Trabajo (SIIT), el Padrón RUC de Empresas, y de variables clave de la Planilla Electrónica.</w:t>
            </w:r>
          </w:p>
          <w:p w14:paraId="3D45DC64" w14:textId="77777777" w:rsidR="000305E7" w:rsidRDefault="000305E7" w:rsidP="006021BF">
            <w:pPr>
              <w:ind w:left="-4"/>
              <w:jc w:val="both"/>
              <w:rPr>
                <w:rFonts w:ascii="Arial" w:hAnsi="Arial" w:cs="Arial"/>
                <w:color w:val="222222"/>
                <w:sz w:val="20"/>
                <w:szCs w:val="20"/>
                <w:lang w:val="es-ES_tradnl"/>
              </w:rPr>
            </w:pPr>
          </w:p>
          <w:p w14:paraId="5179444A" w14:textId="77777777" w:rsidR="000305E7" w:rsidRDefault="000305E7" w:rsidP="006021BF">
            <w:pPr>
              <w:ind w:left="-4"/>
              <w:jc w:val="both"/>
              <w:rPr>
                <w:rFonts w:ascii="Arial" w:hAnsi="Arial" w:cs="Arial"/>
                <w:color w:val="222222"/>
                <w:sz w:val="20"/>
                <w:szCs w:val="20"/>
                <w:lang w:val="es-ES_tradnl"/>
              </w:rPr>
            </w:pPr>
          </w:p>
          <w:p w14:paraId="343DBD39" w14:textId="77777777" w:rsidR="000305E7" w:rsidRDefault="000305E7" w:rsidP="006021BF">
            <w:pPr>
              <w:ind w:left="-4"/>
              <w:jc w:val="both"/>
              <w:rPr>
                <w:rFonts w:ascii="Arial" w:hAnsi="Arial" w:cs="Arial"/>
                <w:color w:val="222222"/>
                <w:sz w:val="20"/>
                <w:szCs w:val="20"/>
                <w:lang w:val="es-ES_tradnl"/>
              </w:rPr>
            </w:pPr>
          </w:p>
          <w:p w14:paraId="48017C63" w14:textId="77777777" w:rsidR="00C56045" w:rsidRDefault="00C56045" w:rsidP="00390238">
            <w:pPr>
              <w:spacing w:before="60" w:after="60"/>
              <w:ind w:left="-4"/>
              <w:jc w:val="both"/>
              <w:rPr>
                <w:rFonts w:ascii="Arial" w:hAnsi="Arial" w:cs="Arial"/>
                <w:color w:val="222222"/>
                <w:sz w:val="20"/>
                <w:szCs w:val="20"/>
                <w:lang w:val="es-ES_tradnl"/>
              </w:rPr>
            </w:pPr>
          </w:p>
          <w:p w14:paraId="3F911497" w14:textId="77777777" w:rsidR="000305E7" w:rsidRPr="006021BF" w:rsidRDefault="000305E7" w:rsidP="006021BF">
            <w:pPr>
              <w:ind w:left="-4"/>
              <w:jc w:val="both"/>
              <w:rPr>
                <w:rFonts w:ascii="Arial" w:hAnsi="Arial"/>
                <w:color w:val="222222"/>
                <w:sz w:val="20"/>
                <w:lang w:val="es-ES_tradnl"/>
              </w:rPr>
            </w:pPr>
            <w:r>
              <w:rPr>
                <w:rFonts w:ascii="Arial" w:hAnsi="Arial" w:cs="Arial"/>
                <w:sz w:val="20"/>
                <w:szCs w:val="20"/>
                <w:lang w:val="es-ES_tradnl"/>
              </w:rPr>
              <w:t xml:space="preserve">3.2.3 </w:t>
            </w:r>
            <w:r>
              <w:rPr>
                <w:rFonts w:ascii="Arial" w:hAnsi="Arial" w:cs="Arial"/>
                <w:color w:val="222222"/>
                <w:sz w:val="20"/>
                <w:szCs w:val="20"/>
                <w:lang w:val="es-ES_tradnl"/>
              </w:rPr>
              <w:t>Que la SUNAFIL haya diseñado e implementado un piloto que consista en enviar cartas con mensajes que fomenten el cumplimiento de la Cuota de Empleo para Personas con Discapacidad por parte de las empresas con más de 50</w:t>
            </w:r>
            <w:r w:rsidR="008C4D2A">
              <w:rPr>
                <w:rFonts w:ascii="Arial" w:hAnsi="Arial" w:cs="Arial"/>
                <w:color w:val="222222"/>
                <w:sz w:val="20"/>
                <w:szCs w:val="20"/>
                <w:lang w:val="es-ES_tradnl"/>
              </w:rPr>
              <w:t> </w:t>
            </w:r>
            <w:r>
              <w:rPr>
                <w:rFonts w:ascii="Arial" w:hAnsi="Arial" w:cs="Arial"/>
                <w:color w:val="222222"/>
                <w:sz w:val="20"/>
                <w:szCs w:val="20"/>
                <w:lang w:val="es-ES_tradnl"/>
              </w:rPr>
              <w:t>trabajadores. El piloto contará con un diseño experimental que permita identificar el mensaje más efectivo para incrementar el cumplimiento de la cuota de empleo.</w:t>
            </w:r>
          </w:p>
          <w:p w14:paraId="3BCFB960" w14:textId="7EB211A3" w:rsidR="000305E7" w:rsidRDefault="000305E7" w:rsidP="006021BF">
            <w:pPr>
              <w:ind w:left="-4"/>
              <w:jc w:val="both"/>
              <w:rPr>
                <w:rFonts w:ascii="Arial" w:hAnsi="Arial"/>
                <w:color w:val="222222"/>
                <w:sz w:val="20"/>
                <w:lang w:val="es-ES_tradnl"/>
              </w:rPr>
            </w:pPr>
          </w:p>
          <w:p w14:paraId="105BA848" w14:textId="2753949F" w:rsidR="00FE5DE8" w:rsidRDefault="00FE5DE8" w:rsidP="006021BF">
            <w:pPr>
              <w:ind w:left="-4"/>
              <w:jc w:val="both"/>
              <w:rPr>
                <w:rFonts w:ascii="Arial" w:hAnsi="Arial"/>
                <w:color w:val="222222"/>
                <w:sz w:val="20"/>
                <w:lang w:val="es-ES_tradnl"/>
              </w:rPr>
            </w:pPr>
          </w:p>
          <w:p w14:paraId="2B5A1052" w14:textId="77777777" w:rsidR="00FE5DE8" w:rsidRPr="006021BF" w:rsidRDefault="00FE5DE8" w:rsidP="00FE5DE8">
            <w:pPr>
              <w:jc w:val="both"/>
              <w:rPr>
                <w:rFonts w:ascii="Arial" w:hAnsi="Arial"/>
                <w:color w:val="222222"/>
                <w:sz w:val="20"/>
                <w:lang w:val="es-ES_tradnl"/>
              </w:rPr>
            </w:pPr>
          </w:p>
          <w:p w14:paraId="2B076D85" w14:textId="77777777" w:rsidR="000305E7" w:rsidRPr="00390238" w:rsidRDefault="000305E7" w:rsidP="00FE5DE8">
            <w:pPr>
              <w:spacing w:before="120"/>
              <w:ind w:left="-4"/>
              <w:jc w:val="both"/>
              <w:rPr>
                <w:rFonts w:ascii="Arial" w:hAnsi="Arial" w:cs="Arial"/>
                <w:sz w:val="20"/>
                <w:szCs w:val="20"/>
                <w:lang w:val="es-ES_tradnl"/>
              </w:rPr>
            </w:pPr>
            <w:r>
              <w:rPr>
                <w:rFonts w:ascii="Arial" w:hAnsi="Arial" w:cs="Arial"/>
                <w:sz w:val="20"/>
                <w:szCs w:val="20"/>
                <w:lang w:val="es-ES_tradnl"/>
              </w:rPr>
              <w:t xml:space="preserve">3.2.4 </w:t>
            </w:r>
            <w:r>
              <w:rPr>
                <w:rFonts w:ascii="Arial" w:hAnsi="Arial" w:cs="Arial"/>
                <w:color w:val="222222"/>
                <w:sz w:val="20"/>
                <w:szCs w:val="20"/>
                <w:lang w:val="es-ES_tradnl"/>
              </w:rPr>
              <w:t>Que la SUNAFIL haya diseñado e implementado un piloto que contribuya a identificar las estrategias más efectivas y eficientes para vigilar el cumplimiento de las normativas laborales y con ello fomentar la formalización laboral. El piloto contará con un diseño experimental que permita la elaboración de una evaluación de impacto.</w:t>
            </w:r>
          </w:p>
        </w:tc>
        <w:tc>
          <w:tcPr>
            <w:tcW w:w="3150" w:type="dxa"/>
            <w:shd w:val="clear" w:color="auto" w:fill="auto"/>
          </w:tcPr>
          <w:p w14:paraId="57015265" w14:textId="07272919" w:rsidR="001C2617" w:rsidRPr="00B629BC" w:rsidRDefault="001C2617" w:rsidP="00607326">
            <w:pPr>
              <w:spacing w:before="60" w:after="60"/>
              <w:ind w:left="-4"/>
              <w:jc w:val="both"/>
              <w:rPr>
                <w:rFonts w:ascii="Arial" w:hAnsi="Arial" w:cs="Arial"/>
                <w:sz w:val="20"/>
                <w:szCs w:val="20"/>
                <w:lang w:val="es-ES_tradnl"/>
              </w:rPr>
            </w:pPr>
            <w:r w:rsidRPr="00B629BC">
              <w:rPr>
                <w:rFonts w:ascii="Arial" w:eastAsia="Times New Roman" w:hAnsi="Arial" w:cs="Arial"/>
                <w:bCs/>
                <w:kern w:val="36"/>
                <w:sz w:val="20"/>
                <w:szCs w:val="20"/>
                <w:lang w:val="es-ES_tradnl"/>
              </w:rPr>
              <w:t>3.2.1</w:t>
            </w:r>
            <w:r w:rsidR="00A62F70">
              <w:rPr>
                <w:rFonts w:ascii="Arial" w:eastAsia="Times New Roman" w:hAnsi="Arial" w:cs="Arial"/>
                <w:bCs/>
                <w:kern w:val="36"/>
                <w:sz w:val="20"/>
                <w:szCs w:val="20"/>
                <w:lang w:val="es-ES_tradnl"/>
              </w:rPr>
              <w:t xml:space="preserve"> </w:t>
            </w:r>
            <w:r w:rsidR="00225606" w:rsidRPr="003873E8">
              <w:rPr>
                <w:rFonts w:ascii="Arial" w:eastAsia="Times New Roman" w:hAnsi="Arial" w:cs="Arial"/>
                <w:sz w:val="20"/>
                <w:szCs w:val="20"/>
                <w:lang w:val="es-ES_tradnl"/>
              </w:rPr>
              <w:t>Ley</w:t>
            </w:r>
            <w:r w:rsidR="002C3A1F">
              <w:rPr>
                <w:rFonts w:ascii="Arial" w:eastAsia="Times New Roman" w:hAnsi="Arial" w:cs="Arial"/>
                <w:sz w:val="20"/>
                <w:szCs w:val="20"/>
                <w:lang w:val="es-ES_tradnl"/>
              </w:rPr>
              <w:t xml:space="preserve"> N°</w:t>
            </w:r>
            <w:r w:rsidR="00D6428F">
              <w:rPr>
                <w:rFonts w:ascii="Arial" w:eastAsia="Times New Roman" w:hAnsi="Arial" w:cs="Arial"/>
                <w:sz w:val="20"/>
                <w:szCs w:val="20"/>
                <w:lang w:val="es-ES_tradnl"/>
              </w:rPr>
              <w:t> </w:t>
            </w:r>
            <w:r w:rsidR="002C3A1F">
              <w:rPr>
                <w:rFonts w:ascii="Arial" w:eastAsia="Times New Roman" w:hAnsi="Arial" w:cs="Arial"/>
                <w:sz w:val="20"/>
                <w:szCs w:val="20"/>
                <w:lang w:val="es-ES_tradnl"/>
              </w:rPr>
              <w:t>30518 y N°</w:t>
            </w:r>
            <w:r w:rsidR="00761E8D">
              <w:rPr>
                <w:rFonts w:ascii="Arial" w:eastAsia="Times New Roman" w:hAnsi="Arial" w:cs="Arial"/>
                <w:sz w:val="20"/>
                <w:szCs w:val="20"/>
                <w:lang w:val="es-ES_tradnl"/>
              </w:rPr>
              <w:t> </w:t>
            </w:r>
            <w:r w:rsidR="002C3A1F">
              <w:rPr>
                <w:rFonts w:ascii="Arial" w:eastAsia="Times New Roman" w:hAnsi="Arial" w:cs="Arial"/>
                <w:sz w:val="20"/>
                <w:szCs w:val="20"/>
                <w:lang w:val="es-ES_tradnl"/>
              </w:rPr>
              <w:t xml:space="preserve">30693, Ley </w:t>
            </w:r>
            <w:r w:rsidR="00225606" w:rsidRPr="003873E8">
              <w:rPr>
                <w:rFonts w:ascii="Arial" w:eastAsia="Times New Roman" w:hAnsi="Arial" w:cs="Arial"/>
                <w:sz w:val="20"/>
                <w:szCs w:val="20"/>
                <w:lang w:val="es-ES_tradnl"/>
              </w:rPr>
              <w:t xml:space="preserve">de Presupuesto del Sector Público para </w:t>
            </w:r>
            <w:r w:rsidR="002C3A1F">
              <w:rPr>
                <w:rFonts w:ascii="Arial" w:eastAsia="Times New Roman" w:hAnsi="Arial" w:cs="Arial"/>
                <w:sz w:val="20"/>
                <w:szCs w:val="20"/>
                <w:lang w:val="es-ES_tradnl"/>
              </w:rPr>
              <w:t>el</w:t>
            </w:r>
            <w:r w:rsidR="002C3A1F" w:rsidRPr="003873E8">
              <w:rPr>
                <w:rFonts w:ascii="Arial" w:eastAsia="Times New Roman" w:hAnsi="Arial" w:cs="Arial"/>
                <w:sz w:val="20"/>
                <w:szCs w:val="20"/>
                <w:lang w:val="es-ES_tradnl"/>
              </w:rPr>
              <w:t xml:space="preserve"> </w:t>
            </w:r>
            <w:r w:rsidR="00225606" w:rsidRPr="003873E8">
              <w:rPr>
                <w:rFonts w:ascii="Arial" w:eastAsia="Times New Roman" w:hAnsi="Arial" w:cs="Arial"/>
                <w:sz w:val="20"/>
                <w:szCs w:val="20"/>
                <w:lang w:val="es-ES_tradnl"/>
              </w:rPr>
              <w:t>año fiscal 2017 y 2018</w:t>
            </w:r>
            <w:r w:rsidR="002C3A1F">
              <w:rPr>
                <w:rFonts w:ascii="Arial" w:eastAsia="Times New Roman" w:hAnsi="Arial" w:cs="Arial"/>
                <w:sz w:val="20"/>
                <w:szCs w:val="20"/>
                <w:lang w:val="es-ES_tradnl"/>
              </w:rPr>
              <w:t>, publicadas el 2</w:t>
            </w:r>
            <w:r w:rsidR="00761E8D">
              <w:rPr>
                <w:rFonts w:ascii="Arial" w:eastAsia="Times New Roman" w:hAnsi="Arial" w:cs="Arial"/>
                <w:sz w:val="20"/>
                <w:szCs w:val="20"/>
                <w:lang w:val="es-ES_tradnl"/>
              </w:rPr>
              <w:t> </w:t>
            </w:r>
            <w:r w:rsidR="000A3961">
              <w:rPr>
                <w:rFonts w:ascii="Arial" w:eastAsia="Times New Roman" w:hAnsi="Arial" w:cs="Arial"/>
                <w:sz w:val="20"/>
                <w:szCs w:val="20"/>
                <w:lang w:val="es-ES_tradnl"/>
              </w:rPr>
              <w:t>de</w:t>
            </w:r>
            <w:r w:rsidR="00761E8D">
              <w:rPr>
                <w:rFonts w:ascii="Arial" w:eastAsia="Times New Roman" w:hAnsi="Arial" w:cs="Arial"/>
                <w:sz w:val="20"/>
                <w:szCs w:val="20"/>
                <w:lang w:val="es-ES_tradnl"/>
              </w:rPr>
              <w:t> </w:t>
            </w:r>
            <w:r w:rsidR="000A3961">
              <w:rPr>
                <w:rFonts w:ascii="Arial" w:eastAsia="Times New Roman" w:hAnsi="Arial" w:cs="Arial"/>
                <w:sz w:val="20"/>
                <w:szCs w:val="20"/>
                <w:lang w:val="es-ES_tradnl"/>
              </w:rPr>
              <w:t>diciembre</w:t>
            </w:r>
            <w:r w:rsidR="00761E8D">
              <w:rPr>
                <w:rFonts w:ascii="Arial" w:eastAsia="Times New Roman" w:hAnsi="Arial" w:cs="Arial"/>
                <w:sz w:val="20"/>
                <w:szCs w:val="20"/>
                <w:lang w:val="es-ES_tradnl"/>
              </w:rPr>
              <w:t> </w:t>
            </w:r>
            <w:r w:rsidR="000A3961">
              <w:rPr>
                <w:rFonts w:ascii="Arial" w:eastAsia="Times New Roman" w:hAnsi="Arial" w:cs="Arial"/>
                <w:sz w:val="20"/>
                <w:szCs w:val="20"/>
                <w:lang w:val="es-ES_tradnl"/>
              </w:rPr>
              <w:t>de</w:t>
            </w:r>
            <w:r w:rsidR="00761E8D">
              <w:rPr>
                <w:rFonts w:ascii="Arial" w:eastAsia="Times New Roman" w:hAnsi="Arial" w:cs="Arial"/>
                <w:sz w:val="20"/>
                <w:szCs w:val="20"/>
                <w:lang w:val="es-ES_tradnl"/>
              </w:rPr>
              <w:t> </w:t>
            </w:r>
            <w:r w:rsidR="000A3961">
              <w:rPr>
                <w:rFonts w:ascii="Arial" w:eastAsia="Times New Roman" w:hAnsi="Arial" w:cs="Arial"/>
                <w:sz w:val="20"/>
                <w:szCs w:val="20"/>
                <w:lang w:val="es-ES_tradnl"/>
              </w:rPr>
              <w:t>2016</w:t>
            </w:r>
            <w:r w:rsidR="002C3A1F">
              <w:rPr>
                <w:rFonts w:ascii="Arial" w:eastAsia="Times New Roman" w:hAnsi="Arial" w:cs="Arial"/>
                <w:sz w:val="20"/>
                <w:szCs w:val="20"/>
                <w:lang w:val="es-ES_tradnl"/>
              </w:rPr>
              <w:t xml:space="preserve"> y 7</w:t>
            </w:r>
            <w:r w:rsidR="00761E8D">
              <w:rPr>
                <w:rFonts w:ascii="Arial" w:eastAsia="Times New Roman" w:hAnsi="Arial" w:cs="Arial"/>
                <w:sz w:val="20"/>
                <w:szCs w:val="20"/>
                <w:lang w:val="es-ES_tradnl"/>
              </w:rPr>
              <w:t> </w:t>
            </w:r>
            <w:r w:rsidR="000A3961">
              <w:rPr>
                <w:rFonts w:ascii="Arial" w:eastAsia="Times New Roman" w:hAnsi="Arial" w:cs="Arial"/>
                <w:sz w:val="20"/>
                <w:szCs w:val="20"/>
                <w:lang w:val="es-ES_tradnl"/>
              </w:rPr>
              <w:t>de</w:t>
            </w:r>
            <w:r w:rsidR="00761E8D">
              <w:rPr>
                <w:rFonts w:ascii="Arial" w:eastAsia="Times New Roman" w:hAnsi="Arial" w:cs="Arial"/>
                <w:sz w:val="20"/>
                <w:szCs w:val="20"/>
                <w:lang w:val="es-ES_tradnl"/>
              </w:rPr>
              <w:t> </w:t>
            </w:r>
            <w:r w:rsidR="000A3961">
              <w:rPr>
                <w:rFonts w:ascii="Arial" w:eastAsia="Times New Roman" w:hAnsi="Arial" w:cs="Arial"/>
                <w:sz w:val="20"/>
                <w:szCs w:val="20"/>
                <w:lang w:val="es-ES_tradnl"/>
              </w:rPr>
              <w:t>diciembre</w:t>
            </w:r>
            <w:r w:rsidR="00761E8D">
              <w:rPr>
                <w:rFonts w:ascii="Arial" w:eastAsia="Times New Roman" w:hAnsi="Arial" w:cs="Arial"/>
                <w:sz w:val="20"/>
                <w:szCs w:val="20"/>
                <w:lang w:val="es-ES_tradnl"/>
              </w:rPr>
              <w:t> </w:t>
            </w:r>
            <w:r w:rsidR="000A3961">
              <w:rPr>
                <w:rFonts w:ascii="Arial" w:eastAsia="Times New Roman" w:hAnsi="Arial" w:cs="Arial"/>
                <w:sz w:val="20"/>
                <w:szCs w:val="20"/>
                <w:lang w:val="es-ES_tradnl"/>
              </w:rPr>
              <w:t>de</w:t>
            </w:r>
            <w:r w:rsidR="00761E8D">
              <w:rPr>
                <w:rFonts w:ascii="Arial" w:eastAsia="Times New Roman" w:hAnsi="Arial" w:cs="Arial"/>
                <w:sz w:val="20"/>
                <w:szCs w:val="20"/>
                <w:lang w:val="es-ES_tradnl"/>
              </w:rPr>
              <w:t> </w:t>
            </w:r>
            <w:r w:rsidR="000A3961">
              <w:rPr>
                <w:rFonts w:ascii="Arial" w:eastAsia="Times New Roman" w:hAnsi="Arial" w:cs="Arial"/>
                <w:sz w:val="20"/>
                <w:szCs w:val="20"/>
                <w:lang w:val="es-ES_tradnl"/>
              </w:rPr>
              <w:t>20</w:t>
            </w:r>
            <w:r w:rsidR="002C3A1F">
              <w:rPr>
                <w:rFonts w:ascii="Arial" w:eastAsia="Times New Roman" w:hAnsi="Arial" w:cs="Arial"/>
                <w:sz w:val="20"/>
                <w:szCs w:val="20"/>
                <w:lang w:val="es-ES_tradnl"/>
              </w:rPr>
              <w:t>17, respectivamente</w:t>
            </w:r>
            <w:r w:rsidR="0071111A">
              <w:rPr>
                <w:rFonts w:ascii="Arial" w:eastAsia="Times New Roman" w:hAnsi="Arial" w:cs="Arial"/>
                <w:sz w:val="20"/>
                <w:szCs w:val="20"/>
                <w:lang w:val="es-ES_tradnl"/>
              </w:rPr>
              <w:t>.</w:t>
            </w:r>
            <w:r w:rsidRPr="00B629BC">
              <w:rPr>
                <w:rFonts w:ascii="Arial" w:hAnsi="Arial" w:cs="Arial"/>
                <w:sz w:val="20"/>
                <w:szCs w:val="20"/>
                <w:lang w:val="es-ES_tradnl"/>
              </w:rPr>
              <w:t xml:space="preserve"> </w:t>
            </w:r>
          </w:p>
          <w:p w14:paraId="68C2C6AE" w14:textId="4D21A0E9" w:rsidR="001C2617" w:rsidRDefault="001C2617" w:rsidP="006021BF">
            <w:pPr>
              <w:ind w:left="-4"/>
              <w:jc w:val="both"/>
              <w:rPr>
                <w:rFonts w:ascii="Arial" w:hAnsi="Arial" w:cs="Arial"/>
                <w:sz w:val="20"/>
                <w:szCs w:val="20"/>
                <w:lang w:val="es-ES_tradnl"/>
              </w:rPr>
            </w:pPr>
          </w:p>
          <w:p w14:paraId="34F4E4DC" w14:textId="77777777" w:rsidR="002F18D6" w:rsidRPr="006021BF" w:rsidRDefault="002F18D6" w:rsidP="006021BF">
            <w:pPr>
              <w:ind w:left="-4"/>
              <w:jc w:val="both"/>
              <w:rPr>
                <w:rFonts w:ascii="Arial" w:hAnsi="Arial"/>
                <w:sz w:val="20"/>
                <w:lang w:val="es-ES_tradnl"/>
              </w:rPr>
            </w:pPr>
          </w:p>
          <w:p w14:paraId="15C5FCAA" w14:textId="21D1E946" w:rsidR="001C2617" w:rsidRDefault="001C2617" w:rsidP="006021BF">
            <w:pPr>
              <w:ind w:left="-4"/>
              <w:jc w:val="both"/>
              <w:rPr>
                <w:rFonts w:ascii="Arial" w:eastAsia="Times New Roman" w:hAnsi="Arial" w:cs="Arial"/>
                <w:bCs/>
                <w:kern w:val="36"/>
                <w:sz w:val="20"/>
                <w:szCs w:val="20"/>
                <w:lang w:val="es-ES_tradnl"/>
              </w:rPr>
            </w:pPr>
            <w:r w:rsidRPr="002F18D6">
              <w:rPr>
                <w:rFonts w:ascii="Arial" w:eastAsia="Times New Roman" w:hAnsi="Arial" w:cs="Arial"/>
                <w:bCs/>
                <w:kern w:val="36"/>
                <w:sz w:val="20"/>
                <w:szCs w:val="20"/>
                <w:lang w:val="es-ES_tradnl"/>
              </w:rPr>
              <w:t xml:space="preserve">3.2.2. </w:t>
            </w:r>
            <w:r w:rsidR="002F18D6" w:rsidRPr="003873E8">
              <w:rPr>
                <w:rFonts w:ascii="Arial" w:eastAsia="Times New Roman" w:hAnsi="Arial" w:cs="Arial"/>
                <w:bCs/>
                <w:kern w:val="36"/>
                <w:sz w:val="20"/>
                <w:szCs w:val="20"/>
                <w:lang w:val="es-ES_tradnl"/>
              </w:rPr>
              <w:t>Oficio</w:t>
            </w:r>
            <w:r w:rsidR="00FE5DE8">
              <w:rPr>
                <w:rFonts w:ascii="Arial" w:eastAsia="Times New Roman" w:hAnsi="Arial" w:cs="Arial"/>
                <w:bCs/>
                <w:kern w:val="36"/>
                <w:sz w:val="20"/>
                <w:szCs w:val="20"/>
                <w:lang w:val="es-ES_tradnl"/>
              </w:rPr>
              <w:t> </w:t>
            </w:r>
            <w:r w:rsidR="002F18D6" w:rsidRPr="003873E8">
              <w:rPr>
                <w:rFonts w:ascii="Arial" w:eastAsia="Times New Roman" w:hAnsi="Arial" w:cs="Arial"/>
                <w:bCs/>
                <w:kern w:val="36"/>
                <w:sz w:val="20"/>
                <w:szCs w:val="20"/>
                <w:lang w:val="es-ES_tradnl"/>
              </w:rPr>
              <w:t>N°</w:t>
            </w:r>
            <w:r w:rsidR="00FE5DE8">
              <w:rPr>
                <w:rFonts w:ascii="Arial" w:eastAsia="Times New Roman" w:hAnsi="Arial" w:cs="Arial"/>
                <w:bCs/>
                <w:kern w:val="36"/>
                <w:sz w:val="20"/>
                <w:szCs w:val="20"/>
                <w:lang w:val="es-ES_tradnl"/>
              </w:rPr>
              <w:t> </w:t>
            </w:r>
            <w:r w:rsidR="002F18D6" w:rsidRPr="003873E8">
              <w:rPr>
                <w:rFonts w:ascii="Arial" w:eastAsia="Times New Roman" w:hAnsi="Arial" w:cs="Arial"/>
                <w:bCs/>
                <w:kern w:val="36"/>
                <w:sz w:val="20"/>
                <w:szCs w:val="20"/>
                <w:lang w:val="es-ES_tradnl"/>
              </w:rPr>
              <w:t>291-2018</w:t>
            </w:r>
            <w:r w:rsidR="00D6428F">
              <w:rPr>
                <w:rFonts w:ascii="Arial" w:eastAsia="Times New Roman" w:hAnsi="Arial" w:cs="Arial"/>
                <w:bCs/>
                <w:kern w:val="36"/>
                <w:sz w:val="20"/>
                <w:szCs w:val="20"/>
                <w:lang w:val="es-ES_tradnl"/>
              </w:rPr>
              <w:noBreakHyphen/>
            </w:r>
            <w:r w:rsidR="002F18D6" w:rsidRPr="003873E8">
              <w:rPr>
                <w:rFonts w:ascii="Arial" w:eastAsia="Times New Roman" w:hAnsi="Arial" w:cs="Arial"/>
                <w:bCs/>
                <w:kern w:val="36"/>
                <w:sz w:val="20"/>
                <w:szCs w:val="20"/>
                <w:lang w:val="es-ES_tradnl"/>
              </w:rPr>
              <w:t>SUNAFIL/DS, recibido el 3</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de</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octubre</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de</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20</w:t>
            </w:r>
            <w:r w:rsidR="002F18D6" w:rsidRPr="003873E8">
              <w:rPr>
                <w:rFonts w:ascii="Arial" w:eastAsia="Times New Roman" w:hAnsi="Arial" w:cs="Arial"/>
                <w:bCs/>
                <w:kern w:val="36"/>
                <w:sz w:val="20"/>
                <w:szCs w:val="20"/>
                <w:lang w:val="es-ES_tradnl"/>
              </w:rPr>
              <w:t>18,</w:t>
            </w:r>
            <w:r w:rsidR="002F18D6" w:rsidRPr="002F18D6">
              <w:rPr>
                <w:rFonts w:ascii="Arial" w:eastAsia="Times New Roman" w:hAnsi="Arial" w:cs="Arial"/>
                <w:bCs/>
                <w:kern w:val="36"/>
                <w:sz w:val="20"/>
                <w:szCs w:val="20"/>
                <w:lang w:val="es-ES_tradnl"/>
              </w:rPr>
              <w:t xml:space="preserve"> </w:t>
            </w:r>
            <w:r w:rsidR="000305E7" w:rsidRPr="002F18D6">
              <w:rPr>
                <w:rFonts w:ascii="Arial" w:eastAsia="Times New Roman" w:hAnsi="Arial" w:cs="Arial"/>
                <w:bCs/>
                <w:kern w:val="36"/>
                <w:sz w:val="20"/>
                <w:szCs w:val="20"/>
                <w:lang w:val="es-ES_tradnl"/>
              </w:rPr>
              <w:t xml:space="preserve">de la SUNAFIL remitiendo el </w:t>
            </w:r>
            <w:r w:rsidRPr="002F18D6">
              <w:rPr>
                <w:rFonts w:ascii="Arial" w:eastAsia="Times New Roman" w:hAnsi="Arial" w:cs="Arial"/>
                <w:bCs/>
                <w:kern w:val="36"/>
                <w:sz w:val="20"/>
                <w:szCs w:val="20"/>
                <w:lang w:val="es-ES_tradnl"/>
              </w:rPr>
              <w:t>Acta de Aprobación de Desarrollo del Repositorio</w:t>
            </w:r>
            <w:r w:rsidRPr="008B633D">
              <w:rPr>
                <w:rFonts w:ascii="Arial" w:eastAsia="Times New Roman" w:hAnsi="Arial" w:cs="Arial"/>
                <w:bCs/>
                <w:kern w:val="36"/>
                <w:sz w:val="20"/>
                <w:szCs w:val="20"/>
                <w:lang w:val="es-ES_tradnl"/>
              </w:rPr>
              <w:t xml:space="preserve"> Integrado e Informe Técnico en el cual se detallan las tareas realizadas en los procesos de carga de datos).</w:t>
            </w:r>
          </w:p>
          <w:p w14:paraId="6CB626B9" w14:textId="2D3E99DE" w:rsidR="000305E7" w:rsidRDefault="000305E7" w:rsidP="006021BF">
            <w:pPr>
              <w:ind w:left="-4"/>
              <w:jc w:val="both"/>
              <w:rPr>
                <w:rFonts w:ascii="Arial" w:eastAsia="Times New Roman" w:hAnsi="Arial" w:cs="Arial"/>
                <w:bCs/>
                <w:kern w:val="36"/>
                <w:sz w:val="20"/>
                <w:szCs w:val="20"/>
                <w:lang w:val="es-ES_tradnl"/>
              </w:rPr>
            </w:pPr>
          </w:p>
          <w:p w14:paraId="55A19E35" w14:textId="343F38D0" w:rsidR="00522044" w:rsidRDefault="00522044" w:rsidP="006021BF">
            <w:pPr>
              <w:ind w:left="-4"/>
              <w:jc w:val="both"/>
              <w:rPr>
                <w:rFonts w:ascii="Arial" w:eastAsia="Times New Roman" w:hAnsi="Arial" w:cs="Arial"/>
                <w:bCs/>
                <w:kern w:val="36"/>
                <w:sz w:val="20"/>
                <w:szCs w:val="20"/>
                <w:lang w:val="es-ES_tradnl"/>
              </w:rPr>
            </w:pPr>
          </w:p>
          <w:p w14:paraId="78734A11" w14:textId="77777777" w:rsidR="00522044" w:rsidRDefault="00522044" w:rsidP="006021BF">
            <w:pPr>
              <w:ind w:left="-4"/>
              <w:jc w:val="both"/>
              <w:rPr>
                <w:rFonts w:ascii="Arial" w:eastAsia="Times New Roman" w:hAnsi="Arial" w:cs="Arial"/>
                <w:bCs/>
                <w:kern w:val="36"/>
                <w:sz w:val="20"/>
                <w:szCs w:val="20"/>
                <w:lang w:val="es-ES_tradnl"/>
              </w:rPr>
            </w:pPr>
          </w:p>
          <w:p w14:paraId="22F86BD6" w14:textId="5807239B" w:rsidR="000305E7" w:rsidRPr="00A81364" w:rsidRDefault="000305E7" w:rsidP="006021BF">
            <w:pPr>
              <w:ind w:left="-4"/>
              <w:jc w:val="both"/>
              <w:rPr>
                <w:rFonts w:ascii="Arial" w:eastAsia="Times New Roman" w:hAnsi="Arial" w:cs="Arial"/>
                <w:bCs/>
                <w:kern w:val="36"/>
                <w:sz w:val="20"/>
                <w:szCs w:val="20"/>
                <w:lang w:val="es-ES_tradnl"/>
              </w:rPr>
            </w:pPr>
            <w:r w:rsidRPr="00A81364">
              <w:rPr>
                <w:rFonts w:ascii="Arial" w:eastAsia="Times New Roman" w:hAnsi="Arial" w:cs="Arial"/>
                <w:bCs/>
                <w:kern w:val="36"/>
                <w:sz w:val="20"/>
                <w:szCs w:val="20"/>
                <w:lang w:val="es-ES_tradnl"/>
              </w:rPr>
              <w:t xml:space="preserve">3.2.3 </w:t>
            </w:r>
            <w:r w:rsidR="00C56045" w:rsidRPr="00A81364">
              <w:rPr>
                <w:rFonts w:ascii="Arial" w:eastAsia="Times New Roman" w:hAnsi="Arial" w:cs="Arial"/>
                <w:bCs/>
                <w:kern w:val="36"/>
                <w:sz w:val="20"/>
                <w:szCs w:val="20"/>
                <w:lang w:val="es-ES_tradnl"/>
              </w:rPr>
              <w:t>Oficio N°</w:t>
            </w:r>
            <w:r w:rsidR="00761E8D">
              <w:rPr>
                <w:rFonts w:ascii="Arial" w:eastAsia="Times New Roman" w:hAnsi="Arial" w:cs="Arial"/>
                <w:bCs/>
                <w:kern w:val="36"/>
                <w:sz w:val="20"/>
                <w:szCs w:val="20"/>
                <w:lang w:val="es-ES_tradnl"/>
              </w:rPr>
              <w:t> </w:t>
            </w:r>
            <w:r w:rsidR="00C56045" w:rsidRPr="00A81364">
              <w:rPr>
                <w:rFonts w:ascii="Arial" w:eastAsia="Times New Roman" w:hAnsi="Arial" w:cs="Arial"/>
                <w:bCs/>
                <w:kern w:val="36"/>
                <w:sz w:val="20"/>
                <w:szCs w:val="20"/>
                <w:lang w:val="es-ES_tradnl"/>
              </w:rPr>
              <w:t>291</w:t>
            </w:r>
            <w:r w:rsidR="00761E8D">
              <w:rPr>
                <w:rFonts w:ascii="Arial" w:eastAsia="Times New Roman" w:hAnsi="Arial" w:cs="Arial"/>
                <w:bCs/>
                <w:kern w:val="36"/>
                <w:sz w:val="20"/>
                <w:szCs w:val="20"/>
                <w:lang w:val="es-ES_tradnl"/>
              </w:rPr>
              <w:noBreakHyphen/>
            </w:r>
            <w:r w:rsidR="00C56045" w:rsidRPr="00A81364">
              <w:rPr>
                <w:rFonts w:ascii="Arial" w:eastAsia="Times New Roman" w:hAnsi="Arial" w:cs="Arial"/>
                <w:bCs/>
                <w:kern w:val="36"/>
                <w:sz w:val="20"/>
                <w:szCs w:val="20"/>
                <w:lang w:val="es-ES_tradnl"/>
              </w:rPr>
              <w:t>2018-SUNAFIL/DS, recibido el 3</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de</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octubre</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de</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20</w:t>
            </w:r>
            <w:r w:rsidR="00C56045" w:rsidRPr="00A81364">
              <w:rPr>
                <w:rFonts w:ascii="Arial" w:eastAsia="Times New Roman" w:hAnsi="Arial" w:cs="Arial"/>
                <w:bCs/>
                <w:kern w:val="36"/>
                <w:sz w:val="20"/>
                <w:szCs w:val="20"/>
                <w:lang w:val="es-ES_tradnl"/>
              </w:rPr>
              <w:t>18,</w:t>
            </w:r>
            <w:r w:rsidRPr="00A81364">
              <w:rPr>
                <w:rFonts w:ascii="Arial" w:eastAsia="Times New Roman" w:hAnsi="Arial" w:cs="Arial"/>
                <w:bCs/>
                <w:kern w:val="36"/>
                <w:sz w:val="20"/>
                <w:szCs w:val="20"/>
                <w:lang w:val="es-ES_tradnl"/>
              </w:rPr>
              <w:t xml:space="preserve"> de SUNAFIL remitiendo el informe sobre el diseño e implementación del piloto.</w:t>
            </w:r>
          </w:p>
          <w:p w14:paraId="66F007EC" w14:textId="7BF43B9E" w:rsidR="000305E7" w:rsidRDefault="000305E7" w:rsidP="006021BF">
            <w:pPr>
              <w:spacing w:before="120"/>
              <w:ind w:left="-4"/>
              <w:jc w:val="both"/>
              <w:rPr>
                <w:rFonts w:ascii="Arial" w:eastAsia="Times New Roman" w:hAnsi="Arial" w:cs="Arial"/>
                <w:bCs/>
                <w:kern w:val="36"/>
                <w:sz w:val="20"/>
                <w:szCs w:val="20"/>
                <w:lang w:val="es-ES_tradnl"/>
              </w:rPr>
            </w:pPr>
          </w:p>
          <w:p w14:paraId="63A027FD" w14:textId="122AFE0A" w:rsidR="00522044" w:rsidRDefault="00522044" w:rsidP="006021BF">
            <w:pPr>
              <w:spacing w:before="120"/>
              <w:ind w:left="-4"/>
              <w:jc w:val="both"/>
              <w:rPr>
                <w:rFonts w:ascii="Arial" w:eastAsia="Times New Roman" w:hAnsi="Arial" w:cs="Arial"/>
                <w:bCs/>
                <w:kern w:val="36"/>
                <w:sz w:val="20"/>
                <w:szCs w:val="20"/>
                <w:lang w:val="es-ES_tradnl"/>
              </w:rPr>
            </w:pPr>
          </w:p>
          <w:p w14:paraId="1660730B" w14:textId="0D2A2353" w:rsidR="00522044" w:rsidRDefault="00522044" w:rsidP="006021BF">
            <w:pPr>
              <w:spacing w:before="120"/>
              <w:ind w:left="-4"/>
              <w:jc w:val="both"/>
              <w:rPr>
                <w:rFonts w:ascii="Arial" w:eastAsia="Times New Roman" w:hAnsi="Arial" w:cs="Arial"/>
                <w:bCs/>
                <w:kern w:val="36"/>
                <w:sz w:val="20"/>
                <w:szCs w:val="20"/>
                <w:lang w:val="es-ES_tradnl"/>
              </w:rPr>
            </w:pPr>
          </w:p>
          <w:p w14:paraId="2499CEB7" w14:textId="77777777" w:rsidR="00522044" w:rsidRPr="00A81364" w:rsidRDefault="00522044" w:rsidP="006021BF">
            <w:pPr>
              <w:spacing w:before="120"/>
              <w:ind w:left="-4"/>
              <w:jc w:val="both"/>
              <w:rPr>
                <w:rFonts w:ascii="Arial" w:eastAsia="Times New Roman" w:hAnsi="Arial" w:cs="Arial"/>
                <w:bCs/>
                <w:kern w:val="36"/>
                <w:sz w:val="20"/>
                <w:szCs w:val="20"/>
                <w:lang w:val="es-ES_tradnl"/>
              </w:rPr>
            </w:pPr>
          </w:p>
          <w:p w14:paraId="66E11702" w14:textId="3D1B7D56" w:rsidR="000305E7" w:rsidRPr="008B633D" w:rsidRDefault="000305E7" w:rsidP="00522044">
            <w:pPr>
              <w:spacing w:before="240"/>
              <w:ind w:left="-4"/>
              <w:jc w:val="both"/>
              <w:rPr>
                <w:rFonts w:ascii="Arial" w:hAnsi="Arial" w:cs="Arial"/>
                <w:sz w:val="20"/>
                <w:szCs w:val="20"/>
                <w:lang w:val="es-ES_tradnl"/>
              </w:rPr>
            </w:pPr>
            <w:r w:rsidRPr="00A81364">
              <w:rPr>
                <w:rFonts w:ascii="Arial" w:eastAsia="Times New Roman" w:hAnsi="Arial" w:cs="Arial"/>
                <w:bCs/>
                <w:kern w:val="36"/>
                <w:sz w:val="20"/>
                <w:szCs w:val="20"/>
                <w:lang w:val="es-ES_tradnl"/>
              </w:rPr>
              <w:t xml:space="preserve">3.2.4 </w:t>
            </w:r>
            <w:r w:rsidR="00C56045" w:rsidRPr="00A81364">
              <w:rPr>
                <w:rFonts w:ascii="Arial" w:eastAsia="Times New Roman" w:hAnsi="Arial" w:cs="Arial"/>
                <w:bCs/>
                <w:kern w:val="36"/>
                <w:sz w:val="20"/>
                <w:szCs w:val="20"/>
                <w:lang w:val="es-ES_tradnl"/>
              </w:rPr>
              <w:t>Oficio N°</w:t>
            </w:r>
            <w:r w:rsidR="00761E8D">
              <w:rPr>
                <w:rFonts w:ascii="Arial" w:eastAsia="Times New Roman" w:hAnsi="Arial" w:cs="Arial"/>
                <w:bCs/>
                <w:kern w:val="36"/>
                <w:sz w:val="20"/>
                <w:szCs w:val="20"/>
                <w:lang w:val="es-ES_tradnl"/>
              </w:rPr>
              <w:t> </w:t>
            </w:r>
            <w:r w:rsidR="00C56045" w:rsidRPr="00A81364">
              <w:rPr>
                <w:rFonts w:ascii="Arial" w:eastAsia="Times New Roman" w:hAnsi="Arial" w:cs="Arial"/>
                <w:bCs/>
                <w:kern w:val="36"/>
                <w:sz w:val="20"/>
                <w:szCs w:val="20"/>
                <w:lang w:val="es-ES_tradnl"/>
              </w:rPr>
              <w:t>291-2018-SUNAFIL/</w:t>
            </w:r>
            <w:r w:rsidR="00C56045" w:rsidRPr="00FB1E50">
              <w:rPr>
                <w:rFonts w:ascii="Arial" w:eastAsia="Times New Roman" w:hAnsi="Arial" w:cs="Arial"/>
                <w:bCs/>
                <w:kern w:val="36"/>
                <w:sz w:val="20"/>
                <w:szCs w:val="20"/>
                <w:lang w:val="es-ES_tradnl"/>
              </w:rPr>
              <w:t>DS, recibido el 3</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de</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octubre</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de</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20</w:t>
            </w:r>
            <w:r w:rsidR="00C56045" w:rsidRPr="00FB1E50">
              <w:rPr>
                <w:rFonts w:ascii="Arial" w:eastAsia="Times New Roman" w:hAnsi="Arial" w:cs="Arial"/>
                <w:bCs/>
                <w:kern w:val="36"/>
                <w:sz w:val="20"/>
                <w:szCs w:val="20"/>
                <w:lang w:val="es-ES_tradnl"/>
              </w:rPr>
              <w:t>18,</w:t>
            </w:r>
            <w:r>
              <w:rPr>
                <w:rFonts w:ascii="Arial" w:eastAsia="Times New Roman" w:hAnsi="Arial" w:cs="Arial"/>
                <w:bCs/>
                <w:kern w:val="36"/>
                <w:sz w:val="20"/>
                <w:szCs w:val="20"/>
                <w:lang w:val="es-ES_tradnl"/>
              </w:rPr>
              <w:t xml:space="preserve"> de SUNAFIL remitiendo el informe sobre el diseño e implementación del piloto.</w:t>
            </w:r>
          </w:p>
        </w:tc>
        <w:tc>
          <w:tcPr>
            <w:tcW w:w="1800" w:type="dxa"/>
          </w:tcPr>
          <w:p w14:paraId="643C9B90" w14:textId="172C076E" w:rsidR="001C2617" w:rsidRDefault="003876C6" w:rsidP="006021BF">
            <w:pPr>
              <w:ind w:left="-4"/>
              <w:jc w:val="both"/>
              <w:rPr>
                <w:rFonts w:ascii="Arial" w:hAnsi="Arial" w:cs="Arial"/>
                <w:sz w:val="20"/>
                <w:szCs w:val="20"/>
                <w:lang w:val="es-ES_tradnl"/>
              </w:rPr>
            </w:pPr>
            <w:r w:rsidRPr="00726417">
              <w:rPr>
                <w:rFonts w:ascii="Arial" w:hAnsi="Arial"/>
                <w:b/>
                <w:sz w:val="20"/>
                <w:lang w:val="es-ES_tradnl"/>
              </w:rPr>
              <w:t>Cumplido</w:t>
            </w:r>
          </w:p>
          <w:p w14:paraId="1F88C1CB" w14:textId="6E0BDE31" w:rsidR="0071111A" w:rsidRDefault="0071111A" w:rsidP="006021BF">
            <w:pPr>
              <w:ind w:left="-4"/>
              <w:jc w:val="both"/>
              <w:rPr>
                <w:rFonts w:ascii="Arial" w:hAnsi="Arial" w:cs="Arial"/>
                <w:sz w:val="20"/>
                <w:szCs w:val="20"/>
                <w:lang w:val="es-ES_tradnl"/>
              </w:rPr>
            </w:pPr>
          </w:p>
          <w:p w14:paraId="0981A3E2" w14:textId="77777777" w:rsidR="00C56045" w:rsidRDefault="00C56045" w:rsidP="006021BF">
            <w:pPr>
              <w:ind w:left="-4"/>
              <w:jc w:val="both"/>
              <w:rPr>
                <w:rFonts w:ascii="Arial" w:hAnsi="Arial" w:cs="Arial"/>
                <w:sz w:val="20"/>
                <w:szCs w:val="20"/>
                <w:lang w:val="es-ES_tradnl"/>
              </w:rPr>
            </w:pPr>
          </w:p>
          <w:p w14:paraId="4D78C488" w14:textId="77777777" w:rsidR="00C56045" w:rsidRDefault="00C56045" w:rsidP="006021BF">
            <w:pPr>
              <w:ind w:left="-4"/>
              <w:jc w:val="both"/>
              <w:rPr>
                <w:rFonts w:ascii="Arial" w:hAnsi="Arial" w:cs="Arial"/>
                <w:sz w:val="20"/>
                <w:szCs w:val="20"/>
                <w:lang w:val="es-ES_tradnl"/>
              </w:rPr>
            </w:pPr>
          </w:p>
          <w:p w14:paraId="2D186E6C" w14:textId="77777777" w:rsidR="00C56045" w:rsidRDefault="00C56045" w:rsidP="006021BF">
            <w:pPr>
              <w:ind w:left="-4"/>
              <w:jc w:val="both"/>
              <w:rPr>
                <w:rFonts w:ascii="Arial" w:hAnsi="Arial" w:cs="Arial"/>
                <w:sz w:val="20"/>
                <w:szCs w:val="20"/>
                <w:lang w:val="es-ES_tradnl"/>
              </w:rPr>
            </w:pPr>
          </w:p>
          <w:p w14:paraId="1D50F6FC" w14:textId="3C3A5B9E" w:rsidR="00C56045" w:rsidRDefault="00C56045" w:rsidP="006021BF">
            <w:pPr>
              <w:ind w:left="-4"/>
              <w:jc w:val="both"/>
              <w:rPr>
                <w:rFonts w:ascii="Arial" w:hAnsi="Arial" w:cs="Arial"/>
                <w:sz w:val="20"/>
                <w:szCs w:val="20"/>
                <w:lang w:val="es-ES_tradnl"/>
              </w:rPr>
            </w:pPr>
          </w:p>
          <w:p w14:paraId="25D98681" w14:textId="7D20882C" w:rsidR="00555F4B" w:rsidRDefault="00555F4B" w:rsidP="006021BF">
            <w:pPr>
              <w:ind w:left="-4"/>
              <w:jc w:val="both"/>
              <w:rPr>
                <w:rFonts w:ascii="Arial" w:hAnsi="Arial" w:cs="Arial"/>
                <w:sz w:val="20"/>
                <w:szCs w:val="20"/>
                <w:lang w:val="es-ES_tradnl"/>
              </w:rPr>
            </w:pPr>
          </w:p>
          <w:p w14:paraId="6415079A" w14:textId="15D19675" w:rsidR="00FE5DE8" w:rsidRDefault="00FE5DE8" w:rsidP="006021BF">
            <w:pPr>
              <w:ind w:left="-4"/>
              <w:jc w:val="both"/>
              <w:rPr>
                <w:rFonts w:ascii="Arial" w:hAnsi="Arial" w:cs="Arial"/>
                <w:sz w:val="20"/>
                <w:szCs w:val="20"/>
                <w:lang w:val="es-ES_tradnl"/>
              </w:rPr>
            </w:pPr>
          </w:p>
          <w:p w14:paraId="2485D57B" w14:textId="77777777" w:rsidR="00FE5DE8" w:rsidRDefault="00FE5DE8" w:rsidP="006021BF">
            <w:pPr>
              <w:ind w:left="-4"/>
              <w:jc w:val="both"/>
              <w:rPr>
                <w:rFonts w:ascii="Arial" w:hAnsi="Arial" w:cs="Arial"/>
                <w:sz w:val="20"/>
                <w:szCs w:val="20"/>
                <w:lang w:val="es-ES_tradnl"/>
              </w:rPr>
            </w:pPr>
          </w:p>
          <w:p w14:paraId="54785B74" w14:textId="62A40E41" w:rsidR="00BA2BF5" w:rsidRDefault="00C56045" w:rsidP="00522044">
            <w:pPr>
              <w:spacing w:before="120"/>
              <w:ind w:left="-4"/>
              <w:jc w:val="both"/>
              <w:rPr>
                <w:rFonts w:ascii="Arial" w:hAnsi="Arial" w:cs="Arial"/>
                <w:sz w:val="20"/>
                <w:szCs w:val="20"/>
                <w:lang w:val="es-ES_tradnl"/>
              </w:rPr>
            </w:pPr>
            <w:r w:rsidRPr="00726417">
              <w:rPr>
                <w:rFonts w:ascii="Arial" w:hAnsi="Arial"/>
                <w:b/>
                <w:sz w:val="20"/>
                <w:lang w:val="es-ES_tradnl"/>
              </w:rPr>
              <w:t>Cumplido</w:t>
            </w:r>
          </w:p>
          <w:p w14:paraId="7C0DCD7C" w14:textId="77777777" w:rsidR="00C56045" w:rsidRDefault="00C56045" w:rsidP="0071111A">
            <w:pPr>
              <w:spacing w:before="60" w:after="60"/>
              <w:ind w:left="-4"/>
              <w:jc w:val="both"/>
              <w:rPr>
                <w:rFonts w:ascii="Arial" w:hAnsi="Arial" w:cs="Arial"/>
                <w:sz w:val="20"/>
                <w:szCs w:val="20"/>
                <w:lang w:val="es-ES_tradnl"/>
              </w:rPr>
            </w:pPr>
          </w:p>
          <w:p w14:paraId="389100FD" w14:textId="77777777" w:rsidR="00C56045" w:rsidRDefault="00C56045" w:rsidP="0071111A">
            <w:pPr>
              <w:spacing w:before="60" w:after="60"/>
              <w:ind w:left="-4"/>
              <w:jc w:val="both"/>
              <w:rPr>
                <w:rFonts w:ascii="Arial" w:hAnsi="Arial" w:cs="Arial"/>
                <w:sz w:val="20"/>
                <w:szCs w:val="20"/>
                <w:lang w:val="es-ES_tradnl"/>
              </w:rPr>
            </w:pPr>
          </w:p>
          <w:p w14:paraId="2DDFB5F7" w14:textId="55246E43" w:rsidR="00C56045" w:rsidRDefault="00C56045" w:rsidP="006021BF">
            <w:pPr>
              <w:ind w:left="-4"/>
              <w:jc w:val="both"/>
              <w:rPr>
                <w:rFonts w:ascii="Arial" w:hAnsi="Arial" w:cs="Arial"/>
                <w:sz w:val="20"/>
                <w:szCs w:val="20"/>
                <w:lang w:val="es-ES_tradnl"/>
              </w:rPr>
            </w:pPr>
          </w:p>
          <w:p w14:paraId="71A6EA91" w14:textId="77777777" w:rsidR="00522044" w:rsidRDefault="00522044" w:rsidP="006021BF">
            <w:pPr>
              <w:ind w:left="-4"/>
              <w:jc w:val="both"/>
              <w:rPr>
                <w:rFonts w:ascii="Arial" w:hAnsi="Arial" w:cs="Arial"/>
                <w:sz w:val="20"/>
                <w:szCs w:val="20"/>
                <w:lang w:val="es-ES_tradnl"/>
              </w:rPr>
            </w:pPr>
          </w:p>
          <w:p w14:paraId="7A548637" w14:textId="77777777" w:rsidR="00C56045" w:rsidRDefault="00C56045" w:rsidP="006021BF">
            <w:pPr>
              <w:ind w:left="-4"/>
              <w:jc w:val="both"/>
              <w:rPr>
                <w:rFonts w:ascii="Arial" w:hAnsi="Arial" w:cs="Arial"/>
                <w:sz w:val="20"/>
                <w:szCs w:val="20"/>
                <w:lang w:val="es-ES_tradnl"/>
              </w:rPr>
            </w:pPr>
          </w:p>
          <w:p w14:paraId="17ADE2BF" w14:textId="77777777" w:rsidR="00C56045" w:rsidRDefault="00C56045" w:rsidP="006021BF">
            <w:pPr>
              <w:ind w:left="-4"/>
              <w:jc w:val="both"/>
              <w:rPr>
                <w:rFonts w:ascii="Arial" w:hAnsi="Arial" w:cs="Arial"/>
                <w:sz w:val="20"/>
                <w:szCs w:val="20"/>
                <w:lang w:val="es-ES_tradnl"/>
              </w:rPr>
            </w:pPr>
          </w:p>
          <w:p w14:paraId="04E0691F" w14:textId="77777777" w:rsidR="00C56045" w:rsidRDefault="00C56045" w:rsidP="006021BF">
            <w:pPr>
              <w:ind w:left="-4"/>
              <w:jc w:val="both"/>
              <w:rPr>
                <w:rFonts w:ascii="Arial" w:hAnsi="Arial" w:cs="Arial"/>
                <w:sz w:val="20"/>
                <w:szCs w:val="20"/>
                <w:lang w:val="es-ES_tradnl"/>
              </w:rPr>
            </w:pPr>
          </w:p>
          <w:p w14:paraId="302D726D" w14:textId="77777777" w:rsidR="00C56045" w:rsidRDefault="00C56045" w:rsidP="006021BF">
            <w:pPr>
              <w:ind w:left="-4"/>
              <w:jc w:val="both"/>
              <w:rPr>
                <w:rFonts w:ascii="Arial" w:hAnsi="Arial" w:cs="Arial"/>
                <w:sz w:val="20"/>
                <w:szCs w:val="20"/>
                <w:lang w:val="es-ES_tradnl"/>
              </w:rPr>
            </w:pPr>
          </w:p>
          <w:p w14:paraId="34DB59C7" w14:textId="389F614C" w:rsidR="00C56045" w:rsidRDefault="00C56045" w:rsidP="006021BF">
            <w:pPr>
              <w:ind w:left="-4"/>
              <w:jc w:val="both"/>
              <w:rPr>
                <w:rFonts w:ascii="Arial" w:hAnsi="Arial" w:cs="Arial"/>
                <w:sz w:val="20"/>
                <w:szCs w:val="20"/>
                <w:lang w:val="es-ES_tradnl"/>
              </w:rPr>
            </w:pPr>
          </w:p>
          <w:p w14:paraId="55646073" w14:textId="77777777" w:rsidR="00FE5DE8" w:rsidRDefault="00FE5DE8" w:rsidP="006021BF">
            <w:pPr>
              <w:ind w:left="-4"/>
              <w:jc w:val="both"/>
              <w:rPr>
                <w:rFonts w:ascii="Arial" w:hAnsi="Arial" w:cs="Arial"/>
                <w:sz w:val="20"/>
                <w:szCs w:val="20"/>
                <w:lang w:val="es-ES_tradnl"/>
              </w:rPr>
            </w:pPr>
          </w:p>
          <w:p w14:paraId="5E1009AC" w14:textId="4AC3AE6D" w:rsidR="00C56045" w:rsidRDefault="00C56045" w:rsidP="006021BF">
            <w:pPr>
              <w:jc w:val="both"/>
              <w:rPr>
                <w:rFonts w:ascii="Arial" w:hAnsi="Arial" w:cs="Arial"/>
                <w:sz w:val="20"/>
                <w:szCs w:val="20"/>
                <w:lang w:val="es-ES_tradnl"/>
              </w:rPr>
            </w:pPr>
            <w:r w:rsidRPr="00726417">
              <w:rPr>
                <w:rFonts w:ascii="Arial" w:hAnsi="Arial"/>
                <w:b/>
                <w:sz w:val="20"/>
                <w:lang w:val="es-ES_tradnl"/>
              </w:rPr>
              <w:t>Cumplido</w:t>
            </w:r>
          </w:p>
          <w:p w14:paraId="5A36562C" w14:textId="77777777" w:rsidR="00C56045" w:rsidRDefault="00C56045" w:rsidP="006021BF">
            <w:pPr>
              <w:ind w:left="-4"/>
              <w:jc w:val="both"/>
              <w:rPr>
                <w:rFonts w:ascii="Arial" w:hAnsi="Arial" w:cs="Arial"/>
                <w:sz w:val="20"/>
                <w:szCs w:val="20"/>
                <w:lang w:val="es-ES_tradnl"/>
              </w:rPr>
            </w:pPr>
          </w:p>
          <w:p w14:paraId="73407FC2" w14:textId="77777777" w:rsidR="00C56045" w:rsidRDefault="00C56045" w:rsidP="006021BF">
            <w:pPr>
              <w:ind w:left="-4"/>
              <w:jc w:val="both"/>
              <w:rPr>
                <w:rFonts w:ascii="Arial" w:hAnsi="Arial" w:cs="Arial"/>
                <w:sz w:val="20"/>
                <w:szCs w:val="20"/>
                <w:lang w:val="es-ES_tradnl"/>
              </w:rPr>
            </w:pPr>
          </w:p>
          <w:p w14:paraId="0C72208D" w14:textId="77777777" w:rsidR="00C56045" w:rsidRDefault="00C56045" w:rsidP="006021BF">
            <w:pPr>
              <w:ind w:left="-4"/>
              <w:jc w:val="both"/>
              <w:rPr>
                <w:rFonts w:ascii="Arial" w:hAnsi="Arial" w:cs="Arial"/>
                <w:sz w:val="20"/>
                <w:szCs w:val="20"/>
                <w:lang w:val="es-ES_tradnl"/>
              </w:rPr>
            </w:pPr>
          </w:p>
          <w:p w14:paraId="11578A6E" w14:textId="4E5A37CA" w:rsidR="00C56045" w:rsidRDefault="00C56045" w:rsidP="006021BF">
            <w:pPr>
              <w:ind w:left="-4"/>
              <w:jc w:val="both"/>
              <w:rPr>
                <w:rFonts w:ascii="Arial" w:hAnsi="Arial" w:cs="Arial"/>
                <w:sz w:val="20"/>
                <w:szCs w:val="20"/>
                <w:lang w:val="es-ES_tradnl"/>
              </w:rPr>
            </w:pPr>
          </w:p>
          <w:p w14:paraId="761B1499" w14:textId="07F23815" w:rsidR="00522044" w:rsidRDefault="00522044" w:rsidP="006021BF">
            <w:pPr>
              <w:ind w:left="-4"/>
              <w:jc w:val="both"/>
              <w:rPr>
                <w:rFonts w:ascii="Arial" w:hAnsi="Arial" w:cs="Arial"/>
                <w:sz w:val="20"/>
                <w:szCs w:val="20"/>
                <w:lang w:val="es-ES_tradnl"/>
              </w:rPr>
            </w:pPr>
          </w:p>
          <w:p w14:paraId="725E32E6" w14:textId="22D3A761" w:rsidR="00522044" w:rsidRDefault="00522044" w:rsidP="006021BF">
            <w:pPr>
              <w:ind w:left="-4"/>
              <w:jc w:val="both"/>
              <w:rPr>
                <w:rFonts w:ascii="Arial" w:hAnsi="Arial" w:cs="Arial"/>
                <w:sz w:val="20"/>
                <w:szCs w:val="20"/>
                <w:lang w:val="es-ES_tradnl"/>
              </w:rPr>
            </w:pPr>
          </w:p>
          <w:p w14:paraId="2CC8F79A" w14:textId="34CF8DBC" w:rsidR="00522044" w:rsidRDefault="00522044" w:rsidP="006021BF">
            <w:pPr>
              <w:ind w:left="-4"/>
              <w:jc w:val="both"/>
              <w:rPr>
                <w:rFonts w:ascii="Arial" w:hAnsi="Arial" w:cs="Arial"/>
                <w:sz w:val="20"/>
                <w:szCs w:val="20"/>
                <w:lang w:val="es-ES_tradnl"/>
              </w:rPr>
            </w:pPr>
          </w:p>
          <w:p w14:paraId="197D4761" w14:textId="77777777" w:rsidR="00522044" w:rsidRDefault="00522044" w:rsidP="006021BF">
            <w:pPr>
              <w:ind w:left="-4"/>
              <w:jc w:val="both"/>
              <w:rPr>
                <w:rFonts w:ascii="Arial" w:hAnsi="Arial" w:cs="Arial"/>
                <w:sz w:val="20"/>
                <w:szCs w:val="20"/>
                <w:lang w:val="es-ES_tradnl"/>
              </w:rPr>
            </w:pPr>
          </w:p>
          <w:p w14:paraId="66666331" w14:textId="7FDB14EE" w:rsidR="00C56045" w:rsidRDefault="00C56045" w:rsidP="006021BF">
            <w:pPr>
              <w:ind w:left="-4"/>
              <w:jc w:val="both"/>
              <w:rPr>
                <w:rFonts w:ascii="Arial" w:hAnsi="Arial" w:cs="Arial"/>
                <w:sz w:val="20"/>
                <w:szCs w:val="20"/>
                <w:lang w:val="es-ES_tradnl"/>
              </w:rPr>
            </w:pPr>
          </w:p>
          <w:p w14:paraId="12BEF7E2" w14:textId="77777777" w:rsidR="00FE5DE8" w:rsidRDefault="00FE5DE8" w:rsidP="006021BF">
            <w:pPr>
              <w:ind w:left="-4"/>
              <w:jc w:val="both"/>
              <w:rPr>
                <w:rFonts w:ascii="Arial" w:hAnsi="Arial" w:cs="Arial"/>
                <w:sz w:val="20"/>
                <w:szCs w:val="20"/>
                <w:lang w:val="es-ES_tradnl"/>
              </w:rPr>
            </w:pPr>
          </w:p>
          <w:p w14:paraId="500A35E6" w14:textId="6D7812A9" w:rsidR="00C56045" w:rsidRDefault="00C56045" w:rsidP="008D1CBB">
            <w:pPr>
              <w:spacing w:before="240" w:after="60"/>
              <w:ind w:left="-4"/>
              <w:jc w:val="both"/>
              <w:rPr>
                <w:rFonts w:ascii="Arial" w:hAnsi="Arial" w:cs="Arial"/>
                <w:sz w:val="20"/>
                <w:szCs w:val="20"/>
                <w:lang w:val="es-ES_tradnl"/>
              </w:rPr>
            </w:pPr>
            <w:r w:rsidRPr="00726417">
              <w:rPr>
                <w:rFonts w:ascii="Arial" w:hAnsi="Arial"/>
                <w:b/>
                <w:sz w:val="20"/>
                <w:lang w:val="es-ES_tradnl"/>
              </w:rPr>
              <w:t>Cumplido</w:t>
            </w:r>
          </w:p>
          <w:p w14:paraId="1CB114C8" w14:textId="77777777" w:rsidR="0071111A" w:rsidRDefault="0071111A" w:rsidP="000C0844">
            <w:pPr>
              <w:spacing w:before="60" w:after="60"/>
              <w:ind w:left="-4"/>
              <w:jc w:val="both"/>
              <w:rPr>
                <w:rFonts w:ascii="Arial" w:hAnsi="Arial" w:cs="Arial"/>
                <w:sz w:val="20"/>
                <w:szCs w:val="20"/>
                <w:lang w:val="es-ES_tradnl"/>
              </w:rPr>
            </w:pPr>
          </w:p>
          <w:p w14:paraId="5076F500" w14:textId="77777777" w:rsidR="003876C6" w:rsidRPr="006021BF" w:rsidRDefault="003876C6" w:rsidP="006021BF">
            <w:pPr>
              <w:ind w:left="-4"/>
              <w:jc w:val="both"/>
              <w:rPr>
                <w:rFonts w:ascii="Arial" w:hAnsi="Arial"/>
                <w:b/>
                <w:sz w:val="20"/>
                <w:lang w:val="es-ES_tradnl"/>
              </w:rPr>
            </w:pPr>
          </w:p>
        </w:tc>
        <w:tc>
          <w:tcPr>
            <w:tcW w:w="1620" w:type="dxa"/>
          </w:tcPr>
          <w:p w14:paraId="7EA1F19D" w14:textId="77777777" w:rsidR="001C2617" w:rsidRDefault="001C2617" w:rsidP="006021BF">
            <w:pPr>
              <w:ind w:left="-4"/>
              <w:jc w:val="both"/>
              <w:rPr>
                <w:rFonts w:ascii="Arial" w:hAnsi="Arial" w:cs="Arial"/>
                <w:sz w:val="20"/>
                <w:szCs w:val="20"/>
                <w:lang w:val="es-ES_tradnl"/>
              </w:rPr>
            </w:pPr>
            <w:r>
              <w:rPr>
                <w:rFonts w:ascii="Arial" w:hAnsi="Arial" w:cs="Arial"/>
                <w:sz w:val="20"/>
                <w:szCs w:val="20"/>
                <w:lang w:val="es-ES_tradnl"/>
              </w:rPr>
              <w:t>SUNAFIL</w:t>
            </w:r>
          </w:p>
          <w:p w14:paraId="25BF1477" w14:textId="77777777" w:rsidR="001C2617" w:rsidRDefault="001C2617" w:rsidP="006021BF">
            <w:pPr>
              <w:ind w:left="-4"/>
              <w:jc w:val="both"/>
              <w:rPr>
                <w:rFonts w:ascii="Arial" w:hAnsi="Arial" w:cs="Arial"/>
                <w:sz w:val="20"/>
                <w:szCs w:val="20"/>
                <w:lang w:val="es-ES_tradnl"/>
              </w:rPr>
            </w:pPr>
          </w:p>
          <w:p w14:paraId="2E80D998" w14:textId="77777777" w:rsidR="001C2617" w:rsidRDefault="001C2617" w:rsidP="006021BF">
            <w:pPr>
              <w:ind w:left="-4"/>
              <w:jc w:val="both"/>
              <w:rPr>
                <w:rFonts w:ascii="Arial" w:hAnsi="Arial" w:cs="Arial"/>
                <w:sz w:val="20"/>
                <w:szCs w:val="20"/>
                <w:lang w:val="es-ES_tradnl"/>
              </w:rPr>
            </w:pPr>
          </w:p>
          <w:p w14:paraId="2028772F" w14:textId="77777777" w:rsidR="001C2617" w:rsidRDefault="001C2617" w:rsidP="006021BF">
            <w:pPr>
              <w:ind w:left="-4"/>
              <w:jc w:val="both"/>
              <w:rPr>
                <w:rFonts w:ascii="Arial" w:hAnsi="Arial" w:cs="Arial"/>
                <w:sz w:val="20"/>
                <w:szCs w:val="20"/>
                <w:lang w:val="es-ES_tradnl"/>
              </w:rPr>
            </w:pPr>
          </w:p>
          <w:p w14:paraId="4B710D2E" w14:textId="77777777" w:rsidR="001C2617" w:rsidRDefault="001C2617" w:rsidP="006021BF">
            <w:pPr>
              <w:ind w:left="-4"/>
              <w:jc w:val="both"/>
              <w:rPr>
                <w:rFonts w:ascii="Arial" w:hAnsi="Arial" w:cs="Arial"/>
                <w:sz w:val="20"/>
                <w:szCs w:val="20"/>
                <w:lang w:val="es-ES_tradnl"/>
              </w:rPr>
            </w:pPr>
          </w:p>
          <w:p w14:paraId="4B138603" w14:textId="3D5B9465" w:rsidR="001C2617" w:rsidRDefault="001C2617" w:rsidP="006021BF">
            <w:pPr>
              <w:ind w:left="-4"/>
              <w:jc w:val="both"/>
              <w:rPr>
                <w:rFonts w:ascii="Arial" w:hAnsi="Arial" w:cs="Arial"/>
                <w:sz w:val="20"/>
                <w:szCs w:val="20"/>
                <w:lang w:val="es-ES_tradnl"/>
              </w:rPr>
            </w:pPr>
          </w:p>
          <w:p w14:paraId="7D58AFD1" w14:textId="4E5DEFEB" w:rsidR="00FE5DE8" w:rsidRDefault="00FE5DE8" w:rsidP="006021BF">
            <w:pPr>
              <w:ind w:left="-4"/>
              <w:jc w:val="both"/>
              <w:rPr>
                <w:rFonts w:ascii="Arial" w:hAnsi="Arial" w:cs="Arial"/>
                <w:sz w:val="20"/>
                <w:szCs w:val="20"/>
                <w:lang w:val="es-ES_tradnl"/>
              </w:rPr>
            </w:pPr>
          </w:p>
          <w:p w14:paraId="04C9E21E" w14:textId="77777777" w:rsidR="00FE5DE8" w:rsidRDefault="00FE5DE8" w:rsidP="006021BF">
            <w:pPr>
              <w:ind w:left="-4"/>
              <w:jc w:val="both"/>
              <w:rPr>
                <w:rFonts w:ascii="Arial" w:hAnsi="Arial" w:cs="Arial"/>
                <w:sz w:val="20"/>
                <w:szCs w:val="20"/>
                <w:lang w:val="es-ES_tradnl"/>
              </w:rPr>
            </w:pPr>
          </w:p>
          <w:p w14:paraId="0456AEBC" w14:textId="27A22CB4" w:rsidR="00555F4B" w:rsidRDefault="00555F4B" w:rsidP="006021BF">
            <w:pPr>
              <w:ind w:left="-4"/>
              <w:jc w:val="both"/>
              <w:rPr>
                <w:rFonts w:ascii="Arial" w:hAnsi="Arial" w:cs="Arial"/>
                <w:sz w:val="20"/>
                <w:szCs w:val="20"/>
                <w:lang w:val="es-ES_tradnl"/>
              </w:rPr>
            </w:pPr>
          </w:p>
          <w:p w14:paraId="4708F4EF" w14:textId="77777777" w:rsidR="001C2617" w:rsidRDefault="001C2617" w:rsidP="00522044">
            <w:pPr>
              <w:spacing w:before="120"/>
              <w:ind w:left="-4"/>
              <w:jc w:val="both"/>
              <w:rPr>
                <w:rFonts w:ascii="Arial" w:hAnsi="Arial" w:cs="Arial"/>
                <w:sz w:val="20"/>
                <w:szCs w:val="20"/>
                <w:lang w:val="es-ES_tradnl"/>
              </w:rPr>
            </w:pPr>
            <w:r>
              <w:rPr>
                <w:rFonts w:ascii="Arial" w:hAnsi="Arial" w:cs="Arial"/>
                <w:sz w:val="20"/>
                <w:szCs w:val="20"/>
                <w:lang w:val="es-ES_tradnl"/>
              </w:rPr>
              <w:t>SUNAFIL</w:t>
            </w:r>
          </w:p>
          <w:p w14:paraId="3DA9587B" w14:textId="77777777" w:rsidR="004170C3" w:rsidRDefault="004170C3" w:rsidP="006021BF">
            <w:pPr>
              <w:ind w:left="-4"/>
              <w:jc w:val="both"/>
              <w:rPr>
                <w:rFonts w:ascii="Arial" w:hAnsi="Arial" w:cs="Arial"/>
                <w:sz w:val="20"/>
                <w:szCs w:val="20"/>
                <w:lang w:val="es-ES_tradnl"/>
              </w:rPr>
            </w:pPr>
          </w:p>
          <w:p w14:paraId="24B4307D" w14:textId="77777777" w:rsidR="004170C3" w:rsidRDefault="004170C3" w:rsidP="006021BF">
            <w:pPr>
              <w:ind w:left="-4"/>
              <w:jc w:val="both"/>
              <w:rPr>
                <w:rFonts w:ascii="Arial" w:hAnsi="Arial" w:cs="Arial"/>
                <w:sz w:val="20"/>
                <w:szCs w:val="20"/>
                <w:lang w:val="es-ES_tradnl"/>
              </w:rPr>
            </w:pPr>
          </w:p>
          <w:p w14:paraId="2FB50207" w14:textId="77777777" w:rsidR="004170C3" w:rsidRDefault="004170C3" w:rsidP="006021BF">
            <w:pPr>
              <w:ind w:left="-4"/>
              <w:jc w:val="both"/>
              <w:rPr>
                <w:rFonts w:ascii="Arial" w:hAnsi="Arial" w:cs="Arial"/>
                <w:sz w:val="20"/>
                <w:szCs w:val="20"/>
                <w:lang w:val="es-ES_tradnl"/>
              </w:rPr>
            </w:pPr>
          </w:p>
          <w:p w14:paraId="4E1B9F7B" w14:textId="2B81B41D" w:rsidR="004170C3" w:rsidRDefault="004170C3" w:rsidP="006021BF">
            <w:pPr>
              <w:ind w:left="-4"/>
              <w:jc w:val="both"/>
              <w:rPr>
                <w:rFonts w:ascii="Arial" w:hAnsi="Arial" w:cs="Arial"/>
                <w:sz w:val="20"/>
                <w:szCs w:val="20"/>
                <w:lang w:val="es-ES_tradnl"/>
              </w:rPr>
            </w:pPr>
          </w:p>
          <w:p w14:paraId="29E784B1" w14:textId="31DA5112" w:rsidR="00522044" w:rsidRDefault="00522044" w:rsidP="006021BF">
            <w:pPr>
              <w:ind w:left="-4"/>
              <w:jc w:val="both"/>
              <w:rPr>
                <w:rFonts w:ascii="Arial" w:hAnsi="Arial" w:cs="Arial"/>
                <w:sz w:val="20"/>
                <w:szCs w:val="20"/>
                <w:lang w:val="es-ES_tradnl"/>
              </w:rPr>
            </w:pPr>
          </w:p>
          <w:p w14:paraId="1F64E00E" w14:textId="77777777" w:rsidR="00522044" w:rsidRDefault="00522044" w:rsidP="006021BF">
            <w:pPr>
              <w:ind w:left="-4"/>
              <w:jc w:val="both"/>
              <w:rPr>
                <w:rFonts w:ascii="Arial" w:hAnsi="Arial" w:cs="Arial"/>
                <w:sz w:val="20"/>
                <w:szCs w:val="20"/>
                <w:lang w:val="es-ES_tradnl"/>
              </w:rPr>
            </w:pPr>
          </w:p>
          <w:p w14:paraId="14C222D4" w14:textId="77777777" w:rsidR="004170C3" w:rsidRDefault="004170C3" w:rsidP="006021BF">
            <w:pPr>
              <w:ind w:left="-4"/>
              <w:jc w:val="both"/>
              <w:rPr>
                <w:rFonts w:ascii="Arial" w:hAnsi="Arial" w:cs="Arial"/>
                <w:sz w:val="20"/>
                <w:szCs w:val="20"/>
                <w:lang w:val="es-ES_tradnl"/>
              </w:rPr>
            </w:pPr>
          </w:p>
          <w:p w14:paraId="76BEDD21" w14:textId="77777777" w:rsidR="004170C3" w:rsidRDefault="004170C3" w:rsidP="006021BF">
            <w:pPr>
              <w:ind w:left="-4"/>
              <w:jc w:val="both"/>
              <w:rPr>
                <w:rFonts w:ascii="Arial" w:hAnsi="Arial" w:cs="Arial"/>
                <w:sz w:val="20"/>
                <w:szCs w:val="20"/>
                <w:lang w:val="es-ES_tradnl"/>
              </w:rPr>
            </w:pPr>
          </w:p>
          <w:p w14:paraId="13362B16" w14:textId="77777777" w:rsidR="004170C3" w:rsidRDefault="004170C3" w:rsidP="006021BF">
            <w:pPr>
              <w:jc w:val="both"/>
              <w:rPr>
                <w:rFonts w:ascii="Arial" w:hAnsi="Arial" w:cs="Arial"/>
                <w:sz w:val="20"/>
                <w:szCs w:val="20"/>
                <w:lang w:val="es-ES_tradnl"/>
              </w:rPr>
            </w:pPr>
          </w:p>
          <w:p w14:paraId="768844DA" w14:textId="77777777" w:rsidR="004170C3" w:rsidRDefault="004170C3" w:rsidP="000C0844">
            <w:pPr>
              <w:spacing w:before="60" w:after="60"/>
              <w:ind w:left="-4"/>
              <w:jc w:val="both"/>
              <w:rPr>
                <w:rFonts w:ascii="Arial" w:hAnsi="Arial" w:cs="Arial"/>
                <w:sz w:val="20"/>
                <w:szCs w:val="20"/>
                <w:lang w:val="es-ES_tradnl"/>
              </w:rPr>
            </w:pPr>
          </w:p>
          <w:p w14:paraId="64C64FF6" w14:textId="77777777" w:rsidR="00F31B84" w:rsidRDefault="004170C3" w:rsidP="00FE5DE8">
            <w:pPr>
              <w:spacing w:before="240"/>
              <w:jc w:val="both"/>
              <w:rPr>
                <w:rFonts w:ascii="Arial" w:hAnsi="Arial" w:cs="Arial"/>
                <w:sz w:val="20"/>
                <w:szCs w:val="20"/>
                <w:lang w:val="es-ES_tradnl"/>
              </w:rPr>
            </w:pPr>
            <w:r>
              <w:rPr>
                <w:rFonts w:ascii="Arial" w:hAnsi="Arial" w:cs="Arial"/>
                <w:sz w:val="20"/>
                <w:szCs w:val="20"/>
                <w:lang w:val="es-ES_tradnl"/>
              </w:rPr>
              <w:t>SUNAFIL</w:t>
            </w:r>
          </w:p>
          <w:p w14:paraId="26F67872" w14:textId="77777777" w:rsidR="002369F1" w:rsidRDefault="002369F1" w:rsidP="006021BF">
            <w:pPr>
              <w:jc w:val="both"/>
              <w:rPr>
                <w:rFonts w:ascii="Arial" w:hAnsi="Arial" w:cs="Arial"/>
                <w:sz w:val="20"/>
                <w:szCs w:val="20"/>
                <w:lang w:val="es-ES_tradnl"/>
              </w:rPr>
            </w:pPr>
          </w:p>
          <w:p w14:paraId="58776C5A" w14:textId="77777777" w:rsidR="002369F1" w:rsidRDefault="002369F1" w:rsidP="006021BF">
            <w:pPr>
              <w:jc w:val="both"/>
              <w:rPr>
                <w:rFonts w:ascii="Arial" w:hAnsi="Arial" w:cs="Arial"/>
                <w:sz w:val="20"/>
                <w:szCs w:val="20"/>
                <w:lang w:val="es-ES_tradnl"/>
              </w:rPr>
            </w:pPr>
          </w:p>
          <w:p w14:paraId="7884A8B6" w14:textId="77777777" w:rsidR="002369F1" w:rsidRDefault="002369F1" w:rsidP="006021BF">
            <w:pPr>
              <w:jc w:val="both"/>
              <w:rPr>
                <w:rFonts w:ascii="Arial" w:hAnsi="Arial" w:cs="Arial"/>
                <w:sz w:val="20"/>
                <w:szCs w:val="20"/>
                <w:lang w:val="es-ES_tradnl"/>
              </w:rPr>
            </w:pPr>
          </w:p>
          <w:p w14:paraId="14493D2A" w14:textId="76282528" w:rsidR="002369F1" w:rsidRDefault="002369F1" w:rsidP="006021BF">
            <w:pPr>
              <w:jc w:val="both"/>
              <w:rPr>
                <w:rFonts w:ascii="Arial" w:hAnsi="Arial" w:cs="Arial"/>
                <w:sz w:val="20"/>
                <w:szCs w:val="20"/>
                <w:lang w:val="es-ES_tradnl"/>
              </w:rPr>
            </w:pPr>
          </w:p>
          <w:p w14:paraId="7D267653" w14:textId="479645AA" w:rsidR="00522044" w:rsidRDefault="00522044" w:rsidP="006021BF">
            <w:pPr>
              <w:jc w:val="both"/>
              <w:rPr>
                <w:rFonts w:ascii="Arial" w:hAnsi="Arial" w:cs="Arial"/>
                <w:sz w:val="20"/>
                <w:szCs w:val="20"/>
                <w:lang w:val="es-ES_tradnl"/>
              </w:rPr>
            </w:pPr>
          </w:p>
          <w:p w14:paraId="6AFB59CE" w14:textId="47B125E0" w:rsidR="00522044" w:rsidRDefault="00522044" w:rsidP="006021BF">
            <w:pPr>
              <w:jc w:val="both"/>
              <w:rPr>
                <w:rFonts w:ascii="Arial" w:hAnsi="Arial" w:cs="Arial"/>
                <w:sz w:val="20"/>
                <w:szCs w:val="20"/>
                <w:lang w:val="es-ES_tradnl"/>
              </w:rPr>
            </w:pPr>
          </w:p>
          <w:p w14:paraId="7206EDE5" w14:textId="0EE15D22" w:rsidR="00522044" w:rsidRDefault="00522044" w:rsidP="006021BF">
            <w:pPr>
              <w:jc w:val="both"/>
              <w:rPr>
                <w:rFonts w:ascii="Arial" w:hAnsi="Arial" w:cs="Arial"/>
                <w:sz w:val="20"/>
                <w:szCs w:val="20"/>
                <w:lang w:val="es-ES_tradnl"/>
              </w:rPr>
            </w:pPr>
          </w:p>
          <w:p w14:paraId="76BEAD67" w14:textId="433851AC" w:rsidR="00522044" w:rsidRDefault="00522044" w:rsidP="006021BF">
            <w:pPr>
              <w:jc w:val="both"/>
              <w:rPr>
                <w:rFonts w:ascii="Arial" w:hAnsi="Arial" w:cs="Arial"/>
                <w:sz w:val="20"/>
                <w:szCs w:val="20"/>
                <w:lang w:val="es-ES_tradnl"/>
              </w:rPr>
            </w:pPr>
          </w:p>
          <w:p w14:paraId="62A212A4" w14:textId="77777777" w:rsidR="00FE5DE8" w:rsidRDefault="00FE5DE8" w:rsidP="006021BF">
            <w:pPr>
              <w:jc w:val="both"/>
              <w:rPr>
                <w:rFonts w:ascii="Arial" w:hAnsi="Arial" w:cs="Arial"/>
                <w:sz w:val="20"/>
                <w:szCs w:val="20"/>
                <w:lang w:val="es-ES_tradnl"/>
              </w:rPr>
            </w:pPr>
          </w:p>
          <w:p w14:paraId="466C9C09" w14:textId="77777777" w:rsidR="002369F1" w:rsidRDefault="002369F1" w:rsidP="00FE5DE8">
            <w:pPr>
              <w:spacing w:before="420" w:after="60"/>
              <w:jc w:val="both"/>
              <w:rPr>
                <w:rFonts w:ascii="Arial" w:hAnsi="Arial" w:cs="Arial"/>
                <w:sz w:val="20"/>
                <w:szCs w:val="20"/>
                <w:lang w:val="es-ES_tradnl"/>
              </w:rPr>
            </w:pPr>
            <w:r>
              <w:rPr>
                <w:rFonts w:ascii="Arial" w:hAnsi="Arial" w:cs="Arial"/>
                <w:sz w:val="20"/>
                <w:szCs w:val="20"/>
                <w:lang w:val="es-ES_tradnl"/>
              </w:rPr>
              <w:t>SUNAFIL</w:t>
            </w:r>
          </w:p>
          <w:p w14:paraId="4FAAE88D" w14:textId="77777777" w:rsidR="004170C3" w:rsidRDefault="004170C3" w:rsidP="000E4B0B">
            <w:pPr>
              <w:spacing w:before="60" w:after="60"/>
              <w:jc w:val="both"/>
              <w:rPr>
                <w:rFonts w:ascii="Arial" w:hAnsi="Arial" w:cs="Arial"/>
                <w:sz w:val="20"/>
                <w:szCs w:val="20"/>
                <w:lang w:val="es-ES_tradnl"/>
              </w:rPr>
            </w:pPr>
          </w:p>
          <w:p w14:paraId="6AA8368C" w14:textId="77777777" w:rsidR="004170C3" w:rsidRPr="00390238" w:rsidRDefault="004170C3" w:rsidP="006021BF">
            <w:pPr>
              <w:jc w:val="both"/>
              <w:rPr>
                <w:rFonts w:ascii="Arial" w:hAnsi="Arial" w:cs="Arial"/>
                <w:sz w:val="20"/>
                <w:szCs w:val="20"/>
                <w:lang w:val="es-ES_tradnl"/>
              </w:rPr>
            </w:pPr>
          </w:p>
        </w:tc>
      </w:tr>
      <w:tr w:rsidR="00442EC7" w:rsidRPr="00390238" w14:paraId="06B30801" w14:textId="77777777" w:rsidTr="003260CD">
        <w:tc>
          <w:tcPr>
            <w:tcW w:w="14211" w:type="dxa"/>
            <w:gridSpan w:val="5"/>
            <w:shd w:val="clear" w:color="auto" w:fill="auto"/>
          </w:tcPr>
          <w:p w14:paraId="36EEEAD0" w14:textId="77777777" w:rsidR="00442EC7" w:rsidRPr="006021BF" w:rsidRDefault="00442EC7" w:rsidP="006021BF">
            <w:pPr>
              <w:spacing w:before="120" w:after="120"/>
              <w:ind w:left="-4"/>
              <w:jc w:val="both"/>
              <w:rPr>
                <w:rFonts w:ascii="Arial" w:hAnsi="Arial"/>
                <w:sz w:val="20"/>
                <w:lang w:val="es-ES_tradnl"/>
              </w:rPr>
            </w:pPr>
            <w:r w:rsidRPr="006021BF">
              <w:rPr>
                <w:rFonts w:ascii="Arial" w:hAnsi="Arial"/>
                <w:b/>
                <w:sz w:val="20"/>
                <w:lang w:val="es-ES_tradnl"/>
              </w:rPr>
              <w:t xml:space="preserve">Componente IV – Mejorar las políticas de desarrollo productivo </w:t>
            </w:r>
          </w:p>
        </w:tc>
      </w:tr>
      <w:tr w:rsidR="006021BF" w:rsidRPr="00390238" w14:paraId="0A2330F9" w14:textId="77777777" w:rsidTr="00992CCD">
        <w:tc>
          <w:tcPr>
            <w:tcW w:w="2691" w:type="dxa"/>
            <w:shd w:val="clear" w:color="auto" w:fill="auto"/>
          </w:tcPr>
          <w:p w14:paraId="19853B17" w14:textId="77777777" w:rsidR="001C2617" w:rsidRPr="00390238" w:rsidRDefault="001C2617" w:rsidP="006021BF">
            <w:pPr>
              <w:spacing w:after="120"/>
              <w:jc w:val="both"/>
              <w:rPr>
                <w:rFonts w:ascii="Arial" w:hAnsi="Arial" w:cs="Arial"/>
                <w:sz w:val="20"/>
                <w:szCs w:val="20"/>
                <w:lang w:val="es-ES_tradnl"/>
              </w:rPr>
            </w:pPr>
            <w:r w:rsidRPr="006021BF">
              <w:rPr>
                <w:rFonts w:ascii="Arial" w:hAnsi="Arial"/>
                <w:sz w:val="20"/>
                <w:lang w:val="es-ES_tradnl"/>
              </w:rPr>
              <w:t>4.1 Mejorar las políticas de extensión empresarial</w:t>
            </w:r>
          </w:p>
        </w:tc>
        <w:tc>
          <w:tcPr>
            <w:tcW w:w="4950" w:type="dxa"/>
            <w:shd w:val="clear" w:color="auto" w:fill="auto"/>
          </w:tcPr>
          <w:p w14:paraId="2738AF6F" w14:textId="273BC7FA" w:rsidR="001C2617" w:rsidRPr="00390238" w:rsidRDefault="001C2617" w:rsidP="00607326">
            <w:pPr>
              <w:spacing w:before="60" w:after="60"/>
              <w:ind w:left="-4"/>
              <w:jc w:val="both"/>
              <w:rPr>
                <w:rFonts w:ascii="Arial" w:hAnsi="Arial" w:cs="Arial"/>
                <w:sz w:val="20"/>
                <w:szCs w:val="20"/>
                <w:lang w:val="es-ES_tradnl"/>
              </w:rPr>
            </w:pPr>
            <w:r w:rsidRPr="00390238">
              <w:rPr>
                <w:rFonts w:ascii="Arial" w:hAnsi="Arial" w:cs="Arial"/>
                <w:sz w:val="20"/>
                <w:szCs w:val="20"/>
                <w:lang w:val="es-ES_tradnl"/>
              </w:rPr>
              <w:t xml:space="preserve">4.1.1 Que PRODUCE haya diseñado </w:t>
            </w:r>
            <w:r w:rsidR="00582FCD">
              <w:rPr>
                <w:rFonts w:ascii="Arial" w:hAnsi="Arial" w:cs="Arial"/>
                <w:sz w:val="20"/>
                <w:szCs w:val="20"/>
                <w:lang w:val="es-ES_tradnl"/>
              </w:rPr>
              <w:t>un</w:t>
            </w:r>
            <w:r w:rsidR="00582FCD" w:rsidRPr="00390238">
              <w:rPr>
                <w:rFonts w:ascii="Arial" w:hAnsi="Arial" w:cs="Arial"/>
                <w:sz w:val="20"/>
                <w:szCs w:val="20"/>
                <w:lang w:val="es-ES_tradnl"/>
              </w:rPr>
              <w:t xml:space="preserve"> </w:t>
            </w:r>
            <w:r w:rsidRPr="00390238">
              <w:rPr>
                <w:rFonts w:ascii="Arial" w:hAnsi="Arial" w:cs="Arial"/>
                <w:sz w:val="20"/>
                <w:szCs w:val="20"/>
                <w:lang w:val="es-ES_tradnl"/>
              </w:rPr>
              <w:t xml:space="preserve">programa nacional </w:t>
            </w:r>
            <w:r w:rsidR="00582FCD">
              <w:rPr>
                <w:rFonts w:ascii="Arial" w:hAnsi="Arial" w:cs="Arial"/>
                <w:sz w:val="20"/>
                <w:szCs w:val="20"/>
                <w:lang w:val="es-ES_tradnl"/>
              </w:rPr>
              <w:t>con el objetivo de</w:t>
            </w:r>
            <w:r w:rsidRPr="00390238">
              <w:rPr>
                <w:rFonts w:ascii="Arial" w:hAnsi="Arial" w:cs="Arial"/>
                <w:sz w:val="20"/>
                <w:szCs w:val="20"/>
                <w:lang w:val="es-ES_tradnl"/>
              </w:rPr>
              <w:t xml:space="preserve"> contribuir al aumento de la productividad y ventas de las </w:t>
            </w:r>
            <w:r w:rsidR="0042201E">
              <w:rPr>
                <w:rFonts w:ascii="Arial" w:hAnsi="Arial" w:cs="Arial"/>
                <w:sz w:val="20"/>
                <w:szCs w:val="20"/>
                <w:lang w:val="es-ES_tradnl"/>
              </w:rPr>
              <w:t>M</w:t>
            </w:r>
            <w:r w:rsidR="0042201E" w:rsidRPr="00390238">
              <w:rPr>
                <w:rFonts w:ascii="Arial" w:hAnsi="Arial" w:cs="Arial"/>
                <w:sz w:val="20"/>
                <w:szCs w:val="20"/>
                <w:lang w:val="es-ES_tradnl"/>
              </w:rPr>
              <w:t xml:space="preserve">icro </w:t>
            </w:r>
            <w:r w:rsidRPr="00390238">
              <w:rPr>
                <w:rFonts w:ascii="Arial" w:hAnsi="Arial" w:cs="Arial"/>
                <w:sz w:val="20"/>
                <w:szCs w:val="20"/>
                <w:lang w:val="es-ES_tradnl"/>
              </w:rPr>
              <w:t xml:space="preserve">y </w:t>
            </w:r>
            <w:r w:rsidR="0042201E">
              <w:rPr>
                <w:rFonts w:ascii="Arial" w:hAnsi="Arial" w:cs="Arial"/>
                <w:sz w:val="20"/>
                <w:szCs w:val="20"/>
                <w:lang w:val="es-ES_tradnl"/>
              </w:rPr>
              <w:t>P</w:t>
            </w:r>
            <w:r w:rsidR="0042201E" w:rsidRPr="00390238">
              <w:rPr>
                <w:rFonts w:ascii="Arial" w:hAnsi="Arial" w:cs="Arial"/>
                <w:sz w:val="20"/>
                <w:szCs w:val="20"/>
                <w:lang w:val="es-ES_tradnl"/>
              </w:rPr>
              <w:t xml:space="preserve">equeñas </w:t>
            </w:r>
            <w:r w:rsidR="0042201E">
              <w:rPr>
                <w:rFonts w:ascii="Arial" w:hAnsi="Arial" w:cs="Arial"/>
                <w:sz w:val="20"/>
                <w:szCs w:val="20"/>
                <w:lang w:val="es-ES_tradnl"/>
              </w:rPr>
              <w:t>E</w:t>
            </w:r>
            <w:r w:rsidR="0042201E" w:rsidRPr="00390238">
              <w:rPr>
                <w:rFonts w:ascii="Arial" w:hAnsi="Arial" w:cs="Arial"/>
                <w:sz w:val="20"/>
                <w:szCs w:val="20"/>
                <w:lang w:val="es-ES_tradnl"/>
              </w:rPr>
              <w:t>mpresas</w:t>
            </w:r>
            <w:r w:rsidR="0042201E">
              <w:rPr>
                <w:rFonts w:ascii="Arial" w:hAnsi="Arial" w:cs="Arial"/>
                <w:sz w:val="20"/>
                <w:szCs w:val="20"/>
                <w:lang w:val="es-ES_tradnl"/>
              </w:rPr>
              <w:t xml:space="preserve"> (MYPE)</w:t>
            </w:r>
            <w:r w:rsidRPr="00390238">
              <w:rPr>
                <w:rFonts w:ascii="Arial" w:hAnsi="Arial" w:cs="Arial"/>
                <w:sz w:val="20"/>
                <w:szCs w:val="20"/>
                <w:lang w:val="es-ES_tradnl"/>
              </w:rPr>
              <w:t>. Para ello, el programa concentrará los diversos servicios de PRODUCE y los agrupará en cinco líneas: (i) formalización</w:t>
            </w:r>
            <w:r w:rsidR="00BF2493">
              <w:rPr>
                <w:rFonts w:ascii="Arial" w:hAnsi="Arial" w:cs="Arial"/>
                <w:sz w:val="20"/>
                <w:szCs w:val="20"/>
                <w:lang w:val="es-ES_tradnl"/>
              </w:rPr>
              <w:t>;</w:t>
            </w:r>
            <w:r w:rsidRPr="00390238">
              <w:rPr>
                <w:rFonts w:ascii="Arial" w:hAnsi="Arial" w:cs="Arial"/>
                <w:sz w:val="20"/>
                <w:szCs w:val="20"/>
                <w:lang w:val="es-ES_tradnl"/>
              </w:rPr>
              <w:t xml:space="preserve"> (ii)</w:t>
            </w:r>
            <w:r w:rsidR="00522044">
              <w:rPr>
                <w:rFonts w:ascii="Arial" w:hAnsi="Arial" w:cs="Arial"/>
                <w:sz w:val="20"/>
                <w:szCs w:val="20"/>
                <w:lang w:val="es-ES_tradnl"/>
              </w:rPr>
              <w:t> </w:t>
            </w:r>
            <w:r w:rsidRPr="00390238">
              <w:rPr>
                <w:rFonts w:ascii="Arial" w:hAnsi="Arial" w:cs="Arial"/>
                <w:sz w:val="20"/>
                <w:szCs w:val="20"/>
                <w:lang w:val="es-ES_tradnl"/>
              </w:rPr>
              <w:t>gestión empresarial</w:t>
            </w:r>
            <w:r w:rsidR="00BF2493">
              <w:rPr>
                <w:rFonts w:ascii="Arial" w:hAnsi="Arial" w:cs="Arial"/>
                <w:sz w:val="20"/>
                <w:szCs w:val="20"/>
                <w:lang w:val="es-ES_tradnl"/>
              </w:rPr>
              <w:t>;</w:t>
            </w:r>
            <w:r w:rsidRPr="00390238">
              <w:rPr>
                <w:rFonts w:ascii="Arial" w:hAnsi="Arial" w:cs="Arial"/>
                <w:sz w:val="20"/>
                <w:szCs w:val="20"/>
                <w:lang w:val="es-ES_tradnl"/>
              </w:rPr>
              <w:t xml:space="preserve"> (iii)</w:t>
            </w:r>
            <w:r w:rsidR="008C4D2A">
              <w:rPr>
                <w:rFonts w:ascii="Arial" w:hAnsi="Arial" w:cs="Arial"/>
                <w:sz w:val="20"/>
                <w:szCs w:val="20"/>
                <w:lang w:val="es-ES_tradnl"/>
              </w:rPr>
              <w:t> </w:t>
            </w:r>
            <w:r w:rsidRPr="00390238">
              <w:rPr>
                <w:rFonts w:ascii="Arial" w:hAnsi="Arial" w:cs="Arial"/>
                <w:sz w:val="20"/>
                <w:szCs w:val="20"/>
                <w:lang w:val="es-ES_tradnl"/>
              </w:rPr>
              <w:t>acceso al financiamiento</w:t>
            </w:r>
            <w:r w:rsidR="00BF2493">
              <w:rPr>
                <w:rFonts w:ascii="Arial" w:hAnsi="Arial" w:cs="Arial"/>
                <w:sz w:val="20"/>
                <w:szCs w:val="20"/>
                <w:lang w:val="es-ES_tradnl"/>
              </w:rPr>
              <w:t>;</w:t>
            </w:r>
            <w:r w:rsidRPr="00390238">
              <w:rPr>
                <w:rFonts w:ascii="Arial" w:hAnsi="Arial" w:cs="Arial"/>
                <w:sz w:val="20"/>
                <w:szCs w:val="20"/>
                <w:lang w:val="es-ES_tradnl"/>
              </w:rPr>
              <w:t xml:space="preserve"> (iv)</w:t>
            </w:r>
            <w:r w:rsidR="00522044">
              <w:rPr>
                <w:rFonts w:ascii="Arial" w:hAnsi="Arial" w:cs="Arial"/>
                <w:sz w:val="20"/>
                <w:szCs w:val="20"/>
                <w:lang w:val="es-ES_tradnl"/>
              </w:rPr>
              <w:t> </w:t>
            </w:r>
            <w:r w:rsidRPr="00390238">
              <w:rPr>
                <w:rFonts w:ascii="Arial" w:hAnsi="Arial" w:cs="Arial"/>
                <w:sz w:val="20"/>
                <w:szCs w:val="20"/>
                <w:lang w:val="es-ES_tradnl"/>
              </w:rPr>
              <w:t>acompañamiento al desarrollo productivo</w:t>
            </w:r>
            <w:r w:rsidR="00BF2493">
              <w:rPr>
                <w:rFonts w:ascii="Arial" w:hAnsi="Arial" w:cs="Arial"/>
                <w:sz w:val="20"/>
                <w:szCs w:val="20"/>
                <w:lang w:val="es-ES_tradnl"/>
              </w:rPr>
              <w:t>;</w:t>
            </w:r>
            <w:r w:rsidRPr="00390238">
              <w:rPr>
                <w:rFonts w:ascii="Arial" w:hAnsi="Arial" w:cs="Arial"/>
                <w:sz w:val="20"/>
                <w:szCs w:val="20"/>
                <w:lang w:val="es-ES_tradnl"/>
              </w:rPr>
              <w:t xml:space="preserve"> y (v)</w:t>
            </w:r>
            <w:r w:rsidR="00522044">
              <w:rPr>
                <w:rFonts w:ascii="Arial" w:hAnsi="Arial" w:cs="Arial"/>
                <w:sz w:val="20"/>
                <w:szCs w:val="20"/>
                <w:lang w:val="es-ES_tradnl"/>
              </w:rPr>
              <w:t> </w:t>
            </w:r>
            <w:r w:rsidRPr="00390238">
              <w:rPr>
                <w:rFonts w:ascii="Arial" w:hAnsi="Arial" w:cs="Arial"/>
                <w:sz w:val="20"/>
                <w:szCs w:val="20"/>
                <w:lang w:val="es-ES_tradnl"/>
              </w:rPr>
              <w:t>digitalización.</w:t>
            </w:r>
          </w:p>
          <w:p w14:paraId="44AEF324" w14:textId="77777777" w:rsidR="001C2617" w:rsidRDefault="001C2617" w:rsidP="006021BF">
            <w:pPr>
              <w:ind w:left="-4"/>
              <w:jc w:val="both"/>
              <w:rPr>
                <w:rFonts w:ascii="Arial" w:hAnsi="Arial" w:cs="Arial"/>
                <w:sz w:val="20"/>
                <w:szCs w:val="20"/>
                <w:lang w:val="es-ES_tradnl"/>
              </w:rPr>
            </w:pPr>
          </w:p>
          <w:p w14:paraId="5D9EF1FB" w14:textId="78C0896F" w:rsidR="001C2617" w:rsidRPr="00390238" w:rsidRDefault="001C2617" w:rsidP="008D1CBB">
            <w:pPr>
              <w:spacing w:before="120"/>
              <w:ind w:left="-4"/>
              <w:jc w:val="both"/>
              <w:rPr>
                <w:rFonts w:ascii="Arial" w:hAnsi="Arial" w:cs="Arial"/>
                <w:sz w:val="20"/>
                <w:szCs w:val="20"/>
                <w:lang w:val="es-ES_tradnl"/>
              </w:rPr>
            </w:pPr>
            <w:r w:rsidRPr="00390238">
              <w:rPr>
                <w:rFonts w:ascii="Arial" w:hAnsi="Arial" w:cs="Arial"/>
                <w:sz w:val="20"/>
                <w:szCs w:val="20"/>
                <w:lang w:val="es-ES_tradnl"/>
              </w:rPr>
              <w:t xml:space="preserve">4.1.2 Que </w:t>
            </w:r>
            <w:r w:rsidR="007133DD" w:rsidRPr="00390238">
              <w:rPr>
                <w:rFonts w:ascii="Arial" w:hAnsi="Arial" w:cs="Arial"/>
                <w:sz w:val="20"/>
                <w:szCs w:val="20"/>
                <w:lang w:val="es-ES_tradnl"/>
              </w:rPr>
              <w:t xml:space="preserve">PRODUCE </w:t>
            </w:r>
            <w:r w:rsidR="007133DD">
              <w:rPr>
                <w:rFonts w:ascii="Arial" w:hAnsi="Arial" w:cs="Arial"/>
                <w:sz w:val="20"/>
                <w:szCs w:val="20"/>
                <w:lang w:val="es-ES_tradnl"/>
              </w:rPr>
              <w:t>haya inaugurado al menos un</w:t>
            </w:r>
            <w:r w:rsidRPr="00390238">
              <w:rPr>
                <w:rFonts w:ascii="Arial" w:hAnsi="Arial" w:cs="Arial"/>
                <w:sz w:val="20"/>
                <w:szCs w:val="20"/>
                <w:lang w:val="es-ES_tradnl"/>
              </w:rPr>
              <w:t xml:space="preserve"> Centro de Desarrollo Empresarial bajo</w:t>
            </w:r>
            <w:r w:rsidR="007133DD">
              <w:rPr>
                <w:rFonts w:ascii="Arial" w:hAnsi="Arial" w:cs="Arial"/>
                <w:sz w:val="20"/>
                <w:szCs w:val="20"/>
                <w:lang w:val="es-ES_tradnl"/>
              </w:rPr>
              <w:t xml:space="preserve"> el</w:t>
            </w:r>
            <w:r w:rsidRPr="00390238">
              <w:rPr>
                <w:rFonts w:ascii="Arial" w:hAnsi="Arial" w:cs="Arial"/>
                <w:sz w:val="20"/>
                <w:szCs w:val="20"/>
                <w:lang w:val="es-ES_tradnl"/>
              </w:rPr>
              <w:t xml:space="preserve"> enfoque</w:t>
            </w:r>
            <w:r w:rsidR="00716640">
              <w:rPr>
                <w:rFonts w:ascii="Arial" w:hAnsi="Arial" w:cs="Arial"/>
                <w:sz w:val="20"/>
                <w:szCs w:val="20"/>
                <w:lang w:val="es-ES_tradnl"/>
              </w:rPr>
              <w:t xml:space="preserve"> del </w:t>
            </w:r>
            <w:r w:rsidR="007133DD">
              <w:rPr>
                <w:rFonts w:ascii="Arial" w:hAnsi="Arial" w:cs="Arial"/>
                <w:sz w:val="20"/>
                <w:szCs w:val="20"/>
                <w:lang w:val="es-ES_tradnl"/>
              </w:rPr>
              <w:t xml:space="preserve">nuevo </w:t>
            </w:r>
            <w:r w:rsidR="00716640">
              <w:rPr>
                <w:rFonts w:ascii="Arial" w:hAnsi="Arial" w:cs="Arial"/>
                <w:sz w:val="20"/>
                <w:szCs w:val="20"/>
                <w:lang w:val="es-ES_tradnl"/>
              </w:rPr>
              <w:t>programa nacional</w:t>
            </w:r>
            <w:r w:rsidRPr="00390238">
              <w:rPr>
                <w:rFonts w:ascii="Arial" w:hAnsi="Arial" w:cs="Arial"/>
                <w:sz w:val="20"/>
                <w:szCs w:val="20"/>
                <w:lang w:val="es-ES_tradnl"/>
              </w:rPr>
              <w:t>.</w:t>
            </w:r>
          </w:p>
        </w:tc>
        <w:tc>
          <w:tcPr>
            <w:tcW w:w="3150" w:type="dxa"/>
            <w:shd w:val="clear" w:color="auto" w:fill="auto"/>
          </w:tcPr>
          <w:p w14:paraId="35B617E1" w14:textId="7C909733" w:rsidR="00582FCD" w:rsidRDefault="001C2617" w:rsidP="00607326">
            <w:pPr>
              <w:spacing w:before="60" w:after="60"/>
              <w:ind w:left="-4"/>
              <w:jc w:val="both"/>
              <w:rPr>
                <w:rFonts w:ascii="Arial" w:eastAsia="Times New Roman" w:hAnsi="Arial" w:cs="Arial"/>
                <w:bCs/>
                <w:kern w:val="36"/>
                <w:sz w:val="20"/>
                <w:szCs w:val="20"/>
                <w:lang w:val="es-ES_tradnl"/>
              </w:rPr>
            </w:pPr>
            <w:r>
              <w:rPr>
                <w:rFonts w:ascii="Arial" w:eastAsia="Times New Roman" w:hAnsi="Arial" w:cs="Arial"/>
                <w:bCs/>
                <w:kern w:val="36"/>
                <w:sz w:val="20"/>
                <w:szCs w:val="20"/>
                <w:lang w:val="es-ES_tradnl"/>
              </w:rPr>
              <w:t>4</w:t>
            </w:r>
            <w:r w:rsidRPr="008B633D">
              <w:rPr>
                <w:rFonts w:ascii="Arial" w:eastAsia="Times New Roman" w:hAnsi="Arial" w:cs="Arial"/>
                <w:bCs/>
                <w:kern w:val="36"/>
                <w:sz w:val="20"/>
                <w:szCs w:val="20"/>
                <w:lang w:val="es-ES_tradnl"/>
              </w:rPr>
              <w:t>.1</w:t>
            </w:r>
            <w:r>
              <w:rPr>
                <w:rFonts w:ascii="Arial" w:eastAsia="Times New Roman" w:hAnsi="Arial" w:cs="Arial"/>
                <w:bCs/>
                <w:kern w:val="36"/>
                <w:sz w:val="20"/>
                <w:szCs w:val="20"/>
                <w:lang w:val="es-ES_tradnl"/>
              </w:rPr>
              <w:t>.1</w:t>
            </w:r>
            <w:r w:rsidRPr="008B633D">
              <w:rPr>
                <w:rFonts w:ascii="Arial" w:eastAsia="Times New Roman" w:hAnsi="Arial" w:cs="Arial"/>
                <w:bCs/>
                <w:kern w:val="36"/>
                <w:sz w:val="20"/>
                <w:szCs w:val="20"/>
                <w:lang w:val="es-ES_tradnl"/>
              </w:rPr>
              <w:t xml:space="preserve"> </w:t>
            </w:r>
            <w:r w:rsidR="00582FCD">
              <w:rPr>
                <w:rFonts w:ascii="Arial" w:eastAsia="Times New Roman" w:hAnsi="Arial" w:cs="Arial"/>
                <w:bCs/>
                <w:kern w:val="36"/>
                <w:sz w:val="20"/>
                <w:szCs w:val="20"/>
                <w:lang w:val="es-ES_tradnl"/>
              </w:rPr>
              <w:t>Decreto Supremo N°</w:t>
            </w:r>
            <w:r w:rsidR="00761E8D">
              <w:rPr>
                <w:rFonts w:ascii="Arial" w:eastAsia="Times New Roman" w:hAnsi="Arial" w:cs="Arial"/>
                <w:bCs/>
                <w:kern w:val="36"/>
                <w:sz w:val="20"/>
                <w:szCs w:val="20"/>
                <w:lang w:val="es-ES_tradnl"/>
              </w:rPr>
              <w:t> </w:t>
            </w:r>
            <w:r w:rsidR="00582FCD">
              <w:rPr>
                <w:rFonts w:ascii="Arial" w:eastAsia="Times New Roman" w:hAnsi="Arial" w:cs="Arial"/>
                <w:bCs/>
                <w:kern w:val="36"/>
                <w:sz w:val="20"/>
                <w:szCs w:val="20"/>
                <w:lang w:val="es-ES_tradnl"/>
              </w:rPr>
              <w:t>012-2017-PRODUCE</w:t>
            </w:r>
            <w:r w:rsidR="0014483E">
              <w:rPr>
                <w:rFonts w:ascii="Arial" w:eastAsia="Times New Roman" w:hAnsi="Arial" w:cs="Arial"/>
                <w:bCs/>
                <w:kern w:val="36"/>
                <w:sz w:val="20"/>
                <w:szCs w:val="20"/>
                <w:lang w:val="es-ES_tradnl"/>
              </w:rPr>
              <w:t xml:space="preserve">, publicado </w:t>
            </w:r>
            <w:r w:rsidR="00761E8D">
              <w:rPr>
                <w:rFonts w:ascii="Arial" w:eastAsia="Times New Roman" w:hAnsi="Arial" w:cs="Arial"/>
                <w:bCs/>
                <w:kern w:val="36"/>
                <w:sz w:val="20"/>
                <w:szCs w:val="20"/>
                <w:lang w:val="es-ES_tradnl"/>
              </w:rPr>
              <w:t xml:space="preserve">el </w:t>
            </w:r>
            <w:r w:rsidR="0014483E">
              <w:rPr>
                <w:rFonts w:ascii="Arial" w:eastAsia="Times New Roman" w:hAnsi="Arial" w:cs="Arial"/>
                <w:bCs/>
                <w:kern w:val="36"/>
                <w:sz w:val="20"/>
                <w:szCs w:val="20"/>
                <w:lang w:val="es-ES_tradnl"/>
              </w:rPr>
              <w:t>27</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de</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agosto</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de</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20</w:t>
            </w:r>
            <w:r w:rsidR="0014483E">
              <w:rPr>
                <w:rFonts w:ascii="Arial" w:eastAsia="Times New Roman" w:hAnsi="Arial" w:cs="Arial"/>
                <w:bCs/>
                <w:kern w:val="36"/>
                <w:sz w:val="20"/>
                <w:szCs w:val="20"/>
                <w:lang w:val="es-ES_tradnl"/>
              </w:rPr>
              <w:t>17,</w:t>
            </w:r>
            <w:r w:rsidR="00582FCD">
              <w:rPr>
                <w:rFonts w:ascii="Arial" w:eastAsia="Times New Roman" w:hAnsi="Arial" w:cs="Arial"/>
                <w:bCs/>
                <w:kern w:val="36"/>
                <w:sz w:val="20"/>
                <w:szCs w:val="20"/>
                <w:lang w:val="es-ES_tradnl"/>
              </w:rPr>
              <w:t xml:space="preserve"> que crea el Programa Nacional </w:t>
            </w:r>
            <w:r w:rsidR="0014483E">
              <w:rPr>
                <w:rFonts w:ascii="Arial" w:eastAsia="Times New Roman" w:hAnsi="Arial" w:cs="Arial"/>
                <w:bCs/>
                <w:kern w:val="36"/>
                <w:sz w:val="20"/>
                <w:szCs w:val="20"/>
                <w:lang w:val="es-ES_tradnl"/>
              </w:rPr>
              <w:t>“</w:t>
            </w:r>
            <w:r w:rsidR="00582FCD">
              <w:rPr>
                <w:rFonts w:ascii="Arial" w:eastAsia="Times New Roman" w:hAnsi="Arial" w:cs="Arial"/>
                <w:bCs/>
                <w:kern w:val="36"/>
                <w:sz w:val="20"/>
                <w:szCs w:val="20"/>
                <w:lang w:val="es-ES_tradnl"/>
              </w:rPr>
              <w:t>Tu</w:t>
            </w:r>
            <w:r w:rsidR="00D6428F">
              <w:rPr>
                <w:rFonts w:ascii="Arial" w:eastAsia="Times New Roman" w:hAnsi="Arial" w:cs="Arial"/>
                <w:bCs/>
                <w:kern w:val="36"/>
                <w:sz w:val="20"/>
                <w:szCs w:val="20"/>
                <w:lang w:val="es-ES_tradnl"/>
              </w:rPr>
              <w:t> </w:t>
            </w:r>
            <w:r w:rsidR="00582FCD">
              <w:rPr>
                <w:rFonts w:ascii="Arial" w:eastAsia="Times New Roman" w:hAnsi="Arial" w:cs="Arial"/>
                <w:bCs/>
                <w:kern w:val="36"/>
                <w:sz w:val="20"/>
                <w:szCs w:val="20"/>
                <w:lang w:val="es-ES_tradnl"/>
              </w:rPr>
              <w:t>Empresa</w:t>
            </w:r>
            <w:r w:rsidR="0014483E">
              <w:rPr>
                <w:rFonts w:ascii="Arial" w:eastAsia="Times New Roman" w:hAnsi="Arial" w:cs="Arial"/>
                <w:bCs/>
                <w:kern w:val="36"/>
                <w:sz w:val="20"/>
                <w:szCs w:val="20"/>
                <w:lang w:val="es-ES_tradnl"/>
              </w:rPr>
              <w:t>”</w:t>
            </w:r>
            <w:r w:rsidR="00BF2493">
              <w:rPr>
                <w:rFonts w:ascii="Arial" w:eastAsia="Times New Roman" w:hAnsi="Arial" w:cs="Arial"/>
                <w:bCs/>
                <w:kern w:val="36"/>
                <w:sz w:val="20"/>
                <w:szCs w:val="20"/>
                <w:lang w:val="es-ES_tradnl"/>
              </w:rPr>
              <w:t>.</w:t>
            </w:r>
          </w:p>
          <w:p w14:paraId="25BEE995" w14:textId="52057550" w:rsidR="001C2617" w:rsidRPr="008B633D" w:rsidRDefault="001C2617" w:rsidP="006021BF">
            <w:pPr>
              <w:ind w:left="-4"/>
              <w:jc w:val="both"/>
              <w:rPr>
                <w:rFonts w:ascii="Arial" w:eastAsia="Times New Roman" w:hAnsi="Arial" w:cs="Arial"/>
                <w:bCs/>
                <w:kern w:val="36"/>
                <w:sz w:val="20"/>
                <w:szCs w:val="20"/>
                <w:lang w:val="es-ES_tradnl"/>
              </w:rPr>
            </w:pPr>
            <w:r w:rsidRPr="008B633D">
              <w:rPr>
                <w:rFonts w:ascii="Arial" w:eastAsia="Times New Roman" w:hAnsi="Arial" w:cs="Arial"/>
                <w:bCs/>
                <w:kern w:val="36"/>
                <w:sz w:val="20"/>
                <w:szCs w:val="20"/>
                <w:lang w:val="es-ES_tradnl"/>
              </w:rPr>
              <w:t>Resolución Ministerial</w:t>
            </w:r>
            <w:r w:rsidR="00A62F70">
              <w:rPr>
                <w:rFonts w:ascii="Arial" w:eastAsia="Times New Roman" w:hAnsi="Arial" w:cs="Arial"/>
                <w:bCs/>
                <w:kern w:val="36"/>
                <w:sz w:val="20"/>
                <w:szCs w:val="20"/>
                <w:lang w:val="es-ES_tradnl"/>
              </w:rPr>
              <w:t xml:space="preserve"> </w:t>
            </w:r>
            <w:r w:rsidR="003D3CE3">
              <w:rPr>
                <w:rFonts w:ascii="Arial" w:eastAsia="Times New Roman" w:hAnsi="Arial" w:cs="Arial"/>
                <w:bCs/>
                <w:kern w:val="36"/>
                <w:sz w:val="20"/>
                <w:szCs w:val="20"/>
                <w:lang w:val="es-ES_tradnl"/>
              </w:rPr>
              <w:t>N°</w:t>
            </w:r>
            <w:r w:rsidR="00761E8D">
              <w:rPr>
                <w:rFonts w:ascii="Arial" w:eastAsia="Times New Roman" w:hAnsi="Arial" w:cs="Arial"/>
                <w:bCs/>
                <w:kern w:val="36"/>
                <w:sz w:val="20"/>
                <w:szCs w:val="20"/>
                <w:lang w:val="es-ES_tradnl"/>
              </w:rPr>
              <w:t> </w:t>
            </w:r>
            <w:r w:rsidR="003D3CE3" w:rsidRPr="000E4B0B">
              <w:rPr>
                <w:rFonts w:ascii="Arial" w:eastAsia="Times New Roman" w:hAnsi="Arial" w:cs="Arial"/>
                <w:bCs/>
                <w:kern w:val="36"/>
                <w:sz w:val="20"/>
                <w:szCs w:val="20"/>
                <w:lang w:val="es-ES_tradnl"/>
              </w:rPr>
              <w:t>102</w:t>
            </w:r>
            <w:r w:rsidR="00761E8D">
              <w:rPr>
                <w:rFonts w:ascii="Arial" w:eastAsia="Times New Roman" w:hAnsi="Arial" w:cs="Arial"/>
                <w:bCs/>
                <w:kern w:val="36"/>
                <w:sz w:val="20"/>
                <w:szCs w:val="20"/>
                <w:lang w:val="es-ES_tradnl"/>
              </w:rPr>
              <w:noBreakHyphen/>
            </w:r>
            <w:r w:rsidR="003D3CE3" w:rsidRPr="000E4B0B">
              <w:rPr>
                <w:rFonts w:ascii="Arial" w:eastAsia="Times New Roman" w:hAnsi="Arial" w:cs="Arial"/>
                <w:bCs/>
                <w:kern w:val="36"/>
                <w:sz w:val="20"/>
                <w:szCs w:val="20"/>
                <w:lang w:val="es-ES_tradnl"/>
              </w:rPr>
              <w:t>2018-PRODUCE</w:t>
            </w:r>
            <w:r w:rsidR="003D3CE3">
              <w:rPr>
                <w:rFonts w:ascii="Arial" w:eastAsia="Times New Roman" w:hAnsi="Arial" w:cs="Arial"/>
                <w:bCs/>
                <w:kern w:val="36"/>
                <w:sz w:val="20"/>
                <w:szCs w:val="20"/>
                <w:lang w:val="es-ES_tradnl"/>
              </w:rPr>
              <w:t>, publicad</w:t>
            </w:r>
            <w:r w:rsidR="00D6428F">
              <w:rPr>
                <w:rFonts w:ascii="Arial" w:eastAsia="Times New Roman" w:hAnsi="Arial" w:cs="Arial"/>
                <w:bCs/>
                <w:kern w:val="36"/>
                <w:sz w:val="20"/>
                <w:szCs w:val="20"/>
                <w:lang w:val="es-ES_tradnl"/>
              </w:rPr>
              <w:t>a</w:t>
            </w:r>
            <w:r w:rsidR="003D3CE3">
              <w:rPr>
                <w:rFonts w:ascii="Arial" w:eastAsia="Times New Roman" w:hAnsi="Arial" w:cs="Arial"/>
                <w:bCs/>
                <w:kern w:val="36"/>
                <w:sz w:val="20"/>
                <w:szCs w:val="20"/>
                <w:lang w:val="es-ES_tradnl"/>
              </w:rPr>
              <w:t xml:space="preserve"> el 11</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de</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marzo</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de</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20</w:t>
            </w:r>
            <w:r w:rsidR="003D3CE3">
              <w:rPr>
                <w:rFonts w:ascii="Arial" w:eastAsia="Times New Roman" w:hAnsi="Arial" w:cs="Arial"/>
                <w:bCs/>
                <w:kern w:val="36"/>
                <w:sz w:val="20"/>
                <w:szCs w:val="20"/>
                <w:lang w:val="es-ES_tradnl"/>
              </w:rPr>
              <w:t xml:space="preserve">18, </w:t>
            </w:r>
            <w:r w:rsidR="00582FCD">
              <w:rPr>
                <w:rFonts w:ascii="Arial" w:eastAsia="Times New Roman" w:hAnsi="Arial" w:cs="Arial"/>
                <w:bCs/>
                <w:kern w:val="36"/>
                <w:sz w:val="20"/>
                <w:szCs w:val="20"/>
                <w:lang w:val="es-ES_tradnl"/>
              </w:rPr>
              <w:t>que aprueba</w:t>
            </w:r>
            <w:r w:rsidR="00582FCD" w:rsidRPr="008B633D">
              <w:rPr>
                <w:rFonts w:ascii="Arial" w:eastAsia="Times New Roman" w:hAnsi="Arial" w:cs="Arial"/>
                <w:bCs/>
                <w:kern w:val="36"/>
                <w:sz w:val="20"/>
                <w:szCs w:val="20"/>
                <w:lang w:val="es-ES_tradnl"/>
              </w:rPr>
              <w:t xml:space="preserve"> </w:t>
            </w:r>
            <w:r w:rsidRPr="008B633D">
              <w:rPr>
                <w:rFonts w:ascii="Arial" w:eastAsia="Times New Roman" w:hAnsi="Arial" w:cs="Arial"/>
                <w:bCs/>
                <w:kern w:val="36"/>
                <w:sz w:val="20"/>
                <w:szCs w:val="20"/>
                <w:lang w:val="es-ES_tradnl"/>
              </w:rPr>
              <w:t xml:space="preserve">el Manual de Operaciones </w:t>
            </w:r>
            <w:r w:rsidR="00582FCD">
              <w:rPr>
                <w:rFonts w:ascii="Arial" w:eastAsia="Times New Roman" w:hAnsi="Arial" w:cs="Arial"/>
                <w:bCs/>
                <w:kern w:val="36"/>
                <w:sz w:val="20"/>
                <w:szCs w:val="20"/>
                <w:lang w:val="es-ES_tradnl"/>
              </w:rPr>
              <w:t>del Programa</w:t>
            </w:r>
            <w:r w:rsidR="003D3CE3">
              <w:rPr>
                <w:rFonts w:ascii="Arial" w:eastAsia="Times New Roman" w:hAnsi="Arial" w:cs="Arial"/>
                <w:bCs/>
                <w:kern w:val="36"/>
                <w:sz w:val="20"/>
                <w:szCs w:val="20"/>
                <w:lang w:val="es-ES_tradnl"/>
              </w:rPr>
              <w:t xml:space="preserve"> Nacional “Tu Empresa”</w:t>
            </w:r>
            <w:r w:rsidR="009136AA">
              <w:rPr>
                <w:rFonts w:ascii="Arial" w:eastAsia="Times New Roman" w:hAnsi="Arial" w:cs="Arial"/>
                <w:bCs/>
                <w:kern w:val="36"/>
                <w:sz w:val="20"/>
                <w:szCs w:val="20"/>
                <w:lang w:val="es-ES_tradnl"/>
              </w:rPr>
              <w:t>.</w:t>
            </w:r>
          </w:p>
          <w:p w14:paraId="75C158C3" w14:textId="4A4F1AD6" w:rsidR="001C2617" w:rsidRPr="008B633D" w:rsidRDefault="001C2617" w:rsidP="008D1CBB">
            <w:pPr>
              <w:spacing w:before="120"/>
              <w:ind w:left="-4"/>
              <w:jc w:val="both"/>
              <w:rPr>
                <w:rFonts w:ascii="Arial" w:hAnsi="Arial" w:cs="Arial"/>
                <w:sz w:val="20"/>
                <w:szCs w:val="20"/>
                <w:lang w:val="es-ES_tradnl"/>
              </w:rPr>
            </w:pPr>
            <w:r>
              <w:rPr>
                <w:rFonts w:ascii="Arial" w:eastAsia="Times New Roman" w:hAnsi="Arial" w:cs="Arial"/>
                <w:bCs/>
                <w:kern w:val="36"/>
                <w:sz w:val="20"/>
                <w:szCs w:val="20"/>
                <w:lang w:val="es-ES_tradnl"/>
              </w:rPr>
              <w:t>4.1</w:t>
            </w:r>
            <w:r w:rsidRPr="008B633D">
              <w:rPr>
                <w:rFonts w:ascii="Arial" w:eastAsia="Times New Roman" w:hAnsi="Arial" w:cs="Arial"/>
                <w:bCs/>
                <w:kern w:val="36"/>
                <w:sz w:val="20"/>
                <w:szCs w:val="20"/>
                <w:lang w:val="es-ES_tradnl"/>
              </w:rPr>
              <w:t>.2</w:t>
            </w:r>
            <w:r w:rsidR="008D1CBB">
              <w:rPr>
                <w:rFonts w:ascii="Arial" w:eastAsia="Times New Roman" w:hAnsi="Arial" w:cs="Arial"/>
                <w:bCs/>
                <w:kern w:val="36"/>
                <w:sz w:val="20"/>
                <w:szCs w:val="20"/>
                <w:lang w:val="es-ES_tradnl"/>
              </w:rPr>
              <w:t> </w:t>
            </w:r>
            <w:r w:rsidR="009E0D71">
              <w:rPr>
                <w:rFonts w:ascii="Arial" w:eastAsia="Times New Roman" w:hAnsi="Arial" w:cs="Arial"/>
                <w:bCs/>
                <w:kern w:val="36"/>
                <w:sz w:val="20"/>
                <w:szCs w:val="20"/>
                <w:lang w:val="es-ES_tradnl"/>
              </w:rPr>
              <w:t>Oficio N°</w:t>
            </w:r>
            <w:r w:rsidR="00D6428F">
              <w:rPr>
                <w:rFonts w:ascii="Arial" w:eastAsia="Times New Roman" w:hAnsi="Arial" w:cs="Arial"/>
                <w:bCs/>
                <w:kern w:val="36"/>
                <w:sz w:val="20"/>
                <w:szCs w:val="20"/>
                <w:lang w:val="es-ES_tradnl"/>
              </w:rPr>
              <w:t> </w:t>
            </w:r>
            <w:r w:rsidR="009E0D71">
              <w:rPr>
                <w:rFonts w:ascii="Arial" w:eastAsia="Times New Roman" w:hAnsi="Arial" w:cs="Arial"/>
                <w:bCs/>
                <w:kern w:val="36"/>
                <w:sz w:val="20"/>
                <w:szCs w:val="20"/>
                <w:lang w:val="es-ES_tradnl"/>
              </w:rPr>
              <w:t>126</w:t>
            </w:r>
            <w:r w:rsidR="00D6428F">
              <w:rPr>
                <w:rFonts w:ascii="Arial" w:eastAsia="Times New Roman" w:hAnsi="Arial" w:cs="Arial"/>
                <w:bCs/>
                <w:kern w:val="36"/>
                <w:sz w:val="20"/>
                <w:szCs w:val="20"/>
                <w:lang w:val="es-ES_tradnl"/>
              </w:rPr>
              <w:noBreakHyphen/>
            </w:r>
            <w:r w:rsidR="009E0D71">
              <w:rPr>
                <w:rFonts w:ascii="Arial" w:eastAsia="Times New Roman" w:hAnsi="Arial" w:cs="Arial"/>
                <w:bCs/>
                <w:kern w:val="36"/>
                <w:sz w:val="20"/>
                <w:szCs w:val="20"/>
                <w:lang w:val="es-ES_tradnl"/>
              </w:rPr>
              <w:t>2018</w:t>
            </w:r>
            <w:r w:rsidR="00761E8D">
              <w:rPr>
                <w:rFonts w:ascii="Arial" w:eastAsia="Times New Roman" w:hAnsi="Arial" w:cs="Arial"/>
                <w:bCs/>
                <w:kern w:val="36"/>
                <w:sz w:val="20"/>
                <w:szCs w:val="20"/>
                <w:lang w:val="es-ES_tradnl"/>
              </w:rPr>
              <w:noBreakHyphen/>
            </w:r>
            <w:r w:rsidR="009E0D71">
              <w:rPr>
                <w:rFonts w:ascii="Arial" w:eastAsia="Times New Roman" w:hAnsi="Arial" w:cs="Arial"/>
                <w:bCs/>
                <w:kern w:val="36"/>
                <w:sz w:val="20"/>
                <w:szCs w:val="20"/>
                <w:lang w:val="es-ES_tradnl"/>
              </w:rPr>
              <w:t>PRODUCE/DVMYPE-I/TUEMPRESA,</w:t>
            </w:r>
            <w:r w:rsidR="00761E8D">
              <w:rPr>
                <w:rFonts w:ascii="Arial" w:eastAsia="Times New Roman" w:hAnsi="Arial" w:cs="Arial"/>
                <w:bCs/>
                <w:kern w:val="36"/>
                <w:sz w:val="20"/>
                <w:szCs w:val="20"/>
                <w:lang w:val="es-ES_tradnl"/>
              </w:rPr>
              <w:t> </w:t>
            </w:r>
            <w:r w:rsidR="009E0D71">
              <w:rPr>
                <w:rFonts w:ascii="Arial" w:eastAsia="Times New Roman" w:hAnsi="Arial" w:cs="Arial"/>
                <w:bCs/>
                <w:kern w:val="36"/>
                <w:sz w:val="20"/>
                <w:szCs w:val="20"/>
                <w:lang w:val="es-ES_tradnl"/>
              </w:rPr>
              <w:t>del 26</w:t>
            </w:r>
            <w:r w:rsidR="000A3961">
              <w:rPr>
                <w:rFonts w:ascii="Arial" w:eastAsia="Times New Roman" w:hAnsi="Arial" w:cs="Arial"/>
                <w:bCs/>
                <w:kern w:val="36"/>
                <w:sz w:val="20"/>
                <w:szCs w:val="20"/>
                <w:lang w:val="es-ES_tradnl"/>
              </w:rPr>
              <w:t> de septiembre</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de</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20</w:t>
            </w:r>
            <w:r w:rsidR="009E0D71">
              <w:rPr>
                <w:rFonts w:ascii="Arial" w:eastAsia="Times New Roman" w:hAnsi="Arial" w:cs="Arial"/>
                <w:bCs/>
                <w:kern w:val="36"/>
                <w:sz w:val="20"/>
                <w:szCs w:val="20"/>
                <w:lang w:val="es-ES_tradnl"/>
              </w:rPr>
              <w:t>18, mediante el cual remiten el r</w:t>
            </w:r>
            <w:r w:rsidRPr="008B633D">
              <w:rPr>
                <w:rFonts w:ascii="Arial" w:eastAsia="Times New Roman" w:hAnsi="Arial" w:cs="Arial"/>
                <w:bCs/>
                <w:kern w:val="36"/>
                <w:sz w:val="20"/>
                <w:szCs w:val="20"/>
                <w:lang w:val="es-ES_tradnl"/>
              </w:rPr>
              <w:t>eporte a agosto</w:t>
            </w:r>
            <w:r w:rsidR="008D1CBB">
              <w:rPr>
                <w:rFonts w:ascii="Arial" w:eastAsia="Times New Roman" w:hAnsi="Arial" w:cs="Arial"/>
                <w:bCs/>
                <w:kern w:val="36"/>
                <w:sz w:val="20"/>
                <w:szCs w:val="20"/>
                <w:lang w:val="es-ES_tradnl"/>
              </w:rPr>
              <w:t> </w:t>
            </w:r>
            <w:r w:rsidRPr="008B633D">
              <w:rPr>
                <w:rFonts w:ascii="Arial" w:eastAsia="Times New Roman" w:hAnsi="Arial" w:cs="Arial"/>
                <w:bCs/>
                <w:kern w:val="36"/>
                <w:sz w:val="20"/>
                <w:szCs w:val="20"/>
                <w:lang w:val="es-ES_tradnl"/>
              </w:rPr>
              <w:t>de</w:t>
            </w:r>
            <w:r w:rsidR="008D1CBB">
              <w:rPr>
                <w:rFonts w:ascii="Arial" w:eastAsia="Times New Roman" w:hAnsi="Arial" w:cs="Arial"/>
                <w:bCs/>
                <w:kern w:val="36"/>
                <w:sz w:val="20"/>
                <w:szCs w:val="20"/>
                <w:lang w:val="es-ES_tradnl"/>
              </w:rPr>
              <w:t> </w:t>
            </w:r>
            <w:r w:rsidRPr="008B633D">
              <w:rPr>
                <w:rFonts w:ascii="Arial" w:eastAsia="Times New Roman" w:hAnsi="Arial" w:cs="Arial"/>
                <w:bCs/>
                <w:kern w:val="36"/>
                <w:sz w:val="20"/>
                <w:szCs w:val="20"/>
                <w:lang w:val="es-ES_tradnl"/>
              </w:rPr>
              <w:t>2018 del número de usuarios atendidos según “Sistema virtual Tu</w:t>
            </w:r>
            <w:r w:rsidR="00F96545">
              <w:rPr>
                <w:rFonts w:ascii="Arial" w:eastAsia="Times New Roman" w:hAnsi="Arial" w:cs="Arial"/>
                <w:bCs/>
                <w:kern w:val="36"/>
                <w:sz w:val="20"/>
                <w:szCs w:val="20"/>
                <w:lang w:val="es-ES_tradnl"/>
              </w:rPr>
              <w:t xml:space="preserve"> </w:t>
            </w:r>
            <w:r w:rsidRPr="008B633D">
              <w:rPr>
                <w:rFonts w:ascii="Arial" w:eastAsia="Times New Roman" w:hAnsi="Arial" w:cs="Arial"/>
                <w:bCs/>
                <w:kern w:val="36"/>
                <w:sz w:val="20"/>
                <w:szCs w:val="20"/>
                <w:lang w:val="es-ES_tradnl"/>
              </w:rPr>
              <w:t>Empresa”</w:t>
            </w:r>
            <w:r w:rsidR="009E0D71">
              <w:rPr>
                <w:rFonts w:ascii="Arial" w:eastAsia="Times New Roman" w:hAnsi="Arial" w:cs="Arial"/>
                <w:bCs/>
                <w:kern w:val="36"/>
                <w:sz w:val="20"/>
                <w:szCs w:val="20"/>
                <w:lang w:val="es-ES_tradnl"/>
              </w:rPr>
              <w:t>, así como la RVM N°</w:t>
            </w:r>
            <w:r w:rsidR="00761E8D">
              <w:rPr>
                <w:rFonts w:ascii="Arial" w:eastAsia="Times New Roman" w:hAnsi="Arial" w:cs="Arial"/>
                <w:bCs/>
                <w:kern w:val="36"/>
                <w:sz w:val="20"/>
                <w:szCs w:val="20"/>
                <w:lang w:val="es-ES_tradnl"/>
              </w:rPr>
              <w:t> </w:t>
            </w:r>
            <w:r w:rsidR="009E0D71">
              <w:rPr>
                <w:rFonts w:ascii="Arial" w:eastAsia="Times New Roman" w:hAnsi="Arial" w:cs="Arial"/>
                <w:bCs/>
                <w:kern w:val="36"/>
                <w:sz w:val="20"/>
                <w:szCs w:val="20"/>
                <w:lang w:val="es-ES_tradnl"/>
              </w:rPr>
              <w:t>002</w:t>
            </w:r>
            <w:r w:rsidR="00D6428F">
              <w:rPr>
                <w:rFonts w:ascii="Arial" w:eastAsia="Times New Roman" w:hAnsi="Arial" w:cs="Arial"/>
                <w:bCs/>
                <w:kern w:val="36"/>
                <w:sz w:val="20"/>
                <w:szCs w:val="20"/>
                <w:lang w:val="es-ES_tradnl"/>
              </w:rPr>
              <w:noBreakHyphen/>
            </w:r>
            <w:r w:rsidR="009E0D71">
              <w:rPr>
                <w:rFonts w:ascii="Arial" w:eastAsia="Times New Roman" w:hAnsi="Arial" w:cs="Arial"/>
                <w:bCs/>
                <w:kern w:val="36"/>
                <w:sz w:val="20"/>
                <w:szCs w:val="20"/>
                <w:lang w:val="es-ES_tradnl"/>
              </w:rPr>
              <w:t>2018</w:t>
            </w:r>
            <w:r w:rsidR="00761E8D">
              <w:rPr>
                <w:rFonts w:ascii="Arial" w:eastAsia="Times New Roman" w:hAnsi="Arial" w:cs="Arial"/>
                <w:bCs/>
                <w:kern w:val="36"/>
                <w:sz w:val="20"/>
                <w:szCs w:val="20"/>
                <w:lang w:val="es-ES_tradnl"/>
              </w:rPr>
              <w:noBreakHyphen/>
            </w:r>
            <w:r w:rsidR="009E0D71">
              <w:rPr>
                <w:rFonts w:ascii="Arial" w:eastAsia="Times New Roman" w:hAnsi="Arial" w:cs="Arial"/>
                <w:bCs/>
                <w:kern w:val="36"/>
                <w:sz w:val="20"/>
                <w:szCs w:val="20"/>
                <w:lang w:val="es-ES_tradnl"/>
              </w:rPr>
              <w:t>PRODUCE/DVMYPE-I del 23</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de</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enero</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de</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20</w:t>
            </w:r>
            <w:r w:rsidR="009E0D71">
              <w:rPr>
                <w:rFonts w:ascii="Arial" w:eastAsia="Times New Roman" w:hAnsi="Arial" w:cs="Arial"/>
                <w:bCs/>
                <w:kern w:val="36"/>
                <w:sz w:val="20"/>
                <w:szCs w:val="20"/>
                <w:lang w:val="es-ES_tradnl"/>
              </w:rPr>
              <w:t>18, que autoriza el funcionamiento del CDE en San Isidro</w:t>
            </w:r>
            <w:r w:rsidRPr="008B633D">
              <w:rPr>
                <w:rFonts w:ascii="Arial" w:eastAsia="Times New Roman" w:hAnsi="Arial" w:cs="Arial"/>
                <w:bCs/>
                <w:kern w:val="36"/>
                <w:sz w:val="20"/>
                <w:szCs w:val="20"/>
                <w:lang w:val="es-ES_tradnl"/>
              </w:rPr>
              <w:t>.</w:t>
            </w:r>
          </w:p>
        </w:tc>
        <w:tc>
          <w:tcPr>
            <w:tcW w:w="1800" w:type="dxa"/>
          </w:tcPr>
          <w:p w14:paraId="157735C4" w14:textId="6EABB1C8" w:rsidR="001C2617" w:rsidRPr="006021BF" w:rsidRDefault="00582FCD" w:rsidP="006021BF">
            <w:pPr>
              <w:ind w:left="-4"/>
              <w:jc w:val="both"/>
              <w:rPr>
                <w:rFonts w:ascii="Arial" w:hAnsi="Arial"/>
                <w:b/>
                <w:sz w:val="20"/>
                <w:lang w:val="es-ES_tradnl"/>
              </w:rPr>
            </w:pPr>
            <w:r w:rsidRPr="00726417">
              <w:rPr>
                <w:rFonts w:ascii="Arial" w:hAnsi="Arial"/>
                <w:b/>
                <w:sz w:val="20"/>
                <w:lang w:val="es-ES_tradnl"/>
              </w:rPr>
              <w:t>Cumplido</w:t>
            </w:r>
          </w:p>
          <w:p w14:paraId="403231FB" w14:textId="77777777" w:rsidR="0071111A" w:rsidRDefault="0071111A" w:rsidP="006021BF">
            <w:pPr>
              <w:ind w:left="-4"/>
              <w:jc w:val="both"/>
              <w:rPr>
                <w:rFonts w:ascii="Arial" w:hAnsi="Arial" w:cs="Arial"/>
                <w:sz w:val="20"/>
                <w:szCs w:val="20"/>
                <w:lang w:val="es-ES_tradnl"/>
              </w:rPr>
            </w:pPr>
          </w:p>
          <w:p w14:paraId="60B44B84" w14:textId="77777777" w:rsidR="00DA65D8" w:rsidRDefault="00DA65D8" w:rsidP="006021BF">
            <w:pPr>
              <w:ind w:left="-4"/>
              <w:jc w:val="both"/>
              <w:rPr>
                <w:rFonts w:ascii="Arial" w:hAnsi="Arial" w:cs="Arial"/>
                <w:sz w:val="20"/>
                <w:szCs w:val="20"/>
                <w:lang w:val="es-ES_tradnl"/>
              </w:rPr>
            </w:pPr>
          </w:p>
          <w:p w14:paraId="7FC1DEEA" w14:textId="1A532A85" w:rsidR="00DA65D8" w:rsidRDefault="00DA65D8" w:rsidP="006021BF">
            <w:pPr>
              <w:ind w:left="-4"/>
              <w:jc w:val="both"/>
              <w:rPr>
                <w:rFonts w:ascii="Arial" w:hAnsi="Arial" w:cs="Arial"/>
                <w:sz w:val="20"/>
                <w:szCs w:val="20"/>
                <w:lang w:val="es-ES_tradnl"/>
              </w:rPr>
            </w:pPr>
          </w:p>
          <w:p w14:paraId="0392DFC0" w14:textId="349E7B67" w:rsidR="00555F4B" w:rsidRDefault="00555F4B" w:rsidP="006021BF">
            <w:pPr>
              <w:ind w:left="-4"/>
              <w:jc w:val="both"/>
              <w:rPr>
                <w:rFonts w:ascii="Arial" w:hAnsi="Arial" w:cs="Arial"/>
                <w:sz w:val="20"/>
                <w:szCs w:val="20"/>
                <w:lang w:val="es-ES_tradnl"/>
              </w:rPr>
            </w:pPr>
          </w:p>
          <w:p w14:paraId="3EF0F02A" w14:textId="5B78F5B6" w:rsidR="00555F4B" w:rsidRDefault="00555F4B" w:rsidP="006021BF">
            <w:pPr>
              <w:ind w:left="-4"/>
              <w:jc w:val="both"/>
              <w:rPr>
                <w:rFonts w:ascii="Arial" w:hAnsi="Arial" w:cs="Arial"/>
                <w:sz w:val="20"/>
                <w:szCs w:val="20"/>
                <w:lang w:val="es-ES_tradnl"/>
              </w:rPr>
            </w:pPr>
          </w:p>
          <w:p w14:paraId="4A773590" w14:textId="5A4EA51C" w:rsidR="0013252F" w:rsidRDefault="0013252F" w:rsidP="006021BF">
            <w:pPr>
              <w:ind w:left="-4"/>
              <w:jc w:val="both"/>
              <w:rPr>
                <w:rFonts w:ascii="Arial" w:hAnsi="Arial" w:cs="Arial"/>
                <w:sz w:val="20"/>
                <w:szCs w:val="20"/>
                <w:lang w:val="es-ES_tradnl"/>
              </w:rPr>
            </w:pPr>
          </w:p>
          <w:p w14:paraId="16210E2C" w14:textId="0D297026" w:rsidR="0013252F" w:rsidRDefault="0013252F" w:rsidP="006021BF">
            <w:pPr>
              <w:ind w:left="-4"/>
              <w:jc w:val="both"/>
              <w:rPr>
                <w:rFonts w:ascii="Arial" w:hAnsi="Arial" w:cs="Arial"/>
                <w:sz w:val="20"/>
                <w:szCs w:val="20"/>
                <w:lang w:val="es-ES_tradnl"/>
              </w:rPr>
            </w:pPr>
          </w:p>
          <w:p w14:paraId="09C02432" w14:textId="71DCBDA6" w:rsidR="0013252F" w:rsidRDefault="0013252F" w:rsidP="006021BF">
            <w:pPr>
              <w:ind w:left="-4"/>
              <w:jc w:val="both"/>
              <w:rPr>
                <w:rFonts w:ascii="Arial" w:hAnsi="Arial" w:cs="Arial"/>
                <w:sz w:val="20"/>
                <w:szCs w:val="20"/>
                <w:lang w:val="es-ES_tradnl"/>
              </w:rPr>
            </w:pPr>
          </w:p>
          <w:p w14:paraId="3C6489CF" w14:textId="77777777" w:rsidR="008D1CBB" w:rsidRDefault="008D1CBB" w:rsidP="006021BF">
            <w:pPr>
              <w:ind w:left="-4"/>
              <w:jc w:val="both"/>
              <w:rPr>
                <w:rFonts w:ascii="Arial" w:hAnsi="Arial" w:cs="Arial"/>
                <w:sz w:val="20"/>
                <w:szCs w:val="20"/>
                <w:lang w:val="es-ES_tradnl"/>
              </w:rPr>
            </w:pPr>
          </w:p>
          <w:p w14:paraId="576F9F24" w14:textId="77777777" w:rsidR="00DA65D8" w:rsidRDefault="00DA65D8" w:rsidP="00FE5DE8">
            <w:pPr>
              <w:spacing w:before="180"/>
              <w:ind w:left="-4"/>
              <w:jc w:val="both"/>
              <w:rPr>
                <w:rFonts w:ascii="Arial" w:hAnsi="Arial" w:cs="Arial"/>
                <w:sz w:val="20"/>
                <w:szCs w:val="20"/>
                <w:lang w:val="es-ES_tradnl"/>
              </w:rPr>
            </w:pPr>
            <w:r w:rsidRPr="00726417">
              <w:rPr>
                <w:rFonts w:ascii="Arial" w:hAnsi="Arial"/>
                <w:b/>
                <w:sz w:val="20"/>
                <w:lang w:val="es-ES_tradnl"/>
              </w:rPr>
              <w:t>Cumplido</w:t>
            </w:r>
          </w:p>
          <w:p w14:paraId="726C6654" w14:textId="6BD660F9" w:rsidR="00364D15" w:rsidRPr="00726417" w:rsidRDefault="00364D15" w:rsidP="00607326">
            <w:pPr>
              <w:spacing w:before="60" w:after="60"/>
              <w:ind w:left="-4"/>
              <w:jc w:val="both"/>
              <w:rPr>
                <w:rFonts w:ascii="Arial" w:hAnsi="Arial"/>
                <w:b/>
                <w:sz w:val="20"/>
                <w:lang w:val="es-ES_tradnl"/>
              </w:rPr>
            </w:pPr>
          </w:p>
        </w:tc>
        <w:tc>
          <w:tcPr>
            <w:tcW w:w="1620" w:type="dxa"/>
          </w:tcPr>
          <w:p w14:paraId="439E9608" w14:textId="77777777" w:rsidR="001C2617" w:rsidRDefault="001C2617" w:rsidP="006021BF">
            <w:pPr>
              <w:ind w:left="-4"/>
              <w:jc w:val="both"/>
              <w:rPr>
                <w:rFonts w:ascii="Arial" w:hAnsi="Arial" w:cs="Arial"/>
                <w:sz w:val="20"/>
                <w:szCs w:val="20"/>
                <w:lang w:val="es-ES_tradnl"/>
              </w:rPr>
            </w:pPr>
            <w:r>
              <w:rPr>
                <w:rFonts w:ascii="Arial" w:hAnsi="Arial" w:cs="Arial"/>
                <w:sz w:val="20"/>
                <w:szCs w:val="20"/>
                <w:lang w:val="es-ES_tradnl"/>
              </w:rPr>
              <w:t>PRODUCE</w:t>
            </w:r>
          </w:p>
          <w:p w14:paraId="35EE91F0" w14:textId="77777777" w:rsidR="001C2617" w:rsidRDefault="001C2617" w:rsidP="006021BF">
            <w:pPr>
              <w:ind w:left="-4"/>
              <w:jc w:val="both"/>
              <w:rPr>
                <w:rFonts w:ascii="Arial" w:hAnsi="Arial" w:cs="Arial"/>
                <w:sz w:val="20"/>
                <w:szCs w:val="20"/>
                <w:lang w:val="es-ES_tradnl"/>
              </w:rPr>
            </w:pPr>
          </w:p>
          <w:p w14:paraId="1C6186A5" w14:textId="77777777" w:rsidR="001C2617" w:rsidRDefault="001C2617" w:rsidP="006021BF">
            <w:pPr>
              <w:ind w:left="-4"/>
              <w:jc w:val="both"/>
              <w:rPr>
                <w:rFonts w:ascii="Arial" w:hAnsi="Arial" w:cs="Arial"/>
                <w:sz w:val="20"/>
                <w:szCs w:val="20"/>
                <w:lang w:val="es-ES_tradnl"/>
              </w:rPr>
            </w:pPr>
          </w:p>
          <w:p w14:paraId="64773557" w14:textId="77777777" w:rsidR="001C2617" w:rsidRDefault="001C2617" w:rsidP="006021BF">
            <w:pPr>
              <w:ind w:left="-4"/>
              <w:jc w:val="both"/>
              <w:rPr>
                <w:rFonts w:ascii="Arial" w:hAnsi="Arial" w:cs="Arial"/>
                <w:sz w:val="20"/>
                <w:szCs w:val="20"/>
                <w:lang w:val="es-ES_tradnl"/>
              </w:rPr>
            </w:pPr>
          </w:p>
          <w:p w14:paraId="4C463CCC" w14:textId="77777777" w:rsidR="001C2617" w:rsidRDefault="001C2617" w:rsidP="006021BF">
            <w:pPr>
              <w:ind w:left="-4"/>
              <w:jc w:val="both"/>
              <w:rPr>
                <w:rFonts w:ascii="Arial" w:hAnsi="Arial" w:cs="Arial"/>
                <w:sz w:val="20"/>
                <w:szCs w:val="20"/>
                <w:lang w:val="es-ES_tradnl"/>
              </w:rPr>
            </w:pPr>
          </w:p>
          <w:p w14:paraId="3D97310E" w14:textId="77777777" w:rsidR="001C2617" w:rsidRDefault="001C2617" w:rsidP="006021BF">
            <w:pPr>
              <w:ind w:left="-4"/>
              <w:jc w:val="both"/>
              <w:rPr>
                <w:rFonts w:ascii="Arial" w:hAnsi="Arial" w:cs="Arial"/>
                <w:sz w:val="20"/>
                <w:szCs w:val="20"/>
                <w:lang w:val="es-ES_tradnl"/>
              </w:rPr>
            </w:pPr>
          </w:p>
          <w:p w14:paraId="6C41C2D8" w14:textId="77777777" w:rsidR="001C2617" w:rsidRDefault="001C2617" w:rsidP="006021BF">
            <w:pPr>
              <w:ind w:left="-4"/>
              <w:jc w:val="both"/>
              <w:rPr>
                <w:rFonts w:ascii="Arial" w:hAnsi="Arial" w:cs="Arial"/>
                <w:sz w:val="20"/>
                <w:szCs w:val="20"/>
                <w:lang w:val="es-ES_tradnl"/>
              </w:rPr>
            </w:pPr>
          </w:p>
          <w:p w14:paraId="31DCD3BA" w14:textId="78079174" w:rsidR="001C2617" w:rsidRDefault="001C2617" w:rsidP="006021BF">
            <w:pPr>
              <w:ind w:left="-4"/>
              <w:jc w:val="both"/>
              <w:rPr>
                <w:rFonts w:ascii="Arial" w:hAnsi="Arial" w:cs="Arial"/>
                <w:sz w:val="20"/>
                <w:szCs w:val="20"/>
                <w:lang w:val="es-ES_tradnl"/>
              </w:rPr>
            </w:pPr>
          </w:p>
          <w:p w14:paraId="55640560" w14:textId="792F25FD" w:rsidR="008D1CBB" w:rsidRDefault="008D1CBB" w:rsidP="006021BF">
            <w:pPr>
              <w:ind w:left="-4"/>
              <w:jc w:val="both"/>
              <w:rPr>
                <w:rFonts w:ascii="Arial" w:hAnsi="Arial" w:cs="Arial"/>
                <w:sz w:val="20"/>
                <w:szCs w:val="20"/>
                <w:lang w:val="es-ES_tradnl"/>
              </w:rPr>
            </w:pPr>
          </w:p>
          <w:p w14:paraId="20D14D41" w14:textId="77777777" w:rsidR="008D1CBB" w:rsidRDefault="008D1CBB" w:rsidP="006021BF">
            <w:pPr>
              <w:ind w:left="-4"/>
              <w:jc w:val="both"/>
              <w:rPr>
                <w:rFonts w:ascii="Arial" w:hAnsi="Arial" w:cs="Arial"/>
                <w:sz w:val="20"/>
                <w:szCs w:val="20"/>
                <w:lang w:val="es-ES_tradnl"/>
              </w:rPr>
            </w:pPr>
          </w:p>
          <w:p w14:paraId="13219378" w14:textId="6B755DC1" w:rsidR="001C2617" w:rsidRPr="00390238" w:rsidRDefault="001C2617" w:rsidP="00FE5DE8">
            <w:pPr>
              <w:spacing w:before="180" w:after="60"/>
              <w:ind w:left="-4"/>
              <w:jc w:val="both"/>
              <w:rPr>
                <w:rFonts w:ascii="Arial" w:hAnsi="Arial" w:cs="Arial"/>
                <w:sz w:val="20"/>
                <w:szCs w:val="20"/>
                <w:lang w:val="es-ES_tradnl"/>
              </w:rPr>
            </w:pPr>
            <w:r>
              <w:rPr>
                <w:rFonts w:ascii="Arial" w:hAnsi="Arial" w:cs="Arial"/>
                <w:sz w:val="20"/>
                <w:szCs w:val="20"/>
                <w:lang w:val="es-ES_tradnl"/>
              </w:rPr>
              <w:t>PRODUCE</w:t>
            </w:r>
          </w:p>
        </w:tc>
      </w:tr>
      <w:tr w:rsidR="006021BF" w:rsidRPr="00390238" w14:paraId="16A9AA80" w14:textId="77777777" w:rsidTr="00992CCD">
        <w:tc>
          <w:tcPr>
            <w:tcW w:w="2691" w:type="dxa"/>
            <w:shd w:val="clear" w:color="auto" w:fill="auto"/>
          </w:tcPr>
          <w:p w14:paraId="031A73C9" w14:textId="77777777" w:rsidR="001C2617" w:rsidRPr="00390238" w:rsidRDefault="001C2617" w:rsidP="006021BF">
            <w:pPr>
              <w:spacing w:after="120"/>
              <w:jc w:val="both"/>
              <w:rPr>
                <w:rFonts w:ascii="Arial" w:hAnsi="Arial" w:cs="Arial"/>
                <w:sz w:val="20"/>
                <w:szCs w:val="20"/>
                <w:lang w:val="es-ES_tradnl"/>
              </w:rPr>
            </w:pPr>
            <w:r w:rsidRPr="006021BF">
              <w:rPr>
                <w:rFonts w:ascii="Arial" w:hAnsi="Arial"/>
                <w:sz w:val="20"/>
                <w:lang w:val="es-ES_tradnl"/>
              </w:rPr>
              <w:t>4.2 Mejorar las políticas de extensión tecnológica</w:t>
            </w:r>
          </w:p>
        </w:tc>
        <w:tc>
          <w:tcPr>
            <w:tcW w:w="4950" w:type="dxa"/>
            <w:shd w:val="clear" w:color="auto" w:fill="auto"/>
          </w:tcPr>
          <w:p w14:paraId="28D8A9C2" w14:textId="55CB786F" w:rsidR="001C2617" w:rsidRDefault="0042201E" w:rsidP="006021BF">
            <w:pPr>
              <w:ind w:left="-4"/>
              <w:jc w:val="both"/>
              <w:rPr>
                <w:rFonts w:ascii="Arial" w:hAnsi="Arial" w:cs="Arial"/>
                <w:sz w:val="20"/>
                <w:szCs w:val="20"/>
                <w:lang w:val="es-ES_tradnl"/>
              </w:rPr>
            </w:pPr>
            <w:r>
              <w:rPr>
                <w:rFonts w:ascii="Arial" w:hAnsi="Arial" w:cs="Arial"/>
                <w:sz w:val="20"/>
                <w:szCs w:val="20"/>
                <w:lang w:val="es-ES_tradnl"/>
              </w:rPr>
              <w:t xml:space="preserve">4.2.1 Que </w:t>
            </w:r>
            <w:r w:rsidR="006C67AB">
              <w:rPr>
                <w:rFonts w:ascii="Arial" w:hAnsi="Arial" w:cs="Arial"/>
                <w:sz w:val="20"/>
                <w:szCs w:val="20"/>
                <w:lang w:val="es-ES_tradnl"/>
              </w:rPr>
              <w:t>el ITP</w:t>
            </w:r>
            <w:r>
              <w:rPr>
                <w:rFonts w:ascii="Arial" w:hAnsi="Arial" w:cs="Arial"/>
                <w:sz w:val="20"/>
                <w:szCs w:val="20"/>
                <w:lang w:val="es-ES_tradnl"/>
              </w:rPr>
              <w:t xml:space="preserve"> haya </w:t>
            </w:r>
            <w:r w:rsidRPr="000F75F4">
              <w:rPr>
                <w:rFonts w:ascii="Arial" w:hAnsi="Arial" w:cs="Arial"/>
                <w:sz w:val="20"/>
                <w:szCs w:val="20"/>
                <w:lang w:val="es-ES_tradnl"/>
              </w:rPr>
              <w:t>diseñado una metodología para la medición de correcta operación de los CITE basad</w:t>
            </w:r>
            <w:r>
              <w:rPr>
                <w:rFonts w:ascii="Arial" w:hAnsi="Arial" w:cs="Arial"/>
                <w:sz w:val="20"/>
                <w:szCs w:val="20"/>
                <w:lang w:val="es-ES_tradnl"/>
              </w:rPr>
              <w:t>a</w:t>
            </w:r>
            <w:r w:rsidRPr="000F75F4">
              <w:rPr>
                <w:rFonts w:ascii="Arial" w:hAnsi="Arial" w:cs="Arial"/>
                <w:sz w:val="20"/>
                <w:szCs w:val="20"/>
                <w:lang w:val="es-ES_tradnl"/>
              </w:rPr>
              <w:t xml:space="preserve"> en las siguientes dimensiones: </w:t>
            </w:r>
            <w:r>
              <w:rPr>
                <w:rFonts w:ascii="Arial" w:hAnsi="Arial" w:cs="Arial"/>
                <w:sz w:val="20"/>
                <w:szCs w:val="20"/>
                <w:lang w:val="es-ES_tradnl"/>
              </w:rPr>
              <w:t>(</w:t>
            </w:r>
            <w:r w:rsidRPr="000F75F4">
              <w:rPr>
                <w:rFonts w:ascii="Arial" w:hAnsi="Arial" w:cs="Arial"/>
                <w:sz w:val="20"/>
                <w:szCs w:val="20"/>
                <w:lang w:val="es-ES_tradnl"/>
              </w:rPr>
              <w:t>i)</w:t>
            </w:r>
            <w:r w:rsidR="00522044">
              <w:rPr>
                <w:rFonts w:ascii="Arial" w:hAnsi="Arial" w:cs="Arial"/>
                <w:sz w:val="20"/>
                <w:szCs w:val="20"/>
                <w:lang w:val="es-ES_tradnl"/>
              </w:rPr>
              <w:t> </w:t>
            </w:r>
            <w:r w:rsidRPr="000F75F4">
              <w:rPr>
                <w:rFonts w:ascii="Arial" w:hAnsi="Arial" w:cs="Arial"/>
                <w:sz w:val="20"/>
                <w:szCs w:val="20"/>
                <w:lang w:val="es-ES_tradnl"/>
              </w:rPr>
              <w:t>infraestructura</w:t>
            </w:r>
            <w:r>
              <w:rPr>
                <w:rFonts w:ascii="Arial" w:hAnsi="Arial" w:cs="Arial"/>
                <w:sz w:val="20"/>
                <w:szCs w:val="20"/>
                <w:lang w:val="es-ES_tradnl"/>
              </w:rPr>
              <w:t>;</w:t>
            </w:r>
            <w:r w:rsidRPr="000F75F4">
              <w:rPr>
                <w:rFonts w:ascii="Arial" w:hAnsi="Arial" w:cs="Arial"/>
                <w:sz w:val="20"/>
                <w:szCs w:val="20"/>
                <w:lang w:val="es-ES_tradnl"/>
              </w:rPr>
              <w:t xml:space="preserve"> </w:t>
            </w:r>
            <w:r>
              <w:rPr>
                <w:rFonts w:ascii="Arial" w:hAnsi="Arial" w:cs="Arial"/>
                <w:sz w:val="20"/>
                <w:szCs w:val="20"/>
                <w:lang w:val="es-ES_tradnl"/>
              </w:rPr>
              <w:t>(</w:t>
            </w:r>
            <w:r w:rsidRPr="000F75F4">
              <w:rPr>
                <w:rFonts w:ascii="Arial" w:hAnsi="Arial" w:cs="Arial"/>
                <w:sz w:val="20"/>
                <w:szCs w:val="20"/>
                <w:lang w:val="es-ES_tradnl"/>
              </w:rPr>
              <w:t>ii)</w:t>
            </w:r>
            <w:r w:rsidR="00D6428F">
              <w:rPr>
                <w:rFonts w:ascii="Arial" w:hAnsi="Arial" w:cs="Arial"/>
                <w:sz w:val="20"/>
                <w:szCs w:val="20"/>
                <w:lang w:val="es-ES_tradnl"/>
              </w:rPr>
              <w:t> </w:t>
            </w:r>
            <w:r w:rsidRPr="000F75F4">
              <w:rPr>
                <w:rFonts w:ascii="Arial" w:hAnsi="Arial" w:cs="Arial"/>
                <w:sz w:val="20"/>
                <w:szCs w:val="20"/>
                <w:lang w:val="es-ES_tradnl"/>
              </w:rPr>
              <w:t>financiamiento</w:t>
            </w:r>
            <w:r>
              <w:rPr>
                <w:rFonts w:ascii="Arial" w:hAnsi="Arial" w:cs="Arial"/>
                <w:sz w:val="20"/>
                <w:szCs w:val="20"/>
                <w:lang w:val="es-ES_tradnl"/>
              </w:rPr>
              <w:t>;</w:t>
            </w:r>
            <w:r w:rsidRPr="000F75F4">
              <w:rPr>
                <w:rFonts w:ascii="Arial" w:hAnsi="Arial" w:cs="Arial"/>
                <w:sz w:val="20"/>
                <w:szCs w:val="20"/>
                <w:lang w:val="es-ES_tradnl"/>
              </w:rPr>
              <w:t xml:space="preserve"> </w:t>
            </w:r>
            <w:r>
              <w:rPr>
                <w:rFonts w:ascii="Arial" w:hAnsi="Arial" w:cs="Arial"/>
                <w:sz w:val="20"/>
                <w:szCs w:val="20"/>
                <w:lang w:val="es-ES_tradnl"/>
              </w:rPr>
              <w:t>(</w:t>
            </w:r>
            <w:r w:rsidRPr="000F75F4">
              <w:rPr>
                <w:rFonts w:ascii="Arial" w:hAnsi="Arial" w:cs="Arial"/>
                <w:sz w:val="20"/>
                <w:szCs w:val="20"/>
                <w:lang w:val="es-ES_tradnl"/>
              </w:rPr>
              <w:t>iii)</w:t>
            </w:r>
            <w:r w:rsidR="00522044">
              <w:rPr>
                <w:rFonts w:ascii="Arial" w:hAnsi="Arial" w:cs="Arial"/>
                <w:sz w:val="20"/>
                <w:szCs w:val="20"/>
                <w:lang w:val="es-ES_tradnl"/>
              </w:rPr>
              <w:t> </w:t>
            </w:r>
            <w:r w:rsidRPr="000F75F4">
              <w:rPr>
                <w:rFonts w:ascii="Arial" w:hAnsi="Arial" w:cs="Arial"/>
                <w:sz w:val="20"/>
                <w:szCs w:val="20"/>
                <w:lang w:val="es-ES_tradnl"/>
              </w:rPr>
              <w:t>servicios</w:t>
            </w:r>
            <w:r>
              <w:rPr>
                <w:rFonts w:ascii="Arial" w:hAnsi="Arial" w:cs="Arial"/>
                <w:sz w:val="20"/>
                <w:szCs w:val="20"/>
                <w:lang w:val="es-ES_tradnl"/>
              </w:rPr>
              <w:t>;</w:t>
            </w:r>
            <w:r w:rsidRPr="000F75F4">
              <w:rPr>
                <w:rFonts w:ascii="Arial" w:hAnsi="Arial" w:cs="Arial"/>
                <w:sz w:val="20"/>
                <w:szCs w:val="20"/>
                <w:lang w:val="es-ES_tradnl"/>
              </w:rPr>
              <w:t xml:space="preserve"> y </w:t>
            </w:r>
            <w:r>
              <w:rPr>
                <w:rFonts w:ascii="Arial" w:hAnsi="Arial" w:cs="Arial"/>
                <w:sz w:val="20"/>
                <w:szCs w:val="20"/>
                <w:lang w:val="es-ES_tradnl"/>
              </w:rPr>
              <w:t>(</w:t>
            </w:r>
            <w:r w:rsidRPr="000F75F4">
              <w:rPr>
                <w:rFonts w:ascii="Arial" w:hAnsi="Arial" w:cs="Arial"/>
                <w:sz w:val="20"/>
                <w:szCs w:val="20"/>
                <w:lang w:val="es-ES_tradnl"/>
              </w:rPr>
              <w:t>iv)</w:t>
            </w:r>
            <w:r w:rsidR="00522044">
              <w:rPr>
                <w:rFonts w:ascii="Arial" w:hAnsi="Arial" w:cs="Arial"/>
                <w:sz w:val="20"/>
                <w:szCs w:val="20"/>
                <w:lang w:val="es-ES_tradnl"/>
              </w:rPr>
              <w:t> </w:t>
            </w:r>
            <w:r w:rsidRPr="000F75F4">
              <w:rPr>
                <w:rFonts w:ascii="Arial" w:hAnsi="Arial" w:cs="Arial"/>
                <w:sz w:val="20"/>
                <w:szCs w:val="20"/>
                <w:lang w:val="es-ES_tradnl"/>
              </w:rPr>
              <w:t>capital humano</w:t>
            </w:r>
            <w:r w:rsidR="00E50097">
              <w:rPr>
                <w:rFonts w:ascii="Arial" w:hAnsi="Arial" w:cs="Arial"/>
                <w:sz w:val="20"/>
                <w:szCs w:val="20"/>
                <w:lang w:val="es-ES_tradnl"/>
              </w:rPr>
              <w:t>.</w:t>
            </w:r>
          </w:p>
          <w:p w14:paraId="1AF532C0" w14:textId="77777777" w:rsidR="0042201E" w:rsidRDefault="0042201E" w:rsidP="00607326">
            <w:pPr>
              <w:spacing w:before="60" w:after="60"/>
              <w:ind w:left="-4"/>
              <w:jc w:val="both"/>
              <w:rPr>
                <w:rFonts w:ascii="Arial" w:hAnsi="Arial" w:cs="Arial"/>
                <w:sz w:val="20"/>
                <w:szCs w:val="20"/>
                <w:lang w:val="es-ES_tradnl"/>
              </w:rPr>
            </w:pPr>
          </w:p>
          <w:p w14:paraId="2122E761" w14:textId="50807339" w:rsidR="001C2617" w:rsidRPr="00390238" w:rsidRDefault="001C2617" w:rsidP="006021BF">
            <w:pPr>
              <w:spacing w:before="240"/>
              <w:ind w:left="-4"/>
              <w:jc w:val="both"/>
              <w:rPr>
                <w:rFonts w:ascii="Arial" w:hAnsi="Arial" w:cs="Arial"/>
                <w:sz w:val="20"/>
                <w:szCs w:val="20"/>
                <w:lang w:val="es-ES_tradnl"/>
              </w:rPr>
            </w:pPr>
            <w:r w:rsidRPr="00390238">
              <w:rPr>
                <w:rFonts w:ascii="Arial" w:hAnsi="Arial" w:cs="Arial"/>
                <w:sz w:val="20"/>
                <w:szCs w:val="20"/>
                <w:lang w:val="es-ES_tradnl"/>
              </w:rPr>
              <w:t>4.2</w:t>
            </w:r>
            <w:r w:rsidR="0042201E">
              <w:rPr>
                <w:rFonts w:ascii="Arial" w:hAnsi="Arial" w:cs="Arial"/>
                <w:sz w:val="20"/>
                <w:szCs w:val="20"/>
                <w:lang w:val="es-ES_tradnl"/>
              </w:rPr>
              <w:t>.2</w:t>
            </w:r>
            <w:r w:rsidRPr="00390238">
              <w:rPr>
                <w:rFonts w:ascii="Arial" w:hAnsi="Arial" w:cs="Arial"/>
                <w:sz w:val="20"/>
                <w:szCs w:val="20"/>
                <w:lang w:val="es-ES_tradnl"/>
              </w:rPr>
              <w:t xml:space="preserve"> Que </w:t>
            </w:r>
            <w:r w:rsidR="000F07D0">
              <w:rPr>
                <w:rFonts w:ascii="Arial" w:hAnsi="Arial" w:cs="Arial"/>
                <w:sz w:val="20"/>
                <w:szCs w:val="20"/>
                <w:lang w:val="es-ES_tradnl"/>
              </w:rPr>
              <w:t>el ITP</w:t>
            </w:r>
            <w:r w:rsidR="000F07D0" w:rsidRPr="00390238">
              <w:rPr>
                <w:rFonts w:ascii="Arial" w:hAnsi="Arial" w:cs="Arial"/>
                <w:sz w:val="20"/>
                <w:szCs w:val="20"/>
                <w:lang w:val="es-ES_tradnl"/>
              </w:rPr>
              <w:t xml:space="preserve"> </w:t>
            </w:r>
            <w:r w:rsidRPr="00390238">
              <w:rPr>
                <w:rFonts w:ascii="Arial" w:hAnsi="Arial" w:cs="Arial"/>
                <w:sz w:val="20"/>
                <w:szCs w:val="20"/>
                <w:lang w:val="es-ES_tradnl"/>
              </w:rPr>
              <w:t xml:space="preserve">cuente con al menos 5 Centros de Innovación Productiva y Transferencia Tecnológica (CITE) públicos </w:t>
            </w:r>
            <w:r w:rsidR="00FD46D8">
              <w:rPr>
                <w:rFonts w:ascii="Arial" w:hAnsi="Arial" w:cs="Arial"/>
                <w:sz w:val="20"/>
                <w:szCs w:val="20"/>
                <w:lang w:val="es-ES_tradnl"/>
              </w:rPr>
              <w:t>que</w:t>
            </w:r>
            <w:r w:rsidRPr="00390238">
              <w:rPr>
                <w:rFonts w:ascii="Arial" w:hAnsi="Arial" w:cs="Arial"/>
                <w:sz w:val="20"/>
                <w:szCs w:val="20"/>
                <w:lang w:val="es-ES_tradnl"/>
              </w:rPr>
              <w:t xml:space="preserve"> asegur</w:t>
            </w:r>
            <w:r w:rsidR="00FD46D8">
              <w:rPr>
                <w:rFonts w:ascii="Arial" w:hAnsi="Arial" w:cs="Arial"/>
                <w:sz w:val="20"/>
                <w:szCs w:val="20"/>
                <w:lang w:val="es-ES_tradnl"/>
              </w:rPr>
              <w:t>en</w:t>
            </w:r>
            <w:r w:rsidRPr="00390238">
              <w:rPr>
                <w:rFonts w:ascii="Arial" w:hAnsi="Arial" w:cs="Arial"/>
                <w:sz w:val="20"/>
                <w:szCs w:val="20"/>
                <w:lang w:val="es-ES_tradnl"/>
              </w:rPr>
              <w:t xml:space="preserve"> </w:t>
            </w:r>
            <w:r w:rsidR="008C66AB">
              <w:rPr>
                <w:rFonts w:ascii="Arial" w:hAnsi="Arial" w:cs="Arial"/>
                <w:sz w:val="20"/>
                <w:szCs w:val="20"/>
                <w:lang w:val="es-ES_tradnl"/>
              </w:rPr>
              <w:t>la</w:t>
            </w:r>
            <w:r w:rsidRPr="00390238">
              <w:rPr>
                <w:rFonts w:ascii="Arial" w:hAnsi="Arial" w:cs="Arial"/>
                <w:sz w:val="20"/>
                <w:szCs w:val="20"/>
                <w:lang w:val="es-ES_tradnl"/>
              </w:rPr>
              <w:t xml:space="preserve"> correcta operación</w:t>
            </w:r>
            <w:r w:rsidR="00DB7B39">
              <w:rPr>
                <w:rFonts w:ascii="Arial" w:hAnsi="Arial" w:cs="Arial"/>
                <w:sz w:val="20"/>
                <w:szCs w:val="20"/>
                <w:lang w:val="es-ES_tradnl"/>
              </w:rPr>
              <w:t>,</w:t>
            </w:r>
            <w:r w:rsidR="008C66AB">
              <w:rPr>
                <w:rFonts w:ascii="Arial" w:hAnsi="Arial" w:cs="Arial"/>
                <w:sz w:val="20"/>
                <w:szCs w:val="20"/>
                <w:lang w:val="es-ES_tradnl"/>
              </w:rPr>
              <w:t xml:space="preserve"> en las siguientes dimensiones: </w:t>
            </w:r>
            <w:r w:rsidR="00BF2493">
              <w:rPr>
                <w:rFonts w:ascii="Arial" w:hAnsi="Arial" w:cs="Arial"/>
                <w:sz w:val="20"/>
                <w:szCs w:val="20"/>
                <w:lang w:val="es-ES_tradnl"/>
              </w:rPr>
              <w:t>(</w:t>
            </w:r>
            <w:r w:rsidR="008C66AB">
              <w:rPr>
                <w:rFonts w:ascii="Arial" w:hAnsi="Arial" w:cs="Arial"/>
                <w:sz w:val="20"/>
                <w:szCs w:val="20"/>
                <w:lang w:val="es-ES_tradnl"/>
              </w:rPr>
              <w:t>i)</w:t>
            </w:r>
            <w:r w:rsidR="00522044">
              <w:rPr>
                <w:rFonts w:ascii="Arial" w:hAnsi="Arial" w:cs="Arial"/>
                <w:sz w:val="20"/>
                <w:szCs w:val="20"/>
                <w:lang w:val="es-ES_tradnl"/>
              </w:rPr>
              <w:t> </w:t>
            </w:r>
            <w:r w:rsidR="008C66AB">
              <w:rPr>
                <w:rFonts w:ascii="Arial" w:hAnsi="Arial" w:cs="Arial"/>
                <w:sz w:val="20"/>
                <w:szCs w:val="20"/>
                <w:lang w:val="es-ES_tradnl"/>
              </w:rPr>
              <w:t>infraestructura</w:t>
            </w:r>
            <w:r w:rsidR="00BF2493">
              <w:rPr>
                <w:rFonts w:ascii="Arial" w:hAnsi="Arial" w:cs="Arial"/>
                <w:sz w:val="20"/>
                <w:szCs w:val="20"/>
                <w:lang w:val="es-ES_tradnl"/>
              </w:rPr>
              <w:t>; (</w:t>
            </w:r>
            <w:r w:rsidR="008C66AB">
              <w:rPr>
                <w:rFonts w:ascii="Arial" w:hAnsi="Arial" w:cs="Arial"/>
                <w:sz w:val="20"/>
                <w:szCs w:val="20"/>
                <w:lang w:val="es-ES_tradnl"/>
              </w:rPr>
              <w:t>ii)</w:t>
            </w:r>
            <w:r w:rsidR="00D6428F">
              <w:rPr>
                <w:rFonts w:ascii="Arial" w:hAnsi="Arial" w:cs="Arial"/>
                <w:sz w:val="20"/>
                <w:szCs w:val="20"/>
                <w:lang w:val="es-ES_tradnl"/>
              </w:rPr>
              <w:t> </w:t>
            </w:r>
            <w:r w:rsidR="008C66AB">
              <w:rPr>
                <w:rFonts w:ascii="Arial" w:hAnsi="Arial" w:cs="Arial"/>
                <w:sz w:val="20"/>
                <w:szCs w:val="20"/>
                <w:lang w:val="es-ES_tradnl"/>
              </w:rPr>
              <w:t>financiamiento</w:t>
            </w:r>
            <w:r w:rsidR="00BF2493">
              <w:rPr>
                <w:rFonts w:ascii="Arial" w:hAnsi="Arial" w:cs="Arial"/>
                <w:sz w:val="20"/>
                <w:szCs w:val="20"/>
                <w:lang w:val="es-ES_tradnl"/>
              </w:rPr>
              <w:t>; (</w:t>
            </w:r>
            <w:r w:rsidR="008C66AB">
              <w:rPr>
                <w:rFonts w:ascii="Arial" w:hAnsi="Arial" w:cs="Arial"/>
                <w:sz w:val="20"/>
                <w:szCs w:val="20"/>
                <w:lang w:val="es-ES_tradnl"/>
              </w:rPr>
              <w:t>iii)</w:t>
            </w:r>
            <w:r w:rsidR="00522044">
              <w:rPr>
                <w:rFonts w:ascii="Arial" w:hAnsi="Arial" w:cs="Arial"/>
                <w:sz w:val="20"/>
                <w:szCs w:val="20"/>
                <w:lang w:val="es-ES_tradnl"/>
              </w:rPr>
              <w:t> </w:t>
            </w:r>
            <w:r w:rsidR="008C66AB">
              <w:rPr>
                <w:rFonts w:ascii="Arial" w:hAnsi="Arial" w:cs="Arial"/>
                <w:sz w:val="20"/>
                <w:szCs w:val="20"/>
                <w:lang w:val="es-ES_tradnl"/>
              </w:rPr>
              <w:t>servicios</w:t>
            </w:r>
            <w:r w:rsidR="00BF2493">
              <w:rPr>
                <w:rFonts w:ascii="Arial" w:hAnsi="Arial" w:cs="Arial"/>
                <w:sz w:val="20"/>
                <w:szCs w:val="20"/>
                <w:lang w:val="es-ES_tradnl"/>
              </w:rPr>
              <w:t>;</w:t>
            </w:r>
            <w:r w:rsidR="008C66AB">
              <w:rPr>
                <w:rFonts w:ascii="Arial" w:hAnsi="Arial" w:cs="Arial"/>
                <w:sz w:val="20"/>
                <w:szCs w:val="20"/>
                <w:lang w:val="es-ES_tradnl"/>
              </w:rPr>
              <w:t xml:space="preserve"> y </w:t>
            </w:r>
            <w:r w:rsidR="00BF2493">
              <w:rPr>
                <w:rFonts w:ascii="Arial" w:hAnsi="Arial" w:cs="Arial"/>
                <w:sz w:val="20"/>
                <w:szCs w:val="20"/>
                <w:lang w:val="es-ES_tradnl"/>
              </w:rPr>
              <w:t>(</w:t>
            </w:r>
            <w:r w:rsidR="008C66AB">
              <w:rPr>
                <w:rFonts w:ascii="Arial" w:hAnsi="Arial" w:cs="Arial"/>
                <w:sz w:val="20"/>
                <w:szCs w:val="20"/>
                <w:lang w:val="es-ES_tradnl"/>
              </w:rPr>
              <w:t>iv)</w:t>
            </w:r>
            <w:r w:rsidR="00522044">
              <w:rPr>
                <w:rFonts w:ascii="Arial" w:hAnsi="Arial" w:cs="Arial"/>
                <w:sz w:val="20"/>
                <w:szCs w:val="20"/>
                <w:lang w:val="es-ES_tradnl"/>
              </w:rPr>
              <w:t> </w:t>
            </w:r>
            <w:r w:rsidR="008C66AB">
              <w:rPr>
                <w:rFonts w:ascii="Arial" w:hAnsi="Arial" w:cs="Arial"/>
                <w:sz w:val="20"/>
                <w:szCs w:val="20"/>
                <w:lang w:val="es-ES_tradnl"/>
              </w:rPr>
              <w:t>capital humano.</w:t>
            </w:r>
          </w:p>
        </w:tc>
        <w:tc>
          <w:tcPr>
            <w:tcW w:w="3150" w:type="dxa"/>
            <w:shd w:val="clear" w:color="auto" w:fill="auto"/>
          </w:tcPr>
          <w:p w14:paraId="531343E3" w14:textId="09C8CD14" w:rsidR="0042201E" w:rsidRDefault="0042201E" w:rsidP="006021BF">
            <w:pPr>
              <w:ind w:left="-4"/>
              <w:jc w:val="both"/>
              <w:rPr>
                <w:rFonts w:ascii="Arial" w:eastAsia="Times New Roman" w:hAnsi="Arial" w:cs="Arial"/>
                <w:bCs/>
                <w:kern w:val="36"/>
                <w:sz w:val="20"/>
                <w:szCs w:val="20"/>
                <w:lang w:val="es-ES_tradnl"/>
              </w:rPr>
            </w:pPr>
            <w:r w:rsidRPr="00414E5F">
              <w:rPr>
                <w:rFonts w:ascii="Arial" w:eastAsia="Times New Roman" w:hAnsi="Arial" w:cs="Arial"/>
                <w:bCs/>
                <w:kern w:val="36"/>
                <w:sz w:val="20"/>
                <w:szCs w:val="20"/>
                <w:lang w:val="es-ES_tradnl"/>
              </w:rPr>
              <w:t>4.2.1</w:t>
            </w:r>
            <w:r>
              <w:rPr>
                <w:rFonts w:ascii="Arial" w:eastAsia="Times New Roman" w:hAnsi="Arial" w:cs="Arial"/>
                <w:bCs/>
                <w:kern w:val="36"/>
                <w:sz w:val="20"/>
                <w:szCs w:val="20"/>
                <w:lang w:val="es-ES_tradnl"/>
              </w:rPr>
              <w:t xml:space="preserve"> </w:t>
            </w:r>
            <w:r w:rsidR="00414E5F">
              <w:rPr>
                <w:rFonts w:ascii="Arial" w:eastAsia="Times New Roman" w:hAnsi="Arial" w:cs="Arial"/>
                <w:bCs/>
                <w:kern w:val="36"/>
                <w:sz w:val="20"/>
                <w:szCs w:val="20"/>
                <w:lang w:val="es-ES_tradnl"/>
              </w:rPr>
              <w:t>Oficio N°</w:t>
            </w:r>
            <w:r w:rsidR="00761E8D">
              <w:rPr>
                <w:rFonts w:ascii="Arial" w:eastAsia="Times New Roman" w:hAnsi="Arial" w:cs="Arial"/>
                <w:bCs/>
                <w:kern w:val="36"/>
                <w:sz w:val="20"/>
                <w:szCs w:val="20"/>
                <w:lang w:val="es-ES_tradnl"/>
              </w:rPr>
              <w:t> </w:t>
            </w:r>
            <w:r w:rsidR="00414E5F">
              <w:rPr>
                <w:rFonts w:ascii="Arial" w:eastAsia="Times New Roman" w:hAnsi="Arial" w:cs="Arial"/>
                <w:bCs/>
                <w:kern w:val="36"/>
                <w:sz w:val="20"/>
                <w:szCs w:val="20"/>
                <w:lang w:val="es-ES_tradnl"/>
              </w:rPr>
              <w:t>366-2018-ITP/DE</w:t>
            </w:r>
            <w:r w:rsidR="006651BE">
              <w:rPr>
                <w:rFonts w:ascii="Arial" w:eastAsia="Times New Roman" w:hAnsi="Arial" w:cs="Arial"/>
                <w:bCs/>
                <w:kern w:val="36"/>
                <w:sz w:val="20"/>
                <w:szCs w:val="20"/>
                <w:lang w:val="es-ES_tradnl"/>
              </w:rPr>
              <w:t xml:space="preserve"> del 28</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de</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septiembre</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de</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20</w:t>
            </w:r>
            <w:r w:rsidR="006651BE">
              <w:rPr>
                <w:rFonts w:ascii="Arial" w:eastAsia="Times New Roman" w:hAnsi="Arial" w:cs="Arial"/>
                <w:bCs/>
                <w:kern w:val="36"/>
                <w:sz w:val="20"/>
                <w:szCs w:val="20"/>
                <w:lang w:val="es-ES_tradnl"/>
              </w:rPr>
              <w:t>18</w:t>
            </w:r>
            <w:r>
              <w:rPr>
                <w:rFonts w:ascii="Arial" w:eastAsia="Times New Roman" w:hAnsi="Arial" w:cs="Arial"/>
                <w:bCs/>
                <w:kern w:val="36"/>
                <w:sz w:val="20"/>
                <w:szCs w:val="20"/>
                <w:lang w:val="es-ES_tradnl"/>
              </w:rPr>
              <w:t xml:space="preserve"> de</w:t>
            </w:r>
            <w:r w:rsidR="00414E5F">
              <w:rPr>
                <w:rFonts w:ascii="Arial" w:eastAsia="Times New Roman" w:hAnsi="Arial" w:cs="Arial"/>
                <w:bCs/>
                <w:kern w:val="36"/>
                <w:sz w:val="20"/>
                <w:szCs w:val="20"/>
                <w:lang w:val="es-ES_tradnl"/>
              </w:rPr>
              <w:t>l</w:t>
            </w:r>
            <w:r>
              <w:rPr>
                <w:rFonts w:ascii="Arial" w:eastAsia="Times New Roman" w:hAnsi="Arial" w:cs="Arial"/>
                <w:bCs/>
                <w:kern w:val="36"/>
                <w:sz w:val="20"/>
                <w:szCs w:val="20"/>
                <w:lang w:val="es-ES_tradnl"/>
              </w:rPr>
              <w:t xml:space="preserve"> Director Ejecutivo del ITP que remite el informe sobre la metodología para la medición de correcta operación de los CITE.</w:t>
            </w:r>
          </w:p>
          <w:p w14:paraId="25203887" w14:textId="7543ABDF" w:rsidR="0042201E" w:rsidRDefault="0042201E" w:rsidP="006021BF">
            <w:pPr>
              <w:ind w:left="-4"/>
              <w:jc w:val="both"/>
              <w:rPr>
                <w:rFonts w:ascii="Arial" w:eastAsia="Times New Roman" w:hAnsi="Arial" w:cs="Arial"/>
                <w:bCs/>
                <w:kern w:val="36"/>
                <w:sz w:val="20"/>
                <w:szCs w:val="20"/>
                <w:lang w:val="es-ES_tradnl"/>
              </w:rPr>
            </w:pPr>
          </w:p>
          <w:p w14:paraId="60255D72" w14:textId="264EC6F7" w:rsidR="001C2617" w:rsidRPr="008B633D" w:rsidRDefault="001C2617" w:rsidP="008D1CBB">
            <w:pPr>
              <w:spacing w:before="120"/>
              <w:ind w:left="-4"/>
              <w:jc w:val="both"/>
              <w:rPr>
                <w:rFonts w:ascii="Arial" w:hAnsi="Arial" w:cs="Arial"/>
                <w:sz w:val="20"/>
                <w:szCs w:val="20"/>
                <w:lang w:val="es-ES_tradnl"/>
              </w:rPr>
            </w:pPr>
            <w:r w:rsidRPr="00414E5F">
              <w:rPr>
                <w:rFonts w:ascii="Arial" w:eastAsia="Times New Roman" w:hAnsi="Arial" w:cs="Arial"/>
                <w:bCs/>
                <w:kern w:val="36"/>
                <w:sz w:val="20"/>
                <w:szCs w:val="20"/>
                <w:lang w:val="es-ES_tradnl"/>
              </w:rPr>
              <w:t>4.2</w:t>
            </w:r>
            <w:r w:rsidR="00E50097" w:rsidRPr="00414E5F">
              <w:rPr>
                <w:rFonts w:ascii="Arial" w:eastAsia="Times New Roman" w:hAnsi="Arial" w:cs="Arial"/>
                <w:bCs/>
                <w:kern w:val="36"/>
                <w:sz w:val="20"/>
                <w:szCs w:val="20"/>
                <w:lang w:val="es-ES_tradnl"/>
              </w:rPr>
              <w:t>.2</w:t>
            </w:r>
            <w:r w:rsidRPr="008B633D">
              <w:rPr>
                <w:rFonts w:ascii="Arial" w:eastAsia="Times New Roman" w:hAnsi="Arial" w:cs="Arial"/>
                <w:bCs/>
                <w:kern w:val="36"/>
                <w:sz w:val="20"/>
                <w:szCs w:val="20"/>
                <w:lang w:val="es-ES_tradnl"/>
              </w:rPr>
              <w:t xml:space="preserve"> </w:t>
            </w:r>
            <w:bookmarkStart w:id="2" w:name="_Hlk525725431"/>
            <w:r w:rsidR="00414E5F">
              <w:rPr>
                <w:rFonts w:ascii="Arial" w:eastAsia="Times New Roman" w:hAnsi="Arial" w:cs="Arial"/>
                <w:bCs/>
                <w:kern w:val="36"/>
                <w:sz w:val="20"/>
                <w:szCs w:val="20"/>
                <w:lang w:val="es-ES_tradnl"/>
              </w:rPr>
              <w:t>Oficio N° 366</w:t>
            </w:r>
            <w:r w:rsidR="00761E8D">
              <w:rPr>
                <w:rFonts w:ascii="Arial" w:eastAsia="Times New Roman" w:hAnsi="Arial" w:cs="Arial"/>
                <w:bCs/>
                <w:kern w:val="36"/>
                <w:sz w:val="20"/>
                <w:szCs w:val="20"/>
                <w:lang w:val="es-ES_tradnl"/>
              </w:rPr>
              <w:noBreakHyphen/>
            </w:r>
            <w:r w:rsidR="00414E5F">
              <w:rPr>
                <w:rFonts w:ascii="Arial" w:eastAsia="Times New Roman" w:hAnsi="Arial" w:cs="Arial"/>
                <w:bCs/>
                <w:kern w:val="36"/>
                <w:sz w:val="20"/>
                <w:szCs w:val="20"/>
                <w:lang w:val="es-ES_tradnl"/>
              </w:rPr>
              <w:t>2018-ITP/DE</w:t>
            </w:r>
            <w:r w:rsidR="006651BE">
              <w:rPr>
                <w:rFonts w:ascii="Arial" w:eastAsia="Times New Roman" w:hAnsi="Arial" w:cs="Arial"/>
                <w:bCs/>
                <w:kern w:val="36"/>
                <w:sz w:val="20"/>
                <w:szCs w:val="20"/>
                <w:lang w:val="es-ES_tradnl"/>
              </w:rPr>
              <w:t xml:space="preserve"> del 28</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de</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septiembre</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de</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20</w:t>
            </w:r>
            <w:r w:rsidR="006651BE">
              <w:rPr>
                <w:rFonts w:ascii="Arial" w:eastAsia="Times New Roman" w:hAnsi="Arial" w:cs="Arial"/>
                <w:bCs/>
                <w:kern w:val="36"/>
                <w:sz w:val="20"/>
                <w:szCs w:val="20"/>
                <w:lang w:val="es-ES_tradnl"/>
              </w:rPr>
              <w:t>18</w:t>
            </w:r>
            <w:r w:rsidR="00414E5F" w:rsidDel="00414E5F">
              <w:rPr>
                <w:rFonts w:ascii="Arial" w:eastAsia="Times New Roman" w:hAnsi="Arial" w:cs="Arial"/>
                <w:bCs/>
                <w:kern w:val="36"/>
                <w:sz w:val="20"/>
                <w:szCs w:val="20"/>
                <w:lang w:val="es-ES_tradnl"/>
              </w:rPr>
              <w:t xml:space="preserve"> </w:t>
            </w:r>
            <w:r w:rsidR="0027693A">
              <w:rPr>
                <w:rFonts w:ascii="Arial" w:eastAsia="Times New Roman" w:hAnsi="Arial" w:cs="Arial"/>
                <w:bCs/>
                <w:kern w:val="36"/>
                <w:sz w:val="20"/>
                <w:szCs w:val="20"/>
                <w:lang w:val="es-ES_tradnl"/>
              </w:rPr>
              <w:t>de</w:t>
            </w:r>
            <w:r w:rsidR="00761E8D">
              <w:rPr>
                <w:rFonts w:ascii="Arial" w:eastAsia="Times New Roman" w:hAnsi="Arial" w:cs="Arial"/>
                <w:bCs/>
                <w:kern w:val="36"/>
                <w:sz w:val="20"/>
                <w:szCs w:val="20"/>
                <w:lang w:val="es-ES_tradnl"/>
              </w:rPr>
              <w:t>l</w:t>
            </w:r>
            <w:r w:rsidR="0027693A">
              <w:rPr>
                <w:rFonts w:ascii="Arial" w:eastAsia="Times New Roman" w:hAnsi="Arial" w:cs="Arial"/>
                <w:bCs/>
                <w:kern w:val="36"/>
                <w:sz w:val="20"/>
                <w:szCs w:val="20"/>
                <w:lang w:val="es-ES_tradnl"/>
              </w:rPr>
              <w:t xml:space="preserve"> Director Ejecutivo del ITP que remite el i</w:t>
            </w:r>
            <w:r w:rsidRPr="008B633D">
              <w:rPr>
                <w:rFonts w:ascii="Arial" w:eastAsia="Times New Roman" w:hAnsi="Arial" w:cs="Arial"/>
                <w:bCs/>
                <w:kern w:val="36"/>
                <w:sz w:val="20"/>
                <w:szCs w:val="20"/>
                <w:lang w:val="es-ES_tradnl"/>
              </w:rPr>
              <w:t>nforme</w:t>
            </w:r>
            <w:bookmarkEnd w:id="2"/>
            <w:r w:rsidRPr="008B633D">
              <w:rPr>
                <w:rFonts w:ascii="Arial" w:eastAsia="Times New Roman" w:hAnsi="Arial" w:cs="Arial"/>
                <w:bCs/>
                <w:kern w:val="36"/>
                <w:sz w:val="20"/>
                <w:szCs w:val="20"/>
                <w:lang w:val="es-ES_tradnl"/>
              </w:rPr>
              <w:t xml:space="preserve"> de Monitoreo de</w:t>
            </w:r>
            <w:r w:rsidR="00EF569A">
              <w:rPr>
                <w:rFonts w:ascii="Arial" w:eastAsia="Times New Roman" w:hAnsi="Arial" w:cs="Arial"/>
                <w:bCs/>
                <w:kern w:val="36"/>
                <w:sz w:val="20"/>
                <w:szCs w:val="20"/>
                <w:lang w:val="es-ES_tradnl"/>
              </w:rPr>
              <w:t xml:space="preserve"> los</w:t>
            </w:r>
            <w:r w:rsidRPr="008B633D">
              <w:rPr>
                <w:rFonts w:ascii="Arial" w:eastAsia="Times New Roman" w:hAnsi="Arial" w:cs="Arial"/>
                <w:bCs/>
                <w:kern w:val="36"/>
                <w:sz w:val="20"/>
                <w:szCs w:val="20"/>
                <w:lang w:val="es-ES_tradnl"/>
              </w:rPr>
              <w:t xml:space="preserve"> CITE </w:t>
            </w:r>
            <w:r w:rsidR="0027693A">
              <w:rPr>
                <w:rFonts w:ascii="Arial" w:eastAsia="Times New Roman" w:hAnsi="Arial" w:cs="Arial"/>
                <w:bCs/>
                <w:kern w:val="36"/>
                <w:sz w:val="20"/>
                <w:szCs w:val="20"/>
                <w:lang w:val="es-ES_tradnl"/>
              </w:rPr>
              <w:t>elaborado</w:t>
            </w:r>
            <w:r w:rsidR="0027693A" w:rsidRPr="008B633D">
              <w:rPr>
                <w:rFonts w:ascii="Arial" w:eastAsia="Times New Roman" w:hAnsi="Arial" w:cs="Arial"/>
                <w:bCs/>
                <w:kern w:val="36"/>
                <w:sz w:val="20"/>
                <w:szCs w:val="20"/>
                <w:lang w:val="es-ES_tradnl"/>
              </w:rPr>
              <w:t xml:space="preserve"> </w:t>
            </w:r>
            <w:r w:rsidRPr="008B633D">
              <w:rPr>
                <w:rFonts w:ascii="Arial" w:eastAsia="Times New Roman" w:hAnsi="Arial" w:cs="Arial"/>
                <w:bCs/>
                <w:kern w:val="36"/>
                <w:sz w:val="20"/>
                <w:szCs w:val="20"/>
                <w:lang w:val="es-ES_tradnl"/>
              </w:rPr>
              <w:t xml:space="preserve">por </w:t>
            </w:r>
            <w:r w:rsidR="0027693A">
              <w:rPr>
                <w:rFonts w:ascii="Arial" w:eastAsia="Times New Roman" w:hAnsi="Arial" w:cs="Arial"/>
                <w:bCs/>
                <w:kern w:val="36"/>
                <w:sz w:val="20"/>
                <w:szCs w:val="20"/>
                <w:lang w:val="es-ES_tradnl"/>
              </w:rPr>
              <w:t>la</w:t>
            </w:r>
            <w:r w:rsidR="0027693A" w:rsidRPr="008B633D">
              <w:rPr>
                <w:rFonts w:ascii="Arial" w:eastAsia="Times New Roman" w:hAnsi="Arial" w:cs="Arial"/>
                <w:bCs/>
                <w:kern w:val="36"/>
                <w:sz w:val="20"/>
                <w:szCs w:val="20"/>
                <w:lang w:val="es-ES_tradnl"/>
              </w:rPr>
              <w:t xml:space="preserve"> </w:t>
            </w:r>
            <w:r w:rsidR="0027693A">
              <w:rPr>
                <w:rFonts w:ascii="Arial" w:eastAsia="Times New Roman" w:hAnsi="Arial" w:cs="Arial"/>
                <w:bCs/>
                <w:kern w:val="36"/>
                <w:sz w:val="20"/>
                <w:szCs w:val="20"/>
                <w:lang w:val="es-ES_tradnl"/>
              </w:rPr>
              <w:t>Dirección</w:t>
            </w:r>
            <w:r w:rsidR="0027693A" w:rsidRPr="008B633D">
              <w:rPr>
                <w:rFonts w:ascii="Arial" w:eastAsia="Times New Roman" w:hAnsi="Arial" w:cs="Arial"/>
                <w:bCs/>
                <w:kern w:val="36"/>
                <w:sz w:val="20"/>
                <w:szCs w:val="20"/>
                <w:lang w:val="es-ES_tradnl"/>
              </w:rPr>
              <w:t xml:space="preserve"> </w:t>
            </w:r>
            <w:r w:rsidRPr="008B633D">
              <w:rPr>
                <w:rFonts w:ascii="Arial" w:eastAsia="Times New Roman" w:hAnsi="Arial" w:cs="Arial"/>
                <w:bCs/>
                <w:kern w:val="36"/>
                <w:sz w:val="20"/>
                <w:szCs w:val="20"/>
                <w:lang w:val="es-ES_tradnl"/>
              </w:rPr>
              <w:t>de Seguimiento y Evaluación.</w:t>
            </w:r>
          </w:p>
        </w:tc>
        <w:tc>
          <w:tcPr>
            <w:tcW w:w="1800" w:type="dxa"/>
          </w:tcPr>
          <w:p w14:paraId="36FA2B08" w14:textId="0DDB4DF3" w:rsidR="001C2617" w:rsidRDefault="00414E5F" w:rsidP="006021BF">
            <w:pPr>
              <w:ind w:left="-4"/>
              <w:jc w:val="both"/>
              <w:rPr>
                <w:rFonts w:ascii="Arial" w:hAnsi="Arial" w:cs="Arial"/>
                <w:sz w:val="20"/>
                <w:szCs w:val="20"/>
                <w:lang w:val="es-ES_tradnl"/>
              </w:rPr>
            </w:pPr>
            <w:r w:rsidRPr="00726417">
              <w:rPr>
                <w:rFonts w:ascii="Arial" w:hAnsi="Arial"/>
                <w:b/>
                <w:sz w:val="20"/>
                <w:lang w:val="es-ES_tradnl"/>
              </w:rPr>
              <w:t>Cumplido</w:t>
            </w:r>
          </w:p>
          <w:p w14:paraId="3651B3B0" w14:textId="77777777" w:rsidR="00414E5F" w:rsidRDefault="00414E5F" w:rsidP="006021BF">
            <w:pPr>
              <w:ind w:left="-4"/>
              <w:jc w:val="both"/>
              <w:rPr>
                <w:rFonts w:ascii="Arial" w:hAnsi="Arial" w:cs="Arial"/>
                <w:sz w:val="20"/>
                <w:szCs w:val="20"/>
                <w:lang w:val="es-ES_tradnl"/>
              </w:rPr>
            </w:pPr>
          </w:p>
          <w:p w14:paraId="77674259" w14:textId="77777777" w:rsidR="00414E5F" w:rsidRDefault="00414E5F" w:rsidP="006021BF">
            <w:pPr>
              <w:ind w:left="-4"/>
              <w:jc w:val="both"/>
              <w:rPr>
                <w:rFonts w:ascii="Arial" w:hAnsi="Arial" w:cs="Arial"/>
                <w:sz w:val="20"/>
                <w:szCs w:val="20"/>
                <w:lang w:val="es-ES_tradnl"/>
              </w:rPr>
            </w:pPr>
          </w:p>
          <w:p w14:paraId="4F694140" w14:textId="77777777" w:rsidR="00414E5F" w:rsidRDefault="00414E5F" w:rsidP="006021BF">
            <w:pPr>
              <w:ind w:left="-4"/>
              <w:jc w:val="both"/>
              <w:rPr>
                <w:rFonts w:ascii="Arial" w:hAnsi="Arial" w:cs="Arial"/>
                <w:sz w:val="20"/>
                <w:szCs w:val="20"/>
                <w:lang w:val="es-ES_tradnl"/>
              </w:rPr>
            </w:pPr>
          </w:p>
          <w:p w14:paraId="13F903E7" w14:textId="77777777" w:rsidR="00414E5F" w:rsidRDefault="00414E5F" w:rsidP="006021BF">
            <w:pPr>
              <w:ind w:left="-4"/>
              <w:jc w:val="both"/>
              <w:rPr>
                <w:rFonts w:ascii="Arial" w:hAnsi="Arial" w:cs="Arial"/>
                <w:sz w:val="20"/>
                <w:szCs w:val="20"/>
                <w:lang w:val="es-ES_tradnl"/>
              </w:rPr>
            </w:pPr>
          </w:p>
          <w:p w14:paraId="53176B9D" w14:textId="77777777" w:rsidR="00414E5F" w:rsidRPr="00726417" w:rsidRDefault="00414E5F" w:rsidP="006021BF">
            <w:pPr>
              <w:ind w:left="-4"/>
              <w:jc w:val="both"/>
              <w:rPr>
                <w:rFonts w:ascii="Arial" w:hAnsi="Arial"/>
                <w:b/>
                <w:sz w:val="20"/>
                <w:lang w:val="es-ES_tradnl"/>
              </w:rPr>
            </w:pPr>
          </w:p>
          <w:p w14:paraId="448856CD" w14:textId="499538D5" w:rsidR="00414E5F" w:rsidRDefault="00414E5F" w:rsidP="006021BF">
            <w:pPr>
              <w:ind w:left="-4"/>
              <w:jc w:val="both"/>
              <w:rPr>
                <w:rFonts w:ascii="Arial" w:hAnsi="Arial"/>
                <w:b/>
                <w:sz w:val="20"/>
                <w:lang w:val="es-ES_tradnl"/>
              </w:rPr>
            </w:pPr>
          </w:p>
          <w:p w14:paraId="147EC66B" w14:textId="0185E53B" w:rsidR="00414E5F" w:rsidRPr="006021BF" w:rsidRDefault="00414E5F" w:rsidP="008D1CBB">
            <w:pPr>
              <w:spacing w:before="120" w:after="60"/>
              <w:ind w:left="-4"/>
              <w:jc w:val="both"/>
              <w:rPr>
                <w:rFonts w:ascii="Arial" w:hAnsi="Arial"/>
                <w:b/>
                <w:sz w:val="20"/>
                <w:lang w:val="es-ES_tradnl"/>
              </w:rPr>
            </w:pPr>
            <w:r w:rsidRPr="00726417">
              <w:rPr>
                <w:rFonts w:ascii="Arial" w:hAnsi="Arial"/>
                <w:b/>
                <w:sz w:val="20"/>
                <w:lang w:val="es-ES_tradnl"/>
              </w:rPr>
              <w:t>Cumplido</w:t>
            </w:r>
          </w:p>
        </w:tc>
        <w:tc>
          <w:tcPr>
            <w:tcW w:w="1620" w:type="dxa"/>
          </w:tcPr>
          <w:p w14:paraId="6AB09766" w14:textId="77777777" w:rsidR="00BF5C20" w:rsidRPr="00DD0FAA" w:rsidRDefault="00BF5C20" w:rsidP="00BF5C20">
            <w:pPr>
              <w:ind w:left="-4"/>
              <w:jc w:val="both"/>
              <w:rPr>
                <w:rFonts w:ascii="Arial" w:hAnsi="Arial" w:cs="Arial"/>
                <w:sz w:val="20"/>
                <w:szCs w:val="20"/>
                <w:lang w:val="es-ES_tradnl"/>
              </w:rPr>
            </w:pPr>
            <w:r w:rsidRPr="00DD0FAA">
              <w:rPr>
                <w:rFonts w:ascii="Arial" w:hAnsi="Arial" w:cs="Arial"/>
                <w:sz w:val="20"/>
                <w:szCs w:val="20"/>
                <w:lang w:val="es-ES_tradnl"/>
              </w:rPr>
              <w:t>ITP</w:t>
            </w:r>
          </w:p>
          <w:p w14:paraId="13AD26E2" w14:textId="77777777" w:rsidR="00BF5C20" w:rsidRPr="00DD0FAA" w:rsidRDefault="00BF5C20" w:rsidP="00BF5C20">
            <w:pPr>
              <w:ind w:left="-4"/>
              <w:jc w:val="both"/>
              <w:rPr>
                <w:rFonts w:ascii="Arial" w:hAnsi="Arial" w:cs="Arial"/>
                <w:sz w:val="20"/>
                <w:szCs w:val="20"/>
                <w:lang w:val="es-ES_tradnl"/>
              </w:rPr>
            </w:pPr>
          </w:p>
          <w:p w14:paraId="74B9651E" w14:textId="77777777" w:rsidR="00DD0FAA" w:rsidRPr="00DD0FAA" w:rsidRDefault="00DD0FAA" w:rsidP="00BF5C20">
            <w:pPr>
              <w:ind w:left="-4"/>
              <w:jc w:val="both"/>
              <w:rPr>
                <w:rFonts w:ascii="Arial" w:hAnsi="Arial" w:cs="Arial"/>
                <w:sz w:val="20"/>
                <w:szCs w:val="20"/>
                <w:lang w:val="es-ES_tradnl"/>
              </w:rPr>
            </w:pPr>
          </w:p>
          <w:p w14:paraId="076938DF" w14:textId="77777777" w:rsidR="00BF5C20" w:rsidRPr="00DD0FAA" w:rsidRDefault="00BF5C20" w:rsidP="00BF5C20">
            <w:pPr>
              <w:ind w:left="-4"/>
              <w:jc w:val="both"/>
              <w:rPr>
                <w:rFonts w:ascii="Arial" w:hAnsi="Arial" w:cs="Arial"/>
                <w:sz w:val="20"/>
                <w:szCs w:val="20"/>
                <w:lang w:val="es-ES_tradnl"/>
              </w:rPr>
            </w:pPr>
          </w:p>
          <w:p w14:paraId="6AB777FC" w14:textId="77777777" w:rsidR="00BF5C20" w:rsidRPr="00DD0FAA" w:rsidRDefault="00BF5C20" w:rsidP="00BF5C20">
            <w:pPr>
              <w:ind w:left="-4"/>
              <w:jc w:val="both"/>
              <w:rPr>
                <w:rFonts w:ascii="Arial" w:hAnsi="Arial" w:cs="Arial"/>
                <w:sz w:val="20"/>
                <w:szCs w:val="20"/>
                <w:lang w:val="es-ES_tradnl"/>
              </w:rPr>
            </w:pPr>
          </w:p>
          <w:p w14:paraId="1B82E87F" w14:textId="5A39E671" w:rsidR="00BF5C20" w:rsidRDefault="00BF5C20" w:rsidP="00BF5C20">
            <w:pPr>
              <w:ind w:left="-4"/>
              <w:jc w:val="both"/>
              <w:rPr>
                <w:rFonts w:ascii="Arial" w:hAnsi="Arial" w:cs="Arial"/>
                <w:sz w:val="20"/>
                <w:szCs w:val="20"/>
                <w:lang w:val="es-ES_tradnl"/>
              </w:rPr>
            </w:pPr>
          </w:p>
          <w:p w14:paraId="7A4A6D11" w14:textId="77777777" w:rsidR="008D1CBB" w:rsidRPr="00DD0FAA" w:rsidRDefault="008D1CBB" w:rsidP="00BF5C20">
            <w:pPr>
              <w:ind w:left="-4"/>
              <w:jc w:val="both"/>
              <w:rPr>
                <w:rFonts w:ascii="Arial" w:hAnsi="Arial" w:cs="Arial"/>
                <w:sz w:val="20"/>
                <w:szCs w:val="20"/>
                <w:lang w:val="es-ES_tradnl"/>
              </w:rPr>
            </w:pPr>
          </w:p>
          <w:p w14:paraId="0751781A" w14:textId="77777777" w:rsidR="00BF5C20" w:rsidRPr="00DD0FAA" w:rsidRDefault="00BF5C20" w:rsidP="008D1CBB">
            <w:pPr>
              <w:spacing w:before="120"/>
              <w:ind w:left="-4"/>
              <w:jc w:val="both"/>
              <w:rPr>
                <w:rFonts w:ascii="Arial" w:hAnsi="Arial" w:cs="Arial"/>
                <w:sz w:val="20"/>
                <w:szCs w:val="20"/>
                <w:lang w:val="es-ES_tradnl"/>
              </w:rPr>
            </w:pPr>
            <w:r w:rsidRPr="00DD0FAA">
              <w:rPr>
                <w:rFonts w:ascii="Arial" w:hAnsi="Arial" w:cs="Arial"/>
                <w:sz w:val="20"/>
                <w:szCs w:val="20"/>
                <w:lang w:val="es-ES_tradnl"/>
              </w:rPr>
              <w:t>ITP</w:t>
            </w:r>
          </w:p>
          <w:p w14:paraId="7D49E380" w14:textId="7C3E8A69" w:rsidR="001C2617" w:rsidRPr="00390238" w:rsidRDefault="001C2617" w:rsidP="00607326">
            <w:pPr>
              <w:spacing w:before="60" w:after="60"/>
              <w:ind w:left="-4"/>
              <w:jc w:val="both"/>
              <w:rPr>
                <w:rFonts w:ascii="Arial" w:hAnsi="Arial" w:cs="Arial"/>
                <w:sz w:val="20"/>
                <w:szCs w:val="20"/>
                <w:lang w:val="es-ES_tradnl"/>
              </w:rPr>
            </w:pPr>
          </w:p>
        </w:tc>
      </w:tr>
      <w:tr w:rsidR="006021BF" w:rsidRPr="00390238" w14:paraId="7A646B99" w14:textId="77777777" w:rsidTr="00992CCD">
        <w:tc>
          <w:tcPr>
            <w:tcW w:w="2691" w:type="dxa"/>
            <w:shd w:val="clear" w:color="auto" w:fill="auto"/>
          </w:tcPr>
          <w:p w14:paraId="05FEB3DD" w14:textId="77777777" w:rsidR="001C2617" w:rsidRPr="00390238" w:rsidRDefault="001C2617" w:rsidP="006021BF">
            <w:pPr>
              <w:spacing w:after="120"/>
              <w:jc w:val="both"/>
              <w:rPr>
                <w:rFonts w:ascii="Arial" w:hAnsi="Arial" w:cs="Arial"/>
                <w:sz w:val="20"/>
                <w:szCs w:val="20"/>
                <w:lang w:val="es-ES_tradnl"/>
              </w:rPr>
            </w:pPr>
            <w:bookmarkStart w:id="3" w:name="_Hlk508273388"/>
            <w:r w:rsidRPr="006021BF">
              <w:rPr>
                <w:rFonts w:ascii="Arial" w:hAnsi="Arial"/>
                <w:sz w:val="20"/>
                <w:lang w:val="es-ES_tradnl"/>
              </w:rPr>
              <w:t>4.3 Mejorar las políticas de acceso a compradores institucionales</w:t>
            </w:r>
          </w:p>
        </w:tc>
        <w:tc>
          <w:tcPr>
            <w:tcW w:w="4950" w:type="dxa"/>
            <w:shd w:val="clear" w:color="auto" w:fill="auto"/>
          </w:tcPr>
          <w:p w14:paraId="1746E414" w14:textId="1FC80CCB" w:rsidR="001C2617" w:rsidRPr="00390238" w:rsidRDefault="001C2617" w:rsidP="006021BF">
            <w:pPr>
              <w:ind w:left="-4"/>
              <w:jc w:val="both"/>
              <w:rPr>
                <w:rFonts w:ascii="Arial" w:hAnsi="Arial" w:cs="Arial"/>
                <w:sz w:val="20"/>
                <w:szCs w:val="20"/>
                <w:lang w:val="es-ES_tradnl"/>
              </w:rPr>
            </w:pPr>
            <w:r w:rsidRPr="00390238">
              <w:rPr>
                <w:rFonts w:ascii="Arial" w:hAnsi="Arial" w:cs="Arial"/>
                <w:sz w:val="20"/>
                <w:szCs w:val="20"/>
                <w:lang w:val="es-ES_tradnl"/>
              </w:rPr>
              <w:t xml:space="preserve">4.3.1 </w:t>
            </w:r>
            <w:r w:rsidR="00E50097" w:rsidRPr="00390238">
              <w:rPr>
                <w:rFonts w:ascii="Arial" w:hAnsi="Arial" w:cs="Arial"/>
                <w:sz w:val="20"/>
                <w:szCs w:val="20"/>
                <w:lang w:val="es-ES_tradnl"/>
              </w:rPr>
              <w:t xml:space="preserve">Que </w:t>
            </w:r>
            <w:r w:rsidR="00E50097">
              <w:rPr>
                <w:rFonts w:ascii="Arial" w:hAnsi="Arial" w:cs="Arial"/>
                <w:sz w:val="20"/>
                <w:szCs w:val="20"/>
                <w:lang w:val="es-ES_tradnl"/>
              </w:rPr>
              <w:t>se</w:t>
            </w:r>
            <w:r w:rsidR="00E50097" w:rsidRPr="00390238">
              <w:rPr>
                <w:rFonts w:ascii="Arial" w:hAnsi="Arial" w:cs="Arial"/>
                <w:sz w:val="20"/>
                <w:szCs w:val="20"/>
                <w:lang w:val="es-ES_tradnl"/>
              </w:rPr>
              <w:t xml:space="preserve"> haya modificado </w:t>
            </w:r>
            <w:r w:rsidR="00E50097">
              <w:rPr>
                <w:rFonts w:ascii="Arial" w:hAnsi="Arial" w:cs="Arial"/>
                <w:sz w:val="20"/>
                <w:szCs w:val="20"/>
                <w:lang w:val="es-ES_tradnl"/>
              </w:rPr>
              <w:t>la política de compras públicas</w:t>
            </w:r>
            <w:r w:rsidR="00E50097" w:rsidRPr="00390238">
              <w:rPr>
                <w:rFonts w:ascii="Arial" w:hAnsi="Arial" w:cs="Arial"/>
                <w:sz w:val="20"/>
                <w:szCs w:val="20"/>
                <w:lang w:val="es-ES_tradnl"/>
              </w:rPr>
              <w:t>, incluyendo como requisito para poder contratar con el mecanismo de los Núcleos Ejecutores de Compras (NEC) a las MYPE que acrediten que contribuyen con la formalización laboral, y extendiendo la lista de posibles compradores a las entidades públicas del Gobierno Nacional y de los Gobiernos Regionales.</w:t>
            </w:r>
          </w:p>
          <w:p w14:paraId="15A88EFD" w14:textId="77777777" w:rsidR="001C2617" w:rsidRPr="00390238" w:rsidRDefault="001C2617" w:rsidP="00607326">
            <w:pPr>
              <w:spacing w:before="60" w:after="60"/>
              <w:ind w:left="-4"/>
              <w:jc w:val="both"/>
              <w:rPr>
                <w:rFonts w:ascii="Arial" w:hAnsi="Arial" w:cs="Arial"/>
                <w:sz w:val="20"/>
                <w:szCs w:val="20"/>
                <w:lang w:val="es-ES_tradnl"/>
              </w:rPr>
            </w:pPr>
            <w:r w:rsidRPr="00390238">
              <w:rPr>
                <w:rFonts w:ascii="Arial" w:hAnsi="Arial" w:cs="Arial"/>
                <w:sz w:val="20"/>
                <w:szCs w:val="20"/>
                <w:lang w:val="es-ES_tradnl"/>
              </w:rPr>
              <w:t xml:space="preserve"> </w:t>
            </w:r>
          </w:p>
          <w:p w14:paraId="7E822A77" w14:textId="767D6026" w:rsidR="001C2617" w:rsidRDefault="001C2617" w:rsidP="00607326">
            <w:pPr>
              <w:spacing w:before="60" w:after="60"/>
              <w:ind w:left="-4"/>
              <w:jc w:val="both"/>
              <w:rPr>
                <w:rFonts w:ascii="Arial" w:hAnsi="Arial" w:cs="Arial"/>
                <w:sz w:val="20"/>
                <w:szCs w:val="20"/>
                <w:lang w:val="es-ES_tradnl"/>
              </w:rPr>
            </w:pPr>
            <w:r w:rsidRPr="00390238">
              <w:rPr>
                <w:rFonts w:ascii="Arial" w:hAnsi="Arial" w:cs="Arial"/>
                <w:sz w:val="20"/>
                <w:szCs w:val="20"/>
                <w:lang w:val="es-ES_tradnl"/>
              </w:rPr>
              <w:t xml:space="preserve">4.3.2 Que </w:t>
            </w:r>
            <w:r w:rsidR="00634EF0">
              <w:rPr>
                <w:rFonts w:ascii="Arial" w:hAnsi="Arial" w:cs="Arial"/>
                <w:sz w:val="20"/>
                <w:szCs w:val="20"/>
                <w:lang w:val="es-ES_tradnl"/>
              </w:rPr>
              <w:t>se</w:t>
            </w:r>
            <w:r w:rsidR="00634EF0" w:rsidRPr="00390238">
              <w:rPr>
                <w:rFonts w:ascii="Arial" w:hAnsi="Arial" w:cs="Arial"/>
                <w:sz w:val="20"/>
                <w:szCs w:val="20"/>
                <w:lang w:val="es-ES_tradnl"/>
              </w:rPr>
              <w:t xml:space="preserve"> </w:t>
            </w:r>
            <w:r w:rsidRPr="00390238">
              <w:rPr>
                <w:rFonts w:ascii="Arial" w:hAnsi="Arial" w:cs="Arial"/>
                <w:sz w:val="20"/>
                <w:szCs w:val="20"/>
                <w:lang w:val="es-ES_tradnl"/>
              </w:rPr>
              <w:t xml:space="preserve">haya </w:t>
            </w:r>
            <w:r w:rsidR="00634EF0">
              <w:rPr>
                <w:rFonts w:ascii="Arial" w:hAnsi="Arial" w:cs="Arial"/>
                <w:sz w:val="20"/>
                <w:szCs w:val="20"/>
                <w:lang w:val="es-ES_tradnl"/>
              </w:rPr>
              <w:t>elaborado la normativa para autorizar el uso del modelo de NEC a PRODUCE, la cual considera: (i) la participación directa d</w:t>
            </w:r>
            <w:r w:rsidRPr="00390238">
              <w:rPr>
                <w:rFonts w:ascii="Arial" w:hAnsi="Arial" w:cs="Arial"/>
                <w:sz w:val="20"/>
                <w:szCs w:val="20"/>
                <w:lang w:val="es-ES_tradnl"/>
              </w:rPr>
              <w:t>e</w:t>
            </w:r>
            <w:r w:rsidR="00634EF0">
              <w:rPr>
                <w:rFonts w:ascii="Arial" w:hAnsi="Arial" w:cs="Arial"/>
                <w:sz w:val="20"/>
                <w:szCs w:val="20"/>
                <w:lang w:val="es-ES_tradnl"/>
              </w:rPr>
              <w:t>l</w:t>
            </w:r>
            <w:r w:rsidRPr="00390238">
              <w:rPr>
                <w:rFonts w:ascii="Arial" w:hAnsi="Arial" w:cs="Arial"/>
                <w:sz w:val="20"/>
                <w:szCs w:val="20"/>
                <w:lang w:val="es-ES_tradnl"/>
              </w:rPr>
              <w:t xml:space="preserve"> INACAL</w:t>
            </w:r>
            <w:r w:rsidR="00634EF0">
              <w:rPr>
                <w:rFonts w:ascii="Arial" w:hAnsi="Arial" w:cs="Arial"/>
                <w:sz w:val="20"/>
                <w:szCs w:val="20"/>
                <w:lang w:val="es-ES_tradnl"/>
              </w:rPr>
              <w:t>, (ii)</w:t>
            </w:r>
            <w:r w:rsidR="00D6428F">
              <w:rPr>
                <w:rFonts w:ascii="Arial" w:hAnsi="Arial" w:cs="Arial"/>
                <w:sz w:val="20"/>
                <w:szCs w:val="20"/>
                <w:lang w:val="es-ES_tradnl"/>
              </w:rPr>
              <w:t> </w:t>
            </w:r>
            <w:r w:rsidR="00634EF0">
              <w:rPr>
                <w:rFonts w:ascii="Arial" w:hAnsi="Arial" w:cs="Arial"/>
                <w:sz w:val="20"/>
                <w:szCs w:val="20"/>
                <w:lang w:val="es-ES_tradnl"/>
              </w:rPr>
              <w:t>el desarrollo productivo de las MYPE, y (iii)</w:t>
            </w:r>
            <w:r w:rsidR="00D6428F">
              <w:rPr>
                <w:rFonts w:ascii="Arial" w:hAnsi="Arial" w:cs="Arial"/>
                <w:sz w:val="20"/>
                <w:szCs w:val="20"/>
                <w:lang w:val="es-ES_tradnl"/>
              </w:rPr>
              <w:t> </w:t>
            </w:r>
            <w:r w:rsidR="00634EF0">
              <w:rPr>
                <w:rFonts w:ascii="Arial" w:hAnsi="Arial" w:cs="Arial"/>
                <w:sz w:val="20"/>
                <w:szCs w:val="20"/>
                <w:lang w:val="es-ES_tradnl"/>
              </w:rPr>
              <w:t>programación de la demanda</w:t>
            </w:r>
            <w:r w:rsidR="00D96D77">
              <w:rPr>
                <w:rFonts w:ascii="Arial" w:hAnsi="Arial" w:cs="Arial"/>
                <w:sz w:val="20"/>
                <w:szCs w:val="20"/>
                <w:lang w:val="es-ES_tradnl"/>
              </w:rPr>
              <w:t xml:space="preserve"> de las entidades compradoras</w:t>
            </w:r>
            <w:r w:rsidRPr="00390238">
              <w:rPr>
                <w:rFonts w:ascii="Arial" w:hAnsi="Arial" w:cs="Arial"/>
                <w:sz w:val="20"/>
                <w:szCs w:val="20"/>
                <w:lang w:val="es-ES_tradnl"/>
              </w:rPr>
              <w:t>.</w:t>
            </w:r>
          </w:p>
          <w:p w14:paraId="62A41E06" w14:textId="77777777" w:rsidR="001C2617" w:rsidRPr="00390238" w:rsidRDefault="001C2617" w:rsidP="006021BF">
            <w:pPr>
              <w:ind w:left="-4"/>
              <w:jc w:val="both"/>
              <w:rPr>
                <w:rFonts w:ascii="Arial" w:hAnsi="Arial" w:cs="Arial"/>
                <w:sz w:val="20"/>
                <w:szCs w:val="20"/>
                <w:lang w:val="es-ES_tradnl"/>
              </w:rPr>
            </w:pPr>
          </w:p>
        </w:tc>
        <w:tc>
          <w:tcPr>
            <w:tcW w:w="3150" w:type="dxa"/>
            <w:shd w:val="clear" w:color="auto" w:fill="auto"/>
          </w:tcPr>
          <w:p w14:paraId="7D002C46" w14:textId="40E47410" w:rsidR="001C2617" w:rsidRPr="008B633D" w:rsidRDefault="001C2617" w:rsidP="005766AD">
            <w:pPr>
              <w:spacing w:before="60" w:after="60"/>
              <w:ind w:left="-4"/>
              <w:jc w:val="both"/>
              <w:rPr>
                <w:rFonts w:ascii="Arial" w:eastAsia="Times New Roman" w:hAnsi="Arial" w:cs="Arial"/>
                <w:bCs/>
                <w:kern w:val="36"/>
                <w:sz w:val="20"/>
                <w:szCs w:val="20"/>
                <w:lang w:val="es-ES_tradnl"/>
              </w:rPr>
            </w:pPr>
            <w:r w:rsidRPr="008B633D">
              <w:rPr>
                <w:rFonts w:ascii="Arial" w:eastAsia="Times New Roman" w:hAnsi="Arial" w:cs="Arial"/>
                <w:bCs/>
                <w:kern w:val="36"/>
                <w:sz w:val="20"/>
                <w:szCs w:val="20"/>
                <w:lang w:val="es-ES_tradnl"/>
              </w:rPr>
              <w:t>4.3</w:t>
            </w:r>
            <w:r>
              <w:rPr>
                <w:rFonts w:ascii="Arial" w:eastAsia="Times New Roman" w:hAnsi="Arial" w:cs="Arial"/>
                <w:bCs/>
                <w:kern w:val="36"/>
                <w:sz w:val="20"/>
                <w:szCs w:val="20"/>
                <w:lang w:val="es-ES_tradnl"/>
              </w:rPr>
              <w:t>.</w:t>
            </w:r>
            <w:r w:rsidR="00AE2EA9">
              <w:rPr>
                <w:rFonts w:ascii="Arial" w:eastAsia="Times New Roman" w:hAnsi="Arial" w:cs="Arial"/>
                <w:bCs/>
                <w:kern w:val="36"/>
                <w:sz w:val="20"/>
                <w:szCs w:val="20"/>
                <w:lang w:val="es-ES_tradnl"/>
              </w:rPr>
              <w:t>1</w:t>
            </w:r>
            <w:r w:rsidR="00D6428F">
              <w:rPr>
                <w:rFonts w:ascii="Arial" w:eastAsia="Times New Roman" w:hAnsi="Arial" w:cs="Arial"/>
                <w:bCs/>
                <w:kern w:val="36"/>
                <w:sz w:val="20"/>
                <w:szCs w:val="20"/>
                <w:lang w:val="es-ES_tradnl"/>
              </w:rPr>
              <w:t> </w:t>
            </w:r>
            <w:r w:rsidRPr="000E4B0B">
              <w:rPr>
                <w:rFonts w:ascii="Arial" w:eastAsia="Times New Roman" w:hAnsi="Arial" w:cs="Arial"/>
                <w:bCs/>
                <w:kern w:val="36"/>
                <w:sz w:val="20"/>
                <w:szCs w:val="20"/>
                <w:lang w:val="es-ES_tradnl"/>
              </w:rPr>
              <w:t>Ley</w:t>
            </w:r>
            <w:r w:rsidR="00D6428F">
              <w:rPr>
                <w:rFonts w:ascii="Arial" w:eastAsia="Times New Roman" w:hAnsi="Arial" w:cs="Arial"/>
                <w:bCs/>
                <w:kern w:val="36"/>
                <w:sz w:val="20"/>
                <w:szCs w:val="20"/>
                <w:lang w:val="es-ES_tradnl"/>
              </w:rPr>
              <w:t> </w:t>
            </w:r>
            <w:r w:rsidRPr="000E4B0B">
              <w:rPr>
                <w:rFonts w:ascii="Arial" w:eastAsia="Times New Roman" w:hAnsi="Arial" w:cs="Arial"/>
                <w:bCs/>
                <w:kern w:val="36"/>
                <w:sz w:val="20"/>
                <w:szCs w:val="20"/>
                <w:lang w:val="es-ES_tradnl"/>
              </w:rPr>
              <w:t>Nº</w:t>
            </w:r>
            <w:r w:rsidR="00761E8D">
              <w:rPr>
                <w:rFonts w:ascii="Arial" w:eastAsia="Times New Roman" w:hAnsi="Arial" w:cs="Arial"/>
                <w:bCs/>
                <w:kern w:val="36"/>
                <w:sz w:val="20"/>
                <w:szCs w:val="20"/>
                <w:lang w:val="es-ES_tradnl"/>
              </w:rPr>
              <w:t> </w:t>
            </w:r>
            <w:r w:rsidRPr="000E4B0B">
              <w:rPr>
                <w:rFonts w:ascii="Arial" w:eastAsia="Times New Roman" w:hAnsi="Arial" w:cs="Arial"/>
                <w:bCs/>
                <w:kern w:val="36"/>
                <w:sz w:val="20"/>
                <w:szCs w:val="20"/>
                <w:lang w:val="es-ES_tradnl"/>
              </w:rPr>
              <w:t>30818</w:t>
            </w:r>
            <w:r w:rsidR="00513F0B">
              <w:rPr>
                <w:rFonts w:ascii="Arial" w:eastAsia="Times New Roman" w:hAnsi="Arial" w:cs="Arial"/>
                <w:bCs/>
                <w:kern w:val="36"/>
                <w:sz w:val="20"/>
                <w:szCs w:val="20"/>
                <w:lang w:val="es-ES_tradnl"/>
              </w:rPr>
              <w:t>, Ley</w:t>
            </w:r>
            <w:r w:rsidR="00761E8D">
              <w:rPr>
                <w:rFonts w:ascii="Arial" w:eastAsia="Times New Roman" w:hAnsi="Arial" w:cs="Arial"/>
                <w:bCs/>
                <w:kern w:val="36"/>
                <w:sz w:val="20"/>
                <w:szCs w:val="20"/>
                <w:lang w:val="es-ES_tradnl"/>
              </w:rPr>
              <w:t> </w:t>
            </w:r>
            <w:r w:rsidR="00513F0B">
              <w:rPr>
                <w:rFonts w:ascii="Arial" w:eastAsia="Times New Roman" w:hAnsi="Arial" w:cs="Arial"/>
                <w:bCs/>
                <w:kern w:val="36"/>
                <w:sz w:val="20"/>
                <w:szCs w:val="20"/>
                <w:lang w:val="es-ES_tradnl"/>
              </w:rPr>
              <w:t>de</w:t>
            </w:r>
            <w:r w:rsidR="00761E8D">
              <w:rPr>
                <w:rFonts w:ascii="Arial" w:eastAsia="Times New Roman" w:hAnsi="Arial" w:cs="Arial"/>
                <w:bCs/>
                <w:kern w:val="36"/>
                <w:sz w:val="20"/>
                <w:szCs w:val="20"/>
                <w:lang w:val="es-ES_tradnl"/>
              </w:rPr>
              <w:t> </w:t>
            </w:r>
            <w:r w:rsidR="00513F0B">
              <w:rPr>
                <w:rFonts w:ascii="Arial" w:eastAsia="Times New Roman" w:hAnsi="Arial" w:cs="Arial"/>
                <w:bCs/>
                <w:kern w:val="36"/>
                <w:sz w:val="20"/>
                <w:szCs w:val="20"/>
                <w:lang w:val="es-ES_tradnl"/>
              </w:rPr>
              <w:t>Fortalecimiento del Sistema de Inspección del Trabajo, publicada el 9</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de</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julio</w:t>
            </w:r>
            <w:r w:rsidR="00761E8D">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de 20</w:t>
            </w:r>
            <w:r w:rsidR="00513F0B">
              <w:rPr>
                <w:rFonts w:ascii="Arial" w:eastAsia="Times New Roman" w:hAnsi="Arial" w:cs="Arial"/>
                <w:bCs/>
                <w:kern w:val="36"/>
                <w:sz w:val="20"/>
                <w:szCs w:val="20"/>
                <w:lang w:val="es-ES_tradnl"/>
              </w:rPr>
              <w:t>18.</w:t>
            </w:r>
          </w:p>
          <w:p w14:paraId="0AAF6481" w14:textId="77777777" w:rsidR="001C2617" w:rsidRPr="00390238" w:rsidRDefault="001C2617" w:rsidP="00607326">
            <w:pPr>
              <w:spacing w:before="60" w:after="60"/>
              <w:ind w:left="-4"/>
              <w:jc w:val="both"/>
              <w:rPr>
                <w:rFonts w:ascii="Arial" w:hAnsi="Arial" w:cs="Arial"/>
                <w:sz w:val="20"/>
                <w:szCs w:val="20"/>
                <w:lang w:val="es-ES_tradnl"/>
              </w:rPr>
            </w:pPr>
          </w:p>
          <w:p w14:paraId="05AF7212" w14:textId="65A8F92B" w:rsidR="001C2617" w:rsidRDefault="001C2617" w:rsidP="00607326">
            <w:pPr>
              <w:spacing w:before="60" w:after="60"/>
              <w:ind w:left="-4"/>
              <w:jc w:val="both"/>
              <w:rPr>
                <w:rFonts w:ascii="Arial" w:hAnsi="Arial" w:cs="Arial"/>
                <w:sz w:val="20"/>
                <w:szCs w:val="20"/>
                <w:lang w:val="es-ES_tradnl"/>
              </w:rPr>
            </w:pPr>
          </w:p>
          <w:p w14:paraId="1E6BC230" w14:textId="27055D91" w:rsidR="008D1CBB" w:rsidRDefault="008D1CBB" w:rsidP="00607326">
            <w:pPr>
              <w:spacing w:before="60" w:after="60"/>
              <w:ind w:left="-4"/>
              <w:jc w:val="both"/>
              <w:rPr>
                <w:rFonts w:ascii="Arial" w:hAnsi="Arial" w:cs="Arial"/>
                <w:sz w:val="20"/>
                <w:szCs w:val="20"/>
                <w:lang w:val="es-ES_tradnl"/>
              </w:rPr>
            </w:pPr>
          </w:p>
          <w:p w14:paraId="13E34B03" w14:textId="11C16292" w:rsidR="008D1CBB" w:rsidRDefault="008D1CBB" w:rsidP="00607326">
            <w:pPr>
              <w:spacing w:before="60" w:after="60"/>
              <w:ind w:left="-4"/>
              <w:jc w:val="both"/>
              <w:rPr>
                <w:rFonts w:ascii="Arial" w:hAnsi="Arial" w:cs="Arial"/>
                <w:sz w:val="20"/>
                <w:szCs w:val="20"/>
                <w:lang w:val="es-ES_tradnl"/>
              </w:rPr>
            </w:pPr>
          </w:p>
          <w:p w14:paraId="3339ABBC" w14:textId="3BD708DC" w:rsidR="001C2617" w:rsidRPr="00390238" w:rsidRDefault="001C2617" w:rsidP="006021BF">
            <w:pPr>
              <w:ind w:left="-4"/>
              <w:jc w:val="both"/>
              <w:rPr>
                <w:rFonts w:ascii="Arial" w:hAnsi="Arial" w:cs="Arial"/>
                <w:sz w:val="20"/>
                <w:szCs w:val="20"/>
                <w:lang w:val="es-ES_tradnl"/>
              </w:rPr>
            </w:pPr>
            <w:r w:rsidRPr="008B633D">
              <w:rPr>
                <w:rFonts w:ascii="Arial" w:eastAsia="Times New Roman" w:hAnsi="Arial" w:cs="Arial"/>
                <w:bCs/>
                <w:kern w:val="36"/>
                <w:sz w:val="20"/>
                <w:szCs w:val="20"/>
                <w:lang w:val="es-ES_tradnl"/>
              </w:rPr>
              <w:t>4.3.2 Decreto Legislativo</w:t>
            </w:r>
            <w:r w:rsidR="005A25D2">
              <w:rPr>
                <w:rFonts w:ascii="Arial" w:eastAsia="Times New Roman" w:hAnsi="Arial" w:cs="Arial"/>
                <w:bCs/>
                <w:kern w:val="36"/>
                <w:sz w:val="20"/>
                <w:szCs w:val="20"/>
                <w:lang w:val="es-ES_tradnl"/>
              </w:rPr>
              <w:t xml:space="preserve"> N°</w:t>
            </w:r>
            <w:r w:rsidR="00761E8D">
              <w:rPr>
                <w:rFonts w:ascii="Arial" w:eastAsia="Times New Roman" w:hAnsi="Arial" w:cs="Arial"/>
                <w:bCs/>
                <w:kern w:val="36"/>
                <w:sz w:val="20"/>
                <w:szCs w:val="20"/>
                <w:lang w:val="es-ES_tradnl"/>
              </w:rPr>
              <w:t> </w:t>
            </w:r>
            <w:r w:rsidR="005A25D2">
              <w:rPr>
                <w:rFonts w:ascii="Arial" w:eastAsia="Times New Roman" w:hAnsi="Arial" w:cs="Arial"/>
                <w:bCs/>
                <w:kern w:val="36"/>
                <w:sz w:val="20"/>
                <w:szCs w:val="20"/>
                <w:lang w:val="es-ES_tradnl"/>
              </w:rPr>
              <w:t>1414, que autoriza al Ministerio de la Producción a conformar Núcleos Ejecutores de Compras para promover y facilitar el acceso de las micro y pequeñas empresas a las compras públicas</w:t>
            </w:r>
            <w:r w:rsidRPr="008B633D">
              <w:rPr>
                <w:rFonts w:ascii="Arial" w:eastAsia="Times New Roman" w:hAnsi="Arial" w:cs="Arial"/>
                <w:bCs/>
                <w:kern w:val="36"/>
                <w:sz w:val="20"/>
                <w:szCs w:val="20"/>
                <w:lang w:val="es-ES_tradnl"/>
              </w:rPr>
              <w:t>.</w:t>
            </w:r>
          </w:p>
        </w:tc>
        <w:tc>
          <w:tcPr>
            <w:tcW w:w="1800" w:type="dxa"/>
          </w:tcPr>
          <w:p w14:paraId="467E206A" w14:textId="6666E0D8" w:rsidR="001C2617" w:rsidRDefault="002F57F0" w:rsidP="006021BF">
            <w:pPr>
              <w:ind w:left="-4"/>
              <w:jc w:val="both"/>
              <w:rPr>
                <w:rFonts w:ascii="Arial" w:hAnsi="Arial" w:cs="Arial"/>
                <w:sz w:val="20"/>
                <w:szCs w:val="20"/>
                <w:lang w:val="es-ES_tradnl"/>
              </w:rPr>
            </w:pPr>
            <w:r w:rsidRPr="00726417">
              <w:rPr>
                <w:rFonts w:ascii="Arial" w:hAnsi="Arial"/>
                <w:b/>
                <w:sz w:val="20"/>
                <w:lang w:val="es-ES_tradnl"/>
              </w:rPr>
              <w:t>Cumplido</w:t>
            </w:r>
          </w:p>
          <w:p w14:paraId="11137D3F" w14:textId="77777777" w:rsidR="0071111A" w:rsidRDefault="0071111A" w:rsidP="006021BF">
            <w:pPr>
              <w:ind w:left="-4"/>
              <w:jc w:val="both"/>
              <w:rPr>
                <w:rFonts w:ascii="Arial" w:hAnsi="Arial" w:cs="Arial"/>
                <w:sz w:val="20"/>
                <w:szCs w:val="20"/>
                <w:lang w:val="es-ES_tradnl"/>
              </w:rPr>
            </w:pPr>
          </w:p>
          <w:p w14:paraId="33B890A9" w14:textId="77777777" w:rsidR="0071111A" w:rsidRDefault="0071111A" w:rsidP="006021BF">
            <w:pPr>
              <w:ind w:left="-4"/>
              <w:jc w:val="both"/>
              <w:rPr>
                <w:rFonts w:ascii="Arial" w:hAnsi="Arial" w:cs="Arial"/>
                <w:sz w:val="20"/>
                <w:szCs w:val="20"/>
                <w:lang w:val="es-ES_tradnl"/>
              </w:rPr>
            </w:pPr>
          </w:p>
          <w:p w14:paraId="4A9274C4" w14:textId="77777777" w:rsidR="0071111A" w:rsidRDefault="0071111A" w:rsidP="006021BF">
            <w:pPr>
              <w:ind w:left="-4"/>
              <w:jc w:val="both"/>
              <w:rPr>
                <w:rFonts w:ascii="Arial" w:hAnsi="Arial" w:cs="Arial"/>
                <w:sz w:val="20"/>
                <w:szCs w:val="20"/>
                <w:lang w:val="es-ES_tradnl"/>
              </w:rPr>
            </w:pPr>
          </w:p>
          <w:p w14:paraId="6F966714" w14:textId="77777777" w:rsidR="0071111A" w:rsidRDefault="0071111A" w:rsidP="006021BF">
            <w:pPr>
              <w:ind w:left="-4"/>
              <w:jc w:val="both"/>
              <w:rPr>
                <w:rFonts w:ascii="Arial" w:hAnsi="Arial" w:cs="Arial"/>
                <w:sz w:val="20"/>
                <w:szCs w:val="20"/>
                <w:lang w:val="es-ES_tradnl"/>
              </w:rPr>
            </w:pPr>
          </w:p>
          <w:p w14:paraId="0F7192E5" w14:textId="77777777" w:rsidR="00C51A09" w:rsidRDefault="00C51A09" w:rsidP="006021BF">
            <w:pPr>
              <w:ind w:left="-4"/>
              <w:jc w:val="both"/>
              <w:rPr>
                <w:rFonts w:ascii="Arial" w:hAnsi="Arial" w:cs="Arial"/>
                <w:sz w:val="20"/>
                <w:szCs w:val="20"/>
                <w:lang w:val="es-ES_tradnl"/>
              </w:rPr>
            </w:pPr>
          </w:p>
          <w:p w14:paraId="131D1DA8" w14:textId="06E1DCAB" w:rsidR="00C51A09" w:rsidRDefault="00C51A09" w:rsidP="006021BF">
            <w:pPr>
              <w:ind w:left="-4"/>
              <w:jc w:val="both"/>
              <w:rPr>
                <w:rFonts w:ascii="Arial" w:hAnsi="Arial" w:cs="Arial"/>
                <w:sz w:val="20"/>
                <w:szCs w:val="20"/>
                <w:lang w:val="es-ES_tradnl"/>
              </w:rPr>
            </w:pPr>
          </w:p>
          <w:p w14:paraId="21DB4A50" w14:textId="77777777" w:rsidR="00D6428F" w:rsidRDefault="00D6428F" w:rsidP="006021BF">
            <w:pPr>
              <w:ind w:left="-4"/>
              <w:jc w:val="both"/>
              <w:rPr>
                <w:rFonts w:ascii="Arial" w:hAnsi="Arial" w:cs="Arial"/>
                <w:sz w:val="20"/>
                <w:szCs w:val="20"/>
                <w:lang w:val="es-ES_tradnl"/>
              </w:rPr>
            </w:pPr>
          </w:p>
          <w:p w14:paraId="5FC3973B" w14:textId="73D2685D" w:rsidR="0013252F" w:rsidRDefault="0013252F" w:rsidP="006021BF">
            <w:pPr>
              <w:ind w:left="-4"/>
              <w:jc w:val="both"/>
              <w:rPr>
                <w:rFonts w:ascii="Arial" w:hAnsi="Arial" w:cs="Arial"/>
                <w:sz w:val="20"/>
                <w:szCs w:val="20"/>
                <w:lang w:val="es-ES_tradnl"/>
              </w:rPr>
            </w:pPr>
          </w:p>
          <w:p w14:paraId="77FD6F56" w14:textId="77777777" w:rsidR="0071111A" w:rsidRDefault="0071111A" w:rsidP="00FE5DE8">
            <w:pPr>
              <w:ind w:left="-4"/>
              <w:jc w:val="both"/>
              <w:rPr>
                <w:rFonts w:ascii="Arial" w:hAnsi="Arial" w:cs="Arial"/>
                <w:sz w:val="20"/>
                <w:szCs w:val="20"/>
                <w:lang w:val="es-ES_tradnl"/>
              </w:rPr>
            </w:pPr>
            <w:r w:rsidRPr="00726417">
              <w:rPr>
                <w:rFonts w:ascii="Arial" w:hAnsi="Arial"/>
                <w:b/>
                <w:sz w:val="20"/>
                <w:lang w:val="es-ES_tradnl"/>
              </w:rPr>
              <w:t>Cumplido</w:t>
            </w:r>
          </w:p>
          <w:p w14:paraId="50A526DC" w14:textId="7EF03C43" w:rsidR="0071111A" w:rsidRPr="006021BF" w:rsidRDefault="0071111A" w:rsidP="006021BF">
            <w:pPr>
              <w:spacing w:after="60"/>
              <w:ind w:left="-4"/>
              <w:jc w:val="both"/>
              <w:rPr>
                <w:rFonts w:ascii="Arial" w:hAnsi="Arial"/>
                <w:b/>
                <w:sz w:val="20"/>
                <w:lang w:val="es-ES_tradnl"/>
              </w:rPr>
            </w:pPr>
          </w:p>
        </w:tc>
        <w:tc>
          <w:tcPr>
            <w:tcW w:w="1620" w:type="dxa"/>
          </w:tcPr>
          <w:p w14:paraId="60994CFE" w14:textId="77777777" w:rsidR="001C2617" w:rsidRDefault="001C2617" w:rsidP="006021BF">
            <w:pPr>
              <w:ind w:left="-4"/>
              <w:jc w:val="both"/>
              <w:rPr>
                <w:rFonts w:ascii="Arial" w:hAnsi="Arial" w:cs="Arial"/>
                <w:sz w:val="20"/>
                <w:szCs w:val="20"/>
                <w:lang w:val="es-ES_tradnl"/>
              </w:rPr>
            </w:pPr>
            <w:r>
              <w:rPr>
                <w:rFonts w:ascii="Arial" w:hAnsi="Arial" w:cs="Arial"/>
                <w:sz w:val="20"/>
                <w:szCs w:val="20"/>
                <w:lang w:val="es-ES_tradnl"/>
              </w:rPr>
              <w:t>PRODUCE</w:t>
            </w:r>
          </w:p>
          <w:p w14:paraId="742B9BB0" w14:textId="77777777" w:rsidR="001C2617" w:rsidRDefault="001C2617" w:rsidP="006021BF">
            <w:pPr>
              <w:ind w:left="-4"/>
              <w:jc w:val="both"/>
              <w:rPr>
                <w:rFonts w:ascii="Arial" w:hAnsi="Arial" w:cs="Arial"/>
                <w:sz w:val="20"/>
                <w:szCs w:val="20"/>
                <w:lang w:val="es-ES_tradnl"/>
              </w:rPr>
            </w:pPr>
          </w:p>
          <w:p w14:paraId="4800B2F6" w14:textId="77777777" w:rsidR="001C2617" w:rsidRDefault="001C2617" w:rsidP="006021BF">
            <w:pPr>
              <w:ind w:left="-4"/>
              <w:jc w:val="both"/>
              <w:rPr>
                <w:rFonts w:ascii="Arial" w:hAnsi="Arial" w:cs="Arial"/>
                <w:sz w:val="20"/>
                <w:szCs w:val="20"/>
                <w:lang w:val="es-ES_tradnl"/>
              </w:rPr>
            </w:pPr>
          </w:p>
          <w:p w14:paraId="5DDE634D" w14:textId="77777777" w:rsidR="001C2617" w:rsidRDefault="001C2617" w:rsidP="006021BF">
            <w:pPr>
              <w:ind w:left="-4"/>
              <w:jc w:val="both"/>
              <w:rPr>
                <w:rFonts w:ascii="Arial" w:hAnsi="Arial" w:cs="Arial"/>
                <w:sz w:val="20"/>
                <w:szCs w:val="20"/>
                <w:lang w:val="es-ES_tradnl"/>
              </w:rPr>
            </w:pPr>
          </w:p>
          <w:p w14:paraId="37947C4E" w14:textId="6D8D9124" w:rsidR="001C2617" w:rsidRDefault="001C2617" w:rsidP="006021BF">
            <w:pPr>
              <w:ind w:left="-4"/>
              <w:jc w:val="both"/>
              <w:rPr>
                <w:rFonts w:ascii="Arial" w:hAnsi="Arial" w:cs="Arial"/>
                <w:sz w:val="20"/>
                <w:szCs w:val="20"/>
                <w:lang w:val="es-ES_tradnl"/>
              </w:rPr>
            </w:pPr>
          </w:p>
          <w:p w14:paraId="6B0602B1" w14:textId="60A240CD" w:rsidR="0013252F" w:rsidRDefault="0013252F" w:rsidP="006021BF">
            <w:pPr>
              <w:ind w:left="-4"/>
              <w:jc w:val="both"/>
              <w:rPr>
                <w:rFonts w:ascii="Arial" w:hAnsi="Arial" w:cs="Arial"/>
                <w:sz w:val="20"/>
                <w:szCs w:val="20"/>
                <w:lang w:val="es-ES_tradnl"/>
              </w:rPr>
            </w:pPr>
          </w:p>
          <w:p w14:paraId="4B9CE618" w14:textId="793F9A1B" w:rsidR="0013252F" w:rsidRDefault="0013252F" w:rsidP="006021BF">
            <w:pPr>
              <w:ind w:left="-4"/>
              <w:jc w:val="both"/>
              <w:rPr>
                <w:rFonts w:ascii="Arial" w:hAnsi="Arial" w:cs="Arial"/>
                <w:sz w:val="20"/>
                <w:szCs w:val="20"/>
                <w:lang w:val="es-ES_tradnl"/>
              </w:rPr>
            </w:pPr>
          </w:p>
          <w:p w14:paraId="1808062E" w14:textId="77777777" w:rsidR="00D6428F" w:rsidRDefault="00D6428F" w:rsidP="006021BF">
            <w:pPr>
              <w:ind w:left="-4"/>
              <w:jc w:val="both"/>
              <w:rPr>
                <w:rFonts w:ascii="Arial" w:hAnsi="Arial" w:cs="Arial"/>
                <w:sz w:val="20"/>
                <w:szCs w:val="20"/>
                <w:lang w:val="es-ES_tradnl"/>
              </w:rPr>
            </w:pPr>
          </w:p>
          <w:p w14:paraId="2D87F0D3" w14:textId="532E8CB1" w:rsidR="0013252F" w:rsidRDefault="0013252F" w:rsidP="006021BF">
            <w:pPr>
              <w:ind w:left="-4"/>
              <w:jc w:val="both"/>
              <w:rPr>
                <w:rFonts w:ascii="Arial" w:hAnsi="Arial" w:cs="Arial"/>
                <w:sz w:val="20"/>
                <w:szCs w:val="20"/>
                <w:lang w:val="es-ES_tradnl"/>
              </w:rPr>
            </w:pPr>
          </w:p>
          <w:p w14:paraId="5671956D" w14:textId="77777777" w:rsidR="001C2617" w:rsidRDefault="001C2617" w:rsidP="00FE5DE8">
            <w:pPr>
              <w:ind w:left="-4"/>
              <w:jc w:val="both"/>
              <w:rPr>
                <w:rFonts w:ascii="Arial" w:hAnsi="Arial" w:cs="Arial"/>
                <w:sz w:val="20"/>
                <w:szCs w:val="20"/>
                <w:lang w:val="es-ES_tradnl"/>
              </w:rPr>
            </w:pPr>
            <w:r>
              <w:rPr>
                <w:rFonts w:ascii="Arial" w:hAnsi="Arial" w:cs="Arial"/>
                <w:sz w:val="20"/>
                <w:szCs w:val="20"/>
                <w:lang w:val="es-ES_tradnl"/>
              </w:rPr>
              <w:t>PRODUCE</w:t>
            </w:r>
          </w:p>
          <w:p w14:paraId="5E7E4F50" w14:textId="77777777" w:rsidR="001C2617" w:rsidRDefault="001C2617" w:rsidP="00607326">
            <w:pPr>
              <w:spacing w:before="60" w:after="60"/>
              <w:ind w:left="-4"/>
              <w:jc w:val="both"/>
              <w:rPr>
                <w:rFonts w:ascii="Arial" w:hAnsi="Arial" w:cs="Arial"/>
                <w:sz w:val="20"/>
                <w:szCs w:val="20"/>
                <w:lang w:val="es-ES_tradnl"/>
              </w:rPr>
            </w:pPr>
          </w:p>
          <w:p w14:paraId="2EB58C4D" w14:textId="77777777" w:rsidR="001C2617" w:rsidRDefault="001C2617" w:rsidP="00607326">
            <w:pPr>
              <w:spacing w:before="60" w:after="60"/>
              <w:ind w:left="-4"/>
              <w:jc w:val="both"/>
              <w:rPr>
                <w:rFonts w:ascii="Arial" w:hAnsi="Arial" w:cs="Arial"/>
                <w:sz w:val="20"/>
                <w:szCs w:val="20"/>
                <w:lang w:val="es-ES_tradnl"/>
              </w:rPr>
            </w:pPr>
          </w:p>
          <w:p w14:paraId="05D43075" w14:textId="77777777" w:rsidR="001C2617" w:rsidRDefault="001C2617" w:rsidP="00607326">
            <w:pPr>
              <w:spacing w:before="60" w:after="60"/>
              <w:ind w:left="-4"/>
              <w:jc w:val="both"/>
              <w:rPr>
                <w:rFonts w:ascii="Arial" w:hAnsi="Arial" w:cs="Arial"/>
                <w:sz w:val="20"/>
                <w:szCs w:val="20"/>
                <w:lang w:val="es-ES_tradnl"/>
              </w:rPr>
            </w:pPr>
          </w:p>
          <w:p w14:paraId="38539ABF" w14:textId="77777777" w:rsidR="001C2617" w:rsidRPr="00390238" w:rsidRDefault="001C2617" w:rsidP="00607326">
            <w:pPr>
              <w:spacing w:before="60" w:after="60"/>
              <w:ind w:left="-4"/>
              <w:jc w:val="both"/>
              <w:rPr>
                <w:rFonts w:ascii="Arial" w:hAnsi="Arial" w:cs="Arial"/>
                <w:sz w:val="20"/>
                <w:szCs w:val="20"/>
                <w:lang w:val="es-ES_tradnl"/>
              </w:rPr>
            </w:pPr>
          </w:p>
        </w:tc>
      </w:tr>
      <w:bookmarkEnd w:id="3"/>
      <w:tr w:rsidR="006021BF" w:rsidRPr="00390238" w14:paraId="6A638501" w14:textId="77777777" w:rsidTr="003260CD">
        <w:tc>
          <w:tcPr>
            <w:tcW w:w="14211" w:type="dxa"/>
            <w:gridSpan w:val="5"/>
            <w:shd w:val="clear" w:color="auto" w:fill="auto"/>
          </w:tcPr>
          <w:p w14:paraId="326867D1" w14:textId="77777777" w:rsidR="006021BF" w:rsidRPr="006021BF" w:rsidRDefault="006021BF" w:rsidP="006021BF">
            <w:pPr>
              <w:spacing w:before="120" w:after="120"/>
              <w:ind w:left="-4"/>
              <w:jc w:val="both"/>
              <w:rPr>
                <w:rFonts w:ascii="Arial" w:hAnsi="Arial"/>
                <w:sz w:val="20"/>
                <w:lang w:val="es-ES_tradnl"/>
              </w:rPr>
            </w:pPr>
            <w:r w:rsidRPr="006021BF">
              <w:rPr>
                <w:rFonts w:ascii="Arial" w:hAnsi="Arial"/>
                <w:b/>
                <w:sz w:val="20"/>
                <w:lang w:val="es-ES_tradnl"/>
              </w:rPr>
              <w:t xml:space="preserve">Componente V – Mejorar las políticas tributarias y la capacidad para fiscalizarlas </w:t>
            </w:r>
          </w:p>
        </w:tc>
      </w:tr>
      <w:tr w:rsidR="00D86DB8" w:rsidRPr="00390238" w14:paraId="02ED6173" w14:textId="77777777" w:rsidTr="00992CCD">
        <w:tc>
          <w:tcPr>
            <w:tcW w:w="2691" w:type="dxa"/>
            <w:shd w:val="clear" w:color="auto" w:fill="auto"/>
          </w:tcPr>
          <w:p w14:paraId="620FDA53" w14:textId="77777777" w:rsidR="001C2617" w:rsidRPr="006021BF" w:rsidRDefault="001C2617" w:rsidP="006021BF">
            <w:pPr>
              <w:spacing w:after="120"/>
              <w:jc w:val="both"/>
              <w:rPr>
                <w:rFonts w:ascii="Arial" w:hAnsi="Arial"/>
                <w:sz w:val="20"/>
                <w:lang w:val="es-ES_tradnl"/>
              </w:rPr>
            </w:pPr>
            <w:bookmarkStart w:id="4" w:name="_Hlk519237739"/>
            <w:r w:rsidRPr="00390238">
              <w:rPr>
                <w:rFonts w:ascii="Arial" w:hAnsi="Arial" w:cs="Arial"/>
                <w:sz w:val="20"/>
                <w:szCs w:val="20"/>
                <w:lang w:val="es-ES_tradnl"/>
              </w:rPr>
              <w:t>5.1 Simplificar el régimen tributario</w:t>
            </w:r>
          </w:p>
        </w:tc>
        <w:tc>
          <w:tcPr>
            <w:tcW w:w="4950" w:type="dxa"/>
            <w:shd w:val="clear" w:color="auto" w:fill="auto"/>
          </w:tcPr>
          <w:p w14:paraId="15378955" w14:textId="49790E96" w:rsidR="00405DC4" w:rsidRPr="00390238" w:rsidRDefault="00405DC4" w:rsidP="00D86DB8">
            <w:pPr>
              <w:ind w:left="-4"/>
              <w:jc w:val="both"/>
              <w:rPr>
                <w:rFonts w:ascii="Arial" w:hAnsi="Arial" w:cs="Arial"/>
                <w:sz w:val="20"/>
                <w:szCs w:val="20"/>
                <w:lang w:val="es-ES_tradnl"/>
              </w:rPr>
            </w:pPr>
            <w:r w:rsidRPr="00C91D2D">
              <w:rPr>
                <w:rFonts w:ascii="Arial" w:hAnsi="Arial" w:cs="Arial"/>
                <w:sz w:val="20"/>
                <w:szCs w:val="20"/>
                <w:lang w:val="es-ES_tradnl"/>
              </w:rPr>
              <w:t xml:space="preserve">5.1.1 </w:t>
            </w:r>
            <w:r w:rsidR="007C1515" w:rsidRPr="006C52FD">
              <w:rPr>
                <w:rFonts w:ascii="Arial" w:hAnsi="Arial" w:cs="Arial"/>
                <w:sz w:val="20"/>
                <w:szCs w:val="20"/>
                <w:lang w:val="es-ES_tradnl"/>
              </w:rPr>
              <w:t xml:space="preserve">Que se haya simplificado el Nuevo Régimen Único Simplificado (Nuevo RUS) orientado a </w:t>
            </w:r>
            <w:r w:rsidR="007C1515" w:rsidRPr="00931D34">
              <w:rPr>
                <w:rFonts w:ascii="Arial" w:hAnsi="Arial" w:cs="Arial"/>
                <w:sz w:val="20"/>
                <w:szCs w:val="20"/>
                <w:lang w:val="es-ES_tradnl"/>
              </w:rPr>
              <w:t>micronegocios</w:t>
            </w:r>
            <w:r w:rsidR="007C1515" w:rsidRPr="006C52FD">
              <w:rPr>
                <w:rFonts w:ascii="Arial" w:hAnsi="Arial" w:cs="Arial"/>
                <w:sz w:val="20"/>
                <w:szCs w:val="20"/>
                <w:lang w:val="es-ES_tradnl"/>
              </w:rPr>
              <w:t>. Esta simplificación consistirá en: (i)</w:t>
            </w:r>
            <w:r w:rsidR="00D6428F">
              <w:rPr>
                <w:rFonts w:ascii="Arial" w:hAnsi="Arial" w:cs="Arial"/>
                <w:sz w:val="20"/>
                <w:szCs w:val="20"/>
                <w:lang w:val="es-ES_tradnl"/>
              </w:rPr>
              <w:t> </w:t>
            </w:r>
            <w:r w:rsidR="007C1515" w:rsidRPr="006C52FD">
              <w:rPr>
                <w:rFonts w:ascii="Arial" w:hAnsi="Arial" w:cs="Arial"/>
                <w:sz w:val="20"/>
                <w:szCs w:val="20"/>
                <w:lang w:val="es-ES_tradnl"/>
              </w:rPr>
              <w:t>reducir de 5 a 2 el número de categorías regulares de este régimen; y (</w:t>
            </w:r>
            <w:r w:rsidR="00BF5C20" w:rsidRPr="00DD0FAA">
              <w:rPr>
                <w:rFonts w:ascii="Arial" w:hAnsi="Arial" w:cs="Arial"/>
                <w:sz w:val="20"/>
                <w:szCs w:val="20"/>
                <w:lang w:val="es-ES_tradnl"/>
              </w:rPr>
              <w:t>ii) </w:t>
            </w:r>
            <w:r w:rsidR="007C1515" w:rsidRPr="006C52FD">
              <w:rPr>
                <w:rFonts w:ascii="Arial" w:hAnsi="Arial" w:cs="Arial"/>
                <w:sz w:val="20"/>
                <w:szCs w:val="20"/>
                <w:lang w:val="es-ES_tradnl"/>
              </w:rPr>
              <w:t xml:space="preserve">reducir de </w:t>
            </w:r>
            <w:r w:rsidR="004E77BF">
              <w:rPr>
                <w:rFonts w:ascii="Arial" w:hAnsi="Arial" w:cs="Arial"/>
                <w:sz w:val="20"/>
                <w:szCs w:val="20"/>
                <w:lang w:val="es-ES_tradnl"/>
              </w:rPr>
              <w:t xml:space="preserve">S/ </w:t>
            </w:r>
            <w:r w:rsidR="007C1515" w:rsidRPr="006C52FD">
              <w:rPr>
                <w:rFonts w:ascii="Arial" w:hAnsi="Arial" w:cs="Arial"/>
                <w:sz w:val="20"/>
                <w:szCs w:val="20"/>
                <w:lang w:val="es-ES_tradnl"/>
              </w:rPr>
              <w:t xml:space="preserve">30,000 a </w:t>
            </w:r>
            <w:r w:rsidR="004E77BF">
              <w:rPr>
                <w:rFonts w:ascii="Arial" w:hAnsi="Arial" w:cs="Arial"/>
                <w:sz w:val="20"/>
                <w:szCs w:val="20"/>
                <w:lang w:val="es-ES_tradnl"/>
              </w:rPr>
              <w:t xml:space="preserve">S/ </w:t>
            </w:r>
            <w:r w:rsidR="007C1515" w:rsidRPr="006C52FD">
              <w:rPr>
                <w:rFonts w:ascii="Arial" w:hAnsi="Arial" w:cs="Arial"/>
                <w:sz w:val="20"/>
                <w:szCs w:val="20"/>
                <w:lang w:val="es-ES_tradnl"/>
              </w:rPr>
              <w:t>8,000 el monto máximo de ventas mensuales para ser elegible a este régimen.</w:t>
            </w:r>
          </w:p>
        </w:tc>
        <w:tc>
          <w:tcPr>
            <w:tcW w:w="3150" w:type="dxa"/>
            <w:shd w:val="clear" w:color="auto" w:fill="auto"/>
          </w:tcPr>
          <w:p w14:paraId="1A670DD8" w14:textId="38A07B58" w:rsidR="001C2617" w:rsidRPr="006021BF" w:rsidRDefault="001C2617" w:rsidP="006021BF">
            <w:pPr>
              <w:jc w:val="both"/>
              <w:rPr>
                <w:rFonts w:ascii="Arial" w:hAnsi="Arial"/>
                <w:sz w:val="20"/>
                <w:lang w:val="es-ES_tradnl"/>
              </w:rPr>
            </w:pPr>
            <w:r w:rsidRPr="00B629BC">
              <w:rPr>
                <w:rFonts w:ascii="Arial" w:eastAsia="Times New Roman" w:hAnsi="Arial" w:cs="Arial"/>
                <w:bCs/>
                <w:kern w:val="36"/>
                <w:sz w:val="20"/>
                <w:szCs w:val="20"/>
                <w:lang w:val="es-ES_tradnl"/>
              </w:rPr>
              <w:t xml:space="preserve">5.1 </w:t>
            </w:r>
            <w:r w:rsidR="007C1515" w:rsidRPr="003873E8">
              <w:rPr>
                <w:rFonts w:ascii="Arial" w:hAnsi="Arial" w:cs="Arial"/>
                <w:sz w:val="20"/>
                <w:szCs w:val="20"/>
                <w:lang w:val="es-ES_tradnl"/>
              </w:rPr>
              <w:t>Decreto</w:t>
            </w:r>
            <w:r w:rsidR="00761E8D">
              <w:rPr>
                <w:rFonts w:ascii="Arial" w:hAnsi="Arial" w:cs="Arial"/>
                <w:sz w:val="20"/>
                <w:szCs w:val="20"/>
                <w:lang w:val="es-ES_tradnl"/>
              </w:rPr>
              <w:t> </w:t>
            </w:r>
            <w:r w:rsidR="007C1515" w:rsidRPr="003873E8">
              <w:rPr>
                <w:rFonts w:ascii="Arial" w:hAnsi="Arial" w:cs="Arial"/>
                <w:sz w:val="20"/>
                <w:szCs w:val="20"/>
                <w:lang w:val="es-ES_tradnl"/>
              </w:rPr>
              <w:t xml:space="preserve"> </w:t>
            </w:r>
            <w:r w:rsidR="00761E8D">
              <w:rPr>
                <w:rFonts w:ascii="Arial" w:hAnsi="Arial" w:cs="Arial"/>
                <w:sz w:val="20"/>
                <w:szCs w:val="20"/>
                <w:lang w:val="es-ES_tradnl"/>
              </w:rPr>
              <w:t>L</w:t>
            </w:r>
            <w:r w:rsidR="007C1515" w:rsidRPr="003873E8">
              <w:rPr>
                <w:rFonts w:ascii="Arial" w:hAnsi="Arial" w:cs="Arial"/>
                <w:sz w:val="20"/>
                <w:szCs w:val="20"/>
                <w:lang w:val="es-ES_tradnl"/>
              </w:rPr>
              <w:t>egislativo</w:t>
            </w:r>
            <w:r w:rsidR="008D1CBB">
              <w:rPr>
                <w:rFonts w:ascii="Arial" w:hAnsi="Arial" w:cs="Arial"/>
                <w:sz w:val="20"/>
                <w:szCs w:val="20"/>
                <w:lang w:val="es-ES_tradnl"/>
              </w:rPr>
              <w:t> </w:t>
            </w:r>
            <w:r w:rsidR="000E0446">
              <w:rPr>
                <w:rFonts w:ascii="Arial" w:hAnsi="Arial" w:cs="Arial"/>
                <w:sz w:val="20"/>
                <w:szCs w:val="20"/>
                <w:lang w:val="es-ES_tradnl"/>
              </w:rPr>
              <w:t>N°</w:t>
            </w:r>
            <w:r w:rsidR="00761E8D">
              <w:rPr>
                <w:rFonts w:ascii="Arial" w:hAnsi="Arial" w:cs="Arial"/>
                <w:sz w:val="20"/>
                <w:szCs w:val="20"/>
                <w:lang w:val="es-ES_tradnl"/>
              </w:rPr>
              <w:t> </w:t>
            </w:r>
            <w:r w:rsidR="007C1515" w:rsidRPr="003873E8">
              <w:rPr>
                <w:rFonts w:ascii="Arial" w:hAnsi="Arial" w:cs="Arial"/>
                <w:sz w:val="20"/>
                <w:szCs w:val="20"/>
                <w:lang w:val="es-ES_tradnl"/>
              </w:rPr>
              <w:t>1270</w:t>
            </w:r>
            <w:r w:rsidR="00743624">
              <w:rPr>
                <w:rFonts w:ascii="Arial" w:hAnsi="Arial" w:cs="Arial"/>
                <w:sz w:val="20"/>
                <w:szCs w:val="20"/>
                <w:lang w:val="es-ES_tradnl"/>
              </w:rPr>
              <w:t>, publicado el 20</w:t>
            </w:r>
            <w:r w:rsidR="000A3961">
              <w:rPr>
                <w:rFonts w:ascii="Arial" w:hAnsi="Arial" w:cs="Arial"/>
                <w:sz w:val="20"/>
                <w:szCs w:val="20"/>
                <w:lang w:val="es-ES_tradnl"/>
              </w:rPr>
              <w:t> de diciembre</w:t>
            </w:r>
            <w:r w:rsidR="00761E8D">
              <w:rPr>
                <w:rFonts w:ascii="Arial" w:hAnsi="Arial" w:cs="Arial"/>
                <w:sz w:val="20"/>
                <w:szCs w:val="20"/>
                <w:lang w:val="es-ES_tradnl"/>
              </w:rPr>
              <w:t> </w:t>
            </w:r>
            <w:r w:rsidR="000A3961">
              <w:rPr>
                <w:rFonts w:ascii="Arial" w:hAnsi="Arial" w:cs="Arial"/>
                <w:sz w:val="20"/>
                <w:szCs w:val="20"/>
                <w:lang w:val="es-ES_tradnl"/>
              </w:rPr>
              <w:t>de</w:t>
            </w:r>
            <w:r w:rsidR="00D6428F">
              <w:rPr>
                <w:rFonts w:ascii="Arial" w:hAnsi="Arial" w:cs="Arial"/>
                <w:sz w:val="20"/>
                <w:szCs w:val="20"/>
                <w:lang w:val="es-ES_tradnl"/>
              </w:rPr>
              <w:t> </w:t>
            </w:r>
            <w:r w:rsidR="000A3961">
              <w:rPr>
                <w:rFonts w:ascii="Arial" w:hAnsi="Arial" w:cs="Arial"/>
                <w:sz w:val="20"/>
                <w:szCs w:val="20"/>
                <w:lang w:val="es-ES_tradnl"/>
              </w:rPr>
              <w:t>2016</w:t>
            </w:r>
            <w:r w:rsidR="00743624">
              <w:rPr>
                <w:rFonts w:ascii="Arial" w:hAnsi="Arial" w:cs="Arial"/>
                <w:sz w:val="20"/>
                <w:szCs w:val="20"/>
                <w:lang w:val="es-ES_tradnl"/>
              </w:rPr>
              <w:t xml:space="preserve">, que modifica el Texto del nuevo Régimen </w:t>
            </w:r>
            <w:r w:rsidR="00BF5C20" w:rsidRPr="00DD0FAA">
              <w:rPr>
                <w:rFonts w:ascii="Arial" w:hAnsi="Arial" w:cs="Arial"/>
                <w:sz w:val="20"/>
                <w:szCs w:val="20"/>
                <w:lang w:val="es-ES_tradnl"/>
              </w:rPr>
              <w:t>Único</w:t>
            </w:r>
            <w:r w:rsidR="00743624">
              <w:rPr>
                <w:rFonts w:ascii="Arial" w:hAnsi="Arial" w:cs="Arial"/>
                <w:sz w:val="20"/>
                <w:szCs w:val="20"/>
                <w:lang w:val="es-ES_tradnl"/>
              </w:rPr>
              <w:t xml:space="preserve"> Simplificado y Código Tributario.</w:t>
            </w:r>
            <w:r w:rsidR="008D1CBB">
              <w:rPr>
                <w:rFonts w:ascii="Arial" w:hAnsi="Arial" w:cs="Arial"/>
                <w:sz w:val="20"/>
                <w:szCs w:val="20"/>
                <w:lang w:val="es-ES_tradnl"/>
              </w:rPr>
              <w:t xml:space="preserve"> </w:t>
            </w:r>
            <w:r w:rsidR="007C1515" w:rsidRPr="003873E8">
              <w:rPr>
                <w:rFonts w:ascii="Arial" w:hAnsi="Arial" w:cs="Arial"/>
                <w:sz w:val="20"/>
                <w:szCs w:val="20"/>
                <w:lang w:val="es-ES_tradnl"/>
              </w:rPr>
              <w:t>Decreto Supremo</w:t>
            </w:r>
            <w:r w:rsidR="008D1CBB">
              <w:rPr>
                <w:rFonts w:ascii="Arial" w:hAnsi="Arial" w:cs="Arial"/>
                <w:sz w:val="20"/>
                <w:szCs w:val="20"/>
                <w:lang w:val="es-ES_tradnl"/>
              </w:rPr>
              <w:t> </w:t>
            </w:r>
            <w:r w:rsidR="00DC3AE0">
              <w:rPr>
                <w:rFonts w:ascii="Arial" w:hAnsi="Arial" w:cs="Arial"/>
                <w:sz w:val="20"/>
                <w:szCs w:val="20"/>
                <w:lang w:val="es-ES_tradnl"/>
              </w:rPr>
              <w:t>N°</w:t>
            </w:r>
            <w:r w:rsidR="00F909CF">
              <w:rPr>
                <w:rFonts w:ascii="Arial" w:hAnsi="Arial" w:cs="Arial"/>
                <w:sz w:val="20"/>
                <w:szCs w:val="20"/>
                <w:lang w:val="es-ES_tradnl"/>
              </w:rPr>
              <w:t> </w:t>
            </w:r>
            <w:r w:rsidR="007C1515" w:rsidRPr="003873E8">
              <w:rPr>
                <w:rFonts w:ascii="Arial" w:hAnsi="Arial" w:cs="Arial"/>
                <w:sz w:val="20"/>
                <w:szCs w:val="20"/>
                <w:lang w:val="es-ES_tradnl"/>
              </w:rPr>
              <w:t>402</w:t>
            </w:r>
            <w:r w:rsidR="00F909CF">
              <w:rPr>
                <w:rFonts w:ascii="Arial" w:hAnsi="Arial" w:cs="Arial"/>
                <w:sz w:val="20"/>
                <w:szCs w:val="20"/>
                <w:lang w:val="es-ES_tradnl"/>
              </w:rPr>
              <w:noBreakHyphen/>
            </w:r>
            <w:r w:rsidR="007C1515" w:rsidRPr="003873E8">
              <w:rPr>
                <w:rFonts w:ascii="Arial" w:hAnsi="Arial" w:cs="Arial"/>
                <w:sz w:val="20"/>
                <w:szCs w:val="20"/>
                <w:lang w:val="es-ES_tradnl"/>
              </w:rPr>
              <w:t>2016</w:t>
            </w:r>
            <w:r w:rsidR="00D6428F">
              <w:rPr>
                <w:rFonts w:ascii="Arial" w:hAnsi="Arial" w:cs="Arial"/>
                <w:sz w:val="20"/>
                <w:szCs w:val="20"/>
                <w:lang w:val="es-ES_tradnl"/>
              </w:rPr>
              <w:noBreakHyphen/>
            </w:r>
            <w:r w:rsidR="007C1515" w:rsidRPr="003873E8">
              <w:rPr>
                <w:rFonts w:ascii="Arial" w:hAnsi="Arial" w:cs="Arial"/>
                <w:sz w:val="20"/>
                <w:szCs w:val="20"/>
                <w:lang w:val="es-ES_tradnl"/>
              </w:rPr>
              <w:t>E</w:t>
            </w:r>
            <w:r w:rsidR="00743624">
              <w:rPr>
                <w:rFonts w:ascii="Arial" w:hAnsi="Arial" w:cs="Arial"/>
                <w:sz w:val="20"/>
                <w:szCs w:val="20"/>
                <w:lang w:val="es-ES_tradnl"/>
              </w:rPr>
              <w:t>F, publicado el 31</w:t>
            </w:r>
            <w:r w:rsidR="00F909CF">
              <w:rPr>
                <w:rFonts w:ascii="Arial" w:hAnsi="Arial" w:cs="Arial"/>
                <w:sz w:val="20"/>
                <w:szCs w:val="20"/>
                <w:lang w:val="es-ES_tradnl"/>
              </w:rPr>
              <w:t> </w:t>
            </w:r>
            <w:r w:rsidR="000A3961">
              <w:rPr>
                <w:rFonts w:ascii="Arial" w:hAnsi="Arial" w:cs="Arial"/>
                <w:sz w:val="20"/>
                <w:szCs w:val="20"/>
                <w:lang w:val="es-ES_tradnl"/>
              </w:rPr>
              <w:t>de</w:t>
            </w:r>
            <w:r w:rsidR="00F909CF">
              <w:rPr>
                <w:rFonts w:ascii="Arial" w:hAnsi="Arial" w:cs="Arial"/>
                <w:sz w:val="20"/>
                <w:szCs w:val="20"/>
                <w:lang w:val="es-ES_tradnl"/>
              </w:rPr>
              <w:t> </w:t>
            </w:r>
            <w:r w:rsidR="000A3961">
              <w:rPr>
                <w:rFonts w:ascii="Arial" w:hAnsi="Arial" w:cs="Arial"/>
                <w:sz w:val="20"/>
                <w:szCs w:val="20"/>
                <w:lang w:val="es-ES_tradnl"/>
              </w:rPr>
              <w:t>diciembre de</w:t>
            </w:r>
            <w:r w:rsidR="00D6428F">
              <w:rPr>
                <w:rFonts w:ascii="Arial" w:hAnsi="Arial" w:cs="Arial"/>
                <w:sz w:val="20"/>
                <w:szCs w:val="20"/>
                <w:lang w:val="es-ES_tradnl"/>
              </w:rPr>
              <w:t> </w:t>
            </w:r>
            <w:r w:rsidR="000A3961">
              <w:rPr>
                <w:rFonts w:ascii="Arial" w:hAnsi="Arial" w:cs="Arial"/>
                <w:sz w:val="20"/>
                <w:szCs w:val="20"/>
                <w:lang w:val="es-ES_tradnl"/>
              </w:rPr>
              <w:t>20</w:t>
            </w:r>
            <w:r w:rsidR="00743624">
              <w:rPr>
                <w:rFonts w:ascii="Arial" w:hAnsi="Arial" w:cs="Arial"/>
                <w:sz w:val="20"/>
                <w:szCs w:val="20"/>
                <w:lang w:val="es-ES_tradnl"/>
              </w:rPr>
              <w:t>16, que modifica las normas reglamentarias del nuevo Régimen Único Simplificado</w:t>
            </w:r>
            <w:r w:rsidR="007C1515" w:rsidRPr="003873E8">
              <w:rPr>
                <w:rFonts w:ascii="Arial" w:hAnsi="Arial" w:cs="Arial"/>
                <w:sz w:val="20"/>
                <w:szCs w:val="20"/>
                <w:lang w:val="es-ES_tradnl"/>
              </w:rPr>
              <w:t>.  </w:t>
            </w:r>
          </w:p>
        </w:tc>
        <w:tc>
          <w:tcPr>
            <w:tcW w:w="1800" w:type="dxa"/>
          </w:tcPr>
          <w:p w14:paraId="7E8ADBA6" w14:textId="77777777" w:rsidR="001C2617" w:rsidRDefault="007C1515" w:rsidP="008D1CBB">
            <w:pPr>
              <w:spacing w:after="60"/>
              <w:ind w:left="-4"/>
              <w:jc w:val="both"/>
              <w:rPr>
                <w:rFonts w:ascii="Arial" w:hAnsi="Arial" w:cs="Arial"/>
                <w:sz w:val="20"/>
                <w:szCs w:val="20"/>
                <w:lang w:val="es-ES_tradnl"/>
              </w:rPr>
            </w:pPr>
            <w:r w:rsidRPr="00726417">
              <w:rPr>
                <w:rFonts w:ascii="Arial" w:hAnsi="Arial"/>
                <w:b/>
                <w:sz w:val="20"/>
                <w:lang w:val="es-ES_tradnl"/>
              </w:rPr>
              <w:t>Cumplido</w:t>
            </w:r>
          </w:p>
          <w:p w14:paraId="5DBF3101" w14:textId="7F017796" w:rsidR="0071111A" w:rsidRDefault="0071111A" w:rsidP="00607326">
            <w:pPr>
              <w:spacing w:before="60" w:after="60"/>
              <w:ind w:left="-4"/>
              <w:jc w:val="both"/>
              <w:rPr>
                <w:rFonts w:ascii="Arial" w:hAnsi="Arial" w:cs="Arial"/>
                <w:sz w:val="20"/>
                <w:szCs w:val="20"/>
                <w:lang w:val="es-ES_tradnl"/>
              </w:rPr>
            </w:pPr>
          </w:p>
          <w:p w14:paraId="0AC7EEB3" w14:textId="77777777" w:rsidR="00CF7355" w:rsidRDefault="00CF7355" w:rsidP="00607326">
            <w:pPr>
              <w:spacing w:before="60" w:after="60"/>
              <w:ind w:left="-4"/>
              <w:jc w:val="both"/>
              <w:rPr>
                <w:rFonts w:ascii="Arial" w:hAnsi="Arial" w:cs="Arial"/>
                <w:sz w:val="20"/>
                <w:szCs w:val="20"/>
                <w:lang w:val="es-ES_tradnl"/>
              </w:rPr>
            </w:pPr>
          </w:p>
          <w:p w14:paraId="331CFBC1" w14:textId="77777777" w:rsidR="00CF7355" w:rsidRDefault="00CF7355" w:rsidP="00607326">
            <w:pPr>
              <w:spacing w:before="60" w:after="60"/>
              <w:ind w:left="-4"/>
              <w:jc w:val="both"/>
              <w:rPr>
                <w:rFonts w:ascii="Arial" w:hAnsi="Arial" w:cs="Arial"/>
                <w:sz w:val="20"/>
                <w:szCs w:val="20"/>
                <w:lang w:val="es-ES_tradnl"/>
              </w:rPr>
            </w:pPr>
          </w:p>
          <w:p w14:paraId="79F2F3D3" w14:textId="77777777" w:rsidR="00CF7355" w:rsidRDefault="00CF7355" w:rsidP="00607326">
            <w:pPr>
              <w:spacing w:before="60" w:after="60"/>
              <w:ind w:left="-4"/>
              <w:jc w:val="both"/>
              <w:rPr>
                <w:rFonts w:ascii="Arial" w:hAnsi="Arial" w:cs="Arial"/>
                <w:sz w:val="20"/>
                <w:szCs w:val="20"/>
                <w:lang w:val="es-ES_tradnl"/>
              </w:rPr>
            </w:pPr>
          </w:p>
          <w:p w14:paraId="30197ABF" w14:textId="2C80F4F9" w:rsidR="00CF7355" w:rsidRPr="00726417" w:rsidRDefault="00CF7355" w:rsidP="006021BF">
            <w:pPr>
              <w:spacing w:before="60" w:after="60"/>
              <w:ind w:left="-4"/>
              <w:jc w:val="both"/>
              <w:rPr>
                <w:rFonts w:ascii="Arial" w:hAnsi="Arial"/>
                <w:b/>
                <w:sz w:val="20"/>
                <w:lang w:val="es-ES_tradnl"/>
              </w:rPr>
            </w:pPr>
          </w:p>
        </w:tc>
        <w:tc>
          <w:tcPr>
            <w:tcW w:w="1620" w:type="dxa"/>
          </w:tcPr>
          <w:p w14:paraId="3A62FF6A" w14:textId="77777777" w:rsidR="001C2617" w:rsidRPr="00390238" w:rsidRDefault="00A92A85" w:rsidP="008D1CBB">
            <w:pPr>
              <w:ind w:left="-4"/>
              <w:jc w:val="both"/>
              <w:rPr>
                <w:rFonts w:ascii="Arial" w:hAnsi="Arial" w:cs="Arial"/>
                <w:sz w:val="20"/>
                <w:szCs w:val="20"/>
                <w:lang w:val="es-ES_tradnl"/>
              </w:rPr>
            </w:pPr>
            <w:r>
              <w:rPr>
                <w:rFonts w:ascii="Arial" w:hAnsi="Arial" w:cs="Arial"/>
                <w:sz w:val="20"/>
                <w:szCs w:val="20"/>
                <w:lang w:val="es-ES_tradnl"/>
              </w:rPr>
              <w:t>SUNAT</w:t>
            </w:r>
          </w:p>
        </w:tc>
      </w:tr>
      <w:tr w:rsidR="006021BF" w:rsidRPr="00390238" w14:paraId="43EAF46E" w14:textId="77777777" w:rsidTr="00992CCD">
        <w:tc>
          <w:tcPr>
            <w:tcW w:w="2691" w:type="dxa"/>
            <w:shd w:val="clear" w:color="auto" w:fill="auto"/>
          </w:tcPr>
          <w:p w14:paraId="67C02761" w14:textId="6F20019B" w:rsidR="001C2617" w:rsidRPr="006021BF" w:rsidRDefault="001C2617" w:rsidP="006021BF">
            <w:pPr>
              <w:spacing w:after="120"/>
              <w:jc w:val="both"/>
              <w:rPr>
                <w:rFonts w:ascii="Arial" w:hAnsi="Arial"/>
                <w:sz w:val="20"/>
                <w:lang w:val="es-ES_tradnl"/>
              </w:rPr>
            </w:pPr>
            <w:bookmarkStart w:id="5" w:name="_Hlk519237783"/>
            <w:bookmarkEnd w:id="4"/>
            <w:r w:rsidRPr="006021BF">
              <w:rPr>
                <w:rFonts w:ascii="Arial" w:hAnsi="Arial"/>
                <w:sz w:val="20"/>
                <w:lang w:val="es-ES_tradnl"/>
              </w:rPr>
              <w:t xml:space="preserve">5.2 Mejorar la capacidad de fiscalización y recaudación de la </w:t>
            </w:r>
            <w:r w:rsidRPr="00390238">
              <w:rPr>
                <w:rFonts w:ascii="Arial" w:hAnsi="Arial" w:cs="Arial"/>
                <w:sz w:val="20"/>
                <w:szCs w:val="20"/>
                <w:lang w:val="es-ES_tradnl"/>
              </w:rPr>
              <w:t>SUNAT</w:t>
            </w:r>
          </w:p>
        </w:tc>
        <w:tc>
          <w:tcPr>
            <w:tcW w:w="4950" w:type="dxa"/>
            <w:shd w:val="clear" w:color="auto" w:fill="auto"/>
          </w:tcPr>
          <w:p w14:paraId="51B3B3B1" w14:textId="77777777" w:rsidR="001C2617" w:rsidRPr="00390238" w:rsidRDefault="001C2617" w:rsidP="006021BF">
            <w:pPr>
              <w:ind w:left="-4"/>
              <w:jc w:val="both"/>
              <w:rPr>
                <w:rFonts w:ascii="Arial" w:hAnsi="Arial" w:cs="Arial"/>
                <w:sz w:val="20"/>
                <w:szCs w:val="20"/>
                <w:lang w:val="es-ES_tradnl"/>
              </w:rPr>
            </w:pPr>
            <w:r w:rsidRPr="00390238">
              <w:rPr>
                <w:rFonts w:ascii="Arial" w:hAnsi="Arial" w:cs="Arial"/>
                <w:sz w:val="20"/>
                <w:szCs w:val="20"/>
                <w:lang w:val="es-ES_tradnl"/>
              </w:rPr>
              <w:t>5.2.1 Que se haya</w:t>
            </w:r>
            <w:r w:rsidR="00D71F80">
              <w:rPr>
                <w:rFonts w:ascii="Arial" w:hAnsi="Arial" w:cs="Arial"/>
                <w:sz w:val="20"/>
                <w:szCs w:val="20"/>
                <w:lang w:val="es-ES_tradnl"/>
              </w:rPr>
              <w:t xml:space="preserve"> </w:t>
            </w:r>
            <w:r w:rsidR="00716640">
              <w:rPr>
                <w:rFonts w:ascii="Arial" w:hAnsi="Arial" w:cs="Arial"/>
                <w:sz w:val="20"/>
                <w:szCs w:val="20"/>
                <w:lang w:val="es-ES_tradnl"/>
              </w:rPr>
              <w:t>modificado el marco normativo a fin de que se</w:t>
            </w:r>
            <w:r w:rsidRPr="00390238">
              <w:rPr>
                <w:rFonts w:ascii="Arial" w:hAnsi="Arial" w:cs="Arial"/>
                <w:sz w:val="20"/>
                <w:szCs w:val="20"/>
                <w:lang w:val="es-ES_tradnl"/>
              </w:rPr>
              <w:t xml:space="preserve"> permita a la SUNAT ejercer las funciones de Entidad de Registro o Verificación, a fin de facilitar a los contribuyentes</w:t>
            </w:r>
            <w:r w:rsidRPr="00390238">
              <w:rPr>
                <w:rStyle w:val="FootnoteReference"/>
                <w:rFonts w:ascii="Arial" w:hAnsi="Arial" w:cs="Arial"/>
                <w:sz w:val="20"/>
                <w:szCs w:val="20"/>
                <w:lang w:val="es-ES_tradnl"/>
              </w:rPr>
              <w:footnoteReference w:id="3"/>
            </w:r>
            <w:r w:rsidRPr="00390238">
              <w:rPr>
                <w:rFonts w:ascii="Arial" w:hAnsi="Arial" w:cs="Arial"/>
                <w:sz w:val="20"/>
                <w:szCs w:val="20"/>
                <w:lang w:val="es-ES_tradnl"/>
              </w:rPr>
              <w:t xml:space="preserve"> la obtención de certificados digitales, requeridos para la emisión de Comprobantes de Pago Electrónicos (CPE).</w:t>
            </w:r>
          </w:p>
          <w:p w14:paraId="76017D04" w14:textId="77777777" w:rsidR="001C2617" w:rsidRDefault="001C2617" w:rsidP="006021BF">
            <w:pPr>
              <w:ind w:left="-4"/>
              <w:jc w:val="both"/>
              <w:rPr>
                <w:rFonts w:ascii="Arial" w:hAnsi="Arial" w:cs="Arial"/>
                <w:sz w:val="20"/>
                <w:szCs w:val="20"/>
                <w:lang w:val="es-ES_tradnl"/>
              </w:rPr>
            </w:pPr>
          </w:p>
          <w:p w14:paraId="61F410FC" w14:textId="77777777" w:rsidR="00A47B01" w:rsidRPr="00390238" w:rsidRDefault="00A47B01" w:rsidP="006021BF">
            <w:pPr>
              <w:ind w:left="-4"/>
              <w:jc w:val="both"/>
              <w:rPr>
                <w:rFonts w:ascii="Arial" w:hAnsi="Arial" w:cs="Arial"/>
                <w:sz w:val="20"/>
                <w:szCs w:val="20"/>
                <w:lang w:val="es-ES_tradnl"/>
              </w:rPr>
            </w:pPr>
          </w:p>
          <w:p w14:paraId="3225FBFD" w14:textId="77777777" w:rsidR="001C2617" w:rsidRPr="00390238" w:rsidRDefault="001C2617" w:rsidP="008D1CBB">
            <w:pPr>
              <w:spacing w:before="120"/>
              <w:ind w:left="-4"/>
              <w:jc w:val="both"/>
              <w:rPr>
                <w:rFonts w:ascii="Arial" w:hAnsi="Arial" w:cs="Arial"/>
                <w:sz w:val="20"/>
                <w:szCs w:val="20"/>
                <w:lang w:val="es-ES_tradnl"/>
              </w:rPr>
            </w:pPr>
            <w:r w:rsidRPr="00390238">
              <w:rPr>
                <w:rFonts w:ascii="Arial" w:hAnsi="Arial" w:cs="Arial"/>
                <w:sz w:val="20"/>
                <w:szCs w:val="20"/>
                <w:lang w:val="es-ES_tradnl"/>
              </w:rPr>
              <w:t xml:space="preserve">5.2.2 Que la SUNAT haya </w:t>
            </w:r>
            <w:r w:rsidR="008A6F95">
              <w:rPr>
                <w:rFonts w:ascii="Arial" w:hAnsi="Arial" w:cs="Arial"/>
                <w:sz w:val="20"/>
                <w:szCs w:val="20"/>
                <w:lang w:val="es-ES_tradnl"/>
              </w:rPr>
              <w:t xml:space="preserve">definido el modelo de </w:t>
            </w:r>
            <w:r w:rsidRPr="00390238">
              <w:rPr>
                <w:rFonts w:ascii="Arial" w:hAnsi="Arial" w:cs="Arial"/>
                <w:sz w:val="20"/>
                <w:szCs w:val="20"/>
                <w:lang w:val="es-ES_tradnl"/>
              </w:rPr>
              <w:t>migración a la nube de los sistemas de emisión de CPE.</w:t>
            </w:r>
          </w:p>
          <w:p w14:paraId="7640E45C" w14:textId="77777777" w:rsidR="001C2617" w:rsidRPr="00390238" w:rsidRDefault="001C2617" w:rsidP="006021BF">
            <w:pPr>
              <w:ind w:left="-4"/>
              <w:jc w:val="both"/>
              <w:rPr>
                <w:rFonts w:ascii="Arial" w:hAnsi="Arial" w:cs="Arial"/>
                <w:sz w:val="20"/>
                <w:szCs w:val="20"/>
                <w:lang w:val="es-ES_tradnl"/>
              </w:rPr>
            </w:pPr>
          </w:p>
          <w:p w14:paraId="4A7B7AC4" w14:textId="19052750" w:rsidR="001C2617" w:rsidRPr="00390238" w:rsidRDefault="001C2617" w:rsidP="006021BF">
            <w:pPr>
              <w:ind w:left="-4"/>
              <w:jc w:val="both"/>
              <w:rPr>
                <w:rFonts w:ascii="Arial" w:hAnsi="Arial" w:cs="Arial"/>
                <w:iCs/>
                <w:sz w:val="20"/>
                <w:szCs w:val="20"/>
                <w:lang w:val="es-ES_tradnl"/>
              </w:rPr>
            </w:pPr>
            <w:r w:rsidRPr="00390238">
              <w:rPr>
                <w:rFonts w:ascii="Arial" w:hAnsi="Arial" w:cs="Arial"/>
                <w:sz w:val="20"/>
                <w:szCs w:val="20"/>
                <w:lang w:val="es-ES_tradnl"/>
              </w:rPr>
              <w:t>5.2.3 Que la SUNAT</w:t>
            </w:r>
            <w:r w:rsidR="00F944B8">
              <w:rPr>
                <w:rFonts w:ascii="Arial" w:hAnsi="Arial" w:cs="Arial"/>
                <w:sz w:val="20"/>
                <w:szCs w:val="20"/>
                <w:lang w:val="es-ES_tradnl"/>
              </w:rPr>
              <w:t xml:space="preserve"> haya implementado </w:t>
            </w:r>
            <w:r w:rsidR="00B10694">
              <w:rPr>
                <w:rFonts w:ascii="Arial" w:hAnsi="Arial" w:cs="Arial"/>
                <w:sz w:val="20"/>
                <w:szCs w:val="20"/>
                <w:lang w:val="es-ES_tradnl"/>
              </w:rPr>
              <w:t>un equipo</w:t>
            </w:r>
            <w:r w:rsidR="00B10694" w:rsidRPr="00390238">
              <w:rPr>
                <w:rFonts w:ascii="Arial" w:hAnsi="Arial" w:cs="Arial"/>
                <w:sz w:val="20"/>
                <w:szCs w:val="20"/>
                <w:lang w:val="es-ES_tradnl"/>
              </w:rPr>
              <w:t xml:space="preserve"> </w:t>
            </w:r>
            <w:r w:rsidR="00B10694">
              <w:rPr>
                <w:rFonts w:ascii="Arial" w:hAnsi="Arial" w:cs="Arial"/>
                <w:sz w:val="20"/>
                <w:szCs w:val="20"/>
                <w:lang w:val="es-ES_tradnl"/>
              </w:rPr>
              <w:t>para</w:t>
            </w:r>
            <w:r w:rsidR="00B10694" w:rsidRPr="00390238" w:rsidDel="00F944B8">
              <w:rPr>
                <w:rFonts w:ascii="Arial" w:hAnsi="Arial" w:cs="Arial"/>
                <w:sz w:val="20"/>
                <w:szCs w:val="20"/>
                <w:lang w:val="es-ES_tradnl"/>
              </w:rPr>
              <w:t xml:space="preserve"> </w:t>
            </w:r>
            <w:r w:rsidRPr="00390238">
              <w:rPr>
                <w:rFonts w:ascii="Arial" w:hAnsi="Arial" w:cs="Arial"/>
                <w:sz w:val="20"/>
                <w:szCs w:val="20"/>
                <w:lang w:val="es-ES_tradnl"/>
              </w:rPr>
              <w:t xml:space="preserve">el uso de ciencia de datos, </w:t>
            </w:r>
            <w:r w:rsidR="00F944B8">
              <w:rPr>
                <w:rFonts w:ascii="Arial" w:hAnsi="Arial" w:cs="Arial"/>
                <w:sz w:val="20"/>
                <w:szCs w:val="20"/>
                <w:lang w:val="es-ES_tradnl"/>
              </w:rPr>
              <w:t xml:space="preserve">y que </w:t>
            </w:r>
            <w:r w:rsidRPr="00390238">
              <w:rPr>
                <w:rFonts w:ascii="Arial" w:hAnsi="Arial" w:cs="Arial"/>
                <w:sz w:val="20"/>
                <w:szCs w:val="20"/>
                <w:lang w:val="es-ES_tradnl"/>
              </w:rPr>
              <w:t xml:space="preserve">haya definido perfiles de riesgo y patrones de cumplimiento para </w:t>
            </w:r>
            <w:r w:rsidRPr="00390238">
              <w:rPr>
                <w:rFonts w:ascii="Arial" w:hAnsi="Arial" w:cs="Arial"/>
                <w:iCs/>
                <w:sz w:val="20"/>
                <w:szCs w:val="20"/>
                <w:lang w:val="es-ES_tradnl"/>
              </w:rPr>
              <w:t xml:space="preserve">segmentos de contribuyentes, que permitan </w:t>
            </w:r>
            <w:r w:rsidR="0077359D">
              <w:rPr>
                <w:rFonts w:ascii="Arial" w:hAnsi="Arial" w:cs="Arial"/>
                <w:iCs/>
                <w:sz w:val="20"/>
                <w:szCs w:val="20"/>
                <w:lang w:val="es-ES_tradnl"/>
              </w:rPr>
              <w:t xml:space="preserve">el diseño de </w:t>
            </w:r>
            <w:r w:rsidR="0080391D">
              <w:rPr>
                <w:rFonts w:ascii="Arial" w:hAnsi="Arial" w:cs="Arial"/>
                <w:iCs/>
                <w:sz w:val="20"/>
                <w:szCs w:val="20"/>
                <w:lang w:val="es-ES_tradnl"/>
              </w:rPr>
              <w:t>tratamientos que busquen mitigar los riesgos de evasión</w:t>
            </w:r>
            <w:r w:rsidRPr="00390238">
              <w:rPr>
                <w:rFonts w:ascii="Arial" w:hAnsi="Arial" w:cs="Arial"/>
                <w:iCs/>
                <w:sz w:val="20"/>
                <w:szCs w:val="20"/>
                <w:lang w:val="es-ES_tradnl"/>
              </w:rPr>
              <w:t>.</w:t>
            </w:r>
          </w:p>
          <w:p w14:paraId="7E219228" w14:textId="287F4E97" w:rsidR="001C2617" w:rsidRDefault="001C2617" w:rsidP="006021BF">
            <w:pPr>
              <w:ind w:left="-4"/>
              <w:jc w:val="both"/>
              <w:rPr>
                <w:rFonts w:ascii="Arial" w:hAnsi="Arial" w:cs="Arial"/>
                <w:sz w:val="20"/>
                <w:szCs w:val="20"/>
                <w:lang w:val="es-ES_tradnl"/>
              </w:rPr>
            </w:pPr>
          </w:p>
          <w:p w14:paraId="36F6B1FA" w14:textId="3116835C" w:rsidR="008D1CBB" w:rsidRDefault="008D1CBB" w:rsidP="006021BF">
            <w:pPr>
              <w:ind w:left="-4"/>
              <w:jc w:val="both"/>
              <w:rPr>
                <w:rFonts w:ascii="Arial" w:hAnsi="Arial" w:cs="Arial"/>
                <w:sz w:val="20"/>
                <w:szCs w:val="20"/>
                <w:lang w:val="es-ES_tradnl"/>
              </w:rPr>
            </w:pPr>
          </w:p>
          <w:p w14:paraId="47BA3B76" w14:textId="4E87EBF1" w:rsidR="008D1CBB" w:rsidRDefault="008D1CBB" w:rsidP="006021BF">
            <w:pPr>
              <w:ind w:left="-4"/>
              <w:jc w:val="both"/>
              <w:rPr>
                <w:rFonts w:ascii="Arial" w:hAnsi="Arial" w:cs="Arial"/>
                <w:sz w:val="20"/>
                <w:szCs w:val="20"/>
                <w:lang w:val="es-ES_tradnl"/>
              </w:rPr>
            </w:pPr>
          </w:p>
          <w:p w14:paraId="4F7360BB" w14:textId="77777777" w:rsidR="008D1CBB" w:rsidRDefault="008D1CBB" w:rsidP="006021BF">
            <w:pPr>
              <w:ind w:left="-4"/>
              <w:jc w:val="both"/>
              <w:rPr>
                <w:rFonts w:ascii="Arial" w:hAnsi="Arial" w:cs="Arial"/>
                <w:sz w:val="20"/>
                <w:szCs w:val="20"/>
                <w:lang w:val="es-ES_tradnl"/>
              </w:rPr>
            </w:pPr>
          </w:p>
          <w:p w14:paraId="58DB2DF3" w14:textId="70E81764" w:rsidR="001C2617" w:rsidRPr="00390238" w:rsidRDefault="001C2617" w:rsidP="008D1CBB">
            <w:pPr>
              <w:jc w:val="both"/>
              <w:rPr>
                <w:rFonts w:ascii="Arial" w:hAnsi="Arial" w:cs="Arial"/>
                <w:sz w:val="20"/>
                <w:szCs w:val="20"/>
                <w:lang w:val="es-ES_tradnl"/>
              </w:rPr>
            </w:pPr>
            <w:r w:rsidRPr="00390238">
              <w:rPr>
                <w:rFonts w:ascii="Arial" w:hAnsi="Arial" w:cs="Arial"/>
                <w:sz w:val="20"/>
                <w:szCs w:val="20"/>
                <w:lang w:val="es-ES_tradnl"/>
              </w:rPr>
              <w:t xml:space="preserve">5.2.4 Que la SUNAT </w:t>
            </w:r>
            <w:r w:rsidR="00590B9B">
              <w:rPr>
                <w:rFonts w:ascii="Arial" w:hAnsi="Arial" w:cs="Arial"/>
                <w:sz w:val="20"/>
                <w:szCs w:val="20"/>
                <w:lang w:val="es-ES_tradnl"/>
              </w:rPr>
              <w:t>cuente con</w:t>
            </w:r>
            <w:r w:rsidRPr="00390238">
              <w:rPr>
                <w:rFonts w:ascii="Arial" w:hAnsi="Arial" w:cs="Arial"/>
                <w:sz w:val="20"/>
                <w:szCs w:val="20"/>
                <w:lang w:val="es-ES_tradnl"/>
              </w:rPr>
              <w:t xml:space="preserve"> un diagnóstico de las brechas en tecnología y seguridad de la información requeridas para el cumplimiento de los estándares y la puesta en marcha del intercambio automático de información, en el marco del Estándar Común de Reporte (CRS) de la OCDE y la Convención sobre As</w:t>
            </w:r>
            <w:bookmarkStart w:id="6" w:name="_GoBack"/>
            <w:bookmarkEnd w:id="6"/>
            <w:r w:rsidRPr="00390238">
              <w:rPr>
                <w:rFonts w:ascii="Arial" w:hAnsi="Arial" w:cs="Arial"/>
                <w:sz w:val="20"/>
                <w:szCs w:val="20"/>
                <w:lang w:val="es-ES_tradnl"/>
              </w:rPr>
              <w:t>istencia Administrativa Mutua en Materia Tributaria (CAAMMT)</w:t>
            </w:r>
            <w:r w:rsidR="00590B9B">
              <w:rPr>
                <w:rFonts w:ascii="Arial" w:hAnsi="Arial" w:cs="Arial"/>
                <w:sz w:val="20"/>
                <w:szCs w:val="20"/>
                <w:lang w:val="es-ES_tradnl"/>
              </w:rPr>
              <w:t xml:space="preserve">, y haya elaborado un </w:t>
            </w:r>
            <w:r w:rsidR="00510E5B">
              <w:rPr>
                <w:rFonts w:ascii="Arial" w:hAnsi="Arial" w:cs="Arial"/>
                <w:sz w:val="20"/>
                <w:szCs w:val="20"/>
                <w:lang w:val="es-ES_tradnl"/>
              </w:rPr>
              <w:t>cronograma</w:t>
            </w:r>
            <w:r w:rsidR="00590B9B">
              <w:rPr>
                <w:rFonts w:ascii="Arial" w:hAnsi="Arial" w:cs="Arial"/>
                <w:sz w:val="20"/>
                <w:szCs w:val="20"/>
                <w:lang w:val="es-ES_tradnl"/>
              </w:rPr>
              <w:t xml:space="preserve"> de trabajo para </w:t>
            </w:r>
            <w:r w:rsidR="009C4D60">
              <w:rPr>
                <w:rFonts w:ascii="Arial" w:hAnsi="Arial" w:cs="Arial"/>
                <w:sz w:val="20"/>
                <w:szCs w:val="20"/>
                <w:lang w:val="es-ES_tradnl"/>
              </w:rPr>
              <w:t>la</w:t>
            </w:r>
            <w:r w:rsidR="00590B9B">
              <w:rPr>
                <w:rFonts w:ascii="Arial" w:hAnsi="Arial" w:cs="Arial"/>
                <w:sz w:val="20"/>
                <w:szCs w:val="20"/>
                <w:lang w:val="es-ES_tradnl"/>
              </w:rPr>
              <w:t xml:space="preserve"> implementación</w:t>
            </w:r>
            <w:r w:rsidR="009C4D60">
              <w:rPr>
                <w:rFonts w:ascii="Arial" w:hAnsi="Arial" w:cs="Arial"/>
                <w:sz w:val="20"/>
                <w:szCs w:val="20"/>
                <w:lang w:val="es-ES_tradnl"/>
              </w:rPr>
              <w:t xml:space="preserve"> </w:t>
            </w:r>
            <w:r w:rsidR="00E3626C">
              <w:rPr>
                <w:rFonts w:ascii="Arial" w:hAnsi="Arial" w:cs="Arial"/>
                <w:sz w:val="20"/>
                <w:szCs w:val="20"/>
                <w:lang w:val="es-ES_tradnl"/>
              </w:rPr>
              <w:t xml:space="preserve">de los controles para </w:t>
            </w:r>
            <w:r w:rsidR="009C4D60">
              <w:rPr>
                <w:rFonts w:ascii="Arial" w:hAnsi="Arial" w:cs="Arial"/>
                <w:sz w:val="20"/>
                <w:szCs w:val="20"/>
                <w:lang w:val="es-ES_tradnl"/>
              </w:rPr>
              <w:t>el cierre de brechas en tecnología y seguridad de la información</w:t>
            </w:r>
            <w:r w:rsidRPr="00390238">
              <w:rPr>
                <w:rFonts w:ascii="Arial" w:hAnsi="Arial" w:cs="Arial"/>
                <w:sz w:val="20"/>
                <w:szCs w:val="20"/>
                <w:lang w:val="es-ES_tradnl"/>
              </w:rPr>
              <w:t>.</w:t>
            </w:r>
          </w:p>
        </w:tc>
        <w:tc>
          <w:tcPr>
            <w:tcW w:w="3150" w:type="dxa"/>
            <w:shd w:val="clear" w:color="auto" w:fill="auto"/>
          </w:tcPr>
          <w:p w14:paraId="723EFD81" w14:textId="00123382" w:rsidR="001C2617" w:rsidRPr="006021BF" w:rsidRDefault="001C2617" w:rsidP="00D6428F">
            <w:pPr>
              <w:spacing w:before="60" w:after="60"/>
              <w:jc w:val="both"/>
              <w:rPr>
                <w:rFonts w:ascii="Arial" w:hAnsi="Arial"/>
                <w:sz w:val="20"/>
                <w:lang w:val="es-ES_tradnl"/>
              </w:rPr>
            </w:pPr>
            <w:r>
              <w:rPr>
                <w:rFonts w:ascii="Arial" w:eastAsia="Times New Roman" w:hAnsi="Arial" w:cs="Arial"/>
                <w:bCs/>
                <w:kern w:val="36"/>
                <w:sz w:val="20"/>
                <w:szCs w:val="20"/>
                <w:lang w:val="es-ES_tradnl"/>
              </w:rPr>
              <w:t xml:space="preserve">5.2.1 </w:t>
            </w:r>
            <w:r w:rsidRPr="006021BF">
              <w:rPr>
                <w:rFonts w:ascii="Arial" w:hAnsi="Arial"/>
                <w:sz w:val="20"/>
                <w:lang w:val="es-ES_tradnl"/>
              </w:rPr>
              <w:t>Decreto Legislativo</w:t>
            </w:r>
            <w:r w:rsidR="00522044">
              <w:rPr>
                <w:rFonts w:ascii="Arial" w:hAnsi="Arial"/>
                <w:sz w:val="20"/>
                <w:lang w:val="es-ES_tradnl"/>
              </w:rPr>
              <w:t xml:space="preserve"> </w:t>
            </w:r>
            <w:r w:rsidRPr="006021BF">
              <w:rPr>
                <w:rFonts w:ascii="Arial" w:hAnsi="Arial"/>
                <w:sz w:val="20"/>
                <w:lang w:val="es-ES_tradnl"/>
              </w:rPr>
              <w:t>Nº</w:t>
            </w:r>
            <w:r w:rsidR="00F909CF">
              <w:rPr>
                <w:rFonts w:ascii="Arial" w:hAnsi="Arial"/>
                <w:sz w:val="20"/>
                <w:lang w:val="es-ES_tradnl"/>
              </w:rPr>
              <w:t> </w:t>
            </w:r>
            <w:r w:rsidRPr="006021BF">
              <w:rPr>
                <w:rFonts w:ascii="Arial" w:hAnsi="Arial"/>
                <w:sz w:val="20"/>
                <w:lang w:val="es-ES_tradnl"/>
              </w:rPr>
              <w:t>1370</w:t>
            </w:r>
            <w:r w:rsidR="00743624">
              <w:rPr>
                <w:rFonts w:ascii="Arial" w:hAnsi="Arial" w:cs="Arial"/>
                <w:sz w:val="20"/>
                <w:lang w:val="es-ES"/>
              </w:rPr>
              <w:t>,</w:t>
            </w:r>
            <w:r w:rsidRPr="008C4D2A">
              <w:rPr>
                <w:rFonts w:ascii="Arial" w:hAnsi="Arial" w:cs="Arial"/>
                <w:sz w:val="20"/>
                <w:lang w:val="es-ES"/>
              </w:rPr>
              <w:t xml:space="preserve"> publicado el 2</w:t>
            </w:r>
            <w:r w:rsidR="00F909CF">
              <w:rPr>
                <w:rFonts w:ascii="Arial" w:hAnsi="Arial" w:cs="Arial"/>
                <w:sz w:val="20"/>
                <w:lang w:val="es-ES"/>
              </w:rPr>
              <w:t> </w:t>
            </w:r>
            <w:r w:rsidR="000A3961">
              <w:rPr>
                <w:rFonts w:ascii="Arial" w:hAnsi="Arial" w:cs="Arial"/>
                <w:sz w:val="20"/>
                <w:lang w:val="es-ES"/>
              </w:rPr>
              <w:t>de</w:t>
            </w:r>
            <w:r w:rsidR="00F909CF">
              <w:rPr>
                <w:rFonts w:ascii="Arial" w:hAnsi="Arial" w:cs="Arial"/>
                <w:sz w:val="20"/>
                <w:lang w:val="es-ES"/>
              </w:rPr>
              <w:t> </w:t>
            </w:r>
            <w:r w:rsidR="000A3961">
              <w:rPr>
                <w:rFonts w:ascii="Arial" w:hAnsi="Arial" w:cs="Arial"/>
                <w:sz w:val="20"/>
                <w:lang w:val="es-ES"/>
              </w:rPr>
              <w:t>agosto</w:t>
            </w:r>
            <w:r w:rsidR="00F909CF">
              <w:rPr>
                <w:rFonts w:ascii="Arial" w:hAnsi="Arial" w:cs="Arial"/>
                <w:sz w:val="20"/>
                <w:lang w:val="es-ES"/>
              </w:rPr>
              <w:t> </w:t>
            </w:r>
            <w:r w:rsidR="000A3961">
              <w:rPr>
                <w:rFonts w:ascii="Arial" w:hAnsi="Arial" w:cs="Arial"/>
                <w:sz w:val="20"/>
                <w:lang w:val="es-ES"/>
              </w:rPr>
              <w:t>de</w:t>
            </w:r>
            <w:r w:rsidR="00F909CF">
              <w:rPr>
                <w:rFonts w:ascii="Arial" w:hAnsi="Arial" w:cs="Arial"/>
                <w:sz w:val="20"/>
                <w:lang w:val="es-ES"/>
              </w:rPr>
              <w:t> </w:t>
            </w:r>
            <w:r w:rsidR="000A3961">
              <w:rPr>
                <w:rFonts w:ascii="Arial" w:hAnsi="Arial" w:cs="Arial"/>
                <w:sz w:val="20"/>
                <w:lang w:val="es-ES"/>
              </w:rPr>
              <w:t>20</w:t>
            </w:r>
            <w:r w:rsidRPr="008C4D2A">
              <w:rPr>
                <w:rFonts w:ascii="Arial" w:hAnsi="Arial" w:cs="Arial"/>
                <w:sz w:val="20"/>
                <w:lang w:val="es-ES"/>
              </w:rPr>
              <w:t>18</w:t>
            </w:r>
            <w:r w:rsidR="00A47B01">
              <w:rPr>
                <w:rFonts w:ascii="Arial" w:hAnsi="Arial" w:cs="Arial"/>
                <w:sz w:val="20"/>
                <w:lang w:val="es-ES"/>
              </w:rPr>
              <w:t>,</w:t>
            </w:r>
            <w:r w:rsidR="00A62F70" w:rsidRPr="006021BF">
              <w:rPr>
                <w:rFonts w:ascii="Arial" w:hAnsi="Arial"/>
                <w:sz w:val="20"/>
                <w:lang w:val="es-ES_tradnl"/>
              </w:rPr>
              <w:t xml:space="preserve"> que </w:t>
            </w:r>
            <w:r w:rsidR="00A47B01" w:rsidRPr="006021BF">
              <w:rPr>
                <w:rFonts w:ascii="Arial" w:hAnsi="Arial"/>
                <w:sz w:val="20"/>
                <w:lang w:val="es-ES_tradnl"/>
              </w:rPr>
              <w:t>modifica la Ley</w:t>
            </w:r>
            <w:r w:rsidR="00A47B01">
              <w:rPr>
                <w:rFonts w:ascii="Arial" w:hAnsi="Arial" w:cs="Arial"/>
                <w:sz w:val="20"/>
                <w:lang w:val="es-ES"/>
              </w:rPr>
              <w:t xml:space="preserve"> N°</w:t>
            </w:r>
            <w:r w:rsidR="00F909CF">
              <w:rPr>
                <w:rFonts w:ascii="Arial" w:hAnsi="Arial" w:cs="Arial"/>
                <w:sz w:val="20"/>
                <w:lang w:val="es-ES"/>
              </w:rPr>
              <w:t> </w:t>
            </w:r>
            <w:r w:rsidR="00A47B01" w:rsidRPr="006021BF">
              <w:rPr>
                <w:rFonts w:ascii="Arial" w:hAnsi="Arial"/>
                <w:sz w:val="20"/>
                <w:lang w:val="es-ES_tradnl"/>
              </w:rPr>
              <w:t>27269, Ley</w:t>
            </w:r>
            <w:r w:rsidR="000A3961">
              <w:rPr>
                <w:rFonts w:ascii="Arial" w:hAnsi="Arial"/>
                <w:sz w:val="20"/>
                <w:lang w:val="es-ES_tradnl"/>
              </w:rPr>
              <w:t> </w:t>
            </w:r>
            <w:r w:rsidR="00A47B01" w:rsidRPr="006021BF">
              <w:rPr>
                <w:rFonts w:ascii="Arial" w:hAnsi="Arial"/>
                <w:sz w:val="20"/>
                <w:lang w:val="es-ES_tradnl"/>
              </w:rPr>
              <w:t xml:space="preserve">de Firmas y Certificados Digitales y el </w:t>
            </w:r>
            <w:r w:rsidR="00A47B01">
              <w:rPr>
                <w:rFonts w:ascii="Arial" w:hAnsi="Arial" w:cs="Arial"/>
                <w:sz w:val="20"/>
                <w:lang w:val="es-ES"/>
              </w:rPr>
              <w:t>D</w:t>
            </w:r>
            <w:r w:rsidR="00AE2EA9">
              <w:rPr>
                <w:rFonts w:ascii="Arial" w:hAnsi="Arial" w:cs="Arial"/>
                <w:sz w:val="20"/>
                <w:lang w:val="es-ES"/>
              </w:rPr>
              <w:t>ecreto Legislativo</w:t>
            </w:r>
            <w:r w:rsidR="00F909CF">
              <w:rPr>
                <w:rFonts w:ascii="Arial" w:hAnsi="Arial" w:cs="Arial"/>
                <w:sz w:val="20"/>
                <w:lang w:val="es-ES"/>
              </w:rPr>
              <w:t> </w:t>
            </w:r>
            <w:r w:rsidR="00A47B01">
              <w:rPr>
                <w:rFonts w:ascii="Arial" w:hAnsi="Arial" w:cs="Arial"/>
                <w:sz w:val="20"/>
                <w:lang w:val="es-ES"/>
              </w:rPr>
              <w:t>N°</w:t>
            </w:r>
            <w:r w:rsidR="00F909CF">
              <w:rPr>
                <w:rFonts w:ascii="Arial" w:hAnsi="Arial" w:cs="Arial"/>
                <w:sz w:val="20"/>
                <w:lang w:val="es-ES"/>
              </w:rPr>
              <w:t> </w:t>
            </w:r>
            <w:r w:rsidR="00A47B01" w:rsidRPr="006021BF">
              <w:rPr>
                <w:rFonts w:ascii="Arial" w:hAnsi="Arial"/>
                <w:sz w:val="20"/>
                <w:lang w:val="es-ES_tradnl"/>
              </w:rPr>
              <w:t>25632, Ley</w:t>
            </w:r>
            <w:r w:rsidR="008D1CBB">
              <w:rPr>
                <w:rFonts w:ascii="Arial" w:hAnsi="Arial"/>
                <w:sz w:val="20"/>
                <w:lang w:val="es-ES_tradnl"/>
              </w:rPr>
              <w:t> </w:t>
            </w:r>
            <w:r w:rsidR="00A47B01" w:rsidRPr="006021BF">
              <w:rPr>
                <w:rFonts w:ascii="Arial" w:hAnsi="Arial"/>
                <w:sz w:val="20"/>
                <w:lang w:val="es-ES_tradnl"/>
              </w:rPr>
              <w:t>Marco</w:t>
            </w:r>
            <w:r w:rsidR="00A47B01">
              <w:rPr>
                <w:rFonts w:ascii="Arial" w:hAnsi="Arial" w:cs="Arial"/>
                <w:sz w:val="20"/>
                <w:lang w:val="es-ES"/>
              </w:rPr>
              <w:t xml:space="preserve"> </w:t>
            </w:r>
            <w:r w:rsidR="00A47B01" w:rsidRPr="006021BF">
              <w:rPr>
                <w:rFonts w:ascii="Arial" w:hAnsi="Arial"/>
                <w:sz w:val="20"/>
                <w:lang w:val="es-ES_tradnl"/>
              </w:rPr>
              <w:t>de Comprobantes de Pago.</w:t>
            </w:r>
          </w:p>
          <w:p w14:paraId="22A2FD61" w14:textId="553044AD" w:rsidR="001C2617" w:rsidRDefault="001C2617" w:rsidP="008D1CBB">
            <w:pPr>
              <w:spacing w:before="360"/>
              <w:ind w:left="-4"/>
              <w:jc w:val="both"/>
              <w:rPr>
                <w:rFonts w:ascii="Arial" w:hAnsi="Arial" w:cs="Arial"/>
                <w:sz w:val="20"/>
                <w:szCs w:val="20"/>
                <w:lang w:val="es-ES_tradnl"/>
              </w:rPr>
            </w:pPr>
            <w:r w:rsidRPr="003873E8">
              <w:rPr>
                <w:rFonts w:ascii="Arial" w:hAnsi="Arial" w:cs="Arial"/>
                <w:sz w:val="20"/>
                <w:szCs w:val="20"/>
                <w:lang w:val="es-ES_tradnl"/>
              </w:rPr>
              <w:t>5.2.2</w:t>
            </w:r>
            <w:r w:rsidR="00522044">
              <w:rPr>
                <w:rFonts w:ascii="Arial" w:hAnsi="Arial" w:cs="Arial"/>
                <w:sz w:val="20"/>
                <w:szCs w:val="20"/>
                <w:lang w:val="es-ES_tradnl"/>
              </w:rPr>
              <w:t> </w:t>
            </w:r>
            <w:r w:rsidR="00A06C96">
              <w:rPr>
                <w:rFonts w:ascii="Arial" w:hAnsi="Arial" w:cs="Arial"/>
                <w:sz w:val="20"/>
                <w:szCs w:val="20"/>
                <w:lang w:val="es-ES_tradnl"/>
              </w:rPr>
              <w:t>Oficio</w:t>
            </w:r>
            <w:r w:rsidR="008D1CBB">
              <w:rPr>
                <w:rFonts w:ascii="Arial" w:hAnsi="Arial" w:cs="Arial"/>
                <w:sz w:val="20"/>
                <w:szCs w:val="20"/>
                <w:lang w:val="es-ES_tradnl"/>
              </w:rPr>
              <w:t> </w:t>
            </w:r>
            <w:r w:rsidR="00A06C96">
              <w:rPr>
                <w:rFonts w:ascii="Arial" w:hAnsi="Arial" w:cs="Arial"/>
                <w:sz w:val="20"/>
                <w:szCs w:val="20"/>
                <w:lang w:val="es-ES_tradnl"/>
              </w:rPr>
              <w:t>N°</w:t>
            </w:r>
            <w:r w:rsidR="000A3961">
              <w:rPr>
                <w:rFonts w:ascii="Arial" w:hAnsi="Arial" w:cs="Arial"/>
                <w:sz w:val="20"/>
                <w:szCs w:val="20"/>
                <w:lang w:val="es-ES_tradnl"/>
              </w:rPr>
              <w:t> </w:t>
            </w:r>
            <w:r w:rsidR="00A06C96">
              <w:rPr>
                <w:rFonts w:ascii="Arial" w:hAnsi="Arial" w:cs="Arial"/>
                <w:sz w:val="20"/>
                <w:szCs w:val="20"/>
                <w:lang w:val="es-ES_tradnl"/>
              </w:rPr>
              <w:t>027</w:t>
            </w:r>
            <w:r w:rsidR="00F909CF">
              <w:rPr>
                <w:rFonts w:ascii="Arial" w:hAnsi="Arial" w:cs="Arial"/>
                <w:sz w:val="20"/>
                <w:szCs w:val="20"/>
                <w:lang w:val="es-ES_tradnl"/>
              </w:rPr>
              <w:noBreakHyphen/>
            </w:r>
            <w:r w:rsidR="00A06C96">
              <w:rPr>
                <w:rFonts w:ascii="Arial" w:hAnsi="Arial" w:cs="Arial"/>
                <w:sz w:val="20"/>
                <w:szCs w:val="20"/>
                <w:lang w:val="es-ES_tradnl"/>
              </w:rPr>
              <w:t>2018</w:t>
            </w:r>
            <w:r w:rsidR="008D1CBB">
              <w:rPr>
                <w:rFonts w:ascii="Arial" w:hAnsi="Arial" w:cs="Arial"/>
                <w:sz w:val="20"/>
                <w:szCs w:val="20"/>
                <w:lang w:val="es-ES_tradnl"/>
              </w:rPr>
              <w:t>-</w:t>
            </w:r>
            <w:r w:rsidR="00A06C96">
              <w:rPr>
                <w:rFonts w:ascii="Arial" w:hAnsi="Arial" w:cs="Arial"/>
                <w:sz w:val="20"/>
                <w:szCs w:val="20"/>
                <w:lang w:val="es-ES_tradnl"/>
              </w:rPr>
              <w:t>SUNAT/7A0000</w:t>
            </w:r>
            <w:r w:rsidR="008D1CBB">
              <w:rPr>
                <w:rFonts w:ascii="Arial" w:hAnsi="Arial" w:cs="Arial"/>
                <w:sz w:val="20"/>
                <w:szCs w:val="20"/>
                <w:lang w:val="es-ES_tradnl"/>
              </w:rPr>
              <w:t> </w:t>
            </w:r>
            <w:r w:rsidR="00A06C96">
              <w:rPr>
                <w:rFonts w:ascii="Arial" w:hAnsi="Arial" w:cs="Arial"/>
                <w:sz w:val="20"/>
                <w:szCs w:val="20"/>
                <w:lang w:val="es-ES_tradnl"/>
              </w:rPr>
              <w:t>del 31</w:t>
            </w:r>
            <w:r w:rsidR="00F909CF">
              <w:rPr>
                <w:rFonts w:ascii="Arial" w:hAnsi="Arial" w:cs="Arial"/>
                <w:sz w:val="20"/>
                <w:szCs w:val="20"/>
                <w:lang w:val="es-ES_tradnl"/>
              </w:rPr>
              <w:t> </w:t>
            </w:r>
            <w:r w:rsidR="000A3961">
              <w:rPr>
                <w:rFonts w:ascii="Arial" w:hAnsi="Arial" w:cs="Arial"/>
                <w:sz w:val="20"/>
                <w:szCs w:val="20"/>
                <w:lang w:val="es-ES_tradnl"/>
              </w:rPr>
              <w:t>de</w:t>
            </w:r>
            <w:r w:rsidR="00F909CF">
              <w:rPr>
                <w:rFonts w:ascii="Arial" w:hAnsi="Arial" w:cs="Arial"/>
                <w:sz w:val="20"/>
                <w:szCs w:val="20"/>
                <w:lang w:val="es-ES_tradnl"/>
              </w:rPr>
              <w:t> </w:t>
            </w:r>
            <w:r w:rsidR="000A3961">
              <w:rPr>
                <w:rFonts w:ascii="Arial" w:hAnsi="Arial" w:cs="Arial"/>
                <w:sz w:val="20"/>
                <w:szCs w:val="20"/>
                <w:lang w:val="es-ES_tradnl"/>
              </w:rPr>
              <w:t>octubre</w:t>
            </w:r>
            <w:r w:rsidR="00F909CF">
              <w:rPr>
                <w:rFonts w:ascii="Arial" w:hAnsi="Arial" w:cs="Arial"/>
                <w:sz w:val="20"/>
                <w:szCs w:val="20"/>
                <w:lang w:val="es-ES_tradnl"/>
              </w:rPr>
              <w:t> </w:t>
            </w:r>
            <w:r w:rsidR="000A3961">
              <w:rPr>
                <w:rFonts w:ascii="Arial" w:hAnsi="Arial" w:cs="Arial"/>
                <w:sz w:val="20"/>
                <w:szCs w:val="20"/>
                <w:lang w:val="es-ES_tradnl"/>
              </w:rPr>
              <w:t>de</w:t>
            </w:r>
            <w:r w:rsidR="00F909CF">
              <w:rPr>
                <w:rFonts w:ascii="Arial" w:hAnsi="Arial" w:cs="Arial"/>
                <w:sz w:val="20"/>
                <w:szCs w:val="20"/>
                <w:lang w:val="es-ES_tradnl"/>
              </w:rPr>
              <w:t> </w:t>
            </w:r>
            <w:r w:rsidR="000A3961">
              <w:rPr>
                <w:rFonts w:ascii="Arial" w:hAnsi="Arial" w:cs="Arial"/>
                <w:sz w:val="20"/>
                <w:szCs w:val="20"/>
                <w:lang w:val="es-ES_tradnl"/>
              </w:rPr>
              <w:t>20</w:t>
            </w:r>
            <w:r w:rsidR="00A06C96">
              <w:rPr>
                <w:rFonts w:ascii="Arial" w:hAnsi="Arial" w:cs="Arial"/>
                <w:sz w:val="20"/>
                <w:szCs w:val="20"/>
                <w:lang w:val="es-ES_tradnl"/>
              </w:rPr>
              <w:t xml:space="preserve">18 </w:t>
            </w:r>
            <w:r w:rsidR="008A6F95">
              <w:rPr>
                <w:rFonts w:ascii="Arial" w:hAnsi="Arial" w:cs="Arial"/>
                <w:sz w:val="20"/>
                <w:szCs w:val="20"/>
                <w:lang w:val="es-ES_tradnl"/>
              </w:rPr>
              <w:t xml:space="preserve">de SUNAT reportando el modelo definido. </w:t>
            </w:r>
          </w:p>
          <w:p w14:paraId="34E5A074" w14:textId="7CBEACE4" w:rsidR="001C2617" w:rsidRDefault="00076218" w:rsidP="00AE2EA9">
            <w:pPr>
              <w:ind w:left="-4"/>
              <w:jc w:val="both"/>
              <w:rPr>
                <w:rFonts w:ascii="Arial" w:hAnsi="Arial" w:cs="Arial"/>
                <w:sz w:val="20"/>
                <w:szCs w:val="20"/>
                <w:lang w:val="es-ES_tradnl"/>
              </w:rPr>
            </w:pPr>
            <w:r w:rsidRPr="003873E8">
              <w:rPr>
                <w:rFonts w:ascii="Arial" w:hAnsi="Arial" w:cs="Arial"/>
                <w:sz w:val="20"/>
                <w:szCs w:val="20"/>
                <w:lang w:val="es-ES_tradnl"/>
              </w:rPr>
              <w:t>5.2.3</w:t>
            </w:r>
            <w:r>
              <w:rPr>
                <w:rFonts w:ascii="Arial" w:hAnsi="Arial" w:cs="Arial"/>
                <w:sz w:val="20"/>
                <w:szCs w:val="20"/>
                <w:lang w:val="es-ES_tradnl"/>
              </w:rPr>
              <w:t xml:space="preserve"> </w:t>
            </w:r>
            <w:r w:rsidR="00D4132A">
              <w:rPr>
                <w:rFonts w:ascii="Arial" w:hAnsi="Arial" w:cs="Arial"/>
                <w:sz w:val="20"/>
                <w:szCs w:val="20"/>
                <w:lang w:val="es-ES_tradnl"/>
              </w:rPr>
              <w:t>Oficio N°</w:t>
            </w:r>
            <w:r w:rsidR="00F909CF">
              <w:rPr>
                <w:rFonts w:ascii="Arial" w:hAnsi="Arial" w:cs="Arial"/>
                <w:sz w:val="20"/>
                <w:szCs w:val="20"/>
                <w:lang w:val="es-ES_tradnl"/>
              </w:rPr>
              <w:t> </w:t>
            </w:r>
            <w:r w:rsidR="00D4132A">
              <w:rPr>
                <w:rFonts w:ascii="Arial" w:hAnsi="Arial" w:cs="Arial"/>
                <w:sz w:val="20"/>
                <w:szCs w:val="20"/>
                <w:lang w:val="es-ES_tradnl"/>
              </w:rPr>
              <w:t>025-2018-SUNAT/7A0000 del 29</w:t>
            </w:r>
            <w:r w:rsidR="00F909CF">
              <w:rPr>
                <w:rFonts w:ascii="Arial" w:hAnsi="Arial" w:cs="Arial"/>
                <w:sz w:val="20"/>
                <w:szCs w:val="20"/>
                <w:lang w:val="es-ES_tradnl"/>
              </w:rPr>
              <w:t> </w:t>
            </w:r>
            <w:r w:rsidR="000A3961">
              <w:rPr>
                <w:rFonts w:ascii="Arial" w:hAnsi="Arial" w:cs="Arial"/>
                <w:sz w:val="20"/>
                <w:szCs w:val="20"/>
                <w:lang w:val="es-ES_tradnl"/>
              </w:rPr>
              <w:t>de</w:t>
            </w:r>
            <w:r w:rsidR="00F909CF">
              <w:rPr>
                <w:rFonts w:ascii="Arial" w:hAnsi="Arial" w:cs="Arial"/>
                <w:sz w:val="20"/>
                <w:szCs w:val="20"/>
                <w:lang w:val="es-ES_tradnl"/>
              </w:rPr>
              <w:t> </w:t>
            </w:r>
            <w:r w:rsidR="000A3961">
              <w:rPr>
                <w:rFonts w:ascii="Arial" w:hAnsi="Arial" w:cs="Arial"/>
                <w:sz w:val="20"/>
                <w:szCs w:val="20"/>
                <w:lang w:val="es-ES_tradnl"/>
              </w:rPr>
              <w:t>octubre</w:t>
            </w:r>
            <w:r w:rsidR="00F909CF">
              <w:rPr>
                <w:rFonts w:ascii="Arial" w:hAnsi="Arial" w:cs="Arial"/>
                <w:sz w:val="20"/>
                <w:szCs w:val="20"/>
                <w:lang w:val="es-ES_tradnl"/>
              </w:rPr>
              <w:t> </w:t>
            </w:r>
            <w:r w:rsidR="000A3961">
              <w:rPr>
                <w:rFonts w:ascii="Arial" w:hAnsi="Arial" w:cs="Arial"/>
                <w:sz w:val="20"/>
                <w:szCs w:val="20"/>
                <w:lang w:val="es-ES_tradnl"/>
              </w:rPr>
              <w:t>de</w:t>
            </w:r>
            <w:r w:rsidR="00F909CF">
              <w:rPr>
                <w:rFonts w:ascii="Arial" w:hAnsi="Arial" w:cs="Arial"/>
                <w:sz w:val="20"/>
                <w:szCs w:val="20"/>
                <w:lang w:val="es-ES_tradnl"/>
              </w:rPr>
              <w:t> </w:t>
            </w:r>
            <w:r w:rsidR="000A3961">
              <w:rPr>
                <w:rFonts w:ascii="Arial" w:hAnsi="Arial" w:cs="Arial"/>
                <w:sz w:val="20"/>
                <w:szCs w:val="20"/>
                <w:lang w:val="es-ES_tradnl"/>
              </w:rPr>
              <w:t>20</w:t>
            </w:r>
            <w:r w:rsidR="00D4132A">
              <w:rPr>
                <w:rFonts w:ascii="Arial" w:hAnsi="Arial" w:cs="Arial"/>
                <w:sz w:val="20"/>
                <w:szCs w:val="20"/>
                <w:lang w:val="es-ES_tradnl"/>
              </w:rPr>
              <w:t xml:space="preserve">18 </w:t>
            </w:r>
            <w:r w:rsidR="00F944B8">
              <w:rPr>
                <w:rFonts w:ascii="Arial" w:hAnsi="Arial" w:cs="Arial"/>
                <w:sz w:val="20"/>
                <w:szCs w:val="20"/>
                <w:lang w:val="es-ES_tradnl"/>
              </w:rPr>
              <w:t>de SUNAT remitiendo el informe</w:t>
            </w:r>
            <w:r w:rsidR="00B10694">
              <w:rPr>
                <w:rFonts w:ascii="Arial" w:hAnsi="Arial" w:cs="Arial"/>
                <w:sz w:val="20"/>
                <w:szCs w:val="20"/>
                <w:lang w:val="es-ES_tradnl"/>
              </w:rPr>
              <w:t xml:space="preserve"> elaborado por el equipo sobre elaboración de perfiles de riesgo en el cumplimiento de las obligaciones tributarias</w:t>
            </w:r>
            <w:r w:rsidR="00F944B8">
              <w:rPr>
                <w:rFonts w:ascii="Arial" w:hAnsi="Arial" w:cs="Arial"/>
                <w:sz w:val="20"/>
                <w:szCs w:val="20"/>
                <w:lang w:val="es-ES_tradnl"/>
              </w:rPr>
              <w:t xml:space="preserve">. </w:t>
            </w:r>
          </w:p>
          <w:p w14:paraId="68495A54" w14:textId="77777777" w:rsidR="00076218" w:rsidRDefault="00076218" w:rsidP="006021BF">
            <w:pPr>
              <w:ind w:left="-4"/>
              <w:jc w:val="both"/>
              <w:rPr>
                <w:rFonts w:ascii="Arial" w:hAnsi="Arial" w:cs="Arial"/>
                <w:sz w:val="20"/>
                <w:szCs w:val="20"/>
                <w:lang w:val="es-ES_tradnl"/>
              </w:rPr>
            </w:pPr>
          </w:p>
          <w:p w14:paraId="611B40B3" w14:textId="06A84B35" w:rsidR="008C4D2A" w:rsidRDefault="001C2617" w:rsidP="008D1CBB">
            <w:pPr>
              <w:spacing w:before="240"/>
              <w:jc w:val="both"/>
              <w:rPr>
                <w:rFonts w:ascii="Arial" w:eastAsia="Times New Roman" w:hAnsi="Arial" w:cs="Arial"/>
                <w:bCs/>
                <w:kern w:val="36"/>
                <w:sz w:val="20"/>
                <w:szCs w:val="20"/>
                <w:lang w:val="es-ES_tradnl"/>
              </w:rPr>
            </w:pPr>
            <w:r w:rsidRPr="003873E8">
              <w:rPr>
                <w:rFonts w:ascii="Arial" w:eastAsia="Times New Roman" w:hAnsi="Arial" w:cs="Arial"/>
                <w:bCs/>
                <w:kern w:val="36"/>
                <w:sz w:val="20"/>
                <w:szCs w:val="20"/>
                <w:lang w:val="es-ES_tradnl"/>
              </w:rPr>
              <w:t>5.2.</w:t>
            </w:r>
            <w:r w:rsidR="00076218" w:rsidRPr="003873E8">
              <w:rPr>
                <w:rFonts w:ascii="Arial" w:eastAsia="Times New Roman" w:hAnsi="Arial" w:cs="Arial"/>
                <w:bCs/>
                <w:kern w:val="36"/>
                <w:sz w:val="20"/>
                <w:szCs w:val="20"/>
                <w:lang w:val="es-ES_tradnl"/>
              </w:rPr>
              <w:t>4</w:t>
            </w:r>
            <w:r>
              <w:rPr>
                <w:rFonts w:ascii="Arial" w:eastAsia="Times New Roman" w:hAnsi="Arial" w:cs="Arial"/>
                <w:bCs/>
                <w:kern w:val="36"/>
                <w:sz w:val="20"/>
                <w:szCs w:val="20"/>
                <w:lang w:val="es-ES_tradnl"/>
              </w:rPr>
              <w:t xml:space="preserve"> </w:t>
            </w:r>
            <w:r w:rsidR="007A0CF8">
              <w:rPr>
                <w:rFonts w:ascii="Arial" w:eastAsia="Times New Roman" w:hAnsi="Arial" w:cs="Arial"/>
                <w:bCs/>
                <w:kern w:val="36"/>
                <w:sz w:val="20"/>
                <w:szCs w:val="20"/>
                <w:lang w:val="es-ES_tradnl"/>
              </w:rPr>
              <w:t>D</w:t>
            </w:r>
            <w:r>
              <w:rPr>
                <w:rFonts w:ascii="Arial" w:eastAsia="Times New Roman" w:hAnsi="Arial" w:cs="Arial"/>
                <w:bCs/>
                <w:kern w:val="36"/>
                <w:sz w:val="20"/>
                <w:szCs w:val="20"/>
                <w:lang w:val="es-ES_tradnl"/>
              </w:rPr>
              <w:t xml:space="preserve">ocumento </w:t>
            </w:r>
            <w:r w:rsidR="00957CBE">
              <w:rPr>
                <w:rFonts w:ascii="Arial" w:eastAsia="Times New Roman" w:hAnsi="Arial" w:cs="Arial"/>
                <w:bCs/>
                <w:kern w:val="36"/>
                <w:sz w:val="20"/>
                <w:szCs w:val="20"/>
                <w:lang w:val="es-ES_tradnl"/>
              </w:rPr>
              <w:t>de</w:t>
            </w:r>
            <w:r w:rsidR="00590B9B">
              <w:rPr>
                <w:rFonts w:ascii="Arial" w:eastAsia="Times New Roman" w:hAnsi="Arial" w:cs="Arial"/>
                <w:bCs/>
                <w:kern w:val="36"/>
                <w:sz w:val="20"/>
                <w:szCs w:val="20"/>
                <w:lang w:val="es-ES_tradnl"/>
              </w:rPr>
              <w:t xml:space="preserve">l Foro Económico Global de la OCDE conteniendo el diagnóstico y el </w:t>
            </w:r>
            <w:r w:rsidR="009A7A28">
              <w:rPr>
                <w:rFonts w:ascii="Arial" w:eastAsia="Times New Roman" w:hAnsi="Arial" w:cs="Arial"/>
                <w:bCs/>
                <w:kern w:val="36"/>
                <w:sz w:val="20"/>
                <w:szCs w:val="20"/>
                <w:lang w:val="es-ES_tradnl"/>
              </w:rPr>
              <w:t>cronograma</w:t>
            </w:r>
            <w:r w:rsidR="00F94A78">
              <w:rPr>
                <w:rFonts w:ascii="Arial" w:eastAsia="Times New Roman" w:hAnsi="Arial" w:cs="Arial"/>
                <w:bCs/>
                <w:kern w:val="36"/>
                <w:sz w:val="20"/>
                <w:szCs w:val="20"/>
                <w:lang w:val="es-ES_tradnl"/>
              </w:rPr>
              <w:t xml:space="preserve"> </w:t>
            </w:r>
            <w:r w:rsidR="00590B9B">
              <w:rPr>
                <w:rFonts w:ascii="Arial" w:eastAsia="Times New Roman" w:hAnsi="Arial" w:cs="Arial"/>
                <w:bCs/>
                <w:kern w:val="36"/>
                <w:sz w:val="20"/>
                <w:szCs w:val="20"/>
                <w:lang w:val="es-ES_tradnl"/>
              </w:rPr>
              <w:t>de trabajo</w:t>
            </w:r>
            <w:r w:rsidR="00E3626C">
              <w:rPr>
                <w:rFonts w:ascii="Arial" w:eastAsia="Times New Roman" w:hAnsi="Arial" w:cs="Arial"/>
                <w:bCs/>
                <w:kern w:val="36"/>
                <w:sz w:val="20"/>
                <w:szCs w:val="20"/>
                <w:lang w:val="es-ES_tradnl"/>
              </w:rPr>
              <w:t xml:space="preserve"> para la implementación de los controles del cierre de brechas</w:t>
            </w:r>
            <w:r w:rsidRPr="00A403B6">
              <w:rPr>
                <w:rFonts w:ascii="Arial" w:eastAsia="Times New Roman" w:hAnsi="Arial" w:cs="Arial"/>
                <w:bCs/>
                <w:kern w:val="36"/>
                <w:sz w:val="20"/>
                <w:szCs w:val="20"/>
                <w:lang w:val="es-ES_tradnl"/>
              </w:rPr>
              <w:t>.</w:t>
            </w:r>
          </w:p>
          <w:p w14:paraId="3B47E1A6" w14:textId="77777777" w:rsidR="008C4D2A" w:rsidRPr="008B633D" w:rsidRDefault="008C4D2A" w:rsidP="00607326">
            <w:pPr>
              <w:jc w:val="both"/>
              <w:rPr>
                <w:rFonts w:ascii="Arial" w:hAnsi="Arial" w:cs="Arial"/>
                <w:sz w:val="20"/>
                <w:szCs w:val="20"/>
                <w:lang w:val="es-ES_tradnl"/>
              </w:rPr>
            </w:pPr>
          </w:p>
        </w:tc>
        <w:tc>
          <w:tcPr>
            <w:tcW w:w="1800" w:type="dxa"/>
          </w:tcPr>
          <w:p w14:paraId="4FA87040" w14:textId="0159D413" w:rsidR="001C2617" w:rsidRDefault="008A6F95" w:rsidP="006021BF">
            <w:pPr>
              <w:ind w:left="-4"/>
              <w:jc w:val="both"/>
              <w:rPr>
                <w:rFonts w:ascii="Arial" w:hAnsi="Arial" w:cs="Arial"/>
                <w:sz w:val="20"/>
                <w:szCs w:val="20"/>
                <w:lang w:val="es-ES_tradnl"/>
              </w:rPr>
            </w:pPr>
            <w:r w:rsidRPr="00726417">
              <w:rPr>
                <w:rFonts w:ascii="Arial" w:hAnsi="Arial"/>
                <w:b/>
                <w:sz w:val="20"/>
                <w:lang w:val="es-ES_tradnl"/>
              </w:rPr>
              <w:t>Cumplido</w:t>
            </w:r>
          </w:p>
          <w:p w14:paraId="0BE72404" w14:textId="29D7ABBB" w:rsidR="0071111A" w:rsidRDefault="0071111A" w:rsidP="006021BF">
            <w:pPr>
              <w:ind w:left="-4"/>
              <w:jc w:val="both"/>
              <w:rPr>
                <w:rFonts w:ascii="Arial" w:hAnsi="Arial" w:cs="Arial"/>
                <w:sz w:val="20"/>
                <w:szCs w:val="20"/>
                <w:lang w:val="es-ES_tradnl"/>
              </w:rPr>
            </w:pPr>
          </w:p>
          <w:p w14:paraId="7FBA5C1A" w14:textId="77777777" w:rsidR="0071111A" w:rsidRDefault="0071111A" w:rsidP="006021BF">
            <w:pPr>
              <w:ind w:left="-4"/>
              <w:jc w:val="both"/>
              <w:rPr>
                <w:rFonts w:ascii="Arial" w:hAnsi="Arial" w:cs="Arial"/>
                <w:sz w:val="20"/>
                <w:szCs w:val="20"/>
                <w:lang w:val="es-ES_tradnl"/>
              </w:rPr>
            </w:pPr>
          </w:p>
          <w:p w14:paraId="2B6C3DB8" w14:textId="77777777" w:rsidR="00D4132A" w:rsidRDefault="00D4132A" w:rsidP="006021BF">
            <w:pPr>
              <w:ind w:left="-4"/>
              <w:jc w:val="both"/>
              <w:rPr>
                <w:rFonts w:ascii="Arial" w:hAnsi="Arial" w:cs="Arial"/>
                <w:sz w:val="20"/>
                <w:szCs w:val="20"/>
                <w:lang w:val="es-ES_tradnl"/>
              </w:rPr>
            </w:pPr>
          </w:p>
          <w:p w14:paraId="31482055" w14:textId="77777777" w:rsidR="00475AE8" w:rsidRDefault="00475AE8" w:rsidP="006021BF">
            <w:pPr>
              <w:ind w:left="-4"/>
              <w:jc w:val="both"/>
              <w:rPr>
                <w:rFonts w:ascii="Arial" w:hAnsi="Arial" w:cs="Arial"/>
                <w:sz w:val="20"/>
                <w:szCs w:val="20"/>
                <w:lang w:val="es-ES_tradnl"/>
              </w:rPr>
            </w:pPr>
          </w:p>
          <w:p w14:paraId="370D1AB2" w14:textId="77777777" w:rsidR="00475AE8" w:rsidRDefault="00475AE8" w:rsidP="006021BF">
            <w:pPr>
              <w:ind w:left="-4"/>
              <w:jc w:val="both"/>
              <w:rPr>
                <w:rFonts w:ascii="Arial" w:hAnsi="Arial" w:cs="Arial"/>
                <w:sz w:val="20"/>
                <w:szCs w:val="20"/>
                <w:lang w:val="es-ES_tradnl"/>
              </w:rPr>
            </w:pPr>
          </w:p>
          <w:p w14:paraId="0CC5F2E3" w14:textId="4C68FB03" w:rsidR="00475AE8" w:rsidRDefault="00475AE8" w:rsidP="006021BF">
            <w:pPr>
              <w:ind w:left="-4"/>
              <w:jc w:val="both"/>
              <w:rPr>
                <w:rFonts w:ascii="Arial" w:hAnsi="Arial" w:cs="Arial"/>
                <w:sz w:val="20"/>
                <w:szCs w:val="20"/>
                <w:lang w:val="es-ES_tradnl"/>
              </w:rPr>
            </w:pPr>
          </w:p>
          <w:p w14:paraId="72729002" w14:textId="300B887A" w:rsidR="0013252F" w:rsidRDefault="0013252F" w:rsidP="006021BF">
            <w:pPr>
              <w:ind w:left="-4"/>
              <w:jc w:val="both"/>
              <w:rPr>
                <w:rFonts w:ascii="Arial" w:hAnsi="Arial" w:cs="Arial"/>
                <w:sz w:val="20"/>
                <w:szCs w:val="20"/>
                <w:lang w:val="es-ES_tradnl"/>
              </w:rPr>
            </w:pPr>
          </w:p>
          <w:p w14:paraId="457F6B97" w14:textId="77777777" w:rsidR="0013252F" w:rsidRDefault="0013252F" w:rsidP="006021BF">
            <w:pPr>
              <w:ind w:left="-4"/>
              <w:jc w:val="both"/>
              <w:rPr>
                <w:rFonts w:ascii="Arial" w:hAnsi="Arial" w:cs="Arial"/>
                <w:sz w:val="20"/>
                <w:szCs w:val="20"/>
                <w:lang w:val="es-ES_tradnl"/>
              </w:rPr>
            </w:pPr>
          </w:p>
          <w:p w14:paraId="72888173" w14:textId="2649FAB9" w:rsidR="00D4132A" w:rsidRDefault="00A06C96" w:rsidP="006021BF">
            <w:pPr>
              <w:ind w:left="-4"/>
              <w:jc w:val="both"/>
              <w:rPr>
                <w:rFonts w:ascii="Arial" w:hAnsi="Arial" w:cs="Arial"/>
                <w:sz w:val="20"/>
                <w:szCs w:val="20"/>
                <w:lang w:val="es-ES_tradnl"/>
              </w:rPr>
            </w:pPr>
            <w:r w:rsidRPr="00726417">
              <w:rPr>
                <w:rFonts w:ascii="Arial" w:hAnsi="Arial"/>
                <w:b/>
                <w:sz w:val="20"/>
                <w:lang w:val="es-ES_tradnl"/>
              </w:rPr>
              <w:t>Cumplido</w:t>
            </w:r>
          </w:p>
          <w:p w14:paraId="79DB0F29" w14:textId="77777777" w:rsidR="00D4132A" w:rsidRDefault="00D4132A" w:rsidP="006021BF">
            <w:pPr>
              <w:ind w:left="-4"/>
              <w:jc w:val="both"/>
              <w:rPr>
                <w:rFonts w:ascii="Arial" w:hAnsi="Arial" w:cs="Arial"/>
                <w:sz w:val="20"/>
                <w:szCs w:val="20"/>
                <w:lang w:val="es-ES_tradnl"/>
              </w:rPr>
            </w:pPr>
          </w:p>
          <w:p w14:paraId="63E197CC" w14:textId="77777777" w:rsidR="00D4132A" w:rsidRDefault="00D4132A" w:rsidP="006021BF">
            <w:pPr>
              <w:ind w:left="-4"/>
              <w:jc w:val="both"/>
              <w:rPr>
                <w:rFonts w:ascii="Arial" w:hAnsi="Arial" w:cs="Arial"/>
                <w:sz w:val="20"/>
                <w:szCs w:val="20"/>
                <w:lang w:val="es-ES_tradnl"/>
              </w:rPr>
            </w:pPr>
          </w:p>
          <w:p w14:paraId="60894958" w14:textId="77777777" w:rsidR="00D4132A" w:rsidRDefault="00D4132A" w:rsidP="006021BF">
            <w:pPr>
              <w:ind w:left="-4"/>
              <w:jc w:val="both"/>
              <w:rPr>
                <w:rFonts w:ascii="Arial" w:hAnsi="Arial" w:cs="Arial"/>
                <w:sz w:val="20"/>
                <w:szCs w:val="20"/>
                <w:lang w:val="es-ES_tradnl"/>
              </w:rPr>
            </w:pPr>
          </w:p>
          <w:p w14:paraId="24CFF5FD" w14:textId="77A926A9" w:rsidR="00D4132A" w:rsidRDefault="00D4132A" w:rsidP="00AE2EA9">
            <w:pPr>
              <w:ind w:left="-4"/>
              <w:jc w:val="both"/>
              <w:rPr>
                <w:rFonts w:ascii="Arial" w:hAnsi="Arial" w:cs="Arial"/>
                <w:sz w:val="20"/>
                <w:szCs w:val="20"/>
                <w:lang w:val="es-ES_tradnl"/>
              </w:rPr>
            </w:pPr>
            <w:r w:rsidRPr="00726417">
              <w:rPr>
                <w:rFonts w:ascii="Arial" w:hAnsi="Arial"/>
                <w:b/>
                <w:sz w:val="20"/>
                <w:lang w:val="es-ES_tradnl"/>
              </w:rPr>
              <w:t>Cumplido</w:t>
            </w:r>
            <w:r>
              <w:rPr>
                <w:rFonts w:ascii="Arial" w:hAnsi="Arial" w:cs="Arial"/>
                <w:sz w:val="20"/>
                <w:szCs w:val="20"/>
                <w:lang w:val="es-ES_tradnl"/>
              </w:rPr>
              <w:t xml:space="preserve"> </w:t>
            </w:r>
          </w:p>
          <w:p w14:paraId="591CB2EA" w14:textId="77777777" w:rsidR="00651E4A" w:rsidRDefault="00651E4A" w:rsidP="006021BF">
            <w:pPr>
              <w:ind w:left="-4"/>
              <w:jc w:val="both"/>
              <w:rPr>
                <w:rFonts w:ascii="Arial" w:hAnsi="Arial" w:cs="Arial"/>
                <w:sz w:val="20"/>
                <w:szCs w:val="20"/>
                <w:lang w:val="es-ES_tradnl"/>
              </w:rPr>
            </w:pPr>
          </w:p>
          <w:p w14:paraId="3D08AA34" w14:textId="77777777" w:rsidR="00651E4A" w:rsidRDefault="00651E4A" w:rsidP="006021BF">
            <w:pPr>
              <w:ind w:left="-4"/>
              <w:jc w:val="both"/>
              <w:rPr>
                <w:rFonts w:ascii="Arial" w:hAnsi="Arial" w:cs="Arial"/>
                <w:sz w:val="20"/>
                <w:szCs w:val="20"/>
                <w:lang w:val="es-ES_tradnl"/>
              </w:rPr>
            </w:pPr>
          </w:p>
          <w:p w14:paraId="107655A6" w14:textId="77777777" w:rsidR="00651E4A" w:rsidRDefault="00651E4A" w:rsidP="006021BF">
            <w:pPr>
              <w:ind w:left="-4"/>
              <w:jc w:val="both"/>
              <w:rPr>
                <w:rFonts w:ascii="Arial" w:hAnsi="Arial" w:cs="Arial"/>
                <w:sz w:val="20"/>
                <w:szCs w:val="20"/>
                <w:lang w:val="es-ES_tradnl"/>
              </w:rPr>
            </w:pPr>
          </w:p>
          <w:p w14:paraId="26C08318" w14:textId="77777777" w:rsidR="00651E4A" w:rsidRDefault="00651E4A" w:rsidP="006021BF">
            <w:pPr>
              <w:ind w:left="-4"/>
              <w:jc w:val="both"/>
              <w:rPr>
                <w:rFonts w:ascii="Arial" w:hAnsi="Arial" w:cs="Arial"/>
                <w:sz w:val="20"/>
                <w:szCs w:val="20"/>
                <w:lang w:val="es-ES_tradnl"/>
              </w:rPr>
            </w:pPr>
          </w:p>
          <w:p w14:paraId="4271F5A1" w14:textId="1852BA28" w:rsidR="00651E4A" w:rsidRDefault="00651E4A" w:rsidP="006021BF">
            <w:pPr>
              <w:ind w:left="-4"/>
              <w:jc w:val="both"/>
              <w:rPr>
                <w:rFonts w:ascii="Arial" w:hAnsi="Arial" w:cs="Arial"/>
                <w:sz w:val="20"/>
                <w:szCs w:val="20"/>
                <w:lang w:val="es-ES_tradnl"/>
              </w:rPr>
            </w:pPr>
          </w:p>
          <w:p w14:paraId="38BC4A4D" w14:textId="2A7B4789" w:rsidR="008D1CBB" w:rsidRDefault="008D1CBB" w:rsidP="006021BF">
            <w:pPr>
              <w:ind w:left="-4"/>
              <w:jc w:val="both"/>
              <w:rPr>
                <w:rFonts w:ascii="Arial" w:hAnsi="Arial" w:cs="Arial"/>
                <w:sz w:val="20"/>
                <w:szCs w:val="20"/>
                <w:lang w:val="es-ES_tradnl"/>
              </w:rPr>
            </w:pPr>
          </w:p>
          <w:p w14:paraId="56742B42" w14:textId="77777777" w:rsidR="008D1CBB" w:rsidRDefault="008D1CBB" w:rsidP="006021BF">
            <w:pPr>
              <w:ind w:left="-4"/>
              <w:jc w:val="both"/>
              <w:rPr>
                <w:rFonts w:ascii="Arial" w:hAnsi="Arial" w:cs="Arial"/>
                <w:sz w:val="20"/>
                <w:szCs w:val="20"/>
                <w:lang w:val="es-ES_tradnl"/>
              </w:rPr>
            </w:pPr>
          </w:p>
          <w:p w14:paraId="28E8E706" w14:textId="77777777" w:rsidR="00651E4A" w:rsidRDefault="00651E4A" w:rsidP="006021BF">
            <w:pPr>
              <w:ind w:left="-4"/>
              <w:jc w:val="both"/>
              <w:rPr>
                <w:rFonts w:ascii="Arial" w:hAnsi="Arial" w:cs="Arial"/>
                <w:sz w:val="20"/>
                <w:szCs w:val="20"/>
                <w:lang w:val="es-ES_tradnl"/>
              </w:rPr>
            </w:pPr>
          </w:p>
          <w:p w14:paraId="3D5D5BFC" w14:textId="5AA24F54" w:rsidR="00651E4A" w:rsidRPr="006021BF" w:rsidRDefault="00651E4A" w:rsidP="008D1CBB">
            <w:pPr>
              <w:spacing w:before="240"/>
              <w:ind w:left="-4"/>
              <w:jc w:val="both"/>
              <w:rPr>
                <w:rFonts w:ascii="Arial" w:hAnsi="Arial"/>
                <w:b/>
                <w:sz w:val="20"/>
                <w:lang w:val="es-ES_tradnl"/>
              </w:rPr>
            </w:pPr>
            <w:r w:rsidRPr="00726417">
              <w:rPr>
                <w:rFonts w:ascii="Arial" w:hAnsi="Arial"/>
                <w:b/>
                <w:sz w:val="20"/>
                <w:lang w:val="es-ES_tradnl"/>
              </w:rPr>
              <w:t>Cumplido</w:t>
            </w:r>
          </w:p>
        </w:tc>
        <w:tc>
          <w:tcPr>
            <w:tcW w:w="1620" w:type="dxa"/>
          </w:tcPr>
          <w:p w14:paraId="2F3762DE" w14:textId="77777777" w:rsidR="001C2617" w:rsidRDefault="001C2617" w:rsidP="006021BF">
            <w:pPr>
              <w:ind w:left="-4"/>
              <w:jc w:val="both"/>
              <w:rPr>
                <w:rFonts w:ascii="Arial" w:hAnsi="Arial" w:cs="Arial"/>
                <w:sz w:val="20"/>
                <w:szCs w:val="20"/>
                <w:lang w:val="es-ES_tradnl"/>
              </w:rPr>
            </w:pPr>
            <w:r>
              <w:rPr>
                <w:rFonts w:ascii="Arial" w:hAnsi="Arial" w:cs="Arial"/>
                <w:sz w:val="20"/>
                <w:szCs w:val="20"/>
                <w:lang w:val="es-ES_tradnl"/>
              </w:rPr>
              <w:t>MEF</w:t>
            </w:r>
          </w:p>
          <w:p w14:paraId="7AD8ACCC" w14:textId="77777777" w:rsidR="001C2617" w:rsidRDefault="001C2617" w:rsidP="006021BF">
            <w:pPr>
              <w:ind w:left="-4"/>
              <w:jc w:val="both"/>
              <w:rPr>
                <w:rFonts w:ascii="Arial" w:hAnsi="Arial" w:cs="Arial"/>
                <w:sz w:val="20"/>
                <w:szCs w:val="20"/>
                <w:lang w:val="es-ES_tradnl"/>
              </w:rPr>
            </w:pPr>
          </w:p>
          <w:p w14:paraId="6569F941" w14:textId="5861EEE2" w:rsidR="001C2617" w:rsidRDefault="001C2617" w:rsidP="006021BF">
            <w:pPr>
              <w:ind w:left="-4"/>
              <w:jc w:val="both"/>
              <w:rPr>
                <w:rFonts w:ascii="Arial" w:hAnsi="Arial" w:cs="Arial"/>
                <w:sz w:val="20"/>
                <w:szCs w:val="20"/>
                <w:lang w:val="es-ES_tradnl"/>
              </w:rPr>
            </w:pPr>
          </w:p>
          <w:p w14:paraId="4016282C" w14:textId="2D0FF22F" w:rsidR="00FE5DE8" w:rsidRDefault="00FE5DE8" w:rsidP="006021BF">
            <w:pPr>
              <w:ind w:left="-4"/>
              <w:jc w:val="both"/>
              <w:rPr>
                <w:rFonts w:ascii="Arial" w:hAnsi="Arial" w:cs="Arial"/>
                <w:sz w:val="20"/>
                <w:szCs w:val="20"/>
                <w:lang w:val="es-ES_tradnl"/>
              </w:rPr>
            </w:pPr>
          </w:p>
          <w:p w14:paraId="57CAB284" w14:textId="162F49B2" w:rsidR="00FE5DE8" w:rsidRDefault="00FE5DE8" w:rsidP="006021BF">
            <w:pPr>
              <w:ind w:left="-4"/>
              <w:jc w:val="both"/>
              <w:rPr>
                <w:rFonts w:ascii="Arial" w:hAnsi="Arial" w:cs="Arial"/>
                <w:sz w:val="20"/>
                <w:szCs w:val="20"/>
                <w:lang w:val="es-ES_tradnl"/>
              </w:rPr>
            </w:pPr>
          </w:p>
          <w:p w14:paraId="2F2B000A" w14:textId="1FAD5953" w:rsidR="00FE5DE8" w:rsidRDefault="00FE5DE8" w:rsidP="006021BF">
            <w:pPr>
              <w:ind w:left="-4"/>
              <w:jc w:val="both"/>
              <w:rPr>
                <w:rFonts w:ascii="Arial" w:hAnsi="Arial" w:cs="Arial"/>
                <w:sz w:val="20"/>
                <w:szCs w:val="20"/>
                <w:lang w:val="es-ES_tradnl"/>
              </w:rPr>
            </w:pPr>
          </w:p>
          <w:p w14:paraId="584888E3" w14:textId="71B84E18" w:rsidR="00FE5DE8" w:rsidRDefault="00FE5DE8" w:rsidP="006021BF">
            <w:pPr>
              <w:ind w:left="-4"/>
              <w:jc w:val="both"/>
              <w:rPr>
                <w:rFonts w:ascii="Arial" w:hAnsi="Arial" w:cs="Arial"/>
                <w:sz w:val="20"/>
                <w:szCs w:val="20"/>
                <w:lang w:val="es-ES_tradnl"/>
              </w:rPr>
            </w:pPr>
          </w:p>
          <w:p w14:paraId="4698E28F" w14:textId="77777777" w:rsidR="00FE5DE8" w:rsidRDefault="00FE5DE8" w:rsidP="006021BF">
            <w:pPr>
              <w:ind w:left="-4"/>
              <w:jc w:val="both"/>
              <w:rPr>
                <w:rFonts w:ascii="Arial" w:hAnsi="Arial" w:cs="Arial"/>
                <w:sz w:val="20"/>
                <w:szCs w:val="20"/>
                <w:lang w:val="es-ES_tradnl"/>
              </w:rPr>
            </w:pPr>
          </w:p>
          <w:p w14:paraId="2D8C293A" w14:textId="77777777" w:rsidR="001C2617" w:rsidRDefault="001C2617" w:rsidP="006021BF">
            <w:pPr>
              <w:ind w:left="-4"/>
              <w:jc w:val="both"/>
              <w:rPr>
                <w:rFonts w:ascii="Arial" w:hAnsi="Arial" w:cs="Arial"/>
                <w:sz w:val="20"/>
                <w:szCs w:val="20"/>
                <w:lang w:val="es-ES_tradnl"/>
              </w:rPr>
            </w:pPr>
          </w:p>
          <w:p w14:paraId="75165E26" w14:textId="77777777" w:rsidR="001C2617" w:rsidRDefault="001C2617" w:rsidP="006021BF">
            <w:pPr>
              <w:ind w:left="-4"/>
              <w:jc w:val="both"/>
              <w:rPr>
                <w:rFonts w:ascii="Arial" w:hAnsi="Arial" w:cs="Arial"/>
                <w:sz w:val="20"/>
                <w:szCs w:val="20"/>
                <w:lang w:val="es-ES_tradnl"/>
              </w:rPr>
            </w:pPr>
            <w:r>
              <w:rPr>
                <w:rFonts w:ascii="Arial" w:hAnsi="Arial" w:cs="Arial"/>
                <w:sz w:val="20"/>
                <w:szCs w:val="20"/>
                <w:lang w:val="es-ES_tradnl"/>
              </w:rPr>
              <w:t>SUNAT</w:t>
            </w:r>
          </w:p>
          <w:p w14:paraId="7626CDF7" w14:textId="77777777" w:rsidR="001C2617" w:rsidRDefault="001C2617" w:rsidP="006021BF">
            <w:pPr>
              <w:ind w:left="-4"/>
              <w:jc w:val="both"/>
              <w:rPr>
                <w:rFonts w:ascii="Arial" w:hAnsi="Arial" w:cs="Arial"/>
                <w:sz w:val="20"/>
                <w:szCs w:val="20"/>
                <w:lang w:val="es-ES_tradnl"/>
              </w:rPr>
            </w:pPr>
          </w:p>
          <w:p w14:paraId="49B867CE" w14:textId="77777777" w:rsidR="001C2617" w:rsidRDefault="001C2617" w:rsidP="006021BF">
            <w:pPr>
              <w:ind w:left="-4"/>
              <w:jc w:val="both"/>
              <w:rPr>
                <w:rFonts w:ascii="Arial" w:hAnsi="Arial" w:cs="Arial"/>
                <w:sz w:val="20"/>
                <w:szCs w:val="20"/>
                <w:lang w:val="es-ES_tradnl"/>
              </w:rPr>
            </w:pPr>
          </w:p>
          <w:p w14:paraId="4273130B" w14:textId="72385AE4" w:rsidR="001C2617" w:rsidRDefault="001C2617" w:rsidP="006021BF">
            <w:pPr>
              <w:ind w:left="-4"/>
              <w:jc w:val="both"/>
              <w:rPr>
                <w:rFonts w:ascii="Arial" w:hAnsi="Arial" w:cs="Arial"/>
                <w:sz w:val="20"/>
                <w:szCs w:val="20"/>
                <w:lang w:val="es-ES_tradnl"/>
              </w:rPr>
            </w:pPr>
          </w:p>
          <w:p w14:paraId="619574FA" w14:textId="77777777" w:rsidR="001C2617" w:rsidRDefault="001C2617" w:rsidP="006021BF">
            <w:pPr>
              <w:ind w:left="-4"/>
              <w:jc w:val="both"/>
              <w:rPr>
                <w:rFonts w:ascii="Arial" w:hAnsi="Arial" w:cs="Arial"/>
                <w:sz w:val="20"/>
                <w:szCs w:val="20"/>
                <w:lang w:val="es-ES_tradnl"/>
              </w:rPr>
            </w:pPr>
            <w:r>
              <w:rPr>
                <w:rFonts w:ascii="Arial" w:hAnsi="Arial" w:cs="Arial"/>
                <w:sz w:val="20"/>
                <w:szCs w:val="20"/>
                <w:lang w:val="es-ES_tradnl"/>
              </w:rPr>
              <w:t>SUNAT</w:t>
            </w:r>
          </w:p>
          <w:p w14:paraId="3DB588F7" w14:textId="77777777" w:rsidR="001C2617" w:rsidRDefault="001C2617" w:rsidP="006021BF">
            <w:pPr>
              <w:ind w:left="-4"/>
              <w:jc w:val="both"/>
              <w:rPr>
                <w:rFonts w:ascii="Arial" w:hAnsi="Arial" w:cs="Arial"/>
                <w:sz w:val="20"/>
                <w:szCs w:val="20"/>
                <w:lang w:val="es-ES_tradnl"/>
              </w:rPr>
            </w:pPr>
          </w:p>
          <w:p w14:paraId="78544604" w14:textId="77777777" w:rsidR="001C2617" w:rsidRDefault="001C2617" w:rsidP="006021BF">
            <w:pPr>
              <w:ind w:left="-4"/>
              <w:jc w:val="both"/>
              <w:rPr>
                <w:rFonts w:ascii="Arial" w:hAnsi="Arial" w:cs="Arial"/>
                <w:sz w:val="20"/>
                <w:szCs w:val="20"/>
                <w:lang w:val="es-ES_tradnl"/>
              </w:rPr>
            </w:pPr>
          </w:p>
          <w:p w14:paraId="540F02EF" w14:textId="6AB368AF" w:rsidR="001C2617" w:rsidRDefault="001C2617" w:rsidP="006021BF">
            <w:pPr>
              <w:ind w:left="-4"/>
              <w:jc w:val="both"/>
              <w:rPr>
                <w:rFonts w:ascii="Arial" w:hAnsi="Arial" w:cs="Arial"/>
                <w:sz w:val="20"/>
                <w:szCs w:val="20"/>
                <w:lang w:val="es-ES_tradnl"/>
              </w:rPr>
            </w:pPr>
          </w:p>
          <w:p w14:paraId="7FC3E1B4" w14:textId="18B6B852" w:rsidR="00FE5DE8" w:rsidRDefault="00FE5DE8" w:rsidP="006021BF">
            <w:pPr>
              <w:ind w:left="-4"/>
              <w:jc w:val="both"/>
              <w:rPr>
                <w:rFonts w:ascii="Arial" w:hAnsi="Arial" w:cs="Arial"/>
                <w:sz w:val="20"/>
                <w:szCs w:val="20"/>
                <w:lang w:val="es-ES_tradnl"/>
              </w:rPr>
            </w:pPr>
          </w:p>
          <w:p w14:paraId="34C9D411" w14:textId="3DD96572" w:rsidR="00FE5DE8" w:rsidRDefault="00FE5DE8" w:rsidP="006021BF">
            <w:pPr>
              <w:ind w:left="-4"/>
              <w:jc w:val="both"/>
              <w:rPr>
                <w:rFonts w:ascii="Arial" w:hAnsi="Arial" w:cs="Arial"/>
                <w:sz w:val="20"/>
                <w:szCs w:val="20"/>
                <w:lang w:val="es-ES_tradnl"/>
              </w:rPr>
            </w:pPr>
          </w:p>
          <w:p w14:paraId="58159503" w14:textId="4F0282AF" w:rsidR="00FE5DE8" w:rsidRDefault="00FE5DE8" w:rsidP="006021BF">
            <w:pPr>
              <w:ind w:left="-4"/>
              <w:jc w:val="both"/>
              <w:rPr>
                <w:rFonts w:ascii="Arial" w:hAnsi="Arial" w:cs="Arial"/>
                <w:sz w:val="20"/>
                <w:szCs w:val="20"/>
                <w:lang w:val="es-ES_tradnl"/>
              </w:rPr>
            </w:pPr>
          </w:p>
          <w:p w14:paraId="2E5C5150" w14:textId="77777777" w:rsidR="00FE5DE8" w:rsidRDefault="00FE5DE8" w:rsidP="006021BF">
            <w:pPr>
              <w:ind w:left="-4"/>
              <w:jc w:val="both"/>
              <w:rPr>
                <w:rFonts w:ascii="Arial" w:hAnsi="Arial" w:cs="Arial"/>
                <w:sz w:val="20"/>
                <w:szCs w:val="20"/>
                <w:lang w:val="es-ES_tradnl"/>
              </w:rPr>
            </w:pPr>
          </w:p>
          <w:p w14:paraId="5EF071D9" w14:textId="77777777" w:rsidR="001C2617" w:rsidRDefault="001C2617" w:rsidP="006021BF">
            <w:pPr>
              <w:ind w:left="-4"/>
              <w:jc w:val="both"/>
              <w:rPr>
                <w:rFonts w:ascii="Arial" w:hAnsi="Arial" w:cs="Arial"/>
                <w:sz w:val="20"/>
                <w:szCs w:val="20"/>
                <w:lang w:val="es-ES_tradnl"/>
              </w:rPr>
            </w:pPr>
          </w:p>
          <w:p w14:paraId="1823E51C" w14:textId="3664E2C2" w:rsidR="001C2617" w:rsidRDefault="001C2617" w:rsidP="008D1CBB">
            <w:pPr>
              <w:spacing w:before="240"/>
              <w:ind w:left="-4"/>
              <w:jc w:val="both"/>
              <w:rPr>
                <w:rFonts w:ascii="Arial" w:hAnsi="Arial" w:cs="Arial"/>
                <w:sz w:val="20"/>
                <w:szCs w:val="20"/>
                <w:lang w:val="es-ES_tradnl"/>
              </w:rPr>
            </w:pPr>
            <w:r>
              <w:rPr>
                <w:rFonts w:ascii="Arial" w:hAnsi="Arial" w:cs="Arial"/>
                <w:sz w:val="20"/>
                <w:szCs w:val="20"/>
                <w:lang w:val="es-ES_tradnl"/>
              </w:rPr>
              <w:t>SUNAT</w:t>
            </w:r>
          </w:p>
          <w:p w14:paraId="3419269C" w14:textId="77777777" w:rsidR="001C2617" w:rsidRPr="00390238" w:rsidRDefault="001C2617" w:rsidP="006021BF">
            <w:pPr>
              <w:ind w:left="-4"/>
              <w:jc w:val="both"/>
              <w:rPr>
                <w:rFonts w:ascii="Arial" w:hAnsi="Arial" w:cs="Arial"/>
                <w:sz w:val="20"/>
                <w:szCs w:val="20"/>
                <w:lang w:val="es-ES_tradnl"/>
              </w:rPr>
            </w:pPr>
          </w:p>
        </w:tc>
      </w:tr>
      <w:bookmarkEnd w:id="5"/>
      <w:tr w:rsidR="006021BF" w:rsidRPr="00390238" w14:paraId="02513ACE" w14:textId="77777777" w:rsidTr="003260CD">
        <w:tc>
          <w:tcPr>
            <w:tcW w:w="14211" w:type="dxa"/>
            <w:gridSpan w:val="5"/>
          </w:tcPr>
          <w:p w14:paraId="07B693D0" w14:textId="77777777" w:rsidR="006021BF" w:rsidRPr="00390238" w:rsidRDefault="006021BF" w:rsidP="006021BF">
            <w:pPr>
              <w:spacing w:before="120" w:after="120"/>
              <w:ind w:left="-4"/>
              <w:jc w:val="both"/>
              <w:rPr>
                <w:rFonts w:ascii="Arial" w:hAnsi="Arial" w:cs="Arial"/>
                <w:sz w:val="20"/>
                <w:szCs w:val="20"/>
                <w:lang w:val="es-ES_tradnl"/>
              </w:rPr>
            </w:pPr>
            <w:r w:rsidRPr="006021BF">
              <w:rPr>
                <w:rFonts w:ascii="Arial" w:hAnsi="Arial"/>
                <w:b/>
                <w:sz w:val="20"/>
                <w:lang w:val="es-ES_tradnl"/>
              </w:rPr>
              <w:t>Componente VI – Facilitar la coordinación interinstitucional</w:t>
            </w:r>
            <w:r w:rsidRPr="00390238">
              <w:rPr>
                <w:rFonts w:ascii="Arial" w:hAnsi="Arial" w:cs="Arial"/>
                <w:b/>
                <w:sz w:val="20"/>
                <w:szCs w:val="20"/>
              </w:rPr>
              <w:t xml:space="preserve"> </w:t>
            </w:r>
          </w:p>
        </w:tc>
      </w:tr>
      <w:tr w:rsidR="006021BF" w:rsidRPr="00390238" w14:paraId="0EB13022" w14:textId="77777777" w:rsidTr="00992CCD">
        <w:tc>
          <w:tcPr>
            <w:tcW w:w="2691" w:type="dxa"/>
          </w:tcPr>
          <w:p w14:paraId="192EFF6F" w14:textId="3AEEE3B9" w:rsidR="001C2617" w:rsidRPr="00390238" w:rsidRDefault="001C2617" w:rsidP="006021BF">
            <w:pPr>
              <w:spacing w:after="120"/>
              <w:jc w:val="both"/>
              <w:rPr>
                <w:rFonts w:ascii="Arial" w:hAnsi="Arial" w:cs="Arial"/>
                <w:sz w:val="20"/>
                <w:szCs w:val="20"/>
                <w:lang w:val="es-ES_tradnl"/>
              </w:rPr>
            </w:pPr>
            <w:r w:rsidRPr="006021BF">
              <w:rPr>
                <w:rFonts w:ascii="Arial" w:hAnsi="Arial"/>
                <w:sz w:val="20"/>
                <w:lang w:val="es-ES_tradnl"/>
              </w:rPr>
              <w:t xml:space="preserve">6.1 </w:t>
            </w:r>
            <w:r w:rsidR="00E50097" w:rsidRPr="006021BF">
              <w:rPr>
                <w:rFonts w:ascii="Arial" w:hAnsi="Arial"/>
                <w:sz w:val="20"/>
                <w:lang w:val="es-ES_tradnl"/>
              </w:rPr>
              <w:t xml:space="preserve">Desarrollar </w:t>
            </w:r>
            <w:r w:rsidR="00E50097" w:rsidRPr="00390238">
              <w:rPr>
                <w:rFonts w:ascii="Arial" w:hAnsi="Arial" w:cs="Arial"/>
                <w:sz w:val="20"/>
                <w:szCs w:val="20"/>
                <w:lang w:val="es-ES_tradnl"/>
              </w:rPr>
              <w:t>una hoja de ruta de mediano plazo orientada a mejorar la productividad y la competitividad</w:t>
            </w:r>
            <w:r w:rsidR="00E50097">
              <w:rPr>
                <w:rFonts w:ascii="Arial" w:hAnsi="Arial" w:cs="Arial"/>
                <w:sz w:val="20"/>
                <w:szCs w:val="20"/>
                <w:lang w:val="es-ES_tradnl"/>
              </w:rPr>
              <w:t>, y generar la capacidad institucional para su adecuada implementación.</w:t>
            </w:r>
          </w:p>
        </w:tc>
        <w:tc>
          <w:tcPr>
            <w:tcW w:w="4950" w:type="dxa"/>
            <w:shd w:val="clear" w:color="auto" w:fill="auto"/>
          </w:tcPr>
          <w:p w14:paraId="3B0A0384" w14:textId="21EF6D7A" w:rsidR="001C2617" w:rsidRDefault="001C2617" w:rsidP="006021BF">
            <w:pPr>
              <w:ind w:left="-4"/>
              <w:jc w:val="both"/>
              <w:rPr>
                <w:rFonts w:ascii="Arial" w:hAnsi="Arial" w:cs="Arial"/>
                <w:sz w:val="20"/>
                <w:szCs w:val="20"/>
                <w:lang w:val="es-ES_tradnl"/>
              </w:rPr>
            </w:pPr>
            <w:r w:rsidRPr="00390238">
              <w:rPr>
                <w:rFonts w:ascii="Arial" w:hAnsi="Arial" w:cs="Arial"/>
                <w:sz w:val="20"/>
                <w:szCs w:val="20"/>
                <w:lang w:val="es-ES_tradnl"/>
              </w:rPr>
              <w:t xml:space="preserve">6.1 Que el Consejo Nacional de Competitividad y Formalización (CNCF) haya </w:t>
            </w:r>
            <w:bookmarkStart w:id="7" w:name="_Hlk508272556"/>
            <w:r w:rsidR="00A84DCA">
              <w:rPr>
                <w:rFonts w:ascii="Arial" w:hAnsi="Arial" w:cs="Arial"/>
                <w:sz w:val="20"/>
                <w:szCs w:val="20"/>
                <w:lang w:val="es-ES_tradnl"/>
              </w:rPr>
              <w:t>elaborado una propuesta sobre</w:t>
            </w:r>
            <w:r w:rsidR="00A84DCA" w:rsidRPr="00390238" w:rsidDel="00A84DCA">
              <w:rPr>
                <w:rFonts w:ascii="Arial" w:hAnsi="Arial" w:cs="Arial"/>
                <w:sz w:val="20"/>
                <w:szCs w:val="20"/>
                <w:lang w:val="es-ES_tradnl"/>
              </w:rPr>
              <w:t xml:space="preserve"> </w:t>
            </w:r>
            <w:r w:rsidRPr="00390238">
              <w:rPr>
                <w:rFonts w:ascii="Arial" w:hAnsi="Arial" w:cs="Arial"/>
                <w:sz w:val="20"/>
                <w:szCs w:val="20"/>
                <w:lang w:val="es-ES_tradnl"/>
              </w:rPr>
              <w:t xml:space="preserve">los ejes prioritarios para impulsar la </w:t>
            </w:r>
            <w:r w:rsidR="00101B48" w:rsidRPr="00390238">
              <w:rPr>
                <w:rFonts w:ascii="Arial" w:hAnsi="Arial" w:cs="Arial"/>
                <w:sz w:val="20"/>
                <w:szCs w:val="20"/>
                <w:lang w:val="es-ES_tradnl"/>
              </w:rPr>
              <w:t>competitividad</w:t>
            </w:r>
            <w:r w:rsidR="00101B48" w:rsidRPr="00390238" w:rsidDel="00101B48">
              <w:rPr>
                <w:rFonts w:ascii="Arial" w:hAnsi="Arial" w:cs="Arial"/>
                <w:sz w:val="20"/>
                <w:szCs w:val="20"/>
                <w:lang w:val="es-ES_tradnl"/>
              </w:rPr>
              <w:t xml:space="preserve"> </w:t>
            </w:r>
            <w:r w:rsidRPr="00390238">
              <w:rPr>
                <w:rFonts w:ascii="Arial" w:hAnsi="Arial" w:cs="Arial"/>
                <w:sz w:val="20"/>
                <w:szCs w:val="20"/>
                <w:lang w:val="es-ES_tradnl"/>
              </w:rPr>
              <w:t xml:space="preserve">y la </w:t>
            </w:r>
            <w:r w:rsidR="00101B48" w:rsidRPr="00390238">
              <w:rPr>
                <w:rFonts w:ascii="Arial" w:hAnsi="Arial" w:cs="Arial"/>
                <w:sz w:val="20"/>
                <w:szCs w:val="20"/>
                <w:lang w:val="es-ES_tradnl"/>
              </w:rPr>
              <w:t>productividad</w:t>
            </w:r>
            <w:r w:rsidRPr="00390238">
              <w:rPr>
                <w:rFonts w:ascii="Arial" w:hAnsi="Arial" w:cs="Arial"/>
                <w:sz w:val="20"/>
                <w:szCs w:val="20"/>
                <w:lang w:val="es-ES_tradnl"/>
              </w:rPr>
              <w:t xml:space="preserve">, los cuales serán luego considerados en la Política Nacional de Competitividad 2019-2022 (PoNC) y el Plan Nacional de Competitividad 2019-2022 (PNC). Esta identificación considerará un diagnóstico de cada eje, los respectivos objetivos específicos, y las principales acciones a realizar. </w:t>
            </w:r>
            <w:bookmarkEnd w:id="7"/>
          </w:p>
          <w:p w14:paraId="0A35AFA8" w14:textId="77777777" w:rsidR="00D16372" w:rsidRDefault="00D16372" w:rsidP="006021BF">
            <w:pPr>
              <w:ind w:left="-4"/>
              <w:jc w:val="both"/>
              <w:rPr>
                <w:rFonts w:ascii="Arial" w:hAnsi="Arial" w:cs="Arial"/>
                <w:sz w:val="20"/>
                <w:szCs w:val="20"/>
                <w:lang w:val="es-ES_tradnl"/>
              </w:rPr>
            </w:pPr>
          </w:p>
          <w:p w14:paraId="48A06532" w14:textId="2ED5FABC" w:rsidR="00D16372" w:rsidRPr="00390238" w:rsidRDefault="00D16372" w:rsidP="006021BF">
            <w:pPr>
              <w:ind w:left="-4"/>
              <w:jc w:val="both"/>
              <w:rPr>
                <w:rFonts w:ascii="Arial" w:hAnsi="Arial" w:cs="Arial"/>
                <w:sz w:val="20"/>
                <w:szCs w:val="20"/>
                <w:lang w:val="es-ES_tradnl"/>
              </w:rPr>
            </w:pPr>
            <w:r>
              <w:rPr>
                <w:rFonts w:ascii="Arial" w:hAnsi="Arial" w:cs="Arial"/>
                <w:sz w:val="20"/>
                <w:szCs w:val="20"/>
                <w:lang w:val="es-ES_tradnl"/>
              </w:rPr>
              <w:t xml:space="preserve">6.2 </w:t>
            </w:r>
            <w:r w:rsidR="00E50097">
              <w:rPr>
                <w:rFonts w:ascii="Arial" w:hAnsi="Arial" w:cs="Arial"/>
                <w:sz w:val="20"/>
                <w:szCs w:val="20"/>
                <w:lang w:val="es-ES_tradnl"/>
              </w:rPr>
              <w:t>Que el Programa Nacional de Innovación para la Competitividad y Productividad haya iniciado el proceso de construcción de hojas de rutas tecnológicas para mejorar la competitividad en al menos dos sectores.</w:t>
            </w:r>
          </w:p>
        </w:tc>
        <w:tc>
          <w:tcPr>
            <w:tcW w:w="3150" w:type="dxa"/>
            <w:shd w:val="clear" w:color="auto" w:fill="auto"/>
          </w:tcPr>
          <w:p w14:paraId="4C570C99" w14:textId="4EF46633" w:rsidR="001C2617" w:rsidRDefault="001C2617" w:rsidP="006021BF">
            <w:pPr>
              <w:ind w:left="-4"/>
              <w:jc w:val="both"/>
              <w:rPr>
                <w:rFonts w:ascii="Arial" w:eastAsia="Times New Roman" w:hAnsi="Arial" w:cs="Arial"/>
                <w:bCs/>
                <w:kern w:val="36"/>
                <w:sz w:val="20"/>
                <w:szCs w:val="20"/>
                <w:lang w:val="es-ES_tradnl"/>
              </w:rPr>
            </w:pPr>
            <w:r w:rsidRPr="008B633D">
              <w:rPr>
                <w:rFonts w:ascii="Arial" w:eastAsia="Times New Roman" w:hAnsi="Arial" w:cs="Arial"/>
                <w:bCs/>
                <w:kern w:val="36"/>
                <w:sz w:val="20"/>
                <w:szCs w:val="20"/>
                <w:lang w:val="es-ES_tradnl"/>
              </w:rPr>
              <w:t xml:space="preserve">6.1. </w:t>
            </w:r>
            <w:r w:rsidR="00F96741">
              <w:rPr>
                <w:rFonts w:ascii="Arial" w:eastAsia="Times New Roman" w:hAnsi="Arial" w:cs="Arial"/>
                <w:bCs/>
                <w:kern w:val="36"/>
                <w:sz w:val="20"/>
                <w:szCs w:val="20"/>
                <w:lang w:val="es-ES_tradnl"/>
              </w:rPr>
              <w:t>Memorando N°</w:t>
            </w:r>
            <w:r w:rsidR="00F909CF">
              <w:rPr>
                <w:rFonts w:ascii="Arial" w:eastAsia="Times New Roman" w:hAnsi="Arial" w:cs="Arial"/>
                <w:bCs/>
                <w:kern w:val="36"/>
                <w:sz w:val="20"/>
                <w:szCs w:val="20"/>
                <w:lang w:val="es-ES_tradnl"/>
              </w:rPr>
              <w:t> </w:t>
            </w:r>
            <w:r w:rsidR="00F96741">
              <w:rPr>
                <w:rFonts w:ascii="Arial" w:eastAsia="Times New Roman" w:hAnsi="Arial" w:cs="Arial"/>
                <w:bCs/>
                <w:kern w:val="36"/>
                <w:sz w:val="20"/>
                <w:szCs w:val="20"/>
                <w:lang w:val="es-ES_tradnl"/>
              </w:rPr>
              <w:t>171-2018</w:t>
            </w:r>
            <w:r w:rsidR="00101B48">
              <w:rPr>
                <w:rFonts w:ascii="Arial" w:eastAsia="Times New Roman" w:hAnsi="Arial" w:cs="Arial"/>
                <w:bCs/>
                <w:kern w:val="36"/>
                <w:sz w:val="20"/>
                <w:szCs w:val="20"/>
                <w:lang w:val="es-ES_tradnl"/>
              </w:rPr>
              <w:t>-</w:t>
            </w:r>
            <w:r w:rsidR="00F96741">
              <w:rPr>
                <w:rFonts w:ascii="Arial" w:eastAsia="Times New Roman" w:hAnsi="Arial" w:cs="Arial"/>
                <w:bCs/>
                <w:kern w:val="36"/>
                <w:sz w:val="20"/>
                <w:szCs w:val="20"/>
                <w:lang w:val="es-ES_tradnl"/>
              </w:rPr>
              <w:t>EF/35.01</w:t>
            </w:r>
            <w:r w:rsidR="00101B48">
              <w:rPr>
                <w:rFonts w:ascii="Arial" w:eastAsia="Times New Roman" w:hAnsi="Arial" w:cs="Arial"/>
                <w:bCs/>
                <w:kern w:val="36"/>
                <w:sz w:val="20"/>
                <w:szCs w:val="20"/>
                <w:lang w:val="es-ES_tradnl"/>
              </w:rPr>
              <w:t>, del 25</w:t>
            </w:r>
            <w:r w:rsidR="000A3961">
              <w:rPr>
                <w:rFonts w:ascii="Arial" w:eastAsia="Times New Roman" w:hAnsi="Arial" w:cs="Arial"/>
                <w:bCs/>
                <w:kern w:val="36"/>
                <w:sz w:val="20"/>
                <w:szCs w:val="20"/>
                <w:lang w:val="es-ES_tradnl"/>
              </w:rPr>
              <w:t> de septiembre</w:t>
            </w:r>
            <w:r w:rsidR="00F909CF">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de</w:t>
            </w:r>
            <w:r w:rsidR="00F909CF">
              <w:rPr>
                <w:rFonts w:ascii="Arial" w:eastAsia="Times New Roman" w:hAnsi="Arial" w:cs="Arial"/>
                <w:bCs/>
                <w:kern w:val="36"/>
                <w:sz w:val="20"/>
                <w:szCs w:val="20"/>
                <w:lang w:val="es-ES_tradnl"/>
              </w:rPr>
              <w:t> </w:t>
            </w:r>
            <w:r w:rsidR="000A3961">
              <w:rPr>
                <w:rFonts w:ascii="Arial" w:eastAsia="Times New Roman" w:hAnsi="Arial" w:cs="Arial"/>
                <w:bCs/>
                <w:kern w:val="36"/>
                <w:sz w:val="20"/>
                <w:szCs w:val="20"/>
                <w:lang w:val="es-ES_tradnl"/>
              </w:rPr>
              <w:t>20</w:t>
            </w:r>
            <w:r w:rsidR="00101B48">
              <w:rPr>
                <w:rFonts w:ascii="Arial" w:eastAsia="Times New Roman" w:hAnsi="Arial" w:cs="Arial"/>
                <w:bCs/>
                <w:kern w:val="36"/>
                <w:sz w:val="20"/>
                <w:szCs w:val="20"/>
                <w:lang w:val="es-ES_tradnl"/>
              </w:rPr>
              <w:t xml:space="preserve">18, </w:t>
            </w:r>
            <w:r w:rsidR="00D3315E">
              <w:rPr>
                <w:rFonts w:ascii="Arial" w:eastAsia="Times New Roman" w:hAnsi="Arial" w:cs="Arial"/>
                <w:bCs/>
                <w:kern w:val="36"/>
                <w:sz w:val="20"/>
                <w:szCs w:val="20"/>
                <w:lang w:val="es-ES_tradnl"/>
              </w:rPr>
              <w:t>del CNCF remitiendo el d</w:t>
            </w:r>
            <w:r>
              <w:rPr>
                <w:rFonts w:ascii="Arial" w:eastAsia="Times New Roman" w:hAnsi="Arial" w:cs="Arial"/>
                <w:bCs/>
                <w:kern w:val="36"/>
                <w:sz w:val="20"/>
                <w:szCs w:val="20"/>
                <w:lang w:val="es-ES_tradnl"/>
              </w:rPr>
              <w:t xml:space="preserve">ocumento de </w:t>
            </w:r>
            <w:r w:rsidRPr="008B633D">
              <w:rPr>
                <w:rFonts w:ascii="Arial" w:eastAsia="Times New Roman" w:hAnsi="Arial" w:cs="Arial"/>
                <w:bCs/>
                <w:kern w:val="36"/>
                <w:sz w:val="20"/>
                <w:szCs w:val="20"/>
                <w:lang w:val="es-ES_tradnl"/>
              </w:rPr>
              <w:t xml:space="preserve">Propuesta de Ejes para impulsar la </w:t>
            </w:r>
            <w:r w:rsidR="00101B48" w:rsidRPr="008B633D">
              <w:rPr>
                <w:rFonts w:ascii="Arial" w:eastAsia="Times New Roman" w:hAnsi="Arial" w:cs="Arial"/>
                <w:bCs/>
                <w:kern w:val="36"/>
                <w:sz w:val="20"/>
                <w:szCs w:val="20"/>
                <w:lang w:val="es-ES_tradnl"/>
              </w:rPr>
              <w:t>competitividad</w:t>
            </w:r>
            <w:r w:rsidR="00101B48" w:rsidRPr="008B633D" w:rsidDel="00101B48">
              <w:rPr>
                <w:rFonts w:ascii="Arial" w:eastAsia="Times New Roman" w:hAnsi="Arial" w:cs="Arial"/>
                <w:bCs/>
                <w:kern w:val="36"/>
                <w:sz w:val="20"/>
                <w:szCs w:val="20"/>
                <w:lang w:val="es-ES_tradnl"/>
              </w:rPr>
              <w:t xml:space="preserve"> </w:t>
            </w:r>
            <w:r w:rsidRPr="008B633D">
              <w:rPr>
                <w:rFonts w:ascii="Arial" w:eastAsia="Times New Roman" w:hAnsi="Arial" w:cs="Arial"/>
                <w:bCs/>
                <w:kern w:val="36"/>
                <w:sz w:val="20"/>
                <w:szCs w:val="20"/>
                <w:lang w:val="es-ES_tradnl"/>
              </w:rPr>
              <w:t>y</w:t>
            </w:r>
            <w:r w:rsidR="00101B48">
              <w:rPr>
                <w:rFonts w:ascii="Arial" w:eastAsia="Times New Roman" w:hAnsi="Arial" w:cs="Arial"/>
                <w:bCs/>
                <w:kern w:val="36"/>
                <w:sz w:val="20"/>
                <w:szCs w:val="20"/>
                <w:lang w:val="es-ES_tradnl"/>
              </w:rPr>
              <w:t xml:space="preserve"> la</w:t>
            </w:r>
            <w:r w:rsidRPr="008B633D">
              <w:rPr>
                <w:rFonts w:ascii="Arial" w:eastAsia="Times New Roman" w:hAnsi="Arial" w:cs="Arial"/>
                <w:bCs/>
                <w:kern w:val="36"/>
                <w:sz w:val="20"/>
                <w:szCs w:val="20"/>
                <w:lang w:val="es-ES_tradnl"/>
              </w:rPr>
              <w:t xml:space="preserve"> </w:t>
            </w:r>
            <w:r w:rsidR="00101B48" w:rsidRPr="008B633D">
              <w:rPr>
                <w:rFonts w:ascii="Arial" w:eastAsia="Times New Roman" w:hAnsi="Arial" w:cs="Arial"/>
                <w:bCs/>
                <w:kern w:val="36"/>
                <w:sz w:val="20"/>
                <w:szCs w:val="20"/>
                <w:lang w:val="es-ES_tradnl"/>
              </w:rPr>
              <w:t>productividad</w:t>
            </w:r>
            <w:r w:rsidRPr="008B633D">
              <w:rPr>
                <w:rFonts w:ascii="Arial" w:eastAsia="Times New Roman" w:hAnsi="Arial" w:cs="Arial"/>
                <w:bCs/>
                <w:kern w:val="36"/>
                <w:sz w:val="20"/>
                <w:szCs w:val="20"/>
                <w:lang w:val="es-ES_tradnl"/>
              </w:rPr>
              <w:t>.</w:t>
            </w:r>
          </w:p>
          <w:p w14:paraId="428B36D4" w14:textId="77777777" w:rsidR="00D16372" w:rsidRDefault="00D16372" w:rsidP="006021BF">
            <w:pPr>
              <w:ind w:left="-4"/>
              <w:jc w:val="both"/>
              <w:rPr>
                <w:rFonts w:ascii="Arial" w:eastAsia="Times New Roman" w:hAnsi="Arial" w:cs="Arial"/>
                <w:bCs/>
                <w:kern w:val="36"/>
                <w:sz w:val="20"/>
                <w:szCs w:val="20"/>
                <w:lang w:val="es-ES_tradnl"/>
              </w:rPr>
            </w:pPr>
          </w:p>
          <w:p w14:paraId="71C33668" w14:textId="2FB097A6" w:rsidR="00D16372" w:rsidRDefault="00D16372" w:rsidP="006021BF">
            <w:pPr>
              <w:ind w:left="-4"/>
              <w:jc w:val="both"/>
              <w:rPr>
                <w:rFonts w:ascii="Arial" w:eastAsia="Times New Roman" w:hAnsi="Arial" w:cs="Arial"/>
                <w:bCs/>
                <w:kern w:val="36"/>
                <w:sz w:val="20"/>
                <w:szCs w:val="20"/>
                <w:lang w:val="es-ES_tradnl"/>
              </w:rPr>
            </w:pPr>
          </w:p>
          <w:p w14:paraId="24B68376" w14:textId="08DE1CA3" w:rsidR="008D1CBB" w:rsidRDefault="008D1CBB" w:rsidP="006021BF">
            <w:pPr>
              <w:ind w:left="-4"/>
              <w:jc w:val="both"/>
              <w:rPr>
                <w:rFonts w:ascii="Arial" w:eastAsia="Times New Roman" w:hAnsi="Arial" w:cs="Arial"/>
                <w:bCs/>
                <w:kern w:val="36"/>
                <w:sz w:val="20"/>
                <w:szCs w:val="20"/>
                <w:lang w:val="es-ES_tradnl"/>
              </w:rPr>
            </w:pPr>
          </w:p>
          <w:p w14:paraId="4BFD59BA" w14:textId="51681D78" w:rsidR="008D1CBB" w:rsidRDefault="008D1CBB" w:rsidP="006021BF">
            <w:pPr>
              <w:ind w:left="-4"/>
              <w:jc w:val="both"/>
              <w:rPr>
                <w:rFonts w:ascii="Arial" w:eastAsia="Times New Roman" w:hAnsi="Arial" w:cs="Arial"/>
                <w:bCs/>
                <w:kern w:val="36"/>
                <w:sz w:val="20"/>
                <w:szCs w:val="20"/>
                <w:lang w:val="es-ES_tradnl"/>
              </w:rPr>
            </w:pPr>
          </w:p>
          <w:p w14:paraId="1BED8469" w14:textId="01FD6AAB" w:rsidR="008D1CBB" w:rsidRDefault="008D1CBB" w:rsidP="006021BF">
            <w:pPr>
              <w:ind w:left="-4"/>
              <w:jc w:val="both"/>
              <w:rPr>
                <w:rFonts w:ascii="Arial" w:eastAsia="Times New Roman" w:hAnsi="Arial" w:cs="Arial"/>
                <w:bCs/>
                <w:kern w:val="36"/>
                <w:sz w:val="20"/>
                <w:szCs w:val="20"/>
                <w:lang w:val="es-ES_tradnl"/>
              </w:rPr>
            </w:pPr>
          </w:p>
          <w:p w14:paraId="71F1D046" w14:textId="77777777" w:rsidR="008D1CBB" w:rsidRDefault="008D1CBB" w:rsidP="006021BF">
            <w:pPr>
              <w:ind w:left="-4"/>
              <w:jc w:val="both"/>
              <w:rPr>
                <w:rFonts w:ascii="Arial" w:eastAsia="Times New Roman" w:hAnsi="Arial" w:cs="Arial"/>
                <w:bCs/>
                <w:kern w:val="36"/>
                <w:sz w:val="20"/>
                <w:szCs w:val="20"/>
                <w:lang w:val="es-ES_tradnl"/>
              </w:rPr>
            </w:pPr>
          </w:p>
          <w:p w14:paraId="6ECA7139" w14:textId="2CC8156D" w:rsidR="001F373E" w:rsidRPr="008B633D" w:rsidRDefault="00D16372" w:rsidP="006021BF">
            <w:pPr>
              <w:ind w:left="-4"/>
              <w:jc w:val="both"/>
              <w:rPr>
                <w:rFonts w:ascii="Arial" w:hAnsi="Arial" w:cs="Arial"/>
                <w:sz w:val="20"/>
                <w:szCs w:val="20"/>
                <w:lang w:val="es-ES_tradnl"/>
              </w:rPr>
            </w:pPr>
            <w:r>
              <w:rPr>
                <w:rFonts w:ascii="Arial" w:hAnsi="Arial" w:cs="Arial"/>
                <w:sz w:val="20"/>
                <w:szCs w:val="20"/>
                <w:lang w:val="es-ES_tradnl"/>
              </w:rPr>
              <w:t>6.2</w:t>
            </w:r>
            <w:r w:rsidR="008D1CBB">
              <w:rPr>
                <w:rFonts w:ascii="Arial" w:hAnsi="Arial" w:cs="Arial"/>
                <w:sz w:val="20"/>
                <w:szCs w:val="20"/>
                <w:lang w:val="es-ES_tradnl"/>
              </w:rPr>
              <w:t> </w:t>
            </w:r>
            <w:r w:rsidR="00701B25">
              <w:rPr>
                <w:rFonts w:ascii="Arial" w:hAnsi="Arial" w:cs="Arial"/>
                <w:sz w:val="20"/>
                <w:szCs w:val="20"/>
                <w:lang w:val="es-ES_tradnl"/>
              </w:rPr>
              <w:t>Oficio</w:t>
            </w:r>
            <w:r w:rsidR="00522044">
              <w:rPr>
                <w:rFonts w:ascii="Arial" w:hAnsi="Arial" w:cs="Arial"/>
                <w:sz w:val="20"/>
                <w:szCs w:val="20"/>
                <w:lang w:val="es-ES_tradnl"/>
              </w:rPr>
              <w:t> </w:t>
            </w:r>
            <w:r w:rsidR="00701B25">
              <w:rPr>
                <w:rFonts w:ascii="Arial" w:hAnsi="Arial" w:cs="Arial"/>
                <w:sz w:val="20"/>
                <w:szCs w:val="20"/>
                <w:lang w:val="es-ES_tradnl"/>
              </w:rPr>
              <w:t>N°</w:t>
            </w:r>
            <w:r w:rsidR="00F909CF">
              <w:rPr>
                <w:rFonts w:ascii="Arial" w:hAnsi="Arial" w:cs="Arial"/>
                <w:sz w:val="20"/>
                <w:szCs w:val="20"/>
                <w:lang w:val="es-ES_tradnl"/>
              </w:rPr>
              <w:t> </w:t>
            </w:r>
            <w:r w:rsidR="00701B25">
              <w:rPr>
                <w:rFonts w:ascii="Arial" w:hAnsi="Arial" w:cs="Arial"/>
                <w:sz w:val="20"/>
                <w:szCs w:val="20"/>
                <w:lang w:val="es-ES_tradnl"/>
              </w:rPr>
              <w:t>189</w:t>
            </w:r>
            <w:r w:rsidR="008D1CBB">
              <w:rPr>
                <w:rFonts w:ascii="Arial" w:hAnsi="Arial" w:cs="Arial"/>
                <w:sz w:val="20"/>
                <w:szCs w:val="20"/>
                <w:lang w:val="es-ES_tradnl"/>
              </w:rPr>
              <w:t>-</w:t>
            </w:r>
            <w:r w:rsidR="00701B25">
              <w:rPr>
                <w:rFonts w:ascii="Arial" w:hAnsi="Arial" w:cs="Arial"/>
                <w:sz w:val="20"/>
                <w:szCs w:val="20"/>
                <w:lang w:val="es-ES_tradnl"/>
              </w:rPr>
              <w:t>2018</w:t>
            </w:r>
            <w:r w:rsidR="008D1CBB">
              <w:rPr>
                <w:rFonts w:ascii="Arial" w:hAnsi="Arial" w:cs="Arial"/>
                <w:sz w:val="20"/>
                <w:szCs w:val="20"/>
                <w:lang w:val="es-ES_tradnl"/>
              </w:rPr>
              <w:t>-</w:t>
            </w:r>
            <w:r w:rsidR="00701B25">
              <w:rPr>
                <w:rFonts w:ascii="Arial" w:hAnsi="Arial" w:cs="Arial"/>
                <w:sz w:val="20"/>
                <w:szCs w:val="20"/>
                <w:lang w:val="es-ES_tradnl"/>
              </w:rPr>
              <w:t>PRODUCE/DVMYPEI, del 25</w:t>
            </w:r>
            <w:r w:rsidR="000A3961">
              <w:rPr>
                <w:rFonts w:ascii="Arial" w:hAnsi="Arial" w:cs="Arial"/>
                <w:sz w:val="20"/>
                <w:szCs w:val="20"/>
                <w:lang w:val="es-ES_tradnl"/>
              </w:rPr>
              <w:t> de septiembre de</w:t>
            </w:r>
            <w:r w:rsidR="00F909CF">
              <w:rPr>
                <w:rFonts w:ascii="Arial" w:hAnsi="Arial" w:cs="Arial"/>
                <w:sz w:val="20"/>
                <w:szCs w:val="20"/>
                <w:lang w:val="es-ES_tradnl"/>
              </w:rPr>
              <w:t> </w:t>
            </w:r>
            <w:r w:rsidR="000A3961">
              <w:rPr>
                <w:rFonts w:ascii="Arial" w:hAnsi="Arial" w:cs="Arial"/>
                <w:sz w:val="20"/>
                <w:szCs w:val="20"/>
                <w:lang w:val="es-ES_tradnl"/>
              </w:rPr>
              <w:t>20</w:t>
            </w:r>
            <w:r w:rsidR="00701B25">
              <w:rPr>
                <w:rFonts w:ascii="Arial" w:hAnsi="Arial" w:cs="Arial"/>
                <w:sz w:val="20"/>
                <w:szCs w:val="20"/>
                <w:lang w:val="es-ES_tradnl"/>
              </w:rPr>
              <w:t>18,</w:t>
            </w:r>
            <w:r>
              <w:rPr>
                <w:rFonts w:ascii="Arial" w:hAnsi="Arial" w:cs="Arial"/>
                <w:sz w:val="20"/>
                <w:szCs w:val="20"/>
                <w:lang w:val="es-ES_tradnl"/>
              </w:rPr>
              <w:t xml:space="preserve"> remitiendo</w:t>
            </w:r>
            <w:r w:rsidR="000E63A1">
              <w:rPr>
                <w:rFonts w:ascii="Arial" w:hAnsi="Arial" w:cs="Arial"/>
                <w:sz w:val="20"/>
                <w:szCs w:val="20"/>
                <w:lang w:val="es-ES_tradnl"/>
              </w:rPr>
              <w:t xml:space="preserve">: </w:t>
            </w:r>
            <w:r w:rsidR="00F909CF">
              <w:rPr>
                <w:rFonts w:ascii="Arial" w:hAnsi="Arial" w:cs="Arial"/>
                <w:sz w:val="20"/>
                <w:szCs w:val="20"/>
                <w:lang w:val="es-ES_tradnl"/>
              </w:rPr>
              <w:t>(</w:t>
            </w:r>
            <w:r w:rsidR="000E63A1">
              <w:rPr>
                <w:rFonts w:ascii="Arial" w:hAnsi="Arial" w:cs="Arial"/>
                <w:sz w:val="20"/>
                <w:szCs w:val="20"/>
                <w:lang w:val="es-ES_tradnl"/>
              </w:rPr>
              <w:t>i)</w:t>
            </w:r>
            <w:r w:rsidR="00F909CF">
              <w:rPr>
                <w:rFonts w:ascii="Arial" w:hAnsi="Arial" w:cs="Arial"/>
                <w:sz w:val="20"/>
                <w:szCs w:val="20"/>
                <w:lang w:val="es-ES_tradnl"/>
              </w:rPr>
              <w:t> </w:t>
            </w:r>
            <w:r>
              <w:rPr>
                <w:rFonts w:ascii="Arial" w:hAnsi="Arial" w:cs="Arial"/>
                <w:sz w:val="20"/>
                <w:szCs w:val="20"/>
                <w:lang w:val="es-ES_tradnl"/>
              </w:rPr>
              <w:t xml:space="preserve">el Acta del Consejo Directivo </w:t>
            </w:r>
            <w:r w:rsidR="000E63A1">
              <w:rPr>
                <w:rFonts w:ascii="Arial" w:hAnsi="Arial" w:cs="Arial"/>
                <w:sz w:val="20"/>
                <w:szCs w:val="20"/>
                <w:lang w:val="es-ES_tradnl"/>
              </w:rPr>
              <w:t xml:space="preserve">que aprueba los TdR para </w:t>
            </w:r>
            <w:r>
              <w:rPr>
                <w:rFonts w:ascii="Arial" w:hAnsi="Arial" w:cs="Arial"/>
                <w:sz w:val="20"/>
                <w:szCs w:val="20"/>
                <w:lang w:val="es-ES_tradnl"/>
              </w:rPr>
              <w:t>la contratación</w:t>
            </w:r>
            <w:r w:rsidR="000E63A1">
              <w:rPr>
                <w:rFonts w:ascii="Arial" w:hAnsi="Arial" w:cs="Arial"/>
                <w:sz w:val="20"/>
                <w:szCs w:val="20"/>
                <w:lang w:val="es-ES_tradnl"/>
              </w:rPr>
              <w:t xml:space="preserve"> de la consultoría; </w:t>
            </w:r>
            <w:r w:rsidR="00F909CF">
              <w:rPr>
                <w:rFonts w:ascii="Arial" w:hAnsi="Arial" w:cs="Arial"/>
                <w:sz w:val="20"/>
                <w:szCs w:val="20"/>
                <w:lang w:val="es-ES_tradnl"/>
              </w:rPr>
              <w:t>(</w:t>
            </w:r>
            <w:r w:rsidR="000E63A1">
              <w:rPr>
                <w:rFonts w:ascii="Arial" w:hAnsi="Arial" w:cs="Arial"/>
                <w:sz w:val="20"/>
                <w:szCs w:val="20"/>
                <w:lang w:val="es-ES_tradnl"/>
              </w:rPr>
              <w:t>ii)</w:t>
            </w:r>
            <w:r w:rsidR="00F909CF">
              <w:rPr>
                <w:rFonts w:ascii="Arial" w:hAnsi="Arial" w:cs="Arial"/>
                <w:sz w:val="20"/>
                <w:szCs w:val="20"/>
                <w:lang w:val="es-ES_tradnl"/>
              </w:rPr>
              <w:t> </w:t>
            </w:r>
            <w:r w:rsidR="000E63A1">
              <w:rPr>
                <w:rFonts w:ascii="Arial" w:hAnsi="Arial" w:cs="Arial"/>
                <w:sz w:val="20"/>
                <w:szCs w:val="20"/>
                <w:lang w:val="es-ES_tradnl"/>
              </w:rPr>
              <w:t>el cronograma del proceso de contratación</w:t>
            </w:r>
            <w:r>
              <w:rPr>
                <w:rFonts w:ascii="Arial" w:hAnsi="Arial" w:cs="Arial"/>
                <w:sz w:val="20"/>
                <w:szCs w:val="20"/>
                <w:lang w:val="es-ES_tradnl"/>
              </w:rPr>
              <w:t>.</w:t>
            </w:r>
          </w:p>
        </w:tc>
        <w:tc>
          <w:tcPr>
            <w:tcW w:w="1800" w:type="dxa"/>
          </w:tcPr>
          <w:p w14:paraId="67669270" w14:textId="04520385" w:rsidR="001C2617" w:rsidRDefault="00E41DBB" w:rsidP="006021BF">
            <w:pPr>
              <w:ind w:left="-4"/>
              <w:jc w:val="both"/>
              <w:rPr>
                <w:rFonts w:ascii="Arial" w:hAnsi="Arial" w:cs="Arial"/>
                <w:sz w:val="20"/>
                <w:szCs w:val="20"/>
                <w:lang w:val="es-ES_tradnl"/>
              </w:rPr>
            </w:pPr>
            <w:r w:rsidRPr="00726417">
              <w:rPr>
                <w:rFonts w:ascii="Arial" w:hAnsi="Arial"/>
                <w:b/>
                <w:sz w:val="20"/>
                <w:lang w:val="es-ES_tradnl"/>
              </w:rPr>
              <w:t>Cumplido</w:t>
            </w:r>
          </w:p>
          <w:p w14:paraId="72D85B74" w14:textId="77777777" w:rsidR="0071111A" w:rsidRDefault="0071111A" w:rsidP="006021BF">
            <w:pPr>
              <w:ind w:left="-4"/>
              <w:jc w:val="both"/>
              <w:rPr>
                <w:rFonts w:ascii="Arial" w:hAnsi="Arial" w:cs="Arial"/>
                <w:sz w:val="20"/>
                <w:szCs w:val="20"/>
                <w:lang w:val="es-ES_tradnl"/>
              </w:rPr>
            </w:pPr>
          </w:p>
          <w:p w14:paraId="71395BC3" w14:textId="77777777" w:rsidR="00A64432" w:rsidRDefault="00A64432" w:rsidP="006021BF">
            <w:pPr>
              <w:ind w:left="-4"/>
              <w:jc w:val="both"/>
              <w:rPr>
                <w:rFonts w:ascii="Arial" w:hAnsi="Arial" w:cs="Arial"/>
                <w:sz w:val="20"/>
                <w:szCs w:val="20"/>
                <w:lang w:val="es-ES_tradnl"/>
              </w:rPr>
            </w:pPr>
          </w:p>
          <w:p w14:paraId="408233F6" w14:textId="41AC70AC" w:rsidR="00A64432" w:rsidRDefault="00A64432" w:rsidP="006021BF">
            <w:pPr>
              <w:ind w:left="-4"/>
              <w:jc w:val="both"/>
              <w:rPr>
                <w:rFonts w:ascii="Arial" w:hAnsi="Arial" w:cs="Arial"/>
                <w:sz w:val="20"/>
                <w:szCs w:val="20"/>
                <w:lang w:val="es-ES_tradnl"/>
              </w:rPr>
            </w:pPr>
          </w:p>
          <w:p w14:paraId="0F6B4D54" w14:textId="77777777" w:rsidR="008D1CBB" w:rsidRDefault="008D1CBB" w:rsidP="006021BF">
            <w:pPr>
              <w:ind w:left="-4"/>
              <w:jc w:val="both"/>
              <w:rPr>
                <w:rFonts w:ascii="Arial" w:hAnsi="Arial" w:cs="Arial"/>
                <w:sz w:val="20"/>
                <w:szCs w:val="20"/>
                <w:lang w:val="es-ES_tradnl"/>
              </w:rPr>
            </w:pPr>
          </w:p>
          <w:p w14:paraId="63994A7F" w14:textId="77777777" w:rsidR="008C177E" w:rsidRDefault="008C177E" w:rsidP="006021BF">
            <w:pPr>
              <w:ind w:left="-4"/>
              <w:jc w:val="both"/>
              <w:rPr>
                <w:rFonts w:ascii="Arial" w:hAnsi="Arial" w:cs="Arial"/>
                <w:sz w:val="20"/>
                <w:szCs w:val="20"/>
                <w:lang w:val="es-ES_tradnl"/>
              </w:rPr>
            </w:pPr>
          </w:p>
          <w:p w14:paraId="5E104267" w14:textId="77777777" w:rsidR="00A64432" w:rsidRDefault="00A64432" w:rsidP="006021BF">
            <w:pPr>
              <w:ind w:left="-4"/>
              <w:jc w:val="both"/>
              <w:rPr>
                <w:rFonts w:ascii="Arial" w:hAnsi="Arial" w:cs="Arial"/>
                <w:sz w:val="20"/>
                <w:szCs w:val="20"/>
                <w:lang w:val="es-ES_tradnl"/>
              </w:rPr>
            </w:pPr>
          </w:p>
          <w:p w14:paraId="30D041AF" w14:textId="77777777" w:rsidR="00A64432" w:rsidRDefault="00A64432" w:rsidP="006021BF">
            <w:pPr>
              <w:ind w:left="-4"/>
              <w:jc w:val="both"/>
              <w:rPr>
                <w:rFonts w:ascii="Arial" w:hAnsi="Arial" w:cs="Arial"/>
                <w:sz w:val="20"/>
                <w:szCs w:val="20"/>
                <w:lang w:val="es-ES_tradnl"/>
              </w:rPr>
            </w:pPr>
          </w:p>
          <w:p w14:paraId="4074AF5D" w14:textId="77777777" w:rsidR="00A64432" w:rsidRDefault="00A64432" w:rsidP="006021BF">
            <w:pPr>
              <w:ind w:left="-4"/>
              <w:jc w:val="both"/>
              <w:rPr>
                <w:rFonts w:ascii="Arial" w:hAnsi="Arial" w:cs="Arial"/>
                <w:sz w:val="20"/>
                <w:szCs w:val="20"/>
                <w:lang w:val="es-ES_tradnl"/>
              </w:rPr>
            </w:pPr>
          </w:p>
          <w:p w14:paraId="397CFE17" w14:textId="77777777" w:rsidR="008D1CBB" w:rsidRDefault="008D1CBB" w:rsidP="006021BF">
            <w:pPr>
              <w:ind w:left="-4"/>
              <w:jc w:val="both"/>
              <w:rPr>
                <w:rFonts w:ascii="Arial" w:hAnsi="Arial"/>
                <w:b/>
                <w:sz w:val="20"/>
                <w:lang w:val="es-ES_tradnl"/>
              </w:rPr>
            </w:pPr>
          </w:p>
          <w:p w14:paraId="44DADD67" w14:textId="175C68CA" w:rsidR="008D1CBB" w:rsidRDefault="008D1CBB" w:rsidP="006021BF">
            <w:pPr>
              <w:ind w:left="-4"/>
              <w:jc w:val="both"/>
              <w:rPr>
                <w:rFonts w:ascii="Arial" w:hAnsi="Arial"/>
                <w:b/>
                <w:sz w:val="20"/>
                <w:lang w:val="es-ES_tradnl"/>
              </w:rPr>
            </w:pPr>
          </w:p>
          <w:p w14:paraId="4F2CC880" w14:textId="77777777" w:rsidR="00AE2EA9" w:rsidRDefault="00AE2EA9" w:rsidP="006021BF">
            <w:pPr>
              <w:ind w:left="-4"/>
              <w:jc w:val="both"/>
              <w:rPr>
                <w:rFonts w:ascii="Arial" w:hAnsi="Arial"/>
                <w:b/>
                <w:sz w:val="20"/>
                <w:lang w:val="es-ES_tradnl"/>
              </w:rPr>
            </w:pPr>
          </w:p>
          <w:p w14:paraId="2C7EFED1" w14:textId="77777777" w:rsidR="008D1CBB" w:rsidRDefault="008D1CBB" w:rsidP="006021BF">
            <w:pPr>
              <w:ind w:left="-4"/>
              <w:jc w:val="both"/>
              <w:rPr>
                <w:rFonts w:ascii="Arial" w:hAnsi="Arial"/>
                <w:b/>
                <w:sz w:val="20"/>
                <w:lang w:val="es-ES_tradnl"/>
              </w:rPr>
            </w:pPr>
          </w:p>
          <w:p w14:paraId="650CC0E8" w14:textId="1B6C8034" w:rsidR="00A64432" w:rsidRPr="006021BF" w:rsidRDefault="00A64432" w:rsidP="006021BF">
            <w:pPr>
              <w:ind w:left="-4"/>
              <w:jc w:val="both"/>
              <w:rPr>
                <w:rFonts w:ascii="Arial" w:hAnsi="Arial"/>
                <w:b/>
                <w:sz w:val="20"/>
                <w:lang w:val="es-ES_tradnl"/>
              </w:rPr>
            </w:pPr>
            <w:r w:rsidRPr="00726417">
              <w:rPr>
                <w:rFonts w:ascii="Arial" w:hAnsi="Arial"/>
                <w:b/>
                <w:sz w:val="20"/>
                <w:lang w:val="es-ES_tradnl"/>
              </w:rPr>
              <w:t>Cumplido</w:t>
            </w:r>
          </w:p>
        </w:tc>
        <w:tc>
          <w:tcPr>
            <w:tcW w:w="1620" w:type="dxa"/>
          </w:tcPr>
          <w:p w14:paraId="1A02E977" w14:textId="77777777" w:rsidR="00BF5C20" w:rsidRPr="00DD0FAA" w:rsidRDefault="001C2617" w:rsidP="00DD0FAA">
            <w:pPr>
              <w:ind w:left="-4"/>
              <w:jc w:val="both"/>
              <w:rPr>
                <w:rFonts w:ascii="Arial" w:hAnsi="Arial" w:cs="Arial"/>
                <w:sz w:val="20"/>
                <w:szCs w:val="20"/>
                <w:lang w:val="es-ES_tradnl"/>
              </w:rPr>
            </w:pPr>
            <w:r>
              <w:rPr>
                <w:rFonts w:ascii="Arial" w:hAnsi="Arial" w:cs="Arial"/>
                <w:sz w:val="20"/>
                <w:szCs w:val="20"/>
                <w:lang w:val="es-ES_tradnl"/>
              </w:rPr>
              <w:t>MEF</w:t>
            </w:r>
          </w:p>
          <w:p w14:paraId="7CC34202" w14:textId="77777777" w:rsidR="00BF5C20" w:rsidRPr="00DD0FAA" w:rsidRDefault="00BF5C20" w:rsidP="00DD0FAA">
            <w:pPr>
              <w:ind w:left="-4"/>
              <w:jc w:val="both"/>
              <w:rPr>
                <w:rFonts w:ascii="Arial" w:hAnsi="Arial" w:cs="Arial"/>
                <w:sz w:val="20"/>
                <w:szCs w:val="20"/>
                <w:lang w:val="es-ES_tradnl"/>
              </w:rPr>
            </w:pPr>
          </w:p>
          <w:p w14:paraId="69C84760" w14:textId="77777777" w:rsidR="00BF5C20" w:rsidRPr="00DD0FAA" w:rsidRDefault="00BF5C20" w:rsidP="00DD0FAA">
            <w:pPr>
              <w:ind w:left="-4"/>
              <w:jc w:val="both"/>
              <w:rPr>
                <w:rFonts w:ascii="Arial" w:hAnsi="Arial" w:cs="Arial"/>
                <w:sz w:val="20"/>
                <w:szCs w:val="20"/>
                <w:lang w:val="es-ES_tradnl"/>
              </w:rPr>
            </w:pPr>
          </w:p>
          <w:p w14:paraId="4367296F" w14:textId="77777777" w:rsidR="00BF5C20" w:rsidRDefault="00BF5C20" w:rsidP="00DD0FAA">
            <w:pPr>
              <w:ind w:left="-4"/>
              <w:jc w:val="both"/>
              <w:rPr>
                <w:rFonts w:ascii="Arial" w:hAnsi="Arial" w:cs="Arial"/>
                <w:sz w:val="20"/>
                <w:szCs w:val="20"/>
                <w:lang w:val="es-ES_tradnl"/>
              </w:rPr>
            </w:pPr>
          </w:p>
          <w:p w14:paraId="67AD4EF4" w14:textId="77777777" w:rsidR="000B1B69" w:rsidRPr="00DD0FAA" w:rsidRDefault="000B1B69" w:rsidP="00DD0FAA">
            <w:pPr>
              <w:ind w:left="-4"/>
              <w:jc w:val="both"/>
              <w:rPr>
                <w:rFonts w:ascii="Arial" w:hAnsi="Arial" w:cs="Arial"/>
                <w:sz w:val="20"/>
                <w:szCs w:val="20"/>
                <w:lang w:val="es-ES_tradnl"/>
              </w:rPr>
            </w:pPr>
          </w:p>
          <w:p w14:paraId="7EBAD95A" w14:textId="77777777" w:rsidR="00DD0FAA" w:rsidRPr="00DD0FAA" w:rsidRDefault="00DD0FAA" w:rsidP="00DD0FAA">
            <w:pPr>
              <w:ind w:left="-4"/>
              <w:jc w:val="both"/>
              <w:rPr>
                <w:rFonts w:ascii="Arial" w:hAnsi="Arial" w:cs="Arial"/>
                <w:sz w:val="20"/>
                <w:szCs w:val="20"/>
                <w:lang w:val="es-ES_tradnl"/>
              </w:rPr>
            </w:pPr>
          </w:p>
          <w:p w14:paraId="6131556B" w14:textId="77777777" w:rsidR="00BF5C20" w:rsidRDefault="00BF5C20" w:rsidP="00DD0FAA">
            <w:pPr>
              <w:ind w:left="-4"/>
              <w:jc w:val="both"/>
              <w:rPr>
                <w:rFonts w:ascii="Arial" w:hAnsi="Arial" w:cs="Arial"/>
                <w:sz w:val="20"/>
                <w:szCs w:val="20"/>
                <w:lang w:val="es-ES_tradnl"/>
              </w:rPr>
            </w:pPr>
          </w:p>
          <w:p w14:paraId="3CA6D04C" w14:textId="77777777" w:rsidR="00DD0FAA" w:rsidRDefault="00DD0FAA" w:rsidP="00DD0FAA">
            <w:pPr>
              <w:ind w:left="-4"/>
              <w:jc w:val="both"/>
              <w:rPr>
                <w:rFonts w:ascii="Arial" w:hAnsi="Arial" w:cs="Arial"/>
                <w:sz w:val="20"/>
                <w:szCs w:val="20"/>
                <w:lang w:val="es-ES_tradnl"/>
              </w:rPr>
            </w:pPr>
          </w:p>
          <w:p w14:paraId="6691D90F" w14:textId="77777777" w:rsidR="00DD0FAA" w:rsidRPr="00DD0FAA" w:rsidRDefault="00DD0FAA" w:rsidP="00DD0FAA">
            <w:pPr>
              <w:ind w:left="-4"/>
              <w:jc w:val="both"/>
              <w:rPr>
                <w:rFonts w:ascii="Arial" w:hAnsi="Arial" w:cs="Arial"/>
                <w:sz w:val="20"/>
                <w:szCs w:val="20"/>
                <w:lang w:val="es-ES_tradnl"/>
              </w:rPr>
            </w:pPr>
          </w:p>
          <w:p w14:paraId="04411268" w14:textId="77777777" w:rsidR="00BF5C20" w:rsidRPr="00DD0FAA" w:rsidRDefault="00BF5C20" w:rsidP="00DD0FAA">
            <w:pPr>
              <w:ind w:left="-4"/>
              <w:jc w:val="both"/>
              <w:rPr>
                <w:rFonts w:ascii="Arial" w:hAnsi="Arial" w:cs="Arial"/>
                <w:sz w:val="20"/>
                <w:szCs w:val="20"/>
                <w:lang w:val="es-ES_tradnl"/>
              </w:rPr>
            </w:pPr>
          </w:p>
          <w:p w14:paraId="4F6BE038" w14:textId="0414BC68" w:rsidR="00BF5C20" w:rsidRDefault="00BF5C20" w:rsidP="00DD0FAA">
            <w:pPr>
              <w:ind w:left="-4"/>
              <w:jc w:val="both"/>
              <w:rPr>
                <w:rFonts w:ascii="Arial" w:hAnsi="Arial" w:cs="Arial"/>
                <w:sz w:val="20"/>
                <w:szCs w:val="20"/>
                <w:lang w:val="es-ES_tradnl"/>
              </w:rPr>
            </w:pPr>
          </w:p>
          <w:p w14:paraId="2A8C9675" w14:textId="77777777" w:rsidR="00AE2EA9" w:rsidRDefault="00AE2EA9" w:rsidP="00DD0FAA">
            <w:pPr>
              <w:ind w:left="-4"/>
              <w:jc w:val="both"/>
              <w:rPr>
                <w:rFonts w:ascii="Arial" w:hAnsi="Arial" w:cs="Arial"/>
                <w:sz w:val="20"/>
                <w:szCs w:val="20"/>
                <w:lang w:val="es-ES_tradnl"/>
              </w:rPr>
            </w:pPr>
          </w:p>
          <w:p w14:paraId="3B1E2606" w14:textId="77777777" w:rsidR="008D1CBB" w:rsidRPr="00DD0FAA" w:rsidRDefault="008D1CBB" w:rsidP="00DD0FAA">
            <w:pPr>
              <w:ind w:left="-4"/>
              <w:jc w:val="both"/>
              <w:rPr>
                <w:rFonts w:ascii="Arial" w:hAnsi="Arial" w:cs="Arial"/>
                <w:sz w:val="20"/>
                <w:szCs w:val="20"/>
                <w:lang w:val="es-ES_tradnl"/>
              </w:rPr>
            </w:pPr>
          </w:p>
          <w:p w14:paraId="3551658A" w14:textId="7885A646" w:rsidR="001C2617" w:rsidRPr="00390238" w:rsidRDefault="00BF5C20" w:rsidP="006021BF">
            <w:pPr>
              <w:ind w:left="-4"/>
              <w:jc w:val="both"/>
              <w:rPr>
                <w:rFonts w:ascii="Arial" w:hAnsi="Arial" w:cs="Arial"/>
                <w:sz w:val="20"/>
                <w:szCs w:val="20"/>
                <w:lang w:val="es-ES_tradnl"/>
              </w:rPr>
            </w:pPr>
            <w:r w:rsidRPr="00DD0FAA">
              <w:rPr>
                <w:rFonts w:ascii="Arial" w:hAnsi="Arial" w:cs="Arial"/>
                <w:sz w:val="20"/>
                <w:szCs w:val="20"/>
                <w:lang w:val="es-ES_tradnl"/>
              </w:rPr>
              <w:t>PRODUCE</w:t>
            </w:r>
          </w:p>
        </w:tc>
      </w:tr>
    </w:tbl>
    <w:p w14:paraId="0354FBE9" w14:textId="77777777" w:rsidR="00C17762" w:rsidRPr="006021BF" w:rsidRDefault="00C17762">
      <w:pPr>
        <w:rPr>
          <w:lang w:val="es-ES_tradnl"/>
        </w:rPr>
      </w:pPr>
    </w:p>
    <w:sectPr w:rsidR="00C17762" w:rsidRPr="006021BF" w:rsidSect="00C17762">
      <w:headerReference w:type="default" r:id="rId8"/>
      <w:pgSz w:w="16839" w:h="11907" w:orient="landscape" w:code="9"/>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5D3FF3" w14:textId="77777777" w:rsidR="006B3919" w:rsidRDefault="006B3919">
      <w:pPr>
        <w:spacing w:after="0" w:line="240" w:lineRule="auto"/>
      </w:pPr>
      <w:r>
        <w:separator/>
      </w:r>
    </w:p>
  </w:endnote>
  <w:endnote w:type="continuationSeparator" w:id="0">
    <w:p w14:paraId="72B6B9D0" w14:textId="77777777" w:rsidR="006B3919" w:rsidRDefault="006B3919">
      <w:pPr>
        <w:spacing w:after="0" w:line="240" w:lineRule="auto"/>
      </w:pPr>
      <w:r>
        <w:continuationSeparator/>
      </w:r>
    </w:p>
  </w:endnote>
  <w:endnote w:type="continuationNotice" w:id="1">
    <w:p w14:paraId="075F140F" w14:textId="77777777" w:rsidR="006B3919" w:rsidRDefault="006B39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C48EB7" w14:textId="77777777" w:rsidR="006B3919" w:rsidRDefault="006B3919">
      <w:pPr>
        <w:spacing w:after="0" w:line="240" w:lineRule="auto"/>
      </w:pPr>
      <w:r>
        <w:separator/>
      </w:r>
    </w:p>
  </w:footnote>
  <w:footnote w:type="continuationSeparator" w:id="0">
    <w:p w14:paraId="23AD50FA" w14:textId="77777777" w:rsidR="006B3919" w:rsidRDefault="006B3919">
      <w:pPr>
        <w:spacing w:after="0" w:line="240" w:lineRule="auto"/>
      </w:pPr>
      <w:r>
        <w:continuationSeparator/>
      </w:r>
    </w:p>
  </w:footnote>
  <w:footnote w:type="continuationNotice" w:id="1">
    <w:p w14:paraId="1866081E" w14:textId="77777777" w:rsidR="006B3919" w:rsidRDefault="006B3919">
      <w:pPr>
        <w:spacing w:after="0" w:line="240" w:lineRule="auto"/>
      </w:pPr>
    </w:p>
  </w:footnote>
  <w:footnote w:id="2">
    <w:p w14:paraId="676D845A" w14:textId="77777777" w:rsidR="00D6428F" w:rsidRPr="00BF5C20" w:rsidRDefault="00D6428F" w:rsidP="00BF5C20">
      <w:pPr>
        <w:pStyle w:val="FootnoteText"/>
        <w:ind w:left="270" w:hanging="270"/>
        <w:jc w:val="both"/>
        <w:rPr>
          <w:rFonts w:ascii="Arial" w:hAnsi="Arial" w:cs="Arial"/>
          <w:sz w:val="18"/>
          <w:szCs w:val="18"/>
          <w:lang w:val="es-ES_tradnl"/>
        </w:rPr>
      </w:pPr>
      <w:r w:rsidRPr="00BF5C20">
        <w:rPr>
          <w:rStyle w:val="FootnoteReference"/>
          <w:rFonts w:ascii="Arial" w:hAnsi="Arial" w:cs="Arial"/>
          <w:sz w:val="18"/>
          <w:szCs w:val="18"/>
        </w:rPr>
        <w:footnoteRef/>
      </w:r>
      <w:r w:rsidRPr="00BF5C20">
        <w:rPr>
          <w:rFonts w:ascii="Arial" w:hAnsi="Arial" w:cs="Arial"/>
          <w:sz w:val="18"/>
          <w:szCs w:val="18"/>
        </w:rPr>
        <w:t xml:space="preserve"> </w:t>
      </w:r>
      <w:r w:rsidRPr="00BF5C20">
        <w:rPr>
          <w:rFonts w:ascii="Arial" w:hAnsi="Arial" w:cs="Arial"/>
          <w:sz w:val="18"/>
          <w:szCs w:val="18"/>
        </w:rPr>
        <w:tab/>
      </w:r>
      <w:r w:rsidRPr="00BF5C20">
        <w:rPr>
          <w:rFonts w:ascii="Arial" w:eastAsia="SimSun" w:hAnsi="Arial" w:cs="Arial"/>
          <w:sz w:val="18"/>
          <w:szCs w:val="18"/>
          <w:lang w:val="es-ES_tradnl" w:eastAsia="zh-CN"/>
        </w:rPr>
        <w:t>La presente información es de carácter meramente indicativo a la fecha del presente documento. De conformidad con lo establecido en el documento GN</w:t>
      </w:r>
      <w:r w:rsidRPr="00BF5C20">
        <w:rPr>
          <w:rFonts w:ascii="Arial" w:eastAsia="SimSun" w:hAnsi="Arial" w:cs="Arial"/>
          <w:sz w:val="18"/>
          <w:szCs w:val="18"/>
          <w:lang w:val="es-ES_tradnl" w:eastAsia="zh-CN"/>
        </w:rPr>
        <w:noBreakHyphen/>
        <w:t>3633-2 (Préstamos en Apoyo de Reformas de Política: Directrices sobre Preparación y Aplicación), el cumplimiento de todas las condiciones especificadas para el desembolso, incluido el mantenimiento de un marco apropiado de política macroeconómica, será verificado por el Banco al momento de la solicitud del correspondiente desembolso por el Prestatario y reflejado oportunamente en el memorando de elegibilidad para desembolso.</w:t>
      </w:r>
    </w:p>
  </w:footnote>
  <w:footnote w:id="3">
    <w:p w14:paraId="6E9F08CA" w14:textId="323BEE8A" w:rsidR="00D6428F" w:rsidRPr="006021BF" w:rsidRDefault="00D6428F" w:rsidP="00522044">
      <w:pPr>
        <w:pStyle w:val="FootnoteText"/>
        <w:ind w:left="360" w:hanging="360"/>
        <w:jc w:val="both"/>
        <w:rPr>
          <w:rFonts w:ascii="Arial" w:hAnsi="Arial"/>
          <w:sz w:val="18"/>
          <w:lang w:val="es-PE"/>
        </w:rPr>
      </w:pPr>
      <w:r w:rsidRPr="006021BF">
        <w:rPr>
          <w:rStyle w:val="FootnoteReference"/>
          <w:rFonts w:ascii="Arial" w:hAnsi="Arial"/>
          <w:sz w:val="18"/>
        </w:rPr>
        <w:footnoteRef/>
      </w:r>
      <w:r w:rsidRPr="006021BF">
        <w:rPr>
          <w:rFonts w:ascii="Arial" w:hAnsi="Arial"/>
          <w:sz w:val="18"/>
          <w:lang w:val="es-PE"/>
        </w:rPr>
        <w:t xml:space="preserve"> </w:t>
      </w:r>
      <w:r w:rsidR="00522044">
        <w:rPr>
          <w:rFonts w:ascii="Arial" w:hAnsi="Arial"/>
          <w:sz w:val="18"/>
          <w:lang w:val="es-PE"/>
        </w:rPr>
        <w:tab/>
      </w:r>
      <w:r w:rsidRPr="006021BF">
        <w:rPr>
          <w:rFonts w:ascii="Arial" w:hAnsi="Arial"/>
          <w:sz w:val="18"/>
          <w:lang w:val="es-PE"/>
        </w:rPr>
        <w:t>Personas naturales o jurídicas, que generen ingresos netos anuales de hasta 300 Unidades Impositivas Tributarias (UIT). Una UIT equivale a S/.</w:t>
      </w:r>
      <w:r w:rsidRPr="000E4B0B">
        <w:rPr>
          <w:rFonts w:cstheme="minorHAnsi"/>
          <w:sz w:val="16"/>
          <w:szCs w:val="16"/>
          <w:lang w:val="es-PE"/>
        </w:rPr>
        <w:t xml:space="preserve"> </w:t>
      </w:r>
      <w:r w:rsidRPr="006021BF">
        <w:rPr>
          <w:rFonts w:ascii="Arial" w:hAnsi="Arial"/>
          <w:sz w:val="18"/>
          <w:lang w:val="es-PE"/>
        </w:rPr>
        <w:t>4,150</w:t>
      </w:r>
      <w:r w:rsidRPr="000E4B0B">
        <w:rPr>
          <w:rFonts w:cstheme="minorHAnsi"/>
          <w:sz w:val="16"/>
          <w:szCs w:val="16"/>
          <w:lang w:val="es-PE"/>
        </w:rPr>
        <w:t xml:space="preserve"> </w:t>
      </w:r>
      <w:r w:rsidRPr="006021BF">
        <w:rPr>
          <w:rFonts w:ascii="Arial" w:hAnsi="Arial"/>
          <w:sz w:val="18"/>
          <w:lang w:val="es-PE"/>
        </w:rPr>
        <w:t>(US$1,269</w:t>
      </w:r>
      <w:r w:rsidRPr="000E4B0B">
        <w:rPr>
          <w:rFonts w:cstheme="minorHAnsi"/>
          <w:sz w:val="16"/>
          <w:szCs w:val="16"/>
          <w:lang w:val="es-PE"/>
        </w:rPr>
        <w:t xml:space="preserve"> </w:t>
      </w:r>
      <w:r w:rsidRPr="006021BF">
        <w:rPr>
          <w:rFonts w:ascii="Arial" w:hAnsi="Arial"/>
          <w:sz w:val="18"/>
          <w:lang w:val="es-PE"/>
        </w:rPr>
        <w:t>aproximadamente).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318336367"/>
      <w:docPartObj>
        <w:docPartGallery w:val="Page Numbers (Top of Page)"/>
        <w:docPartUnique/>
      </w:docPartObj>
    </w:sdtPr>
    <w:sdtContent>
      <w:p w14:paraId="0EA01B81" w14:textId="77777777" w:rsidR="00D6428F" w:rsidRPr="00861EC7" w:rsidRDefault="00D6428F">
        <w:pPr>
          <w:pStyle w:val="Header"/>
          <w:jc w:val="right"/>
          <w:rPr>
            <w:rFonts w:ascii="Arial" w:hAnsi="Arial" w:cs="Arial"/>
            <w:sz w:val="18"/>
            <w:szCs w:val="18"/>
          </w:rPr>
        </w:pPr>
        <w:r>
          <w:rPr>
            <w:rFonts w:ascii="Arial" w:hAnsi="Arial" w:cs="Arial"/>
            <w:sz w:val="18"/>
            <w:szCs w:val="18"/>
          </w:rPr>
          <w:t xml:space="preserve"> REL</w:t>
        </w:r>
        <w:r w:rsidRPr="005706EB">
          <w:rPr>
            <w:rFonts w:ascii="Arial" w:hAnsi="Arial"/>
            <w:sz w:val="18"/>
            <w:lang w:val="en-US"/>
          </w:rPr>
          <w:t xml:space="preserve">#3 </w:t>
        </w:r>
        <w:r w:rsidRPr="00861EC7">
          <w:rPr>
            <w:rFonts w:ascii="Arial" w:hAnsi="Arial" w:cs="Arial"/>
            <w:sz w:val="18"/>
            <w:szCs w:val="18"/>
          </w:rPr>
          <w:t xml:space="preserve">PE-L1223 </w:t>
        </w:r>
      </w:p>
      <w:p w14:paraId="2F4BCB94" w14:textId="48D9236D" w:rsidR="00D6428F" w:rsidRPr="00861EC7" w:rsidRDefault="00D6428F">
        <w:pPr>
          <w:pStyle w:val="Header"/>
          <w:jc w:val="right"/>
          <w:rPr>
            <w:rFonts w:ascii="Arial" w:hAnsi="Arial" w:cs="Arial"/>
            <w:sz w:val="18"/>
            <w:szCs w:val="18"/>
          </w:rPr>
        </w:pPr>
        <w:r w:rsidRPr="00861EC7">
          <w:rPr>
            <w:rFonts w:ascii="Arial" w:hAnsi="Arial" w:cs="Arial"/>
            <w:sz w:val="18"/>
            <w:szCs w:val="18"/>
          </w:rPr>
          <w:t xml:space="preserve">Página </w:t>
        </w:r>
        <w:r w:rsidRPr="00861EC7">
          <w:rPr>
            <w:rFonts w:ascii="Arial" w:hAnsi="Arial" w:cs="Arial"/>
            <w:bCs/>
            <w:sz w:val="18"/>
            <w:szCs w:val="18"/>
          </w:rPr>
          <w:fldChar w:fldCharType="begin"/>
        </w:r>
        <w:r w:rsidRPr="00861EC7">
          <w:rPr>
            <w:rFonts w:ascii="Arial" w:hAnsi="Arial" w:cs="Arial"/>
            <w:bCs/>
            <w:sz w:val="18"/>
            <w:szCs w:val="18"/>
          </w:rPr>
          <w:instrText xml:space="preserve"> PAGE </w:instrText>
        </w:r>
        <w:r w:rsidRPr="00861EC7">
          <w:rPr>
            <w:rFonts w:ascii="Arial" w:hAnsi="Arial" w:cs="Arial"/>
            <w:bCs/>
            <w:sz w:val="18"/>
            <w:szCs w:val="18"/>
          </w:rPr>
          <w:fldChar w:fldCharType="separate"/>
        </w:r>
        <w:r>
          <w:rPr>
            <w:rFonts w:ascii="Arial" w:hAnsi="Arial" w:cs="Arial"/>
            <w:bCs/>
            <w:noProof/>
            <w:sz w:val="18"/>
            <w:szCs w:val="18"/>
          </w:rPr>
          <w:t>7</w:t>
        </w:r>
        <w:r w:rsidRPr="00861EC7">
          <w:rPr>
            <w:rFonts w:ascii="Arial" w:hAnsi="Arial" w:cs="Arial"/>
            <w:bCs/>
            <w:sz w:val="18"/>
            <w:szCs w:val="18"/>
          </w:rPr>
          <w:fldChar w:fldCharType="end"/>
        </w:r>
        <w:r w:rsidRPr="00861EC7">
          <w:rPr>
            <w:rFonts w:ascii="Arial" w:hAnsi="Arial" w:cs="Arial"/>
            <w:sz w:val="18"/>
            <w:szCs w:val="18"/>
          </w:rPr>
          <w:t xml:space="preserve"> de </w:t>
        </w:r>
        <w:r w:rsidRPr="00861EC7">
          <w:rPr>
            <w:rFonts w:ascii="Arial" w:hAnsi="Arial" w:cs="Arial"/>
            <w:bCs/>
            <w:sz w:val="18"/>
            <w:szCs w:val="18"/>
          </w:rPr>
          <w:fldChar w:fldCharType="begin"/>
        </w:r>
        <w:r w:rsidRPr="00861EC7">
          <w:rPr>
            <w:rFonts w:ascii="Arial" w:hAnsi="Arial" w:cs="Arial"/>
            <w:bCs/>
            <w:sz w:val="18"/>
            <w:szCs w:val="18"/>
          </w:rPr>
          <w:instrText xml:space="preserve"> NUMPAGES  </w:instrText>
        </w:r>
        <w:r w:rsidRPr="00861EC7">
          <w:rPr>
            <w:rFonts w:ascii="Arial" w:hAnsi="Arial" w:cs="Arial"/>
            <w:bCs/>
            <w:sz w:val="18"/>
            <w:szCs w:val="18"/>
          </w:rPr>
          <w:fldChar w:fldCharType="separate"/>
        </w:r>
        <w:r>
          <w:rPr>
            <w:rFonts w:ascii="Arial" w:hAnsi="Arial" w:cs="Arial"/>
            <w:bCs/>
            <w:noProof/>
            <w:sz w:val="18"/>
            <w:szCs w:val="18"/>
          </w:rPr>
          <w:t>8</w:t>
        </w:r>
        <w:r w:rsidRPr="00861EC7">
          <w:rPr>
            <w:rFonts w:ascii="Arial" w:hAnsi="Arial" w:cs="Arial"/>
            <w:bCs/>
            <w:sz w:val="18"/>
            <w:szCs w:val="18"/>
          </w:rPr>
          <w:fldChar w:fldCharType="end"/>
        </w:r>
      </w:p>
    </w:sdtContent>
  </w:sdt>
  <w:p w14:paraId="09CDAA96" w14:textId="77777777" w:rsidR="00D6428F" w:rsidRDefault="00D642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774D6C"/>
    <w:multiLevelType w:val="hybridMultilevel"/>
    <w:tmpl w:val="D04C79A2"/>
    <w:lvl w:ilvl="0" w:tplc="53F0A0F8">
      <w:start w:val="5"/>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E82016"/>
    <w:multiLevelType w:val="hybridMultilevel"/>
    <w:tmpl w:val="B5C497F6"/>
    <w:lvl w:ilvl="0" w:tplc="5556249C">
      <w:start w:val="3"/>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A74FC6"/>
    <w:multiLevelType w:val="multilevel"/>
    <w:tmpl w:val="464067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42B274D2"/>
    <w:multiLevelType w:val="hybridMultilevel"/>
    <w:tmpl w:val="A6243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483063"/>
    <w:multiLevelType w:val="multilevel"/>
    <w:tmpl w:val="0C84A3EE"/>
    <w:lvl w:ilvl="0">
      <w:start w:val="2"/>
      <w:numFmt w:val="decimal"/>
      <w:lvlText w:val="%1"/>
      <w:lvlJc w:val="left"/>
      <w:pPr>
        <w:ind w:left="360" w:hanging="360"/>
      </w:pPr>
      <w:rPr>
        <w:rFonts w:hint="default"/>
      </w:rPr>
    </w:lvl>
    <w:lvl w:ilvl="1">
      <w:start w:val="2"/>
      <w:numFmt w:val="decimal"/>
      <w:lvlText w:val="%1.%2"/>
      <w:lvlJc w:val="left"/>
      <w:pPr>
        <w:ind w:left="702" w:hanging="360"/>
      </w:pPr>
      <w:rPr>
        <w:rFonts w:hint="default"/>
      </w:rPr>
    </w:lvl>
    <w:lvl w:ilvl="2">
      <w:start w:val="1"/>
      <w:numFmt w:val="decimal"/>
      <w:lvlText w:val="%1.%2.%3"/>
      <w:lvlJc w:val="left"/>
      <w:pPr>
        <w:ind w:left="14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2790" w:hanging="1080"/>
      </w:pPr>
      <w:rPr>
        <w:rFonts w:hint="default"/>
      </w:rPr>
    </w:lvl>
    <w:lvl w:ilvl="6">
      <w:start w:val="1"/>
      <w:numFmt w:val="decimal"/>
      <w:lvlText w:val="%1.%2.%3.%4.%5.%6.%7"/>
      <w:lvlJc w:val="left"/>
      <w:pPr>
        <w:ind w:left="3492" w:hanging="1440"/>
      </w:pPr>
      <w:rPr>
        <w:rFonts w:hint="default"/>
      </w:rPr>
    </w:lvl>
    <w:lvl w:ilvl="7">
      <w:start w:val="1"/>
      <w:numFmt w:val="decimal"/>
      <w:lvlText w:val="%1.%2.%3.%4.%5.%6.%7.%8"/>
      <w:lvlJc w:val="left"/>
      <w:pPr>
        <w:ind w:left="3834" w:hanging="1440"/>
      </w:pPr>
      <w:rPr>
        <w:rFonts w:hint="default"/>
      </w:rPr>
    </w:lvl>
    <w:lvl w:ilvl="8">
      <w:start w:val="1"/>
      <w:numFmt w:val="decimal"/>
      <w:lvlText w:val="%1.%2.%3.%4.%5.%6.%7.%8.%9"/>
      <w:lvlJc w:val="left"/>
      <w:pPr>
        <w:ind w:left="4536" w:hanging="1800"/>
      </w:pPr>
      <w:rPr>
        <w:rFonts w:hint="default"/>
      </w:rPr>
    </w:lvl>
  </w:abstractNum>
  <w:abstractNum w:abstractNumId="5" w15:restartNumberingAfterBreak="0">
    <w:nsid w:val="4B9B396F"/>
    <w:multiLevelType w:val="multilevel"/>
    <w:tmpl w:val="464067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7441393E"/>
    <w:multiLevelType w:val="hybridMultilevel"/>
    <w:tmpl w:val="A6243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6"/>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AR"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PE" w:vendorID="64" w:dllVersion="6" w:nlCheck="1" w:checkStyle="1"/>
  <w:activeWritingStyle w:appName="MSWord" w:lang="es-ES_tradnl" w:vendorID="64" w:dllVersion="0" w:nlCheck="1" w:checkStyle="0"/>
  <w:activeWritingStyle w:appName="MSWord" w:lang="pt-BR" w:vendorID="64" w:dllVersion="0" w:nlCheck="1" w:checkStyle="0"/>
  <w:activeWritingStyle w:appName="MSWord" w:lang="es-AR" w:vendorID="64" w:dllVersion="0" w:nlCheck="1" w:checkStyle="0"/>
  <w:activeWritingStyle w:appName="MSWord" w:lang="es-ES" w:vendorID="64" w:dllVersion="0" w:nlCheck="1" w:checkStyle="0"/>
  <w:activeWritingStyle w:appName="MSWord" w:lang="es-PE" w:vendorID="64" w:dllVersion="0" w:nlCheck="1" w:checkStyle="0"/>
  <w:proofState w:spelling="clean" w:grammar="clean"/>
  <w:trackRevisions/>
  <w:defaultTabStop w:val="720"/>
  <w:hyphenationZone w:val="425"/>
  <w:characterSpacingControl w:val="doNotCompress"/>
  <w:savePreviewPicture/>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M2NLI0MzIzMjI1NjVR0lEKTi0uzszPAykwrgUA/Up53iwAAAA="/>
  </w:docVars>
  <w:rsids>
    <w:rsidRoot w:val="009F6F62"/>
    <w:rsid w:val="00001CC7"/>
    <w:rsid w:val="00002D30"/>
    <w:rsid w:val="00004407"/>
    <w:rsid w:val="0000601E"/>
    <w:rsid w:val="00006AC8"/>
    <w:rsid w:val="00007961"/>
    <w:rsid w:val="00007C43"/>
    <w:rsid w:val="000161F6"/>
    <w:rsid w:val="00016AB9"/>
    <w:rsid w:val="0002029C"/>
    <w:rsid w:val="00021530"/>
    <w:rsid w:val="0002469C"/>
    <w:rsid w:val="000304C2"/>
    <w:rsid w:val="000305E7"/>
    <w:rsid w:val="00030AC3"/>
    <w:rsid w:val="0003608B"/>
    <w:rsid w:val="00040FC8"/>
    <w:rsid w:val="000458CF"/>
    <w:rsid w:val="00051F82"/>
    <w:rsid w:val="000552B3"/>
    <w:rsid w:val="00062099"/>
    <w:rsid w:val="000630D9"/>
    <w:rsid w:val="00063CB7"/>
    <w:rsid w:val="0006517B"/>
    <w:rsid w:val="0006551E"/>
    <w:rsid w:val="000673ED"/>
    <w:rsid w:val="000711BF"/>
    <w:rsid w:val="0007457D"/>
    <w:rsid w:val="00075351"/>
    <w:rsid w:val="00076218"/>
    <w:rsid w:val="0008566A"/>
    <w:rsid w:val="000875B4"/>
    <w:rsid w:val="000902E2"/>
    <w:rsid w:val="000965AE"/>
    <w:rsid w:val="000975B6"/>
    <w:rsid w:val="000A241A"/>
    <w:rsid w:val="000A3961"/>
    <w:rsid w:val="000A6A3A"/>
    <w:rsid w:val="000B1B69"/>
    <w:rsid w:val="000B75FB"/>
    <w:rsid w:val="000C0844"/>
    <w:rsid w:val="000C7934"/>
    <w:rsid w:val="000D157D"/>
    <w:rsid w:val="000E0446"/>
    <w:rsid w:val="000E3687"/>
    <w:rsid w:val="000E4B0B"/>
    <w:rsid w:val="000E63A1"/>
    <w:rsid w:val="000F07D0"/>
    <w:rsid w:val="00101B48"/>
    <w:rsid w:val="00106D9E"/>
    <w:rsid w:val="001074DA"/>
    <w:rsid w:val="001117FE"/>
    <w:rsid w:val="0011269C"/>
    <w:rsid w:val="00113BD0"/>
    <w:rsid w:val="001141B1"/>
    <w:rsid w:val="001143A1"/>
    <w:rsid w:val="00114829"/>
    <w:rsid w:val="00117A6D"/>
    <w:rsid w:val="00120800"/>
    <w:rsid w:val="00131C0A"/>
    <w:rsid w:val="0013252F"/>
    <w:rsid w:val="00134D9F"/>
    <w:rsid w:val="00136115"/>
    <w:rsid w:val="001366EE"/>
    <w:rsid w:val="001441A2"/>
    <w:rsid w:val="0014483E"/>
    <w:rsid w:val="00147219"/>
    <w:rsid w:val="00147B9D"/>
    <w:rsid w:val="00150E96"/>
    <w:rsid w:val="001515E9"/>
    <w:rsid w:val="0015595A"/>
    <w:rsid w:val="00155D3D"/>
    <w:rsid w:val="001618CE"/>
    <w:rsid w:val="00162EF8"/>
    <w:rsid w:val="00176874"/>
    <w:rsid w:val="00177D58"/>
    <w:rsid w:val="00177FB4"/>
    <w:rsid w:val="0018052D"/>
    <w:rsid w:val="00181149"/>
    <w:rsid w:val="00184E21"/>
    <w:rsid w:val="00185DBE"/>
    <w:rsid w:val="001860A6"/>
    <w:rsid w:val="00187DD1"/>
    <w:rsid w:val="00190B8C"/>
    <w:rsid w:val="001A3C86"/>
    <w:rsid w:val="001A43E9"/>
    <w:rsid w:val="001A6CB8"/>
    <w:rsid w:val="001B1724"/>
    <w:rsid w:val="001B17DA"/>
    <w:rsid w:val="001B2DB1"/>
    <w:rsid w:val="001B6F37"/>
    <w:rsid w:val="001C2617"/>
    <w:rsid w:val="001C598A"/>
    <w:rsid w:val="001D00A2"/>
    <w:rsid w:val="001D6F6F"/>
    <w:rsid w:val="001E29D4"/>
    <w:rsid w:val="001E44F9"/>
    <w:rsid w:val="001E58A8"/>
    <w:rsid w:val="001E5B74"/>
    <w:rsid w:val="001E5E65"/>
    <w:rsid w:val="001E6AB5"/>
    <w:rsid w:val="001F373E"/>
    <w:rsid w:val="002004D7"/>
    <w:rsid w:val="00201F8B"/>
    <w:rsid w:val="00204035"/>
    <w:rsid w:val="0020547F"/>
    <w:rsid w:val="00205D7D"/>
    <w:rsid w:val="00206C91"/>
    <w:rsid w:val="0021336E"/>
    <w:rsid w:val="002150EC"/>
    <w:rsid w:val="00215F69"/>
    <w:rsid w:val="002166E7"/>
    <w:rsid w:val="002232E1"/>
    <w:rsid w:val="00225606"/>
    <w:rsid w:val="00226AB8"/>
    <w:rsid w:val="0023158B"/>
    <w:rsid w:val="00231B4F"/>
    <w:rsid w:val="002369F1"/>
    <w:rsid w:val="00241921"/>
    <w:rsid w:val="0025229F"/>
    <w:rsid w:val="002551C3"/>
    <w:rsid w:val="002561B0"/>
    <w:rsid w:val="002601CF"/>
    <w:rsid w:val="00267474"/>
    <w:rsid w:val="00275643"/>
    <w:rsid w:val="0027693A"/>
    <w:rsid w:val="0027795D"/>
    <w:rsid w:val="002820E0"/>
    <w:rsid w:val="0028461A"/>
    <w:rsid w:val="00287B6D"/>
    <w:rsid w:val="00292E01"/>
    <w:rsid w:val="00293C9E"/>
    <w:rsid w:val="002A0BC9"/>
    <w:rsid w:val="002A53DC"/>
    <w:rsid w:val="002A5506"/>
    <w:rsid w:val="002A5768"/>
    <w:rsid w:val="002A7982"/>
    <w:rsid w:val="002B1C5E"/>
    <w:rsid w:val="002B2F54"/>
    <w:rsid w:val="002B4325"/>
    <w:rsid w:val="002B6557"/>
    <w:rsid w:val="002C3A1F"/>
    <w:rsid w:val="002C3B4F"/>
    <w:rsid w:val="002C6C47"/>
    <w:rsid w:val="002C6D46"/>
    <w:rsid w:val="002C7FF7"/>
    <w:rsid w:val="002D3BF6"/>
    <w:rsid w:val="002D656A"/>
    <w:rsid w:val="002D6631"/>
    <w:rsid w:val="002E0C09"/>
    <w:rsid w:val="002E43EC"/>
    <w:rsid w:val="002F18D6"/>
    <w:rsid w:val="002F54E7"/>
    <w:rsid w:val="002F57F0"/>
    <w:rsid w:val="002F5909"/>
    <w:rsid w:val="00302B3E"/>
    <w:rsid w:val="00306F0E"/>
    <w:rsid w:val="00314682"/>
    <w:rsid w:val="00314A11"/>
    <w:rsid w:val="0031790E"/>
    <w:rsid w:val="003260CD"/>
    <w:rsid w:val="003264AC"/>
    <w:rsid w:val="0032740C"/>
    <w:rsid w:val="00330635"/>
    <w:rsid w:val="00332EF4"/>
    <w:rsid w:val="003361E6"/>
    <w:rsid w:val="0034694E"/>
    <w:rsid w:val="00346A6A"/>
    <w:rsid w:val="00364D15"/>
    <w:rsid w:val="00364D6D"/>
    <w:rsid w:val="003656FC"/>
    <w:rsid w:val="00370184"/>
    <w:rsid w:val="00376C37"/>
    <w:rsid w:val="0037796F"/>
    <w:rsid w:val="0038596D"/>
    <w:rsid w:val="003873E8"/>
    <w:rsid w:val="003876C6"/>
    <w:rsid w:val="00390238"/>
    <w:rsid w:val="003950DE"/>
    <w:rsid w:val="003970AD"/>
    <w:rsid w:val="003A3AC8"/>
    <w:rsid w:val="003A3E78"/>
    <w:rsid w:val="003B1BBB"/>
    <w:rsid w:val="003B1EF6"/>
    <w:rsid w:val="003B3E2D"/>
    <w:rsid w:val="003C0A63"/>
    <w:rsid w:val="003C5E3C"/>
    <w:rsid w:val="003D2676"/>
    <w:rsid w:val="003D2D07"/>
    <w:rsid w:val="003D364A"/>
    <w:rsid w:val="003D3CE3"/>
    <w:rsid w:val="003E014E"/>
    <w:rsid w:val="003E23ED"/>
    <w:rsid w:val="003F1644"/>
    <w:rsid w:val="003F28AB"/>
    <w:rsid w:val="003F6369"/>
    <w:rsid w:val="003F77CA"/>
    <w:rsid w:val="00402F20"/>
    <w:rsid w:val="00405DC4"/>
    <w:rsid w:val="00412DE7"/>
    <w:rsid w:val="00414E5F"/>
    <w:rsid w:val="00416412"/>
    <w:rsid w:val="004170C3"/>
    <w:rsid w:val="004179E6"/>
    <w:rsid w:val="0042201E"/>
    <w:rsid w:val="00422139"/>
    <w:rsid w:val="00424B86"/>
    <w:rsid w:val="00433CF0"/>
    <w:rsid w:val="00437319"/>
    <w:rsid w:val="00441064"/>
    <w:rsid w:val="00442EC7"/>
    <w:rsid w:val="004473A1"/>
    <w:rsid w:val="00450F85"/>
    <w:rsid w:val="0045115D"/>
    <w:rsid w:val="00453271"/>
    <w:rsid w:val="004616B5"/>
    <w:rsid w:val="00461F13"/>
    <w:rsid w:val="00462042"/>
    <w:rsid w:val="00464E1E"/>
    <w:rsid w:val="00472D89"/>
    <w:rsid w:val="00474E2A"/>
    <w:rsid w:val="00475AE8"/>
    <w:rsid w:val="00476274"/>
    <w:rsid w:val="0048347F"/>
    <w:rsid w:val="004868EC"/>
    <w:rsid w:val="004A0396"/>
    <w:rsid w:val="004A186A"/>
    <w:rsid w:val="004A1F5A"/>
    <w:rsid w:val="004B46C7"/>
    <w:rsid w:val="004B471A"/>
    <w:rsid w:val="004B6F54"/>
    <w:rsid w:val="004C181E"/>
    <w:rsid w:val="004C3DA5"/>
    <w:rsid w:val="004D3CF2"/>
    <w:rsid w:val="004D4A2B"/>
    <w:rsid w:val="004D6A15"/>
    <w:rsid w:val="004E739F"/>
    <w:rsid w:val="004E77BF"/>
    <w:rsid w:val="004E78DE"/>
    <w:rsid w:val="004F081B"/>
    <w:rsid w:val="004F0A97"/>
    <w:rsid w:val="004F0E7E"/>
    <w:rsid w:val="004F3796"/>
    <w:rsid w:val="00501F26"/>
    <w:rsid w:val="0050275E"/>
    <w:rsid w:val="00502EBB"/>
    <w:rsid w:val="00510E5B"/>
    <w:rsid w:val="00513F0B"/>
    <w:rsid w:val="00522044"/>
    <w:rsid w:val="005231B9"/>
    <w:rsid w:val="00524439"/>
    <w:rsid w:val="00524891"/>
    <w:rsid w:val="0052600F"/>
    <w:rsid w:val="00527FDC"/>
    <w:rsid w:val="00530E52"/>
    <w:rsid w:val="005324A7"/>
    <w:rsid w:val="00540BC8"/>
    <w:rsid w:val="00545603"/>
    <w:rsid w:val="00546998"/>
    <w:rsid w:val="00553570"/>
    <w:rsid w:val="00553826"/>
    <w:rsid w:val="0055533E"/>
    <w:rsid w:val="00555F4B"/>
    <w:rsid w:val="00556608"/>
    <w:rsid w:val="005706EB"/>
    <w:rsid w:val="00571478"/>
    <w:rsid w:val="00572180"/>
    <w:rsid w:val="005766AD"/>
    <w:rsid w:val="00582FCD"/>
    <w:rsid w:val="005870C1"/>
    <w:rsid w:val="00590B9B"/>
    <w:rsid w:val="00591442"/>
    <w:rsid w:val="005A25D2"/>
    <w:rsid w:val="005A4C06"/>
    <w:rsid w:val="005A7AB7"/>
    <w:rsid w:val="005B13EB"/>
    <w:rsid w:val="005B228A"/>
    <w:rsid w:val="005B425B"/>
    <w:rsid w:val="005C00AF"/>
    <w:rsid w:val="005C0AA3"/>
    <w:rsid w:val="005C2528"/>
    <w:rsid w:val="005C4A82"/>
    <w:rsid w:val="005C6224"/>
    <w:rsid w:val="005C7444"/>
    <w:rsid w:val="005D5574"/>
    <w:rsid w:val="005D5CFF"/>
    <w:rsid w:val="005E0936"/>
    <w:rsid w:val="005E36A5"/>
    <w:rsid w:val="005E4ADE"/>
    <w:rsid w:val="005E4C8A"/>
    <w:rsid w:val="005E5D5D"/>
    <w:rsid w:val="005E7EA8"/>
    <w:rsid w:val="005F68C0"/>
    <w:rsid w:val="00601BB8"/>
    <w:rsid w:val="006021BF"/>
    <w:rsid w:val="00605B63"/>
    <w:rsid w:val="00607326"/>
    <w:rsid w:val="00611564"/>
    <w:rsid w:val="006133A8"/>
    <w:rsid w:val="00614781"/>
    <w:rsid w:val="00621B77"/>
    <w:rsid w:val="00631676"/>
    <w:rsid w:val="00634EF0"/>
    <w:rsid w:val="00635E8A"/>
    <w:rsid w:val="006478B5"/>
    <w:rsid w:val="00651615"/>
    <w:rsid w:val="00651E4A"/>
    <w:rsid w:val="0065489E"/>
    <w:rsid w:val="00656737"/>
    <w:rsid w:val="00657F98"/>
    <w:rsid w:val="00661746"/>
    <w:rsid w:val="00662168"/>
    <w:rsid w:val="006651BE"/>
    <w:rsid w:val="00675E21"/>
    <w:rsid w:val="00677009"/>
    <w:rsid w:val="00683685"/>
    <w:rsid w:val="006853A3"/>
    <w:rsid w:val="00690B99"/>
    <w:rsid w:val="006A031C"/>
    <w:rsid w:val="006A40EC"/>
    <w:rsid w:val="006B1446"/>
    <w:rsid w:val="006B3232"/>
    <w:rsid w:val="006B3919"/>
    <w:rsid w:val="006B51C4"/>
    <w:rsid w:val="006B660A"/>
    <w:rsid w:val="006C4544"/>
    <w:rsid w:val="006C46E3"/>
    <w:rsid w:val="006C67AB"/>
    <w:rsid w:val="006C7E2D"/>
    <w:rsid w:val="006C7F59"/>
    <w:rsid w:val="006D3492"/>
    <w:rsid w:val="006D56C3"/>
    <w:rsid w:val="006E487B"/>
    <w:rsid w:val="00701B25"/>
    <w:rsid w:val="0071111A"/>
    <w:rsid w:val="007133DD"/>
    <w:rsid w:val="0071377A"/>
    <w:rsid w:val="00716640"/>
    <w:rsid w:val="0071799A"/>
    <w:rsid w:val="00724413"/>
    <w:rsid w:val="00726417"/>
    <w:rsid w:val="007375FB"/>
    <w:rsid w:val="00743624"/>
    <w:rsid w:val="00743632"/>
    <w:rsid w:val="00743B0A"/>
    <w:rsid w:val="00745957"/>
    <w:rsid w:val="00747551"/>
    <w:rsid w:val="00757E87"/>
    <w:rsid w:val="00761E8D"/>
    <w:rsid w:val="007625F1"/>
    <w:rsid w:val="00763463"/>
    <w:rsid w:val="00766C8A"/>
    <w:rsid w:val="00770147"/>
    <w:rsid w:val="0077359D"/>
    <w:rsid w:val="00785187"/>
    <w:rsid w:val="00785B31"/>
    <w:rsid w:val="00785D2E"/>
    <w:rsid w:val="0079563F"/>
    <w:rsid w:val="00796108"/>
    <w:rsid w:val="00797EC6"/>
    <w:rsid w:val="007A0CF8"/>
    <w:rsid w:val="007A2961"/>
    <w:rsid w:val="007A3071"/>
    <w:rsid w:val="007A5558"/>
    <w:rsid w:val="007A6EB8"/>
    <w:rsid w:val="007B3FDF"/>
    <w:rsid w:val="007B75EF"/>
    <w:rsid w:val="007C1079"/>
    <w:rsid w:val="007C1515"/>
    <w:rsid w:val="007C1ECC"/>
    <w:rsid w:val="007D0E73"/>
    <w:rsid w:val="007D349E"/>
    <w:rsid w:val="007E18A2"/>
    <w:rsid w:val="007E4171"/>
    <w:rsid w:val="007E6D63"/>
    <w:rsid w:val="007F254C"/>
    <w:rsid w:val="007F4956"/>
    <w:rsid w:val="007F5DE7"/>
    <w:rsid w:val="007F7994"/>
    <w:rsid w:val="0080391D"/>
    <w:rsid w:val="00806917"/>
    <w:rsid w:val="00806F4D"/>
    <w:rsid w:val="00811E8E"/>
    <w:rsid w:val="00812FDF"/>
    <w:rsid w:val="00813289"/>
    <w:rsid w:val="00815B4F"/>
    <w:rsid w:val="008176D5"/>
    <w:rsid w:val="0082309C"/>
    <w:rsid w:val="008310F6"/>
    <w:rsid w:val="00833D12"/>
    <w:rsid w:val="0083652A"/>
    <w:rsid w:val="00847602"/>
    <w:rsid w:val="00847C9C"/>
    <w:rsid w:val="008615D4"/>
    <w:rsid w:val="00861EC7"/>
    <w:rsid w:val="00865721"/>
    <w:rsid w:val="00866136"/>
    <w:rsid w:val="00867039"/>
    <w:rsid w:val="00870B10"/>
    <w:rsid w:val="00873802"/>
    <w:rsid w:val="00880472"/>
    <w:rsid w:val="008819AB"/>
    <w:rsid w:val="00885FC5"/>
    <w:rsid w:val="00887276"/>
    <w:rsid w:val="00887C4C"/>
    <w:rsid w:val="008933A6"/>
    <w:rsid w:val="0089372D"/>
    <w:rsid w:val="008947F4"/>
    <w:rsid w:val="008A1217"/>
    <w:rsid w:val="008A273B"/>
    <w:rsid w:val="008A2D79"/>
    <w:rsid w:val="008A5E42"/>
    <w:rsid w:val="008A6F95"/>
    <w:rsid w:val="008A704B"/>
    <w:rsid w:val="008B2BB1"/>
    <w:rsid w:val="008B633D"/>
    <w:rsid w:val="008C0502"/>
    <w:rsid w:val="008C177E"/>
    <w:rsid w:val="008C180B"/>
    <w:rsid w:val="008C4D2A"/>
    <w:rsid w:val="008C66AB"/>
    <w:rsid w:val="008C69E6"/>
    <w:rsid w:val="008C6ED5"/>
    <w:rsid w:val="008C72A3"/>
    <w:rsid w:val="008C7FD8"/>
    <w:rsid w:val="008D0882"/>
    <w:rsid w:val="008D1BBB"/>
    <w:rsid w:val="008D1CBB"/>
    <w:rsid w:val="008E0C90"/>
    <w:rsid w:val="008E1585"/>
    <w:rsid w:val="008E166F"/>
    <w:rsid w:val="008E1AAF"/>
    <w:rsid w:val="008E25DC"/>
    <w:rsid w:val="008F0E07"/>
    <w:rsid w:val="008F6FD6"/>
    <w:rsid w:val="00903B28"/>
    <w:rsid w:val="00913187"/>
    <w:rsid w:val="00913424"/>
    <w:rsid w:val="009136AA"/>
    <w:rsid w:val="00917B7F"/>
    <w:rsid w:val="00921E26"/>
    <w:rsid w:val="009272CE"/>
    <w:rsid w:val="00927757"/>
    <w:rsid w:val="00930D62"/>
    <w:rsid w:val="00934CB5"/>
    <w:rsid w:val="0093524A"/>
    <w:rsid w:val="0094281F"/>
    <w:rsid w:val="00943F40"/>
    <w:rsid w:val="0095090A"/>
    <w:rsid w:val="00950B70"/>
    <w:rsid w:val="00957CBE"/>
    <w:rsid w:val="00965C46"/>
    <w:rsid w:val="00966141"/>
    <w:rsid w:val="00967CD0"/>
    <w:rsid w:val="00970532"/>
    <w:rsid w:val="00976516"/>
    <w:rsid w:val="00977626"/>
    <w:rsid w:val="00981892"/>
    <w:rsid w:val="00983ABB"/>
    <w:rsid w:val="009910B2"/>
    <w:rsid w:val="009925E1"/>
    <w:rsid w:val="00992C9B"/>
    <w:rsid w:val="00992CCD"/>
    <w:rsid w:val="00995D72"/>
    <w:rsid w:val="00997A54"/>
    <w:rsid w:val="009A17DB"/>
    <w:rsid w:val="009A2E1B"/>
    <w:rsid w:val="009A455B"/>
    <w:rsid w:val="009A6DC3"/>
    <w:rsid w:val="009A7742"/>
    <w:rsid w:val="009A7A28"/>
    <w:rsid w:val="009B58DA"/>
    <w:rsid w:val="009B7B28"/>
    <w:rsid w:val="009C4C53"/>
    <w:rsid w:val="009C4D60"/>
    <w:rsid w:val="009C73C2"/>
    <w:rsid w:val="009D0BB9"/>
    <w:rsid w:val="009E091C"/>
    <w:rsid w:val="009E0D71"/>
    <w:rsid w:val="009E2BF2"/>
    <w:rsid w:val="009E4DF0"/>
    <w:rsid w:val="009F2C17"/>
    <w:rsid w:val="009F6F62"/>
    <w:rsid w:val="009F77EE"/>
    <w:rsid w:val="009F7C1B"/>
    <w:rsid w:val="00A00316"/>
    <w:rsid w:val="00A02756"/>
    <w:rsid w:val="00A02AF7"/>
    <w:rsid w:val="00A0529F"/>
    <w:rsid w:val="00A06C96"/>
    <w:rsid w:val="00A07D61"/>
    <w:rsid w:val="00A11D31"/>
    <w:rsid w:val="00A14F1C"/>
    <w:rsid w:val="00A20DE4"/>
    <w:rsid w:val="00A2250E"/>
    <w:rsid w:val="00A264EA"/>
    <w:rsid w:val="00A31493"/>
    <w:rsid w:val="00A314DA"/>
    <w:rsid w:val="00A31833"/>
    <w:rsid w:val="00A318FC"/>
    <w:rsid w:val="00A346D8"/>
    <w:rsid w:val="00A352E0"/>
    <w:rsid w:val="00A3654C"/>
    <w:rsid w:val="00A3719C"/>
    <w:rsid w:val="00A42506"/>
    <w:rsid w:val="00A42970"/>
    <w:rsid w:val="00A44F6C"/>
    <w:rsid w:val="00A47B01"/>
    <w:rsid w:val="00A52FF4"/>
    <w:rsid w:val="00A53E11"/>
    <w:rsid w:val="00A62F70"/>
    <w:rsid w:val="00A64432"/>
    <w:rsid w:val="00A644D8"/>
    <w:rsid w:val="00A658BA"/>
    <w:rsid w:val="00A66944"/>
    <w:rsid w:val="00A6744A"/>
    <w:rsid w:val="00A67944"/>
    <w:rsid w:val="00A67C29"/>
    <w:rsid w:val="00A72389"/>
    <w:rsid w:val="00A724DA"/>
    <w:rsid w:val="00A74E03"/>
    <w:rsid w:val="00A76EC2"/>
    <w:rsid w:val="00A81364"/>
    <w:rsid w:val="00A826E8"/>
    <w:rsid w:val="00A827C7"/>
    <w:rsid w:val="00A84DCA"/>
    <w:rsid w:val="00A9065B"/>
    <w:rsid w:val="00A92A85"/>
    <w:rsid w:val="00A9390B"/>
    <w:rsid w:val="00A94B16"/>
    <w:rsid w:val="00AA13B8"/>
    <w:rsid w:val="00AA564D"/>
    <w:rsid w:val="00AA6B31"/>
    <w:rsid w:val="00AA71D0"/>
    <w:rsid w:val="00AB4C04"/>
    <w:rsid w:val="00AC0C17"/>
    <w:rsid w:val="00AC1F5B"/>
    <w:rsid w:val="00AC2F3E"/>
    <w:rsid w:val="00AC3E4F"/>
    <w:rsid w:val="00AD3EBE"/>
    <w:rsid w:val="00AE288E"/>
    <w:rsid w:val="00AE2EA9"/>
    <w:rsid w:val="00AE3B98"/>
    <w:rsid w:val="00AE70B0"/>
    <w:rsid w:val="00AE7883"/>
    <w:rsid w:val="00AF1762"/>
    <w:rsid w:val="00AF4CC5"/>
    <w:rsid w:val="00AF6E30"/>
    <w:rsid w:val="00B02C09"/>
    <w:rsid w:val="00B031C5"/>
    <w:rsid w:val="00B0345B"/>
    <w:rsid w:val="00B10694"/>
    <w:rsid w:val="00B1103D"/>
    <w:rsid w:val="00B13921"/>
    <w:rsid w:val="00B23726"/>
    <w:rsid w:val="00B258AF"/>
    <w:rsid w:val="00B26939"/>
    <w:rsid w:val="00B325B0"/>
    <w:rsid w:val="00B333C6"/>
    <w:rsid w:val="00B457EE"/>
    <w:rsid w:val="00B57E65"/>
    <w:rsid w:val="00B57EE1"/>
    <w:rsid w:val="00B60D31"/>
    <w:rsid w:val="00B61EDE"/>
    <w:rsid w:val="00B625B2"/>
    <w:rsid w:val="00B629BC"/>
    <w:rsid w:val="00B65B56"/>
    <w:rsid w:val="00B72DA1"/>
    <w:rsid w:val="00B7679B"/>
    <w:rsid w:val="00B76FC0"/>
    <w:rsid w:val="00B774E2"/>
    <w:rsid w:val="00B8082C"/>
    <w:rsid w:val="00B852E8"/>
    <w:rsid w:val="00B86193"/>
    <w:rsid w:val="00B876E1"/>
    <w:rsid w:val="00B87C29"/>
    <w:rsid w:val="00B901FF"/>
    <w:rsid w:val="00B97274"/>
    <w:rsid w:val="00B97703"/>
    <w:rsid w:val="00BA2BF5"/>
    <w:rsid w:val="00BA42E6"/>
    <w:rsid w:val="00BA4C83"/>
    <w:rsid w:val="00BA7DA1"/>
    <w:rsid w:val="00BB06E0"/>
    <w:rsid w:val="00BB0D57"/>
    <w:rsid w:val="00BB21CA"/>
    <w:rsid w:val="00BB30ED"/>
    <w:rsid w:val="00BC6896"/>
    <w:rsid w:val="00BD1203"/>
    <w:rsid w:val="00BE4BFB"/>
    <w:rsid w:val="00BE5371"/>
    <w:rsid w:val="00BF1CB3"/>
    <w:rsid w:val="00BF2493"/>
    <w:rsid w:val="00BF39DC"/>
    <w:rsid w:val="00BF4CD3"/>
    <w:rsid w:val="00BF5C20"/>
    <w:rsid w:val="00C005C5"/>
    <w:rsid w:val="00C00ABB"/>
    <w:rsid w:val="00C04CCB"/>
    <w:rsid w:val="00C10E85"/>
    <w:rsid w:val="00C10EC8"/>
    <w:rsid w:val="00C1647E"/>
    <w:rsid w:val="00C17762"/>
    <w:rsid w:val="00C272AA"/>
    <w:rsid w:val="00C31F7A"/>
    <w:rsid w:val="00C3257B"/>
    <w:rsid w:val="00C36267"/>
    <w:rsid w:val="00C37544"/>
    <w:rsid w:val="00C40A08"/>
    <w:rsid w:val="00C43400"/>
    <w:rsid w:val="00C51200"/>
    <w:rsid w:val="00C51A09"/>
    <w:rsid w:val="00C56045"/>
    <w:rsid w:val="00C61EAB"/>
    <w:rsid w:val="00C64BB0"/>
    <w:rsid w:val="00C658BD"/>
    <w:rsid w:val="00C6751C"/>
    <w:rsid w:val="00C6783D"/>
    <w:rsid w:val="00C705BA"/>
    <w:rsid w:val="00C707E3"/>
    <w:rsid w:val="00C73BC3"/>
    <w:rsid w:val="00C759A2"/>
    <w:rsid w:val="00C80812"/>
    <w:rsid w:val="00C87DC8"/>
    <w:rsid w:val="00C87F8C"/>
    <w:rsid w:val="00C906E4"/>
    <w:rsid w:val="00C91305"/>
    <w:rsid w:val="00C91D2D"/>
    <w:rsid w:val="00C930EF"/>
    <w:rsid w:val="00C93AD3"/>
    <w:rsid w:val="00C96395"/>
    <w:rsid w:val="00C963BD"/>
    <w:rsid w:val="00CB5E69"/>
    <w:rsid w:val="00CB69A6"/>
    <w:rsid w:val="00CD34DD"/>
    <w:rsid w:val="00CD4EA5"/>
    <w:rsid w:val="00CD6A50"/>
    <w:rsid w:val="00CD7B37"/>
    <w:rsid w:val="00CE0BE7"/>
    <w:rsid w:val="00CE1852"/>
    <w:rsid w:val="00CE275E"/>
    <w:rsid w:val="00CE3D3F"/>
    <w:rsid w:val="00CF0199"/>
    <w:rsid w:val="00CF1283"/>
    <w:rsid w:val="00CF31A6"/>
    <w:rsid w:val="00CF3CD4"/>
    <w:rsid w:val="00CF50C1"/>
    <w:rsid w:val="00CF56D5"/>
    <w:rsid w:val="00CF679F"/>
    <w:rsid w:val="00CF7355"/>
    <w:rsid w:val="00D05466"/>
    <w:rsid w:val="00D064C9"/>
    <w:rsid w:val="00D135C1"/>
    <w:rsid w:val="00D1522F"/>
    <w:rsid w:val="00D16372"/>
    <w:rsid w:val="00D26A5C"/>
    <w:rsid w:val="00D277C4"/>
    <w:rsid w:val="00D30E14"/>
    <w:rsid w:val="00D3315E"/>
    <w:rsid w:val="00D335BA"/>
    <w:rsid w:val="00D33B51"/>
    <w:rsid w:val="00D41316"/>
    <w:rsid w:val="00D4132A"/>
    <w:rsid w:val="00D438B9"/>
    <w:rsid w:val="00D510EA"/>
    <w:rsid w:val="00D550C4"/>
    <w:rsid w:val="00D60628"/>
    <w:rsid w:val="00D6428F"/>
    <w:rsid w:val="00D71F80"/>
    <w:rsid w:val="00D73217"/>
    <w:rsid w:val="00D8248D"/>
    <w:rsid w:val="00D82641"/>
    <w:rsid w:val="00D86DB8"/>
    <w:rsid w:val="00D91230"/>
    <w:rsid w:val="00D96D77"/>
    <w:rsid w:val="00DA0606"/>
    <w:rsid w:val="00DA1293"/>
    <w:rsid w:val="00DA3ABD"/>
    <w:rsid w:val="00DA47EE"/>
    <w:rsid w:val="00DA55C5"/>
    <w:rsid w:val="00DA65D8"/>
    <w:rsid w:val="00DB4A6C"/>
    <w:rsid w:val="00DB4F84"/>
    <w:rsid w:val="00DB7B39"/>
    <w:rsid w:val="00DC3AE0"/>
    <w:rsid w:val="00DC3DC4"/>
    <w:rsid w:val="00DC4605"/>
    <w:rsid w:val="00DC7848"/>
    <w:rsid w:val="00DD0FAA"/>
    <w:rsid w:val="00DD7CEB"/>
    <w:rsid w:val="00DE4A03"/>
    <w:rsid w:val="00DE6844"/>
    <w:rsid w:val="00DE7A58"/>
    <w:rsid w:val="00DF00AC"/>
    <w:rsid w:val="00E004B6"/>
    <w:rsid w:val="00E03001"/>
    <w:rsid w:val="00E03F7B"/>
    <w:rsid w:val="00E124F9"/>
    <w:rsid w:val="00E12B97"/>
    <w:rsid w:val="00E14AD1"/>
    <w:rsid w:val="00E201E2"/>
    <w:rsid w:val="00E264EB"/>
    <w:rsid w:val="00E26FA4"/>
    <w:rsid w:val="00E33F97"/>
    <w:rsid w:val="00E3626C"/>
    <w:rsid w:val="00E36301"/>
    <w:rsid w:val="00E41DBB"/>
    <w:rsid w:val="00E43AA3"/>
    <w:rsid w:val="00E43DE6"/>
    <w:rsid w:val="00E46A77"/>
    <w:rsid w:val="00E50097"/>
    <w:rsid w:val="00E514A1"/>
    <w:rsid w:val="00E52D8C"/>
    <w:rsid w:val="00E5413A"/>
    <w:rsid w:val="00E544D6"/>
    <w:rsid w:val="00E601E9"/>
    <w:rsid w:val="00E62C35"/>
    <w:rsid w:val="00E64CA4"/>
    <w:rsid w:val="00E666FD"/>
    <w:rsid w:val="00E72103"/>
    <w:rsid w:val="00E75411"/>
    <w:rsid w:val="00E8278F"/>
    <w:rsid w:val="00E83DA7"/>
    <w:rsid w:val="00E90092"/>
    <w:rsid w:val="00E91E4B"/>
    <w:rsid w:val="00E94B5B"/>
    <w:rsid w:val="00EB1448"/>
    <w:rsid w:val="00EB4890"/>
    <w:rsid w:val="00EC0941"/>
    <w:rsid w:val="00EC2090"/>
    <w:rsid w:val="00EC396D"/>
    <w:rsid w:val="00EE2396"/>
    <w:rsid w:val="00EE45DA"/>
    <w:rsid w:val="00EF569A"/>
    <w:rsid w:val="00EF57B1"/>
    <w:rsid w:val="00EF7E51"/>
    <w:rsid w:val="00EF7EC8"/>
    <w:rsid w:val="00F011A5"/>
    <w:rsid w:val="00F061E1"/>
    <w:rsid w:val="00F06BB8"/>
    <w:rsid w:val="00F07E45"/>
    <w:rsid w:val="00F13E10"/>
    <w:rsid w:val="00F3152A"/>
    <w:rsid w:val="00F31B84"/>
    <w:rsid w:val="00F32152"/>
    <w:rsid w:val="00F34108"/>
    <w:rsid w:val="00F34DE4"/>
    <w:rsid w:val="00F36121"/>
    <w:rsid w:val="00F3634C"/>
    <w:rsid w:val="00F37E91"/>
    <w:rsid w:val="00F42944"/>
    <w:rsid w:val="00F42CD7"/>
    <w:rsid w:val="00F53939"/>
    <w:rsid w:val="00F56E7A"/>
    <w:rsid w:val="00F637D4"/>
    <w:rsid w:val="00F6471B"/>
    <w:rsid w:val="00F72ADE"/>
    <w:rsid w:val="00F73AF9"/>
    <w:rsid w:val="00F80905"/>
    <w:rsid w:val="00F83060"/>
    <w:rsid w:val="00F83F25"/>
    <w:rsid w:val="00F86D05"/>
    <w:rsid w:val="00F909CF"/>
    <w:rsid w:val="00F90DDC"/>
    <w:rsid w:val="00F92DFB"/>
    <w:rsid w:val="00F93A07"/>
    <w:rsid w:val="00F93AA6"/>
    <w:rsid w:val="00F944B8"/>
    <w:rsid w:val="00F94A78"/>
    <w:rsid w:val="00F96545"/>
    <w:rsid w:val="00F96741"/>
    <w:rsid w:val="00F967EC"/>
    <w:rsid w:val="00F97B3D"/>
    <w:rsid w:val="00FA2167"/>
    <w:rsid w:val="00FA566F"/>
    <w:rsid w:val="00FA747E"/>
    <w:rsid w:val="00FA7D2D"/>
    <w:rsid w:val="00FB19F0"/>
    <w:rsid w:val="00FB25FD"/>
    <w:rsid w:val="00FB3B60"/>
    <w:rsid w:val="00FB6CFB"/>
    <w:rsid w:val="00FC3406"/>
    <w:rsid w:val="00FC6241"/>
    <w:rsid w:val="00FD250B"/>
    <w:rsid w:val="00FD31E0"/>
    <w:rsid w:val="00FD46D8"/>
    <w:rsid w:val="00FD77BC"/>
    <w:rsid w:val="00FE1B0A"/>
    <w:rsid w:val="00FE2C85"/>
    <w:rsid w:val="00FE3694"/>
    <w:rsid w:val="00FE5DE8"/>
    <w:rsid w:val="00FE76B9"/>
    <w:rsid w:val="00FE76D3"/>
    <w:rsid w:val="00FF005E"/>
    <w:rsid w:val="00FF67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2837D"/>
  <w15:docId w15:val="{66E03BD0-AE81-4084-948F-58FE258F3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6F62"/>
    <w:rPr>
      <w:lang w:val="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6F62"/>
    <w:pPr>
      <w:spacing w:after="0" w:line="240" w:lineRule="auto"/>
    </w:pPr>
    <w:rPr>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F6F62"/>
    <w:pPr>
      <w:ind w:left="720"/>
      <w:contextualSpacing/>
    </w:pPr>
  </w:style>
  <w:style w:type="paragraph" w:styleId="Header">
    <w:name w:val="header"/>
    <w:basedOn w:val="Normal"/>
    <w:link w:val="HeaderChar"/>
    <w:uiPriority w:val="99"/>
    <w:unhideWhenUsed/>
    <w:rsid w:val="009F6F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F62"/>
    <w:rPr>
      <w:lang w:val="es-AR"/>
    </w:rPr>
  </w:style>
  <w:style w:type="paragraph" w:styleId="Footer">
    <w:name w:val="footer"/>
    <w:basedOn w:val="Normal"/>
    <w:link w:val="FooterChar"/>
    <w:uiPriority w:val="99"/>
    <w:unhideWhenUsed/>
    <w:rsid w:val="009F6F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F62"/>
    <w:rPr>
      <w:lang w:val="es-AR"/>
    </w:rPr>
  </w:style>
  <w:style w:type="character" w:styleId="CommentReference">
    <w:name w:val="annotation reference"/>
    <w:basedOn w:val="DefaultParagraphFont"/>
    <w:uiPriority w:val="99"/>
    <w:semiHidden/>
    <w:unhideWhenUsed/>
    <w:rsid w:val="00E666FD"/>
    <w:rPr>
      <w:sz w:val="16"/>
      <w:szCs w:val="16"/>
    </w:rPr>
  </w:style>
  <w:style w:type="paragraph" w:styleId="CommentText">
    <w:name w:val="annotation text"/>
    <w:basedOn w:val="Normal"/>
    <w:link w:val="CommentTextChar"/>
    <w:uiPriority w:val="99"/>
    <w:unhideWhenUsed/>
    <w:rsid w:val="00E666FD"/>
    <w:pPr>
      <w:spacing w:line="240" w:lineRule="auto"/>
    </w:pPr>
    <w:rPr>
      <w:sz w:val="20"/>
      <w:szCs w:val="20"/>
    </w:rPr>
  </w:style>
  <w:style w:type="character" w:customStyle="1" w:styleId="CommentTextChar">
    <w:name w:val="Comment Text Char"/>
    <w:basedOn w:val="DefaultParagraphFont"/>
    <w:link w:val="CommentText"/>
    <w:uiPriority w:val="99"/>
    <w:rsid w:val="00E666FD"/>
    <w:rPr>
      <w:sz w:val="20"/>
      <w:szCs w:val="20"/>
      <w:lang w:val="es-AR"/>
    </w:rPr>
  </w:style>
  <w:style w:type="paragraph" w:styleId="CommentSubject">
    <w:name w:val="annotation subject"/>
    <w:basedOn w:val="CommentText"/>
    <w:next w:val="CommentText"/>
    <w:link w:val="CommentSubjectChar"/>
    <w:uiPriority w:val="99"/>
    <w:semiHidden/>
    <w:unhideWhenUsed/>
    <w:rsid w:val="00E666FD"/>
    <w:rPr>
      <w:b/>
      <w:bCs/>
    </w:rPr>
  </w:style>
  <w:style w:type="character" w:customStyle="1" w:styleId="CommentSubjectChar">
    <w:name w:val="Comment Subject Char"/>
    <w:basedOn w:val="CommentTextChar"/>
    <w:link w:val="CommentSubject"/>
    <w:uiPriority w:val="99"/>
    <w:semiHidden/>
    <w:rsid w:val="00E666FD"/>
    <w:rPr>
      <w:b/>
      <w:bCs/>
      <w:sz w:val="20"/>
      <w:szCs w:val="20"/>
      <w:lang w:val="es-AR"/>
    </w:rPr>
  </w:style>
  <w:style w:type="paragraph" w:styleId="BalloonText">
    <w:name w:val="Balloon Text"/>
    <w:basedOn w:val="Normal"/>
    <w:link w:val="BalloonTextChar"/>
    <w:uiPriority w:val="99"/>
    <w:semiHidden/>
    <w:unhideWhenUsed/>
    <w:rsid w:val="00E666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66FD"/>
    <w:rPr>
      <w:rFonts w:ascii="Tahoma" w:hAnsi="Tahoma" w:cs="Tahoma"/>
      <w:sz w:val="16"/>
      <w:szCs w:val="16"/>
      <w:lang w:val="es-AR"/>
    </w:rPr>
  </w:style>
  <w:style w:type="paragraph" w:styleId="Revision">
    <w:name w:val="Revision"/>
    <w:hidden/>
    <w:uiPriority w:val="99"/>
    <w:semiHidden/>
    <w:rsid w:val="009B58DA"/>
    <w:pPr>
      <w:spacing w:after="0" w:line="240" w:lineRule="auto"/>
    </w:pPr>
    <w:rPr>
      <w:lang w:val="es-AR"/>
    </w:rPr>
  </w:style>
  <w:style w:type="paragraph" w:styleId="NormalWeb">
    <w:name w:val="Normal (Web)"/>
    <w:basedOn w:val="Normal"/>
    <w:uiPriority w:val="99"/>
    <w:semiHidden/>
    <w:unhideWhenUsed/>
    <w:rsid w:val="0071799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aliases w:val="fn,foottextfra,footnote,F,Texto nota pie Car Car,Nota de rodapé,Char,Footnote Text Char1 Char,Footnote Text Char Char Char,Footnote Text Char Char Char Char Char Char,ADB,single space,FOOTNOTES,footnote text,ft,f,Texto de rodapé"/>
    <w:basedOn w:val="Normal"/>
    <w:link w:val="FootnoteTextChar"/>
    <w:unhideWhenUsed/>
    <w:qFormat/>
    <w:rsid w:val="00921E26"/>
    <w:pPr>
      <w:spacing w:after="0" w:line="240" w:lineRule="auto"/>
    </w:pPr>
    <w:rPr>
      <w:sz w:val="20"/>
      <w:szCs w:val="20"/>
    </w:rPr>
  </w:style>
  <w:style w:type="character" w:customStyle="1" w:styleId="FootnoteTextChar">
    <w:name w:val="Footnote Text Char"/>
    <w:aliases w:val="fn Char1,foottextfra Char1,footnote Char1,F Char1,Texto nota pie Car Car Char1,Nota de rodapé Char1,Char Char1,Footnote Text Char1 Char Char1,Footnote Text Char Char Char Char1,Footnote Text Char Char Char Char Char Char Char1,f Char"/>
    <w:basedOn w:val="DefaultParagraphFont"/>
    <w:link w:val="FootnoteText"/>
    <w:uiPriority w:val="99"/>
    <w:semiHidden/>
    <w:rsid w:val="00921E26"/>
    <w:rPr>
      <w:sz w:val="20"/>
      <w:szCs w:val="20"/>
      <w:lang w:val="es-AR"/>
    </w:rPr>
  </w:style>
  <w:style w:type="character" w:styleId="FootnoteReference">
    <w:name w:val="footnote reference"/>
    <w:aliases w:val="FC,ftref,referencia nota al pie,titulo 2,Style 24,pie pddes,Fußnotenzeichen DISS,16 Point,Superscript 6 Point,Footnotes refss,Ref. de nota al pie.,Ref,de nota al pie,(Ref. de nota al pie),Texto de nota al pie,Footnote Reference1,fr"/>
    <w:basedOn w:val="DefaultParagraphFont"/>
    <w:link w:val="Char2"/>
    <w:uiPriority w:val="99"/>
    <w:unhideWhenUsed/>
    <w:qFormat/>
    <w:rsid w:val="00921E26"/>
    <w:rPr>
      <w:vertAlign w:val="superscript"/>
    </w:rPr>
  </w:style>
  <w:style w:type="character" w:customStyle="1" w:styleId="FootnoteTextChar1">
    <w:name w:val="Footnote Text Char1"/>
    <w:aliases w:val="fn Char,foottextfra Char,footnote Char,F Char,Texto nota pie Car Car Char,Nota de rodapé Char,Char Char,Footnote Text Char1 Char Char,Footnote Text Char Char Char Char,Footnote Text Char Char Char Char Char Char Char,ADB Char,ft Char"/>
    <w:basedOn w:val="DefaultParagraphFont"/>
    <w:uiPriority w:val="99"/>
    <w:rsid w:val="007A2961"/>
    <w:rPr>
      <w:sz w:val="20"/>
      <w:szCs w:val="20"/>
      <w:lang w:val="pt-BR"/>
    </w:rPr>
  </w:style>
  <w:style w:type="paragraph" w:customStyle="1" w:styleId="Char2">
    <w:name w:val="Char2"/>
    <w:basedOn w:val="Normal"/>
    <w:link w:val="FootnoteReference"/>
    <w:uiPriority w:val="99"/>
    <w:rsid w:val="007A2961"/>
    <w:pPr>
      <w:spacing w:after="160" w:line="240" w:lineRule="exact"/>
    </w:pPr>
    <w:rPr>
      <w:vertAlign w:val="superscript"/>
      <w:lang w:val="en-US"/>
    </w:rPr>
  </w:style>
  <w:style w:type="character" w:styleId="Hyperlink">
    <w:name w:val="Hyperlink"/>
    <w:basedOn w:val="DefaultParagraphFont"/>
    <w:uiPriority w:val="99"/>
    <w:semiHidden/>
    <w:unhideWhenUsed/>
    <w:rsid w:val="007C151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50803">
      <w:bodyDiv w:val="1"/>
      <w:marLeft w:val="0"/>
      <w:marRight w:val="0"/>
      <w:marTop w:val="0"/>
      <w:marBottom w:val="0"/>
      <w:divBdr>
        <w:top w:val="none" w:sz="0" w:space="0" w:color="auto"/>
        <w:left w:val="none" w:sz="0" w:space="0" w:color="auto"/>
        <w:bottom w:val="none" w:sz="0" w:space="0" w:color="auto"/>
        <w:right w:val="none" w:sz="0" w:space="0" w:color="auto"/>
      </w:divBdr>
    </w:div>
    <w:div w:id="283997385">
      <w:bodyDiv w:val="1"/>
      <w:marLeft w:val="0"/>
      <w:marRight w:val="0"/>
      <w:marTop w:val="0"/>
      <w:marBottom w:val="0"/>
      <w:divBdr>
        <w:top w:val="none" w:sz="0" w:space="0" w:color="auto"/>
        <w:left w:val="none" w:sz="0" w:space="0" w:color="auto"/>
        <w:bottom w:val="none" w:sz="0" w:space="0" w:color="auto"/>
        <w:right w:val="none" w:sz="0" w:space="0" w:color="auto"/>
      </w:divBdr>
    </w:div>
    <w:div w:id="441001665">
      <w:bodyDiv w:val="1"/>
      <w:marLeft w:val="0"/>
      <w:marRight w:val="0"/>
      <w:marTop w:val="0"/>
      <w:marBottom w:val="0"/>
      <w:divBdr>
        <w:top w:val="none" w:sz="0" w:space="0" w:color="auto"/>
        <w:left w:val="none" w:sz="0" w:space="0" w:color="auto"/>
        <w:bottom w:val="none" w:sz="0" w:space="0" w:color="auto"/>
        <w:right w:val="none" w:sz="0" w:space="0" w:color="auto"/>
      </w:divBdr>
    </w:div>
    <w:div w:id="517741519">
      <w:bodyDiv w:val="1"/>
      <w:marLeft w:val="0"/>
      <w:marRight w:val="0"/>
      <w:marTop w:val="0"/>
      <w:marBottom w:val="0"/>
      <w:divBdr>
        <w:top w:val="none" w:sz="0" w:space="0" w:color="auto"/>
        <w:left w:val="none" w:sz="0" w:space="0" w:color="auto"/>
        <w:bottom w:val="none" w:sz="0" w:space="0" w:color="auto"/>
        <w:right w:val="none" w:sz="0" w:space="0" w:color="auto"/>
      </w:divBdr>
    </w:div>
    <w:div w:id="525293642">
      <w:bodyDiv w:val="1"/>
      <w:marLeft w:val="0"/>
      <w:marRight w:val="0"/>
      <w:marTop w:val="0"/>
      <w:marBottom w:val="0"/>
      <w:divBdr>
        <w:top w:val="none" w:sz="0" w:space="0" w:color="auto"/>
        <w:left w:val="none" w:sz="0" w:space="0" w:color="auto"/>
        <w:bottom w:val="none" w:sz="0" w:space="0" w:color="auto"/>
        <w:right w:val="none" w:sz="0" w:space="0" w:color="auto"/>
      </w:divBdr>
    </w:div>
    <w:div w:id="732194110">
      <w:bodyDiv w:val="1"/>
      <w:marLeft w:val="0"/>
      <w:marRight w:val="0"/>
      <w:marTop w:val="0"/>
      <w:marBottom w:val="0"/>
      <w:divBdr>
        <w:top w:val="none" w:sz="0" w:space="0" w:color="auto"/>
        <w:left w:val="none" w:sz="0" w:space="0" w:color="auto"/>
        <w:bottom w:val="none" w:sz="0" w:space="0" w:color="auto"/>
        <w:right w:val="none" w:sz="0" w:space="0" w:color="auto"/>
      </w:divBdr>
    </w:div>
    <w:div w:id="983050119">
      <w:bodyDiv w:val="1"/>
      <w:marLeft w:val="0"/>
      <w:marRight w:val="0"/>
      <w:marTop w:val="0"/>
      <w:marBottom w:val="0"/>
      <w:divBdr>
        <w:top w:val="none" w:sz="0" w:space="0" w:color="auto"/>
        <w:left w:val="none" w:sz="0" w:space="0" w:color="auto"/>
        <w:bottom w:val="none" w:sz="0" w:space="0" w:color="auto"/>
        <w:right w:val="none" w:sz="0" w:space="0" w:color="auto"/>
      </w:divBdr>
    </w:div>
    <w:div w:id="1062171363">
      <w:bodyDiv w:val="1"/>
      <w:marLeft w:val="0"/>
      <w:marRight w:val="0"/>
      <w:marTop w:val="0"/>
      <w:marBottom w:val="0"/>
      <w:divBdr>
        <w:top w:val="none" w:sz="0" w:space="0" w:color="auto"/>
        <w:left w:val="none" w:sz="0" w:space="0" w:color="auto"/>
        <w:bottom w:val="none" w:sz="0" w:space="0" w:color="auto"/>
        <w:right w:val="none" w:sz="0" w:space="0" w:color="auto"/>
      </w:divBdr>
    </w:div>
    <w:div w:id="1194460941">
      <w:bodyDiv w:val="1"/>
      <w:marLeft w:val="0"/>
      <w:marRight w:val="0"/>
      <w:marTop w:val="0"/>
      <w:marBottom w:val="0"/>
      <w:divBdr>
        <w:top w:val="none" w:sz="0" w:space="0" w:color="auto"/>
        <w:left w:val="none" w:sz="0" w:space="0" w:color="auto"/>
        <w:bottom w:val="none" w:sz="0" w:space="0" w:color="auto"/>
        <w:right w:val="none" w:sz="0" w:space="0" w:color="auto"/>
      </w:divBdr>
    </w:div>
    <w:div w:id="1326738150">
      <w:bodyDiv w:val="1"/>
      <w:marLeft w:val="0"/>
      <w:marRight w:val="0"/>
      <w:marTop w:val="0"/>
      <w:marBottom w:val="0"/>
      <w:divBdr>
        <w:top w:val="none" w:sz="0" w:space="0" w:color="auto"/>
        <w:left w:val="none" w:sz="0" w:space="0" w:color="auto"/>
        <w:bottom w:val="none" w:sz="0" w:space="0" w:color="auto"/>
        <w:right w:val="none" w:sz="0" w:space="0" w:color="auto"/>
      </w:divBdr>
    </w:div>
    <w:div w:id="1339238006">
      <w:bodyDiv w:val="1"/>
      <w:marLeft w:val="0"/>
      <w:marRight w:val="0"/>
      <w:marTop w:val="0"/>
      <w:marBottom w:val="0"/>
      <w:divBdr>
        <w:top w:val="none" w:sz="0" w:space="0" w:color="auto"/>
        <w:left w:val="none" w:sz="0" w:space="0" w:color="auto"/>
        <w:bottom w:val="none" w:sz="0" w:space="0" w:color="auto"/>
        <w:right w:val="none" w:sz="0" w:space="0" w:color="auto"/>
      </w:divBdr>
    </w:div>
    <w:div w:id="1879857291">
      <w:bodyDiv w:val="1"/>
      <w:marLeft w:val="0"/>
      <w:marRight w:val="0"/>
      <w:marTop w:val="0"/>
      <w:marBottom w:val="0"/>
      <w:divBdr>
        <w:top w:val="none" w:sz="0" w:space="0" w:color="auto"/>
        <w:left w:val="none" w:sz="0" w:space="0" w:color="auto"/>
        <w:bottom w:val="none" w:sz="0" w:space="0" w:color="auto"/>
        <w:right w:val="none" w:sz="0" w:space="0" w:color="auto"/>
      </w:divBdr>
    </w:div>
    <w:div w:id="1882326572">
      <w:bodyDiv w:val="1"/>
      <w:marLeft w:val="0"/>
      <w:marRight w:val="0"/>
      <w:marTop w:val="0"/>
      <w:marBottom w:val="0"/>
      <w:divBdr>
        <w:top w:val="none" w:sz="0" w:space="0" w:color="auto"/>
        <w:left w:val="none" w:sz="0" w:space="0" w:color="auto"/>
        <w:bottom w:val="none" w:sz="0" w:space="0" w:color="auto"/>
        <w:right w:val="none" w:sz="0" w:space="0" w:color="auto"/>
      </w:divBdr>
    </w:div>
    <w:div w:id="198535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F91AD-A8E8-49D4-B30C-81E27C6BE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2184</Words>
  <Characters>12451</Characters>
  <Application>Microsoft Office Word</Application>
  <DocSecurity>0</DocSecurity>
  <Lines>103</Lines>
  <Paragraphs>29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gf Consulting Group</dc:creator>
  <cp:lastModifiedBy>Muhlstein, Ethel Rosa</cp:lastModifiedBy>
  <cp:revision>2</cp:revision>
  <cp:lastPrinted>2018-11-13T21:44:00Z</cp:lastPrinted>
  <dcterms:created xsi:type="dcterms:W3CDTF">2018-11-16T16:22:00Z</dcterms:created>
  <dcterms:modified xsi:type="dcterms:W3CDTF">2018-11-16T16:22:00Z</dcterms:modified>
</cp:coreProperties>
</file>