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0E655E" w14:textId="77777777" w:rsidR="005C3BC2" w:rsidRPr="00515099" w:rsidRDefault="005C3BC2" w:rsidP="005C3BC2">
      <w:pPr>
        <w:pStyle w:val="Title"/>
        <w:tabs>
          <w:tab w:val="clear" w:pos="1440"/>
          <w:tab w:val="clear" w:pos="3060"/>
        </w:tabs>
        <w:outlineLvl w:val="9"/>
        <w:rPr>
          <w:rFonts w:ascii="Arial" w:hAnsi="Arial" w:cs="Arial"/>
          <w:smallCaps/>
          <w:sz w:val="22"/>
          <w:szCs w:val="22"/>
          <w:lang w:val="es-ES"/>
        </w:rPr>
      </w:pPr>
      <w:bookmarkStart w:id="0" w:name="_GoBack"/>
      <w:bookmarkEnd w:id="0"/>
      <w:r w:rsidRPr="00515099">
        <w:rPr>
          <w:rFonts w:ascii="Arial" w:hAnsi="Arial" w:cs="Arial"/>
          <w:smallCaps/>
          <w:sz w:val="22"/>
          <w:szCs w:val="22"/>
          <w:lang w:val="es-ES"/>
        </w:rPr>
        <w:t>Documento del Banco Interamericano de Desarrollo</w:t>
      </w:r>
    </w:p>
    <w:p w14:paraId="11539DB2" w14:textId="4892174A" w:rsidR="005C3BC2" w:rsidRDefault="005C3BC2" w:rsidP="005C3BC2">
      <w:pPr>
        <w:pStyle w:val="ColorfulList-Accent11"/>
        <w:ind w:left="1080"/>
        <w:jc w:val="center"/>
        <w:rPr>
          <w:rFonts w:ascii="Arial" w:hAnsi="Arial" w:cs="Arial"/>
          <w:b/>
          <w:lang w:val="es-ES"/>
        </w:rPr>
      </w:pPr>
    </w:p>
    <w:p w14:paraId="2794443B" w14:textId="7E0A56CF" w:rsidR="007C5B5D" w:rsidRDefault="007C5B5D" w:rsidP="005C3BC2">
      <w:pPr>
        <w:pStyle w:val="ColorfulList-Accent11"/>
        <w:ind w:left="1080"/>
        <w:jc w:val="center"/>
        <w:rPr>
          <w:rFonts w:ascii="Arial" w:hAnsi="Arial" w:cs="Arial"/>
          <w:b/>
          <w:lang w:val="es-ES"/>
        </w:rPr>
      </w:pPr>
    </w:p>
    <w:p w14:paraId="6DB1390F" w14:textId="42E6EA03" w:rsidR="007C5B5D" w:rsidRDefault="007C5B5D" w:rsidP="005C3BC2">
      <w:pPr>
        <w:pStyle w:val="ColorfulList-Accent11"/>
        <w:ind w:left="1080"/>
        <w:jc w:val="center"/>
        <w:rPr>
          <w:rFonts w:ascii="Arial" w:hAnsi="Arial" w:cs="Arial"/>
          <w:b/>
          <w:lang w:val="es-ES"/>
        </w:rPr>
      </w:pPr>
    </w:p>
    <w:p w14:paraId="2FAC4EC8" w14:textId="77777777" w:rsidR="007C5B5D" w:rsidRPr="00515099" w:rsidRDefault="007C5B5D" w:rsidP="005C3BC2">
      <w:pPr>
        <w:pStyle w:val="ColorfulList-Accent11"/>
        <w:ind w:left="1080"/>
        <w:jc w:val="center"/>
        <w:rPr>
          <w:rFonts w:ascii="Arial" w:hAnsi="Arial" w:cs="Arial"/>
          <w:b/>
          <w:lang w:val="es-ES"/>
        </w:rPr>
      </w:pPr>
    </w:p>
    <w:p w14:paraId="4FD56146" w14:textId="77777777" w:rsidR="005C3BC2" w:rsidRPr="00515099" w:rsidRDefault="005C3BC2" w:rsidP="005C3BC2">
      <w:pPr>
        <w:tabs>
          <w:tab w:val="left" w:pos="1440"/>
          <w:tab w:val="left" w:pos="3060"/>
        </w:tabs>
        <w:jc w:val="center"/>
        <w:rPr>
          <w:rFonts w:ascii="Arial" w:hAnsi="Arial" w:cs="Arial"/>
          <w:b/>
          <w:smallCaps/>
          <w:sz w:val="22"/>
          <w:szCs w:val="22"/>
          <w:lang w:val="es-ES"/>
        </w:rPr>
      </w:pPr>
    </w:p>
    <w:p w14:paraId="48018954" w14:textId="77777777" w:rsidR="005C3BC2" w:rsidRPr="00515099" w:rsidRDefault="005C3BC2" w:rsidP="005C3BC2">
      <w:pPr>
        <w:tabs>
          <w:tab w:val="left" w:pos="1440"/>
          <w:tab w:val="left" w:pos="3060"/>
        </w:tabs>
        <w:jc w:val="center"/>
        <w:rPr>
          <w:rFonts w:ascii="Arial" w:hAnsi="Arial" w:cs="Arial"/>
          <w:b/>
          <w:smallCaps/>
          <w:sz w:val="22"/>
          <w:szCs w:val="22"/>
          <w:lang w:val="es-ES"/>
        </w:rPr>
      </w:pPr>
    </w:p>
    <w:p w14:paraId="7DFE3F9E" w14:textId="77777777" w:rsidR="005C3BC2" w:rsidRDefault="005C3BC2" w:rsidP="005C3BC2">
      <w:pPr>
        <w:tabs>
          <w:tab w:val="left" w:pos="1440"/>
          <w:tab w:val="left" w:pos="3060"/>
        </w:tabs>
        <w:jc w:val="center"/>
        <w:rPr>
          <w:rFonts w:ascii="Arial" w:hAnsi="Arial" w:cs="Arial"/>
          <w:b/>
          <w:smallCaps/>
          <w:sz w:val="22"/>
          <w:szCs w:val="22"/>
          <w:lang w:val="es-ES"/>
        </w:rPr>
      </w:pPr>
    </w:p>
    <w:p w14:paraId="1DDB8404" w14:textId="77777777" w:rsidR="005C3BC2" w:rsidRDefault="005C3BC2" w:rsidP="005C3BC2">
      <w:pPr>
        <w:tabs>
          <w:tab w:val="left" w:pos="1440"/>
          <w:tab w:val="left" w:pos="3060"/>
        </w:tabs>
        <w:jc w:val="center"/>
        <w:rPr>
          <w:rFonts w:ascii="Arial" w:hAnsi="Arial" w:cs="Arial"/>
          <w:b/>
          <w:smallCaps/>
          <w:sz w:val="22"/>
          <w:szCs w:val="22"/>
          <w:lang w:val="es-ES"/>
        </w:rPr>
      </w:pPr>
    </w:p>
    <w:p w14:paraId="09644B6C" w14:textId="77777777" w:rsidR="005C3BC2" w:rsidRPr="00515099" w:rsidRDefault="005C3BC2" w:rsidP="005C3BC2">
      <w:pPr>
        <w:tabs>
          <w:tab w:val="left" w:pos="1440"/>
          <w:tab w:val="left" w:pos="3060"/>
        </w:tabs>
        <w:jc w:val="center"/>
        <w:rPr>
          <w:rFonts w:ascii="Arial" w:hAnsi="Arial" w:cs="Arial"/>
          <w:b/>
          <w:smallCaps/>
          <w:sz w:val="22"/>
          <w:szCs w:val="22"/>
          <w:lang w:val="es-ES"/>
        </w:rPr>
      </w:pPr>
    </w:p>
    <w:p w14:paraId="67AE2A06" w14:textId="77777777" w:rsidR="005C3BC2" w:rsidRDefault="005C3BC2" w:rsidP="005C3BC2">
      <w:pPr>
        <w:tabs>
          <w:tab w:val="left" w:pos="1440"/>
          <w:tab w:val="left" w:pos="3060"/>
        </w:tabs>
        <w:jc w:val="center"/>
        <w:rPr>
          <w:rFonts w:ascii="Arial" w:hAnsi="Arial" w:cs="Arial"/>
          <w:b/>
          <w:smallCaps/>
          <w:sz w:val="22"/>
          <w:szCs w:val="22"/>
          <w:lang w:val="es-ES"/>
        </w:rPr>
      </w:pPr>
    </w:p>
    <w:p w14:paraId="1F8F2670" w14:textId="77777777" w:rsidR="005C3BC2" w:rsidRPr="00515099" w:rsidRDefault="005C3BC2" w:rsidP="005C3BC2">
      <w:pPr>
        <w:tabs>
          <w:tab w:val="left" w:pos="1440"/>
          <w:tab w:val="left" w:pos="3060"/>
        </w:tabs>
        <w:jc w:val="center"/>
        <w:rPr>
          <w:rFonts w:ascii="Arial" w:hAnsi="Arial" w:cs="Arial"/>
          <w:b/>
          <w:smallCaps/>
          <w:sz w:val="22"/>
          <w:szCs w:val="22"/>
          <w:lang w:val="es-ES"/>
        </w:rPr>
      </w:pPr>
    </w:p>
    <w:p w14:paraId="51C24CA3" w14:textId="77777777" w:rsidR="005C3BC2" w:rsidRPr="00515099" w:rsidRDefault="005C3BC2" w:rsidP="005C3BC2">
      <w:pPr>
        <w:tabs>
          <w:tab w:val="left" w:pos="1440"/>
          <w:tab w:val="left" w:pos="3060"/>
        </w:tabs>
        <w:jc w:val="center"/>
        <w:rPr>
          <w:rFonts w:ascii="Arial" w:hAnsi="Arial" w:cs="Arial"/>
          <w:b/>
          <w:smallCaps/>
          <w:sz w:val="22"/>
          <w:szCs w:val="22"/>
          <w:lang w:val="es-ES"/>
        </w:rPr>
      </w:pPr>
    </w:p>
    <w:p w14:paraId="2602DAAA" w14:textId="77777777" w:rsidR="005C3BC2" w:rsidRPr="00515099" w:rsidRDefault="005C3BC2" w:rsidP="005C3BC2">
      <w:pPr>
        <w:tabs>
          <w:tab w:val="left" w:pos="1440"/>
          <w:tab w:val="left" w:pos="3060"/>
        </w:tabs>
        <w:jc w:val="center"/>
        <w:rPr>
          <w:rFonts w:ascii="Arial" w:hAnsi="Arial" w:cs="Arial"/>
          <w:b/>
          <w:smallCaps/>
          <w:sz w:val="22"/>
          <w:szCs w:val="22"/>
          <w:lang w:val="es-ES"/>
        </w:rPr>
      </w:pPr>
    </w:p>
    <w:p w14:paraId="568B703E" w14:textId="7370C221" w:rsidR="005C3BC2" w:rsidRPr="008A3CE3" w:rsidRDefault="005C3BC2" w:rsidP="005C3BC2">
      <w:pPr>
        <w:tabs>
          <w:tab w:val="left" w:pos="1440"/>
          <w:tab w:val="left" w:pos="3060"/>
        </w:tabs>
        <w:jc w:val="center"/>
        <w:rPr>
          <w:rFonts w:ascii="Arial" w:hAnsi="Arial" w:cs="Arial"/>
          <w:b/>
          <w:smallCaps/>
          <w:sz w:val="28"/>
          <w:szCs w:val="28"/>
          <w:lang w:val="es-ES"/>
        </w:rPr>
      </w:pPr>
      <w:r>
        <w:rPr>
          <w:rFonts w:ascii="Arial" w:hAnsi="Arial" w:cs="Arial"/>
          <w:b/>
          <w:smallCaps/>
          <w:sz w:val="28"/>
          <w:szCs w:val="28"/>
          <w:lang w:val="es-ES"/>
        </w:rPr>
        <w:t>PERU</w:t>
      </w:r>
    </w:p>
    <w:p w14:paraId="3E5DD51D" w14:textId="77777777" w:rsidR="005C3BC2" w:rsidRPr="008A3CE3" w:rsidRDefault="005C3BC2" w:rsidP="005C3BC2">
      <w:pPr>
        <w:tabs>
          <w:tab w:val="left" w:pos="1440"/>
          <w:tab w:val="left" w:pos="3060"/>
        </w:tabs>
        <w:jc w:val="center"/>
        <w:rPr>
          <w:rFonts w:ascii="Arial" w:hAnsi="Arial" w:cs="Arial"/>
          <w:b/>
          <w:smallCaps/>
          <w:sz w:val="28"/>
          <w:szCs w:val="28"/>
          <w:lang w:val="es-ES"/>
        </w:rPr>
      </w:pPr>
    </w:p>
    <w:p w14:paraId="30C5842A" w14:textId="77777777" w:rsidR="005C3BC2" w:rsidRPr="008A3CE3" w:rsidRDefault="005C3BC2" w:rsidP="005C3BC2">
      <w:pPr>
        <w:tabs>
          <w:tab w:val="left" w:pos="1440"/>
          <w:tab w:val="left" w:pos="3060"/>
        </w:tabs>
        <w:jc w:val="center"/>
        <w:rPr>
          <w:rFonts w:ascii="Arial" w:hAnsi="Arial" w:cs="Arial"/>
          <w:b/>
          <w:smallCaps/>
          <w:sz w:val="28"/>
          <w:szCs w:val="28"/>
          <w:lang w:val="es-ES"/>
        </w:rPr>
      </w:pPr>
    </w:p>
    <w:p w14:paraId="246C15CD" w14:textId="77777777" w:rsidR="005C3BC2" w:rsidRPr="008A3CE3" w:rsidRDefault="005C3BC2" w:rsidP="005C3BC2">
      <w:pPr>
        <w:tabs>
          <w:tab w:val="left" w:pos="1440"/>
          <w:tab w:val="left" w:pos="3060"/>
          <w:tab w:val="left" w:pos="3552"/>
        </w:tabs>
        <w:rPr>
          <w:rFonts w:ascii="Arial" w:hAnsi="Arial" w:cs="Arial"/>
          <w:b/>
          <w:smallCaps/>
          <w:sz w:val="28"/>
          <w:szCs w:val="28"/>
          <w:lang w:val="es-ES"/>
        </w:rPr>
      </w:pPr>
      <w:r>
        <w:rPr>
          <w:rFonts w:ascii="Arial" w:hAnsi="Arial" w:cs="Arial"/>
          <w:b/>
          <w:smallCaps/>
          <w:sz w:val="28"/>
          <w:szCs w:val="28"/>
          <w:lang w:val="es-ES"/>
        </w:rPr>
        <w:tab/>
      </w:r>
      <w:r>
        <w:rPr>
          <w:rFonts w:ascii="Arial" w:hAnsi="Arial" w:cs="Arial"/>
          <w:b/>
          <w:smallCaps/>
          <w:sz w:val="28"/>
          <w:szCs w:val="28"/>
          <w:lang w:val="es-ES"/>
        </w:rPr>
        <w:tab/>
      </w:r>
      <w:r>
        <w:rPr>
          <w:rFonts w:ascii="Arial" w:hAnsi="Arial" w:cs="Arial"/>
          <w:b/>
          <w:smallCaps/>
          <w:sz w:val="28"/>
          <w:szCs w:val="28"/>
          <w:lang w:val="es-ES"/>
        </w:rPr>
        <w:tab/>
      </w:r>
    </w:p>
    <w:p w14:paraId="7FC8834F" w14:textId="6BAB5CE6" w:rsidR="005C3BC2" w:rsidRDefault="005C3BC2" w:rsidP="005C3BC2">
      <w:pPr>
        <w:tabs>
          <w:tab w:val="left" w:pos="1440"/>
          <w:tab w:val="left" w:pos="3060"/>
        </w:tabs>
        <w:jc w:val="center"/>
        <w:rPr>
          <w:rFonts w:ascii="Arial" w:hAnsi="Arial" w:cs="Arial"/>
          <w:b/>
          <w:smallCaps/>
          <w:sz w:val="28"/>
          <w:szCs w:val="28"/>
          <w:lang w:val="es-ES"/>
        </w:rPr>
      </w:pPr>
      <w:r w:rsidRPr="00E82F98">
        <w:rPr>
          <w:rFonts w:ascii="Arial" w:hAnsi="Arial" w:cs="Arial"/>
          <w:b/>
          <w:smallCaps/>
          <w:sz w:val="28"/>
          <w:szCs w:val="28"/>
          <w:lang w:val="es-ES"/>
        </w:rPr>
        <w:t>Programa de</w:t>
      </w:r>
      <w:r>
        <w:rPr>
          <w:rFonts w:ascii="Arial" w:hAnsi="Arial" w:cs="Arial"/>
          <w:b/>
          <w:smallCaps/>
          <w:sz w:val="28"/>
          <w:szCs w:val="28"/>
          <w:lang w:val="es-ES"/>
        </w:rPr>
        <w:t xml:space="preserve"> acompañamiento a las reformas para incrementar la productividad en el Perú</w:t>
      </w:r>
    </w:p>
    <w:p w14:paraId="4A62782B" w14:textId="77777777" w:rsidR="005C3BC2" w:rsidRPr="007967C5" w:rsidRDefault="005C3BC2" w:rsidP="005C3BC2">
      <w:pPr>
        <w:tabs>
          <w:tab w:val="left" w:pos="1440"/>
          <w:tab w:val="left" w:pos="3060"/>
        </w:tabs>
        <w:jc w:val="center"/>
        <w:rPr>
          <w:rFonts w:ascii="Arial" w:hAnsi="Arial" w:cs="Arial"/>
          <w:b/>
          <w:smallCaps/>
          <w:sz w:val="28"/>
          <w:szCs w:val="28"/>
          <w:lang w:val="es-ES"/>
        </w:rPr>
      </w:pPr>
    </w:p>
    <w:p w14:paraId="3EA8D6DF" w14:textId="5D9C1B4C" w:rsidR="005C3BC2" w:rsidRPr="007967C5" w:rsidRDefault="005C3BC2" w:rsidP="005C3BC2">
      <w:pPr>
        <w:tabs>
          <w:tab w:val="left" w:pos="1440"/>
          <w:tab w:val="left" w:pos="3060"/>
        </w:tabs>
        <w:jc w:val="center"/>
        <w:rPr>
          <w:rFonts w:ascii="Arial" w:hAnsi="Arial" w:cs="Arial"/>
          <w:b/>
          <w:smallCaps/>
          <w:sz w:val="22"/>
          <w:szCs w:val="28"/>
          <w:lang w:val="es-ES"/>
        </w:rPr>
      </w:pPr>
      <w:r w:rsidRPr="007967C5">
        <w:rPr>
          <w:rFonts w:ascii="Arial" w:hAnsi="Arial" w:cs="Arial"/>
          <w:b/>
          <w:smallCaps/>
          <w:sz w:val="22"/>
          <w:szCs w:val="28"/>
          <w:lang w:val="es-ES"/>
        </w:rPr>
        <w:t>(</w:t>
      </w:r>
      <w:r>
        <w:rPr>
          <w:rFonts w:ascii="Arial" w:hAnsi="Arial" w:cs="Arial"/>
          <w:b/>
          <w:smallCaps/>
          <w:sz w:val="22"/>
          <w:szCs w:val="28"/>
          <w:lang w:val="es-ES"/>
        </w:rPr>
        <w:t>PE-L1223</w:t>
      </w:r>
      <w:r w:rsidRPr="007967C5">
        <w:rPr>
          <w:rFonts w:ascii="Arial" w:hAnsi="Arial" w:cs="Arial"/>
          <w:b/>
          <w:smallCaps/>
          <w:sz w:val="22"/>
          <w:szCs w:val="28"/>
          <w:lang w:val="es-ES"/>
        </w:rPr>
        <w:t>)</w:t>
      </w:r>
    </w:p>
    <w:p w14:paraId="6E480D43" w14:textId="77777777" w:rsidR="005C3BC2" w:rsidRPr="007967C5" w:rsidRDefault="005C3BC2" w:rsidP="005C3BC2">
      <w:pPr>
        <w:tabs>
          <w:tab w:val="left" w:pos="1440"/>
          <w:tab w:val="left" w:pos="3060"/>
        </w:tabs>
        <w:jc w:val="center"/>
        <w:rPr>
          <w:rFonts w:ascii="Arial" w:hAnsi="Arial" w:cs="Arial"/>
          <w:b/>
          <w:smallCaps/>
          <w:sz w:val="28"/>
          <w:szCs w:val="28"/>
          <w:lang w:val="es-ES"/>
        </w:rPr>
      </w:pPr>
    </w:p>
    <w:p w14:paraId="5D31C4E4" w14:textId="77777777" w:rsidR="005C3BC2" w:rsidRPr="00515099" w:rsidRDefault="005C3BC2" w:rsidP="005C3BC2">
      <w:pPr>
        <w:tabs>
          <w:tab w:val="left" w:pos="1440"/>
          <w:tab w:val="left" w:pos="3060"/>
        </w:tabs>
        <w:jc w:val="center"/>
        <w:rPr>
          <w:rFonts w:ascii="Arial" w:hAnsi="Arial" w:cs="Arial"/>
          <w:b/>
          <w:smallCaps/>
          <w:sz w:val="22"/>
          <w:szCs w:val="22"/>
          <w:lang w:val="es-ES"/>
        </w:rPr>
      </w:pPr>
    </w:p>
    <w:p w14:paraId="595B3AEA" w14:textId="77777777" w:rsidR="005C3BC2" w:rsidRPr="00515099" w:rsidRDefault="005C3BC2" w:rsidP="005C3BC2">
      <w:pPr>
        <w:pStyle w:val="Newpage"/>
        <w:rPr>
          <w:rFonts w:ascii="Arial" w:hAnsi="Arial"/>
          <w:b w:val="0"/>
          <w:caps/>
          <w:smallCaps w:val="0"/>
          <w:sz w:val="22"/>
          <w:szCs w:val="22"/>
          <w:lang w:val="es-ES"/>
        </w:rPr>
      </w:pPr>
    </w:p>
    <w:p w14:paraId="1BF005EA" w14:textId="77777777" w:rsidR="005C3BC2" w:rsidRPr="00515099" w:rsidRDefault="005C3BC2" w:rsidP="005C3BC2">
      <w:pPr>
        <w:pStyle w:val="Newpage"/>
        <w:rPr>
          <w:rFonts w:ascii="Arial" w:hAnsi="Arial"/>
          <w:b w:val="0"/>
          <w:caps/>
          <w:smallCaps w:val="0"/>
          <w:sz w:val="22"/>
          <w:szCs w:val="22"/>
          <w:lang w:val="es-ES"/>
        </w:rPr>
      </w:pPr>
    </w:p>
    <w:p w14:paraId="621FB2DB" w14:textId="77777777" w:rsidR="005C3BC2" w:rsidRPr="00515099" w:rsidRDefault="005C3BC2" w:rsidP="005C3BC2">
      <w:pPr>
        <w:pStyle w:val="Newpage"/>
        <w:rPr>
          <w:rFonts w:ascii="Arial" w:hAnsi="Arial"/>
          <w:b w:val="0"/>
          <w:caps/>
          <w:smallCaps w:val="0"/>
          <w:sz w:val="22"/>
          <w:szCs w:val="22"/>
          <w:lang w:val="es-ES"/>
        </w:rPr>
      </w:pPr>
    </w:p>
    <w:p w14:paraId="751D5505" w14:textId="77777777" w:rsidR="005C3BC2" w:rsidRPr="00515099" w:rsidRDefault="005C3BC2" w:rsidP="005C3BC2">
      <w:pPr>
        <w:tabs>
          <w:tab w:val="left" w:pos="1440"/>
          <w:tab w:val="left" w:pos="3060"/>
        </w:tabs>
        <w:jc w:val="center"/>
        <w:rPr>
          <w:rFonts w:ascii="Arial" w:hAnsi="Arial" w:cs="Arial"/>
          <w:smallCaps/>
          <w:sz w:val="22"/>
          <w:szCs w:val="22"/>
          <w:lang w:val="es-ES"/>
        </w:rPr>
      </w:pPr>
    </w:p>
    <w:p w14:paraId="01539C61" w14:textId="77777777" w:rsidR="005C3BC2" w:rsidRPr="00A82017" w:rsidRDefault="005C3BC2" w:rsidP="005C3BC2">
      <w:pPr>
        <w:tabs>
          <w:tab w:val="left" w:pos="1440"/>
          <w:tab w:val="left" w:pos="3060"/>
        </w:tabs>
        <w:jc w:val="center"/>
        <w:outlineLvl w:val="0"/>
        <w:rPr>
          <w:rFonts w:ascii="Arial" w:hAnsi="Arial" w:cs="Arial"/>
          <w:b/>
          <w:smallCaps/>
          <w:szCs w:val="24"/>
          <w:lang w:val="es-ES"/>
        </w:rPr>
      </w:pPr>
      <w:r w:rsidRPr="00A82017">
        <w:rPr>
          <w:rFonts w:ascii="Arial" w:hAnsi="Arial" w:cs="Arial"/>
          <w:b/>
          <w:smallCaps/>
          <w:szCs w:val="24"/>
          <w:lang w:val="es-ES"/>
        </w:rPr>
        <w:t>Plan de Monitoreo y Evaluación</w:t>
      </w:r>
    </w:p>
    <w:p w14:paraId="7FA2D694" w14:textId="77777777" w:rsidR="005C3BC2" w:rsidRPr="00515099" w:rsidRDefault="005C3BC2" w:rsidP="005C3BC2">
      <w:pPr>
        <w:tabs>
          <w:tab w:val="left" w:pos="1440"/>
          <w:tab w:val="left" w:pos="3060"/>
        </w:tabs>
        <w:outlineLvl w:val="0"/>
        <w:rPr>
          <w:rFonts w:ascii="Arial" w:hAnsi="Arial" w:cs="Arial"/>
          <w:b/>
          <w:smallCaps/>
          <w:sz w:val="22"/>
          <w:szCs w:val="22"/>
          <w:lang w:val="es-ES"/>
        </w:rPr>
      </w:pPr>
    </w:p>
    <w:p w14:paraId="250EE574" w14:textId="77777777" w:rsidR="005C3BC2" w:rsidRPr="00515099" w:rsidRDefault="005C3BC2" w:rsidP="005C3BC2">
      <w:pPr>
        <w:pStyle w:val="ColorfulList-Accent11"/>
        <w:ind w:left="0"/>
        <w:jc w:val="center"/>
        <w:rPr>
          <w:rFonts w:ascii="Arial" w:hAnsi="Arial" w:cs="Arial"/>
          <w:b/>
          <w:lang w:val="es-ES"/>
        </w:rPr>
      </w:pPr>
    </w:p>
    <w:p w14:paraId="4785518E" w14:textId="77777777" w:rsidR="005C3BC2" w:rsidRPr="00515099" w:rsidRDefault="005C3BC2" w:rsidP="005C3BC2">
      <w:pPr>
        <w:pStyle w:val="ColorfulList-Accent11"/>
        <w:ind w:left="0"/>
        <w:jc w:val="center"/>
        <w:rPr>
          <w:rFonts w:ascii="Arial" w:hAnsi="Arial" w:cs="Arial"/>
          <w:b/>
          <w:lang w:val="es-ES"/>
        </w:rPr>
      </w:pPr>
    </w:p>
    <w:p w14:paraId="60969A30" w14:textId="77777777" w:rsidR="005C3BC2" w:rsidRDefault="005C3BC2" w:rsidP="005C3BC2">
      <w:pPr>
        <w:pStyle w:val="ColorfulList-Accent11"/>
        <w:ind w:left="0"/>
        <w:jc w:val="center"/>
        <w:rPr>
          <w:rFonts w:ascii="Arial" w:hAnsi="Arial" w:cs="Arial"/>
          <w:b/>
          <w:lang w:val="es-ES"/>
        </w:rPr>
      </w:pPr>
    </w:p>
    <w:p w14:paraId="0CA608F8" w14:textId="77777777" w:rsidR="005C3BC2" w:rsidRPr="00515099" w:rsidRDefault="005C3BC2" w:rsidP="005C3BC2">
      <w:pPr>
        <w:pStyle w:val="ColorfulList-Accent11"/>
        <w:ind w:left="0"/>
        <w:jc w:val="center"/>
        <w:rPr>
          <w:rFonts w:ascii="Arial" w:hAnsi="Arial" w:cs="Arial"/>
          <w:b/>
          <w:lang w:val="es-ES"/>
        </w:rPr>
      </w:pPr>
    </w:p>
    <w:p w14:paraId="58B2CA4A" w14:textId="77777777" w:rsidR="005C3BC2" w:rsidRPr="00515099" w:rsidRDefault="005C3BC2" w:rsidP="005C3BC2">
      <w:pPr>
        <w:pStyle w:val="ColorfulList-Accent11"/>
        <w:ind w:left="0"/>
        <w:jc w:val="center"/>
        <w:rPr>
          <w:rFonts w:ascii="Arial" w:hAnsi="Arial" w:cs="Arial"/>
          <w:b/>
          <w:lang w:val="es-ES"/>
        </w:rPr>
      </w:pPr>
    </w:p>
    <w:p w14:paraId="5E075B90" w14:textId="77777777" w:rsidR="005C3BC2" w:rsidRPr="00515099" w:rsidRDefault="005C3BC2" w:rsidP="005C3BC2">
      <w:pPr>
        <w:pStyle w:val="ColorfulList-Accent11"/>
        <w:ind w:left="0"/>
        <w:jc w:val="center"/>
        <w:rPr>
          <w:rFonts w:ascii="Arial" w:hAnsi="Arial" w:cs="Arial"/>
          <w:b/>
          <w:lang w:val="es-ES"/>
        </w:rPr>
      </w:pPr>
    </w:p>
    <w:p w14:paraId="5B50859E" w14:textId="77777777" w:rsidR="005C3BC2" w:rsidRPr="00515099" w:rsidRDefault="005C3BC2" w:rsidP="005C3BC2">
      <w:pPr>
        <w:pStyle w:val="ColorfulList-Accent11"/>
        <w:ind w:left="0"/>
        <w:jc w:val="center"/>
        <w:rPr>
          <w:rFonts w:ascii="Arial" w:hAnsi="Arial" w:cs="Arial"/>
          <w:b/>
          <w:lang w:val="es-ES"/>
        </w:rPr>
      </w:pPr>
    </w:p>
    <w:p w14:paraId="3B22E43A" w14:textId="77777777" w:rsidR="005C3BC2" w:rsidRPr="00515099" w:rsidRDefault="005C3BC2" w:rsidP="005C3BC2">
      <w:pPr>
        <w:pStyle w:val="ColorfulList-Accent11"/>
        <w:ind w:left="1080"/>
        <w:jc w:val="center"/>
        <w:rPr>
          <w:rFonts w:ascii="Arial" w:hAnsi="Arial" w:cs="Arial"/>
          <w:b/>
          <w:lang w:val="es-ES"/>
        </w:rPr>
      </w:pPr>
    </w:p>
    <w:p w14:paraId="449A5924" w14:textId="77777777" w:rsidR="005C3BC2" w:rsidRPr="00515099" w:rsidRDefault="005C3BC2" w:rsidP="005C3BC2">
      <w:pPr>
        <w:tabs>
          <w:tab w:val="left" w:pos="1440"/>
          <w:tab w:val="left" w:pos="3060"/>
        </w:tabs>
        <w:jc w:val="center"/>
        <w:rPr>
          <w:rFonts w:ascii="Arial" w:hAnsi="Arial" w:cs="Arial"/>
          <w:sz w:val="22"/>
          <w:szCs w:val="22"/>
          <w:lang w:val="es-ES"/>
        </w:rPr>
      </w:pPr>
    </w:p>
    <w:p w14:paraId="705A8C46" w14:textId="00571265" w:rsidR="005C3BC2" w:rsidRPr="00A82017" w:rsidRDefault="005C3BC2" w:rsidP="005C3BC2">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z w:val="20"/>
          <w:lang w:val="es-ES"/>
        </w:rPr>
      </w:pPr>
      <w:r w:rsidRPr="00A82017">
        <w:rPr>
          <w:rFonts w:ascii="Arial" w:hAnsi="Arial" w:cs="Arial"/>
          <w:sz w:val="20"/>
          <w:lang w:val="es-ES"/>
        </w:rPr>
        <w:t>Este documento fue elaborado por</w:t>
      </w:r>
      <w:r>
        <w:rPr>
          <w:rFonts w:ascii="Arial" w:hAnsi="Arial" w:cs="Arial"/>
          <w:sz w:val="20"/>
          <w:lang w:val="es-ES"/>
        </w:rPr>
        <w:t xml:space="preserve"> </w:t>
      </w:r>
      <w:r w:rsidRPr="00A82017">
        <w:rPr>
          <w:rFonts w:ascii="Arial" w:hAnsi="Arial" w:cs="Arial"/>
          <w:sz w:val="20"/>
          <w:lang w:val="es-ES"/>
        </w:rPr>
        <w:t>Edwin A. Goñi Pacchioni (</w:t>
      </w:r>
      <w:r>
        <w:rPr>
          <w:rFonts w:ascii="Arial" w:hAnsi="Arial" w:cs="Arial"/>
          <w:sz w:val="20"/>
          <w:lang w:val="es-ES"/>
        </w:rPr>
        <w:t>IFD/CTI</w:t>
      </w:r>
      <w:r w:rsidRPr="00A82017">
        <w:rPr>
          <w:rFonts w:ascii="Arial" w:hAnsi="Arial" w:cs="Arial"/>
          <w:sz w:val="20"/>
          <w:lang w:val="es-ES"/>
        </w:rPr>
        <w:t>)</w:t>
      </w:r>
      <w:r>
        <w:rPr>
          <w:rFonts w:ascii="Arial" w:hAnsi="Arial" w:cs="Arial"/>
          <w:sz w:val="20"/>
          <w:lang w:val="es-ES"/>
        </w:rPr>
        <w:t xml:space="preserve"> </w:t>
      </w:r>
      <w:r w:rsidR="001C22B5">
        <w:rPr>
          <w:rFonts w:ascii="Arial" w:hAnsi="Arial" w:cs="Arial"/>
          <w:sz w:val="20"/>
          <w:lang w:val="es-ES"/>
        </w:rPr>
        <w:t xml:space="preserve">en colaboración con </w:t>
      </w:r>
      <w:r>
        <w:rPr>
          <w:rFonts w:ascii="Arial" w:hAnsi="Arial" w:cs="Arial"/>
          <w:sz w:val="20"/>
          <w:lang w:val="es-ES"/>
        </w:rPr>
        <w:t xml:space="preserve">Rodrigo Azuero (IFD/FMM), </w:t>
      </w:r>
      <w:r w:rsidR="0095218D">
        <w:rPr>
          <w:rFonts w:ascii="Arial" w:hAnsi="Arial" w:cs="Arial"/>
          <w:sz w:val="20"/>
          <w:lang w:val="es-ES"/>
        </w:rPr>
        <w:t>Carolina Méndez (SCL/EDU)</w:t>
      </w:r>
      <w:r w:rsidR="00AA2CD5">
        <w:rPr>
          <w:rFonts w:ascii="Arial" w:hAnsi="Arial" w:cs="Arial"/>
          <w:sz w:val="20"/>
          <w:lang w:val="es-ES"/>
        </w:rPr>
        <w:t xml:space="preserve">, </w:t>
      </w:r>
      <w:r>
        <w:rPr>
          <w:rFonts w:ascii="Arial" w:hAnsi="Arial" w:cs="Arial"/>
          <w:sz w:val="20"/>
          <w:lang w:val="es-ES"/>
        </w:rPr>
        <w:t>David Rosas (SCL/LMK)</w:t>
      </w:r>
      <w:r w:rsidR="00AA2CD5">
        <w:rPr>
          <w:rFonts w:ascii="Arial" w:hAnsi="Arial" w:cs="Arial"/>
          <w:sz w:val="20"/>
          <w:lang w:val="es-ES"/>
        </w:rPr>
        <w:t xml:space="preserve"> y María Teresa Silva (SCL/LMK)</w:t>
      </w:r>
      <w:r w:rsidR="002F4D90">
        <w:rPr>
          <w:rFonts w:ascii="Arial" w:hAnsi="Arial" w:cs="Arial"/>
          <w:sz w:val="20"/>
          <w:lang w:val="es-ES"/>
        </w:rPr>
        <w:t xml:space="preserve"> y la asistencia de Oscar Arboleda (SCL/LMK)</w:t>
      </w:r>
      <w:r w:rsidR="007C5B5D">
        <w:rPr>
          <w:rFonts w:ascii="Arial" w:hAnsi="Arial" w:cs="Arial"/>
          <w:sz w:val="20"/>
          <w:lang w:val="es-ES"/>
        </w:rPr>
        <w:t>.</w:t>
      </w:r>
    </w:p>
    <w:p w14:paraId="5CC43D3C" w14:textId="77777777" w:rsidR="005C3BC2" w:rsidRPr="00515099" w:rsidRDefault="005C3BC2" w:rsidP="005C3BC2">
      <w:pPr>
        <w:rPr>
          <w:rFonts w:ascii="Arial" w:hAnsi="Arial" w:cs="Arial"/>
          <w:sz w:val="22"/>
          <w:szCs w:val="22"/>
          <w:lang w:val="es-ES"/>
        </w:rPr>
      </w:pPr>
      <w:r w:rsidRPr="00515099">
        <w:rPr>
          <w:rFonts w:ascii="Arial" w:hAnsi="Arial" w:cs="Arial"/>
          <w:sz w:val="22"/>
          <w:szCs w:val="22"/>
          <w:lang w:val="es-ES"/>
        </w:rPr>
        <w:br w:type="page"/>
      </w:r>
    </w:p>
    <w:p w14:paraId="6F6DFE89" w14:textId="77777777" w:rsidR="005C3BC2" w:rsidRPr="00515099" w:rsidRDefault="005C3BC2" w:rsidP="005C3BC2">
      <w:pPr>
        <w:pStyle w:val="ColorfulList-Accent11"/>
        <w:ind w:left="0"/>
        <w:jc w:val="center"/>
        <w:rPr>
          <w:rFonts w:ascii="Arial" w:hAnsi="Arial" w:cs="Arial"/>
          <w:smallCaps/>
          <w:lang w:val="es-ES"/>
        </w:rPr>
      </w:pPr>
    </w:p>
    <w:p w14:paraId="69CAC281" w14:textId="77777777" w:rsidR="005C3BC2" w:rsidRPr="003B3222" w:rsidRDefault="005C3BC2" w:rsidP="005C3BC2">
      <w:pPr>
        <w:pStyle w:val="ColorfulList-Accent11"/>
        <w:ind w:left="0"/>
        <w:jc w:val="center"/>
        <w:rPr>
          <w:rFonts w:ascii="Arial" w:hAnsi="Arial" w:cs="Arial"/>
          <w:b/>
          <w:smallCaps/>
          <w:lang w:val="es-ES"/>
        </w:rPr>
      </w:pPr>
      <w:r w:rsidRPr="003B3222">
        <w:rPr>
          <w:rFonts w:ascii="Arial" w:hAnsi="Arial" w:cs="Arial"/>
          <w:b/>
          <w:smallCaps/>
          <w:lang w:val="es-ES"/>
        </w:rPr>
        <w:t>Índice</w:t>
      </w:r>
    </w:p>
    <w:p w14:paraId="2294CF11" w14:textId="77777777" w:rsidR="005C3BC2" w:rsidRPr="003B3222" w:rsidRDefault="005C3BC2" w:rsidP="005C3BC2">
      <w:pPr>
        <w:rPr>
          <w:rFonts w:ascii="Arial" w:hAnsi="Arial" w:cs="Arial"/>
          <w:lang w:val="es-ES"/>
        </w:rPr>
      </w:pPr>
    </w:p>
    <w:p w14:paraId="6495BB6D" w14:textId="299DF497" w:rsidR="00E830A4" w:rsidRPr="00E830A4" w:rsidRDefault="005C3BC2">
      <w:pPr>
        <w:pStyle w:val="TOC1"/>
        <w:rPr>
          <w:rFonts w:eastAsiaTheme="minorEastAsia"/>
          <w:b w:val="0"/>
          <w:smallCaps w:val="0"/>
          <w:spacing w:val="0"/>
          <w:sz w:val="20"/>
          <w:lang w:val="en-US"/>
        </w:rPr>
      </w:pPr>
      <w:r w:rsidRPr="00E830A4">
        <w:rPr>
          <w:sz w:val="20"/>
          <w:lang w:val="es-ES"/>
        </w:rPr>
        <w:fldChar w:fldCharType="begin"/>
      </w:r>
      <w:r w:rsidRPr="00E830A4">
        <w:rPr>
          <w:sz w:val="20"/>
          <w:lang w:val="es-ES"/>
        </w:rPr>
        <w:instrText xml:space="preserve"> TOC \f \h \z \t "Chapter,1,FirstHeading,2,SecHeading,3" </w:instrText>
      </w:r>
      <w:r w:rsidRPr="00E830A4">
        <w:rPr>
          <w:sz w:val="20"/>
          <w:lang w:val="es-ES"/>
        </w:rPr>
        <w:fldChar w:fldCharType="separate"/>
      </w:r>
      <w:hyperlink w:anchor="_Toc524431178" w:history="1">
        <w:r w:rsidR="00E830A4" w:rsidRPr="00E830A4">
          <w:rPr>
            <w:rStyle w:val="Hyperlink"/>
            <w:sz w:val="20"/>
          </w:rPr>
          <w:t>I.</w:t>
        </w:r>
        <w:r w:rsidR="00E830A4" w:rsidRPr="00E830A4">
          <w:rPr>
            <w:rFonts w:eastAsiaTheme="minorEastAsia"/>
            <w:b w:val="0"/>
            <w:smallCaps w:val="0"/>
            <w:spacing w:val="0"/>
            <w:sz w:val="20"/>
            <w:lang w:val="en-US"/>
          </w:rPr>
          <w:tab/>
        </w:r>
        <w:r w:rsidR="00E830A4" w:rsidRPr="00E830A4">
          <w:rPr>
            <w:rStyle w:val="Hyperlink"/>
            <w:sz w:val="20"/>
          </w:rPr>
          <w:t>Introducción</w:t>
        </w:r>
        <w:r w:rsidR="00E830A4" w:rsidRPr="00E830A4">
          <w:rPr>
            <w:webHidden/>
            <w:sz w:val="20"/>
          </w:rPr>
          <w:tab/>
        </w:r>
        <w:r w:rsidR="00E830A4" w:rsidRPr="00E830A4">
          <w:rPr>
            <w:webHidden/>
            <w:sz w:val="20"/>
          </w:rPr>
          <w:fldChar w:fldCharType="begin"/>
        </w:r>
        <w:r w:rsidR="00E830A4" w:rsidRPr="00E830A4">
          <w:rPr>
            <w:webHidden/>
            <w:sz w:val="20"/>
          </w:rPr>
          <w:instrText xml:space="preserve"> PAGEREF _Toc524431178 \h </w:instrText>
        </w:r>
        <w:r w:rsidR="00E830A4" w:rsidRPr="00E830A4">
          <w:rPr>
            <w:webHidden/>
            <w:sz w:val="20"/>
          </w:rPr>
        </w:r>
        <w:r w:rsidR="00E830A4" w:rsidRPr="00E830A4">
          <w:rPr>
            <w:webHidden/>
            <w:sz w:val="20"/>
          </w:rPr>
          <w:fldChar w:fldCharType="separate"/>
        </w:r>
        <w:r w:rsidR="008F09CB">
          <w:rPr>
            <w:webHidden/>
            <w:sz w:val="20"/>
          </w:rPr>
          <w:t>4</w:t>
        </w:r>
        <w:r w:rsidR="00E830A4" w:rsidRPr="00E830A4">
          <w:rPr>
            <w:webHidden/>
            <w:sz w:val="20"/>
          </w:rPr>
          <w:fldChar w:fldCharType="end"/>
        </w:r>
      </w:hyperlink>
    </w:p>
    <w:p w14:paraId="5F4432BE" w14:textId="0F1C9566" w:rsidR="00E830A4" w:rsidRPr="00E830A4" w:rsidRDefault="00526B7E">
      <w:pPr>
        <w:pStyle w:val="TOC1"/>
        <w:rPr>
          <w:rFonts w:eastAsiaTheme="minorEastAsia"/>
          <w:b w:val="0"/>
          <w:smallCaps w:val="0"/>
          <w:spacing w:val="0"/>
          <w:sz w:val="20"/>
          <w:lang w:val="en-US"/>
        </w:rPr>
      </w:pPr>
      <w:hyperlink w:anchor="_Toc524431179" w:history="1">
        <w:r w:rsidR="00E830A4" w:rsidRPr="00E830A4">
          <w:rPr>
            <w:rStyle w:val="Hyperlink"/>
            <w:sz w:val="20"/>
          </w:rPr>
          <w:t>II.</w:t>
        </w:r>
        <w:r w:rsidR="00E830A4" w:rsidRPr="00E830A4">
          <w:rPr>
            <w:rFonts w:eastAsiaTheme="minorEastAsia"/>
            <w:b w:val="0"/>
            <w:smallCaps w:val="0"/>
            <w:spacing w:val="0"/>
            <w:sz w:val="20"/>
            <w:lang w:val="en-US"/>
          </w:rPr>
          <w:tab/>
        </w:r>
        <w:r w:rsidR="00E830A4" w:rsidRPr="00E830A4">
          <w:rPr>
            <w:rStyle w:val="Hyperlink"/>
            <w:sz w:val="20"/>
          </w:rPr>
          <w:t>Monitoreo</w:t>
        </w:r>
        <w:r w:rsidR="00E830A4" w:rsidRPr="00E830A4">
          <w:rPr>
            <w:webHidden/>
            <w:sz w:val="20"/>
          </w:rPr>
          <w:tab/>
        </w:r>
        <w:r w:rsidR="00E830A4" w:rsidRPr="00E830A4">
          <w:rPr>
            <w:webHidden/>
            <w:sz w:val="20"/>
          </w:rPr>
          <w:fldChar w:fldCharType="begin"/>
        </w:r>
        <w:r w:rsidR="00E830A4" w:rsidRPr="00E830A4">
          <w:rPr>
            <w:webHidden/>
            <w:sz w:val="20"/>
          </w:rPr>
          <w:instrText xml:space="preserve"> PAGEREF _Toc524431179 \h </w:instrText>
        </w:r>
        <w:r w:rsidR="00E830A4" w:rsidRPr="00E830A4">
          <w:rPr>
            <w:webHidden/>
            <w:sz w:val="20"/>
          </w:rPr>
        </w:r>
        <w:r w:rsidR="00E830A4" w:rsidRPr="00E830A4">
          <w:rPr>
            <w:webHidden/>
            <w:sz w:val="20"/>
          </w:rPr>
          <w:fldChar w:fldCharType="separate"/>
        </w:r>
        <w:r w:rsidR="008F09CB">
          <w:rPr>
            <w:webHidden/>
            <w:sz w:val="20"/>
          </w:rPr>
          <w:t>6</w:t>
        </w:r>
        <w:r w:rsidR="00E830A4" w:rsidRPr="00E830A4">
          <w:rPr>
            <w:webHidden/>
            <w:sz w:val="20"/>
          </w:rPr>
          <w:fldChar w:fldCharType="end"/>
        </w:r>
      </w:hyperlink>
    </w:p>
    <w:p w14:paraId="565B7D50" w14:textId="2ACF8786" w:rsidR="00E830A4" w:rsidRPr="00E830A4" w:rsidRDefault="00526B7E">
      <w:pPr>
        <w:pStyle w:val="TOC2"/>
        <w:rPr>
          <w:rFonts w:ascii="Arial" w:eastAsiaTheme="minorEastAsia" w:hAnsi="Arial" w:cs="Arial"/>
          <w:noProof/>
          <w:spacing w:val="0"/>
          <w:sz w:val="20"/>
          <w:szCs w:val="22"/>
          <w:lang w:val="en-US"/>
        </w:rPr>
      </w:pPr>
      <w:hyperlink w:anchor="_Toc524431180" w:history="1">
        <w:r w:rsidR="00E830A4" w:rsidRPr="00E830A4">
          <w:rPr>
            <w:rStyle w:val="Hyperlink"/>
            <w:rFonts w:ascii="Arial" w:hAnsi="Arial" w:cs="Arial"/>
            <w:noProof/>
            <w:sz w:val="22"/>
            <w:lang w:val="es-ES"/>
          </w:rPr>
          <w:t>A.</w:t>
        </w:r>
        <w:r w:rsidR="00E830A4" w:rsidRPr="00E830A4">
          <w:rPr>
            <w:rFonts w:ascii="Arial" w:eastAsiaTheme="minorEastAsia" w:hAnsi="Arial" w:cs="Arial"/>
            <w:noProof/>
            <w:spacing w:val="0"/>
            <w:sz w:val="20"/>
            <w:szCs w:val="22"/>
            <w:lang w:val="en-US"/>
          </w:rPr>
          <w:tab/>
        </w:r>
        <w:r w:rsidR="00E830A4" w:rsidRPr="00E830A4">
          <w:rPr>
            <w:rStyle w:val="Hyperlink"/>
            <w:rFonts w:ascii="Arial" w:hAnsi="Arial" w:cs="Arial"/>
            <w:noProof/>
            <w:sz w:val="22"/>
            <w:lang w:val="es-ES"/>
          </w:rPr>
          <w:t>Indicadores</w:t>
        </w:r>
        <w:r w:rsidR="00E830A4" w:rsidRPr="00E830A4">
          <w:rPr>
            <w:rFonts w:ascii="Arial" w:hAnsi="Arial" w:cs="Arial"/>
            <w:noProof/>
            <w:webHidden/>
            <w:sz w:val="22"/>
          </w:rPr>
          <w:tab/>
        </w:r>
        <w:r w:rsidR="00E830A4" w:rsidRPr="00E830A4">
          <w:rPr>
            <w:rFonts w:ascii="Arial" w:hAnsi="Arial" w:cs="Arial"/>
            <w:noProof/>
            <w:webHidden/>
            <w:sz w:val="22"/>
          </w:rPr>
          <w:fldChar w:fldCharType="begin"/>
        </w:r>
        <w:r w:rsidR="00E830A4" w:rsidRPr="00E830A4">
          <w:rPr>
            <w:rFonts w:ascii="Arial" w:hAnsi="Arial" w:cs="Arial"/>
            <w:noProof/>
            <w:webHidden/>
            <w:sz w:val="22"/>
          </w:rPr>
          <w:instrText xml:space="preserve"> PAGEREF _Toc524431180 \h </w:instrText>
        </w:r>
        <w:r w:rsidR="00E830A4" w:rsidRPr="00E830A4">
          <w:rPr>
            <w:rFonts w:ascii="Arial" w:hAnsi="Arial" w:cs="Arial"/>
            <w:noProof/>
            <w:webHidden/>
            <w:sz w:val="22"/>
          </w:rPr>
        </w:r>
        <w:r w:rsidR="00E830A4" w:rsidRPr="00E830A4">
          <w:rPr>
            <w:rFonts w:ascii="Arial" w:hAnsi="Arial" w:cs="Arial"/>
            <w:noProof/>
            <w:webHidden/>
            <w:sz w:val="22"/>
          </w:rPr>
          <w:fldChar w:fldCharType="separate"/>
        </w:r>
        <w:r w:rsidR="008F09CB">
          <w:rPr>
            <w:rFonts w:ascii="Arial" w:hAnsi="Arial" w:cs="Arial"/>
            <w:noProof/>
            <w:webHidden/>
            <w:sz w:val="22"/>
          </w:rPr>
          <w:t>7</w:t>
        </w:r>
        <w:r w:rsidR="00E830A4" w:rsidRPr="00E830A4">
          <w:rPr>
            <w:rFonts w:ascii="Arial" w:hAnsi="Arial" w:cs="Arial"/>
            <w:noProof/>
            <w:webHidden/>
            <w:sz w:val="22"/>
          </w:rPr>
          <w:fldChar w:fldCharType="end"/>
        </w:r>
      </w:hyperlink>
    </w:p>
    <w:p w14:paraId="0EE33B2F" w14:textId="49EAE8B0" w:rsidR="00E830A4" w:rsidRPr="00E830A4" w:rsidRDefault="00526B7E">
      <w:pPr>
        <w:pStyle w:val="TOC2"/>
        <w:rPr>
          <w:rFonts w:ascii="Arial" w:eastAsiaTheme="minorEastAsia" w:hAnsi="Arial" w:cs="Arial"/>
          <w:noProof/>
          <w:spacing w:val="0"/>
          <w:sz w:val="20"/>
          <w:szCs w:val="22"/>
          <w:lang w:val="en-US"/>
        </w:rPr>
      </w:pPr>
      <w:hyperlink w:anchor="_Toc524431181" w:history="1">
        <w:r w:rsidR="00E830A4" w:rsidRPr="00E830A4">
          <w:rPr>
            <w:rStyle w:val="Hyperlink"/>
            <w:rFonts w:ascii="Arial" w:hAnsi="Arial" w:cs="Arial"/>
            <w:noProof/>
            <w:sz w:val="22"/>
            <w:lang w:val="es-ES"/>
          </w:rPr>
          <w:t>B.</w:t>
        </w:r>
        <w:r w:rsidR="00E830A4" w:rsidRPr="00E830A4">
          <w:rPr>
            <w:rFonts w:ascii="Arial" w:eastAsiaTheme="minorEastAsia" w:hAnsi="Arial" w:cs="Arial"/>
            <w:noProof/>
            <w:spacing w:val="0"/>
            <w:sz w:val="20"/>
            <w:szCs w:val="22"/>
            <w:lang w:val="en-US"/>
          </w:rPr>
          <w:tab/>
        </w:r>
        <w:r w:rsidR="00E830A4" w:rsidRPr="00E830A4">
          <w:rPr>
            <w:rStyle w:val="Hyperlink"/>
            <w:rFonts w:ascii="Arial" w:hAnsi="Arial" w:cs="Arial"/>
            <w:noProof/>
            <w:sz w:val="22"/>
            <w:lang w:val="es-ES"/>
          </w:rPr>
          <w:t>Recopilación de datos e instrumentos</w:t>
        </w:r>
        <w:r w:rsidR="00E830A4" w:rsidRPr="00E830A4">
          <w:rPr>
            <w:rFonts w:ascii="Arial" w:hAnsi="Arial" w:cs="Arial"/>
            <w:noProof/>
            <w:webHidden/>
            <w:sz w:val="22"/>
          </w:rPr>
          <w:tab/>
        </w:r>
        <w:r w:rsidR="00E830A4" w:rsidRPr="00E830A4">
          <w:rPr>
            <w:rFonts w:ascii="Arial" w:hAnsi="Arial" w:cs="Arial"/>
            <w:noProof/>
            <w:webHidden/>
            <w:sz w:val="22"/>
          </w:rPr>
          <w:fldChar w:fldCharType="begin"/>
        </w:r>
        <w:r w:rsidR="00E830A4" w:rsidRPr="00E830A4">
          <w:rPr>
            <w:rFonts w:ascii="Arial" w:hAnsi="Arial" w:cs="Arial"/>
            <w:noProof/>
            <w:webHidden/>
            <w:sz w:val="22"/>
          </w:rPr>
          <w:instrText xml:space="preserve"> PAGEREF _Toc524431181 \h </w:instrText>
        </w:r>
        <w:r w:rsidR="00E830A4" w:rsidRPr="00E830A4">
          <w:rPr>
            <w:rFonts w:ascii="Arial" w:hAnsi="Arial" w:cs="Arial"/>
            <w:noProof/>
            <w:webHidden/>
            <w:sz w:val="22"/>
          </w:rPr>
        </w:r>
        <w:r w:rsidR="00E830A4" w:rsidRPr="00E830A4">
          <w:rPr>
            <w:rFonts w:ascii="Arial" w:hAnsi="Arial" w:cs="Arial"/>
            <w:noProof/>
            <w:webHidden/>
            <w:sz w:val="22"/>
          </w:rPr>
          <w:fldChar w:fldCharType="separate"/>
        </w:r>
        <w:r w:rsidR="008F09CB">
          <w:rPr>
            <w:rFonts w:ascii="Arial" w:hAnsi="Arial" w:cs="Arial"/>
            <w:noProof/>
            <w:webHidden/>
            <w:sz w:val="22"/>
          </w:rPr>
          <w:t>11</w:t>
        </w:r>
        <w:r w:rsidR="00E830A4" w:rsidRPr="00E830A4">
          <w:rPr>
            <w:rFonts w:ascii="Arial" w:hAnsi="Arial" w:cs="Arial"/>
            <w:noProof/>
            <w:webHidden/>
            <w:sz w:val="22"/>
          </w:rPr>
          <w:fldChar w:fldCharType="end"/>
        </w:r>
      </w:hyperlink>
    </w:p>
    <w:p w14:paraId="3E623ABD" w14:textId="0985CDFC" w:rsidR="00E830A4" w:rsidRPr="00E830A4" w:rsidRDefault="00526B7E">
      <w:pPr>
        <w:pStyle w:val="TOC2"/>
        <w:rPr>
          <w:rFonts w:ascii="Arial" w:eastAsiaTheme="minorEastAsia" w:hAnsi="Arial" w:cs="Arial"/>
          <w:noProof/>
          <w:spacing w:val="0"/>
          <w:sz w:val="20"/>
          <w:szCs w:val="22"/>
          <w:lang w:val="en-US"/>
        </w:rPr>
      </w:pPr>
      <w:hyperlink w:anchor="_Toc524431182" w:history="1">
        <w:r w:rsidR="00E830A4" w:rsidRPr="00E830A4">
          <w:rPr>
            <w:rStyle w:val="Hyperlink"/>
            <w:rFonts w:ascii="Arial" w:hAnsi="Arial" w:cs="Arial"/>
            <w:noProof/>
            <w:sz w:val="22"/>
            <w:lang w:val="es-ES"/>
          </w:rPr>
          <w:t>C.</w:t>
        </w:r>
        <w:r w:rsidR="00E830A4" w:rsidRPr="00E830A4">
          <w:rPr>
            <w:rFonts w:ascii="Arial" w:eastAsiaTheme="minorEastAsia" w:hAnsi="Arial" w:cs="Arial"/>
            <w:noProof/>
            <w:spacing w:val="0"/>
            <w:sz w:val="20"/>
            <w:szCs w:val="22"/>
            <w:lang w:val="en-US"/>
          </w:rPr>
          <w:tab/>
        </w:r>
        <w:r w:rsidR="00E830A4" w:rsidRPr="00E830A4">
          <w:rPr>
            <w:rStyle w:val="Hyperlink"/>
            <w:rFonts w:ascii="Arial" w:hAnsi="Arial" w:cs="Arial"/>
            <w:noProof/>
            <w:sz w:val="22"/>
            <w:lang w:val="es-ES"/>
          </w:rPr>
          <w:t>Presentación de informes</w:t>
        </w:r>
        <w:r w:rsidR="00E830A4" w:rsidRPr="00E830A4">
          <w:rPr>
            <w:rFonts w:ascii="Arial" w:hAnsi="Arial" w:cs="Arial"/>
            <w:noProof/>
            <w:webHidden/>
            <w:sz w:val="22"/>
          </w:rPr>
          <w:tab/>
        </w:r>
        <w:r w:rsidR="00E830A4" w:rsidRPr="00E830A4">
          <w:rPr>
            <w:rFonts w:ascii="Arial" w:hAnsi="Arial" w:cs="Arial"/>
            <w:noProof/>
            <w:webHidden/>
            <w:sz w:val="22"/>
          </w:rPr>
          <w:fldChar w:fldCharType="begin"/>
        </w:r>
        <w:r w:rsidR="00E830A4" w:rsidRPr="00E830A4">
          <w:rPr>
            <w:rFonts w:ascii="Arial" w:hAnsi="Arial" w:cs="Arial"/>
            <w:noProof/>
            <w:webHidden/>
            <w:sz w:val="22"/>
          </w:rPr>
          <w:instrText xml:space="preserve"> PAGEREF _Toc524431182 \h </w:instrText>
        </w:r>
        <w:r w:rsidR="00E830A4" w:rsidRPr="00E830A4">
          <w:rPr>
            <w:rFonts w:ascii="Arial" w:hAnsi="Arial" w:cs="Arial"/>
            <w:noProof/>
            <w:webHidden/>
            <w:sz w:val="22"/>
          </w:rPr>
        </w:r>
        <w:r w:rsidR="00E830A4" w:rsidRPr="00E830A4">
          <w:rPr>
            <w:rFonts w:ascii="Arial" w:hAnsi="Arial" w:cs="Arial"/>
            <w:noProof/>
            <w:webHidden/>
            <w:sz w:val="22"/>
          </w:rPr>
          <w:fldChar w:fldCharType="separate"/>
        </w:r>
        <w:r w:rsidR="008F09CB">
          <w:rPr>
            <w:rFonts w:ascii="Arial" w:hAnsi="Arial" w:cs="Arial"/>
            <w:noProof/>
            <w:webHidden/>
            <w:sz w:val="22"/>
          </w:rPr>
          <w:t>11</w:t>
        </w:r>
        <w:r w:rsidR="00E830A4" w:rsidRPr="00E830A4">
          <w:rPr>
            <w:rFonts w:ascii="Arial" w:hAnsi="Arial" w:cs="Arial"/>
            <w:noProof/>
            <w:webHidden/>
            <w:sz w:val="22"/>
          </w:rPr>
          <w:fldChar w:fldCharType="end"/>
        </w:r>
      </w:hyperlink>
    </w:p>
    <w:p w14:paraId="59743522" w14:textId="029386FE" w:rsidR="00E830A4" w:rsidRPr="00E830A4" w:rsidRDefault="00526B7E">
      <w:pPr>
        <w:pStyle w:val="TOC2"/>
        <w:rPr>
          <w:rFonts w:ascii="Arial" w:eastAsiaTheme="minorEastAsia" w:hAnsi="Arial" w:cs="Arial"/>
          <w:noProof/>
          <w:spacing w:val="0"/>
          <w:sz w:val="20"/>
          <w:szCs w:val="22"/>
          <w:lang w:val="en-US"/>
        </w:rPr>
      </w:pPr>
      <w:hyperlink w:anchor="_Toc524431183" w:history="1">
        <w:r w:rsidR="00E830A4" w:rsidRPr="00E830A4">
          <w:rPr>
            <w:rStyle w:val="Hyperlink"/>
            <w:rFonts w:ascii="Arial" w:hAnsi="Arial" w:cs="Arial"/>
            <w:noProof/>
            <w:sz w:val="22"/>
            <w:lang w:val="es-ES"/>
          </w:rPr>
          <w:t>D.</w:t>
        </w:r>
        <w:r w:rsidR="00E830A4" w:rsidRPr="00E830A4">
          <w:rPr>
            <w:rFonts w:ascii="Arial" w:eastAsiaTheme="minorEastAsia" w:hAnsi="Arial" w:cs="Arial"/>
            <w:noProof/>
            <w:spacing w:val="0"/>
            <w:sz w:val="20"/>
            <w:szCs w:val="22"/>
            <w:lang w:val="en-US"/>
          </w:rPr>
          <w:tab/>
        </w:r>
        <w:r w:rsidR="00E830A4" w:rsidRPr="00E830A4">
          <w:rPr>
            <w:rStyle w:val="Hyperlink"/>
            <w:rFonts w:ascii="Arial" w:hAnsi="Arial" w:cs="Arial"/>
            <w:noProof/>
            <w:sz w:val="22"/>
            <w:lang w:val="es-ES"/>
          </w:rPr>
          <w:t>Coordinación, plan de trabajo y presupuesto del seguimiento</w:t>
        </w:r>
        <w:r w:rsidR="00E830A4" w:rsidRPr="00E830A4">
          <w:rPr>
            <w:rFonts w:ascii="Arial" w:hAnsi="Arial" w:cs="Arial"/>
            <w:noProof/>
            <w:webHidden/>
            <w:sz w:val="22"/>
          </w:rPr>
          <w:tab/>
        </w:r>
        <w:r w:rsidR="00E830A4" w:rsidRPr="00E830A4">
          <w:rPr>
            <w:rFonts w:ascii="Arial" w:hAnsi="Arial" w:cs="Arial"/>
            <w:noProof/>
            <w:webHidden/>
            <w:sz w:val="22"/>
          </w:rPr>
          <w:fldChar w:fldCharType="begin"/>
        </w:r>
        <w:r w:rsidR="00E830A4" w:rsidRPr="00E830A4">
          <w:rPr>
            <w:rFonts w:ascii="Arial" w:hAnsi="Arial" w:cs="Arial"/>
            <w:noProof/>
            <w:webHidden/>
            <w:sz w:val="22"/>
          </w:rPr>
          <w:instrText xml:space="preserve"> PAGEREF _Toc524431183 \h </w:instrText>
        </w:r>
        <w:r w:rsidR="00E830A4" w:rsidRPr="00E830A4">
          <w:rPr>
            <w:rFonts w:ascii="Arial" w:hAnsi="Arial" w:cs="Arial"/>
            <w:noProof/>
            <w:webHidden/>
            <w:sz w:val="22"/>
          </w:rPr>
        </w:r>
        <w:r w:rsidR="00E830A4" w:rsidRPr="00E830A4">
          <w:rPr>
            <w:rFonts w:ascii="Arial" w:hAnsi="Arial" w:cs="Arial"/>
            <w:noProof/>
            <w:webHidden/>
            <w:sz w:val="22"/>
          </w:rPr>
          <w:fldChar w:fldCharType="separate"/>
        </w:r>
        <w:r w:rsidR="008F09CB">
          <w:rPr>
            <w:rFonts w:ascii="Arial" w:hAnsi="Arial" w:cs="Arial"/>
            <w:noProof/>
            <w:webHidden/>
            <w:sz w:val="22"/>
          </w:rPr>
          <w:t>11</w:t>
        </w:r>
        <w:r w:rsidR="00E830A4" w:rsidRPr="00E830A4">
          <w:rPr>
            <w:rFonts w:ascii="Arial" w:hAnsi="Arial" w:cs="Arial"/>
            <w:noProof/>
            <w:webHidden/>
            <w:sz w:val="22"/>
          </w:rPr>
          <w:fldChar w:fldCharType="end"/>
        </w:r>
      </w:hyperlink>
    </w:p>
    <w:p w14:paraId="5A273656" w14:textId="52BF327B" w:rsidR="00E830A4" w:rsidRPr="00E830A4" w:rsidRDefault="00526B7E">
      <w:pPr>
        <w:pStyle w:val="TOC1"/>
        <w:rPr>
          <w:rFonts w:eastAsiaTheme="minorEastAsia"/>
          <w:b w:val="0"/>
          <w:smallCaps w:val="0"/>
          <w:spacing w:val="0"/>
          <w:sz w:val="20"/>
          <w:lang w:val="en-US"/>
        </w:rPr>
      </w:pPr>
      <w:hyperlink w:anchor="_Toc524431184" w:history="1">
        <w:r w:rsidR="00E830A4" w:rsidRPr="00E830A4">
          <w:rPr>
            <w:rStyle w:val="Hyperlink"/>
            <w:sz w:val="20"/>
          </w:rPr>
          <w:t>III.</w:t>
        </w:r>
        <w:r w:rsidR="00E830A4" w:rsidRPr="00E830A4">
          <w:rPr>
            <w:rFonts w:eastAsiaTheme="minorEastAsia"/>
            <w:b w:val="0"/>
            <w:smallCaps w:val="0"/>
            <w:spacing w:val="0"/>
            <w:sz w:val="20"/>
            <w:lang w:val="en-US"/>
          </w:rPr>
          <w:tab/>
        </w:r>
        <w:r w:rsidR="00E830A4" w:rsidRPr="00E830A4">
          <w:rPr>
            <w:rStyle w:val="Hyperlink"/>
            <w:sz w:val="20"/>
          </w:rPr>
          <w:t>Evaluación</w:t>
        </w:r>
        <w:r w:rsidR="00E830A4" w:rsidRPr="00E830A4">
          <w:rPr>
            <w:webHidden/>
            <w:sz w:val="20"/>
          </w:rPr>
          <w:tab/>
        </w:r>
        <w:r w:rsidR="00E830A4" w:rsidRPr="00E830A4">
          <w:rPr>
            <w:webHidden/>
            <w:sz w:val="20"/>
          </w:rPr>
          <w:fldChar w:fldCharType="begin"/>
        </w:r>
        <w:r w:rsidR="00E830A4" w:rsidRPr="00E830A4">
          <w:rPr>
            <w:webHidden/>
            <w:sz w:val="20"/>
          </w:rPr>
          <w:instrText xml:space="preserve"> PAGEREF _Toc524431184 \h </w:instrText>
        </w:r>
        <w:r w:rsidR="00E830A4" w:rsidRPr="00E830A4">
          <w:rPr>
            <w:webHidden/>
            <w:sz w:val="20"/>
          </w:rPr>
        </w:r>
        <w:r w:rsidR="00E830A4" w:rsidRPr="00E830A4">
          <w:rPr>
            <w:webHidden/>
            <w:sz w:val="20"/>
          </w:rPr>
          <w:fldChar w:fldCharType="separate"/>
        </w:r>
        <w:r w:rsidR="008F09CB">
          <w:rPr>
            <w:webHidden/>
            <w:sz w:val="20"/>
          </w:rPr>
          <w:t>13</w:t>
        </w:r>
        <w:r w:rsidR="00E830A4" w:rsidRPr="00E830A4">
          <w:rPr>
            <w:webHidden/>
            <w:sz w:val="20"/>
          </w:rPr>
          <w:fldChar w:fldCharType="end"/>
        </w:r>
      </w:hyperlink>
    </w:p>
    <w:p w14:paraId="2D5C6B0B" w14:textId="5553B079" w:rsidR="00E830A4" w:rsidRPr="00E830A4" w:rsidRDefault="00526B7E">
      <w:pPr>
        <w:pStyle w:val="TOC2"/>
        <w:rPr>
          <w:rFonts w:ascii="Arial" w:eastAsiaTheme="minorEastAsia" w:hAnsi="Arial" w:cs="Arial"/>
          <w:noProof/>
          <w:spacing w:val="0"/>
          <w:sz w:val="20"/>
          <w:szCs w:val="22"/>
          <w:lang w:val="en-US"/>
        </w:rPr>
      </w:pPr>
      <w:hyperlink w:anchor="_Toc524431185" w:history="1">
        <w:r w:rsidR="00E830A4" w:rsidRPr="00E830A4">
          <w:rPr>
            <w:rStyle w:val="Hyperlink"/>
            <w:rFonts w:ascii="Arial" w:hAnsi="Arial" w:cs="Arial"/>
            <w:noProof/>
            <w:sz w:val="22"/>
            <w:lang w:val="es-ES"/>
          </w:rPr>
          <w:t>A.</w:t>
        </w:r>
        <w:r w:rsidR="00E830A4" w:rsidRPr="00E830A4">
          <w:rPr>
            <w:rFonts w:ascii="Arial" w:eastAsiaTheme="minorEastAsia" w:hAnsi="Arial" w:cs="Arial"/>
            <w:noProof/>
            <w:spacing w:val="0"/>
            <w:sz w:val="20"/>
            <w:szCs w:val="22"/>
            <w:lang w:val="en-US"/>
          </w:rPr>
          <w:tab/>
        </w:r>
        <w:r w:rsidR="00E830A4" w:rsidRPr="00E830A4">
          <w:rPr>
            <w:rStyle w:val="Hyperlink"/>
            <w:rFonts w:ascii="Arial" w:hAnsi="Arial" w:cs="Arial"/>
            <w:noProof/>
            <w:sz w:val="22"/>
            <w:lang w:val="es-ES"/>
          </w:rPr>
          <w:t>Principales preguntas de evaluación e indicadores de efectos directos</w:t>
        </w:r>
        <w:r w:rsidR="00E830A4" w:rsidRPr="00E830A4">
          <w:rPr>
            <w:rFonts w:ascii="Arial" w:hAnsi="Arial" w:cs="Arial"/>
            <w:noProof/>
            <w:webHidden/>
            <w:sz w:val="22"/>
          </w:rPr>
          <w:tab/>
        </w:r>
        <w:r w:rsidR="00E830A4" w:rsidRPr="00E830A4">
          <w:rPr>
            <w:rFonts w:ascii="Arial" w:hAnsi="Arial" w:cs="Arial"/>
            <w:noProof/>
            <w:webHidden/>
            <w:sz w:val="22"/>
          </w:rPr>
          <w:fldChar w:fldCharType="begin"/>
        </w:r>
        <w:r w:rsidR="00E830A4" w:rsidRPr="00E830A4">
          <w:rPr>
            <w:rFonts w:ascii="Arial" w:hAnsi="Arial" w:cs="Arial"/>
            <w:noProof/>
            <w:webHidden/>
            <w:sz w:val="22"/>
          </w:rPr>
          <w:instrText xml:space="preserve"> PAGEREF _Toc524431185 \h </w:instrText>
        </w:r>
        <w:r w:rsidR="00E830A4" w:rsidRPr="00E830A4">
          <w:rPr>
            <w:rFonts w:ascii="Arial" w:hAnsi="Arial" w:cs="Arial"/>
            <w:noProof/>
            <w:webHidden/>
            <w:sz w:val="22"/>
          </w:rPr>
        </w:r>
        <w:r w:rsidR="00E830A4" w:rsidRPr="00E830A4">
          <w:rPr>
            <w:rFonts w:ascii="Arial" w:hAnsi="Arial" w:cs="Arial"/>
            <w:noProof/>
            <w:webHidden/>
            <w:sz w:val="22"/>
          </w:rPr>
          <w:fldChar w:fldCharType="separate"/>
        </w:r>
        <w:r w:rsidR="008F09CB">
          <w:rPr>
            <w:rFonts w:ascii="Arial" w:hAnsi="Arial" w:cs="Arial"/>
            <w:noProof/>
            <w:webHidden/>
            <w:sz w:val="22"/>
          </w:rPr>
          <w:t>14</w:t>
        </w:r>
        <w:r w:rsidR="00E830A4" w:rsidRPr="00E830A4">
          <w:rPr>
            <w:rFonts w:ascii="Arial" w:hAnsi="Arial" w:cs="Arial"/>
            <w:noProof/>
            <w:webHidden/>
            <w:sz w:val="22"/>
          </w:rPr>
          <w:fldChar w:fldCharType="end"/>
        </w:r>
      </w:hyperlink>
    </w:p>
    <w:p w14:paraId="4D834AC1" w14:textId="745E4ADF" w:rsidR="00E830A4" w:rsidRPr="00E830A4" w:rsidRDefault="00526B7E">
      <w:pPr>
        <w:pStyle w:val="TOC2"/>
        <w:rPr>
          <w:rFonts w:ascii="Arial" w:eastAsiaTheme="minorEastAsia" w:hAnsi="Arial" w:cs="Arial"/>
          <w:noProof/>
          <w:spacing w:val="0"/>
          <w:sz w:val="20"/>
          <w:szCs w:val="22"/>
          <w:lang w:val="en-US"/>
        </w:rPr>
      </w:pPr>
      <w:hyperlink w:anchor="_Toc524431186" w:history="1">
        <w:r w:rsidR="00E830A4" w:rsidRPr="00E830A4">
          <w:rPr>
            <w:rStyle w:val="Hyperlink"/>
            <w:rFonts w:ascii="Arial" w:hAnsi="Arial" w:cs="Arial"/>
            <w:noProof/>
            <w:sz w:val="22"/>
            <w:lang w:val="es-ES"/>
          </w:rPr>
          <w:t>A.</w:t>
        </w:r>
        <w:r w:rsidR="00E830A4" w:rsidRPr="00E830A4">
          <w:rPr>
            <w:rFonts w:ascii="Arial" w:eastAsiaTheme="minorEastAsia" w:hAnsi="Arial" w:cs="Arial"/>
            <w:noProof/>
            <w:spacing w:val="0"/>
            <w:sz w:val="20"/>
            <w:szCs w:val="22"/>
            <w:lang w:val="en-US"/>
          </w:rPr>
          <w:tab/>
        </w:r>
        <w:r w:rsidR="00E830A4" w:rsidRPr="00E830A4">
          <w:rPr>
            <w:rStyle w:val="Hyperlink"/>
            <w:rFonts w:ascii="Arial" w:hAnsi="Arial" w:cs="Arial"/>
            <w:noProof/>
            <w:sz w:val="22"/>
            <w:lang w:val="es-ES"/>
          </w:rPr>
          <w:t>Conocimiento existente relacionado a evaluaciones afines</w:t>
        </w:r>
        <w:r w:rsidR="00E830A4" w:rsidRPr="00E830A4">
          <w:rPr>
            <w:rFonts w:ascii="Arial" w:hAnsi="Arial" w:cs="Arial"/>
            <w:noProof/>
            <w:webHidden/>
            <w:sz w:val="22"/>
          </w:rPr>
          <w:tab/>
        </w:r>
        <w:r w:rsidR="00E830A4" w:rsidRPr="00E830A4">
          <w:rPr>
            <w:rFonts w:ascii="Arial" w:hAnsi="Arial" w:cs="Arial"/>
            <w:noProof/>
            <w:webHidden/>
            <w:sz w:val="22"/>
          </w:rPr>
          <w:fldChar w:fldCharType="begin"/>
        </w:r>
        <w:r w:rsidR="00E830A4" w:rsidRPr="00E830A4">
          <w:rPr>
            <w:rFonts w:ascii="Arial" w:hAnsi="Arial" w:cs="Arial"/>
            <w:noProof/>
            <w:webHidden/>
            <w:sz w:val="22"/>
          </w:rPr>
          <w:instrText xml:space="preserve"> PAGEREF _Toc524431186 \h </w:instrText>
        </w:r>
        <w:r w:rsidR="00E830A4" w:rsidRPr="00E830A4">
          <w:rPr>
            <w:rFonts w:ascii="Arial" w:hAnsi="Arial" w:cs="Arial"/>
            <w:noProof/>
            <w:webHidden/>
            <w:sz w:val="22"/>
          </w:rPr>
        </w:r>
        <w:r w:rsidR="00E830A4" w:rsidRPr="00E830A4">
          <w:rPr>
            <w:rFonts w:ascii="Arial" w:hAnsi="Arial" w:cs="Arial"/>
            <w:noProof/>
            <w:webHidden/>
            <w:sz w:val="22"/>
          </w:rPr>
          <w:fldChar w:fldCharType="separate"/>
        </w:r>
        <w:r w:rsidR="008F09CB">
          <w:rPr>
            <w:rFonts w:ascii="Arial" w:hAnsi="Arial" w:cs="Arial"/>
            <w:noProof/>
            <w:webHidden/>
            <w:sz w:val="22"/>
          </w:rPr>
          <w:t>19</w:t>
        </w:r>
        <w:r w:rsidR="00E830A4" w:rsidRPr="00E830A4">
          <w:rPr>
            <w:rFonts w:ascii="Arial" w:hAnsi="Arial" w:cs="Arial"/>
            <w:noProof/>
            <w:webHidden/>
            <w:sz w:val="22"/>
          </w:rPr>
          <w:fldChar w:fldCharType="end"/>
        </w:r>
      </w:hyperlink>
    </w:p>
    <w:p w14:paraId="40D7AC13" w14:textId="22618506" w:rsidR="00E830A4" w:rsidRPr="00E830A4" w:rsidRDefault="00526B7E">
      <w:pPr>
        <w:pStyle w:val="TOC2"/>
        <w:rPr>
          <w:rFonts w:ascii="Arial" w:eastAsiaTheme="minorEastAsia" w:hAnsi="Arial" w:cs="Arial"/>
          <w:noProof/>
          <w:spacing w:val="0"/>
          <w:sz w:val="20"/>
          <w:szCs w:val="22"/>
          <w:lang w:val="en-US"/>
        </w:rPr>
      </w:pPr>
      <w:hyperlink w:anchor="_Toc524431187" w:history="1">
        <w:r w:rsidR="00E830A4" w:rsidRPr="00E830A4">
          <w:rPr>
            <w:rStyle w:val="Hyperlink"/>
            <w:rFonts w:ascii="Arial" w:hAnsi="Arial" w:cs="Arial"/>
            <w:noProof/>
            <w:sz w:val="22"/>
            <w:lang w:val="es-ES"/>
          </w:rPr>
          <w:t xml:space="preserve">C. </w:t>
        </w:r>
        <w:r w:rsidR="00E830A4">
          <w:rPr>
            <w:rStyle w:val="Hyperlink"/>
            <w:rFonts w:ascii="Arial" w:hAnsi="Arial" w:cs="Arial"/>
            <w:noProof/>
            <w:sz w:val="22"/>
            <w:lang w:val="es-ES"/>
          </w:rPr>
          <w:tab/>
        </w:r>
        <w:r w:rsidR="00E830A4" w:rsidRPr="00E830A4">
          <w:rPr>
            <w:rStyle w:val="Hyperlink"/>
            <w:rFonts w:ascii="Arial" w:hAnsi="Arial" w:cs="Arial"/>
            <w:noProof/>
            <w:sz w:val="22"/>
            <w:lang w:val="es-ES"/>
          </w:rPr>
          <w:t>Metodología de la evaluación</w:t>
        </w:r>
        <w:r w:rsidR="00E830A4" w:rsidRPr="00E830A4">
          <w:rPr>
            <w:rFonts w:ascii="Arial" w:hAnsi="Arial" w:cs="Arial"/>
            <w:noProof/>
            <w:webHidden/>
            <w:sz w:val="22"/>
          </w:rPr>
          <w:tab/>
        </w:r>
        <w:r w:rsidR="00E830A4" w:rsidRPr="00E830A4">
          <w:rPr>
            <w:rFonts w:ascii="Arial" w:hAnsi="Arial" w:cs="Arial"/>
            <w:noProof/>
            <w:webHidden/>
            <w:sz w:val="22"/>
          </w:rPr>
          <w:fldChar w:fldCharType="begin"/>
        </w:r>
        <w:r w:rsidR="00E830A4" w:rsidRPr="00E830A4">
          <w:rPr>
            <w:rFonts w:ascii="Arial" w:hAnsi="Arial" w:cs="Arial"/>
            <w:noProof/>
            <w:webHidden/>
            <w:sz w:val="22"/>
          </w:rPr>
          <w:instrText xml:space="preserve"> PAGEREF _Toc524431187 \h </w:instrText>
        </w:r>
        <w:r w:rsidR="00E830A4" w:rsidRPr="00E830A4">
          <w:rPr>
            <w:rFonts w:ascii="Arial" w:hAnsi="Arial" w:cs="Arial"/>
            <w:noProof/>
            <w:webHidden/>
            <w:sz w:val="22"/>
          </w:rPr>
        </w:r>
        <w:r w:rsidR="00E830A4" w:rsidRPr="00E830A4">
          <w:rPr>
            <w:rFonts w:ascii="Arial" w:hAnsi="Arial" w:cs="Arial"/>
            <w:noProof/>
            <w:webHidden/>
            <w:sz w:val="22"/>
          </w:rPr>
          <w:fldChar w:fldCharType="separate"/>
        </w:r>
        <w:r w:rsidR="008F09CB">
          <w:rPr>
            <w:rFonts w:ascii="Arial" w:hAnsi="Arial" w:cs="Arial"/>
            <w:noProof/>
            <w:webHidden/>
            <w:sz w:val="22"/>
          </w:rPr>
          <w:t>22</w:t>
        </w:r>
        <w:r w:rsidR="00E830A4" w:rsidRPr="00E830A4">
          <w:rPr>
            <w:rFonts w:ascii="Arial" w:hAnsi="Arial" w:cs="Arial"/>
            <w:noProof/>
            <w:webHidden/>
            <w:sz w:val="22"/>
          </w:rPr>
          <w:fldChar w:fldCharType="end"/>
        </w:r>
      </w:hyperlink>
    </w:p>
    <w:p w14:paraId="2CF12633" w14:textId="126B0F3B" w:rsidR="00E830A4" w:rsidRPr="00E830A4" w:rsidRDefault="00526B7E">
      <w:pPr>
        <w:pStyle w:val="TOC2"/>
        <w:rPr>
          <w:rFonts w:ascii="Arial" w:eastAsiaTheme="minorEastAsia" w:hAnsi="Arial" w:cs="Arial"/>
          <w:noProof/>
          <w:spacing w:val="0"/>
          <w:sz w:val="20"/>
          <w:szCs w:val="22"/>
          <w:lang w:val="en-US"/>
        </w:rPr>
      </w:pPr>
      <w:hyperlink w:anchor="_Toc524431188" w:history="1">
        <w:r w:rsidR="00E830A4" w:rsidRPr="00E830A4">
          <w:rPr>
            <w:rStyle w:val="Hyperlink"/>
            <w:rFonts w:ascii="Arial" w:hAnsi="Arial" w:cs="Arial"/>
            <w:noProof/>
            <w:sz w:val="22"/>
            <w:lang w:val="es-ES"/>
          </w:rPr>
          <w:t>D.</w:t>
        </w:r>
        <w:r w:rsidR="00E830A4" w:rsidRPr="00E830A4">
          <w:rPr>
            <w:rFonts w:ascii="Arial" w:eastAsiaTheme="minorEastAsia" w:hAnsi="Arial" w:cs="Arial"/>
            <w:noProof/>
            <w:spacing w:val="0"/>
            <w:sz w:val="20"/>
            <w:szCs w:val="22"/>
            <w:lang w:val="en-US"/>
          </w:rPr>
          <w:tab/>
        </w:r>
        <w:r w:rsidR="00E830A4" w:rsidRPr="00E830A4">
          <w:rPr>
            <w:rStyle w:val="Hyperlink"/>
            <w:rFonts w:ascii="Arial" w:hAnsi="Arial" w:cs="Arial"/>
            <w:noProof/>
            <w:sz w:val="22"/>
            <w:lang w:val="es-ES"/>
          </w:rPr>
          <w:t>Aspectos técnicos de la metodología seleccionada</w:t>
        </w:r>
        <w:r w:rsidR="00E830A4" w:rsidRPr="00E830A4">
          <w:rPr>
            <w:rFonts w:ascii="Arial" w:hAnsi="Arial" w:cs="Arial"/>
            <w:noProof/>
            <w:webHidden/>
            <w:sz w:val="22"/>
          </w:rPr>
          <w:tab/>
        </w:r>
        <w:r w:rsidR="00E830A4" w:rsidRPr="00E830A4">
          <w:rPr>
            <w:rFonts w:ascii="Arial" w:hAnsi="Arial" w:cs="Arial"/>
            <w:noProof/>
            <w:webHidden/>
            <w:sz w:val="22"/>
          </w:rPr>
          <w:fldChar w:fldCharType="begin"/>
        </w:r>
        <w:r w:rsidR="00E830A4" w:rsidRPr="00E830A4">
          <w:rPr>
            <w:rFonts w:ascii="Arial" w:hAnsi="Arial" w:cs="Arial"/>
            <w:noProof/>
            <w:webHidden/>
            <w:sz w:val="22"/>
          </w:rPr>
          <w:instrText xml:space="preserve"> PAGEREF _Toc524431188 \h </w:instrText>
        </w:r>
        <w:r w:rsidR="00E830A4" w:rsidRPr="00E830A4">
          <w:rPr>
            <w:rFonts w:ascii="Arial" w:hAnsi="Arial" w:cs="Arial"/>
            <w:noProof/>
            <w:webHidden/>
            <w:sz w:val="22"/>
          </w:rPr>
        </w:r>
        <w:r w:rsidR="00E830A4" w:rsidRPr="00E830A4">
          <w:rPr>
            <w:rFonts w:ascii="Arial" w:hAnsi="Arial" w:cs="Arial"/>
            <w:noProof/>
            <w:webHidden/>
            <w:sz w:val="22"/>
          </w:rPr>
          <w:fldChar w:fldCharType="separate"/>
        </w:r>
        <w:r w:rsidR="008F09CB">
          <w:rPr>
            <w:rFonts w:ascii="Arial" w:hAnsi="Arial" w:cs="Arial"/>
            <w:noProof/>
            <w:webHidden/>
            <w:sz w:val="22"/>
          </w:rPr>
          <w:t>23</w:t>
        </w:r>
        <w:r w:rsidR="00E830A4" w:rsidRPr="00E830A4">
          <w:rPr>
            <w:rFonts w:ascii="Arial" w:hAnsi="Arial" w:cs="Arial"/>
            <w:noProof/>
            <w:webHidden/>
            <w:sz w:val="22"/>
          </w:rPr>
          <w:fldChar w:fldCharType="end"/>
        </w:r>
      </w:hyperlink>
    </w:p>
    <w:p w14:paraId="3A534F70" w14:textId="733A6EF5" w:rsidR="00E830A4" w:rsidRPr="00E830A4" w:rsidRDefault="00526B7E">
      <w:pPr>
        <w:pStyle w:val="TOC2"/>
        <w:rPr>
          <w:rFonts w:ascii="Arial" w:eastAsiaTheme="minorEastAsia" w:hAnsi="Arial" w:cs="Arial"/>
          <w:noProof/>
          <w:spacing w:val="0"/>
          <w:sz w:val="20"/>
          <w:szCs w:val="22"/>
          <w:lang w:val="en-US"/>
        </w:rPr>
      </w:pPr>
      <w:hyperlink w:anchor="_Toc524431189" w:history="1">
        <w:r w:rsidR="00E830A4" w:rsidRPr="00E830A4">
          <w:rPr>
            <w:rStyle w:val="Hyperlink"/>
            <w:rFonts w:ascii="Arial" w:hAnsi="Arial" w:cs="Arial"/>
            <w:noProof/>
            <w:sz w:val="22"/>
            <w:lang w:val="es-ES"/>
          </w:rPr>
          <w:t>E.</w:t>
        </w:r>
        <w:r w:rsidR="00E830A4" w:rsidRPr="00E830A4">
          <w:rPr>
            <w:rFonts w:ascii="Arial" w:eastAsiaTheme="minorEastAsia" w:hAnsi="Arial" w:cs="Arial"/>
            <w:noProof/>
            <w:spacing w:val="0"/>
            <w:sz w:val="20"/>
            <w:szCs w:val="22"/>
            <w:lang w:val="en-US"/>
          </w:rPr>
          <w:tab/>
        </w:r>
        <w:r w:rsidR="00E830A4" w:rsidRPr="00E830A4">
          <w:rPr>
            <w:rStyle w:val="Hyperlink"/>
            <w:rFonts w:ascii="Arial" w:hAnsi="Arial" w:cs="Arial"/>
            <w:noProof/>
            <w:sz w:val="22"/>
            <w:lang w:val="es-ES"/>
          </w:rPr>
          <w:t>Información de los resultados</w:t>
        </w:r>
        <w:r w:rsidR="00E830A4" w:rsidRPr="00E830A4">
          <w:rPr>
            <w:rFonts w:ascii="Arial" w:hAnsi="Arial" w:cs="Arial"/>
            <w:noProof/>
            <w:webHidden/>
            <w:sz w:val="22"/>
          </w:rPr>
          <w:tab/>
        </w:r>
        <w:r w:rsidR="00E830A4" w:rsidRPr="00E830A4">
          <w:rPr>
            <w:rFonts w:ascii="Arial" w:hAnsi="Arial" w:cs="Arial"/>
            <w:noProof/>
            <w:webHidden/>
            <w:sz w:val="22"/>
          </w:rPr>
          <w:fldChar w:fldCharType="begin"/>
        </w:r>
        <w:r w:rsidR="00E830A4" w:rsidRPr="00E830A4">
          <w:rPr>
            <w:rFonts w:ascii="Arial" w:hAnsi="Arial" w:cs="Arial"/>
            <w:noProof/>
            <w:webHidden/>
            <w:sz w:val="22"/>
          </w:rPr>
          <w:instrText xml:space="preserve"> PAGEREF _Toc524431189 \h </w:instrText>
        </w:r>
        <w:r w:rsidR="00E830A4" w:rsidRPr="00E830A4">
          <w:rPr>
            <w:rFonts w:ascii="Arial" w:hAnsi="Arial" w:cs="Arial"/>
            <w:noProof/>
            <w:webHidden/>
            <w:sz w:val="22"/>
          </w:rPr>
        </w:r>
        <w:r w:rsidR="00E830A4" w:rsidRPr="00E830A4">
          <w:rPr>
            <w:rFonts w:ascii="Arial" w:hAnsi="Arial" w:cs="Arial"/>
            <w:noProof/>
            <w:webHidden/>
            <w:sz w:val="22"/>
          </w:rPr>
          <w:fldChar w:fldCharType="separate"/>
        </w:r>
        <w:r w:rsidR="008F09CB">
          <w:rPr>
            <w:rFonts w:ascii="Arial" w:hAnsi="Arial" w:cs="Arial"/>
            <w:noProof/>
            <w:webHidden/>
            <w:sz w:val="22"/>
          </w:rPr>
          <w:t>30</w:t>
        </w:r>
        <w:r w:rsidR="00E830A4" w:rsidRPr="00E830A4">
          <w:rPr>
            <w:rFonts w:ascii="Arial" w:hAnsi="Arial" w:cs="Arial"/>
            <w:noProof/>
            <w:webHidden/>
            <w:sz w:val="22"/>
          </w:rPr>
          <w:fldChar w:fldCharType="end"/>
        </w:r>
      </w:hyperlink>
    </w:p>
    <w:p w14:paraId="291B5E85" w14:textId="70B03B1C" w:rsidR="00E830A4" w:rsidRPr="00E830A4" w:rsidRDefault="00526B7E">
      <w:pPr>
        <w:pStyle w:val="TOC2"/>
        <w:rPr>
          <w:rFonts w:ascii="Arial" w:eastAsiaTheme="minorEastAsia" w:hAnsi="Arial" w:cs="Arial"/>
          <w:noProof/>
          <w:spacing w:val="0"/>
          <w:sz w:val="20"/>
          <w:szCs w:val="22"/>
          <w:lang w:val="en-US"/>
        </w:rPr>
      </w:pPr>
      <w:hyperlink w:anchor="_Toc524431190" w:history="1">
        <w:r w:rsidR="00E830A4" w:rsidRPr="00E830A4">
          <w:rPr>
            <w:rStyle w:val="Hyperlink"/>
            <w:rFonts w:ascii="Arial" w:hAnsi="Arial" w:cs="Arial"/>
            <w:noProof/>
            <w:sz w:val="22"/>
            <w:lang w:val="es-ES"/>
          </w:rPr>
          <w:t>F.</w:t>
        </w:r>
        <w:r w:rsidR="00E830A4" w:rsidRPr="00E830A4">
          <w:rPr>
            <w:rFonts w:ascii="Arial" w:eastAsiaTheme="minorEastAsia" w:hAnsi="Arial" w:cs="Arial"/>
            <w:noProof/>
            <w:spacing w:val="0"/>
            <w:sz w:val="20"/>
            <w:szCs w:val="22"/>
            <w:lang w:val="en-US"/>
          </w:rPr>
          <w:tab/>
        </w:r>
        <w:r w:rsidR="00E830A4" w:rsidRPr="00E830A4">
          <w:rPr>
            <w:rStyle w:val="Hyperlink"/>
            <w:rFonts w:ascii="Arial" w:hAnsi="Arial" w:cs="Arial"/>
            <w:noProof/>
            <w:sz w:val="22"/>
            <w:lang w:val="es-ES"/>
          </w:rPr>
          <w:t>Coordinación, plan de trabajo y presupuesto de la evaluación</w:t>
        </w:r>
        <w:r w:rsidR="00E830A4" w:rsidRPr="00E830A4">
          <w:rPr>
            <w:rFonts w:ascii="Arial" w:hAnsi="Arial" w:cs="Arial"/>
            <w:noProof/>
            <w:webHidden/>
            <w:sz w:val="22"/>
          </w:rPr>
          <w:tab/>
        </w:r>
        <w:r w:rsidR="00E830A4" w:rsidRPr="00E830A4">
          <w:rPr>
            <w:rFonts w:ascii="Arial" w:hAnsi="Arial" w:cs="Arial"/>
            <w:noProof/>
            <w:webHidden/>
            <w:sz w:val="22"/>
          </w:rPr>
          <w:fldChar w:fldCharType="begin"/>
        </w:r>
        <w:r w:rsidR="00E830A4" w:rsidRPr="00E830A4">
          <w:rPr>
            <w:rFonts w:ascii="Arial" w:hAnsi="Arial" w:cs="Arial"/>
            <w:noProof/>
            <w:webHidden/>
            <w:sz w:val="22"/>
          </w:rPr>
          <w:instrText xml:space="preserve"> PAGEREF _Toc524431190 \h </w:instrText>
        </w:r>
        <w:r w:rsidR="00E830A4" w:rsidRPr="00E830A4">
          <w:rPr>
            <w:rFonts w:ascii="Arial" w:hAnsi="Arial" w:cs="Arial"/>
            <w:noProof/>
            <w:webHidden/>
            <w:sz w:val="22"/>
          </w:rPr>
        </w:r>
        <w:r w:rsidR="00E830A4" w:rsidRPr="00E830A4">
          <w:rPr>
            <w:rFonts w:ascii="Arial" w:hAnsi="Arial" w:cs="Arial"/>
            <w:noProof/>
            <w:webHidden/>
            <w:sz w:val="22"/>
          </w:rPr>
          <w:fldChar w:fldCharType="separate"/>
        </w:r>
        <w:r w:rsidR="008F09CB">
          <w:rPr>
            <w:rFonts w:ascii="Arial" w:hAnsi="Arial" w:cs="Arial"/>
            <w:noProof/>
            <w:webHidden/>
            <w:sz w:val="22"/>
          </w:rPr>
          <w:t>31</w:t>
        </w:r>
        <w:r w:rsidR="00E830A4" w:rsidRPr="00E830A4">
          <w:rPr>
            <w:rFonts w:ascii="Arial" w:hAnsi="Arial" w:cs="Arial"/>
            <w:noProof/>
            <w:webHidden/>
            <w:sz w:val="22"/>
          </w:rPr>
          <w:fldChar w:fldCharType="end"/>
        </w:r>
      </w:hyperlink>
    </w:p>
    <w:p w14:paraId="7B9305B8" w14:textId="23D6054A" w:rsidR="005C3BC2" w:rsidRPr="007748AD" w:rsidRDefault="005C3BC2" w:rsidP="005C3BC2">
      <w:pPr>
        <w:spacing w:after="200" w:line="276" w:lineRule="auto"/>
        <w:rPr>
          <w:rFonts w:ascii="Arial" w:hAnsi="Arial" w:cs="Arial"/>
          <w:sz w:val="22"/>
          <w:szCs w:val="22"/>
          <w:lang w:val="es-ES"/>
        </w:rPr>
      </w:pPr>
      <w:r w:rsidRPr="00E830A4">
        <w:rPr>
          <w:rFonts w:ascii="Arial" w:hAnsi="Arial" w:cs="Arial"/>
          <w:smallCaps/>
          <w:sz w:val="20"/>
          <w:szCs w:val="22"/>
          <w:lang w:val="es-ES"/>
        </w:rPr>
        <w:fldChar w:fldCharType="end"/>
      </w:r>
      <w:r w:rsidRPr="007748AD">
        <w:rPr>
          <w:rFonts w:ascii="Arial" w:hAnsi="Arial" w:cs="Arial"/>
          <w:sz w:val="22"/>
          <w:szCs w:val="22"/>
          <w:lang w:val="es-ES"/>
        </w:rPr>
        <w:br w:type="page"/>
      </w:r>
    </w:p>
    <w:tbl>
      <w:tblPr>
        <w:tblW w:w="8640" w:type="dxa"/>
        <w:tblInd w:w="108" w:type="dxa"/>
        <w:tblLook w:val="01E0" w:firstRow="1" w:lastRow="1" w:firstColumn="1" w:lastColumn="1" w:noHBand="0" w:noVBand="0"/>
      </w:tblPr>
      <w:tblGrid>
        <w:gridCol w:w="1427"/>
        <w:gridCol w:w="7213"/>
      </w:tblGrid>
      <w:tr w:rsidR="005C3BC2" w:rsidRPr="00A434FF" w14:paraId="4BBAE6BA" w14:textId="77777777" w:rsidTr="002870D0">
        <w:trPr>
          <w:cantSplit/>
          <w:trHeight w:val="423"/>
        </w:trPr>
        <w:tc>
          <w:tcPr>
            <w:tcW w:w="86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24F6AA4" w14:textId="77777777" w:rsidR="005C3BC2" w:rsidRPr="00A434FF" w:rsidRDefault="005C3BC2" w:rsidP="002870D0">
            <w:pPr>
              <w:spacing w:before="20" w:after="20"/>
              <w:jc w:val="center"/>
              <w:rPr>
                <w:rFonts w:ascii="Arial" w:eastAsia="Arial Unicode MS" w:hAnsi="Arial" w:cs="Arial"/>
                <w:b/>
                <w:bCs/>
                <w:smallCaps/>
                <w:sz w:val="22"/>
                <w:szCs w:val="22"/>
                <w:lang w:val="es-ES"/>
              </w:rPr>
            </w:pPr>
            <w:r w:rsidRPr="00A434FF">
              <w:rPr>
                <w:rFonts w:ascii="Arial" w:eastAsia="Arial Unicode MS" w:hAnsi="Arial" w:cs="Arial"/>
                <w:b/>
                <w:bCs/>
                <w:smallCaps/>
                <w:sz w:val="22"/>
                <w:szCs w:val="22"/>
                <w:lang w:val="es-ES"/>
              </w:rPr>
              <w:t>Abreviaturas</w:t>
            </w:r>
          </w:p>
        </w:tc>
      </w:tr>
      <w:tr w:rsidR="005C3BC2" w:rsidRPr="00A434FF" w14:paraId="367C292C" w14:textId="77777777" w:rsidTr="002870D0">
        <w:trPr>
          <w:cantSplit/>
        </w:trPr>
        <w:tc>
          <w:tcPr>
            <w:tcW w:w="1427" w:type="dxa"/>
            <w:tcBorders>
              <w:left w:val="single" w:sz="4" w:space="0" w:color="auto"/>
            </w:tcBorders>
          </w:tcPr>
          <w:p w14:paraId="5C323C8B" w14:textId="77777777" w:rsidR="005C3BC2" w:rsidRPr="00046E14" w:rsidRDefault="005C3BC2" w:rsidP="002870D0">
            <w:pPr>
              <w:spacing w:before="20" w:after="20"/>
              <w:rPr>
                <w:rFonts w:ascii="Arial" w:hAnsi="Arial" w:cs="Arial"/>
                <w:sz w:val="22"/>
                <w:szCs w:val="22"/>
                <w:lang w:val="es-ES"/>
              </w:rPr>
            </w:pPr>
            <w:r w:rsidRPr="00046E14">
              <w:rPr>
                <w:rFonts w:ascii="Arial" w:hAnsi="Arial" w:cs="Arial"/>
                <w:sz w:val="22"/>
                <w:szCs w:val="22"/>
                <w:lang w:val="es-ES"/>
              </w:rPr>
              <w:t>BID</w:t>
            </w:r>
          </w:p>
        </w:tc>
        <w:tc>
          <w:tcPr>
            <w:tcW w:w="7213" w:type="dxa"/>
            <w:tcBorders>
              <w:right w:val="single" w:sz="4" w:space="0" w:color="auto"/>
            </w:tcBorders>
          </w:tcPr>
          <w:p w14:paraId="0E498B92" w14:textId="77777777" w:rsidR="005C3BC2" w:rsidRPr="00046E14" w:rsidRDefault="005C3BC2" w:rsidP="002870D0">
            <w:pPr>
              <w:spacing w:before="20" w:after="20"/>
              <w:rPr>
                <w:rFonts w:ascii="Arial" w:hAnsi="Arial" w:cs="Arial"/>
                <w:sz w:val="22"/>
                <w:szCs w:val="22"/>
                <w:lang w:val="es-ES"/>
              </w:rPr>
            </w:pPr>
            <w:r w:rsidRPr="00046E14">
              <w:rPr>
                <w:rFonts w:ascii="Arial" w:hAnsi="Arial" w:cs="Arial"/>
                <w:sz w:val="22"/>
                <w:szCs w:val="22"/>
                <w:lang w:val="es-ES"/>
              </w:rPr>
              <w:t>Banco Interamericano de Desarrollo</w:t>
            </w:r>
          </w:p>
        </w:tc>
      </w:tr>
      <w:tr w:rsidR="00385526" w:rsidRPr="00A434FF" w14:paraId="2BD82EF6" w14:textId="77777777" w:rsidTr="002870D0">
        <w:trPr>
          <w:cantSplit/>
        </w:trPr>
        <w:tc>
          <w:tcPr>
            <w:tcW w:w="1427" w:type="dxa"/>
            <w:tcBorders>
              <w:left w:val="single" w:sz="4" w:space="0" w:color="auto"/>
            </w:tcBorders>
          </w:tcPr>
          <w:p w14:paraId="721A5510" w14:textId="08259A43" w:rsidR="00385526" w:rsidRPr="00046E14" w:rsidRDefault="000E6928" w:rsidP="002870D0">
            <w:pPr>
              <w:spacing w:before="20" w:after="20"/>
              <w:rPr>
                <w:rFonts w:ascii="Arial" w:hAnsi="Arial" w:cs="Arial"/>
                <w:sz w:val="22"/>
                <w:szCs w:val="22"/>
                <w:lang w:val="es-ES"/>
              </w:rPr>
            </w:pPr>
            <w:r>
              <w:rPr>
                <w:rFonts w:ascii="Arial" w:hAnsi="Arial" w:cs="Arial"/>
                <w:sz w:val="22"/>
                <w:szCs w:val="22"/>
                <w:lang w:val="es-ES"/>
              </w:rPr>
              <w:t>CITE</w:t>
            </w:r>
          </w:p>
        </w:tc>
        <w:tc>
          <w:tcPr>
            <w:tcW w:w="7213" w:type="dxa"/>
            <w:tcBorders>
              <w:right w:val="single" w:sz="4" w:space="0" w:color="auto"/>
            </w:tcBorders>
          </w:tcPr>
          <w:p w14:paraId="773E4B35" w14:textId="3FB07825" w:rsidR="00385526" w:rsidRPr="00046E14" w:rsidRDefault="000E6928" w:rsidP="002870D0">
            <w:pPr>
              <w:spacing w:before="20" w:after="20"/>
              <w:rPr>
                <w:rFonts w:ascii="Arial" w:hAnsi="Arial" w:cs="Arial"/>
                <w:sz w:val="22"/>
                <w:szCs w:val="22"/>
                <w:lang w:val="es-ES"/>
              </w:rPr>
            </w:pPr>
            <w:r>
              <w:rPr>
                <w:rFonts w:ascii="Arial" w:hAnsi="Arial" w:cs="Arial"/>
                <w:sz w:val="22"/>
                <w:szCs w:val="22"/>
                <w:lang w:val="es-ES"/>
              </w:rPr>
              <w:t>Centro de Innovación Productiva y Transferencia Tecnológica</w:t>
            </w:r>
          </w:p>
        </w:tc>
      </w:tr>
      <w:tr w:rsidR="008F133A" w:rsidRPr="00A434FF" w14:paraId="5191DB2C" w14:textId="77777777" w:rsidTr="002870D0">
        <w:trPr>
          <w:cantSplit/>
        </w:trPr>
        <w:tc>
          <w:tcPr>
            <w:tcW w:w="1427" w:type="dxa"/>
            <w:tcBorders>
              <w:left w:val="single" w:sz="4" w:space="0" w:color="auto"/>
            </w:tcBorders>
          </w:tcPr>
          <w:p w14:paraId="7B0B62C1" w14:textId="0267F4DD" w:rsidR="008F133A" w:rsidRDefault="008F133A" w:rsidP="002870D0">
            <w:pPr>
              <w:spacing w:before="20" w:after="20"/>
              <w:rPr>
                <w:rFonts w:ascii="Arial" w:hAnsi="Arial" w:cs="Arial"/>
                <w:sz w:val="22"/>
                <w:szCs w:val="22"/>
                <w:lang w:val="es-ES"/>
              </w:rPr>
            </w:pPr>
            <w:r>
              <w:rPr>
                <w:rFonts w:ascii="Arial" w:hAnsi="Arial" w:cs="Arial"/>
                <w:sz w:val="22"/>
                <w:szCs w:val="22"/>
                <w:lang w:val="es-ES"/>
              </w:rPr>
              <w:t>CPE</w:t>
            </w:r>
          </w:p>
        </w:tc>
        <w:tc>
          <w:tcPr>
            <w:tcW w:w="7213" w:type="dxa"/>
            <w:tcBorders>
              <w:right w:val="single" w:sz="4" w:space="0" w:color="auto"/>
            </w:tcBorders>
          </w:tcPr>
          <w:p w14:paraId="7ED87873" w14:textId="69296F51" w:rsidR="008F133A" w:rsidRDefault="008F133A" w:rsidP="002870D0">
            <w:pPr>
              <w:spacing w:before="20" w:after="20"/>
              <w:rPr>
                <w:rFonts w:ascii="Arial" w:hAnsi="Arial" w:cs="Arial"/>
                <w:sz w:val="22"/>
                <w:szCs w:val="22"/>
                <w:lang w:val="es-ES"/>
              </w:rPr>
            </w:pPr>
            <w:r w:rsidRPr="00135BE2">
              <w:rPr>
                <w:rFonts w:ascii="Arial" w:hAnsi="Arial" w:cs="Arial"/>
                <w:sz w:val="22"/>
                <w:szCs w:val="22"/>
              </w:rPr>
              <w:t>Comprobantes de Pago Electrónicos</w:t>
            </w:r>
          </w:p>
        </w:tc>
      </w:tr>
      <w:tr w:rsidR="00385526" w:rsidRPr="00A434FF" w14:paraId="31B69E94" w14:textId="77777777" w:rsidTr="002870D0">
        <w:trPr>
          <w:cantSplit/>
        </w:trPr>
        <w:tc>
          <w:tcPr>
            <w:tcW w:w="1427" w:type="dxa"/>
            <w:tcBorders>
              <w:left w:val="single" w:sz="4" w:space="0" w:color="auto"/>
            </w:tcBorders>
          </w:tcPr>
          <w:p w14:paraId="13AD8547" w14:textId="6F27E5D7" w:rsidR="00385526" w:rsidRPr="00046E14" w:rsidRDefault="00385526" w:rsidP="002870D0">
            <w:pPr>
              <w:spacing w:before="20" w:after="20"/>
              <w:rPr>
                <w:rFonts w:ascii="Arial" w:hAnsi="Arial" w:cs="Arial"/>
                <w:sz w:val="22"/>
                <w:szCs w:val="22"/>
                <w:lang w:val="es-ES"/>
              </w:rPr>
            </w:pPr>
            <w:r>
              <w:rPr>
                <w:rFonts w:ascii="Arial" w:hAnsi="Arial" w:cs="Arial"/>
                <w:sz w:val="22"/>
                <w:szCs w:val="22"/>
                <w:lang w:val="es-ES"/>
              </w:rPr>
              <w:t>CSC</w:t>
            </w:r>
          </w:p>
        </w:tc>
        <w:tc>
          <w:tcPr>
            <w:tcW w:w="7213" w:type="dxa"/>
            <w:tcBorders>
              <w:right w:val="single" w:sz="4" w:space="0" w:color="auto"/>
            </w:tcBorders>
          </w:tcPr>
          <w:p w14:paraId="02DEA041" w14:textId="54517A56" w:rsidR="00385526" w:rsidRPr="00046E14" w:rsidRDefault="00385526" w:rsidP="002870D0">
            <w:pPr>
              <w:spacing w:before="20" w:after="20"/>
              <w:rPr>
                <w:rFonts w:ascii="Arial" w:hAnsi="Arial" w:cs="Arial"/>
                <w:sz w:val="22"/>
                <w:szCs w:val="22"/>
                <w:lang w:val="es-ES"/>
              </w:rPr>
            </w:pPr>
            <w:r>
              <w:rPr>
                <w:rFonts w:ascii="Arial" w:hAnsi="Arial" w:cs="Arial"/>
                <w:sz w:val="22"/>
                <w:szCs w:val="22"/>
                <w:lang w:val="es-ES"/>
              </w:rPr>
              <w:t>Consejos Sectoriales de Competencias</w:t>
            </w:r>
          </w:p>
        </w:tc>
      </w:tr>
      <w:tr w:rsidR="00D37B13" w:rsidRPr="00A434FF" w14:paraId="4CB75CB2" w14:textId="77777777" w:rsidTr="002870D0">
        <w:trPr>
          <w:cantSplit/>
        </w:trPr>
        <w:tc>
          <w:tcPr>
            <w:tcW w:w="1427" w:type="dxa"/>
            <w:tcBorders>
              <w:left w:val="single" w:sz="4" w:space="0" w:color="auto"/>
            </w:tcBorders>
          </w:tcPr>
          <w:p w14:paraId="359D5DEC" w14:textId="7910326D" w:rsidR="00D37B13" w:rsidRDefault="00D37B13" w:rsidP="002870D0">
            <w:pPr>
              <w:spacing w:before="20" w:after="20"/>
              <w:rPr>
                <w:rFonts w:ascii="Arial" w:hAnsi="Arial" w:cs="Arial"/>
                <w:sz w:val="22"/>
                <w:szCs w:val="22"/>
                <w:lang w:val="es-ES"/>
              </w:rPr>
            </w:pPr>
            <w:r>
              <w:rPr>
                <w:rFonts w:ascii="Arial" w:hAnsi="Arial" w:cs="Arial"/>
                <w:sz w:val="22"/>
                <w:szCs w:val="22"/>
                <w:lang w:val="es-ES"/>
              </w:rPr>
              <w:t>DGETP</w:t>
            </w:r>
          </w:p>
        </w:tc>
        <w:tc>
          <w:tcPr>
            <w:tcW w:w="7213" w:type="dxa"/>
            <w:tcBorders>
              <w:right w:val="single" w:sz="4" w:space="0" w:color="auto"/>
            </w:tcBorders>
          </w:tcPr>
          <w:p w14:paraId="7128FE79" w14:textId="316BF281" w:rsidR="00D37B13" w:rsidRDefault="00D37B13" w:rsidP="002870D0">
            <w:pPr>
              <w:spacing w:before="20" w:after="20"/>
              <w:rPr>
                <w:rFonts w:ascii="Arial" w:hAnsi="Arial" w:cs="Arial"/>
                <w:sz w:val="22"/>
                <w:szCs w:val="22"/>
                <w:lang w:val="es-ES"/>
              </w:rPr>
            </w:pPr>
            <w:r>
              <w:rPr>
                <w:rFonts w:ascii="Arial" w:hAnsi="Arial" w:cs="Arial"/>
                <w:sz w:val="22"/>
                <w:szCs w:val="22"/>
              </w:rPr>
              <w:t>Dirección General de Endeudamiento y Tesoro Público</w:t>
            </w:r>
          </w:p>
        </w:tc>
      </w:tr>
      <w:tr w:rsidR="00385526" w:rsidRPr="00A434FF" w14:paraId="75EFACE8" w14:textId="77777777" w:rsidTr="002870D0">
        <w:trPr>
          <w:cantSplit/>
        </w:trPr>
        <w:tc>
          <w:tcPr>
            <w:tcW w:w="1427" w:type="dxa"/>
            <w:tcBorders>
              <w:left w:val="single" w:sz="4" w:space="0" w:color="auto"/>
            </w:tcBorders>
          </w:tcPr>
          <w:p w14:paraId="016EC686" w14:textId="7A5B008E" w:rsidR="00385526" w:rsidRDefault="001A2838" w:rsidP="002870D0">
            <w:pPr>
              <w:spacing w:before="20" w:after="20"/>
              <w:rPr>
                <w:rFonts w:ascii="Arial" w:hAnsi="Arial" w:cs="Arial"/>
                <w:sz w:val="22"/>
                <w:szCs w:val="22"/>
                <w:lang w:val="es-ES"/>
              </w:rPr>
            </w:pPr>
            <w:r>
              <w:rPr>
                <w:rFonts w:ascii="Arial" w:hAnsi="Arial" w:cs="Arial"/>
                <w:sz w:val="22"/>
                <w:szCs w:val="22"/>
                <w:lang w:val="es-ES"/>
              </w:rPr>
              <w:t>ENE</w:t>
            </w:r>
          </w:p>
        </w:tc>
        <w:tc>
          <w:tcPr>
            <w:tcW w:w="7213" w:type="dxa"/>
            <w:tcBorders>
              <w:right w:val="single" w:sz="4" w:space="0" w:color="auto"/>
            </w:tcBorders>
          </w:tcPr>
          <w:p w14:paraId="11C2B6E8" w14:textId="3F70B314" w:rsidR="00385526" w:rsidRDefault="001A2838" w:rsidP="002870D0">
            <w:pPr>
              <w:spacing w:before="20" w:after="20"/>
              <w:rPr>
                <w:rFonts w:ascii="Arial" w:hAnsi="Arial" w:cs="Arial"/>
                <w:sz w:val="22"/>
                <w:szCs w:val="22"/>
                <w:lang w:val="es-ES"/>
              </w:rPr>
            </w:pPr>
            <w:r>
              <w:rPr>
                <w:rFonts w:ascii="Arial" w:hAnsi="Arial" w:cs="Arial"/>
                <w:sz w:val="22"/>
                <w:szCs w:val="22"/>
                <w:lang w:val="es-ES"/>
              </w:rPr>
              <w:t>Encuesta Nacional de Empresas</w:t>
            </w:r>
          </w:p>
        </w:tc>
      </w:tr>
      <w:tr w:rsidR="00C36DF9" w:rsidRPr="00A434FF" w14:paraId="10D90017" w14:textId="77777777" w:rsidTr="002870D0">
        <w:trPr>
          <w:cantSplit/>
        </w:trPr>
        <w:tc>
          <w:tcPr>
            <w:tcW w:w="1427" w:type="dxa"/>
            <w:tcBorders>
              <w:left w:val="single" w:sz="4" w:space="0" w:color="auto"/>
            </w:tcBorders>
          </w:tcPr>
          <w:p w14:paraId="27BDA007" w14:textId="44A43128" w:rsidR="00C36DF9" w:rsidRDefault="00C36DF9" w:rsidP="002870D0">
            <w:pPr>
              <w:spacing w:before="20" w:after="20"/>
              <w:rPr>
                <w:rFonts w:ascii="Arial" w:hAnsi="Arial" w:cs="Arial"/>
                <w:sz w:val="22"/>
                <w:szCs w:val="22"/>
                <w:lang w:val="es-ES"/>
              </w:rPr>
            </w:pPr>
            <w:r>
              <w:rPr>
                <w:rFonts w:ascii="Arial" w:hAnsi="Arial" w:cs="Arial"/>
                <w:sz w:val="22"/>
                <w:szCs w:val="22"/>
                <w:lang w:val="es-ES"/>
              </w:rPr>
              <w:t>ES</w:t>
            </w:r>
          </w:p>
        </w:tc>
        <w:tc>
          <w:tcPr>
            <w:tcW w:w="7213" w:type="dxa"/>
            <w:tcBorders>
              <w:right w:val="single" w:sz="4" w:space="0" w:color="auto"/>
            </w:tcBorders>
          </w:tcPr>
          <w:p w14:paraId="30B0FCA4" w14:textId="02697C51" w:rsidR="00C36DF9" w:rsidRDefault="00C36DF9" w:rsidP="002870D0">
            <w:pPr>
              <w:spacing w:before="20" w:after="20"/>
              <w:rPr>
                <w:rFonts w:ascii="Arial" w:hAnsi="Arial" w:cs="Arial"/>
                <w:sz w:val="22"/>
                <w:szCs w:val="22"/>
                <w:lang w:val="es-ES"/>
              </w:rPr>
            </w:pPr>
            <w:r>
              <w:rPr>
                <w:rFonts w:ascii="Arial" w:hAnsi="Arial" w:cs="Arial"/>
                <w:sz w:val="22"/>
                <w:szCs w:val="22"/>
                <w:lang w:val="es-ES"/>
              </w:rPr>
              <w:t>Educación Superior</w:t>
            </w:r>
          </w:p>
        </w:tc>
      </w:tr>
      <w:tr w:rsidR="005C3BC2" w:rsidRPr="00A434FF" w14:paraId="54CB47C7" w14:textId="77777777" w:rsidTr="002870D0">
        <w:trPr>
          <w:cantSplit/>
        </w:trPr>
        <w:tc>
          <w:tcPr>
            <w:tcW w:w="1427" w:type="dxa"/>
            <w:tcBorders>
              <w:left w:val="single" w:sz="4" w:space="0" w:color="auto"/>
            </w:tcBorders>
          </w:tcPr>
          <w:p w14:paraId="54443B40" w14:textId="55B84499" w:rsidR="005C3BC2" w:rsidRPr="00046E14" w:rsidRDefault="00BE264D" w:rsidP="002870D0">
            <w:pPr>
              <w:spacing w:before="20" w:after="20"/>
              <w:rPr>
                <w:rFonts w:ascii="Arial" w:hAnsi="Arial" w:cs="Arial"/>
                <w:sz w:val="22"/>
                <w:szCs w:val="22"/>
                <w:lang w:val="es-ES"/>
              </w:rPr>
            </w:pPr>
            <w:r>
              <w:rPr>
                <w:rFonts w:ascii="Arial" w:hAnsi="Arial" w:cs="Arial"/>
                <w:sz w:val="22"/>
                <w:szCs w:val="22"/>
                <w:lang w:val="es-ES"/>
              </w:rPr>
              <w:t>GOP</w:t>
            </w:r>
          </w:p>
        </w:tc>
        <w:tc>
          <w:tcPr>
            <w:tcW w:w="7213" w:type="dxa"/>
            <w:tcBorders>
              <w:right w:val="single" w:sz="4" w:space="0" w:color="auto"/>
            </w:tcBorders>
          </w:tcPr>
          <w:p w14:paraId="58A1DDEA" w14:textId="4B2815DF" w:rsidR="005C3BC2" w:rsidRPr="00046E14" w:rsidRDefault="00BE264D" w:rsidP="002870D0">
            <w:pPr>
              <w:spacing w:before="20" w:after="20"/>
              <w:rPr>
                <w:rFonts w:ascii="Arial" w:hAnsi="Arial" w:cs="Arial"/>
                <w:sz w:val="22"/>
                <w:szCs w:val="22"/>
                <w:lang w:val="es-ES"/>
              </w:rPr>
            </w:pPr>
            <w:r>
              <w:rPr>
                <w:rFonts w:ascii="Arial" w:hAnsi="Arial" w:cs="Arial"/>
                <w:sz w:val="22"/>
                <w:szCs w:val="22"/>
                <w:lang w:val="es-ES"/>
              </w:rPr>
              <w:t>Gobierno de Perú</w:t>
            </w:r>
          </w:p>
        </w:tc>
      </w:tr>
      <w:tr w:rsidR="00ED4031" w:rsidRPr="00A434FF" w14:paraId="753F488B" w14:textId="77777777" w:rsidTr="002870D0">
        <w:trPr>
          <w:cantSplit/>
        </w:trPr>
        <w:tc>
          <w:tcPr>
            <w:tcW w:w="1427" w:type="dxa"/>
            <w:tcBorders>
              <w:left w:val="single" w:sz="4" w:space="0" w:color="auto"/>
            </w:tcBorders>
          </w:tcPr>
          <w:p w14:paraId="5C43028F" w14:textId="063FB02E" w:rsidR="00C33F2B" w:rsidRDefault="00ED4031" w:rsidP="002446FA">
            <w:pPr>
              <w:spacing w:before="20" w:after="20"/>
              <w:rPr>
                <w:rFonts w:ascii="Arial" w:hAnsi="Arial" w:cs="Arial"/>
                <w:sz w:val="22"/>
                <w:szCs w:val="22"/>
                <w:lang w:val="es-ES"/>
              </w:rPr>
            </w:pPr>
            <w:r>
              <w:rPr>
                <w:rFonts w:ascii="Arial" w:hAnsi="Arial" w:cs="Arial"/>
                <w:sz w:val="22"/>
                <w:szCs w:val="22"/>
                <w:lang w:val="es-ES"/>
              </w:rPr>
              <w:t>IDEX</w:t>
            </w:r>
          </w:p>
        </w:tc>
        <w:tc>
          <w:tcPr>
            <w:tcW w:w="7213" w:type="dxa"/>
            <w:tcBorders>
              <w:right w:val="single" w:sz="4" w:space="0" w:color="auto"/>
            </w:tcBorders>
          </w:tcPr>
          <w:p w14:paraId="11C60876" w14:textId="545682B7" w:rsidR="00C33F2B" w:rsidRDefault="00ED4031" w:rsidP="002446FA">
            <w:pPr>
              <w:spacing w:before="20" w:after="20"/>
              <w:rPr>
                <w:rFonts w:ascii="Arial" w:hAnsi="Arial" w:cs="Arial"/>
                <w:sz w:val="22"/>
                <w:szCs w:val="22"/>
                <w:lang w:val="es-ES"/>
              </w:rPr>
            </w:pPr>
            <w:r w:rsidRPr="00ED4031">
              <w:rPr>
                <w:rFonts w:ascii="Arial" w:hAnsi="Arial" w:cs="Arial"/>
                <w:sz w:val="22"/>
                <w:szCs w:val="22"/>
                <w:lang w:val="es-ES"/>
              </w:rPr>
              <w:t>Instituciones de Educación Técnica de Excelencia</w:t>
            </w:r>
          </w:p>
        </w:tc>
      </w:tr>
      <w:tr w:rsidR="002446FA" w:rsidRPr="00A434FF" w14:paraId="02CA1B87" w14:textId="77777777" w:rsidTr="002870D0">
        <w:trPr>
          <w:cantSplit/>
        </w:trPr>
        <w:tc>
          <w:tcPr>
            <w:tcW w:w="1427" w:type="dxa"/>
            <w:tcBorders>
              <w:left w:val="single" w:sz="4" w:space="0" w:color="auto"/>
            </w:tcBorders>
          </w:tcPr>
          <w:p w14:paraId="52D05DAF" w14:textId="590E2E58" w:rsidR="002446FA" w:rsidRDefault="002446FA" w:rsidP="002870D0">
            <w:pPr>
              <w:spacing w:before="20" w:after="20"/>
              <w:rPr>
                <w:rFonts w:ascii="Arial" w:hAnsi="Arial" w:cs="Arial"/>
                <w:sz w:val="22"/>
                <w:szCs w:val="22"/>
                <w:lang w:val="es-ES"/>
              </w:rPr>
            </w:pPr>
            <w:r>
              <w:rPr>
                <w:rFonts w:ascii="Arial" w:hAnsi="Arial" w:cs="Arial"/>
                <w:sz w:val="22"/>
                <w:szCs w:val="22"/>
                <w:lang w:val="es-ES"/>
              </w:rPr>
              <w:t>IEST</w:t>
            </w:r>
          </w:p>
        </w:tc>
        <w:tc>
          <w:tcPr>
            <w:tcW w:w="7213" w:type="dxa"/>
            <w:tcBorders>
              <w:right w:val="single" w:sz="4" w:space="0" w:color="auto"/>
            </w:tcBorders>
          </w:tcPr>
          <w:p w14:paraId="1EA6DF1D" w14:textId="302B3FEA" w:rsidR="002446FA" w:rsidRPr="00ED4031" w:rsidRDefault="002446FA" w:rsidP="002870D0">
            <w:pPr>
              <w:spacing w:before="20" w:after="20"/>
              <w:rPr>
                <w:rFonts w:ascii="Arial" w:hAnsi="Arial" w:cs="Arial"/>
                <w:sz w:val="22"/>
                <w:szCs w:val="22"/>
                <w:lang w:val="es-ES"/>
              </w:rPr>
            </w:pPr>
            <w:r>
              <w:rPr>
                <w:rFonts w:ascii="Arial" w:hAnsi="Arial" w:cs="Arial"/>
                <w:sz w:val="22"/>
                <w:szCs w:val="22"/>
                <w:lang w:val="es-ES"/>
              </w:rPr>
              <w:t>Instituto de Educación Superior Tecnológica</w:t>
            </w:r>
          </w:p>
        </w:tc>
      </w:tr>
      <w:tr w:rsidR="002446FA" w:rsidRPr="00A434FF" w14:paraId="024BCF27" w14:textId="77777777" w:rsidTr="002870D0">
        <w:trPr>
          <w:cantSplit/>
        </w:trPr>
        <w:tc>
          <w:tcPr>
            <w:tcW w:w="1427" w:type="dxa"/>
            <w:tcBorders>
              <w:left w:val="single" w:sz="4" w:space="0" w:color="auto"/>
            </w:tcBorders>
          </w:tcPr>
          <w:p w14:paraId="4DD9067F" w14:textId="5C5A26B7" w:rsidR="002446FA" w:rsidRDefault="002446FA" w:rsidP="002446FA">
            <w:pPr>
              <w:spacing w:before="20" w:after="20"/>
              <w:rPr>
                <w:rFonts w:ascii="Arial" w:hAnsi="Arial" w:cs="Arial"/>
                <w:sz w:val="22"/>
                <w:szCs w:val="22"/>
                <w:lang w:val="es-ES"/>
              </w:rPr>
            </w:pPr>
            <w:r>
              <w:rPr>
                <w:rFonts w:ascii="Arial" w:hAnsi="Arial" w:cs="Arial"/>
                <w:sz w:val="22"/>
                <w:szCs w:val="22"/>
                <w:lang w:val="es-ES"/>
              </w:rPr>
              <w:t>MEF</w:t>
            </w:r>
          </w:p>
        </w:tc>
        <w:tc>
          <w:tcPr>
            <w:tcW w:w="7213" w:type="dxa"/>
            <w:tcBorders>
              <w:right w:val="single" w:sz="4" w:space="0" w:color="auto"/>
            </w:tcBorders>
          </w:tcPr>
          <w:p w14:paraId="19DB0497" w14:textId="4C4FEEFA" w:rsidR="002446FA" w:rsidRDefault="002446FA" w:rsidP="002446FA">
            <w:pPr>
              <w:spacing w:before="20" w:after="20"/>
              <w:rPr>
                <w:rFonts w:ascii="Arial" w:hAnsi="Arial" w:cs="Arial"/>
                <w:sz w:val="22"/>
                <w:szCs w:val="22"/>
                <w:lang w:val="es-ES"/>
              </w:rPr>
            </w:pPr>
            <w:r>
              <w:rPr>
                <w:rFonts w:ascii="Arial" w:hAnsi="Arial" w:cs="Arial"/>
                <w:sz w:val="22"/>
                <w:szCs w:val="22"/>
                <w:lang w:val="es-ES"/>
              </w:rPr>
              <w:t>Ministerio de Economía y Finanzas</w:t>
            </w:r>
          </w:p>
        </w:tc>
      </w:tr>
      <w:tr w:rsidR="002446FA" w:rsidRPr="00A434FF" w14:paraId="13CD1CC7" w14:textId="77777777" w:rsidTr="002870D0">
        <w:trPr>
          <w:cantSplit/>
        </w:trPr>
        <w:tc>
          <w:tcPr>
            <w:tcW w:w="1427" w:type="dxa"/>
            <w:tcBorders>
              <w:left w:val="single" w:sz="4" w:space="0" w:color="auto"/>
            </w:tcBorders>
          </w:tcPr>
          <w:p w14:paraId="158D7B1B" w14:textId="09D7245B" w:rsidR="002446FA" w:rsidRPr="00046E14" w:rsidRDefault="002446FA" w:rsidP="002446FA">
            <w:pPr>
              <w:spacing w:before="20" w:after="20"/>
              <w:rPr>
                <w:rFonts w:ascii="Arial" w:hAnsi="Arial" w:cs="Arial"/>
                <w:sz w:val="22"/>
                <w:szCs w:val="22"/>
                <w:lang w:val="es-ES"/>
              </w:rPr>
            </w:pPr>
            <w:r>
              <w:rPr>
                <w:rFonts w:ascii="Arial" w:hAnsi="Arial" w:cs="Arial"/>
                <w:sz w:val="22"/>
                <w:szCs w:val="22"/>
                <w:lang w:val="es-ES"/>
              </w:rPr>
              <w:t>MINEDU</w:t>
            </w:r>
          </w:p>
        </w:tc>
        <w:tc>
          <w:tcPr>
            <w:tcW w:w="7213" w:type="dxa"/>
            <w:tcBorders>
              <w:right w:val="single" w:sz="4" w:space="0" w:color="auto"/>
            </w:tcBorders>
          </w:tcPr>
          <w:p w14:paraId="6FB87E2B" w14:textId="416F99A9" w:rsidR="002446FA" w:rsidRPr="00046E14" w:rsidRDefault="002446FA" w:rsidP="002446FA">
            <w:pPr>
              <w:spacing w:before="20" w:after="20"/>
              <w:rPr>
                <w:rFonts w:ascii="Arial" w:hAnsi="Arial" w:cs="Arial"/>
                <w:sz w:val="22"/>
                <w:szCs w:val="22"/>
                <w:lang w:val="es-ES"/>
              </w:rPr>
            </w:pPr>
            <w:r>
              <w:rPr>
                <w:rFonts w:ascii="Arial" w:hAnsi="Arial" w:cs="Arial"/>
                <w:sz w:val="22"/>
                <w:szCs w:val="22"/>
                <w:lang w:val="es-ES"/>
              </w:rPr>
              <w:t>Ministerio de Educación</w:t>
            </w:r>
          </w:p>
        </w:tc>
      </w:tr>
      <w:tr w:rsidR="002446FA" w:rsidRPr="00A434FF" w14:paraId="3B405A90" w14:textId="77777777" w:rsidTr="002870D0">
        <w:trPr>
          <w:cantSplit/>
        </w:trPr>
        <w:tc>
          <w:tcPr>
            <w:tcW w:w="1427" w:type="dxa"/>
            <w:tcBorders>
              <w:left w:val="single" w:sz="4" w:space="0" w:color="auto"/>
            </w:tcBorders>
          </w:tcPr>
          <w:p w14:paraId="3000BBB9" w14:textId="515EAEF9" w:rsidR="002446FA" w:rsidRDefault="002446FA" w:rsidP="002446FA">
            <w:pPr>
              <w:spacing w:before="20" w:after="20"/>
              <w:rPr>
                <w:rFonts w:ascii="Arial" w:hAnsi="Arial" w:cs="Arial"/>
                <w:sz w:val="22"/>
                <w:szCs w:val="22"/>
                <w:lang w:val="es-ES"/>
              </w:rPr>
            </w:pPr>
            <w:r>
              <w:rPr>
                <w:rFonts w:ascii="Arial" w:hAnsi="Arial" w:cs="Arial"/>
                <w:sz w:val="22"/>
                <w:szCs w:val="22"/>
                <w:lang w:val="es-ES"/>
              </w:rPr>
              <w:t>MNC</w:t>
            </w:r>
          </w:p>
        </w:tc>
        <w:tc>
          <w:tcPr>
            <w:tcW w:w="7213" w:type="dxa"/>
            <w:tcBorders>
              <w:right w:val="single" w:sz="4" w:space="0" w:color="auto"/>
            </w:tcBorders>
          </w:tcPr>
          <w:p w14:paraId="272E6E0B" w14:textId="0CB7B1D6" w:rsidR="002446FA" w:rsidRDefault="002446FA" w:rsidP="002446FA">
            <w:pPr>
              <w:spacing w:before="20" w:after="20"/>
              <w:rPr>
                <w:rFonts w:ascii="Arial" w:hAnsi="Arial" w:cs="Arial"/>
                <w:sz w:val="22"/>
                <w:szCs w:val="22"/>
                <w:lang w:val="es-ES"/>
              </w:rPr>
            </w:pPr>
            <w:r>
              <w:rPr>
                <w:rFonts w:ascii="Arial" w:hAnsi="Arial" w:cs="Arial"/>
                <w:sz w:val="22"/>
                <w:szCs w:val="22"/>
                <w:lang w:val="es-ES"/>
              </w:rPr>
              <w:t>Marco Nacional de Cualificaciones</w:t>
            </w:r>
          </w:p>
        </w:tc>
      </w:tr>
      <w:tr w:rsidR="002446FA" w:rsidRPr="00A434FF" w14:paraId="29A4E54E" w14:textId="77777777" w:rsidTr="002870D0">
        <w:trPr>
          <w:cantSplit/>
        </w:trPr>
        <w:tc>
          <w:tcPr>
            <w:tcW w:w="1427" w:type="dxa"/>
            <w:tcBorders>
              <w:left w:val="single" w:sz="4" w:space="0" w:color="auto"/>
            </w:tcBorders>
          </w:tcPr>
          <w:p w14:paraId="3ED5BA29" w14:textId="6FFBA220" w:rsidR="002446FA" w:rsidRPr="00046E14" w:rsidRDefault="002446FA" w:rsidP="002446FA">
            <w:pPr>
              <w:spacing w:before="20" w:after="20"/>
              <w:rPr>
                <w:rFonts w:ascii="Arial" w:hAnsi="Arial" w:cs="Arial"/>
                <w:sz w:val="22"/>
                <w:szCs w:val="22"/>
                <w:lang w:val="es-ES"/>
              </w:rPr>
            </w:pPr>
            <w:r>
              <w:rPr>
                <w:rFonts w:ascii="Arial" w:hAnsi="Arial" w:cs="Arial"/>
                <w:sz w:val="22"/>
                <w:szCs w:val="22"/>
                <w:lang w:val="es-ES"/>
              </w:rPr>
              <w:t>MTPE</w:t>
            </w:r>
          </w:p>
        </w:tc>
        <w:tc>
          <w:tcPr>
            <w:tcW w:w="7213" w:type="dxa"/>
            <w:tcBorders>
              <w:right w:val="single" w:sz="4" w:space="0" w:color="auto"/>
            </w:tcBorders>
          </w:tcPr>
          <w:p w14:paraId="285395C1" w14:textId="71B09949" w:rsidR="002446FA" w:rsidRPr="00046E14" w:rsidRDefault="002446FA" w:rsidP="002446FA">
            <w:pPr>
              <w:spacing w:before="20" w:after="20"/>
              <w:rPr>
                <w:rFonts w:ascii="Arial" w:hAnsi="Arial" w:cs="Arial"/>
                <w:sz w:val="22"/>
                <w:szCs w:val="22"/>
                <w:lang w:val="es-ES"/>
              </w:rPr>
            </w:pPr>
            <w:r>
              <w:rPr>
                <w:rFonts w:ascii="Arial" w:hAnsi="Arial" w:cs="Arial"/>
                <w:sz w:val="22"/>
                <w:szCs w:val="22"/>
                <w:lang w:val="es-ES"/>
              </w:rPr>
              <w:t>Ministerio de Trabajo y Promoción del Empleo</w:t>
            </w:r>
          </w:p>
        </w:tc>
      </w:tr>
      <w:tr w:rsidR="002446FA" w:rsidRPr="00A434FF" w14:paraId="0E8C6551" w14:textId="77777777" w:rsidTr="002870D0">
        <w:trPr>
          <w:cantSplit/>
        </w:trPr>
        <w:tc>
          <w:tcPr>
            <w:tcW w:w="1427" w:type="dxa"/>
            <w:tcBorders>
              <w:left w:val="single" w:sz="4" w:space="0" w:color="auto"/>
            </w:tcBorders>
          </w:tcPr>
          <w:p w14:paraId="45F64CA7" w14:textId="331C9A57" w:rsidR="002446FA" w:rsidRDefault="002446FA" w:rsidP="002446FA">
            <w:pPr>
              <w:spacing w:before="20" w:after="20"/>
              <w:rPr>
                <w:rFonts w:ascii="Arial" w:hAnsi="Arial" w:cs="Arial"/>
                <w:sz w:val="22"/>
                <w:szCs w:val="22"/>
                <w:lang w:val="es-ES"/>
              </w:rPr>
            </w:pPr>
            <w:r>
              <w:rPr>
                <w:rFonts w:ascii="Arial" w:hAnsi="Arial" w:cs="Arial"/>
                <w:sz w:val="22"/>
                <w:szCs w:val="22"/>
                <w:lang w:val="es-ES"/>
              </w:rPr>
              <w:t>MYPE</w:t>
            </w:r>
          </w:p>
        </w:tc>
        <w:tc>
          <w:tcPr>
            <w:tcW w:w="7213" w:type="dxa"/>
            <w:tcBorders>
              <w:right w:val="single" w:sz="4" w:space="0" w:color="auto"/>
            </w:tcBorders>
          </w:tcPr>
          <w:p w14:paraId="14E77551" w14:textId="10E09389" w:rsidR="002446FA" w:rsidRDefault="002446FA" w:rsidP="002446FA">
            <w:pPr>
              <w:spacing w:before="20" w:after="20"/>
              <w:rPr>
                <w:rFonts w:ascii="Arial" w:hAnsi="Arial" w:cs="Arial"/>
                <w:sz w:val="22"/>
                <w:szCs w:val="22"/>
                <w:lang w:val="es-ES"/>
              </w:rPr>
            </w:pPr>
            <w:r>
              <w:rPr>
                <w:rFonts w:ascii="Arial" w:hAnsi="Arial" w:cs="Arial"/>
                <w:sz w:val="22"/>
                <w:szCs w:val="22"/>
                <w:lang w:val="es-ES"/>
              </w:rPr>
              <w:t>Micro y Pequeña Empresa</w:t>
            </w:r>
          </w:p>
        </w:tc>
      </w:tr>
      <w:tr w:rsidR="002446FA" w:rsidRPr="00A434FF" w14:paraId="7D6179E7" w14:textId="77777777" w:rsidTr="002870D0">
        <w:trPr>
          <w:cantSplit/>
        </w:trPr>
        <w:tc>
          <w:tcPr>
            <w:tcW w:w="1427" w:type="dxa"/>
            <w:tcBorders>
              <w:left w:val="single" w:sz="4" w:space="0" w:color="auto"/>
            </w:tcBorders>
          </w:tcPr>
          <w:p w14:paraId="35FDB329" w14:textId="65A680DE" w:rsidR="002446FA" w:rsidRPr="00046E14" w:rsidRDefault="002446FA" w:rsidP="002446FA">
            <w:pPr>
              <w:spacing w:before="20" w:after="20"/>
              <w:rPr>
                <w:rFonts w:ascii="Arial" w:hAnsi="Arial" w:cs="Arial"/>
                <w:sz w:val="22"/>
                <w:szCs w:val="22"/>
                <w:lang w:val="es-ES"/>
              </w:rPr>
            </w:pPr>
            <w:r>
              <w:rPr>
                <w:rFonts w:ascii="Arial" w:hAnsi="Arial" w:cs="Arial"/>
                <w:sz w:val="22"/>
                <w:szCs w:val="22"/>
                <w:lang w:val="es-ES"/>
              </w:rPr>
              <w:t>PME</w:t>
            </w:r>
          </w:p>
        </w:tc>
        <w:tc>
          <w:tcPr>
            <w:tcW w:w="7213" w:type="dxa"/>
            <w:tcBorders>
              <w:right w:val="single" w:sz="4" w:space="0" w:color="auto"/>
            </w:tcBorders>
          </w:tcPr>
          <w:p w14:paraId="60CEECDB" w14:textId="3CBD0EF7" w:rsidR="002446FA" w:rsidRPr="00046E14" w:rsidRDefault="002446FA" w:rsidP="002446FA">
            <w:pPr>
              <w:spacing w:before="20" w:after="20"/>
              <w:rPr>
                <w:rFonts w:ascii="Arial" w:hAnsi="Arial" w:cs="Arial"/>
                <w:sz w:val="22"/>
                <w:szCs w:val="22"/>
                <w:lang w:val="es-ES"/>
              </w:rPr>
            </w:pPr>
            <w:r>
              <w:rPr>
                <w:rFonts w:ascii="Arial" w:hAnsi="Arial" w:cs="Arial"/>
                <w:sz w:val="22"/>
                <w:szCs w:val="22"/>
                <w:lang w:val="es-ES"/>
              </w:rPr>
              <w:t>Plan de Monitoreo y Evaluación</w:t>
            </w:r>
          </w:p>
        </w:tc>
      </w:tr>
      <w:tr w:rsidR="002A2F28" w:rsidRPr="00A434FF" w14:paraId="5F145CC6" w14:textId="77777777" w:rsidTr="002870D0">
        <w:trPr>
          <w:cantSplit/>
        </w:trPr>
        <w:tc>
          <w:tcPr>
            <w:tcW w:w="1427" w:type="dxa"/>
            <w:tcBorders>
              <w:left w:val="single" w:sz="4" w:space="0" w:color="auto"/>
            </w:tcBorders>
          </w:tcPr>
          <w:p w14:paraId="4F481CCF" w14:textId="2B51938C" w:rsidR="002A2F28" w:rsidRDefault="002A2F28" w:rsidP="002446FA">
            <w:pPr>
              <w:spacing w:before="20" w:after="20"/>
              <w:rPr>
                <w:rFonts w:ascii="Arial" w:hAnsi="Arial" w:cs="Arial"/>
                <w:sz w:val="22"/>
                <w:szCs w:val="22"/>
                <w:lang w:val="es-ES"/>
              </w:rPr>
            </w:pPr>
            <w:r>
              <w:rPr>
                <w:rFonts w:ascii="Arial" w:hAnsi="Arial" w:cs="Arial"/>
                <w:sz w:val="22"/>
                <w:szCs w:val="22"/>
                <w:lang w:val="es-ES"/>
              </w:rPr>
              <w:t>PNC</w:t>
            </w:r>
          </w:p>
        </w:tc>
        <w:tc>
          <w:tcPr>
            <w:tcW w:w="7213" w:type="dxa"/>
            <w:tcBorders>
              <w:right w:val="single" w:sz="4" w:space="0" w:color="auto"/>
            </w:tcBorders>
          </w:tcPr>
          <w:p w14:paraId="1C86165B" w14:textId="68592F04" w:rsidR="002A2F28" w:rsidRDefault="002A2F28" w:rsidP="002446FA">
            <w:pPr>
              <w:spacing w:before="20" w:after="20"/>
              <w:rPr>
                <w:rFonts w:ascii="Arial" w:hAnsi="Arial" w:cs="Arial"/>
                <w:sz w:val="22"/>
                <w:szCs w:val="22"/>
                <w:lang w:val="es-ES"/>
              </w:rPr>
            </w:pPr>
            <w:r>
              <w:rPr>
                <w:rFonts w:ascii="Arial" w:hAnsi="Arial" w:cs="Arial"/>
                <w:sz w:val="22"/>
                <w:szCs w:val="22"/>
                <w:lang w:val="es-ES"/>
              </w:rPr>
              <w:t>Plan Nacional de Competitividad</w:t>
            </w:r>
          </w:p>
        </w:tc>
      </w:tr>
      <w:tr w:rsidR="002446FA" w:rsidRPr="00A434FF" w14:paraId="1192328D" w14:textId="77777777" w:rsidTr="002870D0">
        <w:trPr>
          <w:cantSplit/>
        </w:trPr>
        <w:tc>
          <w:tcPr>
            <w:tcW w:w="1427" w:type="dxa"/>
            <w:tcBorders>
              <w:left w:val="single" w:sz="4" w:space="0" w:color="auto"/>
            </w:tcBorders>
          </w:tcPr>
          <w:p w14:paraId="1F8E85C9" w14:textId="77777777" w:rsidR="002446FA" w:rsidRPr="00046E14" w:rsidRDefault="002446FA" w:rsidP="002446FA">
            <w:pPr>
              <w:spacing w:before="20" w:after="20"/>
              <w:rPr>
                <w:rFonts w:ascii="Arial" w:hAnsi="Arial" w:cs="Arial"/>
                <w:sz w:val="22"/>
                <w:szCs w:val="22"/>
                <w:lang w:val="es-ES"/>
              </w:rPr>
            </w:pPr>
            <w:r w:rsidRPr="00046E14">
              <w:rPr>
                <w:rFonts w:ascii="Arial" w:hAnsi="Arial" w:cs="Arial"/>
                <w:sz w:val="22"/>
                <w:szCs w:val="22"/>
                <w:lang w:val="es-ES"/>
              </w:rPr>
              <w:t>POD</w:t>
            </w:r>
          </w:p>
        </w:tc>
        <w:tc>
          <w:tcPr>
            <w:tcW w:w="7213" w:type="dxa"/>
            <w:tcBorders>
              <w:right w:val="single" w:sz="4" w:space="0" w:color="auto"/>
            </w:tcBorders>
          </w:tcPr>
          <w:p w14:paraId="39AF3507" w14:textId="77777777" w:rsidR="002446FA" w:rsidRPr="00046E14" w:rsidRDefault="002446FA" w:rsidP="002446FA">
            <w:pPr>
              <w:spacing w:before="20" w:after="20"/>
              <w:rPr>
                <w:rFonts w:ascii="Arial" w:hAnsi="Arial" w:cs="Arial"/>
                <w:sz w:val="22"/>
                <w:szCs w:val="22"/>
                <w:lang w:val="es-ES"/>
              </w:rPr>
            </w:pPr>
            <w:r w:rsidRPr="00046E14">
              <w:rPr>
                <w:rFonts w:ascii="Arial" w:hAnsi="Arial" w:cs="Arial"/>
                <w:sz w:val="22"/>
                <w:szCs w:val="22"/>
                <w:lang w:val="es-ES"/>
              </w:rPr>
              <w:t>Propuesta para el Desarrollo de la Operación</w:t>
            </w:r>
          </w:p>
        </w:tc>
      </w:tr>
      <w:tr w:rsidR="002446FA" w:rsidRPr="00A434FF" w14:paraId="55FD3EBA" w14:textId="77777777" w:rsidTr="002870D0">
        <w:trPr>
          <w:cantSplit/>
          <w:trHeight w:val="68"/>
        </w:trPr>
        <w:tc>
          <w:tcPr>
            <w:tcW w:w="1427" w:type="dxa"/>
            <w:tcBorders>
              <w:left w:val="single" w:sz="4" w:space="0" w:color="auto"/>
            </w:tcBorders>
          </w:tcPr>
          <w:p w14:paraId="30A9F901" w14:textId="610C99C3" w:rsidR="002446FA" w:rsidRPr="00046E14" w:rsidRDefault="002446FA" w:rsidP="002446FA">
            <w:pPr>
              <w:spacing w:before="20" w:after="20"/>
              <w:rPr>
                <w:rFonts w:ascii="Arial" w:hAnsi="Arial" w:cs="Arial"/>
                <w:sz w:val="22"/>
                <w:szCs w:val="22"/>
                <w:lang w:val="es-ES"/>
              </w:rPr>
            </w:pPr>
            <w:r>
              <w:rPr>
                <w:rFonts w:ascii="Arial" w:hAnsi="Arial" w:cs="Arial"/>
                <w:sz w:val="22"/>
                <w:szCs w:val="22"/>
                <w:lang w:val="es-ES"/>
              </w:rPr>
              <w:t>PRODUCE</w:t>
            </w:r>
          </w:p>
        </w:tc>
        <w:tc>
          <w:tcPr>
            <w:tcW w:w="7213" w:type="dxa"/>
            <w:tcBorders>
              <w:right w:val="single" w:sz="4" w:space="0" w:color="auto"/>
            </w:tcBorders>
          </w:tcPr>
          <w:p w14:paraId="03C27488" w14:textId="75B2EC0B" w:rsidR="002446FA" w:rsidRPr="00046E14" w:rsidRDefault="002446FA" w:rsidP="002446FA">
            <w:pPr>
              <w:spacing w:before="20" w:after="20"/>
              <w:rPr>
                <w:rFonts w:ascii="Arial" w:hAnsi="Arial" w:cs="Arial"/>
                <w:sz w:val="22"/>
                <w:szCs w:val="22"/>
                <w:lang w:val="es-ES"/>
              </w:rPr>
            </w:pPr>
            <w:r>
              <w:rPr>
                <w:rFonts w:ascii="Arial" w:hAnsi="Arial" w:cs="Arial"/>
                <w:sz w:val="22"/>
                <w:szCs w:val="22"/>
                <w:lang w:val="es-ES"/>
              </w:rPr>
              <w:t>Ministerio de la Producción</w:t>
            </w:r>
          </w:p>
        </w:tc>
      </w:tr>
      <w:tr w:rsidR="002446FA" w:rsidRPr="00A434FF" w14:paraId="1C5A9F40" w14:textId="77777777" w:rsidTr="002870D0">
        <w:trPr>
          <w:cantSplit/>
          <w:trHeight w:val="68"/>
        </w:trPr>
        <w:tc>
          <w:tcPr>
            <w:tcW w:w="1427" w:type="dxa"/>
            <w:tcBorders>
              <w:left w:val="single" w:sz="4" w:space="0" w:color="auto"/>
            </w:tcBorders>
          </w:tcPr>
          <w:p w14:paraId="04F28CF0" w14:textId="7FC0B598" w:rsidR="002446FA" w:rsidRDefault="002446FA" w:rsidP="002446FA">
            <w:pPr>
              <w:spacing w:before="20" w:after="20"/>
              <w:rPr>
                <w:rFonts w:ascii="Arial" w:hAnsi="Arial" w:cs="Arial"/>
                <w:sz w:val="22"/>
                <w:szCs w:val="22"/>
                <w:lang w:val="es-ES"/>
              </w:rPr>
            </w:pPr>
            <w:r>
              <w:rPr>
                <w:rFonts w:ascii="Arial" w:hAnsi="Arial" w:cs="Arial"/>
                <w:sz w:val="22"/>
                <w:szCs w:val="22"/>
                <w:lang w:val="es-ES"/>
              </w:rPr>
              <w:t>PYME</w:t>
            </w:r>
          </w:p>
        </w:tc>
        <w:tc>
          <w:tcPr>
            <w:tcW w:w="7213" w:type="dxa"/>
            <w:tcBorders>
              <w:right w:val="single" w:sz="4" w:space="0" w:color="auto"/>
            </w:tcBorders>
          </w:tcPr>
          <w:p w14:paraId="6815834A" w14:textId="6B567095" w:rsidR="002446FA" w:rsidRDefault="002446FA" w:rsidP="002446FA">
            <w:pPr>
              <w:spacing w:before="20" w:after="20"/>
              <w:rPr>
                <w:rFonts w:ascii="Arial" w:hAnsi="Arial" w:cs="Arial"/>
                <w:sz w:val="22"/>
                <w:szCs w:val="22"/>
                <w:lang w:val="es-ES"/>
              </w:rPr>
            </w:pPr>
            <w:r>
              <w:rPr>
                <w:rFonts w:ascii="Arial" w:hAnsi="Arial" w:cs="Arial"/>
                <w:sz w:val="22"/>
                <w:szCs w:val="22"/>
                <w:lang w:val="es-ES"/>
              </w:rPr>
              <w:t>Pequeña y Mediana Empresa</w:t>
            </w:r>
          </w:p>
        </w:tc>
      </w:tr>
      <w:tr w:rsidR="002446FA" w:rsidRPr="00A434FF" w14:paraId="1E1F04ED" w14:textId="77777777" w:rsidTr="002870D0">
        <w:trPr>
          <w:cantSplit/>
          <w:trHeight w:val="68"/>
        </w:trPr>
        <w:tc>
          <w:tcPr>
            <w:tcW w:w="1427" w:type="dxa"/>
            <w:tcBorders>
              <w:left w:val="single" w:sz="4" w:space="0" w:color="auto"/>
            </w:tcBorders>
          </w:tcPr>
          <w:p w14:paraId="2FB1056C" w14:textId="5E168215" w:rsidR="002446FA" w:rsidRDefault="002446FA" w:rsidP="002446FA">
            <w:pPr>
              <w:spacing w:before="20" w:after="20"/>
              <w:rPr>
                <w:rFonts w:ascii="Arial" w:hAnsi="Arial" w:cs="Arial"/>
                <w:sz w:val="22"/>
                <w:szCs w:val="22"/>
                <w:lang w:val="es-ES"/>
              </w:rPr>
            </w:pPr>
            <w:r>
              <w:rPr>
                <w:rFonts w:ascii="Arial" w:hAnsi="Arial" w:cs="Arial"/>
                <w:sz w:val="22"/>
                <w:szCs w:val="22"/>
                <w:lang w:val="es-ES"/>
              </w:rPr>
              <w:t>RER</w:t>
            </w:r>
          </w:p>
        </w:tc>
        <w:tc>
          <w:tcPr>
            <w:tcW w:w="7213" w:type="dxa"/>
            <w:tcBorders>
              <w:right w:val="single" w:sz="4" w:space="0" w:color="auto"/>
            </w:tcBorders>
          </w:tcPr>
          <w:p w14:paraId="3529C2B2" w14:textId="4E3E1DC2" w:rsidR="002446FA" w:rsidRDefault="002446FA" w:rsidP="002446FA">
            <w:pPr>
              <w:spacing w:before="20" w:after="20"/>
              <w:rPr>
                <w:rFonts w:ascii="Arial" w:hAnsi="Arial" w:cs="Arial"/>
                <w:sz w:val="22"/>
                <w:szCs w:val="22"/>
                <w:lang w:val="es-ES"/>
              </w:rPr>
            </w:pPr>
            <w:r>
              <w:rPr>
                <w:rFonts w:ascii="Arial" w:hAnsi="Arial" w:cs="Arial"/>
                <w:sz w:val="22"/>
                <w:szCs w:val="22"/>
                <w:lang w:val="es-ES"/>
              </w:rPr>
              <w:t>Régimen Especial de Impuesto a la Renta</w:t>
            </w:r>
          </w:p>
        </w:tc>
      </w:tr>
      <w:tr w:rsidR="002446FA" w:rsidRPr="00A434FF" w14:paraId="541657E7" w14:textId="77777777" w:rsidTr="002870D0">
        <w:trPr>
          <w:cantSplit/>
          <w:trHeight w:val="68"/>
        </w:trPr>
        <w:tc>
          <w:tcPr>
            <w:tcW w:w="1427" w:type="dxa"/>
            <w:tcBorders>
              <w:left w:val="single" w:sz="4" w:space="0" w:color="auto"/>
            </w:tcBorders>
          </w:tcPr>
          <w:p w14:paraId="6F5C3DAF" w14:textId="79B7D62D" w:rsidR="002446FA" w:rsidRPr="00046E14" w:rsidRDefault="002446FA" w:rsidP="002446FA">
            <w:pPr>
              <w:spacing w:before="20" w:after="20"/>
              <w:rPr>
                <w:rFonts w:ascii="Arial" w:hAnsi="Arial" w:cs="Arial"/>
                <w:sz w:val="22"/>
                <w:szCs w:val="22"/>
                <w:lang w:val="es-ES"/>
              </w:rPr>
            </w:pPr>
            <w:r>
              <w:rPr>
                <w:rFonts w:ascii="Arial" w:hAnsi="Arial" w:cs="Arial"/>
                <w:sz w:val="22"/>
                <w:szCs w:val="22"/>
                <w:lang w:val="es-ES"/>
              </w:rPr>
              <w:t>SUNAFIL</w:t>
            </w:r>
          </w:p>
        </w:tc>
        <w:tc>
          <w:tcPr>
            <w:tcW w:w="7213" w:type="dxa"/>
            <w:tcBorders>
              <w:right w:val="single" w:sz="4" w:space="0" w:color="auto"/>
            </w:tcBorders>
          </w:tcPr>
          <w:p w14:paraId="40B753CB" w14:textId="3D25FCCA" w:rsidR="002446FA" w:rsidRPr="00046E14" w:rsidRDefault="002446FA" w:rsidP="002446FA">
            <w:pPr>
              <w:spacing w:before="20" w:after="20"/>
              <w:rPr>
                <w:rFonts w:ascii="Arial" w:hAnsi="Arial" w:cs="Arial"/>
                <w:sz w:val="22"/>
                <w:szCs w:val="22"/>
                <w:lang w:val="es-ES"/>
              </w:rPr>
            </w:pPr>
            <w:r>
              <w:rPr>
                <w:rFonts w:ascii="Arial" w:hAnsi="Arial" w:cs="Arial"/>
                <w:sz w:val="22"/>
                <w:szCs w:val="22"/>
                <w:lang w:val="es-ES"/>
              </w:rPr>
              <w:t>Superintendencia Nacional de Fiscalización Laboral</w:t>
            </w:r>
          </w:p>
        </w:tc>
      </w:tr>
      <w:tr w:rsidR="002446FA" w:rsidRPr="00A434FF" w14:paraId="78CE12A3" w14:textId="77777777" w:rsidTr="002870D0">
        <w:trPr>
          <w:cantSplit/>
          <w:trHeight w:val="68"/>
        </w:trPr>
        <w:tc>
          <w:tcPr>
            <w:tcW w:w="1427" w:type="dxa"/>
            <w:tcBorders>
              <w:left w:val="single" w:sz="4" w:space="0" w:color="auto"/>
              <w:bottom w:val="single" w:sz="4" w:space="0" w:color="auto"/>
            </w:tcBorders>
          </w:tcPr>
          <w:p w14:paraId="78372BDB" w14:textId="60ED87B5" w:rsidR="002446FA" w:rsidRPr="00046E14" w:rsidRDefault="002446FA" w:rsidP="002446FA">
            <w:pPr>
              <w:spacing w:before="20" w:after="20"/>
              <w:rPr>
                <w:rFonts w:ascii="Arial" w:hAnsi="Arial" w:cs="Arial"/>
                <w:sz w:val="22"/>
                <w:szCs w:val="22"/>
                <w:lang w:val="es-ES"/>
              </w:rPr>
            </w:pPr>
            <w:r>
              <w:rPr>
                <w:rFonts w:ascii="Arial" w:hAnsi="Arial" w:cs="Arial"/>
                <w:sz w:val="22"/>
                <w:szCs w:val="22"/>
                <w:lang w:val="es-ES"/>
              </w:rPr>
              <w:t>SUNAT</w:t>
            </w:r>
          </w:p>
        </w:tc>
        <w:tc>
          <w:tcPr>
            <w:tcW w:w="7213" w:type="dxa"/>
            <w:tcBorders>
              <w:bottom w:val="single" w:sz="4" w:space="0" w:color="auto"/>
              <w:right w:val="single" w:sz="4" w:space="0" w:color="auto"/>
            </w:tcBorders>
          </w:tcPr>
          <w:p w14:paraId="779A62D2" w14:textId="289060CF" w:rsidR="002446FA" w:rsidRPr="008B1D53" w:rsidRDefault="002446FA" w:rsidP="002446FA">
            <w:pPr>
              <w:spacing w:before="20" w:after="20"/>
              <w:rPr>
                <w:rFonts w:ascii="Arial" w:hAnsi="Arial" w:cs="Arial"/>
                <w:sz w:val="22"/>
                <w:szCs w:val="22"/>
                <w:lang w:val="es-ES"/>
              </w:rPr>
            </w:pPr>
            <w:r>
              <w:rPr>
                <w:rFonts w:ascii="Arial" w:hAnsi="Arial" w:cs="Arial"/>
                <w:sz w:val="22"/>
                <w:szCs w:val="22"/>
                <w:lang w:val="es-ES"/>
              </w:rPr>
              <w:t>Superintendencia Nacional de Administración Tributaria</w:t>
            </w:r>
          </w:p>
        </w:tc>
      </w:tr>
    </w:tbl>
    <w:p w14:paraId="14ADFD44" w14:textId="77777777" w:rsidR="005C3BC2" w:rsidRPr="00A434FF" w:rsidRDefault="005C3BC2" w:rsidP="005C3BC2">
      <w:pPr>
        <w:pStyle w:val="ColorfulList-Accent11"/>
        <w:tabs>
          <w:tab w:val="left" w:pos="0"/>
          <w:tab w:val="left" w:pos="1440"/>
          <w:tab w:val="left" w:pos="8640"/>
        </w:tabs>
        <w:ind w:left="0"/>
        <w:jc w:val="both"/>
        <w:rPr>
          <w:rFonts w:ascii="Arial" w:hAnsi="Arial" w:cs="Arial"/>
          <w:sz w:val="2"/>
          <w:szCs w:val="2"/>
          <w:lang w:val="es-ES"/>
        </w:rPr>
      </w:pPr>
    </w:p>
    <w:p w14:paraId="71D9CB87" w14:textId="77777777" w:rsidR="005C3BC2" w:rsidRPr="00A434FF" w:rsidRDefault="005C3BC2" w:rsidP="005C3BC2">
      <w:pPr>
        <w:pStyle w:val="ColorfulList-Accent11"/>
        <w:tabs>
          <w:tab w:val="left" w:pos="1440"/>
          <w:tab w:val="left" w:pos="9000"/>
        </w:tabs>
        <w:ind w:left="0"/>
        <w:jc w:val="both"/>
        <w:rPr>
          <w:rFonts w:ascii="Arial" w:hAnsi="Arial" w:cs="Arial"/>
          <w:sz w:val="2"/>
          <w:szCs w:val="2"/>
          <w:lang w:val="es-ES"/>
        </w:rPr>
      </w:pPr>
    </w:p>
    <w:p w14:paraId="4B61F23A" w14:textId="77777777" w:rsidR="005C3BC2" w:rsidRDefault="005C3BC2" w:rsidP="005C3BC2">
      <w:pPr>
        <w:sectPr w:rsidR="005C3BC2" w:rsidSect="002870D0">
          <w:headerReference w:type="default" r:id="rId8"/>
          <w:footerReference w:type="default" r:id="rId9"/>
          <w:pgSz w:w="12240" w:h="15840"/>
          <w:pgMar w:top="1440" w:right="1800" w:bottom="1440" w:left="1800" w:header="720" w:footer="720" w:gutter="0"/>
          <w:cols w:space="720"/>
          <w:titlePg/>
          <w:docGrid w:linePitch="360"/>
        </w:sectPr>
      </w:pPr>
      <w:r w:rsidRPr="00515099">
        <w:rPr>
          <w:rFonts w:ascii="Arial" w:hAnsi="Arial" w:cs="Arial"/>
          <w:sz w:val="22"/>
          <w:szCs w:val="22"/>
          <w:lang w:val="es-ES"/>
        </w:rPr>
        <w:br w:type="page"/>
      </w:r>
    </w:p>
    <w:p w14:paraId="07968266" w14:textId="77777777" w:rsidR="005C3BC2" w:rsidRPr="0093142D" w:rsidRDefault="005C3BC2" w:rsidP="005C3BC2">
      <w:pPr>
        <w:pStyle w:val="Chapter"/>
        <w:spacing w:before="0"/>
        <w:rPr>
          <w:rFonts w:ascii="Arial" w:hAnsi="Arial" w:cs="Arial"/>
        </w:rPr>
      </w:pPr>
      <w:bookmarkStart w:id="1" w:name="_Toc524431178"/>
      <w:r w:rsidRPr="0093142D">
        <w:rPr>
          <w:rFonts w:ascii="Arial" w:hAnsi="Arial" w:cs="Arial"/>
        </w:rPr>
        <w:t>Introducción</w:t>
      </w:r>
      <w:bookmarkEnd w:id="1"/>
    </w:p>
    <w:p w14:paraId="6C3EE0BC" w14:textId="71A0DB8A" w:rsidR="007D2A2A" w:rsidRPr="007D2A2A" w:rsidRDefault="003C433A" w:rsidP="007D2A2A">
      <w:pPr>
        <w:pStyle w:val="Paragraph"/>
        <w:numPr>
          <w:ilvl w:val="1"/>
          <w:numId w:val="12"/>
        </w:numPr>
        <w:ind w:left="720" w:hanging="720"/>
        <w:rPr>
          <w:rFonts w:ascii="Arial" w:hAnsi="Arial" w:cs="Arial"/>
          <w:sz w:val="22"/>
          <w:szCs w:val="22"/>
        </w:rPr>
      </w:pPr>
      <w:r w:rsidRPr="002D0313">
        <w:rPr>
          <w:rFonts w:ascii="Arial" w:hAnsi="Arial" w:cs="Arial"/>
          <w:sz w:val="22"/>
          <w:szCs w:val="22"/>
        </w:rPr>
        <w:t xml:space="preserve">Desde los años 2000s, con una tasa de crecimiento </w:t>
      </w:r>
      <w:r>
        <w:rPr>
          <w:rFonts w:ascii="Arial" w:hAnsi="Arial" w:cs="Arial"/>
          <w:sz w:val="22"/>
          <w:szCs w:val="22"/>
        </w:rPr>
        <w:t xml:space="preserve">anual </w:t>
      </w:r>
      <w:r w:rsidRPr="002D0313">
        <w:rPr>
          <w:rFonts w:ascii="Arial" w:hAnsi="Arial" w:cs="Arial"/>
          <w:sz w:val="22"/>
          <w:szCs w:val="22"/>
        </w:rPr>
        <w:t>promedio superior al 5%, la economía peruana se ha caracterizado por ser una de las economías más dinámicas de América Latina y el Caribe</w:t>
      </w:r>
      <w:r w:rsidR="003A0B28">
        <w:rPr>
          <w:rFonts w:ascii="Arial" w:hAnsi="Arial" w:cs="Arial"/>
          <w:sz w:val="22"/>
          <w:szCs w:val="22"/>
        </w:rPr>
        <w:t xml:space="preserve">. </w:t>
      </w:r>
      <w:r w:rsidRPr="002D0313">
        <w:rPr>
          <w:rFonts w:ascii="Arial" w:hAnsi="Arial" w:cs="Arial"/>
          <w:sz w:val="22"/>
          <w:szCs w:val="22"/>
        </w:rPr>
        <w:t xml:space="preserve">Este dinamismo se debe, en gran parte, a las reformas estructurales iniciadas </w:t>
      </w:r>
      <w:r>
        <w:rPr>
          <w:rFonts w:ascii="Arial" w:hAnsi="Arial" w:cs="Arial"/>
          <w:sz w:val="22"/>
          <w:szCs w:val="22"/>
        </w:rPr>
        <w:t xml:space="preserve">en </w:t>
      </w:r>
      <w:r w:rsidRPr="002D0313">
        <w:rPr>
          <w:rFonts w:ascii="Arial" w:hAnsi="Arial" w:cs="Arial"/>
          <w:sz w:val="22"/>
          <w:szCs w:val="22"/>
        </w:rPr>
        <w:t xml:space="preserve">los años noventa y </w:t>
      </w:r>
      <w:r>
        <w:rPr>
          <w:rFonts w:ascii="Arial" w:hAnsi="Arial" w:cs="Arial"/>
          <w:sz w:val="22"/>
          <w:szCs w:val="22"/>
        </w:rPr>
        <w:t>a</w:t>
      </w:r>
      <w:r w:rsidRPr="002D0313">
        <w:rPr>
          <w:rFonts w:ascii="Arial" w:hAnsi="Arial" w:cs="Arial"/>
          <w:sz w:val="22"/>
          <w:szCs w:val="22"/>
        </w:rPr>
        <w:t xml:space="preserve"> condiciones externas favorables (elevado precio de las materias primas y </w:t>
      </w:r>
      <w:r>
        <w:rPr>
          <w:rFonts w:ascii="Arial" w:hAnsi="Arial" w:cs="Arial"/>
          <w:sz w:val="22"/>
          <w:szCs w:val="22"/>
        </w:rPr>
        <w:t xml:space="preserve">disponibilidad de </w:t>
      </w:r>
      <w:r w:rsidRPr="002D0313">
        <w:rPr>
          <w:rFonts w:ascii="Arial" w:hAnsi="Arial" w:cs="Arial"/>
          <w:sz w:val="22"/>
          <w:szCs w:val="22"/>
        </w:rPr>
        <w:t>financiamiento externo)</w:t>
      </w:r>
      <w:r>
        <w:rPr>
          <w:rFonts w:ascii="Arial" w:hAnsi="Arial" w:cs="Arial"/>
          <w:sz w:val="22"/>
          <w:szCs w:val="22"/>
        </w:rPr>
        <w:t xml:space="preserve"> </w:t>
      </w:r>
      <w:r w:rsidR="00076D8A">
        <w:rPr>
          <w:rFonts w:ascii="Arial" w:hAnsi="Arial" w:cs="Arial"/>
          <w:sz w:val="22"/>
          <w:szCs w:val="22"/>
        </w:rPr>
        <w:t>que permitieron crecer gracias a acumu</w:t>
      </w:r>
      <w:r w:rsidR="008341D1">
        <w:rPr>
          <w:rFonts w:ascii="Arial" w:hAnsi="Arial" w:cs="Arial"/>
          <w:sz w:val="22"/>
          <w:szCs w:val="22"/>
        </w:rPr>
        <w:t xml:space="preserve">lación de factores y no </w:t>
      </w:r>
      <w:r w:rsidR="007D2A2A">
        <w:rPr>
          <w:rFonts w:ascii="Arial" w:hAnsi="Arial" w:cs="Arial"/>
          <w:sz w:val="22"/>
          <w:szCs w:val="22"/>
        </w:rPr>
        <w:t xml:space="preserve">gracias </w:t>
      </w:r>
      <w:r w:rsidR="008341D1">
        <w:rPr>
          <w:rFonts w:ascii="Arial" w:hAnsi="Arial" w:cs="Arial"/>
          <w:sz w:val="22"/>
          <w:szCs w:val="22"/>
        </w:rPr>
        <w:t xml:space="preserve">a ganancias en eficiencia por su mejor asignación (mejoras en productividad). </w:t>
      </w:r>
      <w:r w:rsidR="00076D8A" w:rsidRPr="00076D8A">
        <w:rPr>
          <w:rFonts w:ascii="Arial" w:hAnsi="Arial" w:cs="Arial"/>
          <w:sz w:val="22"/>
          <w:szCs w:val="22"/>
        </w:rPr>
        <w:t xml:space="preserve">En el Perú, al igual que en el resto de la región, la eficiencia en </w:t>
      </w:r>
      <w:r w:rsidR="008341D1">
        <w:rPr>
          <w:rFonts w:ascii="Arial" w:hAnsi="Arial" w:cs="Arial"/>
          <w:sz w:val="22"/>
          <w:szCs w:val="22"/>
        </w:rPr>
        <w:t>la</w:t>
      </w:r>
      <w:r w:rsidR="00076D8A" w:rsidRPr="00076D8A">
        <w:rPr>
          <w:rFonts w:ascii="Arial" w:hAnsi="Arial" w:cs="Arial"/>
          <w:sz w:val="22"/>
          <w:szCs w:val="22"/>
        </w:rPr>
        <w:t xml:space="preserve"> asignación</w:t>
      </w:r>
      <w:r w:rsidR="008341D1">
        <w:rPr>
          <w:rFonts w:ascii="Arial" w:hAnsi="Arial" w:cs="Arial"/>
          <w:sz w:val="22"/>
          <w:szCs w:val="22"/>
        </w:rPr>
        <w:t xml:space="preserve"> de factores</w:t>
      </w:r>
      <w:r w:rsidR="00076D8A" w:rsidRPr="00076D8A">
        <w:rPr>
          <w:rFonts w:ascii="Arial" w:hAnsi="Arial" w:cs="Arial"/>
          <w:sz w:val="22"/>
          <w:szCs w:val="22"/>
        </w:rPr>
        <w:t xml:space="preserve"> se ve limitada por fallas de mercado </w:t>
      </w:r>
      <w:r w:rsidR="008341D1">
        <w:rPr>
          <w:rFonts w:ascii="Arial" w:hAnsi="Arial" w:cs="Arial"/>
          <w:sz w:val="22"/>
          <w:szCs w:val="22"/>
        </w:rPr>
        <w:t xml:space="preserve">(por ejemplo, </w:t>
      </w:r>
      <w:r w:rsidR="008341D1" w:rsidRPr="008341D1">
        <w:rPr>
          <w:rFonts w:ascii="Arial" w:hAnsi="Arial" w:cs="Arial"/>
          <w:sz w:val="22"/>
          <w:szCs w:val="22"/>
        </w:rPr>
        <w:t>mercados incompletos</w:t>
      </w:r>
      <w:r w:rsidR="007D2A2A">
        <w:rPr>
          <w:rFonts w:ascii="Arial" w:hAnsi="Arial" w:cs="Arial"/>
          <w:sz w:val="22"/>
          <w:szCs w:val="22"/>
        </w:rPr>
        <w:t xml:space="preserve"> en los que no existen o escasean bienes o factores</w:t>
      </w:r>
      <w:r w:rsidR="008341D1" w:rsidRPr="008341D1">
        <w:rPr>
          <w:rFonts w:ascii="Arial" w:hAnsi="Arial" w:cs="Arial"/>
          <w:sz w:val="22"/>
          <w:szCs w:val="22"/>
        </w:rPr>
        <w:t xml:space="preserve">, </w:t>
      </w:r>
      <w:r w:rsidR="008341D1">
        <w:rPr>
          <w:rFonts w:ascii="Arial" w:hAnsi="Arial" w:cs="Arial"/>
          <w:sz w:val="22"/>
          <w:szCs w:val="22"/>
        </w:rPr>
        <w:t xml:space="preserve">o </w:t>
      </w:r>
      <w:r w:rsidR="008341D1" w:rsidRPr="008341D1">
        <w:rPr>
          <w:rFonts w:ascii="Arial" w:hAnsi="Arial" w:cs="Arial"/>
          <w:sz w:val="22"/>
          <w:szCs w:val="22"/>
        </w:rPr>
        <w:t>asimetrías de información que incrementan la percepción de riesgo e inducen a niveles subóptimos de inversión</w:t>
      </w:r>
      <w:r w:rsidR="008341D1">
        <w:rPr>
          <w:rFonts w:ascii="Arial" w:hAnsi="Arial" w:cs="Arial"/>
          <w:sz w:val="22"/>
          <w:szCs w:val="22"/>
        </w:rPr>
        <w:t xml:space="preserve">) </w:t>
      </w:r>
      <w:r w:rsidR="00076D8A" w:rsidRPr="00076D8A">
        <w:rPr>
          <w:rFonts w:ascii="Arial" w:hAnsi="Arial" w:cs="Arial"/>
          <w:sz w:val="22"/>
          <w:szCs w:val="22"/>
        </w:rPr>
        <w:t>y de estado</w:t>
      </w:r>
      <w:r w:rsidR="008341D1">
        <w:rPr>
          <w:rFonts w:ascii="Arial" w:hAnsi="Arial" w:cs="Arial"/>
          <w:sz w:val="22"/>
          <w:szCs w:val="22"/>
        </w:rPr>
        <w:t xml:space="preserve"> (por ejemplo, </w:t>
      </w:r>
      <w:r w:rsidR="008341D1" w:rsidRPr="008341D1">
        <w:rPr>
          <w:rFonts w:ascii="Arial" w:hAnsi="Arial" w:cs="Arial"/>
          <w:sz w:val="22"/>
          <w:szCs w:val="22"/>
        </w:rPr>
        <w:t>regulación distorsionante que induce sobrecostos</w:t>
      </w:r>
      <w:r w:rsidR="007D2A2A">
        <w:rPr>
          <w:rFonts w:ascii="Arial" w:hAnsi="Arial" w:cs="Arial"/>
          <w:sz w:val="22"/>
          <w:szCs w:val="22"/>
        </w:rPr>
        <w:t xml:space="preserve"> y por tanto asignaciones subóptimas</w:t>
      </w:r>
      <w:r w:rsidR="008341D1" w:rsidRPr="008341D1">
        <w:rPr>
          <w:rFonts w:ascii="Arial" w:hAnsi="Arial" w:cs="Arial"/>
          <w:sz w:val="22"/>
          <w:szCs w:val="22"/>
        </w:rPr>
        <w:t xml:space="preserve">, </w:t>
      </w:r>
      <w:r w:rsidR="008341D1">
        <w:rPr>
          <w:rFonts w:ascii="Arial" w:hAnsi="Arial" w:cs="Arial"/>
          <w:sz w:val="22"/>
          <w:szCs w:val="22"/>
        </w:rPr>
        <w:t xml:space="preserve">o </w:t>
      </w:r>
      <w:r w:rsidR="008341D1" w:rsidRPr="008341D1">
        <w:rPr>
          <w:rFonts w:ascii="Arial" w:hAnsi="Arial" w:cs="Arial"/>
          <w:sz w:val="22"/>
          <w:szCs w:val="22"/>
        </w:rPr>
        <w:t>una falta de fiscalización que incentiva la competencia desleal y la emergencia de mercados desregulados paralelos</w:t>
      </w:r>
      <w:r w:rsidR="008341D1">
        <w:rPr>
          <w:rFonts w:ascii="Arial" w:hAnsi="Arial" w:cs="Arial"/>
          <w:sz w:val="18"/>
          <w:szCs w:val="18"/>
        </w:rPr>
        <w:t>)</w:t>
      </w:r>
      <w:r w:rsidR="00076D8A" w:rsidRPr="00076D8A">
        <w:rPr>
          <w:rFonts w:ascii="Arial" w:hAnsi="Arial" w:cs="Arial"/>
          <w:sz w:val="22"/>
          <w:szCs w:val="22"/>
        </w:rPr>
        <w:t>. Esto explica que las medidas agregadas de productividad</w:t>
      </w:r>
      <w:r w:rsidR="00FA29D4">
        <w:rPr>
          <w:rFonts w:ascii="Arial" w:hAnsi="Arial" w:cs="Arial"/>
          <w:sz w:val="22"/>
          <w:szCs w:val="22"/>
        </w:rPr>
        <w:t xml:space="preserve"> en Perú</w:t>
      </w:r>
      <w:r w:rsidR="00076D8A" w:rsidRPr="00076D8A">
        <w:rPr>
          <w:rFonts w:ascii="Arial" w:hAnsi="Arial" w:cs="Arial"/>
          <w:sz w:val="22"/>
          <w:szCs w:val="22"/>
        </w:rPr>
        <w:t xml:space="preserve">, sea de la productividad total de los factores (PTF) o de la productividad por trabajador, hayan venido creciendo a un ritmo relativamente bajo y actualmente sólo representan, respectivamente, 49% y 23% de las de </w:t>
      </w:r>
      <w:r w:rsidR="008B1D53">
        <w:rPr>
          <w:rFonts w:ascii="Arial" w:hAnsi="Arial" w:cs="Arial"/>
          <w:sz w:val="22"/>
          <w:szCs w:val="22"/>
        </w:rPr>
        <w:t>Estados Unidos</w:t>
      </w:r>
      <w:r>
        <w:rPr>
          <w:rFonts w:ascii="Arial" w:hAnsi="Arial" w:cs="Arial"/>
          <w:sz w:val="22"/>
          <w:szCs w:val="22"/>
        </w:rPr>
        <w:t>.</w:t>
      </w:r>
    </w:p>
    <w:p w14:paraId="4D0BC3CC" w14:textId="3E2BEEAA" w:rsidR="00135BE2" w:rsidRDefault="005C3BC2" w:rsidP="00204603">
      <w:pPr>
        <w:pStyle w:val="Paragraph"/>
        <w:numPr>
          <w:ilvl w:val="1"/>
          <w:numId w:val="12"/>
        </w:numPr>
        <w:ind w:left="720" w:hanging="720"/>
        <w:rPr>
          <w:rFonts w:ascii="Arial" w:hAnsi="Arial" w:cs="Arial"/>
          <w:sz w:val="22"/>
          <w:szCs w:val="22"/>
        </w:rPr>
      </w:pPr>
      <w:r>
        <w:rPr>
          <w:rFonts w:ascii="Arial" w:hAnsi="Arial" w:cs="Arial"/>
          <w:sz w:val="22"/>
          <w:szCs w:val="22"/>
          <w:lang w:val="es-UY"/>
        </w:rPr>
        <w:t xml:space="preserve">Así, </w:t>
      </w:r>
      <w:r w:rsidR="00135BE2">
        <w:rPr>
          <w:rFonts w:ascii="Arial" w:hAnsi="Arial" w:cs="Arial"/>
          <w:sz w:val="22"/>
          <w:szCs w:val="22"/>
          <w:lang w:val="es-UY"/>
        </w:rPr>
        <w:t xml:space="preserve">el objetivo del programa </w:t>
      </w:r>
      <w:r w:rsidR="00135BE2" w:rsidRPr="00AB265F">
        <w:rPr>
          <w:rFonts w:ascii="Arial" w:hAnsi="Arial" w:cs="Arial"/>
          <w:sz w:val="22"/>
          <w:szCs w:val="22"/>
        </w:rPr>
        <w:t>es</w:t>
      </w:r>
      <w:r w:rsidR="00135BE2">
        <w:rPr>
          <w:rFonts w:ascii="Arial" w:hAnsi="Arial" w:cs="Arial"/>
          <w:sz w:val="22"/>
          <w:szCs w:val="22"/>
        </w:rPr>
        <w:t xml:space="preserve"> apoyar al G</w:t>
      </w:r>
      <w:r w:rsidR="003A0B28">
        <w:rPr>
          <w:rFonts w:ascii="Arial" w:hAnsi="Arial" w:cs="Arial"/>
          <w:sz w:val="22"/>
          <w:szCs w:val="22"/>
        </w:rPr>
        <w:t>O</w:t>
      </w:r>
      <w:r w:rsidR="00135BE2">
        <w:rPr>
          <w:rFonts w:ascii="Arial" w:hAnsi="Arial" w:cs="Arial"/>
          <w:sz w:val="22"/>
          <w:szCs w:val="22"/>
        </w:rPr>
        <w:t>P a incrementar la productividad de la economía. Los objetivos específicos consisten en</w:t>
      </w:r>
      <w:r w:rsidR="00204603" w:rsidRPr="00204603">
        <w:rPr>
          <w:rFonts w:ascii="Arial" w:hAnsi="Arial" w:cs="Arial"/>
          <w:sz w:val="22"/>
          <w:szCs w:val="22"/>
        </w:rPr>
        <w:t xml:space="preserve">: (i) mejorar la calidad del factor productivo laboral, y (ii) </w:t>
      </w:r>
      <w:r w:rsidR="003B3222" w:rsidRPr="003B3222">
        <w:rPr>
          <w:rFonts w:ascii="Arial" w:hAnsi="Arial" w:cs="Arial"/>
          <w:sz w:val="22"/>
          <w:szCs w:val="18"/>
        </w:rPr>
        <w:t>mejorar las políticas públicas para promover una mayor eficiencia en la asignación de los factores productivos</w:t>
      </w:r>
      <w:r w:rsidR="00135BE2">
        <w:rPr>
          <w:rFonts w:ascii="Arial" w:hAnsi="Arial" w:cs="Arial"/>
          <w:sz w:val="22"/>
          <w:szCs w:val="22"/>
        </w:rPr>
        <w:t>. </w:t>
      </w:r>
      <w:r w:rsidR="00135BE2" w:rsidRPr="00003AF5">
        <w:rPr>
          <w:rFonts w:ascii="Arial" w:hAnsi="Arial" w:cs="Arial"/>
          <w:sz w:val="22"/>
          <w:szCs w:val="22"/>
        </w:rPr>
        <w:t xml:space="preserve">Complementariamente </w:t>
      </w:r>
      <w:r w:rsidR="00E80E49">
        <w:rPr>
          <w:rFonts w:ascii="Arial" w:hAnsi="Arial" w:cs="Arial"/>
          <w:sz w:val="22"/>
          <w:szCs w:val="22"/>
        </w:rPr>
        <w:t xml:space="preserve">el programa </w:t>
      </w:r>
      <w:r w:rsidR="00135BE2">
        <w:rPr>
          <w:rFonts w:ascii="Arial" w:hAnsi="Arial" w:cs="Arial"/>
          <w:sz w:val="22"/>
          <w:szCs w:val="22"/>
        </w:rPr>
        <w:t>promueve</w:t>
      </w:r>
      <w:r w:rsidR="00135BE2" w:rsidRPr="00003AF5">
        <w:rPr>
          <w:rFonts w:ascii="Arial" w:hAnsi="Arial" w:cs="Arial"/>
          <w:sz w:val="22"/>
          <w:szCs w:val="22"/>
        </w:rPr>
        <w:t xml:space="preserve"> la coordinación entre los </w:t>
      </w:r>
      <w:r w:rsidR="00015D42">
        <w:rPr>
          <w:rFonts w:ascii="Arial" w:hAnsi="Arial" w:cs="Arial"/>
          <w:sz w:val="22"/>
          <w:szCs w:val="22"/>
        </w:rPr>
        <w:t xml:space="preserve">distintos </w:t>
      </w:r>
      <w:r w:rsidR="00135BE2" w:rsidRPr="00003AF5">
        <w:rPr>
          <w:rFonts w:ascii="Arial" w:hAnsi="Arial" w:cs="Arial"/>
          <w:sz w:val="22"/>
          <w:szCs w:val="22"/>
        </w:rPr>
        <w:t>sectores involucrados</w:t>
      </w:r>
      <w:r w:rsidR="00135BE2">
        <w:rPr>
          <w:rFonts w:ascii="Arial" w:hAnsi="Arial" w:cs="Arial"/>
          <w:sz w:val="22"/>
          <w:szCs w:val="22"/>
        </w:rPr>
        <w:t xml:space="preserve"> en la operación</w:t>
      </w:r>
      <w:r w:rsidRPr="00E02EE8">
        <w:rPr>
          <w:rFonts w:ascii="Arial" w:hAnsi="Arial" w:cs="Arial"/>
          <w:sz w:val="22"/>
          <w:szCs w:val="22"/>
          <w:lang w:val="es-ES_tradnl"/>
        </w:rPr>
        <w:t>.</w:t>
      </w:r>
      <w:r w:rsidRPr="00E02EE8">
        <w:rPr>
          <w:rFonts w:ascii="Arial" w:hAnsi="Arial" w:cs="Arial"/>
          <w:sz w:val="22"/>
          <w:szCs w:val="22"/>
        </w:rPr>
        <w:t xml:space="preserve"> </w:t>
      </w:r>
      <w:r>
        <w:rPr>
          <w:rFonts w:ascii="Arial" w:hAnsi="Arial" w:cs="Arial"/>
          <w:sz w:val="22"/>
          <w:szCs w:val="22"/>
        </w:rPr>
        <w:t>Además del Componente 1 de sostenibilidad Macroeconómica, e</w:t>
      </w:r>
      <w:r w:rsidRPr="00E02EE8">
        <w:rPr>
          <w:rFonts w:ascii="Arial" w:hAnsi="Arial" w:cs="Arial"/>
          <w:sz w:val="22"/>
          <w:szCs w:val="22"/>
        </w:rPr>
        <w:t>l programa se estructurará en torno a los siguientes componentes:</w:t>
      </w:r>
    </w:p>
    <w:p w14:paraId="311E80F5" w14:textId="3E21AE0A" w:rsidR="00135BE2" w:rsidRDefault="00135BE2" w:rsidP="00135BE2">
      <w:pPr>
        <w:pStyle w:val="Paragraph"/>
        <w:numPr>
          <w:ilvl w:val="1"/>
          <w:numId w:val="12"/>
        </w:numPr>
        <w:tabs>
          <w:tab w:val="num" w:pos="720"/>
        </w:tabs>
        <w:ind w:left="720" w:hanging="720"/>
        <w:rPr>
          <w:rFonts w:ascii="Arial" w:hAnsi="Arial" w:cs="Arial"/>
          <w:sz w:val="22"/>
          <w:szCs w:val="22"/>
        </w:rPr>
      </w:pPr>
      <w:r w:rsidRPr="00135BE2">
        <w:rPr>
          <w:rFonts w:ascii="Arial" w:hAnsi="Arial" w:cs="Arial"/>
          <w:b/>
          <w:sz w:val="22"/>
          <w:szCs w:val="22"/>
        </w:rPr>
        <w:t>Componente 2: Mejorar las habilidades de la fuerza laboral</w:t>
      </w:r>
      <w:r w:rsidRPr="00135BE2">
        <w:rPr>
          <w:rFonts w:ascii="Arial" w:hAnsi="Arial" w:cs="Arial"/>
          <w:sz w:val="22"/>
          <w:szCs w:val="22"/>
        </w:rPr>
        <w:t>.</w:t>
      </w:r>
      <w:r w:rsidRPr="00135BE2">
        <w:rPr>
          <w:rFonts w:ascii="Arial" w:hAnsi="Arial" w:cs="Arial"/>
          <w:b/>
          <w:sz w:val="22"/>
          <w:szCs w:val="22"/>
        </w:rPr>
        <w:t xml:space="preserve"> </w:t>
      </w:r>
      <w:r w:rsidRPr="00135BE2">
        <w:rPr>
          <w:rFonts w:ascii="Arial" w:hAnsi="Arial" w:cs="Arial"/>
          <w:sz w:val="22"/>
          <w:szCs w:val="22"/>
        </w:rPr>
        <w:t xml:space="preserve">Busca </w:t>
      </w:r>
      <w:r w:rsidR="00987897">
        <w:rPr>
          <w:rFonts w:ascii="Arial" w:hAnsi="Arial" w:cs="Arial"/>
          <w:sz w:val="22"/>
          <w:szCs w:val="22"/>
        </w:rPr>
        <w:t xml:space="preserve">reducir la escasez de factor productivo de calidad, para ello, este componente propone </w:t>
      </w:r>
      <w:r w:rsidRPr="00135BE2">
        <w:rPr>
          <w:rFonts w:ascii="Arial" w:hAnsi="Arial" w:cs="Arial"/>
          <w:sz w:val="22"/>
          <w:szCs w:val="22"/>
        </w:rPr>
        <w:t>mejorar</w:t>
      </w:r>
      <w:r w:rsidR="00015D42">
        <w:rPr>
          <w:rFonts w:ascii="Arial" w:hAnsi="Arial" w:cs="Arial"/>
          <w:sz w:val="22"/>
          <w:szCs w:val="22"/>
        </w:rPr>
        <w:t>: (i)</w:t>
      </w:r>
      <w:r w:rsidRPr="00135BE2">
        <w:rPr>
          <w:rFonts w:ascii="Arial" w:hAnsi="Arial" w:cs="Arial"/>
          <w:sz w:val="22"/>
          <w:szCs w:val="22"/>
        </w:rPr>
        <w:t xml:space="preserve"> la calidad y pertinencia de la </w:t>
      </w:r>
      <w:r w:rsidR="00015D42">
        <w:rPr>
          <w:rFonts w:ascii="Arial" w:hAnsi="Arial" w:cs="Arial"/>
          <w:sz w:val="22"/>
          <w:szCs w:val="22"/>
        </w:rPr>
        <w:t>formación para el trabajo; (ii) la información para la toma de decisiones sobre educación y (iii) la convalidación de conocimientos en el sistema educativo y la portabilidad de aprendizajes. Para lograr esto, considera los siguientes compromisos de política: (</w:t>
      </w:r>
      <w:proofErr w:type="spellStart"/>
      <w:r w:rsidR="00015D42">
        <w:rPr>
          <w:rFonts w:ascii="Arial" w:hAnsi="Arial" w:cs="Arial"/>
          <w:sz w:val="22"/>
          <w:szCs w:val="22"/>
        </w:rPr>
        <w:t>i.a</w:t>
      </w:r>
      <w:proofErr w:type="spellEnd"/>
      <w:r w:rsidR="00015D42">
        <w:rPr>
          <w:rFonts w:ascii="Arial" w:hAnsi="Arial" w:cs="Arial"/>
          <w:sz w:val="22"/>
          <w:szCs w:val="22"/>
        </w:rPr>
        <w:t xml:space="preserve">) </w:t>
      </w:r>
      <w:r w:rsidRPr="00135BE2">
        <w:rPr>
          <w:rFonts w:ascii="Arial" w:hAnsi="Arial" w:cs="Arial"/>
          <w:sz w:val="22"/>
          <w:szCs w:val="22"/>
        </w:rPr>
        <w:t>desarrollar un modelo de excelencia para los institutos tecnológicos públicos e iniciar su implementación; (</w:t>
      </w:r>
      <w:proofErr w:type="spellStart"/>
      <w:r w:rsidRPr="00135BE2">
        <w:rPr>
          <w:rFonts w:ascii="Arial" w:hAnsi="Arial" w:cs="Arial"/>
          <w:sz w:val="22"/>
          <w:szCs w:val="22"/>
        </w:rPr>
        <w:t>i</w:t>
      </w:r>
      <w:r w:rsidR="00015D42">
        <w:rPr>
          <w:rFonts w:ascii="Arial" w:hAnsi="Arial" w:cs="Arial"/>
          <w:sz w:val="22"/>
          <w:szCs w:val="22"/>
        </w:rPr>
        <w:t>.b</w:t>
      </w:r>
      <w:proofErr w:type="spellEnd"/>
      <w:r w:rsidRPr="00135BE2">
        <w:rPr>
          <w:rFonts w:ascii="Arial" w:hAnsi="Arial" w:cs="Arial"/>
          <w:sz w:val="22"/>
          <w:szCs w:val="22"/>
        </w:rPr>
        <w:t>) definir el financiamiento y la institucionalidad de CSC en</w:t>
      </w:r>
      <w:r w:rsidR="00621A82">
        <w:rPr>
          <w:rFonts w:ascii="Arial" w:hAnsi="Arial" w:cs="Arial"/>
          <w:sz w:val="22"/>
          <w:szCs w:val="22"/>
        </w:rPr>
        <w:t xml:space="preserve"> tres</w:t>
      </w:r>
      <w:r w:rsidRPr="00135BE2">
        <w:rPr>
          <w:rFonts w:ascii="Arial" w:hAnsi="Arial" w:cs="Arial"/>
          <w:sz w:val="22"/>
          <w:szCs w:val="22"/>
        </w:rPr>
        <w:t xml:space="preserve"> sectores estratégicos, y los mecanismos de coordinación interinstitucional para su implementación; (ii) fortalecer </w:t>
      </w:r>
      <w:r w:rsidR="00A737ED">
        <w:rPr>
          <w:rFonts w:ascii="Arial" w:hAnsi="Arial" w:cs="Arial"/>
          <w:sz w:val="22"/>
          <w:szCs w:val="22"/>
        </w:rPr>
        <w:t xml:space="preserve">el portal </w:t>
      </w:r>
      <w:r w:rsidRPr="00135BE2">
        <w:rPr>
          <w:rFonts w:ascii="Arial" w:hAnsi="Arial" w:cs="Arial"/>
          <w:sz w:val="22"/>
          <w:szCs w:val="22"/>
        </w:rPr>
        <w:t>Ponte en Carrera en términos de la calidad de sus datos</w:t>
      </w:r>
      <w:r w:rsidR="00A737ED">
        <w:rPr>
          <w:rFonts w:ascii="Arial" w:hAnsi="Arial" w:cs="Arial"/>
          <w:sz w:val="22"/>
          <w:szCs w:val="22"/>
        </w:rPr>
        <w:t>, los indicadores presentados (con un enfoque de género)</w:t>
      </w:r>
      <w:r w:rsidRPr="00135BE2">
        <w:rPr>
          <w:rFonts w:ascii="Arial" w:hAnsi="Arial" w:cs="Arial"/>
          <w:sz w:val="22"/>
          <w:szCs w:val="22"/>
        </w:rPr>
        <w:t xml:space="preserve"> y de su usabilidad; y (i</w:t>
      </w:r>
      <w:r w:rsidR="00015D42">
        <w:rPr>
          <w:rFonts w:ascii="Arial" w:hAnsi="Arial" w:cs="Arial"/>
          <w:sz w:val="22"/>
          <w:szCs w:val="22"/>
        </w:rPr>
        <w:t>ii</w:t>
      </w:r>
      <w:r w:rsidRPr="00135BE2">
        <w:rPr>
          <w:rFonts w:ascii="Arial" w:hAnsi="Arial" w:cs="Arial"/>
          <w:sz w:val="22"/>
          <w:szCs w:val="22"/>
        </w:rPr>
        <w:t>) iniciar el desarrollo del MNC.</w:t>
      </w:r>
      <w:r w:rsidR="00676F95">
        <w:rPr>
          <w:rFonts w:ascii="Arial" w:hAnsi="Arial" w:cs="Arial"/>
          <w:sz w:val="22"/>
          <w:szCs w:val="22"/>
        </w:rPr>
        <w:t xml:space="preserve"> En general, los beneficiarios </w:t>
      </w:r>
      <w:r w:rsidR="000F3E93">
        <w:rPr>
          <w:rFonts w:ascii="Arial" w:hAnsi="Arial" w:cs="Arial"/>
          <w:sz w:val="22"/>
          <w:szCs w:val="22"/>
        </w:rPr>
        <w:t xml:space="preserve">potenciales </w:t>
      </w:r>
      <w:r w:rsidR="00676F95">
        <w:rPr>
          <w:rFonts w:ascii="Arial" w:hAnsi="Arial" w:cs="Arial"/>
          <w:sz w:val="22"/>
          <w:szCs w:val="22"/>
        </w:rPr>
        <w:t>de</w:t>
      </w:r>
      <w:r w:rsidR="007B408E">
        <w:rPr>
          <w:rFonts w:ascii="Arial" w:hAnsi="Arial" w:cs="Arial"/>
          <w:sz w:val="22"/>
          <w:szCs w:val="22"/>
        </w:rPr>
        <w:t>l paquete de reformas adelantadas por</w:t>
      </w:r>
      <w:r w:rsidR="00676F95">
        <w:rPr>
          <w:rFonts w:ascii="Arial" w:hAnsi="Arial" w:cs="Arial"/>
          <w:sz w:val="22"/>
          <w:szCs w:val="22"/>
        </w:rPr>
        <w:t xml:space="preserve"> este componente serán los estudiantes del sistema de educación terciario que conformarán la futura fuerza laboral.</w:t>
      </w:r>
      <w:r w:rsidR="007B408E">
        <w:rPr>
          <w:rFonts w:ascii="Arial" w:hAnsi="Arial" w:cs="Arial"/>
          <w:sz w:val="22"/>
          <w:szCs w:val="22"/>
        </w:rPr>
        <w:t xml:space="preserve"> </w:t>
      </w:r>
      <w:r w:rsidR="007B408E">
        <w:rPr>
          <w:rFonts w:ascii="Arial" w:eastAsia="Arial" w:hAnsi="Arial" w:cs="Arial"/>
          <w:sz w:val="22"/>
          <w:szCs w:val="22"/>
        </w:rPr>
        <w:t>Según la Superintendencia Nacional de Educación Superior (SUNEDU), los egresados de universidades públicas ascendieron a un total de 242,691 en el 2016 y según el Censo Escolar del Ministerio de Educación (MINEDU), el número de egresados de IEST fue 77,599 en el 2016</w:t>
      </w:r>
      <w:r w:rsidR="007B408E">
        <w:rPr>
          <w:rStyle w:val="FootnoteReference"/>
          <w:rFonts w:ascii="Arial" w:eastAsia="Arial" w:hAnsi="Arial" w:cs="Arial"/>
          <w:sz w:val="22"/>
          <w:szCs w:val="22"/>
        </w:rPr>
        <w:footnoteReference w:id="1"/>
      </w:r>
      <w:r w:rsidR="007B408E">
        <w:rPr>
          <w:rFonts w:ascii="Arial" w:eastAsia="Arial" w:hAnsi="Arial" w:cs="Arial"/>
          <w:sz w:val="22"/>
          <w:szCs w:val="22"/>
        </w:rPr>
        <w:t>.</w:t>
      </w:r>
      <w:r w:rsidR="000F3E93">
        <w:rPr>
          <w:rFonts w:ascii="Arial" w:eastAsia="Arial" w:hAnsi="Arial" w:cs="Arial"/>
          <w:sz w:val="22"/>
          <w:szCs w:val="22"/>
        </w:rPr>
        <w:t xml:space="preserve"> </w:t>
      </w:r>
      <w:r w:rsidR="007B408E">
        <w:rPr>
          <w:rFonts w:ascii="Arial" w:eastAsia="Arial" w:hAnsi="Arial" w:cs="Arial"/>
          <w:sz w:val="22"/>
          <w:szCs w:val="22"/>
        </w:rPr>
        <w:t xml:space="preserve">Los beneficiarios indirectos serán las firmas que contraten a estos trabajadores con formación de mayor calidad y más pertinente a la demanda de habilidades laborales de tales firmas. </w:t>
      </w:r>
      <w:r w:rsidR="007B408E">
        <w:rPr>
          <w:rFonts w:ascii="Arial" w:hAnsi="Arial" w:cs="Arial"/>
          <w:sz w:val="22"/>
          <w:szCs w:val="22"/>
        </w:rPr>
        <w:t xml:space="preserve"> </w:t>
      </w:r>
    </w:p>
    <w:p w14:paraId="6ACFA80F" w14:textId="2D1E98D7" w:rsidR="00BA4D83" w:rsidRDefault="00BA4D83" w:rsidP="00BA4D83">
      <w:pPr>
        <w:pStyle w:val="Paragraph"/>
        <w:numPr>
          <w:ilvl w:val="1"/>
          <w:numId w:val="12"/>
        </w:numPr>
        <w:tabs>
          <w:tab w:val="num" w:pos="720"/>
        </w:tabs>
        <w:ind w:left="720" w:hanging="720"/>
        <w:rPr>
          <w:rFonts w:ascii="Arial" w:hAnsi="Arial" w:cs="Arial"/>
          <w:sz w:val="22"/>
          <w:szCs w:val="22"/>
        </w:rPr>
      </w:pPr>
      <w:r w:rsidRPr="00135BE2">
        <w:rPr>
          <w:rFonts w:ascii="Arial" w:hAnsi="Arial" w:cs="Arial"/>
          <w:b/>
          <w:sz w:val="22"/>
          <w:szCs w:val="22"/>
        </w:rPr>
        <w:t xml:space="preserve">Componente </w:t>
      </w:r>
      <w:r>
        <w:rPr>
          <w:rFonts w:ascii="Arial" w:hAnsi="Arial" w:cs="Arial"/>
          <w:b/>
          <w:sz w:val="22"/>
          <w:szCs w:val="22"/>
        </w:rPr>
        <w:t>3</w:t>
      </w:r>
      <w:r w:rsidRPr="00135BE2">
        <w:rPr>
          <w:rFonts w:ascii="Arial" w:hAnsi="Arial" w:cs="Arial"/>
          <w:b/>
          <w:sz w:val="22"/>
          <w:szCs w:val="22"/>
        </w:rPr>
        <w:t xml:space="preserve">: </w:t>
      </w:r>
      <w:r w:rsidR="00943A88" w:rsidRPr="00943A88">
        <w:rPr>
          <w:rFonts w:ascii="Arial" w:hAnsi="Arial" w:cs="Arial"/>
          <w:b/>
          <w:sz w:val="22"/>
          <w:szCs w:val="22"/>
        </w:rPr>
        <w:t>Mejorar las políticas de mercado laboral y la capacidad para fiscalizarlas</w:t>
      </w:r>
      <w:r w:rsidRPr="00943A88">
        <w:rPr>
          <w:rFonts w:ascii="Arial" w:hAnsi="Arial" w:cs="Arial"/>
          <w:b/>
          <w:sz w:val="22"/>
          <w:szCs w:val="22"/>
        </w:rPr>
        <w:t>.</w:t>
      </w:r>
      <w:r w:rsidRPr="00135BE2">
        <w:rPr>
          <w:rFonts w:ascii="Arial" w:hAnsi="Arial" w:cs="Arial"/>
          <w:b/>
          <w:sz w:val="22"/>
          <w:szCs w:val="22"/>
        </w:rPr>
        <w:t xml:space="preserve"> </w:t>
      </w:r>
      <w:r w:rsidRPr="00135BE2">
        <w:rPr>
          <w:rFonts w:ascii="Arial" w:hAnsi="Arial" w:cs="Arial"/>
          <w:sz w:val="22"/>
          <w:szCs w:val="22"/>
        </w:rPr>
        <w:t xml:space="preserve">Busca </w:t>
      </w:r>
      <w:r w:rsidR="00427D04">
        <w:rPr>
          <w:rFonts w:ascii="Arial" w:hAnsi="Arial" w:cs="Arial"/>
          <w:sz w:val="22"/>
          <w:szCs w:val="22"/>
        </w:rPr>
        <w:t>reducir la competencia desleal del sector informal que induce a dinámicas subóptimas del escaso factor productivo de calidad</w:t>
      </w:r>
      <w:r w:rsidR="00987897">
        <w:rPr>
          <w:rFonts w:ascii="Arial" w:hAnsi="Arial" w:cs="Arial"/>
          <w:sz w:val="22"/>
          <w:szCs w:val="22"/>
        </w:rPr>
        <w:t xml:space="preserve">, para ello, este componente propone </w:t>
      </w:r>
      <w:r w:rsidRPr="00135BE2">
        <w:rPr>
          <w:rFonts w:ascii="Arial" w:hAnsi="Arial" w:cs="Arial"/>
          <w:sz w:val="22"/>
          <w:szCs w:val="22"/>
        </w:rPr>
        <w:t xml:space="preserve">mejorar la prevención y fiscalización laboral a través del fortalecimiento de la SUNAFIL. </w:t>
      </w:r>
      <w:r w:rsidR="00C8101A">
        <w:rPr>
          <w:rFonts w:ascii="Arial" w:hAnsi="Arial" w:cs="Arial"/>
          <w:sz w:val="22"/>
          <w:szCs w:val="22"/>
        </w:rPr>
        <w:t>Para lograr esto, considera los siguientes compromisos de política</w:t>
      </w:r>
      <w:r w:rsidRPr="00135BE2">
        <w:rPr>
          <w:rFonts w:ascii="Arial" w:hAnsi="Arial" w:cs="Arial"/>
          <w:sz w:val="22"/>
          <w:szCs w:val="22"/>
        </w:rPr>
        <w:t xml:space="preserve">: </w:t>
      </w:r>
      <w:r w:rsidR="00C039ED">
        <w:rPr>
          <w:rFonts w:ascii="Arial" w:hAnsi="Arial" w:cs="Arial"/>
          <w:sz w:val="22"/>
          <w:szCs w:val="22"/>
        </w:rPr>
        <w:t xml:space="preserve">: (i) incrementar el presupuesto anual de la SUNAFIL para que ésta mejore su capacidad de fiscalización; (ii) desarrollar un repositorio integrado de inteligencia </w:t>
      </w:r>
      <w:proofErr w:type="spellStart"/>
      <w:r w:rsidR="00C039ED">
        <w:rPr>
          <w:rFonts w:ascii="Arial" w:hAnsi="Arial" w:cs="Arial"/>
          <w:sz w:val="22"/>
          <w:szCs w:val="22"/>
        </w:rPr>
        <w:t>inspectiva</w:t>
      </w:r>
      <w:proofErr w:type="spellEnd"/>
      <w:r w:rsidR="00C039ED">
        <w:rPr>
          <w:rFonts w:ascii="Arial" w:hAnsi="Arial" w:cs="Arial"/>
          <w:sz w:val="22"/>
          <w:szCs w:val="22"/>
        </w:rPr>
        <w:t xml:space="preserve"> para mejorar la efectividad de las inspecciones de trabajo; (</w:t>
      </w:r>
      <w:proofErr w:type="spellStart"/>
      <w:r w:rsidR="00C039ED">
        <w:rPr>
          <w:rFonts w:ascii="Arial" w:hAnsi="Arial" w:cs="Arial"/>
          <w:sz w:val="22"/>
          <w:szCs w:val="22"/>
        </w:rPr>
        <w:t>iii</w:t>
      </w:r>
      <w:proofErr w:type="spellEnd"/>
      <w:r w:rsidR="00C039ED">
        <w:rPr>
          <w:rFonts w:ascii="Arial" w:hAnsi="Arial" w:cs="Arial"/>
          <w:sz w:val="22"/>
          <w:szCs w:val="22"/>
        </w:rPr>
        <w:t>)</w:t>
      </w:r>
      <w:r w:rsidR="00CB4E75">
        <w:rPr>
          <w:rFonts w:ascii="Arial" w:hAnsi="Arial" w:cs="Arial"/>
          <w:sz w:val="22"/>
          <w:szCs w:val="22"/>
        </w:rPr>
        <w:t> </w:t>
      </w:r>
      <w:r w:rsidR="00C039ED">
        <w:rPr>
          <w:rFonts w:ascii="Arial" w:hAnsi="Arial" w:cs="Arial"/>
          <w:sz w:val="22"/>
          <w:szCs w:val="22"/>
        </w:rPr>
        <w:t>diseñar e implementar dos pilotos orientados a incrementar el cumplimiento de la Cuota de Empleo Formal para Personas con Discapacidad; y aumentar la vigilancia del cumplimiento de las normativas laborales para fomentar la formalización laboral</w:t>
      </w:r>
      <w:r w:rsidRPr="00135BE2">
        <w:rPr>
          <w:rFonts w:ascii="Arial" w:hAnsi="Arial" w:cs="Arial"/>
          <w:sz w:val="22"/>
          <w:szCs w:val="22"/>
        </w:rPr>
        <w:t xml:space="preserve">. </w:t>
      </w:r>
      <w:r w:rsidR="007B408E">
        <w:rPr>
          <w:rFonts w:ascii="Arial" w:hAnsi="Arial" w:cs="Arial"/>
          <w:sz w:val="22"/>
          <w:szCs w:val="22"/>
        </w:rPr>
        <w:t>En general los beneficiarios</w:t>
      </w:r>
      <w:r w:rsidR="000F3E93">
        <w:rPr>
          <w:rFonts w:ascii="Arial" w:hAnsi="Arial" w:cs="Arial"/>
          <w:sz w:val="22"/>
          <w:szCs w:val="22"/>
        </w:rPr>
        <w:t xml:space="preserve"> potenciales</w:t>
      </w:r>
      <w:r w:rsidR="007B408E">
        <w:rPr>
          <w:rFonts w:ascii="Arial" w:hAnsi="Arial" w:cs="Arial"/>
          <w:sz w:val="22"/>
          <w:szCs w:val="22"/>
        </w:rPr>
        <w:t xml:space="preserve"> del paquete de reformas adelantadas por este componente son los trabajadores informales, que en el Perú ascienden a aproximadamente 11.7 millones de personas a fines de 2016</w:t>
      </w:r>
      <w:r w:rsidR="007B408E">
        <w:rPr>
          <w:rStyle w:val="FootnoteReference"/>
          <w:rFonts w:ascii="Arial" w:hAnsi="Arial" w:cs="Arial"/>
          <w:sz w:val="22"/>
          <w:szCs w:val="22"/>
        </w:rPr>
        <w:footnoteReference w:id="2"/>
      </w:r>
      <w:r w:rsidR="007B408E">
        <w:rPr>
          <w:rFonts w:ascii="Arial" w:hAnsi="Arial" w:cs="Arial"/>
          <w:sz w:val="22"/>
          <w:szCs w:val="22"/>
        </w:rPr>
        <w:t xml:space="preserve">. </w:t>
      </w:r>
      <w:r w:rsidR="000F3E93">
        <w:rPr>
          <w:rFonts w:ascii="Arial" w:hAnsi="Arial" w:cs="Arial"/>
          <w:sz w:val="22"/>
          <w:szCs w:val="22"/>
        </w:rPr>
        <w:t xml:space="preserve">En particular, el número de beneficiarios directos del fortalecimiento de la SUNAFIL se aproxima por el número de casos de formalización resueltos por la SUNAFIL reportados en el Cuadro 3. </w:t>
      </w:r>
    </w:p>
    <w:p w14:paraId="334F6D03" w14:textId="09DA3677" w:rsidR="00135BE2" w:rsidRDefault="00135BE2" w:rsidP="00135BE2">
      <w:pPr>
        <w:pStyle w:val="Paragraph"/>
        <w:numPr>
          <w:ilvl w:val="1"/>
          <w:numId w:val="12"/>
        </w:numPr>
        <w:tabs>
          <w:tab w:val="num" w:pos="720"/>
        </w:tabs>
        <w:ind w:left="720" w:hanging="720"/>
        <w:rPr>
          <w:rFonts w:ascii="Arial" w:hAnsi="Arial" w:cs="Arial"/>
          <w:sz w:val="22"/>
          <w:szCs w:val="22"/>
        </w:rPr>
      </w:pPr>
      <w:r w:rsidRPr="00135BE2">
        <w:rPr>
          <w:rFonts w:ascii="Arial" w:hAnsi="Arial" w:cs="Arial"/>
          <w:b/>
          <w:sz w:val="22"/>
          <w:szCs w:val="22"/>
        </w:rPr>
        <w:t xml:space="preserve">Componente </w:t>
      </w:r>
      <w:r w:rsidR="00BA4D83">
        <w:rPr>
          <w:rFonts w:ascii="Arial" w:hAnsi="Arial" w:cs="Arial"/>
          <w:b/>
          <w:sz w:val="22"/>
          <w:szCs w:val="22"/>
        </w:rPr>
        <w:t>4</w:t>
      </w:r>
      <w:r w:rsidRPr="00135BE2">
        <w:rPr>
          <w:rFonts w:ascii="Arial" w:hAnsi="Arial" w:cs="Arial"/>
          <w:b/>
          <w:sz w:val="22"/>
          <w:szCs w:val="22"/>
        </w:rPr>
        <w:t xml:space="preserve">: </w:t>
      </w:r>
      <w:r w:rsidR="00987897">
        <w:rPr>
          <w:rFonts w:ascii="Arial" w:hAnsi="Arial" w:cs="Arial"/>
          <w:b/>
          <w:sz w:val="22"/>
          <w:szCs w:val="22"/>
        </w:rPr>
        <w:t>Mejorar las políticas de</w:t>
      </w:r>
      <w:r w:rsidRPr="00135BE2">
        <w:rPr>
          <w:rFonts w:ascii="Arial" w:hAnsi="Arial" w:cs="Arial"/>
          <w:b/>
          <w:sz w:val="22"/>
          <w:szCs w:val="22"/>
        </w:rPr>
        <w:t xml:space="preserve"> desarrollo productivo</w:t>
      </w:r>
      <w:r w:rsidRPr="00135BE2">
        <w:rPr>
          <w:rFonts w:ascii="Arial" w:hAnsi="Arial" w:cs="Arial"/>
          <w:sz w:val="22"/>
          <w:szCs w:val="22"/>
        </w:rPr>
        <w:t>.</w:t>
      </w:r>
      <w:r w:rsidRPr="00135BE2">
        <w:rPr>
          <w:rFonts w:ascii="Arial" w:hAnsi="Arial" w:cs="Arial"/>
          <w:b/>
          <w:sz w:val="22"/>
          <w:szCs w:val="22"/>
        </w:rPr>
        <w:t xml:space="preserve"> </w:t>
      </w:r>
      <w:r w:rsidRPr="00135BE2">
        <w:rPr>
          <w:rFonts w:ascii="Arial" w:hAnsi="Arial" w:cs="Arial"/>
          <w:sz w:val="22"/>
          <w:szCs w:val="22"/>
        </w:rPr>
        <w:t xml:space="preserve">Busca </w:t>
      </w:r>
      <w:r w:rsidR="00427D04">
        <w:rPr>
          <w:rFonts w:ascii="Arial" w:hAnsi="Arial" w:cs="Arial"/>
          <w:sz w:val="22"/>
          <w:szCs w:val="22"/>
        </w:rPr>
        <w:t>reducir las ineficiencias en la asignación de los factores puertas adentro de las firmas, para ello, este componente propone mejorar: (i) las políticas de extensión empresarial; (ii) las políticas de extensión tecnológica; y (iii) las políticas de acceso a compradores institucionales. Para lograr esto, c</w:t>
      </w:r>
      <w:r w:rsidRPr="00135BE2">
        <w:rPr>
          <w:rFonts w:ascii="Arial" w:hAnsi="Arial" w:cs="Arial"/>
          <w:sz w:val="22"/>
          <w:szCs w:val="22"/>
        </w:rPr>
        <w:t>onsidera</w:t>
      </w:r>
      <w:r w:rsidR="00427D04">
        <w:rPr>
          <w:rFonts w:ascii="Arial" w:hAnsi="Arial" w:cs="Arial"/>
          <w:sz w:val="22"/>
          <w:szCs w:val="22"/>
        </w:rPr>
        <w:t xml:space="preserve"> los siguientes compromisos de política</w:t>
      </w:r>
      <w:r w:rsidRPr="00135BE2">
        <w:rPr>
          <w:rFonts w:ascii="Arial" w:hAnsi="Arial" w:cs="Arial"/>
          <w:sz w:val="22"/>
          <w:szCs w:val="22"/>
        </w:rPr>
        <w:t>: (</w:t>
      </w:r>
      <w:proofErr w:type="spellStart"/>
      <w:r w:rsidRPr="00135BE2">
        <w:rPr>
          <w:rFonts w:ascii="Arial" w:hAnsi="Arial" w:cs="Arial"/>
          <w:sz w:val="22"/>
          <w:szCs w:val="22"/>
        </w:rPr>
        <w:t>i</w:t>
      </w:r>
      <w:r w:rsidR="008B1D53">
        <w:rPr>
          <w:rFonts w:ascii="Arial" w:hAnsi="Arial" w:cs="Arial"/>
          <w:sz w:val="22"/>
          <w:szCs w:val="22"/>
        </w:rPr>
        <w:t>.a</w:t>
      </w:r>
      <w:proofErr w:type="spellEnd"/>
      <w:r w:rsidRPr="00135BE2">
        <w:rPr>
          <w:rFonts w:ascii="Arial" w:hAnsi="Arial" w:cs="Arial"/>
          <w:sz w:val="22"/>
          <w:szCs w:val="22"/>
        </w:rPr>
        <w:t xml:space="preserve">) </w:t>
      </w:r>
      <w:r w:rsidR="008B1D53">
        <w:rPr>
          <w:rFonts w:ascii="Arial" w:hAnsi="Arial" w:cs="Arial"/>
          <w:sz w:val="22"/>
          <w:szCs w:val="22"/>
        </w:rPr>
        <w:t>diseñar</w:t>
      </w:r>
      <w:r w:rsidRPr="00135BE2">
        <w:rPr>
          <w:rFonts w:ascii="Arial" w:hAnsi="Arial" w:cs="Arial"/>
          <w:sz w:val="22"/>
          <w:szCs w:val="22"/>
        </w:rPr>
        <w:t xml:space="preserve"> </w:t>
      </w:r>
      <w:r w:rsidR="000E6928">
        <w:rPr>
          <w:rFonts w:ascii="Arial" w:hAnsi="Arial" w:cs="Arial"/>
          <w:sz w:val="22"/>
          <w:szCs w:val="22"/>
        </w:rPr>
        <w:t>el</w:t>
      </w:r>
      <w:r w:rsidRPr="00135BE2">
        <w:rPr>
          <w:rFonts w:ascii="Arial" w:hAnsi="Arial" w:cs="Arial"/>
          <w:sz w:val="22"/>
          <w:szCs w:val="22"/>
        </w:rPr>
        <w:t xml:space="preserve"> programa nacional </w:t>
      </w:r>
      <w:r w:rsidR="000E6928">
        <w:rPr>
          <w:rFonts w:ascii="Arial" w:hAnsi="Arial" w:cs="Arial"/>
          <w:sz w:val="22"/>
          <w:szCs w:val="22"/>
        </w:rPr>
        <w:t xml:space="preserve">“Tu Empresa” </w:t>
      </w:r>
      <w:r w:rsidR="008B1D53">
        <w:rPr>
          <w:rFonts w:ascii="Arial" w:hAnsi="Arial" w:cs="Arial"/>
          <w:sz w:val="22"/>
          <w:szCs w:val="22"/>
        </w:rPr>
        <w:t>para</w:t>
      </w:r>
      <w:r w:rsidRPr="00135BE2">
        <w:rPr>
          <w:rFonts w:ascii="Arial" w:hAnsi="Arial" w:cs="Arial"/>
          <w:sz w:val="22"/>
          <w:szCs w:val="22"/>
        </w:rPr>
        <w:t xml:space="preserve"> </w:t>
      </w:r>
      <w:r w:rsidR="008B1D53" w:rsidRPr="00FB7C26">
        <w:rPr>
          <w:rFonts w:ascii="Arial" w:hAnsi="Arial" w:cs="Arial"/>
          <w:sz w:val="22"/>
          <w:szCs w:val="22"/>
        </w:rPr>
        <w:t>ofrecer, de manera coordinada</w:t>
      </w:r>
      <w:r w:rsidR="008B1D53">
        <w:rPr>
          <w:rFonts w:ascii="Arial" w:hAnsi="Arial" w:cs="Arial"/>
          <w:sz w:val="22"/>
          <w:szCs w:val="22"/>
        </w:rPr>
        <w:t xml:space="preserve"> y estandarizada</w:t>
      </w:r>
      <w:r w:rsidR="008B1D53" w:rsidRPr="00FB7C26">
        <w:rPr>
          <w:rFonts w:ascii="Arial" w:hAnsi="Arial" w:cs="Arial"/>
          <w:sz w:val="22"/>
          <w:szCs w:val="22"/>
        </w:rPr>
        <w:t xml:space="preserve">, </w:t>
      </w:r>
      <w:r w:rsidR="008B1D53">
        <w:rPr>
          <w:rFonts w:ascii="Arial" w:hAnsi="Arial" w:cs="Arial"/>
          <w:sz w:val="22"/>
          <w:szCs w:val="22"/>
        </w:rPr>
        <w:t xml:space="preserve">el acceso centralizado a los </w:t>
      </w:r>
      <w:r w:rsidR="008B1D53" w:rsidRPr="00FB7C26">
        <w:rPr>
          <w:rFonts w:ascii="Arial" w:hAnsi="Arial" w:cs="Arial"/>
          <w:sz w:val="22"/>
          <w:szCs w:val="22"/>
        </w:rPr>
        <w:t xml:space="preserve">servicios </w:t>
      </w:r>
      <w:r w:rsidR="008B1D53">
        <w:rPr>
          <w:rFonts w:ascii="Arial" w:hAnsi="Arial" w:cs="Arial"/>
          <w:sz w:val="22"/>
          <w:szCs w:val="22"/>
        </w:rPr>
        <w:t xml:space="preserve">públicos </w:t>
      </w:r>
      <w:r w:rsidR="008B1D53" w:rsidRPr="00FB7C26">
        <w:rPr>
          <w:rFonts w:ascii="Arial" w:hAnsi="Arial" w:cs="Arial"/>
          <w:sz w:val="22"/>
          <w:szCs w:val="22"/>
        </w:rPr>
        <w:t>de apoyo empresarial en las siguientes cinco líneas: formalización, gestión empresarial, acceso a financiamiento, acompañamiento al desarrollo productivo, y digitalización</w:t>
      </w:r>
      <w:r w:rsidRPr="00135BE2">
        <w:rPr>
          <w:rFonts w:ascii="Arial" w:hAnsi="Arial" w:cs="Arial"/>
          <w:sz w:val="22"/>
          <w:szCs w:val="22"/>
        </w:rPr>
        <w:t xml:space="preserve">; </w:t>
      </w:r>
      <w:r w:rsidR="008B1D53">
        <w:rPr>
          <w:rFonts w:ascii="Arial" w:hAnsi="Arial" w:cs="Arial"/>
          <w:sz w:val="22"/>
          <w:szCs w:val="22"/>
        </w:rPr>
        <w:t>(</w:t>
      </w:r>
      <w:proofErr w:type="spellStart"/>
      <w:r w:rsidR="008B1D53">
        <w:rPr>
          <w:rFonts w:ascii="Arial" w:hAnsi="Arial" w:cs="Arial"/>
          <w:sz w:val="22"/>
          <w:szCs w:val="22"/>
        </w:rPr>
        <w:t>i.b</w:t>
      </w:r>
      <w:proofErr w:type="spellEnd"/>
      <w:r w:rsidR="008B1D53">
        <w:rPr>
          <w:rFonts w:ascii="Arial" w:hAnsi="Arial" w:cs="Arial"/>
          <w:sz w:val="22"/>
          <w:szCs w:val="22"/>
        </w:rPr>
        <w:t xml:space="preserve">) poner en marcha el programa “Tu Empresa” en Lima; </w:t>
      </w:r>
      <w:r w:rsidRPr="00135BE2">
        <w:rPr>
          <w:rFonts w:ascii="Arial" w:hAnsi="Arial" w:cs="Arial"/>
          <w:sz w:val="22"/>
          <w:szCs w:val="22"/>
        </w:rPr>
        <w:t xml:space="preserve">(ii) </w:t>
      </w:r>
      <w:r w:rsidR="000E6928">
        <w:rPr>
          <w:rFonts w:ascii="Arial" w:hAnsi="Arial" w:cs="Arial"/>
          <w:sz w:val="22"/>
          <w:szCs w:val="22"/>
        </w:rPr>
        <w:t xml:space="preserve">fortalecer </w:t>
      </w:r>
      <w:r w:rsidRPr="00135BE2">
        <w:rPr>
          <w:rFonts w:ascii="Arial" w:hAnsi="Arial" w:cs="Arial"/>
          <w:sz w:val="22"/>
          <w:szCs w:val="22"/>
        </w:rPr>
        <w:t xml:space="preserve">los CITE </w:t>
      </w:r>
      <w:r w:rsidR="008B1D53">
        <w:rPr>
          <w:rFonts w:ascii="Arial" w:hAnsi="Arial" w:cs="Arial"/>
          <w:sz w:val="22"/>
          <w:szCs w:val="22"/>
        </w:rPr>
        <w:t>asegurando las condiciones para correcta operación de los centros</w:t>
      </w:r>
      <w:r w:rsidR="008B1D53" w:rsidRPr="00135BE2">
        <w:rPr>
          <w:rFonts w:ascii="Arial" w:hAnsi="Arial" w:cs="Arial"/>
          <w:sz w:val="22"/>
          <w:szCs w:val="22"/>
        </w:rPr>
        <w:t xml:space="preserve"> </w:t>
      </w:r>
      <w:r w:rsidRPr="00135BE2">
        <w:rPr>
          <w:rFonts w:ascii="Arial" w:hAnsi="Arial" w:cs="Arial"/>
          <w:sz w:val="22"/>
          <w:szCs w:val="22"/>
        </w:rPr>
        <w:t xml:space="preserve">y </w:t>
      </w:r>
      <w:r w:rsidR="008B1D53">
        <w:rPr>
          <w:rFonts w:ascii="Arial" w:hAnsi="Arial" w:cs="Arial"/>
          <w:sz w:val="22"/>
          <w:szCs w:val="22"/>
        </w:rPr>
        <w:t xml:space="preserve">promoviendo el desarrollo de </w:t>
      </w:r>
      <w:r w:rsidRPr="00135BE2">
        <w:rPr>
          <w:rFonts w:ascii="Arial" w:hAnsi="Arial" w:cs="Arial"/>
          <w:sz w:val="22"/>
          <w:szCs w:val="22"/>
        </w:rPr>
        <w:t>un mejor modelo de gestión, operación y financiamiento</w:t>
      </w:r>
      <w:r w:rsidR="008B1D53">
        <w:rPr>
          <w:rFonts w:ascii="Arial" w:hAnsi="Arial" w:cs="Arial"/>
          <w:sz w:val="22"/>
          <w:szCs w:val="22"/>
        </w:rPr>
        <w:t xml:space="preserve"> con participación privada</w:t>
      </w:r>
      <w:r w:rsidRPr="00135BE2">
        <w:rPr>
          <w:rFonts w:ascii="Arial" w:hAnsi="Arial" w:cs="Arial"/>
          <w:sz w:val="22"/>
          <w:szCs w:val="22"/>
        </w:rPr>
        <w:t xml:space="preserve">; y (iii) </w:t>
      </w:r>
      <w:r w:rsidR="008B1D53">
        <w:rPr>
          <w:rFonts w:ascii="Arial" w:hAnsi="Arial" w:cs="Arial"/>
          <w:sz w:val="22"/>
          <w:szCs w:val="22"/>
        </w:rPr>
        <w:t>reformular</w:t>
      </w:r>
      <w:r w:rsidRPr="00135BE2">
        <w:rPr>
          <w:rFonts w:ascii="Arial" w:hAnsi="Arial" w:cs="Arial"/>
          <w:sz w:val="22"/>
          <w:szCs w:val="22"/>
        </w:rPr>
        <w:t xml:space="preserve"> el programa compras a </w:t>
      </w:r>
      <w:proofErr w:type="spellStart"/>
      <w:r w:rsidRPr="00135BE2">
        <w:rPr>
          <w:rFonts w:ascii="Arial" w:hAnsi="Arial" w:cs="Arial"/>
          <w:sz w:val="22"/>
          <w:szCs w:val="22"/>
        </w:rPr>
        <w:t>MYPErú</w:t>
      </w:r>
      <w:proofErr w:type="spellEnd"/>
      <w:r w:rsidR="008B1D53">
        <w:rPr>
          <w:rFonts w:ascii="Arial" w:hAnsi="Arial" w:cs="Arial"/>
          <w:sz w:val="22"/>
          <w:szCs w:val="22"/>
        </w:rPr>
        <w:t xml:space="preserve"> ampliando el alcance de</w:t>
      </w:r>
      <w:r w:rsidR="00145755">
        <w:rPr>
          <w:rFonts w:ascii="Arial" w:hAnsi="Arial" w:cs="Arial"/>
          <w:sz w:val="22"/>
          <w:szCs w:val="22"/>
        </w:rPr>
        <w:t>l programa a más</w:t>
      </w:r>
      <w:r w:rsidR="008B1D53">
        <w:rPr>
          <w:rFonts w:ascii="Arial" w:hAnsi="Arial" w:cs="Arial"/>
          <w:sz w:val="22"/>
          <w:szCs w:val="22"/>
        </w:rPr>
        <w:t xml:space="preserve"> compradores</w:t>
      </w:r>
      <w:r w:rsidR="00145755">
        <w:rPr>
          <w:rFonts w:ascii="Arial" w:hAnsi="Arial" w:cs="Arial"/>
          <w:sz w:val="22"/>
          <w:szCs w:val="22"/>
        </w:rPr>
        <w:t xml:space="preserve"> públicos</w:t>
      </w:r>
      <w:r w:rsidR="008B1D53">
        <w:rPr>
          <w:rFonts w:ascii="Arial" w:hAnsi="Arial" w:cs="Arial"/>
          <w:sz w:val="22"/>
          <w:szCs w:val="22"/>
        </w:rPr>
        <w:t>, las exigencias de formalización de empresas participantes y mejorando el proceso de adquisiciones</w:t>
      </w:r>
      <w:r w:rsidRPr="00135BE2">
        <w:rPr>
          <w:rFonts w:ascii="Arial" w:hAnsi="Arial" w:cs="Arial"/>
          <w:sz w:val="22"/>
          <w:szCs w:val="22"/>
        </w:rPr>
        <w:t>.</w:t>
      </w:r>
      <w:r w:rsidR="000F3E93">
        <w:rPr>
          <w:rFonts w:ascii="Arial" w:hAnsi="Arial" w:cs="Arial"/>
          <w:sz w:val="22"/>
          <w:szCs w:val="22"/>
        </w:rPr>
        <w:t xml:space="preserve"> En general los beneficiarios potenciales del paquete de reformas adelantadas por este componente son las MYPE</w:t>
      </w:r>
      <w:r w:rsidR="004D32E5">
        <w:rPr>
          <w:rFonts w:ascii="Arial" w:hAnsi="Arial" w:cs="Arial"/>
          <w:sz w:val="22"/>
          <w:szCs w:val="22"/>
        </w:rPr>
        <w:t xml:space="preserve"> </w:t>
      </w:r>
      <w:r w:rsidR="008F700E">
        <w:rPr>
          <w:rFonts w:ascii="Arial" w:hAnsi="Arial" w:cs="Arial"/>
          <w:sz w:val="22"/>
          <w:szCs w:val="22"/>
        </w:rPr>
        <w:t xml:space="preserve">(en Perú </w:t>
      </w:r>
      <w:r w:rsidR="0065390F">
        <w:rPr>
          <w:rFonts w:ascii="Arial" w:hAnsi="Arial" w:cs="Arial"/>
          <w:sz w:val="22"/>
          <w:szCs w:val="22"/>
        </w:rPr>
        <w:t>9</w:t>
      </w:r>
      <w:r w:rsidR="008F700E">
        <w:rPr>
          <w:rFonts w:ascii="Arial" w:hAnsi="Arial" w:cs="Arial"/>
          <w:sz w:val="22"/>
          <w:szCs w:val="22"/>
        </w:rPr>
        <w:t xml:space="preserve"> de cada 10 empresas </w:t>
      </w:r>
      <w:r w:rsidR="00EB09DA">
        <w:rPr>
          <w:rFonts w:ascii="Arial" w:hAnsi="Arial" w:cs="Arial"/>
          <w:sz w:val="22"/>
          <w:szCs w:val="22"/>
        </w:rPr>
        <w:t>son</w:t>
      </w:r>
      <w:r w:rsidR="008F700E">
        <w:rPr>
          <w:rFonts w:ascii="Arial" w:hAnsi="Arial" w:cs="Arial"/>
          <w:sz w:val="22"/>
          <w:szCs w:val="22"/>
        </w:rPr>
        <w:t xml:space="preserve"> MYPE</w:t>
      </w:r>
      <w:r w:rsidR="005574FE">
        <w:rPr>
          <w:rFonts w:ascii="Arial" w:hAnsi="Arial" w:cs="Arial"/>
          <w:sz w:val="22"/>
          <w:szCs w:val="22"/>
        </w:rPr>
        <w:t>, y a 2017 había aproximadamente 5</w:t>
      </w:r>
      <w:r w:rsidR="00CB4E75">
        <w:rPr>
          <w:rFonts w:ascii="Arial" w:hAnsi="Arial" w:cs="Arial"/>
          <w:sz w:val="22"/>
          <w:szCs w:val="22"/>
        </w:rPr>
        <w:t>,</w:t>
      </w:r>
      <w:r w:rsidR="005574FE">
        <w:rPr>
          <w:rFonts w:ascii="Arial" w:hAnsi="Arial" w:cs="Arial"/>
          <w:sz w:val="22"/>
          <w:szCs w:val="22"/>
        </w:rPr>
        <w:t>6 millones de MYPE</w:t>
      </w:r>
      <w:r w:rsidR="005574FE">
        <w:rPr>
          <w:rStyle w:val="FootnoteReference"/>
          <w:rFonts w:ascii="Arial" w:hAnsi="Arial" w:cs="Arial"/>
          <w:sz w:val="22"/>
          <w:szCs w:val="22"/>
        </w:rPr>
        <w:footnoteReference w:id="3"/>
      </w:r>
      <w:r w:rsidR="008F700E">
        <w:rPr>
          <w:rFonts w:ascii="Arial" w:hAnsi="Arial" w:cs="Arial"/>
          <w:sz w:val="22"/>
          <w:szCs w:val="22"/>
        </w:rPr>
        <w:t>)</w:t>
      </w:r>
      <w:r w:rsidR="004D32E5">
        <w:rPr>
          <w:rFonts w:ascii="Arial" w:hAnsi="Arial" w:cs="Arial"/>
          <w:sz w:val="22"/>
          <w:szCs w:val="22"/>
        </w:rPr>
        <w:t xml:space="preserve">. </w:t>
      </w:r>
      <w:r w:rsidR="005560F4">
        <w:rPr>
          <w:rFonts w:ascii="Arial" w:hAnsi="Arial" w:cs="Arial"/>
          <w:sz w:val="22"/>
          <w:szCs w:val="22"/>
        </w:rPr>
        <w:t>Los beneficiarios directos son las MYPE que sean atendidas por los centros Tu Empresa</w:t>
      </w:r>
      <w:r w:rsidR="005560F4">
        <w:rPr>
          <w:rStyle w:val="FootnoteReference"/>
          <w:rFonts w:ascii="Arial" w:hAnsi="Arial" w:cs="Arial"/>
          <w:sz w:val="22"/>
          <w:szCs w:val="22"/>
        </w:rPr>
        <w:footnoteReference w:id="4"/>
      </w:r>
      <w:r w:rsidR="005560F4">
        <w:rPr>
          <w:rFonts w:ascii="Arial" w:hAnsi="Arial" w:cs="Arial"/>
          <w:sz w:val="22"/>
          <w:szCs w:val="22"/>
        </w:rPr>
        <w:t xml:space="preserve">, CITE y el programa Compras a </w:t>
      </w:r>
      <w:proofErr w:type="spellStart"/>
      <w:r w:rsidR="005560F4">
        <w:rPr>
          <w:rFonts w:ascii="Arial" w:hAnsi="Arial" w:cs="Arial"/>
          <w:sz w:val="22"/>
          <w:szCs w:val="22"/>
        </w:rPr>
        <w:t>MYPErú</w:t>
      </w:r>
      <w:proofErr w:type="spellEnd"/>
      <w:r w:rsidR="005560F4">
        <w:rPr>
          <w:rFonts w:ascii="Arial" w:hAnsi="Arial" w:cs="Arial"/>
          <w:sz w:val="22"/>
          <w:szCs w:val="22"/>
        </w:rPr>
        <w:t>.</w:t>
      </w:r>
    </w:p>
    <w:p w14:paraId="618F2FE6" w14:textId="6B9BE348" w:rsidR="00636F96" w:rsidRDefault="00135BE2" w:rsidP="00636F96">
      <w:pPr>
        <w:pStyle w:val="Paragraph"/>
        <w:numPr>
          <w:ilvl w:val="1"/>
          <w:numId w:val="12"/>
        </w:numPr>
        <w:tabs>
          <w:tab w:val="num" w:pos="720"/>
        </w:tabs>
        <w:ind w:left="720" w:hanging="720"/>
        <w:rPr>
          <w:rFonts w:ascii="Arial" w:hAnsi="Arial" w:cs="Arial"/>
          <w:sz w:val="22"/>
          <w:szCs w:val="22"/>
        </w:rPr>
      </w:pPr>
      <w:r w:rsidRPr="00135BE2">
        <w:rPr>
          <w:rFonts w:ascii="Arial" w:hAnsi="Arial" w:cs="Arial"/>
          <w:b/>
          <w:sz w:val="22"/>
          <w:szCs w:val="22"/>
        </w:rPr>
        <w:t xml:space="preserve">Componente </w:t>
      </w:r>
      <w:r w:rsidR="00BA4D83">
        <w:rPr>
          <w:rFonts w:ascii="Arial" w:hAnsi="Arial" w:cs="Arial"/>
          <w:b/>
          <w:sz w:val="22"/>
          <w:szCs w:val="22"/>
        </w:rPr>
        <w:t>5</w:t>
      </w:r>
      <w:r w:rsidRPr="00135BE2">
        <w:rPr>
          <w:rFonts w:ascii="Arial" w:hAnsi="Arial" w:cs="Arial"/>
          <w:b/>
          <w:sz w:val="22"/>
          <w:szCs w:val="22"/>
        </w:rPr>
        <w:t xml:space="preserve">: </w:t>
      </w:r>
      <w:r w:rsidR="00A2240E" w:rsidRPr="00D93778">
        <w:rPr>
          <w:rFonts w:ascii="Arial" w:hAnsi="Arial" w:cs="Arial"/>
          <w:b/>
          <w:sz w:val="22"/>
          <w:szCs w:val="22"/>
        </w:rPr>
        <w:t>Mejorar la</w:t>
      </w:r>
      <w:r w:rsidR="00A2240E">
        <w:rPr>
          <w:rFonts w:ascii="Arial" w:hAnsi="Arial" w:cs="Arial"/>
          <w:b/>
          <w:sz w:val="22"/>
          <w:szCs w:val="22"/>
        </w:rPr>
        <w:t>s políticas tributarias y la capacidad para fiscalizarlas</w:t>
      </w:r>
      <w:r w:rsidRPr="00135BE2">
        <w:rPr>
          <w:rFonts w:ascii="Arial" w:hAnsi="Arial" w:cs="Arial"/>
          <w:b/>
          <w:sz w:val="22"/>
          <w:szCs w:val="22"/>
        </w:rPr>
        <w:t xml:space="preserve">. </w:t>
      </w:r>
      <w:r w:rsidRPr="00135BE2">
        <w:rPr>
          <w:rFonts w:ascii="Arial" w:hAnsi="Arial" w:cs="Arial"/>
          <w:sz w:val="22"/>
          <w:szCs w:val="22"/>
        </w:rPr>
        <w:t>Busca</w:t>
      </w:r>
      <w:r w:rsidR="00541DE8">
        <w:rPr>
          <w:rFonts w:ascii="Arial" w:hAnsi="Arial" w:cs="Arial"/>
          <w:sz w:val="22"/>
          <w:szCs w:val="22"/>
        </w:rPr>
        <w:t xml:space="preserve"> eliminar las distorsiones inducidas por regímenes tributarios diferenciales y complejos que promueven el enanismo y por tanto niveles subóptimos de acumulación de factores, para ello, este componente propone: (i)</w:t>
      </w:r>
      <w:r w:rsidR="007C5B5D">
        <w:rPr>
          <w:rFonts w:ascii="Arial" w:hAnsi="Arial" w:cs="Arial"/>
          <w:sz w:val="22"/>
          <w:szCs w:val="22"/>
        </w:rPr>
        <w:t> </w:t>
      </w:r>
      <w:r w:rsidRPr="00135BE2">
        <w:rPr>
          <w:rFonts w:ascii="Arial" w:hAnsi="Arial" w:cs="Arial"/>
          <w:sz w:val="22"/>
          <w:szCs w:val="22"/>
        </w:rPr>
        <w:t>simplificar el régimen tributario</w:t>
      </w:r>
      <w:r w:rsidR="00541DE8">
        <w:rPr>
          <w:rFonts w:ascii="Arial" w:hAnsi="Arial" w:cs="Arial"/>
          <w:sz w:val="22"/>
          <w:szCs w:val="22"/>
        </w:rPr>
        <w:t>;</w:t>
      </w:r>
      <w:r w:rsidRPr="00135BE2">
        <w:rPr>
          <w:rFonts w:ascii="Arial" w:hAnsi="Arial" w:cs="Arial"/>
          <w:sz w:val="22"/>
          <w:szCs w:val="22"/>
        </w:rPr>
        <w:t xml:space="preserve"> y </w:t>
      </w:r>
      <w:r w:rsidR="00541DE8">
        <w:rPr>
          <w:rFonts w:ascii="Arial" w:hAnsi="Arial" w:cs="Arial"/>
          <w:sz w:val="22"/>
          <w:szCs w:val="22"/>
        </w:rPr>
        <w:t>(ii) i</w:t>
      </w:r>
      <w:r w:rsidR="00541DE8" w:rsidRPr="00541DE8">
        <w:rPr>
          <w:rFonts w:ascii="Arial" w:hAnsi="Arial" w:cs="Arial"/>
          <w:sz w:val="22"/>
          <w:szCs w:val="22"/>
        </w:rPr>
        <w:t>ncrementar la capacidad de fiscalización y recaudación de la SUNAT</w:t>
      </w:r>
      <w:r w:rsidRPr="00135BE2">
        <w:rPr>
          <w:rFonts w:ascii="Arial" w:hAnsi="Arial" w:cs="Arial"/>
          <w:sz w:val="22"/>
          <w:szCs w:val="22"/>
        </w:rPr>
        <w:t xml:space="preserve">. </w:t>
      </w:r>
      <w:r w:rsidR="00541DE8">
        <w:rPr>
          <w:rFonts w:ascii="Arial" w:hAnsi="Arial" w:cs="Arial"/>
          <w:sz w:val="22"/>
          <w:szCs w:val="22"/>
        </w:rPr>
        <w:t>Para lograr esto, considera los siguientes compromisos de política:</w:t>
      </w:r>
      <w:r w:rsidR="00541DE8" w:rsidRPr="00135BE2">
        <w:rPr>
          <w:rFonts w:ascii="Arial" w:hAnsi="Arial" w:cs="Arial"/>
          <w:sz w:val="22"/>
          <w:szCs w:val="22"/>
        </w:rPr>
        <w:t xml:space="preserve"> </w:t>
      </w:r>
      <w:r w:rsidRPr="00135BE2">
        <w:rPr>
          <w:rFonts w:ascii="Arial" w:hAnsi="Arial" w:cs="Arial"/>
          <w:sz w:val="22"/>
          <w:szCs w:val="22"/>
        </w:rPr>
        <w:t>(i) rediseñar y simplificar los regímenes tributarios especiales; (</w:t>
      </w:r>
      <w:proofErr w:type="spellStart"/>
      <w:r w:rsidRPr="00135BE2">
        <w:rPr>
          <w:rFonts w:ascii="Arial" w:hAnsi="Arial" w:cs="Arial"/>
          <w:sz w:val="22"/>
          <w:szCs w:val="22"/>
        </w:rPr>
        <w:t>ii</w:t>
      </w:r>
      <w:r w:rsidR="00541DE8">
        <w:rPr>
          <w:rFonts w:ascii="Arial" w:hAnsi="Arial" w:cs="Arial"/>
          <w:sz w:val="22"/>
          <w:szCs w:val="22"/>
        </w:rPr>
        <w:t>.a</w:t>
      </w:r>
      <w:proofErr w:type="spellEnd"/>
      <w:r w:rsidRPr="00135BE2">
        <w:rPr>
          <w:rFonts w:ascii="Arial" w:hAnsi="Arial" w:cs="Arial"/>
          <w:sz w:val="22"/>
          <w:szCs w:val="22"/>
        </w:rPr>
        <w:t>)</w:t>
      </w:r>
      <w:r w:rsidR="007C5B5D">
        <w:rPr>
          <w:rFonts w:ascii="Arial" w:hAnsi="Arial" w:cs="Arial"/>
          <w:sz w:val="22"/>
          <w:szCs w:val="22"/>
        </w:rPr>
        <w:t> </w:t>
      </w:r>
      <w:r w:rsidRPr="00135BE2">
        <w:rPr>
          <w:rFonts w:ascii="Arial" w:hAnsi="Arial" w:cs="Arial"/>
          <w:sz w:val="22"/>
          <w:szCs w:val="22"/>
        </w:rPr>
        <w:t xml:space="preserve">facilitar la emisión de </w:t>
      </w:r>
      <w:r w:rsidR="008F133A">
        <w:rPr>
          <w:rFonts w:ascii="Arial" w:hAnsi="Arial" w:cs="Arial"/>
          <w:sz w:val="22"/>
          <w:szCs w:val="22"/>
        </w:rPr>
        <w:t>CPE</w:t>
      </w:r>
      <w:r w:rsidRPr="00135BE2">
        <w:rPr>
          <w:rFonts w:ascii="Arial" w:hAnsi="Arial" w:cs="Arial"/>
          <w:sz w:val="22"/>
          <w:szCs w:val="22"/>
        </w:rPr>
        <w:t xml:space="preserve"> y migrar a la nube sus sistemas de emisión; (</w:t>
      </w:r>
      <w:proofErr w:type="spellStart"/>
      <w:r w:rsidRPr="00135BE2">
        <w:rPr>
          <w:rFonts w:ascii="Arial" w:hAnsi="Arial" w:cs="Arial"/>
          <w:sz w:val="22"/>
          <w:szCs w:val="22"/>
        </w:rPr>
        <w:t>ii</w:t>
      </w:r>
      <w:r w:rsidR="00541DE8">
        <w:rPr>
          <w:rFonts w:ascii="Arial" w:hAnsi="Arial" w:cs="Arial"/>
          <w:sz w:val="22"/>
          <w:szCs w:val="22"/>
        </w:rPr>
        <w:t>.b</w:t>
      </w:r>
      <w:proofErr w:type="spellEnd"/>
      <w:r w:rsidRPr="00135BE2">
        <w:rPr>
          <w:rFonts w:ascii="Arial" w:hAnsi="Arial" w:cs="Arial"/>
          <w:sz w:val="22"/>
          <w:szCs w:val="22"/>
        </w:rPr>
        <w:t>)</w:t>
      </w:r>
      <w:r w:rsidR="007C5B5D">
        <w:rPr>
          <w:rFonts w:ascii="Arial" w:hAnsi="Arial" w:cs="Arial"/>
          <w:sz w:val="22"/>
          <w:szCs w:val="22"/>
        </w:rPr>
        <w:t> </w:t>
      </w:r>
      <w:r w:rsidRPr="00135BE2">
        <w:rPr>
          <w:rFonts w:ascii="Arial" w:hAnsi="Arial" w:cs="Arial"/>
          <w:sz w:val="22"/>
          <w:szCs w:val="22"/>
        </w:rPr>
        <w:t>utilizar ciencia de datos para mejorar la fiscalización y el control tributario; y (</w:t>
      </w:r>
      <w:proofErr w:type="spellStart"/>
      <w:r w:rsidR="00541DE8">
        <w:rPr>
          <w:rFonts w:ascii="Arial" w:hAnsi="Arial" w:cs="Arial"/>
          <w:sz w:val="22"/>
          <w:szCs w:val="22"/>
        </w:rPr>
        <w:t>ii.c</w:t>
      </w:r>
      <w:proofErr w:type="spellEnd"/>
      <w:r w:rsidRPr="00135BE2">
        <w:rPr>
          <w:rFonts w:ascii="Arial" w:hAnsi="Arial" w:cs="Arial"/>
          <w:sz w:val="22"/>
          <w:szCs w:val="22"/>
        </w:rPr>
        <w:t>)</w:t>
      </w:r>
      <w:r w:rsidR="007C5B5D">
        <w:rPr>
          <w:rFonts w:ascii="Arial" w:hAnsi="Arial" w:cs="Arial"/>
          <w:sz w:val="22"/>
          <w:szCs w:val="22"/>
        </w:rPr>
        <w:t> </w:t>
      </w:r>
      <w:r w:rsidRPr="00135BE2">
        <w:rPr>
          <w:rFonts w:ascii="Arial" w:hAnsi="Arial" w:cs="Arial"/>
          <w:sz w:val="22"/>
          <w:szCs w:val="22"/>
        </w:rPr>
        <w:t xml:space="preserve">adoptar medidas en tecnologías y seguridad para intercambiar información financiera con otras administraciones tributarias y fiscalizar las operaciones de contribuyentes que operan de forma global. </w:t>
      </w:r>
      <w:r w:rsidR="00636F96">
        <w:rPr>
          <w:rFonts w:ascii="Arial" w:hAnsi="Arial" w:cs="Arial"/>
          <w:sz w:val="22"/>
          <w:szCs w:val="22"/>
        </w:rPr>
        <w:t>En general los beneficiarios potenciales del paquete de reformas adelantadas por este componente son las MYPE. Los beneficiarios directos son las MYPE cuyas ventas oscilan alrededor de 13 mil soles mensuales en el que operaba el incentivo a no crecer por la discontinuidad de la tasa impositiva</w:t>
      </w:r>
      <w:r w:rsidR="00636F96">
        <w:rPr>
          <w:rStyle w:val="FootnoteReference"/>
          <w:rFonts w:ascii="Arial" w:hAnsi="Arial" w:cs="Arial"/>
          <w:sz w:val="22"/>
          <w:szCs w:val="22"/>
        </w:rPr>
        <w:footnoteReference w:id="5"/>
      </w:r>
      <w:r w:rsidR="00636F96">
        <w:rPr>
          <w:rFonts w:ascii="Arial" w:hAnsi="Arial" w:cs="Arial"/>
          <w:sz w:val="22"/>
          <w:szCs w:val="22"/>
        </w:rPr>
        <w:t>.</w:t>
      </w:r>
    </w:p>
    <w:p w14:paraId="0C4AB3DC" w14:textId="406DAA8F" w:rsidR="00135BE2" w:rsidRDefault="00135BE2" w:rsidP="00135BE2">
      <w:pPr>
        <w:pStyle w:val="Paragraph"/>
        <w:numPr>
          <w:ilvl w:val="1"/>
          <w:numId w:val="12"/>
        </w:numPr>
        <w:tabs>
          <w:tab w:val="num" w:pos="720"/>
        </w:tabs>
        <w:ind w:left="720" w:hanging="720"/>
        <w:rPr>
          <w:rFonts w:ascii="Arial" w:hAnsi="Arial" w:cs="Arial"/>
          <w:sz w:val="22"/>
          <w:szCs w:val="22"/>
        </w:rPr>
      </w:pPr>
      <w:r w:rsidRPr="00135BE2">
        <w:rPr>
          <w:rFonts w:ascii="Arial" w:hAnsi="Arial" w:cs="Arial"/>
          <w:b/>
          <w:sz w:val="22"/>
          <w:szCs w:val="22"/>
        </w:rPr>
        <w:t xml:space="preserve">Componente 6: </w:t>
      </w:r>
      <w:r w:rsidR="00541DE8">
        <w:rPr>
          <w:rFonts w:ascii="Arial" w:hAnsi="Arial" w:cs="Arial"/>
          <w:b/>
          <w:sz w:val="22"/>
          <w:szCs w:val="22"/>
        </w:rPr>
        <w:t>Mejorar</w:t>
      </w:r>
      <w:r w:rsidRPr="00135BE2">
        <w:rPr>
          <w:rFonts w:ascii="Arial" w:hAnsi="Arial" w:cs="Arial"/>
          <w:b/>
          <w:sz w:val="22"/>
          <w:szCs w:val="22"/>
        </w:rPr>
        <w:t xml:space="preserve"> la coordinación interinstitucional. </w:t>
      </w:r>
      <w:r w:rsidRPr="00135BE2">
        <w:rPr>
          <w:rFonts w:ascii="Arial" w:hAnsi="Arial" w:cs="Arial"/>
          <w:sz w:val="22"/>
          <w:szCs w:val="22"/>
        </w:rPr>
        <w:t xml:space="preserve">Busca desarrollar una hoja de ruta de mediano plazo que permita la alineación y complementariedad de los esfuerzos sectoriales para incrementar la productividad y la competitividad, y generar la capacidad para implementarla. </w:t>
      </w:r>
      <w:r w:rsidR="00057848">
        <w:rPr>
          <w:rFonts w:ascii="Arial" w:hAnsi="Arial" w:cs="Arial"/>
          <w:sz w:val="22"/>
          <w:szCs w:val="22"/>
        </w:rPr>
        <w:t>Para lograr esto, considera los siguientes compromisos de política:</w:t>
      </w:r>
      <w:r w:rsidRPr="00135BE2">
        <w:rPr>
          <w:rFonts w:ascii="Arial" w:hAnsi="Arial" w:cs="Arial"/>
          <w:sz w:val="22"/>
          <w:szCs w:val="22"/>
        </w:rPr>
        <w:t xml:space="preserve"> (i) </w:t>
      </w:r>
      <w:r w:rsidR="002A2F28">
        <w:rPr>
          <w:rFonts w:ascii="Arial" w:hAnsi="Arial" w:cs="Arial"/>
          <w:sz w:val="22"/>
          <w:szCs w:val="22"/>
        </w:rPr>
        <w:t xml:space="preserve">identificar ejes prioritarios para fortalecer el </w:t>
      </w:r>
      <w:r w:rsidRPr="00135BE2">
        <w:rPr>
          <w:rFonts w:ascii="Arial" w:hAnsi="Arial" w:cs="Arial"/>
          <w:sz w:val="22"/>
          <w:szCs w:val="22"/>
        </w:rPr>
        <w:t>PNC; y (ii) </w:t>
      </w:r>
      <w:r w:rsidR="002A2F28">
        <w:rPr>
          <w:rFonts w:ascii="Arial" w:hAnsi="Arial" w:cs="Arial"/>
          <w:sz w:val="22"/>
          <w:szCs w:val="22"/>
        </w:rPr>
        <w:t>iniciar la construcción de hojas de ruta tecnológicas sectoriales</w:t>
      </w:r>
      <w:r w:rsidRPr="00135BE2">
        <w:rPr>
          <w:rFonts w:ascii="Arial" w:hAnsi="Arial" w:cs="Arial"/>
          <w:sz w:val="22"/>
          <w:szCs w:val="22"/>
        </w:rPr>
        <w:t>.</w:t>
      </w:r>
    </w:p>
    <w:p w14:paraId="73E7016B" w14:textId="3779B69C" w:rsidR="005C3BC2" w:rsidRPr="00135BE2" w:rsidRDefault="002870D0" w:rsidP="00135BE2">
      <w:pPr>
        <w:pStyle w:val="Paragraph"/>
        <w:numPr>
          <w:ilvl w:val="1"/>
          <w:numId w:val="12"/>
        </w:numPr>
        <w:tabs>
          <w:tab w:val="num" w:pos="720"/>
        </w:tabs>
        <w:ind w:left="720" w:hanging="720"/>
        <w:rPr>
          <w:rFonts w:ascii="Arial" w:hAnsi="Arial" w:cs="Arial"/>
          <w:sz w:val="22"/>
          <w:szCs w:val="22"/>
        </w:rPr>
      </w:pPr>
      <w:r w:rsidRPr="00135BE2">
        <w:rPr>
          <w:rFonts w:ascii="Arial" w:hAnsi="Arial" w:cs="Arial"/>
          <w:b/>
          <w:sz w:val="22"/>
          <w:szCs w:val="22"/>
        </w:rPr>
        <w:t>Prestatario y Organismo Ejecutor (OE):</w:t>
      </w:r>
      <w:r w:rsidRPr="00135BE2">
        <w:rPr>
          <w:rFonts w:ascii="Arial" w:hAnsi="Arial" w:cs="Arial"/>
          <w:sz w:val="22"/>
          <w:szCs w:val="22"/>
        </w:rPr>
        <w:t xml:space="preserve"> </w:t>
      </w:r>
      <w:r w:rsidR="005C3BC2" w:rsidRPr="00135BE2">
        <w:rPr>
          <w:rFonts w:ascii="Arial" w:hAnsi="Arial" w:cs="Arial"/>
          <w:sz w:val="22"/>
          <w:szCs w:val="22"/>
        </w:rPr>
        <w:t>El</w:t>
      </w:r>
      <w:r w:rsidR="00135BE2" w:rsidRPr="00135BE2">
        <w:rPr>
          <w:rFonts w:ascii="Arial" w:hAnsi="Arial" w:cs="Arial"/>
          <w:sz w:val="22"/>
          <w:szCs w:val="22"/>
        </w:rPr>
        <w:t xml:space="preserve"> Prestatario de la operación será la República Constitucional del Perú y el</w:t>
      </w:r>
      <w:r w:rsidR="005C3BC2" w:rsidRPr="00135BE2">
        <w:rPr>
          <w:rFonts w:ascii="Arial" w:hAnsi="Arial" w:cs="Arial"/>
          <w:sz w:val="22"/>
          <w:szCs w:val="22"/>
        </w:rPr>
        <w:t xml:space="preserve"> programa será ejecutado por el Ministerio de Economía</w:t>
      </w:r>
      <w:r w:rsidR="00135BE2" w:rsidRPr="00135BE2">
        <w:rPr>
          <w:rFonts w:ascii="Arial" w:hAnsi="Arial" w:cs="Arial"/>
          <w:sz w:val="22"/>
          <w:szCs w:val="22"/>
        </w:rPr>
        <w:t xml:space="preserve"> y Finanzas (MEF) </w:t>
      </w:r>
      <w:r w:rsidR="00051810">
        <w:rPr>
          <w:rFonts w:ascii="Arial" w:hAnsi="Arial" w:cs="Arial"/>
          <w:sz w:val="22"/>
          <w:szCs w:val="22"/>
        </w:rPr>
        <w:t xml:space="preserve">a través de la Dirección General de Endeudamiento </w:t>
      </w:r>
      <w:r w:rsidR="00204603">
        <w:rPr>
          <w:rFonts w:ascii="Arial" w:hAnsi="Arial" w:cs="Arial"/>
          <w:sz w:val="22"/>
          <w:szCs w:val="22"/>
        </w:rPr>
        <w:t>y Tesoro Público (</w:t>
      </w:r>
      <w:r w:rsidR="008F133A">
        <w:rPr>
          <w:rFonts w:ascii="Arial" w:hAnsi="Arial" w:cs="Arial"/>
          <w:sz w:val="22"/>
          <w:szCs w:val="22"/>
        </w:rPr>
        <w:t>DGETP</w:t>
      </w:r>
      <w:r w:rsidR="00204603">
        <w:rPr>
          <w:rFonts w:ascii="Arial" w:hAnsi="Arial" w:cs="Arial"/>
          <w:sz w:val="22"/>
          <w:szCs w:val="22"/>
        </w:rPr>
        <w:t>)</w:t>
      </w:r>
      <w:r w:rsidR="005C3BC2" w:rsidRPr="00135BE2">
        <w:rPr>
          <w:rFonts w:ascii="Arial" w:hAnsi="Arial" w:cs="Arial"/>
          <w:sz w:val="22"/>
          <w:szCs w:val="22"/>
        </w:rPr>
        <w:t>. Para los fines del plan de monitoreo y evaluación, cabe destacar que este ministerio tendrá las siguientes responsabilidades: (i) proveer evidencia de que los compromisos de política para cada uno de los tramos han sido cumplidos para efectuar los desembolsos respectivos; (ii) apoyar las acciones que se requieran para el cumplimiento del programa; y (iii) una vez que los desembolsos del programa hayan sido realizados, recabar la información de los indicadores de desempeño necesarios para evaluar los resultados del programa.</w:t>
      </w:r>
    </w:p>
    <w:p w14:paraId="002E4A5B" w14:textId="77777777" w:rsidR="005C3BC2" w:rsidRDefault="005C3BC2" w:rsidP="005C3BC2">
      <w:pPr>
        <w:spacing w:after="200" w:line="276" w:lineRule="auto"/>
        <w:rPr>
          <w:rFonts w:ascii="Arial" w:hAnsi="Arial" w:cs="Arial"/>
        </w:rPr>
      </w:pPr>
      <w:r>
        <w:rPr>
          <w:rFonts w:ascii="Arial" w:hAnsi="Arial" w:cs="Arial"/>
        </w:rPr>
        <w:br w:type="page"/>
      </w:r>
    </w:p>
    <w:p w14:paraId="0AE72881" w14:textId="57218764" w:rsidR="005C3BC2" w:rsidRDefault="005974DE" w:rsidP="005C3BC2">
      <w:pPr>
        <w:pStyle w:val="Chapter"/>
        <w:rPr>
          <w:rFonts w:ascii="Arial" w:hAnsi="Arial" w:cs="Arial"/>
        </w:rPr>
      </w:pPr>
      <w:bookmarkStart w:id="2" w:name="_Toc524431179"/>
      <w:r>
        <w:rPr>
          <w:rFonts w:ascii="Arial" w:hAnsi="Arial" w:cs="Arial"/>
        </w:rPr>
        <w:t>Monitoreo</w:t>
      </w:r>
      <w:bookmarkEnd w:id="2"/>
    </w:p>
    <w:p w14:paraId="61098D1E" w14:textId="21E819F2" w:rsidR="005C3BC2" w:rsidRDefault="005C3BC2" w:rsidP="005C3BC2">
      <w:pPr>
        <w:pStyle w:val="Paragraph"/>
        <w:rPr>
          <w:rFonts w:ascii="Arial" w:hAnsi="Arial" w:cs="Arial"/>
          <w:sz w:val="22"/>
        </w:rPr>
      </w:pPr>
      <w:r>
        <w:rPr>
          <w:rFonts w:ascii="Arial" w:hAnsi="Arial" w:cs="Arial"/>
          <w:sz w:val="22"/>
        </w:rPr>
        <w:t>Al ser este un programa de apoyo a políticas, s</w:t>
      </w:r>
      <w:r w:rsidRPr="00874629">
        <w:rPr>
          <w:rFonts w:ascii="Arial" w:hAnsi="Arial" w:cs="Arial"/>
          <w:sz w:val="22"/>
        </w:rPr>
        <w:t>e prevé</w:t>
      </w:r>
      <w:r>
        <w:rPr>
          <w:rFonts w:ascii="Arial" w:hAnsi="Arial" w:cs="Arial"/>
          <w:sz w:val="22"/>
        </w:rPr>
        <w:t xml:space="preserve"> un horizonte de ejecución breve a culminar tras</w:t>
      </w:r>
      <w:r w:rsidRPr="00874629">
        <w:rPr>
          <w:rFonts w:ascii="Arial" w:hAnsi="Arial" w:cs="Arial"/>
          <w:sz w:val="22"/>
        </w:rPr>
        <w:t xml:space="preserve"> efectuar </w:t>
      </w:r>
      <w:r w:rsidR="001E2957">
        <w:rPr>
          <w:rFonts w:ascii="Arial" w:hAnsi="Arial" w:cs="Arial"/>
          <w:sz w:val="22"/>
        </w:rPr>
        <w:t>dos</w:t>
      </w:r>
      <w:r w:rsidRPr="00874629">
        <w:rPr>
          <w:rFonts w:ascii="Arial" w:hAnsi="Arial" w:cs="Arial"/>
          <w:sz w:val="22"/>
        </w:rPr>
        <w:t xml:space="preserve"> desembolso</w:t>
      </w:r>
      <w:r w:rsidR="001E2957">
        <w:rPr>
          <w:rFonts w:ascii="Arial" w:hAnsi="Arial" w:cs="Arial"/>
          <w:sz w:val="22"/>
        </w:rPr>
        <w:t>s</w:t>
      </w:r>
      <w:r w:rsidRPr="00874629">
        <w:rPr>
          <w:rFonts w:ascii="Arial" w:hAnsi="Arial" w:cs="Arial"/>
          <w:sz w:val="22"/>
        </w:rPr>
        <w:t xml:space="preserve"> luego de suscrito el contrato de préstamo y cuando se haya verificado el cumplimiento de las condiciones especiales y generales </w:t>
      </w:r>
      <w:r>
        <w:rPr>
          <w:rFonts w:ascii="Arial" w:hAnsi="Arial" w:cs="Arial"/>
          <w:sz w:val="22"/>
        </w:rPr>
        <w:t xml:space="preserve">para </w:t>
      </w:r>
      <w:r w:rsidR="001E2957">
        <w:rPr>
          <w:rFonts w:ascii="Arial" w:hAnsi="Arial" w:cs="Arial"/>
          <w:sz w:val="22"/>
        </w:rPr>
        <w:t>los</w:t>
      </w:r>
      <w:r w:rsidRPr="00874629">
        <w:rPr>
          <w:rFonts w:ascii="Arial" w:hAnsi="Arial" w:cs="Arial"/>
          <w:sz w:val="22"/>
        </w:rPr>
        <w:t xml:space="preserve"> desembolso</w:t>
      </w:r>
      <w:r w:rsidR="001E2957">
        <w:rPr>
          <w:rFonts w:ascii="Arial" w:hAnsi="Arial" w:cs="Arial"/>
          <w:sz w:val="22"/>
        </w:rPr>
        <w:t>s</w:t>
      </w:r>
      <w:r w:rsidRPr="00874629">
        <w:rPr>
          <w:rFonts w:ascii="Arial" w:hAnsi="Arial" w:cs="Arial"/>
          <w:sz w:val="22"/>
        </w:rPr>
        <w:t xml:space="preserve"> de esta operación.</w:t>
      </w:r>
      <w:r>
        <w:rPr>
          <w:rFonts w:ascii="Arial" w:hAnsi="Arial" w:cs="Arial"/>
          <w:sz w:val="22"/>
        </w:rPr>
        <w:t xml:space="preserve"> Esto condiciona el </w:t>
      </w:r>
      <w:r w:rsidR="006B48C4">
        <w:rPr>
          <w:rFonts w:ascii="Arial" w:hAnsi="Arial" w:cs="Arial"/>
          <w:sz w:val="22"/>
        </w:rPr>
        <w:t>horizonte temporal y el alcance</w:t>
      </w:r>
      <w:r>
        <w:rPr>
          <w:rFonts w:ascii="Arial" w:hAnsi="Arial" w:cs="Arial"/>
          <w:sz w:val="22"/>
        </w:rPr>
        <w:t xml:space="preserve"> de</w:t>
      </w:r>
      <w:r w:rsidR="006B48C4">
        <w:rPr>
          <w:rFonts w:ascii="Arial" w:hAnsi="Arial" w:cs="Arial"/>
          <w:sz w:val="22"/>
        </w:rPr>
        <w:t>l</w:t>
      </w:r>
      <w:r>
        <w:rPr>
          <w:rFonts w:ascii="Arial" w:hAnsi="Arial" w:cs="Arial"/>
          <w:sz w:val="22"/>
        </w:rPr>
        <w:t xml:space="preserve"> monitoreo y evaluación</w:t>
      </w:r>
      <w:r w:rsidR="003F4C25">
        <w:rPr>
          <w:rFonts w:ascii="Arial" w:hAnsi="Arial" w:cs="Arial"/>
          <w:sz w:val="22"/>
        </w:rPr>
        <w:t>, los resultados e impactos esperados</w:t>
      </w:r>
      <w:r>
        <w:rPr>
          <w:rFonts w:ascii="Arial" w:hAnsi="Arial" w:cs="Arial"/>
          <w:sz w:val="22"/>
        </w:rPr>
        <w:t>.</w:t>
      </w:r>
    </w:p>
    <w:p w14:paraId="46779F37" w14:textId="6619467A" w:rsidR="005C3BC2" w:rsidRPr="002F0082" w:rsidRDefault="005C3BC2" w:rsidP="005C3BC2">
      <w:pPr>
        <w:pStyle w:val="Paragraph"/>
        <w:rPr>
          <w:rFonts w:ascii="Arial" w:hAnsi="Arial" w:cs="Arial"/>
          <w:sz w:val="22"/>
        </w:rPr>
      </w:pPr>
      <w:r>
        <w:rPr>
          <w:rFonts w:ascii="Arial" w:hAnsi="Arial" w:cs="Arial"/>
          <w:bCs/>
          <w:sz w:val="22"/>
        </w:rPr>
        <w:t>Dado que e</w:t>
      </w:r>
      <w:r w:rsidRPr="00874629">
        <w:rPr>
          <w:rFonts w:ascii="Arial" w:hAnsi="Arial" w:cs="Arial"/>
          <w:bCs/>
          <w:sz w:val="22"/>
        </w:rPr>
        <w:t xml:space="preserve">l desembolso de los recursos está sujeto al cumplimiento de las medidas de reformas de política que se describen en los componentes del programa y en la </w:t>
      </w:r>
      <w:r w:rsidRPr="002F0082">
        <w:rPr>
          <w:rFonts w:ascii="Arial" w:hAnsi="Arial" w:cs="Arial"/>
          <w:bCs/>
          <w:sz w:val="22"/>
        </w:rPr>
        <w:t>Matriz de Políticas y Medios de Verificación</w:t>
      </w:r>
      <w:r w:rsidRPr="002F0082">
        <w:rPr>
          <w:rStyle w:val="FootnoteReference"/>
          <w:rFonts w:ascii="Arial" w:hAnsi="Arial" w:cs="Arial"/>
          <w:bCs/>
          <w:sz w:val="22"/>
        </w:rPr>
        <w:footnoteReference w:id="6"/>
      </w:r>
      <w:r w:rsidRPr="002F0082">
        <w:rPr>
          <w:rFonts w:ascii="Arial" w:hAnsi="Arial" w:cs="Arial"/>
          <w:bCs/>
          <w:sz w:val="22"/>
        </w:rPr>
        <w:t xml:space="preserve"> (Anexo II), s</w:t>
      </w:r>
      <w:r w:rsidRPr="002F0082">
        <w:rPr>
          <w:rFonts w:ascii="Arial" w:hAnsi="Arial" w:cs="Arial"/>
          <w:sz w:val="22"/>
        </w:rPr>
        <w:t>e confirmará este cumplimiento mediante el monitoreo de los instrumentos identificados en la Matriz de Políticas y sus Medios Verificación, en particular, y mediante la ejecución del presente Plan de Seguimiento y Evaluación, en general.</w:t>
      </w:r>
    </w:p>
    <w:p w14:paraId="2C4083E8" w14:textId="3F06C7CD" w:rsidR="006B48C4" w:rsidRPr="002F0082" w:rsidRDefault="00ED0BFB" w:rsidP="006B48C4">
      <w:pPr>
        <w:pStyle w:val="Paragraph"/>
        <w:rPr>
          <w:rFonts w:ascii="Arial" w:hAnsi="Arial" w:cs="Arial"/>
          <w:sz w:val="22"/>
          <w:szCs w:val="22"/>
        </w:rPr>
      </w:pPr>
      <w:r w:rsidRPr="002F0082">
        <w:rPr>
          <w:rFonts w:ascii="Arial" w:hAnsi="Arial" w:cs="Arial"/>
          <w:sz w:val="22"/>
          <w:szCs w:val="22"/>
        </w:rPr>
        <w:t>En ese sentido, e</w:t>
      </w:r>
      <w:r w:rsidR="006B48C4" w:rsidRPr="002F0082">
        <w:rPr>
          <w:rFonts w:ascii="Arial" w:hAnsi="Arial" w:cs="Arial"/>
          <w:sz w:val="22"/>
          <w:szCs w:val="22"/>
        </w:rPr>
        <w:t>l Banco y el prestatario han acordado utilizar los siguientes instrumentos que definen el marco del plan de monitoreo y evaluación: (i) Matriz de Políticas (Anexo II del Documento de Propuesta de Préstamo PE-L1223); (ii) Matriz de Medios de Verificación; y (iii) Matriz de Resultados. Estos configuran los parámetros para la supervisión y evaluación de los resultados del programa.</w:t>
      </w:r>
    </w:p>
    <w:p w14:paraId="42111F64" w14:textId="77777777" w:rsidR="006B48C4" w:rsidRPr="00E82F98" w:rsidRDefault="006B48C4" w:rsidP="006B48C4">
      <w:pPr>
        <w:pStyle w:val="Paragraph"/>
        <w:rPr>
          <w:rFonts w:ascii="Arial" w:hAnsi="Arial" w:cs="Arial"/>
          <w:sz w:val="22"/>
          <w:szCs w:val="22"/>
        </w:rPr>
      </w:pPr>
      <w:r w:rsidRPr="002F0082">
        <w:rPr>
          <w:rFonts w:ascii="Arial" w:hAnsi="Arial" w:cs="Arial"/>
          <w:sz w:val="22"/>
          <w:szCs w:val="22"/>
        </w:rPr>
        <w:t xml:space="preserve">El objetivo del monitoreo es: (i) verificar el cumplimiento de los compromisos de política del GOP establecidos en la Matriz de Políticas; y (ii) verificar su alcance e impacto </w:t>
      </w:r>
      <w:proofErr w:type="gramStart"/>
      <w:r w:rsidRPr="002F0082">
        <w:rPr>
          <w:rFonts w:ascii="Arial" w:hAnsi="Arial" w:cs="Arial"/>
          <w:sz w:val="22"/>
          <w:szCs w:val="22"/>
        </w:rPr>
        <w:t>de acuerdo a</w:t>
      </w:r>
      <w:proofErr w:type="gramEnd"/>
      <w:r w:rsidRPr="002F0082">
        <w:rPr>
          <w:rFonts w:ascii="Arial" w:hAnsi="Arial" w:cs="Arial"/>
          <w:sz w:val="22"/>
          <w:szCs w:val="22"/>
        </w:rPr>
        <w:t xml:space="preserve"> las metas e indicadores establecidos en la Matriz de Resultados utilizando como referencia la Evaluación Macroeconómica Independiente del Banco (IAMC). Los medios de verificación serán la fuente de información que determinará el cumplimiento</w:t>
      </w:r>
      <w:r w:rsidRPr="00E82F98">
        <w:rPr>
          <w:rFonts w:ascii="Arial" w:hAnsi="Arial" w:cs="Arial"/>
          <w:sz w:val="22"/>
          <w:szCs w:val="22"/>
        </w:rPr>
        <w:t xml:space="preserve"> de las metas de política.</w:t>
      </w:r>
    </w:p>
    <w:p w14:paraId="7623DE0A" w14:textId="3ED7F3E2" w:rsidR="005C3BC2" w:rsidRDefault="005C3BC2" w:rsidP="005C3BC2">
      <w:pPr>
        <w:pStyle w:val="Paragraph"/>
        <w:rPr>
          <w:rFonts w:ascii="Arial" w:hAnsi="Arial" w:cs="Arial"/>
          <w:sz w:val="22"/>
          <w:szCs w:val="22"/>
        </w:rPr>
      </w:pPr>
      <w:r w:rsidRPr="00E82F98">
        <w:rPr>
          <w:rFonts w:ascii="Arial" w:hAnsi="Arial" w:cs="Arial"/>
          <w:sz w:val="22"/>
          <w:szCs w:val="22"/>
        </w:rPr>
        <w:t xml:space="preserve">El </w:t>
      </w:r>
      <w:r w:rsidR="003F4C25">
        <w:rPr>
          <w:rFonts w:ascii="Arial" w:hAnsi="Arial" w:cs="Arial"/>
          <w:sz w:val="22"/>
          <w:szCs w:val="22"/>
        </w:rPr>
        <w:t>MEF</w:t>
      </w:r>
      <w:r w:rsidRPr="00E82F98">
        <w:rPr>
          <w:rFonts w:ascii="Arial" w:hAnsi="Arial" w:cs="Arial"/>
          <w:sz w:val="22"/>
          <w:szCs w:val="22"/>
        </w:rPr>
        <w:t xml:space="preserve">, como </w:t>
      </w:r>
      <w:r w:rsidR="003F4C25">
        <w:rPr>
          <w:rFonts w:ascii="Arial" w:hAnsi="Arial" w:cs="Arial"/>
          <w:sz w:val="22"/>
          <w:szCs w:val="22"/>
        </w:rPr>
        <w:t>OE</w:t>
      </w:r>
      <w:r w:rsidRPr="00E82F98">
        <w:rPr>
          <w:rFonts w:ascii="Arial" w:hAnsi="Arial" w:cs="Arial"/>
          <w:sz w:val="22"/>
          <w:szCs w:val="22"/>
        </w:rPr>
        <w:t xml:space="preserve"> del programa, presentará al Banco la evidencia de cumplimiento de los compromisos de política y otros aspectos </w:t>
      </w:r>
      <w:proofErr w:type="gramStart"/>
      <w:r w:rsidRPr="00E82F98">
        <w:rPr>
          <w:rFonts w:ascii="Arial" w:hAnsi="Arial" w:cs="Arial"/>
          <w:sz w:val="22"/>
          <w:szCs w:val="22"/>
        </w:rPr>
        <w:t>del mismo</w:t>
      </w:r>
      <w:proofErr w:type="gramEnd"/>
      <w:r w:rsidRPr="00E82F98">
        <w:rPr>
          <w:rFonts w:ascii="Arial" w:hAnsi="Arial" w:cs="Arial"/>
          <w:sz w:val="22"/>
          <w:szCs w:val="22"/>
        </w:rPr>
        <w:t xml:space="preserve"> que el BID necesite para aprobar el desembolso respectivo. </w:t>
      </w:r>
      <w:r w:rsidRPr="00E82F98">
        <w:rPr>
          <w:rFonts w:ascii="Arial" w:eastAsia="Arial" w:hAnsi="Arial" w:cs="Arial"/>
          <w:sz w:val="22"/>
          <w:szCs w:val="22"/>
        </w:rPr>
        <w:t xml:space="preserve">La utilización de los recursos del Banco será llevada a cabo por </w:t>
      </w:r>
      <w:r w:rsidR="003F4C25">
        <w:rPr>
          <w:rFonts w:ascii="Arial" w:eastAsia="Arial" w:hAnsi="Arial" w:cs="Arial"/>
          <w:sz w:val="22"/>
          <w:szCs w:val="22"/>
        </w:rPr>
        <w:t>el GOP</w:t>
      </w:r>
      <w:r w:rsidRPr="00E82F98">
        <w:rPr>
          <w:rFonts w:ascii="Arial" w:eastAsia="Arial" w:hAnsi="Arial" w:cs="Arial"/>
          <w:sz w:val="22"/>
          <w:szCs w:val="22"/>
        </w:rPr>
        <w:t xml:space="preserve"> por intermedio de la </w:t>
      </w:r>
      <w:r w:rsidR="003F4C25">
        <w:rPr>
          <w:rFonts w:ascii="Arial" w:eastAsia="Arial" w:hAnsi="Arial" w:cs="Arial"/>
          <w:sz w:val="22"/>
          <w:szCs w:val="22"/>
        </w:rPr>
        <w:t>DGETP</w:t>
      </w:r>
      <w:r w:rsidRPr="00E82F98">
        <w:rPr>
          <w:rFonts w:ascii="Arial" w:eastAsia="Arial" w:hAnsi="Arial" w:cs="Arial"/>
          <w:sz w:val="22"/>
          <w:szCs w:val="22"/>
        </w:rPr>
        <w:t xml:space="preserve">. </w:t>
      </w:r>
      <w:r>
        <w:rPr>
          <w:rFonts w:ascii="Arial" w:hAnsi="Arial" w:cs="Arial"/>
          <w:sz w:val="22"/>
          <w:szCs w:val="22"/>
        </w:rPr>
        <w:t>El OE</w:t>
      </w:r>
      <w:r w:rsidRPr="00E82F98">
        <w:rPr>
          <w:rFonts w:ascii="Arial" w:hAnsi="Arial" w:cs="Arial"/>
          <w:sz w:val="22"/>
          <w:szCs w:val="22"/>
        </w:rPr>
        <w:t xml:space="preserve"> será la entidad responsable del monitoreo y seguimiento técnico de los resultados del préstamo. </w:t>
      </w:r>
      <w:r>
        <w:rPr>
          <w:rFonts w:ascii="Arial" w:hAnsi="Arial" w:cs="Arial"/>
          <w:sz w:val="22"/>
          <w:szCs w:val="22"/>
        </w:rPr>
        <w:t>Otr</w:t>
      </w:r>
      <w:r w:rsidR="003F4C25">
        <w:rPr>
          <w:rFonts w:ascii="Arial" w:hAnsi="Arial" w:cs="Arial"/>
          <w:sz w:val="22"/>
          <w:szCs w:val="22"/>
        </w:rPr>
        <w:t>o</w:t>
      </w:r>
      <w:r>
        <w:rPr>
          <w:rFonts w:ascii="Arial" w:hAnsi="Arial" w:cs="Arial"/>
          <w:sz w:val="22"/>
          <w:szCs w:val="22"/>
        </w:rPr>
        <w:t xml:space="preserve">s </w:t>
      </w:r>
      <w:r w:rsidR="003F4C25">
        <w:rPr>
          <w:rFonts w:ascii="Arial" w:hAnsi="Arial" w:cs="Arial"/>
          <w:sz w:val="22"/>
          <w:szCs w:val="22"/>
        </w:rPr>
        <w:t xml:space="preserve">Ministerios o </w:t>
      </w:r>
      <w:r>
        <w:rPr>
          <w:rFonts w:ascii="Arial" w:hAnsi="Arial" w:cs="Arial"/>
          <w:sz w:val="22"/>
          <w:szCs w:val="22"/>
        </w:rPr>
        <w:t xml:space="preserve">agencias </w:t>
      </w:r>
      <w:r w:rsidR="003F4C25">
        <w:rPr>
          <w:rFonts w:ascii="Arial" w:hAnsi="Arial" w:cs="Arial"/>
          <w:sz w:val="22"/>
          <w:szCs w:val="22"/>
        </w:rPr>
        <w:t xml:space="preserve">designadas como responsables de la producción de los medios de verificación </w:t>
      </w:r>
      <w:r>
        <w:rPr>
          <w:rFonts w:ascii="Arial" w:hAnsi="Arial" w:cs="Arial"/>
          <w:sz w:val="22"/>
          <w:szCs w:val="22"/>
        </w:rPr>
        <w:t>suministrarán información necesaria para el monitoreo en coordinación con el OE.</w:t>
      </w:r>
      <w:r w:rsidRPr="00E82F98">
        <w:rPr>
          <w:rFonts w:ascii="Arial" w:hAnsi="Arial" w:cs="Arial"/>
          <w:sz w:val="22"/>
          <w:szCs w:val="22"/>
        </w:rPr>
        <w:t xml:space="preserve"> </w:t>
      </w:r>
    </w:p>
    <w:p w14:paraId="68BEEA4A" w14:textId="649BE6B6" w:rsidR="005C3BC2" w:rsidRPr="00E82F98" w:rsidRDefault="005C3BC2" w:rsidP="005C3BC2">
      <w:pPr>
        <w:pStyle w:val="Paragraph"/>
        <w:rPr>
          <w:rFonts w:ascii="Arial" w:hAnsi="Arial" w:cs="Arial"/>
          <w:sz w:val="22"/>
          <w:szCs w:val="22"/>
        </w:rPr>
      </w:pPr>
      <w:r w:rsidRPr="00E82F98">
        <w:rPr>
          <w:rFonts w:ascii="Arial" w:hAnsi="Arial" w:cs="Arial"/>
          <w:sz w:val="22"/>
          <w:szCs w:val="22"/>
        </w:rPr>
        <w:t>El equipo de proyecto del BID monitoreará su ejecución desde la oficina de país, así como desde la Divisi</w:t>
      </w:r>
      <w:r w:rsidR="003F4C25">
        <w:rPr>
          <w:rFonts w:ascii="Arial" w:hAnsi="Arial" w:cs="Arial"/>
          <w:sz w:val="22"/>
          <w:szCs w:val="22"/>
        </w:rPr>
        <w:t>ones de</w:t>
      </w:r>
      <w:r w:rsidRPr="00E82F98">
        <w:rPr>
          <w:rFonts w:ascii="Arial" w:hAnsi="Arial" w:cs="Arial"/>
          <w:sz w:val="22"/>
          <w:szCs w:val="22"/>
        </w:rPr>
        <w:t xml:space="preserve"> </w:t>
      </w:r>
      <w:r w:rsidR="003F4C25">
        <w:rPr>
          <w:rFonts w:ascii="Arial" w:hAnsi="Arial" w:cs="Arial"/>
          <w:sz w:val="22"/>
          <w:szCs w:val="22"/>
        </w:rPr>
        <w:t>Competitividad, Tecnología e Innovación (CTI</w:t>
      </w:r>
      <w:r w:rsidR="003F4C25" w:rsidRPr="00E82F98">
        <w:rPr>
          <w:rFonts w:ascii="Arial" w:hAnsi="Arial" w:cs="Arial"/>
          <w:sz w:val="22"/>
          <w:szCs w:val="22"/>
        </w:rPr>
        <w:t>)</w:t>
      </w:r>
      <w:r w:rsidR="003F4C25">
        <w:rPr>
          <w:rFonts w:ascii="Arial" w:hAnsi="Arial" w:cs="Arial"/>
          <w:sz w:val="22"/>
          <w:szCs w:val="22"/>
        </w:rPr>
        <w:t xml:space="preserve">, </w:t>
      </w:r>
      <w:r w:rsidR="003959A9">
        <w:rPr>
          <w:rFonts w:ascii="Arial" w:hAnsi="Arial" w:cs="Arial"/>
          <w:sz w:val="22"/>
          <w:szCs w:val="22"/>
        </w:rPr>
        <w:t xml:space="preserve">Educación (EDU), Manejo Fiscal y Municipal (FMM) </w:t>
      </w:r>
      <w:r w:rsidR="003F4C25">
        <w:rPr>
          <w:rFonts w:ascii="Arial" w:hAnsi="Arial" w:cs="Arial"/>
          <w:sz w:val="22"/>
          <w:szCs w:val="22"/>
        </w:rPr>
        <w:t>y Mercados Laborales (LMK)</w:t>
      </w:r>
      <w:r w:rsidRPr="00E82F98">
        <w:rPr>
          <w:rFonts w:ascii="Arial" w:hAnsi="Arial" w:cs="Arial"/>
          <w:sz w:val="22"/>
          <w:szCs w:val="22"/>
        </w:rPr>
        <w:t xml:space="preserve">. El OE será la entidad responsable del monitoreo y seguimiento de </w:t>
      </w:r>
      <w:r>
        <w:rPr>
          <w:rFonts w:ascii="Arial" w:hAnsi="Arial" w:cs="Arial"/>
          <w:sz w:val="22"/>
          <w:szCs w:val="22"/>
        </w:rPr>
        <w:t>los resultados de la operación</w:t>
      </w:r>
      <w:r w:rsidRPr="00E82F98">
        <w:rPr>
          <w:rFonts w:ascii="Arial" w:hAnsi="Arial" w:cs="Arial"/>
          <w:sz w:val="22"/>
          <w:szCs w:val="22"/>
        </w:rPr>
        <w:t xml:space="preserve"> a efectos de informar debidamente al Banco.</w:t>
      </w:r>
    </w:p>
    <w:p w14:paraId="7F2F08E6" w14:textId="77777777" w:rsidR="005C3BC2" w:rsidRPr="00E82F98" w:rsidRDefault="005C3BC2" w:rsidP="005C3BC2">
      <w:pPr>
        <w:pStyle w:val="Paragraph"/>
        <w:rPr>
          <w:rFonts w:ascii="Arial" w:hAnsi="Arial" w:cs="Arial"/>
          <w:sz w:val="22"/>
          <w:szCs w:val="22"/>
        </w:rPr>
      </w:pPr>
      <w:r w:rsidRPr="00E82F98">
        <w:rPr>
          <w:rFonts w:ascii="Arial" w:hAnsi="Arial" w:cs="Arial"/>
          <w:sz w:val="22"/>
          <w:szCs w:val="22"/>
        </w:rPr>
        <w:t xml:space="preserve">El monitoreo </w:t>
      </w:r>
      <w:r>
        <w:rPr>
          <w:rFonts w:ascii="Arial" w:hAnsi="Arial" w:cs="Arial"/>
          <w:sz w:val="22"/>
          <w:szCs w:val="22"/>
        </w:rPr>
        <w:t>hecho por el</w:t>
      </w:r>
      <w:r w:rsidRPr="00E82F98">
        <w:rPr>
          <w:rFonts w:ascii="Arial" w:hAnsi="Arial" w:cs="Arial"/>
          <w:sz w:val="22"/>
          <w:szCs w:val="22"/>
        </w:rPr>
        <w:t xml:space="preserve"> equipo de proyecto tendrá inicio después de la aprobación de la operación en el Directorio del Banco, con el objetivo de elaborar el Memorando de Desembolso sobre la base de la verificación del cumplimiento de los compromisos de política establec</w:t>
      </w:r>
      <w:r>
        <w:rPr>
          <w:rFonts w:ascii="Arial" w:hAnsi="Arial" w:cs="Arial"/>
          <w:sz w:val="22"/>
          <w:szCs w:val="22"/>
        </w:rPr>
        <w:t xml:space="preserve">idos en la </w:t>
      </w:r>
      <w:r w:rsidRPr="002F0082">
        <w:rPr>
          <w:rFonts w:ascii="Arial" w:hAnsi="Arial" w:cs="Arial"/>
          <w:sz w:val="22"/>
          <w:szCs w:val="22"/>
        </w:rPr>
        <w:t>Matriz de Políticas en base a los medios definidos en la Matriz de Medios de Verificación. Por otro lado, el monitoreo de las metas e indicadores de productos, resultados</w:t>
      </w:r>
      <w:r w:rsidRPr="00E82F98">
        <w:rPr>
          <w:rFonts w:ascii="Arial" w:hAnsi="Arial" w:cs="Arial"/>
          <w:sz w:val="22"/>
          <w:szCs w:val="22"/>
        </w:rPr>
        <w:t xml:space="preserve"> y propósitos tendrá inicio una vez desembolsados los recursos de la operación.</w:t>
      </w:r>
    </w:p>
    <w:p w14:paraId="4A754E99" w14:textId="77777777" w:rsidR="005C3BC2" w:rsidRPr="00E82F98" w:rsidRDefault="005C3BC2" w:rsidP="005C3BC2">
      <w:pPr>
        <w:pStyle w:val="Paragraph"/>
        <w:rPr>
          <w:rFonts w:ascii="Arial" w:hAnsi="Arial" w:cs="Arial"/>
          <w:sz w:val="22"/>
          <w:szCs w:val="22"/>
        </w:rPr>
      </w:pPr>
      <w:r w:rsidRPr="00E82F98">
        <w:rPr>
          <w:rFonts w:ascii="Arial" w:hAnsi="Arial" w:cs="Arial"/>
          <w:sz w:val="22"/>
          <w:szCs w:val="22"/>
        </w:rPr>
        <w:t>El esquema de monitoreo del programa incluirá, por lo menos:</w:t>
      </w:r>
    </w:p>
    <w:p w14:paraId="115524EB" w14:textId="6DF9059B" w:rsidR="005C3BC2" w:rsidRPr="00E82F98" w:rsidRDefault="005C3BC2" w:rsidP="005C3BC2">
      <w:pPr>
        <w:pStyle w:val="subpar"/>
        <w:rPr>
          <w:rFonts w:ascii="Arial" w:hAnsi="Arial" w:cs="Arial"/>
          <w:sz w:val="22"/>
          <w:szCs w:val="22"/>
        </w:rPr>
      </w:pPr>
      <w:r w:rsidRPr="00E82F98">
        <w:rPr>
          <w:rFonts w:ascii="Arial" w:hAnsi="Arial" w:cs="Arial"/>
          <w:sz w:val="22"/>
          <w:szCs w:val="22"/>
        </w:rPr>
        <w:t>La realización de misiones para el apoyo</w:t>
      </w:r>
      <w:r w:rsidR="00FF16A1">
        <w:rPr>
          <w:rFonts w:ascii="Arial" w:hAnsi="Arial" w:cs="Arial"/>
          <w:sz w:val="22"/>
          <w:szCs w:val="22"/>
        </w:rPr>
        <w:t xml:space="preserve"> de la formulación del segundo tramo de la operación como para el</w:t>
      </w:r>
      <w:r w:rsidRPr="00E82F98">
        <w:rPr>
          <w:rFonts w:ascii="Arial" w:hAnsi="Arial" w:cs="Arial"/>
          <w:sz w:val="22"/>
          <w:szCs w:val="22"/>
        </w:rPr>
        <w:t xml:space="preserve"> seguimiento técnico y operativo de los avances del programa, en las que participarán los actores institucionales relevantes y el Banco, dando luego debida difusión a los acuerdos de gestión alcanzados.</w:t>
      </w:r>
    </w:p>
    <w:p w14:paraId="0A75FCFA" w14:textId="77777777" w:rsidR="005C3BC2" w:rsidRPr="00E82F98" w:rsidRDefault="005C3BC2" w:rsidP="005C3BC2">
      <w:pPr>
        <w:pStyle w:val="subpar"/>
        <w:rPr>
          <w:rFonts w:ascii="Arial" w:hAnsi="Arial" w:cs="Arial"/>
          <w:sz w:val="22"/>
          <w:szCs w:val="22"/>
        </w:rPr>
      </w:pPr>
      <w:r w:rsidRPr="00E82F98">
        <w:rPr>
          <w:rFonts w:ascii="Arial" w:hAnsi="Arial" w:cs="Arial"/>
          <w:sz w:val="22"/>
          <w:szCs w:val="22"/>
        </w:rPr>
        <w:t>Los informes semestrales de los avances de cada uno de los componentes y el desempeño del programa según la Matriz de Resultados acordada.</w:t>
      </w:r>
    </w:p>
    <w:p w14:paraId="6B76BFBC" w14:textId="77777777" w:rsidR="005C3BC2" w:rsidRPr="00165E2E" w:rsidRDefault="005C3BC2" w:rsidP="005C3BC2">
      <w:pPr>
        <w:pStyle w:val="Paragraph"/>
        <w:rPr>
          <w:rFonts w:ascii="Arial" w:hAnsi="Arial" w:cs="Arial"/>
          <w:sz w:val="22"/>
          <w:szCs w:val="22"/>
        </w:rPr>
      </w:pPr>
      <w:r w:rsidRPr="00E82F98">
        <w:rPr>
          <w:rFonts w:ascii="Arial" w:hAnsi="Arial" w:cs="Arial"/>
          <w:sz w:val="22"/>
          <w:szCs w:val="22"/>
        </w:rPr>
        <w:t>Este esquema estará vigente mientras est</w:t>
      </w:r>
      <w:r>
        <w:rPr>
          <w:rFonts w:ascii="Arial" w:hAnsi="Arial" w:cs="Arial"/>
          <w:sz w:val="22"/>
          <w:szCs w:val="22"/>
        </w:rPr>
        <w:t>é</w:t>
      </w:r>
      <w:r w:rsidRPr="00E82F98">
        <w:rPr>
          <w:rFonts w:ascii="Arial" w:hAnsi="Arial" w:cs="Arial"/>
          <w:sz w:val="22"/>
          <w:szCs w:val="22"/>
        </w:rPr>
        <w:t xml:space="preserve"> activa la operación, y finalizará cuando concluya la misma.  </w:t>
      </w:r>
    </w:p>
    <w:p w14:paraId="45A682FC" w14:textId="0F505DDD" w:rsidR="005C3BC2" w:rsidRPr="0093142D" w:rsidRDefault="005C3BC2" w:rsidP="005C3BC2">
      <w:pPr>
        <w:pStyle w:val="FirstHeading"/>
        <w:rPr>
          <w:rFonts w:ascii="Arial" w:hAnsi="Arial" w:cs="Arial"/>
          <w:sz w:val="22"/>
          <w:szCs w:val="22"/>
          <w:lang w:val="es-ES"/>
        </w:rPr>
      </w:pPr>
      <w:r w:rsidRPr="0093142D">
        <w:rPr>
          <w:rFonts w:ascii="Arial" w:hAnsi="Arial" w:cs="Arial"/>
          <w:sz w:val="22"/>
          <w:szCs w:val="22"/>
          <w:lang w:val="es-ES"/>
        </w:rPr>
        <w:fldChar w:fldCharType="begin"/>
      </w:r>
      <w:r w:rsidRPr="0093142D">
        <w:rPr>
          <w:rFonts w:ascii="Arial" w:hAnsi="Arial" w:cs="Arial"/>
          <w:sz w:val="22"/>
          <w:szCs w:val="22"/>
          <w:lang w:val="es-ES"/>
        </w:rPr>
        <w:instrText xml:space="preserve"> SEQ "</w:instrText>
      </w:r>
      <w:r w:rsidRPr="0093142D">
        <w:rPr>
          <w:rFonts w:ascii="Arial" w:hAnsi="Arial" w:cs="Arial"/>
          <w:sz w:val="22"/>
          <w:szCs w:val="22"/>
          <w:lang w:val="es-ES"/>
        </w:rPr>
        <w:fldChar w:fldCharType="begin"/>
      </w:r>
      <w:r w:rsidRPr="0093142D">
        <w:rPr>
          <w:rFonts w:ascii="Arial" w:hAnsi="Arial" w:cs="Arial"/>
          <w:sz w:val="22"/>
          <w:szCs w:val="22"/>
          <w:lang w:val="es-ES"/>
        </w:rPr>
        <w:instrText xml:space="preserve"> SECTION  \* MERGEFORMAT </w:instrText>
      </w:r>
      <w:r w:rsidRPr="0093142D">
        <w:rPr>
          <w:rFonts w:ascii="Arial" w:hAnsi="Arial" w:cs="Arial"/>
          <w:sz w:val="22"/>
          <w:szCs w:val="22"/>
          <w:lang w:val="es-ES"/>
        </w:rPr>
        <w:fldChar w:fldCharType="separate"/>
      </w:r>
      <w:r w:rsidR="00FD4383">
        <w:rPr>
          <w:rFonts w:ascii="Arial" w:hAnsi="Arial" w:cs="Arial"/>
          <w:sz w:val="22"/>
          <w:szCs w:val="22"/>
          <w:lang w:val="es-ES"/>
        </w:rPr>
        <w:instrText>2</w:instrText>
      </w:r>
      <w:r w:rsidRPr="0093142D">
        <w:rPr>
          <w:rFonts w:ascii="Arial" w:hAnsi="Arial" w:cs="Arial"/>
          <w:sz w:val="22"/>
          <w:szCs w:val="22"/>
          <w:lang w:val="es-ES"/>
        </w:rPr>
        <w:fldChar w:fldCharType="end"/>
      </w:r>
      <w:r w:rsidRPr="0093142D">
        <w:rPr>
          <w:rFonts w:ascii="Arial" w:hAnsi="Arial" w:cs="Arial"/>
          <w:sz w:val="22"/>
          <w:szCs w:val="22"/>
          <w:lang w:val="es-ES"/>
        </w:rPr>
        <w:instrText xml:space="preserve">#"\* ALPHABETIC \* MERGEFORMAT </w:instrText>
      </w:r>
      <w:r w:rsidRPr="0093142D">
        <w:rPr>
          <w:rFonts w:ascii="Arial" w:hAnsi="Arial" w:cs="Arial"/>
          <w:sz w:val="22"/>
          <w:szCs w:val="22"/>
          <w:lang w:val="es-ES"/>
        </w:rPr>
        <w:fldChar w:fldCharType="separate"/>
      </w:r>
      <w:bookmarkStart w:id="3" w:name="_Toc524431180"/>
      <w:r w:rsidR="00FD4383">
        <w:rPr>
          <w:rFonts w:ascii="Arial" w:hAnsi="Arial" w:cs="Arial"/>
          <w:noProof/>
          <w:sz w:val="22"/>
          <w:szCs w:val="22"/>
          <w:lang w:val="es-ES"/>
        </w:rPr>
        <w:t>A</w:t>
      </w:r>
      <w:r w:rsidRPr="0093142D">
        <w:rPr>
          <w:rFonts w:ascii="Arial" w:hAnsi="Arial" w:cs="Arial"/>
          <w:sz w:val="22"/>
          <w:szCs w:val="22"/>
          <w:lang w:val="es-ES"/>
        </w:rPr>
        <w:fldChar w:fldCharType="end"/>
      </w:r>
      <w:r w:rsidRPr="0093142D">
        <w:rPr>
          <w:rFonts w:ascii="Arial" w:hAnsi="Arial" w:cs="Arial"/>
          <w:sz w:val="22"/>
          <w:szCs w:val="22"/>
          <w:lang w:val="es-ES"/>
        </w:rPr>
        <w:t>.</w:t>
      </w:r>
      <w:r w:rsidRPr="0093142D">
        <w:rPr>
          <w:rFonts w:ascii="Arial" w:hAnsi="Arial" w:cs="Arial"/>
          <w:sz w:val="22"/>
          <w:szCs w:val="22"/>
          <w:lang w:val="es-ES"/>
        </w:rPr>
        <w:tab/>
        <w:t>Indicadores</w:t>
      </w:r>
      <w:bookmarkEnd w:id="3"/>
    </w:p>
    <w:p w14:paraId="1FFBE8C6" w14:textId="20DDFAFE" w:rsidR="005C3BC2" w:rsidRPr="0099677E" w:rsidRDefault="005974DE" w:rsidP="005C3BC2">
      <w:pPr>
        <w:pStyle w:val="Paragraph"/>
        <w:rPr>
          <w:rFonts w:ascii="Arial" w:hAnsi="Arial" w:cs="Arial"/>
          <w:sz w:val="22"/>
        </w:rPr>
      </w:pPr>
      <w:r>
        <w:rPr>
          <w:rFonts w:ascii="Arial" w:hAnsi="Arial" w:cs="Arial"/>
          <w:sz w:val="22"/>
        </w:rPr>
        <w:t>Como se indicó anteriormente, e</w:t>
      </w:r>
      <w:r w:rsidR="005C3BC2">
        <w:rPr>
          <w:rFonts w:ascii="Arial" w:hAnsi="Arial" w:cs="Arial"/>
          <w:sz w:val="22"/>
        </w:rPr>
        <w:t xml:space="preserve">l marco de evaluación del cumplimiento de compromisos de políticas viene dado por la Matriz de Políticas y sus Medios de Verificación. </w:t>
      </w:r>
      <w:r w:rsidR="005C3BC2" w:rsidRPr="0099677E">
        <w:rPr>
          <w:rFonts w:ascii="Arial" w:hAnsi="Arial" w:cs="Arial"/>
          <w:sz w:val="22"/>
        </w:rPr>
        <w:t xml:space="preserve">El marco de medición de la efectividad para el desarrollo de este programa está conformado </w:t>
      </w:r>
      <w:r w:rsidR="005C3BC2" w:rsidRPr="002F0082">
        <w:rPr>
          <w:rFonts w:ascii="Arial" w:hAnsi="Arial" w:cs="Arial"/>
          <w:sz w:val="22"/>
        </w:rPr>
        <w:t>por la matriz de resultados. Los productos consignados en dicha matriz (ver Cuadro 1) replican la estructura de la matriz de políticas, que a su vez se alinea a los objetivos de desarrollo</w:t>
      </w:r>
      <w:r w:rsidR="005C3BC2" w:rsidRPr="0099677E">
        <w:rPr>
          <w:rFonts w:ascii="Arial" w:hAnsi="Arial" w:cs="Arial"/>
          <w:sz w:val="22"/>
        </w:rPr>
        <w:t xml:space="preserve"> específico</w:t>
      </w:r>
      <w:r w:rsidR="005C3BC2">
        <w:rPr>
          <w:rFonts w:ascii="Arial" w:hAnsi="Arial" w:cs="Arial"/>
          <w:sz w:val="22"/>
        </w:rPr>
        <w:t>s de este programa</w:t>
      </w:r>
      <w:r w:rsidR="000F3103">
        <w:rPr>
          <w:rFonts w:ascii="Arial" w:hAnsi="Arial" w:cs="Arial"/>
          <w:sz w:val="22"/>
        </w:rPr>
        <w:t xml:space="preserve">: </w:t>
      </w:r>
      <w:r w:rsidR="00BE6C14" w:rsidRPr="00204603">
        <w:rPr>
          <w:rFonts w:ascii="Arial" w:hAnsi="Arial" w:cs="Arial"/>
          <w:sz w:val="22"/>
          <w:szCs w:val="22"/>
        </w:rPr>
        <w:t>mejorar la calidad del factor productivo laboral</w:t>
      </w:r>
      <w:r w:rsidR="00BE6C14">
        <w:rPr>
          <w:rFonts w:ascii="Arial" w:hAnsi="Arial" w:cs="Arial"/>
          <w:sz w:val="22"/>
          <w:szCs w:val="22"/>
        </w:rPr>
        <w:t xml:space="preserve"> y</w:t>
      </w:r>
      <w:r w:rsidR="00BE6C14" w:rsidRPr="00204603">
        <w:rPr>
          <w:rFonts w:ascii="Arial" w:hAnsi="Arial" w:cs="Arial"/>
          <w:sz w:val="22"/>
          <w:szCs w:val="22"/>
        </w:rPr>
        <w:t xml:space="preserve"> reducir los limitantes de las políticas públicas que no permiten la eficiencia en la asignación de los factores productivos</w:t>
      </w:r>
      <w:r w:rsidR="005C3BC2" w:rsidRPr="0099677E">
        <w:rPr>
          <w:rFonts w:ascii="Arial" w:hAnsi="Arial" w:cs="Arial"/>
          <w:sz w:val="22"/>
        </w:rPr>
        <w:t>.</w:t>
      </w:r>
    </w:p>
    <w:p w14:paraId="1E1DA4A3" w14:textId="77777777" w:rsidR="005C3BC2" w:rsidRPr="001F1902" w:rsidRDefault="005C3BC2" w:rsidP="005C3BC2">
      <w:pPr>
        <w:pStyle w:val="Paragraph"/>
        <w:rPr>
          <w:rFonts w:ascii="Arial" w:hAnsi="Arial" w:cs="Arial"/>
          <w:sz w:val="22"/>
          <w:szCs w:val="22"/>
        </w:rPr>
      </w:pPr>
      <w:r w:rsidRPr="001F1902">
        <w:rPr>
          <w:rFonts w:ascii="Arial" w:hAnsi="Arial" w:cs="Arial"/>
          <w:sz w:val="22"/>
          <w:szCs w:val="22"/>
        </w:rPr>
        <w:t>Los indicadores de monitoreo medirán el grado de avance en la consecución anual de cada uno de los productos, resultados y propósitos list</w:t>
      </w:r>
      <w:r>
        <w:rPr>
          <w:rFonts w:ascii="Arial" w:hAnsi="Arial" w:cs="Arial"/>
          <w:sz w:val="22"/>
          <w:szCs w:val="22"/>
        </w:rPr>
        <w:t>ados en la Matriz de Políticas</w:t>
      </w:r>
      <w:r w:rsidRPr="001F1902">
        <w:rPr>
          <w:rFonts w:ascii="Arial" w:hAnsi="Arial" w:cs="Arial"/>
          <w:sz w:val="22"/>
          <w:szCs w:val="22"/>
        </w:rPr>
        <w:t xml:space="preserve"> y la Matriz de Resultados.</w:t>
      </w:r>
    </w:p>
    <w:p w14:paraId="7241B73C" w14:textId="37972B7A" w:rsidR="005C3BC2" w:rsidRPr="002F0082" w:rsidRDefault="005C3BC2" w:rsidP="005C3BC2">
      <w:pPr>
        <w:pStyle w:val="Paragraph"/>
        <w:rPr>
          <w:rFonts w:ascii="Arial" w:hAnsi="Arial" w:cs="Arial"/>
          <w:sz w:val="22"/>
          <w:szCs w:val="22"/>
        </w:rPr>
      </w:pPr>
      <w:r w:rsidRPr="001F1902">
        <w:rPr>
          <w:rFonts w:ascii="Arial" w:hAnsi="Arial" w:cs="Arial"/>
          <w:b/>
          <w:sz w:val="22"/>
          <w:szCs w:val="22"/>
        </w:rPr>
        <w:t>Indicadores de productos</w:t>
      </w:r>
      <w:r>
        <w:rPr>
          <w:rFonts w:ascii="Arial" w:hAnsi="Arial" w:cs="Arial"/>
          <w:b/>
          <w:sz w:val="22"/>
          <w:szCs w:val="22"/>
        </w:rPr>
        <w:t xml:space="preserve"> (Cuadro 1)</w:t>
      </w:r>
      <w:r w:rsidRPr="001F1902">
        <w:rPr>
          <w:rFonts w:ascii="Arial" w:hAnsi="Arial" w:cs="Arial"/>
          <w:sz w:val="22"/>
          <w:szCs w:val="22"/>
        </w:rPr>
        <w:t xml:space="preserve">. Al tratarse de un préstamo programático, los indicadores a los que se dará seguimiento como parte de la verificación del cumplimiento de las acciones del programa son aquéllos contenidos en la Matriz de Políticas. El cumplimiento de dichos indicadores será comprobado mediante la información contenida en la </w:t>
      </w:r>
      <w:r w:rsidRPr="002F0082">
        <w:rPr>
          <w:rFonts w:ascii="Arial" w:hAnsi="Arial" w:cs="Arial"/>
          <w:sz w:val="22"/>
          <w:szCs w:val="22"/>
        </w:rPr>
        <w:t>Matriz de Medios de Verificación. Dicha Matriz especifica todas las acciones a ser implementadas en el programa, las entidades responsables por llevar a cabo cada una de dichas acciones, y la información específica que permitirá al Banco verificar su cumplimiento.</w:t>
      </w:r>
    </w:p>
    <w:p w14:paraId="5E1F7793" w14:textId="77777777" w:rsidR="005C3BC2" w:rsidRPr="00F72B98" w:rsidRDefault="005C3BC2" w:rsidP="005C3BC2">
      <w:pPr>
        <w:pStyle w:val="Paragraph"/>
        <w:rPr>
          <w:rFonts w:ascii="Arial" w:hAnsi="Arial" w:cs="Arial"/>
          <w:sz w:val="22"/>
          <w:szCs w:val="22"/>
        </w:rPr>
        <w:sectPr w:rsidR="005C3BC2" w:rsidRPr="00F72B98" w:rsidSect="002870D0">
          <w:type w:val="continuous"/>
          <w:pgSz w:w="12240" w:h="15840"/>
          <w:pgMar w:top="1440" w:right="1800" w:bottom="1440" w:left="1800" w:header="720" w:footer="720" w:gutter="0"/>
          <w:cols w:space="720"/>
          <w:titlePg/>
          <w:docGrid w:linePitch="360"/>
        </w:sectPr>
      </w:pPr>
      <w:r w:rsidRPr="002F0082">
        <w:rPr>
          <w:rFonts w:ascii="Arial" w:hAnsi="Arial" w:cs="Arial"/>
          <w:b/>
          <w:sz w:val="22"/>
          <w:szCs w:val="22"/>
        </w:rPr>
        <w:t>Indicadores de resultados (Cuadro 2)</w:t>
      </w:r>
      <w:r w:rsidRPr="002F0082">
        <w:rPr>
          <w:rFonts w:ascii="Arial" w:hAnsi="Arial" w:cs="Arial"/>
          <w:sz w:val="22"/>
          <w:szCs w:val="22"/>
        </w:rPr>
        <w:t>. Los indicadores a los que se dará seguimiento son aquéllos contenidos en la Matriz de Resultados. El progreso de dichos indicadores será relevado en base a informes de</w:t>
      </w:r>
      <w:r w:rsidRPr="001F1902">
        <w:rPr>
          <w:rFonts w:ascii="Arial" w:hAnsi="Arial" w:cs="Arial"/>
          <w:sz w:val="22"/>
          <w:szCs w:val="22"/>
        </w:rPr>
        <w:t xml:space="preserve"> avance elaborados por el OE.</w:t>
      </w:r>
    </w:p>
    <w:p w14:paraId="783B2920" w14:textId="77777777" w:rsidR="005C3BC2" w:rsidRPr="00515099" w:rsidRDefault="005C3BC2" w:rsidP="005C3BC2">
      <w:pPr>
        <w:pStyle w:val="AutoNumpara"/>
        <w:numPr>
          <w:ilvl w:val="0"/>
          <w:numId w:val="0"/>
        </w:numPr>
        <w:spacing w:before="0" w:after="0"/>
        <w:jc w:val="center"/>
        <w:rPr>
          <w:rFonts w:ascii="Arial" w:hAnsi="Arial" w:cs="Arial"/>
          <w:b/>
          <w:sz w:val="22"/>
        </w:rPr>
      </w:pPr>
      <w:bookmarkStart w:id="4" w:name="_Hlk483390954"/>
      <w:r w:rsidRPr="00515099">
        <w:rPr>
          <w:rFonts w:ascii="Arial" w:hAnsi="Arial" w:cs="Arial"/>
          <w:b/>
          <w:sz w:val="22"/>
        </w:rPr>
        <w:t>Cuadro</w:t>
      </w:r>
      <w:r>
        <w:rPr>
          <w:rFonts w:ascii="Arial" w:hAnsi="Arial" w:cs="Arial"/>
          <w:b/>
          <w:sz w:val="22"/>
        </w:rPr>
        <w:t xml:space="preserve"> </w:t>
      </w:r>
      <w:r w:rsidRPr="00515099">
        <w:rPr>
          <w:rFonts w:ascii="Arial" w:hAnsi="Arial" w:cs="Arial"/>
          <w:b/>
          <w:sz w:val="22"/>
        </w:rPr>
        <w:t>1. Matriz de productos</w:t>
      </w:r>
    </w:p>
    <w:p w14:paraId="5470F078" w14:textId="77777777" w:rsidR="00D7691B" w:rsidRDefault="00D7691B" w:rsidP="006F1EEF">
      <w:pPr>
        <w:pStyle w:val="AutoNumpara"/>
        <w:numPr>
          <w:ilvl w:val="0"/>
          <w:numId w:val="0"/>
        </w:numPr>
        <w:spacing w:before="0" w:after="0"/>
        <w:ind w:left="720"/>
        <w:rPr>
          <w:rFonts w:ascii="Arial" w:hAnsi="Arial" w:cs="Arial"/>
          <w:b/>
          <w:sz w:val="22"/>
        </w:rPr>
      </w:pPr>
    </w:p>
    <w:p w14:paraId="10A5B1F4" w14:textId="029976D8" w:rsidR="005C3BC2" w:rsidRDefault="005C3BC2" w:rsidP="006F1EEF">
      <w:pPr>
        <w:pStyle w:val="AutoNumpara"/>
        <w:numPr>
          <w:ilvl w:val="0"/>
          <w:numId w:val="0"/>
        </w:numPr>
        <w:spacing w:before="0" w:after="0"/>
        <w:ind w:left="720"/>
        <w:rPr>
          <w:rFonts w:ascii="Arial" w:hAnsi="Arial" w:cs="Arial"/>
          <w:b/>
          <w:sz w:val="22"/>
        </w:rPr>
      </w:pPr>
      <w:r w:rsidRPr="00515099">
        <w:rPr>
          <w:rFonts w:ascii="Arial" w:hAnsi="Arial" w:cs="Arial"/>
          <w:b/>
          <w:sz w:val="22"/>
        </w:rPr>
        <w:t>Metas físicas y programación de ejecución anual</w:t>
      </w:r>
      <w:r>
        <w:rPr>
          <w:rFonts w:ascii="Arial" w:hAnsi="Arial" w:cs="Arial"/>
          <w:b/>
          <w:sz w:val="22"/>
        </w:rPr>
        <w:t xml:space="preserve"> (Base expresada en stock, productos anuales expresados en flujos)</w:t>
      </w:r>
    </w:p>
    <w:p w14:paraId="369F2DBA" w14:textId="6A7F48A0" w:rsidR="00833FCE" w:rsidRDefault="00833FCE" w:rsidP="006F1EEF">
      <w:pPr>
        <w:pStyle w:val="AutoNumpara"/>
        <w:numPr>
          <w:ilvl w:val="0"/>
          <w:numId w:val="0"/>
        </w:numPr>
        <w:spacing w:before="0" w:after="0"/>
        <w:ind w:left="720"/>
        <w:rPr>
          <w:rFonts w:ascii="Arial" w:hAnsi="Arial" w:cs="Arial"/>
          <w:b/>
          <w:sz w:val="22"/>
        </w:rPr>
      </w:pPr>
    </w:p>
    <w:tbl>
      <w:tblPr>
        <w:tblW w:w="131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21"/>
        <w:gridCol w:w="1619"/>
        <w:gridCol w:w="640"/>
        <w:gridCol w:w="90"/>
        <w:gridCol w:w="720"/>
        <w:gridCol w:w="713"/>
        <w:gridCol w:w="3872"/>
        <w:gridCol w:w="1260"/>
      </w:tblGrid>
      <w:tr w:rsidR="004E48FF" w:rsidRPr="00B019CC" w14:paraId="6A3B81E9" w14:textId="77777777" w:rsidTr="00504DB1">
        <w:trPr>
          <w:tblHeader/>
          <w:jc w:val="center"/>
        </w:trPr>
        <w:tc>
          <w:tcPr>
            <w:tcW w:w="4221" w:type="dxa"/>
            <w:vMerge w:val="restart"/>
            <w:tcBorders>
              <w:top w:val="single" w:sz="4" w:space="0" w:color="auto"/>
              <w:left w:val="single" w:sz="4" w:space="0" w:color="auto"/>
              <w:bottom w:val="single" w:sz="4" w:space="0" w:color="auto"/>
            </w:tcBorders>
            <w:shd w:val="clear" w:color="auto" w:fill="000000" w:themeFill="text1"/>
            <w:vAlign w:val="center"/>
          </w:tcPr>
          <w:p w14:paraId="6752F2FB" w14:textId="77777777" w:rsidR="004E48FF" w:rsidRPr="007B1E77" w:rsidRDefault="004E48FF" w:rsidP="00CD4A18">
            <w:pPr>
              <w:ind w:left="-378" w:firstLine="378"/>
              <w:jc w:val="center"/>
              <w:rPr>
                <w:rFonts w:ascii="Arial" w:hAnsi="Arial" w:cs="Arial"/>
                <w:b/>
                <w:color w:val="FFFFFF" w:themeColor="background1"/>
                <w:sz w:val="18"/>
                <w:szCs w:val="18"/>
              </w:rPr>
            </w:pPr>
            <w:r>
              <w:rPr>
                <w:rFonts w:ascii="Arial" w:hAnsi="Arial" w:cs="Arial"/>
                <w:b/>
                <w:color w:val="FFFFFF" w:themeColor="background1"/>
                <w:sz w:val="18"/>
                <w:szCs w:val="18"/>
              </w:rPr>
              <w:t>Producto</w:t>
            </w:r>
          </w:p>
        </w:tc>
        <w:tc>
          <w:tcPr>
            <w:tcW w:w="1619" w:type="dxa"/>
            <w:vMerge w:val="restart"/>
            <w:tcBorders>
              <w:top w:val="single" w:sz="4" w:space="0" w:color="auto"/>
              <w:bottom w:val="single" w:sz="4" w:space="0" w:color="auto"/>
            </w:tcBorders>
            <w:shd w:val="clear" w:color="auto" w:fill="000000" w:themeFill="text1"/>
            <w:vAlign w:val="center"/>
          </w:tcPr>
          <w:p w14:paraId="74407686" w14:textId="77777777" w:rsidR="004E48FF" w:rsidRPr="007B1E77" w:rsidRDefault="004E48FF" w:rsidP="00CD4A18">
            <w:pPr>
              <w:ind w:left="-378" w:firstLine="378"/>
              <w:jc w:val="center"/>
              <w:rPr>
                <w:rFonts w:ascii="Arial" w:hAnsi="Arial" w:cs="Arial"/>
                <w:b/>
                <w:color w:val="FFFFFF" w:themeColor="background1"/>
                <w:sz w:val="18"/>
                <w:szCs w:val="18"/>
              </w:rPr>
            </w:pPr>
            <w:r>
              <w:rPr>
                <w:rFonts w:ascii="Arial" w:hAnsi="Arial" w:cs="Arial"/>
                <w:b/>
                <w:color w:val="FFFFFF" w:themeColor="background1"/>
                <w:sz w:val="18"/>
                <w:szCs w:val="18"/>
              </w:rPr>
              <w:t>Indicador</w:t>
            </w:r>
          </w:p>
        </w:tc>
        <w:tc>
          <w:tcPr>
            <w:tcW w:w="1450" w:type="dxa"/>
            <w:gridSpan w:val="3"/>
            <w:tcBorders>
              <w:top w:val="single" w:sz="4" w:space="0" w:color="auto"/>
              <w:bottom w:val="single" w:sz="4" w:space="0" w:color="auto"/>
            </w:tcBorders>
            <w:shd w:val="clear" w:color="auto" w:fill="000000" w:themeFill="text1"/>
            <w:vAlign w:val="center"/>
          </w:tcPr>
          <w:p w14:paraId="680FEFBC" w14:textId="77777777" w:rsidR="004E48FF" w:rsidRPr="007B1E77" w:rsidRDefault="004E48FF" w:rsidP="00CD4A18">
            <w:pPr>
              <w:ind w:left="-378" w:firstLine="378"/>
              <w:jc w:val="center"/>
              <w:rPr>
                <w:rFonts w:ascii="Arial" w:hAnsi="Arial" w:cs="Arial"/>
                <w:b/>
                <w:color w:val="FFFFFF" w:themeColor="background1"/>
                <w:sz w:val="18"/>
                <w:szCs w:val="18"/>
              </w:rPr>
            </w:pPr>
            <w:r w:rsidRPr="007B1E77">
              <w:rPr>
                <w:rFonts w:ascii="Arial" w:hAnsi="Arial" w:cs="Arial"/>
                <w:b/>
                <w:color w:val="FFFFFF" w:themeColor="background1"/>
                <w:sz w:val="18"/>
                <w:szCs w:val="18"/>
              </w:rPr>
              <w:t>Línea de base</w:t>
            </w:r>
          </w:p>
        </w:tc>
        <w:tc>
          <w:tcPr>
            <w:tcW w:w="713" w:type="dxa"/>
            <w:tcBorders>
              <w:top w:val="single" w:sz="4" w:space="0" w:color="auto"/>
              <w:bottom w:val="single" w:sz="4" w:space="0" w:color="auto"/>
            </w:tcBorders>
            <w:shd w:val="clear" w:color="auto" w:fill="000000" w:themeFill="text1"/>
            <w:vAlign w:val="center"/>
          </w:tcPr>
          <w:p w14:paraId="466CDF48" w14:textId="77777777" w:rsidR="004E48FF" w:rsidRPr="007B1E77" w:rsidRDefault="004E48FF" w:rsidP="00CD4A18">
            <w:pPr>
              <w:ind w:left="-378" w:firstLine="378"/>
              <w:jc w:val="center"/>
              <w:rPr>
                <w:rFonts w:ascii="Arial" w:hAnsi="Arial" w:cs="Arial"/>
                <w:b/>
                <w:color w:val="FFFFFF" w:themeColor="background1"/>
                <w:sz w:val="18"/>
                <w:szCs w:val="18"/>
              </w:rPr>
            </w:pPr>
            <w:r w:rsidRPr="007B1E77">
              <w:rPr>
                <w:rFonts w:ascii="Arial" w:hAnsi="Arial" w:cs="Arial"/>
                <w:b/>
                <w:color w:val="FFFFFF" w:themeColor="background1"/>
                <w:sz w:val="18"/>
                <w:szCs w:val="18"/>
              </w:rPr>
              <w:t>Metas</w:t>
            </w:r>
          </w:p>
        </w:tc>
        <w:tc>
          <w:tcPr>
            <w:tcW w:w="3872" w:type="dxa"/>
            <w:tcBorders>
              <w:top w:val="single" w:sz="4" w:space="0" w:color="auto"/>
              <w:bottom w:val="single" w:sz="4" w:space="0" w:color="auto"/>
            </w:tcBorders>
            <w:shd w:val="clear" w:color="auto" w:fill="000000" w:themeFill="text1"/>
            <w:vAlign w:val="center"/>
          </w:tcPr>
          <w:p w14:paraId="59BE9AC8" w14:textId="77777777" w:rsidR="004E48FF" w:rsidRPr="007B1E77" w:rsidRDefault="004E48FF" w:rsidP="00CD4A18">
            <w:pPr>
              <w:ind w:left="-378" w:firstLine="378"/>
              <w:jc w:val="center"/>
              <w:rPr>
                <w:rFonts w:ascii="Arial" w:hAnsi="Arial" w:cs="Arial"/>
                <w:b/>
                <w:color w:val="FFFFFF" w:themeColor="background1"/>
                <w:sz w:val="18"/>
                <w:szCs w:val="18"/>
              </w:rPr>
            </w:pPr>
            <w:r w:rsidRPr="007B1E77">
              <w:rPr>
                <w:rFonts w:ascii="Arial" w:hAnsi="Arial" w:cs="Arial"/>
                <w:b/>
                <w:color w:val="FFFFFF" w:themeColor="background1"/>
                <w:sz w:val="18"/>
                <w:szCs w:val="18"/>
              </w:rPr>
              <w:t>Fuente/Medio de verificación</w:t>
            </w:r>
          </w:p>
        </w:tc>
        <w:tc>
          <w:tcPr>
            <w:tcW w:w="1260" w:type="dxa"/>
            <w:tcBorders>
              <w:top w:val="single" w:sz="4" w:space="0" w:color="auto"/>
              <w:bottom w:val="single" w:sz="4" w:space="0" w:color="auto"/>
              <w:right w:val="single" w:sz="4" w:space="0" w:color="auto"/>
            </w:tcBorders>
            <w:shd w:val="clear" w:color="auto" w:fill="000000" w:themeFill="text1"/>
            <w:vAlign w:val="center"/>
          </w:tcPr>
          <w:p w14:paraId="0044CB65" w14:textId="77777777" w:rsidR="004E48FF" w:rsidRPr="007B1E77" w:rsidRDefault="004E48FF" w:rsidP="00CD4A18">
            <w:pPr>
              <w:ind w:left="-378" w:firstLine="378"/>
              <w:jc w:val="center"/>
              <w:rPr>
                <w:rFonts w:ascii="Arial" w:hAnsi="Arial" w:cs="Arial"/>
                <w:b/>
                <w:color w:val="FFFFFF" w:themeColor="background1"/>
                <w:sz w:val="18"/>
                <w:szCs w:val="18"/>
              </w:rPr>
            </w:pPr>
            <w:r>
              <w:rPr>
                <w:rFonts w:ascii="Arial" w:hAnsi="Arial" w:cs="Arial"/>
                <w:b/>
                <w:color w:val="FFFFFF" w:themeColor="background1"/>
                <w:sz w:val="18"/>
                <w:szCs w:val="18"/>
              </w:rPr>
              <w:t>Entidad Responsable</w:t>
            </w:r>
          </w:p>
        </w:tc>
      </w:tr>
      <w:tr w:rsidR="004E48FF" w:rsidRPr="00B019CC" w14:paraId="6EA04814" w14:textId="77777777" w:rsidTr="00504DB1">
        <w:trPr>
          <w:tblHeader/>
          <w:jc w:val="center"/>
        </w:trPr>
        <w:tc>
          <w:tcPr>
            <w:tcW w:w="4221" w:type="dxa"/>
            <w:vMerge/>
            <w:tcBorders>
              <w:top w:val="single" w:sz="4" w:space="0" w:color="auto"/>
              <w:bottom w:val="single" w:sz="4" w:space="0" w:color="000000"/>
            </w:tcBorders>
            <w:shd w:val="clear" w:color="auto" w:fill="000000" w:themeFill="text1"/>
          </w:tcPr>
          <w:p w14:paraId="07F3A589" w14:textId="77777777" w:rsidR="004E48FF" w:rsidRPr="007B1E77" w:rsidRDefault="004E48FF" w:rsidP="00CD4A18">
            <w:pPr>
              <w:ind w:left="-378" w:firstLine="378"/>
              <w:jc w:val="center"/>
              <w:rPr>
                <w:rFonts w:ascii="Arial" w:hAnsi="Arial" w:cs="Arial"/>
                <w:b/>
                <w:color w:val="FFFFFF" w:themeColor="background1"/>
                <w:sz w:val="18"/>
                <w:szCs w:val="18"/>
              </w:rPr>
            </w:pPr>
          </w:p>
        </w:tc>
        <w:tc>
          <w:tcPr>
            <w:tcW w:w="1619" w:type="dxa"/>
            <w:vMerge/>
            <w:tcBorders>
              <w:top w:val="single" w:sz="4" w:space="0" w:color="auto"/>
              <w:bottom w:val="single" w:sz="4" w:space="0" w:color="000000"/>
            </w:tcBorders>
            <w:shd w:val="clear" w:color="auto" w:fill="000000" w:themeFill="text1"/>
          </w:tcPr>
          <w:p w14:paraId="29222B20" w14:textId="77777777" w:rsidR="004E48FF" w:rsidRPr="007B1E77" w:rsidRDefault="004E48FF" w:rsidP="00CD4A18">
            <w:pPr>
              <w:ind w:left="-378" w:firstLine="378"/>
              <w:jc w:val="center"/>
              <w:rPr>
                <w:rFonts w:ascii="Arial" w:hAnsi="Arial" w:cs="Arial"/>
                <w:b/>
                <w:color w:val="FFFFFF" w:themeColor="background1"/>
                <w:sz w:val="18"/>
                <w:szCs w:val="18"/>
              </w:rPr>
            </w:pPr>
          </w:p>
        </w:tc>
        <w:tc>
          <w:tcPr>
            <w:tcW w:w="730" w:type="dxa"/>
            <w:gridSpan w:val="2"/>
            <w:tcBorders>
              <w:top w:val="single" w:sz="4" w:space="0" w:color="auto"/>
              <w:bottom w:val="single" w:sz="4" w:space="0" w:color="000000"/>
            </w:tcBorders>
            <w:shd w:val="clear" w:color="auto" w:fill="000000" w:themeFill="text1"/>
            <w:vAlign w:val="center"/>
          </w:tcPr>
          <w:p w14:paraId="1EDD2080" w14:textId="77777777" w:rsidR="004E48FF" w:rsidRPr="007B1E77" w:rsidRDefault="004E48FF" w:rsidP="00CD4A18">
            <w:pPr>
              <w:ind w:left="-378" w:firstLine="378"/>
              <w:jc w:val="center"/>
              <w:rPr>
                <w:rFonts w:ascii="Arial" w:hAnsi="Arial" w:cs="Arial"/>
                <w:b/>
                <w:color w:val="FFFFFF" w:themeColor="background1"/>
                <w:sz w:val="18"/>
                <w:szCs w:val="18"/>
              </w:rPr>
            </w:pPr>
            <w:r w:rsidRPr="007B1E77">
              <w:rPr>
                <w:rFonts w:ascii="Arial" w:hAnsi="Arial" w:cs="Arial"/>
                <w:b/>
                <w:color w:val="FFFFFF" w:themeColor="background1"/>
                <w:sz w:val="18"/>
                <w:szCs w:val="18"/>
              </w:rPr>
              <w:t>Valor</w:t>
            </w:r>
          </w:p>
        </w:tc>
        <w:tc>
          <w:tcPr>
            <w:tcW w:w="720" w:type="dxa"/>
            <w:tcBorders>
              <w:top w:val="single" w:sz="4" w:space="0" w:color="auto"/>
              <w:bottom w:val="single" w:sz="4" w:space="0" w:color="000000"/>
            </w:tcBorders>
            <w:shd w:val="clear" w:color="auto" w:fill="000000" w:themeFill="text1"/>
            <w:vAlign w:val="center"/>
          </w:tcPr>
          <w:p w14:paraId="243498FB" w14:textId="77777777" w:rsidR="004E48FF" w:rsidRPr="007B1E77" w:rsidRDefault="004E48FF" w:rsidP="00CD4A18">
            <w:pPr>
              <w:ind w:left="-378" w:firstLine="378"/>
              <w:jc w:val="center"/>
              <w:rPr>
                <w:rFonts w:ascii="Arial" w:hAnsi="Arial" w:cs="Arial"/>
                <w:b/>
                <w:color w:val="FFFFFF" w:themeColor="background1"/>
                <w:sz w:val="18"/>
                <w:szCs w:val="18"/>
              </w:rPr>
            </w:pPr>
            <w:r w:rsidRPr="007B1E77">
              <w:rPr>
                <w:rFonts w:ascii="Arial" w:hAnsi="Arial" w:cs="Arial"/>
                <w:b/>
                <w:color w:val="FFFFFF" w:themeColor="background1"/>
                <w:sz w:val="18"/>
                <w:szCs w:val="18"/>
              </w:rPr>
              <w:t>Año</w:t>
            </w:r>
          </w:p>
        </w:tc>
        <w:tc>
          <w:tcPr>
            <w:tcW w:w="713" w:type="dxa"/>
            <w:tcBorders>
              <w:top w:val="single" w:sz="4" w:space="0" w:color="auto"/>
              <w:bottom w:val="single" w:sz="4" w:space="0" w:color="000000"/>
            </w:tcBorders>
            <w:shd w:val="clear" w:color="auto" w:fill="000000" w:themeFill="text1"/>
            <w:vAlign w:val="center"/>
          </w:tcPr>
          <w:p w14:paraId="10DD9DCB" w14:textId="77777777" w:rsidR="004E48FF" w:rsidRPr="007B1E77" w:rsidRDefault="004E48FF" w:rsidP="00CD4A18">
            <w:pPr>
              <w:ind w:left="-378" w:firstLine="378"/>
              <w:jc w:val="center"/>
              <w:rPr>
                <w:rFonts w:ascii="Arial" w:hAnsi="Arial" w:cs="Arial"/>
                <w:b/>
                <w:color w:val="FFFFFF" w:themeColor="background1"/>
                <w:sz w:val="18"/>
                <w:szCs w:val="18"/>
              </w:rPr>
            </w:pPr>
            <w:r w:rsidRPr="007B1E77">
              <w:rPr>
                <w:rFonts w:ascii="Arial" w:hAnsi="Arial" w:cs="Arial"/>
                <w:b/>
                <w:color w:val="FFFFFF" w:themeColor="background1"/>
                <w:sz w:val="18"/>
                <w:szCs w:val="18"/>
              </w:rPr>
              <w:t>201</w:t>
            </w:r>
            <w:r>
              <w:rPr>
                <w:rFonts w:ascii="Arial" w:hAnsi="Arial" w:cs="Arial"/>
                <w:b/>
                <w:color w:val="FFFFFF" w:themeColor="background1"/>
                <w:sz w:val="18"/>
                <w:szCs w:val="18"/>
              </w:rPr>
              <w:t>8</w:t>
            </w:r>
          </w:p>
        </w:tc>
        <w:tc>
          <w:tcPr>
            <w:tcW w:w="3872" w:type="dxa"/>
            <w:tcBorders>
              <w:top w:val="single" w:sz="4" w:space="0" w:color="auto"/>
              <w:bottom w:val="single" w:sz="4" w:space="0" w:color="000000"/>
            </w:tcBorders>
            <w:shd w:val="clear" w:color="auto" w:fill="000000" w:themeFill="text1"/>
          </w:tcPr>
          <w:p w14:paraId="20FB2899" w14:textId="77777777" w:rsidR="004E48FF" w:rsidRPr="007B1E77" w:rsidRDefault="004E48FF" w:rsidP="00CD4A18">
            <w:pPr>
              <w:ind w:left="-378" w:firstLine="378"/>
              <w:jc w:val="center"/>
              <w:rPr>
                <w:rFonts w:ascii="Arial" w:hAnsi="Arial" w:cs="Arial"/>
                <w:b/>
                <w:color w:val="FFFFFF" w:themeColor="background1"/>
                <w:sz w:val="18"/>
                <w:szCs w:val="18"/>
              </w:rPr>
            </w:pPr>
          </w:p>
        </w:tc>
        <w:tc>
          <w:tcPr>
            <w:tcW w:w="1260" w:type="dxa"/>
            <w:tcBorders>
              <w:top w:val="single" w:sz="4" w:space="0" w:color="auto"/>
              <w:bottom w:val="single" w:sz="4" w:space="0" w:color="000000"/>
            </w:tcBorders>
            <w:shd w:val="clear" w:color="auto" w:fill="000000" w:themeFill="text1"/>
          </w:tcPr>
          <w:p w14:paraId="5E5143BB" w14:textId="77777777" w:rsidR="004E48FF" w:rsidRPr="007B1E77" w:rsidRDefault="004E48FF" w:rsidP="00CD4A18">
            <w:pPr>
              <w:ind w:left="-378" w:firstLine="378"/>
              <w:jc w:val="center"/>
              <w:rPr>
                <w:rFonts w:ascii="Arial" w:hAnsi="Arial" w:cs="Arial"/>
                <w:b/>
                <w:color w:val="FFFFFF" w:themeColor="background1"/>
                <w:sz w:val="18"/>
                <w:szCs w:val="18"/>
              </w:rPr>
            </w:pPr>
          </w:p>
        </w:tc>
      </w:tr>
      <w:tr w:rsidR="004E48FF" w:rsidRPr="00B019CC" w14:paraId="37534927" w14:textId="77777777" w:rsidTr="00504DB1">
        <w:trPr>
          <w:trHeight w:val="260"/>
          <w:jc w:val="center"/>
        </w:trPr>
        <w:tc>
          <w:tcPr>
            <w:tcW w:w="13135" w:type="dxa"/>
            <w:gridSpan w:val="8"/>
            <w:shd w:val="clear" w:color="auto" w:fill="D9D9D9" w:themeFill="background1" w:themeFillShade="D9"/>
            <w:vAlign w:val="center"/>
          </w:tcPr>
          <w:p w14:paraId="15FA1DBB" w14:textId="77777777" w:rsidR="004E48FF" w:rsidRPr="00B019CC" w:rsidRDefault="004E48FF" w:rsidP="00CD4A18">
            <w:pPr>
              <w:rPr>
                <w:rFonts w:ascii="Arial" w:hAnsi="Arial" w:cs="Arial"/>
                <w:b/>
                <w:sz w:val="18"/>
                <w:szCs w:val="18"/>
              </w:rPr>
            </w:pPr>
            <w:r>
              <w:rPr>
                <w:rFonts w:ascii="Arial" w:hAnsi="Arial" w:cs="Arial"/>
                <w:b/>
                <w:sz w:val="18"/>
                <w:szCs w:val="18"/>
              </w:rPr>
              <w:t>Componente 2.</w:t>
            </w:r>
            <w:r w:rsidRPr="00B019CC">
              <w:rPr>
                <w:rFonts w:ascii="Arial" w:hAnsi="Arial" w:cs="Arial"/>
                <w:b/>
                <w:sz w:val="18"/>
                <w:szCs w:val="18"/>
              </w:rPr>
              <w:t xml:space="preserve">  </w:t>
            </w:r>
            <w:r>
              <w:rPr>
                <w:rFonts w:ascii="Arial" w:hAnsi="Arial" w:cs="Arial"/>
                <w:b/>
                <w:sz w:val="18"/>
                <w:szCs w:val="18"/>
              </w:rPr>
              <w:t>Mejorar las habilidades de la fuerza laboral</w:t>
            </w:r>
          </w:p>
        </w:tc>
      </w:tr>
      <w:tr w:rsidR="004E48FF" w:rsidRPr="00B019CC" w14:paraId="579CCA22" w14:textId="77777777" w:rsidTr="00504DB1">
        <w:trPr>
          <w:trHeight w:val="1097"/>
          <w:jc w:val="center"/>
        </w:trPr>
        <w:tc>
          <w:tcPr>
            <w:tcW w:w="4221" w:type="dxa"/>
            <w:tcBorders>
              <w:bottom w:val="single" w:sz="4" w:space="0" w:color="000000"/>
            </w:tcBorders>
            <w:vAlign w:val="center"/>
          </w:tcPr>
          <w:p w14:paraId="112A3C2E" w14:textId="20DABA50" w:rsidR="004E48FF" w:rsidRPr="00A610C0" w:rsidRDefault="004E48FF" w:rsidP="00FD0DF7">
            <w:pPr>
              <w:pStyle w:val="ListParagraph"/>
              <w:numPr>
                <w:ilvl w:val="0"/>
                <w:numId w:val="13"/>
              </w:numPr>
              <w:ind w:left="278" w:hanging="270"/>
              <w:jc w:val="both"/>
              <w:rPr>
                <w:rFonts w:ascii="Arial" w:hAnsi="Arial" w:cs="Arial"/>
                <w:sz w:val="18"/>
                <w:szCs w:val="18"/>
              </w:rPr>
            </w:pPr>
            <w:r>
              <w:rPr>
                <w:rFonts w:ascii="Arial" w:hAnsi="Arial" w:cs="Arial"/>
                <w:sz w:val="18"/>
                <w:szCs w:val="18"/>
              </w:rPr>
              <w:t xml:space="preserve">Modelo de excelencia para </w:t>
            </w:r>
            <w:r w:rsidR="002446FA">
              <w:rPr>
                <w:rFonts w:ascii="Arial" w:hAnsi="Arial" w:cs="Arial"/>
                <w:sz w:val="18"/>
                <w:szCs w:val="18"/>
              </w:rPr>
              <w:t>IEST</w:t>
            </w:r>
            <w:r w:rsidR="00324041">
              <w:rPr>
                <w:rFonts w:ascii="Arial" w:hAnsi="Arial" w:cs="Arial"/>
                <w:sz w:val="18"/>
                <w:szCs w:val="18"/>
              </w:rPr>
              <w:t xml:space="preserve"> público</w:t>
            </w:r>
            <w:r w:rsidR="002446FA">
              <w:rPr>
                <w:rFonts w:ascii="Arial" w:hAnsi="Arial" w:cs="Arial"/>
                <w:sz w:val="18"/>
                <w:szCs w:val="18"/>
              </w:rPr>
              <w:t xml:space="preserve"> </w:t>
            </w:r>
            <w:r>
              <w:rPr>
                <w:rFonts w:ascii="Arial" w:hAnsi="Arial" w:cs="Arial"/>
                <w:sz w:val="18"/>
                <w:szCs w:val="18"/>
              </w:rPr>
              <w:t>aprobado.</w:t>
            </w:r>
          </w:p>
        </w:tc>
        <w:tc>
          <w:tcPr>
            <w:tcW w:w="1619" w:type="dxa"/>
            <w:tcBorders>
              <w:bottom w:val="single" w:sz="4" w:space="0" w:color="000000"/>
            </w:tcBorders>
            <w:vAlign w:val="center"/>
          </w:tcPr>
          <w:p w14:paraId="1C53707A" w14:textId="77777777" w:rsidR="004E48FF" w:rsidRPr="00B019CC" w:rsidRDefault="004E48FF" w:rsidP="00CD4A18">
            <w:pPr>
              <w:jc w:val="center"/>
              <w:rPr>
                <w:rFonts w:ascii="Arial" w:hAnsi="Arial" w:cs="Arial"/>
                <w:sz w:val="18"/>
                <w:szCs w:val="18"/>
              </w:rPr>
            </w:pPr>
            <w:r>
              <w:rPr>
                <w:rFonts w:ascii="Arial" w:hAnsi="Arial" w:cs="Arial"/>
                <w:sz w:val="18"/>
                <w:szCs w:val="18"/>
              </w:rPr>
              <w:t>Modelo aprobado</w:t>
            </w:r>
          </w:p>
        </w:tc>
        <w:tc>
          <w:tcPr>
            <w:tcW w:w="640" w:type="dxa"/>
            <w:tcBorders>
              <w:bottom w:val="single" w:sz="4" w:space="0" w:color="000000"/>
            </w:tcBorders>
            <w:vAlign w:val="center"/>
          </w:tcPr>
          <w:p w14:paraId="480EC1E6" w14:textId="77777777" w:rsidR="004E48FF" w:rsidRPr="00B019CC" w:rsidRDefault="004E48FF" w:rsidP="00CD4A18">
            <w:pPr>
              <w:jc w:val="center"/>
              <w:rPr>
                <w:rFonts w:ascii="Arial" w:hAnsi="Arial" w:cs="Arial"/>
                <w:sz w:val="18"/>
                <w:szCs w:val="18"/>
              </w:rPr>
            </w:pPr>
            <w:r w:rsidRPr="00B019CC">
              <w:rPr>
                <w:rFonts w:ascii="Arial" w:hAnsi="Arial" w:cs="Arial"/>
                <w:sz w:val="18"/>
                <w:szCs w:val="18"/>
              </w:rPr>
              <w:t>0</w:t>
            </w:r>
          </w:p>
        </w:tc>
        <w:tc>
          <w:tcPr>
            <w:tcW w:w="810" w:type="dxa"/>
            <w:gridSpan w:val="2"/>
            <w:tcBorders>
              <w:bottom w:val="single" w:sz="4" w:space="0" w:color="000000"/>
            </w:tcBorders>
            <w:vAlign w:val="center"/>
          </w:tcPr>
          <w:p w14:paraId="79317CA0" w14:textId="77777777" w:rsidR="004E48FF" w:rsidRPr="00B019CC" w:rsidRDefault="004E48FF" w:rsidP="00CD4A18">
            <w:pPr>
              <w:jc w:val="center"/>
              <w:rPr>
                <w:rFonts w:ascii="Arial" w:hAnsi="Arial" w:cs="Arial"/>
                <w:sz w:val="18"/>
                <w:szCs w:val="18"/>
              </w:rPr>
            </w:pPr>
            <w:r w:rsidRPr="00B019CC">
              <w:rPr>
                <w:rFonts w:ascii="Arial" w:hAnsi="Arial" w:cs="Arial"/>
                <w:sz w:val="18"/>
                <w:szCs w:val="18"/>
              </w:rPr>
              <w:t>201</w:t>
            </w:r>
            <w:r>
              <w:rPr>
                <w:rFonts w:ascii="Arial" w:hAnsi="Arial" w:cs="Arial"/>
                <w:sz w:val="18"/>
                <w:szCs w:val="18"/>
              </w:rPr>
              <w:t>7</w:t>
            </w:r>
          </w:p>
        </w:tc>
        <w:tc>
          <w:tcPr>
            <w:tcW w:w="713" w:type="dxa"/>
            <w:tcBorders>
              <w:bottom w:val="single" w:sz="4" w:space="0" w:color="000000"/>
            </w:tcBorders>
            <w:vAlign w:val="center"/>
          </w:tcPr>
          <w:p w14:paraId="7A8711CA" w14:textId="77777777" w:rsidR="004E48FF" w:rsidRPr="00B019CC" w:rsidRDefault="004E48FF" w:rsidP="00CD4A18">
            <w:pPr>
              <w:jc w:val="center"/>
              <w:rPr>
                <w:rFonts w:ascii="Arial" w:hAnsi="Arial" w:cs="Arial"/>
                <w:sz w:val="18"/>
                <w:szCs w:val="18"/>
              </w:rPr>
            </w:pPr>
            <w:r>
              <w:rPr>
                <w:rFonts w:ascii="Arial" w:hAnsi="Arial" w:cs="Arial"/>
                <w:sz w:val="18"/>
                <w:szCs w:val="18"/>
              </w:rPr>
              <w:t>1</w:t>
            </w:r>
          </w:p>
        </w:tc>
        <w:tc>
          <w:tcPr>
            <w:tcW w:w="3872" w:type="dxa"/>
            <w:tcBorders>
              <w:bottom w:val="single" w:sz="4" w:space="0" w:color="000000"/>
            </w:tcBorders>
            <w:vAlign w:val="center"/>
          </w:tcPr>
          <w:p w14:paraId="2AC26267" w14:textId="77777777" w:rsidR="004E48FF" w:rsidRPr="00427800" w:rsidRDefault="004E48FF" w:rsidP="00CD4A18">
            <w:pPr>
              <w:jc w:val="both"/>
              <w:rPr>
                <w:rFonts w:ascii="Arial" w:hAnsi="Arial" w:cs="Arial"/>
                <w:sz w:val="18"/>
                <w:szCs w:val="18"/>
              </w:rPr>
            </w:pPr>
            <w:r w:rsidRPr="00427800">
              <w:rPr>
                <w:rFonts w:ascii="Arial" w:hAnsi="Arial" w:cs="Arial"/>
                <w:sz w:val="18"/>
                <w:szCs w:val="18"/>
              </w:rPr>
              <w:t>Resolución Ministerial mediante la cual se aprueba el Modelo de excelencia</w:t>
            </w:r>
            <w:r>
              <w:rPr>
                <w:rFonts w:ascii="Arial" w:hAnsi="Arial" w:cs="Arial"/>
                <w:sz w:val="18"/>
                <w:szCs w:val="18"/>
              </w:rPr>
              <w:t xml:space="preserve"> RM 409-2017-MINEDU</w:t>
            </w:r>
            <w:r w:rsidRPr="00427800">
              <w:rPr>
                <w:rFonts w:ascii="Arial" w:hAnsi="Arial" w:cs="Arial"/>
                <w:sz w:val="18"/>
                <w:szCs w:val="18"/>
              </w:rPr>
              <w:t>.</w:t>
            </w:r>
          </w:p>
        </w:tc>
        <w:tc>
          <w:tcPr>
            <w:tcW w:w="1260" w:type="dxa"/>
            <w:tcBorders>
              <w:bottom w:val="single" w:sz="4" w:space="0" w:color="000000"/>
            </w:tcBorders>
            <w:vAlign w:val="center"/>
          </w:tcPr>
          <w:p w14:paraId="7E45D22B" w14:textId="77777777" w:rsidR="004E48FF" w:rsidRPr="00B019CC" w:rsidRDefault="004E48FF" w:rsidP="00CD4A18">
            <w:pPr>
              <w:jc w:val="center"/>
              <w:rPr>
                <w:rFonts w:ascii="Arial" w:hAnsi="Arial" w:cs="Arial"/>
                <w:sz w:val="18"/>
                <w:szCs w:val="18"/>
              </w:rPr>
            </w:pPr>
            <w:r>
              <w:rPr>
                <w:rFonts w:ascii="Arial" w:hAnsi="Arial" w:cs="Arial"/>
                <w:sz w:val="18"/>
                <w:szCs w:val="18"/>
              </w:rPr>
              <w:t>MINEDU</w:t>
            </w:r>
          </w:p>
        </w:tc>
      </w:tr>
      <w:tr w:rsidR="004E48FF" w:rsidRPr="00B019CC" w14:paraId="62E0B95A" w14:textId="77777777" w:rsidTr="00504DB1">
        <w:trPr>
          <w:trHeight w:val="728"/>
          <w:jc w:val="center"/>
        </w:trPr>
        <w:tc>
          <w:tcPr>
            <w:tcW w:w="4221" w:type="dxa"/>
            <w:tcBorders>
              <w:bottom w:val="single" w:sz="4" w:space="0" w:color="000000"/>
            </w:tcBorders>
            <w:vAlign w:val="center"/>
          </w:tcPr>
          <w:p w14:paraId="350366C6" w14:textId="022A489D" w:rsidR="004E48FF" w:rsidRDefault="002446FA" w:rsidP="00FD0DF7">
            <w:pPr>
              <w:pStyle w:val="ListParagraph"/>
              <w:numPr>
                <w:ilvl w:val="0"/>
                <w:numId w:val="13"/>
              </w:numPr>
              <w:ind w:left="278" w:hanging="270"/>
              <w:jc w:val="both"/>
              <w:rPr>
                <w:rFonts w:ascii="Arial" w:hAnsi="Arial" w:cs="Arial"/>
                <w:sz w:val="18"/>
                <w:szCs w:val="18"/>
              </w:rPr>
            </w:pPr>
            <w:r>
              <w:rPr>
                <w:rFonts w:ascii="Arial" w:hAnsi="Arial" w:cs="Arial"/>
                <w:sz w:val="18"/>
                <w:szCs w:val="18"/>
              </w:rPr>
              <w:t xml:space="preserve">IEST </w:t>
            </w:r>
            <w:r w:rsidR="00324041">
              <w:rPr>
                <w:rFonts w:ascii="Arial" w:hAnsi="Arial" w:cs="Arial"/>
                <w:sz w:val="18"/>
                <w:szCs w:val="18"/>
              </w:rPr>
              <w:t xml:space="preserve">públicos </w:t>
            </w:r>
            <w:r w:rsidR="004E48FF">
              <w:rPr>
                <w:rFonts w:ascii="Arial" w:hAnsi="Arial" w:cs="Arial"/>
                <w:sz w:val="18"/>
                <w:szCs w:val="18"/>
              </w:rPr>
              <w:t>en los que se aplicará el modelo de excelencia seleccionados (1 por región).</w:t>
            </w:r>
          </w:p>
        </w:tc>
        <w:tc>
          <w:tcPr>
            <w:tcW w:w="1619" w:type="dxa"/>
            <w:tcBorders>
              <w:bottom w:val="single" w:sz="4" w:space="0" w:color="000000"/>
            </w:tcBorders>
            <w:vAlign w:val="center"/>
          </w:tcPr>
          <w:p w14:paraId="5E8A8D66" w14:textId="2B304F55" w:rsidR="004E48FF" w:rsidRPr="00244E41" w:rsidRDefault="004E48FF" w:rsidP="00CD4A18">
            <w:pPr>
              <w:jc w:val="center"/>
              <w:rPr>
                <w:rFonts w:ascii="Arial" w:hAnsi="Arial" w:cs="Arial"/>
                <w:sz w:val="18"/>
                <w:szCs w:val="18"/>
                <w:lang w:val="pt-BR"/>
              </w:rPr>
            </w:pPr>
            <w:r w:rsidRPr="00244E41">
              <w:rPr>
                <w:rFonts w:ascii="Arial" w:hAnsi="Arial" w:cs="Arial"/>
                <w:sz w:val="18"/>
                <w:szCs w:val="18"/>
                <w:lang w:val="pt-BR"/>
              </w:rPr>
              <w:t xml:space="preserve">Número de </w:t>
            </w:r>
            <w:r w:rsidR="002446FA">
              <w:rPr>
                <w:rFonts w:ascii="Arial" w:hAnsi="Arial" w:cs="Arial"/>
                <w:sz w:val="18"/>
                <w:szCs w:val="18"/>
              </w:rPr>
              <w:t>IEST</w:t>
            </w:r>
            <w:r w:rsidR="00324041">
              <w:rPr>
                <w:rFonts w:ascii="Arial" w:hAnsi="Arial" w:cs="Arial"/>
                <w:sz w:val="18"/>
                <w:szCs w:val="18"/>
              </w:rPr>
              <w:t xml:space="preserve"> públicos</w:t>
            </w:r>
            <w:r w:rsidR="002446FA">
              <w:rPr>
                <w:rFonts w:ascii="Arial" w:hAnsi="Arial" w:cs="Arial"/>
                <w:sz w:val="18"/>
                <w:szCs w:val="18"/>
              </w:rPr>
              <w:t xml:space="preserve"> </w:t>
            </w:r>
            <w:r>
              <w:rPr>
                <w:rFonts w:ascii="Arial" w:hAnsi="Arial" w:cs="Arial"/>
                <w:sz w:val="18"/>
                <w:szCs w:val="18"/>
                <w:lang w:val="pt-BR"/>
              </w:rPr>
              <w:t>selecionados</w:t>
            </w:r>
          </w:p>
        </w:tc>
        <w:tc>
          <w:tcPr>
            <w:tcW w:w="640" w:type="dxa"/>
            <w:tcBorders>
              <w:bottom w:val="single" w:sz="4" w:space="0" w:color="000000"/>
            </w:tcBorders>
            <w:vAlign w:val="center"/>
          </w:tcPr>
          <w:p w14:paraId="045F693C" w14:textId="77777777" w:rsidR="004E48FF" w:rsidRPr="00B019CC" w:rsidRDefault="004E48FF" w:rsidP="00CD4A18">
            <w:pPr>
              <w:jc w:val="center"/>
              <w:rPr>
                <w:rFonts w:ascii="Arial" w:hAnsi="Arial" w:cs="Arial"/>
                <w:sz w:val="18"/>
                <w:szCs w:val="18"/>
              </w:rPr>
            </w:pPr>
            <w:r>
              <w:rPr>
                <w:rFonts w:ascii="Arial" w:hAnsi="Arial" w:cs="Arial"/>
                <w:sz w:val="18"/>
                <w:szCs w:val="18"/>
              </w:rPr>
              <w:t>0</w:t>
            </w:r>
          </w:p>
        </w:tc>
        <w:tc>
          <w:tcPr>
            <w:tcW w:w="810" w:type="dxa"/>
            <w:gridSpan w:val="2"/>
            <w:tcBorders>
              <w:bottom w:val="single" w:sz="4" w:space="0" w:color="000000"/>
            </w:tcBorders>
            <w:vAlign w:val="center"/>
          </w:tcPr>
          <w:p w14:paraId="5B54DAD8" w14:textId="77777777" w:rsidR="004E48FF" w:rsidRPr="00B019CC" w:rsidRDefault="004E48FF" w:rsidP="00CD4A18">
            <w:pPr>
              <w:jc w:val="center"/>
              <w:rPr>
                <w:rFonts w:ascii="Arial" w:hAnsi="Arial" w:cs="Arial"/>
                <w:sz w:val="18"/>
                <w:szCs w:val="18"/>
              </w:rPr>
            </w:pPr>
            <w:r w:rsidRPr="00B019CC">
              <w:rPr>
                <w:rFonts w:ascii="Arial" w:hAnsi="Arial" w:cs="Arial"/>
                <w:sz w:val="18"/>
                <w:szCs w:val="18"/>
              </w:rPr>
              <w:t>201</w:t>
            </w:r>
            <w:r>
              <w:rPr>
                <w:rFonts w:ascii="Arial" w:hAnsi="Arial" w:cs="Arial"/>
                <w:sz w:val="18"/>
                <w:szCs w:val="18"/>
              </w:rPr>
              <w:t>7</w:t>
            </w:r>
          </w:p>
        </w:tc>
        <w:tc>
          <w:tcPr>
            <w:tcW w:w="713" w:type="dxa"/>
            <w:tcBorders>
              <w:bottom w:val="single" w:sz="4" w:space="0" w:color="000000"/>
            </w:tcBorders>
            <w:vAlign w:val="center"/>
          </w:tcPr>
          <w:p w14:paraId="615C6536" w14:textId="77777777" w:rsidR="004E48FF" w:rsidRDefault="004E48FF" w:rsidP="00CD4A18">
            <w:pPr>
              <w:jc w:val="center"/>
              <w:rPr>
                <w:rFonts w:ascii="Arial" w:hAnsi="Arial" w:cs="Arial"/>
                <w:sz w:val="18"/>
                <w:szCs w:val="18"/>
              </w:rPr>
            </w:pPr>
            <w:r>
              <w:rPr>
                <w:rFonts w:ascii="Arial" w:hAnsi="Arial" w:cs="Arial"/>
                <w:sz w:val="18"/>
                <w:szCs w:val="18"/>
              </w:rPr>
              <w:t>26</w:t>
            </w:r>
          </w:p>
        </w:tc>
        <w:tc>
          <w:tcPr>
            <w:tcW w:w="3872" w:type="dxa"/>
            <w:tcBorders>
              <w:bottom w:val="single" w:sz="4" w:space="0" w:color="000000"/>
            </w:tcBorders>
            <w:vAlign w:val="center"/>
          </w:tcPr>
          <w:p w14:paraId="30A3B32B" w14:textId="7CC672DB" w:rsidR="004E48FF" w:rsidRPr="00B019CC" w:rsidRDefault="004E48FF" w:rsidP="00CD4A18">
            <w:pPr>
              <w:jc w:val="both"/>
              <w:rPr>
                <w:rFonts w:ascii="Arial" w:hAnsi="Arial" w:cs="Arial"/>
                <w:sz w:val="18"/>
                <w:szCs w:val="18"/>
              </w:rPr>
            </w:pPr>
            <w:r w:rsidRPr="00F34543">
              <w:rPr>
                <w:rFonts w:ascii="Arial" w:hAnsi="Arial" w:cs="Arial"/>
                <w:sz w:val="18"/>
                <w:szCs w:val="18"/>
              </w:rPr>
              <w:t>Oficio</w:t>
            </w:r>
            <w:r>
              <w:rPr>
                <w:rFonts w:ascii="Arial" w:hAnsi="Arial" w:cs="Arial"/>
                <w:sz w:val="18"/>
                <w:szCs w:val="18"/>
              </w:rPr>
              <w:t>s</w:t>
            </w:r>
            <w:r w:rsidRPr="00F34543">
              <w:rPr>
                <w:rFonts w:ascii="Arial" w:hAnsi="Arial" w:cs="Arial"/>
                <w:sz w:val="18"/>
                <w:szCs w:val="18"/>
              </w:rPr>
              <w:t xml:space="preserve"> del MINEDU mediante el cual se remite al Gobierno Regional correspondiente el Acta de Reunión de selección del Instituto donde se implementará el Modelo de Excelencia</w:t>
            </w:r>
            <w:r w:rsidR="0024161C">
              <w:rPr>
                <w:rFonts w:ascii="Arial" w:hAnsi="Arial" w:cs="Arial"/>
                <w:sz w:val="18"/>
                <w:szCs w:val="18"/>
              </w:rPr>
              <w:t>.</w:t>
            </w:r>
          </w:p>
        </w:tc>
        <w:tc>
          <w:tcPr>
            <w:tcW w:w="1260" w:type="dxa"/>
            <w:tcBorders>
              <w:bottom w:val="single" w:sz="4" w:space="0" w:color="000000"/>
            </w:tcBorders>
            <w:vAlign w:val="center"/>
          </w:tcPr>
          <w:p w14:paraId="131D3757" w14:textId="77777777" w:rsidR="004E48FF" w:rsidRPr="000A390C" w:rsidRDefault="004E48FF" w:rsidP="00CD4A18">
            <w:pPr>
              <w:jc w:val="center"/>
              <w:rPr>
                <w:rFonts w:ascii="Arial" w:hAnsi="Arial" w:cs="Arial"/>
                <w:sz w:val="20"/>
              </w:rPr>
            </w:pPr>
            <w:r>
              <w:rPr>
                <w:rFonts w:ascii="Arial" w:hAnsi="Arial" w:cs="Arial"/>
                <w:sz w:val="18"/>
                <w:szCs w:val="18"/>
              </w:rPr>
              <w:t>MINEDU</w:t>
            </w:r>
          </w:p>
        </w:tc>
      </w:tr>
      <w:tr w:rsidR="004E48FF" w:rsidRPr="00B019CC" w14:paraId="67C95B90" w14:textId="77777777" w:rsidTr="00504DB1">
        <w:trPr>
          <w:trHeight w:val="728"/>
          <w:jc w:val="center"/>
        </w:trPr>
        <w:tc>
          <w:tcPr>
            <w:tcW w:w="4221" w:type="dxa"/>
            <w:tcBorders>
              <w:bottom w:val="single" w:sz="4" w:space="0" w:color="000000"/>
            </w:tcBorders>
            <w:vAlign w:val="center"/>
          </w:tcPr>
          <w:p w14:paraId="6233AD1A" w14:textId="0B16FF0C" w:rsidR="004E48FF" w:rsidRDefault="004E48FF" w:rsidP="00FD0DF7">
            <w:pPr>
              <w:pStyle w:val="ListParagraph"/>
              <w:numPr>
                <w:ilvl w:val="0"/>
                <w:numId w:val="13"/>
              </w:numPr>
              <w:ind w:left="252" w:hanging="270"/>
              <w:jc w:val="both"/>
              <w:rPr>
                <w:rFonts w:ascii="Arial" w:hAnsi="Arial" w:cs="Arial"/>
                <w:sz w:val="18"/>
                <w:szCs w:val="18"/>
              </w:rPr>
            </w:pPr>
            <w:r>
              <w:rPr>
                <w:rFonts w:ascii="Arial" w:hAnsi="Arial" w:cs="Arial"/>
                <w:sz w:val="18"/>
                <w:szCs w:val="18"/>
              </w:rPr>
              <w:t xml:space="preserve">Acuerdo de </w:t>
            </w:r>
            <w:r w:rsidRPr="00244E41">
              <w:rPr>
                <w:rFonts w:ascii="Arial" w:hAnsi="Arial" w:cs="Arial"/>
                <w:sz w:val="18"/>
                <w:szCs w:val="18"/>
              </w:rPr>
              <w:t>fuente de financiamiento para el funcionamiento de por los menos tres Consejos Sectoriales de Competencias (CSC</w:t>
            </w:r>
            <w:r w:rsidR="002446FA">
              <w:rPr>
                <w:rFonts w:ascii="Arial" w:hAnsi="Arial" w:cs="Arial"/>
                <w:sz w:val="18"/>
                <w:szCs w:val="18"/>
              </w:rPr>
              <w:t>)</w:t>
            </w:r>
            <w:r>
              <w:rPr>
                <w:rFonts w:ascii="Arial" w:hAnsi="Arial" w:cs="Arial"/>
                <w:sz w:val="18"/>
                <w:szCs w:val="18"/>
              </w:rPr>
              <w:t xml:space="preserve"> aprobado</w:t>
            </w:r>
            <w:r w:rsidR="0024161C">
              <w:rPr>
                <w:rFonts w:ascii="Arial" w:hAnsi="Arial" w:cs="Arial"/>
                <w:sz w:val="18"/>
                <w:szCs w:val="18"/>
              </w:rPr>
              <w:t>.</w:t>
            </w:r>
          </w:p>
        </w:tc>
        <w:tc>
          <w:tcPr>
            <w:tcW w:w="1619" w:type="dxa"/>
            <w:tcBorders>
              <w:bottom w:val="single" w:sz="4" w:space="0" w:color="000000"/>
            </w:tcBorders>
            <w:vAlign w:val="center"/>
          </w:tcPr>
          <w:p w14:paraId="73849E80" w14:textId="77777777" w:rsidR="004E48FF" w:rsidRPr="005C771E" w:rsidRDefault="004E48FF" w:rsidP="00CD4A18">
            <w:pPr>
              <w:jc w:val="center"/>
              <w:rPr>
                <w:rFonts w:ascii="Arial" w:hAnsi="Arial" w:cs="Arial"/>
                <w:sz w:val="18"/>
                <w:szCs w:val="18"/>
              </w:rPr>
            </w:pPr>
            <w:r>
              <w:rPr>
                <w:rFonts w:ascii="Arial" w:hAnsi="Arial" w:cs="Arial"/>
                <w:sz w:val="18"/>
                <w:szCs w:val="18"/>
              </w:rPr>
              <w:t>Acuerdo de fuente de financiamiento aprobado</w:t>
            </w:r>
          </w:p>
        </w:tc>
        <w:tc>
          <w:tcPr>
            <w:tcW w:w="640" w:type="dxa"/>
            <w:tcBorders>
              <w:bottom w:val="single" w:sz="4" w:space="0" w:color="000000"/>
            </w:tcBorders>
            <w:vAlign w:val="center"/>
          </w:tcPr>
          <w:p w14:paraId="41C18F75" w14:textId="77777777" w:rsidR="004E48FF" w:rsidRPr="00B019CC" w:rsidRDefault="004E48FF" w:rsidP="00CD4A18">
            <w:pPr>
              <w:jc w:val="center"/>
              <w:rPr>
                <w:rFonts w:ascii="Arial" w:hAnsi="Arial" w:cs="Arial"/>
                <w:sz w:val="18"/>
                <w:szCs w:val="18"/>
              </w:rPr>
            </w:pPr>
            <w:r>
              <w:rPr>
                <w:rFonts w:ascii="Arial" w:hAnsi="Arial" w:cs="Arial"/>
                <w:sz w:val="18"/>
                <w:szCs w:val="18"/>
              </w:rPr>
              <w:t>0</w:t>
            </w:r>
          </w:p>
        </w:tc>
        <w:tc>
          <w:tcPr>
            <w:tcW w:w="810" w:type="dxa"/>
            <w:gridSpan w:val="2"/>
            <w:tcBorders>
              <w:bottom w:val="single" w:sz="4" w:space="0" w:color="000000"/>
            </w:tcBorders>
            <w:vAlign w:val="center"/>
          </w:tcPr>
          <w:p w14:paraId="39A95831" w14:textId="77777777" w:rsidR="004E48FF" w:rsidRPr="00B019CC" w:rsidRDefault="004E48FF" w:rsidP="00CD4A18">
            <w:pPr>
              <w:jc w:val="center"/>
              <w:rPr>
                <w:rFonts w:ascii="Arial" w:hAnsi="Arial" w:cs="Arial"/>
                <w:sz w:val="18"/>
                <w:szCs w:val="18"/>
              </w:rPr>
            </w:pPr>
            <w:r w:rsidRPr="00B019CC">
              <w:rPr>
                <w:rFonts w:ascii="Arial" w:hAnsi="Arial" w:cs="Arial"/>
                <w:sz w:val="18"/>
                <w:szCs w:val="18"/>
              </w:rPr>
              <w:t>201</w:t>
            </w:r>
            <w:r>
              <w:rPr>
                <w:rFonts w:ascii="Arial" w:hAnsi="Arial" w:cs="Arial"/>
                <w:sz w:val="18"/>
                <w:szCs w:val="18"/>
              </w:rPr>
              <w:t>7</w:t>
            </w:r>
          </w:p>
        </w:tc>
        <w:tc>
          <w:tcPr>
            <w:tcW w:w="713" w:type="dxa"/>
            <w:tcBorders>
              <w:bottom w:val="single" w:sz="4" w:space="0" w:color="000000"/>
            </w:tcBorders>
            <w:vAlign w:val="center"/>
          </w:tcPr>
          <w:p w14:paraId="30A91DBA" w14:textId="77777777" w:rsidR="004E48FF" w:rsidRDefault="004E48FF" w:rsidP="00CD4A18">
            <w:pPr>
              <w:jc w:val="center"/>
              <w:rPr>
                <w:rFonts w:ascii="Arial" w:hAnsi="Arial" w:cs="Arial"/>
                <w:sz w:val="18"/>
                <w:szCs w:val="18"/>
              </w:rPr>
            </w:pPr>
            <w:r>
              <w:rPr>
                <w:rFonts w:ascii="Arial" w:hAnsi="Arial" w:cs="Arial"/>
                <w:sz w:val="18"/>
                <w:szCs w:val="18"/>
              </w:rPr>
              <w:t>1</w:t>
            </w:r>
          </w:p>
        </w:tc>
        <w:tc>
          <w:tcPr>
            <w:tcW w:w="3872" w:type="dxa"/>
            <w:tcBorders>
              <w:bottom w:val="single" w:sz="4" w:space="0" w:color="000000"/>
            </w:tcBorders>
            <w:vAlign w:val="center"/>
          </w:tcPr>
          <w:p w14:paraId="62E63ED0" w14:textId="6431346B" w:rsidR="004E48FF" w:rsidRPr="00B019CC" w:rsidRDefault="004E48FF" w:rsidP="00CD4A18">
            <w:pPr>
              <w:jc w:val="both"/>
              <w:rPr>
                <w:rFonts w:ascii="Arial" w:hAnsi="Arial" w:cs="Arial"/>
                <w:sz w:val="18"/>
                <w:szCs w:val="18"/>
              </w:rPr>
            </w:pPr>
            <w:r w:rsidRPr="00F34543">
              <w:rPr>
                <w:rFonts w:ascii="Arial" w:hAnsi="Arial" w:cs="Arial"/>
                <w:sz w:val="18"/>
                <w:szCs w:val="18"/>
              </w:rPr>
              <w:t>Decreto Supremo que aprueba el Programa para la Mejora de la Calidad y Pertinencia de los Servicios de Educación Superior Universitaria y Tecnológica a Nivel Nacional</w:t>
            </w:r>
            <w:r>
              <w:rPr>
                <w:rFonts w:ascii="Arial" w:hAnsi="Arial" w:cs="Arial"/>
                <w:sz w:val="18"/>
                <w:szCs w:val="18"/>
              </w:rPr>
              <w:t>. DS 201-2018-EF</w:t>
            </w:r>
            <w:r w:rsidR="0024161C">
              <w:rPr>
                <w:rFonts w:ascii="Arial" w:hAnsi="Arial" w:cs="Arial"/>
                <w:sz w:val="18"/>
                <w:szCs w:val="18"/>
              </w:rPr>
              <w:t>.</w:t>
            </w:r>
          </w:p>
        </w:tc>
        <w:tc>
          <w:tcPr>
            <w:tcW w:w="1260" w:type="dxa"/>
            <w:tcBorders>
              <w:bottom w:val="single" w:sz="4" w:space="0" w:color="000000"/>
            </w:tcBorders>
            <w:vAlign w:val="center"/>
          </w:tcPr>
          <w:p w14:paraId="36048E06" w14:textId="77777777" w:rsidR="004E48FF" w:rsidRPr="00B019CC" w:rsidRDefault="004E48FF" w:rsidP="00CD4A18">
            <w:pPr>
              <w:jc w:val="center"/>
              <w:rPr>
                <w:rFonts w:ascii="Arial" w:hAnsi="Arial" w:cs="Arial"/>
                <w:sz w:val="18"/>
                <w:szCs w:val="18"/>
              </w:rPr>
            </w:pPr>
            <w:r>
              <w:rPr>
                <w:rFonts w:ascii="Arial" w:hAnsi="Arial" w:cs="Arial"/>
                <w:sz w:val="18"/>
                <w:szCs w:val="18"/>
              </w:rPr>
              <w:t>MINEDU</w:t>
            </w:r>
          </w:p>
        </w:tc>
      </w:tr>
      <w:tr w:rsidR="00EF12AE" w:rsidRPr="002A71FA" w14:paraId="08A0547E" w14:textId="77777777" w:rsidTr="00504DB1">
        <w:trPr>
          <w:trHeight w:val="728"/>
          <w:jc w:val="center"/>
        </w:trPr>
        <w:tc>
          <w:tcPr>
            <w:tcW w:w="4221" w:type="dxa"/>
            <w:tcBorders>
              <w:bottom w:val="single" w:sz="4" w:space="0" w:color="000000"/>
            </w:tcBorders>
            <w:vAlign w:val="center"/>
          </w:tcPr>
          <w:p w14:paraId="7467E26B" w14:textId="01C95B88" w:rsidR="00EF12AE" w:rsidRPr="002A71FA" w:rsidRDefault="00B940C1" w:rsidP="00FD0DF7">
            <w:pPr>
              <w:pStyle w:val="ListParagraph"/>
              <w:numPr>
                <w:ilvl w:val="0"/>
                <w:numId w:val="13"/>
              </w:numPr>
              <w:ind w:left="252" w:hanging="270"/>
              <w:jc w:val="both"/>
              <w:rPr>
                <w:rFonts w:ascii="Arial" w:hAnsi="Arial" w:cs="Arial"/>
                <w:sz w:val="18"/>
                <w:szCs w:val="18"/>
              </w:rPr>
            </w:pPr>
            <w:r w:rsidRPr="002A71FA">
              <w:rPr>
                <w:rFonts w:ascii="Arial" w:hAnsi="Arial" w:cs="Arial"/>
                <w:sz w:val="18"/>
                <w:szCs w:val="18"/>
              </w:rPr>
              <w:t>Ley Universitaria modificada para que las universidades públicas y privadas brinden información confiable y oportuna sobre sus egresados al MINEDU</w:t>
            </w:r>
          </w:p>
        </w:tc>
        <w:tc>
          <w:tcPr>
            <w:tcW w:w="1619" w:type="dxa"/>
            <w:tcBorders>
              <w:bottom w:val="single" w:sz="4" w:space="0" w:color="000000"/>
            </w:tcBorders>
            <w:vAlign w:val="center"/>
          </w:tcPr>
          <w:p w14:paraId="50662A57" w14:textId="58BF886B" w:rsidR="00EF12AE" w:rsidRPr="002A71FA" w:rsidRDefault="00B940C1" w:rsidP="00CD4A18">
            <w:pPr>
              <w:jc w:val="center"/>
              <w:rPr>
                <w:rFonts w:ascii="Arial" w:hAnsi="Arial" w:cs="Arial"/>
                <w:sz w:val="18"/>
                <w:szCs w:val="18"/>
              </w:rPr>
            </w:pPr>
            <w:r w:rsidRPr="002A71FA">
              <w:rPr>
                <w:rFonts w:ascii="Arial" w:hAnsi="Arial" w:cs="Arial"/>
                <w:sz w:val="18"/>
                <w:szCs w:val="18"/>
              </w:rPr>
              <w:t>Ley modificada</w:t>
            </w:r>
          </w:p>
        </w:tc>
        <w:tc>
          <w:tcPr>
            <w:tcW w:w="640" w:type="dxa"/>
            <w:tcBorders>
              <w:bottom w:val="single" w:sz="4" w:space="0" w:color="000000"/>
            </w:tcBorders>
            <w:vAlign w:val="center"/>
          </w:tcPr>
          <w:p w14:paraId="7A733507" w14:textId="5C545C50" w:rsidR="00EF12AE" w:rsidRPr="002A71FA" w:rsidRDefault="00B940C1" w:rsidP="00CD4A18">
            <w:pPr>
              <w:jc w:val="center"/>
              <w:rPr>
                <w:rFonts w:ascii="Arial" w:hAnsi="Arial" w:cs="Arial"/>
                <w:sz w:val="18"/>
                <w:szCs w:val="18"/>
              </w:rPr>
            </w:pPr>
            <w:r w:rsidRPr="002A71FA">
              <w:rPr>
                <w:rFonts w:ascii="Arial" w:hAnsi="Arial" w:cs="Arial"/>
                <w:sz w:val="18"/>
                <w:szCs w:val="18"/>
              </w:rPr>
              <w:t>0</w:t>
            </w:r>
          </w:p>
        </w:tc>
        <w:tc>
          <w:tcPr>
            <w:tcW w:w="810" w:type="dxa"/>
            <w:gridSpan w:val="2"/>
            <w:tcBorders>
              <w:bottom w:val="single" w:sz="4" w:space="0" w:color="000000"/>
            </w:tcBorders>
            <w:vAlign w:val="center"/>
          </w:tcPr>
          <w:p w14:paraId="30C63D30" w14:textId="74BFD0B1" w:rsidR="00EF12AE" w:rsidRPr="002A71FA" w:rsidRDefault="00B940C1" w:rsidP="00CD4A18">
            <w:pPr>
              <w:jc w:val="center"/>
              <w:rPr>
                <w:rFonts w:ascii="Arial" w:hAnsi="Arial" w:cs="Arial"/>
                <w:sz w:val="18"/>
                <w:szCs w:val="18"/>
              </w:rPr>
            </w:pPr>
            <w:r w:rsidRPr="002A71FA">
              <w:rPr>
                <w:rFonts w:ascii="Arial" w:hAnsi="Arial" w:cs="Arial"/>
                <w:sz w:val="18"/>
                <w:szCs w:val="18"/>
              </w:rPr>
              <w:t>2017</w:t>
            </w:r>
          </w:p>
        </w:tc>
        <w:tc>
          <w:tcPr>
            <w:tcW w:w="713" w:type="dxa"/>
            <w:tcBorders>
              <w:bottom w:val="single" w:sz="4" w:space="0" w:color="000000"/>
            </w:tcBorders>
            <w:vAlign w:val="center"/>
          </w:tcPr>
          <w:p w14:paraId="402626CA" w14:textId="7DB5FAB4" w:rsidR="00EF12AE" w:rsidRPr="002A71FA" w:rsidRDefault="00B940C1" w:rsidP="00CD4A18">
            <w:pPr>
              <w:jc w:val="center"/>
              <w:rPr>
                <w:rFonts w:ascii="Arial" w:hAnsi="Arial" w:cs="Arial"/>
                <w:sz w:val="18"/>
                <w:szCs w:val="18"/>
              </w:rPr>
            </w:pPr>
            <w:r w:rsidRPr="002A71FA">
              <w:rPr>
                <w:rFonts w:ascii="Arial" w:hAnsi="Arial" w:cs="Arial"/>
                <w:sz w:val="18"/>
                <w:szCs w:val="18"/>
              </w:rPr>
              <w:t>1</w:t>
            </w:r>
          </w:p>
        </w:tc>
        <w:tc>
          <w:tcPr>
            <w:tcW w:w="3872" w:type="dxa"/>
            <w:tcBorders>
              <w:bottom w:val="single" w:sz="4" w:space="0" w:color="000000"/>
            </w:tcBorders>
            <w:vAlign w:val="center"/>
          </w:tcPr>
          <w:p w14:paraId="12AAF0BF" w14:textId="03CD886E" w:rsidR="00EF12AE" w:rsidRPr="002A71FA" w:rsidRDefault="00B940C1" w:rsidP="00CD4A18">
            <w:pPr>
              <w:jc w:val="both"/>
              <w:rPr>
                <w:rFonts w:ascii="Arial" w:hAnsi="Arial" w:cs="Arial"/>
                <w:sz w:val="18"/>
                <w:szCs w:val="18"/>
              </w:rPr>
            </w:pPr>
            <w:r w:rsidRPr="0016667A">
              <w:rPr>
                <w:rFonts w:ascii="Arial" w:hAnsi="Arial" w:cs="Arial"/>
                <w:sz w:val="18"/>
                <w:szCs w:val="18"/>
              </w:rPr>
              <w:t xml:space="preserve">Decreto Legislativo </w:t>
            </w:r>
            <w:proofErr w:type="spellStart"/>
            <w:r w:rsidRPr="0016667A">
              <w:rPr>
                <w:rFonts w:ascii="Arial" w:hAnsi="Arial" w:cs="Arial"/>
                <w:sz w:val="18"/>
                <w:szCs w:val="18"/>
              </w:rPr>
              <w:t>Nº</w:t>
            </w:r>
            <w:proofErr w:type="spellEnd"/>
            <w:r w:rsidRPr="0016667A">
              <w:rPr>
                <w:rFonts w:ascii="Arial" w:hAnsi="Arial" w:cs="Arial"/>
                <w:sz w:val="18"/>
                <w:szCs w:val="18"/>
              </w:rPr>
              <w:t xml:space="preserve"> 1451 que Fortalece el funcionamiento de las entidades del Gobierno Nacional, del Gobierno Regional o del Gobierno Local, a través de precisiones de sus competencias</w:t>
            </w:r>
          </w:p>
        </w:tc>
        <w:tc>
          <w:tcPr>
            <w:tcW w:w="1260" w:type="dxa"/>
            <w:tcBorders>
              <w:bottom w:val="single" w:sz="4" w:space="0" w:color="000000"/>
            </w:tcBorders>
            <w:vAlign w:val="center"/>
          </w:tcPr>
          <w:p w14:paraId="42E28F4D" w14:textId="1F215205" w:rsidR="00EF12AE" w:rsidRPr="002A71FA" w:rsidRDefault="00B940C1" w:rsidP="00CD4A18">
            <w:pPr>
              <w:jc w:val="center"/>
              <w:rPr>
                <w:rFonts w:ascii="Arial" w:hAnsi="Arial" w:cs="Arial"/>
                <w:sz w:val="18"/>
                <w:szCs w:val="18"/>
              </w:rPr>
            </w:pPr>
            <w:r w:rsidRPr="002A71FA">
              <w:rPr>
                <w:rFonts w:ascii="Arial" w:hAnsi="Arial" w:cs="Arial"/>
                <w:sz w:val="18"/>
                <w:szCs w:val="18"/>
              </w:rPr>
              <w:t>MINEDU</w:t>
            </w:r>
          </w:p>
        </w:tc>
      </w:tr>
      <w:tr w:rsidR="004E48FF" w:rsidRPr="00B019CC" w14:paraId="2547FAE8" w14:textId="77777777" w:rsidTr="00504DB1">
        <w:trPr>
          <w:trHeight w:val="728"/>
          <w:jc w:val="center"/>
        </w:trPr>
        <w:tc>
          <w:tcPr>
            <w:tcW w:w="4221" w:type="dxa"/>
            <w:tcBorders>
              <w:bottom w:val="single" w:sz="4" w:space="0" w:color="000000"/>
            </w:tcBorders>
            <w:vAlign w:val="center"/>
          </w:tcPr>
          <w:p w14:paraId="32CA85EB" w14:textId="1EFFCF18" w:rsidR="004E48FF" w:rsidRDefault="004E48FF" w:rsidP="00FD0DF7">
            <w:pPr>
              <w:pStyle w:val="ListParagraph"/>
              <w:numPr>
                <w:ilvl w:val="0"/>
                <w:numId w:val="13"/>
              </w:numPr>
              <w:ind w:left="252" w:hanging="270"/>
              <w:jc w:val="both"/>
              <w:rPr>
                <w:rFonts w:ascii="Arial" w:hAnsi="Arial" w:cs="Arial"/>
                <w:sz w:val="18"/>
                <w:szCs w:val="18"/>
              </w:rPr>
            </w:pPr>
            <w:r>
              <w:rPr>
                <w:rFonts w:ascii="Arial" w:hAnsi="Arial" w:cs="Arial"/>
                <w:sz w:val="18"/>
                <w:szCs w:val="18"/>
              </w:rPr>
              <w:t>P</w:t>
            </w:r>
            <w:r w:rsidRPr="00844C42">
              <w:rPr>
                <w:rFonts w:ascii="Arial" w:hAnsi="Arial" w:cs="Arial"/>
                <w:sz w:val="18"/>
                <w:szCs w:val="18"/>
              </w:rPr>
              <w:t>ropuesta de plan de trabajo para mejorar la calidad de los datos del portal web Ponte en Carrera</w:t>
            </w:r>
            <w:r>
              <w:rPr>
                <w:rFonts w:ascii="Arial" w:hAnsi="Arial" w:cs="Arial"/>
                <w:sz w:val="18"/>
                <w:szCs w:val="18"/>
              </w:rPr>
              <w:t xml:space="preserve"> aprobado</w:t>
            </w:r>
            <w:r w:rsidR="0024161C">
              <w:rPr>
                <w:rFonts w:ascii="Arial" w:hAnsi="Arial" w:cs="Arial"/>
                <w:sz w:val="18"/>
                <w:szCs w:val="18"/>
              </w:rPr>
              <w:t>.</w:t>
            </w:r>
          </w:p>
        </w:tc>
        <w:tc>
          <w:tcPr>
            <w:tcW w:w="1619" w:type="dxa"/>
            <w:tcBorders>
              <w:bottom w:val="single" w:sz="4" w:space="0" w:color="000000"/>
            </w:tcBorders>
            <w:vAlign w:val="center"/>
          </w:tcPr>
          <w:p w14:paraId="1E8063B6" w14:textId="77777777" w:rsidR="004E48FF" w:rsidRDefault="004E48FF" w:rsidP="00CD4A18">
            <w:pPr>
              <w:jc w:val="center"/>
              <w:rPr>
                <w:rFonts w:ascii="Arial" w:hAnsi="Arial" w:cs="Arial"/>
                <w:sz w:val="18"/>
                <w:szCs w:val="18"/>
              </w:rPr>
            </w:pPr>
            <w:r>
              <w:rPr>
                <w:rFonts w:ascii="Arial" w:hAnsi="Arial" w:cs="Arial"/>
                <w:sz w:val="18"/>
                <w:szCs w:val="18"/>
              </w:rPr>
              <w:t>Plan de Trabajo aprobado</w:t>
            </w:r>
          </w:p>
        </w:tc>
        <w:tc>
          <w:tcPr>
            <w:tcW w:w="640" w:type="dxa"/>
            <w:tcBorders>
              <w:bottom w:val="single" w:sz="4" w:space="0" w:color="000000"/>
            </w:tcBorders>
            <w:vAlign w:val="center"/>
          </w:tcPr>
          <w:p w14:paraId="3E7E00B4" w14:textId="77777777" w:rsidR="004E48FF" w:rsidRDefault="004E48FF" w:rsidP="00CD4A18">
            <w:pPr>
              <w:jc w:val="center"/>
              <w:rPr>
                <w:rFonts w:ascii="Arial" w:hAnsi="Arial" w:cs="Arial"/>
                <w:sz w:val="18"/>
                <w:szCs w:val="18"/>
              </w:rPr>
            </w:pPr>
            <w:r>
              <w:rPr>
                <w:rFonts w:ascii="Arial" w:hAnsi="Arial" w:cs="Arial"/>
                <w:sz w:val="18"/>
                <w:szCs w:val="18"/>
              </w:rPr>
              <w:t>0</w:t>
            </w:r>
          </w:p>
        </w:tc>
        <w:tc>
          <w:tcPr>
            <w:tcW w:w="810" w:type="dxa"/>
            <w:gridSpan w:val="2"/>
            <w:tcBorders>
              <w:bottom w:val="single" w:sz="4" w:space="0" w:color="000000"/>
            </w:tcBorders>
            <w:vAlign w:val="center"/>
          </w:tcPr>
          <w:p w14:paraId="02EDCD17" w14:textId="77777777" w:rsidR="004E48FF" w:rsidRPr="00B019CC" w:rsidRDefault="004E48FF" w:rsidP="00CD4A18">
            <w:pPr>
              <w:jc w:val="center"/>
              <w:rPr>
                <w:rFonts w:ascii="Arial" w:hAnsi="Arial" w:cs="Arial"/>
                <w:sz w:val="18"/>
                <w:szCs w:val="18"/>
              </w:rPr>
            </w:pPr>
            <w:r>
              <w:rPr>
                <w:rFonts w:ascii="Arial" w:hAnsi="Arial" w:cs="Arial"/>
                <w:sz w:val="18"/>
                <w:szCs w:val="18"/>
              </w:rPr>
              <w:t>2017</w:t>
            </w:r>
          </w:p>
        </w:tc>
        <w:tc>
          <w:tcPr>
            <w:tcW w:w="713" w:type="dxa"/>
            <w:tcBorders>
              <w:bottom w:val="single" w:sz="4" w:space="0" w:color="000000"/>
            </w:tcBorders>
            <w:vAlign w:val="center"/>
          </w:tcPr>
          <w:p w14:paraId="77E19AB5" w14:textId="77777777" w:rsidR="004E48FF" w:rsidRDefault="004E48FF" w:rsidP="00CD4A18">
            <w:pPr>
              <w:jc w:val="center"/>
              <w:rPr>
                <w:rFonts w:ascii="Arial" w:hAnsi="Arial" w:cs="Arial"/>
                <w:sz w:val="18"/>
                <w:szCs w:val="18"/>
              </w:rPr>
            </w:pPr>
            <w:r>
              <w:rPr>
                <w:rFonts w:ascii="Arial" w:hAnsi="Arial" w:cs="Arial"/>
                <w:sz w:val="18"/>
                <w:szCs w:val="18"/>
              </w:rPr>
              <w:t>1</w:t>
            </w:r>
          </w:p>
        </w:tc>
        <w:tc>
          <w:tcPr>
            <w:tcW w:w="3872" w:type="dxa"/>
            <w:tcBorders>
              <w:bottom w:val="single" w:sz="4" w:space="0" w:color="000000"/>
            </w:tcBorders>
            <w:vAlign w:val="center"/>
          </w:tcPr>
          <w:p w14:paraId="24F90A2B" w14:textId="3D6BC7AE" w:rsidR="004E48FF" w:rsidRPr="004F4B4B" w:rsidRDefault="004E48FF" w:rsidP="00CD4A18">
            <w:pPr>
              <w:jc w:val="both"/>
              <w:rPr>
                <w:rFonts w:ascii="Arial" w:hAnsi="Arial" w:cs="Arial"/>
                <w:sz w:val="18"/>
                <w:szCs w:val="18"/>
              </w:rPr>
            </w:pPr>
            <w:r w:rsidRPr="004F4B4B">
              <w:rPr>
                <w:rFonts w:ascii="Arial" w:hAnsi="Arial" w:cs="Arial"/>
                <w:sz w:val="18"/>
              </w:rPr>
              <w:t>Comunicación del MINEDU remitiendo el Documento de Propuesta de Plan de Trabajo presentado al Equipo de Dirección de Ponte en Carrera</w:t>
            </w:r>
            <w:r w:rsidR="002446FA">
              <w:rPr>
                <w:rFonts w:ascii="Arial" w:hAnsi="Arial" w:cs="Arial"/>
                <w:sz w:val="18"/>
              </w:rPr>
              <w:t>.</w:t>
            </w:r>
          </w:p>
        </w:tc>
        <w:tc>
          <w:tcPr>
            <w:tcW w:w="1260" w:type="dxa"/>
            <w:tcBorders>
              <w:bottom w:val="single" w:sz="4" w:space="0" w:color="000000"/>
            </w:tcBorders>
            <w:vAlign w:val="center"/>
          </w:tcPr>
          <w:p w14:paraId="0107DA22" w14:textId="77777777" w:rsidR="004E48FF" w:rsidRDefault="004E48FF" w:rsidP="00CD4A18">
            <w:pPr>
              <w:jc w:val="center"/>
              <w:rPr>
                <w:rFonts w:ascii="Arial" w:hAnsi="Arial" w:cs="Arial"/>
                <w:sz w:val="18"/>
                <w:szCs w:val="18"/>
              </w:rPr>
            </w:pPr>
            <w:r>
              <w:rPr>
                <w:rFonts w:ascii="Arial" w:hAnsi="Arial" w:cs="Arial"/>
                <w:sz w:val="18"/>
                <w:szCs w:val="18"/>
              </w:rPr>
              <w:t>MINEDU</w:t>
            </w:r>
          </w:p>
        </w:tc>
      </w:tr>
      <w:tr w:rsidR="00B940C1" w:rsidRPr="002A71FA" w14:paraId="730A29D8" w14:textId="77777777" w:rsidTr="00504DB1">
        <w:trPr>
          <w:trHeight w:val="728"/>
          <w:jc w:val="center"/>
        </w:trPr>
        <w:tc>
          <w:tcPr>
            <w:tcW w:w="4221" w:type="dxa"/>
            <w:tcBorders>
              <w:bottom w:val="single" w:sz="4" w:space="0" w:color="000000"/>
            </w:tcBorders>
            <w:vAlign w:val="center"/>
          </w:tcPr>
          <w:p w14:paraId="15D1E0E0" w14:textId="50AFD1DB" w:rsidR="00B940C1" w:rsidRPr="0016667A" w:rsidRDefault="0016667A" w:rsidP="00FD0DF7">
            <w:pPr>
              <w:pStyle w:val="ListParagraph"/>
              <w:numPr>
                <w:ilvl w:val="0"/>
                <w:numId w:val="13"/>
              </w:numPr>
              <w:ind w:left="252" w:hanging="270"/>
              <w:jc w:val="both"/>
              <w:rPr>
                <w:rFonts w:ascii="Arial" w:hAnsi="Arial" w:cs="Arial"/>
                <w:sz w:val="18"/>
                <w:szCs w:val="18"/>
              </w:rPr>
            </w:pPr>
            <w:r w:rsidRPr="0016667A">
              <w:rPr>
                <w:rFonts w:ascii="Arial" w:hAnsi="Arial" w:cs="Arial"/>
                <w:sz w:val="18"/>
                <w:szCs w:val="18"/>
              </w:rPr>
              <w:t>Acuerdo de fuente de financiamiento para el desarrollo e implementación del MNC aprobado</w:t>
            </w:r>
          </w:p>
        </w:tc>
        <w:tc>
          <w:tcPr>
            <w:tcW w:w="1619" w:type="dxa"/>
            <w:tcBorders>
              <w:bottom w:val="single" w:sz="4" w:space="0" w:color="000000"/>
            </w:tcBorders>
            <w:vAlign w:val="center"/>
          </w:tcPr>
          <w:p w14:paraId="2FACB869" w14:textId="7104C878" w:rsidR="00B940C1" w:rsidRPr="002A71FA" w:rsidRDefault="00B940C1" w:rsidP="00B940C1">
            <w:pPr>
              <w:jc w:val="center"/>
              <w:rPr>
                <w:rFonts w:ascii="Arial" w:hAnsi="Arial" w:cs="Arial"/>
                <w:sz w:val="18"/>
                <w:szCs w:val="18"/>
              </w:rPr>
            </w:pPr>
            <w:r w:rsidRPr="002A71FA">
              <w:rPr>
                <w:rFonts w:ascii="Arial" w:hAnsi="Arial" w:cs="Arial"/>
                <w:sz w:val="18"/>
                <w:szCs w:val="18"/>
              </w:rPr>
              <w:t>Acuerdo de financiamiento aprobado</w:t>
            </w:r>
          </w:p>
        </w:tc>
        <w:tc>
          <w:tcPr>
            <w:tcW w:w="640" w:type="dxa"/>
            <w:tcBorders>
              <w:bottom w:val="single" w:sz="4" w:space="0" w:color="000000"/>
            </w:tcBorders>
            <w:vAlign w:val="center"/>
          </w:tcPr>
          <w:p w14:paraId="102B4F1E" w14:textId="26E61878" w:rsidR="00B940C1" w:rsidRPr="002A71FA" w:rsidRDefault="00B940C1" w:rsidP="00B940C1">
            <w:pPr>
              <w:jc w:val="center"/>
              <w:rPr>
                <w:rFonts w:ascii="Arial" w:hAnsi="Arial" w:cs="Arial"/>
                <w:sz w:val="18"/>
                <w:szCs w:val="18"/>
              </w:rPr>
            </w:pPr>
            <w:r w:rsidRPr="002A71FA">
              <w:rPr>
                <w:rFonts w:ascii="Arial" w:hAnsi="Arial" w:cs="Arial"/>
                <w:sz w:val="18"/>
                <w:szCs w:val="18"/>
              </w:rPr>
              <w:t>0</w:t>
            </w:r>
          </w:p>
        </w:tc>
        <w:tc>
          <w:tcPr>
            <w:tcW w:w="810" w:type="dxa"/>
            <w:gridSpan w:val="2"/>
            <w:tcBorders>
              <w:bottom w:val="single" w:sz="4" w:space="0" w:color="000000"/>
            </w:tcBorders>
            <w:vAlign w:val="center"/>
          </w:tcPr>
          <w:p w14:paraId="6886E380" w14:textId="64458377" w:rsidR="00B940C1" w:rsidRPr="002A71FA" w:rsidRDefault="00B940C1" w:rsidP="00B940C1">
            <w:pPr>
              <w:jc w:val="center"/>
              <w:rPr>
                <w:rFonts w:ascii="Arial" w:hAnsi="Arial" w:cs="Arial"/>
                <w:sz w:val="18"/>
                <w:szCs w:val="18"/>
              </w:rPr>
            </w:pPr>
            <w:r w:rsidRPr="002A71FA">
              <w:rPr>
                <w:rFonts w:ascii="Arial" w:hAnsi="Arial" w:cs="Arial"/>
                <w:sz w:val="18"/>
                <w:szCs w:val="18"/>
              </w:rPr>
              <w:t>2017</w:t>
            </w:r>
          </w:p>
        </w:tc>
        <w:tc>
          <w:tcPr>
            <w:tcW w:w="713" w:type="dxa"/>
            <w:tcBorders>
              <w:bottom w:val="single" w:sz="4" w:space="0" w:color="000000"/>
            </w:tcBorders>
            <w:vAlign w:val="center"/>
          </w:tcPr>
          <w:p w14:paraId="19D288C8" w14:textId="59D15E32" w:rsidR="00B940C1" w:rsidRPr="002A71FA" w:rsidRDefault="00B940C1" w:rsidP="00B940C1">
            <w:pPr>
              <w:jc w:val="center"/>
              <w:rPr>
                <w:rFonts w:ascii="Arial" w:hAnsi="Arial" w:cs="Arial"/>
                <w:sz w:val="18"/>
                <w:szCs w:val="18"/>
              </w:rPr>
            </w:pPr>
            <w:r w:rsidRPr="002A71FA">
              <w:rPr>
                <w:rFonts w:ascii="Arial" w:hAnsi="Arial" w:cs="Arial"/>
                <w:sz w:val="18"/>
                <w:szCs w:val="18"/>
              </w:rPr>
              <w:t>1</w:t>
            </w:r>
          </w:p>
        </w:tc>
        <w:tc>
          <w:tcPr>
            <w:tcW w:w="3872" w:type="dxa"/>
            <w:tcBorders>
              <w:bottom w:val="single" w:sz="4" w:space="0" w:color="000000"/>
            </w:tcBorders>
            <w:vAlign w:val="center"/>
          </w:tcPr>
          <w:p w14:paraId="3CD62DFC" w14:textId="0DC534C9" w:rsidR="00B940C1" w:rsidRPr="002A71FA" w:rsidRDefault="00B940C1" w:rsidP="00B940C1">
            <w:pPr>
              <w:jc w:val="both"/>
              <w:rPr>
                <w:rFonts w:ascii="Arial" w:hAnsi="Arial" w:cs="Arial"/>
                <w:sz w:val="18"/>
                <w:szCs w:val="18"/>
              </w:rPr>
            </w:pPr>
            <w:r w:rsidRPr="002A71FA">
              <w:rPr>
                <w:rFonts w:ascii="Arial" w:hAnsi="Arial" w:cs="Arial"/>
                <w:sz w:val="18"/>
                <w:szCs w:val="18"/>
              </w:rPr>
              <w:t xml:space="preserve">Decreto Supremo </w:t>
            </w:r>
            <w:proofErr w:type="spellStart"/>
            <w:r w:rsidRPr="002A71FA">
              <w:rPr>
                <w:rFonts w:ascii="Arial" w:hAnsi="Arial" w:cs="Arial"/>
                <w:sz w:val="18"/>
                <w:szCs w:val="18"/>
              </w:rPr>
              <w:t>Nº</w:t>
            </w:r>
            <w:proofErr w:type="spellEnd"/>
            <w:r w:rsidRPr="002A71FA">
              <w:rPr>
                <w:rFonts w:ascii="Arial" w:hAnsi="Arial" w:cs="Arial"/>
                <w:sz w:val="18"/>
                <w:szCs w:val="18"/>
              </w:rPr>
              <w:t xml:space="preserve"> 201-2018-EF, que aprueba la operación de endeudamiento externo con el BID, destinada a financiar el Programa para la Mejora de la Calidad y Pertinencia de los Servicios de Educación Superior Universitaria y Tecnológica a Nivel Nacional</w:t>
            </w:r>
          </w:p>
        </w:tc>
        <w:tc>
          <w:tcPr>
            <w:tcW w:w="1260" w:type="dxa"/>
            <w:tcBorders>
              <w:bottom w:val="single" w:sz="4" w:space="0" w:color="000000"/>
            </w:tcBorders>
            <w:vAlign w:val="center"/>
          </w:tcPr>
          <w:p w14:paraId="7FAEE167" w14:textId="4A7B5923" w:rsidR="00B940C1" w:rsidRPr="002A71FA" w:rsidRDefault="00B940C1" w:rsidP="00B940C1">
            <w:pPr>
              <w:jc w:val="center"/>
              <w:rPr>
                <w:rFonts w:ascii="Arial" w:hAnsi="Arial" w:cs="Arial"/>
                <w:sz w:val="18"/>
                <w:szCs w:val="18"/>
              </w:rPr>
            </w:pPr>
            <w:r w:rsidRPr="002A71FA">
              <w:rPr>
                <w:rFonts w:ascii="Arial" w:hAnsi="Arial" w:cs="Arial"/>
                <w:sz w:val="18"/>
                <w:szCs w:val="18"/>
              </w:rPr>
              <w:t>MINEDU</w:t>
            </w:r>
          </w:p>
        </w:tc>
      </w:tr>
      <w:tr w:rsidR="004E48FF" w:rsidRPr="00B019CC" w14:paraId="7F13AB18" w14:textId="77777777" w:rsidTr="00504DB1">
        <w:trPr>
          <w:trHeight w:val="728"/>
          <w:jc w:val="center"/>
        </w:trPr>
        <w:tc>
          <w:tcPr>
            <w:tcW w:w="4221" w:type="dxa"/>
            <w:tcBorders>
              <w:bottom w:val="single" w:sz="4" w:space="0" w:color="000000"/>
            </w:tcBorders>
            <w:vAlign w:val="center"/>
          </w:tcPr>
          <w:p w14:paraId="557164BB" w14:textId="032E9EE8" w:rsidR="004E48FF" w:rsidRDefault="004E48FF" w:rsidP="00FD0DF7">
            <w:pPr>
              <w:pStyle w:val="ListParagraph"/>
              <w:numPr>
                <w:ilvl w:val="0"/>
                <w:numId w:val="13"/>
              </w:numPr>
              <w:ind w:left="252" w:hanging="270"/>
              <w:jc w:val="both"/>
              <w:rPr>
                <w:rFonts w:ascii="Arial" w:hAnsi="Arial" w:cs="Arial"/>
                <w:sz w:val="18"/>
                <w:szCs w:val="18"/>
              </w:rPr>
            </w:pPr>
            <w:r>
              <w:rPr>
                <w:rFonts w:ascii="Arial" w:hAnsi="Arial" w:cs="Arial"/>
                <w:sz w:val="18"/>
                <w:szCs w:val="18"/>
              </w:rPr>
              <w:t>P</w:t>
            </w:r>
            <w:r w:rsidRPr="00844C42">
              <w:rPr>
                <w:rFonts w:ascii="Arial" w:hAnsi="Arial" w:cs="Arial"/>
                <w:sz w:val="18"/>
                <w:szCs w:val="18"/>
              </w:rPr>
              <w:t xml:space="preserve">lan de trabajo para el desarrollo del </w:t>
            </w:r>
            <w:r w:rsidR="002446FA">
              <w:rPr>
                <w:rFonts w:ascii="Arial" w:hAnsi="Arial" w:cs="Arial"/>
                <w:sz w:val="18"/>
                <w:szCs w:val="18"/>
              </w:rPr>
              <w:t>Marco Nacional de Cualificaciones (</w:t>
            </w:r>
            <w:r w:rsidRPr="00844C42">
              <w:rPr>
                <w:rFonts w:ascii="Arial" w:hAnsi="Arial" w:cs="Arial"/>
                <w:sz w:val="18"/>
                <w:szCs w:val="18"/>
              </w:rPr>
              <w:t>MNC</w:t>
            </w:r>
            <w:r w:rsidR="002446FA">
              <w:rPr>
                <w:rFonts w:ascii="Arial" w:hAnsi="Arial" w:cs="Arial"/>
                <w:sz w:val="18"/>
                <w:szCs w:val="18"/>
              </w:rPr>
              <w:t>)</w:t>
            </w:r>
            <w:r w:rsidRPr="00844C42">
              <w:rPr>
                <w:rFonts w:ascii="Arial" w:hAnsi="Arial" w:cs="Arial"/>
                <w:sz w:val="18"/>
                <w:szCs w:val="18"/>
              </w:rPr>
              <w:t xml:space="preserve"> y designa</w:t>
            </w:r>
            <w:r>
              <w:rPr>
                <w:rFonts w:ascii="Arial" w:hAnsi="Arial" w:cs="Arial"/>
                <w:sz w:val="18"/>
                <w:szCs w:val="18"/>
              </w:rPr>
              <w:t>ción</w:t>
            </w:r>
            <w:r w:rsidRPr="00844C42">
              <w:rPr>
                <w:rFonts w:ascii="Arial" w:hAnsi="Arial" w:cs="Arial"/>
                <w:sz w:val="18"/>
                <w:szCs w:val="18"/>
              </w:rPr>
              <w:t xml:space="preserve"> </w:t>
            </w:r>
            <w:r>
              <w:rPr>
                <w:rFonts w:ascii="Arial" w:hAnsi="Arial" w:cs="Arial"/>
                <w:sz w:val="18"/>
                <w:szCs w:val="18"/>
              </w:rPr>
              <w:t>de</w:t>
            </w:r>
            <w:r w:rsidRPr="00844C42">
              <w:rPr>
                <w:rFonts w:ascii="Arial" w:hAnsi="Arial" w:cs="Arial"/>
                <w:sz w:val="18"/>
                <w:szCs w:val="18"/>
              </w:rPr>
              <w:t>l equipo encargado de implementarlo</w:t>
            </w:r>
            <w:r>
              <w:rPr>
                <w:rFonts w:ascii="Arial" w:hAnsi="Arial" w:cs="Arial"/>
                <w:sz w:val="18"/>
                <w:szCs w:val="18"/>
              </w:rPr>
              <w:t xml:space="preserve"> aprobados</w:t>
            </w:r>
            <w:r w:rsidR="0024161C">
              <w:rPr>
                <w:rFonts w:ascii="Arial" w:hAnsi="Arial" w:cs="Arial"/>
                <w:sz w:val="18"/>
                <w:szCs w:val="18"/>
              </w:rPr>
              <w:t>.</w:t>
            </w:r>
          </w:p>
        </w:tc>
        <w:tc>
          <w:tcPr>
            <w:tcW w:w="1619" w:type="dxa"/>
            <w:tcBorders>
              <w:bottom w:val="single" w:sz="4" w:space="0" w:color="000000"/>
            </w:tcBorders>
            <w:vAlign w:val="center"/>
          </w:tcPr>
          <w:p w14:paraId="7A324617" w14:textId="77777777" w:rsidR="004E48FF" w:rsidRDefault="004E48FF" w:rsidP="00CD4A18">
            <w:pPr>
              <w:jc w:val="center"/>
              <w:rPr>
                <w:rFonts w:ascii="Arial" w:hAnsi="Arial" w:cs="Arial"/>
                <w:sz w:val="18"/>
                <w:szCs w:val="18"/>
              </w:rPr>
            </w:pPr>
            <w:r>
              <w:rPr>
                <w:rFonts w:ascii="Arial" w:hAnsi="Arial" w:cs="Arial"/>
                <w:sz w:val="18"/>
                <w:szCs w:val="18"/>
              </w:rPr>
              <w:t>Plan de Trabajo aprobado</w:t>
            </w:r>
          </w:p>
        </w:tc>
        <w:tc>
          <w:tcPr>
            <w:tcW w:w="640" w:type="dxa"/>
            <w:tcBorders>
              <w:bottom w:val="single" w:sz="4" w:space="0" w:color="000000"/>
            </w:tcBorders>
            <w:vAlign w:val="center"/>
          </w:tcPr>
          <w:p w14:paraId="75B7D4F1" w14:textId="77777777" w:rsidR="004E48FF" w:rsidRDefault="004E48FF" w:rsidP="00CD4A18">
            <w:pPr>
              <w:jc w:val="center"/>
              <w:rPr>
                <w:rFonts w:ascii="Arial" w:hAnsi="Arial" w:cs="Arial"/>
                <w:sz w:val="18"/>
                <w:szCs w:val="18"/>
              </w:rPr>
            </w:pPr>
            <w:r>
              <w:rPr>
                <w:rFonts w:ascii="Arial" w:hAnsi="Arial" w:cs="Arial"/>
                <w:sz w:val="18"/>
                <w:szCs w:val="18"/>
              </w:rPr>
              <w:t>0</w:t>
            </w:r>
          </w:p>
        </w:tc>
        <w:tc>
          <w:tcPr>
            <w:tcW w:w="810" w:type="dxa"/>
            <w:gridSpan w:val="2"/>
            <w:tcBorders>
              <w:bottom w:val="single" w:sz="4" w:space="0" w:color="000000"/>
            </w:tcBorders>
            <w:vAlign w:val="center"/>
          </w:tcPr>
          <w:p w14:paraId="287113AB" w14:textId="77777777" w:rsidR="004E48FF" w:rsidRPr="00B019CC" w:rsidRDefault="004E48FF" w:rsidP="00CD4A18">
            <w:pPr>
              <w:jc w:val="center"/>
              <w:rPr>
                <w:rFonts w:ascii="Arial" w:hAnsi="Arial" w:cs="Arial"/>
                <w:sz w:val="18"/>
                <w:szCs w:val="18"/>
              </w:rPr>
            </w:pPr>
            <w:r>
              <w:rPr>
                <w:rFonts w:ascii="Arial" w:hAnsi="Arial" w:cs="Arial"/>
                <w:sz w:val="18"/>
                <w:szCs w:val="18"/>
              </w:rPr>
              <w:t>2017</w:t>
            </w:r>
          </w:p>
        </w:tc>
        <w:tc>
          <w:tcPr>
            <w:tcW w:w="713" w:type="dxa"/>
            <w:tcBorders>
              <w:bottom w:val="single" w:sz="4" w:space="0" w:color="000000"/>
            </w:tcBorders>
            <w:vAlign w:val="center"/>
          </w:tcPr>
          <w:p w14:paraId="150C532D" w14:textId="77777777" w:rsidR="004E48FF" w:rsidRDefault="004E48FF" w:rsidP="00CD4A18">
            <w:pPr>
              <w:jc w:val="center"/>
              <w:rPr>
                <w:rFonts w:ascii="Arial" w:hAnsi="Arial" w:cs="Arial"/>
                <w:sz w:val="18"/>
                <w:szCs w:val="18"/>
              </w:rPr>
            </w:pPr>
            <w:r>
              <w:rPr>
                <w:rFonts w:ascii="Arial" w:hAnsi="Arial" w:cs="Arial"/>
                <w:sz w:val="18"/>
                <w:szCs w:val="18"/>
              </w:rPr>
              <w:t>1</w:t>
            </w:r>
          </w:p>
        </w:tc>
        <w:tc>
          <w:tcPr>
            <w:tcW w:w="3872" w:type="dxa"/>
            <w:tcBorders>
              <w:bottom w:val="single" w:sz="4" w:space="0" w:color="000000"/>
            </w:tcBorders>
            <w:vAlign w:val="center"/>
          </w:tcPr>
          <w:p w14:paraId="14DFA6D7" w14:textId="0826C692" w:rsidR="004E48FF" w:rsidRPr="00F34543" w:rsidRDefault="004E48FF" w:rsidP="00CD4A18">
            <w:pPr>
              <w:jc w:val="both"/>
              <w:rPr>
                <w:rFonts w:ascii="Arial" w:hAnsi="Arial" w:cs="Arial"/>
                <w:sz w:val="18"/>
                <w:szCs w:val="18"/>
              </w:rPr>
            </w:pPr>
            <w:r w:rsidRPr="004F4B4B">
              <w:rPr>
                <w:rFonts w:ascii="Arial" w:hAnsi="Arial" w:cs="Arial"/>
                <w:sz w:val="18"/>
              </w:rPr>
              <w:t>Comunicación del MINEDU remitiendo el Documento de Plan de Trabajo y designación del equipo de trabajo</w:t>
            </w:r>
            <w:r w:rsidR="0024161C">
              <w:rPr>
                <w:rFonts w:ascii="Arial" w:hAnsi="Arial" w:cs="Arial"/>
                <w:sz w:val="18"/>
              </w:rPr>
              <w:t>.</w:t>
            </w:r>
          </w:p>
        </w:tc>
        <w:tc>
          <w:tcPr>
            <w:tcW w:w="1260" w:type="dxa"/>
            <w:tcBorders>
              <w:bottom w:val="single" w:sz="4" w:space="0" w:color="000000"/>
            </w:tcBorders>
            <w:vAlign w:val="center"/>
          </w:tcPr>
          <w:p w14:paraId="63103023" w14:textId="77777777" w:rsidR="004E48FF" w:rsidRDefault="004E48FF" w:rsidP="00CD4A18">
            <w:pPr>
              <w:jc w:val="center"/>
              <w:rPr>
                <w:rFonts w:ascii="Arial" w:hAnsi="Arial" w:cs="Arial"/>
                <w:sz w:val="18"/>
                <w:szCs w:val="18"/>
              </w:rPr>
            </w:pPr>
            <w:r>
              <w:rPr>
                <w:rFonts w:ascii="Arial" w:hAnsi="Arial" w:cs="Arial"/>
                <w:sz w:val="18"/>
                <w:szCs w:val="18"/>
              </w:rPr>
              <w:t>MINEDU</w:t>
            </w:r>
          </w:p>
        </w:tc>
      </w:tr>
    </w:tbl>
    <w:p w14:paraId="25D3B3F2" w14:textId="77777777" w:rsidR="00CB4E75" w:rsidRDefault="00CB4E75">
      <w:r>
        <w:br w:type="page"/>
      </w:r>
    </w:p>
    <w:tbl>
      <w:tblPr>
        <w:tblW w:w="131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21"/>
        <w:gridCol w:w="1619"/>
        <w:gridCol w:w="640"/>
        <w:gridCol w:w="810"/>
        <w:gridCol w:w="713"/>
        <w:gridCol w:w="3872"/>
        <w:gridCol w:w="1260"/>
      </w:tblGrid>
      <w:tr w:rsidR="004E48FF" w:rsidRPr="00B019CC" w14:paraId="44BA4A09" w14:textId="77777777" w:rsidTr="00504DB1">
        <w:trPr>
          <w:trHeight w:val="260"/>
          <w:jc w:val="center"/>
        </w:trPr>
        <w:tc>
          <w:tcPr>
            <w:tcW w:w="13135" w:type="dxa"/>
            <w:gridSpan w:val="7"/>
            <w:shd w:val="clear" w:color="auto" w:fill="D9D9D9" w:themeFill="background1" w:themeFillShade="D9"/>
            <w:vAlign w:val="center"/>
          </w:tcPr>
          <w:p w14:paraId="3097A5A4" w14:textId="5B27ED9E" w:rsidR="004E48FF" w:rsidRPr="00B019CC" w:rsidRDefault="004E48FF" w:rsidP="00CD4A18">
            <w:pPr>
              <w:rPr>
                <w:rFonts w:ascii="Arial" w:hAnsi="Arial" w:cs="Arial"/>
                <w:b/>
                <w:sz w:val="18"/>
                <w:szCs w:val="18"/>
              </w:rPr>
            </w:pPr>
            <w:r>
              <w:rPr>
                <w:rFonts w:ascii="Arial" w:hAnsi="Arial" w:cs="Arial"/>
                <w:b/>
                <w:sz w:val="18"/>
                <w:szCs w:val="18"/>
              </w:rPr>
              <w:t>Componente 3.</w:t>
            </w:r>
            <w:r w:rsidRPr="00B019CC">
              <w:rPr>
                <w:rFonts w:ascii="Arial" w:hAnsi="Arial" w:cs="Arial"/>
                <w:b/>
                <w:sz w:val="18"/>
                <w:szCs w:val="18"/>
              </w:rPr>
              <w:t xml:space="preserve"> </w:t>
            </w:r>
            <w:r w:rsidRPr="00CB3CA2">
              <w:rPr>
                <w:rFonts w:ascii="Arial" w:hAnsi="Arial" w:cs="Arial"/>
                <w:b/>
                <w:sz w:val="18"/>
                <w:szCs w:val="18"/>
              </w:rPr>
              <w:t>Mejorar las políticas de mercado laboral y la capacidad para fiscalizarlas</w:t>
            </w:r>
          </w:p>
        </w:tc>
      </w:tr>
      <w:tr w:rsidR="004E48FF" w:rsidRPr="00B019CC" w14:paraId="4C6944B5" w14:textId="77777777" w:rsidTr="00504DB1">
        <w:trPr>
          <w:trHeight w:val="728"/>
          <w:jc w:val="center"/>
        </w:trPr>
        <w:tc>
          <w:tcPr>
            <w:tcW w:w="4221" w:type="dxa"/>
            <w:tcBorders>
              <w:bottom w:val="single" w:sz="4" w:space="0" w:color="000000"/>
            </w:tcBorders>
            <w:vAlign w:val="center"/>
          </w:tcPr>
          <w:p w14:paraId="39B723B8" w14:textId="2E92E4E0" w:rsidR="004E48FF" w:rsidRDefault="004E48FF" w:rsidP="00FD0DF7">
            <w:pPr>
              <w:pStyle w:val="ListParagraph"/>
              <w:numPr>
                <w:ilvl w:val="0"/>
                <w:numId w:val="13"/>
              </w:numPr>
              <w:ind w:left="252" w:hanging="270"/>
              <w:jc w:val="both"/>
              <w:rPr>
                <w:rFonts w:ascii="Arial" w:hAnsi="Arial" w:cs="Arial"/>
                <w:sz w:val="18"/>
                <w:szCs w:val="18"/>
              </w:rPr>
            </w:pPr>
            <w:r>
              <w:rPr>
                <w:rFonts w:ascii="Arial" w:hAnsi="Arial" w:cs="Arial"/>
                <w:sz w:val="18"/>
                <w:szCs w:val="18"/>
              </w:rPr>
              <w:t xml:space="preserve">Incremento del </w:t>
            </w:r>
            <w:r w:rsidRPr="006B75B1">
              <w:rPr>
                <w:rFonts w:ascii="Arial" w:hAnsi="Arial" w:cs="Arial"/>
                <w:sz w:val="18"/>
                <w:szCs w:val="18"/>
              </w:rPr>
              <w:t xml:space="preserve">presupuesto anual </w:t>
            </w:r>
            <w:r>
              <w:rPr>
                <w:rFonts w:ascii="Arial" w:hAnsi="Arial" w:cs="Arial"/>
                <w:sz w:val="18"/>
                <w:szCs w:val="18"/>
              </w:rPr>
              <w:t>de la SUNAFIL</w:t>
            </w:r>
            <w:r w:rsidRPr="006B75B1">
              <w:rPr>
                <w:rFonts w:ascii="Arial" w:hAnsi="Arial" w:cs="Arial"/>
                <w:sz w:val="18"/>
                <w:szCs w:val="18"/>
              </w:rPr>
              <w:t>.</w:t>
            </w:r>
          </w:p>
        </w:tc>
        <w:tc>
          <w:tcPr>
            <w:tcW w:w="1619" w:type="dxa"/>
            <w:tcBorders>
              <w:bottom w:val="single" w:sz="4" w:space="0" w:color="000000"/>
            </w:tcBorders>
            <w:vAlign w:val="center"/>
          </w:tcPr>
          <w:p w14:paraId="41E22BA0" w14:textId="77777777" w:rsidR="004E48FF" w:rsidRDefault="004E48FF" w:rsidP="00CD4A18">
            <w:pPr>
              <w:jc w:val="center"/>
              <w:rPr>
                <w:rFonts w:ascii="Arial" w:hAnsi="Arial" w:cs="Arial"/>
                <w:sz w:val="18"/>
                <w:szCs w:val="18"/>
              </w:rPr>
            </w:pPr>
            <w:r w:rsidRPr="00F10DA9">
              <w:rPr>
                <w:rFonts w:ascii="Arial" w:hAnsi="Arial" w:cs="Arial"/>
                <w:sz w:val="18"/>
                <w:szCs w:val="18"/>
              </w:rPr>
              <w:t>P</w:t>
            </w:r>
            <w:r>
              <w:rPr>
                <w:rFonts w:ascii="Arial" w:hAnsi="Arial" w:cs="Arial"/>
                <w:sz w:val="18"/>
                <w:szCs w:val="18"/>
              </w:rPr>
              <w:t>resupuesto</w:t>
            </w:r>
            <w:r w:rsidRPr="00F10DA9">
              <w:rPr>
                <w:rFonts w:ascii="Arial" w:hAnsi="Arial" w:cs="Arial"/>
                <w:sz w:val="18"/>
                <w:szCs w:val="18"/>
              </w:rPr>
              <w:t xml:space="preserve"> aprobado</w:t>
            </w:r>
          </w:p>
        </w:tc>
        <w:tc>
          <w:tcPr>
            <w:tcW w:w="640" w:type="dxa"/>
            <w:tcBorders>
              <w:bottom w:val="single" w:sz="4" w:space="0" w:color="000000"/>
            </w:tcBorders>
            <w:vAlign w:val="center"/>
          </w:tcPr>
          <w:p w14:paraId="1CB0748A" w14:textId="77777777" w:rsidR="004E48FF" w:rsidRDefault="004E48FF" w:rsidP="00CD4A18">
            <w:pPr>
              <w:jc w:val="center"/>
              <w:rPr>
                <w:rFonts w:ascii="Arial" w:hAnsi="Arial" w:cs="Arial"/>
                <w:sz w:val="18"/>
                <w:szCs w:val="18"/>
              </w:rPr>
            </w:pPr>
            <w:r w:rsidRPr="00F10DA9">
              <w:rPr>
                <w:rFonts w:ascii="Arial" w:hAnsi="Arial" w:cs="Arial"/>
                <w:sz w:val="18"/>
                <w:szCs w:val="18"/>
              </w:rPr>
              <w:t>0</w:t>
            </w:r>
          </w:p>
        </w:tc>
        <w:tc>
          <w:tcPr>
            <w:tcW w:w="810" w:type="dxa"/>
            <w:tcBorders>
              <w:bottom w:val="single" w:sz="4" w:space="0" w:color="000000"/>
            </w:tcBorders>
            <w:vAlign w:val="center"/>
          </w:tcPr>
          <w:p w14:paraId="38739CB0" w14:textId="77777777" w:rsidR="004E48FF" w:rsidRDefault="004E48FF" w:rsidP="00CD4A18">
            <w:pPr>
              <w:jc w:val="center"/>
              <w:rPr>
                <w:rFonts w:ascii="Arial" w:hAnsi="Arial" w:cs="Arial"/>
                <w:sz w:val="18"/>
                <w:szCs w:val="18"/>
              </w:rPr>
            </w:pPr>
            <w:r w:rsidRPr="00F10DA9">
              <w:rPr>
                <w:rFonts w:ascii="Arial" w:hAnsi="Arial" w:cs="Arial"/>
                <w:sz w:val="18"/>
                <w:szCs w:val="18"/>
              </w:rPr>
              <w:t>2017</w:t>
            </w:r>
          </w:p>
        </w:tc>
        <w:tc>
          <w:tcPr>
            <w:tcW w:w="713" w:type="dxa"/>
            <w:tcBorders>
              <w:bottom w:val="single" w:sz="4" w:space="0" w:color="000000"/>
            </w:tcBorders>
            <w:vAlign w:val="center"/>
          </w:tcPr>
          <w:p w14:paraId="464EDB83" w14:textId="77777777" w:rsidR="004E48FF" w:rsidRDefault="004E48FF" w:rsidP="00CD4A18">
            <w:pPr>
              <w:jc w:val="center"/>
              <w:rPr>
                <w:rFonts w:ascii="Arial" w:hAnsi="Arial" w:cs="Arial"/>
                <w:sz w:val="18"/>
                <w:szCs w:val="18"/>
              </w:rPr>
            </w:pPr>
            <w:r w:rsidRPr="00F10DA9">
              <w:rPr>
                <w:rFonts w:ascii="Arial" w:hAnsi="Arial" w:cs="Arial"/>
                <w:sz w:val="18"/>
                <w:szCs w:val="18"/>
              </w:rPr>
              <w:t>1</w:t>
            </w:r>
          </w:p>
        </w:tc>
        <w:tc>
          <w:tcPr>
            <w:tcW w:w="3872" w:type="dxa"/>
            <w:tcBorders>
              <w:bottom w:val="single" w:sz="4" w:space="0" w:color="000000"/>
            </w:tcBorders>
            <w:vAlign w:val="center"/>
          </w:tcPr>
          <w:p w14:paraId="5A4806AE" w14:textId="529C746D" w:rsidR="004E48FF" w:rsidRDefault="004E48FF" w:rsidP="00CD4A18">
            <w:pPr>
              <w:jc w:val="both"/>
              <w:rPr>
                <w:rFonts w:ascii="Arial" w:hAnsi="Arial" w:cs="Arial"/>
                <w:sz w:val="18"/>
                <w:szCs w:val="18"/>
              </w:rPr>
            </w:pPr>
            <w:r w:rsidRPr="006B75B1">
              <w:rPr>
                <w:rFonts w:ascii="Arial" w:hAnsi="Arial" w:cs="Arial"/>
                <w:sz w:val="18"/>
                <w:szCs w:val="18"/>
              </w:rPr>
              <w:t>Ley de Presupuesto del Sector Público para los años fiscales del 2017 y 2018</w:t>
            </w:r>
            <w:r w:rsidR="0024161C">
              <w:rPr>
                <w:rFonts w:ascii="Arial" w:hAnsi="Arial" w:cs="Arial"/>
                <w:sz w:val="18"/>
                <w:szCs w:val="18"/>
              </w:rPr>
              <w:t>.</w:t>
            </w:r>
          </w:p>
        </w:tc>
        <w:tc>
          <w:tcPr>
            <w:tcW w:w="1260" w:type="dxa"/>
            <w:tcBorders>
              <w:bottom w:val="single" w:sz="4" w:space="0" w:color="000000"/>
            </w:tcBorders>
            <w:vAlign w:val="center"/>
          </w:tcPr>
          <w:p w14:paraId="1835361A" w14:textId="77777777" w:rsidR="004E48FF" w:rsidRDefault="004E48FF" w:rsidP="00CD4A18">
            <w:pPr>
              <w:jc w:val="center"/>
              <w:rPr>
                <w:rFonts w:ascii="Arial" w:hAnsi="Arial" w:cs="Arial"/>
                <w:sz w:val="18"/>
                <w:szCs w:val="18"/>
              </w:rPr>
            </w:pPr>
            <w:r w:rsidRPr="00F10DA9">
              <w:rPr>
                <w:rFonts w:ascii="Arial" w:hAnsi="Arial" w:cs="Arial"/>
                <w:sz w:val="18"/>
                <w:szCs w:val="18"/>
              </w:rPr>
              <w:t>SUNAFIL</w:t>
            </w:r>
          </w:p>
        </w:tc>
      </w:tr>
      <w:tr w:rsidR="004E48FF" w:rsidRPr="00B019CC" w14:paraId="39C4DC8E" w14:textId="77777777" w:rsidTr="00504DB1">
        <w:trPr>
          <w:trHeight w:val="728"/>
          <w:jc w:val="center"/>
        </w:trPr>
        <w:tc>
          <w:tcPr>
            <w:tcW w:w="4221" w:type="dxa"/>
            <w:tcBorders>
              <w:bottom w:val="single" w:sz="4" w:space="0" w:color="000000"/>
            </w:tcBorders>
            <w:vAlign w:val="center"/>
          </w:tcPr>
          <w:p w14:paraId="7D7DB59B" w14:textId="027DEA1A" w:rsidR="004E48FF" w:rsidRDefault="004E48FF" w:rsidP="00FD0DF7">
            <w:pPr>
              <w:pStyle w:val="ListParagraph"/>
              <w:numPr>
                <w:ilvl w:val="0"/>
                <w:numId w:val="13"/>
              </w:numPr>
              <w:ind w:left="240" w:hanging="270"/>
              <w:jc w:val="both"/>
              <w:rPr>
                <w:rFonts w:ascii="Arial" w:hAnsi="Arial" w:cs="Arial"/>
                <w:sz w:val="18"/>
                <w:szCs w:val="18"/>
              </w:rPr>
            </w:pPr>
            <w:r w:rsidRPr="00F40103">
              <w:rPr>
                <w:rFonts w:ascii="Arial" w:hAnsi="Arial" w:cs="Arial"/>
                <w:sz w:val="18"/>
                <w:szCs w:val="18"/>
              </w:rPr>
              <w:t xml:space="preserve">Repositorio Integrado de Inteligencia </w:t>
            </w:r>
            <w:proofErr w:type="spellStart"/>
            <w:r w:rsidRPr="00F40103">
              <w:rPr>
                <w:rFonts w:ascii="Arial" w:hAnsi="Arial" w:cs="Arial"/>
                <w:sz w:val="18"/>
                <w:szCs w:val="18"/>
              </w:rPr>
              <w:t>Inspectiva</w:t>
            </w:r>
            <w:proofErr w:type="spellEnd"/>
            <w:r>
              <w:rPr>
                <w:rFonts w:ascii="Arial" w:hAnsi="Arial" w:cs="Arial"/>
                <w:sz w:val="18"/>
                <w:szCs w:val="18"/>
              </w:rPr>
              <w:t xml:space="preserve"> diseñado e implementado</w:t>
            </w:r>
            <w:r w:rsidR="0024161C">
              <w:rPr>
                <w:rFonts w:ascii="Arial" w:hAnsi="Arial" w:cs="Arial"/>
                <w:sz w:val="18"/>
                <w:szCs w:val="18"/>
              </w:rPr>
              <w:t>.</w:t>
            </w:r>
          </w:p>
        </w:tc>
        <w:tc>
          <w:tcPr>
            <w:tcW w:w="1619" w:type="dxa"/>
            <w:tcBorders>
              <w:bottom w:val="single" w:sz="4" w:space="0" w:color="000000"/>
            </w:tcBorders>
            <w:vAlign w:val="center"/>
          </w:tcPr>
          <w:p w14:paraId="5AAD040D" w14:textId="77777777" w:rsidR="004E48FF" w:rsidRDefault="004E48FF" w:rsidP="00CD4A18">
            <w:pPr>
              <w:jc w:val="center"/>
              <w:rPr>
                <w:rFonts w:ascii="Arial" w:hAnsi="Arial" w:cs="Arial"/>
                <w:sz w:val="18"/>
                <w:szCs w:val="18"/>
              </w:rPr>
            </w:pPr>
            <w:r w:rsidRPr="00F10DA9">
              <w:rPr>
                <w:rFonts w:ascii="Arial" w:hAnsi="Arial" w:cs="Arial"/>
                <w:sz w:val="18"/>
                <w:szCs w:val="18"/>
              </w:rPr>
              <w:t>Repositorio implementado</w:t>
            </w:r>
          </w:p>
        </w:tc>
        <w:tc>
          <w:tcPr>
            <w:tcW w:w="640" w:type="dxa"/>
            <w:tcBorders>
              <w:bottom w:val="single" w:sz="4" w:space="0" w:color="000000"/>
            </w:tcBorders>
            <w:vAlign w:val="center"/>
          </w:tcPr>
          <w:p w14:paraId="3A815398" w14:textId="77777777" w:rsidR="004E48FF" w:rsidRDefault="004E48FF" w:rsidP="00CD4A18">
            <w:pPr>
              <w:jc w:val="center"/>
              <w:rPr>
                <w:rFonts w:ascii="Arial" w:hAnsi="Arial" w:cs="Arial"/>
                <w:sz w:val="18"/>
                <w:szCs w:val="18"/>
              </w:rPr>
            </w:pPr>
            <w:r w:rsidRPr="00F10DA9">
              <w:rPr>
                <w:rFonts w:ascii="Arial" w:hAnsi="Arial" w:cs="Arial"/>
                <w:sz w:val="18"/>
                <w:szCs w:val="18"/>
              </w:rPr>
              <w:t>0</w:t>
            </w:r>
          </w:p>
        </w:tc>
        <w:tc>
          <w:tcPr>
            <w:tcW w:w="810" w:type="dxa"/>
            <w:tcBorders>
              <w:bottom w:val="single" w:sz="4" w:space="0" w:color="000000"/>
            </w:tcBorders>
            <w:vAlign w:val="center"/>
          </w:tcPr>
          <w:p w14:paraId="0E70C524" w14:textId="77777777" w:rsidR="004E48FF" w:rsidRDefault="004E48FF" w:rsidP="00CD4A18">
            <w:pPr>
              <w:jc w:val="center"/>
              <w:rPr>
                <w:rFonts w:ascii="Arial" w:hAnsi="Arial" w:cs="Arial"/>
                <w:sz w:val="18"/>
                <w:szCs w:val="18"/>
              </w:rPr>
            </w:pPr>
            <w:r w:rsidRPr="00F10DA9">
              <w:rPr>
                <w:rFonts w:ascii="Arial" w:hAnsi="Arial" w:cs="Arial"/>
                <w:sz w:val="18"/>
                <w:szCs w:val="18"/>
              </w:rPr>
              <w:t>2017</w:t>
            </w:r>
          </w:p>
        </w:tc>
        <w:tc>
          <w:tcPr>
            <w:tcW w:w="713" w:type="dxa"/>
            <w:tcBorders>
              <w:bottom w:val="single" w:sz="4" w:space="0" w:color="000000"/>
            </w:tcBorders>
            <w:vAlign w:val="center"/>
          </w:tcPr>
          <w:p w14:paraId="17479E2B" w14:textId="77777777" w:rsidR="004E48FF" w:rsidRDefault="004E48FF" w:rsidP="00CD4A18">
            <w:pPr>
              <w:jc w:val="center"/>
              <w:rPr>
                <w:rFonts w:ascii="Arial" w:hAnsi="Arial" w:cs="Arial"/>
                <w:sz w:val="18"/>
                <w:szCs w:val="18"/>
              </w:rPr>
            </w:pPr>
            <w:r w:rsidRPr="00F10DA9">
              <w:rPr>
                <w:rFonts w:ascii="Arial" w:hAnsi="Arial" w:cs="Arial"/>
                <w:sz w:val="18"/>
                <w:szCs w:val="18"/>
              </w:rPr>
              <w:t>1</w:t>
            </w:r>
          </w:p>
        </w:tc>
        <w:tc>
          <w:tcPr>
            <w:tcW w:w="3872" w:type="dxa"/>
            <w:tcBorders>
              <w:bottom w:val="single" w:sz="4" w:space="0" w:color="000000"/>
            </w:tcBorders>
            <w:vAlign w:val="center"/>
          </w:tcPr>
          <w:p w14:paraId="318B91EB" w14:textId="572B6BF0" w:rsidR="004E48FF" w:rsidRDefault="004E48FF" w:rsidP="00CD4A18">
            <w:pPr>
              <w:jc w:val="both"/>
              <w:rPr>
                <w:rFonts w:ascii="Arial" w:hAnsi="Arial" w:cs="Arial"/>
                <w:sz w:val="18"/>
                <w:szCs w:val="18"/>
              </w:rPr>
            </w:pPr>
            <w:r w:rsidRPr="00F10DA9">
              <w:rPr>
                <w:rFonts w:ascii="Arial" w:hAnsi="Arial" w:cs="Arial"/>
                <w:sz w:val="18"/>
                <w:szCs w:val="18"/>
              </w:rPr>
              <w:t>Acta de Aprobación de Desarrollo del Repositorio Integrado e Informe Técnico en el cual se detallan las tareas realizadas en los procesos de carga de datos</w:t>
            </w:r>
            <w:r w:rsidR="0024161C">
              <w:rPr>
                <w:rFonts w:ascii="Arial" w:hAnsi="Arial" w:cs="Arial"/>
                <w:sz w:val="18"/>
                <w:szCs w:val="18"/>
              </w:rPr>
              <w:t>.</w:t>
            </w:r>
          </w:p>
        </w:tc>
        <w:tc>
          <w:tcPr>
            <w:tcW w:w="1260" w:type="dxa"/>
            <w:tcBorders>
              <w:bottom w:val="single" w:sz="4" w:space="0" w:color="000000"/>
            </w:tcBorders>
            <w:vAlign w:val="center"/>
          </w:tcPr>
          <w:p w14:paraId="5269A3FC" w14:textId="77777777" w:rsidR="004E48FF" w:rsidRDefault="004E48FF" w:rsidP="00CD4A18">
            <w:pPr>
              <w:jc w:val="center"/>
              <w:rPr>
                <w:rFonts w:ascii="Arial" w:hAnsi="Arial" w:cs="Arial"/>
                <w:sz w:val="18"/>
                <w:szCs w:val="18"/>
              </w:rPr>
            </w:pPr>
            <w:r>
              <w:rPr>
                <w:rFonts w:ascii="Arial" w:hAnsi="Arial" w:cs="Arial"/>
                <w:sz w:val="18"/>
                <w:szCs w:val="18"/>
              </w:rPr>
              <w:t>SUNAFIL</w:t>
            </w:r>
          </w:p>
        </w:tc>
      </w:tr>
      <w:tr w:rsidR="004E48FF" w:rsidRPr="00B019CC" w14:paraId="0900B6A7" w14:textId="77777777" w:rsidTr="00504DB1">
        <w:trPr>
          <w:trHeight w:val="728"/>
          <w:jc w:val="center"/>
        </w:trPr>
        <w:tc>
          <w:tcPr>
            <w:tcW w:w="4221" w:type="dxa"/>
            <w:tcBorders>
              <w:bottom w:val="single" w:sz="4" w:space="0" w:color="000000"/>
            </w:tcBorders>
            <w:vAlign w:val="center"/>
          </w:tcPr>
          <w:p w14:paraId="504DFD8A" w14:textId="603846AF" w:rsidR="004E48FF" w:rsidRPr="00F40103" w:rsidRDefault="004E48FF" w:rsidP="00FD0DF7">
            <w:pPr>
              <w:pStyle w:val="ListParagraph"/>
              <w:numPr>
                <w:ilvl w:val="0"/>
                <w:numId w:val="13"/>
              </w:numPr>
              <w:ind w:left="240" w:hanging="270"/>
              <w:jc w:val="both"/>
              <w:rPr>
                <w:rFonts w:ascii="Arial" w:hAnsi="Arial" w:cs="Arial"/>
                <w:sz w:val="18"/>
                <w:szCs w:val="18"/>
              </w:rPr>
            </w:pPr>
            <w:r>
              <w:rPr>
                <w:rFonts w:ascii="Arial" w:hAnsi="Arial" w:cs="Arial"/>
                <w:sz w:val="18"/>
                <w:szCs w:val="18"/>
              </w:rPr>
              <w:t>P</w:t>
            </w:r>
            <w:r w:rsidRPr="006B75B1">
              <w:rPr>
                <w:rFonts w:ascii="Arial" w:hAnsi="Arial" w:cs="Arial"/>
                <w:sz w:val="18"/>
                <w:szCs w:val="18"/>
              </w:rPr>
              <w:t xml:space="preserve">iloto </w:t>
            </w:r>
            <w:r>
              <w:rPr>
                <w:rFonts w:ascii="Arial" w:hAnsi="Arial" w:cs="Arial"/>
                <w:sz w:val="18"/>
                <w:szCs w:val="18"/>
              </w:rPr>
              <w:t>para</w:t>
            </w:r>
            <w:r w:rsidRPr="006B75B1">
              <w:rPr>
                <w:rFonts w:ascii="Arial" w:hAnsi="Arial" w:cs="Arial"/>
                <w:sz w:val="18"/>
                <w:szCs w:val="18"/>
              </w:rPr>
              <w:t xml:space="preserve"> foment</w:t>
            </w:r>
            <w:r>
              <w:rPr>
                <w:rFonts w:ascii="Arial" w:hAnsi="Arial" w:cs="Arial"/>
                <w:sz w:val="18"/>
                <w:szCs w:val="18"/>
              </w:rPr>
              <w:t>ar</w:t>
            </w:r>
            <w:r w:rsidRPr="006B75B1">
              <w:rPr>
                <w:rFonts w:ascii="Arial" w:hAnsi="Arial" w:cs="Arial"/>
                <w:sz w:val="18"/>
                <w:szCs w:val="18"/>
              </w:rPr>
              <w:t xml:space="preserve"> el cumplimiento de la Cuota de Empleo para Personas con Discapacidad</w:t>
            </w:r>
            <w:r w:rsidR="009D379B">
              <w:rPr>
                <w:rFonts w:ascii="Arial" w:hAnsi="Arial" w:cs="Arial"/>
                <w:sz w:val="18"/>
                <w:szCs w:val="18"/>
              </w:rPr>
              <w:t>.</w:t>
            </w:r>
          </w:p>
        </w:tc>
        <w:tc>
          <w:tcPr>
            <w:tcW w:w="1619" w:type="dxa"/>
            <w:tcBorders>
              <w:bottom w:val="single" w:sz="4" w:space="0" w:color="000000"/>
            </w:tcBorders>
            <w:vAlign w:val="center"/>
          </w:tcPr>
          <w:p w14:paraId="5B047BAF" w14:textId="77777777" w:rsidR="004E48FF" w:rsidRDefault="004E48FF" w:rsidP="00CD4A18">
            <w:pPr>
              <w:jc w:val="center"/>
              <w:rPr>
                <w:rFonts w:ascii="Arial" w:hAnsi="Arial" w:cs="Arial"/>
                <w:sz w:val="18"/>
                <w:szCs w:val="18"/>
              </w:rPr>
            </w:pPr>
            <w:r>
              <w:rPr>
                <w:rFonts w:ascii="Arial" w:hAnsi="Arial" w:cs="Arial"/>
                <w:sz w:val="18"/>
                <w:szCs w:val="18"/>
              </w:rPr>
              <w:t>Piloto diseñado e implementado</w:t>
            </w:r>
          </w:p>
        </w:tc>
        <w:tc>
          <w:tcPr>
            <w:tcW w:w="640" w:type="dxa"/>
            <w:tcBorders>
              <w:bottom w:val="single" w:sz="4" w:space="0" w:color="000000"/>
            </w:tcBorders>
            <w:vAlign w:val="center"/>
          </w:tcPr>
          <w:p w14:paraId="5609DFA2" w14:textId="77777777" w:rsidR="004E48FF" w:rsidRDefault="004E48FF" w:rsidP="00CD4A18">
            <w:pPr>
              <w:jc w:val="center"/>
              <w:rPr>
                <w:rFonts w:ascii="Arial" w:hAnsi="Arial" w:cs="Arial"/>
                <w:sz w:val="18"/>
                <w:szCs w:val="18"/>
              </w:rPr>
            </w:pPr>
            <w:r w:rsidRPr="00F10DA9">
              <w:rPr>
                <w:rFonts w:ascii="Arial" w:hAnsi="Arial" w:cs="Arial"/>
                <w:sz w:val="18"/>
                <w:szCs w:val="18"/>
              </w:rPr>
              <w:t>0</w:t>
            </w:r>
          </w:p>
        </w:tc>
        <w:tc>
          <w:tcPr>
            <w:tcW w:w="810" w:type="dxa"/>
            <w:tcBorders>
              <w:bottom w:val="single" w:sz="4" w:space="0" w:color="000000"/>
            </w:tcBorders>
            <w:vAlign w:val="center"/>
          </w:tcPr>
          <w:p w14:paraId="53D53BBE" w14:textId="77777777" w:rsidR="004E48FF" w:rsidRPr="00B019CC" w:rsidRDefault="004E48FF" w:rsidP="00CD4A18">
            <w:pPr>
              <w:jc w:val="center"/>
              <w:rPr>
                <w:rFonts w:ascii="Arial" w:hAnsi="Arial" w:cs="Arial"/>
                <w:sz w:val="18"/>
                <w:szCs w:val="18"/>
              </w:rPr>
            </w:pPr>
            <w:r w:rsidRPr="00F10DA9">
              <w:rPr>
                <w:rFonts w:ascii="Arial" w:hAnsi="Arial" w:cs="Arial"/>
                <w:sz w:val="18"/>
                <w:szCs w:val="18"/>
              </w:rPr>
              <w:t>2017</w:t>
            </w:r>
          </w:p>
        </w:tc>
        <w:tc>
          <w:tcPr>
            <w:tcW w:w="713" w:type="dxa"/>
            <w:tcBorders>
              <w:bottom w:val="single" w:sz="4" w:space="0" w:color="000000"/>
            </w:tcBorders>
            <w:vAlign w:val="center"/>
          </w:tcPr>
          <w:p w14:paraId="3661C576" w14:textId="77777777" w:rsidR="004E48FF" w:rsidRDefault="004E48FF" w:rsidP="00CD4A18">
            <w:pPr>
              <w:jc w:val="center"/>
              <w:rPr>
                <w:rFonts w:ascii="Arial" w:hAnsi="Arial" w:cs="Arial"/>
                <w:sz w:val="18"/>
                <w:szCs w:val="18"/>
              </w:rPr>
            </w:pPr>
            <w:r w:rsidRPr="00F10DA9">
              <w:rPr>
                <w:rFonts w:ascii="Arial" w:hAnsi="Arial" w:cs="Arial"/>
                <w:sz w:val="18"/>
                <w:szCs w:val="18"/>
              </w:rPr>
              <w:t>1</w:t>
            </w:r>
          </w:p>
        </w:tc>
        <w:tc>
          <w:tcPr>
            <w:tcW w:w="3872" w:type="dxa"/>
            <w:tcBorders>
              <w:bottom w:val="single" w:sz="4" w:space="0" w:color="000000"/>
            </w:tcBorders>
            <w:vAlign w:val="center"/>
          </w:tcPr>
          <w:p w14:paraId="5FE106BF" w14:textId="37D8B712" w:rsidR="004E48FF" w:rsidRPr="001A61F3" w:rsidRDefault="004E48FF" w:rsidP="00CD4A18">
            <w:pPr>
              <w:jc w:val="both"/>
              <w:rPr>
                <w:rFonts w:ascii="Arial" w:hAnsi="Arial" w:cs="Arial"/>
                <w:sz w:val="18"/>
                <w:szCs w:val="18"/>
              </w:rPr>
            </w:pPr>
            <w:r w:rsidRPr="001A61F3">
              <w:rPr>
                <w:rFonts w:ascii="Arial" w:hAnsi="Arial" w:cs="Arial"/>
                <w:bCs/>
                <w:kern w:val="36"/>
                <w:sz w:val="18"/>
              </w:rPr>
              <w:t>Comunicación de SUNAFIL remitiendo el informe sobre el diseño e implementación del piloto</w:t>
            </w:r>
            <w:r w:rsidR="0024161C">
              <w:rPr>
                <w:rFonts w:ascii="Arial" w:hAnsi="Arial" w:cs="Arial"/>
                <w:bCs/>
                <w:kern w:val="36"/>
                <w:sz w:val="18"/>
              </w:rPr>
              <w:t>.</w:t>
            </w:r>
          </w:p>
        </w:tc>
        <w:tc>
          <w:tcPr>
            <w:tcW w:w="1260" w:type="dxa"/>
            <w:tcBorders>
              <w:bottom w:val="single" w:sz="4" w:space="0" w:color="000000"/>
            </w:tcBorders>
            <w:vAlign w:val="center"/>
          </w:tcPr>
          <w:p w14:paraId="56CCC725" w14:textId="77777777" w:rsidR="004E48FF" w:rsidRDefault="004E48FF" w:rsidP="00CD4A18">
            <w:pPr>
              <w:jc w:val="center"/>
              <w:rPr>
                <w:rFonts w:ascii="Arial" w:hAnsi="Arial" w:cs="Arial"/>
                <w:sz w:val="18"/>
                <w:szCs w:val="18"/>
              </w:rPr>
            </w:pPr>
            <w:r>
              <w:rPr>
                <w:rFonts w:ascii="Arial" w:hAnsi="Arial" w:cs="Arial"/>
                <w:sz w:val="18"/>
                <w:szCs w:val="18"/>
              </w:rPr>
              <w:t>SUNAFIL</w:t>
            </w:r>
          </w:p>
        </w:tc>
      </w:tr>
      <w:tr w:rsidR="004E48FF" w:rsidRPr="00B019CC" w14:paraId="5B840BB4" w14:textId="77777777" w:rsidTr="00504DB1">
        <w:trPr>
          <w:trHeight w:val="728"/>
          <w:jc w:val="center"/>
        </w:trPr>
        <w:tc>
          <w:tcPr>
            <w:tcW w:w="4221" w:type="dxa"/>
            <w:tcBorders>
              <w:bottom w:val="single" w:sz="4" w:space="0" w:color="000000"/>
            </w:tcBorders>
            <w:vAlign w:val="center"/>
          </w:tcPr>
          <w:p w14:paraId="7B6BE0D5" w14:textId="68437773" w:rsidR="004E48FF" w:rsidRPr="00F40103" w:rsidRDefault="004E48FF" w:rsidP="00FD0DF7">
            <w:pPr>
              <w:pStyle w:val="ListParagraph"/>
              <w:numPr>
                <w:ilvl w:val="0"/>
                <w:numId w:val="13"/>
              </w:numPr>
              <w:ind w:left="240" w:hanging="270"/>
              <w:jc w:val="both"/>
              <w:rPr>
                <w:rFonts w:ascii="Arial" w:hAnsi="Arial" w:cs="Arial"/>
                <w:sz w:val="18"/>
                <w:szCs w:val="18"/>
              </w:rPr>
            </w:pPr>
            <w:r>
              <w:rPr>
                <w:rFonts w:ascii="Arial" w:hAnsi="Arial" w:cs="Arial"/>
                <w:sz w:val="18"/>
                <w:szCs w:val="18"/>
              </w:rPr>
              <w:t>P</w:t>
            </w:r>
            <w:r w:rsidRPr="006B75B1">
              <w:rPr>
                <w:rFonts w:ascii="Arial" w:hAnsi="Arial" w:cs="Arial"/>
                <w:sz w:val="18"/>
                <w:szCs w:val="18"/>
              </w:rPr>
              <w:t xml:space="preserve">iloto </w:t>
            </w:r>
            <w:r>
              <w:rPr>
                <w:rFonts w:ascii="Arial" w:hAnsi="Arial" w:cs="Arial"/>
                <w:sz w:val="18"/>
                <w:szCs w:val="18"/>
              </w:rPr>
              <w:t>para</w:t>
            </w:r>
            <w:r w:rsidRPr="006B75B1">
              <w:rPr>
                <w:rFonts w:ascii="Arial" w:hAnsi="Arial" w:cs="Arial"/>
                <w:sz w:val="18"/>
                <w:szCs w:val="18"/>
              </w:rPr>
              <w:t xml:space="preserve"> foment</w:t>
            </w:r>
            <w:r>
              <w:rPr>
                <w:rFonts w:ascii="Arial" w:hAnsi="Arial" w:cs="Arial"/>
                <w:sz w:val="18"/>
                <w:szCs w:val="18"/>
              </w:rPr>
              <w:t>ar</w:t>
            </w:r>
            <w:r w:rsidRPr="006B75B1">
              <w:rPr>
                <w:rFonts w:ascii="Arial" w:hAnsi="Arial" w:cs="Arial"/>
                <w:sz w:val="18"/>
                <w:szCs w:val="18"/>
              </w:rPr>
              <w:t xml:space="preserve"> </w:t>
            </w:r>
            <w:r>
              <w:rPr>
                <w:rFonts w:ascii="Arial" w:hAnsi="Arial" w:cs="Arial"/>
                <w:sz w:val="18"/>
                <w:szCs w:val="18"/>
              </w:rPr>
              <w:t>la formalización laboral</w:t>
            </w:r>
            <w:r w:rsidR="0024161C">
              <w:rPr>
                <w:rFonts w:ascii="Arial" w:hAnsi="Arial" w:cs="Arial"/>
                <w:sz w:val="18"/>
                <w:szCs w:val="18"/>
              </w:rPr>
              <w:t>.</w:t>
            </w:r>
          </w:p>
        </w:tc>
        <w:tc>
          <w:tcPr>
            <w:tcW w:w="1619" w:type="dxa"/>
            <w:tcBorders>
              <w:bottom w:val="single" w:sz="4" w:space="0" w:color="000000"/>
            </w:tcBorders>
            <w:vAlign w:val="center"/>
          </w:tcPr>
          <w:p w14:paraId="749D461C" w14:textId="77777777" w:rsidR="004E48FF" w:rsidRDefault="004E48FF" w:rsidP="00CD4A18">
            <w:pPr>
              <w:jc w:val="center"/>
              <w:rPr>
                <w:rFonts w:ascii="Arial" w:hAnsi="Arial" w:cs="Arial"/>
                <w:sz w:val="18"/>
                <w:szCs w:val="18"/>
              </w:rPr>
            </w:pPr>
            <w:r>
              <w:rPr>
                <w:rFonts w:ascii="Arial" w:hAnsi="Arial" w:cs="Arial"/>
                <w:sz w:val="18"/>
                <w:szCs w:val="18"/>
              </w:rPr>
              <w:t>Piloto diseñado e implementado</w:t>
            </w:r>
          </w:p>
        </w:tc>
        <w:tc>
          <w:tcPr>
            <w:tcW w:w="640" w:type="dxa"/>
            <w:tcBorders>
              <w:bottom w:val="single" w:sz="4" w:space="0" w:color="000000"/>
            </w:tcBorders>
            <w:vAlign w:val="center"/>
          </w:tcPr>
          <w:p w14:paraId="50978E64" w14:textId="77777777" w:rsidR="004E48FF" w:rsidRDefault="004E48FF" w:rsidP="00CD4A18">
            <w:pPr>
              <w:jc w:val="center"/>
              <w:rPr>
                <w:rFonts w:ascii="Arial" w:hAnsi="Arial" w:cs="Arial"/>
                <w:sz w:val="18"/>
                <w:szCs w:val="18"/>
              </w:rPr>
            </w:pPr>
            <w:r w:rsidRPr="00F10DA9">
              <w:rPr>
                <w:rFonts w:ascii="Arial" w:hAnsi="Arial" w:cs="Arial"/>
                <w:sz w:val="18"/>
                <w:szCs w:val="18"/>
              </w:rPr>
              <w:t>0</w:t>
            </w:r>
          </w:p>
        </w:tc>
        <w:tc>
          <w:tcPr>
            <w:tcW w:w="810" w:type="dxa"/>
            <w:tcBorders>
              <w:bottom w:val="single" w:sz="4" w:space="0" w:color="000000"/>
            </w:tcBorders>
            <w:vAlign w:val="center"/>
          </w:tcPr>
          <w:p w14:paraId="613E73A9" w14:textId="77777777" w:rsidR="004E48FF" w:rsidRPr="00B019CC" w:rsidRDefault="004E48FF" w:rsidP="00CD4A18">
            <w:pPr>
              <w:jc w:val="center"/>
              <w:rPr>
                <w:rFonts w:ascii="Arial" w:hAnsi="Arial" w:cs="Arial"/>
                <w:sz w:val="18"/>
                <w:szCs w:val="18"/>
              </w:rPr>
            </w:pPr>
            <w:r w:rsidRPr="00F10DA9">
              <w:rPr>
                <w:rFonts w:ascii="Arial" w:hAnsi="Arial" w:cs="Arial"/>
                <w:sz w:val="18"/>
                <w:szCs w:val="18"/>
              </w:rPr>
              <w:t>2017</w:t>
            </w:r>
          </w:p>
        </w:tc>
        <w:tc>
          <w:tcPr>
            <w:tcW w:w="713" w:type="dxa"/>
            <w:tcBorders>
              <w:bottom w:val="single" w:sz="4" w:space="0" w:color="000000"/>
            </w:tcBorders>
            <w:vAlign w:val="center"/>
          </w:tcPr>
          <w:p w14:paraId="33E7F25D" w14:textId="77777777" w:rsidR="004E48FF" w:rsidRDefault="004E48FF" w:rsidP="00CD4A18">
            <w:pPr>
              <w:jc w:val="center"/>
              <w:rPr>
                <w:rFonts w:ascii="Arial" w:hAnsi="Arial" w:cs="Arial"/>
                <w:sz w:val="18"/>
                <w:szCs w:val="18"/>
              </w:rPr>
            </w:pPr>
            <w:r w:rsidRPr="00F10DA9">
              <w:rPr>
                <w:rFonts w:ascii="Arial" w:hAnsi="Arial" w:cs="Arial"/>
                <w:sz w:val="18"/>
                <w:szCs w:val="18"/>
              </w:rPr>
              <w:t>1</w:t>
            </w:r>
          </w:p>
        </w:tc>
        <w:tc>
          <w:tcPr>
            <w:tcW w:w="3872" w:type="dxa"/>
            <w:tcBorders>
              <w:bottom w:val="single" w:sz="4" w:space="0" w:color="000000"/>
            </w:tcBorders>
            <w:vAlign w:val="center"/>
          </w:tcPr>
          <w:p w14:paraId="644996B3" w14:textId="77777777" w:rsidR="004E48FF" w:rsidRPr="001A61F3" w:rsidRDefault="004E48FF" w:rsidP="00CD4A18">
            <w:pPr>
              <w:jc w:val="both"/>
              <w:rPr>
                <w:rFonts w:ascii="Arial" w:hAnsi="Arial" w:cs="Arial"/>
                <w:sz w:val="18"/>
                <w:szCs w:val="18"/>
              </w:rPr>
            </w:pPr>
            <w:r w:rsidRPr="001A61F3">
              <w:rPr>
                <w:rFonts w:ascii="Arial" w:hAnsi="Arial" w:cs="Arial"/>
                <w:bCs/>
                <w:kern w:val="36"/>
                <w:sz w:val="18"/>
              </w:rPr>
              <w:t>Comunicación de SUNAFIL remitiendo el informe sobre el diseño e implementación del piloto</w:t>
            </w:r>
          </w:p>
        </w:tc>
        <w:tc>
          <w:tcPr>
            <w:tcW w:w="1260" w:type="dxa"/>
            <w:tcBorders>
              <w:bottom w:val="single" w:sz="4" w:space="0" w:color="000000"/>
            </w:tcBorders>
            <w:vAlign w:val="center"/>
          </w:tcPr>
          <w:p w14:paraId="762744B7" w14:textId="77777777" w:rsidR="004E48FF" w:rsidRDefault="004E48FF" w:rsidP="00CD4A18">
            <w:pPr>
              <w:jc w:val="center"/>
              <w:rPr>
                <w:rFonts w:ascii="Arial" w:hAnsi="Arial" w:cs="Arial"/>
                <w:sz w:val="18"/>
                <w:szCs w:val="18"/>
              </w:rPr>
            </w:pPr>
            <w:r>
              <w:rPr>
                <w:rFonts w:ascii="Arial" w:hAnsi="Arial" w:cs="Arial"/>
                <w:sz w:val="18"/>
                <w:szCs w:val="18"/>
              </w:rPr>
              <w:t>SUNAFIL</w:t>
            </w:r>
          </w:p>
        </w:tc>
      </w:tr>
      <w:tr w:rsidR="004E48FF" w:rsidRPr="00B019CC" w14:paraId="6D4377C2" w14:textId="77777777" w:rsidTr="00504DB1">
        <w:trPr>
          <w:trHeight w:val="287"/>
          <w:jc w:val="center"/>
        </w:trPr>
        <w:tc>
          <w:tcPr>
            <w:tcW w:w="13135" w:type="dxa"/>
            <w:gridSpan w:val="7"/>
            <w:shd w:val="clear" w:color="auto" w:fill="D9D9D9" w:themeFill="background1" w:themeFillShade="D9"/>
            <w:vAlign w:val="center"/>
          </w:tcPr>
          <w:p w14:paraId="73C1CF88" w14:textId="77777777" w:rsidR="004E48FF" w:rsidRPr="00B019CC" w:rsidRDefault="004E48FF" w:rsidP="00CD4A18">
            <w:pPr>
              <w:rPr>
                <w:rFonts w:ascii="Arial" w:hAnsi="Arial" w:cs="Arial"/>
                <w:b/>
                <w:sz w:val="18"/>
                <w:szCs w:val="18"/>
              </w:rPr>
            </w:pPr>
            <w:r>
              <w:rPr>
                <w:rFonts w:ascii="Arial" w:hAnsi="Arial" w:cs="Arial"/>
                <w:b/>
                <w:sz w:val="18"/>
                <w:szCs w:val="18"/>
              </w:rPr>
              <w:t xml:space="preserve">Componente 4. </w:t>
            </w:r>
            <w:r w:rsidRPr="00773AB1">
              <w:rPr>
                <w:rFonts w:ascii="Arial" w:hAnsi="Arial" w:cs="Arial"/>
                <w:b/>
                <w:sz w:val="18"/>
              </w:rPr>
              <w:t>Mejorar las políticas de desarrollo productivo</w:t>
            </w:r>
            <w:r w:rsidRPr="00773AB1">
              <w:rPr>
                <w:rFonts w:ascii="Arial" w:hAnsi="Arial" w:cs="Arial"/>
                <w:b/>
                <w:sz w:val="16"/>
                <w:szCs w:val="18"/>
              </w:rPr>
              <w:t xml:space="preserve">   </w:t>
            </w:r>
          </w:p>
        </w:tc>
      </w:tr>
      <w:tr w:rsidR="004E48FF" w:rsidRPr="00B019CC" w14:paraId="484D391C" w14:textId="77777777" w:rsidTr="00504DB1">
        <w:trPr>
          <w:trHeight w:val="899"/>
          <w:jc w:val="center"/>
        </w:trPr>
        <w:tc>
          <w:tcPr>
            <w:tcW w:w="4221" w:type="dxa"/>
            <w:tcBorders>
              <w:bottom w:val="single" w:sz="4" w:space="0" w:color="000000"/>
            </w:tcBorders>
            <w:vAlign w:val="center"/>
          </w:tcPr>
          <w:p w14:paraId="50564849" w14:textId="5220FF89" w:rsidR="004E48FF" w:rsidRDefault="004E48FF" w:rsidP="00FD0DF7">
            <w:pPr>
              <w:pStyle w:val="ListParagraph"/>
              <w:numPr>
                <w:ilvl w:val="0"/>
                <w:numId w:val="13"/>
              </w:numPr>
              <w:ind w:left="278" w:hanging="270"/>
              <w:jc w:val="both"/>
              <w:rPr>
                <w:rFonts w:ascii="Arial" w:hAnsi="Arial" w:cs="Arial"/>
                <w:sz w:val="18"/>
                <w:szCs w:val="18"/>
              </w:rPr>
            </w:pPr>
            <w:r>
              <w:rPr>
                <w:rFonts w:ascii="Arial" w:hAnsi="Arial" w:cs="Arial"/>
                <w:sz w:val="18"/>
                <w:szCs w:val="18"/>
              </w:rPr>
              <w:t>Diseño y creación de programa “Tu Empresa” aprobado</w:t>
            </w:r>
            <w:r w:rsidR="0024161C">
              <w:rPr>
                <w:rFonts w:ascii="Arial" w:hAnsi="Arial" w:cs="Arial"/>
                <w:sz w:val="18"/>
                <w:szCs w:val="18"/>
              </w:rPr>
              <w:t>.</w:t>
            </w:r>
          </w:p>
        </w:tc>
        <w:tc>
          <w:tcPr>
            <w:tcW w:w="1619" w:type="dxa"/>
            <w:tcBorders>
              <w:bottom w:val="single" w:sz="4" w:space="0" w:color="000000"/>
            </w:tcBorders>
            <w:vAlign w:val="center"/>
          </w:tcPr>
          <w:p w14:paraId="191FE746" w14:textId="77777777" w:rsidR="004E48FF" w:rsidRPr="005C771E" w:rsidRDefault="004E48FF" w:rsidP="00CD4A18">
            <w:pPr>
              <w:jc w:val="center"/>
              <w:rPr>
                <w:rFonts w:ascii="Arial" w:hAnsi="Arial" w:cs="Arial"/>
                <w:sz w:val="18"/>
                <w:szCs w:val="18"/>
              </w:rPr>
            </w:pPr>
            <w:r>
              <w:rPr>
                <w:rFonts w:ascii="Arial" w:hAnsi="Arial" w:cs="Arial"/>
                <w:sz w:val="18"/>
                <w:szCs w:val="18"/>
              </w:rPr>
              <w:t>Manual de operaciones aprobado</w:t>
            </w:r>
          </w:p>
        </w:tc>
        <w:tc>
          <w:tcPr>
            <w:tcW w:w="640" w:type="dxa"/>
            <w:tcBorders>
              <w:bottom w:val="single" w:sz="4" w:space="0" w:color="000000"/>
            </w:tcBorders>
            <w:vAlign w:val="center"/>
          </w:tcPr>
          <w:p w14:paraId="77F8183B" w14:textId="77777777" w:rsidR="004E48FF" w:rsidRPr="00B019CC" w:rsidRDefault="004E48FF" w:rsidP="00CD4A18">
            <w:pPr>
              <w:jc w:val="center"/>
              <w:rPr>
                <w:rFonts w:ascii="Arial" w:hAnsi="Arial" w:cs="Arial"/>
                <w:sz w:val="18"/>
                <w:szCs w:val="18"/>
              </w:rPr>
            </w:pPr>
            <w:r>
              <w:rPr>
                <w:rFonts w:ascii="Arial" w:hAnsi="Arial" w:cs="Arial"/>
                <w:sz w:val="18"/>
                <w:szCs w:val="18"/>
              </w:rPr>
              <w:t>0</w:t>
            </w:r>
          </w:p>
        </w:tc>
        <w:tc>
          <w:tcPr>
            <w:tcW w:w="810" w:type="dxa"/>
            <w:tcBorders>
              <w:bottom w:val="single" w:sz="4" w:space="0" w:color="000000"/>
            </w:tcBorders>
            <w:vAlign w:val="center"/>
          </w:tcPr>
          <w:p w14:paraId="03C68B4B" w14:textId="77777777" w:rsidR="004E48FF" w:rsidRPr="00B019CC" w:rsidRDefault="004E48FF" w:rsidP="00CD4A18">
            <w:pPr>
              <w:jc w:val="center"/>
              <w:rPr>
                <w:rFonts w:ascii="Arial" w:hAnsi="Arial" w:cs="Arial"/>
                <w:sz w:val="18"/>
                <w:szCs w:val="18"/>
              </w:rPr>
            </w:pPr>
            <w:r w:rsidRPr="00B019CC">
              <w:rPr>
                <w:rFonts w:ascii="Arial" w:hAnsi="Arial" w:cs="Arial"/>
                <w:sz w:val="18"/>
                <w:szCs w:val="18"/>
              </w:rPr>
              <w:t>201</w:t>
            </w:r>
            <w:r>
              <w:rPr>
                <w:rFonts w:ascii="Arial" w:hAnsi="Arial" w:cs="Arial"/>
                <w:sz w:val="18"/>
                <w:szCs w:val="18"/>
              </w:rPr>
              <w:t>7</w:t>
            </w:r>
          </w:p>
        </w:tc>
        <w:tc>
          <w:tcPr>
            <w:tcW w:w="713" w:type="dxa"/>
            <w:tcBorders>
              <w:bottom w:val="single" w:sz="4" w:space="0" w:color="000000"/>
            </w:tcBorders>
            <w:vAlign w:val="center"/>
          </w:tcPr>
          <w:p w14:paraId="72DA7976" w14:textId="77777777" w:rsidR="004E48FF" w:rsidRPr="00B019CC" w:rsidRDefault="004E48FF" w:rsidP="00CD4A18">
            <w:pPr>
              <w:jc w:val="center"/>
              <w:rPr>
                <w:rFonts w:ascii="Arial" w:hAnsi="Arial" w:cs="Arial"/>
                <w:sz w:val="18"/>
                <w:szCs w:val="18"/>
              </w:rPr>
            </w:pPr>
            <w:r>
              <w:rPr>
                <w:rFonts w:ascii="Arial" w:hAnsi="Arial" w:cs="Arial"/>
                <w:sz w:val="18"/>
                <w:szCs w:val="18"/>
              </w:rPr>
              <w:t>1</w:t>
            </w:r>
          </w:p>
        </w:tc>
        <w:tc>
          <w:tcPr>
            <w:tcW w:w="3872" w:type="dxa"/>
            <w:tcBorders>
              <w:bottom w:val="single" w:sz="4" w:space="0" w:color="000000"/>
            </w:tcBorders>
            <w:vAlign w:val="center"/>
          </w:tcPr>
          <w:p w14:paraId="42728D11" w14:textId="77777777" w:rsidR="004E48FF" w:rsidRPr="00F817EB" w:rsidRDefault="004E48FF" w:rsidP="00CD4A18">
            <w:pPr>
              <w:spacing w:before="60" w:after="60"/>
              <w:ind w:left="-4"/>
              <w:jc w:val="both"/>
              <w:rPr>
                <w:rFonts w:ascii="Arial" w:hAnsi="Arial" w:cs="Arial"/>
                <w:bCs/>
                <w:kern w:val="36"/>
                <w:sz w:val="18"/>
              </w:rPr>
            </w:pPr>
            <w:r w:rsidRPr="00F817EB">
              <w:rPr>
                <w:rFonts w:ascii="Arial" w:hAnsi="Arial" w:cs="Arial"/>
                <w:bCs/>
                <w:kern w:val="36"/>
                <w:sz w:val="18"/>
              </w:rPr>
              <w:t xml:space="preserve">Decreto Supremo </w:t>
            </w:r>
            <w:proofErr w:type="spellStart"/>
            <w:r w:rsidRPr="00F817EB">
              <w:rPr>
                <w:rFonts w:ascii="Arial" w:hAnsi="Arial" w:cs="Arial"/>
                <w:bCs/>
                <w:kern w:val="36"/>
                <w:sz w:val="18"/>
              </w:rPr>
              <w:t>N°</w:t>
            </w:r>
            <w:proofErr w:type="spellEnd"/>
            <w:r w:rsidRPr="00F817EB">
              <w:rPr>
                <w:rFonts w:ascii="Arial" w:hAnsi="Arial" w:cs="Arial"/>
                <w:bCs/>
                <w:kern w:val="36"/>
                <w:sz w:val="18"/>
              </w:rPr>
              <w:t xml:space="preserve"> 012-2017-PRODUCE que crea el Programa Nacional Tu Empresa</w:t>
            </w:r>
          </w:p>
          <w:p w14:paraId="3F9A9FEA" w14:textId="77777777" w:rsidR="004E48FF" w:rsidRPr="00F817EB" w:rsidRDefault="004E48FF" w:rsidP="00CD4A18">
            <w:pPr>
              <w:spacing w:before="60" w:after="60"/>
              <w:ind w:left="-4"/>
              <w:jc w:val="both"/>
              <w:rPr>
                <w:rFonts w:ascii="Arial" w:hAnsi="Arial" w:cs="Arial"/>
                <w:bCs/>
                <w:kern w:val="36"/>
                <w:sz w:val="18"/>
              </w:rPr>
            </w:pPr>
            <w:r w:rsidRPr="00F817EB">
              <w:rPr>
                <w:rFonts w:ascii="Arial" w:hAnsi="Arial" w:cs="Arial"/>
                <w:bCs/>
                <w:kern w:val="36"/>
                <w:sz w:val="18"/>
              </w:rPr>
              <w:t>Resolución Ministerial que aprueba el Manual de Operaciones del Programa.</w:t>
            </w:r>
          </w:p>
          <w:p w14:paraId="29F5AC93" w14:textId="77777777" w:rsidR="004E48FF" w:rsidRPr="00F817EB" w:rsidRDefault="004E48FF" w:rsidP="00CD4A18">
            <w:pPr>
              <w:spacing w:before="60" w:after="60"/>
              <w:ind w:left="-4"/>
              <w:jc w:val="both"/>
              <w:rPr>
                <w:rFonts w:ascii="Arial" w:hAnsi="Arial" w:cs="Arial"/>
                <w:bCs/>
                <w:kern w:val="36"/>
                <w:sz w:val="18"/>
              </w:rPr>
            </w:pPr>
            <w:r w:rsidRPr="00F817EB">
              <w:rPr>
                <w:rFonts w:ascii="Arial" w:hAnsi="Arial" w:cs="Arial"/>
                <w:bCs/>
                <w:kern w:val="36"/>
                <w:sz w:val="18"/>
              </w:rPr>
              <w:t>(RM 102-2018-PRODUCE)</w:t>
            </w:r>
          </w:p>
        </w:tc>
        <w:tc>
          <w:tcPr>
            <w:tcW w:w="1260" w:type="dxa"/>
            <w:tcBorders>
              <w:bottom w:val="single" w:sz="4" w:space="0" w:color="000000"/>
            </w:tcBorders>
            <w:vAlign w:val="center"/>
          </w:tcPr>
          <w:p w14:paraId="50EA51B4" w14:textId="77777777" w:rsidR="004E48FF" w:rsidRPr="00B019CC" w:rsidRDefault="004E48FF" w:rsidP="00CD4A18">
            <w:pPr>
              <w:jc w:val="center"/>
              <w:rPr>
                <w:rFonts w:ascii="Arial" w:hAnsi="Arial" w:cs="Arial"/>
                <w:sz w:val="18"/>
                <w:szCs w:val="18"/>
              </w:rPr>
            </w:pPr>
            <w:r>
              <w:rPr>
                <w:rFonts w:ascii="Arial" w:hAnsi="Arial" w:cs="Arial"/>
                <w:sz w:val="18"/>
                <w:szCs w:val="18"/>
              </w:rPr>
              <w:t>PRODUCE</w:t>
            </w:r>
          </w:p>
        </w:tc>
      </w:tr>
      <w:tr w:rsidR="004E48FF" w:rsidRPr="00B019CC" w14:paraId="722214A0" w14:textId="77777777" w:rsidTr="00504DB1">
        <w:trPr>
          <w:trHeight w:val="720"/>
          <w:jc w:val="center"/>
        </w:trPr>
        <w:tc>
          <w:tcPr>
            <w:tcW w:w="4221" w:type="dxa"/>
            <w:vAlign w:val="center"/>
          </w:tcPr>
          <w:p w14:paraId="5594D564" w14:textId="77777777" w:rsidR="004E48FF" w:rsidRPr="005902CF" w:rsidRDefault="004E48FF" w:rsidP="00FD0DF7">
            <w:pPr>
              <w:pStyle w:val="ListParagraph"/>
              <w:numPr>
                <w:ilvl w:val="0"/>
                <w:numId w:val="13"/>
              </w:numPr>
              <w:ind w:left="278" w:hanging="270"/>
              <w:jc w:val="both"/>
              <w:rPr>
                <w:rFonts w:ascii="Arial" w:hAnsi="Arial" w:cs="Arial"/>
                <w:spacing w:val="-2"/>
                <w:sz w:val="18"/>
                <w:szCs w:val="18"/>
              </w:rPr>
            </w:pPr>
            <w:r>
              <w:rPr>
                <w:rFonts w:ascii="Arial" w:hAnsi="Arial" w:cs="Arial"/>
                <w:spacing w:val="-2"/>
                <w:sz w:val="18"/>
                <w:szCs w:val="18"/>
              </w:rPr>
              <w:t>Centro “Tu Empresa” con sede en Lima operativo</w:t>
            </w:r>
            <w:r>
              <w:rPr>
                <w:rFonts w:ascii="Arial" w:hAnsi="Arial" w:cs="Arial"/>
                <w:sz w:val="18"/>
                <w:szCs w:val="18"/>
              </w:rPr>
              <w:t>.</w:t>
            </w:r>
          </w:p>
        </w:tc>
        <w:tc>
          <w:tcPr>
            <w:tcW w:w="1619" w:type="dxa"/>
            <w:vAlign w:val="center"/>
          </w:tcPr>
          <w:p w14:paraId="49CB3E96" w14:textId="77777777" w:rsidR="004E48FF" w:rsidRPr="005902CF" w:rsidRDefault="004E48FF" w:rsidP="00CD4A18">
            <w:pPr>
              <w:jc w:val="center"/>
              <w:rPr>
                <w:rFonts w:ascii="Arial" w:hAnsi="Arial" w:cs="Arial"/>
                <w:sz w:val="18"/>
                <w:szCs w:val="18"/>
              </w:rPr>
            </w:pPr>
            <w:r>
              <w:rPr>
                <w:rFonts w:ascii="Arial" w:hAnsi="Arial" w:cs="Arial"/>
                <w:sz w:val="18"/>
                <w:szCs w:val="18"/>
              </w:rPr>
              <w:t>Centro “Tu Empresa” operativo</w:t>
            </w:r>
          </w:p>
        </w:tc>
        <w:tc>
          <w:tcPr>
            <w:tcW w:w="640" w:type="dxa"/>
            <w:vAlign w:val="center"/>
          </w:tcPr>
          <w:p w14:paraId="152CD17E" w14:textId="77777777" w:rsidR="004E48FF" w:rsidRPr="005902CF" w:rsidRDefault="004E48FF" w:rsidP="00CD4A18">
            <w:pPr>
              <w:jc w:val="center"/>
              <w:rPr>
                <w:rFonts w:ascii="Arial" w:hAnsi="Arial" w:cs="Arial"/>
                <w:sz w:val="18"/>
                <w:szCs w:val="18"/>
              </w:rPr>
            </w:pPr>
            <w:r>
              <w:rPr>
                <w:rFonts w:ascii="Arial" w:hAnsi="Arial" w:cs="Arial"/>
                <w:sz w:val="18"/>
                <w:szCs w:val="18"/>
              </w:rPr>
              <w:t>0</w:t>
            </w:r>
          </w:p>
        </w:tc>
        <w:tc>
          <w:tcPr>
            <w:tcW w:w="810" w:type="dxa"/>
            <w:vAlign w:val="center"/>
          </w:tcPr>
          <w:p w14:paraId="736D8FCF" w14:textId="77777777" w:rsidR="004E48FF" w:rsidRPr="005902CF" w:rsidRDefault="004E48FF" w:rsidP="00CD4A18">
            <w:pPr>
              <w:jc w:val="center"/>
              <w:rPr>
                <w:rFonts w:ascii="Arial" w:hAnsi="Arial" w:cs="Arial"/>
                <w:sz w:val="18"/>
                <w:szCs w:val="18"/>
              </w:rPr>
            </w:pPr>
            <w:r w:rsidRPr="00B019CC">
              <w:rPr>
                <w:rFonts w:ascii="Arial" w:hAnsi="Arial" w:cs="Arial"/>
                <w:sz w:val="18"/>
                <w:szCs w:val="18"/>
              </w:rPr>
              <w:t>201</w:t>
            </w:r>
            <w:r>
              <w:rPr>
                <w:rFonts w:ascii="Arial" w:hAnsi="Arial" w:cs="Arial"/>
                <w:sz w:val="18"/>
                <w:szCs w:val="18"/>
              </w:rPr>
              <w:t>7</w:t>
            </w:r>
          </w:p>
        </w:tc>
        <w:tc>
          <w:tcPr>
            <w:tcW w:w="713" w:type="dxa"/>
            <w:vAlign w:val="center"/>
          </w:tcPr>
          <w:p w14:paraId="4D32EB83" w14:textId="77777777" w:rsidR="004E48FF" w:rsidRPr="005902CF" w:rsidRDefault="004E48FF" w:rsidP="00CD4A18">
            <w:pPr>
              <w:jc w:val="center"/>
              <w:rPr>
                <w:rFonts w:ascii="Arial" w:hAnsi="Arial" w:cs="Arial"/>
                <w:sz w:val="18"/>
                <w:szCs w:val="18"/>
              </w:rPr>
            </w:pPr>
            <w:r>
              <w:rPr>
                <w:rFonts w:ascii="Arial" w:hAnsi="Arial" w:cs="Arial"/>
                <w:sz w:val="18"/>
                <w:szCs w:val="18"/>
              </w:rPr>
              <w:t>1</w:t>
            </w:r>
          </w:p>
        </w:tc>
        <w:tc>
          <w:tcPr>
            <w:tcW w:w="3872" w:type="dxa"/>
            <w:vAlign w:val="center"/>
          </w:tcPr>
          <w:p w14:paraId="3581EF69" w14:textId="5EEB1D0D" w:rsidR="004E48FF" w:rsidRPr="00B019CC" w:rsidRDefault="004E48FF" w:rsidP="00CD4A18">
            <w:pPr>
              <w:jc w:val="both"/>
              <w:rPr>
                <w:rFonts w:ascii="Arial" w:hAnsi="Arial" w:cs="Arial"/>
                <w:sz w:val="18"/>
                <w:szCs w:val="18"/>
              </w:rPr>
            </w:pPr>
            <w:r w:rsidRPr="00AB2A23">
              <w:rPr>
                <w:rFonts w:ascii="Arial" w:hAnsi="Arial" w:cs="Arial"/>
                <w:sz w:val="18"/>
                <w:szCs w:val="18"/>
              </w:rPr>
              <w:t>Reporte a agosto de 2018 del número de usuarios atendidos según “Sistema virtual Tu</w:t>
            </w:r>
            <w:r w:rsidR="0024161C">
              <w:rPr>
                <w:rFonts w:ascii="Arial" w:hAnsi="Arial" w:cs="Arial"/>
                <w:sz w:val="18"/>
                <w:szCs w:val="18"/>
              </w:rPr>
              <w:t xml:space="preserve"> </w:t>
            </w:r>
            <w:r w:rsidRPr="00AB2A23">
              <w:rPr>
                <w:rFonts w:ascii="Arial" w:hAnsi="Arial" w:cs="Arial"/>
                <w:sz w:val="18"/>
                <w:szCs w:val="18"/>
              </w:rPr>
              <w:t>Empresa”.</w:t>
            </w:r>
            <w:r>
              <w:rPr>
                <w:rFonts w:ascii="Arial" w:hAnsi="Arial" w:cs="Arial"/>
                <w:sz w:val="18"/>
                <w:szCs w:val="18"/>
              </w:rPr>
              <w:t xml:space="preserve">  </w:t>
            </w:r>
          </w:p>
        </w:tc>
        <w:tc>
          <w:tcPr>
            <w:tcW w:w="1260" w:type="dxa"/>
            <w:vAlign w:val="center"/>
          </w:tcPr>
          <w:p w14:paraId="54CA5B6C" w14:textId="77777777" w:rsidR="004E48FF" w:rsidRPr="00B019CC" w:rsidRDefault="004E48FF" w:rsidP="00CD4A18">
            <w:pPr>
              <w:jc w:val="center"/>
              <w:rPr>
                <w:rFonts w:ascii="Arial" w:hAnsi="Arial" w:cs="Arial"/>
                <w:sz w:val="18"/>
                <w:szCs w:val="18"/>
              </w:rPr>
            </w:pPr>
            <w:r>
              <w:rPr>
                <w:rFonts w:ascii="Arial" w:hAnsi="Arial" w:cs="Arial"/>
                <w:sz w:val="18"/>
                <w:szCs w:val="18"/>
              </w:rPr>
              <w:t>PRODUCE</w:t>
            </w:r>
          </w:p>
        </w:tc>
      </w:tr>
      <w:tr w:rsidR="002A71FA" w:rsidRPr="002A71FA" w14:paraId="3F73388C" w14:textId="77777777" w:rsidTr="00504DB1">
        <w:trPr>
          <w:trHeight w:val="720"/>
          <w:jc w:val="center"/>
        </w:trPr>
        <w:tc>
          <w:tcPr>
            <w:tcW w:w="4221" w:type="dxa"/>
            <w:vAlign w:val="center"/>
          </w:tcPr>
          <w:p w14:paraId="47E25A83" w14:textId="77602E5E" w:rsidR="002A71FA" w:rsidRPr="002A71FA" w:rsidRDefault="002A71FA" w:rsidP="00FD0DF7">
            <w:pPr>
              <w:pStyle w:val="ListParagraph"/>
              <w:numPr>
                <w:ilvl w:val="0"/>
                <w:numId w:val="13"/>
              </w:numPr>
              <w:ind w:left="278" w:hanging="270"/>
              <w:jc w:val="both"/>
              <w:rPr>
                <w:rFonts w:ascii="Arial" w:hAnsi="Arial" w:cs="Arial"/>
                <w:spacing w:val="-2"/>
                <w:sz w:val="18"/>
                <w:szCs w:val="18"/>
              </w:rPr>
            </w:pPr>
            <w:r w:rsidRPr="002A71FA">
              <w:rPr>
                <w:rFonts w:ascii="Arial" w:hAnsi="Arial" w:cs="Arial"/>
                <w:sz w:val="18"/>
                <w:szCs w:val="18"/>
              </w:rPr>
              <w:t>Metodología aprobada para la medición de correcta operación de los CITE basada en las siguientes dimensiones: (i) infraestructura; (</w:t>
            </w:r>
            <w:proofErr w:type="spellStart"/>
            <w:r w:rsidRPr="002A71FA">
              <w:rPr>
                <w:rFonts w:ascii="Arial" w:hAnsi="Arial" w:cs="Arial"/>
                <w:sz w:val="18"/>
                <w:szCs w:val="18"/>
              </w:rPr>
              <w:t>ii</w:t>
            </w:r>
            <w:proofErr w:type="spellEnd"/>
            <w:r w:rsidRPr="002A71FA">
              <w:rPr>
                <w:rFonts w:ascii="Arial" w:hAnsi="Arial" w:cs="Arial"/>
                <w:sz w:val="18"/>
                <w:szCs w:val="18"/>
              </w:rPr>
              <w:t>)</w:t>
            </w:r>
            <w:r w:rsidR="00CB4E75">
              <w:rPr>
                <w:rFonts w:ascii="Arial" w:hAnsi="Arial" w:cs="Arial"/>
                <w:sz w:val="18"/>
                <w:szCs w:val="18"/>
              </w:rPr>
              <w:t> </w:t>
            </w:r>
            <w:r w:rsidRPr="002A71FA">
              <w:rPr>
                <w:rFonts w:ascii="Arial" w:hAnsi="Arial" w:cs="Arial"/>
                <w:sz w:val="18"/>
                <w:szCs w:val="18"/>
              </w:rPr>
              <w:t>financiamiento; (</w:t>
            </w:r>
            <w:proofErr w:type="spellStart"/>
            <w:r w:rsidRPr="002A71FA">
              <w:rPr>
                <w:rFonts w:ascii="Arial" w:hAnsi="Arial" w:cs="Arial"/>
                <w:sz w:val="18"/>
                <w:szCs w:val="18"/>
              </w:rPr>
              <w:t>iii</w:t>
            </w:r>
            <w:proofErr w:type="spellEnd"/>
            <w:r w:rsidRPr="002A71FA">
              <w:rPr>
                <w:rFonts w:ascii="Arial" w:hAnsi="Arial" w:cs="Arial"/>
                <w:sz w:val="18"/>
                <w:szCs w:val="18"/>
              </w:rPr>
              <w:t>) servicios; y (iv) capital humano</w:t>
            </w:r>
          </w:p>
        </w:tc>
        <w:tc>
          <w:tcPr>
            <w:tcW w:w="1619" w:type="dxa"/>
            <w:vAlign w:val="center"/>
          </w:tcPr>
          <w:p w14:paraId="51B72D81" w14:textId="1DF5ED00" w:rsidR="002A71FA" w:rsidRPr="002A71FA" w:rsidRDefault="002A71FA" w:rsidP="002A71FA">
            <w:pPr>
              <w:jc w:val="center"/>
              <w:rPr>
                <w:rFonts w:ascii="Arial" w:hAnsi="Arial" w:cs="Arial"/>
                <w:sz w:val="18"/>
                <w:szCs w:val="18"/>
              </w:rPr>
            </w:pPr>
            <w:r w:rsidRPr="002A71FA">
              <w:rPr>
                <w:rFonts w:ascii="Arial" w:hAnsi="Arial" w:cs="Arial"/>
                <w:sz w:val="18"/>
                <w:szCs w:val="18"/>
              </w:rPr>
              <w:t>Metodología aprobada</w:t>
            </w:r>
          </w:p>
        </w:tc>
        <w:tc>
          <w:tcPr>
            <w:tcW w:w="640" w:type="dxa"/>
            <w:vAlign w:val="center"/>
          </w:tcPr>
          <w:p w14:paraId="7B598680" w14:textId="5C16197A" w:rsidR="002A71FA" w:rsidRPr="002A71FA" w:rsidRDefault="002A71FA" w:rsidP="002A71FA">
            <w:pPr>
              <w:jc w:val="center"/>
              <w:rPr>
                <w:rFonts w:ascii="Arial" w:hAnsi="Arial" w:cs="Arial"/>
                <w:sz w:val="18"/>
                <w:szCs w:val="18"/>
              </w:rPr>
            </w:pPr>
            <w:r w:rsidRPr="002A71FA">
              <w:rPr>
                <w:rFonts w:ascii="Arial" w:hAnsi="Arial" w:cs="Arial"/>
                <w:sz w:val="18"/>
                <w:szCs w:val="18"/>
              </w:rPr>
              <w:t>0</w:t>
            </w:r>
          </w:p>
        </w:tc>
        <w:tc>
          <w:tcPr>
            <w:tcW w:w="810" w:type="dxa"/>
            <w:vAlign w:val="center"/>
          </w:tcPr>
          <w:p w14:paraId="3489D822" w14:textId="56DC40C0" w:rsidR="002A71FA" w:rsidRPr="002A71FA" w:rsidRDefault="002A71FA" w:rsidP="002A71FA">
            <w:pPr>
              <w:jc w:val="center"/>
              <w:rPr>
                <w:rFonts w:ascii="Arial" w:hAnsi="Arial" w:cs="Arial"/>
                <w:sz w:val="18"/>
                <w:szCs w:val="18"/>
              </w:rPr>
            </w:pPr>
            <w:r w:rsidRPr="002A71FA">
              <w:rPr>
                <w:rFonts w:ascii="Arial" w:hAnsi="Arial" w:cs="Arial"/>
                <w:sz w:val="18"/>
                <w:szCs w:val="18"/>
              </w:rPr>
              <w:t>2017</w:t>
            </w:r>
          </w:p>
        </w:tc>
        <w:tc>
          <w:tcPr>
            <w:tcW w:w="713" w:type="dxa"/>
            <w:vAlign w:val="center"/>
          </w:tcPr>
          <w:p w14:paraId="27355F1A" w14:textId="5AACE103" w:rsidR="002A71FA" w:rsidRPr="002A71FA" w:rsidRDefault="002A71FA" w:rsidP="002A71FA">
            <w:pPr>
              <w:jc w:val="center"/>
              <w:rPr>
                <w:rFonts w:ascii="Arial" w:hAnsi="Arial" w:cs="Arial"/>
                <w:sz w:val="18"/>
                <w:szCs w:val="18"/>
              </w:rPr>
            </w:pPr>
            <w:r w:rsidRPr="002A71FA">
              <w:rPr>
                <w:rFonts w:ascii="Arial" w:hAnsi="Arial" w:cs="Arial"/>
                <w:sz w:val="18"/>
                <w:szCs w:val="18"/>
              </w:rPr>
              <w:t>1</w:t>
            </w:r>
          </w:p>
        </w:tc>
        <w:tc>
          <w:tcPr>
            <w:tcW w:w="3872" w:type="dxa"/>
            <w:vAlign w:val="center"/>
          </w:tcPr>
          <w:p w14:paraId="458E3E9D" w14:textId="3A8DE6E7" w:rsidR="002A71FA" w:rsidRPr="002A71FA" w:rsidRDefault="002A71FA" w:rsidP="002A71FA">
            <w:pPr>
              <w:jc w:val="both"/>
              <w:rPr>
                <w:rFonts w:ascii="Arial" w:hAnsi="Arial" w:cs="Arial"/>
                <w:sz w:val="18"/>
                <w:szCs w:val="18"/>
              </w:rPr>
            </w:pPr>
            <w:r w:rsidRPr="002A71FA">
              <w:rPr>
                <w:rFonts w:ascii="Arial" w:hAnsi="Arial" w:cs="Arial"/>
                <w:bCs/>
                <w:kern w:val="36"/>
                <w:sz w:val="18"/>
                <w:szCs w:val="18"/>
              </w:rPr>
              <w:t>Comunicación de Director Ejecutivo del ITP que remite el informe sobre la metodología para la medición de correcta operación de los CITE</w:t>
            </w:r>
          </w:p>
        </w:tc>
        <w:tc>
          <w:tcPr>
            <w:tcW w:w="1260" w:type="dxa"/>
            <w:vAlign w:val="center"/>
          </w:tcPr>
          <w:p w14:paraId="7D04E286" w14:textId="2FC7F355" w:rsidR="002A71FA" w:rsidRPr="002A71FA" w:rsidRDefault="002A71FA" w:rsidP="002A71FA">
            <w:pPr>
              <w:jc w:val="center"/>
              <w:rPr>
                <w:rFonts w:ascii="Arial" w:hAnsi="Arial" w:cs="Arial"/>
                <w:sz w:val="18"/>
                <w:szCs w:val="18"/>
              </w:rPr>
            </w:pPr>
            <w:r w:rsidRPr="002A71FA">
              <w:rPr>
                <w:rFonts w:ascii="Arial" w:hAnsi="Arial" w:cs="Arial"/>
                <w:sz w:val="18"/>
                <w:szCs w:val="18"/>
              </w:rPr>
              <w:t>PRODUCE</w:t>
            </w:r>
          </w:p>
        </w:tc>
      </w:tr>
      <w:tr w:rsidR="004E48FF" w:rsidRPr="00B019CC" w14:paraId="44B5A5AC" w14:textId="77777777" w:rsidTr="00504DB1">
        <w:trPr>
          <w:trHeight w:val="720"/>
          <w:jc w:val="center"/>
        </w:trPr>
        <w:tc>
          <w:tcPr>
            <w:tcW w:w="4221" w:type="dxa"/>
            <w:vAlign w:val="center"/>
          </w:tcPr>
          <w:p w14:paraId="207E2887" w14:textId="3FDFCFB9" w:rsidR="004E48FF" w:rsidRDefault="002446FA" w:rsidP="00FD0DF7">
            <w:pPr>
              <w:pStyle w:val="ListParagraph"/>
              <w:numPr>
                <w:ilvl w:val="0"/>
                <w:numId w:val="13"/>
              </w:numPr>
              <w:ind w:left="252" w:hanging="270"/>
              <w:jc w:val="both"/>
              <w:rPr>
                <w:rFonts w:ascii="Arial" w:hAnsi="Arial" w:cs="Arial"/>
                <w:spacing w:val="-2"/>
                <w:sz w:val="18"/>
                <w:szCs w:val="18"/>
              </w:rPr>
            </w:pPr>
            <w:r>
              <w:rPr>
                <w:rFonts w:ascii="Arial" w:hAnsi="Arial" w:cs="Arial"/>
                <w:spacing w:val="-2"/>
                <w:sz w:val="18"/>
                <w:szCs w:val="18"/>
              </w:rPr>
              <w:t>CITE</w:t>
            </w:r>
            <w:r w:rsidR="004E48FF" w:rsidRPr="000F03F9">
              <w:rPr>
                <w:rFonts w:ascii="Arial" w:hAnsi="Arial" w:cs="Arial"/>
                <w:spacing w:val="-2"/>
                <w:sz w:val="18"/>
                <w:szCs w:val="18"/>
              </w:rPr>
              <w:t xml:space="preserve"> públicos</w:t>
            </w:r>
            <w:r w:rsidR="004E48FF">
              <w:rPr>
                <w:rFonts w:ascii="Arial" w:hAnsi="Arial" w:cs="Arial"/>
                <w:spacing w:val="-2"/>
                <w:sz w:val="18"/>
                <w:szCs w:val="18"/>
              </w:rPr>
              <w:t xml:space="preserve"> operando</w:t>
            </w:r>
            <w:r w:rsidR="004E48FF" w:rsidRPr="000F03F9">
              <w:rPr>
                <w:rFonts w:ascii="Arial" w:hAnsi="Arial" w:cs="Arial"/>
                <w:spacing w:val="-2"/>
                <w:sz w:val="18"/>
                <w:szCs w:val="18"/>
              </w:rPr>
              <w:t xml:space="preserve"> </w:t>
            </w:r>
            <w:r w:rsidR="004E48FF">
              <w:rPr>
                <w:rFonts w:ascii="Arial" w:hAnsi="Arial" w:cs="Arial"/>
                <w:spacing w:val="-2"/>
                <w:sz w:val="18"/>
                <w:szCs w:val="18"/>
              </w:rPr>
              <w:t>correctamente en las siguientes dimensiones</w:t>
            </w:r>
            <w:r w:rsidR="004E48FF" w:rsidRPr="00F817EB">
              <w:rPr>
                <w:rFonts w:ascii="Arial" w:hAnsi="Arial" w:cs="Arial"/>
                <w:spacing w:val="-2"/>
                <w:sz w:val="16"/>
                <w:szCs w:val="18"/>
              </w:rPr>
              <w:t xml:space="preserve">: </w:t>
            </w:r>
            <w:r w:rsidR="00CB4E75">
              <w:rPr>
                <w:rFonts w:ascii="Arial" w:hAnsi="Arial" w:cs="Arial"/>
                <w:spacing w:val="-2"/>
                <w:sz w:val="16"/>
                <w:szCs w:val="18"/>
              </w:rPr>
              <w:t>(</w:t>
            </w:r>
            <w:r w:rsidR="004E48FF" w:rsidRPr="00F817EB">
              <w:rPr>
                <w:rFonts w:ascii="Arial" w:hAnsi="Arial" w:cs="Arial"/>
                <w:sz w:val="18"/>
              </w:rPr>
              <w:t xml:space="preserve">i) infraestructura, </w:t>
            </w:r>
            <w:r w:rsidR="00CB4E75">
              <w:rPr>
                <w:rFonts w:ascii="Arial" w:hAnsi="Arial" w:cs="Arial"/>
                <w:sz w:val="18"/>
              </w:rPr>
              <w:t>(</w:t>
            </w:r>
            <w:proofErr w:type="spellStart"/>
            <w:r w:rsidR="004E48FF" w:rsidRPr="00F817EB">
              <w:rPr>
                <w:rFonts w:ascii="Arial" w:hAnsi="Arial" w:cs="Arial"/>
                <w:sz w:val="18"/>
              </w:rPr>
              <w:t>ii</w:t>
            </w:r>
            <w:proofErr w:type="spellEnd"/>
            <w:r w:rsidR="004E48FF" w:rsidRPr="00F817EB">
              <w:rPr>
                <w:rFonts w:ascii="Arial" w:hAnsi="Arial" w:cs="Arial"/>
                <w:sz w:val="18"/>
              </w:rPr>
              <w:t>)</w:t>
            </w:r>
            <w:r w:rsidR="00CB4E75">
              <w:rPr>
                <w:rFonts w:ascii="Arial" w:hAnsi="Arial" w:cs="Arial"/>
                <w:sz w:val="18"/>
              </w:rPr>
              <w:t> </w:t>
            </w:r>
            <w:r w:rsidR="004E48FF" w:rsidRPr="00F817EB">
              <w:rPr>
                <w:rFonts w:ascii="Arial" w:hAnsi="Arial" w:cs="Arial"/>
                <w:sz w:val="18"/>
              </w:rPr>
              <w:t xml:space="preserve">financiamiento, </w:t>
            </w:r>
            <w:r w:rsidR="00CB4E75">
              <w:rPr>
                <w:rFonts w:ascii="Arial" w:hAnsi="Arial" w:cs="Arial"/>
                <w:sz w:val="18"/>
              </w:rPr>
              <w:t>(</w:t>
            </w:r>
            <w:proofErr w:type="spellStart"/>
            <w:r w:rsidR="004E48FF" w:rsidRPr="00F817EB">
              <w:rPr>
                <w:rFonts w:ascii="Arial" w:hAnsi="Arial" w:cs="Arial"/>
                <w:sz w:val="18"/>
              </w:rPr>
              <w:t>iii</w:t>
            </w:r>
            <w:proofErr w:type="spellEnd"/>
            <w:r w:rsidR="004E48FF" w:rsidRPr="00F817EB">
              <w:rPr>
                <w:rFonts w:ascii="Arial" w:hAnsi="Arial" w:cs="Arial"/>
                <w:sz w:val="18"/>
              </w:rPr>
              <w:t xml:space="preserve">) servicios, y </w:t>
            </w:r>
            <w:r w:rsidR="00CB4E75">
              <w:rPr>
                <w:rFonts w:ascii="Arial" w:hAnsi="Arial" w:cs="Arial"/>
                <w:sz w:val="18"/>
              </w:rPr>
              <w:t>(</w:t>
            </w:r>
            <w:proofErr w:type="spellStart"/>
            <w:r w:rsidR="004E48FF" w:rsidRPr="00F817EB">
              <w:rPr>
                <w:rFonts w:ascii="Arial" w:hAnsi="Arial" w:cs="Arial"/>
                <w:sz w:val="18"/>
              </w:rPr>
              <w:t>iv</w:t>
            </w:r>
            <w:proofErr w:type="spellEnd"/>
            <w:r w:rsidR="004E48FF" w:rsidRPr="00F817EB">
              <w:rPr>
                <w:rFonts w:ascii="Arial" w:hAnsi="Arial" w:cs="Arial"/>
                <w:sz w:val="18"/>
              </w:rPr>
              <w:t>) capital humano</w:t>
            </w:r>
            <w:r w:rsidR="00D84F28">
              <w:rPr>
                <w:rStyle w:val="FootnoteReference"/>
                <w:rFonts w:ascii="Arial" w:hAnsi="Arial" w:cs="Arial"/>
                <w:sz w:val="18"/>
              </w:rPr>
              <w:footnoteReference w:id="7"/>
            </w:r>
            <w:r w:rsidR="004E48FF" w:rsidRPr="00F817EB">
              <w:rPr>
                <w:rFonts w:ascii="Arial" w:hAnsi="Arial" w:cs="Arial"/>
                <w:sz w:val="18"/>
              </w:rPr>
              <w:t>.</w:t>
            </w:r>
          </w:p>
        </w:tc>
        <w:tc>
          <w:tcPr>
            <w:tcW w:w="1619" w:type="dxa"/>
            <w:vAlign w:val="center"/>
          </w:tcPr>
          <w:p w14:paraId="22E573D3" w14:textId="77777777" w:rsidR="004E48FF" w:rsidRPr="00F817EB" w:rsidRDefault="004E48FF" w:rsidP="00CD4A18">
            <w:pPr>
              <w:jc w:val="center"/>
              <w:rPr>
                <w:rFonts w:ascii="Arial" w:hAnsi="Arial" w:cs="Arial"/>
                <w:sz w:val="18"/>
                <w:szCs w:val="18"/>
                <w:lang w:val="pt-BR"/>
              </w:rPr>
            </w:pPr>
            <w:r w:rsidRPr="00F817EB">
              <w:rPr>
                <w:rFonts w:ascii="Arial" w:hAnsi="Arial" w:cs="Arial"/>
                <w:sz w:val="18"/>
                <w:szCs w:val="18"/>
                <w:lang w:val="pt-BR"/>
              </w:rPr>
              <w:t xml:space="preserve">Número de CITES </w:t>
            </w:r>
            <w:r w:rsidRPr="00F817EB">
              <w:rPr>
                <w:rFonts w:ascii="Arial" w:hAnsi="Arial" w:cs="Arial"/>
                <w:sz w:val="18"/>
                <w:szCs w:val="18"/>
              </w:rPr>
              <w:t>evaluados satisfactoriamente</w:t>
            </w:r>
          </w:p>
        </w:tc>
        <w:tc>
          <w:tcPr>
            <w:tcW w:w="640" w:type="dxa"/>
            <w:vAlign w:val="center"/>
          </w:tcPr>
          <w:p w14:paraId="579922A5" w14:textId="77777777" w:rsidR="004E48FF" w:rsidRDefault="004E48FF" w:rsidP="00CD4A18">
            <w:pPr>
              <w:jc w:val="center"/>
              <w:rPr>
                <w:rFonts w:ascii="Arial" w:hAnsi="Arial" w:cs="Arial"/>
                <w:sz w:val="18"/>
                <w:szCs w:val="18"/>
              </w:rPr>
            </w:pPr>
            <w:r>
              <w:rPr>
                <w:rFonts w:ascii="Arial" w:hAnsi="Arial" w:cs="Arial"/>
                <w:sz w:val="18"/>
                <w:szCs w:val="18"/>
              </w:rPr>
              <w:t>0</w:t>
            </w:r>
          </w:p>
        </w:tc>
        <w:tc>
          <w:tcPr>
            <w:tcW w:w="810" w:type="dxa"/>
            <w:vAlign w:val="center"/>
          </w:tcPr>
          <w:p w14:paraId="28D2E83D" w14:textId="77777777" w:rsidR="004E48FF" w:rsidRPr="00B019CC" w:rsidRDefault="004E48FF" w:rsidP="00CD4A18">
            <w:pPr>
              <w:jc w:val="center"/>
              <w:rPr>
                <w:rFonts w:ascii="Arial" w:hAnsi="Arial" w:cs="Arial"/>
                <w:sz w:val="18"/>
                <w:szCs w:val="18"/>
              </w:rPr>
            </w:pPr>
            <w:r w:rsidRPr="00B019CC">
              <w:rPr>
                <w:rFonts w:ascii="Arial" w:hAnsi="Arial" w:cs="Arial"/>
                <w:sz w:val="18"/>
                <w:szCs w:val="18"/>
              </w:rPr>
              <w:t>201</w:t>
            </w:r>
            <w:r>
              <w:rPr>
                <w:rFonts w:ascii="Arial" w:hAnsi="Arial" w:cs="Arial"/>
                <w:sz w:val="18"/>
                <w:szCs w:val="18"/>
              </w:rPr>
              <w:t>7</w:t>
            </w:r>
          </w:p>
        </w:tc>
        <w:tc>
          <w:tcPr>
            <w:tcW w:w="713" w:type="dxa"/>
            <w:vAlign w:val="center"/>
          </w:tcPr>
          <w:p w14:paraId="3E242CE6" w14:textId="77777777" w:rsidR="004E48FF" w:rsidRDefault="004E48FF" w:rsidP="00CD4A18">
            <w:pPr>
              <w:jc w:val="center"/>
              <w:rPr>
                <w:rFonts w:ascii="Arial" w:hAnsi="Arial" w:cs="Arial"/>
                <w:sz w:val="18"/>
                <w:szCs w:val="18"/>
              </w:rPr>
            </w:pPr>
            <w:r>
              <w:rPr>
                <w:rFonts w:ascii="Arial" w:hAnsi="Arial" w:cs="Arial"/>
                <w:sz w:val="18"/>
                <w:szCs w:val="18"/>
              </w:rPr>
              <w:t>5</w:t>
            </w:r>
          </w:p>
        </w:tc>
        <w:tc>
          <w:tcPr>
            <w:tcW w:w="3872" w:type="dxa"/>
            <w:vAlign w:val="center"/>
          </w:tcPr>
          <w:p w14:paraId="0CDB4B00" w14:textId="77777777" w:rsidR="004E48FF" w:rsidRPr="00AB2A23" w:rsidRDefault="004E48FF" w:rsidP="00CD4A18">
            <w:pPr>
              <w:jc w:val="both"/>
              <w:rPr>
                <w:rFonts w:ascii="Arial" w:hAnsi="Arial" w:cs="Arial"/>
                <w:sz w:val="18"/>
                <w:szCs w:val="18"/>
              </w:rPr>
            </w:pPr>
            <w:r w:rsidRPr="00F817EB">
              <w:rPr>
                <w:rFonts w:ascii="Arial" w:hAnsi="Arial" w:cs="Arial"/>
                <w:bCs/>
                <w:kern w:val="36"/>
                <w:sz w:val="18"/>
              </w:rPr>
              <w:t>Comunicación de Director Ejecutivo del ITP que remite el informe de Monitoreo de los CITE elaborado por la Dirección de Seguimiento y Evaluación.</w:t>
            </w:r>
          </w:p>
        </w:tc>
        <w:tc>
          <w:tcPr>
            <w:tcW w:w="1260" w:type="dxa"/>
            <w:vAlign w:val="center"/>
          </w:tcPr>
          <w:p w14:paraId="53D8F180" w14:textId="77777777" w:rsidR="004E48FF" w:rsidRDefault="004E48FF" w:rsidP="00CD4A18">
            <w:pPr>
              <w:jc w:val="center"/>
              <w:rPr>
                <w:rFonts w:ascii="Arial" w:hAnsi="Arial" w:cs="Arial"/>
                <w:sz w:val="18"/>
                <w:szCs w:val="18"/>
              </w:rPr>
            </w:pPr>
            <w:r w:rsidRPr="00D46940">
              <w:rPr>
                <w:rFonts w:ascii="Arial" w:hAnsi="Arial" w:cs="Arial"/>
                <w:sz w:val="18"/>
                <w:szCs w:val="18"/>
              </w:rPr>
              <w:t>PRODUCE</w:t>
            </w:r>
          </w:p>
        </w:tc>
      </w:tr>
      <w:tr w:rsidR="004E48FF" w:rsidRPr="00B019CC" w14:paraId="0D99C812" w14:textId="77777777" w:rsidTr="00504DB1">
        <w:trPr>
          <w:trHeight w:val="720"/>
          <w:jc w:val="center"/>
        </w:trPr>
        <w:tc>
          <w:tcPr>
            <w:tcW w:w="4221" w:type="dxa"/>
            <w:vAlign w:val="center"/>
          </w:tcPr>
          <w:p w14:paraId="07A1A017" w14:textId="10865E15" w:rsidR="004E48FF" w:rsidRDefault="004E48FF" w:rsidP="00FD0DF7">
            <w:pPr>
              <w:pStyle w:val="ListParagraph"/>
              <w:numPr>
                <w:ilvl w:val="0"/>
                <w:numId w:val="13"/>
              </w:numPr>
              <w:ind w:left="252"/>
              <w:jc w:val="both"/>
              <w:rPr>
                <w:rFonts w:ascii="Arial" w:hAnsi="Arial" w:cs="Arial"/>
                <w:spacing w:val="-2"/>
                <w:sz w:val="18"/>
                <w:szCs w:val="18"/>
              </w:rPr>
            </w:pPr>
            <w:r w:rsidRPr="00F817EB">
              <w:rPr>
                <w:rFonts w:ascii="Arial" w:hAnsi="Arial" w:cs="Arial"/>
                <w:sz w:val="18"/>
              </w:rPr>
              <w:t xml:space="preserve">Mecanismo de compras públicas mediante los Núcleos Ejecutores de Compras (NEC) a las MYPE modificado, extendiendo la lista de posibles compradores a </w:t>
            </w:r>
            <w:r w:rsidR="0065687D">
              <w:rPr>
                <w:rFonts w:ascii="Arial" w:hAnsi="Arial" w:cs="Arial"/>
                <w:sz w:val="18"/>
              </w:rPr>
              <w:t>otras</w:t>
            </w:r>
            <w:r w:rsidRPr="00F817EB">
              <w:rPr>
                <w:rFonts w:ascii="Arial" w:hAnsi="Arial" w:cs="Arial"/>
                <w:sz w:val="18"/>
              </w:rPr>
              <w:t xml:space="preserve"> entidades públicas</w:t>
            </w:r>
            <w:r w:rsidR="0024161C">
              <w:rPr>
                <w:rFonts w:ascii="Arial" w:hAnsi="Arial" w:cs="Arial"/>
                <w:sz w:val="18"/>
              </w:rPr>
              <w:t>.</w:t>
            </w:r>
          </w:p>
        </w:tc>
        <w:tc>
          <w:tcPr>
            <w:tcW w:w="1619" w:type="dxa"/>
            <w:vAlign w:val="center"/>
          </w:tcPr>
          <w:p w14:paraId="5E873558" w14:textId="77777777" w:rsidR="004E48FF" w:rsidRDefault="004E48FF" w:rsidP="00CD4A18">
            <w:pPr>
              <w:jc w:val="center"/>
              <w:rPr>
                <w:rFonts w:ascii="Arial" w:hAnsi="Arial" w:cs="Arial"/>
                <w:sz w:val="18"/>
                <w:szCs w:val="18"/>
              </w:rPr>
            </w:pPr>
            <w:r>
              <w:rPr>
                <w:rFonts w:ascii="Arial" w:hAnsi="Arial" w:cs="Arial"/>
                <w:sz w:val="18"/>
                <w:szCs w:val="18"/>
              </w:rPr>
              <w:t>Mecanismo modificado</w:t>
            </w:r>
          </w:p>
        </w:tc>
        <w:tc>
          <w:tcPr>
            <w:tcW w:w="640" w:type="dxa"/>
            <w:vAlign w:val="center"/>
          </w:tcPr>
          <w:p w14:paraId="04166A82" w14:textId="77777777" w:rsidR="004E48FF" w:rsidRDefault="004E48FF" w:rsidP="00CD4A18">
            <w:pPr>
              <w:jc w:val="center"/>
              <w:rPr>
                <w:rFonts w:ascii="Arial" w:hAnsi="Arial" w:cs="Arial"/>
                <w:sz w:val="18"/>
                <w:szCs w:val="18"/>
              </w:rPr>
            </w:pPr>
            <w:r>
              <w:rPr>
                <w:rFonts w:ascii="Arial" w:hAnsi="Arial" w:cs="Arial"/>
                <w:sz w:val="18"/>
                <w:szCs w:val="18"/>
              </w:rPr>
              <w:t>0</w:t>
            </w:r>
          </w:p>
        </w:tc>
        <w:tc>
          <w:tcPr>
            <w:tcW w:w="810" w:type="dxa"/>
            <w:vAlign w:val="center"/>
          </w:tcPr>
          <w:p w14:paraId="6B00A22A" w14:textId="77777777" w:rsidR="004E48FF" w:rsidRPr="00B019CC" w:rsidRDefault="004E48FF" w:rsidP="00CD4A18">
            <w:pPr>
              <w:jc w:val="center"/>
              <w:rPr>
                <w:rFonts w:ascii="Arial" w:hAnsi="Arial" w:cs="Arial"/>
                <w:sz w:val="18"/>
                <w:szCs w:val="18"/>
              </w:rPr>
            </w:pPr>
            <w:r w:rsidRPr="00B019CC">
              <w:rPr>
                <w:rFonts w:ascii="Arial" w:hAnsi="Arial" w:cs="Arial"/>
                <w:sz w:val="18"/>
                <w:szCs w:val="18"/>
              </w:rPr>
              <w:t>201</w:t>
            </w:r>
            <w:r>
              <w:rPr>
                <w:rFonts w:ascii="Arial" w:hAnsi="Arial" w:cs="Arial"/>
                <w:sz w:val="18"/>
                <w:szCs w:val="18"/>
              </w:rPr>
              <w:t>7</w:t>
            </w:r>
          </w:p>
        </w:tc>
        <w:tc>
          <w:tcPr>
            <w:tcW w:w="713" w:type="dxa"/>
            <w:vAlign w:val="center"/>
          </w:tcPr>
          <w:p w14:paraId="125A1428" w14:textId="77777777" w:rsidR="004E48FF" w:rsidRDefault="004E48FF" w:rsidP="00CD4A18">
            <w:pPr>
              <w:jc w:val="center"/>
              <w:rPr>
                <w:rFonts w:ascii="Arial" w:hAnsi="Arial" w:cs="Arial"/>
                <w:sz w:val="18"/>
                <w:szCs w:val="18"/>
              </w:rPr>
            </w:pPr>
            <w:r>
              <w:rPr>
                <w:rFonts w:ascii="Arial" w:hAnsi="Arial" w:cs="Arial"/>
                <w:sz w:val="18"/>
                <w:szCs w:val="18"/>
              </w:rPr>
              <w:t>1</w:t>
            </w:r>
          </w:p>
        </w:tc>
        <w:tc>
          <w:tcPr>
            <w:tcW w:w="3872" w:type="dxa"/>
            <w:vAlign w:val="center"/>
          </w:tcPr>
          <w:p w14:paraId="24C3EF6A" w14:textId="28CCE0B3" w:rsidR="004E48FF" w:rsidRPr="00AB2A23" w:rsidRDefault="004E48FF" w:rsidP="00CD4A18">
            <w:pPr>
              <w:jc w:val="both"/>
              <w:rPr>
                <w:rFonts w:ascii="Arial" w:hAnsi="Arial" w:cs="Arial"/>
                <w:sz w:val="18"/>
                <w:szCs w:val="18"/>
              </w:rPr>
            </w:pPr>
            <w:r w:rsidRPr="00096092">
              <w:rPr>
                <w:rFonts w:ascii="Arial" w:hAnsi="Arial" w:cs="Arial"/>
                <w:sz w:val="18"/>
                <w:szCs w:val="18"/>
              </w:rPr>
              <w:t>Ley que modifica Decreto de Urgencia N 058</w:t>
            </w:r>
            <w:r>
              <w:rPr>
                <w:rFonts w:ascii="Arial" w:hAnsi="Arial" w:cs="Arial"/>
                <w:sz w:val="18"/>
                <w:szCs w:val="18"/>
              </w:rPr>
              <w:t>-</w:t>
            </w:r>
            <w:r w:rsidRPr="00096092">
              <w:rPr>
                <w:rFonts w:ascii="Arial" w:hAnsi="Arial" w:cs="Arial"/>
                <w:sz w:val="18"/>
                <w:szCs w:val="18"/>
              </w:rPr>
              <w:t>2011</w:t>
            </w:r>
            <w:r>
              <w:rPr>
                <w:rFonts w:ascii="Arial" w:hAnsi="Arial" w:cs="Arial"/>
                <w:sz w:val="18"/>
                <w:szCs w:val="18"/>
              </w:rPr>
              <w:t xml:space="preserve"> </w:t>
            </w:r>
            <w:r w:rsidRPr="00096092">
              <w:rPr>
                <w:rFonts w:ascii="Arial" w:hAnsi="Arial" w:cs="Arial"/>
                <w:sz w:val="18"/>
                <w:szCs w:val="18"/>
              </w:rPr>
              <w:t>(Ley Nº30818)</w:t>
            </w:r>
            <w:r w:rsidR="0024161C">
              <w:rPr>
                <w:rFonts w:ascii="Arial" w:hAnsi="Arial" w:cs="Arial"/>
                <w:sz w:val="18"/>
                <w:szCs w:val="18"/>
              </w:rPr>
              <w:t>.</w:t>
            </w:r>
          </w:p>
        </w:tc>
        <w:tc>
          <w:tcPr>
            <w:tcW w:w="1260" w:type="dxa"/>
            <w:vAlign w:val="center"/>
          </w:tcPr>
          <w:p w14:paraId="0BC487C8" w14:textId="77777777" w:rsidR="004E48FF" w:rsidRDefault="004E48FF" w:rsidP="00CD4A18">
            <w:pPr>
              <w:jc w:val="center"/>
              <w:rPr>
                <w:rFonts w:ascii="Arial" w:hAnsi="Arial" w:cs="Arial"/>
                <w:sz w:val="18"/>
                <w:szCs w:val="18"/>
              </w:rPr>
            </w:pPr>
            <w:r w:rsidRPr="00D46940">
              <w:rPr>
                <w:rFonts w:ascii="Arial" w:hAnsi="Arial" w:cs="Arial"/>
                <w:sz w:val="18"/>
                <w:szCs w:val="18"/>
              </w:rPr>
              <w:t>PRODUCE</w:t>
            </w:r>
          </w:p>
        </w:tc>
      </w:tr>
      <w:tr w:rsidR="004E48FF" w:rsidRPr="00B019CC" w14:paraId="79107F1D" w14:textId="77777777" w:rsidTr="0065687D">
        <w:trPr>
          <w:trHeight w:val="512"/>
          <w:jc w:val="center"/>
        </w:trPr>
        <w:tc>
          <w:tcPr>
            <w:tcW w:w="4221" w:type="dxa"/>
            <w:vAlign w:val="center"/>
          </w:tcPr>
          <w:p w14:paraId="5F9D07CB" w14:textId="0DD4004F" w:rsidR="004E48FF" w:rsidRPr="009559C7" w:rsidRDefault="004E48FF" w:rsidP="00CD4A18">
            <w:pPr>
              <w:pStyle w:val="ListParagraph"/>
              <w:numPr>
                <w:ilvl w:val="0"/>
                <w:numId w:val="13"/>
              </w:numPr>
              <w:ind w:left="278" w:hanging="270"/>
              <w:rPr>
                <w:rFonts w:ascii="Arial" w:hAnsi="Arial" w:cs="Arial"/>
                <w:spacing w:val="-2"/>
                <w:sz w:val="18"/>
                <w:szCs w:val="18"/>
              </w:rPr>
            </w:pPr>
            <w:r w:rsidRPr="00F817EB">
              <w:rPr>
                <w:rFonts w:ascii="Arial" w:hAnsi="Arial" w:cs="Arial"/>
                <w:sz w:val="18"/>
              </w:rPr>
              <w:t>Normativa para autorizar el uso del modelo de NEC a PRODUCE aprobada</w:t>
            </w:r>
            <w:r>
              <w:rPr>
                <w:rFonts w:ascii="Arial" w:hAnsi="Arial" w:cs="Arial"/>
                <w:sz w:val="18"/>
              </w:rPr>
              <w:t>.</w:t>
            </w:r>
            <w:r w:rsidRPr="00F817EB">
              <w:rPr>
                <w:rFonts w:ascii="Arial" w:hAnsi="Arial" w:cs="Arial"/>
                <w:sz w:val="18"/>
              </w:rPr>
              <w:t xml:space="preserve"> </w:t>
            </w:r>
          </w:p>
        </w:tc>
        <w:tc>
          <w:tcPr>
            <w:tcW w:w="1619" w:type="dxa"/>
            <w:vAlign w:val="center"/>
          </w:tcPr>
          <w:p w14:paraId="2640EBDC" w14:textId="77777777" w:rsidR="004E48FF" w:rsidRDefault="004E48FF" w:rsidP="00CD4A18">
            <w:pPr>
              <w:jc w:val="center"/>
              <w:rPr>
                <w:rFonts w:ascii="Arial" w:hAnsi="Arial" w:cs="Arial"/>
                <w:sz w:val="18"/>
                <w:szCs w:val="18"/>
              </w:rPr>
            </w:pPr>
            <w:r>
              <w:rPr>
                <w:rFonts w:ascii="Arial" w:hAnsi="Arial" w:cs="Arial"/>
                <w:sz w:val="18"/>
                <w:szCs w:val="18"/>
              </w:rPr>
              <w:t>Nuevo modelo aprobado</w:t>
            </w:r>
          </w:p>
        </w:tc>
        <w:tc>
          <w:tcPr>
            <w:tcW w:w="640" w:type="dxa"/>
            <w:vAlign w:val="center"/>
          </w:tcPr>
          <w:p w14:paraId="23A52D17" w14:textId="77777777" w:rsidR="004E48FF" w:rsidRDefault="004E48FF" w:rsidP="00CD4A18">
            <w:pPr>
              <w:jc w:val="center"/>
              <w:rPr>
                <w:rFonts w:ascii="Arial" w:hAnsi="Arial" w:cs="Arial"/>
                <w:sz w:val="18"/>
                <w:szCs w:val="18"/>
              </w:rPr>
            </w:pPr>
            <w:r>
              <w:rPr>
                <w:rFonts w:ascii="Arial" w:hAnsi="Arial" w:cs="Arial"/>
                <w:sz w:val="18"/>
                <w:szCs w:val="18"/>
              </w:rPr>
              <w:t>0</w:t>
            </w:r>
          </w:p>
        </w:tc>
        <w:tc>
          <w:tcPr>
            <w:tcW w:w="810" w:type="dxa"/>
            <w:vAlign w:val="center"/>
          </w:tcPr>
          <w:p w14:paraId="12BFA0DA" w14:textId="77777777" w:rsidR="004E48FF" w:rsidRPr="00B019CC" w:rsidRDefault="004E48FF" w:rsidP="00CD4A18">
            <w:pPr>
              <w:jc w:val="center"/>
              <w:rPr>
                <w:rFonts w:ascii="Arial" w:hAnsi="Arial" w:cs="Arial"/>
                <w:sz w:val="18"/>
                <w:szCs w:val="18"/>
              </w:rPr>
            </w:pPr>
            <w:r w:rsidRPr="00B019CC">
              <w:rPr>
                <w:rFonts w:ascii="Arial" w:hAnsi="Arial" w:cs="Arial"/>
                <w:sz w:val="18"/>
                <w:szCs w:val="18"/>
              </w:rPr>
              <w:t>201</w:t>
            </w:r>
            <w:r>
              <w:rPr>
                <w:rFonts w:ascii="Arial" w:hAnsi="Arial" w:cs="Arial"/>
                <w:sz w:val="18"/>
                <w:szCs w:val="18"/>
              </w:rPr>
              <w:t>7</w:t>
            </w:r>
          </w:p>
        </w:tc>
        <w:tc>
          <w:tcPr>
            <w:tcW w:w="713" w:type="dxa"/>
            <w:vAlign w:val="center"/>
          </w:tcPr>
          <w:p w14:paraId="5C8A8856" w14:textId="77777777" w:rsidR="004E48FF" w:rsidRDefault="004E48FF" w:rsidP="00CD4A18">
            <w:pPr>
              <w:jc w:val="center"/>
              <w:rPr>
                <w:rFonts w:ascii="Arial" w:hAnsi="Arial" w:cs="Arial"/>
                <w:sz w:val="18"/>
                <w:szCs w:val="18"/>
              </w:rPr>
            </w:pPr>
            <w:r>
              <w:rPr>
                <w:rFonts w:ascii="Arial" w:hAnsi="Arial" w:cs="Arial"/>
                <w:sz w:val="18"/>
                <w:szCs w:val="18"/>
              </w:rPr>
              <w:t>1</w:t>
            </w:r>
          </w:p>
        </w:tc>
        <w:tc>
          <w:tcPr>
            <w:tcW w:w="3872" w:type="dxa"/>
            <w:vAlign w:val="center"/>
          </w:tcPr>
          <w:p w14:paraId="499D2D79" w14:textId="51F10E9E" w:rsidR="004E48FF" w:rsidRPr="002A71FA" w:rsidRDefault="002A71FA" w:rsidP="00CD4A18">
            <w:pPr>
              <w:jc w:val="both"/>
              <w:rPr>
                <w:rFonts w:ascii="Arial" w:hAnsi="Arial" w:cs="Arial"/>
                <w:sz w:val="18"/>
                <w:szCs w:val="18"/>
              </w:rPr>
            </w:pPr>
            <w:r w:rsidRPr="002A71FA">
              <w:rPr>
                <w:rFonts w:ascii="Arial" w:hAnsi="Arial" w:cs="Arial"/>
                <w:bCs/>
                <w:kern w:val="36"/>
                <w:sz w:val="18"/>
                <w:szCs w:val="18"/>
              </w:rPr>
              <w:t xml:space="preserve">Decreto Legislativo </w:t>
            </w:r>
            <w:proofErr w:type="spellStart"/>
            <w:r w:rsidRPr="002A71FA">
              <w:rPr>
                <w:rFonts w:ascii="Arial" w:hAnsi="Arial" w:cs="Arial"/>
                <w:bCs/>
                <w:kern w:val="36"/>
                <w:sz w:val="18"/>
                <w:szCs w:val="18"/>
              </w:rPr>
              <w:t>Nº</w:t>
            </w:r>
            <w:proofErr w:type="spellEnd"/>
            <w:r w:rsidRPr="002A71FA">
              <w:rPr>
                <w:rFonts w:ascii="Arial" w:hAnsi="Arial" w:cs="Arial"/>
                <w:bCs/>
                <w:kern w:val="36"/>
                <w:sz w:val="18"/>
                <w:szCs w:val="18"/>
              </w:rPr>
              <w:t xml:space="preserve"> 1414 que autoriza al Ministerio de la Producción a conformar núcleos ejecutores de compras para promover y facilitar el acceso de las micro y pequeñas empresas a las compras públicas</w:t>
            </w:r>
          </w:p>
        </w:tc>
        <w:tc>
          <w:tcPr>
            <w:tcW w:w="1260" w:type="dxa"/>
            <w:vAlign w:val="center"/>
          </w:tcPr>
          <w:p w14:paraId="2DE659D1" w14:textId="77777777" w:rsidR="004E48FF" w:rsidRDefault="004E48FF" w:rsidP="00CD4A18">
            <w:pPr>
              <w:jc w:val="center"/>
              <w:rPr>
                <w:rFonts w:ascii="Arial" w:hAnsi="Arial" w:cs="Arial"/>
                <w:sz w:val="18"/>
                <w:szCs w:val="18"/>
              </w:rPr>
            </w:pPr>
            <w:r w:rsidRPr="00D46940">
              <w:rPr>
                <w:rFonts w:ascii="Arial" w:hAnsi="Arial" w:cs="Arial"/>
                <w:sz w:val="18"/>
                <w:szCs w:val="18"/>
              </w:rPr>
              <w:t>PRODUCE</w:t>
            </w:r>
          </w:p>
        </w:tc>
      </w:tr>
      <w:tr w:rsidR="004E48FF" w:rsidRPr="00B019CC" w14:paraId="7F09412B" w14:textId="77777777" w:rsidTr="00504DB1">
        <w:trPr>
          <w:trHeight w:val="287"/>
          <w:jc w:val="center"/>
        </w:trPr>
        <w:tc>
          <w:tcPr>
            <w:tcW w:w="13135" w:type="dxa"/>
            <w:gridSpan w:val="7"/>
            <w:shd w:val="clear" w:color="auto" w:fill="D9D9D9" w:themeFill="background1" w:themeFillShade="D9"/>
            <w:vAlign w:val="center"/>
          </w:tcPr>
          <w:p w14:paraId="08E973B9" w14:textId="77777777" w:rsidR="004E48FF" w:rsidRPr="00B019CC" w:rsidRDefault="004E48FF" w:rsidP="00CD4A18">
            <w:pPr>
              <w:rPr>
                <w:rFonts w:ascii="Arial" w:hAnsi="Arial" w:cs="Arial"/>
                <w:sz w:val="18"/>
                <w:szCs w:val="18"/>
              </w:rPr>
            </w:pPr>
            <w:r>
              <w:rPr>
                <w:rFonts w:ascii="Arial" w:hAnsi="Arial" w:cs="Arial"/>
                <w:b/>
                <w:sz w:val="18"/>
                <w:szCs w:val="18"/>
              </w:rPr>
              <w:t>Componente</w:t>
            </w:r>
            <w:r w:rsidRPr="00083F8C">
              <w:rPr>
                <w:rFonts w:ascii="Arial" w:hAnsi="Arial" w:cs="Arial"/>
                <w:b/>
                <w:sz w:val="18"/>
                <w:szCs w:val="18"/>
              </w:rPr>
              <w:t xml:space="preserve"> </w:t>
            </w:r>
            <w:r>
              <w:rPr>
                <w:rFonts w:ascii="Arial" w:hAnsi="Arial" w:cs="Arial"/>
                <w:b/>
                <w:sz w:val="18"/>
                <w:szCs w:val="18"/>
              </w:rPr>
              <w:t>5</w:t>
            </w:r>
            <w:r w:rsidRPr="00083F8C">
              <w:rPr>
                <w:rFonts w:ascii="Arial" w:hAnsi="Arial" w:cs="Arial"/>
                <w:b/>
                <w:sz w:val="18"/>
                <w:szCs w:val="18"/>
              </w:rPr>
              <w:t xml:space="preserve">. </w:t>
            </w:r>
            <w:r w:rsidRPr="00B63DD7">
              <w:rPr>
                <w:rFonts w:ascii="Arial" w:hAnsi="Arial" w:cs="Arial"/>
                <w:b/>
                <w:sz w:val="18"/>
                <w:szCs w:val="18"/>
              </w:rPr>
              <w:t>Mejorar las políticas tributarias y la capacidad para fiscalizarlas</w:t>
            </w:r>
          </w:p>
        </w:tc>
      </w:tr>
      <w:tr w:rsidR="004E48FF" w:rsidRPr="00B019CC" w14:paraId="56C2018D" w14:textId="77777777" w:rsidTr="00504DB1">
        <w:trPr>
          <w:trHeight w:val="720"/>
          <w:jc w:val="center"/>
        </w:trPr>
        <w:tc>
          <w:tcPr>
            <w:tcW w:w="4221" w:type="dxa"/>
            <w:vAlign w:val="center"/>
          </w:tcPr>
          <w:p w14:paraId="2115FAF8" w14:textId="27CAA27C" w:rsidR="004E48FF" w:rsidRPr="00625330" w:rsidRDefault="004E48FF" w:rsidP="00FD0DF7">
            <w:pPr>
              <w:pStyle w:val="ListParagraph"/>
              <w:numPr>
                <w:ilvl w:val="0"/>
                <w:numId w:val="13"/>
              </w:numPr>
              <w:ind w:left="342" w:hanging="342"/>
              <w:jc w:val="both"/>
              <w:rPr>
                <w:rFonts w:ascii="Arial" w:hAnsi="Arial" w:cs="Arial"/>
                <w:spacing w:val="-2"/>
                <w:sz w:val="18"/>
                <w:szCs w:val="18"/>
              </w:rPr>
            </w:pPr>
            <w:r w:rsidRPr="00625330">
              <w:rPr>
                <w:rFonts w:ascii="Arial" w:hAnsi="Arial" w:cs="Arial"/>
                <w:spacing w:val="-2"/>
                <w:sz w:val="18"/>
                <w:szCs w:val="18"/>
              </w:rPr>
              <w:t xml:space="preserve"> </w:t>
            </w:r>
            <w:r w:rsidRPr="00625330">
              <w:rPr>
                <w:rFonts w:ascii="Arial" w:hAnsi="Arial" w:cs="Arial"/>
                <w:sz w:val="18"/>
              </w:rPr>
              <w:t>Nuevo Régimen Único Simplificado modificado para (i) reducir de 5 a 2 el número de categorías regulares de este régimen; y (</w:t>
            </w:r>
            <w:proofErr w:type="spellStart"/>
            <w:r w:rsidR="00CB4E75">
              <w:rPr>
                <w:rFonts w:ascii="Arial" w:hAnsi="Arial" w:cs="Arial"/>
                <w:sz w:val="18"/>
              </w:rPr>
              <w:t>ii</w:t>
            </w:r>
            <w:proofErr w:type="spellEnd"/>
            <w:r w:rsidRPr="00625330">
              <w:rPr>
                <w:rFonts w:ascii="Arial" w:hAnsi="Arial" w:cs="Arial"/>
                <w:sz w:val="18"/>
              </w:rPr>
              <w:t>) reducir de 30,000S S/. a 8,000S/. el monto máximo de ventas mensuales para ser elegible a este régimen.</w:t>
            </w:r>
          </w:p>
        </w:tc>
        <w:tc>
          <w:tcPr>
            <w:tcW w:w="1619" w:type="dxa"/>
            <w:vAlign w:val="center"/>
          </w:tcPr>
          <w:p w14:paraId="6349C8BE" w14:textId="77777777" w:rsidR="004E48FF" w:rsidRDefault="004E48FF" w:rsidP="00CD4A18">
            <w:pPr>
              <w:jc w:val="center"/>
              <w:rPr>
                <w:rFonts w:ascii="Arial" w:hAnsi="Arial" w:cs="Arial"/>
                <w:sz w:val="18"/>
                <w:szCs w:val="18"/>
              </w:rPr>
            </w:pPr>
            <w:r>
              <w:rPr>
                <w:rFonts w:ascii="Arial" w:hAnsi="Arial" w:cs="Arial"/>
                <w:sz w:val="18"/>
                <w:szCs w:val="18"/>
              </w:rPr>
              <w:t>Modificación al Nuevo RUS aprobada</w:t>
            </w:r>
          </w:p>
        </w:tc>
        <w:tc>
          <w:tcPr>
            <w:tcW w:w="640" w:type="dxa"/>
            <w:vAlign w:val="center"/>
          </w:tcPr>
          <w:p w14:paraId="20A71A42" w14:textId="77777777" w:rsidR="004E48FF" w:rsidRDefault="004E48FF" w:rsidP="00CD4A18">
            <w:pPr>
              <w:jc w:val="center"/>
              <w:rPr>
                <w:rFonts w:ascii="Arial" w:hAnsi="Arial" w:cs="Arial"/>
                <w:sz w:val="18"/>
                <w:szCs w:val="18"/>
              </w:rPr>
            </w:pPr>
            <w:r>
              <w:rPr>
                <w:rFonts w:ascii="Arial" w:hAnsi="Arial" w:cs="Arial"/>
                <w:sz w:val="18"/>
                <w:szCs w:val="18"/>
              </w:rPr>
              <w:t>0</w:t>
            </w:r>
          </w:p>
        </w:tc>
        <w:tc>
          <w:tcPr>
            <w:tcW w:w="810" w:type="dxa"/>
            <w:vAlign w:val="center"/>
          </w:tcPr>
          <w:p w14:paraId="45A72BC5" w14:textId="77777777" w:rsidR="004E48FF" w:rsidRDefault="004E48FF" w:rsidP="00CD4A18">
            <w:pPr>
              <w:jc w:val="center"/>
              <w:rPr>
                <w:rFonts w:ascii="Arial" w:hAnsi="Arial" w:cs="Arial"/>
                <w:sz w:val="18"/>
                <w:szCs w:val="18"/>
              </w:rPr>
            </w:pPr>
            <w:r w:rsidRPr="00B019CC">
              <w:rPr>
                <w:rFonts w:ascii="Arial" w:hAnsi="Arial" w:cs="Arial"/>
                <w:sz w:val="18"/>
                <w:szCs w:val="18"/>
              </w:rPr>
              <w:t>201</w:t>
            </w:r>
            <w:r>
              <w:rPr>
                <w:rFonts w:ascii="Arial" w:hAnsi="Arial" w:cs="Arial"/>
                <w:sz w:val="18"/>
                <w:szCs w:val="18"/>
              </w:rPr>
              <w:t>7</w:t>
            </w:r>
          </w:p>
        </w:tc>
        <w:tc>
          <w:tcPr>
            <w:tcW w:w="713" w:type="dxa"/>
            <w:vAlign w:val="center"/>
          </w:tcPr>
          <w:p w14:paraId="3946FD95" w14:textId="77777777" w:rsidR="004E48FF" w:rsidRDefault="004E48FF" w:rsidP="00CD4A18">
            <w:pPr>
              <w:jc w:val="center"/>
              <w:rPr>
                <w:rFonts w:ascii="Arial" w:hAnsi="Arial" w:cs="Arial"/>
                <w:sz w:val="18"/>
                <w:szCs w:val="18"/>
              </w:rPr>
            </w:pPr>
            <w:r>
              <w:rPr>
                <w:rFonts w:ascii="Arial" w:hAnsi="Arial" w:cs="Arial"/>
                <w:sz w:val="18"/>
                <w:szCs w:val="18"/>
              </w:rPr>
              <w:t>1</w:t>
            </w:r>
          </w:p>
        </w:tc>
        <w:tc>
          <w:tcPr>
            <w:tcW w:w="3872" w:type="dxa"/>
            <w:vAlign w:val="center"/>
          </w:tcPr>
          <w:p w14:paraId="285B0216" w14:textId="48CF02E6" w:rsidR="002A71FA" w:rsidRPr="002A71FA" w:rsidRDefault="002A71FA" w:rsidP="00FD0DF7">
            <w:pPr>
              <w:jc w:val="both"/>
              <w:rPr>
                <w:rFonts w:ascii="Arial" w:hAnsi="Arial" w:cs="Arial"/>
                <w:sz w:val="18"/>
                <w:szCs w:val="18"/>
              </w:rPr>
            </w:pPr>
            <w:r w:rsidRPr="002A71FA">
              <w:rPr>
                <w:rFonts w:ascii="Arial" w:hAnsi="Arial" w:cs="Arial"/>
                <w:sz w:val="18"/>
                <w:szCs w:val="18"/>
              </w:rPr>
              <w:t xml:space="preserve">Decreto Legislativo </w:t>
            </w:r>
            <w:proofErr w:type="spellStart"/>
            <w:r w:rsidRPr="002A71FA">
              <w:rPr>
                <w:rFonts w:ascii="Arial" w:hAnsi="Arial" w:cs="Arial"/>
                <w:sz w:val="18"/>
                <w:szCs w:val="18"/>
              </w:rPr>
              <w:t>Nº</w:t>
            </w:r>
            <w:proofErr w:type="spellEnd"/>
            <w:r w:rsidRPr="002A71FA">
              <w:rPr>
                <w:rFonts w:ascii="Arial" w:hAnsi="Arial" w:cs="Arial"/>
                <w:sz w:val="18"/>
                <w:szCs w:val="18"/>
              </w:rPr>
              <w:t xml:space="preserve"> 1270 que Modifica el Texto del Nuevo Régimen Único Simplificado y Código Tributario, y Decreto Supremo </w:t>
            </w:r>
            <w:proofErr w:type="spellStart"/>
            <w:r w:rsidRPr="002A71FA">
              <w:rPr>
                <w:rFonts w:ascii="Arial" w:hAnsi="Arial" w:cs="Arial"/>
                <w:sz w:val="18"/>
                <w:szCs w:val="18"/>
              </w:rPr>
              <w:t>Nº</w:t>
            </w:r>
            <w:proofErr w:type="spellEnd"/>
            <w:r w:rsidRPr="002A71FA">
              <w:rPr>
                <w:rFonts w:ascii="Arial" w:hAnsi="Arial" w:cs="Arial"/>
                <w:sz w:val="18"/>
                <w:szCs w:val="18"/>
              </w:rPr>
              <w:t xml:space="preserve"> 402-2016-EF, mediante el cual se modifican normas reglamentarias del Nuevo Régimen Único Simplificado.  </w:t>
            </w:r>
          </w:p>
          <w:p w14:paraId="737B0EDF" w14:textId="23C835C8" w:rsidR="004E48FF" w:rsidRDefault="004E48FF" w:rsidP="00CD4A18">
            <w:pPr>
              <w:jc w:val="both"/>
              <w:rPr>
                <w:rFonts w:ascii="Arial" w:hAnsi="Arial" w:cs="Arial"/>
                <w:sz w:val="18"/>
                <w:szCs w:val="18"/>
              </w:rPr>
            </w:pPr>
          </w:p>
        </w:tc>
        <w:tc>
          <w:tcPr>
            <w:tcW w:w="1260" w:type="dxa"/>
            <w:vAlign w:val="center"/>
          </w:tcPr>
          <w:p w14:paraId="52F687BB" w14:textId="77777777" w:rsidR="004E48FF" w:rsidRPr="00B019CC" w:rsidRDefault="004E48FF" w:rsidP="00CD4A18">
            <w:pPr>
              <w:jc w:val="center"/>
              <w:rPr>
                <w:rFonts w:ascii="Arial" w:hAnsi="Arial" w:cs="Arial"/>
                <w:sz w:val="18"/>
                <w:szCs w:val="18"/>
              </w:rPr>
            </w:pPr>
            <w:r>
              <w:rPr>
                <w:rFonts w:ascii="Arial" w:hAnsi="Arial" w:cs="Arial"/>
                <w:sz w:val="18"/>
                <w:szCs w:val="18"/>
              </w:rPr>
              <w:t>MEF</w:t>
            </w:r>
          </w:p>
        </w:tc>
      </w:tr>
      <w:tr w:rsidR="004E48FF" w:rsidRPr="00B019CC" w14:paraId="6BA3A064" w14:textId="77777777" w:rsidTr="00504DB1">
        <w:trPr>
          <w:trHeight w:val="720"/>
          <w:jc w:val="center"/>
        </w:trPr>
        <w:tc>
          <w:tcPr>
            <w:tcW w:w="4221" w:type="dxa"/>
            <w:vAlign w:val="center"/>
          </w:tcPr>
          <w:p w14:paraId="6BC25849" w14:textId="77777777" w:rsidR="004E48FF" w:rsidRDefault="004E48FF" w:rsidP="00FD0DF7">
            <w:pPr>
              <w:pStyle w:val="ListParagraph"/>
              <w:numPr>
                <w:ilvl w:val="0"/>
                <w:numId w:val="13"/>
              </w:numPr>
              <w:ind w:left="330"/>
              <w:jc w:val="both"/>
              <w:rPr>
                <w:rFonts w:ascii="Arial" w:hAnsi="Arial" w:cs="Arial"/>
                <w:spacing w:val="-2"/>
                <w:sz w:val="18"/>
                <w:szCs w:val="18"/>
              </w:rPr>
            </w:pPr>
            <w:r w:rsidRPr="00766543">
              <w:rPr>
                <w:rFonts w:ascii="Arial" w:hAnsi="Arial" w:cs="Arial"/>
                <w:spacing w:val="-2"/>
                <w:sz w:val="18"/>
                <w:szCs w:val="18"/>
              </w:rPr>
              <w:t xml:space="preserve">Ley de Firmas y Certificados Digitales </w:t>
            </w:r>
            <w:r>
              <w:rPr>
                <w:rFonts w:ascii="Arial" w:hAnsi="Arial" w:cs="Arial"/>
                <w:spacing w:val="-2"/>
                <w:sz w:val="18"/>
                <w:szCs w:val="18"/>
              </w:rPr>
              <w:t>modificada de modo</w:t>
            </w:r>
            <w:r w:rsidRPr="00766543">
              <w:rPr>
                <w:rFonts w:ascii="Arial" w:hAnsi="Arial" w:cs="Arial"/>
                <w:spacing w:val="-2"/>
                <w:sz w:val="18"/>
                <w:szCs w:val="18"/>
              </w:rPr>
              <w:t xml:space="preserve"> que permita a la SUNAT ejercer las funciones de Entidad de Registro o Verificación, a fin de facilitar a los contribuyentes la obtención de certificados digitales, requeridos para la emisión de Comprobantes de Pago Electrónicos</w:t>
            </w:r>
            <w:r>
              <w:rPr>
                <w:rFonts w:ascii="Arial" w:hAnsi="Arial" w:cs="Arial"/>
                <w:spacing w:val="-2"/>
                <w:sz w:val="18"/>
                <w:szCs w:val="18"/>
              </w:rPr>
              <w:t xml:space="preserve"> CPE</w:t>
            </w:r>
            <w:r w:rsidRPr="00766543">
              <w:rPr>
                <w:rFonts w:ascii="Arial" w:hAnsi="Arial" w:cs="Arial"/>
                <w:spacing w:val="-2"/>
                <w:sz w:val="18"/>
                <w:szCs w:val="18"/>
              </w:rPr>
              <w:t>.</w:t>
            </w:r>
          </w:p>
        </w:tc>
        <w:tc>
          <w:tcPr>
            <w:tcW w:w="1619" w:type="dxa"/>
            <w:vAlign w:val="center"/>
          </w:tcPr>
          <w:p w14:paraId="19C1CF19" w14:textId="77777777" w:rsidR="004E48FF" w:rsidRDefault="004E48FF" w:rsidP="00CD4A18">
            <w:pPr>
              <w:jc w:val="center"/>
              <w:rPr>
                <w:rFonts w:ascii="Arial" w:hAnsi="Arial" w:cs="Arial"/>
                <w:sz w:val="18"/>
                <w:szCs w:val="18"/>
              </w:rPr>
            </w:pPr>
            <w:r>
              <w:rPr>
                <w:rFonts w:ascii="Arial" w:hAnsi="Arial" w:cs="Arial"/>
                <w:sz w:val="18"/>
                <w:szCs w:val="18"/>
              </w:rPr>
              <w:t>Modificación de ley aprobada</w:t>
            </w:r>
          </w:p>
        </w:tc>
        <w:tc>
          <w:tcPr>
            <w:tcW w:w="640" w:type="dxa"/>
            <w:vAlign w:val="center"/>
          </w:tcPr>
          <w:p w14:paraId="3B32BF2F" w14:textId="77777777" w:rsidR="004E48FF" w:rsidRDefault="004E48FF" w:rsidP="00CD4A18">
            <w:pPr>
              <w:jc w:val="center"/>
              <w:rPr>
                <w:rFonts w:ascii="Arial" w:hAnsi="Arial" w:cs="Arial"/>
                <w:sz w:val="18"/>
                <w:szCs w:val="18"/>
              </w:rPr>
            </w:pPr>
            <w:r>
              <w:rPr>
                <w:rFonts w:ascii="Arial" w:hAnsi="Arial" w:cs="Arial"/>
                <w:sz w:val="18"/>
                <w:szCs w:val="18"/>
              </w:rPr>
              <w:t>0</w:t>
            </w:r>
          </w:p>
        </w:tc>
        <w:tc>
          <w:tcPr>
            <w:tcW w:w="810" w:type="dxa"/>
            <w:vAlign w:val="center"/>
          </w:tcPr>
          <w:p w14:paraId="24DD4465" w14:textId="77777777" w:rsidR="004E48FF" w:rsidRDefault="004E48FF" w:rsidP="00CD4A18">
            <w:pPr>
              <w:jc w:val="center"/>
              <w:rPr>
                <w:rFonts w:ascii="Arial" w:hAnsi="Arial" w:cs="Arial"/>
                <w:sz w:val="18"/>
                <w:szCs w:val="18"/>
              </w:rPr>
            </w:pPr>
            <w:r w:rsidRPr="00B019CC">
              <w:rPr>
                <w:rFonts w:ascii="Arial" w:hAnsi="Arial" w:cs="Arial"/>
                <w:sz w:val="18"/>
                <w:szCs w:val="18"/>
              </w:rPr>
              <w:t>201</w:t>
            </w:r>
            <w:r>
              <w:rPr>
                <w:rFonts w:ascii="Arial" w:hAnsi="Arial" w:cs="Arial"/>
                <w:sz w:val="18"/>
                <w:szCs w:val="18"/>
              </w:rPr>
              <w:t>7</w:t>
            </w:r>
          </w:p>
        </w:tc>
        <w:tc>
          <w:tcPr>
            <w:tcW w:w="713" w:type="dxa"/>
            <w:vAlign w:val="center"/>
          </w:tcPr>
          <w:p w14:paraId="579593C2" w14:textId="77777777" w:rsidR="004E48FF" w:rsidRDefault="004E48FF" w:rsidP="00CD4A18">
            <w:pPr>
              <w:jc w:val="center"/>
              <w:rPr>
                <w:rFonts w:ascii="Arial" w:hAnsi="Arial" w:cs="Arial"/>
                <w:sz w:val="18"/>
                <w:szCs w:val="18"/>
              </w:rPr>
            </w:pPr>
            <w:r>
              <w:rPr>
                <w:rFonts w:ascii="Arial" w:hAnsi="Arial" w:cs="Arial"/>
                <w:sz w:val="18"/>
                <w:szCs w:val="18"/>
              </w:rPr>
              <w:t>1</w:t>
            </w:r>
          </w:p>
        </w:tc>
        <w:tc>
          <w:tcPr>
            <w:tcW w:w="3872" w:type="dxa"/>
            <w:vAlign w:val="center"/>
          </w:tcPr>
          <w:p w14:paraId="205254BE" w14:textId="52C3FF1D" w:rsidR="004E48FF" w:rsidRPr="0067554B" w:rsidRDefault="0067554B" w:rsidP="00CD4A18">
            <w:pPr>
              <w:jc w:val="both"/>
              <w:rPr>
                <w:rFonts w:ascii="Arial" w:hAnsi="Arial" w:cs="Arial"/>
                <w:sz w:val="18"/>
                <w:szCs w:val="18"/>
              </w:rPr>
            </w:pPr>
            <w:r w:rsidRPr="0067554B">
              <w:rPr>
                <w:rFonts w:ascii="Arial" w:hAnsi="Arial" w:cs="Arial"/>
                <w:sz w:val="18"/>
                <w:lang w:val="es-ES"/>
              </w:rPr>
              <w:t xml:space="preserve">Decreto Legislativo </w:t>
            </w:r>
            <w:proofErr w:type="spellStart"/>
            <w:r w:rsidRPr="0067554B">
              <w:rPr>
                <w:rFonts w:ascii="Arial" w:hAnsi="Arial" w:cs="Arial"/>
                <w:sz w:val="18"/>
                <w:lang w:val="es-ES"/>
              </w:rPr>
              <w:t>Nº</w:t>
            </w:r>
            <w:proofErr w:type="spellEnd"/>
            <w:r w:rsidRPr="0067554B">
              <w:rPr>
                <w:rFonts w:ascii="Arial" w:hAnsi="Arial" w:cs="Arial"/>
                <w:sz w:val="18"/>
                <w:lang w:val="es-ES"/>
              </w:rPr>
              <w:t xml:space="preserve"> 1370 que modifica la Ley </w:t>
            </w:r>
            <w:proofErr w:type="spellStart"/>
            <w:r w:rsidRPr="0067554B">
              <w:rPr>
                <w:rFonts w:ascii="Arial" w:hAnsi="Arial" w:cs="Arial"/>
                <w:sz w:val="18"/>
                <w:lang w:val="es-ES"/>
              </w:rPr>
              <w:t>Nº</w:t>
            </w:r>
            <w:proofErr w:type="spellEnd"/>
            <w:r w:rsidRPr="0067554B">
              <w:rPr>
                <w:rFonts w:ascii="Arial" w:hAnsi="Arial" w:cs="Arial"/>
                <w:sz w:val="18"/>
                <w:lang w:val="es-ES"/>
              </w:rPr>
              <w:t xml:space="preserve"> 27269, Ley de Firmas y Certificados Digitales, y el Decreto Ley </w:t>
            </w:r>
            <w:proofErr w:type="spellStart"/>
            <w:r w:rsidRPr="0067554B">
              <w:rPr>
                <w:rFonts w:ascii="Arial" w:hAnsi="Arial" w:cs="Arial"/>
                <w:sz w:val="18"/>
                <w:lang w:val="es-ES"/>
              </w:rPr>
              <w:t>Nº</w:t>
            </w:r>
            <w:proofErr w:type="spellEnd"/>
            <w:r w:rsidRPr="0067554B">
              <w:rPr>
                <w:rFonts w:ascii="Arial" w:hAnsi="Arial" w:cs="Arial"/>
                <w:sz w:val="18"/>
                <w:lang w:val="es-ES"/>
              </w:rPr>
              <w:t xml:space="preserve"> 25632, Ley Marco de Comprobantes de Pago.</w:t>
            </w:r>
          </w:p>
        </w:tc>
        <w:tc>
          <w:tcPr>
            <w:tcW w:w="1260" w:type="dxa"/>
            <w:vAlign w:val="center"/>
          </w:tcPr>
          <w:p w14:paraId="1189B9A5" w14:textId="77777777" w:rsidR="004E48FF" w:rsidRPr="00B019CC" w:rsidRDefault="004E48FF" w:rsidP="00CD4A18">
            <w:pPr>
              <w:jc w:val="center"/>
              <w:rPr>
                <w:rFonts w:ascii="Arial" w:hAnsi="Arial" w:cs="Arial"/>
                <w:sz w:val="18"/>
                <w:szCs w:val="18"/>
              </w:rPr>
            </w:pPr>
            <w:r>
              <w:rPr>
                <w:rFonts w:ascii="Arial" w:hAnsi="Arial" w:cs="Arial"/>
                <w:sz w:val="18"/>
                <w:szCs w:val="18"/>
              </w:rPr>
              <w:t>MEF</w:t>
            </w:r>
          </w:p>
        </w:tc>
      </w:tr>
      <w:tr w:rsidR="004E48FF" w:rsidRPr="00B019CC" w14:paraId="4EDFF83C" w14:textId="77777777" w:rsidTr="00504DB1">
        <w:trPr>
          <w:trHeight w:val="720"/>
          <w:jc w:val="center"/>
        </w:trPr>
        <w:tc>
          <w:tcPr>
            <w:tcW w:w="4221" w:type="dxa"/>
            <w:vAlign w:val="center"/>
          </w:tcPr>
          <w:p w14:paraId="7F4D1808" w14:textId="229B23BA" w:rsidR="004E48FF" w:rsidRPr="00766543" w:rsidRDefault="004E48FF" w:rsidP="00FD0DF7">
            <w:pPr>
              <w:pStyle w:val="ListParagraph"/>
              <w:numPr>
                <w:ilvl w:val="0"/>
                <w:numId w:val="13"/>
              </w:numPr>
              <w:ind w:left="330"/>
              <w:jc w:val="both"/>
              <w:rPr>
                <w:rFonts w:ascii="Arial" w:hAnsi="Arial" w:cs="Arial"/>
                <w:spacing w:val="-2"/>
                <w:sz w:val="18"/>
                <w:szCs w:val="18"/>
              </w:rPr>
            </w:pPr>
            <w:r>
              <w:rPr>
                <w:rFonts w:ascii="Arial" w:hAnsi="Arial" w:cs="Arial"/>
                <w:spacing w:val="-2"/>
                <w:sz w:val="18"/>
                <w:szCs w:val="18"/>
              </w:rPr>
              <w:t>S</w:t>
            </w:r>
            <w:r w:rsidRPr="00565A78">
              <w:rPr>
                <w:rFonts w:ascii="Arial" w:hAnsi="Arial" w:cs="Arial"/>
                <w:spacing w:val="-2"/>
                <w:sz w:val="18"/>
                <w:szCs w:val="18"/>
              </w:rPr>
              <w:t>istemas de emisión de CPE</w:t>
            </w:r>
            <w:r>
              <w:rPr>
                <w:rFonts w:ascii="Arial" w:hAnsi="Arial" w:cs="Arial"/>
                <w:spacing w:val="-2"/>
                <w:sz w:val="18"/>
                <w:szCs w:val="18"/>
              </w:rPr>
              <w:t xml:space="preserve"> migrado a plataforma en nube informática</w:t>
            </w:r>
            <w:r w:rsidR="00776A25">
              <w:rPr>
                <w:rFonts w:ascii="Arial" w:hAnsi="Arial" w:cs="Arial"/>
                <w:spacing w:val="-2"/>
                <w:sz w:val="18"/>
                <w:szCs w:val="18"/>
              </w:rPr>
              <w:t>.*</w:t>
            </w:r>
          </w:p>
        </w:tc>
        <w:tc>
          <w:tcPr>
            <w:tcW w:w="1619" w:type="dxa"/>
            <w:vAlign w:val="center"/>
          </w:tcPr>
          <w:p w14:paraId="4B9FE6EA" w14:textId="77777777" w:rsidR="004E48FF" w:rsidRDefault="004E48FF" w:rsidP="00CD4A18">
            <w:pPr>
              <w:jc w:val="center"/>
              <w:rPr>
                <w:rFonts w:ascii="Arial" w:hAnsi="Arial" w:cs="Arial"/>
                <w:sz w:val="18"/>
                <w:szCs w:val="18"/>
              </w:rPr>
            </w:pPr>
            <w:r>
              <w:rPr>
                <w:rFonts w:ascii="Arial" w:hAnsi="Arial" w:cs="Arial"/>
                <w:sz w:val="18"/>
                <w:szCs w:val="18"/>
              </w:rPr>
              <w:t>Sistema migrado</w:t>
            </w:r>
          </w:p>
        </w:tc>
        <w:tc>
          <w:tcPr>
            <w:tcW w:w="640" w:type="dxa"/>
            <w:vAlign w:val="center"/>
          </w:tcPr>
          <w:p w14:paraId="506A6A29" w14:textId="77777777" w:rsidR="004E48FF" w:rsidRDefault="004E48FF" w:rsidP="00CD4A18">
            <w:pPr>
              <w:jc w:val="center"/>
              <w:rPr>
                <w:rFonts w:ascii="Arial" w:hAnsi="Arial" w:cs="Arial"/>
                <w:sz w:val="18"/>
                <w:szCs w:val="18"/>
              </w:rPr>
            </w:pPr>
            <w:r>
              <w:rPr>
                <w:rFonts w:ascii="Arial" w:hAnsi="Arial" w:cs="Arial"/>
                <w:sz w:val="18"/>
                <w:szCs w:val="18"/>
              </w:rPr>
              <w:t>0</w:t>
            </w:r>
          </w:p>
        </w:tc>
        <w:tc>
          <w:tcPr>
            <w:tcW w:w="810" w:type="dxa"/>
            <w:vAlign w:val="center"/>
          </w:tcPr>
          <w:p w14:paraId="1D7787DB" w14:textId="77777777" w:rsidR="004E48FF" w:rsidRPr="00B019CC" w:rsidRDefault="004E48FF" w:rsidP="00CD4A18">
            <w:pPr>
              <w:jc w:val="center"/>
              <w:rPr>
                <w:rFonts w:ascii="Arial" w:hAnsi="Arial" w:cs="Arial"/>
                <w:sz w:val="18"/>
                <w:szCs w:val="18"/>
              </w:rPr>
            </w:pPr>
            <w:r>
              <w:rPr>
                <w:rFonts w:ascii="Arial" w:hAnsi="Arial" w:cs="Arial"/>
                <w:sz w:val="18"/>
                <w:szCs w:val="18"/>
              </w:rPr>
              <w:t>2017</w:t>
            </w:r>
          </w:p>
        </w:tc>
        <w:tc>
          <w:tcPr>
            <w:tcW w:w="713" w:type="dxa"/>
            <w:vAlign w:val="center"/>
          </w:tcPr>
          <w:p w14:paraId="0DA391B0" w14:textId="77777777" w:rsidR="004E48FF" w:rsidRPr="00625330" w:rsidRDefault="004E48FF" w:rsidP="00CD4A18">
            <w:pPr>
              <w:jc w:val="center"/>
              <w:rPr>
                <w:rFonts w:ascii="Arial" w:hAnsi="Arial" w:cs="Arial"/>
                <w:sz w:val="18"/>
                <w:szCs w:val="18"/>
              </w:rPr>
            </w:pPr>
            <w:r>
              <w:rPr>
                <w:rFonts w:ascii="Arial" w:hAnsi="Arial" w:cs="Arial"/>
                <w:sz w:val="18"/>
                <w:szCs w:val="18"/>
              </w:rPr>
              <w:t>1</w:t>
            </w:r>
          </w:p>
        </w:tc>
        <w:tc>
          <w:tcPr>
            <w:tcW w:w="3872" w:type="dxa"/>
            <w:vAlign w:val="center"/>
          </w:tcPr>
          <w:p w14:paraId="5718B818" w14:textId="77777777" w:rsidR="004E48FF" w:rsidRPr="00625330" w:rsidRDefault="004E48FF" w:rsidP="00CD4A18">
            <w:pPr>
              <w:jc w:val="both"/>
              <w:rPr>
                <w:rFonts w:ascii="Arial" w:hAnsi="Arial" w:cs="Arial"/>
                <w:sz w:val="18"/>
                <w:szCs w:val="18"/>
              </w:rPr>
            </w:pPr>
            <w:r w:rsidRPr="00625330">
              <w:rPr>
                <w:rFonts w:ascii="Arial" w:hAnsi="Arial" w:cs="Arial"/>
                <w:sz w:val="18"/>
                <w:szCs w:val="18"/>
              </w:rPr>
              <w:t>Comunicación de SUNAT reportando el modelo definido</w:t>
            </w:r>
          </w:p>
        </w:tc>
        <w:tc>
          <w:tcPr>
            <w:tcW w:w="1260" w:type="dxa"/>
            <w:vAlign w:val="center"/>
          </w:tcPr>
          <w:p w14:paraId="6A5B6288" w14:textId="77777777" w:rsidR="004E48FF" w:rsidRDefault="004E48FF" w:rsidP="00CD4A18">
            <w:pPr>
              <w:jc w:val="center"/>
              <w:rPr>
                <w:rFonts w:ascii="Arial" w:hAnsi="Arial" w:cs="Arial"/>
                <w:sz w:val="18"/>
                <w:szCs w:val="18"/>
              </w:rPr>
            </w:pPr>
            <w:r>
              <w:rPr>
                <w:rFonts w:ascii="Arial" w:hAnsi="Arial" w:cs="Arial"/>
                <w:sz w:val="18"/>
                <w:szCs w:val="18"/>
              </w:rPr>
              <w:t>SUNAT</w:t>
            </w:r>
          </w:p>
        </w:tc>
      </w:tr>
      <w:tr w:rsidR="004E48FF" w:rsidRPr="00B019CC" w14:paraId="6C2A2B5F" w14:textId="77777777" w:rsidTr="00504DB1">
        <w:trPr>
          <w:trHeight w:val="720"/>
          <w:jc w:val="center"/>
        </w:trPr>
        <w:tc>
          <w:tcPr>
            <w:tcW w:w="4221" w:type="dxa"/>
            <w:vAlign w:val="center"/>
          </w:tcPr>
          <w:p w14:paraId="0143072B" w14:textId="55AE8117" w:rsidR="004E48FF" w:rsidRPr="008B6B72" w:rsidRDefault="003F3932" w:rsidP="00FD0DF7">
            <w:pPr>
              <w:pStyle w:val="ListParagraph"/>
              <w:numPr>
                <w:ilvl w:val="0"/>
                <w:numId w:val="13"/>
              </w:numPr>
              <w:ind w:left="330"/>
              <w:jc w:val="both"/>
              <w:rPr>
                <w:rFonts w:ascii="Arial" w:hAnsi="Arial" w:cs="Arial"/>
                <w:spacing w:val="-2"/>
                <w:sz w:val="18"/>
                <w:szCs w:val="18"/>
              </w:rPr>
            </w:pPr>
            <w:r w:rsidRPr="008B6B72">
              <w:rPr>
                <w:rFonts w:ascii="Arial" w:hAnsi="Arial" w:cs="Arial"/>
                <w:spacing w:val="-2"/>
                <w:sz w:val="18"/>
                <w:szCs w:val="18"/>
              </w:rPr>
              <w:t>Equipo</w:t>
            </w:r>
            <w:r w:rsidR="00DB54C2" w:rsidRPr="008B6B72">
              <w:rPr>
                <w:rFonts w:ascii="Arial" w:hAnsi="Arial" w:cs="Arial"/>
                <w:spacing w:val="-2"/>
                <w:sz w:val="18"/>
                <w:szCs w:val="18"/>
              </w:rPr>
              <w:t xml:space="preserve"> de Ciencia de</w:t>
            </w:r>
            <w:r w:rsidRPr="008B6B72">
              <w:rPr>
                <w:rFonts w:ascii="Arial" w:hAnsi="Arial" w:cs="Arial"/>
                <w:spacing w:val="-2"/>
                <w:sz w:val="18"/>
                <w:szCs w:val="18"/>
              </w:rPr>
              <w:t xml:space="preserve"> Datos que </w:t>
            </w:r>
            <w:r w:rsidRPr="008B6B72">
              <w:rPr>
                <w:rFonts w:ascii="Arial" w:hAnsi="Arial" w:cs="Arial"/>
                <w:sz w:val="18"/>
                <w:szCs w:val="18"/>
              </w:rPr>
              <w:t xml:space="preserve">haya definido perfiles de riesgo y patrones de cumplimiento para diferentes </w:t>
            </w:r>
            <w:r w:rsidRPr="008B6B72">
              <w:rPr>
                <w:rFonts w:ascii="Arial" w:hAnsi="Arial" w:cs="Arial"/>
                <w:iCs/>
                <w:sz w:val="18"/>
                <w:szCs w:val="18"/>
              </w:rPr>
              <w:t>contribuyentes.</w:t>
            </w:r>
            <w:r w:rsidR="00776A25">
              <w:rPr>
                <w:rFonts w:ascii="Arial" w:hAnsi="Arial" w:cs="Arial"/>
                <w:iCs/>
                <w:sz w:val="18"/>
                <w:szCs w:val="18"/>
              </w:rPr>
              <w:t>*</w:t>
            </w:r>
          </w:p>
        </w:tc>
        <w:tc>
          <w:tcPr>
            <w:tcW w:w="1619" w:type="dxa"/>
            <w:vAlign w:val="center"/>
          </w:tcPr>
          <w:p w14:paraId="0376A948" w14:textId="6094073F" w:rsidR="004E48FF" w:rsidRDefault="003F3932" w:rsidP="00CD4A18">
            <w:pPr>
              <w:jc w:val="center"/>
              <w:rPr>
                <w:rFonts w:ascii="Arial" w:hAnsi="Arial" w:cs="Arial"/>
                <w:sz w:val="18"/>
                <w:szCs w:val="18"/>
              </w:rPr>
            </w:pPr>
            <w:r>
              <w:rPr>
                <w:rFonts w:ascii="Arial" w:hAnsi="Arial" w:cs="Arial"/>
                <w:sz w:val="18"/>
                <w:szCs w:val="18"/>
              </w:rPr>
              <w:t>Equipo creado</w:t>
            </w:r>
          </w:p>
        </w:tc>
        <w:tc>
          <w:tcPr>
            <w:tcW w:w="640" w:type="dxa"/>
            <w:vAlign w:val="center"/>
          </w:tcPr>
          <w:p w14:paraId="7A48EC85" w14:textId="77777777" w:rsidR="004E48FF" w:rsidRDefault="004E48FF" w:rsidP="00CD4A18">
            <w:pPr>
              <w:jc w:val="center"/>
              <w:rPr>
                <w:rFonts w:ascii="Arial" w:hAnsi="Arial" w:cs="Arial"/>
                <w:sz w:val="18"/>
                <w:szCs w:val="18"/>
              </w:rPr>
            </w:pPr>
            <w:r>
              <w:rPr>
                <w:rFonts w:ascii="Arial" w:hAnsi="Arial" w:cs="Arial"/>
                <w:sz w:val="18"/>
                <w:szCs w:val="18"/>
              </w:rPr>
              <w:t>0</w:t>
            </w:r>
          </w:p>
        </w:tc>
        <w:tc>
          <w:tcPr>
            <w:tcW w:w="810" w:type="dxa"/>
            <w:vAlign w:val="center"/>
          </w:tcPr>
          <w:p w14:paraId="5AA6ACF3" w14:textId="77777777" w:rsidR="004E48FF" w:rsidRDefault="004E48FF" w:rsidP="00CD4A18">
            <w:pPr>
              <w:jc w:val="center"/>
              <w:rPr>
                <w:rFonts w:ascii="Arial" w:hAnsi="Arial" w:cs="Arial"/>
                <w:sz w:val="18"/>
                <w:szCs w:val="18"/>
              </w:rPr>
            </w:pPr>
            <w:r>
              <w:rPr>
                <w:rFonts w:ascii="Arial" w:hAnsi="Arial" w:cs="Arial"/>
                <w:sz w:val="18"/>
                <w:szCs w:val="18"/>
              </w:rPr>
              <w:t>2017</w:t>
            </w:r>
          </w:p>
        </w:tc>
        <w:tc>
          <w:tcPr>
            <w:tcW w:w="713" w:type="dxa"/>
            <w:vAlign w:val="center"/>
          </w:tcPr>
          <w:p w14:paraId="4745BFD1" w14:textId="77777777" w:rsidR="004E48FF" w:rsidRDefault="004E48FF" w:rsidP="00CD4A18">
            <w:pPr>
              <w:jc w:val="center"/>
              <w:rPr>
                <w:rFonts w:ascii="Arial" w:hAnsi="Arial" w:cs="Arial"/>
                <w:sz w:val="18"/>
                <w:szCs w:val="18"/>
              </w:rPr>
            </w:pPr>
            <w:r>
              <w:rPr>
                <w:rFonts w:ascii="Arial" w:hAnsi="Arial" w:cs="Arial"/>
                <w:sz w:val="18"/>
                <w:szCs w:val="18"/>
              </w:rPr>
              <w:t>1</w:t>
            </w:r>
          </w:p>
        </w:tc>
        <w:tc>
          <w:tcPr>
            <w:tcW w:w="3872" w:type="dxa"/>
            <w:vAlign w:val="center"/>
          </w:tcPr>
          <w:p w14:paraId="59DC9116" w14:textId="77777777" w:rsidR="004E48FF" w:rsidRDefault="004E48FF" w:rsidP="00CD4A18">
            <w:pPr>
              <w:jc w:val="both"/>
              <w:rPr>
                <w:rFonts w:ascii="Arial" w:hAnsi="Arial" w:cs="Arial"/>
                <w:sz w:val="18"/>
                <w:szCs w:val="18"/>
              </w:rPr>
            </w:pPr>
            <w:r w:rsidRPr="00625330">
              <w:rPr>
                <w:rFonts w:ascii="Arial" w:hAnsi="Arial" w:cs="Arial"/>
                <w:sz w:val="18"/>
                <w:szCs w:val="18"/>
              </w:rPr>
              <w:t>Comunicación de SUNAT remitiendo el informe elaborado por el equipo sobre elaboración de perfiles de riesgo en el cumplimiento de las obligaciones tributarias.</w:t>
            </w:r>
          </w:p>
        </w:tc>
        <w:tc>
          <w:tcPr>
            <w:tcW w:w="1260" w:type="dxa"/>
            <w:vAlign w:val="center"/>
          </w:tcPr>
          <w:p w14:paraId="7DB6E2DD" w14:textId="77777777" w:rsidR="004E48FF" w:rsidRDefault="004E48FF" w:rsidP="00CD4A18">
            <w:pPr>
              <w:jc w:val="center"/>
              <w:rPr>
                <w:rFonts w:ascii="Arial" w:hAnsi="Arial" w:cs="Arial"/>
                <w:sz w:val="18"/>
                <w:szCs w:val="18"/>
              </w:rPr>
            </w:pPr>
            <w:r>
              <w:rPr>
                <w:rFonts w:ascii="Arial" w:hAnsi="Arial" w:cs="Arial"/>
                <w:sz w:val="18"/>
                <w:szCs w:val="18"/>
              </w:rPr>
              <w:t>SUNAT</w:t>
            </w:r>
          </w:p>
        </w:tc>
      </w:tr>
      <w:tr w:rsidR="004E48FF" w:rsidRPr="00B019CC" w14:paraId="2E4A6C93" w14:textId="77777777" w:rsidTr="00504DB1">
        <w:trPr>
          <w:trHeight w:val="720"/>
          <w:jc w:val="center"/>
        </w:trPr>
        <w:tc>
          <w:tcPr>
            <w:tcW w:w="4221" w:type="dxa"/>
            <w:vAlign w:val="center"/>
          </w:tcPr>
          <w:p w14:paraId="28CEDBB7" w14:textId="528CCD3C" w:rsidR="004E48FF" w:rsidRDefault="004E48FF" w:rsidP="00FD0DF7">
            <w:pPr>
              <w:pStyle w:val="ListParagraph"/>
              <w:numPr>
                <w:ilvl w:val="0"/>
                <w:numId w:val="13"/>
              </w:numPr>
              <w:ind w:left="420"/>
              <w:jc w:val="both"/>
              <w:rPr>
                <w:rFonts w:ascii="Arial" w:hAnsi="Arial" w:cs="Arial"/>
                <w:spacing w:val="-2"/>
                <w:sz w:val="18"/>
                <w:szCs w:val="18"/>
              </w:rPr>
            </w:pPr>
            <w:r>
              <w:rPr>
                <w:rFonts w:ascii="Arial" w:hAnsi="Arial" w:cs="Arial"/>
                <w:spacing w:val="-2"/>
                <w:sz w:val="18"/>
                <w:szCs w:val="18"/>
              </w:rPr>
              <w:t>D</w:t>
            </w:r>
            <w:r w:rsidRPr="00565A78">
              <w:rPr>
                <w:rFonts w:ascii="Arial" w:hAnsi="Arial" w:cs="Arial"/>
                <w:spacing w:val="-2"/>
                <w:sz w:val="18"/>
                <w:szCs w:val="18"/>
              </w:rPr>
              <w:t>iagnóstico de las brechas en tecnología y seguridad de la información</w:t>
            </w:r>
            <w:r w:rsidR="0065687D">
              <w:rPr>
                <w:rFonts w:ascii="Arial" w:hAnsi="Arial" w:cs="Arial"/>
                <w:spacing w:val="-2"/>
                <w:sz w:val="18"/>
                <w:szCs w:val="18"/>
              </w:rPr>
              <w:t>.</w:t>
            </w:r>
          </w:p>
        </w:tc>
        <w:tc>
          <w:tcPr>
            <w:tcW w:w="1619" w:type="dxa"/>
            <w:vAlign w:val="center"/>
          </w:tcPr>
          <w:p w14:paraId="22CFCD3B" w14:textId="77777777" w:rsidR="004E48FF" w:rsidRDefault="004E48FF" w:rsidP="00CD4A18">
            <w:pPr>
              <w:jc w:val="center"/>
              <w:rPr>
                <w:rFonts w:ascii="Arial" w:hAnsi="Arial" w:cs="Arial"/>
                <w:sz w:val="18"/>
                <w:szCs w:val="18"/>
              </w:rPr>
            </w:pPr>
            <w:r>
              <w:rPr>
                <w:rFonts w:ascii="Arial" w:hAnsi="Arial" w:cs="Arial"/>
                <w:sz w:val="18"/>
                <w:szCs w:val="18"/>
              </w:rPr>
              <w:t>Diagnóstico aprobado</w:t>
            </w:r>
          </w:p>
        </w:tc>
        <w:tc>
          <w:tcPr>
            <w:tcW w:w="640" w:type="dxa"/>
            <w:vAlign w:val="center"/>
          </w:tcPr>
          <w:p w14:paraId="19010A6E" w14:textId="77777777" w:rsidR="004E48FF" w:rsidRDefault="004E48FF" w:rsidP="00CD4A18">
            <w:pPr>
              <w:jc w:val="center"/>
              <w:rPr>
                <w:rFonts w:ascii="Arial" w:hAnsi="Arial" w:cs="Arial"/>
                <w:sz w:val="18"/>
                <w:szCs w:val="18"/>
              </w:rPr>
            </w:pPr>
            <w:r>
              <w:rPr>
                <w:rFonts w:ascii="Arial" w:hAnsi="Arial" w:cs="Arial"/>
                <w:sz w:val="18"/>
                <w:szCs w:val="18"/>
              </w:rPr>
              <w:t>0</w:t>
            </w:r>
          </w:p>
        </w:tc>
        <w:tc>
          <w:tcPr>
            <w:tcW w:w="810" w:type="dxa"/>
            <w:vAlign w:val="center"/>
          </w:tcPr>
          <w:p w14:paraId="57F9E810" w14:textId="77777777" w:rsidR="004E48FF" w:rsidRDefault="004E48FF" w:rsidP="00CD4A18">
            <w:pPr>
              <w:jc w:val="center"/>
              <w:rPr>
                <w:rFonts w:ascii="Arial" w:hAnsi="Arial" w:cs="Arial"/>
                <w:sz w:val="18"/>
                <w:szCs w:val="18"/>
              </w:rPr>
            </w:pPr>
            <w:r>
              <w:rPr>
                <w:rFonts w:ascii="Arial" w:hAnsi="Arial" w:cs="Arial"/>
                <w:sz w:val="18"/>
                <w:szCs w:val="18"/>
              </w:rPr>
              <w:t>2017</w:t>
            </w:r>
          </w:p>
        </w:tc>
        <w:tc>
          <w:tcPr>
            <w:tcW w:w="713" w:type="dxa"/>
            <w:vAlign w:val="center"/>
          </w:tcPr>
          <w:p w14:paraId="2948A04E" w14:textId="77777777" w:rsidR="004E48FF" w:rsidRDefault="004E48FF" w:rsidP="00CD4A18">
            <w:pPr>
              <w:jc w:val="center"/>
              <w:rPr>
                <w:rFonts w:ascii="Arial" w:hAnsi="Arial" w:cs="Arial"/>
                <w:sz w:val="18"/>
                <w:szCs w:val="18"/>
              </w:rPr>
            </w:pPr>
            <w:r>
              <w:rPr>
                <w:rFonts w:ascii="Arial" w:hAnsi="Arial" w:cs="Arial"/>
                <w:sz w:val="18"/>
                <w:szCs w:val="18"/>
              </w:rPr>
              <w:t>1</w:t>
            </w:r>
          </w:p>
        </w:tc>
        <w:tc>
          <w:tcPr>
            <w:tcW w:w="3872" w:type="dxa"/>
            <w:vAlign w:val="center"/>
          </w:tcPr>
          <w:p w14:paraId="623A98CA" w14:textId="77777777" w:rsidR="004E48FF" w:rsidRDefault="004E48FF" w:rsidP="00CD4A18">
            <w:pPr>
              <w:jc w:val="both"/>
              <w:rPr>
                <w:rFonts w:ascii="Arial" w:hAnsi="Arial" w:cs="Arial"/>
                <w:sz w:val="18"/>
                <w:szCs w:val="18"/>
              </w:rPr>
            </w:pPr>
            <w:r w:rsidRPr="00625330">
              <w:rPr>
                <w:rFonts w:ascii="Arial" w:hAnsi="Arial" w:cs="Arial"/>
                <w:sz w:val="18"/>
                <w:szCs w:val="18"/>
              </w:rPr>
              <w:t>Comunicación de SUNAT remitiendo el documento del Foro Económico Global de la OCDE conteniendo el diagnóstico y el plan de trabajo para la implementación de los controles del cierre de brechas</w:t>
            </w:r>
          </w:p>
        </w:tc>
        <w:tc>
          <w:tcPr>
            <w:tcW w:w="1260" w:type="dxa"/>
            <w:vAlign w:val="center"/>
          </w:tcPr>
          <w:p w14:paraId="7D047005" w14:textId="77777777" w:rsidR="004E48FF" w:rsidRDefault="004E48FF" w:rsidP="00CD4A18">
            <w:pPr>
              <w:jc w:val="center"/>
              <w:rPr>
                <w:rFonts w:ascii="Arial" w:hAnsi="Arial" w:cs="Arial"/>
                <w:sz w:val="18"/>
                <w:szCs w:val="18"/>
              </w:rPr>
            </w:pPr>
            <w:r>
              <w:rPr>
                <w:rFonts w:ascii="Arial" w:hAnsi="Arial" w:cs="Arial"/>
                <w:sz w:val="18"/>
                <w:szCs w:val="18"/>
              </w:rPr>
              <w:t>SUNAT</w:t>
            </w:r>
          </w:p>
        </w:tc>
      </w:tr>
      <w:tr w:rsidR="004E48FF" w:rsidRPr="00B019CC" w14:paraId="571BA929" w14:textId="77777777" w:rsidTr="00504DB1">
        <w:trPr>
          <w:trHeight w:val="720"/>
          <w:jc w:val="center"/>
        </w:trPr>
        <w:tc>
          <w:tcPr>
            <w:tcW w:w="4221" w:type="dxa"/>
            <w:vAlign w:val="center"/>
          </w:tcPr>
          <w:p w14:paraId="78340782" w14:textId="122B21C1" w:rsidR="004E48FF" w:rsidRDefault="004E48FF" w:rsidP="00FD0DF7">
            <w:pPr>
              <w:pStyle w:val="ListParagraph"/>
              <w:numPr>
                <w:ilvl w:val="0"/>
                <w:numId w:val="13"/>
              </w:numPr>
              <w:ind w:left="420"/>
              <w:jc w:val="both"/>
              <w:rPr>
                <w:rFonts w:ascii="Arial" w:hAnsi="Arial" w:cs="Arial"/>
                <w:spacing w:val="-2"/>
                <w:sz w:val="18"/>
                <w:szCs w:val="18"/>
              </w:rPr>
            </w:pPr>
            <w:r>
              <w:rPr>
                <w:rFonts w:ascii="Arial" w:hAnsi="Arial" w:cs="Arial"/>
                <w:sz w:val="18"/>
              </w:rPr>
              <w:t>P</w:t>
            </w:r>
            <w:r w:rsidRPr="00625330">
              <w:rPr>
                <w:rFonts w:ascii="Arial" w:hAnsi="Arial" w:cs="Arial"/>
                <w:sz w:val="18"/>
              </w:rPr>
              <w:t>lan de trabajo para la implementación de los controles para el cierre de brechas en tecnología y seguridad de la información aprobado</w:t>
            </w:r>
            <w:r w:rsidR="00CB4E75">
              <w:rPr>
                <w:rFonts w:ascii="Arial" w:hAnsi="Arial" w:cs="Arial"/>
                <w:sz w:val="18"/>
              </w:rPr>
              <w:t>.</w:t>
            </w:r>
          </w:p>
        </w:tc>
        <w:tc>
          <w:tcPr>
            <w:tcW w:w="1619" w:type="dxa"/>
            <w:vAlign w:val="center"/>
          </w:tcPr>
          <w:p w14:paraId="7F110AB2" w14:textId="77777777" w:rsidR="004E48FF" w:rsidRDefault="004E48FF" w:rsidP="00CD4A18">
            <w:pPr>
              <w:jc w:val="center"/>
              <w:rPr>
                <w:rFonts w:ascii="Arial" w:hAnsi="Arial" w:cs="Arial"/>
                <w:sz w:val="18"/>
                <w:szCs w:val="18"/>
              </w:rPr>
            </w:pPr>
            <w:r>
              <w:rPr>
                <w:rFonts w:ascii="Arial" w:hAnsi="Arial" w:cs="Arial"/>
                <w:sz w:val="18"/>
                <w:szCs w:val="18"/>
              </w:rPr>
              <w:t>Plan de trabajo aprobado</w:t>
            </w:r>
          </w:p>
        </w:tc>
        <w:tc>
          <w:tcPr>
            <w:tcW w:w="640" w:type="dxa"/>
            <w:vAlign w:val="center"/>
          </w:tcPr>
          <w:p w14:paraId="4BD45443" w14:textId="77777777" w:rsidR="004E48FF" w:rsidRDefault="004E48FF" w:rsidP="00CD4A18">
            <w:pPr>
              <w:jc w:val="center"/>
              <w:rPr>
                <w:rFonts w:ascii="Arial" w:hAnsi="Arial" w:cs="Arial"/>
                <w:sz w:val="18"/>
                <w:szCs w:val="18"/>
              </w:rPr>
            </w:pPr>
            <w:r>
              <w:rPr>
                <w:rFonts w:ascii="Arial" w:hAnsi="Arial" w:cs="Arial"/>
                <w:sz w:val="18"/>
                <w:szCs w:val="18"/>
              </w:rPr>
              <w:t>0</w:t>
            </w:r>
          </w:p>
        </w:tc>
        <w:tc>
          <w:tcPr>
            <w:tcW w:w="810" w:type="dxa"/>
            <w:vAlign w:val="center"/>
          </w:tcPr>
          <w:p w14:paraId="2BB16316" w14:textId="77777777" w:rsidR="004E48FF" w:rsidRDefault="004E48FF" w:rsidP="00CD4A18">
            <w:pPr>
              <w:jc w:val="center"/>
              <w:rPr>
                <w:rFonts w:ascii="Arial" w:hAnsi="Arial" w:cs="Arial"/>
                <w:sz w:val="18"/>
                <w:szCs w:val="18"/>
              </w:rPr>
            </w:pPr>
            <w:r>
              <w:rPr>
                <w:rFonts w:ascii="Arial" w:hAnsi="Arial" w:cs="Arial"/>
                <w:sz w:val="18"/>
                <w:szCs w:val="18"/>
              </w:rPr>
              <w:t>2017</w:t>
            </w:r>
          </w:p>
        </w:tc>
        <w:tc>
          <w:tcPr>
            <w:tcW w:w="713" w:type="dxa"/>
            <w:vAlign w:val="center"/>
          </w:tcPr>
          <w:p w14:paraId="4F33072D" w14:textId="77777777" w:rsidR="004E48FF" w:rsidRDefault="004E48FF" w:rsidP="00CD4A18">
            <w:pPr>
              <w:jc w:val="center"/>
              <w:rPr>
                <w:rFonts w:ascii="Arial" w:hAnsi="Arial" w:cs="Arial"/>
                <w:sz w:val="18"/>
                <w:szCs w:val="18"/>
              </w:rPr>
            </w:pPr>
            <w:r>
              <w:rPr>
                <w:rFonts w:ascii="Arial" w:hAnsi="Arial" w:cs="Arial"/>
                <w:sz w:val="18"/>
                <w:szCs w:val="18"/>
              </w:rPr>
              <w:t>1</w:t>
            </w:r>
          </w:p>
        </w:tc>
        <w:tc>
          <w:tcPr>
            <w:tcW w:w="3872" w:type="dxa"/>
            <w:vAlign w:val="center"/>
          </w:tcPr>
          <w:p w14:paraId="73A72E6C" w14:textId="77777777" w:rsidR="004E48FF" w:rsidRPr="00625330" w:rsidRDefault="004E48FF" w:rsidP="00CD4A18">
            <w:pPr>
              <w:jc w:val="both"/>
              <w:rPr>
                <w:rFonts w:ascii="Arial" w:hAnsi="Arial" w:cs="Arial"/>
                <w:sz w:val="18"/>
                <w:szCs w:val="18"/>
              </w:rPr>
            </w:pPr>
            <w:r w:rsidRPr="00625330">
              <w:rPr>
                <w:rFonts w:ascii="Arial" w:hAnsi="Arial" w:cs="Arial"/>
                <w:sz w:val="18"/>
                <w:szCs w:val="18"/>
              </w:rPr>
              <w:t>Comunicación de SUNAT remitiendo el documento del Foro Económico Global de la OCDE conteniendo el diagnóstico y el plan de trabajo para la implementación de los controles del cierre de brechas</w:t>
            </w:r>
          </w:p>
        </w:tc>
        <w:tc>
          <w:tcPr>
            <w:tcW w:w="1260" w:type="dxa"/>
            <w:vAlign w:val="center"/>
          </w:tcPr>
          <w:p w14:paraId="6FACE6B5" w14:textId="77777777" w:rsidR="004E48FF" w:rsidRDefault="004E48FF" w:rsidP="00CD4A18">
            <w:pPr>
              <w:jc w:val="center"/>
              <w:rPr>
                <w:rFonts w:ascii="Arial" w:hAnsi="Arial" w:cs="Arial"/>
                <w:sz w:val="18"/>
                <w:szCs w:val="18"/>
              </w:rPr>
            </w:pPr>
            <w:r>
              <w:rPr>
                <w:rFonts w:ascii="Arial" w:hAnsi="Arial" w:cs="Arial"/>
                <w:sz w:val="18"/>
                <w:szCs w:val="18"/>
              </w:rPr>
              <w:t>SUNAT</w:t>
            </w:r>
          </w:p>
        </w:tc>
      </w:tr>
    </w:tbl>
    <w:p w14:paraId="4A35ADE6" w14:textId="77777777" w:rsidR="00CB4E75" w:rsidRDefault="00CB4E75">
      <w:r>
        <w:br w:type="page"/>
      </w:r>
    </w:p>
    <w:tbl>
      <w:tblPr>
        <w:tblW w:w="131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21"/>
        <w:gridCol w:w="1619"/>
        <w:gridCol w:w="640"/>
        <w:gridCol w:w="810"/>
        <w:gridCol w:w="713"/>
        <w:gridCol w:w="3872"/>
        <w:gridCol w:w="1260"/>
      </w:tblGrid>
      <w:tr w:rsidR="004E48FF" w:rsidRPr="00B019CC" w14:paraId="2B316A1B" w14:textId="77777777" w:rsidTr="00504DB1">
        <w:trPr>
          <w:trHeight w:val="287"/>
          <w:jc w:val="center"/>
        </w:trPr>
        <w:tc>
          <w:tcPr>
            <w:tcW w:w="13135" w:type="dxa"/>
            <w:gridSpan w:val="7"/>
            <w:shd w:val="clear" w:color="auto" w:fill="D9D9D9" w:themeFill="background1" w:themeFillShade="D9"/>
            <w:vAlign w:val="center"/>
          </w:tcPr>
          <w:p w14:paraId="5B356A07" w14:textId="427CD64A" w:rsidR="004E48FF" w:rsidRPr="00B019CC" w:rsidRDefault="004E48FF" w:rsidP="00CD4A18">
            <w:pPr>
              <w:rPr>
                <w:rFonts w:ascii="Arial" w:hAnsi="Arial" w:cs="Arial"/>
                <w:sz w:val="18"/>
                <w:szCs w:val="18"/>
              </w:rPr>
            </w:pPr>
            <w:r>
              <w:rPr>
                <w:rFonts w:ascii="Arial" w:hAnsi="Arial" w:cs="Arial"/>
                <w:b/>
                <w:sz w:val="18"/>
                <w:szCs w:val="18"/>
              </w:rPr>
              <w:t>Componente</w:t>
            </w:r>
            <w:r w:rsidRPr="00083F8C">
              <w:rPr>
                <w:rFonts w:ascii="Arial" w:hAnsi="Arial" w:cs="Arial"/>
                <w:b/>
                <w:sz w:val="18"/>
                <w:szCs w:val="18"/>
              </w:rPr>
              <w:t xml:space="preserve"> </w:t>
            </w:r>
            <w:r>
              <w:rPr>
                <w:rFonts w:ascii="Arial" w:hAnsi="Arial" w:cs="Arial"/>
                <w:b/>
                <w:sz w:val="18"/>
                <w:szCs w:val="18"/>
              </w:rPr>
              <w:t>6</w:t>
            </w:r>
            <w:r w:rsidRPr="00083F8C">
              <w:rPr>
                <w:rFonts w:ascii="Arial" w:hAnsi="Arial" w:cs="Arial"/>
                <w:b/>
                <w:sz w:val="18"/>
                <w:szCs w:val="18"/>
              </w:rPr>
              <w:t xml:space="preserve">. </w:t>
            </w:r>
            <w:r>
              <w:rPr>
                <w:rFonts w:ascii="Arial" w:hAnsi="Arial" w:cs="Arial"/>
                <w:b/>
                <w:sz w:val="18"/>
                <w:szCs w:val="18"/>
              </w:rPr>
              <w:t>Mejorar la coordinación interinstitucional</w:t>
            </w:r>
          </w:p>
        </w:tc>
      </w:tr>
      <w:tr w:rsidR="004E48FF" w:rsidRPr="00B019CC" w14:paraId="273E76A6" w14:textId="77777777" w:rsidTr="00504DB1">
        <w:trPr>
          <w:trHeight w:val="720"/>
          <w:jc w:val="center"/>
        </w:trPr>
        <w:tc>
          <w:tcPr>
            <w:tcW w:w="4221" w:type="dxa"/>
            <w:vAlign w:val="center"/>
          </w:tcPr>
          <w:p w14:paraId="21C0664D" w14:textId="77777777" w:rsidR="004E48FF" w:rsidRDefault="004E48FF" w:rsidP="00FD0DF7">
            <w:pPr>
              <w:pStyle w:val="ListParagraph"/>
              <w:numPr>
                <w:ilvl w:val="0"/>
                <w:numId w:val="13"/>
              </w:numPr>
              <w:ind w:left="420"/>
              <w:jc w:val="both"/>
              <w:rPr>
                <w:rFonts w:ascii="Arial" w:hAnsi="Arial" w:cs="Arial"/>
                <w:spacing w:val="-2"/>
                <w:sz w:val="18"/>
                <w:szCs w:val="18"/>
              </w:rPr>
            </w:pPr>
            <w:r>
              <w:rPr>
                <w:rFonts w:ascii="Arial" w:hAnsi="Arial" w:cs="Arial"/>
                <w:spacing w:val="-2"/>
                <w:sz w:val="18"/>
                <w:szCs w:val="18"/>
              </w:rPr>
              <w:t>Propuesta de identificación de principales ejes para impulsar la competitividad y productividad</w:t>
            </w:r>
          </w:p>
        </w:tc>
        <w:tc>
          <w:tcPr>
            <w:tcW w:w="1619" w:type="dxa"/>
            <w:vAlign w:val="center"/>
          </w:tcPr>
          <w:p w14:paraId="6D215F4D" w14:textId="77777777" w:rsidR="004E48FF" w:rsidRDefault="004E48FF" w:rsidP="00CD4A18">
            <w:pPr>
              <w:jc w:val="center"/>
              <w:rPr>
                <w:rFonts w:ascii="Arial" w:hAnsi="Arial" w:cs="Arial"/>
                <w:sz w:val="18"/>
                <w:szCs w:val="18"/>
              </w:rPr>
            </w:pPr>
            <w:r>
              <w:rPr>
                <w:rFonts w:ascii="Arial" w:hAnsi="Arial" w:cs="Arial"/>
                <w:sz w:val="18"/>
                <w:szCs w:val="18"/>
              </w:rPr>
              <w:t>Propuesta publicada</w:t>
            </w:r>
          </w:p>
        </w:tc>
        <w:tc>
          <w:tcPr>
            <w:tcW w:w="640" w:type="dxa"/>
            <w:vAlign w:val="center"/>
          </w:tcPr>
          <w:p w14:paraId="34520A2E" w14:textId="77777777" w:rsidR="004E48FF" w:rsidRDefault="004E48FF" w:rsidP="00CD4A18">
            <w:pPr>
              <w:jc w:val="center"/>
              <w:rPr>
                <w:rFonts w:ascii="Arial" w:hAnsi="Arial" w:cs="Arial"/>
                <w:sz w:val="18"/>
                <w:szCs w:val="18"/>
              </w:rPr>
            </w:pPr>
            <w:r>
              <w:rPr>
                <w:rFonts w:ascii="Arial" w:hAnsi="Arial" w:cs="Arial"/>
                <w:sz w:val="18"/>
                <w:szCs w:val="18"/>
              </w:rPr>
              <w:t>0</w:t>
            </w:r>
          </w:p>
        </w:tc>
        <w:tc>
          <w:tcPr>
            <w:tcW w:w="810" w:type="dxa"/>
            <w:vAlign w:val="center"/>
          </w:tcPr>
          <w:p w14:paraId="4A5D4E44" w14:textId="77777777" w:rsidR="004E48FF" w:rsidRDefault="004E48FF" w:rsidP="00CD4A18">
            <w:pPr>
              <w:jc w:val="center"/>
              <w:rPr>
                <w:rFonts w:ascii="Arial" w:hAnsi="Arial" w:cs="Arial"/>
                <w:sz w:val="18"/>
                <w:szCs w:val="18"/>
              </w:rPr>
            </w:pPr>
            <w:r w:rsidRPr="00B019CC">
              <w:rPr>
                <w:rFonts w:ascii="Arial" w:hAnsi="Arial" w:cs="Arial"/>
                <w:sz w:val="18"/>
                <w:szCs w:val="18"/>
              </w:rPr>
              <w:t>201</w:t>
            </w:r>
            <w:r>
              <w:rPr>
                <w:rFonts w:ascii="Arial" w:hAnsi="Arial" w:cs="Arial"/>
                <w:sz w:val="18"/>
                <w:szCs w:val="18"/>
              </w:rPr>
              <w:t>7</w:t>
            </w:r>
          </w:p>
        </w:tc>
        <w:tc>
          <w:tcPr>
            <w:tcW w:w="713" w:type="dxa"/>
            <w:vAlign w:val="center"/>
          </w:tcPr>
          <w:p w14:paraId="78907272" w14:textId="77777777" w:rsidR="004E48FF" w:rsidRDefault="004E48FF" w:rsidP="00CD4A18">
            <w:pPr>
              <w:jc w:val="center"/>
              <w:rPr>
                <w:rFonts w:ascii="Arial" w:hAnsi="Arial" w:cs="Arial"/>
                <w:sz w:val="18"/>
                <w:szCs w:val="18"/>
              </w:rPr>
            </w:pPr>
            <w:r>
              <w:rPr>
                <w:rFonts w:ascii="Arial" w:hAnsi="Arial" w:cs="Arial"/>
                <w:sz w:val="18"/>
                <w:szCs w:val="18"/>
              </w:rPr>
              <w:t>1</w:t>
            </w:r>
          </w:p>
        </w:tc>
        <w:tc>
          <w:tcPr>
            <w:tcW w:w="3872" w:type="dxa"/>
            <w:vAlign w:val="center"/>
          </w:tcPr>
          <w:p w14:paraId="58838742" w14:textId="77777777" w:rsidR="004E48FF" w:rsidRDefault="004E48FF" w:rsidP="00CD4A18">
            <w:pPr>
              <w:jc w:val="both"/>
              <w:rPr>
                <w:rFonts w:ascii="Arial" w:hAnsi="Arial" w:cs="Arial"/>
                <w:sz w:val="18"/>
                <w:szCs w:val="18"/>
              </w:rPr>
            </w:pPr>
            <w:r>
              <w:rPr>
                <w:rFonts w:ascii="Arial" w:hAnsi="Arial" w:cs="Arial"/>
                <w:sz w:val="18"/>
                <w:szCs w:val="18"/>
              </w:rPr>
              <w:t>Comunicación del CNCF remitiendo el documento de “P</w:t>
            </w:r>
            <w:r w:rsidRPr="009111B9">
              <w:rPr>
                <w:rFonts w:ascii="Arial" w:hAnsi="Arial" w:cs="Arial"/>
                <w:sz w:val="18"/>
                <w:szCs w:val="18"/>
              </w:rPr>
              <w:t>ropuesta de Ejes para impulsar la productividad y competitividad</w:t>
            </w:r>
            <w:r>
              <w:rPr>
                <w:rFonts w:ascii="Arial" w:hAnsi="Arial" w:cs="Arial"/>
                <w:sz w:val="18"/>
                <w:szCs w:val="18"/>
              </w:rPr>
              <w:t>”</w:t>
            </w:r>
            <w:r w:rsidRPr="009111B9">
              <w:rPr>
                <w:rFonts w:ascii="Arial" w:hAnsi="Arial" w:cs="Arial"/>
                <w:sz w:val="18"/>
                <w:szCs w:val="18"/>
              </w:rPr>
              <w:t>.</w:t>
            </w:r>
          </w:p>
        </w:tc>
        <w:tc>
          <w:tcPr>
            <w:tcW w:w="1260" w:type="dxa"/>
            <w:vAlign w:val="center"/>
          </w:tcPr>
          <w:p w14:paraId="48E8D4F4" w14:textId="77777777" w:rsidR="004E48FF" w:rsidRDefault="004E48FF" w:rsidP="00CD4A18">
            <w:pPr>
              <w:jc w:val="center"/>
              <w:rPr>
                <w:rFonts w:ascii="Arial" w:hAnsi="Arial" w:cs="Arial"/>
                <w:sz w:val="18"/>
                <w:szCs w:val="18"/>
              </w:rPr>
            </w:pPr>
            <w:r>
              <w:rPr>
                <w:rFonts w:ascii="Arial" w:hAnsi="Arial" w:cs="Arial"/>
                <w:sz w:val="18"/>
                <w:szCs w:val="18"/>
              </w:rPr>
              <w:t>MEF</w:t>
            </w:r>
          </w:p>
        </w:tc>
      </w:tr>
      <w:tr w:rsidR="004E48FF" w:rsidRPr="00B019CC" w14:paraId="76D6DFBD" w14:textId="77777777" w:rsidTr="00504DB1">
        <w:trPr>
          <w:trHeight w:val="720"/>
          <w:jc w:val="center"/>
        </w:trPr>
        <w:tc>
          <w:tcPr>
            <w:tcW w:w="4221" w:type="dxa"/>
            <w:tcBorders>
              <w:bottom w:val="single" w:sz="4" w:space="0" w:color="000000"/>
            </w:tcBorders>
            <w:vAlign w:val="center"/>
          </w:tcPr>
          <w:p w14:paraId="225A8843" w14:textId="77777777" w:rsidR="004E48FF" w:rsidRDefault="004E48FF" w:rsidP="00FD0DF7">
            <w:pPr>
              <w:pStyle w:val="ListParagraph"/>
              <w:numPr>
                <w:ilvl w:val="0"/>
                <w:numId w:val="13"/>
              </w:numPr>
              <w:ind w:left="420"/>
              <w:jc w:val="both"/>
              <w:rPr>
                <w:rFonts w:ascii="Arial" w:hAnsi="Arial" w:cs="Arial"/>
                <w:spacing w:val="-2"/>
                <w:sz w:val="18"/>
                <w:szCs w:val="18"/>
              </w:rPr>
            </w:pPr>
            <w:r>
              <w:rPr>
                <w:rFonts w:ascii="Arial" w:hAnsi="Arial" w:cs="Arial"/>
                <w:spacing w:val="-2"/>
                <w:sz w:val="18"/>
                <w:szCs w:val="18"/>
              </w:rPr>
              <w:t>Convocatoria para elaboración de hojas de ruta tecnológicas aprobada</w:t>
            </w:r>
          </w:p>
        </w:tc>
        <w:tc>
          <w:tcPr>
            <w:tcW w:w="1619" w:type="dxa"/>
            <w:tcBorders>
              <w:bottom w:val="single" w:sz="4" w:space="0" w:color="000000"/>
            </w:tcBorders>
            <w:vAlign w:val="center"/>
          </w:tcPr>
          <w:p w14:paraId="062A3089" w14:textId="77777777" w:rsidR="004E48FF" w:rsidRDefault="004E48FF" w:rsidP="00CD4A18">
            <w:pPr>
              <w:jc w:val="center"/>
              <w:rPr>
                <w:rFonts w:ascii="Arial" w:hAnsi="Arial" w:cs="Arial"/>
                <w:sz w:val="18"/>
                <w:szCs w:val="18"/>
              </w:rPr>
            </w:pPr>
            <w:r>
              <w:rPr>
                <w:rFonts w:ascii="Arial" w:hAnsi="Arial" w:cs="Arial"/>
                <w:sz w:val="18"/>
                <w:szCs w:val="18"/>
              </w:rPr>
              <w:t>Hojas de Ruta Tecnológica con convocatoria aprobada</w:t>
            </w:r>
          </w:p>
        </w:tc>
        <w:tc>
          <w:tcPr>
            <w:tcW w:w="640" w:type="dxa"/>
            <w:tcBorders>
              <w:bottom w:val="single" w:sz="4" w:space="0" w:color="000000"/>
            </w:tcBorders>
            <w:vAlign w:val="center"/>
          </w:tcPr>
          <w:p w14:paraId="1B94A21B" w14:textId="77777777" w:rsidR="004E48FF" w:rsidRDefault="004E48FF" w:rsidP="00CD4A18">
            <w:pPr>
              <w:jc w:val="center"/>
              <w:rPr>
                <w:rFonts w:ascii="Arial" w:hAnsi="Arial" w:cs="Arial"/>
                <w:sz w:val="18"/>
                <w:szCs w:val="18"/>
              </w:rPr>
            </w:pPr>
            <w:r>
              <w:rPr>
                <w:rFonts w:ascii="Arial" w:hAnsi="Arial" w:cs="Arial"/>
                <w:sz w:val="18"/>
                <w:szCs w:val="18"/>
              </w:rPr>
              <w:t>0</w:t>
            </w:r>
          </w:p>
        </w:tc>
        <w:tc>
          <w:tcPr>
            <w:tcW w:w="810" w:type="dxa"/>
            <w:tcBorders>
              <w:bottom w:val="single" w:sz="4" w:space="0" w:color="000000"/>
            </w:tcBorders>
            <w:vAlign w:val="center"/>
          </w:tcPr>
          <w:p w14:paraId="301BB156" w14:textId="77777777" w:rsidR="004E48FF" w:rsidRPr="00B019CC" w:rsidRDefault="004E48FF" w:rsidP="00CD4A18">
            <w:pPr>
              <w:jc w:val="center"/>
              <w:rPr>
                <w:rFonts w:ascii="Arial" w:hAnsi="Arial" w:cs="Arial"/>
                <w:sz w:val="18"/>
                <w:szCs w:val="18"/>
              </w:rPr>
            </w:pPr>
            <w:r>
              <w:rPr>
                <w:rFonts w:ascii="Arial" w:hAnsi="Arial" w:cs="Arial"/>
                <w:sz w:val="18"/>
                <w:szCs w:val="18"/>
              </w:rPr>
              <w:t>2017</w:t>
            </w:r>
          </w:p>
        </w:tc>
        <w:tc>
          <w:tcPr>
            <w:tcW w:w="713" w:type="dxa"/>
            <w:tcBorders>
              <w:bottom w:val="single" w:sz="4" w:space="0" w:color="000000"/>
            </w:tcBorders>
            <w:vAlign w:val="center"/>
          </w:tcPr>
          <w:p w14:paraId="316F0DAE" w14:textId="77777777" w:rsidR="004E48FF" w:rsidRDefault="004E48FF" w:rsidP="00CD4A18">
            <w:pPr>
              <w:jc w:val="center"/>
              <w:rPr>
                <w:rFonts w:ascii="Arial" w:hAnsi="Arial" w:cs="Arial"/>
                <w:sz w:val="18"/>
                <w:szCs w:val="18"/>
              </w:rPr>
            </w:pPr>
            <w:r>
              <w:rPr>
                <w:rFonts w:ascii="Arial" w:hAnsi="Arial" w:cs="Arial"/>
                <w:sz w:val="18"/>
                <w:szCs w:val="18"/>
              </w:rPr>
              <w:t>2</w:t>
            </w:r>
          </w:p>
        </w:tc>
        <w:tc>
          <w:tcPr>
            <w:tcW w:w="3872" w:type="dxa"/>
            <w:tcBorders>
              <w:bottom w:val="single" w:sz="4" w:space="0" w:color="000000"/>
            </w:tcBorders>
            <w:vAlign w:val="center"/>
          </w:tcPr>
          <w:p w14:paraId="0C6C9319" w14:textId="77777777" w:rsidR="004E48FF" w:rsidRDefault="004E48FF" w:rsidP="00CD4A18">
            <w:pPr>
              <w:jc w:val="both"/>
              <w:rPr>
                <w:rFonts w:ascii="Arial" w:hAnsi="Arial" w:cs="Arial"/>
                <w:sz w:val="18"/>
                <w:szCs w:val="18"/>
              </w:rPr>
            </w:pPr>
            <w:r w:rsidRPr="00745967">
              <w:rPr>
                <w:rFonts w:ascii="Arial" w:hAnsi="Arial" w:cs="Arial"/>
                <w:sz w:val="18"/>
                <w:szCs w:val="18"/>
              </w:rPr>
              <w:t>Comunicación de INNOVATE remitiendo el Acta del Consejo Directivo aprobando la convocatoria de la contratación</w:t>
            </w:r>
          </w:p>
        </w:tc>
        <w:tc>
          <w:tcPr>
            <w:tcW w:w="1260" w:type="dxa"/>
            <w:tcBorders>
              <w:bottom w:val="single" w:sz="4" w:space="0" w:color="000000"/>
            </w:tcBorders>
            <w:vAlign w:val="center"/>
          </w:tcPr>
          <w:p w14:paraId="3C53D31D" w14:textId="77777777" w:rsidR="004E48FF" w:rsidRDefault="004E48FF" w:rsidP="00CD4A18">
            <w:pPr>
              <w:jc w:val="center"/>
              <w:rPr>
                <w:rFonts w:ascii="Arial" w:hAnsi="Arial" w:cs="Arial"/>
                <w:sz w:val="18"/>
                <w:szCs w:val="18"/>
              </w:rPr>
            </w:pPr>
            <w:r>
              <w:rPr>
                <w:rFonts w:ascii="Arial" w:hAnsi="Arial" w:cs="Arial"/>
                <w:sz w:val="18"/>
                <w:szCs w:val="18"/>
              </w:rPr>
              <w:t>PRODUCE</w:t>
            </w:r>
          </w:p>
        </w:tc>
      </w:tr>
    </w:tbl>
    <w:p w14:paraId="301220C1" w14:textId="77777777" w:rsidR="004E48FF" w:rsidRDefault="004E48FF" w:rsidP="006F1EEF">
      <w:pPr>
        <w:pStyle w:val="AutoNumpara"/>
        <w:numPr>
          <w:ilvl w:val="0"/>
          <w:numId w:val="0"/>
        </w:numPr>
        <w:spacing w:before="0" w:after="0"/>
        <w:ind w:left="720"/>
        <w:rPr>
          <w:rFonts w:ascii="Arial" w:hAnsi="Arial" w:cs="Arial"/>
          <w:b/>
          <w:sz w:val="22"/>
        </w:rPr>
      </w:pPr>
    </w:p>
    <w:bookmarkEnd w:id="4"/>
    <w:p w14:paraId="128F5AD8" w14:textId="77777777" w:rsidR="005C3BC2" w:rsidRDefault="005C3BC2" w:rsidP="005C3BC2">
      <w:pPr>
        <w:pStyle w:val="AutoNumpara"/>
        <w:numPr>
          <w:ilvl w:val="0"/>
          <w:numId w:val="0"/>
        </w:numPr>
        <w:spacing w:before="0" w:after="0"/>
        <w:ind w:left="-630"/>
        <w:jc w:val="left"/>
        <w:rPr>
          <w:rFonts w:ascii="Arial" w:hAnsi="Arial" w:cs="Arial"/>
          <w:sz w:val="20"/>
          <w:szCs w:val="22"/>
          <w:lang w:val="es-ES"/>
        </w:rPr>
      </w:pPr>
    </w:p>
    <w:p w14:paraId="4F149A68" w14:textId="4E50E7BE" w:rsidR="00D5554A" w:rsidRPr="00E70BFB" w:rsidRDefault="00776A25" w:rsidP="00E70BFB">
      <w:pPr>
        <w:jc w:val="both"/>
        <w:rPr>
          <w:rFonts w:ascii="Arial" w:hAnsi="Arial" w:cs="Arial"/>
          <w:spacing w:val="0"/>
          <w:sz w:val="18"/>
          <w:szCs w:val="18"/>
          <w:lang w:val="en-US"/>
        </w:rPr>
      </w:pPr>
      <w:bookmarkStart w:id="6" w:name="_Hlk525903864"/>
      <w:r w:rsidRPr="00E70BFB">
        <w:rPr>
          <w:rFonts w:ascii="Arial" w:hAnsi="Arial" w:cs="Arial"/>
          <w:sz w:val="18"/>
          <w:szCs w:val="18"/>
          <w:lang w:val="en-US"/>
        </w:rPr>
        <w:t xml:space="preserve">* </w:t>
      </w:r>
      <w:r w:rsidR="00E70BFB" w:rsidRPr="00E70BFB">
        <w:rPr>
          <w:rFonts w:ascii="Arial" w:hAnsi="Arial" w:cs="Arial"/>
          <w:sz w:val="18"/>
          <w:szCs w:val="18"/>
          <w:lang w:val="en-US"/>
        </w:rPr>
        <w:t>E</w:t>
      </w:r>
      <w:r w:rsidR="00D5554A" w:rsidRPr="00E70BFB">
        <w:rPr>
          <w:rFonts w:ascii="Arial" w:hAnsi="Arial" w:cs="Arial"/>
          <w:sz w:val="18"/>
          <w:szCs w:val="18"/>
          <w:lang w:val="en-US"/>
        </w:rPr>
        <w:t xml:space="preserve">ste </w:t>
      </w:r>
      <w:proofErr w:type="spellStart"/>
      <w:r w:rsidR="00D5554A" w:rsidRPr="00E70BFB">
        <w:rPr>
          <w:rFonts w:ascii="Arial" w:hAnsi="Arial" w:cs="Arial"/>
          <w:sz w:val="18"/>
          <w:szCs w:val="18"/>
          <w:lang w:val="en-US"/>
        </w:rPr>
        <w:t>indicador</w:t>
      </w:r>
      <w:proofErr w:type="spellEnd"/>
      <w:r w:rsidR="00D5554A" w:rsidRPr="00E70BFB">
        <w:rPr>
          <w:rFonts w:ascii="Arial" w:hAnsi="Arial" w:cs="Arial"/>
          <w:sz w:val="18"/>
          <w:szCs w:val="18"/>
          <w:lang w:val="en-US"/>
        </w:rPr>
        <w:t xml:space="preserve"> </w:t>
      </w:r>
      <w:proofErr w:type="spellStart"/>
      <w:r w:rsidR="00D5554A" w:rsidRPr="00E70BFB">
        <w:rPr>
          <w:rFonts w:ascii="Arial" w:hAnsi="Arial" w:cs="Arial"/>
          <w:sz w:val="18"/>
          <w:szCs w:val="18"/>
          <w:lang w:val="en-US"/>
        </w:rPr>
        <w:t>contribuye</w:t>
      </w:r>
      <w:proofErr w:type="spellEnd"/>
      <w:r w:rsidR="00D5554A" w:rsidRPr="00E70BFB">
        <w:rPr>
          <w:rFonts w:ascii="Arial" w:hAnsi="Arial" w:cs="Arial"/>
          <w:sz w:val="18"/>
          <w:szCs w:val="18"/>
          <w:lang w:val="en-US"/>
        </w:rPr>
        <w:t xml:space="preserve"> al CRF para el </w:t>
      </w:r>
      <w:proofErr w:type="spellStart"/>
      <w:proofErr w:type="gramStart"/>
      <w:r w:rsidR="00D5554A" w:rsidRPr="00E70BFB">
        <w:rPr>
          <w:rFonts w:ascii="Arial" w:hAnsi="Arial" w:cs="Arial"/>
          <w:sz w:val="18"/>
          <w:szCs w:val="18"/>
          <w:lang w:val="en-US"/>
        </w:rPr>
        <w:t>indicador</w:t>
      </w:r>
      <w:proofErr w:type="spellEnd"/>
      <w:r w:rsidR="00E70BFB">
        <w:rPr>
          <w:rFonts w:ascii="Arial" w:hAnsi="Arial" w:cs="Arial"/>
          <w:sz w:val="18"/>
          <w:szCs w:val="18"/>
          <w:lang w:val="en-US"/>
        </w:rPr>
        <w:t xml:space="preserve"> </w:t>
      </w:r>
      <w:r w:rsidR="00E70BFB">
        <w:rPr>
          <w:rFonts w:ascii="Arial" w:hAnsi="Arial" w:cs="Arial"/>
          <w:spacing w:val="0"/>
          <w:sz w:val="18"/>
          <w:szCs w:val="18"/>
          <w:lang w:val="en-US"/>
        </w:rPr>
        <w:t>”</w:t>
      </w:r>
      <w:r w:rsidR="00D5554A" w:rsidRPr="00E70BFB">
        <w:rPr>
          <w:rFonts w:ascii="Arial" w:hAnsi="Arial" w:cs="Arial"/>
          <w:spacing w:val="0"/>
          <w:sz w:val="18"/>
          <w:szCs w:val="18"/>
          <w:lang w:val="en-US"/>
        </w:rPr>
        <w:t>Government</w:t>
      </w:r>
      <w:proofErr w:type="gramEnd"/>
      <w:r w:rsidR="00D5554A" w:rsidRPr="00E70BFB">
        <w:rPr>
          <w:rFonts w:ascii="Arial" w:hAnsi="Arial" w:cs="Arial"/>
          <w:spacing w:val="0"/>
          <w:sz w:val="18"/>
          <w:szCs w:val="18"/>
          <w:lang w:val="en-US"/>
        </w:rPr>
        <w:t xml:space="preserve"> agencies benefited by projects that strengthen technological and managerial tools to improve public service delivery (#)</w:t>
      </w:r>
      <w:r w:rsidR="00E70BFB">
        <w:rPr>
          <w:rFonts w:ascii="Arial" w:hAnsi="Arial" w:cs="Arial"/>
          <w:spacing w:val="0"/>
          <w:sz w:val="18"/>
          <w:szCs w:val="18"/>
          <w:lang w:val="en-US"/>
        </w:rPr>
        <w:t>”</w:t>
      </w:r>
    </w:p>
    <w:bookmarkEnd w:id="6"/>
    <w:p w14:paraId="79D4FFBB" w14:textId="4C5C095A" w:rsidR="00A94B5D" w:rsidRPr="00FD0DF7" w:rsidRDefault="00A94B5D" w:rsidP="005C3BC2">
      <w:pPr>
        <w:pStyle w:val="AutoNumpara"/>
        <w:numPr>
          <w:ilvl w:val="0"/>
          <w:numId w:val="0"/>
        </w:numPr>
        <w:spacing w:before="0" w:after="0"/>
        <w:ind w:left="-630"/>
        <w:jc w:val="left"/>
        <w:rPr>
          <w:rFonts w:ascii="Arial" w:hAnsi="Arial" w:cs="Arial"/>
          <w:sz w:val="20"/>
          <w:szCs w:val="22"/>
          <w:lang w:val="en-US"/>
        </w:rPr>
        <w:sectPr w:rsidR="00A94B5D" w:rsidRPr="00FD0DF7" w:rsidSect="00D7691B">
          <w:pgSz w:w="15840" w:h="12240" w:orient="landscape"/>
          <w:pgMar w:top="1260" w:right="1440" w:bottom="1170" w:left="1440" w:header="720" w:footer="720" w:gutter="0"/>
          <w:cols w:space="720"/>
          <w:titlePg/>
          <w:docGrid w:linePitch="360"/>
        </w:sectPr>
      </w:pPr>
    </w:p>
    <w:p w14:paraId="7B63B040" w14:textId="77777777" w:rsidR="005C3BC2" w:rsidRDefault="005C3BC2" w:rsidP="005C3BC2">
      <w:pPr>
        <w:pStyle w:val="FirstHeading"/>
        <w:rPr>
          <w:rFonts w:ascii="Arial" w:hAnsi="Arial" w:cs="Arial"/>
          <w:sz w:val="22"/>
          <w:szCs w:val="22"/>
          <w:lang w:val="es-ES"/>
        </w:rPr>
      </w:pPr>
      <w:bookmarkStart w:id="7" w:name="_Toc524431181"/>
      <w:r>
        <w:rPr>
          <w:rFonts w:ascii="Arial" w:hAnsi="Arial" w:cs="Arial"/>
          <w:sz w:val="22"/>
          <w:szCs w:val="22"/>
          <w:lang w:val="es-ES"/>
        </w:rPr>
        <w:t>B</w:t>
      </w:r>
      <w:r w:rsidRPr="0093142D">
        <w:rPr>
          <w:rFonts w:ascii="Arial" w:hAnsi="Arial" w:cs="Arial"/>
          <w:sz w:val="22"/>
          <w:szCs w:val="22"/>
          <w:lang w:val="es-ES"/>
        </w:rPr>
        <w:t>.</w:t>
      </w:r>
      <w:r w:rsidRPr="0093142D">
        <w:rPr>
          <w:rFonts w:ascii="Arial" w:hAnsi="Arial" w:cs="Arial"/>
          <w:sz w:val="22"/>
          <w:szCs w:val="22"/>
          <w:lang w:val="es-ES"/>
        </w:rPr>
        <w:tab/>
        <w:t>Recopilación de datos e instrumentos</w:t>
      </w:r>
      <w:bookmarkEnd w:id="7"/>
    </w:p>
    <w:p w14:paraId="3A6D8940" w14:textId="77777777" w:rsidR="005C3BC2" w:rsidRPr="001E3B25" w:rsidRDefault="005C3BC2" w:rsidP="005C3BC2">
      <w:pPr>
        <w:pStyle w:val="Paragraph"/>
        <w:rPr>
          <w:rFonts w:ascii="Arial" w:hAnsi="Arial" w:cs="Arial"/>
          <w:sz w:val="22"/>
          <w:szCs w:val="22"/>
        </w:rPr>
      </w:pPr>
      <w:r w:rsidRPr="001E3B25">
        <w:rPr>
          <w:rFonts w:ascii="Arial" w:hAnsi="Arial" w:cs="Arial"/>
          <w:sz w:val="22"/>
          <w:szCs w:val="22"/>
        </w:rPr>
        <w:t xml:space="preserve">El objetivo de esta actividad es hacer un seguimiento cercano a la ejecución del programa, monitoreando el cumplimiento de las metas tanto en términos de eficacia como en términos de oportunidad (que las acciones lleguen en los momentos efectivamente planificados). Esto se conseguirá con el cumplimiento en fecha de las acciones de política acordadas. </w:t>
      </w:r>
    </w:p>
    <w:p w14:paraId="17373BC9" w14:textId="75912E66" w:rsidR="005C3BC2" w:rsidRPr="001E3B25" w:rsidRDefault="005C3BC2" w:rsidP="005C3BC2">
      <w:pPr>
        <w:pStyle w:val="Paragraph"/>
        <w:rPr>
          <w:rFonts w:ascii="Arial" w:hAnsi="Arial" w:cs="Arial"/>
          <w:sz w:val="22"/>
          <w:szCs w:val="22"/>
        </w:rPr>
      </w:pPr>
      <w:r w:rsidRPr="001E3B25">
        <w:rPr>
          <w:rFonts w:ascii="Arial" w:hAnsi="Arial" w:cs="Arial"/>
          <w:sz w:val="22"/>
          <w:szCs w:val="22"/>
        </w:rPr>
        <w:t>La información sobre los productos se obtendrá a partir de la evidencia de cumplimiento de los compromisos de polít</w:t>
      </w:r>
      <w:r>
        <w:rPr>
          <w:rFonts w:ascii="Arial" w:hAnsi="Arial" w:cs="Arial"/>
          <w:sz w:val="22"/>
          <w:szCs w:val="22"/>
        </w:rPr>
        <w:t>ica y otros aspectos que el OE</w:t>
      </w:r>
      <w:r w:rsidRPr="001E3B25">
        <w:rPr>
          <w:rFonts w:ascii="Arial" w:hAnsi="Arial" w:cs="Arial"/>
          <w:sz w:val="22"/>
          <w:szCs w:val="22"/>
        </w:rPr>
        <w:t>, remita al BID a partir de la fecha de aprobación del préstamo hasta la ejecución de</w:t>
      </w:r>
      <w:r w:rsidR="00CC5272">
        <w:rPr>
          <w:rFonts w:ascii="Arial" w:hAnsi="Arial" w:cs="Arial"/>
          <w:sz w:val="22"/>
          <w:szCs w:val="22"/>
        </w:rPr>
        <w:t xml:space="preserve"> </w:t>
      </w:r>
      <w:r w:rsidRPr="001E3B25">
        <w:rPr>
          <w:rFonts w:ascii="Arial" w:hAnsi="Arial" w:cs="Arial"/>
          <w:sz w:val="22"/>
          <w:szCs w:val="22"/>
        </w:rPr>
        <w:t>l</w:t>
      </w:r>
      <w:r w:rsidR="00CC5272">
        <w:rPr>
          <w:rFonts w:ascii="Arial" w:hAnsi="Arial" w:cs="Arial"/>
          <w:sz w:val="22"/>
          <w:szCs w:val="22"/>
        </w:rPr>
        <w:t>os</w:t>
      </w:r>
      <w:r w:rsidRPr="001E3B25">
        <w:rPr>
          <w:rFonts w:ascii="Arial" w:hAnsi="Arial" w:cs="Arial"/>
          <w:sz w:val="22"/>
          <w:szCs w:val="22"/>
        </w:rPr>
        <w:t xml:space="preserve"> </w:t>
      </w:r>
      <w:r w:rsidR="00CC5272">
        <w:rPr>
          <w:rFonts w:ascii="Arial" w:hAnsi="Arial" w:cs="Arial"/>
          <w:sz w:val="22"/>
          <w:szCs w:val="22"/>
        </w:rPr>
        <w:t>desembolsos</w:t>
      </w:r>
      <w:r>
        <w:rPr>
          <w:rFonts w:ascii="Arial" w:hAnsi="Arial" w:cs="Arial"/>
          <w:sz w:val="22"/>
          <w:szCs w:val="22"/>
        </w:rPr>
        <w:t>.</w:t>
      </w:r>
    </w:p>
    <w:p w14:paraId="3CFD5833" w14:textId="77777777" w:rsidR="005C3BC2" w:rsidRPr="001E3B25" w:rsidRDefault="005C3BC2" w:rsidP="005C3BC2">
      <w:pPr>
        <w:pStyle w:val="Paragraph"/>
        <w:rPr>
          <w:rFonts w:ascii="Arial" w:hAnsi="Arial" w:cs="Arial"/>
          <w:sz w:val="22"/>
          <w:szCs w:val="22"/>
        </w:rPr>
      </w:pPr>
      <w:r w:rsidRPr="001E3B25">
        <w:rPr>
          <w:rFonts w:ascii="Arial" w:hAnsi="Arial" w:cs="Arial"/>
          <w:sz w:val="22"/>
          <w:szCs w:val="22"/>
        </w:rPr>
        <w:t>La inf</w:t>
      </w:r>
      <w:r>
        <w:rPr>
          <w:rFonts w:ascii="Arial" w:hAnsi="Arial" w:cs="Arial"/>
          <w:sz w:val="22"/>
          <w:szCs w:val="22"/>
        </w:rPr>
        <w:t>ormación sobre los resultados</w:t>
      </w:r>
      <w:r w:rsidRPr="001E3B25">
        <w:rPr>
          <w:rFonts w:ascii="Arial" w:hAnsi="Arial" w:cs="Arial"/>
          <w:sz w:val="22"/>
          <w:szCs w:val="22"/>
        </w:rPr>
        <w:t xml:space="preserve"> se obtendrá a partir de informes de los avances de cada uno de los componentes y el desempeño del programa según la Matriz de Resultados acordada que el OE</w:t>
      </w:r>
      <w:r>
        <w:rPr>
          <w:rFonts w:ascii="Arial" w:hAnsi="Arial" w:cs="Arial"/>
          <w:sz w:val="22"/>
          <w:szCs w:val="22"/>
        </w:rPr>
        <w:t xml:space="preserve"> remita al BID semestralmente.</w:t>
      </w:r>
    </w:p>
    <w:p w14:paraId="5E2D6F9F" w14:textId="77777777" w:rsidR="005C3BC2" w:rsidRPr="001E3B25" w:rsidRDefault="005C3BC2" w:rsidP="005C3BC2">
      <w:pPr>
        <w:pStyle w:val="Paragraph"/>
        <w:rPr>
          <w:rFonts w:ascii="Arial" w:hAnsi="Arial" w:cs="Arial"/>
          <w:sz w:val="22"/>
          <w:szCs w:val="22"/>
        </w:rPr>
      </w:pPr>
      <w:r w:rsidRPr="001E3B25">
        <w:rPr>
          <w:rFonts w:ascii="Arial" w:hAnsi="Arial" w:cs="Arial"/>
          <w:sz w:val="22"/>
          <w:szCs w:val="22"/>
        </w:rPr>
        <w:t>La publicación de los resultados del monitoreo del proyecto, conformada principalmente por los documentos que se describirán a continuación, se irá realizando a medida que se vayan formulando los informes. Se estima que se tendrá disponible el archivo de todos los docum</w:t>
      </w:r>
      <w:r>
        <w:rPr>
          <w:rFonts w:ascii="Arial" w:hAnsi="Arial" w:cs="Arial"/>
          <w:sz w:val="22"/>
          <w:szCs w:val="22"/>
        </w:rPr>
        <w:t xml:space="preserve">entos hasta a más tardar dos </w:t>
      </w:r>
      <w:r w:rsidRPr="001E3B25">
        <w:rPr>
          <w:rFonts w:ascii="Arial" w:hAnsi="Arial" w:cs="Arial"/>
          <w:sz w:val="22"/>
          <w:szCs w:val="22"/>
        </w:rPr>
        <w:t>años luego del desembolso de la última operación del programa.</w:t>
      </w:r>
    </w:p>
    <w:p w14:paraId="10201176" w14:textId="77777777" w:rsidR="005C3BC2" w:rsidRPr="0093142D" w:rsidRDefault="005C3BC2" w:rsidP="005C3BC2">
      <w:pPr>
        <w:pStyle w:val="FirstHeading"/>
        <w:rPr>
          <w:rFonts w:ascii="Arial" w:hAnsi="Arial" w:cs="Arial"/>
          <w:sz w:val="22"/>
          <w:szCs w:val="22"/>
          <w:lang w:val="es-ES"/>
        </w:rPr>
      </w:pPr>
      <w:bookmarkStart w:id="8" w:name="_Toc524431182"/>
      <w:r>
        <w:rPr>
          <w:rFonts w:ascii="Arial" w:hAnsi="Arial" w:cs="Arial"/>
          <w:sz w:val="22"/>
          <w:szCs w:val="22"/>
          <w:lang w:val="es-ES"/>
        </w:rPr>
        <w:t>C</w:t>
      </w:r>
      <w:r w:rsidRPr="0093142D">
        <w:rPr>
          <w:rFonts w:ascii="Arial" w:hAnsi="Arial" w:cs="Arial"/>
          <w:sz w:val="22"/>
          <w:szCs w:val="22"/>
          <w:lang w:val="es-ES"/>
        </w:rPr>
        <w:t>.</w:t>
      </w:r>
      <w:r w:rsidRPr="0093142D">
        <w:rPr>
          <w:rFonts w:ascii="Arial" w:hAnsi="Arial" w:cs="Arial"/>
          <w:sz w:val="22"/>
          <w:szCs w:val="22"/>
          <w:lang w:val="es-ES"/>
        </w:rPr>
        <w:tab/>
        <w:t>Presentación de informes</w:t>
      </w:r>
      <w:bookmarkEnd w:id="8"/>
    </w:p>
    <w:p w14:paraId="394AA885" w14:textId="16F57DCF" w:rsidR="005C3BC2" w:rsidRPr="00566A89" w:rsidRDefault="005C3BC2" w:rsidP="005C3BC2">
      <w:pPr>
        <w:pStyle w:val="Paragraph"/>
        <w:rPr>
          <w:rFonts w:ascii="Arial" w:hAnsi="Arial" w:cs="Arial"/>
          <w:sz w:val="22"/>
          <w:szCs w:val="22"/>
        </w:rPr>
      </w:pPr>
      <w:r w:rsidRPr="00566A89">
        <w:rPr>
          <w:rFonts w:ascii="Arial" w:hAnsi="Arial" w:cs="Arial"/>
          <w:sz w:val="22"/>
          <w:szCs w:val="22"/>
        </w:rPr>
        <w:t xml:space="preserve">El </w:t>
      </w:r>
      <w:r>
        <w:rPr>
          <w:rFonts w:ascii="Arial" w:hAnsi="Arial" w:cs="Arial"/>
          <w:sz w:val="22"/>
          <w:szCs w:val="22"/>
        </w:rPr>
        <w:t>OE</w:t>
      </w:r>
      <w:r w:rsidRPr="00566A89">
        <w:rPr>
          <w:rFonts w:ascii="Arial" w:hAnsi="Arial" w:cs="Arial"/>
          <w:sz w:val="22"/>
          <w:szCs w:val="22"/>
        </w:rPr>
        <w:t xml:space="preserve"> presentará informes de progreso con datos sobre los avances en </w:t>
      </w:r>
      <w:r w:rsidR="00516EE1">
        <w:rPr>
          <w:rFonts w:ascii="Arial" w:hAnsi="Arial" w:cs="Arial"/>
          <w:sz w:val="22"/>
          <w:szCs w:val="22"/>
        </w:rPr>
        <w:t>el cumplimiento de los compromisos de política</w:t>
      </w:r>
      <w:r w:rsidRPr="00566A89">
        <w:rPr>
          <w:rFonts w:ascii="Arial" w:hAnsi="Arial" w:cs="Arial"/>
          <w:sz w:val="22"/>
          <w:szCs w:val="22"/>
        </w:rPr>
        <w:t xml:space="preserve">, incluyendo los indicadores de productos y resultados. Estos informes serán de periodicidad semestral. </w:t>
      </w:r>
    </w:p>
    <w:p w14:paraId="002FC931" w14:textId="01382673" w:rsidR="005C3BC2" w:rsidRPr="00566A89" w:rsidRDefault="005C3BC2" w:rsidP="005C3BC2">
      <w:pPr>
        <w:pStyle w:val="Paragraph"/>
        <w:rPr>
          <w:rFonts w:ascii="Arial" w:hAnsi="Arial" w:cs="Arial"/>
          <w:sz w:val="22"/>
          <w:szCs w:val="22"/>
        </w:rPr>
      </w:pPr>
      <w:r w:rsidRPr="00566A89">
        <w:rPr>
          <w:rFonts w:ascii="Arial" w:hAnsi="Arial" w:cs="Arial"/>
          <w:sz w:val="22"/>
          <w:szCs w:val="22"/>
        </w:rPr>
        <w:t xml:space="preserve">En cuanto a la información para monitorear el avance de los resultados, se utilizarán principalmente los informes generados por </w:t>
      </w:r>
      <w:r w:rsidR="001F4C7C">
        <w:rPr>
          <w:rFonts w:ascii="Arial" w:hAnsi="Arial" w:cs="Arial"/>
          <w:sz w:val="22"/>
          <w:szCs w:val="22"/>
        </w:rPr>
        <w:t>el OE</w:t>
      </w:r>
      <w:r w:rsidRPr="00566A89">
        <w:rPr>
          <w:rFonts w:ascii="Arial" w:hAnsi="Arial" w:cs="Arial"/>
          <w:sz w:val="22"/>
          <w:szCs w:val="22"/>
        </w:rPr>
        <w:t xml:space="preserve">. Los informes de avance serán generados semestralmente, ya </w:t>
      </w:r>
      <w:r>
        <w:rPr>
          <w:rFonts w:ascii="Arial" w:hAnsi="Arial" w:cs="Arial"/>
          <w:sz w:val="22"/>
          <w:szCs w:val="22"/>
        </w:rPr>
        <w:t xml:space="preserve">para asegurar </w:t>
      </w:r>
      <w:r w:rsidRPr="00566A89">
        <w:rPr>
          <w:rFonts w:ascii="Arial" w:hAnsi="Arial" w:cs="Arial"/>
          <w:sz w:val="22"/>
          <w:szCs w:val="22"/>
        </w:rPr>
        <w:t xml:space="preserve">un seguimiento continuo </w:t>
      </w:r>
      <w:r>
        <w:rPr>
          <w:rFonts w:ascii="Arial" w:hAnsi="Arial" w:cs="Arial"/>
          <w:sz w:val="22"/>
          <w:szCs w:val="22"/>
        </w:rPr>
        <w:t xml:space="preserve">que permita </w:t>
      </w:r>
      <w:r w:rsidRPr="00566A89">
        <w:rPr>
          <w:rFonts w:ascii="Arial" w:hAnsi="Arial" w:cs="Arial"/>
          <w:sz w:val="22"/>
          <w:szCs w:val="22"/>
        </w:rPr>
        <w:t>visualizar avances y solucionar inconvenientes oportunamente El levantamiento y seguimiento de los indicadores de la matriz permitirá contar con la información necesaria para evaluar los resultados de las dos operaciones programáticas del programa.</w:t>
      </w:r>
    </w:p>
    <w:p w14:paraId="4E500C73" w14:textId="6BAC811F" w:rsidR="005C3BC2" w:rsidRPr="00354D3D" w:rsidRDefault="005C3BC2" w:rsidP="00354D3D">
      <w:pPr>
        <w:pStyle w:val="Paragraph"/>
        <w:rPr>
          <w:rFonts w:ascii="Arial" w:hAnsi="Arial" w:cs="Arial"/>
          <w:sz w:val="22"/>
          <w:szCs w:val="22"/>
        </w:rPr>
      </w:pPr>
      <w:r w:rsidRPr="00A33247">
        <w:rPr>
          <w:rFonts w:ascii="Arial" w:hAnsi="Arial" w:cs="Arial"/>
          <w:sz w:val="22"/>
          <w:szCs w:val="22"/>
        </w:rPr>
        <w:t xml:space="preserve">Al término del Programa </w:t>
      </w:r>
      <w:r>
        <w:rPr>
          <w:rFonts w:ascii="Arial" w:hAnsi="Arial" w:cs="Arial"/>
          <w:sz w:val="22"/>
          <w:szCs w:val="22"/>
        </w:rPr>
        <w:t>el</w:t>
      </w:r>
      <w:r w:rsidRPr="00A33247">
        <w:rPr>
          <w:rFonts w:ascii="Arial" w:hAnsi="Arial" w:cs="Arial"/>
          <w:sz w:val="22"/>
          <w:szCs w:val="22"/>
        </w:rPr>
        <w:t xml:space="preserve"> </w:t>
      </w:r>
      <w:r>
        <w:rPr>
          <w:rFonts w:ascii="Arial" w:hAnsi="Arial" w:cs="Arial"/>
          <w:sz w:val="22"/>
          <w:szCs w:val="22"/>
        </w:rPr>
        <w:t>OE</w:t>
      </w:r>
      <w:r w:rsidRPr="00A33247">
        <w:rPr>
          <w:rFonts w:ascii="Arial" w:hAnsi="Arial" w:cs="Arial"/>
          <w:sz w:val="22"/>
          <w:szCs w:val="22"/>
        </w:rPr>
        <w:t xml:space="preserve"> </w:t>
      </w:r>
      <w:r>
        <w:rPr>
          <w:rFonts w:ascii="Arial" w:hAnsi="Arial" w:cs="Arial"/>
          <w:sz w:val="22"/>
          <w:szCs w:val="22"/>
        </w:rPr>
        <w:t>realizará una evaluación final</w:t>
      </w:r>
      <w:r w:rsidRPr="00A33247">
        <w:rPr>
          <w:rFonts w:ascii="Arial" w:hAnsi="Arial" w:cs="Arial"/>
          <w:sz w:val="22"/>
          <w:szCs w:val="22"/>
        </w:rPr>
        <w:t>.</w:t>
      </w:r>
      <w:r w:rsidRPr="0093142D">
        <w:rPr>
          <w:rFonts w:ascii="Arial" w:hAnsi="Arial" w:cs="Arial"/>
          <w:sz w:val="22"/>
          <w:szCs w:val="22"/>
        </w:rPr>
        <w:t xml:space="preserve"> Los términos de referencia para la contratación de la evaluación</w:t>
      </w:r>
      <w:r>
        <w:rPr>
          <w:rFonts w:ascii="Arial" w:hAnsi="Arial" w:cs="Arial"/>
          <w:sz w:val="22"/>
          <w:szCs w:val="22"/>
        </w:rPr>
        <w:t xml:space="preserve"> ex post</w:t>
      </w:r>
      <w:r w:rsidRPr="0093142D">
        <w:rPr>
          <w:rFonts w:ascii="Arial" w:hAnsi="Arial" w:cs="Arial"/>
          <w:sz w:val="22"/>
          <w:szCs w:val="22"/>
        </w:rPr>
        <w:t xml:space="preserve"> deberán ser sometidos a la aprobación previa del BID y</w:t>
      </w:r>
      <w:r>
        <w:rPr>
          <w:rFonts w:ascii="Arial" w:hAnsi="Arial" w:cs="Arial"/>
          <w:sz w:val="22"/>
          <w:szCs w:val="22"/>
        </w:rPr>
        <w:t xml:space="preserve"> se enfocarán </w:t>
      </w:r>
      <w:r w:rsidRPr="0093142D">
        <w:rPr>
          <w:rFonts w:ascii="Arial" w:hAnsi="Arial" w:cs="Arial"/>
          <w:sz w:val="22"/>
          <w:szCs w:val="22"/>
        </w:rPr>
        <w:t xml:space="preserve">en </w:t>
      </w:r>
      <w:r>
        <w:rPr>
          <w:rFonts w:ascii="Arial" w:hAnsi="Arial" w:cs="Arial"/>
          <w:sz w:val="22"/>
          <w:szCs w:val="22"/>
        </w:rPr>
        <w:t xml:space="preserve">criterios establecidos en el Plan de Evaluación aquí definido (basado en </w:t>
      </w:r>
      <w:r w:rsidR="00354D3D">
        <w:rPr>
          <w:rFonts w:ascii="Arial" w:hAnsi="Arial" w:cs="Arial"/>
          <w:sz w:val="22"/>
          <w:szCs w:val="22"/>
        </w:rPr>
        <w:t>evaluaciones no experimentales y en comparaciones antes y después</w:t>
      </w:r>
      <w:r>
        <w:rPr>
          <w:rFonts w:ascii="Arial" w:hAnsi="Arial" w:cs="Arial"/>
          <w:sz w:val="22"/>
          <w:szCs w:val="22"/>
        </w:rPr>
        <w:t xml:space="preserve">). </w:t>
      </w:r>
      <w:r w:rsidRPr="0093142D">
        <w:rPr>
          <w:rFonts w:ascii="Arial" w:hAnsi="Arial" w:cs="Arial"/>
          <w:sz w:val="22"/>
          <w:szCs w:val="22"/>
        </w:rPr>
        <w:t>Esta evaluación deberá estar coordinada con el trabajo de preparación del Informe d</w:t>
      </w:r>
      <w:r>
        <w:rPr>
          <w:rFonts w:ascii="Arial" w:hAnsi="Arial" w:cs="Arial"/>
          <w:sz w:val="22"/>
          <w:szCs w:val="22"/>
        </w:rPr>
        <w:t>e Terminación de Proyecto (PCR)</w:t>
      </w:r>
      <w:r w:rsidRPr="0093142D">
        <w:rPr>
          <w:rFonts w:ascii="Arial" w:hAnsi="Arial" w:cs="Arial"/>
          <w:sz w:val="22"/>
          <w:szCs w:val="22"/>
        </w:rPr>
        <w:t xml:space="preserve">. </w:t>
      </w:r>
    </w:p>
    <w:p w14:paraId="6FFA77E8" w14:textId="77777777" w:rsidR="005C3BC2" w:rsidRPr="00F64874" w:rsidRDefault="005C3BC2" w:rsidP="005C3BC2">
      <w:pPr>
        <w:pStyle w:val="FirstHeading"/>
        <w:rPr>
          <w:rFonts w:ascii="Arial" w:hAnsi="Arial" w:cs="Arial"/>
          <w:sz w:val="22"/>
          <w:szCs w:val="22"/>
          <w:lang w:val="es-ES"/>
        </w:rPr>
      </w:pPr>
      <w:bookmarkStart w:id="9" w:name="_Toc524431183"/>
      <w:r>
        <w:rPr>
          <w:rFonts w:ascii="Arial" w:hAnsi="Arial" w:cs="Arial"/>
          <w:sz w:val="22"/>
          <w:szCs w:val="22"/>
          <w:lang w:val="es-ES"/>
        </w:rPr>
        <w:t>D</w:t>
      </w:r>
      <w:r w:rsidRPr="00F64874">
        <w:rPr>
          <w:rFonts w:ascii="Arial" w:hAnsi="Arial" w:cs="Arial"/>
          <w:sz w:val="22"/>
          <w:szCs w:val="22"/>
          <w:lang w:val="es-ES"/>
        </w:rPr>
        <w:t>.</w:t>
      </w:r>
      <w:r w:rsidRPr="00F64874">
        <w:rPr>
          <w:rFonts w:ascii="Arial" w:hAnsi="Arial" w:cs="Arial"/>
          <w:sz w:val="22"/>
          <w:szCs w:val="22"/>
          <w:lang w:val="es-ES"/>
        </w:rPr>
        <w:tab/>
        <w:t>Coordinación, plan de trabajo y presupuesto del seguimiento</w:t>
      </w:r>
      <w:bookmarkEnd w:id="9"/>
    </w:p>
    <w:p w14:paraId="76D70134" w14:textId="1527FB2B" w:rsidR="005C3BC2" w:rsidRPr="00C353E4" w:rsidRDefault="005C3BC2" w:rsidP="005C3BC2">
      <w:pPr>
        <w:pStyle w:val="Paragraph"/>
        <w:rPr>
          <w:rFonts w:ascii="Arial" w:hAnsi="Arial" w:cs="Arial"/>
          <w:sz w:val="22"/>
          <w:szCs w:val="22"/>
        </w:rPr>
      </w:pPr>
      <w:r w:rsidRPr="00C353E4">
        <w:rPr>
          <w:rFonts w:ascii="Arial" w:hAnsi="Arial" w:cs="Arial"/>
          <w:sz w:val="22"/>
          <w:szCs w:val="22"/>
        </w:rPr>
        <w:t xml:space="preserve">Como ya fue mencionado, </w:t>
      </w:r>
      <w:r w:rsidR="00516EE1">
        <w:rPr>
          <w:rFonts w:ascii="Arial" w:hAnsi="Arial" w:cs="Arial"/>
          <w:sz w:val="22"/>
          <w:szCs w:val="22"/>
        </w:rPr>
        <w:t>la OE</w:t>
      </w:r>
      <w:r w:rsidR="009D4E32">
        <w:rPr>
          <w:rFonts w:ascii="Arial" w:hAnsi="Arial" w:cs="Arial"/>
          <w:sz w:val="22"/>
          <w:szCs w:val="22"/>
        </w:rPr>
        <w:t xml:space="preserve"> </w:t>
      </w:r>
      <w:r w:rsidRPr="00C353E4">
        <w:rPr>
          <w:rFonts w:ascii="Arial" w:hAnsi="Arial" w:cs="Arial"/>
          <w:sz w:val="22"/>
          <w:szCs w:val="22"/>
        </w:rPr>
        <w:t>será el respons</w:t>
      </w:r>
      <w:r>
        <w:rPr>
          <w:rFonts w:ascii="Arial" w:hAnsi="Arial" w:cs="Arial"/>
          <w:sz w:val="22"/>
          <w:szCs w:val="22"/>
        </w:rPr>
        <w:t xml:space="preserve">able del Monitoreo y Evaluación. Será responsabilidad </w:t>
      </w:r>
      <w:proofErr w:type="gramStart"/>
      <w:r>
        <w:rPr>
          <w:rFonts w:ascii="Arial" w:hAnsi="Arial" w:cs="Arial"/>
          <w:sz w:val="22"/>
          <w:szCs w:val="22"/>
        </w:rPr>
        <w:t>del mismo</w:t>
      </w:r>
      <w:proofErr w:type="gramEnd"/>
      <w:r>
        <w:rPr>
          <w:rFonts w:ascii="Arial" w:hAnsi="Arial" w:cs="Arial"/>
          <w:sz w:val="22"/>
          <w:szCs w:val="22"/>
        </w:rPr>
        <w:t xml:space="preserve"> </w:t>
      </w:r>
      <w:r w:rsidRPr="00C353E4">
        <w:rPr>
          <w:rFonts w:ascii="Arial" w:hAnsi="Arial" w:cs="Arial"/>
          <w:sz w:val="22"/>
          <w:szCs w:val="22"/>
        </w:rPr>
        <w:t xml:space="preserve">realizar y presentar los informes semestrales descritos antes y el continuo monitoreo de los indicadores de productos y resultados dentro de la Matriz de Resultados. </w:t>
      </w:r>
      <w:r>
        <w:rPr>
          <w:rFonts w:ascii="Arial" w:hAnsi="Arial" w:cs="Arial"/>
          <w:sz w:val="22"/>
          <w:szCs w:val="22"/>
        </w:rPr>
        <w:t>El cronograma, los medios de verificación y los responsables del monitoreo de los productos figuran en el Cuadro 1. El cronograma, los medios de verificación y los responsables del monitoreo de los resultados figuran en el Cuadro 2.</w:t>
      </w:r>
    </w:p>
    <w:p w14:paraId="315626E5" w14:textId="64E7BAF3" w:rsidR="005C3BC2" w:rsidRPr="007351E5" w:rsidRDefault="005C3BC2" w:rsidP="005C3BC2">
      <w:pPr>
        <w:pStyle w:val="Paragraph"/>
        <w:rPr>
          <w:rFonts w:ascii="Arial" w:hAnsi="Arial" w:cs="Arial"/>
          <w:sz w:val="22"/>
          <w:szCs w:val="22"/>
        </w:rPr>
      </w:pPr>
      <w:r w:rsidRPr="00C353E4">
        <w:rPr>
          <w:rFonts w:ascii="Arial" w:hAnsi="Arial" w:cs="Arial"/>
          <w:sz w:val="22"/>
          <w:szCs w:val="22"/>
        </w:rPr>
        <w:t xml:space="preserve">El BID realizará, además del apoyo regular al proyecto, misiones de administración, con periodicidad anual, para hacer seguimiento al avance del programa en términos de productos y resultados. El seguimiento estará compuesto de actividades de periodicidad semestral (actualización periódica de la base de datos) y otras de periodicidad anual (informes de productos y resultados, misiones de administración del BID). </w:t>
      </w:r>
      <w:r w:rsidR="006F0A72" w:rsidRPr="00A7026E">
        <w:rPr>
          <w:rFonts w:ascii="Arial" w:hAnsi="Arial" w:cs="Arial"/>
          <w:sz w:val="22"/>
          <w:szCs w:val="22"/>
        </w:rPr>
        <w:t>Además del presupuesto destinado a la supervisión del programa</w:t>
      </w:r>
      <w:r w:rsidR="006F0A72">
        <w:rPr>
          <w:rFonts w:ascii="Arial" w:hAnsi="Arial" w:cs="Arial"/>
          <w:sz w:val="22"/>
          <w:szCs w:val="22"/>
        </w:rPr>
        <w:t xml:space="preserve"> y la preparación del tramo II del programa</w:t>
      </w:r>
      <w:r w:rsidR="006F0A72" w:rsidRPr="00A7026E">
        <w:rPr>
          <w:rFonts w:ascii="Arial" w:hAnsi="Arial" w:cs="Arial"/>
          <w:sz w:val="22"/>
          <w:szCs w:val="22"/>
        </w:rPr>
        <w:t xml:space="preserve">, </w:t>
      </w:r>
      <w:r w:rsidR="006F0A72">
        <w:rPr>
          <w:rFonts w:ascii="Arial" w:hAnsi="Arial" w:cs="Arial"/>
          <w:sz w:val="22"/>
          <w:szCs w:val="22"/>
        </w:rPr>
        <w:t>l</w:t>
      </w:r>
      <w:r w:rsidR="006F0A72">
        <w:rPr>
          <w:rFonts w:ascii="Arial" w:hAnsi="Arial" w:cs="Arial"/>
          <w:sz w:val="22"/>
        </w:rPr>
        <w:t xml:space="preserve">a ejecución del PME </w:t>
      </w:r>
      <w:r w:rsidR="006F0A72" w:rsidRPr="00A7026E">
        <w:rPr>
          <w:rFonts w:ascii="Arial" w:hAnsi="Arial" w:cs="Arial"/>
          <w:sz w:val="22"/>
        </w:rPr>
        <w:t xml:space="preserve">se apoyará con </w:t>
      </w:r>
      <w:r w:rsidR="006F0A72">
        <w:rPr>
          <w:rFonts w:ascii="Arial" w:hAnsi="Arial" w:cs="Arial"/>
          <w:sz w:val="22"/>
        </w:rPr>
        <w:t>recursos asignados para evaluación de los préstamos PE-L1227 y PE-L1162</w:t>
      </w:r>
      <w:r w:rsidR="00C27CB3">
        <w:rPr>
          <w:rFonts w:ascii="Arial" w:hAnsi="Arial" w:cs="Arial"/>
          <w:sz w:val="22"/>
        </w:rPr>
        <w:t xml:space="preserve"> (ver Cuadro 6)</w:t>
      </w:r>
      <w:r w:rsidR="006F0A72">
        <w:rPr>
          <w:rFonts w:ascii="Arial" w:hAnsi="Arial" w:cs="Arial"/>
          <w:sz w:val="22"/>
        </w:rPr>
        <w:t>.</w:t>
      </w:r>
      <w:r w:rsidR="00450B78">
        <w:rPr>
          <w:rFonts w:ascii="Arial" w:hAnsi="Arial" w:cs="Arial"/>
          <w:sz w:val="22"/>
        </w:rPr>
        <w:t xml:space="preserve"> Como se explica en la siguiente sección, l</w:t>
      </w:r>
      <w:r w:rsidR="006F0A72">
        <w:rPr>
          <w:rFonts w:ascii="Arial" w:hAnsi="Arial" w:cs="Arial"/>
          <w:sz w:val="22"/>
        </w:rPr>
        <w:t>as evaluaciones basadas en comparaciones reflexivas no requieren partida presupuestal, las evaluaciones basadas en comparaciones causales se enmarcarán en los presupuestos considerados en las evaluaciones que se vienen trabajando con PRODUCE y las evaluaciones de impacto se financiarán con los fondos de evaluación previstos en los préstamos antes indicados.</w:t>
      </w:r>
    </w:p>
    <w:p w14:paraId="511EF489" w14:textId="0B5EC551" w:rsidR="005C3BC2" w:rsidRDefault="005C3BC2" w:rsidP="005C3BC2">
      <w:pPr>
        <w:pStyle w:val="Paragraph"/>
        <w:numPr>
          <w:ilvl w:val="0"/>
          <w:numId w:val="0"/>
        </w:numPr>
        <w:tabs>
          <w:tab w:val="num" w:pos="720"/>
        </w:tabs>
        <w:rPr>
          <w:rFonts w:ascii="Arial" w:hAnsi="Arial" w:cs="Arial"/>
          <w:b/>
          <w:smallCaps/>
          <w:spacing w:val="0"/>
        </w:rPr>
      </w:pPr>
    </w:p>
    <w:p w14:paraId="2B980157" w14:textId="77777777" w:rsidR="005C3BC2" w:rsidRPr="00F64874" w:rsidRDefault="005C3BC2" w:rsidP="005C3BC2">
      <w:pPr>
        <w:pStyle w:val="Chapter"/>
        <w:rPr>
          <w:rFonts w:ascii="Arial" w:hAnsi="Arial" w:cs="Arial"/>
        </w:rPr>
      </w:pPr>
      <w:bookmarkStart w:id="10" w:name="_Toc524431184"/>
      <w:r w:rsidRPr="00F64874">
        <w:rPr>
          <w:rFonts w:ascii="Arial" w:hAnsi="Arial" w:cs="Arial"/>
        </w:rPr>
        <w:t>Evaluación</w:t>
      </w:r>
      <w:bookmarkEnd w:id="10"/>
    </w:p>
    <w:p w14:paraId="57A276F2" w14:textId="77777777" w:rsidR="003E047B" w:rsidRPr="003E047B" w:rsidRDefault="005C3BC2" w:rsidP="005C3BC2">
      <w:pPr>
        <w:pStyle w:val="Paragraph"/>
        <w:rPr>
          <w:rFonts w:ascii="Arial" w:hAnsi="Arial" w:cs="Arial"/>
          <w:sz w:val="22"/>
          <w:szCs w:val="22"/>
        </w:rPr>
      </w:pPr>
      <w:r w:rsidRPr="008C2533">
        <w:rPr>
          <w:rFonts w:ascii="Arial" w:eastAsiaTheme="minorHAnsi" w:hAnsi="Arial" w:cs="Arial"/>
          <w:bCs/>
          <w:color w:val="000000"/>
          <w:sz w:val="22"/>
          <w:szCs w:val="22"/>
        </w:rPr>
        <w:t xml:space="preserve">El Plan de Evaluación </w:t>
      </w:r>
      <w:r>
        <w:rPr>
          <w:rFonts w:ascii="Arial" w:eastAsiaTheme="minorHAnsi" w:hAnsi="Arial" w:cs="Arial"/>
          <w:bCs/>
          <w:color w:val="000000"/>
          <w:sz w:val="22"/>
          <w:szCs w:val="22"/>
        </w:rPr>
        <w:t>propuesto para verificar la efectividad en el desarrollo de este progra</w:t>
      </w:r>
      <w:r w:rsidR="00CA37B6">
        <w:rPr>
          <w:rFonts w:ascii="Arial" w:eastAsiaTheme="minorHAnsi" w:hAnsi="Arial" w:cs="Arial"/>
          <w:bCs/>
          <w:color w:val="000000"/>
          <w:sz w:val="22"/>
          <w:szCs w:val="22"/>
        </w:rPr>
        <w:t>ma sigue una estrategia doble.</w:t>
      </w:r>
    </w:p>
    <w:p w14:paraId="2B256B16" w14:textId="018F778F" w:rsidR="003E047B" w:rsidRPr="003E047B" w:rsidRDefault="00DB3CA4" w:rsidP="005C3BC2">
      <w:pPr>
        <w:pStyle w:val="Paragraph"/>
        <w:rPr>
          <w:rFonts w:ascii="Arial" w:hAnsi="Arial" w:cs="Arial"/>
          <w:sz w:val="22"/>
          <w:szCs w:val="22"/>
        </w:rPr>
      </w:pPr>
      <w:r>
        <w:rPr>
          <w:rFonts w:ascii="Arial" w:eastAsiaTheme="minorHAnsi" w:hAnsi="Arial" w:cs="Arial"/>
          <w:bCs/>
          <w:color w:val="000000"/>
          <w:sz w:val="22"/>
          <w:szCs w:val="22"/>
        </w:rPr>
        <w:t xml:space="preserve">Por un lado, </w:t>
      </w:r>
      <w:r w:rsidR="00057744">
        <w:rPr>
          <w:rFonts w:ascii="Arial" w:eastAsiaTheme="minorHAnsi" w:hAnsi="Arial" w:cs="Arial"/>
          <w:bCs/>
          <w:color w:val="000000"/>
          <w:sz w:val="22"/>
          <w:szCs w:val="22"/>
        </w:rPr>
        <w:t>el presente PME</w:t>
      </w:r>
      <w:r w:rsidR="00376DF9">
        <w:rPr>
          <w:rFonts w:ascii="Arial" w:eastAsiaTheme="minorHAnsi" w:hAnsi="Arial" w:cs="Arial"/>
          <w:bCs/>
          <w:color w:val="000000"/>
          <w:sz w:val="22"/>
          <w:szCs w:val="22"/>
        </w:rPr>
        <w:t xml:space="preserve"> </w:t>
      </w:r>
      <w:r>
        <w:rPr>
          <w:rFonts w:ascii="Arial" w:eastAsiaTheme="minorHAnsi" w:hAnsi="Arial" w:cs="Arial"/>
          <w:bCs/>
          <w:color w:val="000000"/>
          <w:sz w:val="22"/>
          <w:szCs w:val="22"/>
        </w:rPr>
        <w:t>propone medir el impacto de las reformas institucionales y de política promovidas por e</w:t>
      </w:r>
      <w:r w:rsidR="00E735E8">
        <w:rPr>
          <w:rFonts w:ascii="Arial" w:eastAsiaTheme="minorHAnsi" w:hAnsi="Arial" w:cs="Arial"/>
          <w:bCs/>
          <w:color w:val="000000"/>
          <w:sz w:val="22"/>
          <w:szCs w:val="22"/>
        </w:rPr>
        <w:t>l</w:t>
      </w:r>
      <w:r>
        <w:rPr>
          <w:rFonts w:ascii="Arial" w:eastAsiaTheme="minorHAnsi" w:hAnsi="Arial" w:cs="Arial"/>
          <w:bCs/>
          <w:color w:val="000000"/>
          <w:sz w:val="22"/>
          <w:szCs w:val="22"/>
        </w:rPr>
        <w:t xml:space="preserve"> programa en un horizonte temporal que trasciende la ejecución de la operación. Para ello, </w:t>
      </w:r>
      <w:r w:rsidR="008D1D90">
        <w:rPr>
          <w:rFonts w:ascii="Arial" w:eastAsiaTheme="minorHAnsi" w:hAnsi="Arial" w:cs="Arial"/>
          <w:bCs/>
          <w:color w:val="000000"/>
          <w:sz w:val="22"/>
          <w:szCs w:val="22"/>
        </w:rPr>
        <w:t xml:space="preserve">el PME </w:t>
      </w:r>
      <w:r w:rsidR="009D33C2">
        <w:rPr>
          <w:rFonts w:ascii="Arial" w:eastAsiaTheme="minorHAnsi" w:hAnsi="Arial" w:cs="Arial"/>
          <w:bCs/>
          <w:color w:val="000000"/>
          <w:sz w:val="22"/>
          <w:szCs w:val="22"/>
        </w:rPr>
        <w:t>se apoya en los planes de evaluación de dos operaciones de inversión en ejecución</w:t>
      </w:r>
      <w:r w:rsidR="001B1562">
        <w:rPr>
          <w:rFonts w:ascii="Arial" w:eastAsiaTheme="minorHAnsi" w:hAnsi="Arial" w:cs="Arial"/>
          <w:bCs/>
          <w:color w:val="000000"/>
          <w:sz w:val="22"/>
          <w:szCs w:val="22"/>
        </w:rPr>
        <w:t xml:space="preserve"> que apuntan a objetivos similares a dos de los componentes </w:t>
      </w:r>
      <w:r w:rsidR="006D2D48">
        <w:rPr>
          <w:rFonts w:ascii="Arial" w:eastAsiaTheme="minorHAnsi" w:hAnsi="Arial" w:cs="Arial"/>
          <w:bCs/>
          <w:color w:val="000000"/>
          <w:sz w:val="22"/>
          <w:szCs w:val="22"/>
        </w:rPr>
        <w:t>d</w:t>
      </w:r>
      <w:r w:rsidR="007C5269">
        <w:rPr>
          <w:rFonts w:ascii="Arial" w:eastAsiaTheme="minorHAnsi" w:hAnsi="Arial" w:cs="Arial"/>
          <w:bCs/>
          <w:color w:val="000000"/>
          <w:sz w:val="22"/>
          <w:szCs w:val="22"/>
        </w:rPr>
        <w:t>el programa</w:t>
      </w:r>
      <w:r w:rsidR="002A31F2">
        <w:rPr>
          <w:rFonts w:ascii="Arial" w:eastAsiaTheme="minorHAnsi" w:hAnsi="Arial" w:cs="Arial"/>
          <w:bCs/>
          <w:color w:val="000000"/>
          <w:sz w:val="22"/>
          <w:szCs w:val="22"/>
        </w:rPr>
        <w:t>. La primera operación es</w:t>
      </w:r>
      <w:r w:rsidR="003E047B">
        <w:rPr>
          <w:rFonts w:ascii="Arial" w:eastAsiaTheme="minorHAnsi" w:hAnsi="Arial" w:cs="Arial"/>
          <w:bCs/>
          <w:color w:val="000000"/>
          <w:sz w:val="22"/>
          <w:szCs w:val="22"/>
        </w:rPr>
        <w:t xml:space="preserve"> </w:t>
      </w:r>
      <w:r w:rsidR="000C2188">
        <w:rPr>
          <w:rFonts w:ascii="Arial" w:eastAsiaTheme="minorHAnsi" w:hAnsi="Arial" w:cs="Arial"/>
          <w:bCs/>
          <w:color w:val="000000"/>
          <w:sz w:val="22"/>
          <w:szCs w:val="22"/>
        </w:rPr>
        <w:t>PE</w:t>
      </w:r>
      <w:r w:rsidR="007C5B5D">
        <w:rPr>
          <w:rFonts w:ascii="Arial" w:eastAsiaTheme="minorHAnsi" w:hAnsi="Arial" w:cs="Arial"/>
          <w:bCs/>
          <w:color w:val="000000"/>
          <w:sz w:val="22"/>
          <w:szCs w:val="22"/>
        </w:rPr>
        <w:noBreakHyphen/>
      </w:r>
      <w:r w:rsidR="000C2188">
        <w:rPr>
          <w:rFonts w:ascii="Arial" w:eastAsiaTheme="minorHAnsi" w:hAnsi="Arial" w:cs="Arial"/>
          <w:bCs/>
          <w:color w:val="000000"/>
          <w:sz w:val="22"/>
          <w:szCs w:val="22"/>
        </w:rPr>
        <w:t>L</w:t>
      </w:r>
      <w:r w:rsidR="00781F62">
        <w:rPr>
          <w:rFonts w:ascii="Arial" w:eastAsiaTheme="minorHAnsi" w:hAnsi="Arial" w:cs="Arial"/>
          <w:bCs/>
          <w:color w:val="000000"/>
          <w:sz w:val="22"/>
          <w:szCs w:val="22"/>
        </w:rPr>
        <w:t>1227 “</w:t>
      </w:r>
      <w:r w:rsidR="00A54D88">
        <w:rPr>
          <w:rFonts w:ascii="Arial" w:eastAsiaTheme="minorHAnsi" w:hAnsi="Arial" w:cs="Arial"/>
          <w:bCs/>
          <w:color w:val="000000"/>
          <w:sz w:val="22"/>
          <w:szCs w:val="22"/>
        </w:rPr>
        <w:t>Programa para la mejora de la calidad y pertinencia de los servicios de educación superior universitaria y tecnológica a nivel nacional</w:t>
      </w:r>
      <w:r w:rsidR="00781F62">
        <w:rPr>
          <w:rFonts w:ascii="Arial" w:eastAsiaTheme="minorHAnsi" w:hAnsi="Arial" w:cs="Arial"/>
          <w:bCs/>
          <w:color w:val="000000"/>
          <w:sz w:val="22"/>
          <w:szCs w:val="22"/>
        </w:rPr>
        <w:t>”</w:t>
      </w:r>
      <w:r w:rsidR="005C2C71">
        <w:rPr>
          <w:rFonts w:ascii="Arial" w:eastAsiaTheme="minorHAnsi" w:hAnsi="Arial" w:cs="Arial"/>
          <w:bCs/>
          <w:color w:val="000000"/>
          <w:sz w:val="22"/>
          <w:szCs w:val="22"/>
        </w:rPr>
        <w:t>, aprobada en 201</w:t>
      </w:r>
      <w:r w:rsidR="00C33F2B">
        <w:rPr>
          <w:rFonts w:ascii="Arial" w:eastAsiaTheme="minorHAnsi" w:hAnsi="Arial" w:cs="Arial"/>
          <w:bCs/>
          <w:color w:val="000000"/>
          <w:sz w:val="22"/>
          <w:szCs w:val="22"/>
        </w:rPr>
        <w:t>8</w:t>
      </w:r>
      <w:r w:rsidR="005C2C71">
        <w:rPr>
          <w:rFonts w:ascii="Arial" w:eastAsiaTheme="minorHAnsi" w:hAnsi="Arial" w:cs="Arial"/>
          <w:bCs/>
          <w:color w:val="000000"/>
          <w:sz w:val="22"/>
          <w:szCs w:val="22"/>
        </w:rPr>
        <w:t xml:space="preserve"> y</w:t>
      </w:r>
      <w:r w:rsidR="00606A9F">
        <w:rPr>
          <w:rFonts w:ascii="Arial" w:eastAsiaTheme="minorHAnsi" w:hAnsi="Arial" w:cs="Arial"/>
          <w:bCs/>
          <w:color w:val="000000"/>
          <w:sz w:val="22"/>
          <w:szCs w:val="22"/>
        </w:rPr>
        <w:t xml:space="preserve"> </w:t>
      </w:r>
      <w:r w:rsidR="00180E97">
        <w:rPr>
          <w:rFonts w:ascii="Arial" w:eastAsiaTheme="minorHAnsi" w:hAnsi="Arial" w:cs="Arial"/>
          <w:bCs/>
          <w:color w:val="000000"/>
          <w:sz w:val="22"/>
          <w:szCs w:val="22"/>
        </w:rPr>
        <w:t>que</w:t>
      </w:r>
      <w:r w:rsidR="000C2188">
        <w:rPr>
          <w:rFonts w:ascii="Arial" w:eastAsiaTheme="minorHAnsi" w:hAnsi="Arial" w:cs="Arial"/>
          <w:bCs/>
          <w:color w:val="000000"/>
          <w:sz w:val="22"/>
          <w:szCs w:val="22"/>
        </w:rPr>
        <w:t xml:space="preserve"> </w:t>
      </w:r>
      <w:r w:rsidR="00180E97">
        <w:rPr>
          <w:rFonts w:ascii="Arial" w:hAnsi="Arial" w:cs="Arial"/>
          <w:sz w:val="22"/>
          <w:szCs w:val="22"/>
          <w:lang w:val="es-ES_tradnl"/>
        </w:rPr>
        <w:t>busca</w:t>
      </w:r>
      <w:r w:rsidR="00180E97" w:rsidRPr="00E06984">
        <w:rPr>
          <w:rFonts w:ascii="Arial" w:hAnsi="Arial" w:cs="Arial"/>
          <w:sz w:val="22"/>
          <w:szCs w:val="22"/>
          <w:lang w:val="es-ES_tradnl"/>
        </w:rPr>
        <w:t xml:space="preserve"> mejorar la productividad</w:t>
      </w:r>
      <w:r w:rsidR="00180E97">
        <w:rPr>
          <w:rFonts w:ascii="Arial" w:hAnsi="Arial" w:cs="Arial"/>
          <w:sz w:val="22"/>
          <w:szCs w:val="22"/>
          <w:lang w:val="es-ES_tradnl"/>
        </w:rPr>
        <w:t xml:space="preserve"> </w:t>
      </w:r>
      <w:r w:rsidR="00180E97" w:rsidRPr="00E06984">
        <w:rPr>
          <w:rFonts w:ascii="Arial" w:hAnsi="Arial" w:cs="Arial"/>
          <w:sz w:val="22"/>
          <w:szCs w:val="22"/>
          <w:lang w:val="es-ES_tradnl"/>
        </w:rPr>
        <w:t xml:space="preserve">y la entrada en el mercado laboral </w:t>
      </w:r>
      <w:r w:rsidR="00180E97">
        <w:rPr>
          <w:rFonts w:ascii="Arial" w:hAnsi="Arial" w:cs="Arial"/>
          <w:sz w:val="22"/>
          <w:szCs w:val="22"/>
          <w:lang w:val="es-ES_tradnl"/>
        </w:rPr>
        <w:t xml:space="preserve">formal </w:t>
      </w:r>
      <w:r w:rsidR="00180E97" w:rsidRPr="00E06984">
        <w:rPr>
          <w:rFonts w:ascii="Arial" w:hAnsi="Arial" w:cs="Arial"/>
          <w:sz w:val="22"/>
          <w:szCs w:val="22"/>
          <w:lang w:val="es-ES_tradnl"/>
        </w:rPr>
        <w:t xml:space="preserve">de los estudiantes de los centros </w:t>
      </w:r>
      <w:r w:rsidR="00180E97">
        <w:rPr>
          <w:rFonts w:ascii="Arial" w:hAnsi="Arial" w:cs="Arial"/>
          <w:sz w:val="22"/>
          <w:szCs w:val="22"/>
          <w:lang w:val="es-ES_tradnl"/>
        </w:rPr>
        <w:t xml:space="preserve">de </w:t>
      </w:r>
      <w:r w:rsidR="00180E97" w:rsidRPr="00180E97">
        <w:rPr>
          <w:rFonts w:ascii="Arial" w:hAnsi="Arial" w:cs="Arial"/>
          <w:sz w:val="22"/>
          <w:szCs w:val="22"/>
          <w:lang w:val="es-ES_tradnl"/>
        </w:rPr>
        <w:t>educación</w:t>
      </w:r>
      <w:r w:rsidR="00180E97">
        <w:rPr>
          <w:rFonts w:ascii="Arial" w:hAnsi="Arial" w:cs="Arial"/>
          <w:sz w:val="22"/>
          <w:szCs w:val="22"/>
        </w:rPr>
        <w:t xml:space="preserve"> superior universitaria y de educación superior tecnológica </w:t>
      </w:r>
      <w:r w:rsidR="00180E97" w:rsidRPr="00E06984">
        <w:rPr>
          <w:rFonts w:ascii="Arial" w:hAnsi="Arial" w:cs="Arial"/>
          <w:sz w:val="22"/>
          <w:szCs w:val="22"/>
          <w:lang w:val="es-ES_tradnl"/>
        </w:rPr>
        <w:t>del país</w:t>
      </w:r>
      <w:r w:rsidR="00ED4031">
        <w:rPr>
          <w:rFonts w:ascii="Arial" w:hAnsi="Arial" w:cs="Arial"/>
          <w:sz w:val="22"/>
          <w:szCs w:val="22"/>
          <w:lang w:val="es-ES_tradnl"/>
        </w:rPr>
        <w:t xml:space="preserve"> (entre ellos</w:t>
      </w:r>
      <w:r w:rsidR="00C33F2B">
        <w:rPr>
          <w:rFonts w:ascii="Arial" w:hAnsi="Arial" w:cs="Arial"/>
          <w:sz w:val="22"/>
          <w:szCs w:val="22"/>
          <w:lang w:val="es-ES_tradnl"/>
        </w:rPr>
        <w:t xml:space="preserve"> IEST fortalecidos que además serán </w:t>
      </w:r>
      <w:r w:rsidR="00ED4031">
        <w:rPr>
          <w:rFonts w:ascii="Arial" w:hAnsi="Arial" w:cs="Arial"/>
          <w:sz w:val="22"/>
          <w:szCs w:val="22"/>
          <w:lang w:val="es-ES_tradnl"/>
        </w:rPr>
        <w:t>IDEX)</w:t>
      </w:r>
      <w:r w:rsidR="00180E97" w:rsidRPr="00910ECE">
        <w:rPr>
          <w:rFonts w:ascii="Arial" w:hAnsi="Arial" w:cs="Arial"/>
          <w:sz w:val="22"/>
          <w:szCs w:val="22"/>
        </w:rPr>
        <w:t>,</w:t>
      </w:r>
      <w:r w:rsidR="00180E97" w:rsidRPr="00E06984">
        <w:rPr>
          <w:rFonts w:ascii="Arial" w:hAnsi="Arial" w:cs="Arial"/>
          <w:sz w:val="22"/>
          <w:szCs w:val="22"/>
          <w:lang w:val="es-ES_tradnl"/>
        </w:rPr>
        <w:t xml:space="preserve"> mediante el fortalecimiento de la calidad y la pertinencia de los servicios e</w:t>
      </w:r>
      <w:r w:rsidR="00180E97">
        <w:rPr>
          <w:rFonts w:ascii="Arial" w:hAnsi="Arial" w:cs="Arial"/>
          <w:sz w:val="22"/>
          <w:szCs w:val="22"/>
          <w:lang w:val="es-ES_tradnl"/>
        </w:rPr>
        <w:t>ducativos</w:t>
      </w:r>
      <w:r w:rsidR="002A31F2">
        <w:rPr>
          <w:rFonts w:ascii="Arial" w:hAnsi="Arial" w:cs="Arial"/>
          <w:sz w:val="22"/>
          <w:szCs w:val="22"/>
          <w:lang w:val="es-ES_tradnl"/>
        </w:rPr>
        <w:t>. La segunda operación es</w:t>
      </w:r>
      <w:r w:rsidR="00180E97">
        <w:rPr>
          <w:rFonts w:ascii="Arial" w:eastAsiaTheme="minorHAnsi" w:hAnsi="Arial" w:cs="Arial"/>
          <w:bCs/>
          <w:color w:val="000000"/>
          <w:sz w:val="22"/>
          <w:szCs w:val="22"/>
        </w:rPr>
        <w:t xml:space="preserve"> </w:t>
      </w:r>
      <w:r w:rsidR="000C2188">
        <w:rPr>
          <w:rFonts w:ascii="Arial" w:eastAsiaTheme="minorHAnsi" w:hAnsi="Arial" w:cs="Arial"/>
          <w:bCs/>
          <w:color w:val="000000"/>
          <w:sz w:val="22"/>
          <w:szCs w:val="22"/>
        </w:rPr>
        <w:t>PE-L</w:t>
      </w:r>
      <w:r w:rsidR="0053776D">
        <w:rPr>
          <w:rFonts w:ascii="Arial" w:eastAsiaTheme="minorHAnsi" w:hAnsi="Arial" w:cs="Arial"/>
          <w:bCs/>
          <w:color w:val="000000"/>
          <w:sz w:val="22"/>
          <w:szCs w:val="22"/>
        </w:rPr>
        <w:t>1162 “Mejoramiento de los niveles de innovación productiva a nivel nacional”</w:t>
      </w:r>
      <w:r w:rsidR="00606A9F">
        <w:rPr>
          <w:rFonts w:ascii="Arial" w:eastAsiaTheme="minorHAnsi" w:hAnsi="Arial" w:cs="Arial"/>
          <w:bCs/>
          <w:color w:val="000000"/>
          <w:sz w:val="22"/>
          <w:szCs w:val="22"/>
        </w:rPr>
        <w:t xml:space="preserve">, </w:t>
      </w:r>
      <w:r w:rsidR="005C2C71">
        <w:rPr>
          <w:rFonts w:ascii="Arial" w:eastAsiaTheme="minorHAnsi" w:hAnsi="Arial" w:cs="Arial"/>
          <w:bCs/>
          <w:color w:val="000000"/>
          <w:sz w:val="22"/>
          <w:szCs w:val="22"/>
        </w:rPr>
        <w:t>aprobada en 2016</w:t>
      </w:r>
      <w:r w:rsidR="002A31F2">
        <w:rPr>
          <w:rFonts w:ascii="Arial" w:eastAsiaTheme="minorHAnsi" w:hAnsi="Arial" w:cs="Arial"/>
          <w:bCs/>
          <w:color w:val="000000"/>
          <w:sz w:val="22"/>
          <w:szCs w:val="22"/>
        </w:rPr>
        <w:t xml:space="preserve"> y</w:t>
      </w:r>
      <w:r w:rsidR="005C2C71">
        <w:rPr>
          <w:rFonts w:ascii="Arial" w:eastAsiaTheme="minorHAnsi" w:hAnsi="Arial" w:cs="Arial"/>
          <w:bCs/>
          <w:color w:val="000000"/>
          <w:sz w:val="22"/>
          <w:szCs w:val="22"/>
        </w:rPr>
        <w:t xml:space="preserve"> </w:t>
      </w:r>
      <w:r w:rsidR="00606A9F">
        <w:rPr>
          <w:rFonts w:ascii="Arial" w:eastAsiaTheme="minorHAnsi" w:hAnsi="Arial" w:cs="Arial"/>
          <w:bCs/>
          <w:color w:val="000000"/>
          <w:sz w:val="22"/>
          <w:szCs w:val="22"/>
        </w:rPr>
        <w:t>cuyo objetivo general es contribuir al crecimiento de la productividad de la economía</w:t>
      </w:r>
      <w:r w:rsidR="003655AA">
        <w:rPr>
          <w:rFonts w:ascii="Arial" w:eastAsiaTheme="minorHAnsi" w:hAnsi="Arial" w:cs="Arial"/>
          <w:bCs/>
          <w:color w:val="000000"/>
          <w:sz w:val="22"/>
          <w:szCs w:val="22"/>
        </w:rPr>
        <w:t xml:space="preserve">, a través de, entre otros, </w:t>
      </w:r>
      <w:r w:rsidR="00057744">
        <w:rPr>
          <w:rFonts w:ascii="Arial" w:eastAsiaTheme="minorHAnsi" w:hAnsi="Arial" w:cs="Arial"/>
          <w:bCs/>
          <w:color w:val="000000"/>
          <w:sz w:val="22"/>
          <w:szCs w:val="22"/>
        </w:rPr>
        <w:t xml:space="preserve">el </w:t>
      </w:r>
      <w:r w:rsidR="003655AA">
        <w:rPr>
          <w:rFonts w:ascii="Arial" w:eastAsiaTheme="minorHAnsi" w:hAnsi="Arial" w:cs="Arial"/>
          <w:bCs/>
          <w:color w:val="000000"/>
          <w:sz w:val="22"/>
          <w:szCs w:val="22"/>
        </w:rPr>
        <w:t xml:space="preserve">mejoramiento de </w:t>
      </w:r>
      <w:r w:rsidR="00180E97">
        <w:rPr>
          <w:rFonts w:ascii="Arial" w:eastAsiaTheme="minorHAnsi" w:hAnsi="Arial" w:cs="Arial"/>
          <w:bCs/>
          <w:color w:val="000000"/>
          <w:sz w:val="22"/>
          <w:szCs w:val="22"/>
        </w:rPr>
        <w:t xml:space="preserve">capacidades empresariales </w:t>
      </w:r>
      <w:r w:rsidR="003655AA">
        <w:rPr>
          <w:rFonts w:ascii="Arial" w:eastAsiaTheme="minorHAnsi" w:hAnsi="Arial" w:cs="Arial"/>
          <w:bCs/>
          <w:color w:val="000000"/>
          <w:sz w:val="22"/>
          <w:szCs w:val="22"/>
        </w:rPr>
        <w:t>mediante</w:t>
      </w:r>
      <w:r w:rsidR="00180E97">
        <w:rPr>
          <w:rFonts w:ascii="Arial" w:eastAsiaTheme="minorHAnsi" w:hAnsi="Arial" w:cs="Arial"/>
          <w:bCs/>
          <w:color w:val="000000"/>
          <w:sz w:val="22"/>
          <w:szCs w:val="22"/>
        </w:rPr>
        <w:t xml:space="preserve"> extensión empresarial y transferencia tecnológica</w:t>
      </w:r>
      <w:r w:rsidR="002A31F2">
        <w:rPr>
          <w:rFonts w:ascii="Arial" w:eastAsiaTheme="minorHAnsi" w:hAnsi="Arial" w:cs="Arial"/>
          <w:bCs/>
          <w:color w:val="000000"/>
          <w:sz w:val="22"/>
          <w:szCs w:val="22"/>
        </w:rPr>
        <w:t xml:space="preserve"> en </w:t>
      </w:r>
      <w:proofErr w:type="spellStart"/>
      <w:r w:rsidR="002A31F2">
        <w:rPr>
          <w:rFonts w:ascii="Arial" w:eastAsiaTheme="minorHAnsi" w:hAnsi="Arial" w:cs="Arial"/>
          <w:bCs/>
          <w:color w:val="000000"/>
          <w:sz w:val="22"/>
          <w:szCs w:val="22"/>
        </w:rPr>
        <w:t>CITEs</w:t>
      </w:r>
      <w:proofErr w:type="spellEnd"/>
      <w:r w:rsidR="007C5269">
        <w:rPr>
          <w:rFonts w:ascii="Arial" w:eastAsiaTheme="minorHAnsi" w:hAnsi="Arial" w:cs="Arial"/>
          <w:bCs/>
          <w:color w:val="000000"/>
          <w:sz w:val="22"/>
          <w:szCs w:val="22"/>
        </w:rPr>
        <w:t>.</w:t>
      </w:r>
      <w:r w:rsidR="005B3431">
        <w:rPr>
          <w:rFonts w:ascii="Arial" w:eastAsiaTheme="minorHAnsi" w:hAnsi="Arial" w:cs="Arial"/>
          <w:bCs/>
          <w:color w:val="000000"/>
          <w:sz w:val="22"/>
          <w:szCs w:val="22"/>
        </w:rPr>
        <w:t xml:space="preserve"> Dado que se espera una reacción de mediano plazo de los indicadores de impacto asociados a estos objetivos, la propuesta de evaluación para el impacto del programa se ancla al monitoreo y evaluación que los préstamos de inversión señalados harán al finalizar sus respectivas ejecuciones. Esto además es consistente con la teoría de cambio del presente programa puesto que los cambios regulatorios e institucionales </w:t>
      </w:r>
      <w:r w:rsidR="00937A63">
        <w:rPr>
          <w:rFonts w:ascii="Arial" w:eastAsiaTheme="minorHAnsi" w:hAnsi="Arial" w:cs="Arial"/>
          <w:bCs/>
          <w:color w:val="000000"/>
          <w:sz w:val="22"/>
          <w:szCs w:val="22"/>
        </w:rPr>
        <w:t>reflejados en los compromisos de política del</w:t>
      </w:r>
      <w:r w:rsidR="005B3431">
        <w:rPr>
          <w:rFonts w:ascii="Arial" w:eastAsiaTheme="minorHAnsi" w:hAnsi="Arial" w:cs="Arial"/>
          <w:bCs/>
          <w:color w:val="000000"/>
          <w:sz w:val="22"/>
          <w:szCs w:val="22"/>
        </w:rPr>
        <w:t xml:space="preserve"> programa </w:t>
      </w:r>
      <w:r w:rsidR="00F85DAC">
        <w:rPr>
          <w:rFonts w:ascii="Arial" w:eastAsiaTheme="minorHAnsi" w:hAnsi="Arial" w:cs="Arial"/>
          <w:bCs/>
          <w:color w:val="000000"/>
          <w:sz w:val="22"/>
          <w:szCs w:val="22"/>
        </w:rPr>
        <w:t>son insumos a partir de los cuales los productos de las dos operaciones mencionadas se construyen</w:t>
      </w:r>
      <w:r w:rsidR="00231021">
        <w:rPr>
          <w:rFonts w:ascii="Arial" w:eastAsiaTheme="minorHAnsi" w:hAnsi="Arial" w:cs="Arial"/>
          <w:bCs/>
          <w:color w:val="000000"/>
          <w:sz w:val="22"/>
          <w:szCs w:val="22"/>
        </w:rPr>
        <w:t xml:space="preserve"> (por ejemplo,</w:t>
      </w:r>
      <w:r w:rsidR="00DB1C24">
        <w:rPr>
          <w:rFonts w:ascii="Arial" w:eastAsiaTheme="minorHAnsi" w:hAnsi="Arial" w:cs="Arial"/>
          <w:bCs/>
          <w:color w:val="000000"/>
          <w:sz w:val="22"/>
          <w:szCs w:val="22"/>
        </w:rPr>
        <w:t xml:space="preserve"> en el caso de los IDEX, </w:t>
      </w:r>
      <w:r w:rsidR="009D4E32">
        <w:rPr>
          <w:rFonts w:ascii="Arial" w:eastAsiaTheme="minorHAnsi" w:hAnsi="Arial" w:cs="Arial"/>
          <w:bCs/>
          <w:color w:val="000000"/>
          <w:sz w:val="22"/>
          <w:szCs w:val="22"/>
        </w:rPr>
        <w:t>el PBP asegurará la aprobación de los modelos de excelencia para institutos</w:t>
      </w:r>
      <w:r w:rsidR="00B14C97">
        <w:rPr>
          <w:rFonts w:ascii="Arial" w:eastAsiaTheme="minorHAnsi" w:hAnsi="Arial" w:cs="Arial"/>
          <w:bCs/>
          <w:color w:val="000000"/>
          <w:sz w:val="22"/>
          <w:szCs w:val="22"/>
        </w:rPr>
        <w:t xml:space="preserve"> superiores</w:t>
      </w:r>
      <w:r w:rsidR="009D4E32">
        <w:rPr>
          <w:rFonts w:ascii="Arial" w:eastAsiaTheme="minorHAnsi" w:hAnsi="Arial" w:cs="Arial"/>
          <w:bCs/>
          <w:color w:val="000000"/>
          <w:sz w:val="22"/>
          <w:szCs w:val="22"/>
        </w:rPr>
        <w:t xml:space="preserve"> tecnológicos</w:t>
      </w:r>
      <w:r w:rsidR="00B14C97">
        <w:rPr>
          <w:rFonts w:ascii="Arial" w:eastAsiaTheme="minorHAnsi" w:hAnsi="Arial" w:cs="Arial"/>
          <w:bCs/>
          <w:color w:val="000000"/>
          <w:sz w:val="22"/>
          <w:szCs w:val="22"/>
        </w:rPr>
        <w:t xml:space="preserve"> públicos</w:t>
      </w:r>
      <w:r w:rsidR="009D4E32">
        <w:rPr>
          <w:rFonts w:ascii="Arial" w:eastAsiaTheme="minorHAnsi" w:hAnsi="Arial" w:cs="Arial"/>
          <w:bCs/>
          <w:color w:val="000000"/>
          <w:sz w:val="22"/>
          <w:szCs w:val="22"/>
        </w:rPr>
        <w:t>, mientras que el préstamo de inversión financiará mejoras en la infraestructura y gestión de tales institutos;</w:t>
      </w:r>
      <w:r w:rsidR="00231021">
        <w:rPr>
          <w:rFonts w:ascii="Arial" w:eastAsiaTheme="minorHAnsi" w:hAnsi="Arial" w:cs="Arial"/>
          <w:bCs/>
          <w:color w:val="000000"/>
          <w:sz w:val="22"/>
          <w:szCs w:val="22"/>
        </w:rPr>
        <w:t xml:space="preserve"> en el caso de los CITE, el PBP asegurará </w:t>
      </w:r>
      <w:r w:rsidR="009D4E32">
        <w:rPr>
          <w:rFonts w:ascii="Arial" w:eastAsiaTheme="minorHAnsi" w:hAnsi="Arial" w:cs="Arial"/>
          <w:bCs/>
          <w:color w:val="000000"/>
          <w:sz w:val="22"/>
          <w:szCs w:val="22"/>
        </w:rPr>
        <w:t xml:space="preserve">la implementación de la ley de aseguramiento de calidad de los CITE mediante </w:t>
      </w:r>
      <w:r w:rsidR="00231021">
        <w:rPr>
          <w:rFonts w:ascii="Arial" w:eastAsiaTheme="minorHAnsi" w:hAnsi="Arial" w:cs="Arial"/>
          <w:bCs/>
          <w:color w:val="000000"/>
          <w:sz w:val="22"/>
          <w:szCs w:val="22"/>
        </w:rPr>
        <w:t xml:space="preserve">el monitoreo y la acreditación de mínimas condiciones para funcionamiento óptimo de los CITE mientras que el préstamo de inversión financiará </w:t>
      </w:r>
      <w:r w:rsidR="00A22E40">
        <w:rPr>
          <w:rFonts w:ascii="Arial" w:eastAsiaTheme="minorHAnsi" w:hAnsi="Arial" w:cs="Arial"/>
          <w:bCs/>
          <w:color w:val="000000"/>
          <w:sz w:val="22"/>
          <w:szCs w:val="22"/>
        </w:rPr>
        <w:t xml:space="preserve">los requerimientos para lograr </w:t>
      </w:r>
      <w:r w:rsidR="00231021">
        <w:rPr>
          <w:rFonts w:ascii="Arial" w:eastAsiaTheme="minorHAnsi" w:hAnsi="Arial" w:cs="Arial"/>
          <w:bCs/>
          <w:color w:val="000000"/>
          <w:sz w:val="22"/>
          <w:szCs w:val="22"/>
        </w:rPr>
        <w:t xml:space="preserve">mejoras en los servicios </w:t>
      </w:r>
      <w:r w:rsidR="00A22E40">
        <w:rPr>
          <w:rFonts w:ascii="Arial" w:eastAsiaTheme="minorHAnsi" w:hAnsi="Arial" w:cs="Arial"/>
          <w:bCs/>
          <w:color w:val="000000"/>
          <w:sz w:val="22"/>
          <w:szCs w:val="22"/>
        </w:rPr>
        <w:t>ofrecidos por los CITE</w:t>
      </w:r>
      <w:r w:rsidR="00231021">
        <w:rPr>
          <w:rFonts w:ascii="Arial" w:eastAsiaTheme="minorHAnsi" w:hAnsi="Arial" w:cs="Arial"/>
          <w:bCs/>
          <w:color w:val="000000"/>
          <w:sz w:val="22"/>
          <w:szCs w:val="22"/>
        </w:rPr>
        <w:t>)</w:t>
      </w:r>
      <w:r w:rsidR="00937A63">
        <w:rPr>
          <w:rFonts w:ascii="Arial" w:eastAsiaTheme="minorHAnsi" w:hAnsi="Arial" w:cs="Arial"/>
          <w:bCs/>
          <w:color w:val="000000"/>
          <w:sz w:val="22"/>
          <w:szCs w:val="22"/>
        </w:rPr>
        <w:t>.</w:t>
      </w:r>
    </w:p>
    <w:p w14:paraId="01782AB8" w14:textId="0CBC30C3" w:rsidR="005C3BC2" w:rsidRPr="00C719A8" w:rsidRDefault="003E047B" w:rsidP="005C3BC2">
      <w:pPr>
        <w:pStyle w:val="Paragraph"/>
        <w:rPr>
          <w:rFonts w:ascii="Arial" w:hAnsi="Arial" w:cs="Arial"/>
          <w:sz w:val="22"/>
          <w:szCs w:val="22"/>
        </w:rPr>
      </w:pPr>
      <w:r>
        <w:rPr>
          <w:rFonts w:ascii="Arial" w:eastAsiaTheme="minorHAnsi" w:hAnsi="Arial" w:cs="Arial"/>
          <w:bCs/>
          <w:color w:val="000000"/>
          <w:sz w:val="22"/>
          <w:szCs w:val="22"/>
        </w:rPr>
        <w:t xml:space="preserve">Por otro lado, </w:t>
      </w:r>
      <w:r w:rsidR="00EA0FDA">
        <w:rPr>
          <w:rFonts w:ascii="Arial" w:eastAsiaTheme="minorHAnsi" w:hAnsi="Arial" w:cs="Arial"/>
          <w:bCs/>
          <w:color w:val="000000"/>
          <w:sz w:val="22"/>
          <w:szCs w:val="22"/>
        </w:rPr>
        <w:t xml:space="preserve">el PME </w:t>
      </w:r>
      <w:r>
        <w:rPr>
          <w:rFonts w:ascii="Arial" w:eastAsiaTheme="minorHAnsi" w:hAnsi="Arial" w:cs="Arial"/>
          <w:bCs/>
          <w:color w:val="000000"/>
          <w:sz w:val="22"/>
          <w:szCs w:val="22"/>
        </w:rPr>
        <w:t>propone medir la efectividad del programa</w:t>
      </w:r>
      <w:r w:rsidR="00EA0FDA">
        <w:rPr>
          <w:rFonts w:ascii="Arial" w:eastAsiaTheme="minorHAnsi" w:hAnsi="Arial" w:cs="Arial"/>
          <w:bCs/>
          <w:color w:val="000000"/>
          <w:sz w:val="22"/>
          <w:szCs w:val="22"/>
        </w:rPr>
        <w:t xml:space="preserve"> en el logro de resultados más inmediatos. Para </w:t>
      </w:r>
      <w:r w:rsidR="00CF70A7">
        <w:rPr>
          <w:rFonts w:ascii="Arial" w:eastAsiaTheme="minorHAnsi" w:hAnsi="Arial" w:cs="Arial"/>
          <w:bCs/>
          <w:color w:val="000000"/>
          <w:sz w:val="22"/>
          <w:szCs w:val="22"/>
        </w:rPr>
        <w:t>ello</w:t>
      </w:r>
      <w:r w:rsidR="00756F39">
        <w:rPr>
          <w:rFonts w:ascii="Arial" w:eastAsiaTheme="minorHAnsi" w:hAnsi="Arial" w:cs="Arial"/>
          <w:bCs/>
          <w:color w:val="000000"/>
          <w:sz w:val="22"/>
          <w:szCs w:val="22"/>
        </w:rPr>
        <w:t xml:space="preserve"> se identifica un conjunto de resultados </w:t>
      </w:r>
      <w:r w:rsidR="004D5EBD">
        <w:rPr>
          <w:rFonts w:ascii="Arial" w:eastAsiaTheme="minorHAnsi" w:hAnsi="Arial" w:cs="Arial"/>
          <w:bCs/>
          <w:color w:val="000000"/>
          <w:sz w:val="22"/>
          <w:szCs w:val="22"/>
        </w:rPr>
        <w:t xml:space="preserve">potencialmente </w:t>
      </w:r>
      <w:r w:rsidR="00756F39">
        <w:rPr>
          <w:rFonts w:ascii="Arial" w:eastAsiaTheme="minorHAnsi" w:hAnsi="Arial" w:cs="Arial"/>
          <w:bCs/>
          <w:color w:val="000000"/>
          <w:sz w:val="22"/>
          <w:szCs w:val="22"/>
        </w:rPr>
        <w:t xml:space="preserve">atribuibles al programa que dependan </w:t>
      </w:r>
      <w:r w:rsidR="00C45570">
        <w:rPr>
          <w:rFonts w:ascii="Arial" w:eastAsiaTheme="minorHAnsi" w:hAnsi="Arial" w:cs="Arial"/>
          <w:bCs/>
          <w:color w:val="000000"/>
          <w:sz w:val="22"/>
          <w:szCs w:val="22"/>
        </w:rPr>
        <w:t>de la absorción</w:t>
      </w:r>
      <w:r w:rsidR="00756F39">
        <w:rPr>
          <w:rFonts w:ascii="Arial" w:eastAsiaTheme="minorHAnsi" w:hAnsi="Arial" w:cs="Arial"/>
          <w:bCs/>
          <w:color w:val="000000"/>
          <w:sz w:val="22"/>
          <w:szCs w:val="22"/>
        </w:rPr>
        <w:t xml:space="preserve"> de</w:t>
      </w:r>
      <w:r w:rsidR="00C45570">
        <w:rPr>
          <w:rFonts w:ascii="Arial" w:eastAsiaTheme="minorHAnsi" w:hAnsi="Arial" w:cs="Arial"/>
          <w:bCs/>
          <w:color w:val="000000"/>
          <w:sz w:val="22"/>
          <w:szCs w:val="22"/>
        </w:rPr>
        <w:t xml:space="preserve"> las reformas y no sólo de su implementación (</w:t>
      </w:r>
      <w:proofErr w:type="spellStart"/>
      <w:r w:rsidR="00C45570" w:rsidRPr="0099117E">
        <w:rPr>
          <w:rFonts w:ascii="Arial" w:eastAsiaTheme="minorHAnsi" w:hAnsi="Arial" w:cs="Arial"/>
          <w:bCs/>
          <w:i/>
          <w:color w:val="000000"/>
          <w:sz w:val="22"/>
          <w:szCs w:val="22"/>
        </w:rPr>
        <w:t>take</w:t>
      </w:r>
      <w:proofErr w:type="spellEnd"/>
      <w:r w:rsidR="00C45570" w:rsidRPr="0099117E">
        <w:rPr>
          <w:rFonts w:ascii="Arial" w:eastAsiaTheme="minorHAnsi" w:hAnsi="Arial" w:cs="Arial"/>
          <w:bCs/>
          <w:i/>
          <w:color w:val="000000"/>
          <w:sz w:val="22"/>
          <w:szCs w:val="22"/>
        </w:rPr>
        <w:t xml:space="preserve"> up</w:t>
      </w:r>
      <w:r w:rsidR="00C45570">
        <w:rPr>
          <w:rFonts w:ascii="Arial" w:eastAsiaTheme="minorHAnsi" w:hAnsi="Arial" w:cs="Arial"/>
          <w:bCs/>
          <w:color w:val="000000"/>
          <w:sz w:val="22"/>
          <w:szCs w:val="22"/>
        </w:rPr>
        <w:t xml:space="preserve"> de </w:t>
      </w:r>
      <w:r w:rsidR="00756F39">
        <w:rPr>
          <w:rFonts w:ascii="Arial" w:eastAsiaTheme="minorHAnsi" w:hAnsi="Arial" w:cs="Arial"/>
          <w:bCs/>
          <w:color w:val="000000"/>
          <w:sz w:val="22"/>
          <w:szCs w:val="22"/>
        </w:rPr>
        <w:t>la demanda</w:t>
      </w:r>
      <w:r w:rsidR="00C45570">
        <w:rPr>
          <w:rFonts w:ascii="Arial" w:eastAsiaTheme="minorHAnsi" w:hAnsi="Arial" w:cs="Arial"/>
          <w:bCs/>
          <w:color w:val="000000"/>
          <w:sz w:val="22"/>
          <w:szCs w:val="22"/>
        </w:rPr>
        <w:t>)</w:t>
      </w:r>
      <w:r w:rsidR="005A38D9">
        <w:rPr>
          <w:rFonts w:ascii="Arial" w:eastAsiaTheme="minorHAnsi" w:hAnsi="Arial" w:cs="Arial"/>
          <w:bCs/>
          <w:color w:val="000000"/>
          <w:sz w:val="22"/>
          <w:szCs w:val="22"/>
        </w:rPr>
        <w:t xml:space="preserve"> y que puedan cambiar en el corto plazo, es decir </w:t>
      </w:r>
      <w:r w:rsidR="00C45570">
        <w:rPr>
          <w:rFonts w:ascii="Arial" w:eastAsiaTheme="minorHAnsi" w:hAnsi="Arial" w:cs="Arial"/>
          <w:bCs/>
          <w:color w:val="000000"/>
          <w:sz w:val="22"/>
          <w:szCs w:val="22"/>
        </w:rPr>
        <w:t xml:space="preserve">que ofrezcan posibilidad de medición de resultados </w:t>
      </w:r>
      <w:r w:rsidR="005A38D9">
        <w:rPr>
          <w:rFonts w:ascii="Arial" w:eastAsiaTheme="minorHAnsi" w:hAnsi="Arial" w:cs="Arial"/>
          <w:bCs/>
          <w:color w:val="000000"/>
          <w:sz w:val="22"/>
          <w:szCs w:val="22"/>
        </w:rPr>
        <w:t>a pocos meses de implementadas las reformas.</w:t>
      </w:r>
      <w:r w:rsidR="00214E22">
        <w:rPr>
          <w:rFonts w:ascii="Arial" w:eastAsiaTheme="minorHAnsi" w:hAnsi="Arial" w:cs="Arial"/>
          <w:bCs/>
          <w:color w:val="000000"/>
          <w:sz w:val="22"/>
          <w:szCs w:val="22"/>
        </w:rPr>
        <w:t xml:space="preserve"> A diferencia </w:t>
      </w:r>
      <w:r w:rsidR="00CF1EC9">
        <w:rPr>
          <w:rFonts w:ascii="Arial" w:eastAsiaTheme="minorHAnsi" w:hAnsi="Arial" w:cs="Arial"/>
          <w:bCs/>
          <w:color w:val="000000"/>
          <w:sz w:val="22"/>
          <w:szCs w:val="22"/>
        </w:rPr>
        <w:t xml:space="preserve">del caso de los impactos, para los que se sigue una identificación de la situación contrafactual a partir de controles conformados bajo técnicas no experimentales basadas en emparejamiento estadístico y dobles diferencias, en el caso de los resultados de corto plazo se sigue comparaciones antes y después para la mitad de </w:t>
      </w:r>
      <w:proofErr w:type="gramStart"/>
      <w:r w:rsidR="00CF1EC9">
        <w:rPr>
          <w:rFonts w:ascii="Arial" w:eastAsiaTheme="minorHAnsi" w:hAnsi="Arial" w:cs="Arial"/>
          <w:bCs/>
          <w:color w:val="000000"/>
          <w:sz w:val="22"/>
          <w:szCs w:val="22"/>
        </w:rPr>
        <w:t>indicadores</w:t>
      </w:r>
      <w:proofErr w:type="gramEnd"/>
      <w:r w:rsidR="00CF1EC9">
        <w:rPr>
          <w:rFonts w:ascii="Arial" w:eastAsiaTheme="minorHAnsi" w:hAnsi="Arial" w:cs="Arial"/>
          <w:bCs/>
          <w:color w:val="000000"/>
          <w:sz w:val="22"/>
          <w:szCs w:val="22"/>
        </w:rPr>
        <w:t>. Para la otra mitad se propone aplicar las mismas técnicas de identificación que las empleadas en el caso de la medición de impactos. En el caso de las comparaciones antes y después, se argumenta por qué la comparación antes y después podría implicar atribución inducida por las reformas del programa.</w:t>
      </w:r>
    </w:p>
    <w:p w14:paraId="69DAD603" w14:textId="6A3EE588" w:rsidR="005C3BC2" w:rsidRPr="00F64874" w:rsidRDefault="005C3BC2" w:rsidP="005C3BC2">
      <w:pPr>
        <w:pStyle w:val="FirstHeading"/>
        <w:rPr>
          <w:rFonts w:ascii="Arial" w:hAnsi="Arial" w:cs="Arial"/>
          <w:sz w:val="22"/>
          <w:szCs w:val="22"/>
          <w:lang w:val="es-ES"/>
        </w:rPr>
      </w:pPr>
      <w:r w:rsidRPr="00F64874">
        <w:rPr>
          <w:rFonts w:ascii="Arial" w:hAnsi="Arial" w:cs="Arial"/>
          <w:sz w:val="22"/>
          <w:szCs w:val="22"/>
          <w:lang w:val="es-ES"/>
        </w:rPr>
        <w:fldChar w:fldCharType="begin"/>
      </w:r>
      <w:r w:rsidRPr="00F64874">
        <w:rPr>
          <w:rFonts w:ascii="Arial" w:hAnsi="Arial" w:cs="Arial"/>
          <w:sz w:val="22"/>
          <w:szCs w:val="22"/>
          <w:lang w:val="es-ES"/>
        </w:rPr>
        <w:instrText xml:space="preserve"> SEQ "</w:instrText>
      </w:r>
      <w:r w:rsidRPr="00F64874">
        <w:rPr>
          <w:rFonts w:ascii="Arial" w:hAnsi="Arial" w:cs="Arial"/>
          <w:sz w:val="22"/>
          <w:szCs w:val="22"/>
          <w:lang w:val="es-ES"/>
        </w:rPr>
        <w:fldChar w:fldCharType="begin"/>
      </w:r>
      <w:r w:rsidRPr="00F64874">
        <w:rPr>
          <w:rFonts w:ascii="Arial" w:hAnsi="Arial" w:cs="Arial"/>
          <w:sz w:val="22"/>
          <w:szCs w:val="22"/>
          <w:lang w:val="es-ES"/>
        </w:rPr>
        <w:instrText xml:space="preserve"> SECTION  \* MERGEFORMAT </w:instrText>
      </w:r>
      <w:r w:rsidRPr="00F64874">
        <w:rPr>
          <w:rFonts w:ascii="Arial" w:hAnsi="Arial" w:cs="Arial"/>
          <w:sz w:val="22"/>
          <w:szCs w:val="22"/>
          <w:lang w:val="es-ES"/>
        </w:rPr>
        <w:fldChar w:fldCharType="separate"/>
      </w:r>
      <w:r w:rsidR="00FD4383">
        <w:rPr>
          <w:rFonts w:ascii="Arial" w:hAnsi="Arial" w:cs="Arial"/>
          <w:sz w:val="22"/>
          <w:szCs w:val="22"/>
          <w:lang w:val="es-ES"/>
        </w:rPr>
        <w:instrText>4</w:instrText>
      </w:r>
      <w:r w:rsidRPr="00F64874">
        <w:rPr>
          <w:rFonts w:ascii="Arial" w:hAnsi="Arial" w:cs="Arial"/>
          <w:sz w:val="22"/>
          <w:szCs w:val="22"/>
          <w:lang w:val="es-ES"/>
        </w:rPr>
        <w:fldChar w:fldCharType="end"/>
      </w:r>
      <w:r w:rsidRPr="00F64874">
        <w:rPr>
          <w:rFonts w:ascii="Arial" w:hAnsi="Arial" w:cs="Arial"/>
          <w:sz w:val="22"/>
          <w:szCs w:val="22"/>
          <w:lang w:val="es-ES"/>
        </w:rPr>
        <w:instrText xml:space="preserve">#"\* ALPHABETIC \* MERGEFORMAT </w:instrText>
      </w:r>
      <w:r w:rsidRPr="00F64874">
        <w:rPr>
          <w:rFonts w:ascii="Arial" w:hAnsi="Arial" w:cs="Arial"/>
          <w:sz w:val="22"/>
          <w:szCs w:val="22"/>
          <w:lang w:val="es-ES"/>
        </w:rPr>
        <w:fldChar w:fldCharType="separate"/>
      </w:r>
      <w:bookmarkStart w:id="11" w:name="_Toc524431185"/>
      <w:r w:rsidR="00FD4383">
        <w:rPr>
          <w:rFonts w:ascii="Arial" w:hAnsi="Arial" w:cs="Arial"/>
          <w:noProof/>
          <w:sz w:val="22"/>
          <w:szCs w:val="22"/>
          <w:lang w:val="es-ES"/>
        </w:rPr>
        <w:t>A</w:t>
      </w:r>
      <w:r w:rsidRPr="00F64874">
        <w:rPr>
          <w:rFonts w:ascii="Arial" w:hAnsi="Arial" w:cs="Arial"/>
          <w:sz w:val="22"/>
          <w:szCs w:val="22"/>
          <w:lang w:val="es-ES"/>
        </w:rPr>
        <w:fldChar w:fldCharType="end"/>
      </w:r>
      <w:r w:rsidRPr="00F64874">
        <w:rPr>
          <w:rFonts w:ascii="Arial" w:hAnsi="Arial" w:cs="Arial"/>
          <w:sz w:val="22"/>
          <w:szCs w:val="22"/>
          <w:lang w:val="es-ES"/>
        </w:rPr>
        <w:t>.</w:t>
      </w:r>
      <w:r w:rsidRPr="00F64874">
        <w:rPr>
          <w:rFonts w:ascii="Arial" w:hAnsi="Arial" w:cs="Arial"/>
          <w:sz w:val="22"/>
          <w:szCs w:val="22"/>
          <w:lang w:val="es-ES"/>
        </w:rPr>
        <w:tab/>
        <w:t>Principales preguntas de evaluación</w:t>
      </w:r>
      <w:r w:rsidR="00EB1C35">
        <w:rPr>
          <w:rFonts w:ascii="Arial" w:hAnsi="Arial" w:cs="Arial"/>
          <w:sz w:val="22"/>
          <w:szCs w:val="22"/>
          <w:lang w:val="es-ES"/>
        </w:rPr>
        <w:t xml:space="preserve"> e indicadores de efectos directos</w:t>
      </w:r>
      <w:bookmarkEnd w:id="11"/>
    </w:p>
    <w:p w14:paraId="0B512741" w14:textId="0EE5569C" w:rsidR="005C3BC2" w:rsidRPr="00A51226" w:rsidRDefault="00A361EA" w:rsidP="005C3BC2">
      <w:pPr>
        <w:pStyle w:val="Paragraph"/>
        <w:rPr>
          <w:rFonts w:ascii="Arial" w:hAnsi="Arial" w:cs="Arial"/>
          <w:sz w:val="22"/>
          <w:szCs w:val="22"/>
        </w:rPr>
      </w:pPr>
      <w:r>
        <w:rPr>
          <w:rFonts w:ascii="Arial" w:hAnsi="Arial" w:cs="Arial"/>
          <w:sz w:val="22"/>
          <w:szCs w:val="22"/>
        </w:rPr>
        <w:t>Dado que el</w:t>
      </w:r>
      <w:r w:rsidR="005C3BC2" w:rsidRPr="00A95454">
        <w:rPr>
          <w:rFonts w:ascii="Arial" w:hAnsi="Arial" w:cs="Arial"/>
          <w:sz w:val="22"/>
          <w:szCs w:val="22"/>
        </w:rPr>
        <w:t xml:space="preserve"> </w:t>
      </w:r>
      <w:r w:rsidR="00CD40B8">
        <w:rPr>
          <w:rFonts w:ascii="Arial" w:hAnsi="Arial" w:cs="Arial"/>
          <w:sz w:val="22"/>
          <w:szCs w:val="22"/>
        </w:rPr>
        <w:t xml:space="preserve">programa busca </w:t>
      </w:r>
      <w:r w:rsidR="00CD40B8" w:rsidRPr="004C5DE6">
        <w:rPr>
          <w:rFonts w:ascii="Arial" w:hAnsi="Arial" w:cs="Arial"/>
          <w:sz w:val="22"/>
          <w:szCs w:val="22"/>
        </w:rPr>
        <w:t>mejorar la calidad del factor productivo laboral y reducir los limitantes de las políticas públicas que no permiten la eficiencia en la asignación de los factores productivos</w:t>
      </w:r>
      <w:r w:rsidR="00CD40B8">
        <w:rPr>
          <w:rFonts w:ascii="Arial" w:hAnsi="Arial" w:cs="Arial"/>
          <w:sz w:val="22"/>
          <w:szCs w:val="22"/>
        </w:rPr>
        <w:t>, ambos con el</w:t>
      </w:r>
      <w:r w:rsidR="00CD40B8" w:rsidRPr="00A95454">
        <w:rPr>
          <w:rFonts w:ascii="Arial" w:hAnsi="Arial" w:cs="Arial"/>
          <w:sz w:val="22"/>
          <w:szCs w:val="22"/>
        </w:rPr>
        <w:t xml:space="preserve"> </w:t>
      </w:r>
      <w:r w:rsidR="005C3BC2" w:rsidRPr="00A95454">
        <w:rPr>
          <w:rFonts w:ascii="Arial" w:hAnsi="Arial" w:cs="Arial"/>
          <w:sz w:val="22"/>
          <w:szCs w:val="22"/>
        </w:rPr>
        <w:t xml:space="preserve">objetivo general de </w:t>
      </w:r>
      <w:r w:rsidR="004C5DE6" w:rsidRPr="004C5DE6">
        <w:rPr>
          <w:rFonts w:ascii="Arial" w:hAnsi="Arial" w:cs="Arial"/>
          <w:sz w:val="22"/>
          <w:szCs w:val="22"/>
        </w:rPr>
        <w:t>apoyar al GOP a incrementar la productividad de la economía</w:t>
      </w:r>
      <w:r>
        <w:rPr>
          <w:rFonts w:ascii="Arial" w:hAnsi="Arial" w:cs="Arial"/>
          <w:sz w:val="22"/>
          <w:szCs w:val="22"/>
        </w:rPr>
        <w:t xml:space="preserve">, </w:t>
      </w:r>
      <w:r w:rsidR="005C3BC2">
        <w:rPr>
          <w:rFonts w:ascii="Arial" w:hAnsi="Arial" w:cs="Arial"/>
          <w:sz w:val="22"/>
          <w:szCs w:val="22"/>
        </w:rPr>
        <w:t>las principales preguntas de evaluación</w:t>
      </w:r>
      <w:r w:rsidR="000F5858">
        <w:rPr>
          <w:rFonts w:ascii="Arial" w:hAnsi="Arial" w:cs="Arial"/>
          <w:sz w:val="22"/>
          <w:szCs w:val="22"/>
        </w:rPr>
        <w:t xml:space="preserve"> </w:t>
      </w:r>
      <w:r w:rsidR="004A4447">
        <w:rPr>
          <w:rFonts w:ascii="Arial" w:hAnsi="Arial" w:cs="Arial"/>
          <w:sz w:val="22"/>
          <w:szCs w:val="22"/>
        </w:rPr>
        <w:t>y sus respectivos indicadores</w:t>
      </w:r>
      <w:r w:rsidR="005E3591">
        <w:rPr>
          <w:rFonts w:ascii="Arial" w:hAnsi="Arial" w:cs="Arial"/>
          <w:sz w:val="22"/>
          <w:szCs w:val="22"/>
        </w:rPr>
        <w:t xml:space="preserve"> de impacto o resultado</w:t>
      </w:r>
      <w:r w:rsidR="004A4447">
        <w:rPr>
          <w:rFonts w:ascii="Arial" w:hAnsi="Arial" w:cs="Arial"/>
          <w:sz w:val="22"/>
          <w:szCs w:val="22"/>
        </w:rPr>
        <w:t xml:space="preserve"> </w:t>
      </w:r>
      <w:r w:rsidR="000F5858">
        <w:rPr>
          <w:rFonts w:ascii="Arial" w:hAnsi="Arial" w:cs="Arial"/>
          <w:sz w:val="22"/>
          <w:szCs w:val="22"/>
        </w:rPr>
        <w:t>son</w:t>
      </w:r>
      <w:r w:rsidR="005C3BC2" w:rsidRPr="00A51226">
        <w:rPr>
          <w:rFonts w:ascii="Arial" w:hAnsi="Arial" w:cs="Arial"/>
          <w:sz w:val="22"/>
          <w:szCs w:val="22"/>
        </w:rPr>
        <w:t>:</w:t>
      </w:r>
    </w:p>
    <w:p w14:paraId="12796B90" w14:textId="77777777" w:rsidR="00FA013F" w:rsidRDefault="00FA013F" w:rsidP="00FA013F">
      <w:pPr>
        <w:pStyle w:val="AutoNumpara"/>
        <w:numPr>
          <w:ilvl w:val="0"/>
          <w:numId w:val="0"/>
        </w:numPr>
        <w:spacing w:before="0" w:after="0"/>
        <w:ind w:left="720"/>
        <w:rPr>
          <w:rFonts w:ascii="Arial" w:hAnsi="Arial" w:cs="Arial"/>
          <w:i/>
          <w:sz w:val="22"/>
          <w:szCs w:val="22"/>
          <w:lang w:val="es-ES"/>
        </w:rPr>
      </w:pPr>
    </w:p>
    <w:p w14:paraId="59D93293" w14:textId="63D8E295" w:rsidR="00A361EA" w:rsidRPr="00A46287" w:rsidRDefault="005C3BC2" w:rsidP="00A361EA">
      <w:pPr>
        <w:pStyle w:val="AutoNumpara"/>
        <w:numPr>
          <w:ilvl w:val="0"/>
          <w:numId w:val="0"/>
        </w:numPr>
        <w:spacing w:before="0" w:after="0"/>
        <w:ind w:left="720"/>
        <w:rPr>
          <w:rFonts w:ascii="Arial" w:hAnsi="Arial" w:cs="Arial"/>
          <w:i/>
          <w:sz w:val="22"/>
          <w:szCs w:val="22"/>
          <w:lang w:val="es-ES"/>
        </w:rPr>
      </w:pPr>
      <w:r w:rsidRPr="00A46287">
        <w:rPr>
          <w:rFonts w:ascii="Arial" w:hAnsi="Arial" w:cs="Arial"/>
          <w:i/>
          <w:sz w:val="22"/>
          <w:szCs w:val="22"/>
          <w:lang w:val="es-ES"/>
        </w:rPr>
        <w:t xml:space="preserve">A nivel de </w:t>
      </w:r>
      <w:r w:rsidR="00A361EA" w:rsidRPr="00A46287">
        <w:rPr>
          <w:rFonts w:ascii="Arial" w:hAnsi="Arial" w:cs="Arial"/>
          <w:i/>
          <w:sz w:val="22"/>
          <w:szCs w:val="22"/>
          <w:lang w:val="es-ES"/>
        </w:rPr>
        <w:t>impacto</w:t>
      </w:r>
      <w:r w:rsidRPr="00A46287">
        <w:rPr>
          <w:rFonts w:ascii="Arial" w:hAnsi="Arial" w:cs="Arial"/>
          <w:i/>
          <w:sz w:val="22"/>
          <w:szCs w:val="22"/>
          <w:lang w:val="es-ES"/>
        </w:rPr>
        <w:t xml:space="preserve">: </w:t>
      </w:r>
    </w:p>
    <w:p w14:paraId="59E1A0F1" w14:textId="77777777" w:rsidR="00A361EA" w:rsidRDefault="00A361EA" w:rsidP="00A361EA">
      <w:pPr>
        <w:pStyle w:val="AutoNumpara"/>
        <w:numPr>
          <w:ilvl w:val="0"/>
          <w:numId w:val="0"/>
        </w:numPr>
        <w:spacing w:before="0" w:after="0"/>
        <w:ind w:left="720"/>
        <w:rPr>
          <w:rFonts w:ascii="Arial" w:hAnsi="Arial" w:cs="Arial"/>
          <w:sz w:val="22"/>
          <w:szCs w:val="22"/>
          <w:lang w:val="es-ES"/>
        </w:rPr>
      </w:pPr>
    </w:p>
    <w:p w14:paraId="435BAD3F" w14:textId="50FEF4EF" w:rsidR="005C3BC2" w:rsidRDefault="000D6D3A" w:rsidP="005C3BC2">
      <w:pPr>
        <w:pStyle w:val="AutoNumpara"/>
        <w:numPr>
          <w:ilvl w:val="0"/>
          <w:numId w:val="3"/>
        </w:numPr>
        <w:spacing w:before="0" w:after="0"/>
        <w:rPr>
          <w:rFonts w:ascii="Arial" w:hAnsi="Arial" w:cs="Arial"/>
          <w:sz w:val="22"/>
          <w:szCs w:val="22"/>
          <w:lang w:val="es-ES"/>
        </w:rPr>
      </w:pPr>
      <w:r>
        <w:rPr>
          <w:rFonts w:ascii="Arial" w:hAnsi="Arial" w:cs="Arial"/>
          <w:sz w:val="22"/>
          <w:szCs w:val="22"/>
          <w:lang w:val="es-ES"/>
        </w:rPr>
        <w:t xml:space="preserve">Impacto esperado 1: </w:t>
      </w:r>
      <w:r w:rsidR="005C3BC2" w:rsidRPr="00A51226">
        <w:rPr>
          <w:rFonts w:ascii="Arial" w:hAnsi="Arial" w:cs="Arial"/>
          <w:sz w:val="22"/>
          <w:szCs w:val="22"/>
          <w:lang w:val="es-ES"/>
        </w:rPr>
        <w:t>¿</w:t>
      </w:r>
      <w:r w:rsidR="005C3BC2">
        <w:rPr>
          <w:rFonts w:ascii="Arial" w:hAnsi="Arial" w:cs="Arial"/>
          <w:sz w:val="22"/>
          <w:szCs w:val="22"/>
          <w:lang w:val="es-ES"/>
        </w:rPr>
        <w:t xml:space="preserve">Las políticas y reformas apoyadas permitieron incrementar </w:t>
      </w:r>
      <w:r w:rsidR="000F5858">
        <w:rPr>
          <w:rFonts w:ascii="Arial" w:hAnsi="Arial" w:cs="Arial"/>
          <w:sz w:val="22"/>
          <w:szCs w:val="22"/>
          <w:lang w:val="es-ES"/>
        </w:rPr>
        <w:t>la calidad y pertinencia de</w:t>
      </w:r>
      <w:r w:rsidR="00B0309F">
        <w:rPr>
          <w:rFonts w:ascii="Arial" w:hAnsi="Arial" w:cs="Arial"/>
          <w:sz w:val="22"/>
          <w:szCs w:val="22"/>
          <w:lang w:val="es-ES"/>
        </w:rPr>
        <w:t xml:space="preserve">l factor </w:t>
      </w:r>
      <w:r w:rsidR="00B36C4F">
        <w:rPr>
          <w:rFonts w:ascii="Arial" w:hAnsi="Arial" w:cs="Arial"/>
          <w:sz w:val="22"/>
          <w:szCs w:val="22"/>
          <w:lang w:val="es-ES"/>
        </w:rPr>
        <w:t>productivo laboral</w:t>
      </w:r>
      <w:r w:rsidR="005C3BC2">
        <w:rPr>
          <w:rFonts w:ascii="Arial" w:hAnsi="Arial" w:cs="Arial"/>
          <w:sz w:val="22"/>
          <w:szCs w:val="22"/>
          <w:lang w:val="es-ES"/>
        </w:rPr>
        <w:t>?</w:t>
      </w:r>
      <w:r w:rsidR="000F5858">
        <w:rPr>
          <w:rFonts w:ascii="Arial" w:hAnsi="Arial" w:cs="Arial"/>
          <w:sz w:val="22"/>
          <w:szCs w:val="22"/>
          <w:lang w:val="es-ES"/>
        </w:rPr>
        <w:t xml:space="preserve"> Para responder a esta pregunta se usa como indicador de impacto</w:t>
      </w:r>
      <w:r w:rsidR="00C33F2B">
        <w:rPr>
          <w:rFonts w:ascii="Arial" w:hAnsi="Arial" w:cs="Arial"/>
          <w:sz w:val="22"/>
          <w:szCs w:val="22"/>
          <w:lang w:val="es-ES"/>
        </w:rPr>
        <w:t>,</w:t>
      </w:r>
      <w:r w:rsidR="000F5858">
        <w:rPr>
          <w:rFonts w:ascii="Arial" w:hAnsi="Arial" w:cs="Arial"/>
          <w:sz w:val="22"/>
          <w:szCs w:val="22"/>
          <w:lang w:val="es-ES"/>
        </w:rPr>
        <w:t xml:space="preserve"> </w:t>
      </w:r>
      <w:r w:rsidR="00D549ED">
        <w:rPr>
          <w:rFonts w:ascii="Arial" w:hAnsi="Arial" w:cs="Arial"/>
          <w:sz w:val="22"/>
          <w:szCs w:val="22"/>
          <w:lang w:val="es-ES"/>
        </w:rPr>
        <w:t xml:space="preserve">a </w:t>
      </w:r>
      <w:r w:rsidR="000F5858">
        <w:rPr>
          <w:rFonts w:ascii="Arial" w:hAnsi="Arial" w:cs="Arial"/>
          <w:sz w:val="22"/>
          <w:szCs w:val="22"/>
          <w:lang w:val="es-ES"/>
        </w:rPr>
        <w:t xml:space="preserve">las remuneraciones de egresados de institutos </w:t>
      </w:r>
      <w:r w:rsidR="00B36C4F">
        <w:rPr>
          <w:rFonts w:ascii="Arial" w:hAnsi="Arial" w:cs="Arial"/>
          <w:sz w:val="22"/>
          <w:szCs w:val="22"/>
          <w:lang w:val="es-ES"/>
        </w:rPr>
        <w:t xml:space="preserve">superiores tecnológicos públicos </w:t>
      </w:r>
      <w:r w:rsidR="000F5858">
        <w:rPr>
          <w:rFonts w:ascii="Arial" w:hAnsi="Arial" w:cs="Arial"/>
          <w:sz w:val="22"/>
          <w:szCs w:val="22"/>
          <w:lang w:val="es-ES"/>
        </w:rPr>
        <w:t xml:space="preserve">adoptantes de los nuevos estándares promovidos por las políticas </w:t>
      </w:r>
      <w:r w:rsidR="00D549ED">
        <w:rPr>
          <w:rFonts w:ascii="Arial" w:hAnsi="Arial" w:cs="Arial"/>
          <w:sz w:val="22"/>
          <w:szCs w:val="22"/>
          <w:lang w:val="es-ES"/>
        </w:rPr>
        <w:t>comprometidas en</w:t>
      </w:r>
      <w:r w:rsidR="000F5858">
        <w:rPr>
          <w:rFonts w:ascii="Arial" w:hAnsi="Arial" w:cs="Arial"/>
          <w:sz w:val="22"/>
          <w:szCs w:val="22"/>
          <w:lang w:val="es-ES"/>
        </w:rPr>
        <w:t xml:space="preserve"> el programa.</w:t>
      </w:r>
    </w:p>
    <w:p w14:paraId="66FE2124" w14:textId="77777777" w:rsidR="000F5858" w:rsidRDefault="000F5858" w:rsidP="000F5858">
      <w:pPr>
        <w:pStyle w:val="AutoNumpara"/>
        <w:numPr>
          <w:ilvl w:val="0"/>
          <w:numId w:val="0"/>
        </w:numPr>
        <w:spacing w:before="0" w:after="0"/>
        <w:ind w:left="720"/>
        <w:rPr>
          <w:rFonts w:ascii="Arial" w:hAnsi="Arial" w:cs="Arial"/>
          <w:sz w:val="22"/>
          <w:szCs w:val="22"/>
          <w:lang w:val="es-ES"/>
        </w:rPr>
      </w:pPr>
    </w:p>
    <w:p w14:paraId="63CAF820" w14:textId="269E1D47" w:rsidR="000F5858" w:rsidRDefault="000D6D3A" w:rsidP="005C3BC2">
      <w:pPr>
        <w:pStyle w:val="AutoNumpara"/>
        <w:numPr>
          <w:ilvl w:val="0"/>
          <w:numId w:val="3"/>
        </w:numPr>
        <w:spacing w:before="0" w:after="0"/>
        <w:rPr>
          <w:rFonts w:ascii="Arial" w:hAnsi="Arial" w:cs="Arial"/>
          <w:sz w:val="22"/>
          <w:szCs w:val="22"/>
          <w:lang w:val="es-ES"/>
        </w:rPr>
      </w:pPr>
      <w:r>
        <w:rPr>
          <w:rFonts w:ascii="Arial" w:hAnsi="Arial" w:cs="Arial"/>
          <w:sz w:val="22"/>
          <w:szCs w:val="22"/>
          <w:lang w:val="es-ES"/>
        </w:rPr>
        <w:t xml:space="preserve">Impacto esperado 2: </w:t>
      </w:r>
      <w:r w:rsidR="000F5858">
        <w:rPr>
          <w:rFonts w:ascii="Arial" w:hAnsi="Arial" w:cs="Arial"/>
          <w:sz w:val="22"/>
          <w:szCs w:val="22"/>
          <w:lang w:val="es-ES"/>
        </w:rPr>
        <w:t>¿Las políticas y reformas</w:t>
      </w:r>
      <w:r w:rsidR="00676263">
        <w:rPr>
          <w:rFonts w:ascii="Arial" w:hAnsi="Arial" w:cs="Arial"/>
          <w:sz w:val="22"/>
          <w:szCs w:val="22"/>
          <w:lang w:val="es-ES"/>
        </w:rPr>
        <w:t xml:space="preserve"> apoyadas </w:t>
      </w:r>
      <w:r w:rsidR="00D549ED">
        <w:rPr>
          <w:rFonts w:ascii="Arial" w:hAnsi="Arial" w:cs="Arial"/>
          <w:sz w:val="22"/>
          <w:szCs w:val="22"/>
          <w:lang w:val="es-ES"/>
        </w:rPr>
        <w:t>permitieron</w:t>
      </w:r>
      <w:r w:rsidR="001D26D3">
        <w:rPr>
          <w:rFonts w:ascii="Arial" w:hAnsi="Arial" w:cs="Arial"/>
          <w:sz w:val="22"/>
          <w:szCs w:val="22"/>
          <w:lang w:val="es-ES"/>
        </w:rPr>
        <w:t xml:space="preserve"> incrementar la eficiencia en la asignación de factores</w:t>
      </w:r>
      <w:r w:rsidR="00D549ED">
        <w:rPr>
          <w:rFonts w:ascii="Arial" w:hAnsi="Arial" w:cs="Arial"/>
          <w:sz w:val="22"/>
          <w:szCs w:val="22"/>
          <w:lang w:val="es-ES"/>
        </w:rPr>
        <w:t xml:space="preserve">? </w:t>
      </w:r>
      <w:r w:rsidR="001D26D3">
        <w:rPr>
          <w:rFonts w:ascii="Arial" w:hAnsi="Arial" w:cs="Arial"/>
          <w:sz w:val="22"/>
          <w:szCs w:val="22"/>
          <w:lang w:val="es-ES"/>
        </w:rPr>
        <w:t xml:space="preserve"> </w:t>
      </w:r>
      <w:r w:rsidR="009E481C">
        <w:rPr>
          <w:rFonts w:ascii="Arial" w:hAnsi="Arial" w:cs="Arial"/>
          <w:sz w:val="22"/>
          <w:szCs w:val="22"/>
          <w:lang w:val="es-ES"/>
        </w:rPr>
        <w:t xml:space="preserve">Para responder a esta pregunta se usa como indicador de impacto a las ventas por trabajador de las empresas </w:t>
      </w:r>
      <w:r w:rsidR="0027703D">
        <w:rPr>
          <w:rFonts w:ascii="Arial" w:hAnsi="Arial" w:cs="Arial"/>
          <w:sz w:val="22"/>
          <w:szCs w:val="22"/>
          <w:lang w:val="es-ES"/>
        </w:rPr>
        <w:t>que participaron de los programas</w:t>
      </w:r>
      <w:r w:rsidR="00D549ED">
        <w:rPr>
          <w:rFonts w:ascii="Arial" w:hAnsi="Arial" w:cs="Arial"/>
          <w:sz w:val="22"/>
          <w:szCs w:val="22"/>
          <w:lang w:val="es-ES"/>
        </w:rPr>
        <w:t xml:space="preserve"> públicos</w:t>
      </w:r>
      <w:r w:rsidR="0027703D">
        <w:rPr>
          <w:rFonts w:ascii="Arial" w:hAnsi="Arial" w:cs="Arial"/>
          <w:sz w:val="22"/>
          <w:szCs w:val="22"/>
          <w:lang w:val="es-ES"/>
        </w:rPr>
        <w:t xml:space="preserve"> de extensión empresarial y tecnológica </w:t>
      </w:r>
      <w:r w:rsidR="00D549ED">
        <w:rPr>
          <w:rFonts w:ascii="Arial" w:hAnsi="Arial" w:cs="Arial"/>
          <w:sz w:val="22"/>
          <w:szCs w:val="22"/>
          <w:lang w:val="es-ES"/>
        </w:rPr>
        <w:t>reformados o repotenciados por las políticas comprometidas en el programa.</w:t>
      </w:r>
    </w:p>
    <w:p w14:paraId="2F12326A" w14:textId="77777777" w:rsidR="005C3BC2" w:rsidRDefault="005C3BC2" w:rsidP="00FA013F">
      <w:pPr>
        <w:pStyle w:val="AutoNumpara"/>
        <w:numPr>
          <w:ilvl w:val="0"/>
          <w:numId w:val="0"/>
        </w:numPr>
        <w:spacing w:before="0" w:after="0"/>
        <w:ind w:left="720"/>
        <w:rPr>
          <w:rFonts w:ascii="Arial" w:hAnsi="Arial" w:cs="Arial"/>
          <w:sz w:val="22"/>
          <w:szCs w:val="22"/>
          <w:lang w:val="es-ES"/>
        </w:rPr>
      </w:pPr>
    </w:p>
    <w:p w14:paraId="2B563545" w14:textId="77777777" w:rsidR="00A361EA" w:rsidRPr="00A46287" w:rsidRDefault="005C3BC2" w:rsidP="00A361EA">
      <w:pPr>
        <w:pStyle w:val="AutoNumpara"/>
        <w:numPr>
          <w:ilvl w:val="0"/>
          <w:numId w:val="0"/>
        </w:numPr>
        <w:spacing w:before="0" w:after="0"/>
        <w:ind w:left="720"/>
        <w:rPr>
          <w:rFonts w:ascii="Arial" w:hAnsi="Arial" w:cs="Arial"/>
          <w:i/>
          <w:sz w:val="22"/>
          <w:szCs w:val="22"/>
          <w:lang w:val="es-ES"/>
        </w:rPr>
      </w:pPr>
      <w:r w:rsidRPr="00A46287">
        <w:rPr>
          <w:rFonts w:ascii="Arial" w:hAnsi="Arial" w:cs="Arial"/>
          <w:i/>
          <w:sz w:val="22"/>
          <w:szCs w:val="22"/>
          <w:lang w:val="es-ES"/>
        </w:rPr>
        <w:t>A nivel de resultado:</w:t>
      </w:r>
    </w:p>
    <w:p w14:paraId="0EA348DA" w14:textId="33D6A9ED" w:rsidR="00F949BA" w:rsidRDefault="00F949BA" w:rsidP="00F949BA">
      <w:pPr>
        <w:rPr>
          <w:rFonts w:ascii="Arial" w:hAnsi="Arial" w:cs="Arial"/>
          <w:sz w:val="22"/>
          <w:szCs w:val="22"/>
          <w:lang w:val="es-ES"/>
        </w:rPr>
      </w:pPr>
    </w:p>
    <w:p w14:paraId="4D41AF88" w14:textId="1CB690B3" w:rsidR="00F949BA" w:rsidRDefault="00F949BA" w:rsidP="002A45CB">
      <w:pPr>
        <w:ind w:firstLine="720"/>
        <w:rPr>
          <w:rFonts w:ascii="Arial" w:hAnsi="Arial" w:cs="Arial"/>
          <w:sz w:val="22"/>
          <w:szCs w:val="22"/>
          <w:lang w:val="es-ES"/>
        </w:rPr>
      </w:pPr>
      <w:r>
        <w:rPr>
          <w:rFonts w:ascii="Arial" w:hAnsi="Arial" w:cs="Arial"/>
          <w:sz w:val="22"/>
          <w:szCs w:val="22"/>
          <w:lang w:val="es-ES"/>
        </w:rPr>
        <w:t>Relacionado a la mejora de la calidad del factor laboral</w:t>
      </w:r>
      <w:r w:rsidR="002A45CB">
        <w:rPr>
          <w:rFonts w:ascii="Arial" w:hAnsi="Arial" w:cs="Arial"/>
          <w:sz w:val="22"/>
          <w:szCs w:val="22"/>
          <w:lang w:val="es-ES"/>
        </w:rPr>
        <w:t>:</w:t>
      </w:r>
    </w:p>
    <w:p w14:paraId="2789798A" w14:textId="77777777" w:rsidR="00F949BA" w:rsidRPr="00F949BA" w:rsidRDefault="00F949BA" w:rsidP="00F949BA">
      <w:pPr>
        <w:rPr>
          <w:rFonts w:ascii="Arial" w:hAnsi="Arial" w:cs="Arial"/>
          <w:sz w:val="22"/>
          <w:szCs w:val="22"/>
          <w:lang w:val="es-ES"/>
        </w:rPr>
      </w:pPr>
    </w:p>
    <w:p w14:paraId="6824CEE4" w14:textId="42C8424C" w:rsidR="005C3BC2" w:rsidRDefault="000D6D3A" w:rsidP="005C3BC2">
      <w:pPr>
        <w:pStyle w:val="AutoNumpara"/>
        <w:numPr>
          <w:ilvl w:val="0"/>
          <w:numId w:val="3"/>
        </w:numPr>
        <w:spacing w:before="0" w:after="0"/>
        <w:rPr>
          <w:rFonts w:ascii="Arial" w:hAnsi="Arial" w:cs="Arial"/>
          <w:sz w:val="22"/>
          <w:szCs w:val="22"/>
          <w:lang w:val="es-ES"/>
        </w:rPr>
      </w:pPr>
      <w:r>
        <w:rPr>
          <w:rFonts w:ascii="Arial" w:hAnsi="Arial" w:cs="Arial"/>
          <w:sz w:val="22"/>
          <w:szCs w:val="22"/>
          <w:lang w:val="es-ES"/>
        </w:rPr>
        <w:t>Resultado esperado 1</w:t>
      </w:r>
      <w:r w:rsidR="000E2660">
        <w:rPr>
          <w:rFonts w:ascii="Arial" w:hAnsi="Arial" w:cs="Arial"/>
          <w:sz w:val="22"/>
          <w:szCs w:val="22"/>
          <w:lang w:val="es-ES"/>
        </w:rPr>
        <w:t xml:space="preserve"> (asociado al Objetivo de Política 2.1</w:t>
      </w:r>
      <w:r w:rsidR="004F6400">
        <w:rPr>
          <w:rFonts w:ascii="Arial" w:hAnsi="Arial" w:cs="Arial"/>
          <w:sz w:val="22"/>
          <w:szCs w:val="22"/>
          <w:lang w:val="es-ES"/>
        </w:rPr>
        <w:t xml:space="preserve"> y</w:t>
      </w:r>
      <w:r w:rsidR="000E2660">
        <w:rPr>
          <w:rFonts w:ascii="Arial" w:hAnsi="Arial" w:cs="Arial"/>
          <w:sz w:val="22"/>
          <w:szCs w:val="22"/>
          <w:lang w:val="es-ES"/>
        </w:rPr>
        <w:t xml:space="preserve"> Compromiso de P</w:t>
      </w:r>
      <w:r w:rsidR="004F6400">
        <w:rPr>
          <w:rFonts w:ascii="Arial" w:hAnsi="Arial" w:cs="Arial"/>
          <w:sz w:val="22"/>
          <w:szCs w:val="22"/>
          <w:lang w:val="es-ES"/>
        </w:rPr>
        <w:t>o</w:t>
      </w:r>
      <w:r w:rsidR="000E2660">
        <w:rPr>
          <w:rFonts w:ascii="Arial" w:hAnsi="Arial" w:cs="Arial"/>
          <w:sz w:val="22"/>
          <w:szCs w:val="22"/>
          <w:lang w:val="es-ES"/>
        </w:rPr>
        <w:t>lítica 2.1.1</w:t>
      </w:r>
      <w:r w:rsidR="004F6400">
        <w:rPr>
          <w:rFonts w:ascii="Arial" w:hAnsi="Arial" w:cs="Arial"/>
          <w:sz w:val="22"/>
          <w:szCs w:val="22"/>
          <w:lang w:val="es-ES"/>
        </w:rPr>
        <w:t>)</w:t>
      </w:r>
      <w:r>
        <w:rPr>
          <w:rFonts w:ascii="Arial" w:hAnsi="Arial" w:cs="Arial"/>
          <w:sz w:val="22"/>
          <w:szCs w:val="22"/>
          <w:lang w:val="es-ES"/>
        </w:rPr>
        <w:t xml:space="preserve">: </w:t>
      </w:r>
      <w:r w:rsidR="006F60E6">
        <w:rPr>
          <w:rFonts w:ascii="Arial" w:hAnsi="Arial" w:cs="Arial"/>
          <w:sz w:val="22"/>
          <w:szCs w:val="22"/>
          <w:lang w:val="es-ES"/>
        </w:rPr>
        <w:t>¿</w:t>
      </w:r>
      <w:r w:rsidR="00186564">
        <w:rPr>
          <w:rFonts w:ascii="Arial" w:hAnsi="Arial" w:cs="Arial"/>
          <w:sz w:val="22"/>
          <w:szCs w:val="22"/>
          <w:lang w:val="es-ES"/>
        </w:rPr>
        <w:t>Las reformas del</w:t>
      </w:r>
      <w:r w:rsidR="006F60E6">
        <w:rPr>
          <w:rFonts w:ascii="Arial" w:hAnsi="Arial" w:cs="Arial"/>
          <w:sz w:val="22"/>
          <w:szCs w:val="22"/>
          <w:lang w:val="es-ES"/>
        </w:rPr>
        <w:t xml:space="preserve"> programa </w:t>
      </w:r>
      <w:r w:rsidR="00186564">
        <w:rPr>
          <w:rFonts w:ascii="Arial" w:hAnsi="Arial" w:cs="Arial"/>
          <w:sz w:val="22"/>
          <w:szCs w:val="22"/>
          <w:lang w:val="es-ES"/>
        </w:rPr>
        <w:t>condujeron a</w:t>
      </w:r>
      <w:r w:rsidR="006F60E6">
        <w:rPr>
          <w:rFonts w:ascii="Arial" w:hAnsi="Arial" w:cs="Arial"/>
          <w:sz w:val="22"/>
          <w:szCs w:val="22"/>
          <w:lang w:val="es-ES"/>
        </w:rPr>
        <w:t xml:space="preserve"> la </w:t>
      </w:r>
      <w:r w:rsidR="00922B60">
        <w:rPr>
          <w:rFonts w:ascii="Arial" w:hAnsi="Arial" w:cs="Arial"/>
          <w:sz w:val="22"/>
          <w:szCs w:val="22"/>
          <w:lang w:val="es-ES"/>
        </w:rPr>
        <w:t xml:space="preserve">adopción de </w:t>
      </w:r>
      <w:r w:rsidR="00186564">
        <w:rPr>
          <w:rFonts w:ascii="Arial" w:hAnsi="Arial" w:cs="Arial"/>
          <w:sz w:val="22"/>
          <w:szCs w:val="22"/>
          <w:lang w:val="es-ES"/>
        </w:rPr>
        <w:t>los modelos de excelencia entre institutos superiores tecnológicos públicos?</w:t>
      </w:r>
      <w:r w:rsidR="002A45CB">
        <w:rPr>
          <w:rFonts w:ascii="Arial" w:hAnsi="Arial" w:cs="Arial"/>
          <w:sz w:val="22"/>
          <w:szCs w:val="22"/>
          <w:lang w:val="es-ES"/>
        </w:rPr>
        <w:t xml:space="preserve"> Para responder a </w:t>
      </w:r>
      <w:r w:rsidR="00501DBC">
        <w:rPr>
          <w:rFonts w:ascii="Arial" w:hAnsi="Arial" w:cs="Arial"/>
          <w:sz w:val="22"/>
          <w:szCs w:val="22"/>
          <w:lang w:val="es-ES"/>
        </w:rPr>
        <w:t xml:space="preserve">esta pregunta se usa como indicador al número de institutos superiores tecnológicos públicos que tengan aprobado </w:t>
      </w:r>
      <w:r w:rsidR="00D80C5C">
        <w:rPr>
          <w:rFonts w:ascii="Arial" w:hAnsi="Arial" w:cs="Arial"/>
          <w:sz w:val="22"/>
          <w:szCs w:val="22"/>
          <w:lang w:val="es-ES"/>
        </w:rPr>
        <w:t>presupuesto para implementar el nuevo modelo de excelencia. E</w:t>
      </w:r>
      <w:r w:rsidR="00501DBC">
        <w:rPr>
          <w:rFonts w:ascii="Arial" w:hAnsi="Arial" w:cs="Arial"/>
          <w:sz w:val="22"/>
          <w:szCs w:val="22"/>
          <w:lang w:val="es-ES"/>
        </w:rPr>
        <w:t>ste es el gatillador del segundo</w:t>
      </w:r>
      <w:r w:rsidR="00D80C5C">
        <w:rPr>
          <w:rFonts w:ascii="Arial" w:hAnsi="Arial" w:cs="Arial"/>
          <w:sz w:val="22"/>
          <w:szCs w:val="22"/>
          <w:lang w:val="es-ES"/>
        </w:rPr>
        <w:t xml:space="preserve"> tramo del PBL por tanto no es un producto del primero, pero es inducido por él y por tanto</w:t>
      </w:r>
      <w:r w:rsidR="000572BE">
        <w:rPr>
          <w:rFonts w:ascii="Arial" w:hAnsi="Arial" w:cs="Arial"/>
          <w:sz w:val="22"/>
          <w:szCs w:val="22"/>
          <w:lang w:val="es-ES"/>
        </w:rPr>
        <w:t xml:space="preserve"> se considera como potencial resultado</w:t>
      </w:r>
      <w:r w:rsidR="00D80C5C">
        <w:rPr>
          <w:rFonts w:ascii="Arial" w:hAnsi="Arial" w:cs="Arial"/>
          <w:sz w:val="22"/>
          <w:szCs w:val="22"/>
          <w:lang w:val="es-ES"/>
        </w:rPr>
        <w:t xml:space="preserve"> atribuible al PBP.</w:t>
      </w:r>
    </w:p>
    <w:p w14:paraId="6721FE7B" w14:textId="6008691E" w:rsidR="005C3BC2" w:rsidRDefault="005C3BC2" w:rsidP="00F949BA">
      <w:pPr>
        <w:pStyle w:val="AutoNumpara"/>
        <w:numPr>
          <w:ilvl w:val="0"/>
          <w:numId w:val="0"/>
        </w:numPr>
        <w:spacing w:before="0" w:after="0"/>
        <w:ind w:left="720" w:hanging="720"/>
        <w:rPr>
          <w:rFonts w:ascii="Arial" w:hAnsi="Arial" w:cs="Arial"/>
          <w:sz w:val="22"/>
          <w:szCs w:val="22"/>
          <w:lang w:val="es-ES"/>
        </w:rPr>
      </w:pPr>
    </w:p>
    <w:p w14:paraId="3DB57BE7" w14:textId="22D9D169" w:rsidR="00F949BA" w:rsidRDefault="00F949BA" w:rsidP="00FD0DF7">
      <w:pPr>
        <w:pStyle w:val="AutoNumpara"/>
        <w:keepNext/>
        <w:numPr>
          <w:ilvl w:val="0"/>
          <w:numId w:val="0"/>
        </w:numPr>
        <w:spacing w:before="0" w:after="0"/>
        <w:ind w:left="720"/>
        <w:rPr>
          <w:rFonts w:ascii="Arial" w:hAnsi="Arial" w:cs="Arial"/>
          <w:sz w:val="22"/>
          <w:szCs w:val="22"/>
          <w:lang w:val="es-ES"/>
        </w:rPr>
      </w:pPr>
      <w:r>
        <w:rPr>
          <w:rFonts w:ascii="Arial" w:hAnsi="Arial" w:cs="Arial"/>
          <w:sz w:val="22"/>
          <w:szCs w:val="22"/>
          <w:lang w:val="es-ES"/>
        </w:rPr>
        <w:t xml:space="preserve">Relacionado a la mejora </w:t>
      </w:r>
      <w:r w:rsidR="002A45CB">
        <w:rPr>
          <w:rFonts w:ascii="Arial" w:hAnsi="Arial" w:cs="Arial"/>
          <w:sz w:val="22"/>
          <w:szCs w:val="22"/>
          <w:lang w:val="es-ES"/>
        </w:rPr>
        <w:t>en la eficiencia de la asignación de factores:</w:t>
      </w:r>
    </w:p>
    <w:p w14:paraId="7379A4DC" w14:textId="77777777" w:rsidR="002A45CB" w:rsidRPr="00A51226" w:rsidRDefault="002A45CB" w:rsidP="00FD0DF7">
      <w:pPr>
        <w:pStyle w:val="AutoNumpara"/>
        <w:keepNext/>
        <w:numPr>
          <w:ilvl w:val="0"/>
          <w:numId w:val="0"/>
        </w:numPr>
        <w:spacing w:before="0" w:after="0"/>
        <w:ind w:left="720" w:hanging="720"/>
        <w:rPr>
          <w:rFonts w:ascii="Arial" w:hAnsi="Arial" w:cs="Arial"/>
          <w:sz w:val="22"/>
          <w:szCs w:val="22"/>
          <w:lang w:val="es-ES"/>
        </w:rPr>
      </w:pPr>
    </w:p>
    <w:p w14:paraId="1E2CA5FA" w14:textId="5CBFD464" w:rsidR="005C3BC2" w:rsidRDefault="000D6D3A" w:rsidP="00FD0DF7">
      <w:pPr>
        <w:pStyle w:val="AutoNumpara"/>
        <w:keepNext/>
        <w:numPr>
          <w:ilvl w:val="0"/>
          <w:numId w:val="3"/>
        </w:numPr>
        <w:spacing w:before="0" w:after="0"/>
        <w:rPr>
          <w:rFonts w:ascii="Arial" w:hAnsi="Arial" w:cs="Arial"/>
          <w:sz w:val="22"/>
          <w:szCs w:val="22"/>
          <w:lang w:val="es-ES"/>
        </w:rPr>
      </w:pPr>
      <w:r>
        <w:rPr>
          <w:rFonts w:ascii="Arial" w:hAnsi="Arial" w:cs="Arial"/>
          <w:sz w:val="22"/>
          <w:szCs w:val="22"/>
          <w:lang w:val="es-ES"/>
        </w:rPr>
        <w:t>Resultado esperado 2</w:t>
      </w:r>
      <w:r w:rsidR="004F6400">
        <w:rPr>
          <w:rFonts w:ascii="Arial" w:hAnsi="Arial" w:cs="Arial"/>
          <w:sz w:val="22"/>
          <w:szCs w:val="22"/>
          <w:lang w:val="es-ES"/>
        </w:rPr>
        <w:t xml:space="preserve"> (asociado al Objetivo de Política 3.2 y Compromisos de Política 3.2.1 y 3.2.2)</w:t>
      </w:r>
      <w:r>
        <w:rPr>
          <w:rFonts w:ascii="Arial" w:hAnsi="Arial" w:cs="Arial"/>
          <w:sz w:val="22"/>
          <w:szCs w:val="22"/>
          <w:lang w:val="es-ES"/>
        </w:rPr>
        <w:t>:</w:t>
      </w:r>
      <w:r w:rsidR="005C3BC2" w:rsidRPr="00A51226">
        <w:rPr>
          <w:rFonts w:ascii="Arial" w:hAnsi="Arial" w:cs="Arial"/>
          <w:sz w:val="22"/>
          <w:szCs w:val="22"/>
          <w:lang w:val="es-ES"/>
        </w:rPr>
        <w:t>¿</w:t>
      </w:r>
      <w:r w:rsidR="00186564">
        <w:rPr>
          <w:rFonts w:ascii="Arial" w:hAnsi="Arial" w:cs="Arial"/>
          <w:sz w:val="22"/>
          <w:szCs w:val="22"/>
          <w:lang w:val="es-ES"/>
        </w:rPr>
        <w:t xml:space="preserve">Las reformas del programa condujeron a </w:t>
      </w:r>
      <w:r w:rsidR="00117004">
        <w:rPr>
          <w:rFonts w:ascii="Arial" w:hAnsi="Arial" w:cs="Arial"/>
          <w:sz w:val="22"/>
          <w:szCs w:val="22"/>
          <w:lang w:val="es-ES"/>
        </w:rPr>
        <w:t xml:space="preserve">incrementar </w:t>
      </w:r>
      <w:r w:rsidR="00186564">
        <w:rPr>
          <w:rFonts w:ascii="Arial" w:hAnsi="Arial" w:cs="Arial"/>
          <w:sz w:val="22"/>
          <w:szCs w:val="22"/>
          <w:lang w:val="es-ES"/>
        </w:rPr>
        <w:t xml:space="preserve">la </w:t>
      </w:r>
      <w:r w:rsidR="00A37790">
        <w:rPr>
          <w:rFonts w:ascii="Arial" w:hAnsi="Arial" w:cs="Arial"/>
          <w:sz w:val="22"/>
          <w:szCs w:val="22"/>
          <w:lang w:val="es-ES"/>
        </w:rPr>
        <w:t>formalización laboral</w:t>
      </w:r>
      <w:r w:rsidR="005C3BC2">
        <w:rPr>
          <w:rFonts w:ascii="Arial" w:hAnsi="Arial" w:cs="Arial"/>
          <w:sz w:val="22"/>
          <w:szCs w:val="22"/>
          <w:lang w:val="es-ES"/>
        </w:rPr>
        <w:t>?</w:t>
      </w:r>
      <w:r w:rsidR="00D80C5C">
        <w:rPr>
          <w:rFonts w:ascii="Arial" w:hAnsi="Arial" w:cs="Arial"/>
          <w:sz w:val="22"/>
          <w:szCs w:val="22"/>
          <w:lang w:val="es-ES"/>
        </w:rPr>
        <w:t xml:space="preserve"> Para responder a esta pregunta se usa como indicador</w:t>
      </w:r>
      <w:r w:rsidR="00117004" w:rsidRPr="00117004">
        <w:rPr>
          <w:rFonts w:ascii="Arial" w:hAnsi="Arial" w:cs="Arial"/>
          <w:sz w:val="22"/>
          <w:szCs w:val="22"/>
          <w:lang w:val="es-ES"/>
        </w:rPr>
        <w:t xml:space="preserve"> </w:t>
      </w:r>
      <w:r w:rsidR="00117004">
        <w:rPr>
          <w:rFonts w:ascii="Arial" w:hAnsi="Arial" w:cs="Arial"/>
          <w:sz w:val="22"/>
          <w:szCs w:val="22"/>
          <w:lang w:val="es-ES"/>
        </w:rPr>
        <w:t>el n</w:t>
      </w:r>
      <w:r w:rsidR="00117004" w:rsidRPr="002D523A">
        <w:rPr>
          <w:rFonts w:ascii="Arial" w:hAnsi="Arial" w:cs="Arial"/>
          <w:sz w:val="22"/>
          <w:szCs w:val="22"/>
          <w:lang w:val="es-ES"/>
        </w:rPr>
        <w:t>úmero de trabajadores formalizados laboralmente por la SUNAFIL</w:t>
      </w:r>
      <w:r w:rsidR="00117004">
        <w:rPr>
          <w:rFonts w:ascii="Arial" w:hAnsi="Arial" w:cs="Arial"/>
          <w:sz w:val="22"/>
          <w:szCs w:val="22"/>
          <w:lang w:val="es-ES"/>
        </w:rPr>
        <w:t>.</w:t>
      </w:r>
      <w:r w:rsidR="00117004" w:rsidRPr="00137677">
        <w:rPr>
          <w:rFonts w:ascii="Arial" w:hAnsi="Arial" w:cs="Arial"/>
          <w:sz w:val="22"/>
          <w:szCs w:val="22"/>
          <w:lang w:val="es-ES"/>
        </w:rPr>
        <w:t xml:space="preserve"> </w:t>
      </w:r>
      <w:r w:rsidR="00117004" w:rsidRPr="00386514">
        <w:rPr>
          <w:rFonts w:ascii="Arial" w:hAnsi="Arial" w:cs="Arial"/>
          <w:sz w:val="22"/>
          <w:szCs w:val="22"/>
          <w:lang w:val="es-ES"/>
        </w:rPr>
        <w:t xml:space="preserve">Dado que las reformas comprometidas por el programa contemplan </w:t>
      </w:r>
      <w:r w:rsidR="00117004">
        <w:rPr>
          <w:rFonts w:ascii="Arial" w:hAnsi="Arial" w:cs="Arial"/>
          <w:sz w:val="22"/>
          <w:szCs w:val="22"/>
          <w:lang w:val="es-ES"/>
        </w:rPr>
        <w:t>el incremento del</w:t>
      </w:r>
      <w:r w:rsidR="00117004" w:rsidRPr="00C44D80">
        <w:rPr>
          <w:rFonts w:ascii="Arial" w:hAnsi="Arial" w:cs="Arial"/>
          <w:sz w:val="22"/>
          <w:szCs w:val="22"/>
          <w:lang w:val="es-ES"/>
        </w:rPr>
        <w:t xml:space="preserve"> presupuesto anual </w:t>
      </w:r>
      <w:r w:rsidR="00117004">
        <w:rPr>
          <w:rFonts w:ascii="Arial" w:hAnsi="Arial" w:cs="Arial"/>
          <w:sz w:val="22"/>
          <w:szCs w:val="22"/>
          <w:lang w:val="es-ES"/>
        </w:rPr>
        <w:t xml:space="preserve">de la SUNAFIL </w:t>
      </w:r>
      <w:r w:rsidR="00117004" w:rsidRPr="00C44D80">
        <w:rPr>
          <w:rFonts w:ascii="Arial" w:hAnsi="Arial" w:cs="Arial"/>
          <w:sz w:val="22"/>
          <w:szCs w:val="22"/>
          <w:lang w:val="es-ES"/>
        </w:rPr>
        <w:t>para mejorar su capacidad de fiscalización</w:t>
      </w:r>
      <w:r w:rsidR="00117004">
        <w:rPr>
          <w:rFonts w:ascii="Arial" w:hAnsi="Arial" w:cs="Arial"/>
          <w:sz w:val="22"/>
          <w:szCs w:val="22"/>
          <w:lang w:val="es-ES"/>
        </w:rPr>
        <w:t>, se espera que esto se traduzca en un incremento en la probabilidad de que una empresa sea inspeccionada, y en consecuencia formalice a sus trabajadores</w:t>
      </w:r>
      <w:r w:rsidR="00600046">
        <w:rPr>
          <w:rFonts w:ascii="Arial" w:hAnsi="Arial" w:cs="Arial"/>
          <w:sz w:val="22"/>
          <w:szCs w:val="22"/>
          <w:lang w:val="es-ES"/>
        </w:rPr>
        <w:t>.</w:t>
      </w:r>
    </w:p>
    <w:p w14:paraId="31798BBC" w14:textId="77777777" w:rsidR="00A37790" w:rsidRDefault="00A37790" w:rsidP="00A37790">
      <w:pPr>
        <w:pStyle w:val="AutoNumpara"/>
        <w:numPr>
          <w:ilvl w:val="0"/>
          <w:numId w:val="0"/>
        </w:numPr>
        <w:spacing w:before="0" w:after="0"/>
        <w:ind w:left="720"/>
        <w:rPr>
          <w:rFonts w:ascii="Arial" w:hAnsi="Arial" w:cs="Arial"/>
          <w:sz w:val="22"/>
          <w:szCs w:val="22"/>
          <w:lang w:val="es-ES"/>
        </w:rPr>
      </w:pPr>
    </w:p>
    <w:p w14:paraId="083FE151" w14:textId="3B2343A1" w:rsidR="00A37790" w:rsidRPr="00A37790" w:rsidRDefault="00A37790" w:rsidP="00A37790">
      <w:pPr>
        <w:pStyle w:val="AutoNumpara"/>
        <w:numPr>
          <w:ilvl w:val="0"/>
          <w:numId w:val="3"/>
        </w:numPr>
        <w:spacing w:before="0" w:after="0"/>
        <w:rPr>
          <w:rFonts w:ascii="Arial" w:hAnsi="Arial" w:cs="Arial"/>
          <w:sz w:val="22"/>
          <w:szCs w:val="22"/>
          <w:lang w:val="es-ES"/>
        </w:rPr>
      </w:pPr>
      <w:r>
        <w:rPr>
          <w:rFonts w:ascii="Arial" w:hAnsi="Arial" w:cs="Arial"/>
          <w:sz w:val="22"/>
          <w:szCs w:val="22"/>
          <w:lang w:val="es-ES"/>
        </w:rPr>
        <w:t>Resultado esperado 3</w:t>
      </w:r>
      <w:r w:rsidR="004F6400">
        <w:rPr>
          <w:rFonts w:ascii="Arial" w:hAnsi="Arial" w:cs="Arial"/>
          <w:sz w:val="22"/>
          <w:szCs w:val="22"/>
          <w:lang w:val="es-ES"/>
        </w:rPr>
        <w:t xml:space="preserve"> (asociado al Objetivo de Política 4.1 y Compromiso de Política 4.1.1)</w:t>
      </w:r>
      <w:r>
        <w:rPr>
          <w:rFonts w:ascii="Arial" w:hAnsi="Arial" w:cs="Arial"/>
          <w:sz w:val="22"/>
          <w:szCs w:val="22"/>
          <w:lang w:val="es-ES"/>
        </w:rPr>
        <w:t>:</w:t>
      </w:r>
      <w:r w:rsidRPr="00A51226">
        <w:rPr>
          <w:rFonts w:ascii="Arial" w:hAnsi="Arial" w:cs="Arial"/>
          <w:sz w:val="22"/>
          <w:szCs w:val="22"/>
          <w:lang w:val="es-ES"/>
        </w:rPr>
        <w:t>¿</w:t>
      </w:r>
      <w:r>
        <w:rPr>
          <w:rFonts w:ascii="Arial" w:hAnsi="Arial" w:cs="Arial"/>
          <w:sz w:val="22"/>
          <w:szCs w:val="22"/>
          <w:lang w:val="es-ES"/>
        </w:rPr>
        <w:t>Las reformas del programa condujeron a la adopción de mejores prácticas de gestión empresarial? Para responder a esta pregunta se usa como indicador al porcentaje de MYPE que reportan contar con un plan de operaciones de acuerdo con la Encuesta Nacional de Empresas</w:t>
      </w:r>
      <w:r>
        <w:rPr>
          <w:rStyle w:val="FootnoteReference"/>
          <w:rFonts w:ascii="Arial" w:hAnsi="Arial" w:cs="Arial"/>
          <w:sz w:val="22"/>
          <w:szCs w:val="22"/>
          <w:lang w:val="es-ES"/>
        </w:rPr>
        <w:footnoteReference w:id="8"/>
      </w:r>
      <w:r>
        <w:rPr>
          <w:rFonts w:ascii="Arial" w:hAnsi="Arial" w:cs="Arial"/>
          <w:sz w:val="22"/>
          <w:szCs w:val="22"/>
          <w:lang w:val="es-ES"/>
        </w:rPr>
        <w:t>. Dado que las reformas apuntan a mejorar el alcance de los servicios de extensión a través de la centralización y fortalecimiento de los programas públicos de extensión empresarial a través de “Tu Empresa”, se espera que el porcentaje de empresas que cuenten con un plan de negocios sea mayor entre empresas usuarias del programa que entre empresas no usuarias comparables, y que este cambio se dé en el corto plazo.</w:t>
      </w:r>
    </w:p>
    <w:p w14:paraId="26E5DA74" w14:textId="77777777" w:rsidR="00555588" w:rsidRDefault="00555588" w:rsidP="00555588">
      <w:pPr>
        <w:pStyle w:val="ListParagraph"/>
        <w:rPr>
          <w:rFonts w:ascii="Arial" w:hAnsi="Arial" w:cs="Arial"/>
          <w:sz w:val="22"/>
          <w:szCs w:val="22"/>
          <w:lang w:val="es-ES"/>
        </w:rPr>
      </w:pPr>
    </w:p>
    <w:p w14:paraId="0AEFA6FC" w14:textId="0AC4C089" w:rsidR="00555588" w:rsidRDefault="000D6D3A" w:rsidP="005C3BC2">
      <w:pPr>
        <w:pStyle w:val="AutoNumpara"/>
        <w:numPr>
          <w:ilvl w:val="0"/>
          <w:numId w:val="3"/>
        </w:numPr>
        <w:spacing w:before="0" w:after="0"/>
        <w:rPr>
          <w:rFonts w:ascii="Arial" w:hAnsi="Arial" w:cs="Arial"/>
          <w:sz w:val="22"/>
          <w:szCs w:val="22"/>
          <w:lang w:val="es-ES"/>
        </w:rPr>
      </w:pPr>
      <w:r>
        <w:rPr>
          <w:rFonts w:ascii="Arial" w:hAnsi="Arial" w:cs="Arial"/>
          <w:sz w:val="22"/>
          <w:szCs w:val="22"/>
          <w:lang w:val="es-ES"/>
        </w:rPr>
        <w:t xml:space="preserve">Resultado esperado </w:t>
      </w:r>
      <w:r w:rsidR="00A37790">
        <w:rPr>
          <w:rFonts w:ascii="Arial" w:hAnsi="Arial" w:cs="Arial"/>
          <w:sz w:val="22"/>
          <w:szCs w:val="22"/>
          <w:lang w:val="es-ES"/>
        </w:rPr>
        <w:t>4</w:t>
      </w:r>
      <w:r w:rsidR="004F6400">
        <w:rPr>
          <w:rFonts w:ascii="Arial" w:hAnsi="Arial" w:cs="Arial"/>
          <w:sz w:val="22"/>
          <w:szCs w:val="22"/>
          <w:lang w:val="es-ES"/>
        </w:rPr>
        <w:t xml:space="preserve"> (asociado al Objetivo de Política 4.3 y Compromisos de Política 4.3.1 y 4.3.2)</w:t>
      </w:r>
      <w:r>
        <w:rPr>
          <w:rFonts w:ascii="Arial" w:hAnsi="Arial" w:cs="Arial"/>
          <w:sz w:val="22"/>
          <w:szCs w:val="22"/>
          <w:lang w:val="es-ES"/>
        </w:rPr>
        <w:t>:</w:t>
      </w:r>
      <w:r w:rsidR="00555588">
        <w:rPr>
          <w:rFonts w:ascii="Arial" w:hAnsi="Arial" w:cs="Arial"/>
          <w:sz w:val="22"/>
          <w:szCs w:val="22"/>
          <w:lang w:val="es-ES"/>
        </w:rPr>
        <w:t>¿</w:t>
      </w:r>
      <w:r w:rsidR="00186564">
        <w:rPr>
          <w:rFonts w:ascii="Arial" w:hAnsi="Arial" w:cs="Arial"/>
          <w:sz w:val="22"/>
          <w:szCs w:val="22"/>
          <w:lang w:val="es-ES"/>
        </w:rPr>
        <w:t>Las re</w:t>
      </w:r>
      <w:r w:rsidR="00877A85">
        <w:rPr>
          <w:rFonts w:ascii="Arial" w:hAnsi="Arial" w:cs="Arial"/>
          <w:sz w:val="22"/>
          <w:szCs w:val="22"/>
          <w:lang w:val="es-ES"/>
        </w:rPr>
        <w:t>f</w:t>
      </w:r>
      <w:r w:rsidR="00186564">
        <w:rPr>
          <w:rFonts w:ascii="Arial" w:hAnsi="Arial" w:cs="Arial"/>
          <w:sz w:val="22"/>
          <w:szCs w:val="22"/>
          <w:lang w:val="es-ES"/>
        </w:rPr>
        <w:t>ormas del programa condujeron al incremento en ventas de MYPEs</w:t>
      </w:r>
      <w:r w:rsidR="00555588">
        <w:rPr>
          <w:rFonts w:ascii="Arial" w:hAnsi="Arial" w:cs="Arial"/>
          <w:sz w:val="22"/>
          <w:szCs w:val="22"/>
          <w:lang w:val="es-ES"/>
        </w:rPr>
        <w:t>?</w:t>
      </w:r>
      <w:r w:rsidR="00B47495">
        <w:rPr>
          <w:rFonts w:ascii="Arial" w:hAnsi="Arial" w:cs="Arial"/>
          <w:sz w:val="22"/>
          <w:szCs w:val="22"/>
          <w:lang w:val="es-ES"/>
        </w:rPr>
        <w:t xml:space="preserve"> Para responder a </w:t>
      </w:r>
      <w:r w:rsidR="004A7F57">
        <w:rPr>
          <w:rFonts w:ascii="Arial" w:hAnsi="Arial" w:cs="Arial"/>
          <w:sz w:val="22"/>
          <w:szCs w:val="22"/>
          <w:lang w:val="es-ES"/>
        </w:rPr>
        <w:t xml:space="preserve">esta pregunta se usa como indicador </w:t>
      </w:r>
      <w:r w:rsidR="0099083C">
        <w:rPr>
          <w:rFonts w:ascii="Arial" w:hAnsi="Arial" w:cs="Arial"/>
          <w:sz w:val="22"/>
          <w:szCs w:val="22"/>
          <w:lang w:val="es-ES"/>
        </w:rPr>
        <w:t>al nivel de ventas anuales</w:t>
      </w:r>
      <w:r w:rsidR="008323A8">
        <w:rPr>
          <w:rStyle w:val="FootnoteReference"/>
          <w:rFonts w:ascii="Arial" w:hAnsi="Arial" w:cs="Arial"/>
          <w:sz w:val="22"/>
          <w:szCs w:val="22"/>
          <w:lang w:val="es-ES"/>
        </w:rPr>
        <w:footnoteReference w:id="9"/>
      </w:r>
      <w:r w:rsidR="0099083C">
        <w:rPr>
          <w:rFonts w:ascii="Arial" w:hAnsi="Arial" w:cs="Arial"/>
          <w:sz w:val="22"/>
          <w:szCs w:val="22"/>
          <w:lang w:val="es-ES"/>
        </w:rPr>
        <w:t xml:space="preserve"> promedio de las empresas que reportan participar en programas de compras públicas de acuerdo con</w:t>
      </w:r>
      <w:r w:rsidR="0093713C">
        <w:rPr>
          <w:rFonts w:ascii="Arial" w:hAnsi="Arial" w:cs="Arial"/>
          <w:sz w:val="22"/>
          <w:szCs w:val="22"/>
          <w:lang w:val="es-ES"/>
        </w:rPr>
        <w:t xml:space="preserve"> los registros administrativos del programa, en comparación a los no participantes identificados mediante</w:t>
      </w:r>
      <w:r w:rsidR="0099083C">
        <w:rPr>
          <w:rFonts w:ascii="Arial" w:hAnsi="Arial" w:cs="Arial"/>
          <w:sz w:val="22"/>
          <w:szCs w:val="22"/>
          <w:lang w:val="es-ES"/>
        </w:rPr>
        <w:t xml:space="preserve"> la Encuesta Nacional de Empresas</w:t>
      </w:r>
      <w:r w:rsidR="0099083C">
        <w:rPr>
          <w:rStyle w:val="FootnoteReference"/>
          <w:rFonts w:ascii="Arial" w:hAnsi="Arial" w:cs="Arial"/>
          <w:sz w:val="22"/>
          <w:szCs w:val="22"/>
          <w:lang w:val="es-ES"/>
        </w:rPr>
        <w:footnoteReference w:id="10"/>
      </w:r>
      <w:r w:rsidR="00130171">
        <w:rPr>
          <w:rFonts w:ascii="Arial" w:hAnsi="Arial" w:cs="Arial"/>
          <w:sz w:val="22"/>
          <w:szCs w:val="22"/>
          <w:lang w:val="es-ES"/>
        </w:rPr>
        <w:t xml:space="preserve">. Dado que las reformas comprometidas por el programa contemplan </w:t>
      </w:r>
      <w:r w:rsidR="0086039E">
        <w:rPr>
          <w:rFonts w:ascii="Arial" w:hAnsi="Arial" w:cs="Arial"/>
          <w:sz w:val="22"/>
          <w:szCs w:val="22"/>
          <w:lang w:val="es-ES"/>
        </w:rPr>
        <w:t>un incremento en el número de</w:t>
      </w:r>
      <w:r w:rsidR="00130171">
        <w:rPr>
          <w:rFonts w:ascii="Arial" w:hAnsi="Arial" w:cs="Arial"/>
          <w:sz w:val="22"/>
          <w:szCs w:val="22"/>
          <w:lang w:val="es-ES"/>
        </w:rPr>
        <w:t xml:space="preserve"> compradores</w:t>
      </w:r>
      <w:r w:rsidR="0086039E">
        <w:rPr>
          <w:rFonts w:ascii="Arial" w:hAnsi="Arial" w:cs="Arial"/>
          <w:sz w:val="22"/>
          <w:szCs w:val="22"/>
          <w:lang w:val="es-ES"/>
        </w:rPr>
        <w:t xml:space="preserve"> (se amplía el grupo de posibles agencias públicas que pueden participar del programa)</w:t>
      </w:r>
      <w:r w:rsidR="00130171">
        <w:rPr>
          <w:rFonts w:ascii="Arial" w:hAnsi="Arial" w:cs="Arial"/>
          <w:sz w:val="22"/>
          <w:szCs w:val="22"/>
          <w:lang w:val="es-ES"/>
        </w:rPr>
        <w:t>, la mejora en los procesos de adquisiciones y la exigencia de formalidad de los participantes, se espera que las empresas que participen del programa de compra estatal tengan mejores ventas que las empresas comparables no participantes.</w:t>
      </w:r>
      <w:r w:rsidR="00600046">
        <w:rPr>
          <w:rFonts w:ascii="Arial" w:hAnsi="Arial" w:cs="Arial"/>
          <w:sz w:val="22"/>
          <w:szCs w:val="22"/>
          <w:lang w:val="es-ES"/>
        </w:rPr>
        <w:t xml:space="preserve"> Asimismo, se podrá evaluar el cambio en la intensidad del impacto tras comparar distintas cohortes participantes </w:t>
      </w:r>
      <w:r w:rsidR="00A73E16">
        <w:rPr>
          <w:rFonts w:ascii="Arial" w:hAnsi="Arial" w:cs="Arial"/>
          <w:sz w:val="22"/>
          <w:szCs w:val="22"/>
          <w:lang w:val="es-ES"/>
        </w:rPr>
        <w:t>en rondas anteriores del programa de compras públicas para ver si efectivamente las reformas contribuyeron a mejora la calidad del programa.</w:t>
      </w:r>
    </w:p>
    <w:p w14:paraId="53434E73" w14:textId="77777777" w:rsidR="00443FAC" w:rsidRDefault="00443FAC" w:rsidP="00443FAC">
      <w:pPr>
        <w:pStyle w:val="ListParagraph"/>
        <w:rPr>
          <w:rFonts w:ascii="Arial" w:hAnsi="Arial" w:cs="Arial"/>
          <w:sz w:val="22"/>
          <w:szCs w:val="22"/>
          <w:lang w:val="es-ES"/>
        </w:rPr>
      </w:pPr>
    </w:p>
    <w:p w14:paraId="4522632B" w14:textId="4216F242" w:rsidR="00443FAC" w:rsidRPr="00A51226" w:rsidRDefault="000D6D3A" w:rsidP="005C3BC2">
      <w:pPr>
        <w:pStyle w:val="AutoNumpara"/>
        <w:numPr>
          <w:ilvl w:val="0"/>
          <w:numId w:val="3"/>
        </w:numPr>
        <w:spacing w:before="0" w:after="0"/>
        <w:rPr>
          <w:rFonts w:ascii="Arial" w:hAnsi="Arial" w:cs="Arial"/>
          <w:sz w:val="22"/>
          <w:szCs w:val="22"/>
          <w:lang w:val="es-ES"/>
        </w:rPr>
      </w:pPr>
      <w:r>
        <w:rPr>
          <w:rFonts w:ascii="Arial" w:hAnsi="Arial" w:cs="Arial"/>
          <w:sz w:val="22"/>
          <w:szCs w:val="22"/>
          <w:lang w:val="es-ES"/>
        </w:rPr>
        <w:t xml:space="preserve">Resultado esperado </w:t>
      </w:r>
      <w:r w:rsidR="00A37790">
        <w:rPr>
          <w:rFonts w:ascii="Arial" w:hAnsi="Arial" w:cs="Arial"/>
          <w:sz w:val="22"/>
          <w:szCs w:val="22"/>
          <w:lang w:val="es-ES"/>
        </w:rPr>
        <w:t>5</w:t>
      </w:r>
      <w:r w:rsidR="004F6400">
        <w:rPr>
          <w:rFonts w:ascii="Arial" w:hAnsi="Arial" w:cs="Arial"/>
          <w:sz w:val="22"/>
          <w:szCs w:val="22"/>
          <w:lang w:val="es-ES"/>
        </w:rPr>
        <w:t xml:space="preserve"> (asociado al Objetivo de Política 5.1 y Compromiso de Política 5.1.1)</w:t>
      </w:r>
      <w:r>
        <w:rPr>
          <w:rFonts w:ascii="Arial" w:hAnsi="Arial" w:cs="Arial"/>
          <w:sz w:val="22"/>
          <w:szCs w:val="22"/>
          <w:lang w:val="es-ES"/>
        </w:rPr>
        <w:t>:</w:t>
      </w:r>
      <w:r w:rsidR="004F6400">
        <w:rPr>
          <w:rFonts w:ascii="Arial" w:hAnsi="Arial" w:cs="Arial"/>
          <w:sz w:val="22"/>
          <w:szCs w:val="22"/>
          <w:lang w:val="es-ES"/>
        </w:rPr>
        <w:t xml:space="preserve"> </w:t>
      </w:r>
      <w:r w:rsidR="009D19E0">
        <w:rPr>
          <w:rFonts w:ascii="Arial" w:hAnsi="Arial" w:cs="Arial"/>
          <w:sz w:val="22"/>
          <w:szCs w:val="22"/>
          <w:lang w:val="es-ES"/>
        </w:rPr>
        <w:t>¿</w:t>
      </w:r>
      <w:r w:rsidR="00186564">
        <w:rPr>
          <w:rFonts w:ascii="Arial" w:hAnsi="Arial" w:cs="Arial"/>
          <w:sz w:val="22"/>
          <w:szCs w:val="22"/>
          <w:lang w:val="es-ES"/>
        </w:rPr>
        <w:t xml:space="preserve">Las reformas del programa condujeron a la </w:t>
      </w:r>
      <w:r w:rsidR="008657FB">
        <w:rPr>
          <w:rFonts w:ascii="Arial" w:hAnsi="Arial" w:cs="Arial"/>
          <w:sz w:val="22"/>
          <w:szCs w:val="22"/>
          <w:lang w:val="es-ES"/>
        </w:rPr>
        <w:t>eliminacón</w:t>
      </w:r>
      <w:r w:rsidR="00186564">
        <w:rPr>
          <w:rFonts w:ascii="Arial" w:hAnsi="Arial" w:cs="Arial"/>
          <w:sz w:val="22"/>
          <w:szCs w:val="22"/>
          <w:lang w:val="es-ES"/>
        </w:rPr>
        <w:t xml:space="preserve"> de</w:t>
      </w:r>
      <w:r w:rsidR="008657FB">
        <w:rPr>
          <w:rFonts w:ascii="Arial" w:hAnsi="Arial" w:cs="Arial"/>
          <w:sz w:val="22"/>
          <w:szCs w:val="22"/>
          <w:lang w:val="es-ES"/>
        </w:rPr>
        <w:t xml:space="preserve">l bunching de firmas </w:t>
      </w:r>
      <w:r w:rsidR="002076D1">
        <w:rPr>
          <w:rFonts w:ascii="Arial" w:hAnsi="Arial" w:cs="Arial"/>
          <w:sz w:val="22"/>
          <w:szCs w:val="22"/>
          <w:lang w:val="es-ES"/>
        </w:rPr>
        <w:t>alrededor de</w:t>
      </w:r>
      <w:r w:rsidR="00045A96">
        <w:rPr>
          <w:rFonts w:ascii="Arial" w:hAnsi="Arial" w:cs="Arial"/>
          <w:sz w:val="22"/>
          <w:szCs w:val="22"/>
          <w:lang w:val="es-ES"/>
        </w:rPr>
        <w:t>l nivel de ventas que determinaba cambio de regimen tributario</w:t>
      </w:r>
      <w:r w:rsidR="009D19E0">
        <w:rPr>
          <w:rFonts w:ascii="Arial" w:hAnsi="Arial" w:cs="Arial"/>
          <w:sz w:val="22"/>
          <w:szCs w:val="22"/>
          <w:lang w:val="es-ES"/>
        </w:rPr>
        <w:t>?</w:t>
      </w:r>
      <w:r w:rsidR="00561C03">
        <w:rPr>
          <w:rFonts w:ascii="Arial" w:hAnsi="Arial" w:cs="Arial"/>
          <w:sz w:val="22"/>
          <w:szCs w:val="22"/>
          <w:lang w:val="es-ES"/>
        </w:rPr>
        <w:t xml:space="preserve"> Para responder a esta pregunta se usa como indicador </w:t>
      </w:r>
      <w:r w:rsidR="00A73E16">
        <w:rPr>
          <w:rFonts w:ascii="Arial" w:hAnsi="Arial" w:cs="Arial"/>
          <w:sz w:val="22"/>
          <w:szCs w:val="22"/>
          <w:lang w:val="es-ES"/>
        </w:rPr>
        <w:t>a la diferencia del</w:t>
      </w:r>
      <w:r w:rsidR="000741D9">
        <w:rPr>
          <w:rFonts w:ascii="Arial" w:hAnsi="Arial" w:cs="Arial"/>
          <w:sz w:val="22"/>
          <w:szCs w:val="22"/>
          <w:lang w:val="es-ES"/>
        </w:rPr>
        <w:t xml:space="preserve"> </w:t>
      </w:r>
      <w:r w:rsidR="00A73E16">
        <w:rPr>
          <w:rFonts w:ascii="Arial" w:hAnsi="Arial" w:cs="Arial"/>
          <w:sz w:val="22"/>
          <w:szCs w:val="22"/>
          <w:lang w:val="es-ES"/>
        </w:rPr>
        <w:t>porcentaje de firmas con niveles de ventas ligeramente inferiores y ligeramente superiores al nivel de corte para acogerse a un regimen tributario distinto. Dado que las reformas eliminarán la diferenciación de regímenes tributarios, se espera que la concentración a ambos lados del corte pre-reformas sea menos diferenciada luego de la reforma debido a esta eliminación.</w:t>
      </w:r>
    </w:p>
    <w:p w14:paraId="7ECB020C" w14:textId="6FC1ACC4" w:rsidR="00D46F0D" w:rsidRDefault="00D46F0D" w:rsidP="0048224A">
      <w:pPr>
        <w:pStyle w:val="ColorfulList-Accent11"/>
        <w:jc w:val="both"/>
        <w:rPr>
          <w:rFonts w:ascii="Arial" w:hAnsi="Arial" w:cs="Arial"/>
          <w:lang w:val="es-ES"/>
        </w:rPr>
      </w:pPr>
    </w:p>
    <w:p w14:paraId="7EC5B72D" w14:textId="6C8CD534" w:rsidR="005C3BC2" w:rsidRPr="0048224A" w:rsidRDefault="0048224A" w:rsidP="005C3BC2">
      <w:pPr>
        <w:pStyle w:val="Paragraph"/>
        <w:spacing w:after="200" w:line="276" w:lineRule="auto"/>
        <w:rPr>
          <w:rFonts w:ascii="Arial" w:hAnsi="Arial" w:cs="Arial"/>
          <w:sz w:val="20"/>
          <w:szCs w:val="22"/>
        </w:rPr>
      </w:pPr>
      <w:r w:rsidRPr="0048224A">
        <w:rPr>
          <w:rFonts w:ascii="Arial" w:hAnsi="Arial" w:cs="Arial"/>
          <w:sz w:val="22"/>
        </w:rPr>
        <w:t>El Cuadro 2 presenta los indicadores de impacto y de resultado, sus líneas de base, las metas esperadas y los medios de verificación</w:t>
      </w:r>
      <w:r w:rsidR="00901586">
        <w:rPr>
          <w:rFonts w:ascii="Arial" w:hAnsi="Arial" w:cs="Arial"/>
          <w:sz w:val="22"/>
        </w:rPr>
        <w:t>.</w:t>
      </w:r>
    </w:p>
    <w:p w14:paraId="02113702" w14:textId="77777777" w:rsidR="005C3BC2" w:rsidRPr="00C901D4" w:rsidRDefault="005C3BC2" w:rsidP="005C3BC2">
      <w:pPr>
        <w:pStyle w:val="Paragraph"/>
        <w:spacing w:after="200" w:line="276" w:lineRule="auto"/>
        <w:rPr>
          <w:rFonts w:ascii="Arial" w:hAnsi="Arial" w:cs="Arial"/>
          <w:sz w:val="22"/>
          <w:szCs w:val="22"/>
        </w:rPr>
        <w:sectPr w:rsidR="005C3BC2" w:rsidRPr="00C901D4" w:rsidSect="002870D0">
          <w:pgSz w:w="12240" w:h="15840"/>
          <w:pgMar w:top="1440" w:right="1800" w:bottom="1440" w:left="1800" w:header="720" w:footer="720" w:gutter="0"/>
          <w:cols w:space="720"/>
          <w:titlePg/>
          <w:docGrid w:linePitch="360"/>
        </w:sectPr>
      </w:pPr>
      <w:r w:rsidRPr="00C901D4">
        <w:rPr>
          <w:rFonts w:ascii="Arial" w:hAnsi="Arial" w:cs="Arial"/>
          <w:sz w:val="22"/>
          <w:szCs w:val="22"/>
        </w:rPr>
        <w:br w:type="page"/>
      </w:r>
    </w:p>
    <w:p w14:paraId="6977EC5D" w14:textId="1C597B5B" w:rsidR="005C3BC2" w:rsidRPr="008C2533" w:rsidRDefault="005C3BC2" w:rsidP="005C3BC2">
      <w:pPr>
        <w:pStyle w:val="TableTitle"/>
        <w:framePr w:wrap="auto" w:vAnchor="margin" w:yAlign="inline"/>
        <w:spacing w:before="0" w:after="0"/>
        <w:rPr>
          <w:rFonts w:ascii="Arial" w:hAnsi="Arial" w:cs="Arial"/>
          <w:sz w:val="22"/>
          <w:szCs w:val="18"/>
        </w:rPr>
      </w:pPr>
      <w:r w:rsidRPr="008C2533">
        <w:rPr>
          <w:rFonts w:ascii="Arial" w:hAnsi="Arial" w:cs="Arial"/>
          <w:sz w:val="22"/>
          <w:szCs w:val="18"/>
        </w:rPr>
        <w:t xml:space="preserve">Cuadro 2. Indicadores de </w:t>
      </w:r>
      <w:r w:rsidR="00193F9E">
        <w:rPr>
          <w:rFonts w:ascii="Arial" w:hAnsi="Arial" w:cs="Arial"/>
          <w:sz w:val="22"/>
          <w:szCs w:val="18"/>
        </w:rPr>
        <w:t>I</w:t>
      </w:r>
      <w:r w:rsidR="00A754F2">
        <w:rPr>
          <w:rFonts w:ascii="Arial" w:hAnsi="Arial" w:cs="Arial"/>
          <w:sz w:val="22"/>
          <w:szCs w:val="18"/>
        </w:rPr>
        <w:t>mpactos y de R</w:t>
      </w:r>
      <w:r w:rsidRPr="008C2533">
        <w:rPr>
          <w:rFonts w:ascii="Arial" w:hAnsi="Arial" w:cs="Arial"/>
          <w:sz w:val="22"/>
          <w:szCs w:val="18"/>
        </w:rPr>
        <w:t>esultados</w:t>
      </w:r>
    </w:p>
    <w:p w14:paraId="38B3A52C" w14:textId="77777777" w:rsidR="005C3BC2" w:rsidRPr="002675B8" w:rsidRDefault="005C3BC2" w:rsidP="005C3BC2">
      <w:pPr>
        <w:pStyle w:val="TableTitle"/>
        <w:framePr w:wrap="auto" w:vAnchor="margin" w:yAlign="inline"/>
        <w:spacing w:before="0" w:after="0"/>
        <w:rPr>
          <w:rFonts w:ascii="Arial" w:hAnsi="Arial" w:cs="Arial"/>
          <w:sz w:val="18"/>
          <w:szCs w:val="18"/>
        </w:rPr>
      </w:pPr>
    </w:p>
    <w:tbl>
      <w:tblPr>
        <w:tblW w:w="126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32"/>
        <w:gridCol w:w="449"/>
        <w:gridCol w:w="1104"/>
        <w:gridCol w:w="929"/>
        <w:gridCol w:w="724"/>
        <w:gridCol w:w="988"/>
        <w:gridCol w:w="719"/>
        <w:gridCol w:w="1887"/>
        <w:gridCol w:w="3553"/>
      </w:tblGrid>
      <w:tr w:rsidR="005C3BC2" w:rsidRPr="002B5B30" w14:paraId="7FE4B985" w14:textId="77777777" w:rsidTr="0029777E">
        <w:trPr>
          <w:trHeight w:val="845"/>
          <w:jc w:val="center"/>
        </w:trPr>
        <w:tc>
          <w:tcPr>
            <w:tcW w:w="2332" w:type="dxa"/>
            <w:shd w:val="clear" w:color="auto" w:fill="auto"/>
            <w:vAlign w:val="center"/>
          </w:tcPr>
          <w:p w14:paraId="5ED45D5A" w14:textId="77777777" w:rsidR="005C3BC2" w:rsidRPr="002B5B30" w:rsidRDefault="005C3BC2" w:rsidP="002870D0">
            <w:pPr>
              <w:shd w:val="clear" w:color="auto" w:fill="FFFFFF"/>
              <w:tabs>
                <w:tab w:val="left" w:pos="3680"/>
              </w:tabs>
              <w:outlineLvl w:val="0"/>
              <w:rPr>
                <w:rFonts w:ascii="Arial" w:hAnsi="Arial" w:cs="Arial"/>
                <w:b/>
                <w:sz w:val="18"/>
                <w:szCs w:val="18"/>
              </w:rPr>
            </w:pPr>
            <w:r w:rsidRPr="003F305C">
              <w:rPr>
                <w:rFonts w:ascii="Arial" w:hAnsi="Arial" w:cs="Arial"/>
                <w:b/>
                <w:sz w:val="18"/>
                <w:szCs w:val="18"/>
              </w:rPr>
              <w:t>Objetivo del programa:</w:t>
            </w:r>
          </w:p>
        </w:tc>
        <w:tc>
          <w:tcPr>
            <w:tcW w:w="10353" w:type="dxa"/>
            <w:gridSpan w:val="8"/>
            <w:shd w:val="clear" w:color="auto" w:fill="auto"/>
            <w:vAlign w:val="center"/>
          </w:tcPr>
          <w:p w14:paraId="140E33C5" w14:textId="2C0C1846" w:rsidR="005C3BC2" w:rsidRPr="000D0F25" w:rsidRDefault="00CB6024" w:rsidP="002870D0">
            <w:pPr>
              <w:jc w:val="both"/>
              <w:rPr>
                <w:rFonts w:ascii="Arial" w:hAnsi="Arial" w:cs="Arial"/>
                <w:sz w:val="20"/>
              </w:rPr>
            </w:pPr>
            <w:r w:rsidRPr="009F1171">
              <w:rPr>
                <w:rFonts w:ascii="Arial" w:hAnsi="Arial" w:cs="Arial"/>
                <w:sz w:val="18"/>
                <w:szCs w:val="18"/>
              </w:rPr>
              <w:t xml:space="preserve">El objetivo de la serie programática es apoyar al GOP a incrementar la productividad de la economía. Los objetivos específicos consisten en: (i) mejorar la calidad del factor productivo laboral, y (ii) </w:t>
            </w:r>
            <w:r w:rsidR="002446FA" w:rsidRPr="005344D9">
              <w:rPr>
                <w:rFonts w:ascii="Arial" w:hAnsi="Arial" w:cs="Arial"/>
                <w:sz w:val="18"/>
                <w:szCs w:val="18"/>
              </w:rPr>
              <w:t>mejorar las políticas públicas para promover una mayor eficiencia en la asignación de los factores productivos.</w:t>
            </w:r>
          </w:p>
        </w:tc>
      </w:tr>
      <w:tr w:rsidR="005C3BC2" w:rsidRPr="00591765" w14:paraId="417D4340" w14:textId="77777777" w:rsidTr="0029777E">
        <w:trPr>
          <w:trHeight w:val="611"/>
          <w:tblHeader/>
          <w:jc w:val="center"/>
        </w:trPr>
        <w:tc>
          <w:tcPr>
            <w:tcW w:w="12685" w:type="dxa"/>
            <w:gridSpan w:val="9"/>
            <w:tcBorders>
              <w:top w:val="nil"/>
              <w:left w:val="nil"/>
              <w:bottom w:val="single" w:sz="4" w:space="0" w:color="auto"/>
              <w:right w:val="nil"/>
            </w:tcBorders>
            <w:shd w:val="clear" w:color="auto" w:fill="auto"/>
            <w:vAlign w:val="center"/>
          </w:tcPr>
          <w:p w14:paraId="7C2F6687" w14:textId="5773CF45" w:rsidR="005C3BC2" w:rsidRPr="00591765" w:rsidRDefault="00A754F2" w:rsidP="002870D0">
            <w:pPr>
              <w:spacing w:before="480" w:after="240"/>
              <w:ind w:left="-374" w:firstLine="374"/>
              <w:jc w:val="center"/>
              <w:rPr>
                <w:rFonts w:ascii="Arial" w:hAnsi="Arial" w:cs="Arial"/>
                <w:b/>
                <w:smallCaps/>
                <w:szCs w:val="18"/>
              </w:rPr>
            </w:pPr>
            <w:r>
              <w:rPr>
                <w:rFonts w:ascii="Arial" w:hAnsi="Arial" w:cs="Arial"/>
                <w:b/>
                <w:smallCaps/>
                <w:szCs w:val="18"/>
              </w:rPr>
              <w:t>Impactos</w:t>
            </w:r>
          </w:p>
        </w:tc>
      </w:tr>
      <w:tr w:rsidR="00A754F2" w:rsidRPr="00B019CC" w14:paraId="40B7A9DC" w14:textId="77777777" w:rsidTr="0029777E">
        <w:trPr>
          <w:tblHeader/>
          <w:jc w:val="center"/>
        </w:trPr>
        <w:tc>
          <w:tcPr>
            <w:tcW w:w="2781" w:type="dxa"/>
            <w:gridSpan w:val="2"/>
            <w:vMerge w:val="restart"/>
            <w:tcBorders>
              <w:top w:val="single" w:sz="4" w:space="0" w:color="auto"/>
              <w:left w:val="single" w:sz="4" w:space="0" w:color="auto"/>
              <w:bottom w:val="single" w:sz="4" w:space="0" w:color="auto"/>
            </w:tcBorders>
            <w:shd w:val="clear" w:color="auto" w:fill="000000" w:themeFill="text1"/>
            <w:vAlign w:val="center"/>
          </w:tcPr>
          <w:p w14:paraId="604CD270" w14:textId="77777777" w:rsidR="00A754F2" w:rsidRPr="00F80023" w:rsidRDefault="00A754F2" w:rsidP="00204603">
            <w:pPr>
              <w:ind w:left="-378" w:firstLine="378"/>
              <w:jc w:val="center"/>
              <w:rPr>
                <w:rFonts w:ascii="Arial" w:hAnsi="Arial" w:cs="Arial"/>
                <w:b/>
                <w:color w:val="FFFFFF" w:themeColor="background1"/>
                <w:sz w:val="18"/>
                <w:szCs w:val="18"/>
              </w:rPr>
            </w:pPr>
            <w:r w:rsidRPr="00F80023">
              <w:rPr>
                <w:rFonts w:ascii="Arial" w:hAnsi="Arial" w:cs="Arial"/>
                <w:b/>
                <w:color w:val="FFFFFF" w:themeColor="background1"/>
                <w:sz w:val="18"/>
                <w:szCs w:val="18"/>
              </w:rPr>
              <w:t>Indicadores</w:t>
            </w:r>
          </w:p>
        </w:tc>
        <w:tc>
          <w:tcPr>
            <w:tcW w:w="1104" w:type="dxa"/>
            <w:vMerge w:val="restart"/>
            <w:tcBorders>
              <w:top w:val="single" w:sz="4" w:space="0" w:color="auto"/>
              <w:bottom w:val="single" w:sz="4" w:space="0" w:color="auto"/>
            </w:tcBorders>
            <w:shd w:val="clear" w:color="auto" w:fill="000000" w:themeFill="text1"/>
            <w:vAlign w:val="center"/>
          </w:tcPr>
          <w:p w14:paraId="7E320A6B" w14:textId="77777777" w:rsidR="00A754F2" w:rsidRPr="00F80023" w:rsidRDefault="00A754F2" w:rsidP="00204603">
            <w:pPr>
              <w:ind w:left="-378" w:firstLine="378"/>
              <w:jc w:val="center"/>
              <w:rPr>
                <w:rFonts w:ascii="Arial" w:hAnsi="Arial" w:cs="Arial"/>
                <w:b/>
                <w:color w:val="FFFFFF" w:themeColor="background1"/>
                <w:sz w:val="18"/>
                <w:szCs w:val="18"/>
              </w:rPr>
            </w:pPr>
            <w:r w:rsidRPr="00F80023">
              <w:rPr>
                <w:rFonts w:ascii="Arial" w:hAnsi="Arial" w:cs="Arial"/>
                <w:b/>
                <w:color w:val="FFFFFF" w:themeColor="background1"/>
                <w:sz w:val="18"/>
                <w:szCs w:val="18"/>
              </w:rPr>
              <w:t xml:space="preserve">Unidad </w:t>
            </w:r>
          </w:p>
        </w:tc>
        <w:tc>
          <w:tcPr>
            <w:tcW w:w="1653" w:type="dxa"/>
            <w:gridSpan w:val="2"/>
            <w:tcBorders>
              <w:top w:val="single" w:sz="4" w:space="0" w:color="auto"/>
              <w:bottom w:val="single" w:sz="4" w:space="0" w:color="auto"/>
            </w:tcBorders>
            <w:shd w:val="clear" w:color="auto" w:fill="000000" w:themeFill="text1"/>
            <w:vAlign w:val="center"/>
          </w:tcPr>
          <w:p w14:paraId="60C6B51D" w14:textId="77777777" w:rsidR="00A754F2" w:rsidRPr="00F80023" w:rsidRDefault="00A754F2" w:rsidP="00204603">
            <w:pPr>
              <w:ind w:left="-378" w:firstLine="378"/>
              <w:jc w:val="center"/>
              <w:rPr>
                <w:rFonts w:ascii="Arial" w:hAnsi="Arial" w:cs="Arial"/>
                <w:b/>
                <w:color w:val="FFFFFF" w:themeColor="background1"/>
                <w:sz w:val="18"/>
                <w:szCs w:val="18"/>
              </w:rPr>
            </w:pPr>
            <w:r w:rsidRPr="00F80023">
              <w:rPr>
                <w:rFonts w:ascii="Arial" w:hAnsi="Arial" w:cs="Arial"/>
                <w:b/>
                <w:color w:val="FFFFFF" w:themeColor="background1"/>
                <w:sz w:val="18"/>
                <w:szCs w:val="18"/>
              </w:rPr>
              <w:t>Línea de base</w:t>
            </w:r>
          </w:p>
        </w:tc>
        <w:tc>
          <w:tcPr>
            <w:tcW w:w="1707" w:type="dxa"/>
            <w:gridSpan w:val="2"/>
            <w:tcBorders>
              <w:top w:val="single" w:sz="4" w:space="0" w:color="auto"/>
              <w:bottom w:val="single" w:sz="4" w:space="0" w:color="auto"/>
            </w:tcBorders>
            <w:shd w:val="clear" w:color="auto" w:fill="000000" w:themeFill="text1"/>
            <w:vAlign w:val="center"/>
          </w:tcPr>
          <w:p w14:paraId="421EF852" w14:textId="77777777" w:rsidR="00A754F2" w:rsidRPr="00F80023" w:rsidRDefault="00A754F2" w:rsidP="00204603">
            <w:pPr>
              <w:ind w:left="-378" w:firstLine="378"/>
              <w:jc w:val="center"/>
              <w:rPr>
                <w:rFonts w:ascii="Arial" w:hAnsi="Arial" w:cs="Arial"/>
                <w:b/>
                <w:color w:val="FFFFFF" w:themeColor="background1"/>
                <w:sz w:val="18"/>
                <w:szCs w:val="18"/>
              </w:rPr>
            </w:pPr>
            <w:r w:rsidRPr="00F80023">
              <w:rPr>
                <w:rFonts w:ascii="Arial" w:hAnsi="Arial" w:cs="Arial"/>
                <w:b/>
                <w:color w:val="FFFFFF" w:themeColor="background1"/>
                <w:sz w:val="18"/>
                <w:szCs w:val="18"/>
              </w:rPr>
              <w:t>Metas</w:t>
            </w:r>
          </w:p>
        </w:tc>
        <w:tc>
          <w:tcPr>
            <w:tcW w:w="1887" w:type="dxa"/>
            <w:vMerge w:val="restart"/>
            <w:tcBorders>
              <w:top w:val="single" w:sz="4" w:space="0" w:color="auto"/>
              <w:bottom w:val="single" w:sz="4" w:space="0" w:color="auto"/>
            </w:tcBorders>
            <w:shd w:val="clear" w:color="auto" w:fill="000000" w:themeFill="text1"/>
            <w:vAlign w:val="center"/>
          </w:tcPr>
          <w:p w14:paraId="39293303" w14:textId="77777777" w:rsidR="00A754F2" w:rsidRPr="00F80023" w:rsidRDefault="00A754F2" w:rsidP="00204603">
            <w:pPr>
              <w:ind w:left="-378" w:firstLine="378"/>
              <w:jc w:val="center"/>
              <w:rPr>
                <w:rFonts w:ascii="Arial" w:hAnsi="Arial" w:cs="Arial"/>
                <w:b/>
                <w:color w:val="FFFFFF" w:themeColor="background1"/>
                <w:sz w:val="18"/>
                <w:szCs w:val="18"/>
              </w:rPr>
            </w:pPr>
            <w:r w:rsidRPr="00F80023">
              <w:rPr>
                <w:rFonts w:ascii="Arial" w:hAnsi="Arial" w:cs="Arial"/>
                <w:b/>
                <w:color w:val="FFFFFF" w:themeColor="background1"/>
                <w:sz w:val="18"/>
                <w:szCs w:val="18"/>
              </w:rPr>
              <w:t>Fuente/Medio de verificación</w:t>
            </w:r>
          </w:p>
        </w:tc>
        <w:tc>
          <w:tcPr>
            <w:tcW w:w="3553" w:type="dxa"/>
            <w:vMerge w:val="restart"/>
            <w:tcBorders>
              <w:top w:val="single" w:sz="4" w:space="0" w:color="auto"/>
              <w:bottom w:val="single" w:sz="4" w:space="0" w:color="auto"/>
              <w:right w:val="single" w:sz="4" w:space="0" w:color="auto"/>
            </w:tcBorders>
            <w:shd w:val="clear" w:color="auto" w:fill="000000" w:themeFill="text1"/>
            <w:vAlign w:val="center"/>
          </w:tcPr>
          <w:p w14:paraId="7C96D007" w14:textId="77777777" w:rsidR="00A754F2" w:rsidRPr="00F80023" w:rsidRDefault="00A754F2" w:rsidP="00204603">
            <w:pPr>
              <w:ind w:left="-378" w:firstLine="378"/>
              <w:jc w:val="center"/>
              <w:rPr>
                <w:rFonts w:ascii="Arial" w:hAnsi="Arial" w:cs="Arial"/>
                <w:b/>
                <w:color w:val="FFFFFF" w:themeColor="background1"/>
                <w:sz w:val="18"/>
                <w:szCs w:val="18"/>
              </w:rPr>
            </w:pPr>
            <w:r w:rsidRPr="00F80023">
              <w:rPr>
                <w:rFonts w:ascii="Arial" w:hAnsi="Arial" w:cs="Arial"/>
                <w:b/>
                <w:color w:val="FFFFFF" w:themeColor="background1"/>
                <w:sz w:val="18"/>
                <w:szCs w:val="18"/>
              </w:rPr>
              <w:t>Observaciones</w:t>
            </w:r>
          </w:p>
        </w:tc>
      </w:tr>
      <w:tr w:rsidR="000C5437" w:rsidRPr="00B019CC" w14:paraId="5346D8BB" w14:textId="77777777" w:rsidTr="0029777E">
        <w:trPr>
          <w:tblHeader/>
          <w:jc w:val="center"/>
        </w:trPr>
        <w:tc>
          <w:tcPr>
            <w:tcW w:w="2781" w:type="dxa"/>
            <w:gridSpan w:val="2"/>
            <w:vMerge/>
            <w:tcBorders>
              <w:top w:val="single" w:sz="4" w:space="0" w:color="auto"/>
              <w:bottom w:val="single" w:sz="4" w:space="0" w:color="000000"/>
            </w:tcBorders>
            <w:shd w:val="clear" w:color="auto" w:fill="95B3D7"/>
          </w:tcPr>
          <w:p w14:paraId="60FC2693" w14:textId="77777777" w:rsidR="00A754F2" w:rsidRPr="00B019CC" w:rsidRDefault="00A754F2" w:rsidP="00204603">
            <w:pPr>
              <w:ind w:left="-378" w:firstLine="378"/>
              <w:jc w:val="center"/>
              <w:rPr>
                <w:rFonts w:ascii="Arial" w:hAnsi="Arial" w:cs="Arial"/>
                <w:b/>
                <w:sz w:val="18"/>
                <w:szCs w:val="18"/>
              </w:rPr>
            </w:pPr>
          </w:p>
        </w:tc>
        <w:tc>
          <w:tcPr>
            <w:tcW w:w="1104" w:type="dxa"/>
            <w:vMerge/>
            <w:tcBorders>
              <w:top w:val="single" w:sz="4" w:space="0" w:color="auto"/>
              <w:bottom w:val="single" w:sz="4" w:space="0" w:color="000000"/>
            </w:tcBorders>
            <w:shd w:val="clear" w:color="auto" w:fill="95B3D7"/>
          </w:tcPr>
          <w:p w14:paraId="4460C472" w14:textId="77777777" w:rsidR="00A754F2" w:rsidRPr="00B019CC" w:rsidRDefault="00A754F2" w:rsidP="00204603">
            <w:pPr>
              <w:ind w:left="-378" w:firstLine="378"/>
              <w:jc w:val="center"/>
              <w:rPr>
                <w:rFonts w:ascii="Arial" w:hAnsi="Arial" w:cs="Arial"/>
                <w:b/>
                <w:sz w:val="18"/>
                <w:szCs w:val="18"/>
              </w:rPr>
            </w:pPr>
          </w:p>
        </w:tc>
        <w:tc>
          <w:tcPr>
            <w:tcW w:w="929" w:type="dxa"/>
            <w:tcBorders>
              <w:top w:val="single" w:sz="4" w:space="0" w:color="auto"/>
              <w:bottom w:val="single" w:sz="4" w:space="0" w:color="000000"/>
            </w:tcBorders>
            <w:shd w:val="clear" w:color="auto" w:fill="000000" w:themeFill="text1"/>
            <w:vAlign w:val="center"/>
          </w:tcPr>
          <w:p w14:paraId="4F5D2A98" w14:textId="77777777" w:rsidR="00A754F2" w:rsidRPr="00F80023" w:rsidRDefault="00A754F2" w:rsidP="00204603">
            <w:pPr>
              <w:ind w:left="-378" w:firstLine="378"/>
              <w:jc w:val="center"/>
              <w:rPr>
                <w:rFonts w:ascii="Arial" w:hAnsi="Arial" w:cs="Arial"/>
                <w:b/>
                <w:color w:val="FFFFFF" w:themeColor="background1"/>
                <w:sz w:val="18"/>
                <w:szCs w:val="18"/>
              </w:rPr>
            </w:pPr>
            <w:r w:rsidRPr="00F80023">
              <w:rPr>
                <w:rFonts w:ascii="Arial" w:hAnsi="Arial" w:cs="Arial"/>
                <w:b/>
                <w:color w:val="FFFFFF" w:themeColor="background1"/>
                <w:sz w:val="18"/>
                <w:szCs w:val="18"/>
              </w:rPr>
              <w:t>Valor</w:t>
            </w:r>
          </w:p>
        </w:tc>
        <w:tc>
          <w:tcPr>
            <w:tcW w:w="724" w:type="dxa"/>
            <w:tcBorders>
              <w:top w:val="single" w:sz="4" w:space="0" w:color="auto"/>
              <w:bottom w:val="single" w:sz="4" w:space="0" w:color="000000"/>
            </w:tcBorders>
            <w:shd w:val="clear" w:color="auto" w:fill="000000" w:themeFill="text1"/>
            <w:vAlign w:val="center"/>
          </w:tcPr>
          <w:p w14:paraId="4437F99C" w14:textId="77777777" w:rsidR="00A754F2" w:rsidRPr="00F80023" w:rsidRDefault="00A754F2" w:rsidP="00204603">
            <w:pPr>
              <w:ind w:left="-378" w:firstLine="378"/>
              <w:jc w:val="center"/>
              <w:rPr>
                <w:rFonts w:ascii="Arial" w:hAnsi="Arial" w:cs="Arial"/>
                <w:b/>
                <w:color w:val="FFFFFF" w:themeColor="background1"/>
                <w:sz w:val="18"/>
                <w:szCs w:val="18"/>
              </w:rPr>
            </w:pPr>
            <w:r w:rsidRPr="00F80023">
              <w:rPr>
                <w:rFonts w:ascii="Arial" w:hAnsi="Arial" w:cs="Arial"/>
                <w:b/>
                <w:color w:val="FFFFFF" w:themeColor="background1"/>
                <w:sz w:val="18"/>
                <w:szCs w:val="18"/>
              </w:rPr>
              <w:t>Año</w:t>
            </w:r>
          </w:p>
        </w:tc>
        <w:tc>
          <w:tcPr>
            <w:tcW w:w="988" w:type="dxa"/>
            <w:tcBorders>
              <w:top w:val="single" w:sz="4" w:space="0" w:color="auto"/>
              <w:bottom w:val="single" w:sz="4" w:space="0" w:color="000000"/>
            </w:tcBorders>
            <w:shd w:val="clear" w:color="auto" w:fill="000000" w:themeFill="text1"/>
            <w:vAlign w:val="center"/>
          </w:tcPr>
          <w:p w14:paraId="326FC132" w14:textId="77777777" w:rsidR="00A754F2" w:rsidRPr="00F80023" w:rsidRDefault="00A754F2" w:rsidP="00204603">
            <w:pPr>
              <w:ind w:left="-378" w:firstLine="378"/>
              <w:jc w:val="center"/>
              <w:rPr>
                <w:rFonts w:ascii="Arial" w:hAnsi="Arial" w:cs="Arial"/>
                <w:b/>
                <w:color w:val="FFFFFF" w:themeColor="background1"/>
                <w:sz w:val="18"/>
                <w:szCs w:val="18"/>
              </w:rPr>
            </w:pPr>
            <w:r w:rsidRPr="00F80023">
              <w:rPr>
                <w:rFonts w:ascii="Arial" w:hAnsi="Arial" w:cs="Arial"/>
                <w:b/>
                <w:color w:val="FFFFFF" w:themeColor="background1"/>
                <w:sz w:val="18"/>
                <w:szCs w:val="18"/>
              </w:rPr>
              <w:t>Valor</w:t>
            </w:r>
          </w:p>
        </w:tc>
        <w:tc>
          <w:tcPr>
            <w:tcW w:w="719" w:type="dxa"/>
            <w:tcBorders>
              <w:top w:val="single" w:sz="4" w:space="0" w:color="auto"/>
              <w:bottom w:val="single" w:sz="4" w:space="0" w:color="000000"/>
            </w:tcBorders>
            <w:shd w:val="clear" w:color="auto" w:fill="000000" w:themeFill="text1"/>
            <w:vAlign w:val="center"/>
          </w:tcPr>
          <w:p w14:paraId="045367BF" w14:textId="77777777" w:rsidR="00A754F2" w:rsidRPr="00F80023" w:rsidRDefault="00A754F2" w:rsidP="00204603">
            <w:pPr>
              <w:ind w:left="-378" w:firstLine="378"/>
              <w:jc w:val="center"/>
              <w:rPr>
                <w:rFonts w:ascii="Arial" w:hAnsi="Arial" w:cs="Arial"/>
                <w:b/>
                <w:color w:val="FFFFFF" w:themeColor="background1"/>
                <w:sz w:val="18"/>
                <w:szCs w:val="18"/>
              </w:rPr>
            </w:pPr>
            <w:r w:rsidRPr="00F80023">
              <w:rPr>
                <w:rFonts w:ascii="Arial" w:hAnsi="Arial" w:cs="Arial"/>
                <w:b/>
                <w:color w:val="FFFFFF" w:themeColor="background1"/>
                <w:sz w:val="18"/>
                <w:szCs w:val="18"/>
              </w:rPr>
              <w:t xml:space="preserve">Año </w:t>
            </w:r>
          </w:p>
        </w:tc>
        <w:tc>
          <w:tcPr>
            <w:tcW w:w="1887" w:type="dxa"/>
            <w:vMerge/>
            <w:tcBorders>
              <w:top w:val="single" w:sz="4" w:space="0" w:color="auto"/>
              <w:bottom w:val="single" w:sz="4" w:space="0" w:color="000000"/>
            </w:tcBorders>
            <w:shd w:val="clear" w:color="auto" w:fill="95B3D7"/>
          </w:tcPr>
          <w:p w14:paraId="0EBFAFEE" w14:textId="77777777" w:rsidR="00A754F2" w:rsidRPr="00B019CC" w:rsidRDefault="00A754F2" w:rsidP="00204603">
            <w:pPr>
              <w:ind w:left="-378" w:firstLine="378"/>
              <w:jc w:val="center"/>
              <w:rPr>
                <w:rFonts w:ascii="Arial" w:hAnsi="Arial" w:cs="Arial"/>
                <w:b/>
                <w:sz w:val="18"/>
                <w:szCs w:val="18"/>
              </w:rPr>
            </w:pPr>
          </w:p>
        </w:tc>
        <w:tc>
          <w:tcPr>
            <w:tcW w:w="3553" w:type="dxa"/>
            <w:vMerge/>
            <w:tcBorders>
              <w:top w:val="single" w:sz="4" w:space="0" w:color="auto"/>
              <w:bottom w:val="single" w:sz="4" w:space="0" w:color="000000"/>
              <w:right w:val="single" w:sz="4" w:space="0" w:color="auto"/>
            </w:tcBorders>
            <w:shd w:val="clear" w:color="auto" w:fill="95B3D7"/>
          </w:tcPr>
          <w:p w14:paraId="6ACCF102" w14:textId="77777777" w:rsidR="00A754F2" w:rsidRPr="00B019CC" w:rsidRDefault="00A754F2" w:rsidP="00204603">
            <w:pPr>
              <w:ind w:left="-378" w:firstLine="378"/>
              <w:jc w:val="center"/>
              <w:rPr>
                <w:rFonts w:ascii="Arial" w:hAnsi="Arial" w:cs="Arial"/>
                <w:b/>
                <w:sz w:val="18"/>
                <w:szCs w:val="18"/>
              </w:rPr>
            </w:pPr>
          </w:p>
        </w:tc>
      </w:tr>
      <w:tr w:rsidR="007B1797" w:rsidRPr="00B019CC" w14:paraId="3DCE907F" w14:textId="77777777" w:rsidTr="0029777E">
        <w:trPr>
          <w:tblHeader/>
          <w:jc w:val="center"/>
        </w:trPr>
        <w:tc>
          <w:tcPr>
            <w:tcW w:w="12685" w:type="dxa"/>
            <w:gridSpan w:val="9"/>
            <w:tcBorders>
              <w:top w:val="single" w:sz="4" w:space="0" w:color="auto"/>
              <w:bottom w:val="single" w:sz="4" w:space="0" w:color="000000"/>
              <w:right w:val="single" w:sz="4" w:space="0" w:color="auto"/>
            </w:tcBorders>
            <w:shd w:val="clear" w:color="auto" w:fill="D9D9D9" w:themeFill="background1" w:themeFillShade="D9"/>
          </w:tcPr>
          <w:p w14:paraId="4A1FB77A" w14:textId="01ACAA32" w:rsidR="007B1797" w:rsidRPr="00B019CC" w:rsidRDefault="00CB6024" w:rsidP="00D34F27">
            <w:pPr>
              <w:ind w:left="-378" w:firstLine="378"/>
              <w:rPr>
                <w:rFonts w:ascii="Arial" w:hAnsi="Arial" w:cs="Arial"/>
                <w:b/>
                <w:sz w:val="18"/>
                <w:szCs w:val="18"/>
              </w:rPr>
            </w:pPr>
            <w:r>
              <w:rPr>
                <w:rFonts w:ascii="Arial" w:hAnsi="Arial" w:cs="Arial"/>
                <w:b/>
                <w:sz w:val="18"/>
                <w:szCs w:val="18"/>
              </w:rPr>
              <w:t xml:space="preserve">Objetivo específico </w:t>
            </w:r>
            <w:r w:rsidR="00D34F27">
              <w:rPr>
                <w:rFonts w:ascii="Arial" w:hAnsi="Arial" w:cs="Arial"/>
                <w:b/>
                <w:sz w:val="18"/>
                <w:szCs w:val="18"/>
              </w:rPr>
              <w:t xml:space="preserve">1: </w:t>
            </w:r>
            <w:r>
              <w:rPr>
                <w:rFonts w:ascii="Arial" w:hAnsi="Arial" w:cs="Arial"/>
                <w:b/>
                <w:sz w:val="18"/>
                <w:szCs w:val="18"/>
              </w:rPr>
              <w:t>Mejorar la calidad del factor productivo laboral</w:t>
            </w:r>
          </w:p>
        </w:tc>
      </w:tr>
      <w:tr w:rsidR="00A754F2" w:rsidRPr="00B019CC" w14:paraId="6188A05C" w14:textId="77777777" w:rsidTr="0029777E">
        <w:trPr>
          <w:trHeight w:val="233"/>
          <w:jc w:val="center"/>
        </w:trPr>
        <w:tc>
          <w:tcPr>
            <w:tcW w:w="12685" w:type="dxa"/>
            <w:gridSpan w:val="9"/>
            <w:tcBorders>
              <w:bottom w:val="single" w:sz="4" w:space="0" w:color="000000"/>
            </w:tcBorders>
            <w:shd w:val="clear" w:color="auto" w:fill="D9D9D9" w:themeFill="background1" w:themeFillShade="D9"/>
            <w:vAlign w:val="center"/>
          </w:tcPr>
          <w:p w14:paraId="5FF55346" w14:textId="65BF06FF" w:rsidR="00A754F2" w:rsidRPr="008277D2" w:rsidRDefault="007B1797" w:rsidP="00204603">
            <w:pPr>
              <w:rPr>
                <w:rFonts w:ascii="Arial" w:hAnsi="Arial"/>
                <w:sz w:val="18"/>
                <w:highlight w:val="yellow"/>
                <w:lang w:val="es-CL"/>
              </w:rPr>
            </w:pPr>
            <w:r>
              <w:rPr>
                <w:rFonts w:ascii="Arial" w:hAnsi="Arial" w:cs="Arial"/>
                <w:b/>
                <w:sz w:val="18"/>
                <w:szCs w:val="18"/>
              </w:rPr>
              <w:t>Impacto</w:t>
            </w:r>
            <w:r w:rsidR="00A754F2" w:rsidRPr="00B019CC">
              <w:rPr>
                <w:rFonts w:ascii="Arial" w:hAnsi="Arial" w:cs="Arial"/>
                <w:b/>
                <w:sz w:val="18"/>
                <w:szCs w:val="18"/>
              </w:rPr>
              <w:t xml:space="preserve"> Esperado 1</w:t>
            </w:r>
            <w:r w:rsidR="00A754F2" w:rsidRPr="00083F8C">
              <w:rPr>
                <w:rFonts w:ascii="Arial" w:hAnsi="Arial" w:cs="Arial"/>
                <w:b/>
                <w:sz w:val="18"/>
                <w:szCs w:val="18"/>
              </w:rPr>
              <w:t xml:space="preserve">.  </w:t>
            </w:r>
            <w:r w:rsidR="00A754F2">
              <w:rPr>
                <w:rFonts w:ascii="Arial" w:hAnsi="Arial" w:cs="Arial"/>
                <w:b/>
                <w:sz w:val="18"/>
                <w:szCs w:val="18"/>
              </w:rPr>
              <w:t>Mejorar las remuneraciones de los trabajadores cualificados</w:t>
            </w:r>
          </w:p>
        </w:tc>
      </w:tr>
      <w:tr w:rsidR="000C5437" w:rsidRPr="00B019CC" w14:paraId="121F408E" w14:textId="77777777" w:rsidTr="0029777E">
        <w:trPr>
          <w:trHeight w:val="953"/>
          <w:jc w:val="center"/>
        </w:trPr>
        <w:tc>
          <w:tcPr>
            <w:tcW w:w="2781" w:type="dxa"/>
            <w:gridSpan w:val="2"/>
            <w:tcBorders>
              <w:bottom w:val="single" w:sz="4" w:space="0" w:color="000000"/>
            </w:tcBorders>
            <w:shd w:val="clear" w:color="auto" w:fill="auto"/>
            <w:vAlign w:val="center"/>
          </w:tcPr>
          <w:p w14:paraId="517CD3E5" w14:textId="57ED630E" w:rsidR="003906EA" w:rsidRPr="00083F8C" w:rsidRDefault="006D6FD2" w:rsidP="006D6FD2">
            <w:pPr>
              <w:pStyle w:val="ListParagraph"/>
              <w:ind w:left="0"/>
              <w:jc w:val="both"/>
              <w:rPr>
                <w:rFonts w:ascii="Arial" w:hAnsi="Arial" w:cs="Arial"/>
                <w:sz w:val="18"/>
                <w:szCs w:val="18"/>
              </w:rPr>
            </w:pPr>
            <w:r>
              <w:rPr>
                <w:rFonts w:ascii="Arial" w:hAnsi="Arial" w:cs="Arial"/>
                <w:sz w:val="18"/>
                <w:szCs w:val="18"/>
              </w:rPr>
              <w:t>I</w:t>
            </w:r>
            <w:r w:rsidR="003906EA" w:rsidRPr="00C35230">
              <w:rPr>
                <w:rFonts w:ascii="Arial" w:hAnsi="Arial" w:cs="Arial"/>
                <w:sz w:val="18"/>
                <w:szCs w:val="18"/>
              </w:rPr>
              <w:t xml:space="preserve">ngresos </w:t>
            </w:r>
            <w:r w:rsidR="00166AA4">
              <w:rPr>
                <w:rFonts w:ascii="Arial" w:hAnsi="Arial" w:cs="Arial"/>
                <w:sz w:val="18"/>
                <w:szCs w:val="18"/>
              </w:rPr>
              <w:t xml:space="preserve">anuales promedio </w:t>
            </w:r>
            <w:r w:rsidR="003906EA" w:rsidRPr="00C35230">
              <w:rPr>
                <w:rFonts w:ascii="Arial" w:hAnsi="Arial" w:cs="Arial"/>
                <w:sz w:val="18"/>
                <w:szCs w:val="18"/>
              </w:rPr>
              <w:t xml:space="preserve">de los egresados de </w:t>
            </w:r>
            <w:r w:rsidR="003906EA">
              <w:rPr>
                <w:rFonts w:ascii="Arial" w:hAnsi="Arial" w:cs="Arial"/>
                <w:sz w:val="18"/>
                <w:szCs w:val="18"/>
              </w:rPr>
              <w:t>los institutos técnicos públicos</w:t>
            </w:r>
            <w:r w:rsidR="003906EA" w:rsidRPr="00C35230">
              <w:rPr>
                <w:rFonts w:ascii="Arial" w:hAnsi="Arial" w:cs="Arial"/>
                <w:sz w:val="18"/>
                <w:szCs w:val="18"/>
              </w:rPr>
              <w:t xml:space="preserve"> </w:t>
            </w:r>
            <w:r w:rsidR="00EA2168">
              <w:rPr>
                <w:rFonts w:ascii="Arial" w:hAnsi="Arial" w:cs="Arial"/>
                <w:sz w:val="18"/>
                <w:szCs w:val="18"/>
              </w:rPr>
              <w:t>que adoptan las políticas comprometidas</w:t>
            </w:r>
            <w:r w:rsidR="003906EA">
              <w:rPr>
                <w:rFonts w:ascii="Arial" w:hAnsi="Arial" w:cs="Arial"/>
                <w:sz w:val="18"/>
                <w:szCs w:val="18"/>
              </w:rPr>
              <w:t xml:space="preserve"> por el programa</w:t>
            </w:r>
            <w:r w:rsidR="002446FA">
              <w:rPr>
                <w:rFonts w:ascii="Arial" w:hAnsi="Arial" w:cs="Arial"/>
                <w:sz w:val="18"/>
                <w:szCs w:val="18"/>
              </w:rPr>
              <w:t>.</w:t>
            </w:r>
          </w:p>
        </w:tc>
        <w:tc>
          <w:tcPr>
            <w:tcW w:w="1104" w:type="dxa"/>
            <w:tcBorders>
              <w:bottom w:val="single" w:sz="4" w:space="0" w:color="000000"/>
            </w:tcBorders>
            <w:shd w:val="clear" w:color="auto" w:fill="auto"/>
            <w:vAlign w:val="center"/>
          </w:tcPr>
          <w:p w14:paraId="3CD9D64D" w14:textId="59B1FFC0" w:rsidR="003906EA" w:rsidRPr="00B019CC" w:rsidRDefault="00874936" w:rsidP="003906EA">
            <w:pPr>
              <w:jc w:val="center"/>
              <w:rPr>
                <w:rFonts w:ascii="Arial" w:hAnsi="Arial" w:cs="Arial"/>
                <w:sz w:val="18"/>
                <w:szCs w:val="18"/>
              </w:rPr>
            </w:pPr>
            <w:r>
              <w:rPr>
                <w:rFonts w:ascii="Arial" w:hAnsi="Arial" w:cs="Arial"/>
                <w:sz w:val="18"/>
                <w:szCs w:val="18"/>
              </w:rPr>
              <w:t xml:space="preserve">Miles </w:t>
            </w:r>
            <w:r w:rsidR="00190879">
              <w:rPr>
                <w:rFonts w:ascii="Arial" w:hAnsi="Arial" w:cs="Arial"/>
                <w:sz w:val="18"/>
                <w:szCs w:val="18"/>
              </w:rPr>
              <w:t>US</w:t>
            </w:r>
            <w:r w:rsidR="00CB4E75">
              <w:rPr>
                <w:rFonts w:ascii="Arial" w:hAnsi="Arial" w:cs="Arial"/>
                <w:sz w:val="18"/>
                <w:szCs w:val="18"/>
              </w:rPr>
              <w:t>$</w:t>
            </w:r>
          </w:p>
        </w:tc>
        <w:tc>
          <w:tcPr>
            <w:tcW w:w="929" w:type="dxa"/>
            <w:tcBorders>
              <w:bottom w:val="single" w:sz="4" w:space="0" w:color="000000"/>
            </w:tcBorders>
            <w:shd w:val="clear" w:color="auto" w:fill="auto"/>
            <w:vAlign w:val="center"/>
          </w:tcPr>
          <w:p w14:paraId="0BFF2736" w14:textId="02A3EE86" w:rsidR="003906EA" w:rsidRPr="00B019CC" w:rsidRDefault="006A120E" w:rsidP="003906EA">
            <w:pPr>
              <w:jc w:val="center"/>
              <w:rPr>
                <w:rFonts w:ascii="Arial" w:hAnsi="Arial" w:cs="Arial"/>
                <w:sz w:val="18"/>
                <w:szCs w:val="18"/>
              </w:rPr>
            </w:pPr>
            <w:r>
              <w:rPr>
                <w:rFonts w:ascii="Arial" w:hAnsi="Arial" w:cs="Arial"/>
                <w:sz w:val="18"/>
                <w:szCs w:val="18"/>
              </w:rPr>
              <w:t>6</w:t>
            </w:r>
            <w:r w:rsidR="00901586">
              <w:rPr>
                <w:rFonts w:ascii="Arial" w:hAnsi="Arial" w:cs="Arial"/>
                <w:sz w:val="18"/>
                <w:szCs w:val="18"/>
              </w:rPr>
              <w:t>,</w:t>
            </w:r>
            <w:r>
              <w:rPr>
                <w:rFonts w:ascii="Arial" w:hAnsi="Arial" w:cs="Arial"/>
                <w:sz w:val="18"/>
                <w:szCs w:val="18"/>
              </w:rPr>
              <w:t>5</w:t>
            </w:r>
          </w:p>
        </w:tc>
        <w:tc>
          <w:tcPr>
            <w:tcW w:w="724" w:type="dxa"/>
            <w:tcBorders>
              <w:bottom w:val="single" w:sz="4" w:space="0" w:color="000000"/>
            </w:tcBorders>
            <w:shd w:val="clear" w:color="auto" w:fill="auto"/>
            <w:vAlign w:val="center"/>
          </w:tcPr>
          <w:p w14:paraId="568FF0EC" w14:textId="774EE281" w:rsidR="003906EA" w:rsidRPr="00B019CC" w:rsidRDefault="003906EA" w:rsidP="003906EA">
            <w:pPr>
              <w:jc w:val="center"/>
              <w:rPr>
                <w:rFonts w:ascii="Arial" w:hAnsi="Arial" w:cs="Arial"/>
                <w:sz w:val="18"/>
                <w:szCs w:val="18"/>
              </w:rPr>
            </w:pPr>
            <w:r>
              <w:rPr>
                <w:rFonts w:ascii="Arial" w:hAnsi="Arial" w:cs="Arial"/>
                <w:sz w:val="18"/>
                <w:szCs w:val="18"/>
                <w:lang w:eastAsia="zh-CN"/>
              </w:rPr>
              <w:t>201</w:t>
            </w:r>
            <w:r w:rsidR="006B0B9A">
              <w:rPr>
                <w:rFonts w:ascii="Arial" w:hAnsi="Arial" w:cs="Arial"/>
                <w:sz w:val="18"/>
                <w:szCs w:val="18"/>
                <w:lang w:eastAsia="zh-CN"/>
              </w:rPr>
              <w:t>6</w:t>
            </w:r>
          </w:p>
        </w:tc>
        <w:tc>
          <w:tcPr>
            <w:tcW w:w="988" w:type="dxa"/>
            <w:tcBorders>
              <w:bottom w:val="single" w:sz="4" w:space="0" w:color="000000"/>
            </w:tcBorders>
            <w:shd w:val="clear" w:color="auto" w:fill="auto"/>
            <w:vAlign w:val="center"/>
          </w:tcPr>
          <w:p w14:paraId="6B1A7150" w14:textId="7130BC43" w:rsidR="003906EA" w:rsidRPr="00B019CC" w:rsidRDefault="006A120E" w:rsidP="003906EA">
            <w:pPr>
              <w:jc w:val="center"/>
              <w:rPr>
                <w:rFonts w:ascii="Arial" w:hAnsi="Arial" w:cs="Arial"/>
                <w:sz w:val="18"/>
                <w:szCs w:val="18"/>
              </w:rPr>
            </w:pPr>
            <w:r>
              <w:rPr>
                <w:rFonts w:ascii="Arial" w:hAnsi="Arial" w:cs="Arial"/>
                <w:sz w:val="18"/>
                <w:szCs w:val="18"/>
              </w:rPr>
              <w:t>7</w:t>
            </w:r>
            <w:r w:rsidR="00901586">
              <w:rPr>
                <w:rFonts w:ascii="Arial" w:hAnsi="Arial" w:cs="Arial"/>
                <w:sz w:val="18"/>
                <w:szCs w:val="18"/>
              </w:rPr>
              <w:t>,</w:t>
            </w:r>
            <w:r>
              <w:rPr>
                <w:rFonts w:ascii="Arial" w:hAnsi="Arial" w:cs="Arial"/>
                <w:sz w:val="18"/>
                <w:szCs w:val="18"/>
              </w:rPr>
              <w:t>15</w:t>
            </w:r>
          </w:p>
        </w:tc>
        <w:tc>
          <w:tcPr>
            <w:tcW w:w="719" w:type="dxa"/>
            <w:tcBorders>
              <w:bottom w:val="single" w:sz="4" w:space="0" w:color="000000"/>
            </w:tcBorders>
            <w:shd w:val="clear" w:color="auto" w:fill="auto"/>
            <w:vAlign w:val="center"/>
          </w:tcPr>
          <w:p w14:paraId="7079F342" w14:textId="108EE2C7" w:rsidR="003906EA" w:rsidRPr="00B019CC" w:rsidRDefault="00AA7DF9" w:rsidP="003906EA">
            <w:pPr>
              <w:jc w:val="center"/>
              <w:rPr>
                <w:rFonts w:ascii="Arial" w:hAnsi="Arial" w:cs="Arial"/>
                <w:sz w:val="18"/>
                <w:szCs w:val="18"/>
              </w:rPr>
            </w:pPr>
            <w:r>
              <w:rPr>
                <w:rFonts w:ascii="Arial" w:hAnsi="Arial" w:cs="Arial"/>
                <w:color w:val="000000"/>
                <w:sz w:val="18"/>
                <w:szCs w:val="18"/>
              </w:rPr>
              <w:t>2022</w:t>
            </w:r>
          </w:p>
        </w:tc>
        <w:tc>
          <w:tcPr>
            <w:tcW w:w="1887" w:type="dxa"/>
            <w:tcBorders>
              <w:bottom w:val="single" w:sz="4" w:space="0" w:color="000000"/>
            </w:tcBorders>
            <w:shd w:val="clear" w:color="auto" w:fill="auto"/>
            <w:vAlign w:val="center"/>
          </w:tcPr>
          <w:p w14:paraId="11762C15" w14:textId="51E8E420" w:rsidR="003906EA" w:rsidRPr="00B019CC" w:rsidRDefault="00AA7DF9" w:rsidP="00677DA5">
            <w:pPr>
              <w:pStyle w:val="ListParagraph"/>
              <w:ind w:left="0"/>
              <w:rPr>
                <w:rFonts w:ascii="Arial" w:hAnsi="Arial" w:cs="Arial"/>
                <w:sz w:val="18"/>
                <w:szCs w:val="18"/>
              </w:rPr>
            </w:pPr>
            <w:r>
              <w:rPr>
                <w:rFonts w:ascii="Arial" w:hAnsi="Arial" w:cs="Arial"/>
                <w:sz w:val="18"/>
                <w:szCs w:val="18"/>
              </w:rPr>
              <w:t>Planilla Electrónica</w:t>
            </w:r>
            <w:r w:rsidR="00091143">
              <w:rPr>
                <w:rFonts w:ascii="Arial" w:hAnsi="Arial" w:cs="Arial"/>
                <w:sz w:val="18"/>
                <w:szCs w:val="18"/>
              </w:rPr>
              <w:t xml:space="preserve"> y registro</w:t>
            </w:r>
            <w:r w:rsidR="000C7C7E">
              <w:rPr>
                <w:rFonts w:ascii="Arial" w:hAnsi="Arial" w:cs="Arial"/>
                <w:sz w:val="18"/>
                <w:szCs w:val="18"/>
              </w:rPr>
              <w:t>s</w:t>
            </w:r>
            <w:r w:rsidR="00091143">
              <w:rPr>
                <w:rFonts w:ascii="Arial" w:hAnsi="Arial" w:cs="Arial"/>
                <w:sz w:val="18"/>
                <w:szCs w:val="18"/>
              </w:rPr>
              <w:t xml:space="preserve"> administrativos de</w:t>
            </w:r>
            <w:r w:rsidR="00DF499D">
              <w:rPr>
                <w:rFonts w:ascii="Arial" w:hAnsi="Arial" w:cs="Arial"/>
                <w:sz w:val="18"/>
                <w:szCs w:val="18"/>
              </w:rPr>
              <w:t xml:space="preserve"> los institutos p</w:t>
            </w:r>
            <w:r w:rsidR="00091143">
              <w:rPr>
                <w:rFonts w:ascii="Arial" w:hAnsi="Arial" w:cs="Arial"/>
                <w:sz w:val="18"/>
                <w:szCs w:val="18"/>
              </w:rPr>
              <w:t>ara identificar a los estudiantes de los distintos institutos.</w:t>
            </w:r>
          </w:p>
        </w:tc>
        <w:tc>
          <w:tcPr>
            <w:tcW w:w="3553" w:type="dxa"/>
            <w:tcBorders>
              <w:bottom w:val="single" w:sz="4" w:space="0" w:color="000000"/>
            </w:tcBorders>
            <w:shd w:val="clear" w:color="auto" w:fill="auto"/>
          </w:tcPr>
          <w:p w14:paraId="7D85D3E7" w14:textId="1CAD5EB1" w:rsidR="003906EA" w:rsidRPr="00091143" w:rsidRDefault="00EA2168" w:rsidP="006D6FD2">
            <w:pPr>
              <w:spacing w:before="120" w:after="120"/>
              <w:jc w:val="both"/>
              <w:rPr>
                <w:rFonts w:ascii="Arial" w:hAnsi="Arial" w:cs="Arial"/>
                <w:sz w:val="18"/>
              </w:rPr>
            </w:pPr>
            <w:r w:rsidRPr="00091143">
              <w:rPr>
                <w:rFonts w:ascii="Arial" w:hAnsi="Arial" w:cs="Arial"/>
                <w:sz w:val="18"/>
              </w:rPr>
              <w:t>Para efectos de la evaluación de impacto, e</w:t>
            </w:r>
            <w:r w:rsidR="003906EA" w:rsidRPr="00091143">
              <w:rPr>
                <w:rFonts w:ascii="Arial" w:hAnsi="Arial" w:cs="Arial"/>
                <w:sz w:val="18"/>
              </w:rPr>
              <w:t xml:space="preserve">l </w:t>
            </w:r>
            <w:r w:rsidRPr="00091143">
              <w:rPr>
                <w:rFonts w:ascii="Arial" w:hAnsi="Arial" w:cs="Arial"/>
                <w:sz w:val="18"/>
              </w:rPr>
              <w:t xml:space="preserve">indicador se contrastará por doble diferencia con el indicador de un </w:t>
            </w:r>
            <w:r w:rsidR="003906EA" w:rsidRPr="00091143">
              <w:rPr>
                <w:rFonts w:ascii="Arial" w:hAnsi="Arial" w:cs="Arial"/>
                <w:sz w:val="18"/>
              </w:rPr>
              <w:t>grupo de control</w:t>
            </w:r>
            <w:r w:rsidRPr="00091143">
              <w:rPr>
                <w:rFonts w:ascii="Arial" w:hAnsi="Arial" w:cs="Arial"/>
                <w:sz w:val="18"/>
              </w:rPr>
              <w:t xml:space="preserve"> (determinado por emparejamiento estadístico) que</w:t>
            </w:r>
            <w:r w:rsidR="003906EA" w:rsidRPr="00091143">
              <w:rPr>
                <w:rFonts w:ascii="Arial" w:hAnsi="Arial" w:cs="Arial"/>
                <w:sz w:val="18"/>
              </w:rPr>
              <w:t xml:space="preserve"> </w:t>
            </w:r>
            <w:r w:rsidRPr="00091143">
              <w:rPr>
                <w:rFonts w:ascii="Arial" w:hAnsi="Arial" w:cs="Arial"/>
                <w:sz w:val="18"/>
              </w:rPr>
              <w:t>se conformará a partir de la muestra de</w:t>
            </w:r>
            <w:r w:rsidR="003906EA" w:rsidRPr="00091143">
              <w:rPr>
                <w:rFonts w:ascii="Arial" w:hAnsi="Arial" w:cs="Arial"/>
                <w:sz w:val="18"/>
              </w:rPr>
              <w:t xml:space="preserve"> egresados de </w:t>
            </w:r>
            <w:r w:rsidR="002446FA">
              <w:rPr>
                <w:rFonts w:ascii="Arial" w:hAnsi="Arial" w:cs="Arial"/>
                <w:sz w:val="18"/>
              </w:rPr>
              <w:t>IEST</w:t>
            </w:r>
            <w:r w:rsidRPr="00091143">
              <w:rPr>
                <w:rFonts w:ascii="Arial" w:hAnsi="Arial" w:cs="Arial"/>
                <w:sz w:val="18"/>
              </w:rPr>
              <w:t xml:space="preserve"> </w:t>
            </w:r>
            <w:r w:rsidR="00324041">
              <w:rPr>
                <w:rFonts w:ascii="Arial" w:hAnsi="Arial" w:cs="Arial"/>
                <w:sz w:val="18"/>
              </w:rPr>
              <w:t xml:space="preserve">públicos </w:t>
            </w:r>
            <w:r w:rsidRPr="00091143">
              <w:rPr>
                <w:rFonts w:ascii="Arial" w:hAnsi="Arial" w:cs="Arial"/>
                <w:sz w:val="18"/>
              </w:rPr>
              <w:t>no adoptantes de las políticas.</w:t>
            </w:r>
          </w:p>
        </w:tc>
      </w:tr>
      <w:tr w:rsidR="00D34F27" w:rsidRPr="00B019CC" w14:paraId="72C65EAB" w14:textId="77777777" w:rsidTr="0029777E">
        <w:trPr>
          <w:tblHeader/>
          <w:jc w:val="center"/>
        </w:trPr>
        <w:tc>
          <w:tcPr>
            <w:tcW w:w="12685" w:type="dxa"/>
            <w:gridSpan w:val="9"/>
            <w:tcBorders>
              <w:top w:val="single" w:sz="4" w:space="0" w:color="auto"/>
              <w:bottom w:val="single" w:sz="4" w:space="0" w:color="000000"/>
              <w:right w:val="single" w:sz="4" w:space="0" w:color="auto"/>
            </w:tcBorders>
            <w:shd w:val="clear" w:color="auto" w:fill="D9D9D9" w:themeFill="background1" w:themeFillShade="D9"/>
          </w:tcPr>
          <w:p w14:paraId="2E399999" w14:textId="2DFA0019" w:rsidR="00D34F27" w:rsidRPr="00CB6024" w:rsidRDefault="00CB6024" w:rsidP="00CB6024">
            <w:pPr>
              <w:ind w:left="-378" w:firstLine="378"/>
              <w:rPr>
                <w:rFonts w:ascii="Arial" w:hAnsi="Arial" w:cs="Arial"/>
                <w:b/>
                <w:sz w:val="18"/>
                <w:szCs w:val="18"/>
              </w:rPr>
            </w:pPr>
            <w:r w:rsidRPr="00CB6024">
              <w:rPr>
                <w:rFonts w:ascii="Arial" w:hAnsi="Arial" w:cs="Arial"/>
                <w:b/>
                <w:sz w:val="18"/>
                <w:szCs w:val="18"/>
              </w:rPr>
              <w:t>Objetivo específico</w:t>
            </w:r>
            <w:r w:rsidR="00D34F27" w:rsidRPr="00CB6024">
              <w:rPr>
                <w:rFonts w:ascii="Arial" w:hAnsi="Arial" w:cs="Arial"/>
                <w:b/>
                <w:sz w:val="18"/>
                <w:szCs w:val="18"/>
              </w:rPr>
              <w:t xml:space="preserve"> 2: </w:t>
            </w:r>
            <w:r w:rsidR="002446FA">
              <w:rPr>
                <w:rFonts w:ascii="Arial" w:hAnsi="Arial" w:cs="Arial"/>
                <w:b/>
                <w:sz w:val="18"/>
                <w:szCs w:val="18"/>
              </w:rPr>
              <w:t>M</w:t>
            </w:r>
            <w:r w:rsidR="002446FA" w:rsidRPr="00B02247">
              <w:rPr>
                <w:rFonts w:ascii="Arial" w:hAnsi="Arial" w:cs="Arial"/>
                <w:b/>
                <w:sz w:val="18"/>
                <w:szCs w:val="18"/>
              </w:rPr>
              <w:t>ejorar las políticas públicas para promover una mayor eficiencia en la asignación de los factores productivos</w:t>
            </w:r>
          </w:p>
        </w:tc>
      </w:tr>
      <w:tr w:rsidR="003906EA" w:rsidRPr="00B019CC" w14:paraId="0CC939A1" w14:textId="77777777" w:rsidTr="00782F70">
        <w:trPr>
          <w:trHeight w:val="215"/>
          <w:jc w:val="center"/>
        </w:trPr>
        <w:tc>
          <w:tcPr>
            <w:tcW w:w="12685" w:type="dxa"/>
            <w:gridSpan w:val="9"/>
            <w:tcBorders>
              <w:bottom w:val="single" w:sz="4" w:space="0" w:color="auto"/>
            </w:tcBorders>
            <w:shd w:val="clear" w:color="auto" w:fill="D9D9D9" w:themeFill="background1" w:themeFillShade="D9"/>
            <w:vAlign w:val="center"/>
          </w:tcPr>
          <w:p w14:paraId="53FC2FF9" w14:textId="25EA50EB" w:rsidR="003906EA" w:rsidRPr="008277D2" w:rsidRDefault="007B1797" w:rsidP="003906EA">
            <w:pPr>
              <w:rPr>
                <w:rFonts w:ascii="Arial" w:hAnsi="Arial"/>
                <w:sz w:val="18"/>
                <w:highlight w:val="yellow"/>
                <w:lang w:val="es-CL"/>
              </w:rPr>
            </w:pPr>
            <w:r>
              <w:rPr>
                <w:rFonts w:ascii="Arial" w:hAnsi="Arial" w:cs="Arial"/>
                <w:b/>
                <w:sz w:val="18"/>
                <w:szCs w:val="18"/>
              </w:rPr>
              <w:t xml:space="preserve">Impacto </w:t>
            </w:r>
            <w:r w:rsidR="003906EA" w:rsidRPr="00B019CC">
              <w:rPr>
                <w:rFonts w:ascii="Arial" w:hAnsi="Arial" w:cs="Arial"/>
                <w:b/>
                <w:sz w:val="18"/>
                <w:szCs w:val="18"/>
              </w:rPr>
              <w:t xml:space="preserve">Esperado </w:t>
            </w:r>
            <w:r w:rsidR="003906EA">
              <w:rPr>
                <w:rFonts w:ascii="Arial" w:hAnsi="Arial" w:cs="Arial"/>
                <w:b/>
                <w:sz w:val="18"/>
                <w:szCs w:val="18"/>
              </w:rPr>
              <w:t>2</w:t>
            </w:r>
            <w:r w:rsidR="003906EA" w:rsidRPr="00B019CC">
              <w:rPr>
                <w:rFonts w:ascii="Arial" w:hAnsi="Arial" w:cs="Arial"/>
                <w:b/>
                <w:sz w:val="18"/>
                <w:szCs w:val="18"/>
              </w:rPr>
              <w:t>.</w:t>
            </w:r>
            <w:r w:rsidR="003906EA">
              <w:rPr>
                <w:rFonts w:ascii="Arial" w:hAnsi="Arial" w:cs="Arial"/>
                <w:b/>
                <w:sz w:val="18"/>
                <w:szCs w:val="18"/>
              </w:rPr>
              <w:t xml:space="preserve"> Incrementar la productividad en las </w:t>
            </w:r>
            <w:r w:rsidR="00BF0928">
              <w:rPr>
                <w:rFonts w:ascii="Arial" w:hAnsi="Arial" w:cs="Arial"/>
                <w:b/>
                <w:sz w:val="18"/>
                <w:szCs w:val="18"/>
              </w:rPr>
              <w:t>MYPE</w:t>
            </w:r>
          </w:p>
        </w:tc>
      </w:tr>
      <w:tr w:rsidR="000C5437" w:rsidRPr="00B019CC" w14:paraId="12F83FA5" w14:textId="77777777" w:rsidTr="00782F70">
        <w:trPr>
          <w:trHeight w:val="773"/>
          <w:jc w:val="center"/>
        </w:trPr>
        <w:tc>
          <w:tcPr>
            <w:tcW w:w="27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B4849F" w14:textId="48FE01D4" w:rsidR="003906EA" w:rsidRPr="00083F8C" w:rsidRDefault="00166AA4" w:rsidP="003906EA">
            <w:pPr>
              <w:tabs>
                <w:tab w:val="left" w:pos="384"/>
              </w:tabs>
              <w:jc w:val="both"/>
              <w:rPr>
                <w:rFonts w:ascii="Arial" w:hAnsi="Arial" w:cs="Arial"/>
                <w:sz w:val="18"/>
                <w:szCs w:val="18"/>
              </w:rPr>
            </w:pPr>
            <w:r>
              <w:rPr>
                <w:rFonts w:ascii="Arial" w:hAnsi="Arial" w:cs="Arial"/>
                <w:sz w:val="18"/>
                <w:szCs w:val="18"/>
              </w:rPr>
              <w:t>Ventas por trabajador promedio an</w:t>
            </w:r>
            <w:r w:rsidR="001C5B5C">
              <w:rPr>
                <w:rFonts w:ascii="Arial" w:hAnsi="Arial" w:cs="Arial"/>
                <w:sz w:val="18"/>
                <w:szCs w:val="18"/>
              </w:rPr>
              <w:t>u</w:t>
            </w:r>
            <w:r>
              <w:rPr>
                <w:rFonts w:ascii="Arial" w:hAnsi="Arial" w:cs="Arial"/>
                <w:sz w:val="18"/>
                <w:szCs w:val="18"/>
              </w:rPr>
              <w:t>al</w:t>
            </w:r>
            <w:r w:rsidR="001C5B5C">
              <w:rPr>
                <w:rFonts w:ascii="Arial" w:hAnsi="Arial" w:cs="Arial"/>
                <w:sz w:val="18"/>
                <w:szCs w:val="18"/>
              </w:rPr>
              <w:t xml:space="preserve"> de las empresas atendidas en los </w:t>
            </w:r>
            <w:r w:rsidR="002446FA" w:rsidRPr="000F03F9">
              <w:rPr>
                <w:rFonts w:ascii="Arial" w:hAnsi="Arial" w:cs="Arial"/>
                <w:spacing w:val="-2"/>
                <w:sz w:val="18"/>
                <w:szCs w:val="18"/>
              </w:rPr>
              <w:t>Centros de Innovación Productiva y Transferencia Tecnológica</w:t>
            </w:r>
            <w:r w:rsidR="002446FA">
              <w:rPr>
                <w:rFonts w:ascii="Arial" w:hAnsi="Arial" w:cs="Arial"/>
                <w:spacing w:val="-2"/>
                <w:sz w:val="18"/>
                <w:szCs w:val="18"/>
              </w:rPr>
              <w:t xml:space="preserve"> (</w:t>
            </w:r>
            <w:r w:rsidR="001C5B5C">
              <w:rPr>
                <w:rFonts w:ascii="Arial" w:hAnsi="Arial" w:cs="Arial"/>
                <w:sz w:val="18"/>
                <w:szCs w:val="18"/>
              </w:rPr>
              <w:t>CITE</w:t>
            </w:r>
            <w:r w:rsidR="002446FA">
              <w:rPr>
                <w:rFonts w:ascii="Arial" w:hAnsi="Arial" w:cs="Arial"/>
                <w:sz w:val="18"/>
                <w:szCs w:val="18"/>
              </w:rPr>
              <w:t>)</w:t>
            </w:r>
            <w:r>
              <w:rPr>
                <w:rFonts w:ascii="Arial" w:hAnsi="Arial" w:cs="Arial"/>
                <w:sz w:val="18"/>
                <w:szCs w:val="18"/>
              </w:rPr>
              <w:t xml:space="preserve"> </w:t>
            </w:r>
            <w:r w:rsidR="001C5B5C">
              <w:rPr>
                <w:rFonts w:ascii="Arial" w:hAnsi="Arial" w:cs="Arial"/>
                <w:sz w:val="18"/>
                <w:szCs w:val="18"/>
              </w:rPr>
              <w:t xml:space="preserve">repotenciados tras aplicación de las reformas </w:t>
            </w:r>
            <w:r w:rsidR="00EA2168">
              <w:rPr>
                <w:rFonts w:ascii="Arial" w:hAnsi="Arial" w:cs="Arial"/>
                <w:sz w:val="18"/>
                <w:szCs w:val="18"/>
              </w:rPr>
              <w:t>comprometidas por el programa</w:t>
            </w:r>
            <w:r w:rsidR="002446FA">
              <w:rPr>
                <w:rFonts w:ascii="Arial" w:hAnsi="Arial" w:cs="Arial"/>
                <w:sz w:val="18"/>
                <w:szCs w:val="18"/>
              </w:rPr>
              <w:t>.</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tcPr>
          <w:p w14:paraId="0E5084E8" w14:textId="42165C08" w:rsidR="003906EA" w:rsidRPr="00B019CC" w:rsidRDefault="00874936" w:rsidP="003906EA">
            <w:pPr>
              <w:jc w:val="center"/>
              <w:rPr>
                <w:rFonts w:ascii="Arial" w:hAnsi="Arial" w:cs="Arial"/>
                <w:sz w:val="18"/>
                <w:szCs w:val="18"/>
              </w:rPr>
            </w:pPr>
            <w:r>
              <w:rPr>
                <w:rFonts w:ascii="Arial" w:hAnsi="Arial" w:cs="Arial"/>
                <w:sz w:val="18"/>
                <w:szCs w:val="18"/>
              </w:rPr>
              <w:t xml:space="preserve">Miles </w:t>
            </w:r>
            <w:r w:rsidR="00190879">
              <w:rPr>
                <w:rFonts w:ascii="Arial" w:hAnsi="Arial" w:cs="Arial"/>
                <w:sz w:val="18"/>
                <w:szCs w:val="18"/>
              </w:rPr>
              <w:t>US</w:t>
            </w:r>
            <w:r w:rsidR="00CB4E75">
              <w:rPr>
                <w:rFonts w:ascii="Arial" w:hAnsi="Arial" w:cs="Arial"/>
                <w:sz w:val="18"/>
                <w:szCs w:val="18"/>
              </w:rPr>
              <w:t>$</w:t>
            </w:r>
            <w:r w:rsidR="00EA2168">
              <w:rPr>
                <w:rFonts w:ascii="Arial" w:hAnsi="Arial" w:cs="Arial"/>
                <w:sz w:val="18"/>
                <w:szCs w:val="18"/>
              </w:rPr>
              <w:t xml:space="preserve"> por trabajador</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406062BD" w14:textId="7F4DF3BF" w:rsidR="003906EA" w:rsidRPr="00DE621F" w:rsidRDefault="00874936" w:rsidP="00DE621F">
            <w:pPr>
              <w:jc w:val="center"/>
              <w:rPr>
                <w:rFonts w:ascii="Arial" w:hAnsi="Arial" w:cs="Arial"/>
                <w:sz w:val="18"/>
                <w:szCs w:val="18"/>
              </w:rPr>
            </w:pPr>
            <w:r>
              <w:rPr>
                <w:rFonts w:ascii="Arial" w:hAnsi="Arial" w:cs="Arial"/>
                <w:sz w:val="18"/>
                <w:szCs w:val="18"/>
              </w:rPr>
              <w:t>12</w:t>
            </w:r>
            <w:r w:rsidR="00901586">
              <w:rPr>
                <w:rFonts w:ascii="Arial" w:hAnsi="Arial" w:cs="Arial"/>
                <w:sz w:val="18"/>
                <w:szCs w:val="18"/>
              </w:rPr>
              <w:t>,</w:t>
            </w:r>
            <w:r>
              <w:rPr>
                <w:rFonts w:ascii="Arial" w:hAnsi="Arial" w:cs="Arial"/>
                <w:sz w:val="18"/>
                <w:szCs w:val="18"/>
              </w:rPr>
              <w:t>5</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14:paraId="32FFB4AA" w14:textId="7BF1215B" w:rsidR="003906EA" w:rsidRPr="00B019CC" w:rsidRDefault="003906EA" w:rsidP="003906EA">
            <w:pPr>
              <w:jc w:val="center"/>
              <w:rPr>
                <w:rFonts w:ascii="Arial" w:hAnsi="Arial" w:cs="Arial"/>
                <w:sz w:val="18"/>
                <w:szCs w:val="18"/>
              </w:rPr>
            </w:pPr>
            <w:r w:rsidRPr="00B019CC">
              <w:rPr>
                <w:rFonts w:ascii="Arial" w:hAnsi="Arial" w:cs="Arial"/>
                <w:sz w:val="18"/>
                <w:szCs w:val="18"/>
              </w:rPr>
              <w:t>201</w:t>
            </w:r>
            <w:r w:rsidR="00D00DA6">
              <w:rPr>
                <w:rFonts w:ascii="Arial" w:hAnsi="Arial" w:cs="Arial"/>
                <w:sz w:val="18"/>
                <w:szCs w:val="18"/>
              </w:rPr>
              <w:t>5</w:t>
            </w:r>
          </w:p>
        </w:tc>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16C2B5F4" w14:textId="7A4B786A" w:rsidR="003906EA" w:rsidRPr="00B019CC" w:rsidRDefault="00874936" w:rsidP="003906EA">
            <w:pPr>
              <w:jc w:val="center"/>
              <w:rPr>
                <w:rFonts w:ascii="Arial" w:hAnsi="Arial" w:cs="Arial"/>
                <w:sz w:val="18"/>
                <w:szCs w:val="18"/>
              </w:rPr>
            </w:pPr>
            <w:r>
              <w:rPr>
                <w:rFonts w:ascii="Arial" w:hAnsi="Arial" w:cs="Arial"/>
                <w:sz w:val="18"/>
                <w:szCs w:val="18"/>
              </w:rPr>
              <w:t>13</w:t>
            </w:r>
            <w:r w:rsidR="00901586">
              <w:rPr>
                <w:rFonts w:ascii="Arial" w:hAnsi="Arial" w:cs="Arial"/>
                <w:sz w:val="18"/>
                <w:szCs w:val="18"/>
              </w:rPr>
              <w:t>,</w:t>
            </w:r>
            <w:r>
              <w:rPr>
                <w:rFonts w:ascii="Arial" w:hAnsi="Arial" w:cs="Arial"/>
                <w:sz w:val="18"/>
                <w:szCs w:val="18"/>
              </w:rPr>
              <w:t>5</w:t>
            </w:r>
          </w:p>
        </w:tc>
        <w:tc>
          <w:tcPr>
            <w:tcW w:w="719" w:type="dxa"/>
            <w:tcBorders>
              <w:top w:val="single" w:sz="4" w:space="0" w:color="auto"/>
              <w:left w:val="single" w:sz="4" w:space="0" w:color="auto"/>
              <w:bottom w:val="single" w:sz="4" w:space="0" w:color="auto"/>
              <w:right w:val="single" w:sz="4" w:space="0" w:color="auto"/>
            </w:tcBorders>
            <w:shd w:val="clear" w:color="auto" w:fill="auto"/>
            <w:vAlign w:val="center"/>
          </w:tcPr>
          <w:p w14:paraId="46CAFD19" w14:textId="5795613C" w:rsidR="003906EA" w:rsidRPr="00B019CC" w:rsidRDefault="003906EA" w:rsidP="003906EA">
            <w:pPr>
              <w:jc w:val="center"/>
              <w:rPr>
                <w:rFonts w:ascii="Arial" w:hAnsi="Arial" w:cs="Arial"/>
                <w:sz w:val="18"/>
                <w:szCs w:val="18"/>
              </w:rPr>
            </w:pPr>
            <w:r>
              <w:rPr>
                <w:rFonts w:ascii="Arial" w:hAnsi="Arial" w:cs="Arial"/>
                <w:sz w:val="18"/>
                <w:szCs w:val="18"/>
              </w:rPr>
              <w:t>202</w:t>
            </w:r>
            <w:r w:rsidR="00654E86">
              <w:rPr>
                <w:rFonts w:ascii="Arial" w:hAnsi="Arial" w:cs="Arial"/>
                <w:sz w:val="18"/>
                <w:szCs w:val="18"/>
              </w:rPr>
              <w:t>2</w:t>
            </w:r>
          </w:p>
        </w:tc>
        <w:tc>
          <w:tcPr>
            <w:tcW w:w="1887" w:type="dxa"/>
            <w:tcBorders>
              <w:top w:val="single" w:sz="4" w:space="0" w:color="auto"/>
              <w:left w:val="single" w:sz="4" w:space="0" w:color="auto"/>
              <w:bottom w:val="single" w:sz="4" w:space="0" w:color="auto"/>
              <w:right w:val="single" w:sz="4" w:space="0" w:color="auto"/>
            </w:tcBorders>
            <w:shd w:val="clear" w:color="auto" w:fill="auto"/>
            <w:vAlign w:val="center"/>
          </w:tcPr>
          <w:p w14:paraId="745C8F68" w14:textId="2311B747" w:rsidR="003906EA" w:rsidRPr="00B019CC" w:rsidRDefault="009D19E0" w:rsidP="003906EA">
            <w:pPr>
              <w:rPr>
                <w:rFonts w:ascii="Arial" w:hAnsi="Arial" w:cs="Arial"/>
                <w:sz w:val="18"/>
                <w:szCs w:val="18"/>
              </w:rPr>
            </w:pPr>
            <w:r>
              <w:rPr>
                <w:rFonts w:ascii="Arial" w:hAnsi="Arial" w:cs="Arial"/>
                <w:sz w:val="18"/>
                <w:szCs w:val="18"/>
              </w:rPr>
              <w:t>Encuesta Nacional Empresarial</w:t>
            </w:r>
            <w:r w:rsidR="000C7C7E">
              <w:rPr>
                <w:rFonts w:ascii="Arial" w:hAnsi="Arial" w:cs="Arial"/>
                <w:sz w:val="18"/>
                <w:szCs w:val="18"/>
              </w:rPr>
              <w:t xml:space="preserve"> y registros administrativos </w:t>
            </w:r>
            <w:r w:rsidR="00DF499D">
              <w:rPr>
                <w:rFonts w:ascii="Arial" w:hAnsi="Arial" w:cs="Arial"/>
                <w:sz w:val="18"/>
                <w:szCs w:val="18"/>
              </w:rPr>
              <w:t>de los CITE para identificar a las empresas usuarias de los distintos CITE</w:t>
            </w:r>
          </w:p>
        </w:tc>
        <w:tc>
          <w:tcPr>
            <w:tcW w:w="3553" w:type="dxa"/>
            <w:tcBorders>
              <w:top w:val="single" w:sz="4" w:space="0" w:color="auto"/>
              <w:left w:val="single" w:sz="4" w:space="0" w:color="auto"/>
              <w:bottom w:val="single" w:sz="4" w:space="0" w:color="auto"/>
              <w:right w:val="single" w:sz="4" w:space="0" w:color="auto"/>
            </w:tcBorders>
            <w:shd w:val="clear" w:color="auto" w:fill="auto"/>
            <w:vAlign w:val="center"/>
          </w:tcPr>
          <w:p w14:paraId="1DF67521" w14:textId="0A4E3EC8" w:rsidR="003906EA" w:rsidRPr="00B019CC" w:rsidRDefault="00DF499D" w:rsidP="003906EA">
            <w:pPr>
              <w:jc w:val="both"/>
              <w:rPr>
                <w:rFonts w:ascii="Arial" w:hAnsi="Arial" w:cs="Arial"/>
                <w:sz w:val="18"/>
                <w:szCs w:val="18"/>
                <w:lang w:val="es-ES"/>
              </w:rPr>
            </w:pPr>
            <w:r w:rsidRPr="00091143">
              <w:rPr>
                <w:rFonts w:ascii="Arial" w:hAnsi="Arial" w:cs="Arial"/>
                <w:sz w:val="18"/>
              </w:rPr>
              <w:t xml:space="preserve">Para efectos de la evaluación de impacto, el indicador se contrastará por doble diferencia con el indicador de un grupo de control (determinado por emparejamiento estadístico) que se conformará a partir de la muestra de </w:t>
            </w:r>
            <w:r>
              <w:rPr>
                <w:rFonts w:ascii="Arial" w:hAnsi="Arial" w:cs="Arial"/>
                <w:sz w:val="18"/>
              </w:rPr>
              <w:t>empresas</w:t>
            </w:r>
            <w:r w:rsidR="007E1D08">
              <w:rPr>
                <w:rFonts w:ascii="Arial" w:hAnsi="Arial" w:cs="Arial"/>
                <w:sz w:val="18"/>
              </w:rPr>
              <w:t xml:space="preserve"> comparables</w:t>
            </w:r>
            <w:r>
              <w:rPr>
                <w:rFonts w:ascii="Arial" w:hAnsi="Arial" w:cs="Arial"/>
                <w:sz w:val="18"/>
              </w:rPr>
              <w:t xml:space="preserve"> </w:t>
            </w:r>
            <w:r w:rsidR="007E1D08">
              <w:rPr>
                <w:rFonts w:ascii="Arial" w:hAnsi="Arial" w:cs="Arial"/>
                <w:sz w:val="18"/>
              </w:rPr>
              <w:t xml:space="preserve">que no </w:t>
            </w:r>
            <w:r w:rsidR="006B0B65">
              <w:rPr>
                <w:rFonts w:ascii="Arial" w:hAnsi="Arial" w:cs="Arial"/>
                <w:sz w:val="18"/>
              </w:rPr>
              <w:t>reciban servicios de extensión</w:t>
            </w:r>
            <w:r w:rsidR="006B0B65">
              <w:rPr>
                <w:rStyle w:val="FootnoteReference"/>
                <w:rFonts w:ascii="Arial" w:hAnsi="Arial" w:cs="Arial"/>
                <w:sz w:val="18"/>
              </w:rPr>
              <w:footnoteReference w:id="11"/>
            </w:r>
            <w:r w:rsidR="007E1D08">
              <w:rPr>
                <w:rFonts w:ascii="Arial" w:hAnsi="Arial" w:cs="Arial"/>
                <w:sz w:val="18"/>
              </w:rPr>
              <w:t xml:space="preserve"> (identificados a partir de encuesta ENE como no receptores de servicios de extensión)</w:t>
            </w:r>
            <w:r w:rsidRPr="00091143">
              <w:rPr>
                <w:rFonts w:ascii="Arial" w:hAnsi="Arial" w:cs="Arial"/>
                <w:sz w:val="18"/>
              </w:rPr>
              <w:t>.</w:t>
            </w:r>
          </w:p>
        </w:tc>
      </w:tr>
    </w:tbl>
    <w:p w14:paraId="6AC22E19" w14:textId="77777777" w:rsidR="00782F70" w:rsidRDefault="00782F70" w:rsidP="00782F70">
      <w:pPr>
        <w:jc w:val="center"/>
        <w:rPr>
          <w:rFonts w:ascii="Arial" w:hAnsi="Arial" w:cs="Arial"/>
          <w:b/>
          <w:smallCaps/>
          <w:szCs w:val="18"/>
        </w:rPr>
      </w:pPr>
    </w:p>
    <w:p w14:paraId="6EF45E6C" w14:textId="77777777" w:rsidR="004E1151" w:rsidRDefault="004E1151" w:rsidP="00782F70">
      <w:pPr>
        <w:jc w:val="center"/>
        <w:rPr>
          <w:rFonts w:ascii="Arial" w:hAnsi="Arial" w:cs="Arial"/>
          <w:b/>
          <w:smallCaps/>
          <w:szCs w:val="18"/>
        </w:rPr>
      </w:pPr>
    </w:p>
    <w:p w14:paraId="41F4877A" w14:textId="0110720F" w:rsidR="00782F70" w:rsidRDefault="00782F70" w:rsidP="00782F70">
      <w:pPr>
        <w:jc w:val="center"/>
        <w:rPr>
          <w:rFonts w:ascii="Arial" w:hAnsi="Arial" w:cs="Arial"/>
          <w:b/>
          <w:smallCaps/>
          <w:szCs w:val="18"/>
        </w:rPr>
      </w:pPr>
      <w:r>
        <w:rPr>
          <w:rFonts w:ascii="Arial" w:hAnsi="Arial" w:cs="Arial"/>
          <w:b/>
          <w:smallCaps/>
          <w:szCs w:val="18"/>
        </w:rPr>
        <w:t>Resultados</w:t>
      </w:r>
    </w:p>
    <w:p w14:paraId="690DD011" w14:textId="77777777" w:rsidR="00782F70" w:rsidRDefault="00782F70" w:rsidP="00782F70">
      <w:pPr>
        <w:jc w:val="center"/>
      </w:pPr>
    </w:p>
    <w:tbl>
      <w:tblPr>
        <w:tblW w:w="126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28"/>
        <w:gridCol w:w="1181"/>
        <w:gridCol w:w="919"/>
        <w:gridCol w:w="720"/>
        <w:gridCol w:w="1075"/>
        <w:gridCol w:w="715"/>
        <w:gridCol w:w="1868"/>
        <w:gridCol w:w="3479"/>
      </w:tblGrid>
      <w:tr w:rsidR="003906EA" w:rsidRPr="00B019CC" w14:paraId="2CC2059F" w14:textId="77777777" w:rsidTr="00117004">
        <w:trPr>
          <w:tblHeader/>
          <w:jc w:val="center"/>
        </w:trPr>
        <w:tc>
          <w:tcPr>
            <w:tcW w:w="2728" w:type="dxa"/>
            <w:vMerge w:val="restart"/>
            <w:tcBorders>
              <w:top w:val="single" w:sz="4" w:space="0" w:color="auto"/>
              <w:left w:val="single" w:sz="4" w:space="0" w:color="auto"/>
              <w:bottom w:val="single" w:sz="4" w:space="0" w:color="auto"/>
            </w:tcBorders>
            <w:shd w:val="clear" w:color="auto" w:fill="000000" w:themeFill="text1"/>
            <w:vAlign w:val="center"/>
          </w:tcPr>
          <w:p w14:paraId="7D89D1FA" w14:textId="77777777" w:rsidR="003906EA" w:rsidRPr="00F80023" w:rsidRDefault="003906EA" w:rsidP="003906EA">
            <w:pPr>
              <w:ind w:left="-378" w:firstLine="378"/>
              <w:jc w:val="center"/>
              <w:rPr>
                <w:rFonts w:ascii="Arial" w:hAnsi="Arial" w:cs="Arial"/>
                <w:b/>
                <w:color w:val="FFFFFF" w:themeColor="background1"/>
                <w:sz w:val="18"/>
                <w:szCs w:val="18"/>
              </w:rPr>
            </w:pPr>
            <w:r w:rsidRPr="00F80023">
              <w:rPr>
                <w:rFonts w:ascii="Arial" w:hAnsi="Arial" w:cs="Arial"/>
                <w:b/>
                <w:color w:val="FFFFFF" w:themeColor="background1"/>
                <w:sz w:val="18"/>
                <w:szCs w:val="18"/>
              </w:rPr>
              <w:t>Indicadores</w:t>
            </w:r>
          </w:p>
        </w:tc>
        <w:tc>
          <w:tcPr>
            <w:tcW w:w="1181" w:type="dxa"/>
            <w:vMerge w:val="restart"/>
            <w:tcBorders>
              <w:top w:val="single" w:sz="4" w:space="0" w:color="auto"/>
              <w:bottom w:val="single" w:sz="4" w:space="0" w:color="auto"/>
            </w:tcBorders>
            <w:shd w:val="clear" w:color="auto" w:fill="000000" w:themeFill="text1"/>
            <w:vAlign w:val="center"/>
          </w:tcPr>
          <w:p w14:paraId="2B495AF5" w14:textId="77777777" w:rsidR="003906EA" w:rsidRPr="00F80023" w:rsidRDefault="003906EA" w:rsidP="003906EA">
            <w:pPr>
              <w:ind w:left="-378" w:firstLine="378"/>
              <w:jc w:val="center"/>
              <w:rPr>
                <w:rFonts w:ascii="Arial" w:hAnsi="Arial" w:cs="Arial"/>
                <w:b/>
                <w:color w:val="FFFFFF" w:themeColor="background1"/>
                <w:sz w:val="18"/>
                <w:szCs w:val="18"/>
              </w:rPr>
            </w:pPr>
            <w:r w:rsidRPr="00F80023">
              <w:rPr>
                <w:rFonts w:ascii="Arial" w:hAnsi="Arial" w:cs="Arial"/>
                <w:b/>
                <w:color w:val="FFFFFF" w:themeColor="background1"/>
                <w:sz w:val="18"/>
                <w:szCs w:val="18"/>
              </w:rPr>
              <w:t xml:space="preserve">Unidad </w:t>
            </w:r>
          </w:p>
        </w:tc>
        <w:tc>
          <w:tcPr>
            <w:tcW w:w="1639" w:type="dxa"/>
            <w:gridSpan w:val="2"/>
            <w:tcBorders>
              <w:top w:val="single" w:sz="4" w:space="0" w:color="auto"/>
              <w:bottom w:val="single" w:sz="4" w:space="0" w:color="auto"/>
            </w:tcBorders>
            <w:shd w:val="clear" w:color="auto" w:fill="000000" w:themeFill="text1"/>
            <w:vAlign w:val="center"/>
          </w:tcPr>
          <w:p w14:paraId="38333BA7" w14:textId="77777777" w:rsidR="003906EA" w:rsidRPr="00F80023" w:rsidRDefault="003906EA" w:rsidP="003906EA">
            <w:pPr>
              <w:ind w:left="-378" w:firstLine="378"/>
              <w:jc w:val="center"/>
              <w:rPr>
                <w:rFonts w:ascii="Arial" w:hAnsi="Arial" w:cs="Arial"/>
                <w:b/>
                <w:color w:val="FFFFFF" w:themeColor="background1"/>
                <w:sz w:val="18"/>
                <w:szCs w:val="18"/>
              </w:rPr>
            </w:pPr>
            <w:r w:rsidRPr="00F80023">
              <w:rPr>
                <w:rFonts w:ascii="Arial" w:hAnsi="Arial" w:cs="Arial"/>
                <w:b/>
                <w:color w:val="FFFFFF" w:themeColor="background1"/>
                <w:sz w:val="18"/>
                <w:szCs w:val="18"/>
              </w:rPr>
              <w:t>Línea de base</w:t>
            </w:r>
          </w:p>
        </w:tc>
        <w:tc>
          <w:tcPr>
            <w:tcW w:w="1790" w:type="dxa"/>
            <w:gridSpan w:val="2"/>
            <w:tcBorders>
              <w:top w:val="single" w:sz="4" w:space="0" w:color="auto"/>
              <w:bottom w:val="single" w:sz="4" w:space="0" w:color="auto"/>
            </w:tcBorders>
            <w:shd w:val="clear" w:color="auto" w:fill="000000" w:themeFill="text1"/>
            <w:vAlign w:val="center"/>
          </w:tcPr>
          <w:p w14:paraId="2084368F" w14:textId="77777777" w:rsidR="003906EA" w:rsidRPr="00F80023" w:rsidRDefault="003906EA" w:rsidP="003906EA">
            <w:pPr>
              <w:ind w:left="-378" w:firstLine="378"/>
              <w:jc w:val="center"/>
              <w:rPr>
                <w:rFonts w:ascii="Arial" w:hAnsi="Arial" w:cs="Arial"/>
                <w:b/>
                <w:color w:val="FFFFFF" w:themeColor="background1"/>
                <w:sz w:val="18"/>
                <w:szCs w:val="18"/>
              </w:rPr>
            </w:pPr>
            <w:r w:rsidRPr="00F80023">
              <w:rPr>
                <w:rFonts w:ascii="Arial" w:hAnsi="Arial" w:cs="Arial"/>
                <w:b/>
                <w:color w:val="FFFFFF" w:themeColor="background1"/>
                <w:sz w:val="18"/>
                <w:szCs w:val="18"/>
              </w:rPr>
              <w:t>Metas</w:t>
            </w:r>
          </w:p>
        </w:tc>
        <w:tc>
          <w:tcPr>
            <w:tcW w:w="1868" w:type="dxa"/>
            <w:vMerge w:val="restart"/>
            <w:tcBorders>
              <w:top w:val="single" w:sz="4" w:space="0" w:color="auto"/>
              <w:bottom w:val="single" w:sz="4" w:space="0" w:color="auto"/>
            </w:tcBorders>
            <w:shd w:val="clear" w:color="auto" w:fill="000000" w:themeFill="text1"/>
            <w:vAlign w:val="center"/>
          </w:tcPr>
          <w:p w14:paraId="3EF3E891" w14:textId="2D66D116" w:rsidR="004F1981" w:rsidRDefault="003906EA" w:rsidP="003906EA">
            <w:pPr>
              <w:ind w:left="-378" w:firstLine="378"/>
              <w:jc w:val="center"/>
              <w:rPr>
                <w:rFonts w:ascii="Arial" w:hAnsi="Arial" w:cs="Arial"/>
                <w:b/>
                <w:color w:val="FFFFFF" w:themeColor="background1"/>
                <w:sz w:val="18"/>
                <w:szCs w:val="18"/>
              </w:rPr>
            </w:pPr>
            <w:r w:rsidRPr="00F80023">
              <w:rPr>
                <w:rFonts w:ascii="Arial" w:hAnsi="Arial" w:cs="Arial"/>
                <w:b/>
                <w:color w:val="FFFFFF" w:themeColor="background1"/>
                <w:sz w:val="18"/>
                <w:szCs w:val="18"/>
              </w:rPr>
              <w:t xml:space="preserve">Fuente/Medio de </w:t>
            </w:r>
          </w:p>
          <w:p w14:paraId="0B2DCAF8" w14:textId="3692F5FE" w:rsidR="003906EA" w:rsidRPr="00F80023" w:rsidRDefault="003906EA" w:rsidP="003906EA">
            <w:pPr>
              <w:ind w:left="-378" w:firstLine="378"/>
              <w:jc w:val="center"/>
              <w:rPr>
                <w:rFonts w:ascii="Arial" w:hAnsi="Arial" w:cs="Arial"/>
                <w:b/>
                <w:color w:val="FFFFFF" w:themeColor="background1"/>
                <w:sz w:val="18"/>
                <w:szCs w:val="18"/>
              </w:rPr>
            </w:pPr>
            <w:r w:rsidRPr="00F80023">
              <w:rPr>
                <w:rFonts w:ascii="Arial" w:hAnsi="Arial" w:cs="Arial"/>
                <w:b/>
                <w:color w:val="FFFFFF" w:themeColor="background1"/>
                <w:sz w:val="18"/>
                <w:szCs w:val="18"/>
              </w:rPr>
              <w:t>verificación</w:t>
            </w:r>
          </w:p>
        </w:tc>
        <w:tc>
          <w:tcPr>
            <w:tcW w:w="3479" w:type="dxa"/>
            <w:vMerge w:val="restart"/>
            <w:tcBorders>
              <w:top w:val="single" w:sz="4" w:space="0" w:color="auto"/>
              <w:bottom w:val="single" w:sz="4" w:space="0" w:color="auto"/>
              <w:right w:val="single" w:sz="4" w:space="0" w:color="auto"/>
            </w:tcBorders>
            <w:shd w:val="clear" w:color="auto" w:fill="000000" w:themeFill="text1"/>
            <w:vAlign w:val="center"/>
          </w:tcPr>
          <w:p w14:paraId="76D0365A" w14:textId="77777777" w:rsidR="003906EA" w:rsidRPr="00F80023" w:rsidRDefault="003906EA" w:rsidP="003906EA">
            <w:pPr>
              <w:ind w:left="-378" w:firstLine="378"/>
              <w:jc w:val="center"/>
              <w:rPr>
                <w:rFonts w:ascii="Arial" w:hAnsi="Arial" w:cs="Arial"/>
                <w:b/>
                <w:color w:val="FFFFFF" w:themeColor="background1"/>
                <w:sz w:val="18"/>
                <w:szCs w:val="18"/>
              </w:rPr>
            </w:pPr>
            <w:r w:rsidRPr="00F80023">
              <w:rPr>
                <w:rFonts w:ascii="Arial" w:hAnsi="Arial" w:cs="Arial"/>
                <w:b/>
                <w:color w:val="FFFFFF" w:themeColor="background1"/>
                <w:sz w:val="18"/>
                <w:szCs w:val="18"/>
              </w:rPr>
              <w:t>Observaciones</w:t>
            </w:r>
          </w:p>
        </w:tc>
      </w:tr>
      <w:tr w:rsidR="003906EA" w:rsidRPr="00B019CC" w14:paraId="5EDD6101" w14:textId="77777777" w:rsidTr="00117004">
        <w:trPr>
          <w:tblHeader/>
          <w:jc w:val="center"/>
        </w:trPr>
        <w:tc>
          <w:tcPr>
            <w:tcW w:w="2728" w:type="dxa"/>
            <w:vMerge/>
            <w:tcBorders>
              <w:top w:val="single" w:sz="4" w:space="0" w:color="auto"/>
              <w:bottom w:val="single" w:sz="4" w:space="0" w:color="000000"/>
            </w:tcBorders>
            <w:shd w:val="clear" w:color="auto" w:fill="95B3D7"/>
          </w:tcPr>
          <w:p w14:paraId="2A5E6008" w14:textId="77777777" w:rsidR="003906EA" w:rsidRPr="00B019CC" w:rsidRDefault="003906EA" w:rsidP="003906EA">
            <w:pPr>
              <w:ind w:left="-378" w:firstLine="378"/>
              <w:jc w:val="center"/>
              <w:rPr>
                <w:rFonts w:ascii="Arial" w:hAnsi="Arial" w:cs="Arial"/>
                <w:b/>
                <w:sz w:val="18"/>
                <w:szCs w:val="18"/>
              </w:rPr>
            </w:pPr>
          </w:p>
        </w:tc>
        <w:tc>
          <w:tcPr>
            <w:tcW w:w="1181" w:type="dxa"/>
            <w:vMerge/>
            <w:tcBorders>
              <w:top w:val="single" w:sz="4" w:space="0" w:color="auto"/>
              <w:bottom w:val="single" w:sz="4" w:space="0" w:color="000000"/>
            </w:tcBorders>
            <w:shd w:val="clear" w:color="auto" w:fill="95B3D7"/>
          </w:tcPr>
          <w:p w14:paraId="0196E063" w14:textId="77777777" w:rsidR="003906EA" w:rsidRPr="00B019CC" w:rsidRDefault="003906EA" w:rsidP="003906EA">
            <w:pPr>
              <w:ind w:left="-378" w:firstLine="378"/>
              <w:jc w:val="center"/>
              <w:rPr>
                <w:rFonts w:ascii="Arial" w:hAnsi="Arial" w:cs="Arial"/>
                <w:b/>
                <w:sz w:val="18"/>
                <w:szCs w:val="18"/>
              </w:rPr>
            </w:pPr>
          </w:p>
        </w:tc>
        <w:tc>
          <w:tcPr>
            <w:tcW w:w="919" w:type="dxa"/>
            <w:tcBorders>
              <w:top w:val="single" w:sz="4" w:space="0" w:color="auto"/>
              <w:bottom w:val="single" w:sz="4" w:space="0" w:color="000000"/>
            </w:tcBorders>
            <w:shd w:val="clear" w:color="auto" w:fill="000000" w:themeFill="text1"/>
            <w:vAlign w:val="center"/>
          </w:tcPr>
          <w:p w14:paraId="142AE266" w14:textId="77777777" w:rsidR="003906EA" w:rsidRPr="00F80023" w:rsidRDefault="003906EA" w:rsidP="003906EA">
            <w:pPr>
              <w:ind w:left="-378" w:firstLine="378"/>
              <w:jc w:val="center"/>
              <w:rPr>
                <w:rFonts w:ascii="Arial" w:hAnsi="Arial" w:cs="Arial"/>
                <w:b/>
                <w:color w:val="FFFFFF" w:themeColor="background1"/>
                <w:sz w:val="18"/>
                <w:szCs w:val="18"/>
              </w:rPr>
            </w:pPr>
            <w:r w:rsidRPr="00F80023">
              <w:rPr>
                <w:rFonts w:ascii="Arial" w:hAnsi="Arial" w:cs="Arial"/>
                <w:b/>
                <w:color w:val="FFFFFF" w:themeColor="background1"/>
                <w:sz w:val="18"/>
                <w:szCs w:val="18"/>
              </w:rPr>
              <w:t>Valor</w:t>
            </w:r>
          </w:p>
        </w:tc>
        <w:tc>
          <w:tcPr>
            <w:tcW w:w="720" w:type="dxa"/>
            <w:tcBorders>
              <w:top w:val="single" w:sz="4" w:space="0" w:color="auto"/>
              <w:bottom w:val="single" w:sz="4" w:space="0" w:color="000000"/>
            </w:tcBorders>
            <w:shd w:val="clear" w:color="auto" w:fill="000000" w:themeFill="text1"/>
            <w:vAlign w:val="center"/>
          </w:tcPr>
          <w:p w14:paraId="4C3C31E1" w14:textId="77777777" w:rsidR="003906EA" w:rsidRPr="00F80023" w:rsidRDefault="003906EA" w:rsidP="003906EA">
            <w:pPr>
              <w:ind w:left="-378" w:firstLine="378"/>
              <w:jc w:val="center"/>
              <w:rPr>
                <w:rFonts w:ascii="Arial" w:hAnsi="Arial" w:cs="Arial"/>
                <w:b/>
                <w:color w:val="FFFFFF" w:themeColor="background1"/>
                <w:sz w:val="18"/>
                <w:szCs w:val="18"/>
              </w:rPr>
            </w:pPr>
            <w:r w:rsidRPr="00F80023">
              <w:rPr>
                <w:rFonts w:ascii="Arial" w:hAnsi="Arial" w:cs="Arial"/>
                <w:b/>
                <w:color w:val="FFFFFF" w:themeColor="background1"/>
                <w:sz w:val="18"/>
                <w:szCs w:val="18"/>
              </w:rPr>
              <w:t>Año</w:t>
            </w:r>
          </w:p>
        </w:tc>
        <w:tc>
          <w:tcPr>
            <w:tcW w:w="1075" w:type="dxa"/>
            <w:tcBorders>
              <w:top w:val="single" w:sz="4" w:space="0" w:color="auto"/>
              <w:bottom w:val="single" w:sz="4" w:space="0" w:color="000000"/>
            </w:tcBorders>
            <w:shd w:val="clear" w:color="auto" w:fill="000000" w:themeFill="text1"/>
            <w:vAlign w:val="center"/>
          </w:tcPr>
          <w:p w14:paraId="3C526D60" w14:textId="77777777" w:rsidR="003906EA" w:rsidRPr="00F80023" w:rsidRDefault="003906EA" w:rsidP="003906EA">
            <w:pPr>
              <w:ind w:left="-378" w:firstLine="378"/>
              <w:jc w:val="center"/>
              <w:rPr>
                <w:rFonts w:ascii="Arial" w:hAnsi="Arial" w:cs="Arial"/>
                <w:b/>
                <w:color w:val="FFFFFF" w:themeColor="background1"/>
                <w:sz w:val="18"/>
                <w:szCs w:val="18"/>
              </w:rPr>
            </w:pPr>
            <w:r w:rsidRPr="00F80023">
              <w:rPr>
                <w:rFonts w:ascii="Arial" w:hAnsi="Arial" w:cs="Arial"/>
                <w:b/>
                <w:color w:val="FFFFFF" w:themeColor="background1"/>
                <w:sz w:val="18"/>
                <w:szCs w:val="18"/>
              </w:rPr>
              <w:t>Valor</w:t>
            </w:r>
          </w:p>
        </w:tc>
        <w:tc>
          <w:tcPr>
            <w:tcW w:w="715" w:type="dxa"/>
            <w:tcBorders>
              <w:top w:val="single" w:sz="4" w:space="0" w:color="auto"/>
              <w:bottom w:val="single" w:sz="4" w:space="0" w:color="000000"/>
            </w:tcBorders>
            <w:shd w:val="clear" w:color="auto" w:fill="000000" w:themeFill="text1"/>
            <w:vAlign w:val="center"/>
          </w:tcPr>
          <w:p w14:paraId="413ADBEF" w14:textId="77777777" w:rsidR="003906EA" w:rsidRPr="00F80023" w:rsidRDefault="003906EA" w:rsidP="003906EA">
            <w:pPr>
              <w:ind w:left="-378" w:firstLine="378"/>
              <w:jc w:val="center"/>
              <w:rPr>
                <w:rFonts w:ascii="Arial" w:hAnsi="Arial" w:cs="Arial"/>
                <w:b/>
                <w:color w:val="FFFFFF" w:themeColor="background1"/>
                <w:sz w:val="18"/>
                <w:szCs w:val="18"/>
              </w:rPr>
            </w:pPr>
            <w:r w:rsidRPr="00F80023">
              <w:rPr>
                <w:rFonts w:ascii="Arial" w:hAnsi="Arial" w:cs="Arial"/>
                <w:b/>
                <w:color w:val="FFFFFF" w:themeColor="background1"/>
                <w:sz w:val="18"/>
                <w:szCs w:val="18"/>
              </w:rPr>
              <w:t xml:space="preserve">Año </w:t>
            </w:r>
          </w:p>
        </w:tc>
        <w:tc>
          <w:tcPr>
            <w:tcW w:w="1868" w:type="dxa"/>
            <w:vMerge/>
            <w:tcBorders>
              <w:top w:val="single" w:sz="4" w:space="0" w:color="auto"/>
              <w:bottom w:val="single" w:sz="4" w:space="0" w:color="000000"/>
            </w:tcBorders>
            <w:shd w:val="clear" w:color="auto" w:fill="95B3D7"/>
          </w:tcPr>
          <w:p w14:paraId="0A14346C" w14:textId="77777777" w:rsidR="003906EA" w:rsidRPr="00B019CC" w:rsidRDefault="003906EA" w:rsidP="003906EA">
            <w:pPr>
              <w:ind w:left="-378" w:firstLine="378"/>
              <w:jc w:val="center"/>
              <w:rPr>
                <w:rFonts w:ascii="Arial" w:hAnsi="Arial" w:cs="Arial"/>
                <w:b/>
                <w:sz w:val="18"/>
                <w:szCs w:val="18"/>
              </w:rPr>
            </w:pPr>
          </w:p>
        </w:tc>
        <w:tc>
          <w:tcPr>
            <w:tcW w:w="3479" w:type="dxa"/>
            <w:vMerge/>
            <w:tcBorders>
              <w:top w:val="single" w:sz="4" w:space="0" w:color="auto"/>
              <w:bottom w:val="single" w:sz="4" w:space="0" w:color="000000"/>
              <w:right w:val="single" w:sz="4" w:space="0" w:color="auto"/>
            </w:tcBorders>
            <w:shd w:val="clear" w:color="auto" w:fill="95B3D7"/>
          </w:tcPr>
          <w:p w14:paraId="442BC97C" w14:textId="77777777" w:rsidR="003906EA" w:rsidRPr="00B019CC" w:rsidRDefault="003906EA" w:rsidP="003906EA">
            <w:pPr>
              <w:ind w:left="-378" w:firstLine="378"/>
              <w:jc w:val="center"/>
              <w:rPr>
                <w:rFonts w:ascii="Arial" w:hAnsi="Arial" w:cs="Arial"/>
                <w:b/>
                <w:sz w:val="18"/>
                <w:szCs w:val="18"/>
              </w:rPr>
            </w:pPr>
          </w:p>
        </w:tc>
      </w:tr>
      <w:tr w:rsidR="000F5D52" w:rsidRPr="00B019CC" w14:paraId="5783896C" w14:textId="77777777" w:rsidTr="0029777E">
        <w:trPr>
          <w:trHeight w:val="233"/>
          <w:jc w:val="center"/>
        </w:trPr>
        <w:tc>
          <w:tcPr>
            <w:tcW w:w="12685" w:type="dxa"/>
            <w:gridSpan w:val="8"/>
            <w:tcBorders>
              <w:bottom w:val="single" w:sz="4" w:space="0" w:color="000000"/>
            </w:tcBorders>
            <w:shd w:val="clear" w:color="auto" w:fill="D9D9D9" w:themeFill="background1" w:themeFillShade="D9"/>
            <w:vAlign w:val="center"/>
          </w:tcPr>
          <w:p w14:paraId="57BBB7B5" w14:textId="0B975A55" w:rsidR="000F5D52" w:rsidRPr="008277D2" w:rsidRDefault="0028781C" w:rsidP="00A46E1D">
            <w:pPr>
              <w:rPr>
                <w:rFonts w:ascii="Arial" w:hAnsi="Arial"/>
                <w:sz w:val="18"/>
                <w:highlight w:val="yellow"/>
                <w:lang w:val="es-CL"/>
              </w:rPr>
            </w:pPr>
            <w:r w:rsidRPr="00CB6024">
              <w:rPr>
                <w:rFonts w:ascii="Arial" w:hAnsi="Arial" w:cs="Arial"/>
                <w:b/>
                <w:sz w:val="18"/>
                <w:szCs w:val="18"/>
              </w:rPr>
              <w:t xml:space="preserve">Objetivo específico </w:t>
            </w:r>
            <w:r w:rsidR="000F5D52">
              <w:rPr>
                <w:rFonts w:ascii="Arial" w:hAnsi="Arial" w:cs="Arial"/>
                <w:b/>
                <w:sz w:val="18"/>
                <w:szCs w:val="18"/>
              </w:rPr>
              <w:t>1</w:t>
            </w:r>
            <w:r>
              <w:rPr>
                <w:rFonts w:ascii="Arial" w:hAnsi="Arial" w:cs="Arial"/>
                <w:b/>
                <w:sz w:val="18"/>
                <w:szCs w:val="18"/>
              </w:rPr>
              <w:t>: Mejorar la calidad del factor productivo laboral</w:t>
            </w:r>
          </w:p>
        </w:tc>
      </w:tr>
      <w:tr w:rsidR="000F5D52" w:rsidRPr="00B019CC" w14:paraId="4EFE4DD2" w14:textId="77777777" w:rsidTr="0029777E">
        <w:trPr>
          <w:trHeight w:val="233"/>
          <w:jc w:val="center"/>
        </w:trPr>
        <w:tc>
          <w:tcPr>
            <w:tcW w:w="12685" w:type="dxa"/>
            <w:gridSpan w:val="8"/>
            <w:tcBorders>
              <w:bottom w:val="single" w:sz="4" w:space="0" w:color="000000"/>
            </w:tcBorders>
            <w:shd w:val="clear" w:color="auto" w:fill="D9D9D9" w:themeFill="background1" w:themeFillShade="D9"/>
            <w:vAlign w:val="center"/>
          </w:tcPr>
          <w:p w14:paraId="6C3BD8F0" w14:textId="7CA50757" w:rsidR="000F5D52" w:rsidRPr="008277D2" w:rsidRDefault="000F5D52" w:rsidP="00A46E1D">
            <w:pPr>
              <w:rPr>
                <w:rFonts w:ascii="Arial" w:hAnsi="Arial"/>
                <w:sz w:val="18"/>
                <w:highlight w:val="yellow"/>
                <w:lang w:val="es-CL"/>
              </w:rPr>
            </w:pPr>
            <w:r w:rsidRPr="00B019CC">
              <w:rPr>
                <w:rFonts w:ascii="Arial" w:hAnsi="Arial" w:cs="Arial"/>
                <w:b/>
                <w:sz w:val="18"/>
                <w:szCs w:val="18"/>
              </w:rPr>
              <w:t>Resultado Esperado 1</w:t>
            </w:r>
            <w:r w:rsidRPr="00083F8C">
              <w:rPr>
                <w:rFonts w:ascii="Arial" w:hAnsi="Arial" w:cs="Arial"/>
                <w:b/>
                <w:sz w:val="18"/>
                <w:szCs w:val="18"/>
              </w:rPr>
              <w:t xml:space="preserve">. </w:t>
            </w:r>
            <w:r>
              <w:rPr>
                <w:rFonts w:ascii="Arial" w:hAnsi="Arial" w:cs="Arial"/>
                <w:b/>
                <w:sz w:val="18"/>
                <w:szCs w:val="18"/>
              </w:rPr>
              <w:t xml:space="preserve">Incrementar la adopción de </w:t>
            </w:r>
            <w:r w:rsidR="00A61A24">
              <w:rPr>
                <w:rFonts w:ascii="Arial" w:hAnsi="Arial" w:cs="Arial"/>
                <w:b/>
                <w:sz w:val="18"/>
                <w:szCs w:val="18"/>
              </w:rPr>
              <w:t xml:space="preserve">modelos de excelencia </w:t>
            </w:r>
            <w:r w:rsidR="00695423">
              <w:rPr>
                <w:rFonts w:ascii="Arial" w:hAnsi="Arial" w:cs="Arial"/>
                <w:b/>
                <w:sz w:val="18"/>
                <w:szCs w:val="18"/>
              </w:rPr>
              <w:t>de institutos superiores tecnológicos públicos</w:t>
            </w:r>
          </w:p>
        </w:tc>
      </w:tr>
      <w:tr w:rsidR="003906EA" w:rsidRPr="00B019CC" w14:paraId="01F01602" w14:textId="77777777" w:rsidTr="00117004">
        <w:trPr>
          <w:trHeight w:val="773"/>
          <w:jc w:val="center"/>
        </w:trPr>
        <w:tc>
          <w:tcPr>
            <w:tcW w:w="2728" w:type="dxa"/>
            <w:tcBorders>
              <w:bottom w:val="single" w:sz="4" w:space="0" w:color="000000"/>
            </w:tcBorders>
            <w:shd w:val="clear" w:color="auto" w:fill="auto"/>
            <w:vAlign w:val="center"/>
          </w:tcPr>
          <w:p w14:paraId="1C03E404" w14:textId="6ED56D6E" w:rsidR="003906EA" w:rsidRPr="00083F8C" w:rsidRDefault="008F05C5" w:rsidP="003906EA">
            <w:pPr>
              <w:tabs>
                <w:tab w:val="left" w:pos="384"/>
              </w:tabs>
              <w:jc w:val="both"/>
              <w:rPr>
                <w:rFonts w:ascii="Arial" w:hAnsi="Arial" w:cs="Arial"/>
                <w:sz w:val="18"/>
                <w:szCs w:val="18"/>
              </w:rPr>
            </w:pPr>
            <w:r>
              <w:rPr>
                <w:rFonts w:ascii="Arial" w:hAnsi="Arial" w:cs="Arial"/>
                <w:sz w:val="18"/>
                <w:szCs w:val="18"/>
              </w:rPr>
              <w:t xml:space="preserve">Número de </w:t>
            </w:r>
            <w:r w:rsidR="002446FA">
              <w:rPr>
                <w:rFonts w:ascii="Arial" w:hAnsi="Arial" w:cs="Arial"/>
                <w:sz w:val="18"/>
                <w:szCs w:val="18"/>
              </w:rPr>
              <w:t>IEST</w:t>
            </w:r>
            <w:r w:rsidR="00324041">
              <w:rPr>
                <w:rFonts w:ascii="Arial" w:hAnsi="Arial" w:cs="Arial"/>
                <w:sz w:val="18"/>
                <w:szCs w:val="18"/>
              </w:rPr>
              <w:t xml:space="preserve"> públicos</w:t>
            </w:r>
            <w:r>
              <w:rPr>
                <w:rFonts w:ascii="Arial" w:hAnsi="Arial" w:cs="Arial"/>
                <w:sz w:val="18"/>
                <w:szCs w:val="18"/>
              </w:rPr>
              <w:t xml:space="preserve"> </w:t>
            </w:r>
            <w:r w:rsidR="00296BE8">
              <w:rPr>
                <w:rFonts w:ascii="Arial" w:hAnsi="Arial" w:cs="Arial"/>
                <w:sz w:val="18"/>
                <w:szCs w:val="18"/>
              </w:rPr>
              <w:t>con financiamiento aprobado para adoptar</w:t>
            </w:r>
            <w:r>
              <w:rPr>
                <w:rFonts w:ascii="Arial" w:hAnsi="Arial" w:cs="Arial"/>
                <w:sz w:val="18"/>
                <w:szCs w:val="18"/>
              </w:rPr>
              <w:t xml:space="preserve"> </w:t>
            </w:r>
            <w:r w:rsidR="00465D81">
              <w:rPr>
                <w:rFonts w:ascii="Arial" w:hAnsi="Arial" w:cs="Arial"/>
                <w:sz w:val="18"/>
                <w:szCs w:val="18"/>
              </w:rPr>
              <w:t xml:space="preserve">el modelo de excelencia </w:t>
            </w:r>
          </w:p>
        </w:tc>
        <w:tc>
          <w:tcPr>
            <w:tcW w:w="1181" w:type="dxa"/>
            <w:tcBorders>
              <w:bottom w:val="single" w:sz="4" w:space="0" w:color="000000"/>
            </w:tcBorders>
            <w:shd w:val="clear" w:color="auto" w:fill="auto"/>
            <w:vAlign w:val="center"/>
          </w:tcPr>
          <w:p w14:paraId="5C4F1EE8" w14:textId="1774FCDB" w:rsidR="003906EA" w:rsidRPr="00B019CC" w:rsidRDefault="00B0122C" w:rsidP="003906EA">
            <w:pPr>
              <w:jc w:val="center"/>
              <w:rPr>
                <w:rFonts w:ascii="Arial" w:hAnsi="Arial" w:cs="Arial"/>
                <w:sz w:val="18"/>
                <w:szCs w:val="18"/>
              </w:rPr>
            </w:pPr>
            <w:r>
              <w:rPr>
                <w:rFonts w:ascii="Arial" w:hAnsi="Arial" w:cs="Arial"/>
                <w:sz w:val="18"/>
                <w:szCs w:val="18"/>
              </w:rPr>
              <w:t>Número de institutos</w:t>
            </w:r>
          </w:p>
        </w:tc>
        <w:tc>
          <w:tcPr>
            <w:tcW w:w="919" w:type="dxa"/>
            <w:tcBorders>
              <w:bottom w:val="single" w:sz="4" w:space="0" w:color="000000"/>
            </w:tcBorders>
            <w:shd w:val="clear" w:color="auto" w:fill="auto"/>
            <w:vAlign w:val="center"/>
          </w:tcPr>
          <w:p w14:paraId="62617F9F" w14:textId="0FA6860F" w:rsidR="003906EA" w:rsidRPr="00B019CC" w:rsidRDefault="00296BE8" w:rsidP="003906EA">
            <w:pPr>
              <w:jc w:val="center"/>
              <w:rPr>
                <w:rFonts w:ascii="Arial" w:hAnsi="Arial" w:cs="Arial"/>
                <w:sz w:val="18"/>
                <w:szCs w:val="18"/>
              </w:rPr>
            </w:pPr>
            <w:r>
              <w:rPr>
                <w:rFonts w:ascii="Arial" w:hAnsi="Arial" w:cs="Arial"/>
                <w:sz w:val="18"/>
                <w:szCs w:val="18"/>
              </w:rPr>
              <w:t>0</w:t>
            </w:r>
          </w:p>
        </w:tc>
        <w:tc>
          <w:tcPr>
            <w:tcW w:w="720" w:type="dxa"/>
            <w:tcBorders>
              <w:bottom w:val="single" w:sz="4" w:space="0" w:color="000000"/>
            </w:tcBorders>
            <w:shd w:val="clear" w:color="auto" w:fill="auto"/>
            <w:vAlign w:val="center"/>
          </w:tcPr>
          <w:p w14:paraId="5169F2B1" w14:textId="1E3AD6B3" w:rsidR="003906EA" w:rsidRPr="00B019CC" w:rsidRDefault="00445D39" w:rsidP="003906EA">
            <w:pPr>
              <w:jc w:val="center"/>
              <w:rPr>
                <w:rFonts w:ascii="Arial" w:hAnsi="Arial" w:cs="Arial"/>
                <w:sz w:val="18"/>
                <w:szCs w:val="18"/>
              </w:rPr>
            </w:pPr>
            <w:r>
              <w:rPr>
                <w:rFonts w:ascii="Arial" w:hAnsi="Arial" w:cs="Arial"/>
                <w:sz w:val="18"/>
                <w:szCs w:val="18"/>
              </w:rPr>
              <w:t>2017</w:t>
            </w:r>
          </w:p>
        </w:tc>
        <w:tc>
          <w:tcPr>
            <w:tcW w:w="1075" w:type="dxa"/>
            <w:tcBorders>
              <w:bottom w:val="single" w:sz="4" w:space="0" w:color="000000"/>
            </w:tcBorders>
            <w:shd w:val="clear" w:color="auto" w:fill="auto"/>
            <w:vAlign w:val="center"/>
          </w:tcPr>
          <w:p w14:paraId="68905AC6" w14:textId="0271B0AA" w:rsidR="003906EA" w:rsidRPr="00B019CC" w:rsidRDefault="00296BE8" w:rsidP="003906EA">
            <w:pPr>
              <w:jc w:val="center"/>
              <w:rPr>
                <w:rFonts w:ascii="Arial" w:hAnsi="Arial" w:cs="Arial"/>
                <w:sz w:val="18"/>
                <w:szCs w:val="18"/>
              </w:rPr>
            </w:pPr>
            <w:r>
              <w:rPr>
                <w:rFonts w:ascii="Arial" w:hAnsi="Arial" w:cs="Arial"/>
                <w:sz w:val="18"/>
                <w:szCs w:val="18"/>
              </w:rPr>
              <w:t>7</w:t>
            </w:r>
          </w:p>
        </w:tc>
        <w:tc>
          <w:tcPr>
            <w:tcW w:w="715" w:type="dxa"/>
            <w:tcBorders>
              <w:bottom w:val="single" w:sz="4" w:space="0" w:color="000000"/>
            </w:tcBorders>
            <w:shd w:val="clear" w:color="auto" w:fill="auto"/>
            <w:vAlign w:val="center"/>
          </w:tcPr>
          <w:p w14:paraId="04F73C0B" w14:textId="3F9EA57B" w:rsidR="003906EA" w:rsidRPr="00B019CC" w:rsidRDefault="00DE621F" w:rsidP="003906EA">
            <w:pPr>
              <w:jc w:val="center"/>
              <w:rPr>
                <w:rFonts w:ascii="Arial" w:hAnsi="Arial" w:cs="Arial"/>
                <w:sz w:val="18"/>
                <w:szCs w:val="18"/>
              </w:rPr>
            </w:pPr>
            <w:r>
              <w:rPr>
                <w:rFonts w:ascii="Arial" w:hAnsi="Arial" w:cs="Arial"/>
                <w:sz w:val="18"/>
                <w:szCs w:val="18"/>
              </w:rPr>
              <w:t>2020</w:t>
            </w:r>
          </w:p>
        </w:tc>
        <w:tc>
          <w:tcPr>
            <w:tcW w:w="1868" w:type="dxa"/>
            <w:tcBorders>
              <w:bottom w:val="single" w:sz="4" w:space="0" w:color="000000"/>
            </w:tcBorders>
            <w:shd w:val="clear" w:color="auto" w:fill="auto"/>
            <w:vAlign w:val="center"/>
          </w:tcPr>
          <w:p w14:paraId="1BC72ADF" w14:textId="1C34ED6B" w:rsidR="003906EA" w:rsidRPr="00B019CC" w:rsidRDefault="00693745" w:rsidP="003906EA">
            <w:pPr>
              <w:rPr>
                <w:rFonts w:ascii="Arial" w:hAnsi="Arial" w:cs="Arial"/>
                <w:sz w:val="18"/>
                <w:szCs w:val="18"/>
              </w:rPr>
            </w:pPr>
            <w:r>
              <w:rPr>
                <w:rFonts w:ascii="Arial" w:hAnsi="Arial" w:cs="Arial"/>
                <w:sz w:val="18"/>
                <w:szCs w:val="18"/>
              </w:rPr>
              <w:t xml:space="preserve">Oficio MINEDU </w:t>
            </w:r>
          </w:p>
        </w:tc>
        <w:tc>
          <w:tcPr>
            <w:tcW w:w="3479" w:type="dxa"/>
            <w:tcBorders>
              <w:bottom w:val="single" w:sz="4" w:space="0" w:color="000000"/>
            </w:tcBorders>
            <w:shd w:val="clear" w:color="auto" w:fill="auto"/>
            <w:vAlign w:val="center"/>
          </w:tcPr>
          <w:p w14:paraId="5CCC828C" w14:textId="77777777" w:rsidR="003906EA" w:rsidRDefault="00C93E4C" w:rsidP="003906EA">
            <w:pPr>
              <w:jc w:val="both"/>
              <w:rPr>
                <w:rFonts w:ascii="Arial" w:hAnsi="Arial" w:cs="Arial"/>
                <w:sz w:val="18"/>
                <w:szCs w:val="18"/>
                <w:lang w:val="es-ES"/>
              </w:rPr>
            </w:pPr>
            <w:r>
              <w:rPr>
                <w:rFonts w:ascii="Arial" w:hAnsi="Arial" w:cs="Arial"/>
                <w:sz w:val="18"/>
                <w:szCs w:val="18"/>
                <w:lang w:val="es-ES"/>
              </w:rPr>
              <w:t>Comparación reflexiva</w:t>
            </w:r>
          </w:p>
          <w:p w14:paraId="55611913" w14:textId="77777777" w:rsidR="00EA1931" w:rsidRDefault="00EA1931" w:rsidP="003906EA">
            <w:pPr>
              <w:jc w:val="both"/>
              <w:rPr>
                <w:rFonts w:ascii="Arial" w:hAnsi="Arial" w:cs="Arial"/>
                <w:sz w:val="18"/>
                <w:szCs w:val="18"/>
                <w:lang w:val="es-ES"/>
              </w:rPr>
            </w:pPr>
          </w:p>
          <w:p w14:paraId="42C45B51" w14:textId="090BC9FE" w:rsidR="00EA1931" w:rsidRPr="00B019CC" w:rsidRDefault="00EA1931" w:rsidP="003906EA">
            <w:pPr>
              <w:jc w:val="both"/>
              <w:rPr>
                <w:rFonts w:ascii="Arial" w:hAnsi="Arial" w:cs="Arial"/>
                <w:sz w:val="18"/>
                <w:szCs w:val="18"/>
                <w:lang w:val="es-ES"/>
              </w:rPr>
            </w:pPr>
            <w:r>
              <w:rPr>
                <w:rFonts w:ascii="Arial" w:hAnsi="Arial" w:cs="Arial"/>
                <w:sz w:val="18"/>
                <w:szCs w:val="18"/>
                <w:lang w:val="es-ES"/>
              </w:rPr>
              <w:t>Línea de salida proyectada a partir de propuesta planteada para segundo tramo de la operación.</w:t>
            </w:r>
          </w:p>
        </w:tc>
      </w:tr>
      <w:tr w:rsidR="000F5D52" w:rsidRPr="00B019CC" w14:paraId="2ED5B9A3" w14:textId="77777777" w:rsidTr="0029777E">
        <w:trPr>
          <w:trHeight w:val="233"/>
          <w:jc w:val="center"/>
        </w:trPr>
        <w:tc>
          <w:tcPr>
            <w:tcW w:w="12685" w:type="dxa"/>
            <w:gridSpan w:val="8"/>
            <w:tcBorders>
              <w:bottom w:val="single" w:sz="4" w:space="0" w:color="000000"/>
            </w:tcBorders>
            <w:shd w:val="clear" w:color="auto" w:fill="D9D9D9" w:themeFill="background1" w:themeFillShade="D9"/>
            <w:vAlign w:val="center"/>
          </w:tcPr>
          <w:p w14:paraId="359BA355" w14:textId="37A18A56" w:rsidR="000F5D52" w:rsidRPr="008277D2" w:rsidRDefault="0028781C" w:rsidP="00A46E1D">
            <w:pPr>
              <w:rPr>
                <w:rFonts w:ascii="Arial" w:hAnsi="Arial"/>
                <w:sz w:val="18"/>
                <w:highlight w:val="yellow"/>
                <w:lang w:val="es-CL"/>
              </w:rPr>
            </w:pPr>
            <w:r w:rsidRPr="00CB6024">
              <w:rPr>
                <w:rFonts w:ascii="Arial" w:hAnsi="Arial" w:cs="Arial"/>
                <w:b/>
                <w:sz w:val="18"/>
                <w:szCs w:val="18"/>
              </w:rPr>
              <w:t xml:space="preserve">Objetivo específico </w:t>
            </w:r>
            <w:r w:rsidR="000F5D52">
              <w:rPr>
                <w:rFonts w:ascii="Arial" w:hAnsi="Arial" w:cs="Arial"/>
                <w:b/>
                <w:sz w:val="18"/>
                <w:szCs w:val="18"/>
              </w:rPr>
              <w:t>2</w:t>
            </w:r>
            <w:r>
              <w:rPr>
                <w:rFonts w:ascii="Arial" w:hAnsi="Arial" w:cs="Arial"/>
                <w:b/>
                <w:sz w:val="18"/>
                <w:szCs w:val="18"/>
              </w:rPr>
              <w:t xml:space="preserve">: </w:t>
            </w:r>
            <w:r w:rsidRPr="00CB6024">
              <w:rPr>
                <w:rFonts w:ascii="Arial" w:hAnsi="Arial" w:cs="Arial"/>
                <w:b/>
                <w:sz w:val="18"/>
                <w:szCs w:val="18"/>
              </w:rPr>
              <w:t>Reducir los limitantes de las políticas públicas que no permiten la eficiencia en la asignación de los factores productivos</w:t>
            </w:r>
          </w:p>
        </w:tc>
      </w:tr>
      <w:tr w:rsidR="00FF5E76" w:rsidRPr="00B019CC" w14:paraId="4960DEA4" w14:textId="77777777" w:rsidTr="004E68CC">
        <w:trPr>
          <w:trHeight w:val="233"/>
          <w:jc w:val="center"/>
        </w:trPr>
        <w:tc>
          <w:tcPr>
            <w:tcW w:w="12685" w:type="dxa"/>
            <w:gridSpan w:val="8"/>
            <w:tcBorders>
              <w:bottom w:val="single" w:sz="4" w:space="0" w:color="000000"/>
            </w:tcBorders>
            <w:shd w:val="clear" w:color="auto" w:fill="D9D9D9" w:themeFill="background1" w:themeFillShade="D9"/>
            <w:vAlign w:val="center"/>
          </w:tcPr>
          <w:p w14:paraId="6A33340E" w14:textId="03E25BC1" w:rsidR="00FF5E76" w:rsidRPr="008277D2" w:rsidRDefault="00FF5E76" w:rsidP="004E68CC">
            <w:pPr>
              <w:rPr>
                <w:rFonts w:ascii="Arial" w:hAnsi="Arial"/>
                <w:sz w:val="18"/>
                <w:highlight w:val="yellow"/>
                <w:lang w:val="es-CL"/>
              </w:rPr>
            </w:pPr>
            <w:r w:rsidRPr="00B019CC">
              <w:rPr>
                <w:rFonts w:ascii="Arial" w:hAnsi="Arial" w:cs="Arial"/>
                <w:b/>
                <w:sz w:val="18"/>
                <w:szCs w:val="18"/>
              </w:rPr>
              <w:t xml:space="preserve">Resultado Esperado </w:t>
            </w:r>
            <w:r>
              <w:rPr>
                <w:rFonts w:ascii="Arial" w:hAnsi="Arial" w:cs="Arial"/>
                <w:b/>
                <w:sz w:val="18"/>
                <w:szCs w:val="18"/>
              </w:rPr>
              <w:t>2</w:t>
            </w:r>
            <w:r w:rsidRPr="00083F8C">
              <w:rPr>
                <w:rFonts w:ascii="Arial" w:hAnsi="Arial" w:cs="Arial"/>
                <w:b/>
                <w:sz w:val="18"/>
                <w:szCs w:val="18"/>
              </w:rPr>
              <w:t xml:space="preserve">. </w:t>
            </w:r>
            <w:r>
              <w:rPr>
                <w:rFonts w:ascii="Arial" w:hAnsi="Arial" w:cs="Arial"/>
                <w:b/>
                <w:sz w:val="18"/>
                <w:szCs w:val="18"/>
              </w:rPr>
              <w:t>Mejorar las políticas de fiscalización laboral</w:t>
            </w:r>
          </w:p>
        </w:tc>
      </w:tr>
      <w:tr w:rsidR="00117004" w:rsidRPr="00B019CC" w14:paraId="16E6719E" w14:textId="77777777" w:rsidTr="00117004">
        <w:trPr>
          <w:trHeight w:val="773"/>
          <w:jc w:val="center"/>
        </w:trPr>
        <w:tc>
          <w:tcPr>
            <w:tcW w:w="2728" w:type="dxa"/>
            <w:tcBorders>
              <w:bottom w:val="single" w:sz="4" w:space="0" w:color="000000"/>
            </w:tcBorders>
            <w:shd w:val="clear" w:color="auto" w:fill="auto"/>
            <w:vAlign w:val="center"/>
          </w:tcPr>
          <w:p w14:paraId="244A2673" w14:textId="51CD9C2E" w:rsidR="00117004" w:rsidRPr="00083F8C" w:rsidRDefault="00117004" w:rsidP="00117004">
            <w:pPr>
              <w:tabs>
                <w:tab w:val="left" w:pos="384"/>
              </w:tabs>
              <w:jc w:val="both"/>
              <w:rPr>
                <w:rFonts w:ascii="Arial" w:hAnsi="Arial" w:cs="Arial"/>
                <w:sz w:val="18"/>
                <w:szCs w:val="18"/>
              </w:rPr>
            </w:pPr>
            <w:r>
              <w:rPr>
                <w:rFonts w:ascii="Arial" w:hAnsi="Arial" w:cs="Arial"/>
                <w:sz w:val="18"/>
                <w:szCs w:val="18"/>
              </w:rPr>
              <w:t>Número de trabajadores formalizados por la SUNAFIL gracias a sistema de inspección laboral repotenciado</w:t>
            </w:r>
          </w:p>
        </w:tc>
        <w:tc>
          <w:tcPr>
            <w:tcW w:w="1181" w:type="dxa"/>
            <w:tcBorders>
              <w:bottom w:val="single" w:sz="4" w:space="0" w:color="000000"/>
            </w:tcBorders>
            <w:shd w:val="clear" w:color="auto" w:fill="auto"/>
            <w:vAlign w:val="center"/>
          </w:tcPr>
          <w:p w14:paraId="4BB1E0B2" w14:textId="0989C689" w:rsidR="00117004" w:rsidRPr="00B019CC" w:rsidRDefault="00117004" w:rsidP="00117004">
            <w:pPr>
              <w:jc w:val="center"/>
              <w:rPr>
                <w:rFonts w:ascii="Arial" w:hAnsi="Arial" w:cs="Arial"/>
                <w:sz w:val="18"/>
                <w:szCs w:val="18"/>
              </w:rPr>
            </w:pPr>
            <w:r>
              <w:rPr>
                <w:rFonts w:ascii="Arial" w:hAnsi="Arial" w:cs="Arial"/>
                <w:sz w:val="18"/>
                <w:szCs w:val="18"/>
              </w:rPr>
              <w:t>Número de trabajadores</w:t>
            </w:r>
          </w:p>
        </w:tc>
        <w:tc>
          <w:tcPr>
            <w:tcW w:w="919" w:type="dxa"/>
            <w:tcBorders>
              <w:bottom w:val="single" w:sz="4" w:space="0" w:color="000000"/>
            </w:tcBorders>
            <w:shd w:val="clear" w:color="auto" w:fill="auto"/>
            <w:vAlign w:val="center"/>
          </w:tcPr>
          <w:p w14:paraId="0205DB1E" w14:textId="69286782" w:rsidR="00117004" w:rsidRPr="00B019CC" w:rsidRDefault="00A46F95" w:rsidP="00117004">
            <w:pPr>
              <w:jc w:val="center"/>
              <w:rPr>
                <w:rFonts w:ascii="Arial" w:hAnsi="Arial" w:cs="Arial"/>
                <w:sz w:val="18"/>
                <w:szCs w:val="18"/>
              </w:rPr>
            </w:pPr>
            <w:r>
              <w:rPr>
                <w:rFonts w:ascii="Arial" w:hAnsi="Arial" w:cs="Arial"/>
                <w:sz w:val="18"/>
                <w:szCs w:val="18"/>
              </w:rPr>
              <w:t>4,831</w:t>
            </w:r>
          </w:p>
        </w:tc>
        <w:tc>
          <w:tcPr>
            <w:tcW w:w="720" w:type="dxa"/>
            <w:tcBorders>
              <w:bottom w:val="single" w:sz="4" w:space="0" w:color="000000"/>
            </w:tcBorders>
            <w:shd w:val="clear" w:color="auto" w:fill="auto"/>
            <w:vAlign w:val="center"/>
          </w:tcPr>
          <w:p w14:paraId="35B3C832" w14:textId="01A5CD0A" w:rsidR="00117004" w:rsidRPr="00B019CC" w:rsidRDefault="00117004" w:rsidP="00117004">
            <w:pPr>
              <w:jc w:val="center"/>
              <w:rPr>
                <w:rFonts w:ascii="Arial" w:hAnsi="Arial" w:cs="Arial"/>
                <w:sz w:val="18"/>
                <w:szCs w:val="18"/>
              </w:rPr>
            </w:pPr>
            <w:r>
              <w:rPr>
                <w:rFonts w:ascii="Arial" w:hAnsi="Arial" w:cs="Arial"/>
                <w:sz w:val="18"/>
                <w:szCs w:val="18"/>
              </w:rPr>
              <w:t>201</w:t>
            </w:r>
            <w:r w:rsidR="00A46F95">
              <w:rPr>
                <w:rFonts w:ascii="Arial" w:hAnsi="Arial" w:cs="Arial"/>
                <w:sz w:val="18"/>
                <w:szCs w:val="18"/>
              </w:rPr>
              <w:t>6</w:t>
            </w:r>
          </w:p>
        </w:tc>
        <w:tc>
          <w:tcPr>
            <w:tcW w:w="1075" w:type="dxa"/>
            <w:tcBorders>
              <w:bottom w:val="single" w:sz="4" w:space="0" w:color="000000"/>
            </w:tcBorders>
            <w:shd w:val="clear" w:color="auto" w:fill="auto"/>
            <w:vAlign w:val="center"/>
          </w:tcPr>
          <w:p w14:paraId="4D13E5C8" w14:textId="3174FE4B" w:rsidR="00117004" w:rsidRPr="00B019CC" w:rsidRDefault="00EF6669" w:rsidP="00117004">
            <w:pPr>
              <w:jc w:val="center"/>
              <w:rPr>
                <w:rFonts w:ascii="Arial" w:hAnsi="Arial" w:cs="Arial"/>
                <w:sz w:val="18"/>
                <w:szCs w:val="18"/>
              </w:rPr>
            </w:pPr>
            <w:r>
              <w:rPr>
                <w:rFonts w:ascii="Arial" w:hAnsi="Arial" w:cs="Arial"/>
                <w:sz w:val="18"/>
                <w:szCs w:val="18"/>
              </w:rPr>
              <w:t>7</w:t>
            </w:r>
            <w:r w:rsidR="00117004">
              <w:rPr>
                <w:rFonts w:ascii="Arial" w:hAnsi="Arial" w:cs="Arial"/>
                <w:sz w:val="18"/>
                <w:szCs w:val="18"/>
              </w:rPr>
              <w:t>,</w:t>
            </w:r>
            <w:r w:rsidR="00A46F95">
              <w:rPr>
                <w:rFonts w:ascii="Arial" w:hAnsi="Arial" w:cs="Arial"/>
                <w:sz w:val="18"/>
                <w:szCs w:val="18"/>
              </w:rPr>
              <w:t>0</w:t>
            </w:r>
            <w:r w:rsidR="00117004">
              <w:rPr>
                <w:rFonts w:ascii="Arial" w:hAnsi="Arial" w:cs="Arial"/>
                <w:sz w:val="18"/>
                <w:szCs w:val="18"/>
              </w:rPr>
              <w:t>00</w:t>
            </w:r>
          </w:p>
        </w:tc>
        <w:tc>
          <w:tcPr>
            <w:tcW w:w="715" w:type="dxa"/>
            <w:tcBorders>
              <w:bottom w:val="single" w:sz="4" w:space="0" w:color="000000"/>
            </w:tcBorders>
            <w:shd w:val="clear" w:color="auto" w:fill="auto"/>
            <w:vAlign w:val="center"/>
          </w:tcPr>
          <w:p w14:paraId="0F62FC4E" w14:textId="2BB19D0F" w:rsidR="00117004" w:rsidRPr="00B019CC" w:rsidRDefault="00117004" w:rsidP="00117004">
            <w:pPr>
              <w:jc w:val="center"/>
              <w:rPr>
                <w:rFonts w:ascii="Arial" w:hAnsi="Arial" w:cs="Arial"/>
                <w:sz w:val="18"/>
                <w:szCs w:val="18"/>
              </w:rPr>
            </w:pPr>
            <w:r>
              <w:rPr>
                <w:rFonts w:ascii="Arial" w:hAnsi="Arial" w:cs="Arial"/>
                <w:sz w:val="18"/>
                <w:szCs w:val="18"/>
              </w:rPr>
              <w:t>2020</w:t>
            </w:r>
          </w:p>
        </w:tc>
        <w:tc>
          <w:tcPr>
            <w:tcW w:w="1868" w:type="dxa"/>
            <w:tcBorders>
              <w:bottom w:val="single" w:sz="4" w:space="0" w:color="000000"/>
            </w:tcBorders>
            <w:shd w:val="clear" w:color="auto" w:fill="auto"/>
            <w:vAlign w:val="center"/>
          </w:tcPr>
          <w:p w14:paraId="6375FD39" w14:textId="3FA182D0" w:rsidR="00117004" w:rsidRPr="00B019CC" w:rsidRDefault="00117004" w:rsidP="00117004">
            <w:pPr>
              <w:rPr>
                <w:rFonts w:ascii="Arial" w:hAnsi="Arial" w:cs="Arial"/>
                <w:sz w:val="18"/>
                <w:szCs w:val="18"/>
              </w:rPr>
            </w:pPr>
            <w:r w:rsidRPr="000C7E42">
              <w:rPr>
                <w:rFonts w:ascii="Arial" w:hAnsi="Arial" w:cs="Arial"/>
                <w:sz w:val="18"/>
                <w:szCs w:val="18"/>
              </w:rPr>
              <w:t>Sistema Informático de Inspección del Trabajo (SIIT)</w:t>
            </w:r>
            <w:r>
              <w:rPr>
                <w:rFonts w:ascii="Arial" w:hAnsi="Arial" w:cs="Arial"/>
                <w:sz w:val="18"/>
                <w:szCs w:val="18"/>
              </w:rPr>
              <w:t xml:space="preserve"> Planilla Electrónica</w:t>
            </w:r>
          </w:p>
        </w:tc>
        <w:tc>
          <w:tcPr>
            <w:tcW w:w="3479" w:type="dxa"/>
            <w:tcBorders>
              <w:bottom w:val="single" w:sz="4" w:space="0" w:color="000000"/>
            </w:tcBorders>
            <w:shd w:val="clear" w:color="auto" w:fill="auto"/>
            <w:vAlign w:val="center"/>
          </w:tcPr>
          <w:p w14:paraId="3DB7F142" w14:textId="77777777" w:rsidR="00117004" w:rsidRDefault="00117004" w:rsidP="00117004">
            <w:pPr>
              <w:jc w:val="both"/>
              <w:rPr>
                <w:rFonts w:ascii="Arial" w:hAnsi="Arial" w:cs="Arial"/>
                <w:sz w:val="18"/>
                <w:szCs w:val="18"/>
                <w:lang w:val="es-ES"/>
              </w:rPr>
            </w:pPr>
            <w:r>
              <w:rPr>
                <w:rFonts w:ascii="Arial" w:hAnsi="Arial" w:cs="Arial"/>
                <w:sz w:val="18"/>
                <w:szCs w:val="18"/>
                <w:lang w:val="es-ES"/>
              </w:rPr>
              <w:t>Comparación reflexiva</w:t>
            </w:r>
          </w:p>
          <w:p w14:paraId="563A8F66" w14:textId="77777777" w:rsidR="00561CD0" w:rsidRDefault="00561CD0" w:rsidP="00117004">
            <w:pPr>
              <w:jc w:val="both"/>
              <w:rPr>
                <w:rFonts w:ascii="Arial" w:hAnsi="Arial" w:cs="Arial"/>
                <w:sz w:val="18"/>
                <w:szCs w:val="18"/>
                <w:lang w:val="es-ES"/>
              </w:rPr>
            </w:pPr>
          </w:p>
          <w:p w14:paraId="40805916" w14:textId="77E286A8" w:rsidR="00561CD0" w:rsidRPr="00B019CC" w:rsidRDefault="00561CD0" w:rsidP="00117004">
            <w:pPr>
              <w:jc w:val="both"/>
              <w:rPr>
                <w:rFonts w:ascii="Arial" w:hAnsi="Arial" w:cs="Arial"/>
                <w:sz w:val="18"/>
                <w:szCs w:val="18"/>
                <w:lang w:val="es-ES"/>
              </w:rPr>
            </w:pPr>
            <w:r>
              <w:rPr>
                <w:rFonts w:ascii="Arial" w:hAnsi="Arial" w:cs="Arial"/>
                <w:sz w:val="18"/>
                <w:szCs w:val="18"/>
                <w:lang w:val="es-ES"/>
              </w:rPr>
              <w:t xml:space="preserve">Línea de base calculada a partir de reporte del SIIT (ver </w:t>
            </w:r>
            <w:r w:rsidR="00986F8B">
              <w:rPr>
                <w:rFonts w:ascii="Arial" w:hAnsi="Arial" w:cs="Arial"/>
                <w:sz w:val="18"/>
                <w:szCs w:val="18"/>
                <w:lang w:val="es-ES"/>
              </w:rPr>
              <w:t>Cuadro</w:t>
            </w:r>
            <w:r>
              <w:rPr>
                <w:rFonts w:ascii="Arial" w:hAnsi="Arial" w:cs="Arial"/>
                <w:sz w:val="18"/>
                <w:szCs w:val="18"/>
                <w:lang w:val="es-ES"/>
              </w:rPr>
              <w:t xml:space="preserve"> </w:t>
            </w:r>
            <w:r w:rsidR="00986F8B">
              <w:rPr>
                <w:rFonts w:ascii="Arial" w:hAnsi="Arial" w:cs="Arial"/>
                <w:sz w:val="18"/>
                <w:szCs w:val="18"/>
                <w:lang w:val="es-ES"/>
              </w:rPr>
              <w:t>3</w:t>
            </w:r>
            <w:r>
              <w:rPr>
                <w:rFonts w:ascii="Arial" w:hAnsi="Arial" w:cs="Arial"/>
                <w:sz w:val="18"/>
                <w:szCs w:val="18"/>
                <w:lang w:val="es-ES"/>
              </w:rPr>
              <w:t xml:space="preserve">). Línea de salida estimada a partir de proyección conservadora </w:t>
            </w:r>
            <w:r w:rsidR="00AE641E">
              <w:rPr>
                <w:rFonts w:ascii="Arial" w:hAnsi="Arial" w:cs="Arial"/>
                <w:sz w:val="18"/>
                <w:szCs w:val="18"/>
                <w:lang w:val="es-ES"/>
              </w:rPr>
              <w:t xml:space="preserve">(incremento en 45%) </w:t>
            </w:r>
            <w:r>
              <w:rPr>
                <w:rFonts w:ascii="Arial" w:hAnsi="Arial" w:cs="Arial"/>
                <w:sz w:val="18"/>
                <w:szCs w:val="18"/>
                <w:lang w:val="es-ES"/>
              </w:rPr>
              <w:t xml:space="preserve">considerando traslado del incremento </w:t>
            </w:r>
            <w:r w:rsidR="00AE641E">
              <w:rPr>
                <w:rFonts w:ascii="Arial" w:hAnsi="Arial" w:cs="Arial"/>
                <w:sz w:val="18"/>
                <w:szCs w:val="18"/>
                <w:lang w:val="es-ES"/>
              </w:rPr>
              <w:t xml:space="preserve">de 63% </w:t>
            </w:r>
            <w:r>
              <w:rPr>
                <w:rFonts w:ascii="Arial" w:hAnsi="Arial" w:cs="Arial"/>
                <w:sz w:val="18"/>
                <w:szCs w:val="18"/>
                <w:lang w:val="es-ES"/>
              </w:rPr>
              <w:t xml:space="preserve">de presupuesto de SUNAFIL a su capacidad </w:t>
            </w:r>
            <w:proofErr w:type="spellStart"/>
            <w:r>
              <w:rPr>
                <w:rFonts w:ascii="Arial" w:hAnsi="Arial" w:cs="Arial"/>
                <w:sz w:val="18"/>
                <w:szCs w:val="18"/>
                <w:lang w:val="es-ES"/>
              </w:rPr>
              <w:t>inspectiva</w:t>
            </w:r>
            <w:proofErr w:type="spellEnd"/>
            <w:r>
              <w:rPr>
                <w:rFonts w:ascii="Arial" w:hAnsi="Arial" w:cs="Arial"/>
                <w:sz w:val="18"/>
                <w:szCs w:val="18"/>
                <w:lang w:val="es-ES"/>
              </w:rPr>
              <w:t xml:space="preserve"> (número de casos procesados)</w:t>
            </w:r>
          </w:p>
        </w:tc>
      </w:tr>
      <w:tr w:rsidR="000F5D52" w:rsidRPr="00B019CC" w14:paraId="17250FA6" w14:textId="77777777" w:rsidTr="0029777E">
        <w:trPr>
          <w:trHeight w:val="233"/>
          <w:jc w:val="center"/>
        </w:trPr>
        <w:tc>
          <w:tcPr>
            <w:tcW w:w="12685" w:type="dxa"/>
            <w:gridSpan w:val="8"/>
            <w:tcBorders>
              <w:bottom w:val="single" w:sz="4" w:space="0" w:color="000000"/>
            </w:tcBorders>
            <w:shd w:val="clear" w:color="auto" w:fill="D9D9D9" w:themeFill="background1" w:themeFillShade="D9"/>
            <w:vAlign w:val="center"/>
          </w:tcPr>
          <w:p w14:paraId="583F802C" w14:textId="4B905E8F" w:rsidR="000F5D52" w:rsidRPr="008277D2" w:rsidRDefault="000F5D52" w:rsidP="00A46E1D">
            <w:pPr>
              <w:rPr>
                <w:rFonts w:ascii="Arial" w:hAnsi="Arial"/>
                <w:sz w:val="18"/>
                <w:highlight w:val="yellow"/>
                <w:lang w:val="es-CL"/>
              </w:rPr>
            </w:pPr>
            <w:r w:rsidRPr="00B019CC">
              <w:rPr>
                <w:rFonts w:ascii="Arial" w:hAnsi="Arial" w:cs="Arial"/>
                <w:b/>
                <w:sz w:val="18"/>
                <w:szCs w:val="18"/>
              </w:rPr>
              <w:t xml:space="preserve">Resultado Esperado </w:t>
            </w:r>
            <w:r w:rsidR="00FF5E76">
              <w:rPr>
                <w:rFonts w:ascii="Arial" w:hAnsi="Arial" w:cs="Arial"/>
                <w:b/>
                <w:sz w:val="18"/>
                <w:szCs w:val="18"/>
              </w:rPr>
              <w:t>3</w:t>
            </w:r>
            <w:r w:rsidRPr="00083F8C">
              <w:rPr>
                <w:rFonts w:ascii="Arial" w:hAnsi="Arial" w:cs="Arial"/>
                <w:b/>
                <w:sz w:val="18"/>
                <w:szCs w:val="18"/>
              </w:rPr>
              <w:t xml:space="preserve">. </w:t>
            </w:r>
            <w:r w:rsidR="0089137A">
              <w:rPr>
                <w:rFonts w:ascii="Arial" w:hAnsi="Arial" w:cs="Arial"/>
                <w:b/>
                <w:sz w:val="18"/>
                <w:szCs w:val="18"/>
              </w:rPr>
              <w:t>Mejorar las prácticas de gestión empresarial de las MYPE</w:t>
            </w:r>
          </w:p>
        </w:tc>
      </w:tr>
      <w:tr w:rsidR="0029777E" w:rsidRPr="00B019CC" w14:paraId="6E676D6F" w14:textId="77777777" w:rsidTr="00117004">
        <w:trPr>
          <w:trHeight w:val="773"/>
          <w:jc w:val="center"/>
        </w:trPr>
        <w:tc>
          <w:tcPr>
            <w:tcW w:w="2728" w:type="dxa"/>
            <w:tcBorders>
              <w:bottom w:val="single" w:sz="4" w:space="0" w:color="000000"/>
            </w:tcBorders>
            <w:shd w:val="clear" w:color="auto" w:fill="auto"/>
            <w:vAlign w:val="center"/>
          </w:tcPr>
          <w:p w14:paraId="03D609DB" w14:textId="5398F184" w:rsidR="0093643A" w:rsidRPr="00083F8C" w:rsidRDefault="00536750" w:rsidP="0093643A">
            <w:pPr>
              <w:tabs>
                <w:tab w:val="left" w:pos="384"/>
              </w:tabs>
              <w:jc w:val="both"/>
              <w:rPr>
                <w:rFonts w:ascii="Arial" w:hAnsi="Arial" w:cs="Arial"/>
                <w:sz w:val="18"/>
                <w:szCs w:val="18"/>
              </w:rPr>
            </w:pPr>
            <w:r>
              <w:rPr>
                <w:rFonts w:ascii="Arial" w:hAnsi="Arial" w:cs="Arial"/>
                <w:sz w:val="18"/>
                <w:szCs w:val="18"/>
              </w:rPr>
              <w:t>Porcentaje de MYPE</w:t>
            </w:r>
            <w:r w:rsidR="00503133">
              <w:rPr>
                <w:rFonts w:ascii="Arial" w:hAnsi="Arial" w:cs="Arial"/>
                <w:sz w:val="18"/>
                <w:szCs w:val="18"/>
              </w:rPr>
              <w:t xml:space="preserve"> </w:t>
            </w:r>
            <w:r w:rsidR="004622FC">
              <w:rPr>
                <w:rFonts w:ascii="Arial" w:hAnsi="Arial" w:cs="Arial"/>
                <w:sz w:val="18"/>
                <w:szCs w:val="18"/>
              </w:rPr>
              <w:t xml:space="preserve">usuarias de servicios de extensión empresarial repotenciados </w:t>
            </w:r>
            <w:r>
              <w:rPr>
                <w:rFonts w:ascii="Arial" w:hAnsi="Arial" w:cs="Arial"/>
                <w:sz w:val="18"/>
                <w:szCs w:val="18"/>
              </w:rPr>
              <w:t xml:space="preserve">que </w:t>
            </w:r>
            <w:r w:rsidR="0067163D">
              <w:rPr>
                <w:rFonts w:ascii="Arial" w:hAnsi="Arial" w:cs="Arial"/>
                <w:sz w:val="18"/>
                <w:szCs w:val="18"/>
              </w:rPr>
              <w:t>cuenta con un plan de negocios</w:t>
            </w:r>
            <w:r w:rsidR="00503133">
              <w:rPr>
                <w:rFonts w:ascii="Arial" w:hAnsi="Arial" w:cs="Arial"/>
                <w:sz w:val="18"/>
                <w:szCs w:val="18"/>
              </w:rPr>
              <w:t xml:space="preserve"> </w:t>
            </w:r>
          </w:p>
        </w:tc>
        <w:tc>
          <w:tcPr>
            <w:tcW w:w="1181" w:type="dxa"/>
            <w:tcBorders>
              <w:bottom w:val="single" w:sz="4" w:space="0" w:color="000000"/>
            </w:tcBorders>
            <w:shd w:val="clear" w:color="auto" w:fill="auto"/>
            <w:vAlign w:val="center"/>
          </w:tcPr>
          <w:p w14:paraId="4544D307" w14:textId="4E0AEB7A" w:rsidR="0093643A" w:rsidRPr="00B019CC" w:rsidRDefault="00536750" w:rsidP="0093643A">
            <w:pPr>
              <w:jc w:val="center"/>
              <w:rPr>
                <w:rFonts w:ascii="Arial" w:hAnsi="Arial" w:cs="Arial"/>
                <w:sz w:val="18"/>
                <w:szCs w:val="18"/>
              </w:rPr>
            </w:pPr>
            <w:r>
              <w:rPr>
                <w:rFonts w:ascii="Arial" w:hAnsi="Arial" w:cs="Arial"/>
                <w:sz w:val="18"/>
                <w:szCs w:val="18"/>
              </w:rPr>
              <w:t>%</w:t>
            </w:r>
          </w:p>
        </w:tc>
        <w:tc>
          <w:tcPr>
            <w:tcW w:w="919" w:type="dxa"/>
            <w:tcBorders>
              <w:bottom w:val="single" w:sz="4" w:space="0" w:color="000000"/>
            </w:tcBorders>
            <w:shd w:val="clear" w:color="auto" w:fill="auto"/>
            <w:vAlign w:val="center"/>
          </w:tcPr>
          <w:p w14:paraId="7C607D6B" w14:textId="1EF7E83E" w:rsidR="0093643A" w:rsidRPr="00B019CC" w:rsidRDefault="00D5283C" w:rsidP="0093643A">
            <w:pPr>
              <w:jc w:val="center"/>
              <w:rPr>
                <w:rFonts w:ascii="Arial" w:hAnsi="Arial" w:cs="Arial"/>
                <w:sz w:val="18"/>
                <w:szCs w:val="18"/>
              </w:rPr>
            </w:pPr>
            <w:r>
              <w:rPr>
                <w:rFonts w:ascii="Arial" w:hAnsi="Arial" w:cs="Arial"/>
                <w:sz w:val="18"/>
                <w:szCs w:val="18"/>
              </w:rPr>
              <w:t>37</w:t>
            </w:r>
          </w:p>
        </w:tc>
        <w:tc>
          <w:tcPr>
            <w:tcW w:w="720" w:type="dxa"/>
            <w:tcBorders>
              <w:bottom w:val="single" w:sz="4" w:space="0" w:color="000000"/>
            </w:tcBorders>
            <w:shd w:val="clear" w:color="auto" w:fill="auto"/>
            <w:vAlign w:val="center"/>
          </w:tcPr>
          <w:p w14:paraId="1CB875D3" w14:textId="08DF748E" w:rsidR="0093643A" w:rsidRPr="00B019CC" w:rsidRDefault="0093643A" w:rsidP="0093643A">
            <w:pPr>
              <w:jc w:val="center"/>
              <w:rPr>
                <w:rFonts w:ascii="Arial" w:hAnsi="Arial" w:cs="Arial"/>
                <w:sz w:val="18"/>
                <w:szCs w:val="18"/>
              </w:rPr>
            </w:pPr>
            <w:r w:rsidRPr="00B019CC">
              <w:rPr>
                <w:rFonts w:ascii="Arial" w:hAnsi="Arial" w:cs="Arial"/>
                <w:sz w:val="18"/>
                <w:szCs w:val="18"/>
              </w:rPr>
              <w:t>201</w:t>
            </w:r>
            <w:r w:rsidR="00D64296">
              <w:rPr>
                <w:rFonts w:ascii="Arial" w:hAnsi="Arial" w:cs="Arial"/>
                <w:sz w:val="18"/>
                <w:szCs w:val="18"/>
              </w:rPr>
              <w:t>7</w:t>
            </w:r>
          </w:p>
        </w:tc>
        <w:tc>
          <w:tcPr>
            <w:tcW w:w="1075" w:type="dxa"/>
            <w:tcBorders>
              <w:bottom w:val="single" w:sz="4" w:space="0" w:color="000000"/>
            </w:tcBorders>
            <w:shd w:val="clear" w:color="auto" w:fill="auto"/>
            <w:vAlign w:val="center"/>
          </w:tcPr>
          <w:p w14:paraId="6B8CCE2E" w14:textId="1C96E631" w:rsidR="0093643A" w:rsidRPr="00B019CC" w:rsidRDefault="00D5283C" w:rsidP="0093643A">
            <w:pPr>
              <w:jc w:val="center"/>
              <w:rPr>
                <w:rFonts w:ascii="Arial" w:hAnsi="Arial" w:cs="Arial"/>
                <w:sz w:val="18"/>
                <w:szCs w:val="18"/>
              </w:rPr>
            </w:pPr>
            <w:r>
              <w:rPr>
                <w:rFonts w:ascii="Arial" w:hAnsi="Arial" w:cs="Arial"/>
                <w:sz w:val="18"/>
                <w:szCs w:val="18"/>
              </w:rPr>
              <w:t>4</w:t>
            </w:r>
            <w:r w:rsidR="00EB5311">
              <w:rPr>
                <w:rFonts w:ascii="Arial" w:hAnsi="Arial" w:cs="Arial"/>
                <w:sz w:val="18"/>
                <w:szCs w:val="18"/>
              </w:rPr>
              <w:t>5</w:t>
            </w:r>
          </w:p>
        </w:tc>
        <w:tc>
          <w:tcPr>
            <w:tcW w:w="715" w:type="dxa"/>
            <w:tcBorders>
              <w:bottom w:val="single" w:sz="4" w:space="0" w:color="000000"/>
            </w:tcBorders>
            <w:shd w:val="clear" w:color="auto" w:fill="auto"/>
            <w:vAlign w:val="center"/>
          </w:tcPr>
          <w:p w14:paraId="13CEB333" w14:textId="627C849F" w:rsidR="0093643A" w:rsidRPr="00B019CC" w:rsidRDefault="0093643A" w:rsidP="0093643A">
            <w:pPr>
              <w:jc w:val="center"/>
              <w:rPr>
                <w:rFonts w:ascii="Arial" w:hAnsi="Arial" w:cs="Arial"/>
                <w:sz w:val="18"/>
                <w:szCs w:val="18"/>
              </w:rPr>
            </w:pPr>
            <w:r>
              <w:rPr>
                <w:rFonts w:ascii="Arial" w:hAnsi="Arial" w:cs="Arial"/>
                <w:sz w:val="18"/>
                <w:szCs w:val="18"/>
              </w:rPr>
              <w:t>2020</w:t>
            </w:r>
          </w:p>
        </w:tc>
        <w:tc>
          <w:tcPr>
            <w:tcW w:w="1868" w:type="dxa"/>
            <w:tcBorders>
              <w:bottom w:val="single" w:sz="4" w:space="0" w:color="000000"/>
            </w:tcBorders>
            <w:shd w:val="clear" w:color="auto" w:fill="auto"/>
            <w:vAlign w:val="center"/>
          </w:tcPr>
          <w:p w14:paraId="7BBD61FF" w14:textId="00DC9A41" w:rsidR="0093643A" w:rsidRPr="00B019CC" w:rsidRDefault="001A2838" w:rsidP="0093643A">
            <w:pPr>
              <w:rPr>
                <w:rFonts w:ascii="Arial" w:hAnsi="Arial" w:cs="Arial"/>
                <w:sz w:val="18"/>
                <w:szCs w:val="18"/>
              </w:rPr>
            </w:pPr>
            <w:r>
              <w:rPr>
                <w:rFonts w:ascii="Arial" w:hAnsi="Arial" w:cs="Arial"/>
                <w:sz w:val="18"/>
                <w:szCs w:val="18"/>
              </w:rPr>
              <w:t>ENE</w:t>
            </w:r>
            <w:r w:rsidR="00BA474E">
              <w:rPr>
                <w:rFonts w:ascii="Arial" w:hAnsi="Arial" w:cs="Arial"/>
                <w:sz w:val="18"/>
                <w:szCs w:val="18"/>
              </w:rPr>
              <w:t xml:space="preserve"> y registros administrativos del centro “Tu Empresa” en Lima para identificar a las empresas usuarias de los </w:t>
            </w:r>
            <w:r w:rsidR="00D70310">
              <w:rPr>
                <w:rFonts w:ascii="Arial" w:hAnsi="Arial" w:cs="Arial"/>
                <w:sz w:val="18"/>
                <w:szCs w:val="18"/>
              </w:rPr>
              <w:t>servicios de extensión empresarial.</w:t>
            </w:r>
          </w:p>
        </w:tc>
        <w:tc>
          <w:tcPr>
            <w:tcW w:w="3479" w:type="dxa"/>
            <w:tcBorders>
              <w:bottom w:val="single" w:sz="4" w:space="0" w:color="000000"/>
            </w:tcBorders>
            <w:shd w:val="clear" w:color="auto" w:fill="auto"/>
            <w:vAlign w:val="center"/>
          </w:tcPr>
          <w:p w14:paraId="7523CD2D" w14:textId="30C3CBD8" w:rsidR="0093643A" w:rsidRPr="00813A49" w:rsidRDefault="00F259F8" w:rsidP="0093643A">
            <w:pPr>
              <w:jc w:val="both"/>
              <w:rPr>
                <w:rFonts w:ascii="Arial" w:hAnsi="Arial" w:cs="Arial"/>
                <w:sz w:val="18"/>
                <w:szCs w:val="18"/>
                <w:lang w:val="es-ES"/>
              </w:rPr>
            </w:pPr>
            <w:r>
              <w:rPr>
                <w:rFonts w:ascii="Arial" w:hAnsi="Arial" w:cs="Arial"/>
                <w:sz w:val="18"/>
                <w:szCs w:val="18"/>
                <w:lang w:val="es-ES"/>
              </w:rPr>
              <w:t>Comparación causal:</w:t>
            </w:r>
            <w:r w:rsidR="00181500" w:rsidRPr="00813A49">
              <w:rPr>
                <w:rFonts w:ascii="Arial" w:hAnsi="Arial" w:cs="Arial"/>
                <w:sz w:val="18"/>
                <w:szCs w:val="18"/>
                <w:lang w:val="es-ES"/>
              </w:rPr>
              <w:t xml:space="preserve"> el indicador se contrastará por doble diferencia con el indicador de un grupo de control (determinado por emparejamiento estadístico) que se conformará a partir de la muestra de empresas similares disponibles en la ENE que indiquen no haber recibido servicios de extensión empresarial.</w:t>
            </w:r>
          </w:p>
          <w:p w14:paraId="39E2CECD" w14:textId="77777777" w:rsidR="00F55F91" w:rsidRDefault="00F55F91" w:rsidP="0093643A">
            <w:pPr>
              <w:jc w:val="both"/>
              <w:rPr>
                <w:rFonts w:ascii="Arial" w:hAnsi="Arial" w:cs="Arial"/>
                <w:sz w:val="18"/>
                <w:szCs w:val="18"/>
                <w:lang w:val="es-ES"/>
              </w:rPr>
            </w:pPr>
          </w:p>
          <w:p w14:paraId="2B6575DD" w14:textId="5E0708CD" w:rsidR="00F55F91" w:rsidRPr="00813A49" w:rsidRDefault="00F55F91" w:rsidP="00813A49">
            <w:pPr>
              <w:jc w:val="both"/>
              <w:rPr>
                <w:rFonts w:ascii="Arial" w:hAnsi="Arial" w:cs="Arial"/>
                <w:sz w:val="18"/>
                <w:szCs w:val="18"/>
                <w:lang w:val="es-ES"/>
              </w:rPr>
            </w:pPr>
            <w:r>
              <w:rPr>
                <w:rFonts w:ascii="Arial" w:hAnsi="Arial" w:cs="Arial"/>
                <w:sz w:val="18"/>
                <w:szCs w:val="18"/>
                <w:lang w:val="es-ES"/>
              </w:rPr>
              <w:t xml:space="preserve">Línea de base </w:t>
            </w:r>
            <w:r w:rsidR="00D64296">
              <w:rPr>
                <w:rFonts w:ascii="Arial" w:hAnsi="Arial" w:cs="Arial"/>
                <w:sz w:val="18"/>
                <w:szCs w:val="18"/>
                <w:lang w:val="es-ES"/>
              </w:rPr>
              <w:t>extra</w:t>
            </w:r>
            <w:r w:rsidR="0086403C">
              <w:rPr>
                <w:rFonts w:ascii="Arial" w:hAnsi="Arial" w:cs="Arial"/>
                <w:sz w:val="18"/>
                <w:szCs w:val="18"/>
                <w:lang w:val="es-ES"/>
              </w:rPr>
              <w:t>í</w:t>
            </w:r>
            <w:r w:rsidR="00D64296">
              <w:rPr>
                <w:rFonts w:ascii="Arial" w:hAnsi="Arial" w:cs="Arial"/>
                <w:sz w:val="18"/>
                <w:szCs w:val="18"/>
                <w:lang w:val="es-ES"/>
              </w:rPr>
              <w:t xml:space="preserve">da </w:t>
            </w:r>
            <w:r>
              <w:rPr>
                <w:rFonts w:ascii="Arial" w:hAnsi="Arial" w:cs="Arial"/>
                <w:sz w:val="18"/>
                <w:szCs w:val="18"/>
                <w:lang w:val="es-ES"/>
              </w:rPr>
              <w:t>de</w:t>
            </w:r>
            <w:r w:rsidR="00D64296">
              <w:rPr>
                <w:rFonts w:ascii="Arial" w:hAnsi="Arial" w:cs="Arial"/>
                <w:sz w:val="18"/>
                <w:szCs w:val="18"/>
                <w:lang w:val="es-ES"/>
              </w:rPr>
              <w:t xml:space="preserve"> presentación de </w:t>
            </w:r>
            <w:r w:rsidR="0086403C">
              <w:rPr>
                <w:rFonts w:ascii="Arial" w:hAnsi="Arial" w:cs="Arial"/>
                <w:sz w:val="18"/>
                <w:szCs w:val="18"/>
                <w:lang w:val="es-ES"/>
              </w:rPr>
              <w:t>r</w:t>
            </w:r>
            <w:r w:rsidR="00D64296">
              <w:rPr>
                <w:rFonts w:ascii="Arial" w:hAnsi="Arial" w:cs="Arial"/>
                <w:sz w:val="18"/>
                <w:szCs w:val="18"/>
                <w:lang w:val="es-ES"/>
              </w:rPr>
              <w:t>esultados de la ENE 2017</w:t>
            </w:r>
            <w:r w:rsidR="0086403C">
              <w:rPr>
                <w:rFonts w:ascii="Arial" w:hAnsi="Arial" w:cs="Arial"/>
                <w:sz w:val="18"/>
                <w:szCs w:val="18"/>
                <w:lang w:val="es-ES"/>
              </w:rPr>
              <w:t xml:space="preserve"> del Ministerio de la Producción</w:t>
            </w:r>
            <w:r w:rsidR="00D64296">
              <w:rPr>
                <w:rFonts w:ascii="Arial" w:hAnsi="Arial" w:cs="Arial"/>
                <w:sz w:val="18"/>
                <w:szCs w:val="18"/>
                <w:lang w:val="es-ES"/>
              </w:rPr>
              <w:t xml:space="preserve">. </w:t>
            </w:r>
            <w:r w:rsidR="006C639B">
              <w:rPr>
                <w:rFonts w:ascii="Arial" w:hAnsi="Arial" w:cs="Arial"/>
                <w:sz w:val="18"/>
                <w:szCs w:val="18"/>
                <w:lang w:val="es-ES"/>
              </w:rPr>
              <w:t xml:space="preserve">Línea de seguimiento proyectada </w:t>
            </w:r>
            <w:r w:rsidR="00D5283C">
              <w:rPr>
                <w:rFonts w:ascii="Arial" w:hAnsi="Arial" w:cs="Arial"/>
                <w:sz w:val="18"/>
                <w:szCs w:val="18"/>
                <w:lang w:val="es-ES"/>
              </w:rPr>
              <w:t xml:space="preserve">sobre </w:t>
            </w:r>
            <w:r w:rsidR="00CD4A18">
              <w:rPr>
                <w:rFonts w:ascii="Arial" w:hAnsi="Arial" w:cs="Arial"/>
                <w:sz w:val="18"/>
                <w:szCs w:val="18"/>
                <w:lang w:val="es-ES"/>
              </w:rPr>
              <w:t xml:space="preserve">estimación conservadora en base a resultados de </w:t>
            </w:r>
            <w:r w:rsidR="00813A49">
              <w:rPr>
                <w:rFonts w:ascii="Arial" w:hAnsi="Arial" w:cs="Arial"/>
                <w:sz w:val="18"/>
                <w:szCs w:val="18"/>
                <w:lang w:val="es-ES"/>
              </w:rPr>
              <w:t xml:space="preserve">Bloom et al (2013) en </w:t>
            </w:r>
            <w:r w:rsidR="00813A49" w:rsidRPr="00813A49">
              <w:rPr>
                <w:rFonts w:ascii="Arial" w:hAnsi="Arial" w:cs="Arial"/>
                <w:sz w:val="18"/>
                <w:szCs w:val="18"/>
                <w:lang w:val="es-ES"/>
              </w:rPr>
              <w:t xml:space="preserve">el que </w:t>
            </w:r>
            <w:proofErr w:type="spellStart"/>
            <w:r w:rsidR="00813A49" w:rsidRPr="00813A49">
              <w:rPr>
                <w:rFonts w:ascii="Arial" w:hAnsi="Arial" w:cs="Arial"/>
                <w:sz w:val="18"/>
                <w:szCs w:val="18"/>
                <w:lang w:val="es-ES"/>
              </w:rPr>
              <w:t>el</w:t>
            </w:r>
            <w:proofErr w:type="spellEnd"/>
            <w:r w:rsidR="00813A49" w:rsidRPr="00813A49">
              <w:rPr>
                <w:rFonts w:ascii="Arial" w:hAnsi="Arial" w:cs="Arial"/>
                <w:sz w:val="18"/>
                <w:szCs w:val="18"/>
                <w:lang w:val="es-ES"/>
              </w:rPr>
              <w:t xml:space="preserve"> % de </w:t>
            </w:r>
            <w:r w:rsidR="00813A49">
              <w:rPr>
                <w:rFonts w:ascii="Arial" w:hAnsi="Arial" w:cs="Arial"/>
                <w:sz w:val="18"/>
                <w:szCs w:val="18"/>
                <w:lang w:val="es-ES"/>
              </w:rPr>
              <w:t xml:space="preserve">buenas </w:t>
            </w:r>
            <w:r w:rsidR="00813A49" w:rsidRPr="00813A49">
              <w:rPr>
                <w:rFonts w:ascii="Arial" w:hAnsi="Arial" w:cs="Arial"/>
                <w:sz w:val="18"/>
                <w:szCs w:val="18"/>
                <w:lang w:val="es-ES"/>
              </w:rPr>
              <w:t>prácticas empresariales aumentó de 25</w:t>
            </w:r>
            <w:r w:rsidR="00901586">
              <w:rPr>
                <w:rFonts w:ascii="Arial" w:hAnsi="Arial" w:cs="Arial"/>
                <w:sz w:val="18"/>
                <w:szCs w:val="18"/>
                <w:lang w:val="es-ES"/>
              </w:rPr>
              <w:t>,</w:t>
            </w:r>
            <w:r w:rsidR="00813A49" w:rsidRPr="00813A49">
              <w:rPr>
                <w:rFonts w:ascii="Arial" w:hAnsi="Arial" w:cs="Arial"/>
                <w:sz w:val="18"/>
                <w:szCs w:val="18"/>
                <w:lang w:val="es-ES"/>
              </w:rPr>
              <w:t>6% a 63</w:t>
            </w:r>
            <w:r w:rsidR="00901586">
              <w:rPr>
                <w:rFonts w:ascii="Arial" w:hAnsi="Arial" w:cs="Arial"/>
                <w:sz w:val="18"/>
                <w:szCs w:val="18"/>
                <w:lang w:val="es-ES"/>
              </w:rPr>
              <w:t>,</w:t>
            </w:r>
            <w:r w:rsidR="00813A49" w:rsidRPr="00813A49">
              <w:rPr>
                <w:rFonts w:ascii="Arial" w:hAnsi="Arial" w:cs="Arial"/>
                <w:sz w:val="18"/>
                <w:szCs w:val="18"/>
                <w:lang w:val="es-ES"/>
              </w:rPr>
              <w:t xml:space="preserve">4% dos años después de </w:t>
            </w:r>
            <w:r w:rsidR="00813A49">
              <w:rPr>
                <w:rFonts w:ascii="Arial" w:hAnsi="Arial" w:cs="Arial"/>
                <w:sz w:val="18"/>
                <w:szCs w:val="18"/>
                <w:lang w:val="es-ES"/>
              </w:rPr>
              <w:t>proveer extensionismo empresarial.</w:t>
            </w:r>
          </w:p>
        </w:tc>
      </w:tr>
      <w:tr w:rsidR="0093643A" w:rsidRPr="00B019CC" w14:paraId="0EDA280E" w14:textId="77777777" w:rsidTr="0029777E">
        <w:trPr>
          <w:trHeight w:val="215"/>
          <w:jc w:val="center"/>
        </w:trPr>
        <w:tc>
          <w:tcPr>
            <w:tcW w:w="12685" w:type="dxa"/>
            <w:gridSpan w:val="8"/>
            <w:tcBorders>
              <w:bottom w:val="single" w:sz="4" w:space="0" w:color="000000"/>
            </w:tcBorders>
            <w:shd w:val="clear" w:color="auto" w:fill="D9D9D9" w:themeFill="background1" w:themeFillShade="D9"/>
            <w:vAlign w:val="center"/>
          </w:tcPr>
          <w:p w14:paraId="72890D8F" w14:textId="1BC2CF35" w:rsidR="0093643A" w:rsidRPr="008277D2" w:rsidRDefault="0093643A" w:rsidP="0093643A">
            <w:pPr>
              <w:rPr>
                <w:rFonts w:ascii="Arial" w:hAnsi="Arial"/>
                <w:sz w:val="18"/>
                <w:highlight w:val="yellow"/>
                <w:lang w:val="es-CL"/>
              </w:rPr>
            </w:pPr>
            <w:r w:rsidRPr="00B019CC">
              <w:rPr>
                <w:rFonts w:ascii="Arial" w:hAnsi="Arial" w:cs="Arial"/>
                <w:b/>
                <w:sz w:val="18"/>
                <w:szCs w:val="18"/>
              </w:rPr>
              <w:t xml:space="preserve">Resultado Esperado </w:t>
            </w:r>
            <w:r w:rsidR="00FF5E76">
              <w:rPr>
                <w:rFonts w:ascii="Arial" w:hAnsi="Arial" w:cs="Arial"/>
                <w:b/>
                <w:sz w:val="18"/>
                <w:szCs w:val="18"/>
              </w:rPr>
              <w:t>4</w:t>
            </w:r>
            <w:r w:rsidRPr="00B019CC">
              <w:rPr>
                <w:rFonts w:ascii="Arial" w:hAnsi="Arial" w:cs="Arial"/>
                <w:b/>
                <w:sz w:val="18"/>
                <w:szCs w:val="18"/>
              </w:rPr>
              <w:t>.</w:t>
            </w:r>
            <w:r>
              <w:rPr>
                <w:rFonts w:ascii="Arial" w:hAnsi="Arial" w:cs="Arial"/>
                <w:b/>
                <w:sz w:val="18"/>
                <w:szCs w:val="18"/>
              </w:rPr>
              <w:t xml:space="preserve"> </w:t>
            </w:r>
            <w:r w:rsidR="0089137A">
              <w:rPr>
                <w:rFonts w:ascii="Arial" w:hAnsi="Arial" w:cs="Arial"/>
                <w:b/>
                <w:sz w:val="18"/>
                <w:szCs w:val="18"/>
              </w:rPr>
              <w:t>Incrementar nivel de ventas de las MYPE</w:t>
            </w:r>
          </w:p>
        </w:tc>
      </w:tr>
      <w:tr w:rsidR="0093643A" w:rsidRPr="00B019CC" w14:paraId="7E6DC0DB" w14:textId="77777777" w:rsidTr="00117004">
        <w:trPr>
          <w:trHeight w:val="773"/>
          <w:jc w:val="center"/>
        </w:trPr>
        <w:tc>
          <w:tcPr>
            <w:tcW w:w="2728" w:type="dxa"/>
            <w:shd w:val="clear" w:color="auto" w:fill="auto"/>
            <w:vAlign w:val="center"/>
          </w:tcPr>
          <w:p w14:paraId="35DD847B" w14:textId="2D496BA1" w:rsidR="0093643A" w:rsidRPr="00083F8C" w:rsidRDefault="00536750" w:rsidP="0093643A">
            <w:pPr>
              <w:tabs>
                <w:tab w:val="left" w:pos="384"/>
              </w:tabs>
              <w:jc w:val="both"/>
              <w:rPr>
                <w:rFonts w:ascii="Arial" w:hAnsi="Arial" w:cs="Arial"/>
                <w:sz w:val="18"/>
                <w:szCs w:val="18"/>
              </w:rPr>
            </w:pPr>
            <w:r>
              <w:rPr>
                <w:rFonts w:ascii="Arial" w:hAnsi="Arial" w:cs="Arial"/>
                <w:sz w:val="18"/>
                <w:szCs w:val="18"/>
              </w:rPr>
              <w:t>Ventas anuales promedio de MYPE</w:t>
            </w:r>
            <w:r w:rsidR="0028781C">
              <w:rPr>
                <w:rFonts w:ascii="Arial" w:hAnsi="Arial" w:cs="Arial"/>
                <w:sz w:val="18"/>
                <w:szCs w:val="18"/>
              </w:rPr>
              <w:t xml:space="preserve"> participantes en “Compras </w:t>
            </w:r>
            <w:proofErr w:type="spellStart"/>
            <w:r w:rsidR="0028781C">
              <w:rPr>
                <w:rFonts w:ascii="Arial" w:hAnsi="Arial" w:cs="Arial"/>
                <w:sz w:val="18"/>
                <w:szCs w:val="18"/>
              </w:rPr>
              <w:t>MYPE</w:t>
            </w:r>
            <w:r w:rsidR="00DF1691">
              <w:rPr>
                <w:rFonts w:ascii="Arial" w:hAnsi="Arial" w:cs="Arial"/>
                <w:sz w:val="18"/>
                <w:szCs w:val="18"/>
              </w:rPr>
              <w:t>r</w:t>
            </w:r>
            <w:r w:rsidR="0028781C">
              <w:rPr>
                <w:rFonts w:ascii="Arial" w:hAnsi="Arial" w:cs="Arial"/>
                <w:sz w:val="18"/>
                <w:szCs w:val="18"/>
              </w:rPr>
              <w:t>ú</w:t>
            </w:r>
            <w:proofErr w:type="spellEnd"/>
            <w:r w:rsidR="00DF1691">
              <w:rPr>
                <w:rFonts w:ascii="Arial" w:hAnsi="Arial" w:cs="Arial"/>
                <w:sz w:val="18"/>
                <w:szCs w:val="18"/>
              </w:rPr>
              <w:t>”</w:t>
            </w:r>
          </w:p>
        </w:tc>
        <w:tc>
          <w:tcPr>
            <w:tcW w:w="1181" w:type="dxa"/>
            <w:shd w:val="clear" w:color="auto" w:fill="auto"/>
            <w:vAlign w:val="center"/>
          </w:tcPr>
          <w:p w14:paraId="0E30363B" w14:textId="0CD3FC97" w:rsidR="0093643A" w:rsidRPr="00B019CC" w:rsidRDefault="00874936" w:rsidP="0093643A">
            <w:pPr>
              <w:jc w:val="center"/>
              <w:rPr>
                <w:rFonts w:ascii="Arial" w:hAnsi="Arial" w:cs="Arial"/>
                <w:sz w:val="18"/>
                <w:szCs w:val="18"/>
              </w:rPr>
            </w:pPr>
            <w:r>
              <w:rPr>
                <w:rFonts w:ascii="Arial" w:hAnsi="Arial" w:cs="Arial"/>
                <w:sz w:val="18"/>
                <w:szCs w:val="18"/>
              </w:rPr>
              <w:t xml:space="preserve">Miles </w:t>
            </w:r>
            <w:r w:rsidR="00367666">
              <w:rPr>
                <w:rFonts w:ascii="Arial" w:hAnsi="Arial" w:cs="Arial"/>
                <w:sz w:val="18"/>
                <w:szCs w:val="18"/>
              </w:rPr>
              <w:t>US</w:t>
            </w:r>
            <w:r w:rsidR="00CB4E75">
              <w:rPr>
                <w:rFonts w:ascii="Arial" w:hAnsi="Arial" w:cs="Arial"/>
                <w:sz w:val="18"/>
                <w:szCs w:val="18"/>
              </w:rPr>
              <w:t>$</w:t>
            </w:r>
          </w:p>
        </w:tc>
        <w:tc>
          <w:tcPr>
            <w:tcW w:w="919" w:type="dxa"/>
            <w:shd w:val="clear" w:color="auto" w:fill="auto"/>
            <w:vAlign w:val="center"/>
          </w:tcPr>
          <w:p w14:paraId="6A9D3D36" w14:textId="45709B53" w:rsidR="0093643A" w:rsidRPr="00B019CC" w:rsidRDefault="00874936" w:rsidP="0093643A">
            <w:pPr>
              <w:jc w:val="center"/>
              <w:rPr>
                <w:rFonts w:ascii="Arial" w:hAnsi="Arial" w:cs="Arial"/>
                <w:sz w:val="18"/>
                <w:szCs w:val="18"/>
              </w:rPr>
            </w:pPr>
            <w:r>
              <w:rPr>
                <w:rFonts w:ascii="Arial" w:hAnsi="Arial" w:cs="Arial"/>
                <w:sz w:val="18"/>
                <w:szCs w:val="18"/>
              </w:rPr>
              <w:t>170</w:t>
            </w:r>
          </w:p>
        </w:tc>
        <w:tc>
          <w:tcPr>
            <w:tcW w:w="720" w:type="dxa"/>
            <w:shd w:val="clear" w:color="auto" w:fill="auto"/>
            <w:vAlign w:val="center"/>
          </w:tcPr>
          <w:p w14:paraId="2D424145" w14:textId="3D9CDEC6" w:rsidR="0093643A" w:rsidRPr="00B019CC" w:rsidRDefault="0093643A" w:rsidP="0093643A">
            <w:pPr>
              <w:jc w:val="center"/>
              <w:rPr>
                <w:rFonts w:ascii="Arial" w:hAnsi="Arial" w:cs="Arial"/>
                <w:sz w:val="18"/>
                <w:szCs w:val="18"/>
              </w:rPr>
            </w:pPr>
            <w:r w:rsidRPr="00B019CC">
              <w:rPr>
                <w:rFonts w:ascii="Arial" w:hAnsi="Arial" w:cs="Arial"/>
                <w:sz w:val="18"/>
                <w:szCs w:val="18"/>
              </w:rPr>
              <w:t>201</w:t>
            </w:r>
            <w:r w:rsidR="00327B0A">
              <w:rPr>
                <w:rFonts w:ascii="Arial" w:hAnsi="Arial" w:cs="Arial"/>
                <w:sz w:val="18"/>
                <w:szCs w:val="18"/>
              </w:rPr>
              <w:t>5</w:t>
            </w:r>
          </w:p>
        </w:tc>
        <w:tc>
          <w:tcPr>
            <w:tcW w:w="1075" w:type="dxa"/>
            <w:shd w:val="clear" w:color="auto" w:fill="auto"/>
            <w:vAlign w:val="center"/>
          </w:tcPr>
          <w:p w14:paraId="61CEC92F" w14:textId="2A34AFA4" w:rsidR="0093643A" w:rsidRPr="00B019CC" w:rsidRDefault="00B95516" w:rsidP="0093643A">
            <w:pPr>
              <w:jc w:val="center"/>
              <w:rPr>
                <w:rFonts w:ascii="Arial" w:hAnsi="Arial" w:cs="Arial"/>
                <w:sz w:val="18"/>
                <w:szCs w:val="18"/>
              </w:rPr>
            </w:pPr>
            <w:r>
              <w:rPr>
                <w:rFonts w:ascii="Arial" w:hAnsi="Arial" w:cs="Arial"/>
                <w:sz w:val="18"/>
                <w:szCs w:val="18"/>
              </w:rPr>
              <w:t>1</w:t>
            </w:r>
            <w:r w:rsidR="00CA2683">
              <w:rPr>
                <w:rFonts w:ascii="Arial" w:hAnsi="Arial" w:cs="Arial"/>
                <w:sz w:val="18"/>
                <w:szCs w:val="18"/>
              </w:rPr>
              <w:t>85</w:t>
            </w:r>
          </w:p>
        </w:tc>
        <w:tc>
          <w:tcPr>
            <w:tcW w:w="715" w:type="dxa"/>
            <w:shd w:val="clear" w:color="auto" w:fill="auto"/>
            <w:vAlign w:val="center"/>
          </w:tcPr>
          <w:p w14:paraId="5508F71A" w14:textId="28DB1FF5" w:rsidR="0093643A" w:rsidRPr="00B019CC" w:rsidRDefault="0093643A" w:rsidP="0093643A">
            <w:pPr>
              <w:jc w:val="center"/>
              <w:rPr>
                <w:rFonts w:ascii="Arial" w:hAnsi="Arial" w:cs="Arial"/>
                <w:sz w:val="18"/>
                <w:szCs w:val="18"/>
              </w:rPr>
            </w:pPr>
            <w:r>
              <w:rPr>
                <w:rFonts w:ascii="Arial" w:hAnsi="Arial" w:cs="Arial"/>
                <w:sz w:val="18"/>
                <w:szCs w:val="18"/>
              </w:rPr>
              <w:t>2020</w:t>
            </w:r>
          </w:p>
        </w:tc>
        <w:tc>
          <w:tcPr>
            <w:tcW w:w="1868" w:type="dxa"/>
            <w:shd w:val="clear" w:color="auto" w:fill="auto"/>
            <w:vAlign w:val="center"/>
          </w:tcPr>
          <w:p w14:paraId="53FC70EB" w14:textId="6B01AF5C" w:rsidR="0093643A" w:rsidRPr="00B019CC" w:rsidRDefault="001A2838" w:rsidP="0093643A">
            <w:pPr>
              <w:rPr>
                <w:rFonts w:ascii="Arial" w:hAnsi="Arial" w:cs="Arial"/>
                <w:sz w:val="18"/>
                <w:szCs w:val="18"/>
              </w:rPr>
            </w:pPr>
            <w:r>
              <w:rPr>
                <w:rFonts w:ascii="Arial" w:hAnsi="Arial" w:cs="Arial"/>
                <w:sz w:val="18"/>
                <w:szCs w:val="18"/>
              </w:rPr>
              <w:t>ENE</w:t>
            </w:r>
            <w:r w:rsidR="00CD5ECD">
              <w:rPr>
                <w:rFonts w:ascii="Arial" w:hAnsi="Arial" w:cs="Arial"/>
                <w:sz w:val="18"/>
                <w:szCs w:val="18"/>
              </w:rPr>
              <w:t xml:space="preserve"> </w:t>
            </w:r>
            <w:r w:rsidR="00ED14C2">
              <w:rPr>
                <w:rFonts w:ascii="Arial" w:hAnsi="Arial" w:cs="Arial"/>
                <w:sz w:val="18"/>
                <w:szCs w:val="18"/>
              </w:rPr>
              <w:t xml:space="preserve">y registros administrativos del programa “Compras a </w:t>
            </w:r>
            <w:proofErr w:type="spellStart"/>
            <w:r w:rsidR="00ED14C2">
              <w:rPr>
                <w:rFonts w:ascii="Arial" w:hAnsi="Arial" w:cs="Arial"/>
                <w:sz w:val="18"/>
                <w:szCs w:val="18"/>
              </w:rPr>
              <w:t>MYPErú</w:t>
            </w:r>
            <w:proofErr w:type="spellEnd"/>
            <w:r w:rsidR="00ED14C2">
              <w:rPr>
                <w:rFonts w:ascii="Arial" w:hAnsi="Arial" w:cs="Arial"/>
                <w:sz w:val="18"/>
                <w:szCs w:val="18"/>
              </w:rPr>
              <w:t>” para identificar a las empresas participantes.</w:t>
            </w:r>
          </w:p>
        </w:tc>
        <w:tc>
          <w:tcPr>
            <w:tcW w:w="3479" w:type="dxa"/>
            <w:shd w:val="clear" w:color="auto" w:fill="auto"/>
            <w:vAlign w:val="center"/>
          </w:tcPr>
          <w:p w14:paraId="4CDD8B0A" w14:textId="4AD18BE5" w:rsidR="0093643A" w:rsidRDefault="00F259F8" w:rsidP="0093643A">
            <w:pPr>
              <w:jc w:val="both"/>
              <w:rPr>
                <w:rFonts w:ascii="Arial" w:hAnsi="Arial" w:cs="Arial"/>
                <w:sz w:val="18"/>
              </w:rPr>
            </w:pPr>
            <w:r>
              <w:rPr>
                <w:rFonts w:ascii="Arial" w:hAnsi="Arial" w:cs="Arial"/>
                <w:sz w:val="18"/>
              </w:rPr>
              <w:t>Comparación causal:</w:t>
            </w:r>
            <w:r w:rsidR="00181500" w:rsidRPr="00091143">
              <w:rPr>
                <w:rFonts w:ascii="Arial" w:hAnsi="Arial" w:cs="Arial"/>
                <w:sz w:val="18"/>
              </w:rPr>
              <w:t xml:space="preserve"> el indicador se contrastará por doble diferencia con el indicador de un grupo de control (determinado por emparejamiento estadístico) que se conformará a partir de la muestra de </w:t>
            </w:r>
            <w:r w:rsidR="00181500">
              <w:rPr>
                <w:rFonts w:ascii="Arial" w:hAnsi="Arial" w:cs="Arial"/>
                <w:sz w:val="18"/>
              </w:rPr>
              <w:t>empresas similares disponibles en la ENE que indiquen no haber participado en procesos de compras estatales</w:t>
            </w:r>
            <w:r w:rsidR="00901586">
              <w:rPr>
                <w:rFonts w:ascii="Arial" w:hAnsi="Arial" w:cs="Arial"/>
                <w:sz w:val="18"/>
              </w:rPr>
              <w:t>.</w:t>
            </w:r>
          </w:p>
          <w:p w14:paraId="31137500" w14:textId="77777777" w:rsidR="00197426" w:rsidRDefault="00197426" w:rsidP="0093643A">
            <w:pPr>
              <w:jc w:val="both"/>
              <w:rPr>
                <w:rFonts w:ascii="Arial" w:hAnsi="Arial" w:cs="Arial"/>
                <w:sz w:val="18"/>
                <w:szCs w:val="18"/>
                <w:lang w:val="es-ES"/>
              </w:rPr>
            </w:pPr>
          </w:p>
          <w:p w14:paraId="1684C45C" w14:textId="4A8747C5" w:rsidR="00197426" w:rsidRPr="00B019CC" w:rsidRDefault="00197426" w:rsidP="0093643A">
            <w:pPr>
              <w:jc w:val="both"/>
              <w:rPr>
                <w:rFonts w:ascii="Arial" w:hAnsi="Arial" w:cs="Arial"/>
                <w:sz w:val="18"/>
                <w:szCs w:val="18"/>
                <w:lang w:val="es-ES"/>
              </w:rPr>
            </w:pPr>
            <w:r>
              <w:rPr>
                <w:rFonts w:ascii="Arial" w:hAnsi="Arial" w:cs="Arial"/>
                <w:sz w:val="18"/>
                <w:szCs w:val="18"/>
                <w:lang w:val="es-ES"/>
              </w:rPr>
              <w:t xml:space="preserve">Línea de base calculada a partir de la ENE 2015 para firmas que responden no haber participado en programas de compras estatales. Línea de salida estimada a partir de proyección conservadora aplicando como tasa de crecimiento anual a la tasa de crecimiento trimestral de 2% estimada por </w:t>
            </w:r>
            <w:r w:rsidRPr="00197426">
              <w:rPr>
                <w:rFonts w:ascii="Arial" w:hAnsi="Arial" w:cs="Arial"/>
                <w:sz w:val="18"/>
                <w:szCs w:val="18"/>
                <w:lang w:val="es-ES"/>
              </w:rPr>
              <w:t xml:space="preserve">Ferraz, Finan y </w:t>
            </w:r>
            <w:proofErr w:type="spellStart"/>
            <w:r w:rsidRPr="00197426">
              <w:rPr>
                <w:rFonts w:ascii="Arial" w:hAnsi="Arial" w:cs="Arial"/>
                <w:sz w:val="18"/>
                <w:szCs w:val="18"/>
                <w:lang w:val="es-ES"/>
              </w:rPr>
              <w:t>Szerman</w:t>
            </w:r>
            <w:proofErr w:type="spellEnd"/>
            <w:r w:rsidRPr="00197426">
              <w:rPr>
                <w:rFonts w:ascii="Arial" w:hAnsi="Arial" w:cs="Arial"/>
                <w:sz w:val="18"/>
                <w:szCs w:val="18"/>
                <w:lang w:val="es-ES"/>
              </w:rPr>
              <w:t xml:space="preserve"> 2016</w:t>
            </w:r>
            <w:r>
              <w:rPr>
                <w:rFonts w:ascii="Arial" w:hAnsi="Arial" w:cs="Arial"/>
                <w:sz w:val="18"/>
                <w:szCs w:val="18"/>
                <w:lang w:val="es-ES"/>
              </w:rPr>
              <w:t xml:space="preserve"> </w:t>
            </w:r>
            <w:r w:rsidR="00C212D1">
              <w:rPr>
                <w:rFonts w:ascii="Arial" w:hAnsi="Arial" w:cs="Arial"/>
                <w:sz w:val="18"/>
                <w:szCs w:val="18"/>
                <w:lang w:val="es-ES"/>
              </w:rPr>
              <w:t>para</w:t>
            </w:r>
            <w:r>
              <w:rPr>
                <w:rFonts w:ascii="Arial" w:hAnsi="Arial" w:cs="Arial"/>
                <w:sz w:val="18"/>
                <w:szCs w:val="18"/>
                <w:lang w:val="es-ES"/>
              </w:rPr>
              <w:t xml:space="preserve"> el caso de Brasil.</w:t>
            </w:r>
          </w:p>
        </w:tc>
      </w:tr>
      <w:tr w:rsidR="0093643A" w:rsidRPr="00030CFD" w14:paraId="4E73A4F5" w14:textId="77777777" w:rsidTr="0029777E">
        <w:trPr>
          <w:trHeight w:val="242"/>
          <w:jc w:val="center"/>
        </w:trPr>
        <w:tc>
          <w:tcPr>
            <w:tcW w:w="12685" w:type="dxa"/>
            <w:gridSpan w:val="8"/>
            <w:shd w:val="clear" w:color="auto" w:fill="D9D9D9" w:themeFill="background1" w:themeFillShade="D9"/>
          </w:tcPr>
          <w:p w14:paraId="15F40BC1" w14:textId="15D2C40D" w:rsidR="0093643A" w:rsidRPr="00030CFD" w:rsidRDefault="0093643A" w:rsidP="0093643A">
            <w:pPr>
              <w:jc w:val="both"/>
              <w:rPr>
                <w:rFonts w:ascii="Arial" w:hAnsi="Arial" w:cs="Arial"/>
                <w:b/>
                <w:sz w:val="18"/>
                <w:szCs w:val="18"/>
                <w:lang w:val="es-ES"/>
              </w:rPr>
            </w:pPr>
            <w:r w:rsidRPr="00030CFD">
              <w:rPr>
                <w:rFonts w:ascii="Arial" w:hAnsi="Arial" w:cs="Arial"/>
                <w:b/>
                <w:sz w:val="18"/>
                <w:szCs w:val="18"/>
                <w:lang w:val="es-ES"/>
              </w:rPr>
              <w:t xml:space="preserve">Resultado Esperado </w:t>
            </w:r>
            <w:r w:rsidR="00FF5E76">
              <w:rPr>
                <w:rFonts w:ascii="Arial" w:hAnsi="Arial" w:cs="Arial"/>
                <w:b/>
                <w:sz w:val="18"/>
                <w:szCs w:val="18"/>
                <w:lang w:val="es-ES"/>
              </w:rPr>
              <w:t>5</w:t>
            </w:r>
            <w:r>
              <w:rPr>
                <w:rFonts w:ascii="Arial" w:hAnsi="Arial" w:cs="Arial"/>
                <w:b/>
                <w:sz w:val="18"/>
                <w:szCs w:val="18"/>
                <w:lang w:val="es-ES"/>
              </w:rPr>
              <w:t>.</w:t>
            </w:r>
            <w:r w:rsidRPr="00030CFD">
              <w:rPr>
                <w:rFonts w:ascii="Arial" w:hAnsi="Arial" w:cs="Arial"/>
                <w:b/>
                <w:sz w:val="18"/>
                <w:szCs w:val="18"/>
                <w:lang w:val="es-ES"/>
              </w:rPr>
              <w:t xml:space="preserve"> </w:t>
            </w:r>
            <w:r w:rsidR="0028781C">
              <w:rPr>
                <w:rFonts w:ascii="Arial" w:hAnsi="Arial" w:cs="Arial"/>
                <w:b/>
                <w:sz w:val="18"/>
                <w:szCs w:val="18"/>
                <w:lang w:val="es-ES"/>
              </w:rPr>
              <w:t>Destrabar el crecimiento de las MYPE desincentivado por distorsiones en regímenes tributarios</w:t>
            </w:r>
          </w:p>
        </w:tc>
      </w:tr>
      <w:tr w:rsidR="0093643A" w:rsidRPr="00B019CC" w14:paraId="5D69C545" w14:textId="77777777" w:rsidTr="00117004">
        <w:trPr>
          <w:trHeight w:val="773"/>
          <w:jc w:val="center"/>
        </w:trPr>
        <w:tc>
          <w:tcPr>
            <w:tcW w:w="2728" w:type="dxa"/>
            <w:shd w:val="clear" w:color="auto" w:fill="auto"/>
            <w:vAlign w:val="center"/>
          </w:tcPr>
          <w:p w14:paraId="6B7450D0" w14:textId="6CB730A1" w:rsidR="0093643A" w:rsidRPr="00030CFD" w:rsidRDefault="00DB62AE" w:rsidP="00D76120">
            <w:pPr>
              <w:tabs>
                <w:tab w:val="left" w:pos="384"/>
              </w:tabs>
              <w:jc w:val="both"/>
              <w:rPr>
                <w:rFonts w:ascii="Arial" w:hAnsi="Arial" w:cs="Arial"/>
                <w:sz w:val="18"/>
                <w:szCs w:val="18"/>
              </w:rPr>
            </w:pPr>
            <w:r>
              <w:rPr>
                <w:rFonts w:ascii="Arial" w:hAnsi="Arial" w:cs="Arial"/>
                <w:sz w:val="18"/>
                <w:szCs w:val="18"/>
              </w:rPr>
              <w:t>Porcentaje</w:t>
            </w:r>
            <w:r w:rsidRPr="00DF5FA5">
              <w:rPr>
                <w:rFonts w:ascii="Arial" w:hAnsi="Arial" w:cs="Arial"/>
                <w:sz w:val="18"/>
                <w:szCs w:val="18"/>
              </w:rPr>
              <w:t xml:space="preserve"> de firmas inscritas en el Nuevo RUS a marzo de 2016</w:t>
            </w:r>
            <w:r>
              <w:rPr>
                <w:rFonts w:ascii="Arial" w:hAnsi="Arial" w:cs="Arial"/>
                <w:sz w:val="18"/>
                <w:szCs w:val="18"/>
              </w:rPr>
              <w:t>,</w:t>
            </w:r>
            <w:r w:rsidRPr="00DF5FA5">
              <w:rPr>
                <w:rFonts w:ascii="Arial" w:hAnsi="Arial" w:cs="Arial"/>
                <w:sz w:val="18"/>
                <w:szCs w:val="18"/>
              </w:rPr>
              <w:t xml:space="preserve"> aglomeradas </w:t>
            </w:r>
            <w:r>
              <w:rPr>
                <w:rFonts w:ascii="Arial" w:hAnsi="Arial" w:cs="Arial"/>
                <w:sz w:val="18"/>
                <w:szCs w:val="18"/>
              </w:rPr>
              <w:t>a la izquierda del umbral de ventas de la categoría</w:t>
            </w:r>
            <w:r w:rsidR="00901586">
              <w:rPr>
                <w:rFonts w:ascii="Arial" w:hAnsi="Arial" w:cs="Arial"/>
                <w:sz w:val="18"/>
                <w:szCs w:val="18"/>
              </w:rPr>
              <w:t> </w:t>
            </w:r>
            <w:r>
              <w:rPr>
                <w:rFonts w:ascii="Arial" w:hAnsi="Arial" w:cs="Arial"/>
                <w:sz w:val="18"/>
                <w:szCs w:val="18"/>
              </w:rPr>
              <w:t>3 del Nuevo RUS (entre 12</w:t>
            </w:r>
            <w:r w:rsidR="00901586">
              <w:rPr>
                <w:rFonts w:ascii="Arial" w:hAnsi="Arial" w:cs="Arial"/>
                <w:sz w:val="18"/>
                <w:szCs w:val="18"/>
              </w:rPr>
              <w:t>.</w:t>
            </w:r>
            <w:r>
              <w:rPr>
                <w:rFonts w:ascii="Arial" w:hAnsi="Arial" w:cs="Arial"/>
                <w:sz w:val="18"/>
                <w:szCs w:val="18"/>
              </w:rPr>
              <w:t>000 y 13</w:t>
            </w:r>
            <w:r w:rsidR="00901586">
              <w:rPr>
                <w:rFonts w:ascii="Arial" w:hAnsi="Arial" w:cs="Arial"/>
                <w:sz w:val="18"/>
                <w:szCs w:val="18"/>
              </w:rPr>
              <w:t>.</w:t>
            </w:r>
            <w:r>
              <w:rPr>
                <w:rFonts w:ascii="Arial" w:hAnsi="Arial" w:cs="Arial"/>
                <w:sz w:val="18"/>
                <w:szCs w:val="18"/>
              </w:rPr>
              <w:t xml:space="preserve">000 Nuevos soles), </w:t>
            </w:r>
            <w:r w:rsidRPr="00DF5FA5">
              <w:rPr>
                <w:rFonts w:ascii="Arial" w:hAnsi="Arial" w:cs="Arial"/>
                <w:sz w:val="18"/>
                <w:szCs w:val="18"/>
              </w:rPr>
              <w:t>en comparación con las firmas a la derecha del umbral (</w:t>
            </w:r>
            <w:r>
              <w:rPr>
                <w:rFonts w:ascii="Arial" w:hAnsi="Arial" w:cs="Arial"/>
                <w:sz w:val="18"/>
                <w:szCs w:val="18"/>
              </w:rPr>
              <w:t>entre 13</w:t>
            </w:r>
            <w:r w:rsidR="00901586">
              <w:rPr>
                <w:rFonts w:ascii="Arial" w:hAnsi="Arial" w:cs="Arial"/>
                <w:sz w:val="18"/>
                <w:szCs w:val="18"/>
              </w:rPr>
              <w:t>.</w:t>
            </w:r>
            <w:r>
              <w:rPr>
                <w:rFonts w:ascii="Arial" w:hAnsi="Arial" w:cs="Arial"/>
                <w:sz w:val="18"/>
                <w:szCs w:val="18"/>
              </w:rPr>
              <w:t>000 y 14</w:t>
            </w:r>
            <w:r w:rsidR="00901586">
              <w:rPr>
                <w:rFonts w:ascii="Arial" w:hAnsi="Arial" w:cs="Arial"/>
                <w:sz w:val="18"/>
                <w:szCs w:val="18"/>
              </w:rPr>
              <w:t>.</w:t>
            </w:r>
            <w:r>
              <w:rPr>
                <w:rFonts w:ascii="Arial" w:hAnsi="Arial" w:cs="Arial"/>
                <w:sz w:val="18"/>
                <w:szCs w:val="18"/>
              </w:rPr>
              <w:t>000</w:t>
            </w:r>
            <w:r w:rsidRPr="00DF5FA5">
              <w:rPr>
                <w:rFonts w:ascii="Arial" w:hAnsi="Arial" w:cs="Arial"/>
                <w:sz w:val="18"/>
                <w:szCs w:val="18"/>
              </w:rPr>
              <w:t>).</w:t>
            </w:r>
          </w:p>
        </w:tc>
        <w:tc>
          <w:tcPr>
            <w:tcW w:w="1181" w:type="dxa"/>
            <w:shd w:val="clear" w:color="auto" w:fill="auto"/>
            <w:vAlign w:val="center"/>
          </w:tcPr>
          <w:p w14:paraId="684D394A" w14:textId="480D80FC" w:rsidR="0093643A" w:rsidRDefault="00367666" w:rsidP="00367666">
            <w:pPr>
              <w:jc w:val="center"/>
              <w:rPr>
                <w:rFonts w:ascii="Arial" w:hAnsi="Arial" w:cs="Arial"/>
                <w:sz w:val="18"/>
                <w:szCs w:val="18"/>
              </w:rPr>
            </w:pPr>
            <w:r>
              <w:rPr>
                <w:rFonts w:ascii="Arial" w:hAnsi="Arial" w:cs="Arial"/>
                <w:sz w:val="18"/>
                <w:szCs w:val="18"/>
              </w:rPr>
              <w:t>%</w:t>
            </w:r>
          </w:p>
        </w:tc>
        <w:tc>
          <w:tcPr>
            <w:tcW w:w="919" w:type="dxa"/>
            <w:shd w:val="clear" w:color="auto" w:fill="auto"/>
            <w:vAlign w:val="center"/>
          </w:tcPr>
          <w:p w14:paraId="759BC44A" w14:textId="2EB54607" w:rsidR="0093643A" w:rsidRDefault="00DB62AE" w:rsidP="0093643A">
            <w:pPr>
              <w:jc w:val="center"/>
              <w:rPr>
                <w:rFonts w:ascii="Arial" w:hAnsi="Arial" w:cs="Arial"/>
                <w:sz w:val="18"/>
                <w:szCs w:val="18"/>
              </w:rPr>
            </w:pPr>
            <w:r>
              <w:rPr>
                <w:rFonts w:ascii="Arial" w:hAnsi="Arial" w:cs="Arial"/>
                <w:sz w:val="18"/>
                <w:szCs w:val="18"/>
              </w:rPr>
              <w:t>335</w:t>
            </w:r>
          </w:p>
        </w:tc>
        <w:tc>
          <w:tcPr>
            <w:tcW w:w="720" w:type="dxa"/>
            <w:shd w:val="clear" w:color="auto" w:fill="auto"/>
            <w:vAlign w:val="center"/>
          </w:tcPr>
          <w:p w14:paraId="73C6471C" w14:textId="38489C8E" w:rsidR="0093643A" w:rsidRPr="00B019CC" w:rsidRDefault="0093643A" w:rsidP="0093643A">
            <w:pPr>
              <w:jc w:val="center"/>
              <w:rPr>
                <w:rFonts w:ascii="Arial" w:hAnsi="Arial" w:cs="Arial"/>
                <w:sz w:val="18"/>
                <w:szCs w:val="18"/>
              </w:rPr>
            </w:pPr>
            <w:r w:rsidRPr="00B019CC">
              <w:rPr>
                <w:rFonts w:ascii="Arial" w:hAnsi="Arial" w:cs="Arial"/>
                <w:sz w:val="18"/>
                <w:szCs w:val="18"/>
              </w:rPr>
              <w:t>201</w:t>
            </w:r>
            <w:r w:rsidR="00DB62AE">
              <w:rPr>
                <w:rFonts w:ascii="Arial" w:hAnsi="Arial" w:cs="Arial"/>
                <w:sz w:val="18"/>
                <w:szCs w:val="18"/>
              </w:rPr>
              <w:t>6</w:t>
            </w:r>
          </w:p>
        </w:tc>
        <w:tc>
          <w:tcPr>
            <w:tcW w:w="1075" w:type="dxa"/>
            <w:shd w:val="clear" w:color="auto" w:fill="auto"/>
            <w:vAlign w:val="center"/>
          </w:tcPr>
          <w:p w14:paraId="18A303AC" w14:textId="2130AC5C" w:rsidR="0093643A" w:rsidRDefault="00EE793B" w:rsidP="0093643A">
            <w:pPr>
              <w:jc w:val="center"/>
              <w:rPr>
                <w:rFonts w:ascii="Arial" w:hAnsi="Arial" w:cs="Arial"/>
                <w:sz w:val="18"/>
                <w:szCs w:val="18"/>
              </w:rPr>
            </w:pPr>
            <w:r>
              <w:rPr>
                <w:rFonts w:ascii="Arial" w:hAnsi="Arial" w:cs="Arial"/>
                <w:sz w:val="18"/>
                <w:szCs w:val="18"/>
              </w:rPr>
              <w:t>100</w:t>
            </w:r>
          </w:p>
        </w:tc>
        <w:tc>
          <w:tcPr>
            <w:tcW w:w="715" w:type="dxa"/>
            <w:shd w:val="clear" w:color="auto" w:fill="auto"/>
            <w:vAlign w:val="center"/>
          </w:tcPr>
          <w:p w14:paraId="40D092C2" w14:textId="0D066662" w:rsidR="0093643A" w:rsidRDefault="0093643A" w:rsidP="0093643A">
            <w:pPr>
              <w:jc w:val="center"/>
              <w:rPr>
                <w:rFonts w:ascii="Arial" w:hAnsi="Arial" w:cs="Arial"/>
                <w:sz w:val="18"/>
                <w:szCs w:val="18"/>
              </w:rPr>
            </w:pPr>
            <w:r>
              <w:rPr>
                <w:rFonts w:ascii="Arial" w:hAnsi="Arial" w:cs="Arial"/>
                <w:sz w:val="18"/>
                <w:szCs w:val="18"/>
              </w:rPr>
              <w:t>2020</w:t>
            </w:r>
          </w:p>
        </w:tc>
        <w:tc>
          <w:tcPr>
            <w:tcW w:w="1868" w:type="dxa"/>
            <w:shd w:val="clear" w:color="auto" w:fill="auto"/>
            <w:vAlign w:val="center"/>
          </w:tcPr>
          <w:p w14:paraId="1C9AFBF0" w14:textId="204E0612" w:rsidR="0093643A" w:rsidRPr="00B019CC" w:rsidRDefault="00ED14C2" w:rsidP="0093643A">
            <w:pPr>
              <w:rPr>
                <w:rFonts w:ascii="Arial" w:hAnsi="Arial" w:cs="Arial"/>
                <w:sz w:val="18"/>
                <w:szCs w:val="18"/>
              </w:rPr>
            </w:pPr>
            <w:r>
              <w:rPr>
                <w:rFonts w:ascii="Arial" w:hAnsi="Arial" w:cs="Arial"/>
                <w:sz w:val="18"/>
                <w:szCs w:val="18"/>
              </w:rPr>
              <w:t>Bases de datos de</w:t>
            </w:r>
            <w:r w:rsidR="00345A4D">
              <w:rPr>
                <w:rFonts w:ascii="Arial" w:hAnsi="Arial" w:cs="Arial"/>
                <w:sz w:val="18"/>
                <w:szCs w:val="18"/>
              </w:rPr>
              <w:t>l R</w:t>
            </w:r>
            <w:r w:rsidR="00DB62AE">
              <w:rPr>
                <w:rFonts w:ascii="Arial" w:hAnsi="Arial" w:cs="Arial"/>
                <w:sz w:val="18"/>
                <w:szCs w:val="18"/>
              </w:rPr>
              <w:t>US</w:t>
            </w:r>
            <w:r w:rsidR="00345A4D">
              <w:rPr>
                <w:rFonts w:ascii="Arial" w:hAnsi="Arial" w:cs="Arial"/>
                <w:sz w:val="18"/>
                <w:szCs w:val="18"/>
              </w:rPr>
              <w:t xml:space="preserve"> y</w:t>
            </w:r>
            <w:r>
              <w:rPr>
                <w:rFonts w:ascii="Arial" w:hAnsi="Arial" w:cs="Arial"/>
                <w:sz w:val="18"/>
                <w:szCs w:val="18"/>
              </w:rPr>
              <w:t xml:space="preserve"> declaraciones juradas anuales y mensuales de empresas, administrada por SUNAT</w:t>
            </w:r>
            <w:r w:rsidR="00FB0F51">
              <w:rPr>
                <w:rFonts w:ascii="Arial" w:hAnsi="Arial" w:cs="Arial"/>
                <w:sz w:val="18"/>
                <w:szCs w:val="18"/>
              </w:rPr>
              <w:t xml:space="preserve"> </w:t>
            </w:r>
          </w:p>
        </w:tc>
        <w:tc>
          <w:tcPr>
            <w:tcW w:w="3479" w:type="dxa"/>
            <w:shd w:val="clear" w:color="auto" w:fill="auto"/>
            <w:vAlign w:val="center"/>
          </w:tcPr>
          <w:p w14:paraId="361035C6" w14:textId="2FE19923" w:rsidR="0093643A" w:rsidRDefault="00C93E4C" w:rsidP="0093643A">
            <w:pPr>
              <w:jc w:val="both"/>
              <w:rPr>
                <w:rFonts w:ascii="Arial" w:hAnsi="Arial" w:cs="Arial"/>
                <w:sz w:val="18"/>
                <w:szCs w:val="18"/>
                <w:lang w:val="es-ES"/>
              </w:rPr>
            </w:pPr>
            <w:r>
              <w:rPr>
                <w:rFonts w:ascii="Arial" w:hAnsi="Arial" w:cs="Arial"/>
                <w:sz w:val="18"/>
                <w:szCs w:val="18"/>
                <w:lang w:val="es-ES"/>
              </w:rPr>
              <w:t>Comparación reflexiva</w:t>
            </w:r>
            <w:r w:rsidR="00901586">
              <w:rPr>
                <w:rFonts w:ascii="Arial" w:hAnsi="Arial" w:cs="Arial"/>
                <w:sz w:val="18"/>
                <w:szCs w:val="18"/>
                <w:lang w:val="es-ES"/>
              </w:rPr>
              <w:t>.</w:t>
            </w:r>
          </w:p>
          <w:p w14:paraId="6C6DE0A1" w14:textId="77777777" w:rsidR="00561CD0" w:rsidRDefault="00561CD0" w:rsidP="0093643A">
            <w:pPr>
              <w:jc w:val="both"/>
              <w:rPr>
                <w:rFonts w:ascii="Arial" w:hAnsi="Arial" w:cs="Arial"/>
                <w:sz w:val="18"/>
                <w:szCs w:val="18"/>
                <w:lang w:val="es-ES"/>
              </w:rPr>
            </w:pPr>
          </w:p>
          <w:p w14:paraId="00BFE967" w14:textId="7730F3D0" w:rsidR="00EB63A2" w:rsidRDefault="00EB63A2" w:rsidP="0093643A">
            <w:pPr>
              <w:jc w:val="both"/>
              <w:rPr>
                <w:rFonts w:ascii="Arial" w:hAnsi="Arial" w:cs="Arial"/>
                <w:sz w:val="18"/>
                <w:szCs w:val="18"/>
                <w:lang w:val="es-ES"/>
              </w:rPr>
            </w:pPr>
            <w:r>
              <w:rPr>
                <w:rFonts w:ascii="Arial" w:hAnsi="Arial" w:cs="Arial"/>
                <w:sz w:val="18"/>
                <w:szCs w:val="18"/>
                <w:lang w:val="es-ES"/>
              </w:rPr>
              <w:t>Línea de base calculada a partir de datos de SUNAT</w:t>
            </w:r>
            <w:r w:rsidR="00561CD0">
              <w:rPr>
                <w:rFonts w:ascii="Arial" w:hAnsi="Arial" w:cs="Arial"/>
                <w:sz w:val="18"/>
                <w:szCs w:val="18"/>
                <w:lang w:val="es-ES"/>
              </w:rPr>
              <w:t xml:space="preserve"> (Ver Gráfico 1)</w:t>
            </w:r>
            <w:r>
              <w:rPr>
                <w:rFonts w:ascii="Arial" w:hAnsi="Arial" w:cs="Arial"/>
                <w:sz w:val="18"/>
                <w:szCs w:val="18"/>
                <w:lang w:val="es-ES"/>
              </w:rPr>
              <w:t>. Línea de salida estimada a partir de</w:t>
            </w:r>
            <w:r w:rsidR="00561CD0">
              <w:rPr>
                <w:rFonts w:ascii="Arial" w:hAnsi="Arial" w:cs="Arial"/>
                <w:sz w:val="18"/>
                <w:szCs w:val="18"/>
                <w:lang w:val="es-ES"/>
              </w:rPr>
              <w:t xml:space="preserve">l nivel promedio </w:t>
            </w:r>
            <w:proofErr w:type="gramStart"/>
            <w:r w:rsidR="00561CD0">
              <w:rPr>
                <w:rFonts w:ascii="Arial" w:hAnsi="Arial" w:cs="Arial"/>
                <w:sz w:val="18"/>
                <w:szCs w:val="18"/>
                <w:lang w:val="es-ES"/>
              </w:rPr>
              <w:t>del ratio</w:t>
            </w:r>
            <w:proofErr w:type="gramEnd"/>
            <w:r w:rsidR="00561CD0">
              <w:rPr>
                <w:rFonts w:ascii="Arial" w:hAnsi="Arial" w:cs="Arial"/>
                <w:sz w:val="18"/>
                <w:szCs w:val="18"/>
                <w:lang w:val="es-ES"/>
              </w:rPr>
              <w:t xml:space="preserve"> para niveles de ventas </w:t>
            </w:r>
            <w:r w:rsidR="00B93839">
              <w:rPr>
                <w:rFonts w:ascii="Arial" w:hAnsi="Arial" w:cs="Arial"/>
                <w:sz w:val="18"/>
                <w:szCs w:val="18"/>
                <w:lang w:val="es-ES"/>
              </w:rPr>
              <w:t xml:space="preserve">mensuales </w:t>
            </w:r>
            <w:r w:rsidR="001F355E">
              <w:rPr>
                <w:rFonts w:ascii="Arial" w:hAnsi="Arial" w:cs="Arial"/>
                <w:sz w:val="18"/>
                <w:szCs w:val="18"/>
                <w:lang w:val="es-ES"/>
              </w:rPr>
              <w:t>menores a 24</w:t>
            </w:r>
            <w:r w:rsidR="00901586">
              <w:rPr>
                <w:rFonts w:ascii="Arial" w:hAnsi="Arial" w:cs="Arial"/>
                <w:sz w:val="18"/>
                <w:szCs w:val="18"/>
                <w:lang w:val="es-ES"/>
              </w:rPr>
              <w:t>.000</w:t>
            </w:r>
            <w:r w:rsidR="001F355E">
              <w:rPr>
                <w:rFonts w:ascii="Arial" w:hAnsi="Arial" w:cs="Arial"/>
                <w:sz w:val="18"/>
                <w:szCs w:val="18"/>
                <w:lang w:val="es-ES"/>
              </w:rPr>
              <w:t xml:space="preserve"> soles </w:t>
            </w:r>
            <w:r w:rsidR="00561CD0">
              <w:rPr>
                <w:rFonts w:ascii="Arial" w:hAnsi="Arial" w:cs="Arial"/>
                <w:sz w:val="18"/>
                <w:szCs w:val="18"/>
                <w:lang w:val="es-ES"/>
              </w:rPr>
              <w:t>no afectos por cambio de régimen tributario</w:t>
            </w:r>
            <w:r w:rsidR="00434566">
              <w:rPr>
                <w:rFonts w:ascii="Arial" w:hAnsi="Arial" w:cs="Arial"/>
                <w:sz w:val="18"/>
                <w:szCs w:val="18"/>
                <w:lang w:val="es-ES"/>
              </w:rPr>
              <w:t xml:space="preserve"> (se consideró este segundo umbral para el cálculo de</w:t>
            </w:r>
            <w:r w:rsidR="00AE641E">
              <w:rPr>
                <w:rFonts w:ascii="Arial" w:hAnsi="Arial" w:cs="Arial"/>
                <w:sz w:val="18"/>
                <w:szCs w:val="18"/>
                <w:lang w:val="es-ES"/>
              </w:rPr>
              <w:t xml:space="preserve"> una meta pertinente debido a que por encima de ese nivel existen sólo 0.4% del total de declarantes y hay muchas discontinuidades “artificiales” del indicador (por falta de soporte) entre los distintos grupos de venta</w:t>
            </w:r>
            <w:r w:rsidR="00561CD0">
              <w:rPr>
                <w:rFonts w:ascii="Arial" w:hAnsi="Arial" w:cs="Arial"/>
                <w:sz w:val="18"/>
                <w:szCs w:val="18"/>
                <w:lang w:val="es-ES"/>
              </w:rPr>
              <w:t>.</w:t>
            </w:r>
          </w:p>
        </w:tc>
      </w:tr>
    </w:tbl>
    <w:p w14:paraId="4FBE5A3F" w14:textId="77777777" w:rsidR="005C3BC2" w:rsidRDefault="005C3BC2" w:rsidP="005C3BC2"/>
    <w:p w14:paraId="7941AE88" w14:textId="021F5A0F" w:rsidR="005C3BC2" w:rsidRPr="00515099" w:rsidRDefault="005C3BC2" w:rsidP="005C3BC2">
      <w:pPr>
        <w:jc w:val="center"/>
        <w:rPr>
          <w:rFonts w:ascii="Arial" w:eastAsia="Calibri" w:hAnsi="Arial" w:cs="Arial"/>
          <w:spacing w:val="0"/>
          <w:sz w:val="22"/>
          <w:szCs w:val="22"/>
          <w:lang w:eastAsia="x-none"/>
        </w:rPr>
        <w:sectPr w:rsidR="005C3BC2" w:rsidRPr="00515099" w:rsidSect="00C36D31">
          <w:pgSz w:w="15840" w:h="12240" w:orient="landscape"/>
          <w:pgMar w:top="1530" w:right="1800" w:bottom="1440" w:left="1800" w:header="720" w:footer="720" w:gutter="0"/>
          <w:cols w:space="720"/>
          <w:docGrid w:linePitch="360"/>
        </w:sectPr>
      </w:pPr>
    </w:p>
    <w:p w14:paraId="1B8202DC" w14:textId="1847372C" w:rsidR="00E73957" w:rsidRPr="00A51226" w:rsidRDefault="00E73957" w:rsidP="00E73957">
      <w:pPr>
        <w:pStyle w:val="FirstHeading"/>
        <w:jc w:val="both"/>
        <w:rPr>
          <w:rFonts w:ascii="Arial" w:hAnsi="Arial" w:cs="Arial"/>
          <w:sz w:val="22"/>
          <w:szCs w:val="22"/>
          <w:lang w:val="es-ES"/>
        </w:rPr>
      </w:pPr>
      <w:r w:rsidRPr="00A51226">
        <w:rPr>
          <w:rFonts w:ascii="Arial" w:hAnsi="Arial" w:cs="Arial"/>
          <w:sz w:val="22"/>
          <w:szCs w:val="22"/>
          <w:lang w:val="es-ES"/>
        </w:rPr>
        <w:fldChar w:fldCharType="begin"/>
      </w:r>
      <w:r w:rsidRPr="00A51226">
        <w:rPr>
          <w:rFonts w:ascii="Arial" w:hAnsi="Arial" w:cs="Arial"/>
          <w:sz w:val="22"/>
          <w:szCs w:val="22"/>
          <w:lang w:val="es-ES"/>
        </w:rPr>
        <w:instrText xml:space="preserve"> SEQ "</w:instrText>
      </w:r>
      <w:r w:rsidRPr="00A51226">
        <w:rPr>
          <w:rFonts w:ascii="Arial" w:hAnsi="Arial" w:cs="Arial"/>
          <w:sz w:val="22"/>
          <w:szCs w:val="22"/>
          <w:lang w:val="es-ES"/>
        </w:rPr>
        <w:fldChar w:fldCharType="begin"/>
      </w:r>
      <w:r w:rsidRPr="00A51226">
        <w:rPr>
          <w:rFonts w:ascii="Arial" w:hAnsi="Arial" w:cs="Arial"/>
          <w:sz w:val="22"/>
          <w:szCs w:val="22"/>
          <w:lang w:val="es-ES"/>
        </w:rPr>
        <w:instrText xml:space="preserve"> SECTION  \* MERGEFORMAT </w:instrText>
      </w:r>
      <w:r w:rsidRPr="00A51226">
        <w:rPr>
          <w:rFonts w:ascii="Arial" w:hAnsi="Arial" w:cs="Arial"/>
          <w:sz w:val="22"/>
          <w:szCs w:val="22"/>
          <w:lang w:val="es-ES"/>
        </w:rPr>
        <w:fldChar w:fldCharType="separate"/>
      </w:r>
      <w:r w:rsidR="00FD4383">
        <w:rPr>
          <w:rFonts w:ascii="Arial" w:hAnsi="Arial" w:cs="Arial"/>
          <w:sz w:val="22"/>
          <w:szCs w:val="22"/>
          <w:lang w:val="es-ES"/>
        </w:rPr>
        <w:instrText>6</w:instrText>
      </w:r>
      <w:r w:rsidRPr="00A51226">
        <w:rPr>
          <w:rFonts w:ascii="Arial" w:hAnsi="Arial" w:cs="Arial"/>
          <w:sz w:val="22"/>
          <w:szCs w:val="22"/>
          <w:lang w:val="es-ES"/>
        </w:rPr>
        <w:fldChar w:fldCharType="end"/>
      </w:r>
      <w:r w:rsidRPr="00A51226">
        <w:rPr>
          <w:rFonts w:ascii="Arial" w:hAnsi="Arial" w:cs="Arial"/>
          <w:sz w:val="22"/>
          <w:szCs w:val="22"/>
          <w:lang w:val="es-ES"/>
        </w:rPr>
        <w:instrText xml:space="preserve">#"\* ALPHABETIC \* MERGEFORMAT </w:instrText>
      </w:r>
      <w:r w:rsidRPr="00A51226">
        <w:rPr>
          <w:rFonts w:ascii="Arial" w:hAnsi="Arial" w:cs="Arial"/>
          <w:sz w:val="22"/>
          <w:szCs w:val="22"/>
          <w:lang w:val="es-ES"/>
        </w:rPr>
        <w:fldChar w:fldCharType="separate"/>
      </w:r>
      <w:bookmarkStart w:id="12" w:name="_Toc524431186"/>
      <w:r w:rsidR="00FD4383">
        <w:rPr>
          <w:rFonts w:ascii="Arial" w:hAnsi="Arial" w:cs="Arial"/>
          <w:noProof/>
          <w:sz w:val="22"/>
          <w:szCs w:val="22"/>
          <w:lang w:val="es-ES"/>
        </w:rPr>
        <w:t>A</w:t>
      </w:r>
      <w:r w:rsidRPr="00A51226">
        <w:rPr>
          <w:rFonts w:ascii="Arial" w:hAnsi="Arial" w:cs="Arial"/>
          <w:sz w:val="22"/>
          <w:szCs w:val="22"/>
          <w:lang w:val="es-ES"/>
        </w:rPr>
        <w:fldChar w:fldCharType="end"/>
      </w:r>
      <w:r w:rsidRPr="00A51226">
        <w:rPr>
          <w:rFonts w:ascii="Arial" w:hAnsi="Arial" w:cs="Arial"/>
          <w:sz w:val="22"/>
          <w:szCs w:val="22"/>
          <w:lang w:val="es-ES"/>
        </w:rPr>
        <w:t>.</w:t>
      </w:r>
      <w:r w:rsidRPr="00A51226">
        <w:rPr>
          <w:rFonts w:ascii="Arial" w:hAnsi="Arial" w:cs="Arial"/>
          <w:sz w:val="22"/>
          <w:szCs w:val="22"/>
          <w:lang w:val="es-ES"/>
        </w:rPr>
        <w:tab/>
        <w:t xml:space="preserve">Conocimiento existente relacionado a evaluaciones </w:t>
      </w:r>
      <w:r w:rsidR="00CE2941">
        <w:rPr>
          <w:rFonts w:ascii="Arial" w:hAnsi="Arial" w:cs="Arial"/>
          <w:sz w:val="22"/>
          <w:szCs w:val="22"/>
          <w:lang w:val="es-ES"/>
        </w:rPr>
        <w:t>afines</w:t>
      </w:r>
      <w:bookmarkEnd w:id="12"/>
    </w:p>
    <w:p w14:paraId="65B46B51" w14:textId="6CC51CBC" w:rsidR="00E73957" w:rsidRDefault="0022512B" w:rsidP="00E73957">
      <w:pPr>
        <w:pStyle w:val="Paragraph"/>
        <w:rPr>
          <w:rFonts w:ascii="Arial" w:hAnsi="Arial" w:cs="Arial"/>
          <w:sz w:val="22"/>
          <w:szCs w:val="22"/>
        </w:rPr>
      </w:pPr>
      <w:r>
        <w:rPr>
          <w:rFonts w:ascii="Arial" w:hAnsi="Arial" w:cs="Arial"/>
          <w:sz w:val="22"/>
          <w:szCs w:val="22"/>
        </w:rPr>
        <w:t>Conceptualmente</w:t>
      </w:r>
      <w:r w:rsidR="00E73957" w:rsidRPr="001E0B14">
        <w:rPr>
          <w:rFonts w:ascii="Arial" w:hAnsi="Arial" w:cs="Arial"/>
          <w:sz w:val="22"/>
          <w:szCs w:val="22"/>
        </w:rPr>
        <w:t xml:space="preserve">, el crecimiento de la productividad agregada mide qué tan más rápido crece la producción </w:t>
      </w:r>
      <w:proofErr w:type="gramStart"/>
      <w:r w:rsidR="00E73957" w:rsidRPr="001E0B14">
        <w:rPr>
          <w:rFonts w:ascii="Arial" w:hAnsi="Arial" w:cs="Arial"/>
          <w:sz w:val="22"/>
          <w:szCs w:val="22"/>
        </w:rPr>
        <w:t>en relación al</w:t>
      </w:r>
      <w:proofErr w:type="gramEnd"/>
      <w:r w:rsidR="00E73957" w:rsidRPr="001E0B14">
        <w:rPr>
          <w:rFonts w:ascii="Arial" w:hAnsi="Arial" w:cs="Arial"/>
          <w:sz w:val="22"/>
          <w:szCs w:val="22"/>
        </w:rPr>
        <w:t xml:space="preserve"> crecimiento del uso de los factores para producción (capital y trabajo). Bajo condiciones competitivas, es decir, sin distorsiones de mercado y sin fallas del estado, el crecimiento de la productividad agregada es el resultado de la combinación del crecimiento de productividad observado a nivel de firmas (Solow 1957 y </w:t>
      </w:r>
      <w:proofErr w:type="spellStart"/>
      <w:r w:rsidR="00E73957" w:rsidRPr="001E0B14">
        <w:rPr>
          <w:rFonts w:ascii="Arial" w:hAnsi="Arial" w:cs="Arial"/>
          <w:sz w:val="22"/>
          <w:szCs w:val="22"/>
        </w:rPr>
        <w:t>Hulten</w:t>
      </w:r>
      <w:proofErr w:type="spellEnd"/>
      <w:r w:rsidR="00E73957" w:rsidRPr="001E0B14">
        <w:rPr>
          <w:rFonts w:ascii="Arial" w:hAnsi="Arial" w:cs="Arial"/>
          <w:sz w:val="22"/>
          <w:szCs w:val="22"/>
        </w:rPr>
        <w:t xml:space="preserve"> 1978). Sin embargo, cuando la economía no es perfectamente competitiva, la productividad agregada puede cambiar por razones distintas a la productividad tecnológica de las firmas. Esto es, si la economía presenta fallas de mercado o de estado que afectan su competitividad, los factores no se asignan óptimamente. Estos efectos sobre la eficiencia en la asignación de factores pueden resultar mucho mayores que las ganancias por mejoras tecnológicas de las firmas y en el agregado atentar contra el crecimiento de la productividad. </w:t>
      </w:r>
      <w:proofErr w:type="spellStart"/>
      <w:r w:rsidR="00E73957" w:rsidRPr="001E0B14">
        <w:rPr>
          <w:rFonts w:ascii="Arial" w:hAnsi="Arial" w:cs="Arial"/>
          <w:sz w:val="22"/>
          <w:szCs w:val="22"/>
        </w:rPr>
        <w:t>Baqaee</w:t>
      </w:r>
      <w:proofErr w:type="spellEnd"/>
      <w:r w:rsidR="00E73957" w:rsidRPr="001E0B14">
        <w:rPr>
          <w:rFonts w:ascii="Arial" w:hAnsi="Arial" w:cs="Arial"/>
          <w:sz w:val="22"/>
          <w:szCs w:val="22"/>
        </w:rPr>
        <w:t xml:space="preserve"> y </w:t>
      </w:r>
      <w:proofErr w:type="spellStart"/>
      <w:r w:rsidR="00E73957" w:rsidRPr="001E0B14">
        <w:rPr>
          <w:rFonts w:ascii="Arial" w:hAnsi="Arial" w:cs="Arial"/>
          <w:sz w:val="22"/>
          <w:szCs w:val="22"/>
        </w:rPr>
        <w:t>Faehi</w:t>
      </w:r>
      <w:proofErr w:type="spellEnd"/>
      <w:r w:rsidR="00E73957" w:rsidRPr="001E0B14">
        <w:rPr>
          <w:rFonts w:ascii="Arial" w:hAnsi="Arial" w:cs="Arial"/>
          <w:sz w:val="22"/>
          <w:szCs w:val="22"/>
        </w:rPr>
        <w:t xml:space="preserve"> (2017) proponen </w:t>
      </w:r>
      <w:r>
        <w:rPr>
          <w:rFonts w:ascii="Arial" w:hAnsi="Arial" w:cs="Arial"/>
          <w:sz w:val="22"/>
          <w:szCs w:val="22"/>
        </w:rPr>
        <w:t xml:space="preserve">un </w:t>
      </w:r>
      <w:r w:rsidR="00E73957" w:rsidRPr="001E0B14">
        <w:rPr>
          <w:rFonts w:ascii="Arial" w:hAnsi="Arial" w:cs="Arial"/>
          <w:sz w:val="22"/>
          <w:szCs w:val="22"/>
        </w:rPr>
        <w:t>mecanismo no paramétrico para agregar shocks microeconómicos en un modelo de equilibrio general para economías con distorsiones y muestran que el impacto macroeconómico de un shock puede ser desagregado en dos componentes: su efecto puramente tecnológico y su efecto sobre la eficiencia en la asignación de factores.</w:t>
      </w:r>
      <w:r>
        <w:rPr>
          <w:rFonts w:ascii="Arial" w:hAnsi="Arial" w:cs="Arial"/>
          <w:sz w:val="22"/>
          <w:szCs w:val="22"/>
        </w:rPr>
        <w:t xml:space="preserve"> Si bien la teoría para relacionar el efecto de las distorsiones macro sobre las asignaciones micro (y agregadas) se ha desarrollado formalmente de </w:t>
      </w:r>
      <w:r w:rsidR="00FC5840">
        <w:rPr>
          <w:rFonts w:ascii="Arial" w:hAnsi="Arial" w:cs="Arial"/>
          <w:sz w:val="22"/>
          <w:szCs w:val="22"/>
        </w:rPr>
        <w:t xml:space="preserve">manera reciente, la </w:t>
      </w:r>
      <w:r w:rsidR="00AB1CED">
        <w:rPr>
          <w:rFonts w:ascii="Arial" w:hAnsi="Arial" w:cs="Arial"/>
          <w:sz w:val="22"/>
          <w:szCs w:val="22"/>
        </w:rPr>
        <w:t xml:space="preserve">teoría y calibraciones </w:t>
      </w:r>
      <w:r w:rsidR="00FC5840">
        <w:rPr>
          <w:rFonts w:ascii="Arial" w:hAnsi="Arial" w:cs="Arial"/>
          <w:sz w:val="22"/>
          <w:szCs w:val="22"/>
        </w:rPr>
        <w:t xml:space="preserve">sobre los efectos de mala asignación </w:t>
      </w:r>
      <w:r w:rsidR="00AB1CED">
        <w:rPr>
          <w:rFonts w:ascii="Arial" w:hAnsi="Arial" w:cs="Arial"/>
          <w:sz w:val="22"/>
          <w:szCs w:val="22"/>
        </w:rPr>
        <w:t xml:space="preserve">fuera de la firma </w:t>
      </w:r>
      <w:r w:rsidR="00FC5840">
        <w:rPr>
          <w:rFonts w:ascii="Arial" w:hAnsi="Arial" w:cs="Arial"/>
          <w:sz w:val="22"/>
          <w:szCs w:val="22"/>
        </w:rPr>
        <w:t>sobre productividad agregada no es nueva (</w:t>
      </w:r>
      <w:proofErr w:type="spellStart"/>
      <w:r w:rsidR="00AB1CED">
        <w:rPr>
          <w:rFonts w:ascii="Arial" w:hAnsi="Arial" w:cs="Arial"/>
          <w:sz w:val="22"/>
          <w:szCs w:val="22"/>
        </w:rPr>
        <w:t>Hsieh</w:t>
      </w:r>
      <w:proofErr w:type="spellEnd"/>
      <w:r w:rsidR="00AB1CED">
        <w:rPr>
          <w:rFonts w:ascii="Arial" w:hAnsi="Arial" w:cs="Arial"/>
          <w:sz w:val="22"/>
          <w:szCs w:val="22"/>
        </w:rPr>
        <w:t xml:space="preserve"> y </w:t>
      </w:r>
      <w:proofErr w:type="spellStart"/>
      <w:r w:rsidR="00AB1CED">
        <w:rPr>
          <w:rFonts w:ascii="Arial" w:hAnsi="Arial" w:cs="Arial"/>
          <w:sz w:val="22"/>
          <w:szCs w:val="22"/>
        </w:rPr>
        <w:t>Klenow</w:t>
      </w:r>
      <w:proofErr w:type="spellEnd"/>
      <w:r w:rsidR="00AB1CED">
        <w:rPr>
          <w:rFonts w:ascii="Arial" w:hAnsi="Arial" w:cs="Arial"/>
          <w:sz w:val="22"/>
          <w:szCs w:val="22"/>
        </w:rPr>
        <w:t xml:space="preserve"> 2009</w:t>
      </w:r>
      <w:r w:rsidR="00FC5840">
        <w:rPr>
          <w:rFonts w:ascii="Arial" w:hAnsi="Arial" w:cs="Arial"/>
          <w:sz w:val="22"/>
          <w:szCs w:val="22"/>
        </w:rPr>
        <w:t xml:space="preserve">). </w:t>
      </w:r>
      <w:r w:rsidR="002F17AB">
        <w:rPr>
          <w:rFonts w:ascii="Arial" w:hAnsi="Arial" w:cs="Arial"/>
          <w:sz w:val="22"/>
          <w:szCs w:val="22"/>
        </w:rPr>
        <w:t xml:space="preserve">En lugar de optar por aplicar alguno de estos modelos para estimar los impactos agregados de eliminar distorsiones que inhiben asignaciones óptimas, </w:t>
      </w:r>
      <w:r w:rsidR="00CD6640">
        <w:rPr>
          <w:rFonts w:ascii="Arial" w:hAnsi="Arial" w:cs="Arial"/>
          <w:sz w:val="22"/>
          <w:szCs w:val="22"/>
        </w:rPr>
        <w:t>l</w:t>
      </w:r>
      <w:r w:rsidR="00AB1CED">
        <w:rPr>
          <w:rFonts w:ascii="Arial" w:hAnsi="Arial" w:cs="Arial"/>
          <w:sz w:val="22"/>
          <w:szCs w:val="22"/>
        </w:rPr>
        <w:t xml:space="preserve">a evaluación de la efectividad de la implementación de compromisos promovidos por este PBP explota técnicas </w:t>
      </w:r>
      <w:r w:rsidR="00CD6640">
        <w:rPr>
          <w:rFonts w:ascii="Arial" w:hAnsi="Arial" w:cs="Arial"/>
          <w:sz w:val="22"/>
          <w:szCs w:val="22"/>
        </w:rPr>
        <w:t xml:space="preserve">más </w:t>
      </w:r>
      <w:proofErr w:type="spellStart"/>
      <w:r w:rsidR="00CD6640">
        <w:rPr>
          <w:rFonts w:ascii="Arial" w:hAnsi="Arial" w:cs="Arial"/>
          <w:sz w:val="22"/>
          <w:szCs w:val="22"/>
        </w:rPr>
        <w:t>microfundadas</w:t>
      </w:r>
      <w:proofErr w:type="spellEnd"/>
      <w:r w:rsidR="00CD6640">
        <w:rPr>
          <w:rFonts w:ascii="Arial" w:hAnsi="Arial" w:cs="Arial"/>
          <w:sz w:val="22"/>
          <w:szCs w:val="22"/>
        </w:rPr>
        <w:t xml:space="preserve">. A continuación se presenta un resumen de la evidencia </w:t>
      </w:r>
      <w:proofErr w:type="spellStart"/>
      <w:r w:rsidR="00CD6640">
        <w:rPr>
          <w:rFonts w:ascii="Arial" w:hAnsi="Arial" w:cs="Arial"/>
          <w:sz w:val="22"/>
          <w:szCs w:val="22"/>
        </w:rPr>
        <w:t>microfundada</w:t>
      </w:r>
      <w:proofErr w:type="spellEnd"/>
      <w:r w:rsidR="00CD6640">
        <w:rPr>
          <w:rFonts w:ascii="Arial" w:hAnsi="Arial" w:cs="Arial"/>
          <w:sz w:val="22"/>
          <w:szCs w:val="22"/>
        </w:rPr>
        <w:t xml:space="preserve"> existente relacionada a la efectividad de las reformas propuestas por esta operación.</w:t>
      </w:r>
    </w:p>
    <w:p w14:paraId="5585E182" w14:textId="77777777" w:rsidR="00E73957" w:rsidRPr="0027703D" w:rsidRDefault="00E73957" w:rsidP="0027703D">
      <w:pPr>
        <w:pStyle w:val="Paragraph"/>
        <w:numPr>
          <w:ilvl w:val="0"/>
          <w:numId w:val="0"/>
        </w:numPr>
        <w:ind w:left="720"/>
        <w:rPr>
          <w:rFonts w:ascii="Arial" w:hAnsi="Arial" w:cs="Arial"/>
          <w:i/>
          <w:sz w:val="22"/>
          <w:szCs w:val="22"/>
        </w:rPr>
      </w:pPr>
      <w:r w:rsidRPr="0027703D">
        <w:rPr>
          <w:rFonts w:ascii="Arial" w:hAnsi="Arial" w:cs="Arial"/>
          <w:i/>
          <w:sz w:val="22"/>
          <w:szCs w:val="22"/>
        </w:rPr>
        <w:t>Efectividad de políticas de mejoramiento de calidad de educación superior técnica</w:t>
      </w:r>
    </w:p>
    <w:p w14:paraId="41748E41" w14:textId="16A71713" w:rsidR="00663E39" w:rsidRPr="0076609E" w:rsidRDefault="00663E39" w:rsidP="00BF35DC">
      <w:pPr>
        <w:pStyle w:val="Paragraph"/>
        <w:rPr>
          <w:rFonts w:ascii="Arial" w:hAnsi="Arial" w:cs="Arial"/>
          <w:sz w:val="22"/>
          <w:szCs w:val="22"/>
        </w:rPr>
      </w:pPr>
      <w:r w:rsidRPr="0076609E">
        <w:rPr>
          <w:rFonts w:ascii="Arial" w:hAnsi="Arial" w:cs="Arial"/>
          <w:sz w:val="22"/>
          <w:szCs w:val="22"/>
        </w:rPr>
        <w:t xml:space="preserve">En términos de ES, hay varios factores, por el lado de la oferta y la demanda, que impactan la calidad y pertinencia de los programas. En primer lugar, el capital humano de las instituciones de ES. En este contexto, Gibbs y Coffey (2000) sugieren que los programas de capacitación para la gestión de la plana docente en IES tienen impactos significativos en la mejora de las habilidades de enseñanza de los profesores, el desarrollo de conceptos de enseñanza y aprendizaje de profesores y, por consecuencia, efectos en el aprendizaje de los estudiantes. Por otro lado, un insumo muy importante en el proceso de prestación del servicio educativo está relacionado con la infraestructura y el equipamiento. </w:t>
      </w:r>
      <w:proofErr w:type="spellStart"/>
      <w:r w:rsidRPr="0076609E">
        <w:rPr>
          <w:rFonts w:ascii="Arial" w:hAnsi="Arial" w:cs="Arial"/>
          <w:sz w:val="22"/>
          <w:szCs w:val="22"/>
        </w:rPr>
        <w:t>Remess</w:t>
      </w:r>
      <w:proofErr w:type="spellEnd"/>
      <w:r w:rsidRPr="0076609E">
        <w:rPr>
          <w:rFonts w:ascii="Arial" w:hAnsi="Arial" w:cs="Arial"/>
          <w:sz w:val="22"/>
          <w:szCs w:val="22"/>
        </w:rPr>
        <w:t xml:space="preserve"> y Winfield (2008) manifiestan que los espacios en sí son agentes de cambio, así que transformar los espacios educativos permitirá una evolución en los procesos de enseñanza y de aprendizaje. Del mismo modo, se ha encontrado que el nivel de infraestructura, sobre todo factores como comodidad, nivel de ruido y temperatura, afectan el desempeño de los estudiantes (</w:t>
      </w:r>
      <w:proofErr w:type="spellStart"/>
      <w:r w:rsidRPr="0076609E">
        <w:rPr>
          <w:rFonts w:ascii="Arial" w:hAnsi="Arial" w:cs="Arial"/>
          <w:sz w:val="22"/>
          <w:szCs w:val="22"/>
        </w:rPr>
        <w:t>Earthman</w:t>
      </w:r>
      <w:proofErr w:type="spellEnd"/>
      <w:r w:rsidRPr="0076609E">
        <w:rPr>
          <w:rFonts w:ascii="Arial" w:hAnsi="Arial" w:cs="Arial"/>
          <w:sz w:val="22"/>
          <w:szCs w:val="22"/>
        </w:rPr>
        <w:t>, Glen I, 2002) y que mejor infraestructura está relacionada con la asistencia de los estudiantes y la motivación de los maestros.</w:t>
      </w:r>
      <w:r w:rsidR="0076609E">
        <w:rPr>
          <w:rFonts w:ascii="Arial" w:hAnsi="Arial" w:cs="Arial"/>
          <w:sz w:val="22"/>
          <w:szCs w:val="22"/>
        </w:rPr>
        <w:t xml:space="preserve"> </w:t>
      </w:r>
      <w:r w:rsidRPr="0076609E">
        <w:rPr>
          <w:rFonts w:ascii="Arial" w:hAnsi="Arial" w:cs="Arial"/>
          <w:sz w:val="22"/>
          <w:szCs w:val="22"/>
        </w:rPr>
        <w:t>Otro punto importante, que se menciona en la publicación del Insignia de Banco "Aprender Mejor (2017)" son las asociaciones entre empleadores y escuelas técnicas que garantizan una mayor pertinencia en la formación académica y, a su vez, se comprometen a contratar a los egresados. Los resultados de evaluaciones experimentales de tres programas de capacitación sectorial muestran que estas intervenciones pueden aumentar los ingresos de los trabajadores de bajos recursos en hasta un 30% al cabo de dos años (Maguire et al., 2010).</w:t>
      </w:r>
    </w:p>
    <w:p w14:paraId="4CE4D89E" w14:textId="1BD067EC" w:rsidR="00C779C5" w:rsidRPr="0027703D" w:rsidRDefault="00C779C5" w:rsidP="00C779C5">
      <w:pPr>
        <w:pStyle w:val="Paragraph"/>
        <w:numPr>
          <w:ilvl w:val="0"/>
          <w:numId w:val="0"/>
        </w:numPr>
        <w:ind w:left="720"/>
        <w:rPr>
          <w:rFonts w:ascii="Arial" w:hAnsi="Arial" w:cs="Arial"/>
          <w:i/>
          <w:sz w:val="22"/>
          <w:szCs w:val="22"/>
        </w:rPr>
      </w:pPr>
      <w:r w:rsidRPr="0027703D">
        <w:rPr>
          <w:rFonts w:ascii="Arial" w:hAnsi="Arial" w:cs="Arial"/>
          <w:i/>
          <w:sz w:val="22"/>
          <w:szCs w:val="22"/>
        </w:rPr>
        <w:t xml:space="preserve">Efectividad de políticas de </w:t>
      </w:r>
      <w:r>
        <w:rPr>
          <w:rFonts w:ascii="Arial" w:hAnsi="Arial" w:cs="Arial"/>
          <w:i/>
          <w:sz w:val="22"/>
          <w:szCs w:val="22"/>
        </w:rPr>
        <w:t>fiscalización laboral</w:t>
      </w:r>
    </w:p>
    <w:p w14:paraId="575869DB" w14:textId="7A2771B2" w:rsidR="00117004" w:rsidRPr="006F45E2" w:rsidRDefault="00117004" w:rsidP="00117004">
      <w:pPr>
        <w:pStyle w:val="Paragraph"/>
        <w:rPr>
          <w:rFonts w:ascii="Arial" w:hAnsi="Arial" w:cs="Arial"/>
          <w:sz w:val="22"/>
          <w:szCs w:val="22"/>
        </w:rPr>
      </w:pPr>
      <w:r w:rsidRPr="00BA1AB0">
        <w:rPr>
          <w:rFonts w:ascii="Arial" w:hAnsi="Arial" w:cs="Arial"/>
          <w:sz w:val="22"/>
          <w:szCs w:val="22"/>
        </w:rPr>
        <w:t>La falta de monitoreo y capacidad de fiscalización permite, en gran medida, que trabajadores y empresas operen en la informalidad (Bosch et al., 2013). Una menor permisividad con el trabajo informal puede redundar en más trabajo formal, pero también puede resultar en mayor desempleo (</w:t>
      </w:r>
      <w:proofErr w:type="spellStart"/>
      <w:r w:rsidRPr="00BA1AB0">
        <w:rPr>
          <w:rFonts w:ascii="Arial" w:hAnsi="Arial" w:cs="Arial"/>
          <w:sz w:val="22"/>
          <w:szCs w:val="22"/>
        </w:rPr>
        <w:t>Ulyssea</w:t>
      </w:r>
      <w:proofErr w:type="spellEnd"/>
      <w:r w:rsidRPr="00BA1AB0">
        <w:rPr>
          <w:rFonts w:ascii="Arial" w:hAnsi="Arial" w:cs="Arial"/>
          <w:sz w:val="22"/>
          <w:szCs w:val="22"/>
        </w:rPr>
        <w:t xml:space="preserve">, 2010). En la medida que el incremento en desempleo implique una reasignación de empleos hacia empresas más productivas, puede ser un impulso a la productividad. Para Brasil Almeida y Carneiro (2012) y Andrade, </w:t>
      </w:r>
      <w:proofErr w:type="spellStart"/>
      <w:r w:rsidRPr="00BA1AB0">
        <w:rPr>
          <w:rFonts w:ascii="Arial" w:hAnsi="Arial" w:cs="Arial"/>
          <w:sz w:val="22"/>
          <w:szCs w:val="22"/>
        </w:rPr>
        <w:t>Bruhn</w:t>
      </w:r>
      <w:proofErr w:type="spellEnd"/>
      <w:r w:rsidRPr="00BA1AB0">
        <w:rPr>
          <w:rFonts w:ascii="Arial" w:hAnsi="Arial" w:cs="Arial"/>
          <w:sz w:val="22"/>
          <w:szCs w:val="22"/>
        </w:rPr>
        <w:t xml:space="preserve"> y McKenzie (201</w:t>
      </w:r>
      <w:r>
        <w:rPr>
          <w:rFonts w:ascii="Arial" w:hAnsi="Arial" w:cs="Arial"/>
          <w:sz w:val="22"/>
          <w:szCs w:val="22"/>
        </w:rPr>
        <w:t>3</w:t>
      </w:r>
      <w:r w:rsidRPr="006F45E2">
        <w:rPr>
          <w:rFonts w:ascii="Arial" w:hAnsi="Arial" w:cs="Arial"/>
          <w:sz w:val="22"/>
          <w:szCs w:val="22"/>
        </w:rPr>
        <w:t xml:space="preserve">) encuentran que las inspecciones tienen un impacto positivo y significativo en la formalización laboral. En esta misma línea, Samaniego de la Parra (2016) analizando datos para México encuentra que el que una empresa reciba una inspección laboral incrementa la probabilidad de que un empleado informal transite a la formalidad de 14% a 21% e incrementa la probabilidad de que un empleado informal transite al desempleo de 2.9% a 4%. Para reducir posibles efectos adversos es importante complementar mejorar la capacidad fiscalizadora de manera simultánea a otras medidas pro-formalización, como reducción de costes de </w:t>
      </w:r>
      <w:proofErr w:type="gramStart"/>
      <w:r w:rsidRPr="006F45E2">
        <w:rPr>
          <w:rFonts w:ascii="Arial" w:hAnsi="Arial" w:cs="Arial"/>
          <w:sz w:val="22"/>
          <w:szCs w:val="22"/>
        </w:rPr>
        <w:t>la misma</w:t>
      </w:r>
      <w:proofErr w:type="gramEnd"/>
      <w:r w:rsidRPr="006F45E2">
        <w:rPr>
          <w:rFonts w:ascii="Arial" w:hAnsi="Arial" w:cs="Arial"/>
          <w:sz w:val="22"/>
          <w:szCs w:val="22"/>
        </w:rPr>
        <w:t xml:space="preserve"> cuando sea posible.</w:t>
      </w:r>
    </w:p>
    <w:p w14:paraId="2189A69D" w14:textId="77777777" w:rsidR="00E73957" w:rsidRPr="00F60C2C" w:rsidRDefault="00E73957" w:rsidP="00E73957">
      <w:pPr>
        <w:pStyle w:val="Paragraph"/>
        <w:numPr>
          <w:ilvl w:val="0"/>
          <w:numId w:val="0"/>
        </w:numPr>
        <w:ind w:left="720"/>
        <w:rPr>
          <w:rFonts w:ascii="Arial" w:hAnsi="Arial" w:cs="Arial"/>
          <w:i/>
          <w:sz w:val="22"/>
          <w:szCs w:val="22"/>
        </w:rPr>
      </w:pPr>
      <w:r w:rsidRPr="00F60C2C">
        <w:rPr>
          <w:rFonts w:ascii="Arial" w:hAnsi="Arial" w:cs="Arial"/>
          <w:i/>
          <w:sz w:val="22"/>
          <w:szCs w:val="22"/>
        </w:rPr>
        <w:t>Efectividad de políticas de extensionismo productivo en firmas (empresarial y tecnológico)</w:t>
      </w:r>
    </w:p>
    <w:p w14:paraId="38C9971F" w14:textId="77777777" w:rsidR="00E73957" w:rsidRPr="00F60C2C" w:rsidRDefault="00E73957" w:rsidP="00E73957">
      <w:pPr>
        <w:pStyle w:val="Paragraph"/>
        <w:numPr>
          <w:ilvl w:val="0"/>
          <w:numId w:val="0"/>
        </w:numPr>
        <w:ind w:left="720"/>
        <w:rPr>
          <w:rFonts w:ascii="Arial" w:hAnsi="Arial" w:cs="Arial"/>
          <w:i/>
          <w:sz w:val="22"/>
          <w:szCs w:val="22"/>
        </w:rPr>
      </w:pPr>
      <w:r w:rsidRPr="00F60C2C">
        <w:rPr>
          <w:rFonts w:ascii="Arial" w:hAnsi="Arial" w:cs="Arial"/>
          <w:i/>
          <w:sz w:val="22"/>
          <w:szCs w:val="22"/>
        </w:rPr>
        <w:t>Extensionismo empresarial</w:t>
      </w:r>
    </w:p>
    <w:p w14:paraId="392D839A" w14:textId="601C58B6" w:rsidR="00E73957" w:rsidRPr="00921311" w:rsidRDefault="00E73957" w:rsidP="00E73957">
      <w:pPr>
        <w:pStyle w:val="Paragraph"/>
        <w:rPr>
          <w:rFonts w:ascii="Arial" w:hAnsi="Arial" w:cs="Arial"/>
          <w:sz w:val="22"/>
          <w:szCs w:val="22"/>
        </w:rPr>
      </w:pPr>
      <w:r w:rsidRPr="00921311">
        <w:rPr>
          <w:rFonts w:ascii="Arial" w:hAnsi="Arial" w:cs="Arial"/>
          <w:sz w:val="22"/>
          <w:szCs w:val="22"/>
        </w:rPr>
        <w:t xml:space="preserve">Algunos estudios han evaluado </w:t>
      </w:r>
      <w:r w:rsidR="00E83D0B" w:rsidRPr="00921311">
        <w:rPr>
          <w:rFonts w:ascii="Arial" w:hAnsi="Arial" w:cs="Arial"/>
          <w:sz w:val="22"/>
          <w:szCs w:val="22"/>
        </w:rPr>
        <w:t>programas de extensión empresarial</w:t>
      </w:r>
      <w:r w:rsidRPr="00921311">
        <w:rPr>
          <w:rFonts w:ascii="Arial" w:hAnsi="Arial" w:cs="Arial"/>
          <w:sz w:val="22"/>
          <w:szCs w:val="22"/>
        </w:rPr>
        <w:t xml:space="preserve"> que otorgan subsidios completos. Estos estudios encuentran impacto positivo de: un programa de asistencia técnica a P</w:t>
      </w:r>
      <w:r w:rsidR="006540B1">
        <w:rPr>
          <w:rFonts w:ascii="Arial" w:hAnsi="Arial" w:cs="Arial"/>
          <w:sz w:val="22"/>
          <w:szCs w:val="22"/>
        </w:rPr>
        <w:t>Y</w:t>
      </w:r>
      <w:r w:rsidRPr="00921311">
        <w:rPr>
          <w:rFonts w:ascii="Arial" w:hAnsi="Arial" w:cs="Arial"/>
          <w:sz w:val="22"/>
          <w:szCs w:val="22"/>
        </w:rPr>
        <w:t>MES en Macedonia en empleo un año después de la intervención y creciente en el 2do y 3er año alcanzando un 40% de impacto (Bah et al., 2011); de un programa Japonés de consultorías, cursos de capacitación y seminarios para empresas de fundición en Indonesia en la reducción de la tasa de rechazo de productos por problemas de calidad (entre un 15</w:t>
      </w:r>
      <w:r w:rsidR="00897E24">
        <w:rPr>
          <w:rFonts w:ascii="Arial" w:hAnsi="Arial" w:cs="Arial"/>
          <w:sz w:val="22"/>
          <w:szCs w:val="22"/>
        </w:rPr>
        <w:t>%</w:t>
      </w:r>
      <w:r w:rsidRPr="00921311">
        <w:rPr>
          <w:rFonts w:ascii="Arial" w:hAnsi="Arial" w:cs="Arial"/>
          <w:sz w:val="22"/>
          <w:szCs w:val="22"/>
        </w:rPr>
        <w:t xml:space="preserve"> y 16%), siendo las consultorías y la capacitación las principales fuentes de dicho impacto (</w:t>
      </w:r>
      <w:proofErr w:type="spellStart"/>
      <w:r w:rsidRPr="00921311">
        <w:rPr>
          <w:rFonts w:ascii="Arial" w:hAnsi="Arial" w:cs="Arial"/>
          <w:sz w:val="22"/>
          <w:szCs w:val="22"/>
        </w:rPr>
        <w:t>Shimizutani</w:t>
      </w:r>
      <w:proofErr w:type="spellEnd"/>
      <w:r w:rsidRPr="00921311">
        <w:rPr>
          <w:rFonts w:ascii="Arial" w:hAnsi="Arial" w:cs="Arial"/>
          <w:sz w:val="22"/>
          <w:szCs w:val="22"/>
        </w:rPr>
        <w:t>, S., y Todo, 2008); de un programa que promueve auditoria voluntaria en temas ambientales y ayuda a diseñar planes para cumplir con regulaciones y estándares ambientales en México en ventas (6%) y salarios (5%), pero no en participación en exportaciones (Lopez-Acevedo y Tinajero-Bravo, 2013).</w:t>
      </w:r>
      <w:r w:rsidR="00C26FD5" w:rsidRPr="00921311">
        <w:rPr>
          <w:rFonts w:ascii="Arial" w:hAnsi="Arial" w:cs="Arial"/>
          <w:sz w:val="22"/>
          <w:szCs w:val="22"/>
        </w:rPr>
        <w:t xml:space="preserve"> </w:t>
      </w:r>
      <w:r w:rsidRPr="00921311">
        <w:rPr>
          <w:rFonts w:ascii="Arial" w:hAnsi="Arial" w:cs="Arial"/>
          <w:sz w:val="22"/>
          <w:szCs w:val="22"/>
        </w:rPr>
        <w:t xml:space="preserve">Otros estudios evalúan la efectividad de PET que otorgan subsidios parciales. </w:t>
      </w:r>
      <w:r w:rsidRPr="00921311">
        <w:rPr>
          <w:rFonts w:ascii="Arial" w:hAnsi="Arial" w:cs="Arial"/>
          <w:sz w:val="22"/>
          <w:szCs w:val="22"/>
          <w:lang w:val="en-US"/>
        </w:rPr>
        <w:t xml:space="preserve">Entre </w:t>
      </w:r>
      <w:proofErr w:type="spellStart"/>
      <w:r w:rsidRPr="00871AD7">
        <w:rPr>
          <w:rFonts w:ascii="Arial" w:hAnsi="Arial" w:cs="Arial"/>
          <w:sz w:val="22"/>
          <w:szCs w:val="22"/>
          <w:lang w:val="en-US"/>
        </w:rPr>
        <w:t>ellos</w:t>
      </w:r>
      <w:proofErr w:type="spellEnd"/>
      <w:r w:rsidRPr="00921311">
        <w:rPr>
          <w:rFonts w:ascii="Arial" w:hAnsi="Arial" w:cs="Arial"/>
          <w:sz w:val="22"/>
          <w:szCs w:val="22"/>
          <w:lang w:val="en-US"/>
        </w:rPr>
        <w:t xml:space="preserve">, </w:t>
      </w:r>
      <w:proofErr w:type="spellStart"/>
      <w:r w:rsidRPr="00921311">
        <w:rPr>
          <w:rFonts w:ascii="Arial" w:hAnsi="Arial" w:cs="Arial"/>
          <w:sz w:val="22"/>
          <w:szCs w:val="22"/>
          <w:lang w:val="en-US"/>
        </w:rPr>
        <w:t>Jarmin</w:t>
      </w:r>
      <w:proofErr w:type="spellEnd"/>
      <w:r w:rsidRPr="00921311">
        <w:rPr>
          <w:rFonts w:ascii="Arial" w:hAnsi="Arial" w:cs="Arial"/>
          <w:sz w:val="22"/>
          <w:szCs w:val="22"/>
          <w:lang w:val="en-US"/>
        </w:rPr>
        <w:t xml:space="preserve"> (1999), y </w:t>
      </w:r>
      <w:proofErr w:type="spellStart"/>
      <w:r w:rsidRPr="00921311">
        <w:rPr>
          <w:rFonts w:ascii="Arial" w:hAnsi="Arial" w:cs="Arial"/>
          <w:sz w:val="22"/>
          <w:szCs w:val="22"/>
          <w:lang w:val="en-US"/>
        </w:rPr>
        <w:t>Oldsman</w:t>
      </w:r>
      <w:proofErr w:type="spellEnd"/>
      <w:r w:rsidRPr="00921311">
        <w:rPr>
          <w:rFonts w:ascii="Arial" w:hAnsi="Arial" w:cs="Arial"/>
          <w:sz w:val="22"/>
          <w:szCs w:val="22"/>
          <w:lang w:val="en-US"/>
        </w:rPr>
        <w:t xml:space="preserve"> y </w:t>
      </w:r>
      <w:proofErr w:type="spellStart"/>
      <w:r w:rsidRPr="00921311">
        <w:rPr>
          <w:rFonts w:ascii="Arial" w:hAnsi="Arial" w:cs="Arial"/>
          <w:sz w:val="22"/>
          <w:szCs w:val="22"/>
          <w:lang w:val="en-US"/>
        </w:rPr>
        <w:t>Heye</w:t>
      </w:r>
      <w:proofErr w:type="spellEnd"/>
      <w:r w:rsidRPr="00921311">
        <w:rPr>
          <w:rFonts w:ascii="Arial" w:hAnsi="Arial" w:cs="Arial"/>
          <w:sz w:val="22"/>
          <w:szCs w:val="22"/>
          <w:lang w:val="en-US"/>
        </w:rPr>
        <w:t xml:space="preserve"> (1997) </w:t>
      </w:r>
      <w:proofErr w:type="spellStart"/>
      <w:r w:rsidRPr="00871AD7">
        <w:rPr>
          <w:rFonts w:ascii="Arial" w:hAnsi="Arial" w:cs="Arial"/>
          <w:sz w:val="22"/>
          <w:szCs w:val="22"/>
          <w:lang w:val="en-US"/>
        </w:rPr>
        <w:t>estudian</w:t>
      </w:r>
      <w:proofErr w:type="spellEnd"/>
      <w:r w:rsidRPr="00921311">
        <w:rPr>
          <w:rFonts w:ascii="Arial" w:hAnsi="Arial" w:cs="Arial"/>
          <w:sz w:val="22"/>
          <w:szCs w:val="22"/>
          <w:lang w:val="en-US"/>
        </w:rPr>
        <w:t xml:space="preserve"> el </w:t>
      </w:r>
      <w:r w:rsidRPr="004E68CC">
        <w:rPr>
          <w:rFonts w:ascii="Arial" w:hAnsi="Arial" w:cs="Arial"/>
          <w:i/>
          <w:sz w:val="22"/>
          <w:szCs w:val="22"/>
          <w:lang w:val="en-US"/>
        </w:rPr>
        <w:t>Extension Program of the National Institute of Standards and Technology</w:t>
      </w:r>
      <w:r w:rsidRPr="00921311">
        <w:rPr>
          <w:rFonts w:ascii="Arial" w:hAnsi="Arial" w:cs="Arial"/>
          <w:sz w:val="22"/>
          <w:szCs w:val="22"/>
          <w:lang w:val="en-US"/>
        </w:rPr>
        <w:t xml:space="preserve"> (MEP-NIST) y el </w:t>
      </w:r>
      <w:r w:rsidRPr="004E68CC">
        <w:rPr>
          <w:rFonts w:ascii="Arial" w:hAnsi="Arial" w:cs="Arial"/>
          <w:i/>
          <w:sz w:val="22"/>
          <w:szCs w:val="22"/>
          <w:lang w:val="en-US"/>
        </w:rPr>
        <w:t>New York Manufacturing Extension Partnership</w:t>
      </w:r>
      <w:r w:rsidRPr="00921311">
        <w:rPr>
          <w:rFonts w:ascii="Arial" w:hAnsi="Arial" w:cs="Arial"/>
          <w:sz w:val="22"/>
          <w:szCs w:val="22"/>
          <w:lang w:val="en-US"/>
        </w:rPr>
        <w:t xml:space="preserve"> (NY-MEP), </w:t>
      </w:r>
      <w:proofErr w:type="spellStart"/>
      <w:r w:rsidRPr="00871AD7">
        <w:rPr>
          <w:rFonts w:ascii="Arial" w:hAnsi="Arial" w:cs="Arial"/>
          <w:sz w:val="22"/>
          <w:szCs w:val="22"/>
          <w:lang w:val="en-US"/>
        </w:rPr>
        <w:t>respectivamente</w:t>
      </w:r>
      <w:proofErr w:type="spellEnd"/>
      <w:r w:rsidRPr="00921311">
        <w:rPr>
          <w:rFonts w:ascii="Arial" w:hAnsi="Arial" w:cs="Arial"/>
          <w:sz w:val="22"/>
          <w:szCs w:val="22"/>
          <w:lang w:val="en-US"/>
        </w:rPr>
        <w:t xml:space="preserve">. </w:t>
      </w:r>
      <w:r w:rsidRPr="00921311">
        <w:rPr>
          <w:rFonts w:ascii="Arial" w:hAnsi="Arial" w:cs="Arial"/>
          <w:sz w:val="22"/>
          <w:szCs w:val="22"/>
        </w:rPr>
        <w:t xml:space="preserve">Los autores encuentran impactos positivos en valor agregado por trabajador, con tamaños de impactos variables dependiendo el modelo especificado, y con mayores impactos encontrados para las firmas pequeñas. Por otro lado, Mole et al. (2008) analiza los efectos del </w:t>
      </w:r>
      <w:r w:rsidRPr="00DB62AE">
        <w:rPr>
          <w:rFonts w:ascii="Arial" w:hAnsi="Arial" w:cs="Arial"/>
          <w:i/>
          <w:sz w:val="22"/>
          <w:szCs w:val="22"/>
          <w:lang w:val="es-ES_tradnl"/>
        </w:rPr>
        <w:t xml:space="preserve">Business </w:t>
      </w:r>
      <w:proofErr w:type="gramStart"/>
      <w:r w:rsidRPr="00DB62AE">
        <w:rPr>
          <w:rFonts w:ascii="Arial" w:hAnsi="Arial" w:cs="Arial"/>
          <w:i/>
          <w:sz w:val="22"/>
          <w:szCs w:val="22"/>
          <w:lang w:val="es-ES_tradnl"/>
        </w:rPr>
        <w:t>Link</w:t>
      </w:r>
      <w:proofErr w:type="gramEnd"/>
      <w:r w:rsidRPr="00DB62AE">
        <w:rPr>
          <w:rFonts w:ascii="Arial" w:hAnsi="Arial" w:cs="Arial"/>
          <w:i/>
          <w:sz w:val="22"/>
          <w:szCs w:val="22"/>
          <w:lang w:val="es-ES_tradnl"/>
        </w:rPr>
        <w:t xml:space="preserve"> </w:t>
      </w:r>
      <w:proofErr w:type="spellStart"/>
      <w:r w:rsidRPr="00DB62AE">
        <w:rPr>
          <w:rFonts w:ascii="Arial" w:hAnsi="Arial" w:cs="Arial"/>
          <w:i/>
          <w:sz w:val="22"/>
          <w:szCs w:val="22"/>
          <w:lang w:val="es-ES_tradnl"/>
        </w:rPr>
        <w:t>program</w:t>
      </w:r>
      <w:proofErr w:type="spellEnd"/>
      <w:r w:rsidRPr="00921311">
        <w:rPr>
          <w:rFonts w:ascii="Arial" w:hAnsi="Arial" w:cs="Arial"/>
          <w:sz w:val="22"/>
          <w:szCs w:val="22"/>
        </w:rPr>
        <w:t xml:space="preserve"> en el Reino Unido en la performance de las firmas. Este programa provee subsidios para contratar servicios de consultoría privados certificados en forma pública. El estudio sigue a las empresas por 2 años desde el comienzo de la asistencia y encuentra una relación positiva entre participación en el programa y crecimiento del empleo. Esta relación es más alta para empresas que declaran estar buscando expandirse a nuevos mercados (11</w:t>
      </w:r>
      <w:r w:rsidR="00897E24">
        <w:rPr>
          <w:rFonts w:ascii="Arial" w:hAnsi="Arial" w:cs="Arial"/>
          <w:sz w:val="22"/>
          <w:szCs w:val="22"/>
        </w:rPr>
        <w:t>,</w:t>
      </w:r>
      <w:r w:rsidRPr="00921311">
        <w:rPr>
          <w:rFonts w:ascii="Arial" w:hAnsi="Arial" w:cs="Arial"/>
          <w:sz w:val="22"/>
          <w:szCs w:val="22"/>
        </w:rPr>
        <w:t>7%) que firmas que no (4</w:t>
      </w:r>
      <w:r w:rsidR="00897E24">
        <w:rPr>
          <w:rFonts w:ascii="Arial" w:hAnsi="Arial" w:cs="Arial"/>
          <w:sz w:val="22"/>
          <w:szCs w:val="22"/>
        </w:rPr>
        <w:t>,</w:t>
      </w:r>
      <w:r w:rsidRPr="00921311">
        <w:rPr>
          <w:rFonts w:ascii="Arial" w:hAnsi="Arial" w:cs="Arial"/>
          <w:sz w:val="22"/>
          <w:szCs w:val="22"/>
        </w:rPr>
        <w:t>1%), y para empresas con un proceso de planificación del negocio formal (6</w:t>
      </w:r>
      <w:r w:rsidR="00897E24">
        <w:rPr>
          <w:rFonts w:ascii="Arial" w:hAnsi="Arial" w:cs="Arial"/>
          <w:sz w:val="22"/>
          <w:szCs w:val="22"/>
        </w:rPr>
        <w:t>,</w:t>
      </w:r>
      <w:r w:rsidRPr="00921311">
        <w:rPr>
          <w:rFonts w:ascii="Arial" w:hAnsi="Arial" w:cs="Arial"/>
          <w:sz w:val="22"/>
          <w:szCs w:val="22"/>
        </w:rPr>
        <w:t>7%), que para aquellas que no (3</w:t>
      </w:r>
      <w:r w:rsidR="00897E24">
        <w:rPr>
          <w:rFonts w:ascii="Arial" w:hAnsi="Arial" w:cs="Arial"/>
          <w:sz w:val="22"/>
          <w:szCs w:val="22"/>
        </w:rPr>
        <w:t>,</w:t>
      </w:r>
      <w:r w:rsidRPr="00921311">
        <w:rPr>
          <w:rFonts w:ascii="Arial" w:hAnsi="Arial" w:cs="Arial"/>
          <w:sz w:val="22"/>
          <w:szCs w:val="22"/>
        </w:rPr>
        <w:t>9%).</w:t>
      </w:r>
      <w:r w:rsidR="00921311">
        <w:rPr>
          <w:rFonts w:ascii="Arial" w:hAnsi="Arial" w:cs="Arial"/>
          <w:sz w:val="22"/>
          <w:szCs w:val="22"/>
        </w:rPr>
        <w:t xml:space="preserve"> </w:t>
      </w:r>
      <w:r w:rsidR="00DC1E9E" w:rsidRPr="00921311">
        <w:rPr>
          <w:rFonts w:ascii="Arial" w:hAnsi="Arial" w:cs="Arial"/>
          <w:sz w:val="22"/>
          <w:szCs w:val="22"/>
        </w:rPr>
        <w:t>En Latinoamérica,</w:t>
      </w:r>
      <w:r w:rsidRPr="00921311">
        <w:rPr>
          <w:rFonts w:ascii="Arial" w:hAnsi="Arial" w:cs="Arial"/>
          <w:sz w:val="22"/>
          <w:szCs w:val="22"/>
        </w:rPr>
        <w:t xml:space="preserve"> Tan (2011) evalúa cuatro programas y grupo de programas implementados por Corporación de Fomento de la Producción (CORFO) de Chile. El Fondo de Asistencia Técnica (FAT) provee subsidios parciales para consultoría técnica. Es evaluado individualmente en el estudio, encontrando efectos positivos del 20% en ventas, 9% en salarios, y 16% en productividad del trabajo medida como producción por trabajador. </w:t>
      </w:r>
    </w:p>
    <w:p w14:paraId="221E810A" w14:textId="77777777" w:rsidR="00E73957" w:rsidRPr="00F60C2C" w:rsidRDefault="00E73957" w:rsidP="00E73957">
      <w:pPr>
        <w:pStyle w:val="Paragraph"/>
        <w:numPr>
          <w:ilvl w:val="0"/>
          <w:numId w:val="0"/>
        </w:numPr>
        <w:ind w:left="720"/>
        <w:rPr>
          <w:rFonts w:ascii="Arial" w:hAnsi="Arial" w:cs="Arial"/>
          <w:i/>
          <w:sz w:val="22"/>
          <w:szCs w:val="22"/>
        </w:rPr>
      </w:pPr>
      <w:r w:rsidRPr="00F60C2C">
        <w:rPr>
          <w:rFonts w:ascii="Arial" w:hAnsi="Arial" w:cs="Arial"/>
          <w:i/>
          <w:sz w:val="22"/>
          <w:szCs w:val="22"/>
        </w:rPr>
        <w:t>Extensionismo tecnológico</w:t>
      </w:r>
    </w:p>
    <w:p w14:paraId="11463164" w14:textId="5FC08CC0" w:rsidR="00E73957" w:rsidRDefault="00921311" w:rsidP="00E73957">
      <w:pPr>
        <w:pStyle w:val="Paragraph"/>
        <w:rPr>
          <w:rFonts w:ascii="Arial" w:hAnsi="Arial" w:cs="Arial"/>
          <w:sz w:val="22"/>
          <w:szCs w:val="22"/>
        </w:rPr>
      </w:pPr>
      <w:r>
        <w:rPr>
          <w:rFonts w:ascii="Arial" w:hAnsi="Arial" w:cs="Arial"/>
          <w:sz w:val="22"/>
          <w:szCs w:val="22"/>
        </w:rPr>
        <w:t xml:space="preserve">Existen </w:t>
      </w:r>
      <w:r w:rsidR="00E73957" w:rsidRPr="00A5623A">
        <w:rPr>
          <w:rFonts w:ascii="Arial" w:hAnsi="Arial" w:cs="Arial"/>
          <w:sz w:val="22"/>
          <w:szCs w:val="22"/>
        </w:rPr>
        <w:t xml:space="preserve">varios estudios en la región </w:t>
      </w:r>
      <w:r>
        <w:rPr>
          <w:rFonts w:ascii="Arial" w:hAnsi="Arial" w:cs="Arial"/>
          <w:sz w:val="22"/>
          <w:szCs w:val="22"/>
        </w:rPr>
        <w:t xml:space="preserve">que </w:t>
      </w:r>
      <w:r w:rsidR="00E73957" w:rsidRPr="00A5623A">
        <w:rPr>
          <w:rFonts w:ascii="Arial" w:hAnsi="Arial" w:cs="Arial"/>
          <w:sz w:val="22"/>
          <w:szCs w:val="22"/>
        </w:rPr>
        <w:t>evalúan</w:t>
      </w:r>
      <w:r w:rsidR="00A52485">
        <w:rPr>
          <w:rFonts w:ascii="Arial" w:hAnsi="Arial" w:cs="Arial"/>
          <w:sz w:val="22"/>
          <w:szCs w:val="22"/>
        </w:rPr>
        <w:t xml:space="preserve"> la efectividad de</w:t>
      </w:r>
      <w:r w:rsidR="00E73957" w:rsidRPr="00A5623A">
        <w:rPr>
          <w:rFonts w:ascii="Arial" w:hAnsi="Arial" w:cs="Arial"/>
          <w:sz w:val="22"/>
          <w:szCs w:val="22"/>
        </w:rPr>
        <w:t xml:space="preserve"> programas de extensionismo tecnológico vinculados a </w:t>
      </w:r>
      <w:r w:rsidR="002264BF">
        <w:rPr>
          <w:rFonts w:ascii="Arial" w:hAnsi="Arial" w:cs="Arial"/>
          <w:sz w:val="22"/>
          <w:szCs w:val="22"/>
        </w:rPr>
        <w:t xml:space="preserve">sectores específicos (de manera similar a la especialización sectorial que tiene cada CITE), en particular, relacionados a </w:t>
      </w:r>
      <w:r w:rsidR="00E73957" w:rsidRPr="00A5623A">
        <w:rPr>
          <w:rFonts w:ascii="Arial" w:hAnsi="Arial" w:cs="Arial"/>
          <w:sz w:val="22"/>
          <w:szCs w:val="22"/>
        </w:rPr>
        <w:t>agricultura y ganadería. Estos encuentran impactos positivos de: un programa ganadero en Uruguay en adopción de prácticas de gestión ga</w:t>
      </w:r>
      <w:r w:rsidR="00E73957">
        <w:rPr>
          <w:rFonts w:ascii="Arial" w:hAnsi="Arial" w:cs="Arial"/>
          <w:sz w:val="22"/>
          <w:szCs w:val="22"/>
        </w:rPr>
        <w:t>n</w:t>
      </w:r>
      <w:r w:rsidR="00E73957" w:rsidRPr="00A5623A">
        <w:rPr>
          <w:rFonts w:ascii="Arial" w:hAnsi="Arial" w:cs="Arial"/>
          <w:sz w:val="22"/>
          <w:szCs w:val="22"/>
        </w:rPr>
        <w:t xml:space="preserve">adera (Lopez y Maffioli, 2008), </w:t>
      </w:r>
      <w:r w:rsidR="00A52485">
        <w:rPr>
          <w:rFonts w:ascii="Arial" w:hAnsi="Arial" w:cs="Arial"/>
          <w:sz w:val="22"/>
          <w:szCs w:val="22"/>
        </w:rPr>
        <w:t xml:space="preserve">un </w:t>
      </w:r>
      <w:r w:rsidR="00E73957" w:rsidRPr="00A5623A">
        <w:rPr>
          <w:rFonts w:ascii="Arial" w:hAnsi="Arial" w:cs="Arial"/>
          <w:sz w:val="22"/>
          <w:szCs w:val="22"/>
        </w:rPr>
        <w:t>programa de modernización de servicios agropecuarios en Ecuador en productividad (Maffioli et al., 2009),</w:t>
      </w:r>
      <w:r w:rsidR="00A52485">
        <w:rPr>
          <w:rFonts w:ascii="Arial" w:hAnsi="Arial" w:cs="Arial"/>
          <w:sz w:val="22"/>
          <w:szCs w:val="22"/>
        </w:rPr>
        <w:t xml:space="preserve"> un</w:t>
      </w:r>
      <w:r w:rsidR="00E73957" w:rsidRPr="00A5623A">
        <w:rPr>
          <w:rFonts w:ascii="Arial" w:hAnsi="Arial" w:cs="Arial"/>
          <w:sz w:val="22"/>
          <w:szCs w:val="22"/>
        </w:rPr>
        <w:t xml:space="preserve"> programa de servicios agrícolas provinciales para productores de uva en Argentina en adopción de variedades de uva de alta calidad (Maffioli et al., 2011), </w:t>
      </w:r>
      <w:r w:rsidR="00A52485">
        <w:rPr>
          <w:rFonts w:ascii="Arial" w:hAnsi="Arial" w:cs="Arial"/>
          <w:sz w:val="22"/>
          <w:szCs w:val="22"/>
        </w:rPr>
        <w:t xml:space="preserve">un </w:t>
      </w:r>
      <w:r w:rsidR="00E73957" w:rsidRPr="00A5623A">
        <w:rPr>
          <w:rFonts w:ascii="Arial" w:hAnsi="Arial" w:cs="Arial"/>
          <w:sz w:val="22"/>
          <w:szCs w:val="22"/>
        </w:rPr>
        <w:t>programa de servicios de extensión agrícola en Rep</w:t>
      </w:r>
      <w:r w:rsidR="001C779F">
        <w:rPr>
          <w:rFonts w:ascii="Arial" w:hAnsi="Arial" w:cs="Arial"/>
          <w:sz w:val="22"/>
          <w:szCs w:val="22"/>
        </w:rPr>
        <w:t>ública</w:t>
      </w:r>
      <w:r w:rsidR="00E73957" w:rsidRPr="00A5623A">
        <w:rPr>
          <w:rFonts w:ascii="Arial" w:hAnsi="Arial" w:cs="Arial"/>
          <w:sz w:val="22"/>
          <w:szCs w:val="22"/>
        </w:rPr>
        <w:t xml:space="preserve"> Dominicana en la productividad </w:t>
      </w:r>
      <w:r w:rsidR="00A52485">
        <w:rPr>
          <w:rFonts w:ascii="Arial" w:hAnsi="Arial" w:cs="Arial"/>
          <w:sz w:val="22"/>
          <w:szCs w:val="22"/>
        </w:rPr>
        <w:t xml:space="preserve">de los participantes </w:t>
      </w:r>
      <w:r w:rsidR="00E73957" w:rsidRPr="00A5623A">
        <w:rPr>
          <w:rFonts w:ascii="Arial" w:hAnsi="Arial" w:cs="Arial"/>
          <w:sz w:val="22"/>
          <w:szCs w:val="22"/>
        </w:rPr>
        <w:t xml:space="preserve">(Gonzalez et al., 2012), y </w:t>
      </w:r>
      <w:r w:rsidR="00A52485">
        <w:rPr>
          <w:rFonts w:ascii="Arial" w:hAnsi="Arial" w:cs="Arial"/>
          <w:sz w:val="22"/>
          <w:szCs w:val="22"/>
        </w:rPr>
        <w:t xml:space="preserve">de un </w:t>
      </w:r>
      <w:r w:rsidR="00E73957" w:rsidRPr="00A5623A">
        <w:rPr>
          <w:rFonts w:ascii="Arial" w:hAnsi="Arial" w:cs="Arial"/>
          <w:sz w:val="22"/>
          <w:szCs w:val="22"/>
        </w:rPr>
        <w:t xml:space="preserve">programa de modernización agrícola en Uruguay en la densidad de plantación y adopción de variedades superiores (Maffioli et al., 2013). </w:t>
      </w:r>
    </w:p>
    <w:p w14:paraId="50351DCC" w14:textId="6B926DE6" w:rsidR="001C2987" w:rsidRPr="001C2987" w:rsidRDefault="001C2987" w:rsidP="001C2987">
      <w:pPr>
        <w:pStyle w:val="Paragraph"/>
        <w:numPr>
          <w:ilvl w:val="0"/>
          <w:numId w:val="0"/>
        </w:numPr>
        <w:ind w:left="720"/>
        <w:rPr>
          <w:rFonts w:ascii="Arial" w:hAnsi="Arial" w:cs="Arial"/>
          <w:i/>
          <w:sz w:val="22"/>
          <w:szCs w:val="22"/>
        </w:rPr>
      </w:pPr>
      <w:r w:rsidRPr="001C2987">
        <w:rPr>
          <w:rFonts w:ascii="Arial" w:hAnsi="Arial" w:cs="Arial"/>
          <w:i/>
          <w:sz w:val="22"/>
          <w:szCs w:val="22"/>
        </w:rPr>
        <w:t>Programas de compras estatales</w:t>
      </w:r>
    </w:p>
    <w:p w14:paraId="16C5E2B5" w14:textId="7B6CE74C" w:rsidR="001C2987" w:rsidRPr="005445C6" w:rsidRDefault="00C04B56" w:rsidP="005445C6">
      <w:pPr>
        <w:pStyle w:val="Paragraph"/>
        <w:numPr>
          <w:ilvl w:val="1"/>
          <w:numId w:val="17"/>
        </w:numPr>
        <w:ind w:left="720" w:hanging="720"/>
        <w:outlineLvl w:val="9"/>
        <w:rPr>
          <w:rFonts w:ascii="Arial" w:hAnsi="Arial" w:cs="Arial"/>
          <w:sz w:val="22"/>
          <w:szCs w:val="22"/>
        </w:rPr>
      </w:pPr>
      <w:r>
        <w:rPr>
          <w:rFonts w:ascii="Arial" w:hAnsi="Arial" w:cs="Arial"/>
          <w:sz w:val="22"/>
          <w:szCs w:val="22"/>
        </w:rPr>
        <w:t>A pesar de que los programas de compras públicas a MYPE son extensos y longevos en Latinoamérica</w:t>
      </w:r>
      <w:r w:rsidR="0011652C">
        <w:rPr>
          <w:rFonts w:ascii="Arial" w:hAnsi="Arial" w:cs="Arial"/>
          <w:sz w:val="22"/>
          <w:szCs w:val="22"/>
        </w:rPr>
        <w:t xml:space="preserve"> (</w:t>
      </w:r>
      <w:r w:rsidR="0011652C" w:rsidRPr="0011652C">
        <w:rPr>
          <w:rFonts w:ascii="Arial" w:hAnsi="Arial" w:cs="Arial"/>
          <w:sz w:val="22"/>
          <w:szCs w:val="22"/>
        </w:rPr>
        <w:t>Reunión Regional sobre Sistemas de Compras Públicas en América Latina y el Caribe 2015),</w:t>
      </w:r>
      <w:r>
        <w:rPr>
          <w:rFonts w:ascii="Arial" w:hAnsi="Arial" w:cs="Arial"/>
          <w:sz w:val="22"/>
          <w:szCs w:val="22"/>
        </w:rPr>
        <w:t xml:space="preserve"> no existe una evaluación de impacto</w:t>
      </w:r>
      <w:r w:rsidR="00E14694">
        <w:rPr>
          <w:rFonts w:ascii="Arial" w:hAnsi="Arial" w:cs="Arial"/>
          <w:sz w:val="22"/>
          <w:szCs w:val="22"/>
        </w:rPr>
        <w:t xml:space="preserve"> rigurosa</w:t>
      </w:r>
      <w:r>
        <w:rPr>
          <w:rFonts w:ascii="Arial" w:hAnsi="Arial" w:cs="Arial"/>
          <w:sz w:val="22"/>
          <w:szCs w:val="22"/>
        </w:rPr>
        <w:t xml:space="preserve"> </w:t>
      </w:r>
      <w:r w:rsidR="00E14694">
        <w:rPr>
          <w:rFonts w:ascii="Arial" w:hAnsi="Arial" w:cs="Arial"/>
          <w:sz w:val="22"/>
          <w:szCs w:val="22"/>
        </w:rPr>
        <w:t xml:space="preserve">para algún programa </w:t>
      </w:r>
      <w:r w:rsidR="0011652C">
        <w:rPr>
          <w:rFonts w:ascii="Arial" w:hAnsi="Arial" w:cs="Arial"/>
          <w:sz w:val="22"/>
          <w:szCs w:val="22"/>
        </w:rPr>
        <w:t xml:space="preserve">en la región </w:t>
      </w:r>
      <w:r w:rsidR="00E14694">
        <w:rPr>
          <w:rFonts w:ascii="Arial" w:hAnsi="Arial" w:cs="Arial"/>
          <w:sz w:val="22"/>
          <w:szCs w:val="22"/>
        </w:rPr>
        <w:t xml:space="preserve">salvo la reciente evaluación del programa de compras de Brasil (Ferraz, Finan y </w:t>
      </w:r>
      <w:proofErr w:type="spellStart"/>
      <w:r w:rsidR="00E14694">
        <w:rPr>
          <w:rFonts w:ascii="Arial" w:hAnsi="Arial" w:cs="Arial"/>
          <w:sz w:val="22"/>
          <w:szCs w:val="22"/>
        </w:rPr>
        <w:t>Szerman</w:t>
      </w:r>
      <w:proofErr w:type="spellEnd"/>
      <w:r w:rsidR="00E14694">
        <w:rPr>
          <w:rFonts w:ascii="Arial" w:hAnsi="Arial" w:cs="Arial"/>
          <w:sz w:val="22"/>
          <w:szCs w:val="22"/>
        </w:rPr>
        <w:t xml:space="preserve"> 2016).</w:t>
      </w:r>
      <w:r w:rsidR="0011652C">
        <w:rPr>
          <w:rFonts w:ascii="Arial" w:hAnsi="Arial" w:cs="Arial"/>
          <w:sz w:val="22"/>
          <w:szCs w:val="22"/>
        </w:rPr>
        <w:t xml:space="preserve"> La evaluación encuentra que ganar al menos un contrato en un determinado trimestre incrementa el crecimiento de la </w:t>
      </w:r>
      <w:r w:rsidR="00547219">
        <w:rPr>
          <w:rFonts w:ascii="Arial" w:hAnsi="Arial" w:cs="Arial"/>
          <w:sz w:val="22"/>
          <w:szCs w:val="22"/>
        </w:rPr>
        <w:t>MYPE en 2.2% en dicho trimestre. Los efectos persisten más allá del período de contratación. Parte de la persistencia se explica por participación en futuros contratos públicos y parte por acceso a nuevos mercados luego de la venta pública.</w:t>
      </w:r>
      <w:r w:rsidR="00E00D6D">
        <w:rPr>
          <w:rFonts w:ascii="Arial" w:hAnsi="Arial" w:cs="Arial"/>
          <w:sz w:val="22"/>
          <w:szCs w:val="22"/>
        </w:rPr>
        <w:t xml:space="preserve"> Adicionalmente existe evidencia </w:t>
      </w:r>
      <w:r w:rsidR="00AE2F95">
        <w:rPr>
          <w:rFonts w:ascii="Arial" w:hAnsi="Arial" w:cs="Arial"/>
          <w:sz w:val="22"/>
          <w:szCs w:val="22"/>
        </w:rPr>
        <w:t>preliminar p</w:t>
      </w:r>
      <w:r w:rsidR="00E00D6D">
        <w:rPr>
          <w:rFonts w:ascii="Arial" w:hAnsi="Arial" w:cs="Arial"/>
          <w:sz w:val="22"/>
          <w:szCs w:val="22"/>
        </w:rPr>
        <w:t>ara el caso de República Dominicana</w:t>
      </w:r>
      <w:r w:rsidR="00AE2F95">
        <w:rPr>
          <w:rFonts w:ascii="Arial" w:hAnsi="Arial" w:cs="Arial"/>
          <w:sz w:val="22"/>
          <w:szCs w:val="22"/>
        </w:rPr>
        <w:t xml:space="preserve"> que sugiere</w:t>
      </w:r>
      <w:r w:rsidR="00E00D6D">
        <w:rPr>
          <w:rFonts w:ascii="Arial" w:hAnsi="Arial" w:cs="Arial"/>
          <w:sz w:val="22"/>
          <w:szCs w:val="22"/>
        </w:rPr>
        <w:t xml:space="preserve"> que las </w:t>
      </w:r>
      <w:proofErr w:type="spellStart"/>
      <w:r w:rsidR="00E00D6D">
        <w:rPr>
          <w:rFonts w:ascii="Arial" w:hAnsi="Arial" w:cs="Arial"/>
          <w:sz w:val="22"/>
          <w:szCs w:val="22"/>
        </w:rPr>
        <w:t>PYMEs</w:t>
      </w:r>
      <w:proofErr w:type="spellEnd"/>
      <w:r w:rsidR="00E00D6D">
        <w:rPr>
          <w:rFonts w:ascii="Arial" w:hAnsi="Arial" w:cs="Arial"/>
          <w:sz w:val="22"/>
          <w:szCs w:val="22"/>
        </w:rPr>
        <w:t xml:space="preserve"> beneficiarias de compras públicas incrementan sus ventas en US $82,000 y que el multiplicador de las compras públicas en las MIPYMES es 0.36</w:t>
      </w:r>
      <w:r w:rsidR="00AE2F95">
        <w:rPr>
          <w:rFonts w:ascii="Arial" w:hAnsi="Arial" w:cs="Arial"/>
          <w:sz w:val="22"/>
          <w:szCs w:val="22"/>
        </w:rPr>
        <w:t xml:space="preserve"> (</w:t>
      </w:r>
      <w:proofErr w:type="spellStart"/>
      <w:r w:rsidR="00AE2F95">
        <w:rPr>
          <w:rFonts w:ascii="Arial" w:hAnsi="Arial" w:cs="Arial"/>
          <w:sz w:val="22"/>
          <w:szCs w:val="22"/>
        </w:rPr>
        <w:t>Escuder</w:t>
      </w:r>
      <w:proofErr w:type="spellEnd"/>
      <w:r w:rsidR="00AE2F95">
        <w:rPr>
          <w:rFonts w:ascii="Arial" w:hAnsi="Arial" w:cs="Arial"/>
          <w:sz w:val="22"/>
          <w:szCs w:val="22"/>
        </w:rPr>
        <w:t xml:space="preserve"> 2016)</w:t>
      </w:r>
    </w:p>
    <w:p w14:paraId="4CE18558" w14:textId="77777777" w:rsidR="00E73957" w:rsidRPr="00E65239" w:rsidRDefault="00E73957" w:rsidP="00E73957">
      <w:pPr>
        <w:pStyle w:val="Paragraph"/>
        <w:numPr>
          <w:ilvl w:val="0"/>
          <w:numId w:val="0"/>
        </w:numPr>
        <w:ind w:left="720"/>
        <w:rPr>
          <w:rFonts w:ascii="Arial" w:hAnsi="Arial" w:cs="Arial"/>
          <w:i/>
          <w:sz w:val="22"/>
          <w:szCs w:val="22"/>
        </w:rPr>
      </w:pPr>
      <w:r w:rsidRPr="00E65239">
        <w:rPr>
          <w:rFonts w:ascii="Arial" w:hAnsi="Arial" w:cs="Arial"/>
          <w:i/>
          <w:sz w:val="22"/>
          <w:szCs w:val="22"/>
        </w:rPr>
        <w:t>Efectividad de políticas de simplificación tributaria</w:t>
      </w:r>
    </w:p>
    <w:p w14:paraId="02C56DC5" w14:textId="7A610758" w:rsidR="00E73957" w:rsidRPr="00E65239" w:rsidRDefault="00DB62AE" w:rsidP="00E73957">
      <w:pPr>
        <w:pStyle w:val="Paragraph"/>
        <w:rPr>
          <w:rFonts w:ascii="Arial" w:hAnsi="Arial" w:cs="Arial"/>
          <w:sz w:val="22"/>
          <w:szCs w:val="22"/>
        </w:rPr>
      </w:pPr>
      <w:r>
        <w:rPr>
          <w:rFonts w:ascii="Arial" w:hAnsi="Arial" w:cs="Arial"/>
          <w:sz w:val="22"/>
          <w:szCs w:val="22"/>
        </w:rPr>
        <w:t>Existe abundante evidencia empírica sobre los efectos negativos de los sistemas tributarios que generan discontinuidades en las tasas efectivas de tributación de las empresas. En Francia, Garicano et al. (2017) encuentran que las firmas se estancan en 50 empleados y evitan contratar más, con el fin de evitar una serie de regulaciones adicionales que deben enfrentar si deciden expandir su capacidad. Evidencia similar se encuentra en Portugal (</w:t>
      </w:r>
      <w:proofErr w:type="spellStart"/>
      <w:r>
        <w:rPr>
          <w:rFonts w:ascii="Arial" w:hAnsi="Arial" w:cs="Arial"/>
          <w:sz w:val="22"/>
          <w:szCs w:val="22"/>
        </w:rPr>
        <w:t>Braguinsky</w:t>
      </w:r>
      <w:proofErr w:type="spellEnd"/>
      <w:r>
        <w:rPr>
          <w:rFonts w:ascii="Arial" w:hAnsi="Arial" w:cs="Arial"/>
          <w:sz w:val="22"/>
          <w:szCs w:val="22"/>
        </w:rPr>
        <w:t xml:space="preserve"> et al. 2011), </w:t>
      </w:r>
      <w:proofErr w:type="spellStart"/>
      <w:r>
        <w:rPr>
          <w:rFonts w:ascii="Arial" w:hAnsi="Arial" w:cs="Arial"/>
          <w:sz w:val="22"/>
          <w:szCs w:val="22"/>
        </w:rPr>
        <w:t>Espa</w:t>
      </w:r>
      <w:r>
        <w:rPr>
          <w:rFonts w:ascii="Arial" w:hAnsi="Arial" w:cs="Arial"/>
          <w:sz w:val="22"/>
          <w:szCs w:val="22"/>
          <w:lang w:val="es-ES_tradnl"/>
        </w:rPr>
        <w:t>ña</w:t>
      </w:r>
      <w:proofErr w:type="spellEnd"/>
      <w:r>
        <w:rPr>
          <w:rFonts w:ascii="Arial" w:hAnsi="Arial" w:cs="Arial"/>
          <w:sz w:val="22"/>
          <w:szCs w:val="22"/>
          <w:lang w:val="es-ES_tradnl"/>
        </w:rPr>
        <w:t>, (Almunia y López-Rodriguez, 2018), y Dinamarca (</w:t>
      </w:r>
      <w:proofErr w:type="spellStart"/>
      <w:r>
        <w:rPr>
          <w:rFonts w:ascii="Arial" w:hAnsi="Arial" w:cs="Arial"/>
          <w:sz w:val="22"/>
          <w:szCs w:val="22"/>
          <w:lang w:val="es-ES_tradnl"/>
        </w:rPr>
        <w:t>Kleven</w:t>
      </w:r>
      <w:proofErr w:type="spellEnd"/>
      <w:r>
        <w:rPr>
          <w:rFonts w:ascii="Arial" w:hAnsi="Arial" w:cs="Arial"/>
          <w:sz w:val="22"/>
          <w:szCs w:val="22"/>
          <w:lang w:val="es-ES_tradnl"/>
        </w:rPr>
        <w:t xml:space="preserve"> et al. 2011). En Pakistán, hasta el año 2007, la tasa de impuesto a la renta corporativa que debían pagar las firmas dependía de la relación entre ingresos y ventas. </w:t>
      </w:r>
      <w:proofErr w:type="spellStart"/>
      <w:r>
        <w:rPr>
          <w:rFonts w:ascii="Arial" w:hAnsi="Arial" w:cs="Arial"/>
          <w:sz w:val="22"/>
          <w:szCs w:val="22"/>
          <w:lang w:val="es-ES_tradnl"/>
        </w:rPr>
        <w:t>Best</w:t>
      </w:r>
      <w:proofErr w:type="spellEnd"/>
      <w:r>
        <w:rPr>
          <w:rFonts w:ascii="Arial" w:hAnsi="Arial" w:cs="Arial"/>
          <w:sz w:val="22"/>
          <w:szCs w:val="22"/>
          <w:lang w:val="es-ES_tradnl"/>
        </w:rPr>
        <w:t xml:space="preserve"> et al. (2015) encuentran un exceso significativo de masa (</w:t>
      </w:r>
      <w:proofErr w:type="spellStart"/>
      <w:r>
        <w:rPr>
          <w:rFonts w:ascii="Arial" w:hAnsi="Arial" w:cs="Arial"/>
          <w:i/>
          <w:sz w:val="22"/>
          <w:szCs w:val="22"/>
          <w:lang w:val="es-ES_tradnl"/>
        </w:rPr>
        <w:t>bunching</w:t>
      </w:r>
      <w:proofErr w:type="spellEnd"/>
      <w:r>
        <w:rPr>
          <w:rFonts w:ascii="Arial" w:hAnsi="Arial" w:cs="Arial"/>
          <w:i/>
          <w:sz w:val="22"/>
          <w:szCs w:val="22"/>
          <w:lang w:val="es-ES_tradnl"/>
        </w:rPr>
        <w:t>)</w:t>
      </w:r>
      <w:r>
        <w:rPr>
          <w:rFonts w:ascii="Arial" w:hAnsi="Arial" w:cs="Arial"/>
          <w:sz w:val="22"/>
          <w:szCs w:val="22"/>
          <w:lang w:val="es-ES_tradnl"/>
        </w:rPr>
        <w:t xml:space="preserve"> de firmas en este país, antes del umbral, para beneficiarse del impuesto mínimo en renta corporativa. Los autores, además, encuentran que el </w:t>
      </w:r>
      <w:proofErr w:type="spellStart"/>
      <w:r>
        <w:rPr>
          <w:rFonts w:ascii="Arial" w:hAnsi="Arial" w:cs="Arial"/>
          <w:i/>
          <w:sz w:val="22"/>
          <w:szCs w:val="22"/>
          <w:lang w:val="es-ES_tradnl"/>
        </w:rPr>
        <w:t>bunching</w:t>
      </w:r>
      <w:proofErr w:type="spellEnd"/>
      <w:r>
        <w:rPr>
          <w:rFonts w:ascii="Arial" w:hAnsi="Arial" w:cs="Arial"/>
          <w:sz w:val="22"/>
          <w:szCs w:val="22"/>
          <w:lang w:val="es-ES_tradnl"/>
        </w:rPr>
        <w:t xml:space="preserve"> desaparece una vez que se elimina el salto en la tasa efectiva de tributación en el año 2008. Para Brasil, Rocha et al. (2018) encuentran que eliminar el programa SIMPLES en Brasil, que introduce una discontinuidad en la tasa efectiva de tributación para firmas pequeñas y medianas en Brasil, podría tener efectos positivos sobre la productividad y el bienestar de la economía. </w:t>
      </w:r>
    </w:p>
    <w:p w14:paraId="67D180D4" w14:textId="71326EB9" w:rsidR="005C3BC2" w:rsidRPr="00F42A95" w:rsidRDefault="00E73957" w:rsidP="005C3BC2">
      <w:pPr>
        <w:pStyle w:val="FirstHeading"/>
        <w:rPr>
          <w:rFonts w:ascii="Arial" w:hAnsi="Arial" w:cs="Arial"/>
          <w:sz w:val="22"/>
          <w:szCs w:val="22"/>
          <w:lang w:val="es-ES"/>
        </w:rPr>
      </w:pPr>
      <w:bookmarkStart w:id="13" w:name="_Toc524431187"/>
      <w:r>
        <w:rPr>
          <w:rFonts w:ascii="Arial" w:hAnsi="Arial" w:cs="Arial"/>
          <w:sz w:val="22"/>
          <w:szCs w:val="22"/>
          <w:lang w:val="es-ES"/>
        </w:rPr>
        <w:t xml:space="preserve">C. </w:t>
      </w:r>
      <w:r w:rsidR="005C3BC2" w:rsidRPr="00F42A95">
        <w:rPr>
          <w:rFonts w:ascii="Arial" w:hAnsi="Arial" w:cs="Arial"/>
          <w:sz w:val="22"/>
          <w:szCs w:val="22"/>
          <w:lang w:val="es-ES"/>
        </w:rPr>
        <w:t>Metodología de la evaluación</w:t>
      </w:r>
      <w:bookmarkEnd w:id="13"/>
    </w:p>
    <w:p w14:paraId="0FD37E3A" w14:textId="549B0B2C" w:rsidR="0048224A" w:rsidRPr="00100E6A" w:rsidRDefault="0048224A" w:rsidP="0048224A">
      <w:pPr>
        <w:pStyle w:val="Paragraph"/>
        <w:rPr>
          <w:rFonts w:ascii="Arial" w:hAnsi="Arial" w:cs="Arial"/>
          <w:sz w:val="22"/>
          <w:szCs w:val="22"/>
        </w:rPr>
      </w:pPr>
      <w:r w:rsidRPr="00100E6A">
        <w:rPr>
          <w:rFonts w:ascii="Arial" w:hAnsi="Arial" w:cs="Arial"/>
          <w:sz w:val="22"/>
          <w:szCs w:val="22"/>
        </w:rPr>
        <w:t xml:space="preserve">La evaluación de los resultados será </w:t>
      </w:r>
      <w:r w:rsidR="0027703D">
        <w:rPr>
          <w:rFonts w:ascii="Arial" w:hAnsi="Arial" w:cs="Arial"/>
          <w:sz w:val="22"/>
          <w:szCs w:val="22"/>
        </w:rPr>
        <w:t>no</w:t>
      </w:r>
      <w:r w:rsidRPr="00100E6A">
        <w:rPr>
          <w:rFonts w:ascii="Arial" w:hAnsi="Arial" w:cs="Arial"/>
          <w:sz w:val="22"/>
          <w:szCs w:val="22"/>
        </w:rPr>
        <w:t xml:space="preserve"> experimental y estará basada en el método de diferencia en diferencias combinado con emparejamiento estadístico (DDM). </w:t>
      </w:r>
    </w:p>
    <w:p w14:paraId="3F9E2E71" w14:textId="77777777" w:rsidR="0048224A" w:rsidRPr="00515099" w:rsidRDefault="0048224A" w:rsidP="0048224A">
      <w:pPr>
        <w:pStyle w:val="AutoNumpara"/>
        <w:numPr>
          <w:ilvl w:val="0"/>
          <w:numId w:val="0"/>
        </w:numPr>
        <w:spacing w:before="0" w:after="0"/>
        <w:ind w:firstLine="720"/>
        <w:rPr>
          <w:rFonts w:ascii="Arial" w:hAnsi="Arial" w:cs="Arial"/>
          <w:noProof w:val="0"/>
          <w:sz w:val="22"/>
          <w:szCs w:val="22"/>
          <w:lang w:val="es-ES"/>
        </w:rPr>
      </w:pPr>
    </w:p>
    <w:p w14:paraId="326887CF" w14:textId="77777777" w:rsidR="0048224A" w:rsidRPr="00515099" w:rsidRDefault="0048224A" w:rsidP="0048224A">
      <w:pPr>
        <w:pStyle w:val="AutoNumpara"/>
        <w:numPr>
          <w:ilvl w:val="0"/>
          <w:numId w:val="0"/>
        </w:numPr>
        <w:spacing w:before="0" w:after="0"/>
        <w:ind w:firstLine="720"/>
        <w:rPr>
          <w:rFonts w:ascii="Arial" w:hAnsi="Arial" w:cs="Arial"/>
          <w:sz w:val="22"/>
          <w:lang w:val="es-ES"/>
        </w:rPr>
      </w:pPr>
      <w:r w:rsidRPr="00515099">
        <w:rPr>
          <w:rFonts w:ascii="Arial" w:hAnsi="Arial" w:cs="Arial"/>
          <w:noProof w:val="0"/>
          <w:sz w:val="22"/>
          <w:szCs w:val="22"/>
          <w:lang w:val="es-ES"/>
        </w:rPr>
        <w:t xml:space="preserve">La metodología DD es estándar y consiste en medir la diferencia entre el nivel del indicador de resultado promedio para los beneficiarios antes y después de participar en el programa, menos esta misma diferencia para el grupo de control. </w:t>
      </w:r>
      <w:r w:rsidRPr="00515099">
        <w:rPr>
          <w:rFonts w:ascii="Arial" w:hAnsi="Arial" w:cs="Arial"/>
          <w:sz w:val="22"/>
          <w:szCs w:val="22"/>
          <w:lang w:val="es-ES"/>
        </w:rPr>
        <w:t>La metodología permite capturar el efecto promedio de una intervención corrigiendo por las diferencias observables y no observables entre beneficiarios y no-beneficiarios bajo el</w:t>
      </w:r>
      <w:r w:rsidRPr="00515099">
        <w:rPr>
          <w:rFonts w:ascii="Arial" w:hAnsi="Arial" w:cs="Arial"/>
          <w:sz w:val="22"/>
          <w:lang w:val="es-ES"/>
        </w:rPr>
        <w:t xml:space="preserve"> supuesto que estas últimas sean constantes en el tiempo. La estimación de impacto bajo esta metodología se hace a partir de un modelo econométrico básico de efectos fijos:</w:t>
      </w:r>
    </w:p>
    <w:p w14:paraId="6F2ED31C" w14:textId="77777777" w:rsidR="0048224A" w:rsidRPr="00515099" w:rsidRDefault="0048224A" w:rsidP="0048224A">
      <w:pPr>
        <w:pStyle w:val="ListParagraph"/>
        <w:ind w:left="540"/>
        <w:jc w:val="both"/>
        <w:textAlignment w:val="top"/>
        <w:rPr>
          <w:rFonts w:ascii="Arial" w:hAnsi="Arial" w:cs="Arial"/>
          <w:sz w:val="22"/>
          <w:szCs w:val="24"/>
          <w:lang w:val="es-ES"/>
        </w:rPr>
      </w:pPr>
    </w:p>
    <w:p w14:paraId="7265BAE0" w14:textId="77777777" w:rsidR="0048224A" w:rsidRPr="00515099" w:rsidRDefault="0048224A" w:rsidP="0048224A">
      <w:pPr>
        <w:pStyle w:val="ListParagraph"/>
        <w:ind w:left="540"/>
        <w:jc w:val="right"/>
        <w:textAlignment w:val="top"/>
        <w:rPr>
          <w:rFonts w:ascii="Arial" w:hAnsi="Arial" w:cs="Arial"/>
          <w:sz w:val="22"/>
          <w:szCs w:val="24"/>
          <w:lang w:val="es-ES"/>
        </w:rPr>
      </w:pPr>
      <w:r w:rsidRPr="00515099">
        <w:rPr>
          <w:rFonts w:ascii="Arial" w:hAnsi="Arial" w:cs="Arial"/>
          <w:sz w:val="22"/>
          <w:szCs w:val="24"/>
          <w:lang w:val="es-ES"/>
        </w:rPr>
        <w:tab/>
      </w:r>
      <w:r w:rsidRPr="00515099">
        <w:rPr>
          <w:rFonts w:ascii="Arial" w:hAnsi="Arial" w:cs="Arial"/>
          <w:sz w:val="22"/>
          <w:szCs w:val="24"/>
          <w:lang w:val="es-ES"/>
        </w:rPr>
        <w:tab/>
      </w:r>
      <w:r w:rsidRPr="00515099">
        <w:rPr>
          <w:rFonts w:ascii="Arial" w:hAnsi="Arial" w:cs="Arial"/>
          <w:sz w:val="22"/>
          <w:szCs w:val="24"/>
          <w:lang w:val="es-ES"/>
        </w:rPr>
        <w:tab/>
      </w:r>
      <m:oMath>
        <m:sSub>
          <m:sSubPr>
            <m:ctrlPr>
              <w:rPr>
                <w:rFonts w:ascii="Cambria Math" w:hAnsi="Cambria Math" w:cs="Arial"/>
                <w:i/>
                <w:sz w:val="22"/>
                <w:szCs w:val="24"/>
                <w:lang w:val="es-ES"/>
              </w:rPr>
            </m:ctrlPr>
          </m:sSubPr>
          <m:e>
            <m:r>
              <w:rPr>
                <w:rFonts w:ascii="Cambria Math" w:hAnsi="Cambria Math" w:cs="Arial"/>
                <w:sz w:val="22"/>
                <w:szCs w:val="24"/>
                <w:lang w:val="es-ES"/>
              </w:rPr>
              <m:t>Y</m:t>
            </m:r>
          </m:e>
          <m:sub>
            <m:r>
              <w:rPr>
                <w:rFonts w:ascii="Cambria Math" w:hAnsi="Cambria Math" w:cs="Arial"/>
                <w:sz w:val="22"/>
                <w:szCs w:val="24"/>
                <w:lang w:val="es-ES"/>
              </w:rPr>
              <m:t>it</m:t>
            </m:r>
          </m:sub>
        </m:sSub>
        <m:r>
          <w:rPr>
            <w:rFonts w:ascii="Cambria Math" w:hAnsi="Cambria Math" w:cs="Arial"/>
            <w:sz w:val="22"/>
            <w:szCs w:val="24"/>
            <w:lang w:val="es-ES"/>
          </w:rPr>
          <m:t>=</m:t>
        </m:r>
        <m:sSub>
          <m:sSubPr>
            <m:ctrlPr>
              <w:rPr>
                <w:rFonts w:ascii="Cambria Math" w:hAnsi="Cambria Math" w:cs="Arial"/>
                <w:i/>
                <w:sz w:val="22"/>
                <w:szCs w:val="24"/>
                <w:lang w:val="es-ES"/>
              </w:rPr>
            </m:ctrlPr>
          </m:sSubPr>
          <m:e>
            <m:r>
              <w:rPr>
                <w:rFonts w:ascii="Cambria Math" w:hAnsi="Cambria Math" w:cs="Arial"/>
                <w:sz w:val="22"/>
                <w:szCs w:val="24"/>
                <w:lang w:val="es-ES"/>
              </w:rPr>
              <m:t>α</m:t>
            </m:r>
          </m:e>
          <m:sub>
            <m:r>
              <w:rPr>
                <w:rFonts w:ascii="Cambria Math" w:hAnsi="Cambria Math" w:cs="Arial"/>
                <w:sz w:val="22"/>
                <w:szCs w:val="24"/>
                <w:lang w:val="es-ES"/>
              </w:rPr>
              <m:t>i</m:t>
            </m:r>
          </m:sub>
        </m:sSub>
        <m:r>
          <w:rPr>
            <w:rFonts w:ascii="Cambria Math" w:hAnsi="Cambria Math" w:cs="Arial"/>
            <w:sz w:val="22"/>
            <w:szCs w:val="24"/>
            <w:lang w:val="es-ES"/>
          </w:rPr>
          <m:t>+</m:t>
        </m:r>
        <m:sSub>
          <m:sSubPr>
            <m:ctrlPr>
              <w:rPr>
                <w:rFonts w:ascii="Cambria Math" w:hAnsi="Cambria Math" w:cs="Arial"/>
                <w:i/>
                <w:sz w:val="22"/>
                <w:szCs w:val="24"/>
                <w:lang w:val="es-ES"/>
              </w:rPr>
            </m:ctrlPr>
          </m:sSubPr>
          <m:e>
            <m:r>
              <w:rPr>
                <w:rFonts w:ascii="Cambria Math" w:hAnsi="Cambria Math" w:cs="Arial"/>
                <w:sz w:val="22"/>
                <w:szCs w:val="24"/>
                <w:lang w:val="es-ES"/>
              </w:rPr>
              <m:t>λ</m:t>
            </m:r>
          </m:e>
          <m:sub>
            <m:r>
              <w:rPr>
                <w:rFonts w:ascii="Cambria Math" w:hAnsi="Cambria Math" w:cs="Arial"/>
                <w:sz w:val="22"/>
                <w:szCs w:val="24"/>
                <w:lang w:val="es-ES"/>
              </w:rPr>
              <m:t>t</m:t>
            </m:r>
          </m:sub>
        </m:sSub>
        <m:r>
          <w:rPr>
            <w:rFonts w:ascii="Cambria Math" w:hAnsi="Cambria Math" w:cs="Arial"/>
            <w:sz w:val="22"/>
            <w:szCs w:val="24"/>
            <w:lang w:val="es-ES"/>
          </w:rPr>
          <m:t>+β</m:t>
        </m:r>
        <m:sSub>
          <m:sSubPr>
            <m:ctrlPr>
              <w:rPr>
                <w:rFonts w:ascii="Cambria Math" w:hAnsi="Cambria Math" w:cs="Arial"/>
                <w:i/>
                <w:sz w:val="22"/>
                <w:szCs w:val="24"/>
                <w:lang w:val="es-ES"/>
              </w:rPr>
            </m:ctrlPr>
          </m:sSubPr>
          <m:e>
            <m:r>
              <w:rPr>
                <w:rFonts w:ascii="Cambria Math" w:hAnsi="Cambria Math" w:cs="Arial"/>
                <w:sz w:val="22"/>
                <w:szCs w:val="24"/>
                <w:lang w:val="es-ES"/>
              </w:rPr>
              <m:t>T</m:t>
            </m:r>
          </m:e>
          <m:sub>
            <m:r>
              <w:rPr>
                <w:rFonts w:ascii="Cambria Math" w:hAnsi="Cambria Math" w:cs="Arial"/>
                <w:sz w:val="22"/>
                <w:szCs w:val="24"/>
                <w:lang w:val="es-ES"/>
              </w:rPr>
              <m:t>it</m:t>
            </m:r>
          </m:sub>
        </m:sSub>
        <m:r>
          <w:rPr>
            <w:rFonts w:ascii="Cambria Math" w:hAnsi="Cambria Math" w:cs="Arial"/>
            <w:sz w:val="22"/>
            <w:szCs w:val="24"/>
            <w:lang w:val="es-ES"/>
          </w:rPr>
          <m:t>+γ</m:t>
        </m:r>
        <m:sSub>
          <m:sSubPr>
            <m:ctrlPr>
              <w:rPr>
                <w:rFonts w:ascii="Cambria Math" w:hAnsi="Cambria Math" w:cs="Arial"/>
                <w:i/>
                <w:sz w:val="22"/>
                <w:szCs w:val="24"/>
                <w:lang w:val="es-ES"/>
              </w:rPr>
            </m:ctrlPr>
          </m:sSubPr>
          <m:e>
            <m:r>
              <w:rPr>
                <w:rFonts w:ascii="Cambria Math" w:hAnsi="Cambria Math" w:cs="Arial"/>
                <w:sz w:val="22"/>
                <w:szCs w:val="24"/>
                <w:lang w:val="es-ES"/>
              </w:rPr>
              <m:t>X</m:t>
            </m:r>
          </m:e>
          <m:sub>
            <m:r>
              <w:rPr>
                <w:rFonts w:ascii="Cambria Math" w:hAnsi="Cambria Math" w:cs="Arial"/>
                <w:sz w:val="22"/>
                <w:szCs w:val="24"/>
                <w:lang w:val="es-ES"/>
              </w:rPr>
              <m:t>it</m:t>
            </m:r>
          </m:sub>
        </m:sSub>
        <m:r>
          <w:rPr>
            <w:rFonts w:ascii="Cambria Math" w:hAnsi="Cambria Math" w:cs="Arial"/>
            <w:sz w:val="22"/>
            <w:szCs w:val="24"/>
            <w:lang w:val="es-ES"/>
          </w:rPr>
          <m:t>+</m:t>
        </m:r>
        <m:sSub>
          <m:sSubPr>
            <m:ctrlPr>
              <w:rPr>
                <w:rFonts w:ascii="Cambria Math" w:hAnsi="Cambria Math" w:cs="Arial"/>
                <w:i/>
                <w:sz w:val="22"/>
                <w:szCs w:val="24"/>
                <w:lang w:val="es-ES"/>
              </w:rPr>
            </m:ctrlPr>
          </m:sSubPr>
          <m:e>
            <m:r>
              <w:rPr>
                <w:rFonts w:ascii="Cambria Math" w:hAnsi="Cambria Math" w:cs="Arial"/>
                <w:sz w:val="22"/>
                <w:szCs w:val="24"/>
                <w:lang w:val="es-ES"/>
              </w:rPr>
              <m:t>ε</m:t>
            </m:r>
          </m:e>
          <m:sub>
            <m:r>
              <w:rPr>
                <w:rFonts w:ascii="Cambria Math" w:hAnsi="Cambria Math" w:cs="Arial"/>
                <w:sz w:val="22"/>
                <w:szCs w:val="24"/>
                <w:lang w:val="es-ES"/>
              </w:rPr>
              <m:t>it</m:t>
            </m:r>
          </m:sub>
        </m:sSub>
      </m:oMath>
      <w:r w:rsidRPr="00515099">
        <w:rPr>
          <w:rFonts w:ascii="Arial" w:hAnsi="Arial" w:cs="Arial"/>
          <w:i/>
          <w:sz w:val="22"/>
          <w:szCs w:val="24"/>
          <w:lang w:val="es-ES"/>
        </w:rPr>
        <w:t xml:space="preserve"> </w:t>
      </w:r>
      <w:r w:rsidRPr="00515099">
        <w:rPr>
          <w:rFonts w:ascii="Arial" w:hAnsi="Arial" w:cs="Arial"/>
          <w:sz w:val="22"/>
          <w:szCs w:val="24"/>
          <w:lang w:val="es-ES"/>
        </w:rPr>
        <w:tab/>
      </w:r>
      <w:r w:rsidRPr="00515099">
        <w:rPr>
          <w:rFonts w:ascii="Arial" w:hAnsi="Arial" w:cs="Arial"/>
          <w:sz w:val="22"/>
          <w:szCs w:val="24"/>
          <w:lang w:val="es-ES"/>
        </w:rPr>
        <w:tab/>
      </w:r>
      <w:r w:rsidRPr="00515099">
        <w:rPr>
          <w:rFonts w:ascii="Arial" w:hAnsi="Arial" w:cs="Arial"/>
          <w:sz w:val="22"/>
          <w:szCs w:val="24"/>
          <w:lang w:val="es-ES"/>
        </w:rPr>
        <w:tab/>
        <w:t>(2)</w:t>
      </w:r>
      <w:r w:rsidRPr="00515099">
        <w:rPr>
          <w:rFonts w:ascii="Arial" w:hAnsi="Arial" w:cs="Arial"/>
          <w:sz w:val="22"/>
          <w:szCs w:val="24"/>
          <w:lang w:val="es-ES"/>
        </w:rPr>
        <w:tab/>
      </w:r>
      <w:r w:rsidRPr="00515099">
        <w:rPr>
          <w:rFonts w:ascii="Arial" w:hAnsi="Arial" w:cs="Arial"/>
          <w:sz w:val="22"/>
          <w:szCs w:val="24"/>
          <w:lang w:val="es-ES"/>
        </w:rPr>
        <w:tab/>
      </w:r>
    </w:p>
    <w:p w14:paraId="43BF1E2F" w14:textId="77777777" w:rsidR="0048224A" w:rsidRPr="00515099" w:rsidRDefault="0048224A" w:rsidP="0048224A">
      <w:pPr>
        <w:pStyle w:val="Paragraph"/>
        <w:numPr>
          <w:ilvl w:val="0"/>
          <w:numId w:val="0"/>
        </w:numPr>
        <w:suppressAutoHyphens/>
        <w:autoSpaceDN w:val="0"/>
        <w:spacing w:before="0" w:after="0"/>
        <w:ind w:firstLine="540"/>
        <w:textAlignment w:val="baseline"/>
        <w:rPr>
          <w:rFonts w:ascii="Arial" w:hAnsi="Arial" w:cs="Arial"/>
          <w:sz w:val="22"/>
        </w:rPr>
      </w:pPr>
    </w:p>
    <w:p w14:paraId="15F5BFD4" w14:textId="77777777" w:rsidR="0048224A" w:rsidRPr="00515099" w:rsidRDefault="0048224A" w:rsidP="0048224A">
      <w:pPr>
        <w:pStyle w:val="Paragraph"/>
        <w:numPr>
          <w:ilvl w:val="0"/>
          <w:numId w:val="0"/>
        </w:numPr>
        <w:suppressAutoHyphens/>
        <w:autoSpaceDN w:val="0"/>
        <w:spacing w:before="0" w:after="0"/>
        <w:ind w:firstLine="720"/>
        <w:textAlignment w:val="baseline"/>
        <w:rPr>
          <w:rFonts w:ascii="Arial" w:hAnsi="Arial" w:cs="Arial"/>
          <w:sz w:val="22"/>
        </w:rPr>
      </w:pPr>
      <w:r w:rsidRPr="00515099">
        <w:rPr>
          <w:rFonts w:ascii="Arial" w:hAnsi="Arial" w:cs="Arial"/>
          <w:sz w:val="22"/>
        </w:rPr>
        <w:t xml:space="preserve">donde </w:t>
      </w:r>
      <m:oMath>
        <m:sSub>
          <m:sSubPr>
            <m:ctrlPr>
              <w:rPr>
                <w:rFonts w:ascii="Cambria Math" w:hAnsi="Cambria Math" w:cs="Arial"/>
                <w:sz w:val="22"/>
              </w:rPr>
            </m:ctrlPr>
          </m:sSubPr>
          <m:e>
            <m:r>
              <w:rPr>
                <w:rFonts w:ascii="Cambria Math" w:hAnsi="Cambria Math" w:cs="Arial"/>
                <w:sz w:val="22"/>
              </w:rPr>
              <m:t>Y</m:t>
            </m:r>
          </m:e>
          <m:sub>
            <m:r>
              <w:rPr>
                <w:rFonts w:ascii="Cambria Math" w:hAnsi="Cambria Math" w:cs="Arial"/>
                <w:sz w:val="22"/>
              </w:rPr>
              <m:t>it</m:t>
            </m:r>
          </m:sub>
        </m:sSub>
      </m:oMath>
      <w:r w:rsidRPr="00515099">
        <w:rPr>
          <w:rFonts w:ascii="Arial" w:hAnsi="Arial" w:cs="Arial"/>
          <w:sz w:val="22"/>
        </w:rPr>
        <w:t xml:space="preserve"> es el indicador de resultado del buscador </w:t>
      </w:r>
      <w:r w:rsidRPr="00515099">
        <w:rPr>
          <w:rFonts w:ascii="Arial" w:hAnsi="Arial" w:cs="Arial"/>
          <w:i/>
          <w:iCs/>
          <w:sz w:val="22"/>
        </w:rPr>
        <w:t xml:space="preserve">i </w:t>
      </w:r>
      <w:r w:rsidRPr="00515099">
        <w:rPr>
          <w:rFonts w:ascii="Arial" w:hAnsi="Arial" w:cs="Arial"/>
          <w:sz w:val="22"/>
        </w:rPr>
        <w:t xml:space="preserve">en el periodo </w:t>
      </w:r>
      <w:r w:rsidRPr="00515099">
        <w:rPr>
          <w:rFonts w:ascii="Arial" w:hAnsi="Arial" w:cs="Arial"/>
          <w:i/>
          <w:iCs/>
          <w:sz w:val="22"/>
        </w:rPr>
        <w:t>t</w:t>
      </w:r>
      <w:r w:rsidRPr="00515099">
        <w:rPr>
          <w:rFonts w:ascii="Arial" w:hAnsi="Arial" w:cs="Arial"/>
          <w:sz w:val="22"/>
        </w:rPr>
        <w:t xml:space="preserve">, </w:t>
      </w:r>
      <m:oMath>
        <m:sSub>
          <m:sSubPr>
            <m:ctrlPr>
              <w:rPr>
                <w:rFonts w:ascii="Cambria Math" w:hAnsi="Cambria Math" w:cs="Arial"/>
                <w:sz w:val="22"/>
              </w:rPr>
            </m:ctrlPr>
          </m:sSubPr>
          <m:e>
            <m:r>
              <w:rPr>
                <w:rFonts w:ascii="Cambria Math" w:hAnsi="Cambria Math" w:cs="Arial"/>
                <w:sz w:val="22"/>
              </w:rPr>
              <m:t>T</m:t>
            </m:r>
          </m:e>
          <m:sub>
            <m:r>
              <w:rPr>
                <w:rFonts w:ascii="Cambria Math" w:hAnsi="Cambria Math" w:cs="Arial"/>
                <w:sz w:val="22"/>
              </w:rPr>
              <m:t>it</m:t>
            </m:r>
          </m:sub>
        </m:sSub>
      </m:oMath>
      <w:r w:rsidRPr="00515099">
        <w:rPr>
          <w:rFonts w:ascii="Arial" w:hAnsi="Arial" w:cs="Arial"/>
          <w:sz w:val="22"/>
        </w:rPr>
        <w:t xml:space="preserve">es una variable dicotómica que toma el valor de 1 si el buscador </w:t>
      </w:r>
      <w:r w:rsidRPr="00515099">
        <w:rPr>
          <w:rFonts w:ascii="Arial" w:hAnsi="Arial" w:cs="Arial"/>
          <w:i/>
          <w:sz w:val="22"/>
        </w:rPr>
        <w:t>i</w:t>
      </w:r>
      <w:r w:rsidRPr="00515099">
        <w:rPr>
          <w:rFonts w:ascii="Arial" w:hAnsi="Arial" w:cs="Arial"/>
          <w:sz w:val="22"/>
        </w:rPr>
        <w:t xml:space="preserve"> ha recibido tratamiento en el periodo t y 0 sino; </w:t>
      </w:r>
      <m:oMath>
        <m:sSub>
          <m:sSubPr>
            <m:ctrlPr>
              <w:rPr>
                <w:rFonts w:ascii="Cambria Math" w:hAnsi="Cambria Math" w:cs="Arial"/>
                <w:sz w:val="22"/>
              </w:rPr>
            </m:ctrlPr>
          </m:sSubPr>
          <m:e>
            <m:r>
              <w:rPr>
                <w:rFonts w:ascii="Cambria Math" w:hAnsi="Cambria Math" w:cs="Arial"/>
                <w:sz w:val="22"/>
              </w:rPr>
              <m:t>λ</m:t>
            </m:r>
          </m:e>
          <m:sub>
            <m:r>
              <w:rPr>
                <w:rFonts w:ascii="Cambria Math" w:hAnsi="Cambria Math" w:cs="Arial"/>
                <w:sz w:val="22"/>
              </w:rPr>
              <m:t>t</m:t>
            </m:r>
          </m:sub>
        </m:sSub>
      </m:oMath>
      <w:r w:rsidRPr="00515099">
        <w:rPr>
          <w:rFonts w:ascii="Arial" w:hAnsi="Arial" w:cs="Arial"/>
          <w:sz w:val="22"/>
        </w:rPr>
        <w:t xml:space="preserve"> son los efectos de tiempo comunes a todas las unidades del análisis; </w:t>
      </w:r>
      <m:oMath>
        <m:sSub>
          <m:sSubPr>
            <m:ctrlPr>
              <w:rPr>
                <w:rFonts w:ascii="Cambria Math" w:hAnsi="Cambria Math" w:cs="Arial"/>
                <w:sz w:val="22"/>
              </w:rPr>
            </m:ctrlPr>
          </m:sSubPr>
          <m:e>
            <m:r>
              <w:rPr>
                <w:rFonts w:ascii="Cambria Math" w:hAnsi="Cambria Math" w:cs="Arial"/>
                <w:sz w:val="22"/>
              </w:rPr>
              <m:t>X</m:t>
            </m:r>
          </m:e>
          <m:sub>
            <m:r>
              <w:rPr>
                <w:rFonts w:ascii="Cambria Math" w:hAnsi="Cambria Math" w:cs="Arial"/>
                <w:sz w:val="22"/>
              </w:rPr>
              <m:t>it</m:t>
            </m:r>
          </m:sub>
        </m:sSub>
      </m:oMath>
      <w:r w:rsidRPr="00515099">
        <w:rPr>
          <w:rFonts w:ascii="Arial" w:hAnsi="Arial" w:cs="Arial"/>
          <w:sz w:val="22"/>
        </w:rPr>
        <w:t xml:space="preserve"> es un vector de variables de control observables; </w:t>
      </w:r>
      <m:oMath>
        <m:sSub>
          <m:sSubPr>
            <m:ctrlPr>
              <w:rPr>
                <w:rFonts w:ascii="Cambria Math" w:hAnsi="Cambria Math" w:cs="Arial"/>
                <w:sz w:val="22"/>
              </w:rPr>
            </m:ctrlPr>
          </m:sSubPr>
          <m:e>
            <m:r>
              <w:rPr>
                <w:rFonts w:ascii="Cambria Math" w:hAnsi="Cambria Math" w:cs="Arial"/>
                <w:sz w:val="22"/>
              </w:rPr>
              <m:t>α</m:t>
            </m:r>
          </m:e>
          <m:sub>
            <m:r>
              <w:rPr>
                <w:rFonts w:ascii="Cambria Math" w:hAnsi="Cambria Math" w:cs="Arial"/>
                <w:sz w:val="22"/>
              </w:rPr>
              <m:t>i</m:t>
            </m:r>
          </m:sub>
        </m:sSub>
      </m:oMath>
      <w:r w:rsidRPr="00515099">
        <w:rPr>
          <w:rFonts w:ascii="Arial" w:hAnsi="Arial" w:cs="Arial"/>
          <w:sz w:val="22"/>
        </w:rPr>
        <w:t xml:space="preserve"> es el efecto fijo por individuo que controla por todas aquellas diferencias que varían entre individuos pero están fijas en el tiempo; y </w:t>
      </w:r>
      <m:oMath>
        <m:sSub>
          <m:sSubPr>
            <m:ctrlPr>
              <w:rPr>
                <w:rFonts w:ascii="Cambria Math" w:hAnsi="Cambria Math" w:cs="Arial"/>
                <w:sz w:val="22"/>
              </w:rPr>
            </m:ctrlPr>
          </m:sSubPr>
          <m:e>
            <m:r>
              <w:rPr>
                <w:rFonts w:ascii="Cambria Math" w:hAnsi="Cambria Math" w:cs="Arial"/>
                <w:sz w:val="22"/>
              </w:rPr>
              <m:t>ε</m:t>
            </m:r>
          </m:e>
          <m:sub>
            <m:r>
              <w:rPr>
                <w:rFonts w:ascii="Cambria Math" w:hAnsi="Cambria Math" w:cs="Arial"/>
                <w:sz w:val="22"/>
              </w:rPr>
              <m:t>it</m:t>
            </m:r>
          </m:sub>
        </m:sSub>
        <m:r>
          <w:rPr>
            <w:rFonts w:ascii="Cambria Math" w:hAnsi="Cambria Math" w:cs="Arial"/>
            <w:sz w:val="22"/>
          </w:rPr>
          <m:t xml:space="preserve"> </m:t>
        </m:r>
      </m:oMath>
      <w:r w:rsidRPr="00515099">
        <w:rPr>
          <w:rFonts w:ascii="Arial" w:hAnsi="Arial" w:cs="Arial"/>
          <w:sz w:val="22"/>
        </w:rPr>
        <w:t xml:space="preserve">es el término de error. El efecto del tratamiento es capturado por </w:t>
      </w:r>
      <m:oMath>
        <m:r>
          <w:rPr>
            <w:rFonts w:ascii="Cambria Math" w:hAnsi="Cambria Math" w:cs="Arial"/>
            <w:sz w:val="22"/>
          </w:rPr>
          <m:t>β</m:t>
        </m:r>
      </m:oMath>
      <w:r w:rsidRPr="00515099">
        <w:rPr>
          <w:rFonts w:ascii="Arial" w:hAnsi="Arial" w:cs="Arial"/>
          <w:sz w:val="22"/>
        </w:rPr>
        <w:t>.</w:t>
      </w:r>
    </w:p>
    <w:p w14:paraId="0FCCD7D3" w14:textId="77777777" w:rsidR="0048224A" w:rsidRPr="00515099" w:rsidRDefault="0048224A" w:rsidP="0048224A">
      <w:pPr>
        <w:pStyle w:val="Paragraph"/>
        <w:numPr>
          <w:ilvl w:val="0"/>
          <w:numId w:val="0"/>
        </w:numPr>
        <w:suppressAutoHyphens/>
        <w:autoSpaceDN w:val="0"/>
        <w:spacing w:before="0" w:after="0"/>
        <w:ind w:firstLine="540"/>
        <w:textAlignment w:val="baseline"/>
        <w:rPr>
          <w:rFonts w:ascii="Arial" w:hAnsi="Arial" w:cs="Arial"/>
          <w:sz w:val="22"/>
        </w:rPr>
      </w:pPr>
    </w:p>
    <w:p w14:paraId="408068C8" w14:textId="2295041D" w:rsidR="0048224A" w:rsidRPr="00515099" w:rsidRDefault="0048224A" w:rsidP="0048224A">
      <w:pPr>
        <w:pStyle w:val="Paragraph"/>
        <w:numPr>
          <w:ilvl w:val="0"/>
          <w:numId w:val="0"/>
        </w:numPr>
        <w:suppressAutoHyphens/>
        <w:autoSpaceDN w:val="0"/>
        <w:spacing w:before="0" w:after="0"/>
        <w:ind w:firstLine="720"/>
        <w:textAlignment w:val="baseline"/>
        <w:rPr>
          <w:rFonts w:ascii="Arial" w:hAnsi="Arial" w:cs="Arial"/>
          <w:sz w:val="22"/>
        </w:rPr>
      </w:pPr>
      <w:r w:rsidRPr="00515099">
        <w:rPr>
          <w:rFonts w:ascii="Arial" w:hAnsi="Arial" w:cs="Arial"/>
          <w:sz w:val="22"/>
        </w:rPr>
        <w:t>El DD puede ser fortalecido cuando es combinado con métodos de emparejamiento estadístico. El modelo de DD requiere que, en ausencia del tratamiento, la variable de resultado para el grupo de beneficiarios y de comparación tenga la misma tendencia</w:t>
      </w:r>
      <w:r w:rsidRPr="00515099">
        <w:rPr>
          <w:rStyle w:val="FootnoteReference"/>
          <w:rFonts w:ascii="Arial" w:hAnsi="Arial" w:cs="Arial"/>
          <w:sz w:val="22"/>
        </w:rPr>
        <w:footnoteReference w:id="12"/>
      </w:r>
      <w:r w:rsidRPr="00515099">
        <w:rPr>
          <w:rFonts w:ascii="Arial" w:hAnsi="Arial" w:cs="Arial"/>
          <w:sz w:val="22"/>
        </w:rPr>
        <w:t>. A pesar de que este supuesto no se puede testear, una práctica aceptada para fortalecer la credibilidad de este supuesto consiste en mostrar que estas tendencias eran iguales antes del periodo de tratamiento. Por este motivo se utilizarán métodos de emparejamiento estadístico para identificar un grupo no tratado de buscadores que sea similar a los buscadores que reciben los beneficios del programa en todas las variables pretratamiento relevantes, incluyendo de ser posible las tendencias pre-tratamiento de las variables de resultados. Así, considerando una cohorte específica de beneficiarios, se definirá el año anterior al tratamiento como el año base y por cada buscador en el grupo de beneficiarios y de control se estimará la probabilidad condicional de participar utilizando el siguiente modelo:</w:t>
      </w:r>
    </w:p>
    <w:p w14:paraId="1940A42A" w14:textId="77777777" w:rsidR="0048224A" w:rsidRPr="00515099" w:rsidRDefault="0048224A" w:rsidP="0048224A">
      <w:pPr>
        <w:pStyle w:val="ListParagraph"/>
        <w:ind w:left="540"/>
        <w:jc w:val="both"/>
        <w:textAlignment w:val="top"/>
        <w:rPr>
          <w:rFonts w:ascii="Arial" w:hAnsi="Arial" w:cs="Arial"/>
          <w:sz w:val="22"/>
          <w:szCs w:val="24"/>
          <w:lang w:val="es-ES"/>
        </w:rPr>
      </w:pPr>
    </w:p>
    <w:p w14:paraId="5FE69B20" w14:textId="77777777" w:rsidR="0048224A" w:rsidRPr="00515099" w:rsidRDefault="0048224A" w:rsidP="0048224A">
      <w:pPr>
        <w:ind w:left="720"/>
        <w:jc w:val="right"/>
        <w:textAlignment w:val="top"/>
        <w:rPr>
          <w:rFonts w:ascii="Arial" w:hAnsi="Arial" w:cs="Arial"/>
          <w:sz w:val="22"/>
          <w:szCs w:val="24"/>
          <w:lang w:val="es-ES"/>
        </w:rPr>
      </w:pPr>
      <m:oMath>
        <m:r>
          <w:rPr>
            <w:rFonts w:ascii="Cambria Math" w:hAnsi="Cambria Math" w:cs="Arial"/>
            <w:sz w:val="22"/>
            <w:szCs w:val="24"/>
            <w:lang w:val="es-ES"/>
          </w:rPr>
          <m:t>P</m:t>
        </m:r>
        <m:d>
          <m:dPr>
            <m:ctrlPr>
              <w:rPr>
                <w:rFonts w:ascii="Cambria Math" w:hAnsi="Cambria Math" w:cs="Arial"/>
                <w:sz w:val="22"/>
                <w:szCs w:val="24"/>
                <w:lang w:val="es-ES"/>
              </w:rPr>
            </m:ctrlPr>
          </m:dPr>
          <m:e>
            <m:sSub>
              <m:sSubPr>
                <m:ctrlPr>
                  <w:rPr>
                    <w:rFonts w:ascii="Cambria Math" w:hAnsi="Cambria Math" w:cs="Arial"/>
                    <w:sz w:val="22"/>
                    <w:szCs w:val="24"/>
                    <w:lang w:val="es-ES"/>
                  </w:rPr>
                </m:ctrlPr>
              </m:sSubPr>
              <m:e>
                <m:r>
                  <w:rPr>
                    <w:rFonts w:ascii="Cambria Math" w:hAnsi="Cambria Math" w:cs="Arial"/>
                    <w:sz w:val="22"/>
                    <w:szCs w:val="24"/>
                    <w:lang w:val="es-ES"/>
                  </w:rPr>
                  <m:t>T</m:t>
                </m:r>
              </m:e>
              <m:sub>
                <m:r>
                  <w:rPr>
                    <w:rFonts w:ascii="Cambria Math" w:hAnsi="Cambria Math" w:cs="Arial"/>
                    <w:sz w:val="22"/>
                    <w:szCs w:val="24"/>
                    <w:lang w:val="es-ES"/>
                  </w:rPr>
                  <m:t>it</m:t>
                </m:r>
              </m:sub>
            </m:sSub>
            <m:r>
              <m:rPr>
                <m:sty m:val="p"/>
              </m:rPr>
              <w:rPr>
                <w:rFonts w:ascii="Cambria Math" w:hAnsi="Cambria Math" w:cs="Arial"/>
                <w:sz w:val="22"/>
                <w:szCs w:val="24"/>
                <w:lang w:val="es-ES"/>
              </w:rPr>
              <m:t>=1|</m:t>
            </m:r>
            <m:sSub>
              <m:sSubPr>
                <m:ctrlPr>
                  <w:rPr>
                    <w:rFonts w:ascii="Cambria Math" w:hAnsi="Cambria Math" w:cs="Arial"/>
                    <w:sz w:val="22"/>
                    <w:szCs w:val="24"/>
                    <w:lang w:val="es-ES"/>
                  </w:rPr>
                </m:ctrlPr>
              </m:sSubPr>
              <m:e>
                <m:r>
                  <w:rPr>
                    <w:rFonts w:ascii="Cambria Math" w:hAnsi="Cambria Math" w:cs="Arial"/>
                    <w:sz w:val="22"/>
                    <w:szCs w:val="24"/>
                    <w:lang w:val="es-ES"/>
                  </w:rPr>
                  <m:t>Z</m:t>
                </m:r>
              </m:e>
              <m:sub>
                <m:r>
                  <w:rPr>
                    <w:rFonts w:ascii="Cambria Math" w:hAnsi="Cambria Math" w:cs="Arial"/>
                    <w:sz w:val="22"/>
                    <w:szCs w:val="24"/>
                    <w:lang w:val="es-ES"/>
                  </w:rPr>
                  <m:t>it</m:t>
                </m:r>
              </m:sub>
            </m:sSub>
            <m:r>
              <m:rPr>
                <m:sty m:val="p"/>
              </m:rPr>
              <w:rPr>
                <w:rFonts w:ascii="Cambria Math" w:hAnsi="Cambria Math" w:cs="Arial"/>
                <w:sz w:val="22"/>
                <w:szCs w:val="24"/>
                <w:lang w:val="es-ES"/>
              </w:rPr>
              <m:t>,</m:t>
            </m:r>
            <m:sSubSup>
              <m:sSubSupPr>
                <m:ctrlPr>
                  <w:rPr>
                    <w:rFonts w:ascii="Cambria Math" w:hAnsi="Cambria Math" w:cs="Arial"/>
                    <w:sz w:val="22"/>
                    <w:szCs w:val="24"/>
                    <w:lang w:val="es-ES"/>
                  </w:rPr>
                </m:ctrlPr>
              </m:sSubSupPr>
              <m:e>
                <m:r>
                  <w:rPr>
                    <w:rFonts w:ascii="Cambria Math" w:hAnsi="Cambria Math" w:cs="Arial"/>
                    <w:sz w:val="22"/>
                    <w:szCs w:val="24"/>
                    <w:lang w:val="es-ES"/>
                  </w:rPr>
                  <m:t>Y</m:t>
                </m:r>
              </m:e>
              <m:sub>
                <m:r>
                  <w:rPr>
                    <w:rFonts w:ascii="Cambria Math" w:hAnsi="Cambria Math" w:cs="Arial"/>
                    <w:sz w:val="22"/>
                    <w:szCs w:val="24"/>
                    <w:lang w:val="es-ES"/>
                  </w:rPr>
                  <m:t>it</m:t>
                </m:r>
              </m:sub>
              <m:sup>
                <m:r>
                  <w:rPr>
                    <w:rFonts w:ascii="Cambria Math" w:hAnsi="Cambria Math" w:cs="Arial"/>
                    <w:sz w:val="22"/>
                    <w:szCs w:val="24"/>
                    <w:lang w:val="es-ES"/>
                  </w:rPr>
                  <m:t>l</m:t>
                </m:r>
              </m:sup>
            </m:sSubSup>
          </m:e>
        </m:d>
        <m:r>
          <m:rPr>
            <m:sty m:val="p"/>
          </m:rPr>
          <w:rPr>
            <w:rFonts w:ascii="Cambria Math" w:hAnsi="Cambria Math" w:cs="Arial"/>
            <w:sz w:val="22"/>
            <w:szCs w:val="24"/>
            <w:lang w:val="es-ES"/>
          </w:rPr>
          <m:t>=Φ</m:t>
        </m:r>
        <m:d>
          <m:dPr>
            <m:ctrlPr>
              <w:rPr>
                <w:rFonts w:ascii="Cambria Math" w:hAnsi="Cambria Math" w:cs="Arial"/>
                <w:sz w:val="22"/>
                <w:szCs w:val="24"/>
                <w:lang w:val="es-ES"/>
              </w:rPr>
            </m:ctrlPr>
          </m:dPr>
          <m:e>
            <m:r>
              <w:rPr>
                <w:rFonts w:ascii="Cambria Math" w:hAnsi="Cambria Math" w:cs="Arial"/>
                <w:sz w:val="22"/>
                <w:szCs w:val="24"/>
                <w:lang w:val="es-ES"/>
              </w:rPr>
              <m:t>θ</m:t>
            </m:r>
            <m:sSub>
              <m:sSubPr>
                <m:ctrlPr>
                  <w:rPr>
                    <w:rFonts w:ascii="Cambria Math" w:hAnsi="Cambria Math" w:cs="Arial"/>
                    <w:sz w:val="22"/>
                    <w:szCs w:val="24"/>
                    <w:lang w:val="es-ES"/>
                  </w:rPr>
                </m:ctrlPr>
              </m:sSubPr>
              <m:e>
                <m:r>
                  <w:rPr>
                    <w:rFonts w:ascii="Cambria Math" w:hAnsi="Cambria Math" w:cs="Arial"/>
                    <w:sz w:val="22"/>
                    <w:szCs w:val="24"/>
                    <w:lang w:val="es-ES"/>
                  </w:rPr>
                  <m:t>Z</m:t>
                </m:r>
              </m:e>
              <m:sub>
                <m:r>
                  <w:rPr>
                    <w:rFonts w:ascii="Cambria Math" w:hAnsi="Cambria Math" w:cs="Arial"/>
                    <w:sz w:val="22"/>
                    <w:szCs w:val="24"/>
                    <w:lang w:val="es-ES"/>
                  </w:rPr>
                  <m:t>it</m:t>
                </m:r>
              </m:sub>
            </m:sSub>
            <m:r>
              <m:rPr>
                <m:sty m:val="p"/>
              </m:rPr>
              <w:rPr>
                <w:rFonts w:ascii="Cambria Math" w:hAnsi="Cambria Math" w:cs="Arial"/>
                <w:sz w:val="22"/>
                <w:szCs w:val="24"/>
                <w:lang w:val="es-ES"/>
              </w:rPr>
              <m:t>+</m:t>
            </m:r>
            <m:r>
              <w:rPr>
                <w:rFonts w:ascii="Cambria Math" w:hAnsi="Cambria Math" w:cs="Arial"/>
                <w:sz w:val="22"/>
                <w:szCs w:val="24"/>
                <w:lang w:val="es-ES"/>
              </w:rPr>
              <m:t>λ</m:t>
            </m:r>
            <m:sSubSup>
              <m:sSubSupPr>
                <m:ctrlPr>
                  <w:rPr>
                    <w:rFonts w:ascii="Cambria Math" w:hAnsi="Cambria Math" w:cs="Arial"/>
                    <w:sz w:val="22"/>
                    <w:szCs w:val="24"/>
                    <w:lang w:val="es-ES"/>
                  </w:rPr>
                </m:ctrlPr>
              </m:sSubSupPr>
              <m:e>
                <m:r>
                  <w:rPr>
                    <w:rFonts w:ascii="Cambria Math" w:hAnsi="Cambria Math" w:cs="Arial"/>
                    <w:sz w:val="22"/>
                    <w:szCs w:val="24"/>
                    <w:lang w:val="es-ES"/>
                  </w:rPr>
                  <m:t>Y</m:t>
                </m:r>
              </m:e>
              <m:sub>
                <m:r>
                  <w:rPr>
                    <w:rFonts w:ascii="Cambria Math" w:hAnsi="Cambria Math" w:cs="Arial"/>
                    <w:sz w:val="22"/>
                    <w:szCs w:val="24"/>
                    <w:lang w:val="es-ES"/>
                  </w:rPr>
                  <m:t>it</m:t>
                </m:r>
              </m:sub>
              <m:sup>
                <m:r>
                  <w:rPr>
                    <w:rFonts w:ascii="Cambria Math" w:hAnsi="Cambria Math" w:cs="Arial"/>
                    <w:sz w:val="22"/>
                    <w:szCs w:val="24"/>
                    <w:lang w:val="es-ES"/>
                  </w:rPr>
                  <m:t>l</m:t>
                </m:r>
              </m:sup>
            </m:sSubSup>
          </m:e>
        </m:d>
      </m:oMath>
      <w:r w:rsidRPr="00515099">
        <w:rPr>
          <w:rFonts w:ascii="Arial" w:hAnsi="Arial" w:cs="Arial"/>
          <w:sz w:val="22"/>
          <w:szCs w:val="24"/>
          <w:lang w:val="es-ES"/>
        </w:rPr>
        <w:tab/>
      </w:r>
      <w:r w:rsidRPr="00515099">
        <w:rPr>
          <w:rFonts w:ascii="Arial" w:hAnsi="Arial" w:cs="Arial"/>
          <w:sz w:val="22"/>
          <w:szCs w:val="24"/>
          <w:lang w:val="es-ES"/>
        </w:rPr>
        <w:tab/>
      </w:r>
      <w:r w:rsidRPr="00515099">
        <w:rPr>
          <w:rFonts w:ascii="Arial" w:hAnsi="Arial" w:cs="Arial"/>
          <w:sz w:val="22"/>
          <w:szCs w:val="24"/>
          <w:lang w:val="es-ES"/>
        </w:rPr>
        <w:tab/>
        <w:t>(3)</w:t>
      </w:r>
      <w:r w:rsidRPr="00515099">
        <w:rPr>
          <w:rFonts w:ascii="Arial" w:hAnsi="Arial" w:cs="Arial"/>
          <w:sz w:val="22"/>
          <w:szCs w:val="24"/>
          <w:lang w:val="es-ES"/>
        </w:rPr>
        <w:tab/>
      </w:r>
      <w:r w:rsidRPr="00515099">
        <w:rPr>
          <w:rFonts w:ascii="Arial" w:hAnsi="Arial" w:cs="Arial"/>
          <w:sz w:val="22"/>
          <w:szCs w:val="24"/>
          <w:lang w:val="es-ES"/>
        </w:rPr>
        <w:tab/>
      </w:r>
    </w:p>
    <w:p w14:paraId="2CD9F97C" w14:textId="77777777" w:rsidR="0048224A" w:rsidRPr="00515099" w:rsidRDefault="0048224A" w:rsidP="0048224A">
      <w:pPr>
        <w:jc w:val="both"/>
        <w:rPr>
          <w:rFonts w:ascii="Arial" w:hAnsi="Arial" w:cs="Arial"/>
          <w:sz w:val="22"/>
          <w:szCs w:val="24"/>
          <w:lang w:val="es-ES"/>
        </w:rPr>
      </w:pPr>
    </w:p>
    <w:p w14:paraId="4B69F0E8" w14:textId="2D9F4FC5" w:rsidR="005C3BC2" w:rsidRDefault="0048224A" w:rsidP="0048224A">
      <w:pPr>
        <w:jc w:val="both"/>
        <w:rPr>
          <w:rFonts w:ascii="Arial" w:hAnsi="Arial" w:cs="Arial"/>
          <w:sz w:val="22"/>
        </w:rPr>
      </w:pPr>
      <w:r w:rsidRPr="00515099">
        <w:rPr>
          <w:rFonts w:ascii="Arial" w:hAnsi="Arial" w:cs="Arial"/>
          <w:sz w:val="22"/>
        </w:rPr>
        <w:t xml:space="preserve">donde Z es un vector de variables de control; </w:t>
      </w:r>
      <m:oMath>
        <m:sSup>
          <m:sSupPr>
            <m:ctrlPr>
              <w:rPr>
                <w:rFonts w:ascii="Cambria Math" w:hAnsi="Cambria Math" w:cs="Arial"/>
                <w:i/>
                <w:sz w:val="22"/>
              </w:rPr>
            </m:ctrlPr>
          </m:sSupPr>
          <m:e>
            <m:r>
              <w:rPr>
                <w:rFonts w:ascii="Cambria Math" w:hAnsi="Cambria Math" w:cs="Arial"/>
                <w:sz w:val="22"/>
              </w:rPr>
              <m:t>Y</m:t>
            </m:r>
          </m:e>
          <m:sup>
            <m:r>
              <w:rPr>
                <w:rFonts w:ascii="Cambria Math" w:hAnsi="Cambria Math" w:cs="Arial"/>
                <w:sz w:val="22"/>
              </w:rPr>
              <m:t>l</m:t>
            </m:r>
          </m:sup>
        </m:sSup>
      </m:oMath>
      <w:r w:rsidRPr="00515099">
        <w:rPr>
          <w:rFonts w:ascii="Arial" w:hAnsi="Arial" w:cs="Arial"/>
          <w:sz w:val="22"/>
        </w:rPr>
        <w:t xml:space="preserve"> es un vector de </w:t>
      </w:r>
      <w:r w:rsidRPr="00515099">
        <w:rPr>
          <w:rFonts w:ascii="Arial" w:hAnsi="Arial" w:cs="Arial"/>
          <w:i/>
          <w:sz w:val="22"/>
        </w:rPr>
        <w:t>k</w:t>
      </w:r>
      <w:r w:rsidRPr="00515099">
        <w:rPr>
          <w:rFonts w:ascii="Arial" w:hAnsi="Arial" w:cs="Arial"/>
          <w:sz w:val="22"/>
        </w:rPr>
        <w:t xml:space="preserve"> rezagos de la variable de resultado, </w:t>
      </w:r>
      <m:oMath>
        <m:d>
          <m:dPr>
            <m:ctrlPr>
              <w:rPr>
                <w:rFonts w:ascii="Cambria Math" w:hAnsi="Cambria Math" w:cs="Arial"/>
                <w:i/>
                <w:sz w:val="22"/>
              </w:rPr>
            </m:ctrlPr>
          </m:dPr>
          <m:e>
            <m:sSub>
              <m:sSubPr>
                <m:ctrlPr>
                  <w:rPr>
                    <w:rFonts w:ascii="Cambria Math" w:hAnsi="Cambria Math" w:cs="Arial"/>
                    <w:i/>
                    <w:sz w:val="22"/>
                  </w:rPr>
                </m:ctrlPr>
              </m:sSubPr>
              <m:e>
                <m:r>
                  <w:rPr>
                    <w:rFonts w:ascii="Cambria Math" w:hAnsi="Cambria Math" w:cs="Arial"/>
                    <w:sz w:val="22"/>
                  </w:rPr>
                  <m:t>Y</m:t>
                </m:r>
              </m:e>
              <m:sub>
                <m:r>
                  <w:rPr>
                    <w:rFonts w:ascii="Cambria Math" w:hAnsi="Cambria Math" w:cs="Arial"/>
                    <w:sz w:val="22"/>
                  </w:rPr>
                  <m:t>it-1</m:t>
                </m:r>
              </m:sub>
            </m:sSub>
            <m:r>
              <w:rPr>
                <w:rFonts w:ascii="Cambria Math" w:hAnsi="Cambria Math" w:cs="Arial"/>
                <w:sz w:val="22"/>
              </w:rPr>
              <m:t>,</m:t>
            </m:r>
            <m:sSub>
              <m:sSubPr>
                <m:ctrlPr>
                  <w:rPr>
                    <w:rFonts w:ascii="Cambria Math" w:hAnsi="Cambria Math" w:cs="Arial"/>
                    <w:i/>
                    <w:sz w:val="22"/>
                  </w:rPr>
                </m:ctrlPr>
              </m:sSubPr>
              <m:e>
                <m:r>
                  <w:rPr>
                    <w:rFonts w:ascii="Cambria Math" w:hAnsi="Cambria Math" w:cs="Arial"/>
                    <w:sz w:val="22"/>
                  </w:rPr>
                  <m:t>Y</m:t>
                </m:r>
              </m:e>
              <m:sub>
                <m:r>
                  <w:rPr>
                    <w:rFonts w:ascii="Cambria Math" w:hAnsi="Cambria Math" w:cs="Arial"/>
                    <w:sz w:val="22"/>
                  </w:rPr>
                  <m:t>it-k</m:t>
                </m:r>
              </m:sub>
            </m:sSub>
          </m:e>
        </m:d>
      </m:oMath>
      <w:r w:rsidRPr="00515099">
        <w:rPr>
          <w:rFonts w:ascii="Arial" w:hAnsi="Arial" w:cs="Arial"/>
          <w:sz w:val="22"/>
        </w:rPr>
        <w:t xml:space="preserve">, y </w:t>
      </w:r>
      <m:oMath>
        <m:r>
          <m:rPr>
            <m:sty m:val="p"/>
          </m:rPr>
          <w:rPr>
            <w:rFonts w:ascii="Cambria Math" w:hAnsi="Cambria Math" w:cs="Arial"/>
            <w:sz w:val="22"/>
          </w:rPr>
          <m:t>Φ</m:t>
        </m:r>
      </m:oMath>
      <w:r w:rsidRPr="00515099">
        <w:rPr>
          <w:rFonts w:ascii="Arial" w:hAnsi="Arial" w:cs="Arial"/>
          <w:sz w:val="22"/>
        </w:rPr>
        <w:t xml:space="preserve"> es la función de distribución cumulativa normal. Después, se utilizará un algoritmo de emparejamiento estadístico para identificar el grupo de control más similar posible en base a las probabilidades condicionales estimadas (</w:t>
      </w:r>
      <w:proofErr w:type="spellStart"/>
      <w:r w:rsidRPr="00515099">
        <w:rPr>
          <w:rFonts w:ascii="Arial" w:hAnsi="Arial" w:cs="Arial"/>
          <w:i/>
          <w:sz w:val="22"/>
        </w:rPr>
        <w:t>propensity</w:t>
      </w:r>
      <w:proofErr w:type="spellEnd"/>
      <w:r w:rsidRPr="00515099">
        <w:rPr>
          <w:rFonts w:ascii="Arial" w:hAnsi="Arial" w:cs="Arial"/>
          <w:i/>
          <w:sz w:val="22"/>
        </w:rPr>
        <w:t xml:space="preserve"> score</w:t>
      </w:r>
      <w:r w:rsidRPr="00515099">
        <w:rPr>
          <w:rFonts w:ascii="Arial" w:hAnsi="Arial" w:cs="Arial"/>
          <w:sz w:val="22"/>
        </w:rPr>
        <w:t>). Finalmente, se volverá a estimar la ecuación 2 utilizando a los tratados y a los no tratados identificados a partir del emparejamiento.</w:t>
      </w:r>
    </w:p>
    <w:p w14:paraId="3A4BCA00" w14:textId="04C6EB4C" w:rsidR="005C3BC2" w:rsidRPr="00F42A95" w:rsidRDefault="00E73957" w:rsidP="005C3BC2">
      <w:pPr>
        <w:pStyle w:val="FirstHeading"/>
        <w:rPr>
          <w:rFonts w:ascii="Arial" w:hAnsi="Arial" w:cs="Arial"/>
          <w:sz w:val="22"/>
          <w:szCs w:val="22"/>
          <w:lang w:val="es-ES"/>
        </w:rPr>
      </w:pPr>
      <w:bookmarkStart w:id="14" w:name="_Toc524431188"/>
      <w:r>
        <w:rPr>
          <w:rFonts w:ascii="Arial" w:hAnsi="Arial" w:cs="Arial"/>
          <w:sz w:val="22"/>
          <w:szCs w:val="22"/>
          <w:lang w:val="es-ES"/>
        </w:rPr>
        <w:t>D</w:t>
      </w:r>
      <w:r w:rsidR="005C3BC2" w:rsidRPr="00F42A95">
        <w:rPr>
          <w:rFonts w:ascii="Arial" w:hAnsi="Arial" w:cs="Arial"/>
          <w:sz w:val="22"/>
          <w:szCs w:val="22"/>
          <w:lang w:val="es-ES"/>
        </w:rPr>
        <w:t>.</w:t>
      </w:r>
      <w:r w:rsidR="005C3BC2" w:rsidRPr="00F42A95">
        <w:rPr>
          <w:rFonts w:ascii="Arial" w:hAnsi="Arial" w:cs="Arial"/>
          <w:sz w:val="22"/>
          <w:szCs w:val="22"/>
          <w:lang w:val="es-ES"/>
        </w:rPr>
        <w:tab/>
        <w:t>Aspectos técnicos de la metodología seleccionada</w:t>
      </w:r>
      <w:bookmarkEnd w:id="14"/>
    </w:p>
    <w:p w14:paraId="10BCF25C" w14:textId="5ADFA81F" w:rsidR="004E68CC" w:rsidRPr="006E1395" w:rsidRDefault="002515CD" w:rsidP="006E1395">
      <w:pPr>
        <w:pStyle w:val="Paragraph"/>
        <w:rPr>
          <w:rFonts w:ascii="Arial" w:hAnsi="Arial" w:cs="Arial"/>
          <w:sz w:val="22"/>
          <w:szCs w:val="22"/>
        </w:rPr>
      </w:pPr>
      <w:r>
        <w:rPr>
          <w:rFonts w:ascii="Arial" w:hAnsi="Arial" w:cs="Arial"/>
          <w:sz w:val="22"/>
          <w:szCs w:val="22"/>
        </w:rPr>
        <w:t>Los aspectos técnicos</w:t>
      </w:r>
      <w:r w:rsidR="006D082D">
        <w:rPr>
          <w:rFonts w:ascii="Arial" w:hAnsi="Arial" w:cs="Arial"/>
          <w:sz w:val="22"/>
          <w:szCs w:val="22"/>
        </w:rPr>
        <w:t xml:space="preserve"> (tratamiento y grupos de comparación, fuentes de información</w:t>
      </w:r>
      <w:r w:rsidR="00A93993">
        <w:rPr>
          <w:rFonts w:ascii="Arial" w:hAnsi="Arial" w:cs="Arial"/>
          <w:sz w:val="22"/>
          <w:szCs w:val="22"/>
        </w:rPr>
        <w:t>,</w:t>
      </w:r>
      <w:r w:rsidR="006D082D">
        <w:rPr>
          <w:rFonts w:ascii="Arial" w:hAnsi="Arial" w:cs="Arial"/>
          <w:sz w:val="22"/>
          <w:szCs w:val="22"/>
        </w:rPr>
        <w:t xml:space="preserve"> cálculos de poder</w:t>
      </w:r>
      <w:r w:rsidR="00A93993">
        <w:rPr>
          <w:rFonts w:ascii="Arial" w:hAnsi="Arial" w:cs="Arial"/>
          <w:sz w:val="22"/>
          <w:szCs w:val="22"/>
        </w:rPr>
        <w:t>, etc.</w:t>
      </w:r>
      <w:r w:rsidR="006D082D">
        <w:rPr>
          <w:rFonts w:ascii="Arial" w:hAnsi="Arial" w:cs="Arial"/>
          <w:sz w:val="22"/>
          <w:szCs w:val="22"/>
        </w:rPr>
        <w:t>)</w:t>
      </w:r>
      <w:r>
        <w:rPr>
          <w:rFonts w:ascii="Arial" w:hAnsi="Arial" w:cs="Arial"/>
          <w:sz w:val="22"/>
          <w:szCs w:val="22"/>
        </w:rPr>
        <w:t xml:space="preserve"> se enfocan en las metodologías propuestas para la medición de resultados puesto que el desarrollo de los aspectos técnicos de la metodología propuesta para la medición de impacto</w:t>
      </w:r>
      <w:r w:rsidR="000302DF">
        <w:rPr>
          <w:rFonts w:ascii="Arial" w:hAnsi="Arial" w:cs="Arial"/>
          <w:sz w:val="22"/>
          <w:szCs w:val="22"/>
        </w:rPr>
        <w:t>s</w:t>
      </w:r>
      <w:r>
        <w:rPr>
          <w:rFonts w:ascii="Arial" w:hAnsi="Arial" w:cs="Arial"/>
          <w:sz w:val="22"/>
          <w:szCs w:val="22"/>
        </w:rPr>
        <w:t xml:space="preserve"> se presenta de manera detallada en los PME de las operaciones PE-L1</w:t>
      </w:r>
      <w:r w:rsidR="008836B9">
        <w:rPr>
          <w:rFonts w:ascii="Arial" w:hAnsi="Arial" w:cs="Arial"/>
          <w:sz w:val="22"/>
          <w:szCs w:val="22"/>
        </w:rPr>
        <w:t>2</w:t>
      </w:r>
      <w:r>
        <w:rPr>
          <w:rFonts w:ascii="Arial" w:hAnsi="Arial" w:cs="Arial"/>
          <w:sz w:val="22"/>
          <w:szCs w:val="22"/>
        </w:rPr>
        <w:t>27 y PE-L1</w:t>
      </w:r>
      <w:r w:rsidR="008836B9">
        <w:rPr>
          <w:rFonts w:ascii="Arial" w:hAnsi="Arial" w:cs="Arial"/>
          <w:sz w:val="22"/>
          <w:szCs w:val="22"/>
        </w:rPr>
        <w:t>1</w:t>
      </w:r>
      <w:r>
        <w:rPr>
          <w:rFonts w:ascii="Arial" w:hAnsi="Arial" w:cs="Arial"/>
          <w:sz w:val="22"/>
          <w:szCs w:val="22"/>
        </w:rPr>
        <w:t>62</w:t>
      </w:r>
      <w:r w:rsidR="003B3779">
        <w:rPr>
          <w:rFonts w:ascii="Arial" w:hAnsi="Arial" w:cs="Arial"/>
          <w:sz w:val="22"/>
          <w:szCs w:val="22"/>
        </w:rPr>
        <w:t xml:space="preserve"> aprobados en 2018 y 2016 respectivamente</w:t>
      </w:r>
      <w:r w:rsidR="005C3BC2">
        <w:rPr>
          <w:rFonts w:ascii="Arial" w:hAnsi="Arial" w:cs="Arial"/>
          <w:sz w:val="22"/>
          <w:szCs w:val="22"/>
        </w:rPr>
        <w:t>.</w:t>
      </w:r>
      <w:r w:rsidR="00660631">
        <w:rPr>
          <w:rFonts w:ascii="Arial" w:hAnsi="Arial" w:cs="Arial"/>
          <w:sz w:val="22"/>
          <w:szCs w:val="22"/>
        </w:rPr>
        <w:t xml:space="preserve"> Se consideró pertinente resaltar la relación entre el presente PME y el marco de evaluación de tales operaciones puesto que gran parte de las medidas de política reconocidas o promovidas por este PBP tienen efecto sobre las medidas de efectividad de los préstamos de inversión mencionados: los ingresos de los trabajadores mejor calificados y la productividad de las firmas con mejores prácticas empresariales y mejor acceso a tecnologías productivas. </w:t>
      </w:r>
      <w:r w:rsidR="003B3779">
        <w:rPr>
          <w:rFonts w:ascii="Arial" w:hAnsi="Arial" w:cs="Arial"/>
          <w:sz w:val="22"/>
          <w:szCs w:val="22"/>
        </w:rPr>
        <w:t>Así, las reformas conforman factores habilitantes que aseguran el fortalecimiento de las entidades ejecutoras de los tratamientos educativos o de extensión empresarial y tecnológica y que por tanto complementan la inversión hecha por las operaciones de inversión.</w:t>
      </w:r>
    </w:p>
    <w:p w14:paraId="597E988F" w14:textId="4EB4FF8F" w:rsidR="00B00FD5" w:rsidRPr="00F42A95" w:rsidRDefault="00B00FD5" w:rsidP="00B00FD5">
      <w:pPr>
        <w:ind w:firstLine="720"/>
        <w:rPr>
          <w:rFonts w:ascii="Arial" w:hAnsi="Arial" w:cs="Arial"/>
          <w:sz w:val="22"/>
          <w:szCs w:val="22"/>
          <w:u w:val="single"/>
        </w:rPr>
      </w:pPr>
      <w:r w:rsidRPr="00F42A95">
        <w:rPr>
          <w:rFonts w:ascii="Arial" w:hAnsi="Arial" w:cs="Arial"/>
          <w:sz w:val="22"/>
          <w:szCs w:val="22"/>
          <w:u w:val="single"/>
        </w:rPr>
        <w:t>Tratamiento y grupos de comparación y control</w:t>
      </w:r>
    </w:p>
    <w:p w14:paraId="1F1079AF" w14:textId="0169181F" w:rsidR="00256878" w:rsidRPr="00256878" w:rsidRDefault="00256878" w:rsidP="00256878">
      <w:pPr>
        <w:pStyle w:val="Paragraph"/>
        <w:numPr>
          <w:ilvl w:val="0"/>
          <w:numId w:val="0"/>
        </w:numPr>
        <w:ind w:left="720"/>
        <w:rPr>
          <w:rFonts w:ascii="Arial" w:hAnsi="Arial" w:cs="Arial"/>
          <w:i/>
          <w:sz w:val="22"/>
          <w:szCs w:val="22"/>
        </w:rPr>
      </w:pPr>
      <w:r w:rsidRPr="00256878">
        <w:rPr>
          <w:rFonts w:ascii="Arial" w:hAnsi="Arial" w:cs="Arial"/>
          <w:i/>
          <w:sz w:val="22"/>
          <w:szCs w:val="22"/>
        </w:rPr>
        <w:t>Comparación reflexiva:</w:t>
      </w:r>
    </w:p>
    <w:p w14:paraId="74DE3DB1" w14:textId="152A9E88" w:rsidR="00B77A54" w:rsidRDefault="00B00FD5" w:rsidP="00B00FD5">
      <w:pPr>
        <w:pStyle w:val="Paragraph"/>
        <w:rPr>
          <w:rFonts w:ascii="Arial" w:hAnsi="Arial" w:cs="Arial"/>
          <w:sz w:val="22"/>
          <w:szCs w:val="22"/>
        </w:rPr>
      </w:pPr>
      <w:r>
        <w:rPr>
          <w:rFonts w:ascii="Arial" w:hAnsi="Arial" w:cs="Arial"/>
          <w:sz w:val="22"/>
          <w:szCs w:val="22"/>
        </w:rPr>
        <w:t>Para efectos de la evaluación reflexiva (antes y después), el grupo de control es el mismo grupo tratado</w:t>
      </w:r>
      <w:r w:rsidR="000A2EEB">
        <w:rPr>
          <w:rFonts w:ascii="Arial" w:hAnsi="Arial" w:cs="Arial"/>
          <w:sz w:val="22"/>
          <w:szCs w:val="22"/>
        </w:rPr>
        <w:t xml:space="preserve"> pero observado antes de tratamiento</w:t>
      </w:r>
      <w:r w:rsidR="00FA65A9">
        <w:rPr>
          <w:rFonts w:ascii="Arial" w:hAnsi="Arial" w:cs="Arial"/>
          <w:sz w:val="22"/>
          <w:szCs w:val="22"/>
        </w:rPr>
        <w:t>.</w:t>
      </w:r>
      <w:r w:rsidR="000A2EEB">
        <w:rPr>
          <w:rFonts w:ascii="Arial" w:hAnsi="Arial" w:cs="Arial"/>
          <w:sz w:val="22"/>
          <w:szCs w:val="22"/>
        </w:rPr>
        <w:t xml:space="preserve"> Si bien se entiende</w:t>
      </w:r>
      <w:r w:rsidR="00A9462F">
        <w:rPr>
          <w:rFonts w:ascii="Arial" w:hAnsi="Arial" w:cs="Arial"/>
          <w:sz w:val="22"/>
          <w:szCs w:val="22"/>
        </w:rPr>
        <w:t xml:space="preserve"> y reconoce</w:t>
      </w:r>
      <w:r w:rsidR="000A2EEB">
        <w:rPr>
          <w:rFonts w:ascii="Arial" w:hAnsi="Arial" w:cs="Arial"/>
          <w:sz w:val="22"/>
          <w:szCs w:val="22"/>
        </w:rPr>
        <w:t xml:space="preserve"> las limitaciones para la identificación causal del resultado bajo este método (podrían ser otros factores externos distintos al tratamiento los que induzcan la variación del indicador de resultado)</w:t>
      </w:r>
      <w:r w:rsidR="00B77A54">
        <w:rPr>
          <w:rFonts w:ascii="Arial" w:hAnsi="Arial" w:cs="Arial"/>
          <w:sz w:val="22"/>
          <w:szCs w:val="22"/>
        </w:rPr>
        <w:t>, existen argumentos a continuación expuestos que permitirían sustentar atribución con sólo la comparación reflexiva.</w:t>
      </w:r>
    </w:p>
    <w:p w14:paraId="6A813945" w14:textId="221ECB7E" w:rsidR="00493640" w:rsidRDefault="00A9462F" w:rsidP="00B00FD5">
      <w:pPr>
        <w:pStyle w:val="Paragraph"/>
        <w:rPr>
          <w:rFonts w:ascii="Arial" w:hAnsi="Arial" w:cs="Arial"/>
          <w:sz w:val="22"/>
          <w:szCs w:val="22"/>
          <w:lang w:val="es-ES_tradnl"/>
        </w:rPr>
      </w:pPr>
      <w:r>
        <w:rPr>
          <w:rFonts w:ascii="Arial" w:hAnsi="Arial" w:cs="Arial"/>
          <w:sz w:val="22"/>
          <w:szCs w:val="22"/>
        </w:rPr>
        <w:t xml:space="preserve">En primer lugar, al ser esta una operación que </w:t>
      </w:r>
      <w:r w:rsidR="00493640">
        <w:rPr>
          <w:rFonts w:ascii="Arial" w:hAnsi="Arial" w:cs="Arial"/>
          <w:sz w:val="22"/>
          <w:szCs w:val="22"/>
        </w:rPr>
        <w:t xml:space="preserve">condiciona desembolsos al </w:t>
      </w:r>
      <w:r>
        <w:rPr>
          <w:rFonts w:ascii="Arial" w:hAnsi="Arial" w:cs="Arial"/>
          <w:sz w:val="22"/>
          <w:szCs w:val="22"/>
        </w:rPr>
        <w:t>reconoc</w:t>
      </w:r>
      <w:r w:rsidR="00493640">
        <w:rPr>
          <w:rFonts w:ascii="Arial" w:hAnsi="Arial" w:cs="Arial"/>
          <w:sz w:val="22"/>
          <w:szCs w:val="22"/>
        </w:rPr>
        <w:t xml:space="preserve">imiento de </w:t>
      </w:r>
      <w:r>
        <w:rPr>
          <w:rFonts w:ascii="Arial" w:hAnsi="Arial" w:cs="Arial"/>
          <w:sz w:val="22"/>
          <w:szCs w:val="22"/>
        </w:rPr>
        <w:t xml:space="preserve">políticas de implementación reciente o </w:t>
      </w:r>
      <w:r w:rsidR="00493640">
        <w:rPr>
          <w:rFonts w:ascii="Arial" w:hAnsi="Arial" w:cs="Arial"/>
          <w:sz w:val="22"/>
          <w:szCs w:val="22"/>
        </w:rPr>
        <w:t xml:space="preserve">a </w:t>
      </w:r>
      <w:r>
        <w:rPr>
          <w:rFonts w:ascii="Arial" w:hAnsi="Arial" w:cs="Arial"/>
          <w:sz w:val="22"/>
          <w:szCs w:val="22"/>
        </w:rPr>
        <w:t xml:space="preserve">la </w:t>
      </w:r>
      <w:r w:rsidR="00493640">
        <w:rPr>
          <w:rFonts w:ascii="Arial" w:hAnsi="Arial" w:cs="Arial"/>
          <w:sz w:val="22"/>
          <w:szCs w:val="22"/>
        </w:rPr>
        <w:t xml:space="preserve">aprobación casi inmediata </w:t>
      </w:r>
      <w:r>
        <w:rPr>
          <w:rFonts w:ascii="Arial" w:hAnsi="Arial" w:cs="Arial"/>
          <w:sz w:val="22"/>
          <w:szCs w:val="22"/>
        </w:rPr>
        <w:t xml:space="preserve">de políticas que se han venido </w:t>
      </w:r>
      <w:r w:rsidR="00493640">
        <w:rPr>
          <w:rFonts w:ascii="Arial" w:hAnsi="Arial" w:cs="Arial"/>
          <w:sz w:val="22"/>
          <w:szCs w:val="22"/>
        </w:rPr>
        <w:t xml:space="preserve">diseñando </w:t>
      </w:r>
      <w:r>
        <w:rPr>
          <w:rFonts w:ascii="Arial" w:hAnsi="Arial" w:cs="Arial"/>
          <w:sz w:val="22"/>
          <w:szCs w:val="22"/>
        </w:rPr>
        <w:t>recientemente</w:t>
      </w:r>
      <w:r w:rsidR="00493640">
        <w:rPr>
          <w:rFonts w:ascii="Arial" w:hAnsi="Arial" w:cs="Arial"/>
          <w:sz w:val="22"/>
          <w:szCs w:val="22"/>
        </w:rPr>
        <w:t xml:space="preserve">, la ventana temporal para la medición de la efectividad de tales políticas es muy estrecha. Por tanto, a nivel de resultados, cuya atribución será evaluada, es importante identificar indicadores que vayan a reaccionar inmediatamente tras aprobación de las reformas. </w:t>
      </w:r>
      <w:r w:rsidR="00493640" w:rsidRPr="00493640">
        <w:rPr>
          <w:rFonts w:ascii="Arial" w:hAnsi="Arial" w:cs="Arial"/>
          <w:sz w:val="22"/>
          <w:szCs w:val="22"/>
          <w:lang w:val="es-ES_tradnl"/>
        </w:rPr>
        <w:t>Evidentemente, indicadores de resultado final o de impacto no satisfacen tal criterio y por el</w:t>
      </w:r>
      <w:r w:rsidR="00493640">
        <w:rPr>
          <w:rFonts w:ascii="Arial" w:hAnsi="Arial" w:cs="Arial"/>
          <w:sz w:val="22"/>
          <w:szCs w:val="22"/>
          <w:lang w:val="es-ES_tradnl"/>
        </w:rPr>
        <w:t xml:space="preserve">lo este tipo de indicadores están considerados para la evaluación de impactos mas no </w:t>
      </w:r>
      <w:r w:rsidR="00AB034D">
        <w:rPr>
          <w:rFonts w:ascii="Arial" w:hAnsi="Arial" w:cs="Arial"/>
          <w:sz w:val="22"/>
          <w:szCs w:val="22"/>
          <w:lang w:val="es-ES_tradnl"/>
        </w:rPr>
        <w:t xml:space="preserve">de </w:t>
      </w:r>
      <w:r w:rsidR="00493640">
        <w:rPr>
          <w:rFonts w:ascii="Arial" w:hAnsi="Arial" w:cs="Arial"/>
          <w:sz w:val="22"/>
          <w:szCs w:val="22"/>
          <w:lang w:val="es-ES_tradnl"/>
        </w:rPr>
        <w:t>resultados.</w:t>
      </w:r>
    </w:p>
    <w:p w14:paraId="30C18A94" w14:textId="406DB1E4" w:rsidR="00FA65A9" w:rsidRDefault="00B77A54" w:rsidP="00B00FD5">
      <w:pPr>
        <w:pStyle w:val="Paragraph"/>
        <w:rPr>
          <w:rFonts w:ascii="Arial" w:hAnsi="Arial" w:cs="Arial"/>
          <w:sz w:val="22"/>
          <w:szCs w:val="22"/>
        </w:rPr>
      </w:pPr>
      <w:r>
        <w:rPr>
          <w:rFonts w:ascii="Arial" w:hAnsi="Arial" w:cs="Arial"/>
          <w:sz w:val="22"/>
          <w:szCs w:val="22"/>
        </w:rPr>
        <w:t>En particular, e</w:t>
      </w:r>
      <w:r w:rsidR="00FA65A9">
        <w:rPr>
          <w:rFonts w:ascii="Arial" w:hAnsi="Arial" w:cs="Arial"/>
          <w:sz w:val="22"/>
          <w:szCs w:val="22"/>
        </w:rPr>
        <w:t>l Cuadro 2 indica que se empleará comparación reflexiva para la medición de tres resultados:</w:t>
      </w:r>
    </w:p>
    <w:p w14:paraId="644E34A1" w14:textId="3B8DE86D" w:rsidR="00C8436D" w:rsidRPr="00C8436D" w:rsidRDefault="00FA65A9" w:rsidP="002677A8">
      <w:pPr>
        <w:pStyle w:val="subpar"/>
        <w:tabs>
          <w:tab w:val="clear" w:pos="1152"/>
        </w:tabs>
        <w:ind w:left="720"/>
        <w:rPr>
          <w:rFonts w:ascii="Arial" w:hAnsi="Arial" w:cs="Arial"/>
          <w:sz w:val="22"/>
        </w:rPr>
      </w:pPr>
      <w:r w:rsidRPr="00FA65A9">
        <w:rPr>
          <w:rFonts w:ascii="Arial" w:hAnsi="Arial" w:cs="Arial"/>
          <w:sz w:val="22"/>
        </w:rPr>
        <w:t>Resultado esperado</w:t>
      </w:r>
      <w:r w:rsidR="00B00FD5" w:rsidRPr="00FA65A9">
        <w:rPr>
          <w:rFonts w:ascii="Arial" w:hAnsi="Arial" w:cs="Arial"/>
          <w:sz w:val="22"/>
        </w:rPr>
        <w:t xml:space="preserve"> </w:t>
      </w:r>
      <w:r w:rsidRPr="00FA65A9">
        <w:rPr>
          <w:rFonts w:ascii="Arial" w:hAnsi="Arial" w:cs="Arial"/>
          <w:sz w:val="22"/>
        </w:rPr>
        <w:t>1</w:t>
      </w:r>
      <w:r w:rsidR="00256878">
        <w:rPr>
          <w:rFonts w:ascii="Arial" w:hAnsi="Arial" w:cs="Arial"/>
          <w:sz w:val="22"/>
        </w:rPr>
        <w:t xml:space="preserve"> “</w:t>
      </w:r>
      <w:r w:rsidR="00256878" w:rsidRPr="00256878">
        <w:rPr>
          <w:rFonts w:ascii="Arial" w:hAnsi="Arial" w:cs="Arial"/>
          <w:sz w:val="22"/>
        </w:rPr>
        <w:t>Incrementar la adopción de modelos de excelencia de institutos superiores tecnológicos públicos</w:t>
      </w:r>
      <w:r w:rsidR="00256878">
        <w:rPr>
          <w:rFonts w:ascii="Arial" w:hAnsi="Arial" w:cs="Arial"/>
          <w:sz w:val="22"/>
        </w:rPr>
        <w:t>”</w:t>
      </w:r>
      <w:r w:rsidR="00404024">
        <w:rPr>
          <w:rFonts w:ascii="Arial" w:hAnsi="Arial" w:cs="Arial"/>
          <w:sz w:val="22"/>
        </w:rPr>
        <w:t xml:space="preserve">: El PBP promueve la formulación de un </w:t>
      </w:r>
      <w:r w:rsidR="0090146B" w:rsidRPr="0055564C">
        <w:rPr>
          <w:rFonts w:ascii="Arial" w:hAnsi="Arial" w:cs="Arial"/>
          <w:sz w:val="22"/>
        </w:rPr>
        <w:t>modelo de excelencia para los institutos tecnológicos públicos y la selección de un instituto público de excelencia por región. El modelo especificará las principales características de estos institutos</w:t>
      </w:r>
      <w:r w:rsidR="0055564C">
        <w:rPr>
          <w:rFonts w:ascii="Arial" w:hAnsi="Arial" w:cs="Arial"/>
          <w:sz w:val="22"/>
        </w:rPr>
        <w:t>, incluyendo infraestructura, calidad docente, contenido formativo</w:t>
      </w:r>
      <w:r w:rsidR="00897E24">
        <w:rPr>
          <w:rFonts w:ascii="Arial" w:hAnsi="Arial" w:cs="Arial"/>
          <w:sz w:val="22"/>
        </w:rPr>
        <w:t>,</w:t>
      </w:r>
      <w:r w:rsidR="0055564C">
        <w:rPr>
          <w:rFonts w:ascii="Arial" w:hAnsi="Arial" w:cs="Arial"/>
          <w:sz w:val="22"/>
        </w:rPr>
        <w:t xml:space="preserve"> así como</w:t>
      </w:r>
      <w:r w:rsidR="0090146B" w:rsidRPr="0055564C">
        <w:rPr>
          <w:rFonts w:ascii="Arial" w:hAnsi="Arial" w:cs="Arial"/>
          <w:sz w:val="22"/>
        </w:rPr>
        <w:t xml:space="preserve"> los mecanismos para que los institutos identifiquen adecuadamente las necesidades de habilidades del sector productivo y ofrezcan</w:t>
      </w:r>
      <w:r w:rsidR="0055564C">
        <w:rPr>
          <w:rFonts w:ascii="Arial" w:hAnsi="Arial" w:cs="Arial"/>
          <w:sz w:val="22"/>
        </w:rPr>
        <w:t xml:space="preserve"> no sólo </w:t>
      </w:r>
      <w:r w:rsidR="0090146B" w:rsidRPr="0055564C">
        <w:rPr>
          <w:rFonts w:ascii="Arial" w:hAnsi="Arial" w:cs="Arial"/>
          <w:sz w:val="22"/>
        </w:rPr>
        <w:t>una formación técnica con calidad</w:t>
      </w:r>
      <w:r w:rsidR="0055564C">
        <w:rPr>
          <w:rFonts w:ascii="Arial" w:hAnsi="Arial" w:cs="Arial"/>
          <w:sz w:val="22"/>
        </w:rPr>
        <w:t xml:space="preserve"> sino también pertinente. Dado que aún no hay </w:t>
      </w:r>
      <w:r w:rsidR="00094912">
        <w:rPr>
          <w:rFonts w:ascii="Arial" w:hAnsi="Arial" w:cs="Arial"/>
          <w:sz w:val="22"/>
        </w:rPr>
        <w:t>IEST</w:t>
      </w:r>
      <w:r w:rsidR="00CF2DEC">
        <w:rPr>
          <w:rFonts w:ascii="Arial" w:hAnsi="Arial" w:cs="Arial"/>
          <w:sz w:val="22"/>
        </w:rPr>
        <w:t xml:space="preserve"> públicos</w:t>
      </w:r>
      <w:r w:rsidR="00094912">
        <w:rPr>
          <w:rFonts w:ascii="Arial" w:hAnsi="Arial" w:cs="Arial"/>
          <w:sz w:val="22"/>
        </w:rPr>
        <w:t xml:space="preserve"> de excelencia </w:t>
      </w:r>
      <w:r w:rsidR="0055564C">
        <w:rPr>
          <w:rFonts w:ascii="Arial" w:hAnsi="Arial" w:cs="Arial"/>
          <w:sz w:val="22"/>
        </w:rPr>
        <w:t xml:space="preserve">operantes </w:t>
      </w:r>
      <w:r w:rsidR="00094912">
        <w:rPr>
          <w:rFonts w:ascii="Arial" w:hAnsi="Arial" w:cs="Arial"/>
          <w:sz w:val="22"/>
        </w:rPr>
        <w:t>pues se requiere lograr compromisos de financiamiento para la implementación de tales IDEX, se espera que los compromisos de la primera fase (aprobación del modelo y selección de lista de institutos a ser fortalecidos) induzca</w:t>
      </w:r>
      <w:r w:rsidR="00A32461">
        <w:rPr>
          <w:rFonts w:ascii="Arial" w:hAnsi="Arial" w:cs="Arial"/>
          <w:sz w:val="22"/>
        </w:rPr>
        <w:t>n</w:t>
      </w:r>
      <w:r w:rsidR="00094912">
        <w:rPr>
          <w:rFonts w:ascii="Arial" w:hAnsi="Arial" w:cs="Arial"/>
          <w:sz w:val="22"/>
        </w:rPr>
        <w:t xml:space="preserve"> el financiamiento efectivo para la implementación y funcionamiento de al menos 7 IDEX al 2022. Es por eso </w:t>
      </w:r>
      <w:proofErr w:type="gramStart"/>
      <w:r w:rsidR="00094912">
        <w:rPr>
          <w:rFonts w:ascii="Arial" w:hAnsi="Arial" w:cs="Arial"/>
          <w:sz w:val="22"/>
        </w:rPr>
        <w:t>que</w:t>
      </w:r>
      <w:proofErr w:type="gramEnd"/>
      <w:r w:rsidR="00094912">
        <w:rPr>
          <w:rFonts w:ascii="Arial" w:hAnsi="Arial" w:cs="Arial"/>
          <w:sz w:val="22"/>
        </w:rPr>
        <w:t xml:space="preserve"> se plantea como compromiso para la segunda fase que </w:t>
      </w:r>
      <w:r w:rsidR="00094912" w:rsidRPr="00094912">
        <w:rPr>
          <w:rFonts w:ascii="Arial" w:hAnsi="Arial" w:cs="Arial"/>
          <w:sz w:val="22"/>
        </w:rPr>
        <w:t>el MINEDU haya aprobado siete proyectos de inversión pública para el desarrollo y fortalecimiento de institutos tecnológicos públicos basados en el modelo de excelencia, y que haya iniciado la implementación de por lo menos dos de estos proyectos.</w:t>
      </w:r>
      <w:r w:rsidR="00C8436D">
        <w:rPr>
          <w:rFonts w:ascii="Arial" w:hAnsi="Arial" w:cs="Arial"/>
          <w:sz w:val="22"/>
        </w:rPr>
        <w:t xml:space="preserve"> Sin la aprobación del modelo o las gestiones para pre identificar a los institutos candidatos no surgirían estos 7 IDEX. Asimismo, la primera fase no financia los 7</w:t>
      </w:r>
      <w:r w:rsidR="007C5B5D">
        <w:rPr>
          <w:rFonts w:ascii="Arial" w:hAnsi="Arial" w:cs="Arial"/>
          <w:sz w:val="22"/>
        </w:rPr>
        <w:t> </w:t>
      </w:r>
      <w:r w:rsidR="00C8436D">
        <w:rPr>
          <w:rFonts w:ascii="Arial" w:hAnsi="Arial" w:cs="Arial"/>
          <w:sz w:val="22"/>
        </w:rPr>
        <w:t>IDEX, sólo habilita e induce a su conformación.</w:t>
      </w:r>
      <w:r w:rsidR="00890EAC">
        <w:rPr>
          <w:rFonts w:ascii="Arial" w:hAnsi="Arial" w:cs="Arial"/>
          <w:sz w:val="22"/>
        </w:rPr>
        <w:t xml:space="preserve"> Por tanto, como se indica en el Cuadro 2, la línea de base se midió al 2017 y la de salida se medirá al 2020 pues para poder entrar a negociar el segundo tramo del programa se espera que la condición esté cumplida.</w:t>
      </w:r>
    </w:p>
    <w:p w14:paraId="01683C06" w14:textId="7FBC9050" w:rsidR="00FA65A9" w:rsidRDefault="00FA65A9" w:rsidP="002677A8">
      <w:pPr>
        <w:pStyle w:val="subpar"/>
        <w:tabs>
          <w:tab w:val="clear" w:pos="1152"/>
        </w:tabs>
        <w:ind w:left="720"/>
        <w:rPr>
          <w:rFonts w:ascii="Arial" w:hAnsi="Arial" w:cs="Arial"/>
          <w:sz w:val="22"/>
        </w:rPr>
      </w:pPr>
      <w:r w:rsidRPr="00FA65A9">
        <w:rPr>
          <w:rFonts w:ascii="Arial" w:hAnsi="Arial" w:cs="Arial"/>
          <w:sz w:val="22"/>
        </w:rPr>
        <w:t>Result</w:t>
      </w:r>
      <w:r>
        <w:rPr>
          <w:rFonts w:ascii="Arial" w:hAnsi="Arial" w:cs="Arial"/>
          <w:sz w:val="22"/>
        </w:rPr>
        <w:t>ado esperado 2</w:t>
      </w:r>
      <w:r w:rsidR="00BE3686">
        <w:rPr>
          <w:rFonts w:ascii="Arial" w:hAnsi="Arial" w:cs="Arial"/>
          <w:sz w:val="22"/>
        </w:rPr>
        <w:t xml:space="preserve"> “Mejorar las políticas de fiscalización laboral”:</w:t>
      </w:r>
      <w:r w:rsidR="00727D18">
        <w:rPr>
          <w:rFonts w:ascii="Arial" w:hAnsi="Arial" w:cs="Arial"/>
          <w:sz w:val="22"/>
        </w:rPr>
        <w:t xml:space="preserve"> Como parte de</w:t>
      </w:r>
      <w:r w:rsidR="00FC44AD">
        <w:rPr>
          <w:rFonts w:ascii="Arial" w:hAnsi="Arial" w:cs="Arial"/>
          <w:sz w:val="22"/>
        </w:rPr>
        <w:t xml:space="preserve">l esfuerzo del GOP para fortalecer las capacidades </w:t>
      </w:r>
      <w:proofErr w:type="spellStart"/>
      <w:r w:rsidR="00FC44AD">
        <w:rPr>
          <w:rFonts w:ascii="Arial" w:hAnsi="Arial" w:cs="Arial"/>
          <w:sz w:val="22"/>
        </w:rPr>
        <w:t>inspectivas</w:t>
      </w:r>
      <w:proofErr w:type="spellEnd"/>
      <w:r w:rsidR="00FC44AD">
        <w:rPr>
          <w:rFonts w:ascii="Arial" w:hAnsi="Arial" w:cs="Arial"/>
          <w:sz w:val="22"/>
        </w:rPr>
        <w:t xml:space="preserve"> de la SUNAFIL, e</w:t>
      </w:r>
      <w:r w:rsidR="00BE3686">
        <w:rPr>
          <w:rFonts w:ascii="Arial" w:hAnsi="Arial" w:cs="Arial"/>
          <w:sz w:val="22"/>
        </w:rPr>
        <w:t xml:space="preserve">ntre 2017 y 2018, el GOP incrementó el presupuesto de SUNAFIL en aproximadamente el 60%. En consecuencia, el número de inspectores </w:t>
      </w:r>
      <w:r w:rsidR="00727D18">
        <w:rPr>
          <w:rFonts w:ascii="Arial" w:hAnsi="Arial" w:cs="Arial"/>
          <w:sz w:val="22"/>
        </w:rPr>
        <w:t>se duplic</w:t>
      </w:r>
      <w:r w:rsidR="00FC44AD">
        <w:rPr>
          <w:rFonts w:ascii="Arial" w:hAnsi="Arial" w:cs="Arial"/>
          <w:sz w:val="22"/>
        </w:rPr>
        <w:t xml:space="preserve">ó. Se espera que esto </w:t>
      </w:r>
      <w:r w:rsidR="00F27198">
        <w:rPr>
          <w:rFonts w:ascii="Arial" w:hAnsi="Arial" w:cs="Arial"/>
          <w:sz w:val="22"/>
        </w:rPr>
        <w:t>genere</w:t>
      </w:r>
      <w:r w:rsidR="00FC44AD">
        <w:rPr>
          <w:rFonts w:ascii="Arial" w:hAnsi="Arial" w:cs="Arial"/>
          <w:sz w:val="22"/>
        </w:rPr>
        <w:t xml:space="preserve"> un incremento sustantivo del número de trabajadores incorporados a planilla </w:t>
      </w:r>
      <w:r w:rsidR="00F27198">
        <w:rPr>
          <w:rFonts w:ascii="Arial" w:hAnsi="Arial" w:cs="Arial"/>
          <w:sz w:val="22"/>
        </w:rPr>
        <w:t xml:space="preserve">a consecuencia de las mayores actuaciones </w:t>
      </w:r>
      <w:proofErr w:type="spellStart"/>
      <w:r w:rsidR="00F27198">
        <w:rPr>
          <w:rFonts w:ascii="Arial" w:hAnsi="Arial" w:cs="Arial"/>
          <w:sz w:val="22"/>
        </w:rPr>
        <w:t>inspectivas</w:t>
      </w:r>
      <w:proofErr w:type="spellEnd"/>
      <w:r w:rsidR="00F27198">
        <w:rPr>
          <w:rFonts w:ascii="Arial" w:hAnsi="Arial" w:cs="Arial"/>
          <w:sz w:val="22"/>
        </w:rPr>
        <w:t xml:space="preserve"> por operativos de fiscalización</w:t>
      </w:r>
      <w:r w:rsidR="00916FC7">
        <w:rPr>
          <w:rFonts w:ascii="Arial" w:hAnsi="Arial" w:cs="Arial"/>
          <w:sz w:val="22"/>
        </w:rPr>
        <w:t xml:space="preserve"> de la SUNAFIL</w:t>
      </w:r>
      <w:r w:rsidR="00F27198">
        <w:rPr>
          <w:rFonts w:ascii="Arial" w:hAnsi="Arial" w:cs="Arial"/>
          <w:sz w:val="22"/>
        </w:rPr>
        <w:t xml:space="preserve"> (comparada a la fiscalización reactiva por denuncias). </w:t>
      </w:r>
      <w:r w:rsidR="00916FC7">
        <w:rPr>
          <w:rFonts w:ascii="Arial" w:hAnsi="Arial" w:cs="Arial"/>
          <w:sz w:val="22"/>
        </w:rPr>
        <w:t xml:space="preserve">Sin el incremento presupuestal, las inspecciones </w:t>
      </w:r>
      <w:r w:rsidR="001F3FC1">
        <w:rPr>
          <w:rFonts w:ascii="Arial" w:hAnsi="Arial" w:cs="Arial"/>
          <w:sz w:val="22"/>
        </w:rPr>
        <w:t xml:space="preserve">(el producto financiado por el incremento de presupuesto) </w:t>
      </w:r>
      <w:r w:rsidR="00916FC7">
        <w:rPr>
          <w:rFonts w:ascii="Arial" w:hAnsi="Arial" w:cs="Arial"/>
          <w:sz w:val="22"/>
        </w:rPr>
        <w:t xml:space="preserve">y el número de trabajadores formalizados a consecuencia de tales inspecciones </w:t>
      </w:r>
      <w:r w:rsidR="001F3FC1">
        <w:rPr>
          <w:rFonts w:ascii="Arial" w:hAnsi="Arial" w:cs="Arial"/>
          <w:sz w:val="22"/>
        </w:rPr>
        <w:t xml:space="preserve">(el resultado) </w:t>
      </w:r>
      <w:r w:rsidR="00916FC7">
        <w:rPr>
          <w:rFonts w:ascii="Arial" w:hAnsi="Arial" w:cs="Arial"/>
          <w:sz w:val="22"/>
        </w:rPr>
        <w:t>crecería</w:t>
      </w:r>
      <w:r w:rsidR="0004269E">
        <w:rPr>
          <w:rFonts w:ascii="Arial" w:hAnsi="Arial" w:cs="Arial"/>
          <w:sz w:val="22"/>
        </w:rPr>
        <w:t>n</w:t>
      </w:r>
      <w:r w:rsidR="00916FC7">
        <w:rPr>
          <w:rFonts w:ascii="Arial" w:hAnsi="Arial" w:cs="Arial"/>
          <w:sz w:val="22"/>
        </w:rPr>
        <w:t xml:space="preserve"> a la tasa inercial registrada en años anteriores al incremento del presupuesto</w:t>
      </w:r>
      <w:r w:rsidR="00647147">
        <w:rPr>
          <w:rFonts w:ascii="Arial" w:hAnsi="Arial" w:cs="Arial"/>
          <w:sz w:val="22"/>
        </w:rPr>
        <w:t xml:space="preserve"> (situación contrafactual)</w:t>
      </w:r>
      <w:r w:rsidR="00916FC7">
        <w:rPr>
          <w:rFonts w:ascii="Arial" w:hAnsi="Arial" w:cs="Arial"/>
          <w:sz w:val="22"/>
        </w:rPr>
        <w:t>.</w:t>
      </w:r>
      <w:r w:rsidR="00890EAC">
        <w:rPr>
          <w:rFonts w:ascii="Arial" w:hAnsi="Arial" w:cs="Arial"/>
          <w:sz w:val="22"/>
        </w:rPr>
        <w:t xml:space="preserve"> Por tanto, como se indica en el Cuadro 2, la línea de base se midió al 201</w:t>
      </w:r>
      <w:r w:rsidR="00160C4A">
        <w:rPr>
          <w:rFonts w:ascii="Arial" w:hAnsi="Arial" w:cs="Arial"/>
          <w:sz w:val="22"/>
        </w:rPr>
        <w:t>6, antes del incremento presupuestal de la SUNAFIL,</w:t>
      </w:r>
      <w:r w:rsidR="00890EAC">
        <w:rPr>
          <w:rFonts w:ascii="Arial" w:hAnsi="Arial" w:cs="Arial"/>
          <w:sz w:val="22"/>
        </w:rPr>
        <w:t xml:space="preserve"> y la de salida se medirá al 2020.</w:t>
      </w:r>
    </w:p>
    <w:tbl>
      <w:tblPr>
        <w:tblW w:w="8640" w:type="dxa"/>
        <w:tblCellMar>
          <w:left w:w="0" w:type="dxa"/>
          <w:right w:w="0" w:type="dxa"/>
        </w:tblCellMar>
        <w:tblLook w:val="04A0" w:firstRow="1" w:lastRow="0" w:firstColumn="1" w:lastColumn="0" w:noHBand="0" w:noVBand="1"/>
      </w:tblPr>
      <w:tblGrid>
        <w:gridCol w:w="1240"/>
        <w:gridCol w:w="1620"/>
        <w:gridCol w:w="2320"/>
        <w:gridCol w:w="3460"/>
      </w:tblGrid>
      <w:tr w:rsidR="00413F3E" w14:paraId="41D0AD3B" w14:textId="77777777" w:rsidTr="00413F3E">
        <w:trPr>
          <w:trHeight w:val="711"/>
        </w:trPr>
        <w:tc>
          <w:tcPr>
            <w:tcW w:w="8640" w:type="dxa"/>
            <w:gridSpan w:val="4"/>
            <w:shd w:val="clear" w:color="auto" w:fill="FFFFFF"/>
            <w:tcMar>
              <w:top w:w="0" w:type="dxa"/>
              <w:left w:w="108" w:type="dxa"/>
              <w:bottom w:w="0" w:type="dxa"/>
              <w:right w:w="108" w:type="dxa"/>
            </w:tcMar>
            <w:vAlign w:val="center"/>
            <w:hideMark/>
          </w:tcPr>
          <w:p w14:paraId="72F1D04A" w14:textId="0836E29B" w:rsidR="00413F3E" w:rsidRDefault="00413F3E" w:rsidP="00905CFE">
            <w:pPr>
              <w:jc w:val="center"/>
              <w:rPr>
                <w:rFonts w:ascii="Arial Narrow" w:hAnsi="Arial Narrow"/>
                <w:b/>
                <w:bCs/>
                <w:color w:val="000000"/>
                <w:spacing w:val="0"/>
                <w:sz w:val="22"/>
              </w:rPr>
            </w:pPr>
            <w:bookmarkStart w:id="15" w:name="RANGE!B2:E17"/>
            <w:r>
              <w:rPr>
                <w:rFonts w:ascii="Arial Narrow" w:hAnsi="Arial Narrow"/>
                <w:b/>
                <w:bCs/>
                <w:color w:val="000000"/>
              </w:rPr>
              <w:t>Cuadro 3. Trabajadores incorporados a planilla y actuaciones de fiscalización en la línea de acción de formalización por origen (denuncia y operativo)</w:t>
            </w:r>
            <w:bookmarkEnd w:id="15"/>
          </w:p>
        </w:tc>
      </w:tr>
      <w:tr w:rsidR="00FA65A9" w14:paraId="1BE35CC2" w14:textId="77777777" w:rsidTr="00905CFE">
        <w:trPr>
          <w:trHeight w:val="276"/>
        </w:trPr>
        <w:tc>
          <w:tcPr>
            <w:tcW w:w="1240" w:type="dxa"/>
            <w:vMerge w:val="restart"/>
            <w:tcBorders>
              <w:top w:val="single" w:sz="8" w:space="0" w:color="808080"/>
              <w:left w:val="single" w:sz="8" w:space="0" w:color="808080"/>
              <w:bottom w:val="single" w:sz="8" w:space="0" w:color="808080"/>
              <w:right w:val="single" w:sz="8" w:space="0" w:color="808080"/>
            </w:tcBorders>
            <w:shd w:val="clear" w:color="auto" w:fill="000000" w:themeFill="text1"/>
            <w:tcMar>
              <w:top w:w="0" w:type="dxa"/>
              <w:left w:w="108" w:type="dxa"/>
              <w:bottom w:w="0" w:type="dxa"/>
              <w:right w:w="108" w:type="dxa"/>
            </w:tcMar>
            <w:vAlign w:val="center"/>
            <w:hideMark/>
          </w:tcPr>
          <w:p w14:paraId="6493F1F0" w14:textId="77777777" w:rsidR="00FA65A9" w:rsidRDefault="00FA65A9" w:rsidP="00905CFE">
            <w:pPr>
              <w:jc w:val="center"/>
              <w:rPr>
                <w:rFonts w:ascii="Arial Narrow" w:hAnsi="Arial Narrow"/>
                <w:color w:val="FFFFFF"/>
                <w:lang w:val="en-US"/>
              </w:rPr>
            </w:pPr>
            <w:r>
              <w:rPr>
                <w:rFonts w:ascii="Arial Narrow" w:hAnsi="Arial Narrow"/>
                <w:color w:val="FFFFFF"/>
              </w:rPr>
              <w:t>Año</w:t>
            </w:r>
          </w:p>
        </w:tc>
        <w:tc>
          <w:tcPr>
            <w:tcW w:w="1620" w:type="dxa"/>
            <w:vMerge w:val="restart"/>
            <w:tcBorders>
              <w:top w:val="single" w:sz="8" w:space="0" w:color="808080"/>
              <w:left w:val="nil"/>
              <w:bottom w:val="single" w:sz="8" w:space="0" w:color="808080"/>
              <w:right w:val="single" w:sz="8" w:space="0" w:color="808080"/>
            </w:tcBorders>
            <w:shd w:val="clear" w:color="auto" w:fill="000000" w:themeFill="text1"/>
            <w:tcMar>
              <w:top w:w="0" w:type="dxa"/>
              <w:left w:w="108" w:type="dxa"/>
              <w:bottom w:w="0" w:type="dxa"/>
              <w:right w:w="108" w:type="dxa"/>
            </w:tcMar>
            <w:vAlign w:val="center"/>
            <w:hideMark/>
          </w:tcPr>
          <w:p w14:paraId="1AB57302" w14:textId="77777777" w:rsidR="00FA65A9" w:rsidRDefault="00FA65A9" w:rsidP="00905CFE">
            <w:pPr>
              <w:jc w:val="center"/>
              <w:rPr>
                <w:rFonts w:ascii="Arial Narrow" w:hAnsi="Arial Narrow"/>
                <w:color w:val="FFFFFF"/>
              </w:rPr>
            </w:pPr>
            <w:r>
              <w:rPr>
                <w:rFonts w:ascii="Arial Narrow" w:hAnsi="Arial Narrow"/>
                <w:color w:val="FFFFFF"/>
              </w:rPr>
              <w:t>Trabajadores incorporados a planilla</w:t>
            </w:r>
          </w:p>
        </w:tc>
        <w:tc>
          <w:tcPr>
            <w:tcW w:w="5780" w:type="dxa"/>
            <w:gridSpan w:val="2"/>
            <w:tcBorders>
              <w:top w:val="single" w:sz="8" w:space="0" w:color="808080"/>
              <w:left w:val="nil"/>
              <w:right w:val="single" w:sz="8" w:space="0" w:color="808080"/>
            </w:tcBorders>
            <w:shd w:val="clear" w:color="auto" w:fill="000000" w:themeFill="text1"/>
            <w:noWrap/>
            <w:tcMar>
              <w:top w:w="0" w:type="dxa"/>
              <w:left w:w="108" w:type="dxa"/>
              <w:bottom w:w="0" w:type="dxa"/>
              <w:right w:w="108" w:type="dxa"/>
            </w:tcMar>
            <w:vAlign w:val="bottom"/>
            <w:hideMark/>
          </w:tcPr>
          <w:p w14:paraId="3E09E001" w14:textId="77777777" w:rsidR="00FA65A9" w:rsidRDefault="00FA65A9" w:rsidP="00905CFE">
            <w:pPr>
              <w:jc w:val="center"/>
              <w:rPr>
                <w:rFonts w:ascii="Arial Narrow" w:hAnsi="Arial Narrow"/>
                <w:color w:val="FFFFFF"/>
              </w:rPr>
            </w:pPr>
            <w:r>
              <w:rPr>
                <w:rFonts w:ascii="Arial Narrow" w:hAnsi="Arial Narrow"/>
                <w:color w:val="FFFFFF"/>
              </w:rPr>
              <w:t xml:space="preserve">Actuaciones </w:t>
            </w:r>
            <w:proofErr w:type="spellStart"/>
            <w:r>
              <w:rPr>
                <w:rFonts w:ascii="Arial Narrow" w:hAnsi="Arial Narrow"/>
                <w:color w:val="FFFFFF"/>
              </w:rPr>
              <w:t>inspectivas</w:t>
            </w:r>
            <w:proofErr w:type="spellEnd"/>
            <w:r>
              <w:rPr>
                <w:rFonts w:ascii="Arial Narrow" w:hAnsi="Arial Narrow"/>
                <w:color w:val="FFFFFF"/>
              </w:rPr>
              <w:t xml:space="preserve"> (órdenes de fiscalización)</w:t>
            </w:r>
          </w:p>
        </w:tc>
      </w:tr>
      <w:tr w:rsidR="00FA65A9" w14:paraId="2CC09957" w14:textId="77777777" w:rsidTr="00905CFE">
        <w:trPr>
          <w:trHeight w:val="828"/>
        </w:trPr>
        <w:tc>
          <w:tcPr>
            <w:tcW w:w="0" w:type="auto"/>
            <w:vMerge/>
            <w:tcBorders>
              <w:top w:val="single" w:sz="8" w:space="0" w:color="808080"/>
              <w:left w:val="single" w:sz="8" w:space="0" w:color="808080"/>
              <w:bottom w:val="single" w:sz="8" w:space="0" w:color="808080"/>
              <w:right w:val="single" w:sz="8" w:space="0" w:color="808080"/>
            </w:tcBorders>
            <w:vAlign w:val="center"/>
            <w:hideMark/>
          </w:tcPr>
          <w:p w14:paraId="7C6A4282" w14:textId="77777777" w:rsidR="00FA65A9" w:rsidRDefault="00FA65A9" w:rsidP="00905CFE">
            <w:pPr>
              <w:rPr>
                <w:rFonts w:ascii="Arial Narrow" w:eastAsiaTheme="minorHAnsi" w:hAnsi="Arial Narrow" w:cs="Calibri"/>
                <w:color w:val="FFFFFF"/>
                <w:sz w:val="22"/>
                <w:szCs w:val="22"/>
              </w:rPr>
            </w:pPr>
          </w:p>
        </w:tc>
        <w:tc>
          <w:tcPr>
            <w:tcW w:w="0" w:type="auto"/>
            <w:vMerge/>
            <w:tcBorders>
              <w:top w:val="single" w:sz="8" w:space="0" w:color="808080"/>
              <w:left w:val="nil"/>
              <w:bottom w:val="single" w:sz="8" w:space="0" w:color="808080"/>
              <w:right w:val="single" w:sz="8" w:space="0" w:color="808080"/>
            </w:tcBorders>
            <w:vAlign w:val="center"/>
            <w:hideMark/>
          </w:tcPr>
          <w:p w14:paraId="138672BC" w14:textId="77777777" w:rsidR="00FA65A9" w:rsidRDefault="00FA65A9" w:rsidP="00905CFE">
            <w:pPr>
              <w:rPr>
                <w:rFonts w:ascii="Arial Narrow" w:eastAsiaTheme="minorHAnsi" w:hAnsi="Arial Narrow" w:cs="Calibri"/>
                <w:color w:val="FFFFFF"/>
                <w:sz w:val="22"/>
                <w:szCs w:val="22"/>
              </w:rPr>
            </w:pPr>
          </w:p>
        </w:tc>
        <w:tc>
          <w:tcPr>
            <w:tcW w:w="2320" w:type="dxa"/>
            <w:tcBorders>
              <w:top w:val="nil"/>
              <w:left w:val="nil"/>
              <w:bottom w:val="single" w:sz="8" w:space="0" w:color="808080"/>
              <w:right w:val="single" w:sz="8" w:space="0" w:color="808080"/>
            </w:tcBorders>
            <w:shd w:val="clear" w:color="auto" w:fill="000000" w:themeFill="text1"/>
            <w:tcMar>
              <w:top w:w="0" w:type="dxa"/>
              <w:left w:w="108" w:type="dxa"/>
              <w:bottom w:w="0" w:type="dxa"/>
              <w:right w:w="108" w:type="dxa"/>
            </w:tcMar>
            <w:vAlign w:val="center"/>
            <w:hideMark/>
          </w:tcPr>
          <w:p w14:paraId="27EC535D" w14:textId="77777777" w:rsidR="00FA65A9" w:rsidRDefault="00FA65A9" w:rsidP="00905CFE">
            <w:pPr>
              <w:jc w:val="center"/>
              <w:rPr>
                <w:rFonts w:ascii="Arial Narrow" w:hAnsi="Arial Narrow"/>
                <w:color w:val="FFFFFF"/>
              </w:rPr>
            </w:pPr>
            <w:r>
              <w:rPr>
                <w:rFonts w:ascii="Arial Narrow" w:hAnsi="Arial Narrow"/>
                <w:color w:val="FFFFFF"/>
              </w:rPr>
              <w:t>Por denuncias en la línea de acción en formalización</w:t>
            </w:r>
          </w:p>
        </w:tc>
        <w:tc>
          <w:tcPr>
            <w:tcW w:w="3460" w:type="dxa"/>
            <w:tcBorders>
              <w:top w:val="nil"/>
              <w:left w:val="nil"/>
              <w:bottom w:val="single" w:sz="8" w:space="0" w:color="808080"/>
              <w:right w:val="single" w:sz="8" w:space="0" w:color="808080"/>
            </w:tcBorders>
            <w:shd w:val="clear" w:color="auto" w:fill="000000" w:themeFill="text1"/>
            <w:tcMar>
              <w:top w:w="0" w:type="dxa"/>
              <w:left w:w="108" w:type="dxa"/>
              <w:bottom w:w="0" w:type="dxa"/>
              <w:right w:w="108" w:type="dxa"/>
            </w:tcMar>
            <w:vAlign w:val="center"/>
            <w:hideMark/>
          </w:tcPr>
          <w:p w14:paraId="3046F20D" w14:textId="77777777" w:rsidR="00FA65A9" w:rsidRDefault="00FA65A9" w:rsidP="00905CFE">
            <w:pPr>
              <w:jc w:val="center"/>
              <w:rPr>
                <w:rFonts w:ascii="Arial Narrow" w:hAnsi="Arial Narrow"/>
                <w:color w:val="FFFFFF"/>
              </w:rPr>
            </w:pPr>
            <w:r>
              <w:rPr>
                <w:rFonts w:ascii="Arial Narrow" w:hAnsi="Arial Narrow"/>
                <w:color w:val="FFFFFF"/>
              </w:rPr>
              <w:t>Por operativos de fiscalización en la línea de acción en formalización</w:t>
            </w:r>
          </w:p>
        </w:tc>
      </w:tr>
      <w:tr w:rsidR="00FA65A9" w14:paraId="1A3334D9" w14:textId="77777777" w:rsidTr="00905CFE">
        <w:trPr>
          <w:trHeight w:val="276"/>
        </w:trPr>
        <w:tc>
          <w:tcPr>
            <w:tcW w:w="1240" w:type="dxa"/>
            <w:tcBorders>
              <w:top w:val="nil"/>
              <w:left w:val="single" w:sz="8" w:space="0" w:color="808080"/>
              <w:bottom w:val="single" w:sz="8" w:space="0" w:color="808080"/>
              <w:right w:val="single" w:sz="8" w:space="0" w:color="808080"/>
            </w:tcBorders>
            <w:shd w:val="clear" w:color="auto" w:fill="FFFFFF"/>
            <w:noWrap/>
            <w:tcMar>
              <w:top w:w="0" w:type="dxa"/>
              <w:left w:w="108" w:type="dxa"/>
              <w:bottom w:w="0" w:type="dxa"/>
              <w:right w:w="108" w:type="dxa"/>
            </w:tcMar>
            <w:vAlign w:val="bottom"/>
            <w:hideMark/>
          </w:tcPr>
          <w:p w14:paraId="73C7766B" w14:textId="77777777" w:rsidR="00FA65A9" w:rsidRDefault="00FA65A9" w:rsidP="00905CFE">
            <w:pPr>
              <w:jc w:val="center"/>
              <w:rPr>
                <w:rFonts w:ascii="Arial Narrow" w:hAnsi="Arial Narrow"/>
                <w:color w:val="000000"/>
                <w:lang w:val="en-US"/>
              </w:rPr>
            </w:pPr>
            <w:r>
              <w:rPr>
                <w:rFonts w:ascii="Arial Narrow" w:hAnsi="Arial Narrow"/>
                <w:color w:val="000000"/>
              </w:rPr>
              <w:t>2014</w:t>
            </w:r>
          </w:p>
        </w:tc>
        <w:tc>
          <w:tcPr>
            <w:tcW w:w="1620" w:type="dxa"/>
            <w:tcBorders>
              <w:top w:val="nil"/>
              <w:left w:val="nil"/>
              <w:bottom w:val="single" w:sz="8" w:space="0" w:color="808080"/>
              <w:right w:val="single" w:sz="8" w:space="0" w:color="808080"/>
            </w:tcBorders>
            <w:shd w:val="clear" w:color="auto" w:fill="FFFFFF"/>
            <w:noWrap/>
            <w:tcMar>
              <w:top w:w="0" w:type="dxa"/>
              <w:left w:w="108" w:type="dxa"/>
              <w:bottom w:w="0" w:type="dxa"/>
              <w:right w:w="108" w:type="dxa"/>
            </w:tcMar>
            <w:vAlign w:val="bottom"/>
            <w:hideMark/>
          </w:tcPr>
          <w:p w14:paraId="4616E294" w14:textId="77777777" w:rsidR="00FA65A9" w:rsidRDefault="00FA65A9" w:rsidP="00905CFE">
            <w:pPr>
              <w:jc w:val="center"/>
              <w:rPr>
                <w:rFonts w:ascii="Arial Narrow" w:hAnsi="Arial Narrow"/>
                <w:color w:val="000000"/>
              </w:rPr>
            </w:pPr>
            <w:r>
              <w:rPr>
                <w:rFonts w:ascii="Arial Narrow" w:hAnsi="Arial Narrow"/>
                <w:color w:val="000000"/>
              </w:rPr>
              <w:t>2,337</w:t>
            </w:r>
          </w:p>
        </w:tc>
        <w:tc>
          <w:tcPr>
            <w:tcW w:w="2320" w:type="dxa"/>
            <w:tcBorders>
              <w:top w:val="nil"/>
              <w:left w:val="nil"/>
              <w:bottom w:val="single" w:sz="8" w:space="0" w:color="808080"/>
              <w:right w:val="single" w:sz="8" w:space="0" w:color="808080"/>
            </w:tcBorders>
            <w:shd w:val="clear" w:color="auto" w:fill="FFFFFF"/>
            <w:noWrap/>
            <w:tcMar>
              <w:top w:w="0" w:type="dxa"/>
              <w:left w:w="108" w:type="dxa"/>
              <w:bottom w:w="0" w:type="dxa"/>
              <w:right w:w="108" w:type="dxa"/>
            </w:tcMar>
            <w:vAlign w:val="bottom"/>
            <w:hideMark/>
          </w:tcPr>
          <w:p w14:paraId="76FF1D68" w14:textId="77777777" w:rsidR="00FA65A9" w:rsidRDefault="00FA65A9" w:rsidP="00905CFE">
            <w:pPr>
              <w:jc w:val="center"/>
              <w:rPr>
                <w:rFonts w:ascii="Arial Narrow" w:hAnsi="Arial Narrow"/>
                <w:color w:val="000000"/>
              </w:rPr>
            </w:pPr>
            <w:r>
              <w:rPr>
                <w:rFonts w:ascii="Arial Narrow" w:hAnsi="Arial Narrow"/>
                <w:color w:val="000000"/>
              </w:rPr>
              <w:t>4,896</w:t>
            </w:r>
          </w:p>
        </w:tc>
        <w:tc>
          <w:tcPr>
            <w:tcW w:w="3460" w:type="dxa"/>
            <w:tcBorders>
              <w:top w:val="nil"/>
              <w:left w:val="nil"/>
              <w:bottom w:val="single" w:sz="8" w:space="0" w:color="808080"/>
              <w:right w:val="single" w:sz="8" w:space="0" w:color="808080"/>
            </w:tcBorders>
            <w:shd w:val="clear" w:color="auto" w:fill="FFFFFF"/>
            <w:noWrap/>
            <w:tcMar>
              <w:top w:w="0" w:type="dxa"/>
              <w:left w:w="108" w:type="dxa"/>
              <w:bottom w:w="0" w:type="dxa"/>
              <w:right w:w="108" w:type="dxa"/>
            </w:tcMar>
            <w:vAlign w:val="bottom"/>
            <w:hideMark/>
          </w:tcPr>
          <w:p w14:paraId="34181039" w14:textId="77777777" w:rsidR="00FA65A9" w:rsidRDefault="00FA65A9" w:rsidP="00905CFE">
            <w:pPr>
              <w:jc w:val="center"/>
              <w:rPr>
                <w:rFonts w:ascii="Arial Narrow" w:hAnsi="Arial Narrow"/>
                <w:color w:val="000000"/>
              </w:rPr>
            </w:pPr>
            <w:r>
              <w:rPr>
                <w:rFonts w:ascii="Arial Narrow" w:hAnsi="Arial Narrow"/>
                <w:color w:val="000000"/>
              </w:rPr>
              <w:t>3,002</w:t>
            </w:r>
          </w:p>
        </w:tc>
      </w:tr>
      <w:tr w:rsidR="00FA65A9" w14:paraId="1E1B763E" w14:textId="77777777" w:rsidTr="00905CFE">
        <w:trPr>
          <w:trHeight w:val="276"/>
        </w:trPr>
        <w:tc>
          <w:tcPr>
            <w:tcW w:w="1240" w:type="dxa"/>
            <w:tcBorders>
              <w:top w:val="nil"/>
              <w:left w:val="single" w:sz="8" w:space="0" w:color="808080"/>
              <w:bottom w:val="single" w:sz="8" w:space="0" w:color="808080"/>
              <w:right w:val="single" w:sz="8" w:space="0" w:color="808080"/>
            </w:tcBorders>
            <w:shd w:val="clear" w:color="auto" w:fill="FFFFFF"/>
            <w:noWrap/>
            <w:tcMar>
              <w:top w:w="0" w:type="dxa"/>
              <w:left w:w="108" w:type="dxa"/>
              <w:bottom w:w="0" w:type="dxa"/>
              <w:right w:w="108" w:type="dxa"/>
            </w:tcMar>
            <w:vAlign w:val="bottom"/>
            <w:hideMark/>
          </w:tcPr>
          <w:p w14:paraId="397F3004" w14:textId="77777777" w:rsidR="00FA65A9" w:rsidRDefault="00FA65A9" w:rsidP="00905CFE">
            <w:pPr>
              <w:jc w:val="center"/>
              <w:rPr>
                <w:rFonts w:ascii="Arial Narrow" w:hAnsi="Arial Narrow"/>
                <w:color w:val="000000"/>
              </w:rPr>
            </w:pPr>
            <w:r>
              <w:rPr>
                <w:rFonts w:ascii="Arial Narrow" w:hAnsi="Arial Narrow"/>
                <w:color w:val="000000"/>
              </w:rPr>
              <w:t>2015</w:t>
            </w:r>
          </w:p>
        </w:tc>
        <w:tc>
          <w:tcPr>
            <w:tcW w:w="1620" w:type="dxa"/>
            <w:tcBorders>
              <w:top w:val="nil"/>
              <w:left w:val="nil"/>
              <w:bottom w:val="single" w:sz="8" w:space="0" w:color="808080"/>
              <w:right w:val="single" w:sz="8" w:space="0" w:color="808080"/>
            </w:tcBorders>
            <w:shd w:val="clear" w:color="auto" w:fill="FFFFFF"/>
            <w:noWrap/>
            <w:tcMar>
              <w:top w:w="0" w:type="dxa"/>
              <w:left w:w="108" w:type="dxa"/>
              <w:bottom w:w="0" w:type="dxa"/>
              <w:right w:w="108" w:type="dxa"/>
            </w:tcMar>
            <w:vAlign w:val="bottom"/>
            <w:hideMark/>
          </w:tcPr>
          <w:p w14:paraId="5F61D25B" w14:textId="77777777" w:rsidR="00FA65A9" w:rsidRDefault="00FA65A9" w:rsidP="00905CFE">
            <w:pPr>
              <w:jc w:val="center"/>
              <w:rPr>
                <w:rFonts w:ascii="Arial Narrow" w:hAnsi="Arial Narrow"/>
                <w:color w:val="000000"/>
              </w:rPr>
            </w:pPr>
            <w:r>
              <w:rPr>
                <w:rFonts w:ascii="Arial Narrow" w:hAnsi="Arial Narrow"/>
                <w:color w:val="000000"/>
              </w:rPr>
              <w:t>3,499</w:t>
            </w:r>
          </w:p>
        </w:tc>
        <w:tc>
          <w:tcPr>
            <w:tcW w:w="2320" w:type="dxa"/>
            <w:tcBorders>
              <w:top w:val="nil"/>
              <w:left w:val="nil"/>
              <w:bottom w:val="single" w:sz="8" w:space="0" w:color="808080"/>
              <w:right w:val="single" w:sz="8" w:space="0" w:color="808080"/>
            </w:tcBorders>
            <w:shd w:val="clear" w:color="auto" w:fill="FFFFFF"/>
            <w:noWrap/>
            <w:tcMar>
              <w:top w:w="0" w:type="dxa"/>
              <w:left w:w="108" w:type="dxa"/>
              <w:bottom w:w="0" w:type="dxa"/>
              <w:right w:w="108" w:type="dxa"/>
            </w:tcMar>
            <w:vAlign w:val="bottom"/>
            <w:hideMark/>
          </w:tcPr>
          <w:p w14:paraId="46CFE325" w14:textId="77777777" w:rsidR="00FA65A9" w:rsidRDefault="00FA65A9" w:rsidP="00905CFE">
            <w:pPr>
              <w:jc w:val="center"/>
              <w:rPr>
                <w:rFonts w:ascii="Arial Narrow" w:hAnsi="Arial Narrow"/>
                <w:color w:val="000000"/>
              </w:rPr>
            </w:pPr>
            <w:r>
              <w:rPr>
                <w:rFonts w:ascii="Arial Narrow" w:hAnsi="Arial Narrow"/>
                <w:color w:val="000000"/>
              </w:rPr>
              <w:t>3,697</w:t>
            </w:r>
          </w:p>
        </w:tc>
        <w:tc>
          <w:tcPr>
            <w:tcW w:w="3460" w:type="dxa"/>
            <w:tcBorders>
              <w:top w:val="nil"/>
              <w:left w:val="nil"/>
              <w:bottom w:val="single" w:sz="8" w:space="0" w:color="808080"/>
              <w:right w:val="single" w:sz="8" w:space="0" w:color="808080"/>
            </w:tcBorders>
            <w:shd w:val="clear" w:color="auto" w:fill="FFFFFF"/>
            <w:noWrap/>
            <w:tcMar>
              <w:top w:w="0" w:type="dxa"/>
              <w:left w:w="108" w:type="dxa"/>
              <w:bottom w:w="0" w:type="dxa"/>
              <w:right w:w="108" w:type="dxa"/>
            </w:tcMar>
            <w:vAlign w:val="bottom"/>
            <w:hideMark/>
          </w:tcPr>
          <w:p w14:paraId="3049E679" w14:textId="77777777" w:rsidR="00FA65A9" w:rsidRDefault="00FA65A9" w:rsidP="00905CFE">
            <w:pPr>
              <w:jc w:val="center"/>
              <w:rPr>
                <w:rFonts w:ascii="Arial Narrow" w:hAnsi="Arial Narrow"/>
                <w:color w:val="000000"/>
              </w:rPr>
            </w:pPr>
            <w:r>
              <w:rPr>
                <w:rFonts w:ascii="Arial Narrow" w:hAnsi="Arial Narrow"/>
                <w:color w:val="000000"/>
              </w:rPr>
              <w:t>5,089</w:t>
            </w:r>
          </w:p>
        </w:tc>
      </w:tr>
      <w:tr w:rsidR="00FA65A9" w14:paraId="1A722049" w14:textId="77777777" w:rsidTr="00905CFE">
        <w:trPr>
          <w:trHeight w:val="276"/>
        </w:trPr>
        <w:tc>
          <w:tcPr>
            <w:tcW w:w="1240" w:type="dxa"/>
            <w:tcBorders>
              <w:top w:val="nil"/>
              <w:left w:val="single" w:sz="8" w:space="0" w:color="808080"/>
              <w:bottom w:val="single" w:sz="8" w:space="0" w:color="808080"/>
              <w:right w:val="single" w:sz="8" w:space="0" w:color="808080"/>
            </w:tcBorders>
            <w:shd w:val="clear" w:color="auto" w:fill="FFFFFF"/>
            <w:noWrap/>
            <w:tcMar>
              <w:top w:w="0" w:type="dxa"/>
              <w:left w:w="108" w:type="dxa"/>
              <w:bottom w:w="0" w:type="dxa"/>
              <w:right w:w="108" w:type="dxa"/>
            </w:tcMar>
            <w:vAlign w:val="bottom"/>
            <w:hideMark/>
          </w:tcPr>
          <w:p w14:paraId="1E93EA8A" w14:textId="77777777" w:rsidR="00FA65A9" w:rsidRDefault="00FA65A9" w:rsidP="00905CFE">
            <w:pPr>
              <w:jc w:val="center"/>
              <w:rPr>
                <w:rFonts w:ascii="Arial Narrow" w:hAnsi="Arial Narrow"/>
                <w:color w:val="000000"/>
              </w:rPr>
            </w:pPr>
            <w:r>
              <w:rPr>
                <w:rFonts w:ascii="Arial Narrow" w:hAnsi="Arial Narrow"/>
                <w:color w:val="000000"/>
              </w:rPr>
              <w:t>2016</w:t>
            </w:r>
          </w:p>
        </w:tc>
        <w:tc>
          <w:tcPr>
            <w:tcW w:w="1620" w:type="dxa"/>
            <w:tcBorders>
              <w:top w:val="nil"/>
              <w:left w:val="nil"/>
              <w:bottom w:val="single" w:sz="8" w:space="0" w:color="808080"/>
              <w:right w:val="single" w:sz="8" w:space="0" w:color="808080"/>
            </w:tcBorders>
            <w:shd w:val="clear" w:color="auto" w:fill="FFFFFF"/>
            <w:noWrap/>
            <w:tcMar>
              <w:top w:w="0" w:type="dxa"/>
              <w:left w:w="108" w:type="dxa"/>
              <w:bottom w:w="0" w:type="dxa"/>
              <w:right w:w="108" w:type="dxa"/>
            </w:tcMar>
            <w:vAlign w:val="bottom"/>
            <w:hideMark/>
          </w:tcPr>
          <w:p w14:paraId="2B996496" w14:textId="77777777" w:rsidR="00FA65A9" w:rsidRDefault="00FA65A9" w:rsidP="00905CFE">
            <w:pPr>
              <w:jc w:val="center"/>
              <w:rPr>
                <w:rFonts w:ascii="Arial Narrow" w:hAnsi="Arial Narrow"/>
                <w:color w:val="000000"/>
              </w:rPr>
            </w:pPr>
            <w:r>
              <w:rPr>
                <w:rFonts w:ascii="Arial Narrow" w:hAnsi="Arial Narrow"/>
                <w:color w:val="000000"/>
              </w:rPr>
              <w:t>4,831</w:t>
            </w:r>
          </w:p>
        </w:tc>
        <w:tc>
          <w:tcPr>
            <w:tcW w:w="2320" w:type="dxa"/>
            <w:tcBorders>
              <w:top w:val="nil"/>
              <w:left w:val="nil"/>
              <w:bottom w:val="single" w:sz="8" w:space="0" w:color="808080"/>
              <w:right w:val="single" w:sz="8" w:space="0" w:color="808080"/>
            </w:tcBorders>
            <w:shd w:val="clear" w:color="auto" w:fill="FFFFFF"/>
            <w:noWrap/>
            <w:tcMar>
              <w:top w:w="0" w:type="dxa"/>
              <w:left w:w="108" w:type="dxa"/>
              <w:bottom w:w="0" w:type="dxa"/>
              <w:right w:w="108" w:type="dxa"/>
            </w:tcMar>
            <w:vAlign w:val="bottom"/>
            <w:hideMark/>
          </w:tcPr>
          <w:p w14:paraId="36B487AA" w14:textId="77777777" w:rsidR="00FA65A9" w:rsidRDefault="00FA65A9" w:rsidP="00905CFE">
            <w:pPr>
              <w:jc w:val="center"/>
              <w:rPr>
                <w:rFonts w:ascii="Arial Narrow" w:hAnsi="Arial Narrow"/>
                <w:color w:val="000000"/>
              </w:rPr>
            </w:pPr>
            <w:r>
              <w:rPr>
                <w:rFonts w:ascii="Arial Narrow" w:hAnsi="Arial Narrow"/>
                <w:color w:val="000000"/>
              </w:rPr>
              <w:t>3,663</w:t>
            </w:r>
          </w:p>
        </w:tc>
        <w:tc>
          <w:tcPr>
            <w:tcW w:w="3460" w:type="dxa"/>
            <w:tcBorders>
              <w:top w:val="nil"/>
              <w:left w:val="nil"/>
              <w:bottom w:val="single" w:sz="8" w:space="0" w:color="808080"/>
              <w:right w:val="single" w:sz="8" w:space="0" w:color="808080"/>
            </w:tcBorders>
            <w:shd w:val="clear" w:color="auto" w:fill="FFFFFF"/>
            <w:noWrap/>
            <w:tcMar>
              <w:top w:w="0" w:type="dxa"/>
              <w:left w:w="108" w:type="dxa"/>
              <w:bottom w:w="0" w:type="dxa"/>
              <w:right w:w="108" w:type="dxa"/>
            </w:tcMar>
            <w:vAlign w:val="bottom"/>
            <w:hideMark/>
          </w:tcPr>
          <w:p w14:paraId="46C54EF0" w14:textId="77777777" w:rsidR="00FA65A9" w:rsidRDefault="00FA65A9" w:rsidP="00905CFE">
            <w:pPr>
              <w:jc w:val="center"/>
              <w:rPr>
                <w:rFonts w:ascii="Arial Narrow" w:hAnsi="Arial Narrow"/>
                <w:color w:val="000000"/>
              </w:rPr>
            </w:pPr>
            <w:r>
              <w:rPr>
                <w:rFonts w:ascii="Arial Narrow" w:hAnsi="Arial Narrow"/>
                <w:color w:val="000000"/>
              </w:rPr>
              <w:t>5,740</w:t>
            </w:r>
          </w:p>
        </w:tc>
      </w:tr>
      <w:tr w:rsidR="00FA65A9" w14:paraId="5ED6447C" w14:textId="77777777" w:rsidTr="00905CFE">
        <w:trPr>
          <w:trHeight w:val="276"/>
        </w:trPr>
        <w:tc>
          <w:tcPr>
            <w:tcW w:w="5180" w:type="dxa"/>
            <w:gridSpan w:val="3"/>
            <w:shd w:val="clear" w:color="auto" w:fill="FFFFFF"/>
            <w:noWrap/>
            <w:tcMar>
              <w:top w:w="0" w:type="dxa"/>
              <w:left w:w="108" w:type="dxa"/>
              <w:bottom w:w="0" w:type="dxa"/>
              <w:right w:w="108" w:type="dxa"/>
            </w:tcMar>
            <w:vAlign w:val="bottom"/>
            <w:hideMark/>
          </w:tcPr>
          <w:p w14:paraId="274D54DB" w14:textId="77777777" w:rsidR="00FA65A9" w:rsidRPr="00FA65A9" w:rsidRDefault="00FA65A9" w:rsidP="00905CFE">
            <w:pPr>
              <w:rPr>
                <w:rFonts w:ascii="Arial Narrow" w:hAnsi="Arial Narrow"/>
                <w:color w:val="000000"/>
                <w:sz w:val="18"/>
                <w:szCs w:val="16"/>
              </w:rPr>
            </w:pPr>
            <w:r w:rsidRPr="00FA65A9">
              <w:rPr>
                <w:rFonts w:ascii="Arial Narrow" w:hAnsi="Arial Narrow"/>
                <w:color w:val="000000"/>
                <w:sz w:val="18"/>
                <w:szCs w:val="16"/>
              </w:rPr>
              <w:t>Fuente: Sistema Informático de Inspección del Trabajo - SIIT</w:t>
            </w:r>
          </w:p>
        </w:tc>
        <w:tc>
          <w:tcPr>
            <w:tcW w:w="3460" w:type="dxa"/>
            <w:shd w:val="clear" w:color="auto" w:fill="FFFFFF"/>
            <w:noWrap/>
            <w:tcMar>
              <w:top w:w="0" w:type="dxa"/>
              <w:left w:w="108" w:type="dxa"/>
              <w:bottom w:w="0" w:type="dxa"/>
              <w:right w:w="108" w:type="dxa"/>
            </w:tcMar>
            <w:vAlign w:val="bottom"/>
            <w:hideMark/>
          </w:tcPr>
          <w:p w14:paraId="5CBD2235" w14:textId="77777777" w:rsidR="00FA65A9" w:rsidRDefault="00FA65A9" w:rsidP="00905CFE">
            <w:pPr>
              <w:rPr>
                <w:rFonts w:ascii="Arial Narrow" w:hAnsi="Arial Narrow"/>
                <w:color w:val="000000"/>
                <w:sz w:val="22"/>
                <w:szCs w:val="22"/>
              </w:rPr>
            </w:pPr>
            <w:r>
              <w:rPr>
                <w:rFonts w:ascii="Arial Narrow" w:hAnsi="Arial Narrow"/>
                <w:color w:val="000000"/>
              </w:rPr>
              <w:t> </w:t>
            </w:r>
          </w:p>
        </w:tc>
      </w:tr>
      <w:tr w:rsidR="00FA65A9" w14:paraId="0781B4E9" w14:textId="77777777" w:rsidTr="00905CFE">
        <w:trPr>
          <w:trHeight w:val="276"/>
        </w:trPr>
        <w:tc>
          <w:tcPr>
            <w:tcW w:w="8640" w:type="dxa"/>
            <w:gridSpan w:val="4"/>
            <w:shd w:val="clear" w:color="auto" w:fill="FFFFFF"/>
            <w:noWrap/>
            <w:tcMar>
              <w:top w:w="0" w:type="dxa"/>
              <w:left w:w="108" w:type="dxa"/>
              <w:bottom w:w="0" w:type="dxa"/>
              <w:right w:w="108" w:type="dxa"/>
            </w:tcMar>
            <w:vAlign w:val="bottom"/>
            <w:hideMark/>
          </w:tcPr>
          <w:p w14:paraId="5D0E4534" w14:textId="77777777" w:rsidR="00FA65A9" w:rsidRPr="00FA65A9" w:rsidRDefault="00FA65A9" w:rsidP="00905CFE">
            <w:pPr>
              <w:rPr>
                <w:rFonts w:ascii="Arial Narrow" w:hAnsi="Arial Narrow"/>
                <w:color w:val="000000"/>
                <w:sz w:val="18"/>
                <w:szCs w:val="16"/>
              </w:rPr>
            </w:pPr>
            <w:r w:rsidRPr="00FA65A9">
              <w:rPr>
                <w:rFonts w:ascii="Arial Narrow" w:hAnsi="Arial Narrow"/>
                <w:color w:val="000000"/>
                <w:sz w:val="18"/>
                <w:szCs w:val="16"/>
              </w:rPr>
              <w:t>La información contempla a las Intendencias de la SUNAFIL y Gobierno Regionales</w:t>
            </w:r>
          </w:p>
        </w:tc>
      </w:tr>
    </w:tbl>
    <w:p w14:paraId="3B20C351" w14:textId="77777777" w:rsidR="00FA65A9" w:rsidRPr="002B780A" w:rsidRDefault="00FA65A9" w:rsidP="00FA65A9">
      <w:pPr>
        <w:pStyle w:val="subpar"/>
        <w:numPr>
          <w:ilvl w:val="0"/>
          <w:numId w:val="0"/>
        </w:numPr>
        <w:ind w:left="1152"/>
        <w:rPr>
          <w:rFonts w:ascii="Arial" w:hAnsi="Arial" w:cs="Arial"/>
          <w:sz w:val="14"/>
        </w:rPr>
      </w:pPr>
    </w:p>
    <w:p w14:paraId="5989E4E3" w14:textId="59C7EB5F" w:rsidR="00FA65A9" w:rsidRPr="00FA65A9" w:rsidRDefault="00FA65A9" w:rsidP="002677A8">
      <w:pPr>
        <w:pStyle w:val="subpar"/>
        <w:tabs>
          <w:tab w:val="clear" w:pos="1152"/>
        </w:tabs>
        <w:ind w:left="720"/>
        <w:rPr>
          <w:rFonts w:ascii="Arial" w:hAnsi="Arial" w:cs="Arial"/>
          <w:sz w:val="22"/>
        </w:rPr>
      </w:pPr>
      <w:r>
        <w:rPr>
          <w:rFonts w:ascii="Arial" w:hAnsi="Arial" w:cs="Arial"/>
          <w:sz w:val="22"/>
        </w:rPr>
        <w:t xml:space="preserve">Resultado esperado </w:t>
      </w:r>
      <w:r w:rsidR="00256878">
        <w:rPr>
          <w:rFonts w:ascii="Arial" w:hAnsi="Arial" w:cs="Arial"/>
          <w:sz w:val="22"/>
        </w:rPr>
        <w:t>5 “</w:t>
      </w:r>
      <w:r w:rsidR="00256878" w:rsidRPr="00256878">
        <w:rPr>
          <w:rFonts w:ascii="Arial" w:hAnsi="Arial" w:cs="Arial"/>
          <w:sz w:val="22"/>
        </w:rPr>
        <w:t>Destrabar el crecimiento de las MYPE desincentivado por distorsiones en regímenes tributarios</w:t>
      </w:r>
      <w:r w:rsidR="00256878">
        <w:rPr>
          <w:rFonts w:ascii="Arial" w:hAnsi="Arial" w:cs="Arial"/>
          <w:sz w:val="22"/>
        </w:rPr>
        <w:t>”:</w:t>
      </w:r>
      <w:r w:rsidR="00F53F5C">
        <w:rPr>
          <w:rFonts w:ascii="Arial" w:hAnsi="Arial" w:cs="Arial"/>
          <w:sz w:val="22"/>
        </w:rPr>
        <w:t xml:space="preserve"> el programa reconoce en su primer tramo la reforma tributaria del Nuevo RUS implementada en 2017.</w:t>
      </w:r>
      <w:r w:rsidR="00C268E3">
        <w:rPr>
          <w:rFonts w:ascii="Arial" w:hAnsi="Arial" w:cs="Arial"/>
          <w:sz w:val="22"/>
        </w:rPr>
        <w:t xml:space="preserve"> Mediante tal reforma se eliminaron tres de las cinco categorías impositivas existentes en </w:t>
      </w:r>
      <w:r w:rsidR="007C5B5D">
        <w:rPr>
          <w:rFonts w:ascii="Arial" w:hAnsi="Arial" w:cs="Arial"/>
          <w:sz w:val="22"/>
        </w:rPr>
        <w:t>Régimen</w:t>
      </w:r>
      <w:r w:rsidR="00C268E3">
        <w:rPr>
          <w:rFonts w:ascii="Arial" w:hAnsi="Arial" w:cs="Arial"/>
          <w:sz w:val="22"/>
        </w:rPr>
        <w:t xml:space="preserve"> </w:t>
      </w:r>
      <w:r w:rsidR="007C5B5D">
        <w:rPr>
          <w:rFonts w:ascii="Arial" w:hAnsi="Arial" w:cs="Arial"/>
          <w:sz w:val="22"/>
        </w:rPr>
        <w:t>Único</w:t>
      </w:r>
      <w:r w:rsidR="00C268E3">
        <w:rPr>
          <w:rFonts w:ascii="Arial" w:hAnsi="Arial" w:cs="Arial"/>
          <w:sz w:val="22"/>
        </w:rPr>
        <w:t xml:space="preserve"> Simplif</w:t>
      </w:r>
      <w:r w:rsidR="008F5584">
        <w:rPr>
          <w:rFonts w:ascii="Arial" w:hAnsi="Arial" w:cs="Arial"/>
          <w:sz w:val="22"/>
        </w:rPr>
        <w:t>icado. La importancia de esta medida radica en la eliminación de incentivos perversos a no crecer para gozar de las tasas impositivas preferenciales para negoci</w:t>
      </w:r>
      <w:r w:rsidR="0004269E">
        <w:rPr>
          <w:rFonts w:ascii="Arial" w:hAnsi="Arial" w:cs="Arial"/>
          <w:sz w:val="22"/>
        </w:rPr>
        <w:t>o</w:t>
      </w:r>
      <w:r w:rsidR="008F5584">
        <w:rPr>
          <w:rFonts w:ascii="Arial" w:hAnsi="Arial" w:cs="Arial"/>
          <w:sz w:val="22"/>
        </w:rPr>
        <w:t>s de menor escala. La evidencia mostrada en el Gráfico</w:t>
      </w:r>
      <w:r w:rsidR="00897E24">
        <w:rPr>
          <w:rFonts w:ascii="Arial" w:hAnsi="Arial" w:cs="Arial"/>
          <w:sz w:val="22"/>
        </w:rPr>
        <w:t> </w:t>
      </w:r>
      <w:r w:rsidR="008F5584">
        <w:rPr>
          <w:rFonts w:ascii="Arial" w:hAnsi="Arial" w:cs="Arial"/>
          <w:sz w:val="22"/>
        </w:rPr>
        <w:t xml:space="preserve">1 sugiere que al 2016, en el rango de 12 a 13 mil soles de ventas mensuales, en donde operaba uno de los cortes, había una clara acumulación artificial de firmas en ese nivel de ventas. Se espera que tras la reforma, la proporción de firmas a la derecha e izquierda del corte sea aproximadamente equivalente. No hay otra política que </w:t>
      </w:r>
      <w:r w:rsidR="002677A8">
        <w:rPr>
          <w:rFonts w:ascii="Arial" w:hAnsi="Arial" w:cs="Arial"/>
          <w:sz w:val="22"/>
        </w:rPr>
        <w:t>esté operante que pueda inducir diferenciación justo en ese nivel de ventas, asimismo, se observa que para 2014 y 2015 la distribución es semejante con lo cual es difícil pensar que sea un efecto agregado temporal el que induce esta distorsión.</w:t>
      </w:r>
      <w:r w:rsidR="007012E6" w:rsidRPr="007012E6">
        <w:rPr>
          <w:rFonts w:ascii="Arial" w:hAnsi="Arial" w:cs="Arial"/>
          <w:sz w:val="22"/>
        </w:rPr>
        <w:t xml:space="preserve"> </w:t>
      </w:r>
      <w:r w:rsidR="007012E6">
        <w:rPr>
          <w:rFonts w:ascii="Arial" w:hAnsi="Arial" w:cs="Arial"/>
          <w:sz w:val="22"/>
        </w:rPr>
        <w:t>Por tanto, como se indica en el Cuadro 2, la línea de base se midió al 2016, antes del cambio regulatorio que simplificó el régimen tributario, y la de salida se medirá al 2020.</w:t>
      </w:r>
    </w:p>
    <w:p w14:paraId="11814FE3" w14:textId="77777777" w:rsidR="008F5584" w:rsidRDefault="00447BF8" w:rsidP="00204A99">
      <w:pPr>
        <w:pStyle w:val="Paragraph"/>
        <w:numPr>
          <w:ilvl w:val="0"/>
          <w:numId w:val="0"/>
        </w:numPr>
        <w:jc w:val="center"/>
        <w:rPr>
          <w:rFonts w:ascii="Arial" w:hAnsi="Arial" w:cs="Arial"/>
          <w:b/>
          <w:sz w:val="22"/>
          <w:szCs w:val="22"/>
          <w:lang w:val="es-ES_tradnl"/>
        </w:rPr>
      </w:pPr>
      <w:r w:rsidRPr="00204A99">
        <w:rPr>
          <w:rFonts w:ascii="Arial" w:hAnsi="Arial" w:cs="Arial"/>
          <w:b/>
          <w:sz w:val="22"/>
          <w:szCs w:val="22"/>
          <w:lang w:val="es-ES_tradnl"/>
        </w:rPr>
        <w:t xml:space="preserve">Gráfico 1. Distribución de firmas </w:t>
      </w:r>
      <w:r w:rsidR="00204A99" w:rsidRPr="00204A99">
        <w:rPr>
          <w:rFonts w:ascii="Arial" w:hAnsi="Arial" w:cs="Arial"/>
          <w:b/>
          <w:sz w:val="22"/>
          <w:szCs w:val="22"/>
          <w:lang w:val="es-ES_tradnl"/>
        </w:rPr>
        <w:t xml:space="preserve">por rangos de ventas mensuales del </w:t>
      </w:r>
      <w:r w:rsidR="00F92F1A">
        <w:rPr>
          <w:rFonts w:ascii="Arial" w:hAnsi="Arial" w:cs="Arial"/>
          <w:b/>
          <w:sz w:val="22"/>
          <w:szCs w:val="22"/>
          <w:lang w:val="es-ES_tradnl"/>
        </w:rPr>
        <w:t xml:space="preserve">Nuevo </w:t>
      </w:r>
      <w:proofErr w:type="spellStart"/>
      <w:r w:rsidR="00204A99" w:rsidRPr="00204A99">
        <w:rPr>
          <w:rFonts w:ascii="Arial" w:hAnsi="Arial" w:cs="Arial"/>
          <w:b/>
          <w:sz w:val="22"/>
          <w:szCs w:val="22"/>
          <w:lang w:val="es-ES_tradnl"/>
        </w:rPr>
        <w:t>Regimen</w:t>
      </w:r>
      <w:proofErr w:type="spellEnd"/>
      <w:r w:rsidR="00204A99" w:rsidRPr="00204A99">
        <w:rPr>
          <w:rFonts w:ascii="Arial" w:hAnsi="Arial" w:cs="Arial"/>
          <w:b/>
          <w:sz w:val="22"/>
          <w:szCs w:val="22"/>
          <w:lang w:val="es-ES_tradnl"/>
        </w:rPr>
        <w:t xml:space="preserve"> </w:t>
      </w:r>
      <w:proofErr w:type="spellStart"/>
      <w:r w:rsidR="00204A99" w:rsidRPr="00204A99">
        <w:rPr>
          <w:rFonts w:ascii="Arial" w:hAnsi="Arial" w:cs="Arial"/>
          <w:b/>
          <w:sz w:val="22"/>
          <w:szCs w:val="22"/>
          <w:lang w:val="es-ES_tradnl"/>
        </w:rPr>
        <w:t>Unico</w:t>
      </w:r>
      <w:proofErr w:type="spellEnd"/>
      <w:r w:rsidR="00204A99" w:rsidRPr="00204A99">
        <w:rPr>
          <w:rFonts w:ascii="Arial" w:hAnsi="Arial" w:cs="Arial"/>
          <w:b/>
          <w:sz w:val="22"/>
          <w:szCs w:val="22"/>
          <w:lang w:val="es-ES_tradnl"/>
        </w:rPr>
        <w:t xml:space="preserve"> Simplificado </w:t>
      </w:r>
      <w:r w:rsidR="00F92F1A">
        <w:rPr>
          <w:rFonts w:ascii="Arial" w:hAnsi="Arial" w:cs="Arial"/>
          <w:b/>
          <w:sz w:val="22"/>
          <w:szCs w:val="22"/>
          <w:lang w:val="es-ES_tradnl"/>
        </w:rPr>
        <w:t xml:space="preserve">(Nuevo RUS) </w:t>
      </w:r>
    </w:p>
    <w:p w14:paraId="4D22BA41" w14:textId="28E27B47" w:rsidR="00447BF8" w:rsidRPr="00204A99" w:rsidRDefault="00204A99" w:rsidP="00204A99">
      <w:pPr>
        <w:pStyle w:val="Paragraph"/>
        <w:numPr>
          <w:ilvl w:val="0"/>
          <w:numId w:val="0"/>
        </w:numPr>
        <w:jc w:val="center"/>
        <w:rPr>
          <w:rFonts w:ascii="Arial" w:hAnsi="Arial" w:cs="Arial"/>
          <w:b/>
          <w:sz w:val="22"/>
          <w:szCs w:val="22"/>
          <w:lang w:val="es-ES_tradnl"/>
        </w:rPr>
      </w:pPr>
      <w:r w:rsidRPr="00204A99">
        <w:rPr>
          <w:rFonts w:ascii="Arial" w:hAnsi="Arial" w:cs="Arial"/>
          <w:b/>
          <w:sz w:val="22"/>
          <w:szCs w:val="22"/>
          <w:lang w:val="es-ES_tradnl"/>
        </w:rPr>
        <w:t>a</w:t>
      </w:r>
      <w:r w:rsidR="008F5584">
        <w:rPr>
          <w:rFonts w:ascii="Arial" w:hAnsi="Arial" w:cs="Arial"/>
          <w:b/>
          <w:sz w:val="22"/>
          <w:szCs w:val="22"/>
          <w:lang w:val="es-ES_tradnl"/>
        </w:rPr>
        <w:t>.</w:t>
      </w:r>
      <w:r w:rsidRPr="00204A99">
        <w:rPr>
          <w:rFonts w:ascii="Arial" w:hAnsi="Arial" w:cs="Arial"/>
          <w:b/>
          <w:sz w:val="22"/>
          <w:szCs w:val="22"/>
          <w:lang w:val="es-ES_tradnl"/>
        </w:rPr>
        <w:t xml:space="preserve"> </w:t>
      </w:r>
      <w:proofErr w:type="gramStart"/>
      <w:r w:rsidRPr="00204A99">
        <w:rPr>
          <w:rFonts w:ascii="Arial" w:hAnsi="Arial" w:cs="Arial"/>
          <w:b/>
          <w:sz w:val="22"/>
          <w:szCs w:val="22"/>
          <w:lang w:val="es-ES_tradnl"/>
        </w:rPr>
        <w:t>Marzo</w:t>
      </w:r>
      <w:proofErr w:type="gramEnd"/>
      <w:r w:rsidRPr="00204A99">
        <w:rPr>
          <w:rFonts w:ascii="Arial" w:hAnsi="Arial" w:cs="Arial"/>
          <w:b/>
          <w:sz w:val="22"/>
          <w:szCs w:val="22"/>
          <w:lang w:val="es-ES_tradnl"/>
        </w:rPr>
        <w:t xml:space="preserve"> de 2016</w:t>
      </w:r>
    </w:p>
    <w:p w14:paraId="7B4536B5" w14:textId="4F146D61" w:rsidR="00CE6FD0" w:rsidRDefault="006C5CB3" w:rsidP="00342F85">
      <w:pPr>
        <w:pStyle w:val="Paragraph"/>
        <w:numPr>
          <w:ilvl w:val="0"/>
          <w:numId w:val="0"/>
        </w:numPr>
        <w:jc w:val="center"/>
        <w:rPr>
          <w:rFonts w:ascii="Arial" w:hAnsi="Arial" w:cs="Arial"/>
          <w:sz w:val="22"/>
          <w:szCs w:val="22"/>
          <w:lang w:val="es-ES_tradnl"/>
        </w:rPr>
      </w:pPr>
      <w:r>
        <w:rPr>
          <w:noProof/>
        </w:rPr>
        <w:drawing>
          <wp:inline distT="0" distB="0" distL="0" distR="0" wp14:anchorId="5DB51421" wp14:editId="51215219">
            <wp:extent cx="4498225" cy="2784764"/>
            <wp:effectExtent l="0" t="0" r="17145" b="15875"/>
            <wp:docPr id="4" name="Chart 4">
              <a:extLst xmlns:a="http://schemas.openxmlformats.org/drawingml/2006/main">
                <a:ext uri="{FF2B5EF4-FFF2-40B4-BE49-F238E27FC236}">
                  <a16:creationId xmlns:a16="http://schemas.microsoft.com/office/drawing/2014/main" id="{E2FECDDE-95EF-49B7-B3F7-758E133D892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9E02927" w14:textId="77777777" w:rsidR="002F0082" w:rsidRDefault="002F0082" w:rsidP="008F5584">
      <w:pPr>
        <w:pStyle w:val="Paragraph"/>
        <w:numPr>
          <w:ilvl w:val="0"/>
          <w:numId w:val="0"/>
        </w:numPr>
        <w:jc w:val="center"/>
        <w:rPr>
          <w:rFonts w:ascii="Arial" w:hAnsi="Arial" w:cs="Arial"/>
          <w:b/>
          <w:sz w:val="22"/>
          <w:szCs w:val="22"/>
          <w:lang w:val="es-ES_tradnl"/>
        </w:rPr>
      </w:pPr>
    </w:p>
    <w:p w14:paraId="7F539D42" w14:textId="77F7D62B" w:rsidR="008F5584" w:rsidRPr="008F5584" w:rsidRDefault="008F5584" w:rsidP="008F5584">
      <w:pPr>
        <w:pStyle w:val="Paragraph"/>
        <w:numPr>
          <w:ilvl w:val="0"/>
          <w:numId w:val="0"/>
        </w:numPr>
        <w:jc w:val="center"/>
        <w:rPr>
          <w:rFonts w:ascii="Arial" w:hAnsi="Arial" w:cs="Arial"/>
          <w:b/>
          <w:sz w:val="22"/>
          <w:szCs w:val="22"/>
          <w:lang w:val="es-ES_tradnl"/>
        </w:rPr>
      </w:pPr>
      <w:r w:rsidRPr="008F5584">
        <w:rPr>
          <w:rFonts w:ascii="Arial" w:hAnsi="Arial" w:cs="Arial"/>
          <w:b/>
          <w:sz w:val="22"/>
          <w:szCs w:val="22"/>
          <w:lang w:val="es-ES_tradnl"/>
        </w:rPr>
        <w:t>b. 2014 a 2016</w:t>
      </w:r>
    </w:p>
    <w:p w14:paraId="583CC30C" w14:textId="3ADCBCF6" w:rsidR="008F5584" w:rsidRDefault="008F5584" w:rsidP="00342F85">
      <w:pPr>
        <w:pStyle w:val="Paragraph"/>
        <w:numPr>
          <w:ilvl w:val="0"/>
          <w:numId w:val="0"/>
        </w:numPr>
        <w:jc w:val="center"/>
        <w:rPr>
          <w:rFonts w:ascii="Arial" w:hAnsi="Arial" w:cs="Arial"/>
          <w:sz w:val="22"/>
          <w:szCs w:val="22"/>
          <w:lang w:val="es-ES_tradnl"/>
        </w:rPr>
      </w:pPr>
      <w:r>
        <w:rPr>
          <w:noProof/>
        </w:rPr>
        <w:drawing>
          <wp:inline distT="0" distB="0" distL="0" distR="0" wp14:anchorId="6B20B5BB" wp14:editId="06212F3E">
            <wp:extent cx="4562244" cy="2694709"/>
            <wp:effectExtent l="0" t="0" r="10160" b="10795"/>
            <wp:docPr id="1" name="Chart 1">
              <a:extLst xmlns:a="http://schemas.openxmlformats.org/drawingml/2006/main">
                <a:ext uri="{FF2B5EF4-FFF2-40B4-BE49-F238E27FC236}">
                  <a16:creationId xmlns:a16="http://schemas.microsoft.com/office/drawing/2014/main" id="{28616690-3805-4928-8D77-986D43214DD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414A0036" w14:textId="02A548AF" w:rsidR="002677A8" w:rsidRPr="002677A8" w:rsidRDefault="002677A8" w:rsidP="009D1814">
      <w:pPr>
        <w:pStyle w:val="Paragraph"/>
        <w:numPr>
          <w:ilvl w:val="0"/>
          <w:numId w:val="0"/>
        </w:numPr>
        <w:rPr>
          <w:rFonts w:ascii="Arial" w:hAnsi="Arial" w:cs="Arial"/>
          <w:sz w:val="20"/>
          <w:szCs w:val="22"/>
          <w:lang w:val="es-ES_tradnl"/>
        </w:rPr>
      </w:pPr>
      <w:r w:rsidRPr="002677A8">
        <w:rPr>
          <w:rFonts w:ascii="Arial" w:hAnsi="Arial" w:cs="Arial"/>
          <w:sz w:val="20"/>
          <w:szCs w:val="22"/>
          <w:lang w:val="es-ES_tradnl"/>
        </w:rPr>
        <w:t>Fuente: SUNAT</w:t>
      </w:r>
    </w:p>
    <w:p w14:paraId="43C30E59" w14:textId="77777777" w:rsidR="007C308A" w:rsidRDefault="007C308A" w:rsidP="00CE6FD0">
      <w:pPr>
        <w:pStyle w:val="Paragraph"/>
        <w:numPr>
          <w:ilvl w:val="0"/>
          <w:numId w:val="0"/>
        </w:numPr>
        <w:ind w:left="720"/>
        <w:rPr>
          <w:rFonts w:ascii="Arial" w:hAnsi="Arial" w:cs="Arial"/>
          <w:i/>
          <w:sz w:val="22"/>
          <w:szCs w:val="22"/>
          <w:lang w:val="es-ES_tradnl"/>
        </w:rPr>
      </w:pPr>
    </w:p>
    <w:p w14:paraId="65A68B07" w14:textId="585B5B1B" w:rsidR="0066738F" w:rsidRPr="00256878" w:rsidRDefault="00256878" w:rsidP="002F0082">
      <w:pPr>
        <w:pStyle w:val="Paragraph"/>
        <w:keepNext/>
        <w:numPr>
          <w:ilvl w:val="0"/>
          <w:numId w:val="0"/>
        </w:numPr>
        <w:ind w:left="720"/>
        <w:rPr>
          <w:rFonts w:ascii="Arial" w:hAnsi="Arial" w:cs="Arial"/>
          <w:i/>
          <w:sz w:val="22"/>
          <w:szCs w:val="22"/>
          <w:lang w:val="es-ES_tradnl"/>
        </w:rPr>
      </w:pPr>
      <w:r w:rsidRPr="00256878">
        <w:rPr>
          <w:rFonts w:ascii="Arial" w:hAnsi="Arial" w:cs="Arial"/>
          <w:i/>
          <w:sz w:val="22"/>
          <w:szCs w:val="22"/>
          <w:lang w:val="es-ES_tradnl"/>
        </w:rPr>
        <w:t>Comparación causal:</w:t>
      </w:r>
    </w:p>
    <w:p w14:paraId="6C65BC2F" w14:textId="649A3B37" w:rsidR="00256878" w:rsidRDefault="00256878" w:rsidP="002F0082">
      <w:pPr>
        <w:pStyle w:val="Paragraph"/>
        <w:keepNext/>
        <w:rPr>
          <w:rFonts w:ascii="Arial" w:hAnsi="Arial" w:cs="Arial"/>
          <w:sz w:val="22"/>
          <w:szCs w:val="22"/>
        </w:rPr>
      </w:pPr>
      <w:r>
        <w:rPr>
          <w:rFonts w:ascii="Arial" w:hAnsi="Arial" w:cs="Arial"/>
          <w:sz w:val="22"/>
          <w:szCs w:val="22"/>
        </w:rPr>
        <w:t xml:space="preserve">Por otra parte, son pocos los indicadores de resultados que pueden ser sometidos a evaluaciones causales en </w:t>
      </w:r>
      <w:proofErr w:type="spellStart"/>
      <w:r>
        <w:rPr>
          <w:rFonts w:ascii="Arial" w:hAnsi="Arial" w:cs="Arial"/>
          <w:sz w:val="22"/>
          <w:szCs w:val="22"/>
        </w:rPr>
        <w:t>PBLs</w:t>
      </w:r>
      <w:proofErr w:type="spellEnd"/>
      <w:r>
        <w:rPr>
          <w:rFonts w:ascii="Arial" w:hAnsi="Arial" w:cs="Arial"/>
          <w:sz w:val="22"/>
          <w:szCs w:val="22"/>
        </w:rPr>
        <w:t xml:space="preserve"> y </w:t>
      </w:r>
      <w:proofErr w:type="spellStart"/>
      <w:r>
        <w:rPr>
          <w:rFonts w:ascii="Arial" w:hAnsi="Arial" w:cs="Arial"/>
          <w:sz w:val="22"/>
          <w:szCs w:val="22"/>
        </w:rPr>
        <w:t>PBPs</w:t>
      </w:r>
      <w:proofErr w:type="spellEnd"/>
      <w:r>
        <w:rPr>
          <w:rFonts w:ascii="Arial" w:hAnsi="Arial" w:cs="Arial"/>
          <w:sz w:val="22"/>
          <w:szCs w:val="22"/>
        </w:rPr>
        <w:t xml:space="preserve">. A pesar de ello, en esta operación se identifican dos indicadores de resultado que pueden reaccionar inmediatamente </w:t>
      </w:r>
      <w:r w:rsidR="00E47A88">
        <w:rPr>
          <w:rFonts w:ascii="Arial" w:hAnsi="Arial" w:cs="Arial"/>
          <w:sz w:val="22"/>
          <w:szCs w:val="22"/>
        </w:rPr>
        <w:t>y para los cuales se puede conformar grupos de tratamiento y de control.</w:t>
      </w:r>
    </w:p>
    <w:p w14:paraId="35E8A3B3" w14:textId="5E500575" w:rsidR="004E68CC" w:rsidRPr="00EF1C7A" w:rsidRDefault="004E68CC" w:rsidP="00354C4A">
      <w:pPr>
        <w:pStyle w:val="Paragraph"/>
        <w:rPr>
          <w:rFonts w:ascii="Arial" w:hAnsi="Arial" w:cs="Arial"/>
          <w:sz w:val="22"/>
          <w:szCs w:val="22"/>
        </w:rPr>
      </w:pPr>
      <w:r>
        <w:rPr>
          <w:rFonts w:ascii="Arial" w:hAnsi="Arial" w:cs="Arial"/>
          <w:sz w:val="22"/>
          <w:szCs w:val="22"/>
        </w:rPr>
        <w:t xml:space="preserve">Para efectos de </w:t>
      </w:r>
      <w:r w:rsidR="003A0CF7">
        <w:rPr>
          <w:rFonts w:ascii="Arial" w:hAnsi="Arial" w:cs="Arial"/>
          <w:sz w:val="22"/>
          <w:szCs w:val="22"/>
        </w:rPr>
        <w:t xml:space="preserve">la evaluación causal no experimental, el grupo de control se identificará a partir de las empresas </w:t>
      </w:r>
      <w:r w:rsidR="001C686B">
        <w:rPr>
          <w:rFonts w:ascii="Arial" w:hAnsi="Arial" w:cs="Arial"/>
          <w:sz w:val="22"/>
          <w:szCs w:val="22"/>
        </w:rPr>
        <w:t xml:space="preserve">no participantes </w:t>
      </w:r>
      <w:r w:rsidR="003A0CF7">
        <w:rPr>
          <w:rFonts w:ascii="Arial" w:hAnsi="Arial" w:cs="Arial"/>
          <w:sz w:val="22"/>
          <w:szCs w:val="22"/>
        </w:rPr>
        <w:t xml:space="preserve">comparables a las participantes de los respectivos programas (Tu Empresa y compras a </w:t>
      </w:r>
      <w:proofErr w:type="spellStart"/>
      <w:r w:rsidR="003A0CF7">
        <w:rPr>
          <w:rFonts w:ascii="Arial" w:hAnsi="Arial" w:cs="Arial"/>
          <w:sz w:val="22"/>
          <w:szCs w:val="22"/>
        </w:rPr>
        <w:t>MYPErú</w:t>
      </w:r>
      <w:proofErr w:type="spellEnd"/>
      <w:r w:rsidR="003A0CF7">
        <w:rPr>
          <w:rFonts w:ascii="Arial" w:hAnsi="Arial" w:cs="Arial"/>
          <w:sz w:val="22"/>
          <w:szCs w:val="22"/>
        </w:rPr>
        <w:t xml:space="preserve"> respectivamente)</w:t>
      </w:r>
      <w:r w:rsidR="001C686B">
        <w:rPr>
          <w:rFonts w:ascii="Arial" w:hAnsi="Arial" w:cs="Arial"/>
          <w:sz w:val="22"/>
          <w:szCs w:val="22"/>
        </w:rPr>
        <w:t xml:space="preserve">. La ENE contiene preguntas específicas para identificar a participantes y no participantes en programas de extensión y de </w:t>
      </w:r>
      <w:r w:rsidR="003C5F9A">
        <w:rPr>
          <w:rFonts w:ascii="Arial" w:hAnsi="Arial" w:cs="Arial"/>
          <w:sz w:val="22"/>
          <w:szCs w:val="22"/>
        </w:rPr>
        <w:t>compras estatales. Tales preguntas se emplearán para identificar a los no participantes en ningún programa de extensión empresarial o compras públicas (sean o no los dos programas específicos afectos por las reformas)</w:t>
      </w:r>
      <w:r w:rsidR="00B02023">
        <w:rPr>
          <w:rFonts w:ascii="Arial" w:hAnsi="Arial" w:cs="Arial"/>
          <w:sz w:val="22"/>
          <w:szCs w:val="22"/>
        </w:rPr>
        <w:t>, maximizando la probabilidad de no contaminación de controles por participación en programas de compras o de extensión distintos a los mejorados con las reformas</w:t>
      </w:r>
      <w:r w:rsidR="003C5F9A">
        <w:rPr>
          <w:rFonts w:ascii="Arial" w:hAnsi="Arial" w:cs="Arial"/>
          <w:sz w:val="22"/>
          <w:szCs w:val="22"/>
        </w:rPr>
        <w:t xml:space="preserve">. Los participantes se identificarán a partir de los registros administrativos del programa y se asegurará la aplicación de la ENE a tales participantes al momento de la inscripción. </w:t>
      </w:r>
      <w:r w:rsidR="00472599">
        <w:rPr>
          <w:rFonts w:ascii="Arial" w:hAnsi="Arial" w:cs="Arial"/>
          <w:sz w:val="22"/>
          <w:szCs w:val="22"/>
        </w:rPr>
        <w:t xml:space="preserve">Es importante aclarar la temporalidad de la medición tanto de las líneas de base como de salida. </w:t>
      </w:r>
      <w:r w:rsidR="00354C4A">
        <w:rPr>
          <w:rFonts w:ascii="Arial" w:hAnsi="Arial" w:cs="Arial"/>
          <w:sz w:val="22"/>
          <w:szCs w:val="22"/>
        </w:rPr>
        <w:t xml:space="preserve">El año de la línea de base será 2017. La data para candidatos de control ya existe para ese corte. Para conformar la línea de base de beneficiarios se identificará a todos los beneficiarios de Compras </w:t>
      </w:r>
      <w:proofErr w:type="spellStart"/>
      <w:r w:rsidR="00354C4A">
        <w:rPr>
          <w:rFonts w:ascii="Arial" w:hAnsi="Arial" w:cs="Arial"/>
          <w:sz w:val="22"/>
          <w:szCs w:val="22"/>
        </w:rPr>
        <w:t>MYPErú</w:t>
      </w:r>
      <w:proofErr w:type="spellEnd"/>
      <w:r w:rsidR="00354C4A">
        <w:rPr>
          <w:rFonts w:ascii="Arial" w:hAnsi="Arial" w:cs="Arial"/>
          <w:sz w:val="22"/>
          <w:szCs w:val="22"/>
        </w:rPr>
        <w:t xml:space="preserve"> y de Tu Empresa a partir de los registros administrativos de los programas y se verá quiénes fueron encuestados por la ENE 2017. A los que no, se les aplicará una encuesta retrospectiva preguntando por situación en 2017. El año de la línea de salida será 2019</w:t>
      </w:r>
      <w:r w:rsidR="007012E6">
        <w:rPr>
          <w:rFonts w:ascii="Arial" w:hAnsi="Arial" w:cs="Arial"/>
          <w:sz w:val="22"/>
          <w:szCs w:val="22"/>
        </w:rPr>
        <w:t>, cuya información se publica en 2020 (consistente con el año de la meta planteada en el Cuadro 2)</w:t>
      </w:r>
      <w:r w:rsidR="00354C4A">
        <w:rPr>
          <w:rFonts w:ascii="Arial" w:hAnsi="Arial" w:cs="Arial"/>
          <w:sz w:val="22"/>
          <w:szCs w:val="22"/>
        </w:rPr>
        <w:t xml:space="preserve">. Como la ENE es relevada en </w:t>
      </w:r>
      <w:r w:rsidR="00FD0DF7">
        <w:rPr>
          <w:rFonts w:ascii="Arial" w:hAnsi="Arial" w:cs="Arial"/>
          <w:sz w:val="22"/>
          <w:szCs w:val="22"/>
        </w:rPr>
        <w:t>noviembre</w:t>
      </w:r>
      <w:r w:rsidR="00354C4A">
        <w:rPr>
          <w:rFonts w:ascii="Arial" w:hAnsi="Arial" w:cs="Arial"/>
          <w:sz w:val="22"/>
          <w:szCs w:val="22"/>
        </w:rPr>
        <w:t xml:space="preserve">, a </w:t>
      </w:r>
      <w:r w:rsidR="00FD0DF7">
        <w:rPr>
          <w:rFonts w:ascii="Arial" w:hAnsi="Arial" w:cs="Arial"/>
          <w:sz w:val="22"/>
          <w:szCs w:val="22"/>
        </w:rPr>
        <w:t>n</w:t>
      </w:r>
      <w:r w:rsidR="00354C4A">
        <w:rPr>
          <w:rFonts w:ascii="Arial" w:hAnsi="Arial" w:cs="Arial"/>
          <w:sz w:val="22"/>
          <w:szCs w:val="22"/>
        </w:rPr>
        <w:t xml:space="preserve">oviembre de 2019 habrá transcurrido tiempo suficiente para identificar efectos de corto plazo de los participantes de las versiones reforzadas gracias a las reformas de los programas Tu Empresa y de Compras </w:t>
      </w:r>
      <w:proofErr w:type="spellStart"/>
      <w:r w:rsidR="00354C4A">
        <w:rPr>
          <w:rFonts w:ascii="Arial" w:hAnsi="Arial" w:cs="Arial"/>
          <w:sz w:val="22"/>
          <w:szCs w:val="22"/>
        </w:rPr>
        <w:t>MYPErú</w:t>
      </w:r>
      <w:proofErr w:type="spellEnd"/>
      <w:r w:rsidR="00354C4A">
        <w:rPr>
          <w:rFonts w:ascii="Arial" w:hAnsi="Arial" w:cs="Arial"/>
          <w:sz w:val="22"/>
          <w:szCs w:val="22"/>
        </w:rPr>
        <w:t xml:space="preserve">. </w:t>
      </w:r>
      <w:r w:rsidR="003C5F9A">
        <w:rPr>
          <w:rFonts w:ascii="Arial" w:hAnsi="Arial" w:cs="Arial"/>
          <w:sz w:val="22"/>
          <w:szCs w:val="22"/>
        </w:rPr>
        <w:t>El equipo de proyecto ya inició conversaciones para la aplicación de este cuestionario a las unidades beneficiarias</w:t>
      </w:r>
      <w:r w:rsidR="00B02023">
        <w:rPr>
          <w:rFonts w:ascii="Arial" w:hAnsi="Arial" w:cs="Arial"/>
          <w:sz w:val="22"/>
          <w:szCs w:val="22"/>
        </w:rPr>
        <w:t xml:space="preserve"> de los programas mencionados. El equipo de evaluación asegurará que en la ENE</w:t>
      </w:r>
      <w:r w:rsidR="0004269E">
        <w:rPr>
          <w:rFonts w:ascii="Arial" w:hAnsi="Arial" w:cs="Arial"/>
          <w:sz w:val="22"/>
          <w:szCs w:val="22"/>
        </w:rPr>
        <w:t xml:space="preserve"> 201</w:t>
      </w:r>
      <w:r w:rsidR="0041629A">
        <w:rPr>
          <w:rFonts w:ascii="Arial" w:hAnsi="Arial" w:cs="Arial"/>
          <w:sz w:val="22"/>
          <w:szCs w:val="22"/>
        </w:rPr>
        <w:t>9</w:t>
      </w:r>
      <w:r w:rsidR="00B02023">
        <w:rPr>
          <w:rFonts w:ascii="Arial" w:hAnsi="Arial" w:cs="Arial"/>
          <w:sz w:val="22"/>
          <w:szCs w:val="22"/>
        </w:rPr>
        <w:t>, se incluya a las muestras de beneficiarios identificados en pretratamiento como a sus respectivos controles</w:t>
      </w:r>
      <w:r w:rsidR="00EF1C7A">
        <w:rPr>
          <w:rFonts w:ascii="Arial" w:hAnsi="Arial" w:cs="Arial"/>
          <w:sz w:val="22"/>
          <w:szCs w:val="22"/>
        </w:rPr>
        <w:t xml:space="preserve"> para contar con línea de seguimiento</w:t>
      </w:r>
      <w:r w:rsidR="00354C4A">
        <w:rPr>
          <w:rFonts w:ascii="Arial" w:hAnsi="Arial" w:cs="Arial"/>
          <w:sz w:val="22"/>
          <w:szCs w:val="22"/>
        </w:rPr>
        <w:t xml:space="preserve"> de ambos grupos</w:t>
      </w:r>
      <w:r w:rsidR="00B02023">
        <w:rPr>
          <w:rFonts w:ascii="Arial" w:hAnsi="Arial" w:cs="Arial"/>
          <w:sz w:val="22"/>
          <w:szCs w:val="22"/>
        </w:rPr>
        <w:t>. Esto ha sido conversado de manera preliminar con las contrapartes. La</w:t>
      </w:r>
      <w:r w:rsidR="00897E24">
        <w:rPr>
          <w:rFonts w:ascii="Arial" w:hAnsi="Arial" w:cs="Arial"/>
          <w:sz w:val="22"/>
          <w:szCs w:val="22"/>
        </w:rPr>
        <w:t>s</w:t>
      </w:r>
      <w:r w:rsidR="00B02023">
        <w:rPr>
          <w:rFonts w:ascii="Arial" w:hAnsi="Arial" w:cs="Arial"/>
          <w:sz w:val="22"/>
          <w:szCs w:val="22"/>
        </w:rPr>
        <w:t xml:space="preserve"> relaciones construidas a partir de evaluaciones recientes conducidas cooperativamente entre PRODUCE y el BID aseguran colaboración entre ambos organismos para seguir adelante con otras evaluaciones. De hecho, las actividades para las evaluaciones para el componente de fortalecimiento de la red ITP-CITE de PE-L1162 acaban de empezar y el equipo </w:t>
      </w:r>
      <w:r w:rsidR="00B02023" w:rsidRPr="00EF1C7A">
        <w:rPr>
          <w:rFonts w:ascii="Arial" w:hAnsi="Arial" w:cs="Arial"/>
          <w:sz w:val="22"/>
          <w:szCs w:val="22"/>
        </w:rPr>
        <w:t xml:space="preserve">del BID viene trabajando con el equipo de Evaluaciones de PRODUCE </w:t>
      </w:r>
      <w:r w:rsidR="00EF1C7A" w:rsidRPr="00EF1C7A">
        <w:rPr>
          <w:rFonts w:ascii="Arial" w:hAnsi="Arial" w:cs="Arial"/>
          <w:sz w:val="22"/>
          <w:szCs w:val="22"/>
        </w:rPr>
        <w:t>para</w:t>
      </w:r>
      <w:r w:rsidR="00B02023" w:rsidRPr="00EF1C7A">
        <w:rPr>
          <w:rFonts w:ascii="Arial" w:hAnsi="Arial" w:cs="Arial"/>
          <w:sz w:val="22"/>
          <w:szCs w:val="22"/>
        </w:rPr>
        <w:t xml:space="preserve"> este fin.</w:t>
      </w:r>
    </w:p>
    <w:p w14:paraId="58C31415" w14:textId="21776D1C" w:rsidR="007257D4" w:rsidRPr="000E4D81" w:rsidRDefault="00F45ADF" w:rsidP="00D62A8D">
      <w:pPr>
        <w:pStyle w:val="Paragraph"/>
        <w:spacing w:after="160" w:line="259" w:lineRule="auto"/>
        <w:rPr>
          <w:rFonts w:ascii="Arial" w:hAnsi="Arial" w:cs="Arial"/>
          <w:b/>
          <w:sz w:val="22"/>
          <w:szCs w:val="22"/>
        </w:rPr>
      </w:pPr>
      <w:r w:rsidRPr="00EF1C7A">
        <w:rPr>
          <w:rFonts w:ascii="Arial" w:hAnsi="Arial" w:cs="Arial"/>
          <w:sz w:val="22"/>
          <w:szCs w:val="22"/>
        </w:rPr>
        <w:t xml:space="preserve">Aprovechando la disponibilidad de la </w:t>
      </w:r>
      <w:r w:rsidR="004966AE" w:rsidRPr="00EF1C7A">
        <w:rPr>
          <w:rFonts w:ascii="Arial" w:hAnsi="Arial" w:cs="Arial"/>
          <w:sz w:val="22"/>
          <w:szCs w:val="22"/>
        </w:rPr>
        <w:t xml:space="preserve">base de datos de la </w:t>
      </w:r>
      <w:r w:rsidRPr="00EF1C7A">
        <w:rPr>
          <w:rFonts w:ascii="Arial" w:hAnsi="Arial" w:cs="Arial"/>
          <w:sz w:val="22"/>
          <w:szCs w:val="22"/>
        </w:rPr>
        <w:t>ENE 2015, se procedió a</w:t>
      </w:r>
      <w:r w:rsidRPr="000E4D81">
        <w:rPr>
          <w:rFonts w:ascii="Arial" w:hAnsi="Arial" w:cs="Arial"/>
          <w:sz w:val="22"/>
          <w:szCs w:val="22"/>
        </w:rPr>
        <w:t xml:space="preserve"> implementar de manera preliminar un ejercicio de emparejamiento para verificar la potencial validez de la estrategia de identificación</w:t>
      </w:r>
      <w:r w:rsidR="004966AE" w:rsidRPr="000E4D81">
        <w:rPr>
          <w:rFonts w:ascii="Arial" w:hAnsi="Arial" w:cs="Arial"/>
          <w:sz w:val="22"/>
          <w:szCs w:val="22"/>
        </w:rPr>
        <w:t xml:space="preserve"> propuesta para los resultados esperados 3 y 4</w:t>
      </w:r>
      <w:r w:rsidRPr="000E4D81">
        <w:rPr>
          <w:rFonts w:ascii="Arial" w:hAnsi="Arial" w:cs="Arial"/>
          <w:sz w:val="22"/>
          <w:szCs w:val="22"/>
        </w:rPr>
        <w:t xml:space="preserve">. </w:t>
      </w:r>
      <w:r w:rsidR="00FF2439" w:rsidRPr="000E4D81">
        <w:rPr>
          <w:rFonts w:ascii="Arial" w:hAnsi="Arial" w:cs="Arial"/>
          <w:sz w:val="22"/>
          <w:szCs w:val="22"/>
        </w:rPr>
        <w:t>El Cuadro 4 muestra los resultados del ejercicio para el caso de las compras públicas. En particular, e</w:t>
      </w:r>
      <w:r w:rsidRPr="000E4D81">
        <w:rPr>
          <w:rFonts w:ascii="Arial" w:hAnsi="Arial" w:cs="Arial"/>
          <w:sz w:val="22"/>
          <w:szCs w:val="22"/>
        </w:rPr>
        <w:t xml:space="preserve">ste ejercicio consistió en la </w:t>
      </w:r>
      <w:r w:rsidR="004966AE" w:rsidRPr="000E4D81">
        <w:rPr>
          <w:rFonts w:ascii="Arial" w:hAnsi="Arial" w:cs="Arial"/>
          <w:sz w:val="22"/>
          <w:szCs w:val="22"/>
        </w:rPr>
        <w:t>identificación de aquellas firmas que respondieron no</w:t>
      </w:r>
      <w:r w:rsidR="00FF2439" w:rsidRPr="000E4D81">
        <w:rPr>
          <w:rFonts w:ascii="Arial" w:hAnsi="Arial" w:cs="Arial"/>
          <w:sz w:val="22"/>
          <w:szCs w:val="22"/>
        </w:rPr>
        <w:t xml:space="preserve"> haber participado nunca en un proceso de compras públicas y de aquellas que respondieron haber participado en alguno. Como se explicó, esta pregunta no permite identificar a los participantes específicos del programa Compras a </w:t>
      </w:r>
      <w:proofErr w:type="spellStart"/>
      <w:r w:rsidR="00FF2439" w:rsidRPr="000E4D81">
        <w:rPr>
          <w:rFonts w:ascii="Arial" w:hAnsi="Arial" w:cs="Arial"/>
          <w:sz w:val="22"/>
          <w:szCs w:val="22"/>
        </w:rPr>
        <w:t>MYPEr</w:t>
      </w:r>
      <w:r w:rsidR="000E4D81">
        <w:rPr>
          <w:rFonts w:ascii="Arial" w:hAnsi="Arial" w:cs="Arial"/>
          <w:sz w:val="22"/>
          <w:szCs w:val="22"/>
        </w:rPr>
        <w:t>ú</w:t>
      </w:r>
      <w:proofErr w:type="spellEnd"/>
      <w:r w:rsidR="00FF2439" w:rsidRPr="000E4D81">
        <w:rPr>
          <w:rFonts w:ascii="Arial" w:hAnsi="Arial" w:cs="Arial"/>
          <w:sz w:val="22"/>
          <w:szCs w:val="22"/>
        </w:rPr>
        <w:t>, ni el período</w:t>
      </w:r>
      <w:r w:rsidR="008B79DB">
        <w:rPr>
          <w:rFonts w:ascii="Arial" w:hAnsi="Arial" w:cs="Arial"/>
          <w:sz w:val="22"/>
          <w:szCs w:val="22"/>
        </w:rPr>
        <w:t xml:space="preserve"> de participación</w:t>
      </w:r>
      <w:r w:rsidR="00FF2439" w:rsidRPr="000E4D81">
        <w:rPr>
          <w:rFonts w:ascii="Arial" w:hAnsi="Arial" w:cs="Arial"/>
          <w:sz w:val="22"/>
          <w:szCs w:val="22"/>
        </w:rPr>
        <w:t xml:space="preserve">. Eso se identificará a partir de los registros administrativos del programa. Lo que sí permite identificar es qué firmas no participaron nunca en ningún programa de compras estatales, asegurando la correcta identificación de controles en pretratamiento. El ejercicio muestra los resultados de emparejar </w:t>
      </w:r>
      <w:r w:rsidR="00B1764A" w:rsidRPr="000E4D81">
        <w:rPr>
          <w:rFonts w:ascii="Arial" w:hAnsi="Arial" w:cs="Arial"/>
          <w:sz w:val="22"/>
          <w:szCs w:val="22"/>
        </w:rPr>
        <w:t xml:space="preserve">a las firmas que participaron alguna vez en compras públicas con aquellas que nunca lo hicieron usando un score de </w:t>
      </w:r>
      <w:proofErr w:type="spellStart"/>
      <w:r w:rsidR="00B1764A" w:rsidRPr="000E4D81">
        <w:rPr>
          <w:rFonts w:ascii="Arial" w:hAnsi="Arial" w:cs="Arial"/>
          <w:sz w:val="22"/>
          <w:szCs w:val="22"/>
        </w:rPr>
        <w:t>propensidad</w:t>
      </w:r>
      <w:proofErr w:type="spellEnd"/>
      <w:r w:rsidR="00B1764A" w:rsidRPr="000E4D81">
        <w:rPr>
          <w:rFonts w:ascii="Arial" w:hAnsi="Arial" w:cs="Arial"/>
          <w:sz w:val="22"/>
          <w:szCs w:val="22"/>
        </w:rPr>
        <w:t xml:space="preserve"> explicado por la edad de la firma, el valor de los activos fijos de la firma</w:t>
      </w:r>
      <w:r w:rsidR="000E4D81" w:rsidRPr="000E4D81">
        <w:rPr>
          <w:rFonts w:ascii="Arial" w:hAnsi="Arial" w:cs="Arial"/>
          <w:sz w:val="22"/>
          <w:szCs w:val="22"/>
        </w:rPr>
        <w:t>, el sector económico de la firma (CIIU a 1 dígito, aunque la variable se registra a 4) y el porcentaje de trabajadores con distintos niveles educativos. Si bien el nivel de ventas y el número de trabajadores también está disponible,</w:t>
      </w:r>
      <w:r w:rsidR="008B79DB">
        <w:rPr>
          <w:rFonts w:ascii="Arial" w:hAnsi="Arial" w:cs="Arial"/>
          <w:sz w:val="22"/>
          <w:szCs w:val="22"/>
        </w:rPr>
        <w:t xml:space="preserve"> estos</w:t>
      </w:r>
      <w:r w:rsidR="000E4D81" w:rsidRPr="000E4D81">
        <w:rPr>
          <w:rFonts w:ascii="Arial" w:hAnsi="Arial" w:cs="Arial"/>
          <w:sz w:val="22"/>
          <w:szCs w:val="22"/>
        </w:rPr>
        <w:t xml:space="preserve"> no</w:t>
      </w:r>
      <w:r w:rsidR="008B79DB">
        <w:rPr>
          <w:rFonts w:ascii="Arial" w:hAnsi="Arial" w:cs="Arial"/>
          <w:sz w:val="22"/>
          <w:szCs w:val="22"/>
        </w:rPr>
        <w:t xml:space="preserve"> se</w:t>
      </w:r>
      <w:r w:rsidR="000E4D81" w:rsidRPr="000E4D81">
        <w:rPr>
          <w:rFonts w:ascii="Arial" w:hAnsi="Arial" w:cs="Arial"/>
          <w:sz w:val="22"/>
          <w:szCs w:val="22"/>
        </w:rPr>
        <w:t xml:space="preserve"> diferencia</w:t>
      </w:r>
      <w:r w:rsidR="008B79DB">
        <w:rPr>
          <w:rFonts w:ascii="Arial" w:hAnsi="Arial" w:cs="Arial"/>
          <w:sz w:val="22"/>
          <w:szCs w:val="22"/>
        </w:rPr>
        <w:t>n</w:t>
      </w:r>
      <w:r w:rsidR="000E4D81" w:rsidRPr="000E4D81">
        <w:rPr>
          <w:rFonts w:ascii="Arial" w:hAnsi="Arial" w:cs="Arial"/>
          <w:sz w:val="22"/>
          <w:szCs w:val="22"/>
        </w:rPr>
        <w:t xml:space="preserve"> entre pre y post tratamiento para los participantes y por ello no se puede emparejar en función de los rezagos de esas variables. En el </w:t>
      </w:r>
      <w:r w:rsidR="000E4D81">
        <w:rPr>
          <w:rFonts w:ascii="Arial" w:hAnsi="Arial" w:cs="Arial"/>
          <w:sz w:val="22"/>
          <w:szCs w:val="22"/>
        </w:rPr>
        <w:t xml:space="preserve">ejercicio real sí se podrá hacer esto dado que se tendrá el panel conformado. Lo importante de este ejercicio preliminar es mostrar que </w:t>
      </w:r>
      <w:r w:rsidR="008B79DB">
        <w:rPr>
          <w:rFonts w:ascii="Arial" w:hAnsi="Arial" w:cs="Arial"/>
          <w:sz w:val="22"/>
          <w:szCs w:val="22"/>
        </w:rPr>
        <w:t>podría ser</w:t>
      </w:r>
      <w:r w:rsidR="000E4D81">
        <w:rPr>
          <w:rFonts w:ascii="Arial" w:hAnsi="Arial" w:cs="Arial"/>
          <w:sz w:val="22"/>
          <w:szCs w:val="22"/>
        </w:rPr>
        <w:t xml:space="preserve"> posible conseguir soporte común del score de </w:t>
      </w:r>
      <w:proofErr w:type="spellStart"/>
      <w:r w:rsidR="000E4D81">
        <w:rPr>
          <w:rFonts w:ascii="Arial" w:hAnsi="Arial" w:cs="Arial"/>
          <w:sz w:val="22"/>
          <w:szCs w:val="22"/>
        </w:rPr>
        <w:t>propensidad</w:t>
      </w:r>
      <w:proofErr w:type="spellEnd"/>
      <w:r w:rsidR="000E4D81">
        <w:rPr>
          <w:rFonts w:ascii="Arial" w:hAnsi="Arial" w:cs="Arial"/>
          <w:sz w:val="22"/>
          <w:szCs w:val="22"/>
        </w:rPr>
        <w:t xml:space="preserve"> y balance en los covariantes empleados para el emparejamiento para ambos grupos.</w:t>
      </w:r>
      <w:r w:rsidR="006E610C">
        <w:rPr>
          <w:rFonts w:ascii="Arial" w:hAnsi="Arial" w:cs="Arial"/>
          <w:sz w:val="22"/>
          <w:szCs w:val="22"/>
        </w:rPr>
        <w:t xml:space="preserve"> Cabe mencionar que los covariantes empleados tanto para el ejercicio de evaluación del impacto </w:t>
      </w:r>
      <w:r w:rsidR="001223F2">
        <w:rPr>
          <w:rFonts w:ascii="Arial" w:hAnsi="Arial" w:cs="Arial"/>
          <w:sz w:val="22"/>
          <w:szCs w:val="22"/>
        </w:rPr>
        <w:t xml:space="preserve">del programa de compras a </w:t>
      </w:r>
      <w:proofErr w:type="spellStart"/>
      <w:r w:rsidR="001223F2">
        <w:rPr>
          <w:rFonts w:ascii="Arial" w:hAnsi="Arial" w:cs="Arial"/>
          <w:sz w:val="22"/>
          <w:szCs w:val="22"/>
        </w:rPr>
        <w:t>MYPErú</w:t>
      </w:r>
      <w:proofErr w:type="spellEnd"/>
      <w:r w:rsidR="001223F2">
        <w:rPr>
          <w:rFonts w:ascii="Arial" w:hAnsi="Arial" w:cs="Arial"/>
          <w:sz w:val="22"/>
          <w:szCs w:val="22"/>
        </w:rPr>
        <w:t xml:space="preserve"> como del programa de </w:t>
      </w:r>
      <w:r w:rsidR="009B25B8">
        <w:rPr>
          <w:rFonts w:ascii="Arial" w:hAnsi="Arial" w:cs="Arial"/>
          <w:sz w:val="22"/>
          <w:szCs w:val="22"/>
        </w:rPr>
        <w:t>Tu Empresa</w:t>
      </w:r>
      <w:r w:rsidR="001223F2">
        <w:rPr>
          <w:rFonts w:ascii="Arial" w:hAnsi="Arial" w:cs="Arial"/>
          <w:sz w:val="22"/>
          <w:szCs w:val="22"/>
        </w:rPr>
        <w:t xml:space="preserve"> usarán la misma lista de observables para efectos del emparejamiento estadístico, procedente de la ENE. </w:t>
      </w:r>
    </w:p>
    <w:p w14:paraId="2A2A31D4" w14:textId="6D3D03AE" w:rsidR="00B00FD5" w:rsidRPr="007257D4" w:rsidRDefault="007257D4" w:rsidP="007257D4">
      <w:pPr>
        <w:pStyle w:val="Paragraph"/>
        <w:numPr>
          <w:ilvl w:val="0"/>
          <w:numId w:val="0"/>
        </w:numPr>
        <w:suppressAutoHyphens/>
        <w:autoSpaceDN w:val="0"/>
        <w:spacing w:before="0" w:after="0"/>
        <w:ind w:left="1566" w:hanging="846"/>
        <w:jc w:val="center"/>
        <w:textAlignment w:val="baseline"/>
        <w:rPr>
          <w:rFonts w:ascii="Arial" w:hAnsi="Arial" w:cs="Arial"/>
          <w:b/>
          <w:sz w:val="22"/>
          <w:szCs w:val="22"/>
          <w:lang w:val="es-ES_tradnl"/>
        </w:rPr>
      </w:pPr>
      <w:r w:rsidRPr="007257D4">
        <w:rPr>
          <w:rFonts w:ascii="Arial" w:hAnsi="Arial" w:cs="Arial"/>
          <w:b/>
          <w:sz w:val="22"/>
          <w:szCs w:val="22"/>
          <w:lang w:val="es-ES_tradnl"/>
        </w:rPr>
        <w:t>Cuadro 4. Ejercicio de Emparejamiento basado en la ENE 2015</w:t>
      </w:r>
    </w:p>
    <w:p w14:paraId="71EEB259" w14:textId="77777777" w:rsidR="007257D4" w:rsidRDefault="007257D4" w:rsidP="005C3BC2">
      <w:pPr>
        <w:pStyle w:val="Paragraph"/>
        <w:numPr>
          <w:ilvl w:val="0"/>
          <w:numId w:val="0"/>
        </w:numPr>
        <w:suppressAutoHyphens/>
        <w:autoSpaceDN w:val="0"/>
        <w:spacing w:before="0" w:after="0"/>
        <w:ind w:left="1566" w:hanging="846"/>
        <w:textAlignment w:val="baseline"/>
        <w:rPr>
          <w:rFonts w:ascii="Arial" w:hAnsi="Arial" w:cs="Arial"/>
          <w:sz w:val="22"/>
          <w:szCs w:val="22"/>
          <w:u w:val="single"/>
          <w:lang w:val="es-ES_tradnl"/>
        </w:rPr>
      </w:pPr>
    </w:p>
    <w:tbl>
      <w:tblPr>
        <w:tblW w:w="9517" w:type="dxa"/>
        <w:tblLook w:val="04A0" w:firstRow="1" w:lastRow="0" w:firstColumn="1" w:lastColumn="0" w:noHBand="0" w:noVBand="1"/>
      </w:tblPr>
      <w:tblGrid>
        <w:gridCol w:w="2785"/>
        <w:gridCol w:w="1047"/>
        <w:gridCol w:w="1081"/>
        <w:gridCol w:w="1097"/>
        <w:gridCol w:w="972"/>
        <w:gridCol w:w="1454"/>
        <w:gridCol w:w="1081"/>
      </w:tblGrid>
      <w:tr w:rsidR="005E240A" w:rsidRPr="00FF2439" w14:paraId="13BDB496" w14:textId="77777777" w:rsidTr="002F0082">
        <w:trPr>
          <w:trHeight w:val="288"/>
        </w:trPr>
        <w:tc>
          <w:tcPr>
            <w:tcW w:w="2785" w:type="dxa"/>
            <w:tcBorders>
              <w:top w:val="single" w:sz="4" w:space="0" w:color="auto"/>
              <w:left w:val="single" w:sz="4" w:space="0" w:color="auto"/>
              <w:bottom w:val="nil"/>
              <w:right w:val="nil"/>
            </w:tcBorders>
            <w:shd w:val="clear" w:color="auto" w:fill="auto"/>
            <w:noWrap/>
            <w:vAlign w:val="bottom"/>
            <w:hideMark/>
          </w:tcPr>
          <w:p w14:paraId="7891DA03" w14:textId="77777777" w:rsidR="005E240A" w:rsidRPr="00897E24" w:rsidRDefault="005E240A" w:rsidP="00C27333">
            <w:pPr>
              <w:rPr>
                <w:rFonts w:ascii="Arial" w:hAnsi="Arial" w:cs="Arial"/>
                <w:color w:val="000000"/>
                <w:spacing w:val="0"/>
                <w:sz w:val="18"/>
                <w:szCs w:val="18"/>
                <w:lang w:val="en-US"/>
              </w:rPr>
            </w:pPr>
            <w:r w:rsidRPr="00897E24">
              <w:rPr>
                <w:rFonts w:ascii="Arial" w:hAnsi="Arial" w:cs="Arial"/>
                <w:color w:val="000000"/>
                <w:spacing w:val="0"/>
                <w:sz w:val="18"/>
                <w:szCs w:val="18"/>
                <w:lang w:val="en-US"/>
              </w:rPr>
              <w:t>Logistic</w:t>
            </w:r>
          </w:p>
        </w:tc>
        <w:tc>
          <w:tcPr>
            <w:tcW w:w="2128" w:type="dxa"/>
            <w:gridSpan w:val="2"/>
            <w:tcBorders>
              <w:top w:val="single" w:sz="4" w:space="0" w:color="auto"/>
              <w:left w:val="nil"/>
              <w:bottom w:val="nil"/>
              <w:right w:val="nil"/>
            </w:tcBorders>
            <w:shd w:val="clear" w:color="auto" w:fill="auto"/>
            <w:noWrap/>
            <w:vAlign w:val="bottom"/>
            <w:hideMark/>
          </w:tcPr>
          <w:p w14:paraId="0E658F0B" w14:textId="77777777" w:rsidR="005E240A" w:rsidRPr="00897E24" w:rsidRDefault="005E240A" w:rsidP="00C27333">
            <w:pPr>
              <w:rPr>
                <w:rFonts w:ascii="Arial" w:hAnsi="Arial" w:cs="Arial"/>
                <w:color w:val="000000"/>
                <w:spacing w:val="0"/>
                <w:sz w:val="18"/>
                <w:szCs w:val="18"/>
                <w:lang w:val="en-US"/>
              </w:rPr>
            </w:pPr>
            <w:r w:rsidRPr="00897E24">
              <w:rPr>
                <w:rFonts w:ascii="Arial" w:hAnsi="Arial" w:cs="Arial"/>
                <w:color w:val="000000"/>
                <w:spacing w:val="0"/>
                <w:sz w:val="18"/>
                <w:szCs w:val="18"/>
                <w:lang w:val="en-US"/>
              </w:rPr>
              <w:t>regression</w:t>
            </w:r>
          </w:p>
        </w:tc>
        <w:tc>
          <w:tcPr>
            <w:tcW w:w="1097" w:type="dxa"/>
            <w:tcBorders>
              <w:top w:val="single" w:sz="4" w:space="0" w:color="auto"/>
              <w:left w:val="nil"/>
              <w:bottom w:val="nil"/>
              <w:right w:val="nil"/>
            </w:tcBorders>
            <w:shd w:val="clear" w:color="auto" w:fill="auto"/>
            <w:noWrap/>
            <w:vAlign w:val="bottom"/>
            <w:hideMark/>
          </w:tcPr>
          <w:p w14:paraId="692D467A" w14:textId="77777777" w:rsidR="005E240A" w:rsidRPr="00897E24" w:rsidRDefault="005E240A" w:rsidP="00C27333">
            <w:pPr>
              <w:rPr>
                <w:rFonts w:ascii="Arial" w:hAnsi="Arial" w:cs="Arial"/>
                <w:color w:val="000000"/>
                <w:spacing w:val="0"/>
                <w:sz w:val="18"/>
                <w:szCs w:val="18"/>
                <w:lang w:val="en-US"/>
              </w:rPr>
            </w:pPr>
          </w:p>
        </w:tc>
        <w:tc>
          <w:tcPr>
            <w:tcW w:w="972" w:type="dxa"/>
            <w:tcBorders>
              <w:top w:val="single" w:sz="4" w:space="0" w:color="auto"/>
              <w:left w:val="nil"/>
              <w:bottom w:val="nil"/>
              <w:right w:val="nil"/>
            </w:tcBorders>
            <w:shd w:val="clear" w:color="auto" w:fill="auto"/>
            <w:noWrap/>
            <w:vAlign w:val="bottom"/>
            <w:hideMark/>
          </w:tcPr>
          <w:p w14:paraId="08F599FB" w14:textId="77777777" w:rsidR="005E240A" w:rsidRPr="00897E24" w:rsidRDefault="005E240A" w:rsidP="00C27333">
            <w:pPr>
              <w:rPr>
                <w:rFonts w:ascii="Arial" w:hAnsi="Arial" w:cs="Arial"/>
                <w:spacing w:val="0"/>
                <w:sz w:val="18"/>
                <w:szCs w:val="18"/>
                <w:lang w:val="en-US"/>
              </w:rPr>
            </w:pPr>
          </w:p>
        </w:tc>
        <w:tc>
          <w:tcPr>
            <w:tcW w:w="1454" w:type="dxa"/>
            <w:tcBorders>
              <w:top w:val="single" w:sz="4" w:space="0" w:color="auto"/>
              <w:left w:val="nil"/>
              <w:bottom w:val="nil"/>
              <w:right w:val="nil"/>
            </w:tcBorders>
            <w:shd w:val="clear" w:color="auto" w:fill="auto"/>
            <w:noWrap/>
            <w:vAlign w:val="bottom"/>
            <w:hideMark/>
          </w:tcPr>
          <w:p w14:paraId="5120D5A0" w14:textId="77777777" w:rsidR="005E240A" w:rsidRPr="00897E24" w:rsidRDefault="005E240A" w:rsidP="00C27333">
            <w:pPr>
              <w:rPr>
                <w:rFonts w:ascii="Arial" w:hAnsi="Arial" w:cs="Arial"/>
                <w:spacing w:val="0"/>
                <w:sz w:val="18"/>
                <w:szCs w:val="18"/>
                <w:lang w:val="en-US"/>
              </w:rPr>
            </w:pPr>
          </w:p>
        </w:tc>
        <w:tc>
          <w:tcPr>
            <w:tcW w:w="1081" w:type="dxa"/>
            <w:tcBorders>
              <w:top w:val="single" w:sz="4" w:space="0" w:color="auto"/>
              <w:left w:val="nil"/>
              <w:bottom w:val="nil"/>
              <w:right w:val="single" w:sz="4" w:space="0" w:color="auto"/>
            </w:tcBorders>
            <w:shd w:val="clear" w:color="auto" w:fill="auto"/>
            <w:noWrap/>
            <w:vAlign w:val="bottom"/>
            <w:hideMark/>
          </w:tcPr>
          <w:p w14:paraId="73B031BD" w14:textId="77777777" w:rsidR="005E240A" w:rsidRPr="00897E24" w:rsidRDefault="005E240A" w:rsidP="00C27333">
            <w:pPr>
              <w:rPr>
                <w:rFonts w:ascii="Arial" w:hAnsi="Arial" w:cs="Arial"/>
                <w:spacing w:val="0"/>
                <w:sz w:val="18"/>
                <w:szCs w:val="18"/>
                <w:lang w:val="en-US"/>
              </w:rPr>
            </w:pPr>
          </w:p>
        </w:tc>
      </w:tr>
      <w:tr w:rsidR="005E240A" w:rsidRPr="00FF2439" w14:paraId="0C08840A" w14:textId="77777777" w:rsidTr="002F0082">
        <w:trPr>
          <w:trHeight w:val="288"/>
        </w:trPr>
        <w:tc>
          <w:tcPr>
            <w:tcW w:w="2785" w:type="dxa"/>
            <w:tcBorders>
              <w:top w:val="nil"/>
              <w:left w:val="single" w:sz="4" w:space="0" w:color="auto"/>
              <w:bottom w:val="nil"/>
              <w:right w:val="nil"/>
            </w:tcBorders>
            <w:shd w:val="clear" w:color="auto" w:fill="auto"/>
            <w:noWrap/>
            <w:vAlign w:val="bottom"/>
            <w:hideMark/>
          </w:tcPr>
          <w:p w14:paraId="6FC5A393" w14:textId="77777777" w:rsidR="005E240A" w:rsidRPr="00897E24" w:rsidRDefault="005E240A" w:rsidP="00C27333">
            <w:pPr>
              <w:rPr>
                <w:rFonts w:ascii="Arial" w:hAnsi="Arial" w:cs="Arial"/>
                <w:color w:val="000000"/>
                <w:spacing w:val="0"/>
                <w:sz w:val="18"/>
                <w:szCs w:val="18"/>
                <w:lang w:val="en-US"/>
              </w:rPr>
            </w:pPr>
            <w:r w:rsidRPr="00897E24">
              <w:rPr>
                <w:rFonts w:ascii="Arial" w:hAnsi="Arial" w:cs="Arial"/>
                <w:color w:val="000000"/>
                <w:spacing w:val="0"/>
                <w:sz w:val="18"/>
                <w:szCs w:val="18"/>
                <w:lang w:val="en-US"/>
              </w:rPr>
              <w:t xml:space="preserve">Number of </w:t>
            </w:r>
            <w:proofErr w:type="spellStart"/>
            <w:r w:rsidRPr="00897E24">
              <w:rPr>
                <w:rFonts w:ascii="Arial" w:hAnsi="Arial" w:cs="Arial"/>
                <w:color w:val="000000"/>
                <w:spacing w:val="0"/>
                <w:sz w:val="18"/>
                <w:szCs w:val="18"/>
                <w:lang w:val="en-US"/>
              </w:rPr>
              <w:t>obs</w:t>
            </w:r>
            <w:proofErr w:type="spellEnd"/>
            <w:r w:rsidRPr="00897E24">
              <w:rPr>
                <w:rFonts w:ascii="Arial" w:hAnsi="Arial" w:cs="Arial"/>
                <w:color w:val="000000"/>
                <w:spacing w:val="0"/>
                <w:sz w:val="18"/>
                <w:szCs w:val="18"/>
                <w:lang w:val="en-US"/>
              </w:rPr>
              <w:t>=</w:t>
            </w:r>
          </w:p>
        </w:tc>
        <w:tc>
          <w:tcPr>
            <w:tcW w:w="1047" w:type="dxa"/>
            <w:tcBorders>
              <w:top w:val="nil"/>
              <w:left w:val="nil"/>
              <w:bottom w:val="nil"/>
              <w:right w:val="nil"/>
            </w:tcBorders>
            <w:shd w:val="clear" w:color="auto" w:fill="auto"/>
            <w:noWrap/>
            <w:vAlign w:val="bottom"/>
            <w:hideMark/>
          </w:tcPr>
          <w:p w14:paraId="0C212A61" w14:textId="77777777" w:rsidR="005E240A" w:rsidRPr="00897E24" w:rsidRDefault="005E240A" w:rsidP="00C27333">
            <w:pPr>
              <w:rPr>
                <w:rFonts w:ascii="Arial" w:hAnsi="Arial" w:cs="Arial"/>
                <w:color w:val="000000"/>
                <w:spacing w:val="0"/>
                <w:sz w:val="18"/>
                <w:szCs w:val="18"/>
                <w:lang w:val="en-US"/>
              </w:rPr>
            </w:pPr>
          </w:p>
        </w:tc>
        <w:tc>
          <w:tcPr>
            <w:tcW w:w="1081" w:type="dxa"/>
            <w:tcBorders>
              <w:top w:val="nil"/>
              <w:left w:val="nil"/>
              <w:bottom w:val="nil"/>
              <w:right w:val="nil"/>
            </w:tcBorders>
            <w:shd w:val="clear" w:color="auto" w:fill="auto"/>
            <w:noWrap/>
            <w:vAlign w:val="bottom"/>
            <w:hideMark/>
          </w:tcPr>
          <w:p w14:paraId="6F6374F9" w14:textId="77777777" w:rsidR="005E240A" w:rsidRPr="00897E24" w:rsidRDefault="005E240A" w:rsidP="00C27333">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2,672</w:t>
            </w:r>
          </w:p>
        </w:tc>
        <w:tc>
          <w:tcPr>
            <w:tcW w:w="1097" w:type="dxa"/>
            <w:tcBorders>
              <w:top w:val="nil"/>
              <w:left w:val="nil"/>
              <w:bottom w:val="nil"/>
              <w:right w:val="nil"/>
            </w:tcBorders>
            <w:shd w:val="clear" w:color="auto" w:fill="auto"/>
            <w:noWrap/>
            <w:vAlign w:val="bottom"/>
            <w:hideMark/>
          </w:tcPr>
          <w:p w14:paraId="558B54F7" w14:textId="77777777" w:rsidR="005E240A" w:rsidRPr="00897E24" w:rsidRDefault="005E240A" w:rsidP="00C27333">
            <w:pPr>
              <w:jc w:val="right"/>
              <w:rPr>
                <w:rFonts w:ascii="Arial" w:hAnsi="Arial" w:cs="Arial"/>
                <w:color w:val="000000"/>
                <w:spacing w:val="0"/>
                <w:sz w:val="18"/>
                <w:szCs w:val="18"/>
                <w:lang w:val="en-US"/>
              </w:rPr>
            </w:pPr>
          </w:p>
        </w:tc>
        <w:tc>
          <w:tcPr>
            <w:tcW w:w="972" w:type="dxa"/>
            <w:tcBorders>
              <w:top w:val="nil"/>
              <w:left w:val="nil"/>
              <w:bottom w:val="nil"/>
              <w:right w:val="nil"/>
            </w:tcBorders>
            <w:shd w:val="clear" w:color="auto" w:fill="auto"/>
            <w:noWrap/>
            <w:vAlign w:val="bottom"/>
            <w:hideMark/>
          </w:tcPr>
          <w:p w14:paraId="5D475FC5" w14:textId="77777777" w:rsidR="005E240A" w:rsidRPr="00897E24" w:rsidRDefault="005E240A" w:rsidP="00C27333">
            <w:pPr>
              <w:rPr>
                <w:rFonts w:ascii="Arial" w:hAnsi="Arial" w:cs="Arial"/>
                <w:spacing w:val="0"/>
                <w:sz w:val="18"/>
                <w:szCs w:val="18"/>
                <w:lang w:val="en-US"/>
              </w:rPr>
            </w:pPr>
          </w:p>
        </w:tc>
        <w:tc>
          <w:tcPr>
            <w:tcW w:w="1454" w:type="dxa"/>
            <w:tcBorders>
              <w:top w:val="nil"/>
              <w:left w:val="nil"/>
              <w:bottom w:val="nil"/>
              <w:right w:val="nil"/>
            </w:tcBorders>
            <w:shd w:val="clear" w:color="auto" w:fill="auto"/>
            <w:noWrap/>
            <w:vAlign w:val="bottom"/>
            <w:hideMark/>
          </w:tcPr>
          <w:p w14:paraId="1631F2D1" w14:textId="77777777" w:rsidR="005E240A" w:rsidRPr="00897E24" w:rsidRDefault="005E240A" w:rsidP="00C27333">
            <w:pPr>
              <w:rPr>
                <w:rFonts w:ascii="Arial" w:hAnsi="Arial" w:cs="Arial"/>
                <w:spacing w:val="0"/>
                <w:sz w:val="18"/>
                <w:szCs w:val="18"/>
                <w:lang w:val="en-US"/>
              </w:rPr>
            </w:pPr>
          </w:p>
        </w:tc>
        <w:tc>
          <w:tcPr>
            <w:tcW w:w="1081" w:type="dxa"/>
            <w:tcBorders>
              <w:top w:val="nil"/>
              <w:left w:val="nil"/>
              <w:bottom w:val="nil"/>
              <w:right w:val="single" w:sz="4" w:space="0" w:color="auto"/>
            </w:tcBorders>
            <w:shd w:val="clear" w:color="auto" w:fill="auto"/>
            <w:noWrap/>
            <w:vAlign w:val="bottom"/>
            <w:hideMark/>
          </w:tcPr>
          <w:p w14:paraId="153D0522" w14:textId="77777777" w:rsidR="005E240A" w:rsidRPr="00897E24" w:rsidRDefault="005E240A" w:rsidP="00C27333">
            <w:pPr>
              <w:rPr>
                <w:rFonts w:ascii="Arial" w:hAnsi="Arial" w:cs="Arial"/>
                <w:spacing w:val="0"/>
                <w:sz w:val="18"/>
                <w:szCs w:val="18"/>
                <w:lang w:val="en-US"/>
              </w:rPr>
            </w:pPr>
          </w:p>
        </w:tc>
      </w:tr>
      <w:tr w:rsidR="005E240A" w:rsidRPr="00FF2439" w14:paraId="7AB44EA1" w14:textId="77777777" w:rsidTr="002F0082">
        <w:trPr>
          <w:trHeight w:val="288"/>
        </w:trPr>
        <w:tc>
          <w:tcPr>
            <w:tcW w:w="2785" w:type="dxa"/>
            <w:tcBorders>
              <w:top w:val="nil"/>
              <w:left w:val="single" w:sz="4" w:space="0" w:color="auto"/>
              <w:bottom w:val="nil"/>
              <w:right w:val="nil"/>
            </w:tcBorders>
            <w:shd w:val="clear" w:color="auto" w:fill="auto"/>
            <w:noWrap/>
            <w:vAlign w:val="bottom"/>
            <w:hideMark/>
          </w:tcPr>
          <w:p w14:paraId="3DBE3B6A" w14:textId="77777777" w:rsidR="005E240A" w:rsidRPr="00897E24" w:rsidRDefault="005E240A" w:rsidP="00C27333">
            <w:pPr>
              <w:rPr>
                <w:rFonts w:ascii="Arial" w:hAnsi="Arial" w:cs="Arial"/>
                <w:color w:val="000000"/>
                <w:spacing w:val="0"/>
                <w:sz w:val="18"/>
                <w:szCs w:val="18"/>
                <w:lang w:val="en-US"/>
              </w:rPr>
            </w:pPr>
            <w:r w:rsidRPr="00897E24">
              <w:rPr>
                <w:rFonts w:ascii="Arial" w:hAnsi="Arial" w:cs="Arial"/>
                <w:color w:val="000000"/>
                <w:spacing w:val="0"/>
                <w:sz w:val="18"/>
                <w:szCs w:val="18"/>
                <w:lang w:val="en-US"/>
              </w:rPr>
              <w:t>LR</w:t>
            </w:r>
          </w:p>
        </w:tc>
        <w:tc>
          <w:tcPr>
            <w:tcW w:w="1047" w:type="dxa"/>
            <w:tcBorders>
              <w:top w:val="nil"/>
              <w:left w:val="nil"/>
              <w:bottom w:val="nil"/>
              <w:right w:val="nil"/>
            </w:tcBorders>
            <w:shd w:val="clear" w:color="auto" w:fill="auto"/>
            <w:noWrap/>
            <w:vAlign w:val="bottom"/>
            <w:hideMark/>
          </w:tcPr>
          <w:p w14:paraId="45FA2BCC" w14:textId="77777777" w:rsidR="005E240A" w:rsidRPr="00897E24" w:rsidRDefault="005E240A" w:rsidP="00C27333">
            <w:pPr>
              <w:rPr>
                <w:rFonts w:ascii="Arial" w:hAnsi="Arial" w:cs="Arial"/>
                <w:color w:val="000000"/>
                <w:spacing w:val="0"/>
                <w:sz w:val="18"/>
                <w:szCs w:val="18"/>
                <w:lang w:val="en-US"/>
              </w:rPr>
            </w:pPr>
            <w:r w:rsidRPr="00897E24">
              <w:rPr>
                <w:rFonts w:ascii="Arial" w:hAnsi="Arial" w:cs="Arial"/>
                <w:color w:val="000000"/>
                <w:spacing w:val="0"/>
                <w:sz w:val="18"/>
                <w:szCs w:val="18"/>
                <w:lang w:val="en-US"/>
              </w:rPr>
              <w:t>chi2(</w:t>
            </w:r>
            <w:proofErr w:type="gramStart"/>
            <w:r w:rsidRPr="00897E24">
              <w:rPr>
                <w:rFonts w:ascii="Arial" w:hAnsi="Arial" w:cs="Arial"/>
                <w:color w:val="000000"/>
                <w:spacing w:val="0"/>
                <w:sz w:val="18"/>
                <w:szCs w:val="18"/>
                <w:lang w:val="en-US"/>
              </w:rPr>
              <w:t>16)=</w:t>
            </w:r>
            <w:proofErr w:type="gramEnd"/>
          </w:p>
        </w:tc>
        <w:tc>
          <w:tcPr>
            <w:tcW w:w="1081" w:type="dxa"/>
            <w:tcBorders>
              <w:top w:val="nil"/>
              <w:left w:val="nil"/>
              <w:bottom w:val="nil"/>
              <w:right w:val="nil"/>
            </w:tcBorders>
            <w:shd w:val="clear" w:color="auto" w:fill="auto"/>
            <w:noWrap/>
            <w:vAlign w:val="bottom"/>
            <w:hideMark/>
          </w:tcPr>
          <w:p w14:paraId="296F063B" w14:textId="77777777" w:rsidR="005E240A" w:rsidRPr="00897E24" w:rsidRDefault="005E240A" w:rsidP="00C27333">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11.81</w:t>
            </w:r>
          </w:p>
        </w:tc>
        <w:tc>
          <w:tcPr>
            <w:tcW w:w="1097" w:type="dxa"/>
            <w:tcBorders>
              <w:top w:val="nil"/>
              <w:left w:val="nil"/>
              <w:bottom w:val="nil"/>
              <w:right w:val="nil"/>
            </w:tcBorders>
            <w:shd w:val="clear" w:color="auto" w:fill="auto"/>
            <w:noWrap/>
            <w:vAlign w:val="bottom"/>
            <w:hideMark/>
          </w:tcPr>
          <w:p w14:paraId="234EC619" w14:textId="77777777" w:rsidR="005E240A" w:rsidRPr="00897E24" w:rsidRDefault="005E240A" w:rsidP="00C27333">
            <w:pPr>
              <w:jc w:val="right"/>
              <w:rPr>
                <w:rFonts w:ascii="Arial" w:hAnsi="Arial" w:cs="Arial"/>
                <w:color w:val="000000"/>
                <w:spacing w:val="0"/>
                <w:sz w:val="18"/>
                <w:szCs w:val="18"/>
                <w:lang w:val="en-US"/>
              </w:rPr>
            </w:pPr>
          </w:p>
        </w:tc>
        <w:tc>
          <w:tcPr>
            <w:tcW w:w="972" w:type="dxa"/>
            <w:tcBorders>
              <w:top w:val="nil"/>
              <w:left w:val="nil"/>
              <w:bottom w:val="nil"/>
              <w:right w:val="nil"/>
            </w:tcBorders>
            <w:shd w:val="clear" w:color="auto" w:fill="auto"/>
            <w:noWrap/>
            <w:vAlign w:val="bottom"/>
            <w:hideMark/>
          </w:tcPr>
          <w:p w14:paraId="20127D8F" w14:textId="77777777" w:rsidR="005E240A" w:rsidRPr="00897E24" w:rsidRDefault="005E240A" w:rsidP="00C27333">
            <w:pPr>
              <w:rPr>
                <w:rFonts w:ascii="Arial" w:hAnsi="Arial" w:cs="Arial"/>
                <w:spacing w:val="0"/>
                <w:sz w:val="18"/>
                <w:szCs w:val="18"/>
                <w:lang w:val="en-US"/>
              </w:rPr>
            </w:pPr>
          </w:p>
        </w:tc>
        <w:tc>
          <w:tcPr>
            <w:tcW w:w="1454" w:type="dxa"/>
            <w:tcBorders>
              <w:top w:val="nil"/>
              <w:left w:val="nil"/>
              <w:bottom w:val="nil"/>
              <w:right w:val="nil"/>
            </w:tcBorders>
            <w:shd w:val="clear" w:color="auto" w:fill="auto"/>
            <w:noWrap/>
            <w:vAlign w:val="bottom"/>
            <w:hideMark/>
          </w:tcPr>
          <w:p w14:paraId="00678D93" w14:textId="77777777" w:rsidR="005E240A" w:rsidRPr="00897E24" w:rsidRDefault="005E240A" w:rsidP="00C27333">
            <w:pPr>
              <w:rPr>
                <w:rFonts w:ascii="Arial" w:hAnsi="Arial" w:cs="Arial"/>
                <w:spacing w:val="0"/>
                <w:sz w:val="18"/>
                <w:szCs w:val="18"/>
                <w:lang w:val="en-US"/>
              </w:rPr>
            </w:pPr>
          </w:p>
        </w:tc>
        <w:tc>
          <w:tcPr>
            <w:tcW w:w="1081" w:type="dxa"/>
            <w:tcBorders>
              <w:top w:val="nil"/>
              <w:left w:val="nil"/>
              <w:bottom w:val="nil"/>
              <w:right w:val="single" w:sz="4" w:space="0" w:color="auto"/>
            </w:tcBorders>
            <w:shd w:val="clear" w:color="auto" w:fill="auto"/>
            <w:noWrap/>
            <w:vAlign w:val="bottom"/>
            <w:hideMark/>
          </w:tcPr>
          <w:p w14:paraId="1FAF03D7" w14:textId="77777777" w:rsidR="005E240A" w:rsidRPr="00897E24" w:rsidRDefault="005E240A" w:rsidP="00C27333">
            <w:pPr>
              <w:rPr>
                <w:rFonts w:ascii="Arial" w:hAnsi="Arial" w:cs="Arial"/>
                <w:spacing w:val="0"/>
                <w:sz w:val="18"/>
                <w:szCs w:val="18"/>
                <w:lang w:val="en-US"/>
              </w:rPr>
            </w:pPr>
          </w:p>
        </w:tc>
      </w:tr>
      <w:tr w:rsidR="005E240A" w:rsidRPr="00FF2439" w14:paraId="486966CE" w14:textId="77777777" w:rsidTr="002F0082">
        <w:trPr>
          <w:trHeight w:val="288"/>
        </w:trPr>
        <w:tc>
          <w:tcPr>
            <w:tcW w:w="2785" w:type="dxa"/>
            <w:tcBorders>
              <w:top w:val="nil"/>
              <w:left w:val="single" w:sz="4" w:space="0" w:color="auto"/>
              <w:bottom w:val="nil"/>
              <w:right w:val="nil"/>
            </w:tcBorders>
            <w:shd w:val="clear" w:color="auto" w:fill="auto"/>
            <w:noWrap/>
            <w:vAlign w:val="bottom"/>
            <w:hideMark/>
          </w:tcPr>
          <w:p w14:paraId="7239695A" w14:textId="77777777" w:rsidR="005E240A" w:rsidRPr="00897E24" w:rsidRDefault="005E240A" w:rsidP="00C27333">
            <w:pPr>
              <w:rPr>
                <w:rFonts w:ascii="Arial" w:hAnsi="Arial" w:cs="Arial"/>
                <w:color w:val="000000"/>
                <w:spacing w:val="0"/>
                <w:sz w:val="18"/>
                <w:szCs w:val="18"/>
                <w:lang w:val="en-US"/>
              </w:rPr>
            </w:pPr>
            <w:r w:rsidRPr="00897E24">
              <w:rPr>
                <w:rFonts w:ascii="Arial" w:hAnsi="Arial" w:cs="Arial"/>
                <w:color w:val="000000"/>
                <w:spacing w:val="0"/>
                <w:sz w:val="18"/>
                <w:szCs w:val="18"/>
                <w:lang w:val="en-US"/>
              </w:rPr>
              <w:t>Prob</w:t>
            </w:r>
          </w:p>
        </w:tc>
        <w:tc>
          <w:tcPr>
            <w:tcW w:w="1047" w:type="dxa"/>
            <w:tcBorders>
              <w:top w:val="nil"/>
              <w:left w:val="nil"/>
              <w:bottom w:val="nil"/>
              <w:right w:val="nil"/>
            </w:tcBorders>
            <w:shd w:val="clear" w:color="auto" w:fill="auto"/>
            <w:noWrap/>
            <w:vAlign w:val="bottom"/>
            <w:hideMark/>
          </w:tcPr>
          <w:p w14:paraId="1F8B8D12" w14:textId="77777777" w:rsidR="005E240A" w:rsidRPr="00897E24" w:rsidRDefault="005E240A" w:rsidP="00C27333">
            <w:pPr>
              <w:rPr>
                <w:rFonts w:ascii="Arial" w:hAnsi="Arial" w:cs="Arial"/>
                <w:color w:val="000000"/>
                <w:spacing w:val="0"/>
                <w:sz w:val="18"/>
                <w:szCs w:val="18"/>
                <w:lang w:val="en-US"/>
              </w:rPr>
            </w:pPr>
            <w:r w:rsidRPr="00897E24">
              <w:rPr>
                <w:rFonts w:ascii="Arial" w:hAnsi="Arial" w:cs="Arial"/>
                <w:color w:val="000000"/>
                <w:spacing w:val="0"/>
                <w:sz w:val="18"/>
                <w:szCs w:val="18"/>
                <w:lang w:val="en-US"/>
              </w:rPr>
              <w:t>&gt;chi2=</w:t>
            </w:r>
          </w:p>
        </w:tc>
        <w:tc>
          <w:tcPr>
            <w:tcW w:w="1081" w:type="dxa"/>
            <w:tcBorders>
              <w:top w:val="nil"/>
              <w:left w:val="nil"/>
              <w:bottom w:val="nil"/>
              <w:right w:val="nil"/>
            </w:tcBorders>
            <w:shd w:val="clear" w:color="auto" w:fill="auto"/>
            <w:noWrap/>
            <w:vAlign w:val="bottom"/>
            <w:hideMark/>
          </w:tcPr>
          <w:p w14:paraId="47AFAA41" w14:textId="77777777" w:rsidR="005E240A" w:rsidRPr="00897E24" w:rsidRDefault="005E240A" w:rsidP="00C27333">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0.7571</w:t>
            </w:r>
          </w:p>
        </w:tc>
        <w:tc>
          <w:tcPr>
            <w:tcW w:w="1097" w:type="dxa"/>
            <w:tcBorders>
              <w:top w:val="nil"/>
              <w:left w:val="nil"/>
              <w:bottom w:val="nil"/>
              <w:right w:val="nil"/>
            </w:tcBorders>
            <w:shd w:val="clear" w:color="auto" w:fill="auto"/>
            <w:noWrap/>
            <w:vAlign w:val="bottom"/>
            <w:hideMark/>
          </w:tcPr>
          <w:p w14:paraId="39235ABA" w14:textId="77777777" w:rsidR="005E240A" w:rsidRPr="00897E24" w:rsidRDefault="005E240A" w:rsidP="00C27333">
            <w:pPr>
              <w:jc w:val="right"/>
              <w:rPr>
                <w:rFonts w:ascii="Arial" w:hAnsi="Arial" w:cs="Arial"/>
                <w:color w:val="000000"/>
                <w:spacing w:val="0"/>
                <w:sz w:val="18"/>
                <w:szCs w:val="18"/>
                <w:lang w:val="en-US"/>
              </w:rPr>
            </w:pPr>
          </w:p>
        </w:tc>
        <w:tc>
          <w:tcPr>
            <w:tcW w:w="972" w:type="dxa"/>
            <w:tcBorders>
              <w:top w:val="nil"/>
              <w:left w:val="nil"/>
              <w:bottom w:val="nil"/>
              <w:right w:val="nil"/>
            </w:tcBorders>
            <w:shd w:val="clear" w:color="auto" w:fill="auto"/>
            <w:noWrap/>
            <w:vAlign w:val="bottom"/>
            <w:hideMark/>
          </w:tcPr>
          <w:p w14:paraId="1C5C669E" w14:textId="77777777" w:rsidR="005E240A" w:rsidRPr="00897E24" w:rsidRDefault="005E240A" w:rsidP="00C27333">
            <w:pPr>
              <w:rPr>
                <w:rFonts w:ascii="Arial" w:hAnsi="Arial" w:cs="Arial"/>
                <w:spacing w:val="0"/>
                <w:sz w:val="18"/>
                <w:szCs w:val="18"/>
                <w:lang w:val="en-US"/>
              </w:rPr>
            </w:pPr>
          </w:p>
        </w:tc>
        <w:tc>
          <w:tcPr>
            <w:tcW w:w="1454" w:type="dxa"/>
            <w:tcBorders>
              <w:top w:val="nil"/>
              <w:left w:val="nil"/>
              <w:bottom w:val="nil"/>
              <w:right w:val="nil"/>
            </w:tcBorders>
            <w:shd w:val="clear" w:color="auto" w:fill="auto"/>
            <w:noWrap/>
            <w:vAlign w:val="bottom"/>
            <w:hideMark/>
          </w:tcPr>
          <w:p w14:paraId="1FD97518" w14:textId="77777777" w:rsidR="005E240A" w:rsidRPr="00897E24" w:rsidRDefault="005E240A" w:rsidP="00C27333">
            <w:pPr>
              <w:rPr>
                <w:rFonts w:ascii="Arial" w:hAnsi="Arial" w:cs="Arial"/>
                <w:spacing w:val="0"/>
                <w:sz w:val="18"/>
                <w:szCs w:val="18"/>
                <w:lang w:val="en-US"/>
              </w:rPr>
            </w:pPr>
          </w:p>
        </w:tc>
        <w:tc>
          <w:tcPr>
            <w:tcW w:w="1081" w:type="dxa"/>
            <w:tcBorders>
              <w:top w:val="nil"/>
              <w:left w:val="nil"/>
              <w:bottom w:val="nil"/>
              <w:right w:val="single" w:sz="4" w:space="0" w:color="auto"/>
            </w:tcBorders>
            <w:shd w:val="clear" w:color="auto" w:fill="auto"/>
            <w:noWrap/>
            <w:vAlign w:val="bottom"/>
            <w:hideMark/>
          </w:tcPr>
          <w:p w14:paraId="746DEE4F" w14:textId="77777777" w:rsidR="005E240A" w:rsidRPr="00897E24" w:rsidRDefault="005E240A" w:rsidP="00C27333">
            <w:pPr>
              <w:rPr>
                <w:rFonts w:ascii="Arial" w:hAnsi="Arial" w:cs="Arial"/>
                <w:spacing w:val="0"/>
                <w:sz w:val="18"/>
                <w:szCs w:val="18"/>
                <w:lang w:val="en-US"/>
              </w:rPr>
            </w:pPr>
          </w:p>
        </w:tc>
      </w:tr>
      <w:tr w:rsidR="005E240A" w:rsidRPr="00FF2439" w14:paraId="6F3FA2F5" w14:textId="77777777" w:rsidTr="002F0082">
        <w:trPr>
          <w:trHeight w:val="288"/>
        </w:trPr>
        <w:tc>
          <w:tcPr>
            <w:tcW w:w="2785" w:type="dxa"/>
            <w:tcBorders>
              <w:top w:val="nil"/>
              <w:left w:val="single" w:sz="4" w:space="0" w:color="auto"/>
              <w:bottom w:val="nil"/>
              <w:right w:val="nil"/>
            </w:tcBorders>
            <w:shd w:val="clear" w:color="auto" w:fill="auto"/>
            <w:noWrap/>
            <w:vAlign w:val="bottom"/>
            <w:hideMark/>
          </w:tcPr>
          <w:p w14:paraId="0E99C734" w14:textId="77777777" w:rsidR="005E240A" w:rsidRPr="00897E24" w:rsidRDefault="005E240A" w:rsidP="00C27333">
            <w:pPr>
              <w:rPr>
                <w:rFonts w:ascii="Arial" w:hAnsi="Arial" w:cs="Arial"/>
                <w:color w:val="000000"/>
                <w:spacing w:val="0"/>
                <w:sz w:val="18"/>
                <w:szCs w:val="18"/>
                <w:lang w:val="en-US"/>
              </w:rPr>
            </w:pPr>
            <w:r w:rsidRPr="00897E24">
              <w:rPr>
                <w:rFonts w:ascii="Arial" w:hAnsi="Arial" w:cs="Arial"/>
                <w:color w:val="000000"/>
                <w:spacing w:val="0"/>
                <w:sz w:val="18"/>
                <w:szCs w:val="18"/>
                <w:lang w:val="en-US"/>
              </w:rPr>
              <w:t>Log</w:t>
            </w:r>
          </w:p>
        </w:tc>
        <w:tc>
          <w:tcPr>
            <w:tcW w:w="1047" w:type="dxa"/>
            <w:tcBorders>
              <w:top w:val="nil"/>
              <w:left w:val="nil"/>
              <w:bottom w:val="nil"/>
              <w:right w:val="nil"/>
            </w:tcBorders>
            <w:shd w:val="clear" w:color="auto" w:fill="auto"/>
            <w:noWrap/>
            <w:vAlign w:val="bottom"/>
            <w:hideMark/>
          </w:tcPr>
          <w:p w14:paraId="3C7BCB9D" w14:textId="77777777" w:rsidR="005E240A" w:rsidRPr="00897E24" w:rsidRDefault="005E240A" w:rsidP="00C27333">
            <w:pPr>
              <w:rPr>
                <w:rFonts w:ascii="Arial" w:hAnsi="Arial" w:cs="Arial"/>
                <w:color w:val="000000"/>
                <w:spacing w:val="0"/>
                <w:sz w:val="18"/>
                <w:szCs w:val="18"/>
                <w:lang w:val="en-US"/>
              </w:rPr>
            </w:pPr>
            <w:r w:rsidRPr="00897E24">
              <w:rPr>
                <w:rFonts w:ascii="Arial" w:hAnsi="Arial" w:cs="Arial"/>
                <w:color w:val="000000"/>
                <w:spacing w:val="0"/>
                <w:sz w:val="18"/>
                <w:szCs w:val="18"/>
                <w:lang w:val="en-US"/>
              </w:rPr>
              <w:t>likelihood</w:t>
            </w:r>
          </w:p>
        </w:tc>
        <w:tc>
          <w:tcPr>
            <w:tcW w:w="1081" w:type="dxa"/>
            <w:tcBorders>
              <w:top w:val="nil"/>
              <w:left w:val="nil"/>
              <w:bottom w:val="nil"/>
              <w:right w:val="nil"/>
            </w:tcBorders>
            <w:shd w:val="clear" w:color="auto" w:fill="auto"/>
            <w:noWrap/>
            <w:vAlign w:val="bottom"/>
            <w:hideMark/>
          </w:tcPr>
          <w:p w14:paraId="743F28F0" w14:textId="77777777" w:rsidR="005E240A" w:rsidRPr="00897E24" w:rsidRDefault="005E240A" w:rsidP="00C27333">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-1207.07</w:t>
            </w:r>
          </w:p>
        </w:tc>
        <w:tc>
          <w:tcPr>
            <w:tcW w:w="1097" w:type="dxa"/>
            <w:tcBorders>
              <w:top w:val="nil"/>
              <w:left w:val="nil"/>
              <w:bottom w:val="nil"/>
              <w:right w:val="nil"/>
            </w:tcBorders>
            <w:shd w:val="clear" w:color="auto" w:fill="auto"/>
            <w:noWrap/>
            <w:vAlign w:val="bottom"/>
            <w:hideMark/>
          </w:tcPr>
          <w:p w14:paraId="36127666" w14:textId="77777777" w:rsidR="005E240A" w:rsidRPr="00897E24" w:rsidRDefault="005E240A" w:rsidP="00C27333">
            <w:pPr>
              <w:jc w:val="right"/>
              <w:rPr>
                <w:rFonts w:ascii="Arial" w:hAnsi="Arial" w:cs="Arial"/>
                <w:color w:val="000000"/>
                <w:spacing w:val="0"/>
                <w:sz w:val="18"/>
                <w:szCs w:val="18"/>
                <w:lang w:val="en-US"/>
              </w:rPr>
            </w:pPr>
          </w:p>
        </w:tc>
        <w:tc>
          <w:tcPr>
            <w:tcW w:w="972" w:type="dxa"/>
            <w:tcBorders>
              <w:top w:val="nil"/>
              <w:left w:val="nil"/>
              <w:bottom w:val="nil"/>
              <w:right w:val="nil"/>
            </w:tcBorders>
            <w:shd w:val="clear" w:color="auto" w:fill="auto"/>
            <w:noWrap/>
            <w:vAlign w:val="bottom"/>
            <w:hideMark/>
          </w:tcPr>
          <w:p w14:paraId="7D550097" w14:textId="77777777" w:rsidR="005E240A" w:rsidRPr="00897E24" w:rsidRDefault="005E240A" w:rsidP="00C27333">
            <w:pPr>
              <w:rPr>
                <w:rFonts w:ascii="Arial" w:hAnsi="Arial" w:cs="Arial"/>
                <w:spacing w:val="0"/>
                <w:sz w:val="18"/>
                <w:szCs w:val="18"/>
                <w:lang w:val="en-US"/>
              </w:rPr>
            </w:pPr>
          </w:p>
        </w:tc>
        <w:tc>
          <w:tcPr>
            <w:tcW w:w="1454" w:type="dxa"/>
            <w:tcBorders>
              <w:top w:val="nil"/>
              <w:left w:val="nil"/>
              <w:bottom w:val="nil"/>
              <w:right w:val="nil"/>
            </w:tcBorders>
            <w:shd w:val="clear" w:color="auto" w:fill="auto"/>
            <w:noWrap/>
            <w:vAlign w:val="bottom"/>
            <w:hideMark/>
          </w:tcPr>
          <w:p w14:paraId="4104A361" w14:textId="77777777" w:rsidR="005E240A" w:rsidRPr="00897E24" w:rsidRDefault="005E240A" w:rsidP="00C27333">
            <w:pPr>
              <w:rPr>
                <w:rFonts w:ascii="Arial" w:hAnsi="Arial" w:cs="Arial"/>
                <w:spacing w:val="0"/>
                <w:sz w:val="18"/>
                <w:szCs w:val="18"/>
                <w:lang w:val="en-US"/>
              </w:rPr>
            </w:pPr>
          </w:p>
        </w:tc>
        <w:tc>
          <w:tcPr>
            <w:tcW w:w="1081" w:type="dxa"/>
            <w:tcBorders>
              <w:top w:val="nil"/>
              <w:left w:val="nil"/>
              <w:bottom w:val="nil"/>
              <w:right w:val="single" w:sz="4" w:space="0" w:color="auto"/>
            </w:tcBorders>
            <w:shd w:val="clear" w:color="auto" w:fill="auto"/>
            <w:noWrap/>
            <w:vAlign w:val="bottom"/>
            <w:hideMark/>
          </w:tcPr>
          <w:p w14:paraId="69FCAA42" w14:textId="77777777" w:rsidR="005E240A" w:rsidRPr="00897E24" w:rsidRDefault="005E240A" w:rsidP="00C27333">
            <w:pPr>
              <w:rPr>
                <w:rFonts w:ascii="Arial" w:hAnsi="Arial" w:cs="Arial"/>
                <w:spacing w:val="0"/>
                <w:sz w:val="18"/>
                <w:szCs w:val="18"/>
                <w:lang w:val="en-US"/>
              </w:rPr>
            </w:pPr>
          </w:p>
        </w:tc>
      </w:tr>
      <w:tr w:rsidR="005E240A" w:rsidRPr="00FF2439" w14:paraId="38727D24" w14:textId="77777777" w:rsidTr="002F0082">
        <w:trPr>
          <w:trHeight w:val="288"/>
        </w:trPr>
        <w:tc>
          <w:tcPr>
            <w:tcW w:w="2785" w:type="dxa"/>
            <w:tcBorders>
              <w:top w:val="nil"/>
              <w:left w:val="single" w:sz="4" w:space="0" w:color="auto"/>
              <w:bottom w:val="nil"/>
              <w:right w:val="nil"/>
            </w:tcBorders>
            <w:shd w:val="clear" w:color="auto" w:fill="auto"/>
            <w:noWrap/>
            <w:vAlign w:val="bottom"/>
            <w:hideMark/>
          </w:tcPr>
          <w:p w14:paraId="775B89C9" w14:textId="77777777" w:rsidR="005E240A" w:rsidRPr="00897E24" w:rsidRDefault="005E240A" w:rsidP="00C27333">
            <w:pPr>
              <w:rPr>
                <w:rFonts w:ascii="Arial" w:hAnsi="Arial" w:cs="Arial"/>
                <w:color w:val="000000"/>
                <w:spacing w:val="0"/>
                <w:sz w:val="18"/>
                <w:szCs w:val="18"/>
                <w:lang w:val="en-US"/>
              </w:rPr>
            </w:pPr>
            <w:r w:rsidRPr="00897E24">
              <w:rPr>
                <w:rFonts w:ascii="Arial" w:hAnsi="Arial" w:cs="Arial"/>
                <w:color w:val="000000"/>
                <w:spacing w:val="0"/>
                <w:sz w:val="18"/>
                <w:szCs w:val="18"/>
                <w:lang w:val="en-US"/>
              </w:rPr>
              <w:t>Pseudo R2=</w:t>
            </w:r>
          </w:p>
        </w:tc>
        <w:tc>
          <w:tcPr>
            <w:tcW w:w="1047" w:type="dxa"/>
            <w:tcBorders>
              <w:top w:val="nil"/>
              <w:left w:val="nil"/>
              <w:bottom w:val="nil"/>
              <w:right w:val="nil"/>
            </w:tcBorders>
            <w:shd w:val="clear" w:color="auto" w:fill="auto"/>
            <w:noWrap/>
            <w:vAlign w:val="bottom"/>
            <w:hideMark/>
          </w:tcPr>
          <w:p w14:paraId="0DC1DCBB" w14:textId="77777777" w:rsidR="005E240A" w:rsidRPr="00897E24" w:rsidRDefault="005E240A" w:rsidP="00C27333">
            <w:pPr>
              <w:rPr>
                <w:rFonts w:ascii="Arial" w:hAnsi="Arial" w:cs="Arial"/>
                <w:color w:val="000000"/>
                <w:spacing w:val="0"/>
                <w:sz w:val="18"/>
                <w:szCs w:val="18"/>
                <w:lang w:val="en-US"/>
              </w:rPr>
            </w:pPr>
          </w:p>
        </w:tc>
        <w:tc>
          <w:tcPr>
            <w:tcW w:w="1081" w:type="dxa"/>
            <w:tcBorders>
              <w:top w:val="nil"/>
              <w:left w:val="nil"/>
              <w:bottom w:val="nil"/>
              <w:right w:val="nil"/>
            </w:tcBorders>
            <w:shd w:val="clear" w:color="auto" w:fill="auto"/>
            <w:noWrap/>
            <w:vAlign w:val="bottom"/>
            <w:hideMark/>
          </w:tcPr>
          <w:p w14:paraId="613DBD62" w14:textId="77777777" w:rsidR="005E240A" w:rsidRPr="00897E24" w:rsidRDefault="005E240A" w:rsidP="00C27333">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0.0049</w:t>
            </w:r>
          </w:p>
        </w:tc>
        <w:tc>
          <w:tcPr>
            <w:tcW w:w="1097" w:type="dxa"/>
            <w:tcBorders>
              <w:top w:val="nil"/>
              <w:left w:val="nil"/>
              <w:bottom w:val="nil"/>
              <w:right w:val="nil"/>
            </w:tcBorders>
            <w:shd w:val="clear" w:color="auto" w:fill="auto"/>
            <w:noWrap/>
            <w:vAlign w:val="bottom"/>
            <w:hideMark/>
          </w:tcPr>
          <w:p w14:paraId="1897556F" w14:textId="77777777" w:rsidR="005E240A" w:rsidRPr="00897E24" w:rsidRDefault="005E240A" w:rsidP="00C27333">
            <w:pPr>
              <w:jc w:val="right"/>
              <w:rPr>
                <w:rFonts w:ascii="Arial" w:hAnsi="Arial" w:cs="Arial"/>
                <w:color w:val="000000"/>
                <w:spacing w:val="0"/>
                <w:sz w:val="18"/>
                <w:szCs w:val="18"/>
                <w:lang w:val="en-US"/>
              </w:rPr>
            </w:pPr>
          </w:p>
        </w:tc>
        <w:tc>
          <w:tcPr>
            <w:tcW w:w="972" w:type="dxa"/>
            <w:tcBorders>
              <w:top w:val="nil"/>
              <w:left w:val="nil"/>
              <w:bottom w:val="nil"/>
              <w:right w:val="nil"/>
            </w:tcBorders>
            <w:shd w:val="clear" w:color="auto" w:fill="auto"/>
            <w:noWrap/>
            <w:vAlign w:val="bottom"/>
            <w:hideMark/>
          </w:tcPr>
          <w:p w14:paraId="00B54E55" w14:textId="77777777" w:rsidR="005E240A" w:rsidRPr="00897E24" w:rsidRDefault="005E240A" w:rsidP="00C27333">
            <w:pPr>
              <w:rPr>
                <w:rFonts w:ascii="Arial" w:hAnsi="Arial" w:cs="Arial"/>
                <w:spacing w:val="0"/>
                <w:sz w:val="18"/>
                <w:szCs w:val="18"/>
                <w:lang w:val="en-US"/>
              </w:rPr>
            </w:pPr>
          </w:p>
        </w:tc>
        <w:tc>
          <w:tcPr>
            <w:tcW w:w="1454" w:type="dxa"/>
            <w:tcBorders>
              <w:top w:val="nil"/>
              <w:left w:val="nil"/>
              <w:bottom w:val="nil"/>
              <w:right w:val="nil"/>
            </w:tcBorders>
            <w:shd w:val="clear" w:color="auto" w:fill="auto"/>
            <w:noWrap/>
            <w:vAlign w:val="bottom"/>
            <w:hideMark/>
          </w:tcPr>
          <w:p w14:paraId="468ABF89" w14:textId="77777777" w:rsidR="005E240A" w:rsidRPr="00897E24" w:rsidRDefault="005E240A" w:rsidP="00C27333">
            <w:pPr>
              <w:rPr>
                <w:rFonts w:ascii="Arial" w:hAnsi="Arial" w:cs="Arial"/>
                <w:spacing w:val="0"/>
                <w:sz w:val="18"/>
                <w:szCs w:val="18"/>
                <w:lang w:val="en-US"/>
              </w:rPr>
            </w:pPr>
          </w:p>
        </w:tc>
        <w:tc>
          <w:tcPr>
            <w:tcW w:w="1081" w:type="dxa"/>
            <w:tcBorders>
              <w:top w:val="nil"/>
              <w:left w:val="nil"/>
              <w:bottom w:val="nil"/>
              <w:right w:val="single" w:sz="4" w:space="0" w:color="auto"/>
            </w:tcBorders>
            <w:shd w:val="clear" w:color="auto" w:fill="auto"/>
            <w:noWrap/>
            <w:vAlign w:val="bottom"/>
            <w:hideMark/>
          </w:tcPr>
          <w:p w14:paraId="53E2CE80" w14:textId="77777777" w:rsidR="005E240A" w:rsidRPr="00897E24" w:rsidRDefault="005E240A" w:rsidP="00C27333">
            <w:pPr>
              <w:rPr>
                <w:rFonts w:ascii="Arial" w:hAnsi="Arial" w:cs="Arial"/>
                <w:spacing w:val="0"/>
                <w:sz w:val="18"/>
                <w:szCs w:val="18"/>
                <w:lang w:val="en-US"/>
              </w:rPr>
            </w:pPr>
          </w:p>
        </w:tc>
      </w:tr>
      <w:tr w:rsidR="005E240A" w:rsidRPr="00FF2439" w14:paraId="73F631DD" w14:textId="77777777" w:rsidTr="002F0082">
        <w:trPr>
          <w:trHeight w:val="288"/>
        </w:trPr>
        <w:tc>
          <w:tcPr>
            <w:tcW w:w="2785" w:type="dxa"/>
            <w:tcBorders>
              <w:top w:val="nil"/>
              <w:left w:val="single" w:sz="4" w:space="0" w:color="auto"/>
              <w:bottom w:val="single" w:sz="4" w:space="0" w:color="auto"/>
              <w:right w:val="nil"/>
            </w:tcBorders>
            <w:shd w:val="clear" w:color="auto" w:fill="auto"/>
            <w:noWrap/>
            <w:vAlign w:val="bottom"/>
            <w:hideMark/>
          </w:tcPr>
          <w:p w14:paraId="1B3796B0" w14:textId="77777777" w:rsidR="005E240A" w:rsidRPr="00897E24" w:rsidRDefault="005E240A" w:rsidP="00C27333">
            <w:pPr>
              <w:rPr>
                <w:rFonts w:ascii="Arial" w:hAnsi="Arial" w:cs="Arial"/>
                <w:spacing w:val="0"/>
                <w:sz w:val="18"/>
                <w:szCs w:val="18"/>
                <w:lang w:val="en-US"/>
              </w:rPr>
            </w:pPr>
          </w:p>
        </w:tc>
        <w:tc>
          <w:tcPr>
            <w:tcW w:w="1047" w:type="dxa"/>
            <w:tcBorders>
              <w:top w:val="nil"/>
              <w:left w:val="nil"/>
              <w:bottom w:val="single" w:sz="4" w:space="0" w:color="auto"/>
              <w:right w:val="nil"/>
            </w:tcBorders>
            <w:shd w:val="clear" w:color="auto" w:fill="auto"/>
            <w:noWrap/>
            <w:vAlign w:val="bottom"/>
            <w:hideMark/>
          </w:tcPr>
          <w:p w14:paraId="3E9C91CA" w14:textId="77777777" w:rsidR="005E240A" w:rsidRPr="00897E24" w:rsidRDefault="005E240A" w:rsidP="00C27333">
            <w:pPr>
              <w:rPr>
                <w:rFonts w:ascii="Arial" w:hAnsi="Arial" w:cs="Arial"/>
                <w:spacing w:val="0"/>
                <w:sz w:val="18"/>
                <w:szCs w:val="18"/>
                <w:lang w:val="en-US"/>
              </w:rPr>
            </w:pPr>
          </w:p>
        </w:tc>
        <w:tc>
          <w:tcPr>
            <w:tcW w:w="1081" w:type="dxa"/>
            <w:tcBorders>
              <w:top w:val="nil"/>
              <w:left w:val="nil"/>
              <w:bottom w:val="single" w:sz="4" w:space="0" w:color="auto"/>
              <w:right w:val="nil"/>
            </w:tcBorders>
            <w:shd w:val="clear" w:color="auto" w:fill="auto"/>
            <w:noWrap/>
            <w:vAlign w:val="bottom"/>
            <w:hideMark/>
          </w:tcPr>
          <w:p w14:paraId="1791C089" w14:textId="77777777" w:rsidR="005E240A" w:rsidRPr="00897E24" w:rsidRDefault="005E240A" w:rsidP="00C27333">
            <w:pPr>
              <w:rPr>
                <w:rFonts w:ascii="Arial" w:hAnsi="Arial" w:cs="Arial"/>
                <w:spacing w:val="0"/>
                <w:sz w:val="18"/>
                <w:szCs w:val="18"/>
                <w:lang w:val="en-US"/>
              </w:rPr>
            </w:pPr>
          </w:p>
        </w:tc>
        <w:tc>
          <w:tcPr>
            <w:tcW w:w="1097" w:type="dxa"/>
            <w:tcBorders>
              <w:top w:val="nil"/>
              <w:left w:val="nil"/>
              <w:bottom w:val="single" w:sz="4" w:space="0" w:color="auto"/>
              <w:right w:val="nil"/>
            </w:tcBorders>
            <w:shd w:val="clear" w:color="auto" w:fill="auto"/>
            <w:noWrap/>
            <w:vAlign w:val="bottom"/>
            <w:hideMark/>
          </w:tcPr>
          <w:p w14:paraId="4D940C8E" w14:textId="77777777" w:rsidR="005E240A" w:rsidRPr="00897E24" w:rsidRDefault="005E240A" w:rsidP="00C27333">
            <w:pPr>
              <w:rPr>
                <w:rFonts w:ascii="Arial" w:hAnsi="Arial" w:cs="Arial"/>
                <w:spacing w:val="0"/>
                <w:sz w:val="18"/>
                <w:szCs w:val="18"/>
                <w:lang w:val="en-US"/>
              </w:rPr>
            </w:pPr>
          </w:p>
        </w:tc>
        <w:tc>
          <w:tcPr>
            <w:tcW w:w="972" w:type="dxa"/>
            <w:tcBorders>
              <w:top w:val="nil"/>
              <w:left w:val="nil"/>
              <w:bottom w:val="single" w:sz="4" w:space="0" w:color="auto"/>
              <w:right w:val="nil"/>
            </w:tcBorders>
            <w:shd w:val="clear" w:color="auto" w:fill="auto"/>
            <w:noWrap/>
            <w:vAlign w:val="bottom"/>
            <w:hideMark/>
          </w:tcPr>
          <w:p w14:paraId="43B273AF" w14:textId="77777777" w:rsidR="005E240A" w:rsidRPr="00897E24" w:rsidRDefault="005E240A" w:rsidP="00C27333">
            <w:pPr>
              <w:rPr>
                <w:rFonts w:ascii="Arial" w:hAnsi="Arial" w:cs="Arial"/>
                <w:spacing w:val="0"/>
                <w:sz w:val="18"/>
                <w:szCs w:val="18"/>
                <w:lang w:val="en-US"/>
              </w:rPr>
            </w:pPr>
          </w:p>
        </w:tc>
        <w:tc>
          <w:tcPr>
            <w:tcW w:w="1454" w:type="dxa"/>
            <w:tcBorders>
              <w:top w:val="nil"/>
              <w:left w:val="nil"/>
              <w:bottom w:val="single" w:sz="4" w:space="0" w:color="auto"/>
              <w:right w:val="nil"/>
            </w:tcBorders>
            <w:shd w:val="clear" w:color="auto" w:fill="auto"/>
            <w:noWrap/>
            <w:vAlign w:val="bottom"/>
            <w:hideMark/>
          </w:tcPr>
          <w:p w14:paraId="300CE115" w14:textId="77777777" w:rsidR="005E240A" w:rsidRPr="00897E24" w:rsidRDefault="005E240A" w:rsidP="00C27333">
            <w:pPr>
              <w:rPr>
                <w:rFonts w:ascii="Arial" w:hAnsi="Arial" w:cs="Arial"/>
                <w:spacing w:val="0"/>
                <w:sz w:val="18"/>
                <w:szCs w:val="18"/>
                <w:lang w:val="en-US"/>
              </w:rPr>
            </w:pPr>
          </w:p>
        </w:tc>
        <w:tc>
          <w:tcPr>
            <w:tcW w:w="1081" w:type="dxa"/>
            <w:tcBorders>
              <w:top w:val="nil"/>
              <w:left w:val="nil"/>
              <w:bottom w:val="single" w:sz="4" w:space="0" w:color="auto"/>
              <w:right w:val="single" w:sz="4" w:space="0" w:color="auto"/>
            </w:tcBorders>
            <w:shd w:val="clear" w:color="auto" w:fill="auto"/>
            <w:noWrap/>
            <w:vAlign w:val="bottom"/>
            <w:hideMark/>
          </w:tcPr>
          <w:p w14:paraId="7923BAAB" w14:textId="77777777" w:rsidR="005E240A" w:rsidRPr="00897E24" w:rsidRDefault="005E240A" w:rsidP="00C27333">
            <w:pPr>
              <w:rPr>
                <w:rFonts w:ascii="Arial" w:hAnsi="Arial" w:cs="Arial"/>
                <w:spacing w:val="0"/>
                <w:sz w:val="18"/>
                <w:szCs w:val="18"/>
                <w:lang w:val="en-US"/>
              </w:rPr>
            </w:pPr>
          </w:p>
        </w:tc>
      </w:tr>
      <w:tr w:rsidR="0020432F" w:rsidRPr="00FF2439" w14:paraId="0577D053" w14:textId="77777777" w:rsidTr="002F0082">
        <w:trPr>
          <w:trHeight w:val="288"/>
        </w:trPr>
        <w:tc>
          <w:tcPr>
            <w:tcW w:w="2785" w:type="dxa"/>
            <w:tcBorders>
              <w:top w:val="single" w:sz="4" w:space="0" w:color="auto"/>
              <w:left w:val="single" w:sz="4" w:space="0" w:color="auto"/>
              <w:bottom w:val="single" w:sz="4" w:space="0" w:color="auto"/>
              <w:right w:val="nil"/>
            </w:tcBorders>
            <w:shd w:val="clear" w:color="auto" w:fill="auto"/>
            <w:noWrap/>
            <w:vAlign w:val="bottom"/>
            <w:hideMark/>
          </w:tcPr>
          <w:p w14:paraId="715BCBE0" w14:textId="0E0C205E" w:rsidR="0020432F" w:rsidRPr="00897E24" w:rsidRDefault="0020432F" w:rsidP="0020432F">
            <w:pPr>
              <w:rPr>
                <w:rFonts w:ascii="Arial" w:hAnsi="Arial" w:cs="Arial"/>
                <w:b/>
                <w:color w:val="000000"/>
                <w:spacing w:val="0"/>
                <w:sz w:val="18"/>
                <w:szCs w:val="18"/>
              </w:rPr>
            </w:pPr>
            <w:r w:rsidRPr="00897E24">
              <w:rPr>
                <w:rFonts w:ascii="Arial" w:hAnsi="Arial" w:cs="Arial"/>
                <w:b/>
                <w:color w:val="000000"/>
                <w:spacing w:val="0"/>
                <w:sz w:val="18"/>
                <w:szCs w:val="18"/>
              </w:rPr>
              <w:t xml:space="preserve">Y: participa en </w:t>
            </w:r>
            <w:r w:rsidR="00FF2439" w:rsidRPr="00897E24">
              <w:rPr>
                <w:rFonts w:ascii="Arial" w:hAnsi="Arial" w:cs="Arial"/>
                <w:b/>
                <w:color w:val="000000"/>
                <w:spacing w:val="0"/>
                <w:sz w:val="18"/>
                <w:szCs w:val="18"/>
              </w:rPr>
              <w:t>compras públicas</w:t>
            </w:r>
          </w:p>
        </w:tc>
        <w:tc>
          <w:tcPr>
            <w:tcW w:w="1047" w:type="dxa"/>
            <w:tcBorders>
              <w:top w:val="single" w:sz="4" w:space="0" w:color="auto"/>
              <w:left w:val="nil"/>
              <w:bottom w:val="single" w:sz="4" w:space="0" w:color="auto"/>
              <w:right w:val="nil"/>
            </w:tcBorders>
            <w:shd w:val="clear" w:color="auto" w:fill="auto"/>
            <w:noWrap/>
            <w:vAlign w:val="bottom"/>
            <w:hideMark/>
          </w:tcPr>
          <w:p w14:paraId="69A954FF" w14:textId="7578C059" w:rsidR="0020432F" w:rsidRPr="00897E24" w:rsidRDefault="0020432F" w:rsidP="0020432F">
            <w:pPr>
              <w:rPr>
                <w:rFonts w:ascii="Arial" w:hAnsi="Arial" w:cs="Arial"/>
                <w:b/>
                <w:spacing w:val="0"/>
                <w:sz w:val="18"/>
                <w:szCs w:val="18"/>
                <w:lang w:val="en-US"/>
              </w:rPr>
            </w:pPr>
            <w:r w:rsidRPr="00897E24">
              <w:rPr>
                <w:rFonts w:ascii="Arial" w:hAnsi="Arial" w:cs="Arial"/>
                <w:b/>
                <w:color w:val="000000"/>
                <w:spacing w:val="0"/>
                <w:sz w:val="18"/>
                <w:szCs w:val="18"/>
                <w:lang w:val="en-US"/>
              </w:rPr>
              <w:t>Coef.</w:t>
            </w:r>
          </w:p>
        </w:tc>
        <w:tc>
          <w:tcPr>
            <w:tcW w:w="1081" w:type="dxa"/>
            <w:tcBorders>
              <w:top w:val="single" w:sz="4" w:space="0" w:color="auto"/>
              <w:left w:val="nil"/>
              <w:bottom w:val="single" w:sz="4" w:space="0" w:color="auto"/>
              <w:right w:val="nil"/>
            </w:tcBorders>
            <w:shd w:val="clear" w:color="auto" w:fill="auto"/>
            <w:noWrap/>
            <w:vAlign w:val="bottom"/>
            <w:hideMark/>
          </w:tcPr>
          <w:p w14:paraId="202EA7F6" w14:textId="347806F3" w:rsidR="0020432F" w:rsidRPr="00897E24" w:rsidRDefault="0020432F" w:rsidP="0020432F">
            <w:pPr>
              <w:rPr>
                <w:rFonts w:ascii="Arial" w:hAnsi="Arial" w:cs="Arial"/>
                <w:b/>
                <w:spacing w:val="0"/>
                <w:sz w:val="18"/>
                <w:szCs w:val="18"/>
                <w:lang w:val="en-US"/>
              </w:rPr>
            </w:pPr>
            <w:r w:rsidRPr="00897E24">
              <w:rPr>
                <w:rFonts w:ascii="Arial" w:hAnsi="Arial" w:cs="Arial"/>
                <w:b/>
                <w:color w:val="000000"/>
                <w:spacing w:val="0"/>
                <w:sz w:val="18"/>
                <w:szCs w:val="18"/>
                <w:lang w:val="en-US"/>
              </w:rPr>
              <w:t>Std.</w:t>
            </w:r>
          </w:p>
        </w:tc>
        <w:tc>
          <w:tcPr>
            <w:tcW w:w="1097" w:type="dxa"/>
            <w:tcBorders>
              <w:top w:val="single" w:sz="4" w:space="0" w:color="auto"/>
              <w:left w:val="nil"/>
              <w:bottom w:val="single" w:sz="4" w:space="0" w:color="auto"/>
              <w:right w:val="nil"/>
            </w:tcBorders>
            <w:shd w:val="clear" w:color="auto" w:fill="auto"/>
            <w:noWrap/>
            <w:vAlign w:val="bottom"/>
            <w:hideMark/>
          </w:tcPr>
          <w:p w14:paraId="38EE3C5E" w14:textId="7BAF726A" w:rsidR="0020432F" w:rsidRPr="00897E24" w:rsidRDefault="0020432F" w:rsidP="0020432F">
            <w:pPr>
              <w:rPr>
                <w:rFonts w:ascii="Arial" w:hAnsi="Arial" w:cs="Arial"/>
                <w:b/>
                <w:spacing w:val="0"/>
                <w:sz w:val="18"/>
                <w:szCs w:val="18"/>
                <w:lang w:val="en-US"/>
              </w:rPr>
            </w:pPr>
            <w:r w:rsidRPr="00897E24">
              <w:rPr>
                <w:rFonts w:ascii="Arial" w:hAnsi="Arial" w:cs="Arial"/>
                <w:b/>
                <w:color w:val="000000"/>
                <w:spacing w:val="0"/>
                <w:sz w:val="18"/>
                <w:szCs w:val="18"/>
                <w:lang w:val="en-US"/>
              </w:rPr>
              <w:t>z</w:t>
            </w:r>
          </w:p>
        </w:tc>
        <w:tc>
          <w:tcPr>
            <w:tcW w:w="972" w:type="dxa"/>
            <w:tcBorders>
              <w:top w:val="single" w:sz="4" w:space="0" w:color="auto"/>
              <w:left w:val="nil"/>
              <w:bottom w:val="single" w:sz="4" w:space="0" w:color="auto"/>
              <w:right w:val="nil"/>
            </w:tcBorders>
            <w:shd w:val="clear" w:color="auto" w:fill="auto"/>
            <w:noWrap/>
            <w:vAlign w:val="bottom"/>
            <w:hideMark/>
          </w:tcPr>
          <w:p w14:paraId="268EBE3D" w14:textId="14C53A0E" w:rsidR="0020432F" w:rsidRPr="00897E24" w:rsidRDefault="0020432F" w:rsidP="0020432F">
            <w:pPr>
              <w:rPr>
                <w:rFonts w:ascii="Arial" w:hAnsi="Arial" w:cs="Arial"/>
                <w:b/>
                <w:spacing w:val="0"/>
                <w:sz w:val="18"/>
                <w:szCs w:val="18"/>
                <w:lang w:val="en-US"/>
              </w:rPr>
            </w:pPr>
            <w:r w:rsidRPr="00897E24">
              <w:rPr>
                <w:rFonts w:ascii="Arial" w:hAnsi="Arial" w:cs="Arial"/>
                <w:b/>
                <w:color w:val="000000"/>
                <w:spacing w:val="0"/>
                <w:sz w:val="18"/>
                <w:szCs w:val="18"/>
                <w:lang w:val="en-US"/>
              </w:rPr>
              <w:t>P&gt;z</w:t>
            </w:r>
          </w:p>
        </w:tc>
        <w:tc>
          <w:tcPr>
            <w:tcW w:w="1454" w:type="dxa"/>
            <w:tcBorders>
              <w:top w:val="single" w:sz="4" w:space="0" w:color="auto"/>
              <w:left w:val="nil"/>
              <w:bottom w:val="single" w:sz="4" w:space="0" w:color="auto"/>
              <w:right w:val="nil"/>
            </w:tcBorders>
            <w:shd w:val="clear" w:color="auto" w:fill="auto"/>
            <w:noWrap/>
            <w:vAlign w:val="bottom"/>
            <w:hideMark/>
          </w:tcPr>
          <w:p w14:paraId="4D24E6B4" w14:textId="6D50F423" w:rsidR="0020432F" w:rsidRPr="00897E24" w:rsidRDefault="0020432F" w:rsidP="0020432F">
            <w:pPr>
              <w:rPr>
                <w:rFonts w:ascii="Arial" w:hAnsi="Arial" w:cs="Arial"/>
                <w:b/>
                <w:spacing w:val="0"/>
                <w:sz w:val="18"/>
                <w:szCs w:val="18"/>
                <w:lang w:val="en-US"/>
              </w:rPr>
            </w:pPr>
            <w:r w:rsidRPr="00897E24">
              <w:rPr>
                <w:rFonts w:ascii="Arial" w:hAnsi="Arial" w:cs="Arial"/>
                <w:b/>
                <w:color w:val="000000"/>
                <w:spacing w:val="0"/>
                <w:sz w:val="18"/>
                <w:szCs w:val="18"/>
                <w:lang w:val="en-US"/>
              </w:rPr>
              <w:t xml:space="preserve"> [95% C.I.]</w:t>
            </w:r>
          </w:p>
        </w:tc>
        <w:tc>
          <w:tcPr>
            <w:tcW w:w="1081" w:type="dxa"/>
            <w:tcBorders>
              <w:top w:val="single" w:sz="4" w:space="0" w:color="auto"/>
              <w:left w:val="nil"/>
              <w:bottom w:val="single" w:sz="4" w:space="0" w:color="auto"/>
              <w:right w:val="single" w:sz="4" w:space="0" w:color="auto"/>
            </w:tcBorders>
            <w:shd w:val="clear" w:color="auto" w:fill="auto"/>
            <w:noWrap/>
            <w:vAlign w:val="bottom"/>
            <w:hideMark/>
          </w:tcPr>
          <w:p w14:paraId="1BB3583E" w14:textId="77777777" w:rsidR="0020432F" w:rsidRPr="00897E24" w:rsidRDefault="0020432F" w:rsidP="0020432F">
            <w:pPr>
              <w:rPr>
                <w:rFonts w:ascii="Arial" w:hAnsi="Arial" w:cs="Arial"/>
                <w:b/>
                <w:spacing w:val="0"/>
                <w:sz w:val="18"/>
                <w:szCs w:val="18"/>
                <w:lang w:val="en-US"/>
              </w:rPr>
            </w:pPr>
          </w:p>
        </w:tc>
      </w:tr>
      <w:tr w:rsidR="00FF2439" w:rsidRPr="00FF2439" w14:paraId="2FB573CF" w14:textId="77777777" w:rsidTr="002F0082">
        <w:trPr>
          <w:trHeight w:val="288"/>
        </w:trPr>
        <w:tc>
          <w:tcPr>
            <w:tcW w:w="2785" w:type="dxa"/>
            <w:tcBorders>
              <w:top w:val="single" w:sz="4" w:space="0" w:color="auto"/>
              <w:left w:val="single" w:sz="4" w:space="0" w:color="auto"/>
              <w:bottom w:val="nil"/>
              <w:right w:val="nil"/>
            </w:tcBorders>
            <w:shd w:val="clear" w:color="auto" w:fill="auto"/>
            <w:noWrap/>
            <w:hideMark/>
          </w:tcPr>
          <w:p w14:paraId="607FA16B" w14:textId="0203C60A" w:rsidR="00FF2439" w:rsidRPr="00897E24" w:rsidRDefault="00FF2439" w:rsidP="00FF2439">
            <w:pPr>
              <w:rPr>
                <w:rFonts w:ascii="Arial" w:hAnsi="Arial" w:cs="Arial"/>
                <w:color w:val="000000"/>
                <w:spacing w:val="0"/>
                <w:sz w:val="18"/>
                <w:szCs w:val="18"/>
                <w:lang w:val="en-US"/>
              </w:rPr>
            </w:pPr>
            <w:r w:rsidRPr="00897E24">
              <w:rPr>
                <w:rFonts w:ascii="Arial" w:hAnsi="Arial" w:cs="Arial"/>
                <w:sz w:val="18"/>
                <w:szCs w:val="18"/>
              </w:rPr>
              <w:t>Edad de la firma</w:t>
            </w:r>
          </w:p>
        </w:tc>
        <w:tc>
          <w:tcPr>
            <w:tcW w:w="1047" w:type="dxa"/>
            <w:tcBorders>
              <w:top w:val="single" w:sz="4" w:space="0" w:color="auto"/>
              <w:left w:val="nil"/>
              <w:bottom w:val="nil"/>
              <w:right w:val="nil"/>
            </w:tcBorders>
            <w:shd w:val="clear" w:color="auto" w:fill="auto"/>
            <w:noWrap/>
            <w:vAlign w:val="bottom"/>
            <w:hideMark/>
          </w:tcPr>
          <w:p w14:paraId="1B607897" w14:textId="77777777" w:rsidR="00FF2439" w:rsidRPr="00897E24" w:rsidRDefault="00FF2439" w:rsidP="00FF2439">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-0.00298</w:t>
            </w:r>
          </w:p>
        </w:tc>
        <w:tc>
          <w:tcPr>
            <w:tcW w:w="1081" w:type="dxa"/>
            <w:tcBorders>
              <w:top w:val="single" w:sz="4" w:space="0" w:color="auto"/>
              <w:left w:val="nil"/>
              <w:bottom w:val="nil"/>
              <w:right w:val="nil"/>
            </w:tcBorders>
            <w:shd w:val="clear" w:color="auto" w:fill="auto"/>
            <w:noWrap/>
            <w:vAlign w:val="bottom"/>
            <w:hideMark/>
          </w:tcPr>
          <w:p w14:paraId="5EFEEFDA" w14:textId="77777777" w:rsidR="00FF2439" w:rsidRPr="00897E24" w:rsidRDefault="00FF2439" w:rsidP="00FF2439">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0.004954</w:t>
            </w:r>
          </w:p>
        </w:tc>
        <w:tc>
          <w:tcPr>
            <w:tcW w:w="1097" w:type="dxa"/>
            <w:tcBorders>
              <w:top w:val="single" w:sz="4" w:space="0" w:color="auto"/>
              <w:left w:val="nil"/>
              <w:bottom w:val="nil"/>
              <w:right w:val="nil"/>
            </w:tcBorders>
            <w:shd w:val="clear" w:color="auto" w:fill="auto"/>
            <w:noWrap/>
            <w:vAlign w:val="bottom"/>
            <w:hideMark/>
          </w:tcPr>
          <w:p w14:paraId="75446478" w14:textId="77777777" w:rsidR="00FF2439" w:rsidRPr="00897E24" w:rsidRDefault="00FF2439" w:rsidP="00FF2439">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-0.6</w:t>
            </w:r>
          </w:p>
        </w:tc>
        <w:tc>
          <w:tcPr>
            <w:tcW w:w="972" w:type="dxa"/>
            <w:tcBorders>
              <w:top w:val="single" w:sz="4" w:space="0" w:color="auto"/>
              <w:left w:val="nil"/>
              <w:bottom w:val="nil"/>
              <w:right w:val="nil"/>
            </w:tcBorders>
            <w:shd w:val="clear" w:color="auto" w:fill="auto"/>
            <w:noWrap/>
            <w:vAlign w:val="bottom"/>
            <w:hideMark/>
          </w:tcPr>
          <w:p w14:paraId="5BCF4D79" w14:textId="77777777" w:rsidR="00FF2439" w:rsidRPr="00897E24" w:rsidRDefault="00FF2439" w:rsidP="00FF2439">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0.547</w:t>
            </w:r>
          </w:p>
        </w:tc>
        <w:tc>
          <w:tcPr>
            <w:tcW w:w="1454" w:type="dxa"/>
            <w:tcBorders>
              <w:top w:val="single" w:sz="4" w:space="0" w:color="auto"/>
              <w:left w:val="nil"/>
              <w:bottom w:val="nil"/>
              <w:right w:val="nil"/>
            </w:tcBorders>
            <w:shd w:val="clear" w:color="auto" w:fill="auto"/>
            <w:noWrap/>
            <w:vAlign w:val="bottom"/>
            <w:hideMark/>
          </w:tcPr>
          <w:p w14:paraId="3ADBFACA" w14:textId="77777777" w:rsidR="00FF2439" w:rsidRPr="00897E24" w:rsidRDefault="00FF2439" w:rsidP="00FF2439">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-0.0126938</w:t>
            </w:r>
          </w:p>
        </w:tc>
        <w:tc>
          <w:tcPr>
            <w:tcW w:w="1081" w:type="dxa"/>
            <w:tcBorders>
              <w:top w:val="single" w:sz="4" w:space="0" w:color="auto"/>
              <w:left w:val="nil"/>
              <w:bottom w:val="nil"/>
              <w:right w:val="single" w:sz="4" w:space="0" w:color="auto"/>
            </w:tcBorders>
            <w:shd w:val="clear" w:color="auto" w:fill="auto"/>
            <w:noWrap/>
            <w:vAlign w:val="bottom"/>
            <w:hideMark/>
          </w:tcPr>
          <w:p w14:paraId="2430FD70" w14:textId="77777777" w:rsidR="00FF2439" w:rsidRPr="00897E24" w:rsidRDefault="00FF2439" w:rsidP="00FF2439">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0.006727</w:t>
            </w:r>
          </w:p>
        </w:tc>
      </w:tr>
      <w:tr w:rsidR="00FF2439" w:rsidRPr="00FF2439" w14:paraId="3AA3B616" w14:textId="77777777" w:rsidTr="002F0082">
        <w:trPr>
          <w:trHeight w:val="288"/>
        </w:trPr>
        <w:tc>
          <w:tcPr>
            <w:tcW w:w="2785" w:type="dxa"/>
            <w:tcBorders>
              <w:top w:val="nil"/>
              <w:left w:val="single" w:sz="4" w:space="0" w:color="auto"/>
              <w:bottom w:val="nil"/>
              <w:right w:val="nil"/>
            </w:tcBorders>
            <w:shd w:val="clear" w:color="auto" w:fill="auto"/>
            <w:noWrap/>
            <w:hideMark/>
          </w:tcPr>
          <w:p w14:paraId="5F288AC3" w14:textId="1FD8147A" w:rsidR="00FF2439" w:rsidRPr="00897E24" w:rsidRDefault="00FF2439" w:rsidP="00FF2439">
            <w:pPr>
              <w:rPr>
                <w:rFonts w:ascii="Arial" w:hAnsi="Arial" w:cs="Arial"/>
                <w:color w:val="000000"/>
                <w:spacing w:val="0"/>
                <w:sz w:val="18"/>
                <w:szCs w:val="18"/>
                <w:lang w:val="en-US"/>
              </w:rPr>
            </w:pPr>
            <w:r w:rsidRPr="00897E24">
              <w:rPr>
                <w:rFonts w:ascii="Arial" w:hAnsi="Arial" w:cs="Arial"/>
                <w:sz w:val="18"/>
                <w:szCs w:val="18"/>
              </w:rPr>
              <w:t>Activos fijos</w:t>
            </w:r>
          </w:p>
        </w:tc>
        <w:tc>
          <w:tcPr>
            <w:tcW w:w="1047" w:type="dxa"/>
            <w:tcBorders>
              <w:top w:val="nil"/>
              <w:left w:val="nil"/>
              <w:bottom w:val="nil"/>
              <w:right w:val="nil"/>
            </w:tcBorders>
            <w:shd w:val="clear" w:color="auto" w:fill="auto"/>
            <w:noWrap/>
            <w:vAlign w:val="bottom"/>
            <w:hideMark/>
          </w:tcPr>
          <w:p w14:paraId="31604E61" w14:textId="77777777" w:rsidR="00FF2439" w:rsidRPr="00897E24" w:rsidRDefault="00FF2439" w:rsidP="00FF2439">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9.20E-09</w:t>
            </w:r>
          </w:p>
        </w:tc>
        <w:tc>
          <w:tcPr>
            <w:tcW w:w="1081" w:type="dxa"/>
            <w:tcBorders>
              <w:top w:val="nil"/>
              <w:left w:val="nil"/>
              <w:bottom w:val="nil"/>
              <w:right w:val="nil"/>
            </w:tcBorders>
            <w:shd w:val="clear" w:color="auto" w:fill="auto"/>
            <w:noWrap/>
            <w:vAlign w:val="bottom"/>
            <w:hideMark/>
          </w:tcPr>
          <w:p w14:paraId="56ABBC86" w14:textId="77777777" w:rsidR="00FF2439" w:rsidRPr="00897E24" w:rsidRDefault="00FF2439" w:rsidP="00FF2439">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2.41E-08</w:t>
            </w:r>
          </w:p>
        </w:tc>
        <w:tc>
          <w:tcPr>
            <w:tcW w:w="1097" w:type="dxa"/>
            <w:tcBorders>
              <w:top w:val="nil"/>
              <w:left w:val="nil"/>
              <w:bottom w:val="nil"/>
              <w:right w:val="nil"/>
            </w:tcBorders>
            <w:shd w:val="clear" w:color="auto" w:fill="auto"/>
            <w:noWrap/>
            <w:vAlign w:val="bottom"/>
            <w:hideMark/>
          </w:tcPr>
          <w:p w14:paraId="156C3FFE" w14:textId="77777777" w:rsidR="00FF2439" w:rsidRPr="00897E24" w:rsidRDefault="00FF2439" w:rsidP="00FF2439">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0.38</w:t>
            </w:r>
          </w:p>
        </w:tc>
        <w:tc>
          <w:tcPr>
            <w:tcW w:w="972" w:type="dxa"/>
            <w:tcBorders>
              <w:top w:val="nil"/>
              <w:left w:val="nil"/>
              <w:bottom w:val="nil"/>
              <w:right w:val="nil"/>
            </w:tcBorders>
            <w:shd w:val="clear" w:color="auto" w:fill="auto"/>
            <w:noWrap/>
            <w:vAlign w:val="bottom"/>
            <w:hideMark/>
          </w:tcPr>
          <w:p w14:paraId="74DFA88B" w14:textId="77777777" w:rsidR="00FF2439" w:rsidRPr="00897E24" w:rsidRDefault="00FF2439" w:rsidP="00FF2439">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0.702</w:t>
            </w:r>
          </w:p>
        </w:tc>
        <w:tc>
          <w:tcPr>
            <w:tcW w:w="1454" w:type="dxa"/>
            <w:tcBorders>
              <w:top w:val="nil"/>
              <w:left w:val="nil"/>
              <w:bottom w:val="nil"/>
              <w:right w:val="nil"/>
            </w:tcBorders>
            <w:shd w:val="clear" w:color="auto" w:fill="auto"/>
            <w:noWrap/>
            <w:vAlign w:val="bottom"/>
            <w:hideMark/>
          </w:tcPr>
          <w:p w14:paraId="4351E251" w14:textId="77777777" w:rsidR="00FF2439" w:rsidRPr="00897E24" w:rsidRDefault="00FF2439" w:rsidP="00FF2439">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-3.79E-08</w:t>
            </w:r>
          </w:p>
        </w:tc>
        <w:tc>
          <w:tcPr>
            <w:tcW w:w="1081" w:type="dxa"/>
            <w:tcBorders>
              <w:top w:val="nil"/>
              <w:left w:val="nil"/>
              <w:bottom w:val="nil"/>
              <w:right w:val="single" w:sz="4" w:space="0" w:color="auto"/>
            </w:tcBorders>
            <w:shd w:val="clear" w:color="auto" w:fill="auto"/>
            <w:noWrap/>
            <w:vAlign w:val="bottom"/>
            <w:hideMark/>
          </w:tcPr>
          <w:p w14:paraId="37642727" w14:textId="77777777" w:rsidR="00FF2439" w:rsidRPr="00897E24" w:rsidRDefault="00FF2439" w:rsidP="00FF2439">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5.64E-08</w:t>
            </w:r>
          </w:p>
        </w:tc>
      </w:tr>
      <w:tr w:rsidR="00FF2439" w:rsidRPr="00FF2439" w14:paraId="4842BD7B" w14:textId="77777777" w:rsidTr="002F0082">
        <w:trPr>
          <w:trHeight w:val="288"/>
        </w:trPr>
        <w:tc>
          <w:tcPr>
            <w:tcW w:w="2785" w:type="dxa"/>
            <w:tcBorders>
              <w:top w:val="nil"/>
              <w:left w:val="single" w:sz="4" w:space="0" w:color="auto"/>
              <w:bottom w:val="nil"/>
              <w:right w:val="nil"/>
            </w:tcBorders>
            <w:shd w:val="clear" w:color="auto" w:fill="auto"/>
            <w:noWrap/>
            <w:hideMark/>
          </w:tcPr>
          <w:p w14:paraId="358D3AEA" w14:textId="1204997E" w:rsidR="00FF2439" w:rsidRPr="00897E24" w:rsidRDefault="00FF2439" w:rsidP="00FF2439">
            <w:pPr>
              <w:rPr>
                <w:rFonts w:ascii="Arial" w:hAnsi="Arial" w:cs="Arial"/>
                <w:color w:val="000000"/>
                <w:spacing w:val="0"/>
                <w:sz w:val="18"/>
                <w:szCs w:val="18"/>
                <w:lang w:val="en-US"/>
              </w:rPr>
            </w:pPr>
            <w:r w:rsidRPr="00897E24">
              <w:rPr>
                <w:rFonts w:ascii="Arial" w:hAnsi="Arial" w:cs="Arial"/>
                <w:sz w:val="18"/>
                <w:szCs w:val="18"/>
              </w:rPr>
              <w:t>%L c/ post grado</w:t>
            </w:r>
          </w:p>
        </w:tc>
        <w:tc>
          <w:tcPr>
            <w:tcW w:w="1047" w:type="dxa"/>
            <w:tcBorders>
              <w:top w:val="nil"/>
              <w:left w:val="nil"/>
              <w:bottom w:val="nil"/>
              <w:right w:val="nil"/>
            </w:tcBorders>
            <w:shd w:val="clear" w:color="auto" w:fill="auto"/>
            <w:noWrap/>
            <w:vAlign w:val="bottom"/>
            <w:hideMark/>
          </w:tcPr>
          <w:p w14:paraId="061A0372" w14:textId="77777777" w:rsidR="00FF2439" w:rsidRPr="00897E24" w:rsidRDefault="00FF2439" w:rsidP="00FF2439">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0.238307</w:t>
            </w:r>
          </w:p>
        </w:tc>
        <w:tc>
          <w:tcPr>
            <w:tcW w:w="1081" w:type="dxa"/>
            <w:tcBorders>
              <w:top w:val="nil"/>
              <w:left w:val="nil"/>
              <w:bottom w:val="nil"/>
              <w:right w:val="nil"/>
            </w:tcBorders>
            <w:shd w:val="clear" w:color="auto" w:fill="auto"/>
            <w:noWrap/>
            <w:vAlign w:val="bottom"/>
            <w:hideMark/>
          </w:tcPr>
          <w:p w14:paraId="2F02D720" w14:textId="77777777" w:rsidR="00FF2439" w:rsidRPr="00897E24" w:rsidRDefault="00FF2439" w:rsidP="00FF2439">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0.494132</w:t>
            </w:r>
          </w:p>
        </w:tc>
        <w:tc>
          <w:tcPr>
            <w:tcW w:w="1097" w:type="dxa"/>
            <w:tcBorders>
              <w:top w:val="nil"/>
              <w:left w:val="nil"/>
              <w:bottom w:val="nil"/>
              <w:right w:val="nil"/>
            </w:tcBorders>
            <w:shd w:val="clear" w:color="auto" w:fill="auto"/>
            <w:noWrap/>
            <w:vAlign w:val="bottom"/>
            <w:hideMark/>
          </w:tcPr>
          <w:p w14:paraId="1B03AEA2" w14:textId="77777777" w:rsidR="00FF2439" w:rsidRPr="00897E24" w:rsidRDefault="00FF2439" w:rsidP="00FF2439">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0.48</w:t>
            </w:r>
          </w:p>
        </w:tc>
        <w:tc>
          <w:tcPr>
            <w:tcW w:w="972" w:type="dxa"/>
            <w:tcBorders>
              <w:top w:val="nil"/>
              <w:left w:val="nil"/>
              <w:bottom w:val="nil"/>
              <w:right w:val="nil"/>
            </w:tcBorders>
            <w:shd w:val="clear" w:color="auto" w:fill="auto"/>
            <w:noWrap/>
            <w:vAlign w:val="bottom"/>
            <w:hideMark/>
          </w:tcPr>
          <w:p w14:paraId="774F45AE" w14:textId="77777777" w:rsidR="00FF2439" w:rsidRPr="00897E24" w:rsidRDefault="00FF2439" w:rsidP="00FF2439">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0.63</w:t>
            </w:r>
          </w:p>
        </w:tc>
        <w:tc>
          <w:tcPr>
            <w:tcW w:w="1454" w:type="dxa"/>
            <w:tcBorders>
              <w:top w:val="nil"/>
              <w:left w:val="nil"/>
              <w:bottom w:val="nil"/>
              <w:right w:val="nil"/>
            </w:tcBorders>
            <w:shd w:val="clear" w:color="auto" w:fill="auto"/>
            <w:noWrap/>
            <w:vAlign w:val="bottom"/>
            <w:hideMark/>
          </w:tcPr>
          <w:p w14:paraId="37311355" w14:textId="77777777" w:rsidR="00FF2439" w:rsidRPr="00897E24" w:rsidRDefault="00FF2439" w:rsidP="00FF2439">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-0.7301746</w:t>
            </w:r>
          </w:p>
        </w:tc>
        <w:tc>
          <w:tcPr>
            <w:tcW w:w="1081" w:type="dxa"/>
            <w:tcBorders>
              <w:top w:val="nil"/>
              <w:left w:val="nil"/>
              <w:bottom w:val="nil"/>
              <w:right w:val="single" w:sz="4" w:space="0" w:color="auto"/>
            </w:tcBorders>
            <w:shd w:val="clear" w:color="auto" w:fill="auto"/>
            <w:noWrap/>
            <w:vAlign w:val="bottom"/>
            <w:hideMark/>
          </w:tcPr>
          <w:p w14:paraId="70BF65BD" w14:textId="77777777" w:rsidR="00FF2439" w:rsidRPr="00897E24" w:rsidRDefault="00FF2439" w:rsidP="00FF2439">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1.206788</w:t>
            </w:r>
          </w:p>
        </w:tc>
      </w:tr>
      <w:tr w:rsidR="00FF2439" w:rsidRPr="00FF2439" w14:paraId="11FC5060" w14:textId="77777777" w:rsidTr="002F0082">
        <w:trPr>
          <w:trHeight w:val="288"/>
        </w:trPr>
        <w:tc>
          <w:tcPr>
            <w:tcW w:w="2785" w:type="dxa"/>
            <w:tcBorders>
              <w:top w:val="nil"/>
              <w:left w:val="single" w:sz="4" w:space="0" w:color="auto"/>
              <w:bottom w:val="nil"/>
              <w:right w:val="nil"/>
            </w:tcBorders>
            <w:shd w:val="clear" w:color="auto" w:fill="auto"/>
            <w:noWrap/>
            <w:hideMark/>
          </w:tcPr>
          <w:p w14:paraId="436BEF20" w14:textId="35A93546" w:rsidR="00FF2439" w:rsidRPr="00897E24" w:rsidRDefault="00FF2439" w:rsidP="00FF2439">
            <w:pPr>
              <w:rPr>
                <w:rFonts w:ascii="Arial" w:hAnsi="Arial" w:cs="Arial"/>
                <w:color w:val="000000"/>
                <w:spacing w:val="0"/>
                <w:sz w:val="18"/>
                <w:szCs w:val="18"/>
                <w:lang w:val="en-US"/>
              </w:rPr>
            </w:pPr>
            <w:r w:rsidRPr="00897E24">
              <w:rPr>
                <w:rFonts w:ascii="Arial" w:hAnsi="Arial" w:cs="Arial"/>
                <w:sz w:val="18"/>
                <w:szCs w:val="18"/>
              </w:rPr>
              <w:t>%L c/ Universidad complet</w:t>
            </w:r>
            <w:r w:rsidR="00F76CC3" w:rsidRPr="00897E24">
              <w:rPr>
                <w:rFonts w:ascii="Arial" w:hAnsi="Arial" w:cs="Arial"/>
                <w:sz w:val="18"/>
                <w:szCs w:val="18"/>
              </w:rPr>
              <w:t>a</w:t>
            </w:r>
          </w:p>
        </w:tc>
        <w:tc>
          <w:tcPr>
            <w:tcW w:w="1047" w:type="dxa"/>
            <w:tcBorders>
              <w:top w:val="nil"/>
              <w:left w:val="nil"/>
              <w:bottom w:val="nil"/>
              <w:right w:val="nil"/>
            </w:tcBorders>
            <w:shd w:val="clear" w:color="auto" w:fill="auto"/>
            <w:noWrap/>
            <w:vAlign w:val="bottom"/>
            <w:hideMark/>
          </w:tcPr>
          <w:p w14:paraId="1EC1777E" w14:textId="77777777" w:rsidR="00FF2439" w:rsidRPr="00897E24" w:rsidRDefault="00FF2439" w:rsidP="00FF2439">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0.099942</w:t>
            </w:r>
          </w:p>
        </w:tc>
        <w:tc>
          <w:tcPr>
            <w:tcW w:w="1081" w:type="dxa"/>
            <w:tcBorders>
              <w:top w:val="nil"/>
              <w:left w:val="nil"/>
              <w:bottom w:val="nil"/>
              <w:right w:val="nil"/>
            </w:tcBorders>
            <w:shd w:val="clear" w:color="auto" w:fill="auto"/>
            <w:noWrap/>
            <w:vAlign w:val="bottom"/>
            <w:hideMark/>
          </w:tcPr>
          <w:p w14:paraId="7F11E094" w14:textId="77777777" w:rsidR="00FF2439" w:rsidRPr="00897E24" w:rsidRDefault="00FF2439" w:rsidP="00FF2439">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0.362167</w:t>
            </w:r>
          </w:p>
        </w:tc>
        <w:tc>
          <w:tcPr>
            <w:tcW w:w="1097" w:type="dxa"/>
            <w:tcBorders>
              <w:top w:val="nil"/>
              <w:left w:val="nil"/>
              <w:bottom w:val="nil"/>
              <w:right w:val="nil"/>
            </w:tcBorders>
            <w:shd w:val="clear" w:color="auto" w:fill="auto"/>
            <w:noWrap/>
            <w:vAlign w:val="bottom"/>
            <w:hideMark/>
          </w:tcPr>
          <w:p w14:paraId="6BE19CBA" w14:textId="77777777" w:rsidR="00FF2439" w:rsidRPr="00897E24" w:rsidRDefault="00FF2439" w:rsidP="00FF2439">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0.28</w:t>
            </w:r>
          </w:p>
        </w:tc>
        <w:tc>
          <w:tcPr>
            <w:tcW w:w="972" w:type="dxa"/>
            <w:tcBorders>
              <w:top w:val="nil"/>
              <w:left w:val="nil"/>
              <w:bottom w:val="nil"/>
              <w:right w:val="nil"/>
            </w:tcBorders>
            <w:shd w:val="clear" w:color="auto" w:fill="auto"/>
            <w:noWrap/>
            <w:vAlign w:val="bottom"/>
            <w:hideMark/>
          </w:tcPr>
          <w:p w14:paraId="49467B4A" w14:textId="77777777" w:rsidR="00FF2439" w:rsidRPr="00897E24" w:rsidRDefault="00FF2439" w:rsidP="00FF2439">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0.783</w:t>
            </w:r>
          </w:p>
        </w:tc>
        <w:tc>
          <w:tcPr>
            <w:tcW w:w="1454" w:type="dxa"/>
            <w:tcBorders>
              <w:top w:val="nil"/>
              <w:left w:val="nil"/>
              <w:bottom w:val="nil"/>
              <w:right w:val="nil"/>
            </w:tcBorders>
            <w:shd w:val="clear" w:color="auto" w:fill="auto"/>
            <w:noWrap/>
            <w:vAlign w:val="bottom"/>
            <w:hideMark/>
          </w:tcPr>
          <w:p w14:paraId="2FF49921" w14:textId="77777777" w:rsidR="00FF2439" w:rsidRPr="00897E24" w:rsidRDefault="00FF2439" w:rsidP="00FF2439">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-0.6098921</w:t>
            </w:r>
          </w:p>
        </w:tc>
        <w:tc>
          <w:tcPr>
            <w:tcW w:w="1081" w:type="dxa"/>
            <w:tcBorders>
              <w:top w:val="nil"/>
              <w:left w:val="nil"/>
              <w:bottom w:val="nil"/>
              <w:right w:val="single" w:sz="4" w:space="0" w:color="auto"/>
            </w:tcBorders>
            <w:shd w:val="clear" w:color="auto" w:fill="auto"/>
            <w:noWrap/>
            <w:vAlign w:val="bottom"/>
            <w:hideMark/>
          </w:tcPr>
          <w:p w14:paraId="55A35942" w14:textId="77777777" w:rsidR="00FF2439" w:rsidRPr="00897E24" w:rsidRDefault="00FF2439" w:rsidP="00FF2439">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0.809775</w:t>
            </w:r>
          </w:p>
        </w:tc>
      </w:tr>
      <w:tr w:rsidR="00FF2439" w:rsidRPr="00FF2439" w14:paraId="75844926" w14:textId="77777777" w:rsidTr="002F0082">
        <w:trPr>
          <w:trHeight w:val="288"/>
        </w:trPr>
        <w:tc>
          <w:tcPr>
            <w:tcW w:w="2785" w:type="dxa"/>
            <w:tcBorders>
              <w:top w:val="nil"/>
              <w:left w:val="single" w:sz="4" w:space="0" w:color="auto"/>
              <w:bottom w:val="nil"/>
              <w:right w:val="nil"/>
            </w:tcBorders>
            <w:shd w:val="clear" w:color="auto" w:fill="auto"/>
            <w:noWrap/>
            <w:hideMark/>
          </w:tcPr>
          <w:p w14:paraId="17A41B44" w14:textId="2FAB91A0" w:rsidR="00FF2439" w:rsidRPr="00897E24" w:rsidRDefault="00FF2439" w:rsidP="00FF2439">
            <w:pPr>
              <w:rPr>
                <w:rFonts w:ascii="Arial" w:hAnsi="Arial" w:cs="Arial"/>
                <w:color w:val="000000"/>
                <w:spacing w:val="0"/>
                <w:sz w:val="18"/>
                <w:szCs w:val="18"/>
                <w:lang w:val="en-US"/>
              </w:rPr>
            </w:pPr>
            <w:r w:rsidRPr="00897E24">
              <w:rPr>
                <w:rFonts w:ascii="Arial" w:hAnsi="Arial" w:cs="Arial"/>
                <w:sz w:val="18"/>
                <w:szCs w:val="18"/>
              </w:rPr>
              <w:t>%L c/ Técnica complet</w:t>
            </w:r>
            <w:r w:rsidR="00F76CC3" w:rsidRPr="00897E24">
              <w:rPr>
                <w:rFonts w:ascii="Arial" w:hAnsi="Arial" w:cs="Arial"/>
                <w:sz w:val="18"/>
                <w:szCs w:val="18"/>
              </w:rPr>
              <w:t>a</w:t>
            </w:r>
          </w:p>
        </w:tc>
        <w:tc>
          <w:tcPr>
            <w:tcW w:w="1047" w:type="dxa"/>
            <w:tcBorders>
              <w:top w:val="nil"/>
              <w:left w:val="nil"/>
              <w:bottom w:val="nil"/>
              <w:right w:val="nil"/>
            </w:tcBorders>
            <w:shd w:val="clear" w:color="auto" w:fill="auto"/>
            <w:noWrap/>
            <w:vAlign w:val="bottom"/>
            <w:hideMark/>
          </w:tcPr>
          <w:p w14:paraId="0DB6AF83" w14:textId="77777777" w:rsidR="00FF2439" w:rsidRPr="00897E24" w:rsidRDefault="00FF2439" w:rsidP="00FF2439">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0.113851</w:t>
            </w:r>
          </w:p>
        </w:tc>
        <w:tc>
          <w:tcPr>
            <w:tcW w:w="1081" w:type="dxa"/>
            <w:tcBorders>
              <w:top w:val="nil"/>
              <w:left w:val="nil"/>
              <w:bottom w:val="nil"/>
              <w:right w:val="nil"/>
            </w:tcBorders>
            <w:shd w:val="clear" w:color="auto" w:fill="auto"/>
            <w:noWrap/>
            <w:vAlign w:val="bottom"/>
            <w:hideMark/>
          </w:tcPr>
          <w:p w14:paraId="3477E3B9" w14:textId="77777777" w:rsidR="00FF2439" w:rsidRPr="00897E24" w:rsidRDefault="00FF2439" w:rsidP="00FF2439">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0.360788</w:t>
            </w:r>
          </w:p>
        </w:tc>
        <w:tc>
          <w:tcPr>
            <w:tcW w:w="1097" w:type="dxa"/>
            <w:tcBorders>
              <w:top w:val="nil"/>
              <w:left w:val="nil"/>
              <w:bottom w:val="nil"/>
              <w:right w:val="nil"/>
            </w:tcBorders>
            <w:shd w:val="clear" w:color="auto" w:fill="auto"/>
            <w:noWrap/>
            <w:vAlign w:val="bottom"/>
            <w:hideMark/>
          </w:tcPr>
          <w:p w14:paraId="7667ED58" w14:textId="77777777" w:rsidR="00FF2439" w:rsidRPr="00897E24" w:rsidRDefault="00FF2439" w:rsidP="00FF2439">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0.32</w:t>
            </w:r>
          </w:p>
        </w:tc>
        <w:tc>
          <w:tcPr>
            <w:tcW w:w="972" w:type="dxa"/>
            <w:tcBorders>
              <w:top w:val="nil"/>
              <w:left w:val="nil"/>
              <w:bottom w:val="nil"/>
              <w:right w:val="nil"/>
            </w:tcBorders>
            <w:shd w:val="clear" w:color="auto" w:fill="auto"/>
            <w:noWrap/>
            <w:vAlign w:val="bottom"/>
            <w:hideMark/>
          </w:tcPr>
          <w:p w14:paraId="0C095191" w14:textId="77777777" w:rsidR="00FF2439" w:rsidRPr="00897E24" w:rsidRDefault="00FF2439" w:rsidP="00FF2439">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0.752</w:t>
            </w:r>
          </w:p>
        </w:tc>
        <w:tc>
          <w:tcPr>
            <w:tcW w:w="1454" w:type="dxa"/>
            <w:tcBorders>
              <w:top w:val="nil"/>
              <w:left w:val="nil"/>
              <w:bottom w:val="nil"/>
              <w:right w:val="nil"/>
            </w:tcBorders>
            <w:shd w:val="clear" w:color="auto" w:fill="auto"/>
            <w:noWrap/>
            <w:vAlign w:val="bottom"/>
            <w:hideMark/>
          </w:tcPr>
          <w:p w14:paraId="5C8AE03F" w14:textId="77777777" w:rsidR="00FF2439" w:rsidRPr="00897E24" w:rsidRDefault="00FF2439" w:rsidP="00FF2439">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-0.5932816</w:t>
            </w:r>
          </w:p>
        </w:tc>
        <w:tc>
          <w:tcPr>
            <w:tcW w:w="1081" w:type="dxa"/>
            <w:tcBorders>
              <w:top w:val="nil"/>
              <w:left w:val="nil"/>
              <w:bottom w:val="nil"/>
              <w:right w:val="single" w:sz="4" w:space="0" w:color="auto"/>
            </w:tcBorders>
            <w:shd w:val="clear" w:color="auto" w:fill="auto"/>
            <w:noWrap/>
            <w:vAlign w:val="bottom"/>
            <w:hideMark/>
          </w:tcPr>
          <w:p w14:paraId="56C9B00B" w14:textId="77777777" w:rsidR="00FF2439" w:rsidRPr="00897E24" w:rsidRDefault="00FF2439" w:rsidP="00FF2439">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0.820983</w:t>
            </w:r>
          </w:p>
        </w:tc>
      </w:tr>
      <w:tr w:rsidR="00FF2439" w:rsidRPr="00FF2439" w14:paraId="43D8B90A" w14:textId="77777777" w:rsidTr="002F0082">
        <w:trPr>
          <w:trHeight w:val="288"/>
        </w:trPr>
        <w:tc>
          <w:tcPr>
            <w:tcW w:w="2785" w:type="dxa"/>
            <w:tcBorders>
              <w:top w:val="nil"/>
              <w:left w:val="single" w:sz="4" w:space="0" w:color="auto"/>
              <w:bottom w:val="nil"/>
              <w:right w:val="nil"/>
            </w:tcBorders>
            <w:shd w:val="clear" w:color="auto" w:fill="auto"/>
            <w:noWrap/>
            <w:hideMark/>
          </w:tcPr>
          <w:p w14:paraId="6EF71FA0" w14:textId="472C72CD" w:rsidR="00FF2439" w:rsidRPr="00897E24" w:rsidRDefault="00FF2439" w:rsidP="00FF2439">
            <w:pPr>
              <w:rPr>
                <w:rFonts w:ascii="Arial" w:hAnsi="Arial" w:cs="Arial"/>
                <w:color w:val="000000"/>
                <w:spacing w:val="0"/>
                <w:sz w:val="18"/>
                <w:szCs w:val="18"/>
                <w:lang w:val="en-US"/>
              </w:rPr>
            </w:pPr>
            <w:r w:rsidRPr="00897E24">
              <w:rPr>
                <w:rFonts w:ascii="Arial" w:hAnsi="Arial" w:cs="Arial"/>
                <w:sz w:val="18"/>
                <w:szCs w:val="18"/>
              </w:rPr>
              <w:t>%L c/ técnica incomplet</w:t>
            </w:r>
            <w:r w:rsidR="00F76CC3" w:rsidRPr="00897E24">
              <w:rPr>
                <w:rFonts w:ascii="Arial" w:hAnsi="Arial" w:cs="Arial"/>
                <w:sz w:val="18"/>
                <w:szCs w:val="18"/>
              </w:rPr>
              <w:t>a</w:t>
            </w:r>
          </w:p>
        </w:tc>
        <w:tc>
          <w:tcPr>
            <w:tcW w:w="1047" w:type="dxa"/>
            <w:tcBorders>
              <w:top w:val="nil"/>
              <w:left w:val="nil"/>
              <w:bottom w:val="nil"/>
              <w:right w:val="nil"/>
            </w:tcBorders>
            <w:shd w:val="clear" w:color="auto" w:fill="auto"/>
            <w:noWrap/>
            <w:vAlign w:val="bottom"/>
            <w:hideMark/>
          </w:tcPr>
          <w:p w14:paraId="198541D3" w14:textId="77777777" w:rsidR="00FF2439" w:rsidRPr="00897E24" w:rsidRDefault="00FF2439" w:rsidP="00FF2439">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-0.37308</w:t>
            </w:r>
          </w:p>
        </w:tc>
        <w:tc>
          <w:tcPr>
            <w:tcW w:w="1081" w:type="dxa"/>
            <w:tcBorders>
              <w:top w:val="nil"/>
              <w:left w:val="nil"/>
              <w:bottom w:val="nil"/>
              <w:right w:val="nil"/>
            </w:tcBorders>
            <w:shd w:val="clear" w:color="auto" w:fill="auto"/>
            <w:noWrap/>
            <w:vAlign w:val="bottom"/>
            <w:hideMark/>
          </w:tcPr>
          <w:p w14:paraId="283B0981" w14:textId="77777777" w:rsidR="00FF2439" w:rsidRPr="00897E24" w:rsidRDefault="00FF2439" w:rsidP="00FF2439">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0.502959</w:t>
            </w:r>
          </w:p>
        </w:tc>
        <w:tc>
          <w:tcPr>
            <w:tcW w:w="1097" w:type="dxa"/>
            <w:tcBorders>
              <w:top w:val="nil"/>
              <w:left w:val="nil"/>
              <w:bottom w:val="nil"/>
              <w:right w:val="nil"/>
            </w:tcBorders>
            <w:shd w:val="clear" w:color="auto" w:fill="auto"/>
            <w:noWrap/>
            <w:vAlign w:val="bottom"/>
            <w:hideMark/>
          </w:tcPr>
          <w:p w14:paraId="7BE86922" w14:textId="77777777" w:rsidR="00FF2439" w:rsidRPr="00897E24" w:rsidRDefault="00FF2439" w:rsidP="00FF2439">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-0.74</w:t>
            </w:r>
          </w:p>
        </w:tc>
        <w:tc>
          <w:tcPr>
            <w:tcW w:w="972" w:type="dxa"/>
            <w:tcBorders>
              <w:top w:val="nil"/>
              <w:left w:val="nil"/>
              <w:bottom w:val="nil"/>
              <w:right w:val="nil"/>
            </w:tcBorders>
            <w:shd w:val="clear" w:color="auto" w:fill="auto"/>
            <w:noWrap/>
            <w:vAlign w:val="bottom"/>
            <w:hideMark/>
          </w:tcPr>
          <w:p w14:paraId="1E16444D" w14:textId="77777777" w:rsidR="00FF2439" w:rsidRPr="00897E24" w:rsidRDefault="00FF2439" w:rsidP="00FF2439">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0.458</w:t>
            </w:r>
          </w:p>
        </w:tc>
        <w:tc>
          <w:tcPr>
            <w:tcW w:w="1454" w:type="dxa"/>
            <w:tcBorders>
              <w:top w:val="nil"/>
              <w:left w:val="nil"/>
              <w:bottom w:val="nil"/>
              <w:right w:val="nil"/>
            </w:tcBorders>
            <w:shd w:val="clear" w:color="auto" w:fill="auto"/>
            <w:noWrap/>
            <w:vAlign w:val="bottom"/>
            <w:hideMark/>
          </w:tcPr>
          <w:p w14:paraId="5746F6B1" w14:textId="77777777" w:rsidR="00FF2439" w:rsidRPr="00897E24" w:rsidRDefault="00FF2439" w:rsidP="00FF2439">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-1.35886</w:t>
            </w:r>
          </w:p>
        </w:tc>
        <w:tc>
          <w:tcPr>
            <w:tcW w:w="1081" w:type="dxa"/>
            <w:tcBorders>
              <w:top w:val="nil"/>
              <w:left w:val="nil"/>
              <w:bottom w:val="nil"/>
              <w:right w:val="single" w:sz="4" w:space="0" w:color="auto"/>
            </w:tcBorders>
            <w:shd w:val="clear" w:color="auto" w:fill="auto"/>
            <w:noWrap/>
            <w:vAlign w:val="bottom"/>
            <w:hideMark/>
          </w:tcPr>
          <w:p w14:paraId="5872D165" w14:textId="77777777" w:rsidR="00FF2439" w:rsidRPr="00897E24" w:rsidRDefault="00FF2439" w:rsidP="00FF2439">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0.612704</w:t>
            </w:r>
          </w:p>
        </w:tc>
      </w:tr>
      <w:tr w:rsidR="00FF2439" w:rsidRPr="00FF2439" w14:paraId="67C19D17" w14:textId="77777777" w:rsidTr="002F0082">
        <w:trPr>
          <w:trHeight w:val="288"/>
        </w:trPr>
        <w:tc>
          <w:tcPr>
            <w:tcW w:w="2785" w:type="dxa"/>
            <w:tcBorders>
              <w:top w:val="nil"/>
              <w:left w:val="single" w:sz="4" w:space="0" w:color="auto"/>
              <w:bottom w:val="nil"/>
              <w:right w:val="nil"/>
            </w:tcBorders>
            <w:shd w:val="clear" w:color="auto" w:fill="auto"/>
            <w:noWrap/>
            <w:hideMark/>
          </w:tcPr>
          <w:p w14:paraId="6C3F9669" w14:textId="325610DB" w:rsidR="00FF2439" w:rsidRPr="00897E24" w:rsidRDefault="00FF2439" w:rsidP="00FF2439">
            <w:pPr>
              <w:rPr>
                <w:rFonts w:ascii="Arial" w:hAnsi="Arial" w:cs="Arial"/>
                <w:color w:val="000000"/>
                <w:spacing w:val="0"/>
                <w:sz w:val="18"/>
                <w:szCs w:val="18"/>
                <w:lang w:val="en-US"/>
              </w:rPr>
            </w:pPr>
            <w:r w:rsidRPr="00897E24">
              <w:rPr>
                <w:rFonts w:ascii="Arial" w:hAnsi="Arial" w:cs="Arial"/>
                <w:sz w:val="18"/>
                <w:szCs w:val="18"/>
              </w:rPr>
              <w:t>%L c/ secundaria</w:t>
            </w:r>
          </w:p>
        </w:tc>
        <w:tc>
          <w:tcPr>
            <w:tcW w:w="1047" w:type="dxa"/>
            <w:tcBorders>
              <w:top w:val="nil"/>
              <w:left w:val="nil"/>
              <w:bottom w:val="nil"/>
              <w:right w:val="nil"/>
            </w:tcBorders>
            <w:shd w:val="clear" w:color="auto" w:fill="auto"/>
            <w:noWrap/>
            <w:vAlign w:val="bottom"/>
            <w:hideMark/>
          </w:tcPr>
          <w:p w14:paraId="5E7A3BEB" w14:textId="77777777" w:rsidR="00FF2439" w:rsidRPr="00897E24" w:rsidRDefault="00FF2439" w:rsidP="00FF2439">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-0.19998</w:t>
            </w:r>
          </w:p>
        </w:tc>
        <w:tc>
          <w:tcPr>
            <w:tcW w:w="1081" w:type="dxa"/>
            <w:tcBorders>
              <w:top w:val="nil"/>
              <w:left w:val="nil"/>
              <w:bottom w:val="nil"/>
              <w:right w:val="nil"/>
            </w:tcBorders>
            <w:shd w:val="clear" w:color="auto" w:fill="auto"/>
            <w:noWrap/>
            <w:vAlign w:val="bottom"/>
            <w:hideMark/>
          </w:tcPr>
          <w:p w14:paraId="1259974B" w14:textId="77777777" w:rsidR="00FF2439" w:rsidRPr="00897E24" w:rsidRDefault="00FF2439" w:rsidP="00FF2439">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0.342346</w:t>
            </w:r>
          </w:p>
        </w:tc>
        <w:tc>
          <w:tcPr>
            <w:tcW w:w="1097" w:type="dxa"/>
            <w:tcBorders>
              <w:top w:val="nil"/>
              <w:left w:val="nil"/>
              <w:bottom w:val="nil"/>
              <w:right w:val="nil"/>
            </w:tcBorders>
            <w:shd w:val="clear" w:color="auto" w:fill="auto"/>
            <w:noWrap/>
            <w:vAlign w:val="bottom"/>
            <w:hideMark/>
          </w:tcPr>
          <w:p w14:paraId="120DC176" w14:textId="77777777" w:rsidR="00FF2439" w:rsidRPr="00897E24" w:rsidRDefault="00FF2439" w:rsidP="00FF2439">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-0.58</w:t>
            </w:r>
          </w:p>
        </w:tc>
        <w:tc>
          <w:tcPr>
            <w:tcW w:w="972" w:type="dxa"/>
            <w:tcBorders>
              <w:top w:val="nil"/>
              <w:left w:val="nil"/>
              <w:bottom w:val="nil"/>
              <w:right w:val="nil"/>
            </w:tcBorders>
            <w:shd w:val="clear" w:color="auto" w:fill="auto"/>
            <w:noWrap/>
            <w:vAlign w:val="bottom"/>
            <w:hideMark/>
          </w:tcPr>
          <w:p w14:paraId="34C37B99" w14:textId="77777777" w:rsidR="00FF2439" w:rsidRPr="00897E24" w:rsidRDefault="00FF2439" w:rsidP="00FF2439">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0.559</w:t>
            </w:r>
          </w:p>
        </w:tc>
        <w:tc>
          <w:tcPr>
            <w:tcW w:w="1454" w:type="dxa"/>
            <w:tcBorders>
              <w:top w:val="nil"/>
              <w:left w:val="nil"/>
              <w:bottom w:val="nil"/>
              <w:right w:val="nil"/>
            </w:tcBorders>
            <w:shd w:val="clear" w:color="auto" w:fill="auto"/>
            <w:noWrap/>
            <w:vAlign w:val="bottom"/>
            <w:hideMark/>
          </w:tcPr>
          <w:p w14:paraId="4A696B1B" w14:textId="77777777" w:rsidR="00FF2439" w:rsidRPr="00897E24" w:rsidRDefault="00FF2439" w:rsidP="00FF2439">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-0.8709674</w:t>
            </w:r>
          </w:p>
        </w:tc>
        <w:tc>
          <w:tcPr>
            <w:tcW w:w="1081" w:type="dxa"/>
            <w:tcBorders>
              <w:top w:val="nil"/>
              <w:left w:val="nil"/>
              <w:bottom w:val="nil"/>
              <w:right w:val="single" w:sz="4" w:space="0" w:color="auto"/>
            </w:tcBorders>
            <w:shd w:val="clear" w:color="auto" w:fill="auto"/>
            <w:noWrap/>
            <w:vAlign w:val="bottom"/>
            <w:hideMark/>
          </w:tcPr>
          <w:p w14:paraId="493ED26F" w14:textId="77777777" w:rsidR="00FF2439" w:rsidRPr="00897E24" w:rsidRDefault="00FF2439" w:rsidP="00FF2439">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0.471004</w:t>
            </w:r>
          </w:p>
        </w:tc>
      </w:tr>
      <w:tr w:rsidR="00FF2439" w:rsidRPr="00FF2439" w14:paraId="708D6375" w14:textId="77777777" w:rsidTr="002F0082">
        <w:trPr>
          <w:trHeight w:val="288"/>
        </w:trPr>
        <w:tc>
          <w:tcPr>
            <w:tcW w:w="2785" w:type="dxa"/>
            <w:tcBorders>
              <w:top w:val="nil"/>
              <w:left w:val="single" w:sz="4" w:space="0" w:color="auto"/>
              <w:bottom w:val="nil"/>
              <w:right w:val="nil"/>
            </w:tcBorders>
            <w:shd w:val="clear" w:color="auto" w:fill="auto"/>
            <w:noWrap/>
            <w:hideMark/>
          </w:tcPr>
          <w:p w14:paraId="09B46828" w14:textId="41668A81" w:rsidR="00FF2439" w:rsidRPr="00897E24" w:rsidRDefault="00FF2439" w:rsidP="00FF2439">
            <w:pPr>
              <w:rPr>
                <w:rFonts w:ascii="Arial" w:hAnsi="Arial" w:cs="Arial"/>
                <w:color w:val="000000"/>
                <w:spacing w:val="0"/>
                <w:sz w:val="18"/>
                <w:szCs w:val="18"/>
                <w:lang w:val="en-US"/>
              </w:rPr>
            </w:pPr>
            <w:r w:rsidRPr="00897E24">
              <w:rPr>
                <w:rFonts w:ascii="Arial" w:hAnsi="Arial" w:cs="Arial"/>
                <w:sz w:val="18"/>
                <w:szCs w:val="18"/>
              </w:rPr>
              <w:t>%L c/ inicial</w:t>
            </w:r>
          </w:p>
        </w:tc>
        <w:tc>
          <w:tcPr>
            <w:tcW w:w="1047" w:type="dxa"/>
            <w:tcBorders>
              <w:top w:val="nil"/>
              <w:left w:val="nil"/>
              <w:bottom w:val="nil"/>
              <w:right w:val="nil"/>
            </w:tcBorders>
            <w:shd w:val="clear" w:color="auto" w:fill="auto"/>
            <w:noWrap/>
            <w:vAlign w:val="bottom"/>
            <w:hideMark/>
          </w:tcPr>
          <w:p w14:paraId="690C701D" w14:textId="77777777" w:rsidR="00FF2439" w:rsidRPr="00897E24" w:rsidRDefault="00FF2439" w:rsidP="00FF2439">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-1.52341</w:t>
            </w:r>
          </w:p>
        </w:tc>
        <w:tc>
          <w:tcPr>
            <w:tcW w:w="1081" w:type="dxa"/>
            <w:tcBorders>
              <w:top w:val="nil"/>
              <w:left w:val="nil"/>
              <w:bottom w:val="nil"/>
              <w:right w:val="nil"/>
            </w:tcBorders>
            <w:shd w:val="clear" w:color="auto" w:fill="auto"/>
            <w:noWrap/>
            <w:vAlign w:val="bottom"/>
            <w:hideMark/>
          </w:tcPr>
          <w:p w14:paraId="1D360179" w14:textId="77777777" w:rsidR="00FF2439" w:rsidRPr="00897E24" w:rsidRDefault="00FF2439" w:rsidP="00FF2439">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1.842861</w:t>
            </w:r>
          </w:p>
        </w:tc>
        <w:tc>
          <w:tcPr>
            <w:tcW w:w="1097" w:type="dxa"/>
            <w:tcBorders>
              <w:top w:val="nil"/>
              <w:left w:val="nil"/>
              <w:bottom w:val="nil"/>
              <w:right w:val="nil"/>
            </w:tcBorders>
            <w:shd w:val="clear" w:color="auto" w:fill="auto"/>
            <w:noWrap/>
            <w:vAlign w:val="bottom"/>
            <w:hideMark/>
          </w:tcPr>
          <w:p w14:paraId="3BE338E1" w14:textId="77777777" w:rsidR="00FF2439" w:rsidRPr="00897E24" w:rsidRDefault="00FF2439" w:rsidP="00FF2439">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-0.83</w:t>
            </w:r>
          </w:p>
        </w:tc>
        <w:tc>
          <w:tcPr>
            <w:tcW w:w="972" w:type="dxa"/>
            <w:tcBorders>
              <w:top w:val="nil"/>
              <w:left w:val="nil"/>
              <w:bottom w:val="nil"/>
              <w:right w:val="nil"/>
            </w:tcBorders>
            <w:shd w:val="clear" w:color="auto" w:fill="auto"/>
            <w:noWrap/>
            <w:vAlign w:val="bottom"/>
            <w:hideMark/>
          </w:tcPr>
          <w:p w14:paraId="1709D2E0" w14:textId="77777777" w:rsidR="00FF2439" w:rsidRPr="00897E24" w:rsidRDefault="00FF2439" w:rsidP="00FF2439">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0.408</w:t>
            </w:r>
          </w:p>
        </w:tc>
        <w:tc>
          <w:tcPr>
            <w:tcW w:w="1454" w:type="dxa"/>
            <w:tcBorders>
              <w:top w:val="nil"/>
              <w:left w:val="nil"/>
              <w:bottom w:val="nil"/>
              <w:right w:val="nil"/>
            </w:tcBorders>
            <w:shd w:val="clear" w:color="auto" w:fill="auto"/>
            <w:noWrap/>
            <w:vAlign w:val="bottom"/>
            <w:hideMark/>
          </w:tcPr>
          <w:p w14:paraId="6EEBAB9F" w14:textId="77777777" w:rsidR="00FF2439" w:rsidRPr="00897E24" w:rsidRDefault="00FF2439" w:rsidP="00FF2439">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-5.135355</w:t>
            </w:r>
          </w:p>
        </w:tc>
        <w:tc>
          <w:tcPr>
            <w:tcW w:w="1081" w:type="dxa"/>
            <w:tcBorders>
              <w:top w:val="nil"/>
              <w:left w:val="nil"/>
              <w:bottom w:val="nil"/>
              <w:right w:val="single" w:sz="4" w:space="0" w:color="auto"/>
            </w:tcBorders>
            <w:shd w:val="clear" w:color="auto" w:fill="auto"/>
            <w:noWrap/>
            <w:vAlign w:val="bottom"/>
            <w:hideMark/>
          </w:tcPr>
          <w:p w14:paraId="6223E134" w14:textId="77777777" w:rsidR="00FF2439" w:rsidRPr="00897E24" w:rsidRDefault="00FF2439" w:rsidP="00FF2439">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2.088527</w:t>
            </w:r>
          </w:p>
        </w:tc>
      </w:tr>
      <w:tr w:rsidR="0020432F" w:rsidRPr="00FF2439" w14:paraId="6439778D" w14:textId="77777777" w:rsidTr="002F0082">
        <w:trPr>
          <w:trHeight w:val="288"/>
        </w:trPr>
        <w:tc>
          <w:tcPr>
            <w:tcW w:w="2785" w:type="dxa"/>
            <w:tcBorders>
              <w:top w:val="nil"/>
              <w:left w:val="single" w:sz="4" w:space="0" w:color="auto"/>
              <w:bottom w:val="nil"/>
              <w:right w:val="nil"/>
            </w:tcBorders>
            <w:shd w:val="clear" w:color="auto" w:fill="auto"/>
            <w:noWrap/>
            <w:vAlign w:val="bottom"/>
            <w:hideMark/>
          </w:tcPr>
          <w:p w14:paraId="015120CC" w14:textId="77777777" w:rsidR="0020432F" w:rsidRPr="00897E24" w:rsidRDefault="0020432F" w:rsidP="0020432F">
            <w:pPr>
              <w:rPr>
                <w:rFonts w:ascii="Arial" w:hAnsi="Arial" w:cs="Arial"/>
                <w:color w:val="000000"/>
                <w:spacing w:val="0"/>
                <w:sz w:val="18"/>
                <w:szCs w:val="18"/>
                <w:lang w:val="en-US"/>
              </w:rPr>
            </w:pPr>
            <w:r w:rsidRPr="00897E24">
              <w:rPr>
                <w:rFonts w:ascii="Arial" w:hAnsi="Arial" w:cs="Arial"/>
                <w:color w:val="000000"/>
                <w:spacing w:val="0"/>
                <w:sz w:val="18"/>
                <w:szCs w:val="18"/>
                <w:lang w:val="en-US"/>
              </w:rPr>
              <w:t>sector11</w:t>
            </w:r>
          </w:p>
        </w:tc>
        <w:tc>
          <w:tcPr>
            <w:tcW w:w="1047" w:type="dxa"/>
            <w:tcBorders>
              <w:top w:val="nil"/>
              <w:left w:val="nil"/>
              <w:bottom w:val="nil"/>
              <w:right w:val="nil"/>
            </w:tcBorders>
            <w:shd w:val="clear" w:color="auto" w:fill="auto"/>
            <w:noWrap/>
            <w:vAlign w:val="bottom"/>
            <w:hideMark/>
          </w:tcPr>
          <w:p w14:paraId="2063EDE8" w14:textId="77777777" w:rsidR="0020432F" w:rsidRPr="00897E24" w:rsidRDefault="0020432F" w:rsidP="0020432F">
            <w:pPr>
              <w:rPr>
                <w:rFonts w:ascii="Arial" w:hAnsi="Arial" w:cs="Arial"/>
                <w:color w:val="000000"/>
                <w:spacing w:val="0"/>
                <w:sz w:val="18"/>
                <w:szCs w:val="18"/>
                <w:lang w:val="en-US"/>
              </w:rPr>
            </w:pPr>
          </w:p>
        </w:tc>
        <w:tc>
          <w:tcPr>
            <w:tcW w:w="1081" w:type="dxa"/>
            <w:tcBorders>
              <w:top w:val="nil"/>
              <w:left w:val="nil"/>
              <w:bottom w:val="nil"/>
              <w:right w:val="nil"/>
            </w:tcBorders>
            <w:shd w:val="clear" w:color="auto" w:fill="auto"/>
            <w:noWrap/>
            <w:vAlign w:val="bottom"/>
            <w:hideMark/>
          </w:tcPr>
          <w:p w14:paraId="34AA9A4F" w14:textId="77777777" w:rsidR="0020432F" w:rsidRPr="00897E24" w:rsidRDefault="0020432F" w:rsidP="0020432F">
            <w:pPr>
              <w:rPr>
                <w:rFonts w:ascii="Arial" w:hAnsi="Arial" w:cs="Arial"/>
                <w:spacing w:val="0"/>
                <w:sz w:val="18"/>
                <w:szCs w:val="18"/>
                <w:lang w:val="en-US"/>
              </w:rPr>
            </w:pPr>
          </w:p>
        </w:tc>
        <w:tc>
          <w:tcPr>
            <w:tcW w:w="1097" w:type="dxa"/>
            <w:tcBorders>
              <w:top w:val="nil"/>
              <w:left w:val="nil"/>
              <w:bottom w:val="nil"/>
              <w:right w:val="nil"/>
            </w:tcBorders>
            <w:shd w:val="clear" w:color="auto" w:fill="auto"/>
            <w:noWrap/>
            <w:vAlign w:val="bottom"/>
            <w:hideMark/>
          </w:tcPr>
          <w:p w14:paraId="0FEE9CA9" w14:textId="77777777" w:rsidR="0020432F" w:rsidRPr="00897E24" w:rsidRDefault="0020432F" w:rsidP="0020432F">
            <w:pPr>
              <w:rPr>
                <w:rFonts w:ascii="Arial" w:hAnsi="Arial" w:cs="Arial"/>
                <w:spacing w:val="0"/>
                <w:sz w:val="18"/>
                <w:szCs w:val="18"/>
                <w:lang w:val="en-US"/>
              </w:rPr>
            </w:pPr>
          </w:p>
        </w:tc>
        <w:tc>
          <w:tcPr>
            <w:tcW w:w="972" w:type="dxa"/>
            <w:tcBorders>
              <w:top w:val="nil"/>
              <w:left w:val="nil"/>
              <w:bottom w:val="nil"/>
              <w:right w:val="nil"/>
            </w:tcBorders>
            <w:shd w:val="clear" w:color="auto" w:fill="auto"/>
            <w:noWrap/>
            <w:vAlign w:val="bottom"/>
            <w:hideMark/>
          </w:tcPr>
          <w:p w14:paraId="4FFCB3F5" w14:textId="77777777" w:rsidR="0020432F" w:rsidRPr="00897E24" w:rsidRDefault="0020432F" w:rsidP="0020432F">
            <w:pPr>
              <w:rPr>
                <w:rFonts w:ascii="Arial" w:hAnsi="Arial" w:cs="Arial"/>
                <w:spacing w:val="0"/>
                <w:sz w:val="18"/>
                <w:szCs w:val="18"/>
                <w:lang w:val="en-US"/>
              </w:rPr>
            </w:pPr>
          </w:p>
        </w:tc>
        <w:tc>
          <w:tcPr>
            <w:tcW w:w="1454" w:type="dxa"/>
            <w:tcBorders>
              <w:top w:val="nil"/>
              <w:left w:val="nil"/>
              <w:bottom w:val="nil"/>
              <w:right w:val="nil"/>
            </w:tcBorders>
            <w:shd w:val="clear" w:color="auto" w:fill="auto"/>
            <w:noWrap/>
            <w:vAlign w:val="bottom"/>
            <w:hideMark/>
          </w:tcPr>
          <w:p w14:paraId="2C9094CF" w14:textId="77777777" w:rsidR="0020432F" w:rsidRPr="00897E24" w:rsidRDefault="0020432F" w:rsidP="0020432F">
            <w:pPr>
              <w:rPr>
                <w:rFonts w:ascii="Arial" w:hAnsi="Arial" w:cs="Arial"/>
                <w:spacing w:val="0"/>
                <w:sz w:val="18"/>
                <w:szCs w:val="18"/>
                <w:lang w:val="en-US"/>
              </w:rPr>
            </w:pPr>
          </w:p>
        </w:tc>
        <w:tc>
          <w:tcPr>
            <w:tcW w:w="1081" w:type="dxa"/>
            <w:tcBorders>
              <w:top w:val="nil"/>
              <w:left w:val="nil"/>
              <w:bottom w:val="nil"/>
              <w:right w:val="single" w:sz="4" w:space="0" w:color="auto"/>
            </w:tcBorders>
            <w:shd w:val="clear" w:color="auto" w:fill="auto"/>
            <w:noWrap/>
            <w:vAlign w:val="bottom"/>
            <w:hideMark/>
          </w:tcPr>
          <w:p w14:paraId="41A9A06A" w14:textId="77777777" w:rsidR="0020432F" w:rsidRPr="00897E24" w:rsidRDefault="0020432F" w:rsidP="0020432F">
            <w:pPr>
              <w:rPr>
                <w:rFonts w:ascii="Arial" w:hAnsi="Arial" w:cs="Arial"/>
                <w:spacing w:val="0"/>
                <w:sz w:val="18"/>
                <w:szCs w:val="18"/>
                <w:lang w:val="en-US"/>
              </w:rPr>
            </w:pPr>
          </w:p>
        </w:tc>
      </w:tr>
      <w:tr w:rsidR="0020432F" w:rsidRPr="00FF2439" w14:paraId="20948391" w14:textId="77777777" w:rsidTr="002F0082">
        <w:trPr>
          <w:trHeight w:val="288"/>
        </w:trPr>
        <w:tc>
          <w:tcPr>
            <w:tcW w:w="2785" w:type="dxa"/>
            <w:tcBorders>
              <w:top w:val="nil"/>
              <w:left w:val="single" w:sz="4" w:space="0" w:color="auto"/>
              <w:bottom w:val="nil"/>
              <w:right w:val="nil"/>
            </w:tcBorders>
            <w:shd w:val="clear" w:color="auto" w:fill="auto"/>
            <w:noWrap/>
            <w:vAlign w:val="bottom"/>
            <w:hideMark/>
          </w:tcPr>
          <w:p w14:paraId="0BAC43B4"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2</w:t>
            </w:r>
          </w:p>
        </w:tc>
        <w:tc>
          <w:tcPr>
            <w:tcW w:w="1047" w:type="dxa"/>
            <w:tcBorders>
              <w:top w:val="nil"/>
              <w:left w:val="nil"/>
              <w:bottom w:val="nil"/>
              <w:right w:val="nil"/>
            </w:tcBorders>
            <w:shd w:val="clear" w:color="auto" w:fill="auto"/>
            <w:noWrap/>
            <w:vAlign w:val="bottom"/>
            <w:hideMark/>
          </w:tcPr>
          <w:p w14:paraId="6AADFDF2"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0.106106</w:t>
            </w:r>
          </w:p>
        </w:tc>
        <w:tc>
          <w:tcPr>
            <w:tcW w:w="1081" w:type="dxa"/>
            <w:tcBorders>
              <w:top w:val="nil"/>
              <w:left w:val="nil"/>
              <w:bottom w:val="nil"/>
              <w:right w:val="nil"/>
            </w:tcBorders>
            <w:shd w:val="clear" w:color="auto" w:fill="auto"/>
            <w:noWrap/>
            <w:vAlign w:val="bottom"/>
            <w:hideMark/>
          </w:tcPr>
          <w:p w14:paraId="2FF4178A"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0.124688</w:t>
            </w:r>
          </w:p>
        </w:tc>
        <w:tc>
          <w:tcPr>
            <w:tcW w:w="1097" w:type="dxa"/>
            <w:tcBorders>
              <w:top w:val="nil"/>
              <w:left w:val="nil"/>
              <w:bottom w:val="nil"/>
              <w:right w:val="nil"/>
            </w:tcBorders>
            <w:shd w:val="clear" w:color="auto" w:fill="auto"/>
            <w:noWrap/>
            <w:vAlign w:val="bottom"/>
            <w:hideMark/>
          </w:tcPr>
          <w:p w14:paraId="4237CED1"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0.85</w:t>
            </w:r>
          </w:p>
        </w:tc>
        <w:tc>
          <w:tcPr>
            <w:tcW w:w="972" w:type="dxa"/>
            <w:tcBorders>
              <w:top w:val="nil"/>
              <w:left w:val="nil"/>
              <w:bottom w:val="nil"/>
              <w:right w:val="nil"/>
            </w:tcBorders>
            <w:shd w:val="clear" w:color="auto" w:fill="auto"/>
            <w:noWrap/>
            <w:vAlign w:val="bottom"/>
            <w:hideMark/>
          </w:tcPr>
          <w:p w14:paraId="7205FEEA"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0.395</w:t>
            </w:r>
          </w:p>
        </w:tc>
        <w:tc>
          <w:tcPr>
            <w:tcW w:w="1454" w:type="dxa"/>
            <w:tcBorders>
              <w:top w:val="nil"/>
              <w:left w:val="nil"/>
              <w:bottom w:val="nil"/>
              <w:right w:val="nil"/>
            </w:tcBorders>
            <w:shd w:val="clear" w:color="auto" w:fill="auto"/>
            <w:noWrap/>
            <w:vAlign w:val="bottom"/>
            <w:hideMark/>
          </w:tcPr>
          <w:p w14:paraId="6B1152C9"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-0.1382779</w:t>
            </w:r>
          </w:p>
        </w:tc>
        <w:tc>
          <w:tcPr>
            <w:tcW w:w="1081" w:type="dxa"/>
            <w:tcBorders>
              <w:top w:val="nil"/>
              <w:left w:val="nil"/>
              <w:bottom w:val="nil"/>
              <w:right w:val="single" w:sz="4" w:space="0" w:color="auto"/>
            </w:tcBorders>
            <w:shd w:val="clear" w:color="auto" w:fill="auto"/>
            <w:noWrap/>
            <w:vAlign w:val="bottom"/>
            <w:hideMark/>
          </w:tcPr>
          <w:p w14:paraId="12A1EBEC"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0.350491</w:t>
            </w:r>
          </w:p>
        </w:tc>
      </w:tr>
      <w:tr w:rsidR="0020432F" w:rsidRPr="00FF2439" w14:paraId="2C9DDBE4" w14:textId="77777777" w:rsidTr="002F0082">
        <w:trPr>
          <w:trHeight w:val="288"/>
        </w:trPr>
        <w:tc>
          <w:tcPr>
            <w:tcW w:w="2785" w:type="dxa"/>
            <w:tcBorders>
              <w:top w:val="nil"/>
              <w:left w:val="single" w:sz="4" w:space="0" w:color="auto"/>
              <w:bottom w:val="nil"/>
              <w:right w:val="nil"/>
            </w:tcBorders>
            <w:shd w:val="clear" w:color="auto" w:fill="auto"/>
            <w:noWrap/>
            <w:vAlign w:val="bottom"/>
            <w:hideMark/>
          </w:tcPr>
          <w:p w14:paraId="7C8802E6"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3</w:t>
            </w:r>
          </w:p>
        </w:tc>
        <w:tc>
          <w:tcPr>
            <w:tcW w:w="1047" w:type="dxa"/>
            <w:tcBorders>
              <w:top w:val="nil"/>
              <w:left w:val="nil"/>
              <w:bottom w:val="nil"/>
              <w:right w:val="nil"/>
            </w:tcBorders>
            <w:shd w:val="clear" w:color="auto" w:fill="auto"/>
            <w:noWrap/>
            <w:vAlign w:val="bottom"/>
            <w:hideMark/>
          </w:tcPr>
          <w:p w14:paraId="08E43EB9"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-0.06451</w:t>
            </w:r>
          </w:p>
        </w:tc>
        <w:tc>
          <w:tcPr>
            <w:tcW w:w="1081" w:type="dxa"/>
            <w:tcBorders>
              <w:top w:val="nil"/>
              <w:left w:val="nil"/>
              <w:bottom w:val="nil"/>
              <w:right w:val="nil"/>
            </w:tcBorders>
            <w:shd w:val="clear" w:color="auto" w:fill="auto"/>
            <w:noWrap/>
            <w:vAlign w:val="bottom"/>
            <w:hideMark/>
          </w:tcPr>
          <w:p w14:paraId="3746FAC7"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0.189191</w:t>
            </w:r>
          </w:p>
        </w:tc>
        <w:tc>
          <w:tcPr>
            <w:tcW w:w="1097" w:type="dxa"/>
            <w:tcBorders>
              <w:top w:val="nil"/>
              <w:left w:val="nil"/>
              <w:bottom w:val="nil"/>
              <w:right w:val="nil"/>
            </w:tcBorders>
            <w:shd w:val="clear" w:color="auto" w:fill="auto"/>
            <w:noWrap/>
            <w:vAlign w:val="bottom"/>
            <w:hideMark/>
          </w:tcPr>
          <w:p w14:paraId="390F6748"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-0.34</w:t>
            </w:r>
          </w:p>
        </w:tc>
        <w:tc>
          <w:tcPr>
            <w:tcW w:w="972" w:type="dxa"/>
            <w:tcBorders>
              <w:top w:val="nil"/>
              <w:left w:val="nil"/>
              <w:bottom w:val="nil"/>
              <w:right w:val="nil"/>
            </w:tcBorders>
            <w:shd w:val="clear" w:color="auto" w:fill="auto"/>
            <w:noWrap/>
            <w:vAlign w:val="bottom"/>
            <w:hideMark/>
          </w:tcPr>
          <w:p w14:paraId="1EF9F778"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0.733</w:t>
            </w:r>
          </w:p>
        </w:tc>
        <w:tc>
          <w:tcPr>
            <w:tcW w:w="1454" w:type="dxa"/>
            <w:tcBorders>
              <w:top w:val="nil"/>
              <w:left w:val="nil"/>
              <w:bottom w:val="nil"/>
              <w:right w:val="nil"/>
            </w:tcBorders>
            <w:shd w:val="clear" w:color="auto" w:fill="auto"/>
            <w:noWrap/>
            <w:vAlign w:val="bottom"/>
            <w:hideMark/>
          </w:tcPr>
          <w:p w14:paraId="769786EA"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-0.4353202</w:t>
            </w:r>
          </w:p>
        </w:tc>
        <w:tc>
          <w:tcPr>
            <w:tcW w:w="1081" w:type="dxa"/>
            <w:tcBorders>
              <w:top w:val="nil"/>
              <w:left w:val="nil"/>
              <w:bottom w:val="nil"/>
              <w:right w:val="single" w:sz="4" w:space="0" w:color="auto"/>
            </w:tcBorders>
            <w:shd w:val="clear" w:color="auto" w:fill="auto"/>
            <w:noWrap/>
            <w:vAlign w:val="bottom"/>
            <w:hideMark/>
          </w:tcPr>
          <w:p w14:paraId="2E1FB46C"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0.306295</w:t>
            </w:r>
          </w:p>
        </w:tc>
      </w:tr>
      <w:tr w:rsidR="0020432F" w:rsidRPr="00FF2439" w14:paraId="6B6CB379" w14:textId="77777777" w:rsidTr="00CE6C7A">
        <w:trPr>
          <w:trHeight w:val="126"/>
        </w:trPr>
        <w:tc>
          <w:tcPr>
            <w:tcW w:w="2785" w:type="dxa"/>
            <w:tcBorders>
              <w:top w:val="nil"/>
              <w:left w:val="single" w:sz="4" w:space="0" w:color="auto"/>
              <w:right w:val="nil"/>
            </w:tcBorders>
            <w:shd w:val="clear" w:color="auto" w:fill="auto"/>
            <w:noWrap/>
            <w:vAlign w:val="bottom"/>
            <w:hideMark/>
          </w:tcPr>
          <w:p w14:paraId="3F097459"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4</w:t>
            </w:r>
          </w:p>
        </w:tc>
        <w:tc>
          <w:tcPr>
            <w:tcW w:w="1047" w:type="dxa"/>
            <w:tcBorders>
              <w:top w:val="nil"/>
              <w:left w:val="nil"/>
              <w:right w:val="nil"/>
            </w:tcBorders>
            <w:shd w:val="clear" w:color="auto" w:fill="auto"/>
            <w:noWrap/>
            <w:vAlign w:val="bottom"/>
            <w:hideMark/>
          </w:tcPr>
          <w:p w14:paraId="68C14ED9"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-0.20412</w:t>
            </w:r>
          </w:p>
        </w:tc>
        <w:tc>
          <w:tcPr>
            <w:tcW w:w="1081" w:type="dxa"/>
            <w:tcBorders>
              <w:top w:val="nil"/>
              <w:left w:val="nil"/>
              <w:right w:val="nil"/>
            </w:tcBorders>
            <w:shd w:val="clear" w:color="auto" w:fill="auto"/>
            <w:noWrap/>
            <w:vAlign w:val="bottom"/>
            <w:hideMark/>
          </w:tcPr>
          <w:p w14:paraId="5AFAD6D6"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0.28514</w:t>
            </w:r>
          </w:p>
        </w:tc>
        <w:tc>
          <w:tcPr>
            <w:tcW w:w="1097" w:type="dxa"/>
            <w:tcBorders>
              <w:top w:val="nil"/>
              <w:left w:val="nil"/>
              <w:right w:val="nil"/>
            </w:tcBorders>
            <w:shd w:val="clear" w:color="auto" w:fill="auto"/>
            <w:noWrap/>
            <w:vAlign w:val="bottom"/>
            <w:hideMark/>
          </w:tcPr>
          <w:p w14:paraId="6410C12F"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-0.72</w:t>
            </w:r>
          </w:p>
        </w:tc>
        <w:tc>
          <w:tcPr>
            <w:tcW w:w="972" w:type="dxa"/>
            <w:tcBorders>
              <w:top w:val="nil"/>
              <w:left w:val="nil"/>
              <w:right w:val="nil"/>
            </w:tcBorders>
            <w:shd w:val="clear" w:color="auto" w:fill="auto"/>
            <w:noWrap/>
            <w:vAlign w:val="bottom"/>
            <w:hideMark/>
          </w:tcPr>
          <w:p w14:paraId="71D0020F"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0.474</w:t>
            </w:r>
          </w:p>
        </w:tc>
        <w:tc>
          <w:tcPr>
            <w:tcW w:w="1454" w:type="dxa"/>
            <w:tcBorders>
              <w:top w:val="nil"/>
              <w:left w:val="nil"/>
              <w:right w:val="nil"/>
            </w:tcBorders>
            <w:shd w:val="clear" w:color="auto" w:fill="auto"/>
            <w:noWrap/>
            <w:vAlign w:val="bottom"/>
            <w:hideMark/>
          </w:tcPr>
          <w:p w14:paraId="53EBFF6C"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-0.7629892</w:t>
            </w:r>
          </w:p>
        </w:tc>
        <w:tc>
          <w:tcPr>
            <w:tcW w:w="1081" w:type="dxa"/>
            <w:tcBorders>
              <w:top w:val="nil"/>
              <w:left w:val="nil"/>
              <w:right w:val="single" w:sz="4" w:space="0" w:color="auto"/>
            </w:tcBorders>
            <w:shd w:val="clear" w:color="auto" w:fill="auto"/>
            <w:noWrap/>
            <w:vAlign w:val="bottom"/>
            <w:hideMark/>
          </w:tcPr>
          <w:p w14:paraId="1FB2A362"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0.35474</w:t>
            </w:r>
          </w:p>
        </w:tc>
      </w:tr>
      <w:tr w:rsidR="0020432F" w:rsidRPr="00FF2439" w14:paraId="4F22124B" w14:textId="77777777" w:rsidTr="00CE6C7A">
        <w:trPr>
          <w:trHeight w:val="288"/>
        </w:trPr>
        <w:tc>
          <w:tcPr>
            <w:tcW w:w="2785" w:type="dxa"/>
            <w:tcBorders>
              <w:top w:val="nil"/>
              <w:left w:val="single" w:sz="4" w:space="0" w:color="auto"/>
              <w:right w:val="nil"/>
            </w:tcBorders>
            <w:shd w:val="clear" w:color="auto" w:fill="auto"/>
            <w:noWrap/>
            <w:vAlign w:val="bottom"/>
            <w:hideMark/>
          </w:tcPr>
          <w:p w14:paraId="442E1873"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5</w:t>
            </w:r>
          </w:p>
        </w:tc>
        <w:tc>
          <w:tcPr>
            <w:tcW w:w="1047" w:type="dxa"/>
            <w:tcBorders>
              <w:top w:val="nil"/>
              <w:left w:val="nil"/>
              <w:right w:val="nil"/>
            </w:tcBorders>
            <w:shd w:val="clear" w:color="auto" w:fill="auto"/>
            <w:noWrap/>
            <w:vAlign w:val="bottom"/>
            <w:hideMark/>
          </w:tcPr>
          <w:p w14:paraId="376CD868"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0.229278</w:t>
            </w:r>
          </w:p>
        </w:tc>
        <w:tc>
          <w:tcPr>
            <w:tcW w:w="1081" w:type="dxa"/>
            <w:tcBorders>
              <w:top w:val="nil"/>
              <w:left w:val="nil"/>
              <w:right w:val="nil"/>
            </w:tcBorders>
            <w:shd w:val="clear" w:color="auto" w:fill="auto"/>
            <w:noWrap/>
            <w:vAlign w:val="bottom"/>
            <w:hideMark/>
          </w:tcPr>
          <w:p w14:paraId="65B6E572"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0.276315</w:t>
            </w:r>
          </w:p>
        </w:tc>
        <w:tc>
          <w:tcPr>
            <w:tcW w:w="1097" w:type="dxa"/>
            <w:tcBorders>
              <w:top w:val="nil"/>
              <w:left w:val="nil"/>
              <w:right w:val="nil"/>
            </w:tcBorders>
            <w:shd w:val="clear" w:color="auto" w:fill="auto"/>
            <w:noWrap/>
            <w:vAlign w:val="bottom"/>
            <w:hideMark/>
          </w:tcPr>
          <w:p w14:paraId="348D342F"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0.83</w:t>
            </w:r>
          </w:p>
        </w:tc>
        <w:tc>
          <w:tcPr>
            <w:tcW w:w="972" w:type="dxa"/>
            <w:tcBorders>
              <w:top w:val="nil"/>
              <w:left w:val="nil"/>
              <w:right w:val="nil"/>
            </w:tcBorders>
            <w:shd w:val="clear" w:color="auto" w:fill="auto"/>
            <w:noWrap/>
            <w:vAlign w:val="bottom"/>
            <w:hideMark/>
          </w:tcPr>
          <w:p w14:paraId="2817CCE3"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0.407</w:t>
            </w:r>
          </w:p>
        </w:tc>
        <w:tc>
          <w:tcPr>
            <w:tcW w:w="1454" w:type="dxa"/>
            <w:tcBorders>
              <w:top w:val="nil"/>
              <w:left w:val="nil"/>
              <w:right w:val="nil"/>
            </w:tcBorders>
            <w:shd w:val="clear" w:color="auto" w:fill="auto"/>
            <w:noWrap/>
            <w:vAlign w:val="bottom"/>
            <w:hideMark/>
          </w:tcPr>
          <w:p w14:paraId="341BE3D4"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-0.3122899</w:t>
            </w:r>
          </w:p>
        </w:tc>
        <w:tc>
          <w:tcPr>
            <w:tcW w:w="1081" w:type="dxa"/>
            <w:tcBorders>
              <w:top w:val="nil"/>
              <w:left w:val="nil"/>
              <w:right w:val="single" w:sz="4" w:space="0" w:color="auto"/>
            </w:tcBorders>
            <w:shd w:val="clear" w:color="auto" w:fill="auto"/>
            <w:noWrap/>
            <w:vAlign w:val="bottom"/>
            <w:hideMark/>
          </w:tcPr>
          <w:p w14:paraId="2CFFFACF"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0.770845</w:t>
            </w:r>
          </w:p>
        </w:tc>
      </w:tr>
      <w:tr w:rsidR="0020432F" w:rsidRPr="00FF2439" w14:paraId="03DFF1AD" w14:textId="77777777" w:rsidTr="00CE6C7A">
        <w:trPr>
          <w:trHeight w:val="288"/>
        </w:trPr>
        <w:tc>
          <w:tcPr>
            <w:tcW w:w="2785" w:type="dxa"/>
            <w:tcBorders>
              <w:left w:val="single" w:sz="4" w:space="0" w:color="auto"/>
              <w:bottom w:val="nil"/>
              <w:right w:val="nil"/>
            </w:tcBorders>
            <w:shd w:val="clear" w:color="auto" w:fill="auto"/>
            <w:noWrap/>
            <w:vAlign w:val="bottom"/>
            <w:hideMark/>
          </w:tcPr>
          <w:p w14:paraId="6924A7AD"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6</w:t>
            </w:r>
          </w:p>
        </w:tc>
        <w:tc>
          <w:tcPr>
            <w:tcW w:w="1047" w:type="dxa"/>
            <w:tcBorders>
              <w:left w:val="nil"/>
              <w:bottom w:val="nil"/>
              <w:right w:val="nil"/>
            </w:tcBorders>
            <w:shd w:val="clear" w:color="auto" w:fill="auto"/>
            <w:noWrap/>
            <w:vAlign w:val="bottom"/>
            <w:hideMark/>
          </w:tcPr>
          <w:p w14:paraId="3E418F49"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0.022799</w:t>
            </w:r>
          </w:p>
        </w:tc>
        <w:tc>
          <w:tcPr>
            <w:tcW w:w="1081" w:type="dxa"/>
            <w:tcBorders>
              <w:left w:val="nil"/>
              <w:bottom w:val="nil"/>
              <w:right w:val="nil"/>
            </w:tcBorders>
            <w:shd w:val="clear" w:color="auto" w:fill="auto"/>
            <w:noWrap/>
            <w:vAlign w:val="bottom"/>
            <w:hideMark/>
          </w:tcPr>
          <w:p w14:paraId="7422AB86"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0.305013</w:t>
            </w:r>
          </w:p>
        </w:tc>
        <w:tc>
          <w:tcPr>
            <w:tcW w:w="1097" w:type="dxa"/>
            <w:tcBorders>
              <w:left w:val="nil"/>
              <w:bottom w:val="nil"/>
              <w:right w:val="nil"/>
            </w:tcBorders>
            <w:shd w:val="clear" w:color="auto" w:fill="auto"/>
            <w:noWrap/>
            <w:vAlign w:val="bottom"/>
            <w:hideMark/>
          </w:tcPr>
          <w:p w14:paraId="711B22DF"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0.07</w:t>
            </w:r>
          </w:p>
        </w:tc>
        <w:tc>
          <w:tcPr>
            <w:tcW w:w="972" w:type="dxa"/>
            <w:tcBorders>
              <w:left w:val="nil"/>
              <w:bottom w:val="nil"/>
              <w:right w:val="nil"/>
            </w:tcBorders>
            <w:shd w:val="clear" w:color="auto" w:fill="auto"/>
            <w:noWrap/>
            <w:vAlign w:val="bottom"/>
            <w:hideMark/>
          </w:tcPr>
          <w:p w14:paraId="3915B422"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0.94</w:t>
            </w:r>
          </w:p>
        </w:tc>
        <w:tc>
          <w:tcPr>
            <w:tcW w:w="1454" w:type="dxa"/>
            <w:tcBorders>
              <w:left w:val="nil"/>
              <w:bottom w:val="nil"/>
              <w:right w:val="nil"/>
            </w:tcBorders>
            <w:shd w:val="clear" w:color="auto" w:fill="auto"/>
            <w:noWrap/>
            <w:vAlign w:val="bottom"/>
            <w:hideMark/>
          </w:tcPr>
          <w:p w14:paraId="10AC3E37"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-0.5750155</w:t>
            </w:r>
          </w:p>
        </w:tc>
        <w:tc>
          <w:tcPr>
            <w:tcW w:w="1081" w:type="dxa"/>
            <w:tcBorders>
              <w:left w:val="nil"/>
              <w:bottom w:val="nil"/>
              <w:right w:val="single" w:sz="4" w:space="0" w:color="auto"/>
            </w:tcBorders>
            <w:shd w:val="clear" w:color="auto" w:fill="auto"/>
            <w:noWrap/>
            <w:vAlign w:val="bottom"/>
            <w:hideMark/>
          </w:tcPr>
          <w:p w14:paraId="3ADB90DC"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0.620613</w:t>
            </w:r>
          </w:p>
        </w:tc>
      </w:tr>
      <w:tr w:rsidR="0020432F" w:rsidRPr="00FF2439" w14:paraId="3A5AE4D1" w14:textId="77777777" w:rsidTr="00CE6C7A">
        <w:trPr>
          <w:trHeight w:val="288"/>
        </w:trPr>
        <w:tc>
          <w:tcPr>
            <w:tcW w:w="2785" w:type="dxa"/>
            <w:tcBorders>
              <w:top w:val="nil"/>
              <w:left w:val="single" w:sz="4" w:space="0" w:color="auto"/>
              <w:right w:val="nil"/>
            </w:tcBorders>
            <w:shd w:val="clear" w:color="auto" w:fill="auto"/>
            <w:noWrap/>
            <w:vAlign w:val="bottom"/>
            <w:hideMark/>
          </w:tcPr>
          <w:p w14:paraId="41472DA0"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7</w:t>
            </w:r>
          </w:p>
        </w:tc>
        <w:tc>
          <w:tcPr>
            <w:tcW w:w="1047" w:type="dxa"/>
            <w:tcBorders>
              <w:top w:val="nil"/>
              <w:left w:val="nil"/>
              <w:right w:val="nil"/>
            </w:tcBorders>
            <w:shd w:val="clear" w:color="auto" w:fill="auto"/>
            <w:noWrap/>
            <w:vAlign w:val="bottom"/>
            <w:hideMark/>
          </w:tcPr>
          <w:p w14:paraId="62AE1A4E"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0.300498</w:t>
            </w:r>
          </w:p>
        </w:tc>
        <w:tc>
          <w:tcPr>
            <w:tcW w:w="1081" w:type="dxa"/>
            <w:tcBorders>
              <w:top w:val="nil"/>
              <w:left w:val="nil"/>
              <w:right w:val="nil"/>
            </w:tcBorders>
            <w:shd w:val="clear" w:color="auto" w:fill="auto"/>
            <w:noWrap/>
            <w:vAlign w:val="bottom"/>
            <w:hideMark/>
          </w:tcPr>
          <w:p w14:paraId="4C34119B"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0.294091</w:t>
            </w:r>
          </w:p>
        </w:tc>
        <w:tc>
          <w:tcPr>
            <w:tcW w:w="1097" w:type="dxa"/>
            <w:tcBorders>
              <w:top w:val="nil"/>
              <w:left w:val="nil"/>
              <w:right w:val="nil"/>
            </w:tcBorders>
            <w:shd w:val="clear" w:color="auto" w:fill="auto"/>
            <w:noWrap/>
            <w:vAlign w:val="bottom"/>
            <w:hideMark/>
          </w:tcPr>
          <w:p w14:paraId="04943709"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1.02</w:t>
            </w:r>
          </w:p>
        </w:tc>
        <w:tc>
          <w:tcPr>
            <w:tcW w:w="972" w:type="dxa"/>
            <w:tcBorders>
              <w:top w:val="nil"/>
              <w:left w:val="nil"/>
              <w:right w:val="nil"/>
            </w:tcBorders>
            <w:shd w:val="clear" w:color="auto" w:fill="auto"/>
            <w:noWrap/>
            <w:vAlign w:val="bottom"/>
            <w:hideMark/>
          </w:tcPr>
          <w:p w14:paraId="451011EF"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0.307</w:t>
            </w:r>
          </w:p>
        </w:tc>
        <w:tc>
          <w:tcPr>
            <w:tcW w:w="1454" w:type="dxa"/>
            <w:tcBorders>
              <w:top w:val="nil"/>
              <w:left w:val="nil"/>
              <w:right w:val="nil"/>
            </w:tcBorders>
            <w:shd w:val="clear" w:color="auto" w:fill="auto"/>
            <w:noWrap/>
            <w:vAlign w:val="bottom"/>
            <w:hideMark/>
          </w:tcPr>
          <w:p w14:paraId="148CEA79"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-0.2759094</w:t>
            </w:r>
          </w:p>
        </w:tc>
        <w:tc>
          <w:tcPr>
            <w:tcW w:w="1081" w:type="dxa"/>
            <w:tcBorders>
              <w:top w:val="nil"/>
              <w:left w:val="nil"/>
              <w:right w:val="single" w:sz="4" w:space="0" w:color="auto"/>
            </w:tcBorders>
            <w:shd w:val="clear" w:color="auto" w:fill="auto"/>
            <w:noWrap/>
            <w:vAlign w:val="bottom"/>
            <w:hideMark/>
          </w:tcPr>
          <w:p w14:paraId="7D0BE5F7"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0.876906</w:t>
            </w:r>
          </w:p>
        </w:tc>
      </w:tr>
      <w:tr w:rsidR="0020432F" w:rsidRPr="00FF2439" w14:paraId="1ACD6305" w14:textId="77777777" w:rsidTr="00CE6C7A">
        <w:trPr>
          <w:trHeight w:val="288"/>
        </w:trPr>
        <w:tc>
          <w:tcPr>
            <w:tcW w:w="2785" w:type="dxa"/>
            <w:tcBorders>
              <w:top w:val="nil"/>
              <w:left w:val="single" w:sz="4" w:space="0" w:color="auto"/>
              <w:bottom w:val="single" w:sz="4" w:space="0" w:color="auto"/>
              <w:right w:val="nil"/>
            </w:tcBorders>
            <w:shd w:val="clear" w:color="auto" w:fill="auto"/>
            <w:noWrap/>
            <w:vAlign w:val="bottom"/>
            <w:hideMark/>
          </w:tcPr>
          <w:p w14:paraId="4C08F01B"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8</w:t>
            </w:r>
          </w:p>
        </w:tc>
        <w:tc>
          <w:tcPr>
            <w:tcW w:w="1047" w:type="dxa"/>
            <w:tcBorders>
              <w:top w:val="nil"/>
              <w:left w:val="nil"/>
              <w:bottom w:val="single" w:sz="4" w:space="0" w:color="auto"/>
              <w:right w:val="nil"/>
            </w:tcBorders>
            <w:shd w:val="clear" w:color="auto" w:fill="auto"/>
            <w:noWrap/>
            <w:vAlign w:val="bottom"/>
            <w:hideMark/>
          </w:tcPr>
          <w:p w14:paraId="0DF00EE8"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-0.19496</w:t>
            </w:r>
          </w:p>
        </w:tc>
        <w:tc>
          <w:tcPr>
            <w:tcW w:w="1081" w:type="dxa"/>
            <w:tcBorders>
              <w:top w:val="nil"/>
              <w:left w:val="nil"/>
              <w:bottom w:val="single" w:sz="4" w:space="0" w:color="auto"/>
              <w:right w:val="nil"/>
            </w:tcBorders>
            <w:shd w:val="clear" w:color="auto" w:fill="auto"/>
            <w:noWrap/>
            <w:vAlign w:val="bottom"/>
            <w:hideMark/>
          </w:tcPr>
          <w:p w14:paraId="4D789E9E"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0.323455</w:t>
            </w:r>
          </w:p>
        </w:tc>
        <w:tc>
          <w:tcPr>
            <w:tcW w:w="1097" w:type="dxa"/>
            <w:tcBorders>
              <w:top w:val="nil"/>
              <w:left w:val="nil"/>
              <w:bottom w:val="single" w:sz="4" w:space="0" w:color="auto"/>
              <w:right w:val="nil"/>
            </w:tcBorders>
            <w:shd w:val="clear" w:color="auto" w:fill="auto"/>
            <w:noWrap/>
            <w:vAlign w:val="bottom"/>
            <w:hideMark/>
          </w:tcPr>
          <w:p w14:paraId="2769E00D"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-0.6</w:t>
            </w:r>
          </w:p>
        </w:tc>
        <w:tc>
          <w:tcPr>
            <w:tcW w:w="972" w:type="dxa"/>
            <w:tcBorders>
              <w:top w:val="nil"/>
              <w:left w:val="nil"/>
              <w:bottom w:val="single" w:sz="4" w:space="0" w:color="auto"/>
              <w:right w:val="nil"/>
            </w:tcBorders>
            <w:shd w:val="clear" w:color="auto" w:fill="auto"/>
            <w:noWrap/>
            <w:vAlign w:val="bottom"/>
            <w:hideMark/>
          </w:tcPr>
          <w:p w14:paraId="23C52598"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0.547</w:t>
            </w:r>
          </w:p>
        </w:tc>
        <w:tc>
          <w:tcPr>
            <w:tcW w:w="1454" w:type="dxa"/>
            <w:tcBorders>
              <w:top w:val="nil"/>
              <w:left w:val="nil"/>
              <w:bottom w:val="single" w:sz="4" w:space="0" w:color="auto"/>
              <w:right w:val="nil"/>
            </w:tcBorders>
            <w:shd w:val="clear" w:color="auto" w:fill="auto"/>
            <w:noWrap/>
            <w:vAlign w:val="bottom"/>
            <w:hideMark/>
          </w:tcPr>
          <w:p w14:paraId="5D400E03"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-0.8289209</w:t>
            </w:r>
          </w:p>
        </w:tc>
        <w:tc>
          <w:tcPr>
            <w:tcW w:w="1081" w:type="dxa"/>
            <w:tcBorders>
              <w:top w:val="nil"/>
              <w:left w:val="nil"/>
              <w:bottom w:val="single" w:sz="4" w:space="0" w:color="auto"/>
              <w:right w:val="single" w:sz="4" w:space="0" w:color="auto"/>
            </w:tcBorders>
            <w:shd w:val="clear" w:color="auto" w:fill="auto"/>
            <w:noWrap/>
            <w:vAlign w:val="bottom"/>
            <w:hideMark/>
          </w:tcPr>
          <w:p w14:paraId="7D66621A"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0.439</w:t>
            </w:r>
          </w:p>
        </w:tc>
      </w:tr>
      <w:tr w:rsidR="0020432F" w:rsidRPr="00FF2439" w14:paraId="164277BD" w14:textId="77777777" w:rsidTr="00CE6C7A">
        <w:trPr>
          <w:trHeight w:val="288"/>
        </w:trPr>
        <w:tc>
          <w:tcPr>
            <w:tcW w:w="2785" w:type="dxa"/>
            <w:tcBorders>
              <w:top w:val="single" w:sz="4" w:space="0" w:color="auto"/>
              <w:left w:val="single" w:sz="4" w:space="0" w:color="auto"/>
              <w:bottom w:val="nil"/>
              <w:right w:val="nil"/>
            </w:tcBorders>
            <w:shd w:val="clear" w:color="auto" w:fill="auto"/>
            <w:noWrap/>
            <w:vAlign w:val="bottom"/>
            <w:hideMark/>
          </w:tcPr>
          <w:p w14:paraId="545C87E3"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9</w:t>
            </w:r>
          </w:p>
        </w:tc>
        <w:tc>
          <w:tcPr>
            <w:tcW w:w="1047" w:type="dxa"/>
            <w:tcBorders>
              <w:top w:val="single" w:sz="4" w:space="0" w:color="auto"/>
              <w:left w:val="nil"/>
              <w:bottom w:val="nil"/>
              <w:right w:val="nil"/>
            </w:tcBorders>
            <w:shd w:val="clear" w:color="auto" w:fill="auto"/>
            <w:noWrap/>
            <w:vAlign w:val="bottom"/>
            <w:hideMark/>
          </w:tcPr>
          <w:p w14:paraId="7CD5FDD5"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-0.35544</w:t>
            </w:r>
          </w:p>
        </w:tc>
        <w:tc>
          <w:tcPr>
            <w:tcW w:w="1081" w:type="dxa"/>
            <w:tcBorders>
              <w:top w:val="single" w:sz="4" w:space="0" w:color="auto"/>
              <w:left w:val="nil"/>
              <w:bottom w:val="nil"/>
              <w:right w:val="nil"/>
            </w:tcBorders>
            <w:shd w:val="clear" w:color="auto" w:fill="auto"/>
            <w:noWrap/>
            <w:vAlign w:val="bottom"/>
            <w:hideMark/>
          </w:tcPr>
          <w:p w14:paraId="3877C393"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0.444478</w:t>
            </w:r>
          </w:p>
        </w:tc>
        <w:tc>
          <w:tcPr>
            <w:tcW w:w="1097" w:type="dxa"/>
            <w:tcBorders>
              <w:top w:val="single" w:sz="4" w:space="0" w:color="auto"/>
              <w:left w:val="nil"/>
              <w:bottom w:val="nil"/>
              <w:right w:val="nil"/>
            </w:tcBorders>
            <w:shd w:val="clear" w:color="auto" w:fill="auto"/>
            <w:noWrap/>
            <w:vAlign w:val="bottom"/>
            <w:hideMark/>
          </w:tcPr>
          <w:p w14:paraId="6596A728"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-0.8</w:t>
            </w:r>
          </w:p>
        </w:tc>
        <w:tc>
          <w:tcPr>
            <w:tcW w:w="972" w:type="dxa"/>
            <w:tcBorders>
              <w:top w:val="single" w:sz="4" w:space="0" w:color="auto"/>
              <w:left w:val="nil"/>
              <w:bottom w:val="nil"/>
              <w:right w:val="nil"/>
            </w:tcBorders>
            <w:shd w:val="clear" w:color="auto" w:fill="auto"/>
            <w:noWrap/>
            <w:vAlign w:val="bottom"/>
            <w:hideMark/>
          </w:tcPr>
          <w:p w14:paraId="5F9791AE"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0.424</w:t>
            </w:r>
          </w:p>
        </w:tc>
        <w:tc>
          <w:tcPr>
            <w:tcW w:w="1454" w:type="dxa"/>
            <w:tcBorders>
              <w:top w:val="single" w:sz="4" w:space="0" w:color="auto"/>
              <w:left w:val="nil"/>
              <w:bottom w:val="nil"/>
              <w:right w:val="nil"/>
            </w:tcBorders>
            <w:shd w:val="clear" w:color="auto" w:fill="auto"/>
            <w:noWrap/>
            <w:vAlign w:val="bottom"/>
            <w:hideMark/>
          </w:tcPr>
          <w:p w14:paraId="54BCAC7B"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-1.226602</w:t>
            </w:r>
          </w:p>
        </w:tc>
        <w:tc>
          <w:tcPr>
            <w:tcW w:w="1081" w:type="dxa"/>
            <w:tcBorders>
              <w:top w:val="single" w:sz="4" w:space="0" w:color="auto"/>
              <w:left w:val="nil"/>
              <w:bottom w:val="nil"/>
              <w:right w:val="single" w:sz="4" w:space="0" w:color="auto"/>
            </w:tcBorders>
            <w:shd w:val="clear" w:color="auto" w:fill="auto"/>
            <w:noWrap/>
            <w:vAlign w:val="bottom"/>
            <w:hideMark/>
          </w:tcPr>
          <w:p w14:paraId="6531D694"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0.515718</w:t>
            </w:r>
          </w:p>
        </w:tc>
      </w:tr>
      <w:tr w:rsidR="0020432F" w:rsidRPr="00FF2439" w14:paraId="2ABB9A2E" w14:textId="77777777" w:rsidTr="002F0082">
        <w:trPr>
          <w:trHeight w:val="288"/>
        </w:trPr>
        <w:tc>
          <w:tcPr>
            <w:tcW w:w="2785" w:type="dxa"/>
            <w:tcBorders>
              <w:top w:val="nil"/>
              <w:left w:val="single" w:sz="4" w:space="0" w:color="auto"/>
              <w:bottom w:val="nil"/>
              <w:right w:val="nil"/>
            </w:tcBorders>
            <w:shd w:val="clear" w:color="auto" w:fill="auto"/>
            <w:noWrap/>
            <w:vAlign w:val="bottom"/>
            <w:hideMark/>
          </w:tcPr>
          <w:p w14:paraId="0EF84316" w14:textId="77777777" w:rsidR="0020432F" w:rsidRPr="00897E24" w:rsidRDefault="0020432F" w:rsidP="0020432F">
            <w:pPr>
              <w:rPr>
                <w:rFonts w:ascii="Arial" w:hAnsi="Arial" w:cs="Arial"/>
                <w:spacing w:val="0"/>
                <w:sz w:val="18"/>
                <w:szCs w:val="18"/>
                <w:lang w:val="en-US"/>
              </w:rPr>
            </w:pPr>
          </w:p>
        </w:tc>
        <w:tc>
          <w:tcPr>
            <w:tcW w:w="1047" w:type="dxa"/>
            <w:tcBorders>
              <w:top w:val="nil"/>
              <w:left w:val="nil"/>
              <w:bottom w:val="nil"/>
              <w:right w:val="nil"/>
            </w:tcBorders>
            <w:shd w:val="clear" w:color="auto" w:fill="auto"/>
            <w:noWrap/>
            <w:vAlign w:val="bottom"/>
            <w:hideMark/>
          </w:tcPr>
          <w:p w14:paraId="65326A06" w14:textId="77777777" w:rsidR="0020432F" w:rsidRPr="00897E24" w:rsidRDefault="0020432F" w:rsidP="0020432F">
            <w:pPr>
              <w:rPr>
                <w:rFonts w:ascii="Arial" w:hAnsi="Arial" w:cs="Arial"/>
                <w:spacing w:val="0"/>
                <w:sz w:val="18"/>
                <w:szCs w:val="18"/>
                <w:lang w:val="en-US"/>
              </w:rPr>
            </w:pPr>
          </w:p>
        </w:tc>
        <w:tc>
          <w:tcPr>
            <w:tcW w:w="1081" w:type="dxa"/>
            <w:tcBorders>
              <w:top w:val="nil"/>
              <w:left w:val="nil"/>
              <w:bottom w:val="nil"/>
              <w:right w:val="nil"/>
            </w:tcBorders>
            <w:shd w:val="clear" w:color="auto" w:fill="auto"/>
            <w:noWrap/>
            <w:vAlign w:val="bottom"/>
            <w:hideMark/>
          </w:tcPr>
          <w:p w14:paraId="5A1A4983" w14:textId="77777777" w:rsidR="0020432F" w:rsidRPr="00897E24" w:rsidRDefault="0020432F" w:rsidP="0020432F">
            <w:pPr>
              <w:rPr>
                <w:rFonts w:ascii="Arial" w:hAnsi="Arial" w:cs="Arial"/>
                <w:spacing w:val="0"/>
                <w:sz w:val="18"/>
                <w:szCs w:val="18"/>
                <w:lang w:val="en-US"/>
              </w:rPr>
            </w:pPr>
          </w:p>
        </w:tc>
        <w:tc>
          <w:tcPr>
            <w:tcW w:w="1097" w:type="dxa"/>
            <w:tcBorders>
              <w:top w:val="nil"/>
              <w:left w:val="nil"/>
              <w:bottom w:val="nil"/>
              <w:right w:val="nil"/>
            </w:tcBorders>
            <w:shd w:val="clear" w:color="auto" w:fill="auto"/>
            <w:noWrap/>
            <w:vAlign w:val="bottom"/>
            <w:hideMark/>
          </w:tcPr>
          <w:p w14:paraId="3D82FE8E" w14:textId="77777777" w:rsidR="0020432F" w:rsidRPr="00897E24" w:rsidRDefault="0020432F" w:rsidP="0020432F">
            <w:pPr>
              <w:rPr>
                <w:rFonts w:ascii="Arial" w:hAnsi="Arial" w:cs="Arial"/>
                <w:spacing w:val="0"/>
                <w:sz w:val="18"/>
                <w:szCs w:val="18"/>
                <w:lang w:val="en-US"/>
              </w:rPr>
            </w:pPr>
          </w:p>
        </w:tc>
        <w:tc>
          <w:tcPr>
            <w:tcW w:w="972" w:type="dxa"/>
            <w:tcBorders>
              <w:top w:val="nil"/>
              <w:left w:val="nil"/>
              <w:bottom w:val="nil"/>
              <w:right w:val="nil"/>
            </w:tcBorders>
            <w:shd w:val="clear" w:color="auto" w:fill="auto"/>
            <w:noWrap/>
            <w:vAlign w:val="bottom"/>
            <w:hideMark/>
          </w:tcPr>
          <w:p w14:paraId="656C70DD" w14:textId="77777777" w:rsidR="0020432F" w:rsidRPr="00897E24" w:rsidRDefault="0020432F" w:rsidP="0020432F">
            <w:pPr>
              <w:rPr>
                <w:rFonts w:ascii="Arial" w:hAnsi="Arial" w:cs="Arial"/>
                <w:spacing w:val="0"/>
                <w:sz w:val="18"/>
                <w:szCs w:val="18"/>
                <w:lang w:val="en-US"/>
              </w:rPr>
            </w:pPr>
          </w:p>
        </w:tc>
        <w:tc>
          <w:tcPr>
            <w:tcW w:w="1454" w:type="dxa"/>
            <w:tcBorders>
              <w:top w:val="nil"/>
              <w:left w:val="nil"/>
              <w:bottom w:val="nil"/>
              <w:right w:val="nil"/>
            </w:tcBorders>
            <w:shd w:val="clear" w:color="auto" w:fill="auto"/>
            <w:noWrap/>
            <w:vAlign w:val="bottom"/>
            <w:hideMark/>
          </w:tcPr>
          <w:p w14:paraId="0C32C1FA" w14:textId="77777777" w:rsidR="0020432F" w:rsidRPr="00897E24" w:rsidRDefault="0020432F" w:rsidP="0020432F">
            <w:pPr>
              <w:rPr>
                <w:rFonts w:ascii="Arial" w:hAnsi="Arial" w:cs="Arial"/>
                <w:spacing w:val="0"/>
                <w:sz w:val="18"/>
                <w:szCs w:val="18"/>
                <w:lang w:val="en-US"/>
              </w:rPr>
            </w:pPr>
          </w:p>
        </w:tc>
        <w:tc>
          <w:tcPr>
            <w:tcW w:w="1081" w:type="dxa"/>
            <w:tcBorders>
              <w:top w:val="nil"/>
              <w:left w:val="nil"/>
              <w:bottom w:val="nil"/>
              <w:right w:val="single" w:sz="4" w:space="0" w:color="auto"/>
            </w:tcBorders>
            <w:shd w:val="clear" w:color="auto" w:fill="auto"/>
            <w:noWrap/>
            <w:vAlign w:val="bottom"/>
            <w:hideMark/>
          </w:tcPr>
          <w:p w14:paraId="124858AF" w14:textId="77777777" w:rsidR="0020432F" w:rsidRPr="00897E24" w:rsidRDefault="0020432F" w:rsidP="0020432F">
            <w:pPr>
              <w:rPr>
                <w:rFonts w:ascii="Arial" w:hAnsi="Arial" w:cs="Arial"/>
                <w:spacing w:val="0"/>
                <w:sz w:val="18"/>
                <w:szCs w:val="18"/>
                <w:lang w:val="en-US"/>
              </w:rPr>
            </w:pPr>
          </w:p>
        </w:tc>
      </w:tr>
      <w:tr w:rsidR="0020432F" w:rsidRPr="00FF2439" w14:paraId="18C39CE4" w14:textId="77777777" w:rsidTr="002F0082">
        <w:trPr>
          <w:trHeight w:val="288"/>
        </w:trPr>
        <w:tc>
          <w:tcPr>
            <w:tcW w:w="2785" w:type="dxa"/>
            <w:tcBorders>
              <w:top w:val="nil"/>
              <w:left w:val="single" w:sz="4" w:space="0" w:color="auto"/>
              <w:bottom w:val="single" w:sz="4" w:space="0" w:color="auto"/>
              <w:right w:val="nil"/>
            </w:tcBorders>
            <w:shd w:val="clear" w:color="auto" w:fill="auto"/>
            <w:noWrap/>
            <w:vAlign w:val="bottom"/>
            <w:hideMark/>
          </w:tcPr>
          <w:p w14:paraId="7A16AF33" w14:textId="77777777" w:rsidR="0020432F" w:rsidRPr="00897E24" w:rsidRDefault="0020432F" w:rsidP="0020432F">
            <w:pPr>
              <w:rPr>
                <w:rFonts w:ascii="Arial" w:hAnsi="Arial" w:cs="Arial"/>
                <w:color w:val="000000"/>
                <w:spacing w:val="0"/>
                <w:sz w:val="18"/>
                <w:szCs w:val="18"/>
                <w:lang w:val="en-US"/>
              </w:rPr>
            </w:pPr>
            <w:r w:rsidRPr="00897E24">
              <w:rPr>
                <w:rFonts w:ascii="Arial" w:hAnsi="Arial" w:cs="Arial"/>
                <w:color w:val="000000"/>
                <w:spacing w:val="0"/>
                <w:sz w:val="18"/>
                <w:szCs w:val="18"/>
                <w:lang w:val="en-US"/>
              </w:rPr>
              <w:t>_cons</w:t>
            </w:r>
          </w:p>
        </w:tc>
        <w:tc>
          <w:tcPr>
            <w:tcW w:w="1047" w:type="dxa"/>
            <w:tcBorders>
              <w:top w:val="nil"/>
              <w:left w:val="nil"/>
              <w:bottom w:val="single" w:sz="4" w:space="0" w:color="auto"/>
              <w:right w:val="nil"/>
            </w:tcBorders>
            <w:shd w:val="clear" w:color="auto" w:fill="auto"/>
            <w:noWrap/>
            <w:vAlign w:val="bottom"/>
            <w:hideMark/>
          </w:tcPr>
          <w:p w14:paraId="534C2539"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-1.55965</w:t>
            </w:r>
          </w:p>
        </w:tc>
        <w:tc>
          <w:tcPr>
            <w:tcW w:w="1081" w:type="dxa"/>
            <w:tcBorders>
              <w:top w:val="nil"/>
              <w:left w:val="nil"/>
              <w:bottom w:val="single" w:sz="4" w:space="0" w:color="auto"/>
              <w:right w:val="nil"/>
            </w:tcBorders>
            <w:shd w:val="clear" w:color="auto" w:fill="auto"/>
            <w:noWrap/>
            <w:vAlign w:val="bottom"/>
            <w:hideMark/>
          </w:tcPr>
          <w:p w14:paraId="2B3CD28D"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0.317209</w:t>
            </w:r>
          </w:p>
        </w:tc>
        <w:tc>
          <w:tcPr>
            <w:tcW w:w="1097" w:type="dxa"/>
            <w:tcBorders>
              <w:top w:val="nil"/>
              <w:left w:val="nil"/>
              <w:bottom w:val="single" w:sz="4" w:space="0" w:color="auto"/>
              <w:right w:val="nil"/>
            </w:tcBorders>
            <w:shd w:val="clear" w:color="auto" w:fill="auto"/>
            <w:noWrap/>
            <w:vAlign w:val="bottom"/>
            <w:hideMark/>
          </w:tcPr>
          <w:p w14:paraId="576632B4"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-4.92</w:t>
            </w:r>
          </w:p>
        </w:tc>
        <w:tc>
          <w:tcPr>
            <w:tcW w:w="972" w:type="dxa"/>
            <w:tcBorders>
              <w:top w:val="nil"/>
              <w:left w:val="nil"/>
              <w:bottom w:val="single" w:sz="4" w:space="0" w:color="auto"/>
              <w:right w:val="nil"/>
            </w:tcBorders>
            <w:shd w:val="clear" w:color="auto" w:fill="auto"/>
            <w:noWrap/>
            <w:vAlign w:val="bottom"/>
            <w:hideMark/>
          </w:tcPr>
          <w:p w14:paraId="06B4082C"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w:t>
            </w:r>
          </w:p>
        </w:tc>
        <w:tc>
          <w:tcPr>
            <w:tcW w:w="1454" w:type="dxa"/>
            <w:tcBorders>
              <w:top w:val="nil"/>
              <w:left w:val="nil"/>
              <w:bottom w:val="single" w:sz="4" w:space="0" w:color="auto"/>
              <w:right w:val="nil"/>
            </w:tcBorders>
            <w:shd w:val="clear" w:color="auto" w:fill="auto"/>
            <w:noWrap/>
            <w:vAlign w:val="bottom"/>
            <w:hideMark/>
          </w:tcPr>
          <w:p w14:paraId="43AA3F39"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-2.181369</w:t>
            </w:r>
          </w:p>
        </w:tc>
        <w:tc>
          <w:tcPr>
            <w:tcW w:w="1081" w:type="dxa"/>
            <w:tcBorders>
              <w:top w:val="nil"/>
              <w:left w:val="nil"/>
              <w:bottom w:val="single" w:sz="4" w:space="0" w:color="auto"/>
              <w:right w:val="single" w:sz="4" w:space="0" w:color="auto"/>
            </w:tcBorders>
            <w:shd w:val="clear" w:color="auto" w:fill="auto"/>
            <w:noWrap/>
            <w:vAlign w:val="bottom"/>
            <w:hideMark/>
          </w:tcPr>
          <w:p w14:paraId="7548533B"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-0.93793</w:t>
            </w:r>
          </w:p>
        </w:tc>
      </w:tr>
      <w:tr w:rsidR="0020432F" w:rsidRPr="00FF2439" w14:paraId="4A34DAD4" w14:textId="77777777" w:rsidTr="002F0082">
        <w:trPr>
          <w:trHeight w:val="288"/>
        </w:trPr>
        <w:tc>
          <w:tcPr>
            <w:tcW w:w="2785" w:type="dxa"/>
            <w:tcBorders>
              <w:top w:val="single" w:sz="4" w:space="0" w:color="auto"/>
              <w:left w:val="nil"/>
              <w:bottom w:val="single" w:sz="4" w:space="0" w:color="auto"/>
              <w:right w:val="nil"/>
            </w:tcBorders>
            <w:shd w:val="clear" w:color="auto" w:fill="auto"/>
            <w:noWrap/>
            <w:vAlign w:val="bottom"/>
            <w:hideMark/>
          </w:tcPr>
          <w:p w14:paraId="2366A0C9" w14:textId="77777777" w:rsidR="0020432F" w:rsidRPr="00897E24" w:rsidRDefault="0020432F" w:rsidP="0020432F">
            <w:pPr>
              <w:rPr>
                <w:rFonts w:ascii="Arial" w:hAnsi="Arial" w:cs="Arial"/>
                <w:spacing w:val="0"/>
                <w:sz w:val="18"/>
                <w:szCs w:val="18"/>
                <w:lang w:val="en-US"/>
              </w:rPr>
            </w:pPr>
          </w:p>
        </w:tc>
        <w:tc>
          <w:tcPr>
            <w:tcW w:w="1047" w:type="dxa"/>
            <w:tcBorders>
              <w:top w:val="single" w:sz="4" w:space="0" w:color="auto"/>
              <w:left w:val="nil"/>
              <w:bottom w:val="single" w:sz="4" w:space="0" w:color="auto"/>
              <w:right w:val="nil"/>
            </w:tcBorders>
            <w:shd w:val="clear" w:color="auto" w:fill="auto"/>
            <w:noWrap/>
            <w:vAlign w:val="bottom"/>
            <w:hideMark/>
          </w:tcPr>
          <w:p w14:paraId="3332FD36" w14:textId="77777777" w:rsidR="0020432F" w:rsidRPr="00897E24" w:rsidRDefault="0020432F" w:rsidP="0020432F">
            <w:pPr>
              <w:rPr>
                <w:rFonts w:ascii="Arial" w:hAnsi="Arial" w:cs="Arial"/>
                <w:spacing w:val="0"/>
                <w:sz w:val="18"/>
                <w:szCs w:val="18"/>
                <w:lang w:val="en-US"/>
              </w:rPr>
            </w:pPr>
          </w:p>
        </w:tc>
        <w:tc>
          <w:tcPr>
            <w:tcW w:w="1081" w:type="dxa"/>
            <w:tcBorders>
              <w:top w:val="single" w:sz="4" w:space="0" w:color="auto"/>
              <w:left w:val="nil"/>
              <w:bottom w:val="single" w:sz="4" w:space="0" w:color="auto"/>
              <w:right w:val="nil"/>
            </w:tcBorders>
            <w:shd w:val="clear" w:color="auto" w:fill="auto"/>
            <w:noWrap/>
            <w:vAlign w:val="bottom"/>
            <w:hideMark/>
          </w:tcPr>
          <w:p w14:paraId="4628D151" w14:textId="77777777" w:rsidR="0020432F" w:rsidRPr="00897E24" w:rsidRDefault="0020432F" w:rsidP="0020432F">
            <w:pPr>
              <w:rPr>
                <w:rFonts w:ascii="Arial" w:hAnsi="Arial" w:cs="Arial"/>
                <w:spacing w:val="0"/>
                <w:sz w:val="18"/>
                <w:szCs w:val="18"/>
                <w:lang w:val="en-US"/>
              </w:rPr>
            </w:pPr>
          </w:p>
        </w:tc>
        <w:tc>
          <w:tcPr>
            <w:tcW w:w="1097" w:type="dxa"/>
            <w:tcBorders>
              <w:top w:val="single" w:sz="4" w:space="0" w:color="auto"/>
              <w:left w:val="nil"/>
              <w:bottom w:val="single" w:sz="4" w:space="0" w:color="auto"/>
              <w:right w:val="nil"/>
            </w:tcBorders>
            <w:shd w:val="clear" w:color="auto" w:fill="auto"/>
            <w:noWrap/>
            <w:vAlign w:val="bottom"/>
            <w:hideMark/>
          </w:tcPr>
          <w:p w14:paraId="26F2DBF5" w14:textId="77777777" w:rsidR="0020432F" w:rsidRPr="00897E24" w:rsidRDefault="0020432F" w:rsidP="0020432F">
            <w:pPr>
              <w:rPr>
                <w:rFonts w:ascii="Arial" w:hAnsi="Arial" w:cs="Arial"/>
                <w:spacing w:val="0"/>
                <w:sz w:val="18"/>
                <w:szCs w:val="18"/>
                <w:lang w:val="en-US"/>
              </w:rPr>
            </w:pPr>
          </w:p>
        </w:tc>
        <w:tc>
          <w:tcPr>
            <w:tcW w:w="972" w:type="dxa"/>
            <w:tcBorders>
              <w:top w:val="single" w:sz="4" w:space="0" w:color="auto"/>
              <w:left w:val="nil"/>
              <w:bottom w:val="single" w:sz="4" w:space="0" w:color="auto"/>
              <w:right w:val="nil"/>
            </w:tcBorders>
            <w:shd w:val="clear" w:color="auto" w:fill="auto"/>
            <w:noWrap/>
            <w:vAlign w:val="bottom"/>
            <w:hideMark/>
          </w:tcPr>
          <w:p w14:paraId="4DECFD13" w14:textId="77777777" w:rsidR="0020432F" w:rsidRPr="00897E24" w:rsidRDefault="0020432F" w:rsidP="0020432F">
            <w:pPr>
              <w:rPr>
                <w:rFonts w:ascii="Arial" w:hAnsi="Arial" w:cs="Arial"/>
                <w:spacing w:val="0"/>
                <w:sz w:val="18"/>
                <w:szCs w:val="18"/>
                <w:lang w:val="en-US"/>
              </w:rPr>
            </w:pPr>
          </w:p>
        </w:tc>
        <w:tc>
          <w:tcPr>
            <w:tcW w:w="1454" w:type="dxa"/>
            <w:tcBorders>
              <w:top w:val="single" w:sz="4" w:space="0" w:color="auto"/>
              <w:left w:val="nil"/>
              <w:bottom w:val="single" w:sz="4" w:space="0" w:color="auto"/>
              <w:right w:val="nil"/>
            </w:tcBorders>
            <w:shd w:val="clear" w:color="auto" w:fill="auto"/>
            <w:noWrap/>
            <w:vAlign w:val="bottom"/>
            <w:hideMark/>
          </w:tcPr>
          <w:p w14:paraId="17B5AF27" w14:textId="77777777" w:rsidR="0020432F" w:rsidRPr="00897E24" w:rsidRDefault="0020432F" w:rsidP="0020432F">
            <w:pPr>
              <w:rPr>
                <w:rFonts w:ascii="Arial" w:hAnsi="Arial" w:cs="Arial"/>
                <w:spacing w:val="0"/>
                <w:sz w:val="18"/>
                <w:szCs w:val="18"/>
                <w:lang w:val="en-US"/>
              </w:rPr>
            </w:pPr>
          </w:p>
        </w:tc>
        <w:tc>
          <w:tcPr>
            <w:tcW w:w="1081" w:type="dxa"/>
            <w:tcBorders>
              <w:top w:val="single" w:sz="4" w:space="0" w:color="auto"/>
              <w:left w:val="nil"/>
              <w:bottom w:val="single" w:sz="4" w:space="0" w:color="auto"/>
              <w:right w:val="nil"/>
            </w:tcBorders>
            <w:shd w:val="clear" w:color="auto" w:fill="auto"/>
            <w:noWrap/>
            <w:vAlign w:val="bottom"/>
            <w:hideMark/>
          </w:tcPr>
          <w:p w14:paraId="300D1834" w14:textId="77777777" w:rsidR="0020432F" w:rsidRPr="00897E24" w:rsidRDefault="0020432F" w:rsidP="0020432F">
            <w:pPr>
              <w:rPr>
                <w:rFonts w:ascii="Arial" w:hAnsi="Arial" w:cs="Arial"/>
                <w:spacing w:val="0"/>
                <w:sz w:val="18"/>
                <w:szCs w:val="18"/>
                <w:lang w:val="en-US"/>
              </w:rPr>
            </w:pPr>
          </w:p>
        </w:tc>
      </w:tr>
      <w:tr w:rsidR="0020432F" w:rsidRPr="00FF2439" w14:paraId="7DEB1AE2" w14:textId="77777777" w:rsidTr="002F0082">
        <w:trPr>
          <w:trHeight w:val="288"/>
        </w:trPr>
        <w:tc>
          <w:tcPr>
            <w:tcW w:w="2785" w:type="dxa"/>
            <w:tcBorders>
              <w:top w:val="single" w:sz="4" w:space="0" w:color="auto"/>
              <w:left w:val="single" w:sz="4" w:space="0" w:color="auto"/>
              <w:bottom w:val="nil"/>
              <w:right w:val="nil"/>
            </w:tcBorders>
            <w:shd w:val="clear" w:color="auto" w:fill="auto"/>
            <w:noWrap/>
            <w:vAlign w:val="bottom"/>
            <w:hideMark/>
          </w:tcPr>
          <w:p w14:paraId="6D803B40" w14:textId="77777777" w:rsidR="0020432F" w:rsidRPr="00897E24" w:rsidRDefault="0020432F" w:rsidP="0020432F">
            <w:pPr>
              <w:rPr>
                <w:rFonts w:ascii="Arial" w:hAnsi="Arial" w:cs="Arial"/>
                <w:color w:val="000000"/>
                <w:spacing w:val="0"/>
                <w:sz w:val="18"/>
                <w:szCs w:val="18"/>
                <w:lang w:val="en-US"/>
              </w:rPr>
            </w:pPr>
            <w:r w:rsidRPr="00897E24">
              <w:rPr>
                <w:rFonts w:ascii="Arial" w:hAnsi="Arial" w:cs="Arial"/>
                <w:color w:val="000000"/>
                <w:spacing w:val="0"/>
                <w:sz w:val="18"/>
                <w:szCs w:val="18"/>
                <w:lang w:val="en-US"/>
              </w:rPr>
              <w:t>psmatch2:</w:t>
            </w:r>
          </w:p>
        </w:tc>
        <w:tc>
          <w:tcPr>
            <w:tcW w:w="1047" w:type="dxa"/>
            <w:tcBorders>
              <w:top w:val="single" w:sz="4" w:space="0" w:color="auto"/>
              <w:left w:val="nil"/>
              <w:bottom w:val="nil"/>
              <w:right w:val="nil"/>
            </w:tcBorders>
            <w:shd w:val="clear" w:color="auto" w:fill="auto"/>
            <w:noWrap/>
            <w:vAlign w:val="bottom"/>
            <w:hideMark/>
          </w:tcPr>
          <w:p w14:paraId="6B6DF298" w14:textId="77777777" w:rsidR="0020432F" w:rsidRPr="00897E24" w:rsidRDefault="0020432F" w:rsidP="0020432F">
            <w:pPr>
              <w:rPr>
                <w:rFonts w:ascii="Arial" w:hAnsi="Arial" w:cs="Arial"/>
                <w:color w:val="000000"/>
                <w:spacing w:val="0"/>
                <w:sz w:val="18"/>
                <w:szCs w:val="18"/>
                <w:lang w:val="en-US"/>
              </w:rPr>
            </w:pPr>
            <w:r w:rsidRPr="00897E24">
              <w:rPr>
                <w:rFonts w:ascii="Arial" w:hAnsi="Arial" w:cs="Arial"/>
                <w:color w:val="000000"/>
                <w:spacing w:val="0"/>
                <w:sz w:val="18"/>
                <w:szCs w:val="18"/>
                <w:lang w:val="en-US"/>
              </w:rPr>
              <w:t>psmatch2:</w:t>
            </w:r>
          </w:p>
        </w:tc>
        <w:tc>
          <w:tcPr>
            <w:tcW w:w="1081" w:type="dxa"/>
            <w:tcBorders>
              <w:top w:val="single" w:sz="4" w:space="0" w:color="auto"/>
              <w:left w:val="nil"/>
              <w:bottom w:val="nil"/>
              <w:right w:val="nil"/>
            </w:tcBorders>
            <w:shd w:val="clear" w:color="auto" w:fill="auto"/>
            <w:noWrap/>
            <w:vAlign w:val="bottom"/>
            <w:hideMark/>
          </w:tcPr>
          <w:p w14:paraId="7400A43B" w14:textId="77777777" w:rsidR="0020432F" w:rsidRPr="00897E24" w:rsidRDefault="0020432F" w:rsidP="0020432F">
            <w:pPr>
              <w:rPr>
                <w:rFonts w:ascii="Arial" w:hAnsi="Arial" w:cs="Arial"/>
                <w:color w:val="000000"/>
                <w:spacing w:val="0"/>
                <w:sz w:val="18"/>
                <w:szCs w:val="18"/>
                <w:lang w:val="en-US"/>
              </w:rPr>
            </w:pPr>
            <w:r w:rsidRPr="00897E24">
              <w:rPr>
                <w:rFonts w:ascii="Arial" w:hAnsi="Arial" w:cs="Arial"/>
                <w:color w:val="000000"/>
                <w:spacing w:val="0"/>
                <w:sz w:val="18"/>
                <w:szCs w:val="18"/>
                <w:lang w:val="en-US"/>
              </w:rPr>
              <w:t>Common</w:t>
            </w:r>
          </w:p>
        </w:tc>
        <w:tc>
          <w:tcPr>
            <w:tcW w:w="1097" w:type="dxa"/>
            <w:tcBorders>
              <w:top w:val="single" w:sz="4" w:space="0" w:color="auto"/>
              <w:left w:val="nil"/>
              <w:bottom w:val="nil"/>
              <w:right w:val="nil"/>
            </w:tcBorders>
            <w:shd w:val="clear" w:color="auto" w:fill="auto"/>
            <w:noWrap/>
            <w:vAlign w:val="bottom"/>
            <w:hideMark/>
          </w:tcPr>
          <w:p w14:paraId="57A964BE" w14:textId="77777777" w:rsidR="0020432F" w:rsidRPr="00897E24" w:rsidRDefault="0020432F" w:rsidP="0020432F">
            <w:pPr>
              <w:rPr>
                <w:rFonts w:ascii="Arial" w:hAnsi="Arial" w:cs="Arial"/>
                <w:color w:val="000000"/>
                <w:spacing w:val="0"/>
                <w:sz w:val="18"/>
                <w:szCs w:val="18"/>
                <w:lang w:val="en-US"/>
              </w:rPr>
            </w:pPr>
          </w:p>
        </w:tc>
        <w:tc>
          <w:tcPr>
            <w:tcW w:w="972" w:type="dxa"/>
            <w:tcBorders>
              <w:top w:val="single" w:sz="4" w:space="0" w:color="auto"/>
              <w:left w:val="nil"/>
              <w:bottom w:val="nil"/>
              <w:right w:val="nil"/>
            </w:tcBorders>
            <w:shd w:val="clear" w:color="auto" w:fill="auto"/>
            <w:noWrap/>
            <w:vAlign w:val="bottom"/>
            <w:hideMark/>
          </w:tcPr>
          <w:p w14:paraId="188AA9DD" w14:textId="77777777" w:rsidR="0020432F" w:rsidRPr="00897E24" w:rsidRDefault="0020432F" w:rsidP="0020432F">
            <w:pPr>
              <w:rPr>
                <w:rFonts w:ascii="Arial" w:hAnsi="Arial" w:cs="Arial"/>
                <w:spacing w:val="0"/>
                <w:sz w:val="18"/>
                <w:szCs w:val="18"/>
                <w:lang w:val="en-US"/>
              </w:rPr>
            </w:pPr>
          </w:p>
        </w:tc>
        <w:tc>
          <w:tcPr>
            <w:tcW w:w="1454" w:type="dxa"/>
            <w:tcBorders>
              <w:top w:val="single" w:sz="4" w:space="0" w:color="auto"/>
              <w:left w:val="nil"/>
              <w:bottom w:val="nil"/>
              <w:right w:val="nil"/>
            </w:tcBorders>
            <w:shd w:val="clear" w:color="auto" w:fill="auto"/>
            <w:noWrap/>
            <w:vAlign w:val="bottom"/>
            <w:hideMark/>
          </w:tcPr>
          <w:p w14:paraId="1AA338C9" w14:textId="77777777" w:rsidR="0020432F" w:rsidRPr="00897E24" w:rsidRDefault="0020432F" w:rsidP="0020432F">
            <w:pPr>
              <w:rPr>
                <w:rFonts w:ascii="Arial" w:hAnsi="Arial" w:cs="Arial"/>
                <w:spacing w:val="0"/>
                <w:sz w:val="18"/>
                <w:szCs w:val="18"/>
                <w:lang w:val="en-US"/>
              </w:rPr>
            </w:pPr>
          </w:p>
        </w:tc>
        <w:tc>
          <w:tcPr>
            <w:tcW w:w="1081" w:type="dxa"/>
            <w:tcBorders>
              <w:top w:val="single" w:sz="4" w:space="0" w:color="auto"/>
              <w:left w:val="nil"/>
              <w:bottom w:val="nil"/>
              <w:right w:val="single" w:sz="4" w:space="0" w:color="auto"/>
            </w:tcBorders>
            <w:shd w:val="clear" w:color="auto" w:fill="auto"/>
            <w:noWrap/>
            <w:vAlign w:val="bottom"/>
            <w:hideMark/>
          </w:tcPr>
          <w:p w14:paraId="02C64506" w14:textId="77777777" w:rsidR="0020432F" w:rsidRPr="00897E24" w:rsidRDefault="0020432F" w:rsidP="0020432F">
            <w:pPr>
              <w:rPr>
                <w:rFonts w:ascii="Arial" w:hAnsi="Arial" w:cs="Arial"/>
                <w:spacing w:val="0"/>
                <w:sz w:val="18"/>
                <w:szCs w:val="18"/>
                <w:lang w:val="en-US"/>
              </w:rPr>
            </w:pPr>
          </w:p>
        </w:tc>
      </w:tr>
      <w:tr w:rsidR="0020432F" w:rsidRPr="00FF2439" w14:paraId="3C952A4E" w14:textId="77777777" w:rsidTr="002F0082">
        <w:trPr>
          <w:trHeight w:val="288"/>
        </w:trPr>
        <w:tc>
          <w:tcPr>
            <w:tcW w:w="2785" w:type="dxa"/>
            <w:tcBorders>
              <w:top w:val="nil"/>
              <w:left w:val="single" w:sz="4" w:space="0" w:color="auto"/>
              <w:bottom w:val="nil"/>
              <w:right w:val="nil"/>
            </w:tcBorders>
            <w:shd w:val="clear" w:color="auto" w:fill="auto"/>
            <w:noWrap/>
            <w:vAlign w:val="bottom"/>
            <w:hideMark/>
          </w:tcPr>
          <w:p w14:paraId="3F7346DB" w14:textId="77777777" w:rsidR="0020432F" w:rsidRPr="00897E24" w:rsidRDefault="0020432F" w:rsidP="0020432F">
            <w:pPr>
              <w:rPr>
                <w:rFonts w:ascii="Arial" w:hAnsi="Arial" w:cs="Arial"/>
                <w:color w:val="000000"/>
                <w:spacing w:val="0"/>
                <w:sz w:val="18"/>
                <w:szCs w:val="18"/>
                <w:lang w:val="en-US"/>
              </w:rPr>
            </w:pPr>
            <w:r w:rsidRPr="00897E24">
              <w:rPr>
                <w:rFonts w:ascii="Arial" w:hAnsi="Arial" w:cs="Arial"/>
                <w:color w:val="000000"/>
                <w:spacing w:val="0"/>
                <w:sz w:val="18"/>
                <w:szCs w:val="18"/>
                <w:lang w:val="en-US"/>
              </w:rPr>
              <w:t>Treatment</w:t>
            </w:r>
          </w:p>
        </w:tc>
        <w:tc>
          <w:tcPr>
            <w:tcW w:w="1047" w:type="dxa"/>
            <w:tcBorders>
              <w:top w:val="nil"/>
              <w:left w:val="nil"/>
              <w:bottom w:val="nil"/>
              <w:right w:val="nil"/>
            </w:tcBorders>
            <w:shd w:val="clear" w:color="auto" w:fill="auto"/>
            <w:noWrap/>
            <w:vAlign w:val="bottom"/>
            <w:hideMark/>
          </w:tcPr>
          <w:p w14:paraId="4472065E" w14:textId="77777777" w:rsidR="0020432F" w:rsidRPr="00897E24" w:rsidRDefault="0020432F" w:rsidP="0020432F">
            <w:pPr>
              <w:rPr>
                <w:rFonts w:ascii="Arial" w:hAnsi="Arial" w:cs="Arial"/>
                <w:color w:val="000000"/>
                <w:spacing w:val="0"/>
                <w:sz w:val="18"/>
                <w:szCs w:val="18"/>
                <w:lang w:val="en-US"/>
              </w:rPr>
            </w:pPr>
            <w:r w:rsidRPr="00897E24">
              <w:rPr>
                <w:rFonts w:ascii="Arial" w:hAnsi="Arial" w:cs="Arial"/>
                <w:color w:val="000000"/>
                <w:spacing w:val="0"/>
                <w:sz w:val="18"/>
                <w:szCs w:val="18"/>
                <w:lang w:val="en-US"/>
              </w:rPr>
              <w:t>support</w:t>
            </w:r>
          </w:p>
        </w:tc>
        <w:tc>
          <w:tcPr>
            <w:tcW w:w="1081" w:type="dxa"/>
            <w:tcBorders>
              <w:top w:val="nil"/>
              <w:left w:val="nil"/>
              <w:bottom w:val="nil"/>
              <w:right w:val="nil"/>
            </w:tcBorders>
            <w:shd w:val="clear" w:color="auto" w:fill="auto"/>
            <w:noWrap/>
            <w:vAlign w:val="bottom"/>
            <w:hideMark/>
          </w:tcPr>
          <w:p w14:paraId="656B1093" w14:textId="77777777" w:rsidR="0020432F" w:rsidRPr="00897E24" w:rsidRDefault="0020432F" w:rsidP="0020432F">
            <w:pPr>
              <w:rPr>
                <w:rFonts w:ascii="Arial" w:hAnsi="Arial" w:cs="Arial"/>
                <w:color w:val="000000"/>
                <w:spacing w:val="0"/>
                <w:sz w:val="18"/>
                <w:szCs w:val="18"/>
                <w:lang w:val="en-US"/>
              </w:rPr>
            </w:pPr>
          </w:p>
        </w:tc>
        <w:tc>
          <w:tcPr>
            <w:tcW w:w="1097" w:type="dxa"/>
            <w:tcBorders>
              <w:top w:val="nil"/>
              <w:left w:val="nil"/>
              <w:bottom w:val="nil"/>
              <w:right w:val="nil"/>
            </w:tcBorders>
            <w:shd w:val="clear" w:color="auto" w:fill="auto"/>
            <w:noWrap/>
            <w:vAlign w:val="bottom"/>
            <w:hideMark/>
          </w:tcPr>
          <w:p w14:paraId="5767BBBB" w14:textId="77777777" w:rsidR="0020432F" w:rsidRPr="00897E24" w:rsidRDefault="0020432F" w:rsidP="0020432F">
            <w:pPr>
              <w:rPr>
                <w:rFonts w:ascii="Arial" w:hAnsi="Arial" w:cs="Arial"/>
                <w:spacing w:val="0"/>
                <w:sz w:val="18"/>
                <w:szCs w:val="18"/>
                <w:lang w:val="en-US"/>
              </w:rPr>
            </w:pPr>
          </w:p>
        </w:tc>
        <w:tc>
          <w:tcPr>
            <w:tcW w:w="972" w:type="dxa"/>
            <w:tcBorders>
              <w:top w:val="nil"/>
              <w:left w:val="nil"/>
              <w:bottom w:val="nil"/>
              <w:right w:val="nil"/>
            </w:tcBorders>
            <w:shd w:val="clear" w:color="auto" w:fill="auto"/>
            <w:noWrap/>
            <w:vAlign w:val="bottom"/>
            <w:hideMark/>
          </w:tcPr>
          <w:p w14:paraId="4199D717" w14:textId="77777777" w:rsidR="0020432F" w:rsidRPr="00897E24" w:rsidRDefault="0020432F" w:rsidP="0020432F">
            <w:pPr>
              <w:rPr>
                <w:rFonts w:ascii="Arial" w:hAnsi="Arial" w:cs="Arial"/>
                <w:spacing w:val="0"/>
                <w:sz w:val="18"/>
                <w:szCs w:val="18"/>
                <w:lang w:val="en-US"/>
              </w:rPr>
            </w:pPr>
          </w:p>
        </w:tc>
        <w:tc>
          <w:tcPr>
            <w:tcW w:w="1454" w:type="dxa"/>
            <w:tcBorders>
              <w:top w:val="nil"/>
              <w:left w:val="nil"/>
              <w:bottom w:val="nil"/>
              <w:right w:val="nil"/>
            </w:tcBorders>
            <w:shd w:val="clear" w:color="auto" w:fill="auto"/>
            <w:noWrap/>
            <w:vAlign w:val="bottom"/>
            <w:hideMark/>
          </w:tcPr>
          <w:p w14:paraId="45DD653F" w14:textId="77777777" w:rsidR="0020432F" w:rsidRPr="00897E24" w:rsidRDefault="0020432F" w:rsidP="0020432F">
            <w:pPr>
              <w:rPr>
                <w:rFonts w:ascii="Arial" w:hAnsi="Arial" w:cs="Arial"/>
                <w:spacing w:val="0"/>
                <w:sz w:val="18"/>
                <w:szCs w:val="18"/>
                <w:lang w:val="en-US"/>
              </w:rPr>
            </w:pPr>
          </w:p>
        </w:tc>
        <w:tc>
          <w:tcPr>
            <w:tcW w:w="1081" w:type="dxa"/>
            <w:tcBorders>
              <w:top w:val="nil"/>
              <w:left w:val="nil"/>
              <w:bottom w:val="nil"/>
              <w:right w:val="single" w:sz="4" w:space="0" w:color="auto"/>
            </w:tcBorders>
            <w:shd w:val="clear" w:color="auto" w:fill="auto"/>
            <w:noWrap/>
            <w:vAlign w:val="bottom"/>
            <w:hideMark/>
          </w:tcPr>
          <w:p w14:paraId="5981FE32" w14:textId="77777777" w:rsidR="0020432F" w:rsidRPr="00897E24" w:rsidRDefault="0020432F" w:rsidP="0020432F">
            <w:pPr>
              <w:rPr>
                <w:rFonts w:ascii="Arial" w:hAnsi="Arial" w:cs="Arial"/>
                <w:spacing w:val="0"/>
                <w:sz w:val="18"/>
                <w:szCs w:val="18"/>
                <w:lang w:val="en-US"/>
              </w:rPr>
            </w:pPr>
          </w:p>
        </w:tc>
      </w:tr>
      <w:tr w:rsidR="0020432F" w:rsidRPr="00FF2439" w14:paraId="41D4EA4D" w14:textId="77777777" w:rsidTr="002F0082">
        <w:trPr>
          <w:trHeight w:val="288"/>
        </w:trPr>
        <w:tc>
          <w:tcPr>
            <w:tcW w:w="2785" w:type="dxa"/>
            <w:tcBorders>
              <w:top w:val="nil"/>
              <w:left w:val="single" w:sz="4" w:space="0" w:color="auto"/>
              <w:bottom w:val="nil"/>
              <w:right w:val="nil"/>
            </w:tcBorders>
            <w:shd w:val="clear" w:color="auto" w:fill="auto"/>
            <w:noWrap/>
            <w:vAlign w:val="bottom"/>
            <w:hideMark/>
          </w:tcPr>
          <w:p w14:paraId="4184CD13" w14:textId="77777777" w:rsidR="0020432F" w:rsidRPr="00897E24" w:rsidRDefault="0020432F" w:rsidP="0020432F">
            <w:pPr>
              <w:rPr>
                <w:rFonts w:ascii="Arial" w:hAnsi="Arial" w:cs="Arial"/>
                <w:color w:val="000000"/>
                <w:spacing w:val="0"/>
                <w:sz w:val="18"/>
                <w:szCs w:val="18"/>
                <w:lang w:val="en-US"/>
              </w:rPr>
            </w:pPr>
            <w:r w:rsidRPr="00897E24">
              <w:rPr>
                <w:rFonts w:ascii="Arial" w:hAnsi="Arial" w:cs="Arial"/>
                <w:color w:val="000000"/>
                <w:spacing w:val="0"/>
                <w:sz w:val="18"/>
                <w:szCs w:val="18"/>
                <w:lang w:val="en-US"/>
              </w:rPr>
              <w:t>assignment</w:t>
            </w:r>
          </w:p>
        </w:tc>
        <w:tc>
          <w:tcPr>
            <w:tcW w:w="1047" w:type="dxa"/>
            <w:tcBorders>
              <w:top w:val="nil"/>
              <w:left w:val="nil"/>
              <w:bottom w:val="nil"/>
              <w:right w:val="nil"/>
            </w:tcBorders>
            <w:shd w:val="clear" w:color="auto" w:fill="auto"/>
            <w:noWrap/>
            <w:vAlign w:val="bottom"/>
            <w:hideMark/>
          </w:tcPr>
          <w:p w14:paraId="1EBC2A78" w14:textId="77777777" w:rsidR="0020432F" w:rsidRPr="00897E24" w:rsidRDefault="0020432F" w:rsidP="0020432F">
            <w:pPr>
              <w:rPr>
                <w:rFonts w:ascii="Arial" w:hAnsi="Arial" w:cs="Arial"/>
                <w:color w:val="000000"/>
                <w:spacing w:val="0"/>
                <w:sz w:val="18"/>
                <w:szCs w:val="18"/>
                <w:lang w:val="en-US"/>
              </w:rPr>
            </w:pPr>
            <w:r w:rsidRPr="00897E24">
              <w:rPr>
                <w:rFonts w:ascii="Arial" w:hAnsi="Arial" w:cs="Arial"/>
                <w:color w:val="000000"/>
                <w:spacing w:val="0"/>
                <w:sz w:val="18"/>
                <w:szCs w:val="18"/>
                <w:lang w:val="en-US"/>
              </w:rPr>
              <w:t>Off</w:t>
            </w:r>
          </w:p>
        </w:tc>
        <w:tc>
          <w:tcPr>
            <w:tcW w:w="1081" w:type="dxa"/>
            <w:tcBorders>
              <w:top w:val="nil"/>
              <w:left w:val="nil"/>
              <w:bottom w:val="nil"/>
              <w:right w:val="nil"/>
            </w:tcBorders>
            <w:shd w:val="clear" w:color="auto" w:fill="auto"/>
            <w:noWrap/>
            <w:vAlign w:val="bottom"/>
            <w:hideMark/>
          </w:tcPr>
          <w:p w14:paraId="33B60BE5" w14:textId="77777777" w:rsidR="0020432F" w:rsidRPr="00897E24" w:rsidRDefault="0020432F" w:rsidP="0020432F">
            <w:pPr>
              <w:rPr>
                <w:rFonts w:ascii="Arial" w:hAnsi="Arial" w:cs="Arial"/>
                <w:color w:val="000000"/>
                <w:spacing w:val="0"/>
                <w:sz w:val="18"/>
                <w:szCs w:val="18"/>
                <w:lang w:val="en-US"/>
              </w:rPr>
            </w:pPr>
            <w:r w:rsidRPr="00897E24">
              <w:rPr>
                <w:rFonts w:ascii="Arial" w:hAnsi="Arial" w:cs="Arial"/>
                <w:color w:val="000000"/>
                <w:spacing w:val="0"/>
                <w:sz w:val="18"/>
                <w:szCs w:val="18"/>
                <w:lang w:val="en-US"/>
              </w:rPr>
              <w:t>On</w:t>
            </w:r>
          </w:p>
        </w:tc>
        <w:tc>
          <w:tcPr>
            <w:tcW w:w="1097" w:type="dxa"/>
            <w:tcBorders>
              <w:top w:val="nil"/>
              <w:left w:val="nil"/>
              <w:bottom w:val="nil"/>
              <w:right w:val="nil"/>
            </w:tcBorders>
            <w:shd w:val="clear" w:color="auto" w:fill="auto"/>
            <w:noWrap/>
            <w:vAlign w:val="bottom"/>
            <w:hideMark/>
          </w:tcPr>
          <w:p w14:paraId="69F322E9" w14:textId="77777777" w:rsidR="0020432F" w:rsidRPr="00897E24" w:rsidRDefault="0020432F" w:rsidP="0020432F">
            <w:pPr>
              <w:rPr>
                <w:rFonts w:ascii="Arial" w:hAnsi="Arial" w:cs="Arial"/>
                <w:color w:val="000000"/>
                <w:spacing w:val="0"/>
                <w:sz w:val="18"/>
                <w:szCs w:val="18"/>
                <w:lang w:val="en-US"/>
              </w:rPr>
            </w:pPr>
          </w:p>
        </w:tc>
        <w:tc>
          <w:tcPr>
            <w:tcW w:w="972" w:type="dxa"/>
            <w:tcBorders>
              <w:top w:val="nil"/>
              <w:left w:val="nil"/>
              <w:bottom w:val="nil"/>
              <w:right w:val="nil"/>
            </w:tcBorders>
            <w:shd w:val="clear" w:color="auto" w:fill="auto"/>
            <w:noWrap/>
            <w:vAlign w:val="bottom"/>
            <w:hideMark/>
          </w:tcPr>
          <w:p w14:paraId="2F8F32DE" w14:textId="77777777" w:rsidR="0020432F" w:rsidRPr="00897E24" w:rsidRDefault="0020432F" w:rsidP="0020432F">
            <w:pPr>
              <w:rPr>
                <w:rFonts w:ascii="Arial" w:hAnsi="Arial" w:cs="Arial"/>
                <w:spacing w:val="0"/>
                <w:sz w:val="18"/>
                <w:szCs w:val="18"/>
                <w:lang w:val="en-US"/>
              </w:rPr>
            </w:pPr>
          </w:p>
        </w:tc>
        <w:tc>
          <w:tcPr>
            <w:tcW w:w="1454" w:type="dxa"/>
            <w:tcBorders>
              <w:top w:val="nil"/>
              <w:left w:val="nil"/>
              <w:bottom w:val="nil"/>
              <w:right w:val="nil"/>
            </w:tcBorders>
            <w:shd w:val="clear" w:color="auto" w:fill="auto"/>
            <w:noWrap/>
            <w:vAlign w:val="bottom"/>
            <w:hideMark/>
          </w:tcPr>
          <w:p w14:paraId="239F298B" w14:textId="77777777" w:rsidR="0020432F" w:rsidRPr="00897E24" w:rsidRDefault="0020432F" w:rsidP="0020432F">
            <w:pPr>
              <w:rPr>
                <w:rFonts w:ascii="Arial" w:hAnsi="Arial" w:cs="Arial"/>
                <w:spacing w:val="0"/>
                <w:sz w:val="18"/>
                <w:szCs w:val="18"/>
                <w:lang w:val="en-US"/>
              </w:rPr>
            </w:pPr>
          </w:p>
        </w:tc>
        <w:tc>
          <w:tcPr>
            <w:tcW w:w="1081" w:type="dxa"/>
            <w:tcBorders>
              <w:top w:val="nil"/>
              <w:left w:val="nil"/>
              <w:bottom w:val="nil"/>
              <w:right w:val="single" w:sz="4" w:space="0" w:color="auto"/>
            </w:tcBorders>
            <w:shd w:val="clear" w:color="auto" w:fill="auto"/>
            <w:noWrap/>
            <w:vAlign w:val="bottom"/>
            <w:hideMark/>
          </w:tcPr>
          <w:p w14:paraId="2C098A7F" w14:textId="77777777" w:rsidR="0020432F" w:rsidRPr="00897E24" w:rsidRDefault="0020432F" w:rsidP="0020432F">
            <w:pPr>
              <w:rPr>
                <w:rFonts w:ascii="Arial" w:hAnsi="Arial" w:cs="Arial"/>
                <w:spacing w:val="0"/>
                <w:sz w:val="18"/>
                <w:szCs w:val="18"/>
                <w:lang w:val="en-US"/>
              </w:rPr>
            </w:pPr>
          </w:p>
        </w:tc>
      </w:tr>
      <w:tr w:rsidR="0020432F" w:rsidRPr="00FF2439" w14:paraId="61422557" w14:textId="77777777" w:rsidTr="002F0082">
        <w:trPr>
          <w:trHeight w:val="288"/>
        </w:trPr>
        <w:tc>
          <w:tcPr>
            <w:tcW w:w="2785" w:type="dxa"/>
            <w:tcBorders>
              <w:top w:val="nil"/>
              <w:left w:val="single" w:sz="4" w:space="0" w:color="auto"/>
              <w:bottom w:val="nil"/>
              <w:right w:val="nil"/>
            </w:tcBorders>
            <w:shd w:val="clear" w:color="auto" w:fill="auto"/>
            <w:noWrap/>
            <w:vAlign w:val="bottom"/>
            <w:hideMark/>
          </w:tcPr>
          <w:p w14:paraId="202D545B" w14:textId="77777777" w:rsidR="0020432F" w:rsidRPr="00897E24" w:rsidRDefault="0020432F" w:rsidP="0020432F">
            <w:pPr>
              <w:rPr>
                <w:rFonts w:ascii="Arial" w:hAnsi="Arial" w:cs="Arial"/>
                <w:spacing w:val="0"/>
                <w:sz w:val="18"/>
                <w:szCs w:val="18"/>
                <w:lang w:val="en-US"/>
              </w:rPr>
            </w:pPr>
          </w:p>
        </w:tc>
        <w:tc>
          <w:tcPr>
            <w:tcW w:w="1047" w:type="dxa"/>
            <w:tcBorders>
              <w:top w:val="nil"/>
              <w:left w:val="nil"/>
              <w:bottom w:val="nil"/>
              <w:right w:val="nil"/>
            </w:tcBorders>
            <w:shd w:val="clear" w:color="auto" w:fill="auto"/>
            <w:noWrap/>
            <w:vAlign w:val="bottom"/>
            <w:hideMark/>
          </w:tcPr>
          <w:p w14:paraId="0609EC5F" w14:textId="4A42A886" w:rsidR="0020432F" w:rsidRPr="00897E24" w:rsidRDefault="0020432F" w:rsidP="0020432F">
            <w:pPr>
              <w:rPr>
                <w:rFonts w:ascii="Arial" w:hAnsi="Arial" w:cs="Arial"/>
                <w:color w:val="000000"/>
                <w:spacing w:val="0"/>
                <w:sz w:val="18"/>
                <w:szCs w:val="18"/>
                <w:lang w:val="en-US"/>
              </w:rPr>
            </w:pPr>
            <w:r w:rsidRPr="00897E24">
              <w:rPr>
                <w:rFonts w:ascii="Arial" w:hAnsi="Arial" w:cs="Arial"/>
                <w:color w:val="000000"/>
                <w:spacing w:val="0"/>
                <w:sz w:val="18"/>
                <w:szCs w:val="18"/>
                <w:lang w:val="en-US"/>
              </w:rPr>
              <w:t>suppo</w:t>
            </w:r>
            <w:r w:rsidR="00B479B9">
              <w:rPr>
                <w:rFonts w:ascii="Arial" w:hAnsi="Arial" w:cs="Arial"/>
                <w:color w:val="000000"/>
                <w:spacing w:val="0"/>
                <w:sz w:val="18"/>
                <w:szCs w:val="18"/>
                <w:lang w:val="en-US"/>
              </w:rPr>
              <w:t>rt</w:t>
            </w:r>
          </w:p>
        </w:tc>
        <w:tc>
          <w:tcPr>
            <w:tcW w:w="1081" w:type="dxa"/>
            <w:tcBorders>
              <w:top w:val="nil"/>
              <w:left w:val="nil"/>
              <w:bottom w:val="nil"/>
              <w:right w:val="nil"/>
            </w:tcBorders>
            <w:shd w:val="clear" w:color="auto" w:fill="auto"/>
            <w:noWrap/>
            <w:vAlign w:val="bottom"/>
            <w:hideMark/>
          </w:tcPr>
          <w:p w14:paraId="45BDACA9" w14:textId="154ED320" w:rsidR="0020432F" w:rsidRPr="00897E24" w:rsidRDefault="0020432F" w:rsidP="0020432F">
            <w:pPr>
              <w:rPr>
                <w:rFonts w:ascii="Arial" w:hAnsi="Arial" w:cs="Arial"/>
                <w:color w:val="000000"/>
                <w:spacing w:val="0"/>
                <w:sz w:val="18"/>
                <w:szCs w:val="18"/>
                <w:lang w:val="en-US"/>
              </w:rPr>
            </w:pPr>
            <w:r w:rsidRPr="00897E24">
              <w:rPr>
                <w:rFonts w:ascii="Arial" w:hAnsi="Arial" w:cs="Arial"/>
                <w:color w:val="000000"/>
                <w:spacing w:val="0"/>
                <w:sz w:val="18"/>
                <w:szCs w:val="18"/>
                <w:lang w:val="en-US"/>
              </w:rPr>
              <w:t>suppor</w:t>
            </w:r>
            <w:r w:rsidR="00B479B9">
              <w:rPr>
                <w:rFonts w:ascii="Arial" w:hAnsi="Arial" w:cs="Arial"/>
                <w:color w:val="000000"/>
                <w:spacing w:val="0"/>
                <w:sz w:val="18"/>
                <w:szCs w:val="18"/>
                <w:lang w:val="en-US"/>
              </w:rPr>
              <w:t xml:space="preserve">t </w:t>
            </w:r>
          </w:p>
        </w:tc>
        <w:tc>
          <w:tcPr>
            <w:tcW w:w="1097" w:type="dxa"/>
            <w:tcBorders>
              <w:top w:val="nil"/>
              <w:left w:val="nil"/>
              <w:bottom w:val="nil"/>
              <w:right w:val="nil"/>
            </w:tcBorders>
            <w:shd w:val="clear" w:color="auto" w:fill="auto"/>
            <w:noWrap/>
            <w:vAlign w:val="bottom"/>
            <w:hideMark/>
          </w:tcPr>
          <w:p w14:paraId="1895B96C" w14:textId="77777777" w:rsidR="0020432F" w:rsidRPr="00897E24" w:rsidRDefault="0020432F" w:rsidP="0020432F">
            <w:pPr>
              <w:rPr>
                <w:rFonts w:ascii="Arial" w:hAnsi="Arial" w:cs="Arial"/>
                <w:color w:val="000000"/>
                <w:spacing w:val="0"/>
                <w:sz w:val="18"/>
                <w:szCs w:val="18"/>
                <w:lang w:val="en-US"/>
              </w:rPr>
            </w:pPr>
            <w:r w:rsidRPr="00897E24">
              <w:rPr>
                <w:rFonts w:ascii="Arial" w:hAnsi="Arial" w:cs="Arial"/>
                <w:color w:val="000000"/>
                <w:spacing w:val="0"/>
                <w:sz w:val="18"/>
                <w:szCs w:val="18"/>
                <w:lang w:val="en-US"/>
              </w:rPr>
              <w:t>Total</w:t>
            </w:r>
          </w:p>
        </w:tc>
        <w:tc>
          <w:tcPr>
            <w:tcW w:w="972" w:type="dxa"/>
            <w:tcBorders>
              <w:top w:val="nil"/>
              <w:left w:val="nil"/>
              <w:bottom w:val="nil"/>
              <w:right w:val="nil"/>
            </w:tcBorders>
            <w:shd w:val="clear" w:color="auto" w:fill="auto"/>
            <w:noWrap/>
            <w:vAlign w:val="bottom"/>
            <w:hideMark/>
          </w:tcPr>
          <w:p w14:paraId="42F71889" w14:textId="77777777" w:rsidR="0020432F" w:rsidRPr="00897E24" w:rsidRDefault="0020432F" w:rsidP="0020432F">
            <w:pPr>
              <w:rPr>
                <w:rFonts w:ascii="Arial" w:hAnsi="Arial" w:cs="Arial"/>
                <w:color w:val="000000"/>
                <w:spacing w:val="0"/>
                <w:sz w:val="18"/>
                <w:szCs w:val="18"/>
                <w:lang w:val="en-US"/>
              </w:rPr>
            </w:pPr>
          </w:p>
        </w:tc>
        <w:tc>
          <w:tcPr>
            <w:tcW w:w="1454" w:type="dxa"/>
            <w:tcBorders>
              <w:top w:val="nil"/>
              <w:left w:val="nil"/>
              <w:bottom w:val="nil"/>
              <w:right w:val="nil"/>
            </w:tcBorders>
            <w:shd w:val="clear" w:color="auto" w:fill="auto"/>
            <w:noWrap/>
            <w:vAlign w:val="bottom"/>
            <w:hideMark/>
          </w:tcPr>
          <w:p w14:paraId="1C75115E" w14:textId="77777777" w:rsidR="0020432F" w:rsidRPr="00897E24" w:rsidRDefault="0020432F" w:rsidP="0020432F">
            <w:pPr>
              <w:rPr>
                <w:rFonts w:ascii="Arial" w:hAnsi="Arial" w:cs="Arial"/>
                <w:spacing w:val="0"/>
                <w:sz w:val="18"/>
                <w:szCs w:val="18"/>
                <w:lang w:val="en-US"/>
              </w:rPr>
            </w:pPr>
          </w:p>
        </w:tc>
        <w:tc>
          <w:tcPr>
            <w:tcW w:w="1081" w:type="dxa"/>
            <w:tcBorders>
              <w:top w:val="nil"/>
              <w:left w:val="nil"/>
              <w:bottom w:val="nil"/>
              <w:right w:val="single" w:sz="4" w:space="0" w:color="auto"/>
            </w:tcBorders>
            <w:shd w:val="clear" w:color="auto" w:fill="auto"/>
            <w:noWrap/>
            <w:vAlign w:val="bottom"/>
            <w:hideMark/>
          </w:tcPr>
          <w:p w14:paraId="52281592" w14:textId="77777777" w:rsidR="0020432F" w:rsidRPr="00897E24" w:rsidRDefault="0020432F" w:rsidP="0020432F">
            <w:pPr>
              <w:rPr>
                <w:rFonts w:ascii="Arial" w:hAnsi="Arial" w:cs="Arial"/>
                <w:spacing w:val="0"/>
                <w:sz w:val="18"/>
                <w:szCs w:val="18"/>
                <w:lang w:val="en-US"/>
              </w:rPr>
            </w:pPr>
          </w:p>
        </w:tc>
      </w:tr>
      <w:tr w:rsidR="0020432F" w:rsidRPr="00FF2439" w14:paraId="63D8C881" w14:textId="77777777" w:rsidTr="002F0082">
        <w:trPr>
          <w:trHeight w:val="288"/>
        </w:trPr>
        <w:tc>
          <w:tcPr>
            <w:tcW w:w="2785" w:type="dxa"/>
            <w:tcBorders>
              <w:top w:val="nil"/>
              <w:left w:val="single" w:sz="4" w:space="0" w:color="auto"/>
              <w:bottom w:val="nil"/>
              <w:right w:val="nil"/>
            </w:tcBorders>
            <w:shd w:val="clear" w:color="auto" w:fill="auto"/>
            <w:noWrap/>
            <w:vAlign w:val="bottom"/>
            <w:hideMark/>
          </w:tcPr>
          <w:p w14:paraId="419F7078" w14:textId="77777777" w:rsidR="0020432F" w:rsidRPr="00897E24" w:rsidRDefault="0020432F" w:rsidP="0020432F">
            <w:pPr>
              <w:rPr>
                <w:rFonts w:ascii="Arial" w:hAnsi="Arial" w:cs="Arial"/>
                <w:color w:val="000000"/>
                <w:spacing w:val="0"/>
                <w:sz w:val="18"/>
                <w:szCs w:val="18"/>
                <w:lang w:val="en-US"/>
              </w:rPr>
            </w:pPr>
            <w:r w:rsidRPr="00897E24">
              <w:rPr>
                <w:rFonts w:ascii="Arial" w:hAnsi="Arial" w:cs="Arial"/>
                <w:color w:val="000000"/>
                <w:spacing w:val="0"/>
                <w:sz w:val="18"/>
                <w:szCs w:val="18"/>
                <w:lang w:val="en-US"/>
              </w:rPr>
              <w:t>Untreated</w:t>
            </w:r>
          </w:p>
        </w:tc>
        <w:tc>
          <w:tcPr>
            <w:tcW w:w="1047" w:type="dxa"/>
            <w:tcBorders>
              <w:top w:val="nil"/>
              <w:left w:val="nil"/>
              <w:bottom w:val="nil"/>
              <w:right w:val="nil"/>
            </w:tcBorders>
            <w:shd w:val="clear" w:color="auto" w:fill="auto"/>
            <w:noWrap/>
            <w:vAlign w:val="bottom"/>
            <w:hideMark/>
          </w:tcPr>
          <w:p w14:paraId="1CAA7AB8"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w:t>
            </w:r>
          </w:p>
        </w:tc>
        <w:tc>
          <w:tcPr>
            <w:tcW w:w="1081" w:type="dxa"/>
            <w:tcBorders>
              <w:top w:val="nil"/>
              <w:left w:val="nil"/>
              <w:bottom w:val="nil"/>
              <w:right w:val="nil"/>
            </w:tcBorders>
            <w:shd w:val="clear" w:color="auto" w:fill="auto"/>
            <w:noWrap/>
            <w:vAlign w:val="bottom"/>
            <w:hideMark/>
          </w:tcPr>
          <w:p w14:paraId="5332B77D"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2,221</w:t>
            </w:r>
          </w:p>
        </w:tc>
        <w:tc>
          <w:tcPr>
            <w:tcW w:w="1097" w:type="dxa"/>
            <w:tcBorders>
              <w:top w:val="nil"/>
              <w:left w:val="nil"/>
              <w:bottom w:val="nil"/>
              <w:right w:val="nil"/>
            </w:tcBorders>
            <w:shd w:val="clear" w:color="auto" w:fill="auto"/>
            <w:noWrap/>
            <w:vAlign w:val="bottom"/>
            <w:hideMark/>
          </w:tcPr>
          <w:p w14:paraId="5BB61DA9"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2,221</w:t>
            </w:r>
          </w:p>
        </w:tc>
        <w:tc>
          <w:tcPr>
            <w:tcW w:w="972" w:type="dxa"/>
            <w:tcBorders>
              <w:top w:val="nil"/>
              <w:left w:val="nil"/>
              <w:bottom w:val="nil"/>
              <w:right w:val="nil"/>
            </w:tcBorders>
            <w:shd w:val="clear" w:color="auto" w:fill="auto"/>
            <w:noWrap/>
            <w:vAlign w:val="bottom"/>
            <w:hideMark/>
          </w:tcPr>
          <w:p w14:paraId="749CC1C5" w14:textId="77777777" w:rsidR="0020432F" w:rsidRPr="00897E24" w:rsidRDefault="0020432F" w:rsidP="0020432F">
            <w:pPr>
              <w:jc w:val="right"/>
              <w:rPr>
                <w:rFonts w:ascii="Arial" w:hAnsi="Arial" w:cs="Arial"/>
                <w:color w:val="000000"/>
                <w:spacing w:val="0"/>
                <w:sz w:val="18"/>
                <w:szCs w:val="18"/>
                <w:lang w:val="en-US"/>
              </w:rPr>
            </w:pPr>
          </w:p>
        </w:tc>
        <w:tc>
          <w:tcPr>
            <w:tcW w:w="1454" w:type="dxa"/>
            <w:tcBorders>
              <w:top w:val="nil"/>
              <w:left w:val="nil"/>
              <w:bottom w:val="nil"/>
              <w:right w:val="nil"/>
            </w:tcBorders>
            <w:shd w:val="clear" w:color="auto" w:fill="auto"/>
            <w:noWrap/>
            <w:vAlign w:val="bottom"/>
            <w:hideMark/>
          </w:tcPr>
          <w:p w14:paraId="3CC2998E" w14:textId="77777777" w:rsidR="0020432F" w:rsidRPr="00897E24" w:rsidRDefault="0020432F" w:rsidP="0020432F">
            <w:pPr>
              <w:rPr>
                <w:rFonts w:ascii="Arial" w:hAnsi="Arial" w:cs="Arial"/>
                <w:spacing w:val="0"/>
                <w:sz w:val="18"/>
                <w:szCs w:val="18"/>
                <w:lang w:val="en-US"/>
              </w:rPr>
            </w:pPr>
          </w:p>
        </w:tc>
        <w:tc>
          <w:tcPr>
            <w:tcW w:w="1081" w:type="dxa"/>
            <w:tcBorders>
              <w:top w:val="nil"/>
              <w:left w:val="nil"/>
              <w:bottom w:val="nil"/>
              <w:right w:val="single" w:sz="4" w:space="0" w:color="auto"/>
            </w:tcBorders>
            <w:shd w:val="clear" w:color="auto" w:fill="auto"/>
            <w:noWrap/>
            <w:vAlign w:val="bottom"/>
            <w:hideMark/>
          </w:tcPr>
          <w:p w14:paraId="1089A126" w14:textId="77777777" w:rsidR="0020432F" w:rsidRPr="00897E24" w:rsidRDefault="0020432F" w:rsidP="0020432F">
            <w:pPr>
              <w:rPr>
                <w:rFonts w:ascii="Arial" w:hAnsi="Arial" w:cs="Arial"/>
                <w:spacing w:val="0"/>
                <w:sz w:val="18"/>
                <w:szCs w:val="18"/>
                <w:lang w:val="en-US"/>
              </w:rPr>
            </w:pPr>
          </w:p>
        </w:tc>
      </w:tr>
      <w:tr w:rsidR="0020432F" w:rsidRPr="00FF2439" w14:paraId="514EC7D0" w14:textId="77777777" w:rsidTr="002F0082">
        <w:trPr>
          <w:trHeight w:val="288"/>
        </w:trPr>
        <w:tc>
          <w:tcPr>
            <w:tcW w:w="2785" w:type="dxa"/>
            <w:tcBorders>
              <w:top w:val="nil"/>
              <w:left w:val="single" w:sz="4" w:space="0" w:color="auto"/>
              <w:bottom w:val="nil"/>
              <w:right w:val="nil"/>
            </w:tcBorders>
            <w:shd w:val="clear" w:color="auto" w:fill="auto"/>
            <w:noWrap/>
            <w:vAlign w:val="bottom"/>
            <w:hideMark/>
          </w:tcPr>
          <w:p w14:paraId="0E90FA26" w14:textId="77777777" w:rsidR="0020432F" w:rsidRPr="00897E24" w:rsidRDefault="0020432F" w:rsidP="0020432F">
            <w:pPr>
              <w:rPr>
                <w:rFonts w:ascii="Arial" w:hAnsi="Arial" w:cs="Arial"/>
                <w:color w:val="000000"/>
                <w:spacing w:val="0"/>
                <w:sz w:val="18"/>
                <w:szCs w:val="18"/>
                <w:lang w:val="en-US"/>
              </w:rPr>
            </w:pPr>
            <w:r w:rsidRPr="00897E24">
              <w:rPr>
                <w:rFonts w:ascii="Arial" w:hAnsi="Arial" w:cs="Arial"/>
                <w:color w:val="000000"/>
                <w:spacing w:val="0"/>
                <w:sz w:val="18"/>
                <w:szCs w:val="18"/>
                <w:lang w:val="en-US"/>
              </w:rPr>
              <w:t>Treated</w:t>
            </w:r>
          </w:p>
        </w:tc>
        <w:tc>
          <w:tcPr>
            <w:tcW w:w="1047" w:type="dxa"/>
            <w:tcBorders>
              <w:top w:val="nil"/>
              <w:left w:val="nil"/>
              <w:bottom w:val="nil"/>
              <w:right w:val="nil"/>
            </w:tcBorders>
            <w:shd w:val="clear" w:color="auto" w:fill="auto"/>
            <w:noWrap/>
            <w:vAlign w:val="bottom"/>
            <w:hideMark/>
          </w:tcPr>
          <w:p w14:paraId="6AD92BE4"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1</w:t>
            </w:r>
          </w:p>
        </w:tc>
        <w:tc>
          <w:tcPr>
            <w:tcW w:w="1081" w:type="dxa"/>
            <w:tcBorders>
              <w:top w:val="nil"/>
              <w:left w:val="nil"/>
              <w:bottom w:val="nil"/>
              <w:right w:val="nil"/>
            </w:tcBorders>
            <w:shd w:val="clear" w:color="auto" w:fill="auto"/>
            <w:noWrap/>
            <w:vAlign w:val="bottom"/>
            <w:hideMark/>
          </w:tcPr>
          <w:p w14:paraId="2875AA7D"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450</w:t>
            </w:r>
          </w:p>
        </w:tc>
        <w:tc>
          <w:tcPr>
            <w:tcW w:w="1097" w:type="dxa"/>
            <w:tcBorders>
              <w:top w:val="nil"/>
              <w:left w:val="nil"/>
              <w:bottom w:val="nil"/>
              <w:right w:val="nil"/>
            </w:tcBorders>
            <w:shd w:val="clear" w:color="auto" w:fill="auto"/>
            <w:noWrap/>
            <w:vAlign w:val="bottom"/>
            <w:hideMark/>
          </w:tcPr>
          <w:p w14:paraId="451A3D2D"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451</w:t>
            </w:r>
          </w:p>
        </w:tc>
        <w:tc>
          <w:tcPr>
            <w:tcW w:w="972" w:type="dxa"/>
            <w:tcBorders>
              <w:top w:val="nil"/>
              <w:left w:val="nil"/>
              <w:bottom w:val="nil"/>
              <w:right w:val="nil"/>
            </w:tcBorders>
            <w:shd w:val="clear" w:color="auto" w:fill="auto"/>
            <w:noWrap/>
            <w:vAlign w:val="bottom"/>
            <w:hideMark/>
          </w:tcPr>
          <w:p w14:paraId="1AA9B0EE" w14:textId="77777777" w:rsidR="0020432F" w:rsidRPr="00897E24" w:rsidRDefault="0020432F" w:rsidP="0020432F">
            <w:pPr>
              <w:jc w:val="right"/>
              <w:rPr>
                <w:rFonts w:ascii="Arial" w:hAnsi="Arial" w:cs="Arial"/>
                <w:color w:val="000000"/>
                <w:spacing w:val="0"/>
                <w:sz w:val="18"/>
                <w:szCs w:val="18"/>
                <w:lang w:val="en-US"/>
              </w:rPr>
            </w:pPr>
          </w:p>
        </w:tc>
        <w:tc>
          <w:tcPr>
            <w:tcW w:w="1454" w:type="dxa"/>
            <w:tcBorders>
              <w:top w:val="nil"/>
              <w:left w:val="nil"/>
              <w:bottom w:val="nil"/>
              <w:right w:val="nil"/>
            </w:tcBorders>
            <w:shd w:val="clear" w:color="auto" w:fill="auto"/>
            <w:noWrap/>
            <w:vAlign w:val="bottom"/>
            <w:hideMark/>
          </w:tcPr>
          <w:p w14:paraId="7AF55C2B" w14:textId="77777777" w:rsidR="0020432F" w:rsidRPr="00897E24" w:rsidRDefault="0020432F" w:rsidP="0020432F">
            <w:pPr>
              <w:rPr>
                <w:rFonts w:ascii="Arial" w:hAnsi="Arial" w:cs="Arial"/>
                <w:spacing w:val="0"/>
                <w:sz w:val="18"/>
                <w:szCs w:val="18"/>
                <w:lang w:val="en-US"/>
              </w:rPr>
            </w:pPr>
          </w:p>
        </w:tc>
        <w:tc>
          <w:tcPr>
            <w:tcW w:w="1081" w:type="dxa"/>
            <w:tcBorders>
              <w:top w:val="nil"/>
              <w:left w:val="nil"/>
              <w:bottom w:val="nil"/>
              <w:right w:val="single" w:sz="4" w:space="0" w:color="auto"/>
            </w:tcBorders>
            <w:shd w:val="clear" w:color="auto" w:fill="auto"/>
            <w:noWrap/>
            <w:vAlign w:val="bottom"/>
            <w:hideMark/>
          </w:tcPr>
          <w:p w14:paraId="31DDE94A" w14:textId="77777777" w:rsidR="0020432F" w:rsidRPr="00897E24" w:rsidRDefault="0020432F" w:rsidP="0020432F">
            <w:pPr>
              <w:rPr>
                <w:rFonts w:ascii="Arial" w:hAnsi="Arial" w:cs="Arial"/>
                <w:spacing w:val="0"/>
                <w:sz w:val="18"/>
                <w:szCs w:val="18"/>
                <w:lang w:val="en-US"/>
              </w:rPr>
            </w:pPr>
          </w:p>
        </w:tc>
      </w:tr>
      <w:tr w:rsidR="0020432F" w:rsidRPr="00FF2439" w14:paraId="53F3E22F" w14:textId="77777777" w:rsidTr="002F0082">
        <w:trPr>
          <w:trHeight w:val="288"/>
        </w:trPr>
        <w:tc>
          <w:tcPr>
            <w:tcW w:w="2785" w:type="dxa"/>
            <w:tcBorders>
              <w:top w:val="nil"/>
              <w:left w:val="single" w:sz="4" w:space="0" w:color="auto"/>
              <w:bottom w:val="single" w:sz="4" w:space="0" w:color="auto"/>
              <w:right w:val="nil"/>
            </w:tcBorders>
            <w:shd w:val="clear" w:color="auto" w:fill="auto"/>
            <w:noWrap/>
            <w:vAlign w:val="bottom"/>
            <w:hideMark/>
          </w:tcPr>
          <w:p w14:paraId="565457BE" w14:textId="77777777" w:rsidR="0020432F" w:rsidRPr="00897E24" w:rsidRDefault="0020432F" w:rsidP="0020432F">
            <w:pPr>
              <w:rPr>
                <w:rFonts w:ascii="Arial" w:hAnsi="Arial" w:cs="Arial"/>
                <w:color w:val="000000"/>
                <w:spacing w:val="0"/>
                <w:sz w:val="18"/>
                <w:szCs w:val="18"/>
                <w:lang w:val="en-US"/>
              </w:rPr>
            </w:pPr>
            <w:r w:rsidRPr="00897E24">
              <w:rPr>
                <w:rFonts w:ascii="Arial" w:hAnsi="Arial" w:cs="Arial"/>
                <w:color w:val="000000"/>
                <w:spacing w:val="0"/>
                <w:sz w:val="18"/>
                <w:szCs w:val="18"/>
                <w:lang w:val="en-US"/>
              </w:rPr>
              <w:t>Total</w:t>
            </w:r>
          </w:p>
        </w:tc>
        <w:tc>
          <w:tcPr>
            <w:tcW w:w="1047" w:type="dxa"/>
            <w:tcBorders>
              <w:top w:val="nil"/>
              <w:left w:val="nil"/>
              <w:bottom w:val="single" w:sz="4" w:space="0" w:color="auto"/>
              <w:right w:val="nil"/>
            </w:tcBorders>
            <w:shd w:val="clear" w:color="auto" w:fill="auto"/>
            <w:noWrap/>
            <w:vAlign w:val="bottom"/>
            <w:hideMark/>
          </w:tcPr>
          <w:p w14:paraId="7CB7046A"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1</w:t>
            </w:r>
          </w:p>
        </w:tc>
        <w:tc>
          <w:tcPr>
            <w:tcW w:w="1081" w:type="dxa"/>
            <w:tcBorders>
              <w:top w:val="nil"/>
              <w:left w:val="nil"/>
              <w:bottom w:val="single" w:sz="4" w:space="0" w:color="auto"/>
              <w:right w:val="nil"/>
            </w:tcBorders>
            <w:shd w:val="clear" w:color="auto" w:fill="auto"/>
            <w:noWrap/>
            <w:vAlign w:val="bottom"/>
            <w:hideMark/>
          </w:tcPr>
          <w:p w14:paraId="14314208"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2,671</w:t>
            </w:r>
          </w:p>
        </w:tc>
        <w:tc>
          <w:tcPr>
            <w:tcW w:w="1097" w:type="dxa"/>
            <w:tcBorders>
              <w:top w:val="nil"/>
              <w:left w:val="nil"/>
              <w:bottom w:val="single" w:sz="4" w:space="0" w:color="auto"/>
              <w:right w:val="nil"/>
            </w:tcBorders>
            <w:shd w:val="clear" w:color="auto" w:fill="auto"/>
            <w:noWrap/>
            <w:vAlign w:val="bottom"/>
            <w:hideMark/>
          </w:tcPr>
          <w:p w14:paraId="40BEF98F"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2,672</w:t>
            </w:r>
          </w:p>
        </w:tc>
        <w:tc>
          <w:tcPr>
            <w:tcW w:w="972" w:type="dxa"/>
            <w:tcBorders>
              <w:top w:val="nil"/>
              <w:left w:val="nil"/>
              <w:bottom w:val="single" w:sz="4" w:space="0" w:color="auto"/>
              <w:right w:val="nil"/>
            </w:tcBorders>
            <w:shd w:val="clear" w:color="auto" w:fill="auto"/>
            <w:noWrap/>
            <w:vAlign w:val="bottom"/>
            <w:hideMark/>
          </w:tcPr>
          <w:p w14:paraId="7978B5D1" w14:textId="77777777" w:rsidR="0020432F" w:rsidRPr="00897E24" w:rsidRDefault="0020432F" w:rsidP="0020432F">
            <w:pPr>
              <w:jc w:val="right"/>
              <w:rPr>
                <w:rFonts w:ascii="Arial" w:hAnsi="Arial" w:cs="Arial"/>
                <w:color w:val="000000"/>
                <w:spacing w:val="0"/>
                <w:sz w:val="18"/>
                <w:szCs w:val="18"/>
                <w:lang w:val="en-US"/>
              </w:rPr>
            </w:pPr>
          </w:p>
        </w:tc>
        <w:tc>
          <w:tcPr>
            <w:tcW w:w="1454" w:type="dxa"/>
            <w:tcBorders>
              <w:top w:val="nil"/>
              <w:left w:val="nil"/>
              <w:bottom w:val="single" w:sz="4" w:space="0" w:color="auto"/>
              <w:right w:val="nil"/>
            </w:tcBorders>
            <w:shd w:val="clear" w:color="auto" w:fill="auto"/>
            <w:noWrap/>
            <w:vAlign w:val="bottom"/>
            <w:hideMark/>
          </w:tcPr>
          <w:p w14:paraId="26E40F15" w14:textId="77777777" w:rsidR="0020432F" w:rsidRPr="00897E24" w:rsidRDefault="0020432F" w:rsidP="0020432F">
            <w:pPr>
              <w:rPr>
                <w:rFonts w:ascii="Arial" w:hAnsi="Arial" w:cs="Arial"/>
                <w:spacing w:val="0"/>
                <w:sz w:val="18"/>
                <w:szCs w:val="18"/>
                <w:lang w:val="en-US"/>
              </w:rPr>
            </w:pPr>
          </w:p>
        </w:tc>
        <w:tc>
          <w:tcPr>
            <w:tcW w:w="1081" w:type="dxa"/>
            <w:tcBorders>
              <w:top w:val="nil"/>
              <w:left w:val="nil"/>
              <w:bottom w:val="single" w:sz="4" w:space="0" w:color="auto"/>
              <w:right w:val="single" w:sz="4" w:space="0" w:color="auto"/>
            </w:tcBorders>
            <w:shd w:val="clear" w:color="auto" w:fill="auto"/>
            <w:noWrap/>
            <w:vAlign w:val="bottom"/>
            <w:hideMark/>
          </w:tcPr>
          <w:p w14:paraId="162371B9" w14:textId="77777777" w:rsidR="0020432F" w:rsidRPr="00897E24" w:rsidRDefault="0020432F" w:rsidP="0020432F">
            <w:pPr>
              <w:rPr>
                <w:rFonts w:ascii="Arial" w:hAnsi="Arial" w:cs="Arial"/>
                <w:spacing w:val="0"/>
                <w:sz w:val="18"/>
                <w:szCs w:val="18"/>
                <w:lang w:val="en-US"/>
              </w:rPr>
            </w:pPr>
          </w:p>
        </w:tc>
      </w:tr>
      <w:tr w:rsidR="0020432F" w:rsidRPr="00FF2439" w14:paraId="6A52B9ED" w14:textId="77777777" w:rsidTr="002F0082">
        <w:trPr>
          <w:trHeight w:val="288"/>
        </w:trPr>
        <w:tc>
          <w:tcPr>
            <w:tcW w:w="2785" w:type="dxa"/>
            <w:tcBorders>
              <w:top w:val="single" w:sz="4" w:space="0" w:color="auto"/>
              <w:left w:val="nil"/>
              <w:bottom w:val="nil"/>
              <w:right w:val="nil"/>
            </w:tcBorders>
            <w:shd w:val="clear" w:color="auto" w:fill="auto"/>
            <w:noWrap/>
            <w:vAlign w:val="bottom"/>
            <w:hideMark/>
          </w:tcPr>
          <w:p w14:paraId="4E3915EA" w14:textId="77777777" w:rsidR="0020432F" w:rsidRPr="00897E24" w:rsidRDefault="0020432F" w:rsidP="0020432F">
            <w:pPr>
              <w:rPr>
                <w:rFonts w:ascii="Arial" w:hAnsi="Arial" w:cs="Arial"/>
                <w:spacing w:val="0"/>
                <w:sz w:val="18"/>
                <w:szCs w:val="18"/>
                <w:lang w:val="en-US"/>
              </w:rPr>
            </w:pPr>
          </w:p>
        </w:tc>
        <w:tc>
          <w:tcPr>
            <w:tcW w:w="1047" w:type="dxa"/>
            <w:tcBorders>
              <w:top w:val="single" w:sz="4" w:space="0" w:color="auto"/>
              <w:left w:val="nil"/>
              <w:bottom w:val="nil"/>
              <w:right w:val="nil"/>
            </w:tcBorders>
            <w:shd w:val="clear" w:color="auto" w:fill="auto"/>
            <w:noWrap/>
            <w:vAlign w:val="bottom"/>
            <w:hideMark/>
          </w:tcPr>
          <w:p w14:paraId="7F0AA0F9" w14:textId="77777777" w:rsidR="0020432F" w:rsidRPr="00897E24" w:rsidRDefault="0020432F" w:rsidP="0020432F">
            <w:pPr>
              <w:rPr>
                <w:rFonts w:ascii="Arial" w:hAnsi="Arial" w:cs="Arial"/>
                <w:spacing w:val="0"/>
                <w:sz w:val="18"/>
                <w:szCs w:val="18"/>
                <w:lang w:val="en-US"/>
              </w:rPr>
            </w:pPr>
          </w:p>
        </w:tc>
        <w:tc>
          <w:tcPr>
            <w:tcW w:w="1081" w:type="dxa"/>
            <w:tcBorders>
              <w:top w:val="single" w:sz="4" w:space="0" w:color="auto"/>
              <w:left w:val="nil"/>
              <w:bottom w:val="nil"/>
              <w:right w:val="nil"/>
            </w:tcBorders>
            <w:shd w:val="clear" w:color="auto" w:fill="auto"/>
            <w:noWrap/>
            <w:vAlign w:val="bottom"/>
            <w:hideMark/>
          </w:tcPr>
          <w:p w14:paraId="55CE7108" w14:textId="77777777" w:rsidR="0020432F" w:rsidRPr="00897E24" w:rsidRDefault="0020432F" w:rsidP="0020432F">
            <w:pPr>
              <w:rPr>
                <w:rFonts w:ascii="Arial" w:hAnsi="Arial" w:cs="Arial"/>
                <w:spacing w:val="0"/>
                <w:sz w:val="18"/>
                <w:szCs w:val="18"/>
                <w:lang w:val="en-US"/>
              </w:rPr>
            </w:pPr>
          </w:p>
        </w:tc>
        <w:tc>
          <w:tcPr>
            <w:tcW w:w="1097" w:type="dxa"/>
            <w:tcBorders>
              <w:top w:val="single" w:sz="4" w:space="0" w:color="auto"/>
              <w:left w:val="nil"/>
              <w:bottom w:val="nil"/>
              <w:right w:val="nil"/>
            </w:tcBorders>
            <w:shd w:val="clear" w:color="auto" w:fill="auto"/>
            <w:noWrap/>
            <w:vAlign w:val="bottom"/>
            <w:hideMark/>
          </w:tcPr>
          <w:p w14:paraId="6BD3346B" w14:textId="77777777" w:rsidR="0020432F" w:rsidRPr="00897E24" w:rsidRDefault="0020432F" w:rsidP="0020432F">
            <w:pPr>
              <w:rPr>
                <w:rFonts w:ascii="Arial" w:hAnsi="Arial" w:cs="Arial"/>
                <w:spacing w:val="0"/>
                <w:sz w:val="18"/>
                <w:szCs w:val="18"/>
                <w:lang w:val="en-US"/>
              </w:rPr>
            </w:pPr>
          </w:p>
        </w:tc>
        <w:tc>
          <w:tcPr>
            <w:tcW w:w="972" w:type="dxa"/>
            <w:tcBorders>
              <w:top w:val="single" w:sz="4" w:space="0" w:color="auto"/>
              <w:left w:val="nil"/>
              <w:bottom w:val="nil"/>
              <w:right w:val="nil"/>
            </w:tcBorders>
            <w:shd w:val="clear" w:color="auto" w:fill="auto"/>
            <w:noWrap/>
            <w:vAlign w:val="bottom"/>
            <w:hideMark/>
          </w:tcPr>
          <w:p w14:paraId="208ED805" w14:textId="77777777" w:rsidR="0020432F" w:rsidRPr="00897E24" w:rsidRDefault="0020432F" w:rsidP="0020432F">
            <w:pPr>
              <w:rPr>
                <w:rFonts w:ascii="Arial" w:hAnsi="Arial" w:cs="Arial"/>
                <w:spacing w:val="0"/>
                <w:sz w:val="18"/>
                <w:szCs w:val="18"/>
                <w:lang w:val="en-US"/>
              </w:rPr>
            </w:pPr>
          </w:p>
        </w:tc>
        <w:tc>
          <w:tcPr>
            <w:tcW w:w="1454" w:type="dxa"/>
            <w:tcBorders>
              <w:top w:val="single" w:sz="4" w:space="0" w:color="auto"/>
              <w:left w:val="nil"/>
              <w:bottom w:val="nil"/>
              <w:right w:val="nil"/>
            </w:tcBorders>
            <w:shd w:val="clear" w:color="auto" w:fill="auto"/>
            <w:noWrap/>
            <w:vAlign w:val="bottom"/>
            <w:hideMark/>
          </w:tcPr>
          <w:p w14:paraId="23020811" w14:textId="77777777" w:rsidR="0020432F" w:rsidRPr="00897E24" w:rsidRDefault="0020432F" w:rsidP="0020432F">
            <w:pPr>
              <w:rPr>
                <w:rFonts w:ascii="Arial" w:hAnsi="Arial" w:cs="Arial"/>
                <w:spacing w:val="0"/>
                <w:sz w:val="18"/>
                <w:szCs w:val="18"/>
                <w:lang w:val="en-US"/>
              </w:rPr>
            </w:pPr>
          </w:p>
        </w:tc>
        <w:tc>
          <w:tcPr>
            <w:tcW w:w="1081" w:type="dxa"/>
            <w:tcBorders>
              <w:top w:val="single" w:sz="4" w:space="0" w:color="auto"/>
              <w:left w:val="nil"/>
              <w:bottom w:val="nil"/>
              <w:right w:val="nil"/>
            </w:tcBorders>
            <w:shd w:val="clear" w:color="auto" w:fill="auto"/>
            <w:noWrap/>
            <w:vAlign w:val="bottom"/>
            <w:hideMark/>
          </w:tcPr>
          <w:p w14:paraId="1FFC3C42" w14:textId="77777777" w:rsidR="0020432F" w:rsidRPr="00897E24" w:rsidRDefault="0020432F" w:rsidP="0020432F">
            <w:pPr>
              <w:rPr>
                <w:rFonts w:ascii="Arial" w:hAnsi="Arial" w:cs="Arial"/>
                <w:spacing w:val="0"/>
                <w:sz w:val="18"/>
                <w:szCs w:val="18"/>
                <w:lang w:val="en-US"/>
              </w:rPr>
            </w:pPr>
          </w:p>
        </w:tc>
      </w:tr>
      <w:tr w:rsidR="0020432F" w:rsidRPr="00FF2439" w14:paraId="59BFCCFF" w14:textId="77777777" w:rsidTr="002F0082">
        <w:trPr>
          <w:trHeight w:val="288"/>
        </w:trPr>
        <w:tc>
          <w:tcPr>
            <w:tcW w:w="27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365FAD" w14:textId="77777777" w:rsidR="0020432F" w:rsidRPr="00897E24" w:rsidRDefault="0020432F" w:rsidP="0020432F">
            <w:pPr>
              <w:rPr>
                <w:rFonts w:ascii="Arial" w:hAnsi="Arial" w:cs="Arial"/>
                <w:color w:val="000000"/>
                <w:spacing w:val="0"/>
                <w:sz w:val="18"/>
                <w:szCs w:val="18"/>
                <w:lang w:val="en-US"/>
              </w:rPr>
            </w:pPr>
            <w:r w:rsidRPr="00897E24">
              <w:rPr>
                <w:rFonts w:ascii="Arial" w:hAnsi="Arial" w:cs="Arial"/>
                <w:color w:val="000000"/>
                <w:spacing w:val="0"/>
                <w:sz w:val="18"/>
                <w:szCs w:val="18"/>
                <w:lang w:val="en-US"/>
              </w:rPr>
              <w:t> </w:t>
            </w:r>
          </w:p>
        </w:tc>
        <w:tc>
          <w:tcPr>
            <w:tcW w:w="3225" w:type="dxa"/>
            <w:gridSpan w:val="3"/>
            <w:tcBorders>
              <w:top w:val="single" w:sz="4" w:space="0" w:color="auto"/>
              <w:left w:val="nil"/>
              <w:bottom w:val="single" w:sz="4" w:space="0" w:color="auto"/>
              <w:right w:val="single" w:sz="4" w:space="0" w:color="auto"/>
            </w:tcBorders>
            <w:shd w:val="clear" w:color="auto" w:fill="auto"/>
            <w:noWrap/>
            <w:vAlign w:val="bottom"/>
            <w:hideMark/>
          </w:tcPr>
          <w:p w14:paraId="45014078" w14:textId="77777777" w:rsidR="0020432F" w:rsidRPr="00897E24" w:rsidRDefault="0020432F" w:rsidP="0020432F">
            <w:pPr>
              <w:jc w:val="center"/>
              <w:rPr>
                <w:rFonts w:ascii="Arial" w:hAnsi="Arial" w:cs="Arial"/>
                <w:color w:val="000000"/>
                <w:spacing w:val="0"/>
                <w:sz w:val="18"/>
                <w:szCs w:val="18"/>
                <w:lang w:val="en-US"/>
              </w:rPr>
            </w:pPr>
            <w:r w:rsidRPr="00897E24">
              <w:rPr>
                <w:rFonts w:ascii="Arial" w:hAnsi="Arial" w:cs="Arial"/>
                <w:color w:val="000000"/>
                <w:spacing w:val="0"/>
                <w:sz w:val="18"/>
                <w:szCs w:val="18"/>
                <w:lang w:val="en-US"/>
              </w:rPr>
              <w:t>Mean</w:t>
            </w:r>
          </w:p>
        </w:tc>
        <w:tc>
          <w:tcPr>
            <w:tcW w:w="2426" w:type="dxa"/>
            <w:gridSpan w:val="2"/>
            <w:tcBorders>
              <w:top w:val="single" w:sz="4" w:space="0" w:color="auto"/>
              <w:left w:val="nil"/>
              <w:bottom w:val="single" w:sz="4" w:space="0" w:color="auto"/>
              <w:right w:val="single" w:sz="4" w:space="0" w:color="auto"/>
            </w:tcBorders>
            <w:shd w:val="clear" w:color="auto" w:fill="auto"/>
            <w:noWrap/>
            <w:vAlign w:val="bottom"/>
            <w:hideMark/>
          </w:tcPr>
          <w:p w14:paraId="5C132684" w14:textId="77777777" w:rsidR="0020432F" w:rsidRPr="00897E24" w:rsidRDefault="0020432F" w:rsidP="0020432F">
            <w:pPr>
              <w:jc w:val="center"/>
              <w:rPr>
                <w:rFonts w:ascii="Arial" w:hAnsi="Arial" w:cs="Arial"/>
                <w:color w:val="000000"/>
                <w:spacing w:val="0"/>
                <w:sz w:val="18"/>
                <w:szCs w:val="18"/>
                <w:lang w:val="en-US"/>
              </w:rPr>
            </w:pPr>
            <w:r w:rsidRPr="00897E24">
              <w:rPr>
                <w:rFonts w:ascii="Arial" w:hAnsi="Arial" w:cs="Arial"/>
                <w:color w:val="000000"/>
                <w:spacing w:val="0"/>
                <w:sz w:val="18"/>
                <w:szCs w:val="18"/>
                <w:lang w:val="en-US"/>
              </w:rPr>
              <w:t>t test</w:t>
            </w:r>
          </w:p>
        </w:tc>
        <w:tc>
          <w:tcPr>
            <w:tcW w:w="1081" w:type="dxa"/>
            <w:tcBorders>
              <w:top w:val="single" w:sz="4" w:space="0" w:color="auto"/>
              <w:left w:val="nil"/>
              <w:bottom w:val="single" w:sz="4" w:space="0" w:color="auto"/>
              <w:right w:val="single" w:sz="4" w:space="0" w:color="auto"/>
            </w:tcBorders>
            <w:shd w:val="clear" w:color="auto" w:fill="auto"/>
            <w:noWrap/>
            <w:vAlign w:val="bottom"/>
            <w:hideMark/>
          </w:tcPr>
          <w:p w14:paraId="65B97782" w14:textId="77777777" w:rsidR="0020432F" w:rsidRPr="00897E24" w:rsidRDefault="0020432F" w:rsidP="0020432F">
            <w:pPr>
              <w:rPr>
                <w:rFonts w:ascii="Arial" w:hAnsi="Arial" w:cs="Arial"/>
                <w:color w:val="000000"/>
                <w:spacing w:val="0"/>
                <w:sz w:val="18"/>
                <w:szCs w:val="18"/>
                <w:lang w:val="en-US"/>
              </w:rPr>
            </w:pPr>
            <w:r w:rsidRPr="00897E24">
              <w:rPr>
                <w:rFonts w:ascii="Arial" w:hAnsi="Arial" w:cs="Arial"/>
                <w:color w:val="000000"/>
                <w:spacing w:val="0"/>
                <w:sz w:val="18"/>
                <w:szCs w:val="18"/>
                <w:lang w:val="en-US"/>
              </w:rPr>
              <w:t>V(T)/</w:t>
            </w:r>
          </w:p>
        </w:tc>
      </w:tr>
      <w:tr w:rsidR="0020432F" w:rsidRPr="00FF2439" w14:paraId="59E2D45E" w14:textId="77777777" w:rsidTr="002F0082">
        <w:trPr>
          <w:trHeight w:val="288"/>
        </w:trPr>
        <w:tc>
          <w:tcPr>
            <w:tcW w:w="2785" w:type="dxa"/>
            <w:tcBorders>
              <w:top w:val="nil"/>
              <w:left w:val="single" w:sz="4" w:space="0" w:color="auto"/>
              <w:bottom w:val="single" w:sz="4" w:space="0" w:color="auto"/>
              <w:right w:val="single" w:sz="4" w:space="0" w:color="auto"/>
            </w:tcBorders>
            <w:shd w:val="clear" w:color="auto" w:fill="auto"/>
            <w:noWrap/>
            <w:vAlign w:val="bottom"/>
            <w:hideMark/>
          </w:tcPr>
          <w:p w14:paraId="2E284774" w14:textId="77777777" w:rsidR="0020432F" w:rsidRPr="00897E24" w:rsidRDefault="0020432F" w:rsidP="0020432F">
            <w:pPr>
              <w:rPr>
                <w:rFonts w:ascii="Arial" w:hAnsi="Arial" w:cs="Arial"/>
                <w:color w:val="000000"/>
                <w:spacing w:val="0"/>
                <w:sz w:val="18"/>
                <w:szCs w:val="18"/>
                <w:lang w:val="en-US"/>
              </w:rPr>
            </w:pPr>
            <w:r w:rsidRPr="00897E24">
              <w:rPr>
                <w:rFonts w:ascii="Arial" w:hAnsi="Arial" w:cs="Arial"/>
                <w:color w:val="000000"/>
                <w:spacing w:val="0"/>
                <w:sz w:val="18"/>
                <w:szCs w:val="18"/>
                <w:lang w:val="en-US"/>
              </w:rPr>
              <w:t>Variable</w:t>
            </w:r>
          </w:p>
        </w:tc>
        <w:tc>
          <w:tcPr>
            <w:tcW w:w="1047" w:type="dxa"/>
            <w:tcBorders>
              <w:top w:val="nil"/>
              <w:left w:val="nil"/>
              <w:bottom w:val="single" w:sz="4" w:space="0" w:color="auto"/>
              <w:right w:val="single" w:sz="4" w:space="0" w:color="auto"/>
            </w:tcBorders>
            <w:shd w:val="clear" w:color="auto" w:fill="auto"/>
            <w:noWrap/>
            <w:vAlign w:val="bottom"/>
            <w:hideMark/>
          </w:tcPr>
          <w:p w14:paraId="5A49E76F" w14:textId="77777777" w:rsidR="0020432F" w:rsidRPr="00897E24" w:rsidRDefault="0020432F" w:rsidP="0020432F">
            <w:pPr>
              <w:rPr>
                <w:rFonts w:ascii="Arial" w:hAnsi="Arial" w:cs="Arial"/>
                <w:color w:val="000000"/>
                <w:spacing w:val="0"/>
                <w:sz w:val="18"/>
                <w:szCs w:val="18"/>
                <w:lang w:val="en-US"/>
              </w:rPr>
            </w:pPr>
            <w:r w:rsidRPr="00897E24">
              <w:rPr>
                <w:rFonts w:ascii="Arial" w:hAnsi="Arial" w:cs="Arial"/>
                <w:color w:val="000000"/>
                <w:spacing w:val="0"/>
                <w:sz w:val="18"/>
                <w:szCs w:val="18"/>
                <w:lang w:val="en-US"/>
              </w:rPr>
              <w:t>Treated</w:t>
            </w:r>
          </w:p>
        </w:tc>
        <w:tc>
          <w:tcPr>
            <w:tcW w:w="1081" w:type="dxa"/>
            <w:tcBorders>
              <w:top w:val="nil"/>
              <w:left w:val="nil"/>
              <w:bottom w:val="single" w:sz="4" w:space="0" w:color="auto"/>
              <w:right w:val="single" w:sz="4" w:space="0" w:color="auto"/>
            </w:tcBorders>
            <w:shd w:val="clear" w:color="auto" w:fill="auto"/>
            <w:noWrap/>
            <w:vAlign w:val="bottom"/>
            <w:hideMark/>
          </w:tcPr>
          <w:p w14:paraId="6040734D" w14:textId="77777777" w:rsidR="0020432F" w:rsidRPr="00897E24" w:rsidRDefault="0020432F" w:rsidP="0020432F">
            <w:pPr>
              <w:rPr>
                <w:rFonts w:ascii="Arial" w:hAnsi="Arial" w:cs="Arial"/>
                <w:color w:val="000000"/>
                <w:spacing w:val="0"/>
                <w:sz w:val="18"/>
                <w:szCs w:val="18"/>
                <w:lang w:val="en-US"/>
              </w:rPr>
            </w:pPr>
            <w:r w:rsidRPr="00897E24">
              <w:rPr>
                <w:rFonts w:ascii="Arial" w:hAnsi="Arial" w:cs="Arial"/>
                <w:color w:val="000000"/>
                <w:spacing w:val="0"/>
                <w:sz w:val="18"/>
                <w:szCs w:val="18"/>
                <w:lang w:val="en-US"/>
              </w:rPr>
              <w:t>Control</w:t>
            </w:r>
          </w:p>
        </w:tc>
        <w:tc>
          <w:tcPr>
            <w:tcW w:w="1097" w:type="dxa"/>
            <w:tcBorders>
              <w:top w:val="nil"/>
              <w:left w:val="nil"/>
              <w:bottom w:val="single" w:sz="4" w:space="0" w:color="auto"/>
              <w:right w:val="single" w:sz="4" w:space="0" w:color="auto"/>
            </w:tcBorders>
            <w:shd w:val="clear" w:color="auto" w:fill="auto"/>
            <w:noWrap/>
            <w:vAlign w:val="bottom"/>
            <w:hideMark/>
          </w:tcPr>
          <w:p w14:paraId="239432FB" w14:textId="77777777" w:rsidR="0020432F" w:rsidRPr="00897E24" w:rsidRDefault="0020432F" w:rsidP="0020432F">
            <w:pPr>
              <w:rPr>
                <w:rFonts w:ascii="Arial" w:hAnsi="Arial" w:cs="Arial"/>
                <w:color w:val="000000"/>
                <w:spacing w:val="0"/>
                <w:sz w:val="18"/>
                <w:szCs w:val="18"/>
                <w:lang w:val="en-US"/>
              </w:rPr>
            </w:pPr>
            <w:r w:rsidRPr="00897E24">
              <w:rPr>
                <w:rFonts w:ascii="Arial" w:hAnsi="Arial" w:cs="Arial"/>
                <w:color w:val="000000"/>
                <w:spacing w:val="0"/>
                <w:sz w:val="18"/>
                <w:szCs w:val="18"/>
                <w:lang w:val="en-US"/>
              </w:rPr>
              <w:t>%bias</w:t>
            </w:r>
          </w:p>
        </w:tc>
        <w:tc>
          <w:tcPr>
            <w:tcW w:w="972" w:type="dxa"/>
            <w:tcBorders>
              <w:top w:val="nil"/>
              <w:left w:val="nil"/>
              <w:bottom w:val="single" w:sz="4" w:space="0" w:color="auto"/>
              <w:right w:val="single" w:sz="4" w:space="0" w:color="auto"/>
            </w:tcBorders>
            <w:shd w:val="clear" w:color="auto" w:fill="auto"/>
            <w:noWrap/>
            <w:vAlign w:val="bottom"/>
            <w:hideMark/>
          </w:tcPr>
          <w:p w14:paraId="07749124" w14:textId="77777777" w:rsidR="0020432F" w:rsidRPr="00897E24" w:rsidRDefault="0020432F" w:rsidP="0020432F">
            <w:pPr>
              <w:rPr>
                <w:rFonts w:ascii="Arial" w:hAnsi="Arial" w:cs="Arial"/>
                <w:color w:val="000000"/>
                <w:spacing w:val="0"/>
                <w:sz w:val="18"/>
                <w:szCs w:val="18"/>
                <w:lang w:val="en-US"/>
              </w:rPr>
            </w:pPr>
            <w:r w:rsidRPr="00897E24">
              <w:rPr>
                <w:rFonts w:ascii="Arial" w:hAnsi="Arial" w:cs="Arial"/>
                <w:color w:val="000000"/>
                <w:spacing w:val="0"/>
                <w:sz w:val="18"/>
                <w:szCs w:val="18"/>
                <w:lang w:val="en-US"/>
              </w:rPr>
              <w:t>t</w:t>
            </w:r>
          </w:p>
        </w:tc>
        <w:tc>
          <w:tcPr>
            <w:tcW w:w="1454" w:type="dxa"/>
            <w:tcBorders>
              <w:top w:val="nil"/>
              <w:left w:val="nil"/>
              <w:bottom w:val="single" w:sz="4" w:space="0" w:color="auto"/>
              <w:right w:val="single" w:sz="4" w:space="0" w:color="auto"/>
            </w:tcBorders>
            <w:shd w:val="clear" w:color="auto" w:fill="auto"/>
            <w:noWrap/>
            <w:vAlign w:val="bottom"/>
            <w:hideMark/>
          </w:tcPr>
          <w:p w14:paraId="1DF0D045" w14:textId="77777777" w:rsidR="0020432F" w:rsidRPr="00897E24" w:rsidRDefault="0020432F" w:rsidP="0020432F">
            <w:pPr>
              <w:rPr>
                <w:rFonts w:ascii="Arial" w:hAnsi="Arial" w:cs="Arial"/>
                <w:color w:val="000000"/>
                <w:spacing w:val="0"/>
                <w:sz w:val="18"/>
                <w:szCs w:val="18"/>
                <w:lang w:val="en-US"/>
              </w:rPr>
            </w:pPr>
            <w:r w:rsidRPr="00897E24">
              <w:rPr>
                <w:rFonts w:ascii="Arial" w:hAnsi="Arial" w:cs="Arial"/>
                <w:color w:val="000000"/>
                <w:spacing w:val="0"/>
                <w:sz w:val="18"/>
                <w:szCs w:val="18"/>
                <w:lang w:val="en-US"/>
              </w:rPr>
              <w:t xml:space="preserve">p&gt;t  </w:t>
            </w:r>
          </w:p>
        </w:tc>
        <w:tc>
          <w:tcPr>
            <w:tcW w:w="1081" w:type="dxa"/>
            <w:tcBorders>
              <w:top w:val="nil"/>
              <w:left w:val="nil"/>
              <w:bottom w:val="single" w:sz="4" w:space="0" w:color="auto"/>
              <w:right w:val="single" w:sz="4" w:space="0" w:color="auto"/>
            </w:tcBorders>
            <w:shd w:val="clear" w:color="auto" w:fill="auto"/>
            <w:noWrap/>
            <w:vAlign w:val="bottom"/>
            <w:hideMark/>
          </w:tcPr>
          <w:p w14:paraId="3A72B7C4" w14:textId="77777777" w:rsidR="0020432F" w:rsidRPr="00897E24" w:rsidRDefault="0020432F" w:rsidP="0020432F">
            <w:pPr>
              <w:rPr>
                <w:rFonts w:ascii="Arial" w:hAnsi="Arial" w:cs="Arial"/>
                <w:color w:val="000000"/>
                <w:spacing w:val="0"/>
                <w:sz w:val="18"/>
                <w:szCs w:val="18"/>
                <w:lang w:val="en-US"/>
              </w:rPr>
            </w:pPr>
            <w:r w:rsidRPr="00897E24">
              <w:rPr>
                <w:rFonts w:ascii="Arial" w:hAnsi="Arial" w:cs="Arial"/>
                <w:color w:val="000000"/>
                <w:spacing w:val="0"/>
                <w:sz w:val="18"/>
                <w:szCs w:val="18"/>
                <w:lang w:val="en-US"/>
              </w:rPr>
              <w:t xml:space="preserve"> V(C)</w:t>
            </w:r>
          </w:p>
        </w:tc>
      </w:tr>
      <w:tr w:rsidR="0020432F" w:rsidRPr="00FF2439" w14:paraId="1520EC55" w14:textId="77777777" w:rsidTr="002F0082">
        <w:trPr>
          <w:trHeight w:val="288"/>
        </w:trPr>
        <w:tc>
          <w:tcPr>
            <w:tcW w:w="2785" w:type="dxa"/>
            <w:tcBorders>
              <w:top w:val="nil"/>
              <w:left w:val="single" w:sz="4" w:space="0" w:color="auto"/>
              <w:bottom w:val="single" w:sz="4" w:space="0" w:color="auto"/>
              <w:right w:val="single" w:sz="4" w:space="0" w:color="auto"/>
            </w:tcBorders>
            <w:shd w:val="clear" w:color="auto" w:fill="auto"/>
            <w:noWrap/>
            <w:vAlign w:val="bottom"/>
            <w:hideMark/>
          </w:tcPr>
          <w:p w14:paraId="6DFA0764" w14:textId="37515F1F" w:rsidR="0020432F" w:rsidRPr="00897E24" w:rsidRDefault="004966AE" w:rsidP="0020432F">
            <w:pPr>
              <w:rPr>
                <w:rFonts w:ascii="Arial" w:hAnsi="Arial" w:cs="Arial"/>
                <w:color w:val="000000"/>
                <w:spacing w:val="0"/>
                <w:sz w:val="18"/>
                <w:szCs w:val="18"/>
                <w:lang w:val="en-US"/>
              </w:rPr>
            </w:pPr>
            <w:proofErr w:type="spellStart"/>
            <w:r w:rsidRPr="00897E24">
              <w:rPr>
                <w:rFonts w:ascii="Arial" w:hAnsi="Arial" w:cs="Arial"/>
                <w:color w:val="000000"/>
                <w:spacing w:val="0"/>
                <w:sz w:val="18"/>
                <w:szCs w:val="18"/>
                <w:lang w:val="en-US"/>
              </w:rPr>
              <w:t>Edad</w:t>
            </w:r>
            <w:proofErr w:type="spellEnd"/>
            <w:r w:rsidRPr="00897E24">
              <w:rPr>
                <w:rFonts w:ascii="Arial" w:hAnsi="Arial" w:cs="Arial"/>
                <w:color w:val="000000"/>
                <w:spacing w:val="0"/>
                <w:sz w:val="18"/>
                <w:szCs w:val="18"/>
                <w:lang w:val="en-US"/>
              </w:rPr>
              <w:t xml:space="preserve"> de la </w:t>
            </w:r>
            <w:proofErr w:type="spellStart"/>
            <w:r w:rsidRPr="00897E24">
              <w:rPr>
                <w:rFonts w:ascii="Arial" w:hAnsi="Arial" w:cs="Arial"/>
                <w:color w:val="000000"/>
                <w:spacing w:val="0"/>
                <w:sz w:val="18"/>
                <w:szCs w:val="18"/>
                <w:lang w:val="en-US"/>
              </w:rPr>
              <w:t>firma</w:t>
            </w:r>
            <w:proofErr w:type="spellEnd"/>
          </w:p>
        </w:tc>
        <w:tc>
          <w:tcPr>
            <w:tcW w:w="1047" w:type="dxa"/>
            <w:tcBorders>
              <w:top w:val="nil"/>
              <w:left w:val="nil"/>
              <w:bottom w:val="single" w:sz="4" w:space="0" w:color="auto"/>
              <w:right w:val="single" w:sz="4" w:space="0" w:color="auto"/>
            </w:tcBorders>
            <w:shd w:val="clear" w:color="auto" w:fill="auto"/>
            <w:noWrap/>
            <w:vAlign w:val="bottom"/>
            <w:hideMark/>
          </w:tcPr>
          <w:p w14:paraId="2BFA8117"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13.024</w:t>
            </w:r>
          </w:p>
        </w:tc>
        <w:tc>
          <w:tcPr>
            <w:tcW w:w="1081" w:type="dxa"/>
            <w:tcBorders>
              <w:top w:val="nil"/>
              <w:left w:val="nil"/>
              <w:bottom w:val="single" w:sz="4" w:space="0" w:color="auto"/>
              <w:right w:val="single" w:sz="4" w:space="0" w:color="auto"/>
            </w:tcBorders>
            <w:shd w:val="clear" w:color="auto" w:fill="auto"/>
            <w:noWrap/>
            <w:vAlign w:val="bottom"/>
            <w:hideMark/>
          </w:tcPr>
          <w:p w14:paraId="44370946"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13.172</w:t>
            </w:r>
          </w:p>
        </w:tc>
        <w:tc>
          <w:tcPr>
            <w:tcW w:w="1097" w:type="dxa"/>
            <w:tcBorders>
              <w:top w:val="nil"/>
              <w:left w:val="nil"/>
              <w:bottom w:val="single" w:sz="4" w:space="0" w:color="auto"/>
              <w:right w:val="single" w:sz="4" w:space="0" w:color="auto"/>
            </w:tcBorders>
            <w:shd w:val="clear" w:color="auto" w:fill="auto"/>
            <w:noWrap/>
            <w:vAlign w:val="bottom"/>
            <w:hideMark/>
          </w:tcPr>
          <w:p w14:paraId="0E6BABEF"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-1.4</w:t>
            </w:r>
          </w:p>
        </w:tc>
        <w:tc>
          <w:tcPr>
            <w:tcW w:w="972" w:type="dxa"/>
            <w:tcBorders>
              <w:top w:val="nil"/>
              <w:left w:val="nil"/>
              <w:bottom w:val="single" w:sz="4" w:space="0" w:color="auto"/>
              <w:right w:val="single" w:sz="4" w:space="0" w:color="auto"/>
            </w:tcBorders>
            <w:shd w:val="clear" w:color="auto" w:fill="auto"/>
            <w:noWrap/>
            <w:vAlign w:val="bottom"/>
            <w:hideMark/>
          </w:tcPr>
          <w:p w14:paraId="53AF99B5"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-0.21</w:t>
            </w:r>
          </w:p>
        </w:tc>
        <w:tc>
          <w:tcPr>
            <w:tcW w:w="1454" w:type="dxa"/>
            <w:tcBorders>
              <w:top w:val="nil"/>
              <w:left w:val="nil"/>
              <w:bottom w:val="single" w:sz="4" w:space="0" w:color="auto"/>
              <w:right w:val="single" w:sz="4" w:space="0" w:color="auto"/>
            </w:tcBorders>
            <w:shd w:val="clear" w:color="auto" w:fill="auto"/>
            <w:noWrap/>
            <w:vAlign w:val="bottom"/>
            <w:hideMark/>
          </w:tcPr>
          <w:p w14:paraId="12A8A334"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0.835</w:t>
            </w:r>
          </w:p>
        </w:tc>
        <w:tc>
          <w:tcPr>
            <w:tcW w:w="1081" w:type="dxa"/>
            <w:tcBorders>
              <w:top w:val="nil"/>
              <w:left w:val="nil"/>
              <w:bottom w:val="single" w:sz="4" w:space="0" w:color="auto"/>
              <w:right w:val="single" w:sz="4" w:space="0" w:color="auto"/>
            </w:tcBorders>
            <w:shd w:val="clear" w:color="auto" w:fill="auto"/>
            <w:noWrap/>
            <w:vAlign w:val="bottom"/>
            <w:hideMark/>
          </w:tcPr>
          <w:p w14:paraId="6A89AB53"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1.03</w:t>
            </w:r>
          </w:p>
        </w:tc>
      </w:tr>
      <w:tr w:rsidR="0020432F" w:rsidRPr="00FF2439" w14:paraId="75E4137F" w14:textId="77777777" w:rsidTr="002F0082">
        <w:trPr>
          <w:trHeight w:val="288"/>
        </w:trPr>
        <w:tc>
          <w:tcPr>
            <w:tcW w:w="2785" w:type="dxa"/>
            <w:tcBorders>
              <w:top w:val="nil"/>
              <w:left w:val="single" w:sz="4" w:space="0" w:color="auto"/>
              <w:bottom w:val="single" w:sz="4" w:space="0" w:color="auto"/>
              <w:right w:val="single" w:sz="4" w:space="0" w:color="auto"/>
            </w:tcBorders>
            <w:shd w:val="clear" w:color="auto" w:fill="auto"/>
            <w:noWrap/>
            <w:vAlign w:val="bottom"/>
            <w:hideMark/>
          </w:tcPr>
          <w:p w14:paraId="2B173B44" w14:textId="6600A681" w:rsidR="0020432F" w:rsidRPr="00897E24" w:rsidRDefault="004966AE" w:rsidP="0020432F">
            <w:pPr>
              <w:rPr>
                <w:rFonts w:ascii="Arial" w:hAnsi="Arial" w:cs="Arial"/>
                <w:color w:val="000000"/>
                <w:spacing w:val="0"/>
                <w:sz w:val="18"/>
                <w:szCs w:val="18"/>
                <w:lang w:val="en-US"/>
              </w:rPr>
            </w:pPr>
            <w:proofErr w:type="spellStart"/>
            <w:r w:rsidRPr="00897E24">
              <w:rPr>
                <w:rFonts w:ascii="Arial" w:hAnsi="Arial" w:cs="Arial"/>
                <w:color w:val="000000"/>
                <w:spacing w:val="0"/>
                <w:sz w:val="18"/>
                <w:szCs w:val="18"/>
                <w:lang w:val="en-US"/>
              </w:rPr>
              <w:t>Activos</w:t>
            </w:r>
            <w:proofErr w:type="spellEnd"/>
            <w:r w:rsidRPr="00897E24">
              <w:rPr>
                <w:rFonts w:ascii="Arial" w:hAnsi="Arial" w:cs="Arial"/>
                <w:color w:val="000000"/>
                <w:spacing w:val="0"/>
                <w:sz w:val="18"/>
                <w:szCs w:val="18"/>
                <w:lang w:val="en-US"/>
              </w:rPr>
              <w:t xml:space="preserve"> </w:t>
            </w:r>
            <w:proofErr w:type="spellStart"/>
            <w:r w:rsidRPr="00897E24">
              <w:rPr>
                <w:rFonts w:ascii="Arial" w:hAnsi="Arial" w:cs="Arial"/>
                <w:color w:val="000000"/>
                <w:spacing w:val="0"/>
                <w:sz w:val="18"/>
                <w:szCs w:val="18"/>
                <w:lang w:val="en-US"/>
              </w:rPr>
              <w:t>fijos</w:t>
            </w:r>
            <w:proofErr w:type="spellEnd"/>
          </w:p>
        </w:tc>
        <w:tc>
          <w:tcPr>
            <w:tcW w:w="1047" w:type="dxa"/>
            <w:tcBorders>
              <w:top w:val="nil"/>
              <w:left w:val="nil"/>
              <w:bottom w:val="single" w:sz="4" w:space="0" w:color="auto"/>
              <w:right w:val="single" w:sz="4" w:space="0" w:color="auto"/>
            </w:tcBorders>
            <w:shd w:val="clear" w:color="auto" w:fill="auto"/>
            <w:noWrap/>
            <w:vAlign w:val="bottom"/>
            <w:hideMark/>
          </w:tcPr>
          <w:p w14:paraId="354976FF"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4.20E+05</w:t>
            </w:r>
          </w:p>
        </w:tc>
        <w:tc>
          <w:tcPr>
            <w:tcW w:w="1081" w:type="dxa"/>
            <w:tcBorders>
              <w:top w:val="nil"/>
              <w:left w:val="nil"/>
              <w:bottom w:val="single" w:sz="4" w:space="0" w:color="auto"/>
              <w:right w:val="single" w:sz="4" w:space="0" w:color="auto"/>
            </w:tcBorders>
            <w:shd w:val="clear" w:color="auto" w:fill="auto"/>
            <w:noWrap/>
            <w:vAlign w:val="bottom"/>
            <w:hideMark/>
          </w:tcPr>
          <w:p w14:paraId="5E66DF90"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4.60E+05</w:t>
            </w:r>
          </w:p>
        </w:tc>
        <w:tc>
          <w:tcPr>
            <w:tcW w:w="1097" w:type="dxa"/>
            <w:tcBorders>
              <w:top w:val="nil"/>
              <w:left w:val="nil"/>
              <w:bottom w:val="single" w:sz="4" w:space="0" w:color="auto"/>
              <w:right w:val="single" w:sz="4" w:space="0" w:color="auto"/>
            </w:tcBorders>
            <w:shd w:val="clear" w:color="auto" w:fill="auto"/>
            <w:noWrap/>
            <w:vAlign w:val="bottom"/>
            <w:hideMark/>
          </w:tcPr>
          <w:p w14:paraId="2B9B89BB"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-1.7</w:t>
            </w:r>
          </w:p>
        </w:tc>
        <w:tc>
          <w:tcPr>
            <w:tcW w:w="972" w:type="dxa"/>
            <w:tcBorders>
              <w:top w:val="nil"/>
              <w:left w:val="nil"/>
              <w:bottom w:val="single" w:sz="4" w:space="0" w:color="auto"/>
              <w:right w:val="single" w:sz="4" w:space="0" w:color="auto"/>
            </w:tcBorders>
            <w:shd w:val="clear" w:color="auto" w:fill="auto"/>
            <w:noWrap/>
            <w:vAlign w:val="bottom"/>
            <w:hideMark/>
          </w:tcPr>
          <w:p w14:paraId="08FF8C6D"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-0.38</w:t>
            </w:r>
          </w:p>
        </w:tc>
        <w:tc>
          <w:tcPr>
            <w:tcW w:w="1454" w:type="dxa"/>
            <w:tcBorders>
              <w:top w:val="nil"/>
              <w:left w:val="nil"/>
              <w:bottom w:val="single" w:sz="4" w:space="0" w:color="auto"/>
              <w:right w:val="single" w:sz="4" w:space="0" w:color="auto"/>
            </w:tcBorders>
            <w:shd w:val="clear" w:color="auto" w:fill="auto"/>
            <w:noWrap/>
            <w:vAlign w:val="bottom"/>
            <w:hideMark/>
          </w:tcPr>
          <w:p w14:paraId="4EBADBA2"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0.703</w:t>
            </w:r>
          </w:p>
        </w:tc>
        <w:tc>
          <w:tcPr>
            <w:tcW w:w="1081" w:type="dxa"/>
            <w:tcBorders>
              <w:top w:val="nil"/>
              <w:left w:val="nil"/>
              <w:bottom w:val="single" w:sz="4" w:space="0" w:color="auto"/>
              <w:right w:val="single" w:sz="4" w:space="0" w:color="auto"/>
            </w:tcBorders>
            <w:shd w:val="clear" w:color="auto" w:fill="auto"/>
            <w:noWrap/>
            <w:vAlign w:val="bottom"/>
            <w:hideMark/>
          </w:tcPr>
          <w:p w14:paraId="7188ABDE"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0.57*</w:t>
            </w:r>
          </w:p>
        </w:tc>
      </w:tr>
      <w:tr w:rsidR="0020432F" w:rsidRPr="00FF2439" w14:paraId="29A57A82" w14:textId="77777777" w:rsidTr="002F0082">
        <w:trPr>
          <w:trHeight w:val="288"/>
        </w:trPr>
        <w:tc>
          <w:tcPr>
            <w:tcW w:w="2785" w:type="dxa"/>
            <w:tcBorders>
              <w:top w:val="nil"/>
              <w:left w:val="single" w:sz="4" w:space="0" w:color="auto"/>
              <w:bottom w:val="single" w:sz="4" w:space="0" w:color="auto"/>
              <w:right w:val="single" w:sz="4" w:space="0" w:color="auto"/>
            </w:tcBorders>
            <w:shd w:val="clear" w:color="auto" w:fill="auto"/>
            <w:noWrap/>
            <w:vAlign w:val="bottom"/>
            <w:hideMark/>
          </w:tcPr>
          <w:p w14:paraId="49CCD796" w14:textId="56A09209" w:rsidR="0020432F" w:rsidRPr="00897E24" w:rsidRDefault="004966AE" w:rsidP="0020432F">
            <w:pPr>
              <w:rPr>
                <w:rFonts w:ascii="Arial" w:hAnsi="Arial" w:cs="Arial"/>
                <w:color w:val="000000"/>
                <w:spacing w:val="0"/>
                <w:sz w:val="18"/>
                <w:szCs w:val="18"/>
                <w:lang w:val="en-US"/>
              </w:rPr>
            </w:pPr>
            <w:r w:rsidRPr="00897E24">
              <w:rPr>
                <w:rFonts w:ascii="Arial" w:hAnsi="Arial" w:cs="Arial"/>
                <w:color w:val="000000"/>
                <w:spacing w:val="0"/>
                <w:sz w:val="18"/>
                <w:szCs w:val="18"/>
                <w:lang w:val="en-US"/>
              </w:rPr>
              <w:t xml:space="preserve">%L c/ </w:t>
            </w:r>
            <w:proofErr w:type="spellStart"/>
            <w:r w:rsidRPr="00897E24">
              <w:rPr>
                <w:rFonts w:ascii="Arial" w:hAnsi="Arial" w:cs="Arial"/>
                <w:color w:val="000000"/>
                <w:spacing w:val="0"/>
                <w:sz w:val="18"/>
                <w:szCs w:val="18"/>
                <w:lang w:val="en-US"/>
              </w:rPr>
              <w:t>postgrado</w:t>
            </w:r>
            <w:proofErr w:type="spellEnd"/>
          </w:p>
        </w:tc>
        <w:tc>
          <w:tcPr>
            <w:tcW w:w="1047" w:type="dxa"/>
            <w:tcBorders>
              <w:top w:val="nil"/>
              <w:left w:val="nil"/>
              <w:bottom w:val="single" w:sz="4" w:space="0" w:color="auto"/>
              <w:right w:val="single" w:sz="4" w:space="0" w:color="auto"/>
            </w:tcBorders>
            <w:shd w:val="clear" w:color="auto" w:fill="auto"/>
            <w:noWrap/>
            <w:vAlign w:val="bottom"/>
            <w:hideMark/>
          </w:tcPr>
          <w:p w14:paraId="5277776C"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0.05171</w:t>
            </w:r>
          </w:p>
        </w:tc>
        <w:tc>
          <w:tcPr>
            <w:tcW w:w="1081" w:type="dxa"/>
            <w:tcBorders>
              <w:top w:val="nil"/>
              <w:left w:val="nil"/>
              <w:bottom w:val="single" w:sz="4" w:space="0" w:color="auto"/>
              <w:right w:val="single" w:sz="4" w:space="0" w:color="auto"/>
            </w:tcBorders>
            <w:shd w:val="clear" w:color="auto" w:fill="auto"/>
            <w:noWrap/>
            <w:vAlign w:val="bottom"/>
            <w:hideMark/>
          </w:tcPr>
          <w:p w14:paraId="4C2D5395"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0.04356</w:t>
            </w:r>
          </w:p>
        </w:tc>
        <w:tc>
          <w:tcPr>
            <w:tcW w:w="1097" w:type="dxa"/>
            <w:tcBorders>
              <w:top w:val="nil"/>
              <w:left w:val="nil"/>
              <w:bottom w:val="single" w:sz="4" w:space="0" w:color="auto"/>
              <w:right w:val="single" w:sz="4" w:space="0" w:color="auto"/>
            </w:tcBorders>
            <w:shd w:val="clear" w:color="auto" w:fill="auto"/>
            <w:noWrap/>
            <w:vAlign w:val="bottom"/>
            <w:hideMark/>
          </w:tcPr>
          <w:p w14:paraId="01EC63CF"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6.1</w:t>
            </w:r>
          </w:p>
        </w:tc>
        <w:tc>
          <w:tcPr>
            <w:tcW w:w="972" w:type="dxa"/>
            <w:tcBorders>
              <w:top w:val="nil"/>
              <w:left w:val="nil"/>
              <w:bottom w:val="single" w:sz="4" w:space="0" w:color="auto"/>
              <w:right w:val="single" w:sz="4" w:space="0" w:color="auto"/>
            </w:tcBorders>
            <w:shd w:val="clear" w:color="auto" w:fill="auto"/>
            <w:noWrap/>
            <w:vAlign w:val="bottom"/>
            <w:hideMark/>
          </w:tcPr>
          <w:p w14:paraId="64BDA628"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0.94</w:t>
            </w:r>
          </w:p>
        </w:tc>
        <w:tc>
          <w:tcPr>
            <w:tcW w:w="1454" w:type="dxa"/>
            <w:tcBorders>
              <w:top w:val="nil"/>
              <w:left w:val="nil"/>
              <w:bottom w:val="single" w:sz="4" w:space="0" w:color="auto"/>
              <w:right w:val="single" w:sz="4" w:space="0" w:color="auto"/>
            </w:tcBorders>
            <w:shd w:val="clear" w:color="auto" w:fill="auto"/>
            <w:noWrap/>
            <w:vAlign w:val="bottom"/>
            <w:hideMark/>
          </w:tcPr>
          <w:p w14:paraId="5A9C41F2"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0.349</w:t>
            </w:r>
          </w:p>
        </w:tc>
        <w:tc>
          <w:tcPr>
            <w:tcW w:w="1081" w:type="dxa"/>
            <w:tcBorders>
              <w:top w:val="nil"/>
              <w:left w:val="nil"/>
              <w:bottom w:val="single" w:sz="4" w:space="0" w:color="auto"/>
              <w:right w:val="single" w:sz="4" w:space="0" w:color="auto"/>
            </w:tcBorders>
            <w:shd w:val="clear" w:color="auto" w:fill="auto"/>
            <w:noWrap/>
            <w:vAlign w:val="bottom"/>
            <w:hideMark/>
          </w:tcPr>
          <w:p w14:paraId="379AC398"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1.71*</w:t>
            </w:r>
          </w:p>
        </w:tc>
      </w:tr>
      <w:tr w:rsidR="0020432F" w:rsidRPr="00FF2439" w14:paraId="675B0FAE" w14:textId="77777777" w:rsidTr="002F0082">
        <w:trPr>
          <w:trHeight w:val="288"/>
        </w:trPr>
        <w:tc>
          <w:tcPr>
            <w:tcW w:w="2785" w:type="dxa"/>
            <w:tcBorders>
              <w:top w:val="nil"/>
              <w:left w:val="single" w:sz="4" w:space="0" w:color="auto"/>
              <w:bottom w:val="single" w:sz="4" w:space="0" w:color="auto"/>
              <w:right w:val="single" w:sz="4" w:space="0" w:color="auto"/>
            </w:tcBorders>
            <w:shd w:val="clear" w:color="auto" w:fill="auto"/>
            <w:noWrap/>
            <w:vAlign w:val="bottom"/>
            <w:hideMark/>
          </w:tcPr>
          <w:p w14:paraId="4C59A14C" w14:textId="170600DC" w:rsidR="0020432F" w:rsidRPr="00897E24" w:rsidRDefault="004966AE" w:rsidP="0020432F">
            <w:pPr>
              <w:rPr>
                <w:rFonts w:ascii="Arial" w:hAnsi="Arial" w:cs="Arial"/>
                <w:color w:val="000000"/>
                <w:spacing w:val="0"/>
                <w:sz w:val="18"/>
                <w:szCs w:val="18"/>
                <w:lang w:val="en-US"/>
              </w:rPr>
            </w:pPr>
            <w:r w:rsidRPr="00897E24">
              <w:rPr>
                <w:rFonts w:ascii="Arial" w:hAnsi="Arial" w:cs="Arial"/>
                <w:color w:val="000000"/>
                <w:spacing w:val="0"/>
                <w:sz w:val="18"/>
                <w:szCs w:val="18"/>
                <w:lang w:val="en-US"/>
              </w:rPr>
              <w:t xml:space="preserve">%L c/ Universidad </w:t>
            </w:r>
            <w:proofErr w:type="spellStart"/>
            <w:r w:rsidRPr="00897E24">
              <w:rPr>
                <w:rFonts w:ascii="Arial" w:hAnsi="Arial" w:cs="Arial"/>
                <w:color w:val="000000"/>
                <w:spacing w:val="0"/>
                <w:sz w:val="18"/>
                <w:szCs w:val="18"/>
                <w:lang w:val="en-US"/>
              </w:rPr>
              <w:t>complet</w:t>
            </w:r>
            <w:r w:rsidR="00F76CC3" w:rsidRPr="00897E24">
              <w:rPr>
                <w:rFonts w:ascii="Arial" w:hAnsi="Arial" w:cs="Arial"/>
                <w:color w:val="000000"/>
                <w:spacing w:val="0"/>
                <w:sz w:val="18"/>
                <w:szCs w:val="18"/>
                <w:lang w:val="en-US"/>
              </w:rPr>
              <w:t>a</w:t>
            </w:r>
            <w:proofErr w:type="spellEnd"/>
          </w:p>
        </w:tc>
        <w:tc>
          <w:tcPr>
            <w:tcW w:w="1047" w:type="dxa"/>
            <w:tcBorders>
              <w:top w:val="nil"/>
              <w:left w:val="nil"/>
              <w:bottom w:val="single" w:sz="4" w:space="0" w:color="auto"/>
              <w:right w:val="single" w:sz="4" w:space="0" w:color="auto"/>
            </w:tcBorders>
            <w:shd w:val="clear" w:color="auto" w:fill="auto"/>
            <w:noWrap/>
            <w:vAlign w:val="bottom"/>
            <w:hideMark/>
          </w:tcPr>
          <w:p w14:paraId="258DB2CF"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0.29696</w:t>
            </w:r>
          </w:p>
        </w:tc>
        <w:tc>
          <w:tcPr>
            <w:tcW w:w="1081" w:type="dxa"/>
            <w:tcBorders>
              <w:top w:val="nil"/>
              <w:left w:val="nil"/>
              <w:bottom w:val="single" w:sz="4" w:space="0" w:color="auto"/>
              <w:right w:val="single" w:sz="4" w:space="0" w:color="auto"/>
            </w:tcBorders>
            <w:shd w:val="clear" w:color="auto" w:fill="auto"/>
            <w:noWrap/>
            <w:vAlign w:val="bottom"/>
            <w:hideMark/>
          </w:tcPr>
          <w:p w14:paraId="48116CA4"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0.28506</w:t>
            </w:r>
          </w:p>
        </w:tc>
        <w:tc>
          <w:tcPr>
            <w:tcW w:w="1097" w:type="dxa"/>
            <w:tcBorders>
              <w:top w:val="nil"/>
              <w:left w:val="nil"/>
              <w:bottom w:val="single" w:sz="4" w:space="0" w:color="auto"/>
              <w:right w:val="single" w:sz="4" w:space="0" w:color="auto"/>
            </w:tcBorders>
            <w:shd w:val="clear" w:color="auto" w:fill="auto"/>
            <w:noWrap/>
            <w:vAlign w:val="bottom"/>
            <w:hideMark/>
          </w:tcPr>
          <w:p w14:paraId="5F81A751"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4.3</w:t>
            </w:r>
          </w:p>
        </w:tc>
        <w:tc>
          <w:tcPr>
            <w:tcW w:w="972" w:type="dxa"/>
            <w:tcBorders>
              <w:top w:val="nil"/>
              <w:left w:val="nil"/>
              <w:bottom w:val="single" w:sz="4" w:space="0" w:color="auto"/>
              <w:right w:val="single" w:sz="4" w:space="0" w:color="auto"/>
            </w:tcBorders>
            <w:shd w:val="clear" w:color="auto" w:fill="auto"/>
            <w:noWrap/>
            <w:vAlign w:val="bottom"/>
            <w:hideMark/>
          </w:tcPr>
          <w:p w14:paraId="0BFCC32B"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0.65</w:t>
            </w:r>
          </w:p>
        </w:tc>
        <w:tc>
          <w:tcPr>
            <w:tcW w:w="1454" w:type="dxa"/>
            <w:tcBorders>
              <w:top w:val="nil"/>
              <w:left w:val="nil"/>
              <w:bottom w:val="single" w:sz="4" w:space="0" w:color="auto"/>
              <w:right w:val="single" w:sz="4" w:space="0" w:color="auto"/>
            </w:tcBorders>
            <w:shd w:val="clear" w:color="auto" w:fill="auto"/>
            <w:noWrap/>
            <w:vAlign w:val="bottom"/>
            <w:hideMark/>
          </w:tcPr>
          <w:p w14:paraId="7AD7FBF2"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0.517</w:t>
            </w:r>
          </w:p>
        </w:tc>
        <w:tc>
          <w:tcPr>
            <w:tcW w:w="1081" w:type="dxa"/>
            <w:tcBorders>
              <w:top w:val="nil"/>
              <w:left w:val="nil"/>
              <w:bottom w:val="single" w:sz="4" w:space="0" w:color="auto"/>
              <w:right w:val="single" w:sz="4" w:space="0" w:color="auto"/>
            </w:tcBorders>
            <w:shd w:val="clear" w:color="auto" w:fill="auto"/>
            <w:noWrap/>
            <w:vAlign w:val="bottom"/>
            <w:hideMark/>
          </w:tcPr>
          <w:p w14:paraId="4AE95D03"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0.97</w:t>
            </w:r>
          </w:p>
        </w:tc>
      </w:tr>
      <w:tr w:rsidR="0020432F" w:rsidRPr="00FF2439" w14:paraId="1861FB9F" w14:textId="77777777" w:rsidTr="002F0082">
        <w:trPr>
          <w:trHeight w:val="288"/>
        </w:trPr>
        <w:tc>
          <w:tcPr>
            <w:tcW w:w="2785" w:type="dxa"/>
            <w:tcBorders>
              <w:top w:val="nil"/>
              <w:left w:val="single" w:sz="4" w:space="0" w:color="auto"/>
              <w:bottom w:val="single" w:sz="4" w:space="0" w:color="auto"/>
              <w:right w:val="single" w:sz="4" w:space="0" w:color="auto"/>
            </w:tcBorders>
            <w:shd w:val="clear" w:color="auto" w:fill="auto"/>
            <w:noWrap/>
            <w:vAlign w:val="bottom"/>
            <w:hideMark/>
          </w:tcPr>
          <w:p w14:paraId="2B757F85" w14:textId="3D1D303F" w:rsidR="0020432F" w:rsidRPr="00897E24" w:rsidRDefault="004966AE" w:rsidP="0020432F">
            <w:pPr>
              <w:rPr>
                <w:rFonts w:ascii="Arial" w:hAnsi="Arial" w:cs="Arial"/>
                <w:color w:val="000000"/>
                <w:spacing w:val="0"/>
                <w:sz w:val="18"/>
                <w:szCs w:val="18"/>
                <w:lang w:val="en-US"/>
              </w:rPr>
            </w:pPr>
            <w:r w:rsidRPr="00897E24">
              <w:rPr>
                <w:rFonts w:ascii="Arial" w:hAnsi="Arial" w:cs="Arial"/>
                <w:color w:val="000000"/>
                <w:spacing w:val="0"/>
                <w:sz w:val="18"/>
                <w:szCs w:val="18"/>
                <w:lang w:val="en-US"/>
              </w:rPr>
              <w:t xml:space="preserve">%L c/ </w:t>
            </w:r>
            <w:proofErr w:type="spellStart"/>
            <w:r w:rsidRPr="00897E24">
              <w:rPr>
                <w:rFonts w:ascii="Arial" w:hAnsi="Arial" w:cs="Arial"/>
                <w:color w:val="000000"/>
                <w:spacing w:val="0"/>
                <w:sz w:val="18"/>
                <w:szCs w:val="18"/>
                <w:lang w:val="en-US"/>
              </w:rPr>
              <w:t>Técnica</w:t>
            </w:r>
            <w:proofErr w:type="spellEnd"/>
            <w:r w:rsidRPr="00897E24">
              <w:rPr>
                <w:rFonts w:ascii="Arial" w:hAnsi="Arial" w:cs="Arial"/>
                <w:color w:val="000000"/>
                <w:spacing w:val="0"/>
                <w:sz w:val="18"/>
                <w:szCs w:val="18"/>
                <w:lang w:val="en-US"/>
              </w:rPr>
              <w:t xml:space="preserve"> </w:t>
            </w:r>
            <w:proofErr w:type="spellStart"/>
            <w:r w:rsidR="00F76CC3" w:rsidRPr="00897E24">
              <w:rPr>
                <w:rFonts w:ascii="Arial" w:hAnsi="Arial" w:cs="Arial"/>
                <w:color w:val="000000"/>
                <w:spacing w:val="0"/>
                <w:sz w:val="18"/>
                <w:szCs w:val="18"/>
                <w:lang w:val="en-US"/>
              </w:rPr>
              <w:t>completa</w:t>
            </w:r>
            <w:proofErr w:type="spellEnd"/>
          </w:p>
        </w:tc>
        <w:tc>
          <w:tcPr>
            <w:tcW w:w="1047" w:type="dxa"/>
            <w:tcBorders>
              <w:top w:val="nil"/>
              <w:left w:val="nil"/>
              <w:bottom w:val="single" w:sz="4" w:space="0" w:color="auto"/>
              <w:right w:val="single" w:sz="4" w:space="0" w:color="auto"/>
            </w:tcBorders>
            <w:shd w:val="clear" w:color="auto" w:fill="auto"/>
            <w:noWrap/>
            <w:vAlign w:val="bottom"/>
            <w:hideMark/>
          </w:tcPr>
          <w:p w14:paraId="55A9EE14"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0.20743</w:t>
            </w:r>
          </w:p>
        </w:tc>
        <w:tc>
          <w:tcPr>
            <w:tcW w:w="1081" w:type="dxa"/>
            <w:tcBorders>
              <w:top w:val="nil"/>
              <w:left w:val="nil"/>
              <w:bottom w:val="single" w:sz="4" w:space="0" w:color="auto"/>
              <w:right w:val="single" w:sz="4" w:space="0" w:color="auto"/>
            </w:tcBorders>
            <w:shd w:val="clear" w:color="auto" w:fill="auto"/>
            <w:noWrap/>
            <w:vAlign w:val="bottom"/>
            <w:hideMark/>
          </w:tcPr>
          <w:p w14:paraId="731F4A28"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0.20188</w:t>
            </w:r>
          </w:p>
        </w:tc>
        <w:tc>
          <w:tcPr>
            <w:tcW w:w="1097" w:type="dxa"/>
            <w:tcBorders>
              <w:top w:val="nil"/>
              <w:left w:val="nil"/>
              <w:bottom w:val="single" w:sz="4" w:space="0" w:color="auto"/>
              <w:right w:val="single" w:sz="4" w:space="0" w:color="auto"/>
            </w:tcBorders>
            <w:shd w:val="clear" w:color="auto" w:fill="auto"/>
            <w:noWrap/>
            <w:vAlign w:val="bottom"/>
            <w:hideMark/>
          </w:tcPr>
          <w:p w14:paraId="126CD905"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2.2</w:t>
            </w:r>
          </w:p>
        </w:tc>
        <w:tc>
          <w:tcPr>
            <w:tcW w:w="972" w:type="dxa"/>
            <w:tcBorders>
              <w:top w:val="nil"/>
              <w:left w:val="nil"/>
              <w:bottom w:val="single" w:sz="4" w:space="0" w:color="auto"/>
              <w:right w:val="single" w:sz="4" w:space="0" w:color="auto"/>
            </w:tcBorders>
            <w:shd w:val="clear" w:color="auto" w:fill="auto"/>
            <w:noWrap/>
            <w:vAlign w:val="bottom"/>
            <w:hideMark/>
          </w:tcPr>
          <w:p w14:paraId="74CE4B49"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0.32</w:t>
            </w:r>
          </w:p>
        </w:tc>
        <w:tc>
          <w:tcPr>
            <w:tcW w:w="1454" w:type="dxa"/>
            <w:tcBorders>
              <w:top w:val="nil"/>
              <w:left w:val="nil"/>
              <w:bottom w:val="single" w:sz="4" w:space="0" w:color="auto"/>
              <w:right w:val="single" w:sz="4" w:space="0" w:color="auto"/>
            </w:tcBorders>
            <w:shd w:val="clear" w:color="auto" w:fill="auto"/>
            <w:noWrap/>
            <w:vAlign w:val="bottom"/>
            <w:hideMark/>
          </w:tcPr>
          <w:p w14:paraId="292B31BF"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0.746</w:t>
            </w:r>
          </w:p>
        </w:tc>
        <w:tc>
          <w:tcPr>
            <w:tcW w:w="1081" w:type="dxa"/>
            <w:tcBorders>
              <w:top w:val="nil"/>
              <w:left w:val="nil"/>
              <w:bottom w:val="single" w:sz="4" w:space="0" w:color="auto"/>
              <w:right w:val="single" w:sz="4" w:space="0" w:color="auto"/>
            </w:tcBorders>
            <w:shd w:val="clear" w:color="auto" w:fill="auto"/>
            <w:noWrap/>
            <w:vAlign w:val="bottom"/>
            <w:hideMark/>
          </w:tcPr>
          <w:p w14:paraId="79203A89"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1.04</w:t>
            </w:r>
          </w:p>
        </w:tc>
      </w:tr>
      <w:tr w:rsidR="0020432F" w:rsidRPr="00FF2439" w14:paraId="4733A990" w14:textId="77777777" w:rsidTr="002F0082">
        <w:trPr>
          <w:trHeight w:val="288"/>
        </w:trPr>
        <w:tc>
          <w:tcPr>
            <w:tcW w:w="2785" w:type="dxa"/>
            <w:tcBorders>
              <w:top w:val="nil"/>
              <w:left w:val="single" w:sz="4" w:space="0" w:color="auto"/>
              <w:bottom w:val="single" w:sz="4" w:space="0" w:color="auto"/>
              <w:right w:val="single" w:sz="4" w:space="0" w:color="auto"/>
            </w:tcBorders>
            <w:shd w:val="clear" w:color="auto" w:fill="auto"/>
            <w:noWrap/>
            <w:vAlign w:val="bottom"/>
            <w:hideMark/>
          </w:tcPr>
          <w:p w14:paraId="01FECAD9" w14:textId="2BCFE7BA" w:rsidR="0020432F" w:rsidRPr="00897E24" w:rsidRDefault="004966AE" w:rsidP="0020432F">
            <w:pPr>
              <w:rPr>
                <w:rFonts w:ascii="Arial" w:hAnsi="Arial" w:cs="Arial"/>
                <w:color w:val="000000"/>
                <w:spacing w:val="0"/>
                <w:sz w:val="18"/>
                <w:szCs w:val="18"/>
                <w:lang w:val="en-US"/>
              </w:rPr>
            </w:pPr>
            <w:r w:rsidRPr="00897E24">
              <w:rPr>
                <w:rFonts w:ascii="Arial" w:hAnsi="Arial" w:cs="Arial"/>
                <w:color w:val="000000"/>
                <w:spacing w:val="0"/>
                <w:sz w:val="18"/>
                <w:szCs w:val="18"/>
                <w:lang w:val="en-US"/>
              </w:rPr>
              <w:t xml:space="preserve">%L c/ </w:t>
            </w:r>
            <w:proofErr w:type="spellStart"/>
            <w:r w:rsidRPr="00897E24">
              <w:rPr>
                <w:rFonts w:ascii="Arial" w:hAnsi="Arial" w:cs="Arial"/>
                <w:color w:val="000000"/>
                <w:spacing w:val="0"/>
                <w:sz w:val="18"/>
                <w:szCs w:val="18"/>
                <w:lang w:val="en-US"/>
              </w:rPr>
              <w:t>técnica</w:t>
            </w:r>
            <w:proofErr w:type="spellEnd"/>
            <w:r w:rsidRPr="00897E24">
              <w:rPr>
                <w:rFonts w:ascii="Arial" w:hAnsi="Arial" w:cs="Arial"/>
                <w:color w:val="000000"/>
                <w:spacing w:val="0"/>
                <w:sz w:val="18"/>
                <w:szCs w:val="18"/>
                <w:lang w:val="en-US"/>
              </w:rPr>
              <w:t xml:space="preserve"> </w:t>
            </w:r>
            <w:r w:rsidR="00F76CC3" w:rsidRPr="00897E24">
              <w:rPr>
                <w:rFonts w:ascii="Arial" w:hAnsi="Arial" w:cs="Arial"/>
                <w:color w:val="000000"/>
                <w:spacing w:val="0"/>
                <w:sz w:val="18"/>
                <w:szCs w:val="18"/>
                <w:lang w:val="en-US"/>
              </w:rPr>
              <w:t>incomplete</w:t>
            </w:r>
          </w:p>
        </w:tc>
        <w:tc>
          <w:tcPr>
            <w:tcW w:w="1047" w:type="dxa"/>
            <w:tcBorders>
              <w:top w:val="nil"/>
              <w:left w:val="nil"/>
              <w:bottom w:val="single" w:sz="4" w:space="0" w:color="auto"/>
              <w:right w:val="single" w:sz="4" w:space="0" w:color="auto"/>
            </w:tcBorders>
            <w:shd w:val="clear" w:color="auto" w:fill="auto"/>
            <w:noWrap/>
            <w:vAlign w:val="bottom"/>
            <w:hideMark/>
          </w:tcPr>
          <w:p w14:paraId="26B89045"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0.05188</w:t>
            </w:r>
          </w:p>
        </w:tc>
        <w:tc>
          <w:tcPr>
            <w:tcW w:w="1081" w:type="dxa"/>
            <w:tcBorders>
              <w:top w:val="nil"/>
              <w:left w:val="nil"/>
              <w:bottom w:val="single" w:sz="4" w:space="0" w:color="auto"/>
              <w:right w:val="single" w:sz="4" w:space="0" w:color="auto"/>
            </w:tcBorders>
            <w:shd w:val="clear" w:color="auto" w:fill="auto"/>
            <w:noWrap/>
            <w:vAlign w:val="bottom"/>
            <w:hideMark/>
          </w:tcPr>
          <w:p w14:paraId="11836BB5"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0.05491</w:t>
            </w:r>
          </w:p>
        </w:tc>
        <w:tc>
          <w:tcPr>
            <w:tcW w:w="1097" w:type="dxa"/>
            <w:tcBorders>
              <w:top w:val="nil"/>
              <w:left w:val="nil"/>
              <w:bottom w:val="single" w:sz="4" w:space="0" w:color="auto"/>
              <w:right w:val="single" w:sz="4" w:space="0" w:color="auto"/>
            </w:tcBorders>
            <w:shd w:val="clear" w:color="auto" w:fill="auto"/>
            <w:noWrap/>
            <w:vAlign w:val="bottom"/>
            <w:hideMark/>
          </w:tcPr>
          <w:p w14:paraId="79C7B18D"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-2.2</w:t>
            </w:r>
          </w:p>
        </w:tc>
        <w:tc>
          <w:tcPr>
            <w:tcW w:w="972" w:type="dxa"/>
            <w:tcBorders>
              <w:top w:val="nil"/>
              <w:left w:val="nil"/>
              <w:bottom w:val="single" w:sz="4" w:space="0" w:color="auto"/>
              <w:right w:val="single" w:sz="4" w:space="0" w:color="auto"/>
            </w:tcBorders>
            <w:shd w:val="clear" w:color="auto" w:fill="auto"/>
            <w:noWrap/>
            <w:vAlign w:val="bottom"/>
            <w:hideMark/>
          </w:tcPr>
          <w:p w14:paraId="7CF37444"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-0.33</w:t>
            </w:r>
          </w:p>
        </w:tc>
        <w:tc>
          <w:tcPr>
            <w:tcW w:w="1454" w:type="dxa"/>
            <w:tcBorders>
              <w:top w:val="nil"/>
              <w:left w:val="nil"/>
              <w:bottom w:val="single" w:sz="4" w:space="0" w:color="auto"/>
              <w:right w:val="single" w:sz="4" w:space="0" w:color="auto"/>
            </w:tcBorders>
            <w:shd w:val="clear" w:color="auto" w:fill="auto"/>
            <w:noWrap/>
            <w:vAlign w:val="bottom"/>
            <w:hideMark/>
          </w:tcPr>
          <w:p w14:paraId="22C05342"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0.738</w:t>
            </w:r>
          </w:p>
        </w:tc>
        <w:tc>
          <w:tcPr>
            <w:tcW w:w="1081" w:type="dxa"/>
            <w:tcBorders>
              <w:top w:val="nil"/>
              <w:left w:val="nil"/>
              <w:bottom w:val="single" w:sz="4" w:space="0" w:color="auto"/>
              <w:right w:val="single" w:sz="4" w:space="0" w:color="auto"/>
            </w:tcBorders>
            <w:shd w:val="clear" w:color="auto" w:fill="auto"/>
            <w:noWrap/>
            <w:vAlign w:val="bottom"/>
            <w:hideMark/>
          </w:tcPr>
          <w:p w14:paraId="4746DCE0"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1.03</w:t>
            </w:r>
          </w:p>
        </w:tc>
      </w:tr>
      <w:tr w:rsidR="0020432F" w:rsidRPr="00FF2439" w14:paraId="0CFC2CEE" w14:textId="77777777" w:rsidTr="002F0082">
        <w:trPr>
          <w:trHeight w:val="288"/>
        </w:trPr>
        <w:tc>
          <w:tcPr>
            <w:tcW w:w="2785" w:type="dxa"/>
            <w:tcBorders>
              <w:top w:val="nil"/>
              <w:left w:val="single" w:sz="4" w:space="0" w:color="auto"/>
              <w:bottom w:val="single" w:sz="4" w:space="0" w:color="auto"/>
              <w:right w:val="single" w:sz="4" w:space="0" w:color="auto"/>
            </w:tcBorders>
            <w:shd w:val="clear" w:color="auto" w:fill="auto"/>
            <w:noWrap/>
            <w:vAlign w:val="bottom"/>
            <w:hideMark/>
          </w:tcPr>
          <w:p w14:paraId="23FCC631" w14:textId="204B2EDA" w:rsidR="0020432F" w:rsidRPr="00897E24" w:rsidRDefault="004966AE" w:rsidP="0020432F">
            <w:pPr>
              <w:rPr>
                <w:rFonts w:ascii="Arial" w:hAnsi="Arial" w:cs="Arial"/>
                <w:color w:val="000000"/>
                <w:spacing w:val="0"/>
                <w:sz w:val="18"/>
                <w:szCs w:val="18"/>
                <w:lang w:val="en-US"/>
              </w:rPr>
            </w:pPr>
            <w:r w:rsidRPr="00897E24">
              <w:rPr>
                <w:rFonts w:ascii="Arial" w:hAnsi="Arial" w:cs="Arial"/>
                <w:color w:val="000000"/>
                <w:spacing w:val="0"/>
                <w:sz w:val="18"/>
                <w:szCs w:val="18"/>
                <w:lang w:val="en-US"/>
              </w:rPr>
              <w:t xml:space="preserve">%L c/ </w:t>
            </w:r>
            <w:proofErr w:type="spellStart"/>
            <w:r w:rsidRPr="00897E24">
              <w:rPr>
                <w:rFonts w:ascii="Arial" w:hAnsi="Arial" w:cs="Arial"/>
                <w:color w:val="000000"/>
                <w:spacing w:val="0"/>
                <w:sz w:val="18"/>
                <w:szCs w:val="18"/>
                <w:lang w:val="en-US"/>
              </w:rPr>
              <w:t>secundaria</w:t>
            </w:r>
            <w:proofErr w:type="spellEnd"/>
          </w:p>
        </w:tc>
        <w:tc>
          <w:tcPr>
            <w:tcW w:w="1047" w:type="dxa"/>
            <w:tcBorders>
              <w:top w:val="nil"/>
              <w:left w:val="nil"/>
              <w:bottom w:val="single" w:sz="4" w:space="0" w:color="auto"/>
              <w:right w:val="single" w:sz="4" w:space="0" w:color="auto"/>
            </w:tcBorders>
            <w:shd w:val="clear" w:color="auto" w:fill="auto"/>
            <w:noWrap/>
            <w:vAlign w:val="bottom"/>
            <w:hideMark/>
          </w:tcPr>
          <w:p w14:paraId="334C0737"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3.03E-01</w:t>
            </w:r>
          </w:p>
        </w:tc>
        <w:tc>
          <w:tcPr>
            <w:tcW w:w="1081" w:type="dxa"/>
            <w:tcBorders>
              <w:top w:val="nil"/>
              <w:left w:val="nil"/>
              <w:bottom w:val="single" w:sz="4" w:space="0" w:color="auto"/>
              <w:right w:val="single" w:sz="4" w:space="0" w:color="auto"/>
            </w:tcBorders>
            <w:shd w:val="clear" w:color="auto" w:fill="auto"/>
            <w:noWrap/>
            <w:vAlign w:val="bottom"/>
            <w:hideMark/>
          </w:tcPr>
          <w:p w14:paraId="06BD926A"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3.23E-01</w:t>
            </w:r>
          </w:p>
        </w:tc>
        <w:tc>
          <w:tcPr>
            <w:tcW w:w="1097" w:type="dxa"/>
            <w:tcBorders>
              <w:top w:val="nil"/>
              <w:left w:val="nil"/>
              <w:bottom w:val="single" w:sz="4" w:space="0" w:color="auto"/>
              <w:right w:val="single" w:sz="4" w:space="0" w:color="auto"/>
            </w:tcBorders>
            <w:shd w:val="clear" w:color="auto" w:fill="auto"/>
            <w:noWrap/>
            <w:vAlign w:val="bottom"/>
            <w:hideMark/>
          </w:tcPr>
          <w:p w14:paraId="31A6A049"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-6.2</w:t>
            </w:r>
          </w:p>
        </w:tc>
        <w:tc>
          <w:tcPr>
            <w:tcW w:w="972" w:type="dxa"/>
            <w:tcBorders>
              <w:top w:val="nil"/>
              <w:left w:val="nil"/>
              <w:bottom w:val="single" w:sz="4" w:space="0" w:color="auto"/>
              <w:right w:val="single" w:sz="4" w:space="0" w:color="auto"/>
            </w:tcBorders>
            <w:shd w:val="clear" w:color="auto" w:fill="auto"/>
            <w:noWrap/>
            <w:vAlign w:val="bottom"/>
            <w:hideMark/>
          </w:tcPr>
          <w:p w14:paraId="605FD7B3"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-0.93</w:t>
            </w:r>
          </w:p>
        </w:tc>
        <w:tc>
          <w:tcPr>
            <w:tcW w:w="1454" w:type="dxa"/>
            <w:tcBorders>
              <w:top w:val="nil"/>
              <w:left w:val="nil"/>
              <w:bottom w:val="single" w:sz="4" w:space="0" w:color="auto"/>
              <w:right w:val="single" w:sz="4" w:space="0" w:color="auto"/>
            </w:tcBorders>
            <w:shd w:val="clear" w:color="auto" w:fill="auto"/>
            <w:noWrap/>
            <w:vAlign w:val="bottom"/>
            <w:hideMark/>
          </w:tcPr>
          <w:p w14:paraId="57E2DD4B"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0.351</w:t>
            </w:r>
          </w:p>
        </w:tc>
        <w:tc>
          <w:tcPr>
            <w:tcW w:w="1081" w:type="dxa"/>
            <w:tcBorders>
              <w:top w:val="nil"/>
              <w:left w:val="nil"/>
              <w:bottom w:val="single" w:sz="4" w:space="0" w:color="auto"/>
              <w:right w:val="single" w:sz="4" w:space="0" w:color="auto"/>
            </w:tcBorders>
            <w:shd w:val="clear" w:color="auto" w:fill="auto"/>
            <w:noWrap/>
            <w:vAlign w:val="bottom"/>
            <w:hideMark/>
          </w:tcPr>
          <w:p w14:paraId="35507C56"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0.95</w:t>
            </w:r>
          </w:p>
        </w:tc>
      </w:tr>
      <w:tr w:rsidR="0020432F" w:rsidRPr="00FF2439" w14:paraId="2B89C4BD" w14:textId="77777777" w:rsidTr="002F0082">
        <w:trPr>
          <w:trHeight w:val="288"/>
        </w:trPr>
        <w:tc>
          <w:tcPr>
            <w:tcW w:w="2785" w:type="dxa"/>
            <w:tcBorders>
              <w:top w:val="nil"/>
              <w:left w:val="single" w:sz="4" w:space="0" w:color="auto"/>
              <w:bottom w:val="single" w:sz="4" w:space="0" w:color="auto"/>
              <w:right w:val="single" w:sz="4" w:space="0" w:color="auto"/>
            </w:tcBorders>
            <w:shd w:val="clear" w:color="auto" w:fill="auto"/>
            <w:noWrap/>
            <w:vAlign w:val="bottom"/>
            <w:hideMark/>
          </w:tcPr>
          <w:p w14:paraId="4154689F" w14:textId="0250D54D" w:rsidR="0020432F" w:rsidRPr="00897E24" w:rsidRDefault="004966AE" w:rsidP="0020432F">
            <w:pPr>
              <w:rPr>
                <w:rFonts w:ascii="Arial" w:hAnsi="Arial" w:cs="Arial"/>
                <w:color w:val="000000"/>
                <w:spacing w:val="0"/>
                <w:sz w:val="18"/>
                <w:szCs w:val="18"/>
                <w:lang w:val="en-US"/>
              </w:rPr>
            </w:pPr>
            <w:r w:rsidRPr="00897E24">
              <w:rPr>
                <w:rFonts w:ascii="Arial" w:hAnsi="Arial" w:cs="Arial"/>
                <w:color w:val="000000"/>
                <w:spacing w:val="0"/>
                <w:sz w:val="18"/>
                <w:szCs w:val="18"/>
                <w:lang w:val="en-US"/>
              </w:rPr>
              <w:t xml:space="preserve">%L c/ </w:t>
            </w:r>
            <w:proofErr w:type="spellStart"/>
            <w:r w:rsidRPr="00897E24">
              <w:rPr>
                <w:rFonts w:ascii="Arial" w:hAnsi="Arial" w:cs="Arial"/>
                <w:color w:val="000000"/>
                <w:spacing w:val="0"/>
                <w:sz w:val="18"/>
                <w:szCs w:val="18"/>
                <w:lang w:val="en-US"/>
              </w:rPr>
              <w:t>inicial</w:t>
            </w:r>
            <w:proofErr w:type="spellEnd"/>
          </w:p>
        </w:tc>
        <w:tc>
          <w:tcPr>
            <w:tcW w:w="1047" w:type="dxa"/>
            <w:tcBorders>
              <w:top w:val="nil"/>
              <w:left w:val="nil"/>
              <w:bottom w:val="single" w:sz="4" w:space="0" w:color="auto"/>
              <w:right w:val="single" w:sz="4" w:space="0" w:color="auto"/>
            </w:tcBorders>
            <w:shd w:val="clear" w:color="auto" w:fill="auto"/>
            <w:noWrap/>
            <w:vAlign w:val="bottom"/>
            <w:hideMark/>
          </w:tcPr>
          <w:p w14:paraId="5E3E8483"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0.00233</w:t>
            </w:r>
          </w:p>
        </w:tc>
        <w:tc>
          <w:tcPr>
            <w:tcW w:w="1081" w:type="dxa"/>
            <w:tcBorders>
              <w:top w:val="nil"/>
              <w:left w:val="nil"/>
              <w:bottom w:val="single" w:sz="4" w:space="0" w:color="auto"/>
              <w:right w:val="single" w:sz="4" w:space="0" w:color="auto"/>
            </w:tcBorders>
            <w:shd w:val="clear" w:color="auto" w:fill="auto"/>
            <w:noWrap/>
            <w:vAlign w:val="bottom"/>
            <w:hideMark/>
          </w:tcPr>
          <w:p w14:paraId="1F6E6CE2"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0.00148</w:t>
            </w:r>
          </w:p>
        </w:tc>
        <w:tc>
          <w:tcPr>
            <w:tcW w:w="1097" w:type="dxa"/>
            <w:tcBorders>
              <w:top w:val="nil"/>
              <w:left w:val="nil"/>
              <w:bottom w:val="single" w:sz="4" w:space="0" w:color="auto"/>
              <w:right w:val="single" w:sz="4" w:space="0" w:color="auto"/>
            </w:tcBorders>
            <w:shd w:val="clear" w:color="auto" w:fill="auto"/>
            <w:noWrap/>
            <w:vAlign w:val="bottom"/>
            <w:hideMark/>
          </w:tcPr>
          <w:p w14:paraId="6A53E507"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2.5</w:t>
            </w:r>
          </w:p>
        </w:tc>
        <w:tc>
          <w:tcPr>
            <w:tcW w:w="972" w:type="dxa"/>
            <w:tcBorders>
              <w:top w:val="nil"/>
              <w:left w:val="nil"/>
              <w:bottom w:val="single" w:sz="4" w:space="0" w:color="auto"/>
              <w:right w:val="single" w:sz="4" w:space="0" w:color="auto"/>
            </w:tcBorders>
            <w:shd w:val="clear" w:color="auto" w:fill="auto"/>
            <w:noWrap/>
            <w:vAlign w:val="bottom"/>
            <w:hideMark/>
          </w:tcPr>
          <w:p w14:paraId="2F862FF6"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0.59</w:t>
            </w:r>
          </w:p>
        </w:tc>
        <w:tc>
          <w:tcPr>
            <w:tcW w:w="1454" w:type="dxa"/>
            <w:tcBorders>
              <w:top w:val="nil"/>
              <w:left w:val="nil"/>
              <w:bottom w:val="single" w:sz="4" w:space="0" w:color="auto"/>
              <w:right w:val="single" w:sz="4" w:space="0" w:color="auto"/>
            </w:tcBorders>
            <w:shd w:val="clear" w:color="auto" w:fill="auto"/>
            <w:noWrap/>
            <w:vAlign w:val="bottom"/>
            <w:hideMark/>
          </w:tcPr>
          <w:p w14:paraId="49EAB1DB"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0.557</w:t>
            </w:r>
          </w:p>
        </w:tc>
        <w:tc>
          <w:tcPr>
            <w:tcW w:w="1081" w:type="dxa"/>
            <w:tcBorders>
              <w:top w:val="nil"/>
              <w:left w:val="nil"/>
              <w:bottom w:val="single" w:sz="4" w:space="0" w:color="auto"/>
              <w:right w:val="single" w:sz="4" w:space="0" w:color="auto"/>
            </w:tcBorders>
            <w:shd w:val="clear" w:color="auto" w:fill="auto"/>
            <w:noWrap/>
            <w:vAlign w:val="bottom"/>
            <w:hideMark/>
          </w:tcPr>
          <w:p w14:paraId="4BB5EEF5"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2.36*</w:t>
            </w:r>
          </w:p>
        </w:tc>
      </w:tr>
      <w:tr w:rsidR="0020432F" w:rsidRPr="00FF2439" w14:paraId="388F661E" w14:textId="77777777" w:rsidTr="002F0082">
        <w:trPr>
          <w:trHeight w:val="288"/>
        </w:trPr>
        <w:tc>
          <w:tcPr>
            <w:tcW w:w="2785" w:type="dxa"/>
            <w:tcBorders>
              <w:top w:val="nil"/>
              <w:left w:val="single" w:sz="4" w:space="0" w:color="auto"/>
              <w:bottom w:val="single" w:sz="4" w:space="0" w:color="auto"/>
              <w:right w:val="single" w:sz="4" w:space="0" w:color="auto"/>
            </w:tcBorders>
            <w:shd w:val="clear" w:color="auto" w:fill="auto"/>
            <w:noWrap/>
            <w:vAlign w:val="bottom"/>
            <w:hideMark/>
          </w:tcPr>
          <w:p w14:paraId="5F4D4C0B" w14:textId="77777777" w:rsidR="0020432F" w:rsidRPr="00897E24" w:rsidRDefault="0020432F" w:rsidP="0020432F">
            <w:pPr>
              <w:rPr>
                <w:rFonts w:ascii="Arial" w:hAnsi="Arial" w:cs="Arial"/>
                <w:color w:val="000000"/>
                <w:spacing w:val="0"/>
                <w:sz w:val="18"/>
                <w:szCs w:val="18"/>
                <w:lang w:val="en-US"/>
              </w:rPr>
            </w:pPr>
            <w:r w:rsidRPr="00897E24">
              <w:rPr>
                <w:rFonts w:ascii="Arial" w:hAnsi="Arial" w:cs="Arial"/>
                <w:color w:val="000000"/>
                <w:spacing w:val="0"/>
                <w:sz w:val="18"/>
                <w:szCs w:val="18"/>
                <w:lang w:val="en-US"/>
              </w:rPr>
              <w:t>2.sector11</w:t>
            </w:r>
          </w:p>
        </w:tc>
        <w:tc>
          <w:tcPr>
            <w:tcW w:w="1047" w:type="dxa"/>
            <w:tcBorders>
              <w:top w:val="nil"/>
              <w:left w:val="nil"/>
              <w:bottom w:val="single" w:sz="4" w:space="0" w:color="auto"/>
              <w:right w:val="single" w:sz="4" w:space="0" w:color="auto"/>
            </w:tcBorders>
            <w:shd w:val="clear" w:color="auto" w:fill="auto"/>
            <w:noWrap/>
            <w:vAlign w:val="bottom"/>
            <w:hideMark/>
          </w:tcPr>
          <w:p w14:paraId="336B237B"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0.39111</w:t>
            </w:r>
          </w:p>
        </w:tc>
        <w:tc>
          <w:tcPr>
            <w:tcW w:w="1081" w:type="dxa"/>
            <w:tcBorders>
              <w:top w:val="nil"/>
              <w:left w:val="nil"/>
              <w:bottom w:val="single" w:sz="4" w:space="0" w:color="auto"/>
              <w:right w:val="single" w:sz="4" w:space="0" w:color="auto"/>
            </w:tcBorders>
            <w:shd w:val="clear" w:color="auto" w:fill="auto"/>
            <w:noWrap/>
            <w:vAlign w:val="bottom"/>
            <w:hideMark/>
          </w:tcPr>
          <w:p w14:paraId="303CE539"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0.42594</w:t>
            </w:r>
          </w:p>
        </w:tc>
        <w:tc>
          <w:tcPr>
            <w:tcW w:w="1097" w:type="dxa"/>
            <w:tcBorders>
              <w:top w:val="nil"/>
              <w:left w:val="nil"/>
              <w:bottom w:val="single" w:sz="4" w:space="0" w:color="auto"/>
              <w:right w:val="single" w:sz="4" w:space="0" w:color="auto"/>
            </w:tcBorders>
            <w:shd w:val="clear" w:color="auto" w:fill="auto"/>
            <w:noWrap/>
            <w:vAlign w:val="bottom"/>
            <w:hideMark/>
          </w:tcPr>
          <w:p w14:paraId="2B3296BF"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-7.1</w:t>
            </w:r>
          </w:p>
        </w:tc>
        <w:tc>
          <w:tcPr>
            <w:tcW w:w="972" w:type="dxa"/>
            <w:tcBorders>
              <w:top w:val="nil"/>
              <w:left w:val="nil"/>
              <w:bottom w:val="single" w:sz="4" w:space="0" w:color="auto"/>
              <w:right w:val="single" w:sz="4" w:space="0" w:color="auto"/>
            </w:tcBorders>
            <w:shd w:val="clear" w:color="auto" w:fill="auto"/>
            <w:noWrap/>
            <w:vAlign w:val="bottom"/>
            <w:hideMark/>
          </w:tcPr>
          <w:p w14:paraId="4ECDEB76"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-1.06</w:t>
            </w:r>
          </w:p>
        </w:tc>
        <w:tc>
          <w:tcPr>
            <w:tcW w:w="1454" w:type="dxa"/>
            <w:tcBorders>
              <w:top w:val="nil"/>
              <w:left w:val="nil"/>
              <w:bottom w:val="single" w:sz="4" w:space="0" w:color="auto"/>
              <w:right w:val="single" w:sz="4" w:space="0" w:color="auto"/>
            </w:tcBorders>
            <w:shd w:val="clear" w:color="auto" w:fill="auto"/>
            <w:noWrap/>
            <w:vAlign w:val="bottom"/>
            <w:hideMark/>
          </w:tcPr>
          <w:p w14:paraId="4CCEF20C"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0.288</w:t>
            </w:r>
          </w:p>
        </w:tc>
        <w:tc>
          <w:tcPr>
            <w:tcW w:w="1081" w:type="dxa"/>
            <w:tcBorders>
              <w:top w:val="nil"/>
              <w:left w:val="nil"/>
              <w:bottom w:val="single" w:sz="4" w:space="0" w:color="auto"/>
              <w:right w:val="single" w:sz="4" w:space="0" w:color="auto"/>
            </w:tcBorders>
            <w:shd w:val="clear" w:color="auto" w:fill="auto"/>
            <w:noWrap/>
            <w:vAlign w:val="bottom"/>
            <w:hideMark/>
          </w:tcPr>
          <w:p w14:paraId="3A288A94"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w:t>
            </w:r>
          </w:p>
        </w:tc>
      </w:tr>
      <w:tr w:rsidR="0020432F" w:rsidRPr="00FF2439" w14:paraId="4194B0ED" w14:textId="77777777" w:rsidTr="002F0082">
        <w:trPr>
          <w:trHeight w:val="288"/>
        </w:trPr>
        <w:tc>
          <w:tcPr>
            <w:tcW w:w="2785" w:type="dxa"/>
            <w:tcBorders>
              <w:top w:val="nil"/>
              <w:left w:val="single" w:sz="4" w:space="0" w:color="auto"/>
              <w:bottom w:val="single" w:sz="4" w:space="0" w:color="auto"/>
              <w:right w:val="single" w:sz="4" w:space="0" w:color="auto"/>
            </w:tcBorders>
            <w:shd w:val="clear" w:color="auto" w:fill="auto"/>
            <w:noWrap/>
            <w:vAlign w:val="bottom"/>
            <w:hideMark/>
          </w:tcPr>
          <w:p w14:paraId="704D6563" w14:textId="77777777" w:rsidR="0020432F" w:rsidRPr="00897E24" w:rsidRDefault="0020432F" w:rsidP="0020432F">
            <w:pPr>
              <w:rPr>
                <w:rFonts w:ascii="Arial" w:hAnsi="Arial" w:cs="Arial"/>
                <w:color w:val="000000"/>
                <w:spacing w:val="0"/>
                <w:sz w:val="18"/>
                <w:szCs w:val="18"/>
                <w:lang w:val="en-US"/>
              </w:rPr>
            </w:pPr>
            <w:r w:rsidRPr="00897E24">
              <w:rPr>
                <w:rFonts w:ascii="Arial" w:hAnsi="Arial" w:cs="Arial"/>
                <w:color w:val="000000"/>
                <w:spacing w:val="0"/>
                <w:sz w:val="18"/>
                <w:szCs w:val="18"/>
                <w:lang w:val="en-US"/>
              </w:rPr>
              <w:t>3.sector11</w:t>
            </w:r>
          </w:p>
        </w:tc>
        <w:tc>
          <w:tcPr>
            <w:tcW w:w="1047" w:type="dxa"/>
            <w:tcBorders>
              <w:top w:val="nil"/>
              <w:left w:val="nil"/>
              <w:bottom w:val="single" w:sz="4" w:space="0" w:color="auto"/>
              <w:right w:val="single" w:sz="4" w:space="0" w:color="auto"/>
            </w:tcBorders>
            <w:shd w:val="clear" w:color="auto" w:fill="auto"/>
            <w:noWrap/>
            <w:vAlign w:val="bottom"/>
            <w:hideMark/>
          </w:tcPr>
          <w:p w14:paraId="643774A8"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0.33333</w:t>
            </w:r>
          </w:p>
        </w:tc>
        <w:tc>
          <w:tcPr>
            <w:tcW w:w="1081" w:type="dxa"/>
            <w:tcBorders>
              <w:top w:val="nil"/>
              <w:left w:val="nil"/>
              <w:bottom w:val="single" w:sz="4" w:space="0" w:color="auto"/>
              <w:right w:val="single" w:sz="4" w:space="0" w:color="auto"/>
            </w:tcBorders>
            <w:shd w:val="clear" w:color="auto" w:fill="auto"/>
            <w:noWrap/>
            <w:vAlign w:val="bottom"/>
            <w:hideMark/>
          </w:tcPr>
          <w:p w14:paraId="3E834E3D"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0.31064</w:t>
            </w:r>
          </w:p>
        </w:tc>
        <w:tc>
          <w:tcPr>
            <w:tcW w:w="1097" w:type="dxa"/>
            <w:tcBorders>
              <w:top w:val="nil"/>
              <w:left w:val="nil"/>
              <w:bottom w:val="single" w:sz="4" w:space="0" w:color="auto"/>
              <w:right w:val="single" w:sz="4" w:space="0" w:color="auto"/>
            </w:tcBorders>
            <w:shd w:val="clear" w:color="auto" w:fill="auto"/>
            <w:noWrap/>
            <w:vAlign w:val="bottom"/>
            <w:hideMark/>
          </w:tcPr>
          <w:p w14:paraId="4E5D41A4"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4.9</w:t>
            </w:r>
          </w:p>
        </w:tc>
        <w:tc>
          <w:tcPr>
            <w:tcW w:w="972" w:type="dxa"/>
            <w:tcBorders>
              <w:top w:val="nil"/>
              <w:left w:val="nil"/>
              <w:bottom w:val="single" w:sz="4" w:space="0" w:color="auto"/>
              <w:right w:val="single" w:sz="4" w:space="0" w:color="auto"/>
            </w:tcBorders>
            <w:shd w:val="clear" w:color="auto" w:fill="auto"/>
            <w:noWrap/>
            <w:vAlign w:val="bottom"/>
            <w:hideMark/>
          </w:tcPr>
          <w:p w14:paraId="6AAC155B"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0.73</w:t>
            </w:r>
          </w:p>
        </w:tc>
        <w:tc>
          <w:tcPr>
            <w:tcW w:w="1454" w:type="dxa"/>
            <w:tcBorders>
              <w:top w:val="nil"/>
              <w:left w:val="nil"/>
              <w:bottom w:val="single" w:sz="4" w:space="0" w:color="auto"/>
              <w:right w:val="single" w:sz="4" w:space="0" w:color="auto"/>
            </w:tcBorders>
            <w:shd w:val="clear" w:color="auto" w:fill="auto"/>
            <w:noWrap/>
            <w:vAlign w:val="bottom"/>
            <w:hideMark/>
          </w:tcPr>
          <w:p w14:paraId="66BC29A9"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0.467</w:t>
            </w:r>
          </w:p>
        </w:tc>
        <w:tc>
          <w:tcPr>
            <w:tcW w:w="1081" w:type="dxa"/>
            <w:tcBorders>
              <w:top w:val="nil"/>
              <w:left w:val="nil"/>
              <w:bottom w:val="single" w:sz="4" w:space="0" w:color="auto"/>
              <w:right w:val="single" w:sz="4" w:space="0" w:color="auto"/>
            </w:tcBorders>
            <w:shd w:val="clear" w:color="auto" w:fill="auto"/>
            <w:noWrap/>
            <w:vAlign w:val="bottom"/>
            <w:hideMark/>
          </w:tcPr>
          <w:p w14:paraId="5B971DEC"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w:t>
            </w:r>
          </w:p>
        </w:tc>
      </w:tr>
      <w:tr w:rsidR="0020432F" w:rsidRPr="00FF2439" w14:paraId="693C4F71" w14:textId="77777777" w:rsidTr="002F0082">
        <w:trPr>
          <w:trHeight w:val="288"/>
        </w:trPr>
        <w:tc>
          <w:tcPr>
            <w:tcW w:w="2785" w:type="dxa"/>
            <w:tcBorders>
              <w:top w:val="nil"/>
              <w:left w:val="single" w:sz="4" w:space="0" w:color="auto"/>
              <w:bottom w:val="single" w:sz="4" w:space="0" w:color="auto"/>
              <w:right w:val="single" w:sz="4" w:space="0" w:color="auto"/>
            </w:tcBorders>
            <w:shd w:val="clear" w:color="auto" w:fill="auto"/>
            <w:noWrap/>
            <w:vAlign w:val="bottom"/>
            <w:hideMark/>
          </w:tcPr>
          <w:p w14:paraId="00545668" w14:textId="77777777" w:rsidR="0020432F" w:rsidRPr="00897E24" w:rsidRDefault="0020432F" w:rsidP="0020432F">
            <w:pPr>
              <w:rPr>
                <w:rFonts w:ascii="Arial" w:hAnsi="Arial" w:cs="Arial"/>
                <w:color w:val="000000"/>
                <w:spacing w:val="0"/>
                <w:sz w:val="18"/>
                <w:szCs w:val="18"/>
                <w:lang w:val="en-US"/>
              </w:rPr>
            </w:pPr>
            <w:r w:rsidRPr="00897E24">
              <w:rPr>
                <w:rFonts w:ascii="Arial" w:hAnsi="Arial" w:cs="Arial"/>
                <w:color w:val="000000"/>
                <w:spacing w:val="0"/>
                <w:sz w:val="18"/>
                <w:szCs w:val="18"/>
                <w:lang w:val="en-US"/>
              </w:rPr>
              <w:t>4.sector11</w:t>
            </w:r>
          </w:p>
        </w:tc>
        <w:tc>
          <w:tcPr>
            <w:tcW w:w="1047" w:type="dxa"/>
            <w:tcBorders>
              <w:top w:val="nil"/>
              <w:left w:val="nil"/>
              <w:bottom w:val="single" w:sz="4" w:space="0" w:color="auto"/>
              <w:right w:val="single" w:sz="4" w:space="0" w:color="auto"/>
            </w:tcBorders>
            <w:shd w:val="clear" w:color="auto" w:fill="auto"/>
            <w:noWrap/>
            <w:vAlign w:val="bottom"/>
            <w:hideMark/>
          </w:tcPr>
          <w:p w14:paraId="3E83933F"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0.09333</w:t>
            </w:r>
          </w:p>
        </w:tc>
        <w:tc>
          <w:tcPr>
            <w:tcW w:w="1081" w:type="dxa"/>
            <w:tcBorders>
              <w:top w:val="nil"/>
              <w:left w:val="nil"/>
              <w:bottom w:val="single" w:sz="4" w:space="0" w:color="auto"/>
              <w:right w:val="single" w:sz="4" w:space="0" w:color="auto"/>
            </w:tcBorders>
            <w:shd w:val="clear" w:color="auto" w:fill="auto"/>
            <w:noWrap/>
            <w:vAlign w:val="bottom"/>
            <w:hideMark/>
          </w:tcPr>
          <w:p w14:paraId="58B4ABF5"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0.10154</w:t>
            </w:r>
          </w:p>
        </w:tc>
        <w:tc>
          <w:tcPr>
            <w:tcW w:w="1097" w:type="dxa"/>
            <w:tcBorders>
              <w:top w:val="nil"/>
              <w:left w:val="nil"/>
              <w:bottom w:val="single" w:sz="4" w:space="0" w:color="auto"/>
              <w:right w:val="single" w:sz="4" w:space="0" w:color="auto"/>
            </w:tcBorders>
            <w:shd w:val="clear" w:color="auto" w:fill="auto"/>
            <w:noWrap/>
            <w:vAlign w:val="bottom"/>
            <w:hideMark/>
          </w:tcPr>
          <w:p w14:paraId="2635B697"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-2.8</w:t>
            </w:r>
          </w:p>
        </w:tc>
        <w:tc>
          <w:tcPr>
            <w:tcW w:w="972" w:type="dxa"/>
            <w:tcBorders>
              <w:top w:val="nil"/>
              <w:left w:val="nil"/>
              <w:bottom w:val="single" w:sz="4" w:space="0" w:color="auto"/>
              <w:right w:val="single" w:sz="4" w:space="0" w:color="auto"/>
            </w:tcBorders>
            <w:shd w:val="clear" w:color="auto" w:fill="auto"/>
            <w:noWrap/>
            <w:vAlign w:val="bottom"/>
            <w:hideMark/>
          </w:tcPr>
          <w:p w14:paraId="75AA7780"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-0.41</w:t>
            </w:r>
          </w:p>
        </w:tc>
        <w:tc>
          <w:tcPr>
            <w:tcW w:w="1454" w:type="dxa"/>
            <w:tcBorders>
              <w:top w:val="nil"/>
              <w:left w:val="nil"/>
              <w:bottom w:val="single" w:sz="4" w:space="0" w:color="auto"/>
              <w:right w:val="single" w:sz="4" w:space="0" w:color="auto"/>
            </w:tcBorders>
            <w:shd w:val="clear" w:color="auto" w:fill="auto"/>
            <w:noWrap/>
            <w:vAlign w:val="bottom"/>
            <w:hideMark/>
          </w:tcPr>
          <w:p w14:paraId="27B74FA1"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0.678</w:t>
            </w:r>
          </w:p>
        </w:tc>
        <w:tc>
          <w:tcPr>
            <w:tcW w:w="1081" w:type="dxa"/>
            <w:tcBorders>
              <w:top w:val="nil"/>
              <w:left w:val="nil"/>
              <w:bottom w:val="single" w:sz="4" w:space="0" w:color="auto"/>
              <w:right w:val="single" w:sz="4" w:space="0" w:color="auto"/>
            </w:tcBorders>
            <w:shd w:val="clear" w:color="auto" w:fill="auto"/>
            <w:noWrap/>
            <w:vAlign w:val="bottom"/>
            <w:hideMark/>
          </w:tcPr>
          <w:p w14:paraId="3E769D25"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w:t>
            </w:r>
          </w:p>
        </w:tc>
      </w:tr>
      <w:tr w:rsidR="0020432F" w:rsidRPr="00FF2439" w14:paraId="1CEBC5C7" w14:textId="77777777" w:rsidTr="002F0082">
        <w:trPr>
          <w:trHeight w:val="288"/>
        </w:trPr>
        <w:tc>
          <w:tcPr>
            <w:tcW w:w="2785" w:type="dxa"/>
            <w:tcBorders>
              <w:top w:val="nil"/>
              <w:left w:val="single" w:sz="4" w:space="0" w:color="auto"/>
              <w:bottom w:val="single" w:sz="4" w:space="0" w:color="auto"/>
              <w:right w:val="single" w:sz="4" w:space="0" w:color="auto"/>
            </w:tcBorders>
            <w:shd w:val="clear" w:color="auto" w:fill="auto"/>
            <w:noWrap/>
            <w:vAlign w:val="bottom"/>
            <w:hideMark/>
          </w:tcPr>
          <w:p w14:paraId="49C09271" w14:textId="77777777" w:rsidR="0020432F" w:rsidRPr="00897E24" w:rsidRDefault="0020432F" w:rsidP="0020432F">
            <w:pPr>
              <w:rPr>
                <w:rFonts w:ascii="Arial" w:hAnsi="Arial" w:cs="Arial"/>
                <w:color w:val="000000"/>
                <w:spacing w:val="0"/>
                <w:sz w:val="18"/>
                <w:szCs w:val="18"/>
                <w:lang w:val="en-US"/>
              </w:rPr>
            </w:pPr>
            <w:r w:rsidRPr="00897E24">
              <w:rPr>
                <w:rFonts w:ascii="Arial" w:hAnsi="Arial" w:cs="Arial"/>
                <w:color w:val="000000"/>
                <w:spacing w:val="0"/>
                <w:sz w:val="18"/>
                <w:szCs w:val="18"/>
                <w:lang w:val="en-US"/>
              </w:rPr>
              <w:t>5.sector11</w:t>
            </w:r>
          </w:p>
        </w:tc>
        <w:tc>
          <w:tcPr>
            <w:tcW w:w="1047" w:type="dxa"/>
            <w:tcBorders>
              <w:top w:val="nil"/>
              <w:left w:val="nil"/>
              <w:bottom w:val="single" w:sz="4" w:space="0" w:color="auto"/>
              <w:right w:val="single" w:sz="4" w:space="0" w:color="auto"/>
            </w:tcBorders>
            <w:shd w:val="clear" w:color="auto" w:fill="auto"/>
            <w:noWrap/>
            <w:vAlign w:val="bottom"/>
            <w:hideMark/>
          </w:tcPr>
          <w:p w14:paraId="7BBEE492"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0.03556</w:t>
            </w:r>
          </w:p>
        </w:tc>
        <w:tc>
          <w:tcPr>
            <w:tcW w:w="1081" w:type="dxa"/>
            <w:tcBorders>
              <w:top w:val="nil"/>
              <w:left w:val="nil"/>
              <w:bottom w:val="single" w:sz="4" w:space="0" w:color="auto"/>
              <w:right w:val="single" w:sz="4" w:space="0" w:color="auto"/>
            </w:tcBorders>
            <w:shd w:val="clear" w:color="auto" w:fill="auto"/>
            <w:noWrap/>
            <w:vAlign w:val="bottom"/>
            <w:hideMark/>
          </w:tcPr>
          <w:p w14:paraId="6553A7FA"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0.03043</w:t>
            </w:r>
          </w:p>
        </w:tc>
        <w:tc>
          <w:tcPr>
            <w:tcW w:w="1097" w:type="dxa"/>
            <w:tcBorders>
              <w:top w:val="nil"/>
              <w:left w:val="nil"/>
              <w:bottom w:val="single" w:sz="4" w:space="0" w:color="auto"/>
              <w:right w:val="single" w:sz="4" w:space="0" w:color="auto"/>
            </w:tcBorders>
            <w:shd w:val="clear" w:color="auto" w:fill="auto"/>
            <w:noWrap/>
            <w:vAlign w:val="bottom"/>
            <w:hideMark/>
          </w:tcPr>
          <w:p w14:paraId="5560143C"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2.5</w:t>
            </w:r>
          </w:p>
        </w:tc>
        <w:tc>
          <w:tcPr>
            <w:tcW w:w="972" w:type="dxa"/>
            <w:tcBorders>
              <w:top w:val="nil"/>
              <w:left w:val="nil"/>
              <w:bottom w:val="single" w:sz="4" w:space="0" w:color="auto"/>
              <w:right w:val="single" w:sz="4" w:space="0" w:color="auto"/>
            </w:tcBorders>
            <w:shd w:val="clear" w:color="auto" w:fill="auto"/>
            <w:noWrap/>
            <w:vAlign w:val="bottom"/>
            <w:hideMark/>
          </w:tcPr>
          <w:p w14:paraId="61F529A5"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0.43</w:t>
            </w:r>
          </w:p>
        </w:tc>
        <w:tc>
          <w:tcPr>
            <w:tcW w:w="1454" w:type="dxa"/>
            <w:tcBorders>
              <w:top w:val="nil"/>
              <w:left w:val="nil"/>
              <w:bottom w:val="single" w:sz="4" w:space="0" w:color="auto"/>
              <w:right w:val="single" w:sz="4" w:space="0" w:color="auto"/>
            </w:tcBorders>
            <w:shd w:val="clear" w:color="auto" w:fill="auto"/>
            <w:noWrap/>
            <w:vAlign w:val="bottom"/>
            <w:hideMark/>
          </w:tcPr>
          <w:p w14:paraId="154B95B5"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0.667</w:t>
            </w:r>
          </w:p>
        </w:tc>
        <w:tc>
          <w:tcPr>
            <w:tcW w:w="1081" w:type="dxa"/>
            <w:tcBorders>
              <w:top w:val="nil"/>
              <w:left w:val="nil"/>
              <w:bottom w:val="single" w:sz="4" w:space="0" w:color="auto"/>
              <w:right w:val="single" w:sz="4" w:space="0" w:color="auto"/>
            </w:tcBorders>
            <w:shd w:val="clear" w:color="auto" w:fill="auto"/>
            <w:noWrap/>
            <w:vAlign w:val="bottom"/>
            <w:hideMark/>
          </w:tcPr>
          <w:p w14:paraId="0FBAF069"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w:t>
            </w:r>
          </w:p>
        </w:tc>
      </w:tr>
      <w:tr w:rsidR="0020432F" w:rsidRPr="00FF2439" w14:paraId="3AD197CB" w14:textId="77777777" w:rsidTr="002F0082">
        <w:trPr>
          <w:trHeight w:val="288"/>
        </w:trPr>
        <w:tc>
          <w:tcPr>
            <w:tcW w:w="2785" w:type="dxa"/>
            <w:tcBorders>
              <w:top w:val="nil"/>
              <w:left w:val="single" w:sz="4" w:space="0" w:color="auto"/>
              <w:bottom w:val="single" w:sz="4" w:space="0" w:color="auto"/>
              <w:right w:val="single" w:sz="4" w:space="0" w:color="auto"/>
            </w:tcBorders>
            <w:shd w:val="clear" w:color="auto" w:fill="auto"/>
            <w:noWrap/>
            <w:vAlign w:val="bottom"/>
            <w:hideMark/>
          </w:tcPr>
          <w:p w14:paraId="1C0F1E6A" w14:textId="77777777" w:rsidR="0020432F" w:rsidRPr="00897E24" w:rsidRDefault="0020432F" w:rsidP="0020432F">
            <w:pPr>
              <w:rPr>
                <w:rFonts w:ascii="Arial" w:hAnsi="Arial" w:cs="Arial"/>
                <w:color w:val="000000"/>
                <w:spacing w:val="0"/>
                <w:sz w:val="18"/>
                <w:szCs w:val="18"/>
                <w:lang w:val="en-US"/>
              </w:rPr>
            </w:pPr>
            <w:r w:rsidRPr="00897E24">
              <w:rPr>
                <w:rFonts w:ascii="Arial" w:hAnsi="Arial" w:cs="Arial"/>
                <w:color w:val="000000"/>
                <w:spacing w:val="0"/>
                <w:sz w:val="18"/>
                <w:szCs w:val="18"/>
                <w:lang w:val="en-US"/>
              </w:rPr>
              <w:t>6.sector11</w:t>
            </w:r>
          </w:p>
        </w:tc>
        <w:tc>
          <w:tcPr>
            <w:tcW w:w="1047" w:type="dxa"/>
            <w:tcBorders>
              <w:top w:val="nil"/>
              <w:left w:val="nil"/>
              <w:bottom w:val="single" w:sz="4" w:space="0" w:color="auto"/>
              <w:right w:val="single" w:sz="4" w:space="0" w:color="auto"/>
            </w:tcBorders>
            <w:shd w:val="clear" w:color="auto" w:fill="auto"/>
            <w:noWrap/>
            <w:vAlign w:val="bottom"/>
            <w:hideMark/>
          </w:tcPr>
          <w:p w14:paraId="0B0E880D"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0.04</w:t>
            </w:r>
          </w:p>
        </w:tc>
        <w:tc>
          <w:tcPr>
            <w:tcW w:w="1081" w:type="dxa"/>
            <w:tcBorders>
              <w:top w:val="nil"/>
              <w:left w:val="nil"/>
              <w:bottom w:val="single" w:sz="4" w:space="0" w:color="auto"/>
              <w:right w:val="single" w:sz="4" w:space="0" w:color="auto"/>
            </w:tcBorders>
            <w:shd w:val="clear" w:color="auto" w:fill="auto"/>
            <w:noWrap/>
            <w:vAlign w:val="bottom"/>
            <w:hideMark/>
          </w:tcPr>
          <w:p w14:paraId="47860F66"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0.03371</w:t>
            </w:r>
          </w:p>
        </w:tc>
        <w:tc>
          <w:tcPr>
            <w:tcW w:w="1097" w:type="dxa"/>
            <w:tcBorders>
              <w:top w:val="nil"/>
              <w:left w:val="nil"/>
              <w:bottom w:val="single" w:sz="4" w:space="0" w:color="auto"/>
              <w:right w:val="single" w:sz="4" w:space="0" w:color="auto"/>
            </w:tcBorders>
            <w:shd w:val="clear" w:color="auto" w:fill="auto"/>
            <w:noWrap/>
            <w:vAlign w:val="bottom"/>
            <w:hideMark/>
          </w:tcPr>
          <w:p w14:paraId="7D098A20"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3.3</w:t>
            </w:r>
          </w:p>
        </w:tc>
        <w:tc>
          <w:tcPr>
            <w:tcW w:w="972" w:type="dxa"/>
            <w:tcBorders>
              <w:top w:val="nil"/>
              <w:left w:val="nil"/>
              <w:bottom w:val="single" w:sz="4" w:space="0" w:color="auto"/>
              <w:right w:val="single" w:sz="4" w:space="0" w:color="auto"/>
            </w:tcBorders>
            <w:shd w:val="clear" w:color="auto" w:fill="auto"/>
            <w:noWrap/>
            <w:vAlign w:val="bottom"/>
            <w:hideMark/>
          </w:tcPr>
          <w:p w14:paraId="7204F82A"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0.5</w:t>
            </w:r>
          </w:p>
        </w:tc>
        <w:tc>
          <w:tcPr>
            <w:tcW w:w="1454" w:type="dxa"/>
            <w:tcBorders>
              <w:top w:val="nil"/>
              <w:left w:val="nil"/>
              <w:bottom w:val="single" w:sz="4" w:space="0" w:color="auto"/>
              <w:right w:val="single" w:sz="4" w:space="0" w:color="auto"/>
            </w:tcBorders>
            <w:shd w:val="clear" w:color="auto" w:fill="auto"/>
            <w:noWrap/>
            <w:vAlign w:val="bottom"/>
            <w:hideMark/>
          </w:tcPr>
          <w:p w14:paraId="43B15DEA"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0.617</w:t>
            </w:r>
          </w:p>
        </w:tc>
        <w:tc>
          <w:tcPr>
            <w:tcW w:w="1081" w:type="dxa"/>
            <w:tcBorders>
              <w:top w:val="nil"/>
              <w:left w:val="nil"/>
              <w:bottom w:val="single" w:sz="4" w:space="0" w:color="auto"/>
              <w:right w:val="single" w:sz="4" w:space="0" w:color="auto"/>
            </w:tcBorders>
            <w:shd w:val="clear" w:color="auto" w:fill="auto"/>
            <w:noWrap/>
            <w:vAlign w:val="bottom"/>
            <w:hideMark/>
          </w:tcPr>
          <w:p w14:paraId="066CC130"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w:t>
            </w:r>
          </w:p>
        </w:tc>
      </w:tr>
      <w:tr w:rsidR="0020432F" w:rsidRPr="00FF2439" w14:paraId="483D6730" w14:textId="77777777" w:rsidTr="002F0082">
        <w:trPr>
          <w:trHeight w:val="288"/>
        </w:trPr>
        <w:tc>
          <w:tcPr>
            <w:tcW w:w="2785" w:type="dxa"/>
            <w:tcBorders>
              <w:top w:val="nil"/>
              <w:left w:val="single" w:sz="4" w:space="0" w:color="auto"/>
              <w:bottom w:val="single" w:sz="4" w:space="0" w:color="auto"/>
              <w:right w:val="single" w:sz="4" w:space="0" w:color="auto"/>
            </w:tcBorders>
            <w:shd w:val="clear" w:color="auto" w:fill="auto"/>
            <w:noWrap/>
            <w:vAlign w:val="bottom"/>
            <w:hideMark/>
          </w:tcPr>
          <w:p w14:paraId="15B90AEF" w14:textId="77777777" w:rsidR="0020432F" w:rsidRPr="00897E24" w:rsidRDefault="0020432F" w:rsidP="0020432F">
            <w:pPr>
              <w:rPr>
                <w:rFonts w:ascii="Arial" w:hAnsi="Arial" w:cs="Arial"/>
                <w:color w:val="000000"/>
                <w:spacing w:val="0"/>
                <w:sz w:val="18"/>
                <w:szCs w:val="18"/>
                <w:lang w:val="en-US"/>
              </w:rPr>
            </w:pPr>
            <w:r w:rsidRPr="00897E24">
              <w:rPr>
                <w:rFonts w:ascii="Arial" w:hAnsi="Arial" w:cs="Arial"/>
                <w:color w:val="000000"/>
                <w:spacing w:val="0"/>
                <w:sz w:val="18"/>
                <w:szCs w:val="18"/>
                <w:lang w:val="en-US"/>
              </w:rPr>
              <w:t>7.sector11</w:t>
            </w:r>
          </w:p>
        </w:tc>
        <w:tc>
          <w:tcPr>
            <w:tcW w:w="1047" w:type="dxa"/>
            <w:tcBorders>
              <w:top w:val="nil"/>
              <w:left w:val="nil"/>
              <w:bottom w:val="single" w:sz="4" w:space="0" w:color="auto"/>
              <w:right w:val="single" w:sz="4" w:space="0" w:color="auto"/>
            </w:tcBorders>
            <w:shd w:val="clear" w:color="auto" w:fill="auto"/>
            <w:noWrap/>
            <w:vAlign w:val="bottom"/>
            <w:hideMark/>
          </w:tcPr>
          <w:p w14:paraId="76E53189"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0.03111</w:t>
            </w:r>
          </w:p>
        </w:tc>
        <w:tc>
          <w:tcPr>
            <w:tcW w:w="1081" w:type="dxa"/>
            <w:tcBorders>
              <w:top w:val="nil"/>
              <w:left w:val="nil"/>
              <w:bottom w:val="single" w:sz="4" w:space="0" w:color="auto"/>
              <w:right w:val="single" w:sz="4" w:space="0" w:color="auto"/>
            </w:tcBorders>
            <w:shd w:val="clear" w:color="auto" w:fill="auto"/>
            <w:noWrap/>
            <w:vAlign w:val="bottom"/>
            <w:hideMark/>
          </w:tcPr>
          <w:p w14:paraId="51AA563F"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0.03339</w:t>
            </w:r>
          </w:p>
        </w:tc>
        <w:tc>
          <w:tcPr>
            <w:tcW w:w="1097" w:type="dxa"/>
            <w:tcBorders>
              <w:top w:val="nil"/>
              <w:left w:val="nil"/>
              <w:bottom w:val="single" w:sz="4" w:space="0" w:color="auto"/>
              <w:right w:val="single" w:sz="4" w:space="0" w:color="auto"/>
            </w:tcBorders>
            <w:shd w:val="clear" w:color="auto" w:fill="auto"/>
            <w:noWrap/>
            <w:vAlign w:val="bottom"/>
            <w:hideMark/>
          </w:tcPr>
          <w:p w14:paraId="0EBB83EF"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-1.3</w:t>
            </w:r>
          </w:p>
        </w:tc>
        <w:tc>
          <w:tcPr>
            <w:tcW w:w="972" w:type="dxa"/>
            <w:tcBorders>
              <w:top w:val="nil"/>
              <w:left w:val="nil"/>
              <w:bottom w:val="single" w:sz="4" w:space="0" w:color="auto"/>
              <w:right w:val="single" w:sz="4" w:space="0" w:color="auto"/>
            </w:tcBorders>
            <w:shd w:val="clear" w:color="auto" w:fill="auto"/>
            <w:noWrap/>
            <w:vAlign w:val="bottom"/>
            <w:hideMark/>
          </w:tcPr>
          <w:p w14:paraId="4AC12185"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-0.19</w:t>
            </w:r>
          </w:p>
        </w:tc>
        <w:tc>
          <w:tcPr>
            <w:tcW w:w="1454" w:type="dxa"/>
            <w:tcBorders>
              <w:top w:val="nil"/>
              <w:left w:val="nil"/>
              <w:bottom w:val="single" w:sz="4" w:space="0" w:color="auto"/>
              <w:right w:val="single" w:sz="4" w:space="0" w:color="auto"/>
            </w:tcBorders>
            <w:shd w:val="clear" w:color="auto" w:fill="auto"/>
            <w:noWrap/>
            <w:vAlign w:val="bottom"/>
            <w:hideMark/>
          </w:tcPr>
          <w:p w14:paraId="6E2FBFE8"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0.847</w:t>
            </w:r>
          </w:p>
        </w:tc>
        <w:tc>
          <w:tcPr>
            <w:tcW w:w="1081" w:type="dxa"/>
            <w:tcBorders>
              <w:top w:val="nil"/>
              <w:left w:val="nil"/>
              <w:bottom w:val="single" w:sz="4" w:space="0" w:color="auto"/>
              <w:right w:val="single" w:sz="4" w:space="0" w:color="auto"/>
            </w:tcBorders>
            <w:shd w:val="clear" w:color="auto" w:fill="auto"/>
            <w:noWrap/>
            <w:vAlign w:val="bottom"/>
            <w:hideMark/>
          </w:tcPr>
          <w:p w14:paraId="38E22A42"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w:t>
            </w:r>
          </w:p>
        </w:tc>
      </w:tr>
      <w:tr w:rsidR="0020432F" w:rsidRPr="00FF2439" w14:paraId="26DEFD03" w14:textId="77777777" w:rsidTr="002F0082">
        <w:trPr>
          <w:trHeight w:val="288"/>
        </w:trPr>
        <w:tc>
          <w:tcPr>
            <w:tcW w:w="2785" w:type="dxa"/>
            <w:tcBorders>
              <w:top w:val="nil"/>
              <w:left w:val="single" w:sz="4" w:space="0" w:color="auto"/>
              <w:bottom w:val="single" w:sz="4" w:space="0" w:color="auto"/>
              <w:right w:val="single" w:sz="4" w:space="0" w:color="auto"/>
            </w:tcBorders>
            <w:shd w:val="clear" w:color="auto" w:fill="auto"/>
            <w:noWrap/>
            <w:vAlign w:val="bottom"/>
            <w:hideMark/>
          </w:tcPr>
          <w:p w14:paraId="76AC7885" w14:textId="77777777" w:rsidR="0020432F" w:rsidRPr="00897E24" w:rsidRDefault="0020432F" w:rsidP="0020432F">
            <w:pPr>
              <w:rPr>
                <w:rFonts w:ascii="Arial" w:hAnsi="Arial" w:cs="Arial"/>
                <w:color w:val="000000"/>
                <w:spacing w:val="0"/>
                <w:sz w:val="18"/>
                <w:szCs w:val="18"/>
                <w:lang w:val="en-US"/>
              </w:rPr>
            </w:pPr>
            <w:r w:rsidRPr="00897E24">
              <w:rPr>
                <w:rFonts w:ascii="Arial" w:hAnsi="Arial" w:cs="Arial"/>
                <w:color w:val="000000"/>
                <w:spacing w:val="0"/>
                <w:sz w:val="18"/>
                <w:szCs w:val="18"/>
                <w:lang w:val="en-US"/>
              </w:rPr>
              <w:t>8.sector11</w:t>
            </w:r>
          </w:p>
        </w:tc>
        <w:tc>
          <w:tcPr>
            <w:tcW w:w="1047" w:type="dxa"/>
            <w:tcBorders>
              <w:top w:val="nil"/>
              <w:left w:val="nil"/>
              <w:bottom w:val="single" w:sz="4" w:space="0" w:color="auto"/>
              <w:right w:val="single" w:sz="4" w:space="0" w:color="auto"/>
            </w:tcBorders>
            <w:shd w:val="clear" w:color="auto" w:fill="auto"/>
            <w:noWrap/>
            <w:vAlign w:val="bottom"/>
            <w:hideMark/>
          </w:tcPr>
          <w:p w14:paraId="51988F96"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0.03556</w:t>
            </w:r>
          </w:p>
        </w:tc>
        <w:tc>
          <w:tcPr>
            <w:tcW w:w="1081" w:type="dxa"/>
            <w:tcBorders>
              <w:top w:val="nil"/>
              <w:left w:val="nil"/>
              <w:bottom w:val="single" w:sz="4" w:space="0" w:color="auto"/>
              <w:right w:val="single" w:sz="4" w:space="0" w:color="auto"/>
            </w:tcBorders>
            <w:shd w:val="clear" w:color="auto" w:fill="auto"/>
            <w:noWrap/>
            <w:vAlign w:val="bottom"/>
            <w:hideMark/>
          </w:tcPr>
          <w:p w14:paraId="64C93E57"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0.02591</w:t>
            </w:r>
          </w:p>
        </w:tc>
        <w:tc>
          <w:tcPr>
            <w:tcW w:w="1097" w:type="dxa"/>
            <w:tcBorders>
              <w:top w:val="nil"/>
              <w:left w:val="nil"/>
              <w:bottom w:val="single" w:sz="4" w:space="0" w:color="auto"/>
              <w:right w:val="single" w:sz="4" w:space="0" w:color="auto"/>
            </w:tcBorders>
            <w:shd w:val="clear" w:color="auto" w:fill="auto"/>
            <w:noWrap/>
            <w:vAlign w:val="bottom"/>
            <w:hideMark/>
          </w:tcPr>
          <w:p w14:paraId="17696913"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5.5</w:t>
            </w:r>
          </w:p>
        </w:tc>
        <w:tc>
          <w:tcPr>
            <w:tcW w:w="972" w:type="dxa"/>
            <w:tcBorders>
              <w:top w:val="nil"/>
              <w:left w:val="nil"/>
              <w:bottom w:val="single" w:sz="4" w:space="0" w:color="auto"/>
              <w:right w:val="single" w:sz="4" w:space="0" w:color="auto"/>
            </w:tcBorders>
            <w:shd w:val="clear" w:color="auto" w:fill="auto"/>
            <w:noWrap/>
            <w:vAlign w:val="bottom"/>
            <w:hideMark/>
          </w:tcPr>
          <w:p w14:paraId="41F0ACBC"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0.84</w:t>
            </w:r>
          </w:p>
        </w:tc>
        <w:tc>
          <w:tcPr>
            <w:tcW w:w="1454" w:type="dxa"/>
            <w:tcBorders>
              <w:top w:val="nil"/>
              <w:left w:val="nil"/>
              <w:bottom w:val="single" w:sz="4" w:space="0" w:color="auto"/>
              <w:right w:val="single" w:sz="4" w:space="0" w:color="auto"/>
            </w:tcBorders>
            <w:shd w:val="clear" w:color="auto" w:fill="auto"/>
            <w:noWrap/>
            <w:vAlign w:val="bottom"/>
            <w:hideMark/>
          </w:tcPr>
          <w:p w14:paraId="491F6FEE"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0.403</w:t>
            </w:r>
          </w:p>
        </w:tc>
        <w:tc>
          <w:tcPr>
            <w:tcW w:w="1081" w:type="dxa"/>
            <w:tcBorders>
              <w:top w:val="nil"/>
              <w:left w:val="nil"/>
              <w:bottom w:val="single" w:sz="4" w:space="0" w:color="auto"/>
              <w:right w:val="single" w:sz="4" w:space="0" w:color="auto"/>
            </w:tcBorders>
            <w:shd w:val="clear" w:color="auto" w:fill="auto"/>
            <w:noWrap/>
            <w:vAlign w:val="bottom"/>
            <w:hideMark/>
          </w:tcPr>
          <w:p w14:paraId="5615C9D0"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w:t>
            </w:r>
          </w:p>
        </w:tc>
      </w:tr>
      <w:tr w:rsidR="0020432F" w:rsidRPr="00FF2439" w14:paraId="47E8AB5F" w14:textId="77777777" w:rsidTr="002F0082">
        <w:trPr>
          <w:trHeight w:val="288"/>
        </w:trPr>
        <w:tc>
          <w:tcPr>
            <w:tcW w:w="2785" w:type="dxa"/>
            <w:tcBorders>
              <w:top w:val="nil"/>
              <w:left w:val="single" w:sz="4" w:space="0" w:color="auto"/>
              <w:bottom w:val="single" w:sz="4" w:space="0" w:color="auto"/>
              <w:right w:val="single" w:sz="4" w:space="0" w:color="auto"/>
            </w:tcBorders>
            <w:shd w:val="clear" w:color="auto" w:fill="auto"/>
            <w:noWrap/>
            <w:vAlign w:val="bottom"/>
            <w:hideMark/>
          </w:tcPr>
          <w:p w14:paraId="539D339B" w14:textId="77777777" w:rsidR="0020432F" w:rsidRPr="00897E24" w:rsidRDefault="0020432F" w:rsidP="0020432F">
            <w:pPr>
              <w:rPr>
                <w:rFonts w:ascii="Arial" w:hAnsi="Arial" w:cs="Arial"/>
                <w:color w:val="000000"/>
                <w:spacing w:val="0"/>
                <w:sz w:val="18"/>
                <w:szCs w:val="18"/>
                <w:lang w:val="en-US"/>
              </w:rPr>
            </w:pPr>
            <w:r w:rsidRPr="00897E24">
              <w:rPr>
                <w:rFonts w:ascii="Arial" w:hAnsi="Arial" w:cs="Arial"/>
                <w:color w:val="000000"/>
                <w:spacing w:val="0"/>
                <w:sz w:val="18"/>
                <w:szCs w:val="18"/>
                <w:lang w:val="en-US"/>
              </w:rPr>
              <w:t>9.sector11</w:t>
            </w:r>
          </w:p>
        </w:tc>
        <w:tc>
          <w:tcPr>
            <w:tcW w:w="1047" w:type="dxa"/>
            <w:tcBorders>
              <w:top w:val="nil"/>
              <w:left w:val="nil"/>
              <w:bottom w:val="single" w:sz="4" w:space="0" w:color="auto"/>
              <w:right w:val="single" w:sz="4" w:space="0" w:color="auto"/>
            </w:tcBorders>
            <w:shd w:val="clear" w:color="auto" w:fill="auto"/>
            <w:noWrap/>
            <w:vAlign w:val="bottom"/>
            <w:hideMark/>
          </w:tcPr>
          <w:p w14:paraId="50D1A124"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0.02667</w:t>
            </w:r>
          </w:p>
        </w:tc>
        <w:tc>
          <w:tcPr>
            <w:tcW w:w="1081" w:type="dxa"/>
            <w:tcBorders>
              <w:top w:val="nil"/>
              <w:left w:val="nil"/>
              <w:bottom w:val="single" w:sz="4" w:space="0" w:color="auto"/>
              <w:right w:val="single" w:sz="4" w:space="0" w:color="auto"/>
            </w:tcBorders>
            <w:shd w:val="clear" w:color="auto" w:fill="auto"/>
            <w:noWrap/>
            <w:vAlign w:val="bottom"/>
            <w:hideMark/>
          </w:tcPr>
          <w:p w14:paraId="151FC822"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0.02745</w:t>
            </w:r>
          </w:p>
        </w:tc>
        <w:tc>
          <w:tcPr>
            <w:tcW w:w="1097" w:type="dxa"/>
            <w:tcBorders>
              <w:top w:val="nil"/>
              <w:left w:val="nil"/>
              <w:bottom w:val="single" w:sz="4" w:space="0" w:color="auto"/>
              <w:right w:val="single" w:sz="4" w:space="0" w:color="auto"/>
            </w:tcBorders>
            <w:shd w:val="clear" w:color="auto" w:fill="auto"/>
            <w:noWrap/>
            <w:vAlign w:val="bottom"/>
            <w:hideMark/>
          </w:tcPr>
          <w:p w14:paraId="7F4D82F6"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-0.5</w:t>
            </w:r>
          </w:p>
        </w:tc>
        <w:tc>
          <w:tcPr>
            <w:tcW w:w="972" w:type="dxa"/>
            <w:tcBorders>
              <w:top w:val="nil"/>
              <w:left w:val="nil"/>
              <w:bottom w:val="single" w:sz="4" w:space="0" w:color="auto"/>
              <w:right w:val="single" w:sz="4" w:space="0" w:color="auto"/>
            </w:tcBorders>
            <w:shd w:val="clear" w:color="auto" w:fill="auto"/>
            <w:noWrap/>
            <w:vAlign w:val="bottom"/>
            <w:hideMark/>
          </w:tcPr>
          <w:p w14:paraId="5BA60390"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-0.07</w:t>
            </w:r>
          </w:p>
        </w:tc>
        <w:tc>
          <w:tcPr>
            <w:tcW w:w="1454" w:type="dxa"/>
            <w:tcBorders>
              <w:top w:val="nil"/>
              <w:left w:val="nil"/>
              <w:bottom w:val="single" w:sz="4" w:space="0" w:color="auto"/>
              <w:right w:val="single" w:sz="4" w:space="0" w:color="auto"/>
            </w:tcBorders>
            <w:shd w:val="clear" w:color="auto" w:fill="auto"/>
            <w:noWrap/>
            <w:vAlign w:val="bottom"/>
            <w:hideMark/>
          </w:tcPr>
          <w:p w14:paraId="0AE3903F"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0.942</w:t>
            </w:r>
          </w:p>
        </w:tc>
        <w:tc>
          <w:tcPr>
            <w:tcW w:w="1081" w:type="dxa"/>
            <w:tcBorders>
              <w:top w:val="nil"/>
              <w:left w:val="nil"/>
              <w:bottom w:val="single" w:sz="4" w:space="0" w:color="auto"/>
              <w:right w:val="single" w:sz="4" w:space="0" w:color="auto"/>
            </w:tcBorders>
            <w:shd w:val="clear" w:color="auto" w:fill="auto"/>
            <w:noWrap/>
            <w:vAlign w:val="bottom"/>
            <w:hideMark/>
          </w:tcPr>
          <w:p w14:paraId="572167B3"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w:t>
            </w:r>
          </w:p>
        </w:tc>
      </w:tr>
      <w:tr w:rsidR="0020432F" w:rsidRPr="00FF2439" w14:paraId="2731AF5B" w14:textId="77777777" w:rsidTr="002F0082">
        <w:trPr>
          <w:trHeight w:val="288"/>
        </w:trPr>
        <w:tc>
          <w:tcPr>
            <w:tcW w:w="2785" w:type="dxa"/>
            <w:tcBorders>
              <w:top w:val="nil"/>
              <w:left w:val="single" w:sz="4" w:space="0" w:color="auto"/>
              <w:bottom w:val="single" w:sz="4" w:space="0" w:color="auto"/>
              <w:right w:val="single" w:sz="4" w:space="0" w:color="auto"/>
            </w:tcBorders>
            <w:shd w:val="clear" w:color="auto" w:fill="auto"/>
            <w:noWrap/>
            <w:vAlign w:val="bottom"/>
            <w:hideMark/>
          </w:tcPr>
          <w:p w14:paraId="44033726" w14:textId="77777777" w:rsidR="0020432F" w:rsidRPr="00897E24" w:rsidRDefault="0020432F" w:rsidP="0020432F">
            <w:pPr>
              <w:rPr>
                <w:rFonts w:ascii="Arial" w:hAnsi="Arial" w:cs="Arial"/>
                <w:color w:val="000000"/>
                <w:spacing w:val="0"/>
                <w:sz w:val="18"/>
                <w:szCs w:val="18"/>
                <w:lang w:val="en-US"/>
              </w:rPr>
            </w:pPr>
            <w:r w:rsidRPr="00897E24">
              <w:rPr>
                <w:rFonts w:ascii="Arial" w:hAnsi="Arial" w:cs="Arial"/>
                <w:color w:val="000000"/>
                <w:spacing w:val="0"/>
                <w:sz w:val="18"/>
                <w:szCs w:val="18"/>
                <w:lang w:val="en-US"/>
              </w:rPr>
              <w:t>10.sector11</w:t>
            </w:r>
          </w:p>
        </w:tc>
        <w:tc>
          <w:tcPr>
            <w:tcW w:w="1047" w:type="dxa"/>
            <w:tcBorders>
              <w:top w:val="nil"/>
              <w:left w:val="nil"/>
              <w:bottom w:val="single" w:sz="4" w:space="0" w:color="auto"/>
              <w:right w:val="single" w:sz="4" w:space="0" w:color="auto"/>
            </w:tcBorders>
            <w:shd w:val="clear" w:color="auto" w:fill="auto"/>
            <w:noWrap/>
            <w:vAlign w:val="bottom"/>
            <w:hideMark/>
          </w:tcPr>
          <w:p w14:paraId="4A678C43"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0.01333</w:t>
            </w:r>
          </w:p>
        </w:tc>
        <w:tc>
          <w:tcPr>
            <w:tcW w:w="1081" w:type="dxa"/>
            <w:tcBorders>
              <w:top w:val="nil"/>
              <w:left w:val="nil"/>
              <w:bottom w:val="single" w:sz="4" w:space="0" w:color="auto"/>
              <w:right w:val="single" w:sz="4" w:space="0" w:color="auto"/>
            </w:tcBorders>
            <w:shd w:val="clear" w:color="auto" w:fill="auto"/>
            <w:noWrap/>
            <w:vAlign w:val="bottom"/>
            <w:hideMark/>
          </w:tcPr>
          <w:p w14:paraId="017CCFEB"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0.01098</w:t>
            </w:r>
          </w:p>
        </w:tc>
        <w:tc>
          <w:tcPr>
            <w:tcW w:w="1097" w:type="dxa"/>
            <w:tcBorders>
              <w:top w:val="nil"/>
              <w:left w:val="nil"/>
              <w:bottom w:val="single" w:sz="4" w:space="0" w:color="auto"/>
              <w:right w:val="single" w:sz="4" w:space="0" w:color="auto"/>
            </w:tcBorders>
            <w:shd w:val="clear" w:color="auto" w:fill="auto"/>
            <w:noWrap/>
            <w:vAlign w:val="bottom"/>
            <w:hideMark/>
          </w:tcPr>
          <w:p w14:paraId="2C411B3A"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1.9</w:t>
            </w:r>
          </w:p>
        </w:tc>
        <w:tc>
          <w:tcPr>
            <w:tcW w:w="972" w:type="dxa"/>
            <w:tcBorders>
              <w:top w:val="nil"/>
              <w:left w:val="nil"/>
              <w:bottom w:val="single" w:sz="4" w:space="0" w:color="auto"/>
              <w:right w:val="single" w:sz="4" w:space="0" w:color="auto"/>
            </w:tcBorders>
            <w:shd w:val="clear" w:color="auto" w:fill="auto"/>
            <w:noWrap/>
            <w:vAlign w:val="bottom"/>
            <w:hideMark/>
          </w:tcPr>
          <w:p w14:paraId="58BE4408"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0.32</w:t>
            </w:r>
          </w:p>
        </w:tc>
        <w:tc>
          <w:tcPr>
            <w:tcW w:w="1454" w:type="dxa"/>
            <w:tcBorders>
              <w:top w:val="nil"/>
              <w:left w:val="nil"/>
              <w:bottom w:val="single" w:sz="4" w:space="0" w:color="auto"/>
              <w:right w:val="single" w:sz="4" w:space="0" w:color="auto"/>
            </w:tcBorders>
            <w:shd w:val="clear" w:color="auto" w:fill="auto"/>
            <w:noWrap/>
            <w:vAlign w:val="bottom"/>
            <w:hideMark/>
          </w:tcPr>
          <w:p w14:paraId="1644C295"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0.747</w:t>
            </w:r>
          </w:p>
        </w:tc>
        <w:tc>
          <w:tcPr>
            <w:tcW w:w="1081" w:type="dxa"/>
            <w:tcBorders>
              <w:top w:val="nil"/>
              <w:left w:val="nil"/>
              <w:bottom w:val="single" w:sz="4" w:space="0" w:color="auto"/>
              <w:right w:val="single" w:sz="4" w:space="0" w:color="auto"/>
            </w:tcBorders>
            <w:shd w:val="clear" w:color="auto" w:fill="auto"/>
            <w:noWrap/>
            <w:vAlign w:val="bottom"/>
            <w:hideMark/>
          </w:tcPr>
          <w:p w14:paraId="66E99DDA" w14:textId="77777777" w:rsidR="0020432F" w:rsidRPr="00897E24" w:rsidRDefault="0020432F" w:rsidP="0020432F">
            <w:pPr>
              <w:jc w:val="right"/>
              <w:rPr>
                <w:rFonts w:ascii="Arial" w:hAnsi="Arial" w:cs="Arial"/>
                <w:color w:val="000000"/>
                <w:spacing w:val="0"/>
                <w:sz w:val="18"/>
                <w:szCs w:val="18"/>
                <w:lang w:val="en-US"/>
              </w:rPr>
            </w:pPr>
            <w:r w:rsidRPr="00897E24">
              <w:rPr>
                <w:rFonts w:ascii="Arial" w:hAnsi="Arial" w:cs="Arial"/>
                <w:color w:val="000000"/>
                <w:spacing w:val="0"/>
                <w:sz w:val="18"/>
                <w:szCs w:val="18"/>
                <w:lang w:val="en-US"/>
              </w:rPr>
              <w:t>.</w:t>
            </w:r>
          </w:p>
        </w:tc>
      </w:tr>
      <w:tr w:rsidR="0020432F" w:rsidRPr="00FF2439" w14:paraId="3DD0605D" w14:textId="77777777" w:rsidTr="002F0082">
        <w:trPr>
          <w:trHeight w:val="288"/>
        </w:trPr>
        <w:tc>
          <w:tcPr>
            <w:tcW w:w="2785" w:type="dxa"/>
            <w:tcBorders>
              <w:top w:val="nil"/>
              <w:left w:val="nil"/>
              <w:bottom w:val="nil"/>
              <w:right w:val="nil"/>
            </w:tcBorders>
            <w:shd w:val="clear" w:color="auto" w:fill="auto"/>
            <w:noWrap/>
            <w:vAlign w:val="bottom"/>
            <w:hideMark/>
          </w:tcPr>
          <w:p w14:paraId="3820F812" w14:textId="77777777" w:rsidR="0020432F" w:rsidRPr="00897E24" w:rsidRDefault="0020432F" w:rsidP="0020432F">
            <w:pPr>
              <w:rPr>
                <w:rFonts w:ascii="Arial" w:hAnsi="Arial" w:cs="Arial"/>
                <w:spacing w:val="0"/>
                <w:sz w:val="18"/>
                <w:szCs w:val="18"/>
                <w:lang w:val="en-US"/>
              </w:rPr>
            </w:pPr>
          </w:p>
        </w:tc>
        <w:tc>
          <w:tcPr>
            <w:tcW w:w="1047" w:type="dxa"/>
            <w:tcBorders>
              <w:top w:val="nil"/>
              <w:left w:val="nil"/>
              <w:bottom w:val="nil"/>
              <w:right w:val="nil"/>
            </w:tcBorders>
            <w:shd w:val="clear" w:color="auto" w:fill="auto"/>
            <w:noWrap/>
            <w:vAlign w:val="bottom"/>
            <w:hideMark/>
          </w:tcPr>
          <w:p w14:paraId="63D9A55A" w14:textId="77777777" w:rsidR="0020432F" w:rsidRPr="00897E24" w:rsidRDefault="0020432F" w:rsidP="0020432F">
            <w:pPr>
              <w:rPr>
                <w:rFonts w:ascii="Arial" w:hAnsi="Arial" w:cs="Arial"/>
                <w:spacing w:val="0"/>
                <w:sz w:val="18"/>
                <w:szCs w:val="18"/>
                <w:lang w:val="en-US"/>
              </w:rPr>
            </w:pPr>
          </w:p>
        </w:tc>
        <w:tc>
          <w:tcPr>
            <w:tcW w:w="1081" w:type="dxa"/>
            <w:tcBorders>
              <w:top w:val="nil"/>
              <w:left w:val="nil"/>
              <w:bottom w:val="nil"/>
              <w:right w:val="nil"/>
            </w:tcBorders>
            <w:shd w:val="clear" w:color="auto" w:fill="auto"/>
            <w:noWrap/>
            <w:vAlign w:val="bottom"/>
            <w:hideMark/>
          </w:tcPr>
          <w:p w14:paraId="2FA94D3B" w14:textId="77777777" w:rsidR="0020432F" w:rsidRPr="00897E24" w:rsidRDefault="0020432F" w:rsidP="0020432F">
            <w:pPr>
              <w:rPr>
                <w:rFonts w:ascii="Arial" w:hAnsi="Arial" w:cs="Arial"/>
                <w:spacing w:val="0"/>
                <w:sz w:val="18"/>
                <w:szCs w:val="18"/>
                <w:lang w:val="en-US"/>
              </w:rPr>
            </w:pPr>
          </w:p>
        </w:tc>
        <w:tc>
          <w:tcPr>
            <w:tcW w:w="1097" w:type="dxa"/>
            <w:tcBorders>
              <w:top w:val="nil"/>
              <w:left w:val="nil"/>
              <w:bottom w:val="nil"/>
              <w:right w:val="nil"/>
            </w:tcBorders>
            <w:shd w:val="clear" w:color="auto" w:fill="auto"/>
            <w:noWrap/>
            <w:vAlign w:val="bottom"/>
            <w:hideMark/>
          </w:tcPr>
          <w:p w14:paraId="0D049A9E" w14:textId="77777777" w:rsidR="0020432F" w:rsidRPr="00897E24" w:rsidRDefault="0020432F" w:rsidP="0020432F">
            <w:pPr>
              <w:rPr>
                <w:rFonts w:ascii="Arial" w:hAnsi="Arial" w:cs="Arial"/>
                <w:spacing w:val="0"/>
                <w:sz w:val="18"/>
                <w:szCs w:val="18"/>
                <w:lang w:val="en-US"/>
              </w:rPr>
            </w:pPr>
          </w:p>
        </w:tc>
        <w:tc>
          <w:tcPr>
            <w:tcW w:w="972" w:type="dxa"/>
            <w:tcBorders>
              <w:top w:val="nil"/>
              <w:left w:val="nil"/>
              <w:bottom w:val="nil"/>
              <w:right w:val="nil"/>
            </w:tcBorders>
            <w:shd w:val="clear" w:color="auto" w:fill="auto"/>
            <w:noWrap/>
            <w:vAlign w:val="bottom"/>
            <w:hideMark/>
          </w:tcPr>
          <w:p w14:paraId="04AC4C22" w14:textId="77777777" w:rsidR="0020432F" w:rsidRPr="00897E24" w:rsidRDefault="0020432F" w:rsidP="0020432F">
            <w:pPr>
              <w:rPr>
                <w:rFonts w:ascii="Arial" w:hAnsi="Arial" w:cs="Arial"/>
                <w:spacing w:val="0"/>
                <w:sz w:val="18"/>
                <w:szCs w:val="18"/>
                <w:lang w:val="en-US"/>
              </w:rPr>
            </w:pPr>
          </w:p>
        </w:tc>
        <w:tc>
          <w:tcPr>
            <w:tcW w:w="1454" w:type="dxa"/>
            <w:tcBorders>
              <w:top w:val="nil"/>
              <w:left w:val="nil"/>
              <w:bottom w:val="nil"/>
              <w:right w:val="nil"/>
            </w:tcBorders>
            <w:shd w:val="clear" w:color="auto" w:fill="auto"/>
            <w:noWrap/>
            <w:vAlign w:val="bottom"/>
            <w:hideMark/>
          </w:tcPr>
          <w:p w14:paraId="60F178AF" w14:textId="77777777" w:rsidR="0020432F" w:rsidRPr="00897E24" w:rsidRDefault="0020432F" w:rsidP="0020432F">
            <w:pPr>
              <w:rPr>
                <w:rFonts w:ascii="Arial" w:hAnsi="Arial" w:cs="Arial"/>
                <w:spacing w:val="0"/>
                <w:sz w:val="18"/>
                <w:szCs w:val="18"/>
                <w:lang w:val="en-US"/>
              </w:rPr>
            </w:pPr>
          </w:p>
        </w:tc>
        <w:tc>
          <w:tcPr>
            <w:tcW w:w="1081" w:type="dxa"/>
            <w:tcBorders>
              <w:top w:val="nil"/>
              <w:left w:val="nil"/>
              <w:bottom w:val="nil"/>
              <w:right w:val="nil"/>
            </w:tcBorders>
            <w:shd w:val="clear" w:color="auto" w:fill="auto"/>
            <w:noWrap/>
            <w:vAlign w:val="bottom"/>
            <w:hideMark/>
          </w:tcPr>
          <w:p w14:paraId="2AAFC497" w14:textId="77777777" w:rsidR="0020432F" w:rsidRPr="00897E24" w:rsidRDefault="0020432F" w:rsidP="0020432F">
            <w:pPr>
              <w:rPr>
                <w:rFonts w:ascii="Arial" w:hAnsi="Arial" w:cs="Arial"/>
                <w:spacing w:val="0"/>
                <w:sz w:val="18"/>
                <w:szCs w:val="18"/>
                <w:lang w:val="en-US"/>
              </w:rPr>
            </w:pPr>
          </w:p>
        </w:tc>
      </w:tr>
    </w:tbl>
    <w:p w14:paraId="0592FD24" w14:textId="4739AA9D" w:rsidR="00F45ADF" w:rsidRPr="007257D4" w:rsidRDefault="007257D4" w:rsidP="00F45ADF">
      <w:pPr>
        <w:pStyle w:val="Paragraph"/>
        <w:numPr>
          <w:ilvl w:val="0"/>
          <w:numId w:val="0"/>
        </w:numPr>
        <w:suppressAutoHyphens/>
        <w:autoSpaceDN w:val="0"/>
        <w:spacing w:before="0" w:after="0"/>
        <w:textAlignment w:val="baseline"/>
        <w:rPr>
          <w:rFonts w:ascii="Arial" w:hAnsi="Arial" w:cs="Arial"/>
          <w:sz w:val="20"/>
          <w:szCs w:val="22"/>
          <w:lang w:val="es-ES_tradnl"/>
        </w:rPr>
      </w:pPr>
      <w:r w:rsidRPr="007257D4">
        <w:rPr>
          <w:rFonts w:ascii="Arial" w:hAnsi="Arial" w:cs="Arial"/>
          <w:sz w:val="20"/>
          <w:szCs w:val="22"/>
          <w:lang w:val="es-ES_tradnl"/>
        </w:rPr>
        <w:t>Fuente: ENE 2015</w:t>
      </w:r>
    </w:p>
    <w:p w14:paraId="60F0387A" w14:textId="013C12C7" w:rsidR="00F45ADF" w:rsidRDefault="00F45ADF" w:rsidP="005C3BC2">
      <w:pPr>
        <w:pStyle w:val="Paragraph"/>
        <w:numPr>
          <w:ilvl w:val="0"/>
          <w:numId w:val="0"/>
        </w:numPr>
        <w:suppressAutoHyphens/>
        <w:autoSpaceDN w:val="0"/>
        <w:spacing w:before="0" w:after="0"/>
        <w:ind w:left="1566" w:hanging="846"/>
        <w:textAlignment w:val="baseline"/>
        <w:rPr>
          <w:rFonts w:ascii="Arial" w:hAnsi="Arial" w:cs="Arial"/>
          <w:sz w:val="22"/>
          <w:szCs w:val="22"/>
          <w:u w:val="single"/>
          <w:lang w:val="es-ES_tradnl"/>
        </w:rPr>
      </w:pPr>
    </w:p>
    <w:p w14:paraId="485A3FC8" w14:textId="3526BCEA" w:rsidR="005C3BC2" w:rsidRPr="00515099" w:rsidRDefault="005C3BC2" w:rsidP="005C3BC2">
      <w:pPr>
        <w:pStyle w:val="Paragraph"/>
        <w:numPr>
          <w:ilvl w:val="0"/>
          <w:numId w:val="0"/>
        </w:numPr>
        <w:suppressAutoHyphens/>
        <w:autoSpaceDN w:val="0"/>
        <w:spacing w:before="0" w:after="0"/>
        <w:ind w:left="1566" w:hanging="846"/>
        <w:textAlignment w:val="baseline"/>
        <w:rPr>
          <w:rFonts w:ascii="Arial" w:hAnsi="Arial" w:cs="Arial"/>
          <w:sz w:val="22"/>
          <w:szCs w:val="22"/>
          <w:u w:val="single"/>
          <w:lang w:val="es-ES_tradnl"/>
        </w:rPr>
      </w:pPr>
      <w:r w:rsidRPr="00515099">
        <w:rPr>
          <w:rFonts w:ascii="Arial" w:hAnsi="Arial" w:cs="Arial"/>
          <w:sz w:val="22"/>
          <w:szCs w:val="22"/>
          <w:u w:val="single"/>
          <w:lang w:val="es-ES_tradnl"/>
        </w:rPr>
        <w:t>Fuentes de información</w:t>
      </w:r>
    </w:p>
    <w:p w14:paraId="494DC1A2" w14:textId="2FC65D2C" w:rsidR="005C3BC2" w:rsidRPr="00513EAD" w:rsidRDefault="005C3BC2" w:rsidP="005C3BC2">
      <w:pPr>
        <w:pStyle w:val="Paragraph"/>
        <w:rPr>
          <w:rFonts w:ascii="Arial" w:hAnsi="Arial" w:cs="Arial"/>
          <w:sz w:val="22"/>
          <w:szCs w:val="22"/>
        </w:rPr>
      </w:pPr>
      <w:r>
        <w:rPr>
          <w:rFonts w:ascii="Arial" w:hAnsi="Arial" w:cs="Arial"/>
          <w:sz w:val="22"/>
          <w:szCs w:val="22"/>
        </w:rPr>
        <w:t>Las fuentes de información para los indicadores de resultado son.</w:t>
      </w:r>
    </w:p>
    <w:p w14:paraId="64C5D5F8" w14:textId="77D07593" w:rsidR="005F5D14" w:rsidRDefault="005A60A9" w:rsidP="00B00FD5">
      <w:pPr>
        <w:pStyle w:val="ListParagraph"/>
        <w:numPr>
          <w:ilvl w:val="0"/>
          <w:numId w:val="32"/>
        </w:numPr>
        <w:spacing w:after="160" w:line="259" w:lineRule="auto"/>
        <w:rPr>
          <w:rFonts w:ascii="Arial" w:hAnsi="Arial" w:cs="Arial"/>
          <w:sz w:val="22"/>
          <w:szCs w:val="22"/>
        </w:rPr>
      </w:pPr>
      <w:r w:rsidRPr="005A60A9">
        <w:rPr>
          <w:rFonts w:ascii="Arial" w:hAnsi="Arial" w:cs="Arial"/>
          <w:sz w:val="22"/>
          <w:szCs w:val="22"/>
        </w:rPr>
        <w:t>Los registros administrativos de los distintos programas e instituciones fortalecidos por los compromisos de política</w:t>
      </w:r>
      <w:r w:rsidR="00D6276F">
        <w:rPr>
          <w:rFonts w:ascii="Arial" w:hAnsi="Arial" w:cs="Arial"/>
          <w:sz w:val="22"/>
          <w:szCs w:val="22"/>
        </w:rPr>
        <w:t>. Estos permitirán identificar a los beneficiarios, los tratamientos específicos y los momentos de aplicación de tratamientos.</w:t>
      </w:r>
    </w:p>
    <w:p w14:paraId="26AF6CF4" w14:textId="77777777" w:rsidR="000F68FF" w:rsidRDefault="000F68FF" w:rsidP="000F68FF">
      <w:pPr>
        <w:pStyle w:val="ListParagraph"/>
        <w:spacing w:after="160" w:line="259" w:lineRule="auto"/>
        <w:jc w:val="both"/>
        <w:rPr>
          <w:rFonts w:ascii="Arial" w:hAnsi="Arial" w:cs="Arial"/>
          <w:sz w:val="22"/>
          <w:szCs w:val="22"/>
          <w:lang w:val="es-ES"/>
        </w:rPr>
      </w:pPr>
    </w:p>
    <w:p w14:paraId="6E3970F3" w14:textId="5AEBE4A5" w:rsidR="00166E62" w:rsidRDefault="00166E62" w:rsidP="00166E62">
      <w:pPr>
        <w:pStyle w:val="ListParagraph"/>
        <w:numPr>
          <w:ilvl w:val="0"/>
          <w:numId w:val="32"/>
        </w:numPr>
        <w:spacing w:after="160" w:line="259" w:lineRule="auto"/>
        <w:jc w:val="both"/>
        <w:rPr>
          <w:rFonts w:ascii="Arial" w:hAnsi="Arial" w:cs="Arial"/>
          <w:sz w:val="22"/>
          <w:szCs w:val="22"/>
          <w:lang w:val="es-ES"/>
        </w:rPr>
      </w:pPr>
      <w:r w:rsidRPr="00226397">
        <w:rPr>
          <w:rFonts w:ascii="Arial" w:hAnsi="Arial" w:cs="Arial"/>
          <w:sz w:val="22"/>
          <w:szCs w:val="22"/>
          <w:lang w:val="es-ES"/>
        </w:rPr>
        <w:t>El Sistema Informático de Inspección del Trabajo (SIIT)</w:t>
      </w:r>
      <w:r w:rsidRPr="00226397">
        <w:t xml:space="preserve"> </w:t>
      </w:r>
      <w:r w:rsidRPr="00226397">
        <w:rPr>
          <w:rFonts w:ascii="Arial" w:hAnsi="Arial" w:cs="Arial"/>
          <w:sz w:val="22"/>
          <w:szCs w:val="22"/>
          <w:lang w:val="es-ES"/>
        </w:rPr>
        <w:t>registra información sobre el Sistema de Inspección del</w:t>
      </w:r>
      <w:r>
        <w:rPr>
          <w:rFonts w:ascii="Arial" w:hAnsi="Arial" w:cs="Arial"/>
          <w:sz w:val="22"/>
          <w:szCs w:val="22"/>
          <w:lang w:val="es-ES"/>
        </w:rPr>
        <w:t xml:space="preserve"> </w:t>
      </w:r>
      <w:r w:rsidRPr="00226397">
        <w:rPr>
          <w:rFonts w:ascii="Arial" w:hAnsi="Arial" w:cs="Arial"/>
          <w:sz w:val="22"/>
          <w:szCs w:val="22"/>
          <w:lang w:val="es-ES"/>
        </w:rPr>
        <w:t>Trabajo</w:t>
      </w:r>
      <w:r>
        <w:rPr>
          <w:rFonts w:ascii="Arial" w:hAnsi="Arial" w:cs="Arial"/>
          <w:sz w:val="22"/>
          <w:szCs w:val="22"/>
          <w:lang w:val="es-ES"/>
        </w:rPr>
        <w:t xml:space="preserve"> y es administrado por la SUNAFIL. Contiene información sobre las distintas etapas del proceso </w:t>
      </w:r>
      <w:proofErr w:type="spellStart"/>
      <w:r>
        <w:rPr>
          <w:rFonts w:ascii="Arial" w:hAnsi="Arial" w:cs="Arial"/>
          <w:sz w:val="22"/>
          <w:szCs w:val="22"/>
          <w:lang w:val="es-ES"/>
        </w:rPr>
        <w:t>inspectivo</w:t>
      </w:r>
      <w:proofErr w:type="spellEnd"/>
      <w:r>
        <w:rPr>
          <w:rFonts w:ascii="Arial" w:hAnsi="Arial" w:cs="Arial"/>
          <w:sz w:val="22"/>
          <w:szCs w:val="22"/>
          <w:lang w:val="es-ES"/>
        </w:rPr>
        <w:t xml:space="preserve"> a nivel nacional (gestión de órdenes de inspección, investigación, instrucción, resolución y penalidades). Los indicadores se actualizan de manera mensual.</w:t>
      </w:r>
    </w:p>
    <w:p w14:paraId="04A07A4D" w14:textId="77777777" w:rsidR="002F2861" w:rsidRDefault="002F2861" w:rsidP="002F2861">
      <w:pPr>
        <w:pStyle w:val="ListParagraph"/>
        <w:spacing w:after="160" w:line="259" w:lineRule="auto"/>
        <w:rPr>
          <w:rFonts w:ascii="Arial" w:hAnsi="Arial" w:cs="Arial"/>
          <w:sz w:val="22"/>
          <w:szCs w:val="22"/>
        </w:rPr>
      </w:pPr>
    </w:p>
    <w:p w14:paraId="5EE1ECBE" w14:textId="05FFE40B" w:rsidR="00660B1E" w:rsidRPr="00F17BC1" w:rsidRDefault="003B2C79" w:rsidP="00F17BC1">
      <w:pPr>
        <w:pStyle w:val="ListParagraph"/>
        <w:numPr>
          <w:ilvl w:val="0"/>
          <w:numId w:val="32"/>
        </w:numPr>
        <w:spacing w:after="160" w:line="259" w:lineRule="auto"/>
        <w:jc w:val="both"/>
        <w:rPr>
          <w:rFonts w:ascii="Arial" w:hAnsi="Arial" w:cs="Arial"/>
          <w:sz w:val="22"/>
          <w:szCs w:val="22"/>
        </w:rPr>
      </w:pPr>
      <w:r w:rsidRPr="00F17BC1">
        <w:rPr>
          <w:rFonts w:ascii="Arial" w:hAnsi="Arial" w:cs="Arial"/>
          <w:sz w:val="22"/>
          <w:szCs w:val="22"/>
        </w:rPr>
        <w:t>Planilla electrónica:</w:t>
      </w:r>
      <w:r w:rsidRPr="00F17BC1">
        <w:rPr>
          <w:rFonts w:ascii="Arial" w:hAnsi="Arial" w:cs="Arial"/>
          <w:sz w:val="22"/>
          <w:szCs w:val="22"/>
          <w:lang w:val="es-ES"/>
        </w:rPr>
        <w:t xml:space="preserve"> </w:t>
      </w:r>
      <w:r w:rsidR="00660B1E" w:rsidRPr="00F17BC1">
        <w:rPr>
          <w:rFonts w:ascii="Arial" w:hAnsi="Arial" w:cs="Arial"/>
          <w:sz w:val="22"/>
          <w:szCs w:val="22"/>
        </w:rPr>
        <w:t xml:space="preserve">es el registro </w:t>
      </w:r>
      <w:r w:rsidR="00F17BC1">
        <w:rPr>
          <w:rFonts w:ascii="Arial" w:hAnsi="Arial" w:cs="Arial"/>
          <w:sz w:val="22"/>
          <w:szCs w:val="22"/>
        </w:rPr>
        <w:t xml:space="preserve">administrativo </w:t>
      </w:r>
      <w:r w:rsidR="00660B1E" w:rsidRPr="00F17BC1">
        <w:rPr>
          <w:rFonts w:ascii="Arial" w:hAnsi="Arial" w:cs="Arial"/>
          <w:sz w:val="22"/>
          <w:szCs w:val="22"/>
        </w:rPr>
        <w:t>de información de los trabajadores, pensionistas, prestadores de servicios, personal de terceros, modalidades formativas y derechohabientes; este registro tiene la siguiente estructura:</w:t>
      </w:r>
    </w:p>
    <w:p w14:paraId="7A73C086" w14:textId="77777777" w:rsidR="00660B1E" w:rsidRPr="00660B1E" w:rsidRDefault="00660B1E" w:rsidP="00660B1E">
      <w:pPr>
        <w:pStyle w:val="ListParagraph"/>
        <w:spacing w:after="160" w:line="259" w:lineRule="auto"/>
        <w:rPr>
          <w:rFonts w:ascii="Arial" w:hAnsi="Arial" w:cs="Arial"/>
          <w:sz w:val="22"/>
          <w:szCs w:val="22"/>
        </w:rPr>
      </w:pPr>
      <w:r w:rsidRPr="00660B1E">
        <w:rPr>
          <w:rFonts w:ascii="Arial" w:hAnsi="Arial" w:cs="Arial"/>
          <w:sz w:val="22"/>
          <w:szCs w:val="22"/>
        </w:rPr>
        <w:t>- El registro de información laboral (T-Registro) y,</w:t>
      </w:r>
    </w:p>
    <w:p w14:paraId="35CA5682" w14:textId="77777777" w:rsidR="00660B1E" w:rsidRPr="00660B1E" w:rsidRDefault="00660B1E" w:rsidP="00660B1E">
      <w:pPr>
        <w:pStyle w:val="ListParagraph"/>
        <w:spacing w:after="160" w:line="259" w:lineRule="auto"/>
        <w:rPr>
          <w:rFonts w:ascii="Arial" w:hAnsi="Arial" w:cs="Arial"/>
          <w:sz w:val="22"/>
          <w:szCs w:val="22"/>
        </w:rPr>
      </w:pPr>
      <w:r w:rsidRPr="00660B1E">
        <w:rPr>
          <w:rFonts w:ascii="Arial" w:hAnsi="Arial" w:cs="Arial"/>
          <w:sz w:val="22"/>
          <w:szCs w:val="22"/>
        </w:rPr>
        <w:t>- La planilla mensual de pagos (PLAME)</w:t>
      </w:r>
    </w:p>
    <w:p w14:paraId="56D2D6F7" w14:textId="5B6F94D7" w:rsidR="00A504EF" w:rsidRDefault="00660B1E" w:rsidP="00AF2D97">
      <w:pPr>
        <w:pStyle w:val="ListParagraph"/>
        <w:spacing w:after="160" w:line="259" w:lineRule="auto"/>
        <w:jc w:val="both"/>
        <w:rPr>
          <w:rFonts w:ascii="Arial" w:hAnsi="Arial" w:cs="Arial"/>
          <w:sz w:val="22"/>
          <w:szCs w:val="22"/>
        </w:rPr>
      </w:pPr>
      <w:r w:rsidRPr="00660B1E">
        <w:rPr>
          <w:rFonts w:ascii="Arial" w:hAnsi="Arial" w:cs="Arial"/>
          <w:sz w:val="22"/>
          <w:szCs w:val="22"/>
        </w:rPr>
        <w:t xml:space="preserve">En el T-Registro se consignan los datos de los trabajadores, pensionistas, prestadores de servicios, personal de terceros, modalidades formativas y derechohabientes; mientras que la PLAME </w:t>
      </w:r>
      <w:r w:rsidR="00F17BC1" w:rsidRPr="00660B1E">
        <w:rPr>
          <w:rFonts w:ascii="Arial" w:hAnsi="Arial" w:cs="Arial"/>
          <w:sz w:val="22"/>
          <w:szCs w:val="22"/>
        </w:rPr>
        <w:t>comprende información mensual de los ingresos de los sujetos inscritos en el Registro de Información Laboral (T</w:t>
      </w:r>
      <w:r w:rsidR="007C5B5D">
        <w:rPr>
          <w:rFonts w:ascii="Arial" w:hAnsi="Arial" w:cs="Arial"/>
          <w:sz w:val="22"/>
          <w:szCs w:val="22"/>
        </w:rPr>
        <w:noBreakHyphen/>
      </w:r>
      <w:r w:rsidR="00F17BC1" w:rsidRPr="00660B1E">
        <w:rPr>
          <w:rFonts w:ascii="Arial" w:hAnsi="Arial" w:cs="Arial"/>
          <w:sz w:val="22"/>
          <w:szCs w:val="22"/>
        </w:rPr>
        <w:t>REGISTRO), así como de los Prestadores de Servicios que obtengan rentas de 4ta</w:t>
      </w:r>
      <w:r w:rsidR="007C5B5D">
        <w:rPr>
          <w:rFonts w:ascii="Arial" w:hAnsi="Arial" w:cs="Arial"/>
          <w:sz w:val="22"/>
          <w:szCs w:val="22"/>
        </w:rPr>
        <w:t> </w:t>
      </w:r>
      <w:r w:rsidR="00F17BC1" w:rsidRPr="00660B1E">
        <w:rPr>
          <w:rFonts w:ascii="Arial" w:hAnsi="Arial" w:cs="Arial"/>
          <w:sz w:val="22"/>
          <w:szCs w:val="22"/>
        </w:rPr>
        <w:t>Categoría; los descuentos, los días laborados y no laborados, horas ordinarias y en sobretiempo del trabajador; así como información correspondiente a la base de cálculo y la determinación de los conceptos tributarios y no tributarios cuya recaudación le haya sido encargada a la SUNAT</w:t>
      </w:r>
      <w:r w:rsidRPr="00660B1E">
        <w:rPr>
          <w:rFonts w:ascii="Arial" w:hAnsi="Arial" w:cs="Arial"/>
          <w:sz w:val="22"/>
          <w:szCs w:val="22"/>
        </w:rPr>
        <w:t xml:space="preserve">. </w:t>
      </w:r>
      <w:r w:rsidR="00F17BC1">
        <w:rPr>
          <w:rFonts w:ascii="Arial" w:hAnsi="Arial" w:cs="Arial"/>
          <w:sz w:val="22"/>
          <w:szCs w:val="22"/>
        </w:rPr>
        <w:t>La</w:t>
      </w:r>
      <w:r w:rsidRPr="00660B1E">
        <w:rPr>
          <w:rFonts w:ascii="Arial" w:hAnsi="Arial" w:cs="Arial"/>
          <w:sz w:val="22"/>
          <w:szCs w:val="22"/>
        </w:rPr>
        <w:t xml:space="preserve"> planilla electrónica se obtiene la información que debe consignarse en las boletas de pago</w:t>
      </w:r>
      <w:r w:rsidR="00F17BC1">
        <w:rPr>
          <w:rFonts w:ascii="Arial" w:hAnsi="Arial" w:cs="Arial"/>
          <w:sz w:val="22"/>
          <w:szCs w:val="22"/>
        </w:rPr>
        <w:t xml:space="preserve"> de los trabajadores formales</w:t>
      </w:r>
      <w:r w:rsidR="00166E62">
        <w:rPr>
          <w:rFonts w:ascii="Arial" w:hAnsi="Arial" w:cs="Arial"/>
          <w:sz w:val="22"/>
          <w:szCs w:val="22"/>
        </w:rPr>
        <w:t xml:space="preserve"> y es accedida mensualmente por el Ministerio de Trabajo por convenio con la SUNAT.</w:t>
      </w:r>
    </w:p>
    <w:p w14:paraId="46DFEA01" w14:textId="77777777" w:rsidR="00AF2D97" w:rsidRPr="00AF2D97" w:rsidRDefault="00AF2D97" w:rsidP="00AF2D97">
      <w:pPr>
        <w:pStyle w:val="ListParagraph"/>
        <w:spacing w:after="160" w:line="259" w:lineRule="auto"/>
        <w:jc w:val="both"/>
        <w:rPr>
          <w:rFonts w:ascii="Arial" w:hAnsi="Arial" w:cs="Arial"/>
          <w:sz w:val="22"/>
          <w:szCs w:val="22"/>
        </w:rPr>
      </w:pPr>
    </w:p>
    <w:p w14:paraId="0C54FC3E" w14:textId="2B06F551" w:rsidR="00A504EF" w:rsidRPr="00A504EF" w:rsidRDefault="0099083C" w:rsidP="0075194B">
      <w:pPr>
        <w:pStyle w:val="ListParagraph"/>
        <w:numPr>
          <w:ilvl w:val="0"/>
          <w:numId w:val="32"/>
        </w:numPr>
        <w:spacing w:after="160" w:line="259" w:lineRule="auto"/>
        <w:jc w:val="both"/>
        <w:rPr>
          <w:rFonts w:ascii="Arial" w:hAnsi="Arial" w:cs="Arial"/>
          <w:sz w:val="22"/>
          <w:szCs w:val="22"/>
          <w:lang w:val="es-ES"/>
        </w:rPr>
      </w:pPr>
      <w:r w:rsidRPr="00A504EF">
        <w:rPr>
          <w:rFonts w:ascii="Arial" w:hAnsi="Arial" w:cs="Arial"/>
          <w:sz w:val="22"/>
          <w:szCs w:val="22"/>
          <w:lang w:val="es-ES"/>
        </w:rPr>
        <w:t>Encues</w:t>
      </w:r>
      <w:r w:rsidR="0026004D" w:rsidRPr="00A504EF">
        <w:rPr>
          <w:rFonts w:ascii="Arial" w:hAnsi="Arial" w:cs="Arial"/>
          <w:sz w:val="22"/>
          <w:szCs w:val="22"/>
          <w:lang w:val="es-ES"/>
        </w:rPr>
        <w:t>t</w:t>
      </w:r>
      <w:r w:rsidRPr="00A504EF">
        <w:rPr>
          <w:rFonts w:ascii="Arial" w:hAnsi="Arial" w:cs="Arial"/>
          <w:sz w:val="22"/>
          <w:szCs w:val="22"/>
          <w:lang w:val="es-ES"/>
        </w:rPr>
        <w:t>a Nacional de Empresas</w:t>
      </w:r>
      <w:r>
        <w:rPr>
          <w:rStyle w:val="FootnoteReference"/>
          <w:rFonts w:ascii="Arial" w:hAnsi="Arial" w:cs="Arial"/>
          <w:sz w:val="22"/>
          <w:szCs w:val="22"/>
          <w:lang w:val="es-ES"/>
        </w:rPr>
        <w:footnoteReference w:id="13"/>
      </w:r>
      <w:r w:rsidR="00B00FD5" w:rsidRPr="00A504EF">
        <w:rPr>
          <w:rFonts w:ascii="Arial" w:hAnsi="Arial" w:cs="Arial"/>
          <w:sz w:val="22"/>
          <w:szCs w:val="22"/>
          <w:lang w:val="es-ES"/>
        </w:rPr>
        <w:t xml:space="preserve">: </w:t>
      </w:r>
      <w:r w:rsidR="00A504EF" w:rsidRPr="00A504EF">
        <w:rPr>
          <w:rFonts w:ascii="Arial" w:hAnsi="Arial" w:cs="Arial"/>
          <w:sz w:val="22"/>
          <w:szCs w:val="22"/>
          <w:lang w:val="es-ES"/>
        </w:rPr>
        <w:t>La información de la Encuesta Nacional de Empresas tiene cobertura nacional</w:t>
      </w:r>
      <w:r w:rsidR="0075194B">
        <w:rPr>
          <w:rFonts w:ascii="Arial" w:hAnsi="Arial" w:cs="Arial"/>
          <w:sz w:val="22"/>
          <w:szCs w:val="22"/>
          <w:lang w:val="es-ES"/>
        </w:rPr>
        <w:t>, multisectorial</w:t>
      </w:r>
      <w:r w:rsidR="00A504EF" w:rsidRPr="00A504EF">
        <w:rPr>
          <w:rFonts w:ascii="Arial" w:hAnsi="Arial" w:cs="Arial"/>
          <w:sz w:val="22"/>
          <w:szCs w:val="22"/>
          <w:lang w:val="es-ES"/>
        </w:rPr>
        <w:t xml:space="preserve"> y contiene información sobre ubicación</w:t>
      </w:r>
      <w:r w:rsidR="00A504EF">
        <w:rPr>
          <w:rFonts w:ascii="Arial" w:hAnsi="Arial" w:cs="Arial"/>
          <w:sz w:val="22"/>
          <w:szCs w:val="22"/>
          <w:lang w:val="es-ES"/>
        </w:rPr>
        <w:t>, recursos humanos, prácticas de gestión, tecnologías de información y comunicaciones, insumos complementarios, financiamiento, percepción sobre clima de negocios, principales productos, principales insumos, ventas y gastos</w:t>
      </w:r>
      <w:r w:rsidR="00A504EF" w:rsidRPr="00A504EF">
        <w:rPr>
          <w:rFonts w:ascii="Arial" w:hAnsi="Arial" w:cs="Arial"/>
          <w:sz w:val="22"/>
          <w:szCs w:val="22"/>
          <w:lang w:val="es-ES"/>
        </w:rPr>
        <w:t xml:space="preserve"> de la</w:t>
      </w:r>
      <w:r w:rsidR="00A504EF">
        <w:rPr>
          <w:rFonts w:ascii="Arial" w:hAnsi="Arial" w:cs="Arial"/>
          <w:sz w:val="22"/>
          <w:szCs w:val="22"/>
          <w:lang w:val="es-ES"/>
        </w:rPr>
        <w:t>s</w:t>
      </w:r>
      <w:r w:rsidR="00A504EF" w:rsidRPr="00A504EF">
        <w:rPr>
          <w:rFonts w:ascii="Arial" w:hAnsi="Arial" w:cs="Arial"/>
          <w:sz w:val="22"/>
          <w:szCs w:val="22"/>
          <w:lang w:val="es-ES"/>
        </w:rPr>
        <w:t xml:space="preserve"> empresa</w:t>
      </w:r>
      <w:r w:rsidR="00A504EF">
        <w:rPr>
          <w:rFonts w:ascii="Arial" w:hAnsi="Arial" w:cs="Arial"/>
          <w:sz w:val="22"/>
          <w:szCs w:val="22"/>
          <w:lang w:val="es-ES"/>
        </w:rPr>
        <w:t>s encuestadas.</w:t>
      </w:r>
      <w:r w:rsidR="00FC72EB">
        <w:rPr>
          <w:rFonts w:ascii="Arial" w:hAnsi="Arial" w:cs="Arial"/>
          <w:sz w:val="22"/>
          <w:szCs w:val="22"/>
          <w:lang w:val="es-ES"/>
        </w:rPr>
        <w:t xml:space="preserve"> La ENE se recolecta anualmente.</w:t>
      </w:r>
      <w:r w:rsidR="0075194B">
        <w:rPr>
          <w:rFonts w:ascii="Arial" w:hAnsi="Arial" w:cs="Arial"/>
          <w:sz w:val="22"/>
          <w:szCs w:val="22"/>
          <w:lang w:val="es-ES"/>
        </w:rPr>
        <w:t xml:space="preserve"> </w:t>
      </w:r>
      <w:r w:rsidR="0075194B" w:rsidRPr="0075194B">
        <w:rPr>
          <w:rFonts w:ascii="Arial" w:hAnsi="Arial" w:cs="Arial"/>
          <w:sz w:val="22"/>
          <w:szCs w:val="22"/>
          <w:lang w:val="es-ES"/>
        </w:rPr>
        <w:t>El tamaño de la muestra de la Encuesta Nacional de la Empresa 2015 es de 19</w:t>
      </w:r>
      <w:r w:rsidR="003E7909">
        <w:rPr>
          <w:rFonts w:ascii="Arial" w:hAnsi="Arial" w:cs="Arial"/>
          <w:sz w:val="22"/>
          <w:szCs w:val="22"/>
          <w:lang w:val="es-ES"/>
        </w:rPr>
        <w:t>,</w:t>
      </w:r>
      <w:r w:rsidR="0075194B" w:rsidRPr="0075194B">
        <w:rPr>
          <w:rFonts w:ascii="Arial" w:hAnsi="Arial" w:cs="Arial"/>
          <w:sz w:val="22"/>
          <w:szCs w:val="22"/>
          <w:lang w:val="es-ES"/>
        </w:rPr>
        <w:t>204 empresas.</w:t>
      </w:r>
    </w:p>
    <w:p w14:paraId="40E5239D" w14:textId="77777777" w:rsidR="002F2861" w:rsidRPr="005A60A9" w:rsidRDefault="002F2861" w:rsidP="002F2861">
      <w:pPr>
        <w:pStyle w:val="ListParagraph"/>
        <w:spacing w:after="160" w:line="259" w:lineRule="auto"/>
        <w:rPr>
          <w:rFonts w:ascii="Arial" w:hAnsi="Arial" w:cs="Arial"/>
          <w:sz w:val="22"/>
          <w:szCs w:val="22"/>
          <w:lang w:val="es-ES"/>
        </w:rPr>
      </w:pPr>
    </w:p>
    <w:p w14:paraId="012033BC" w14:textId="3AC46CC9" w:rsidR="0026004D" w:rsidRPr="005A60A9" w:rsidRDefault="0026004D" w:rsidP="00DB62AE">
      <w:pPr>
        <w:pStyle w:val="ListParagraph"/>
        <w:numPr>
          <w:ilvl w:val="0"/>
          <w:numId w:val="32"/>
        </w:numPr>
        <w:spacing w:after="160" w:line="259" w:lineRule="auto"/>
        <w:jc w:val="both"/>
        <w:rPr>
          <w:rFonts w:ascii="Arial" w:hAnsi="Arial" w:cs="Arial"/>
          <w:sz w:val="22"/>
          <w:szCs w:val="22"/>
          <w:lang w:val="es-ES"/>
        </w:rPr>
      </w:pPr>
      <w:r w:rsidRPr="005A60A9">
        <w:rPr>
          <w:rFonts w:ascii="Arial" w:hAnsi="Arial" w:cs="Arial"/>
          <w:sz w:val="22"/>
          <w:szCs w:val="22"/>
          <w:lang w:val="es-ES"/>
        </w:rPr>
        <w:t xml:space="preserve">Registros administrativos </w:t>
      </w:r>
      <w:r w:rsidR="00DB62AE" w:rsidRPr="005A60A9">
        <w:rPr>
          <w:rFonts w:ascii="Arial" w:hAnsi="Arial" w:cs="Arial"/>
          <w:sz w:val="22"/>
          <w:szCs w:val="22"/>
          <w:lang w:val="es-ES"/>
        </w:rPr>
        <w:t>de</w:t>
      </w:r>
      <w:r w:rsidR="00DB62AE">
        <w:rPr>
          <w:rFonts w:ascii="Arial" w:hAnsi="Arial" w:cs="Arial"/>
          <w:sz w:val="22"/>
          <w:szCs w:val="22"/>
          <w:lang w:val="es-ES"/>
        </w:rPr>
        <w:t>l Nuevo Régimen Único Simplificado (SUNAT) que incluye el valor de las compras y las ventas mensuales de los negocios inscritos en este régimen, así como las declaraciones mensuales (formulario PDT – 621) y las declaraciones anuales juramentadas (formulario PDF – 706) realizadas por empresas inscritas en el Régimen Especial de Renta, el régimen MYPE tributario, y el régimen general. Estas declaraciones incluyen información relativa al valor de los activos de las empresas, el volumen de ventas declaradas, pago de impuestos de renta corporativa, impuesto general de ventas (IGV), gastos y costos, entre otros.</w:t>
      </w:r>
    </w:p>
    <w:p w14:paraId="47DD34BB" w14:textId="77777777" w:rsidR="00F24A9D" w:rsidRDefault="00F24A9D" w:rsidP="002051CB">
      <w:pPr>
        <w:pStyle w:val="Paragraph"/>
        <w:numPr>
          <w:ilvl w:val="0"/>
          <w:numId w:val="0"/>
        </w:numPr>
        <w:suppressAutoHyphens/>
        <w:autoSpaceDN w:val="0"/>
        <w:spacing w:before="0" w:after="0"/>
        <w:ind w:left="720"/>
        <w:textAlignment w:val="baseline"/>
        <w:rPr>
          <w:rFonts w:ascii="Arial" w:hAnsi="Arial" w:cs="Arial"/>
          <w:sz w:val="22"/>
          <w:szCs w:val="22"/>
          <w:u w:val="single"/>
          <w:lang w:val="es-ES_tradnl"/>
        </w:rPr>
      </w:pPr>
    </w:p>
    <w:p w14:paraId="3187D002" w14:textId="2140A3EB" w:rsidR="002051CB" w:rsidRPr="00515099" w:rsidRDefault="002051CB" w:rsidP="002051CB">
      <w:pPr>
        <w:pStyle w:val="Paragraph"/>
        <w:numPr>
          <w:ilvl w:val="0"/>
          <w:numId w:val="0"/>
        </w:numPr>
        <w:suppressAutoHyphens/>
        <w:autoSpaceDN w:val="0"/>
        <w:spacing w:before="0" w:after="0"/>
        <w:ind w:left="720"/>
        <w:textAlignment w:val="baseline"/>
        <w:rPr>
          <w:rFonts w:ascii="Arial" w:hAnsi="Arial" w:cs="Arial"/>
          <w:sz w:val="22"/>
          <w:szCs w:val="22"/>
          <w:u w:val="single"/>
          <w:lang w:val="es-ES_tradnl"/>
        </w:rPr>
      </w:pPr>
      <w:r>
        <w:rPr>
          <w:rFonts w:ascii="Arial" w:hAnsi="Arial" w:cs="Arial"/>
          <w:sz w:val="22"/>
          <w:szCs w:val="22"/>
          <w:u w:val="single"/>
          <w:lang w:val="es-ES_tradnl"/>
        </w:rPr>
        <w:t>Requisitos de muestra para detectar efectos</w:t>
      </w:r>
    </w:p>
    <w:p w14:paraId="5E613B9E" w14:textId="45C471D2" w:rsidR="00A503CB" w:rsidRPr="00100E6A" w:rsidRDefault="00A503CB" w:rsidP="00A503CB">
      <w:pPr>
        <w:pStyle w:val="Paragraph"/>
        <w:rPr>
          <w:rFonts w:ascii="Arial" w:hAnsi="Arial" w:cs="Arial"/>
          <w:sz w:val="22"/>
          <w:szCs w:val="22"/>
        </w:rPr>
      </w:pPr>
      <w:r w:rsidRPr="00100E6A">
        <w:rPr>
          <w:rFonts w:ascii="Arial" w:hAnsi="Arial" w:cs="Arial"/>
          <w:sz w:val="22"/>
          <w:szCs w:val="22"/>
        </w:rPr>
        <w:t xml:space="preserve">Para asegurar que el tamaño de la muestra sea suficiente para medir los </w:t>
      </w:r>
      <w:r>
        <w:rPr>
          <w:rFonts w:ascii="Arial" w:hAnsi="Arial" w:cs="Arial"/>
          <w:sz w:val="22"/>
          <w:szCs w:val="22"/>
        </w:rPr>
        <w:t>resultados</w:t>
      </w:r>
      <w:r w:rsidRPr="00100E6A">
        <w:rPr>
          <w:rFonts w:ascii="Arial" w:hAnsi="Arial" w:cs="Arial"/>
          <w:sz w:val="22"/>
          <w:szCs w:val="22"/>
        </w:rPr>
        <w:t xml:space="preserve"> esperados se ha realizado un análisis de poder estadístico para los indicadores de resultado</w:t>
      </w:r>
      <w:r>
        <w:rPr>
          <w:rFonts w:ascii="Arial" w:hAnsi="Arial" w:cs="Arial"/>
          <w:sz w:val="22"/>
          <w:szCs w:val="22"/>
        </w:rPr>
        <w:t xml:space="preserve"> sujetos a evaluación con </w:t>
      </w:r>
      <w:r w:rsidR="00F86087">
        <w:rPr>
          <w:rFonts w:ascii="Arial" w:hAnsi="Arial" w:cs="Arial"/>
          <w:sz w:val="22"/>
          <w:szCs w:val="22"/>
        </w:rPr>
        <w:t>identificación causal no experimental</w:t>
      </w:r>
      <w:r w:rsidRPr="00100E6A">
        <w:rPr>
          <w:rFonts w:ascii="Arial" w:hAnsi="Arial" w:cs="Arial"/>
          <w:sz w:val="22"/>
          <w:szCs w:val="22"/>
        </w:rPr>
        <w:t xml:space="preserve">. Se empleó información proveniente </w:t>
      </w:r>
      <w:r w:rsidR="00F86087">
        <w:rPr>
          <w:rFonts w:ascii="Arial" w:hAnsi="Arial" w:cs="Arial"/>
          <w:sz w:val="22"/>
          <w:szCs w:val="22"/>
        </w:rPr>
        <w:t>de la ENE 2015</w:t>
      </w:r>
      <w:r w:rsidRPr="00100E6A">
        <w:rPr>
          <w:rFonts w:ascii="Arial" w:hAnsi="Arial" w:cs="Arial"/>
          <w:sz w:val="22"/>
          <w:szCs w:val="22"/>
        </w:rPr>
        <w:t xml:space="preserve">. Para este ejercicio se ha definido un escenario conservador sobre la base de los siguientes parámetros: </w:t>
      </w:r>
    </w:p>
    <w:p w14:paraId="533905D2" w14:textId="77777777" w:rsidR="00A503CB" w:rsidRPr="00515099" w:rsidRDefault="00A503CB" w:rsidP="00A503CB">
      <w:pPr>
        <w:pStyle w:val="subpar"/>
        <w:numPr>
          <w:ilvl w:val="2"/>
          <w:numId w:val="5"/>
        </w:numPr>
        <w:tabs>
          <w:tab w:val="clear" w:pos="2304"/>
          <w:tab w:val="left" w:pos="540"/>
        </w:tabs>
        <w:suppressAutoHyphens/>
        <w:autoSpaceDN w:val="0"/>
        <w:spacing w:before="0" w:after="0"/>
        <w:ind w:left="1260"/>
        <w:textAlignment w:val="baseline"/>
        <w:rPr>
          <w:rFonts w:ascii="Arial" w:hAnsi="Arial" w:cs="Arial"/>
          <w:sz w:val="22"/>
          <w:szCs w:val="22"/>
          <w:lang w:val="es-ES"/>
        </w:rPr>
      </w:pPr>
      <w:r w:rsidRPr="00515099">
        <w:rPr>
          <w:rFonts w:ascii="Arial" w:hAnsi="Arial" w:cs="Arial"/>
          <w:sz w:val="22"/>
          <w:szCs w:val="22"/>
          <w:lang w:val="es-ES"/>
        </w:rPr>
        <w:t>Poder: 0.8</w:t>
      </w:r>
    </w:p>
    <w:p w14:paraId="4DA138EF" w14:textId="77777777" w:rsidR="00A503CB" w:rsidRPr="00515099" w:rsidRDefault="00A503CB" w:rsidP="00A503CB">
      <w:pPr>
        <w:pStyle w:val="subpar"/>
        <w:numPr>
          <w:ilvl w:val="2"/>
          <w:numId w:val="5"/>
        </w:numPr>
        <w:tabs>
          <w:tab w:val="clear" w:pos="2304"/>
          <w:tab w:val="left" w:pos="540"/>
        </w:tabs>
        <w:suppressAutoHyphens/>
        <w:autoSpaceDN w:val="0"/>
        <w:spacing w:before="0" w:after="0"/>
        <w:ind w:left="1260"/>
        <w:textAlignment w:val="baseline"/>
        <w:rPr>
          <w:rFonts w:ascii="Arial" w:hAnsi="Arial" w:cs="Arial"/>
          <w:sz w:val="22"/>
          <w:szCs w:val="22"/>
          <w:lang w:val="es-ES"/>
        </w:rPr>
      </w:pPr>
      <w:r w:rsidRPr="00515099">
        <w:rPr>
          <w:rFonts w:ascii="Arial" w:hAnsi="Arial" w:cs="Arial"/>
          <w:sz w:val="22"/>
          <w:szCs w:val="22"/>
          <w:lang w:val="es-ES"/>
        </w:rPr>
        <w:t>Significancia: 0.05</w:t>
      </w:r>
    </w:p>
    <w:p w14:paraId="74F1DCF7" w14:textId="2EC466D9" w:rsidR="00A503CB" w:rsidRPr="00515099" w:rsidRDefault="00A503CB" w:rsidP="00A503CB">
      <w:pPr>
        <w:pStyle w:val="subpar"/>
        <w:numPr>
          <w:ilvl w:val="2"/>
          <w:numId w:val="5"/>
        </w:numPr>
        <w:tabs>
          <w:tab w:val="clear" w:pos="2304"/>
          <w:tab w:val="left" w:pos="540"/>
        </w:tabs>
        <w:suppressAutoHyphens/>
        <w:autoSpaceDN w:val="0"/>
        <w:spacing w:before="0" w:after="0"/>
        <w:ind w:left="1260"/>
        <w:textAlignment w:val="baseline"/>
        <w:rPr>
          <w:rFonts w:ascii="Arial" w:hAnsi="Arial" w:cs="Arial"/>
          <w:sz w:val="22"/>
          <w:szCs w:val="22"/>
          <w:lang w:val="es-ES"/>
        </w:rPr>
      </w:pPr>
      <w:r w:rsidRPr="00515099">
        <w:rPr>
          <w:rFonts w:ascii="Arial" w:hAnsi="Arial" w:cs="Arial"/>
          <w:sz w:val="22"/>
          <w:szCs w:val="22"/>
          <w:lang w:val="es-ES"/>
        </w:rPr>
        <w:t xml:space="preserve">Ratio grupo tratamiento/grupo control: </w:t>
      </w:r>
      <w:r w:rsidR="00F86087">
        <w:rPr>
          <w:rFonts w:ascii="Arial" w:hAnsi="Arial" w:cs="Arial"/>
          <w:sz w:val="22"/>
          <w:szCs w:val="22"/>
          <w:lang w:val="es-ES"/>
        </w:rPr>
        <w:t>1</w:t>
      </w:r>
    </w:p>
    <w:p w14:paraId="6F1F4AD1" w14:textId="1D75DB29" w:rsidR="00A504EF" w:rsidRDefault="00F86087" w:rsidP="00392C36">
      <w:pPr>
        <w:pStyle w:val="Paragraph"/>
        <w:numPr>
          <w:ilvl w:val="0"/>
          <w:numId w:val="0"/>
        </w:numPr>
        <w:ind w:left="720"/>
        <w:rPr>
          <w:rFonts w:ascii="Arial" w:hAnsi="Arial" w:cs="Arial"/>
          <w:sz w:val="22"/>
          <w:szCs w:val="22"/>
        </w:rPr>
      </w:pPr>
      <w:r>
        <w:rPr>
          <w:rFonts w:ascii="Arial" w:hAnsi="Arial" w:cs="Arial"/>
          <w:sz w:val="22"/>
          <w:szCs w:val="22"/>
        </w:rPr>
        <w:t>El Cuadro</w:t>
      </w:r>
      <w:r w:rsidR="00A503CB" w:rsidRPr="005705AC">
        <w:rPr>
          <w:rFonts w:ascii="Arial" w:hAnsi="Arial" w:cs="Arial"/>
          <w:sz w:val="22"/>
          <w:szCs w:val="22"/>
        </w:rPr>
        <w:t xml:space="preserve"> 3 muestra los resultados de la simulación para diversos tamaños de efecto de</w:t>
      </w:r>
      <w:r w:rsidR="005270C7">
        <w:rPr>
          <w:rFonts w:ascii="Arial" w:hAnsi="Arial" w:cs="Arial"/>
          <w:sz w:val="22"/>
          <w:szCs w:val="22"/>
        </w:rPr>
        <w:t xml:space="preserve"> </w:t>
      </w:r>
      <w:r w:rsidR="00A503CB" w:rsidRPr="005705AC">
        <w:rPr>
          <w:rFonts w:ascii="Arial" w:hAnsi="Arial" w:cs="Arial"/>
          <w:sz w:val="22"/>
          <w:szCs w:val="22"/>
        </w:rPr>
        <w:t>l</w:t>
      </w:r>
      <w:r w:rsidR="005270C7">
        <w:rPr>
          <w:rFonts w:ascii="Arial" w:hAnsi="Arial" w:cs="Arial"/>
          <w:sz w:val="22"/>
          <w:szCs w:val="22"/>
        </w:rPr>
        <w:t>os</w:t>
      </w:r>
      <w:r w:rsidR="00A503CB" w:rsidRPr="005705AC">
        <w:rPr>
          <w:rFonts w:ascii="Arial" w:hAnsi="Arial" w:cs="Arial"/>
          <w:sz w:val="22"/>
          <w:szCs w:val="22"/>
        </w:rPr>
        <w:t xml:space="preserve"> programa</w:t>
      </w:r>
      <w:r w:rsidR="00A504EF">
        <w:rPr>
          <w:rFonts w:ascii="Arial" w:hAnsi="Arial" w:cs="Arial"/>
          <w:sz w:val="22"/>
          <w:szCs w:val="22"/>
        </w:rPr>
        <w:t>s de extensión empresarial y compras públicas</w:t>
      </w:r>
      <w:r w:rsidR="00A503CB" w:rsidRPr="005705AC">
        <w:rPr>
          <w:rFonts w:ascii="Arial" w:hAnsi="Arial" w:cs="Arial"/>
          <w:sz w:val="22"/>
          <w:szCs w:val="22"/>
        </w:rPr>
        <w:t xml:space="preserve">. </w:t>
      </w:r>
      <w:r w:rsidR="000C212F">
        <w:rPr>
          <w:rFonts w:ascii="Arial" w:hAnsi="Arial" w:cs="Arial"/>
          <w:sz w:val="22"/>
          <w:szCs w:val="22"/>
        </w:rPr>
        <w:t xml:space="preserve">Como se explicó en el Cuadro 2, </w:t>
      </w:r>
      <w:proofErr w:type="gramStart"/>
      <w:r w:rsidR="000C212F">
        <w:rPr>
          <w:rFonts w:ascii="Arial" w:hAnsi="Arial" w:cs="Arial"/>
          <w:sz w:val="22"/>
          <w:szCs w:val="22"/>
        </w:rPr>
        <w:t>los delta</w:t>
      </w:r>
      <w:proofErr w:type="gramEnd"/>
      <w:r w:rsidR="000C212F">
        <w:rPr>
          <w:rFonts w:ascii="Arial" w:hAnsi="Arial" w:cs="Arial"/>
          <w:sz w:val="22"/>
          <w:szCs w:val="22"/>
        </w:rPr>
        <w:t xml:space="preserve"> considerados </w:t>
      </w:r>
      <w:r w:rsidR="00EB5311">
        <w:rPr>
          <w:rFonts w:ascii="Arial" w:hAnsi="Arial" w:cs="Arial"/>
          <w:sz w:val="22"/>
          <w:szCs w:val="22"/>
        </w:rPr>
        <w:t xml:space="preserve">en las simulaciones del Cuadro 3 son conservadores con respecto a lo encontrado por la literatura para programas semejantes (Bloom et al 2013 para el caso de extensionismo empresarial, </w:t>
      </w:r>
      <w:r w:rsidR="00EB5311" w:rsidRPr="00EB5311">
        <w:rPr>
          <w:rFonts w:ascii="Arial" w:hAnsi="Arial" w:cs="Arial"/>
          <w:sz w:val="22"/>
          <w:szCs w:val="22"/>
        </w:rPr>
        <w:t xml:space="preserve">Ferraz, Finan y </w:t>
      </w:r>
      <w:proofErr w:type="spellStart"/>
      <w:r w:rsidR="00EB5311" w:rsidRPr="00EB5311">
        <w:rPr>
          <w:rFonts w:ascii="Arial" w:hAnsi="Arial" w:cs="Arial"/>
          <w:sz w:val="22"/>
          <w:szCs w:val="22"/>
        </w:rPr>
        <w:t>Szerman</w:t>
      </w:r>
      <w:proofErr w:type="spellEnd"/>
      <w:r w:rsidR="00EB5311" w:rsidRPr="00EB5311">
        <w:rPr>
          <w:rFonts w:ascii="Arial" w:hAnsi="Arial" w:cs="Arial"/>
          <w:sz w:val="22"/>
          <w:szCs w:val="22"/>
        </w:rPr>
        <w:t xml:space="preserve"> 2016 para el caso de compras públicas</w:t>
      </w:r>
      <w:r w:rsidR="00EB5311">
        <w:rPr>
          <w:rFonts w:ascii="Arial" w:hAnsi="Arial" w:cs="Arial"/>
          <w:sz w:val="22"/>
          <w:szCs w:val="22"/>
        </w:rPr>
        <w:t>). Por otra parte,</w:t>
      </w:r>
      <w:r w:rsidR="00265AB2">
        <w:rPr>
          <w:rFonts w:ascii="Arial" w:hAnsi="Arial" w:cs="Arial"/>
          <w:sz w:val="22"/>
          <w:szCs w:val="22"/>
        </w:rPr>
        <w:t xml:space="preserve"> como proxy del flujo de atención esperado en el CDE Tu Empresa de Lima, se puede utilizar </w:t>
      </w:r>
      <w:r w:rsidR="004B4DDA">
        <w:rPr>
          <w:rFonts w:ascii="Arial" w:hAnsi="Arial" w:cs="Arial"/>
          <w:sz w:val="22"/>
          <w:szCs w:val="22"/>
        </w:rPr>
        <w:t xml:space="preserve">al flujo de atención que tuvo el CDE COFIDE de Lima. En 2017, dicho CDE atendió a 5322 usuarios con servicios de formación empresarial (COFIDE 2017). </w:t>
      </w:r>
      <w:r w:rsidR="00EB5311">
        <w:rPr>
          <w:rFonts w:ascii="Arial" w:hAnsi="Arial" w:cs="Arial"/>
          <w:sz w:val="22"/>
          <w:szCs w:val="22"/>
        </w:rPr>
        <w:t xml:space="preserve"> </w:t>
      </w:r>
      <w:r w:rsidR="00082028">
        <w:rPr>
          <w:rFonts w:ascii="Arial" w:hAnsi="Arial" w:cs="Arial"/>
          <w:sz w:val="22"/>
          <w:szCs w:val="22"/>
        </w:rPr>
        <w:t xml:space="preserve">Por su parte, el Programa de Compras a </w:t>
      </w:r>
      <w:proofErr w:type="spellStart"/>
      <w:r w:rsidR="00082028">
        <w:rPr>
          <w:rFonts w:ascii="Arial" w:hAnsi="Arial" w:cs="Arial"/>
          <w:sz w:val="22"/>
          <w:szCs w:val="22"/>
        </w:rPr>
        <w:t>MYPE</w:t>
      </w:r>
      <w:r w:rsidR="003B0F3C">
        <w:rPr>
          <w:rFonts w:ascii="Arial" w:hAnsi="Arial" w:cs="Arial"/>
          <w:sz w:val="22"/>
          <w:szCs w:val="22"/>
        </w:rPr>
        <w:t>r</w:t>
      </w:r>
      <w:r w:rsidR="00082028">
        <w:rPr>
          <w:rFonts w:ascii="Arial" w:hAnsi="Arial" w:cs="Arial"/>
          <w:sz w:val="22"/>
          <w:szCs w:val="22"/>
        </w:rPr>
        <w:t>ú</w:t>
      </w:r>
      <w:proofErr w:type="spellEnd"/>
      <w:r w:rsidR="00082028">
        <w:rPr>
          <w:rFonts w:ascii="Arial" w:hAnsi="Arial" w:cs="Arial"/>
          <w:sz w:val="22"/>
          <w:szCs w:val="22"/>
        </w:rPr>
        <w:t xml:space="preserve"> ha venido atendiendo en promedio a más de mil MYPE por año</w:t>
      </w:r>
      <w:r w:rsidR="00495E83">
        <w:rPr>
          <w:rFonts w:ascii="Arial" w:hAnsi="Arial" w:cs="Arial"/>
          <w:sz w:val="22"/>
          <w:szCs w:val="22"/>
        </w:rPr>
        <w:t xml:space="preserve"> y con los cambios recientes de la ley, que </w:t>
      </w:r>
      <w:r w:rsidR="00CB4E75">
        <w:rPr>
          <w:rFonts w:ascii="Arial" w:hAnsi="Arial" w:cs="Arial"/>
          <w:sz w:val="22"/>
          <w:szCs w:val="22"/>
        </w:rPr>
        <w:t>amplía</w:t>
      </w:r>
      <w:r w:rsidR="00495E83">
        <w:rPr>
          <w:rFonts w:ascii="Arial" w:hAnsi="Arial" w:cs="Arial"/>
          <w:sz w:val="22"/>
          <w:szCs w:val="22"/>
        </w:rPr>
        <w:t xml:space="preserve"> el número de entidades públicas compradoras, se espera que este número se incremente. Así, los tamaños de muestra requeridos para detectar efectos dentro del rango esperado son posibles de alcanzar sobre la muestra de controles de la ENE y la población beneficiaria de los programas.</w:t>
      </w:r>
    </w:p>
    <w:p w14:paraId="18D91DCC" w14:textId="77777777" w:rsidR="00A504EF" w:rsidRDefault="00A504EF" w:rsidP="00392C36">
      <w:pPr>
        <w:pStyle w:val="Paragraph"/>
        <w:numPr>
          <w:ilvl w:val="0"/>
          <w:numId w:val="0"/>
        </w:numPr>
        <w:ind w:left="720"/>
        <w:rPr>
          <w:rFonts w:ascii="Arial" w:hAnsi="Arial" w:cs="Arial"/>
          <w:sz w:val="22"/>
          <w:szCs w:val="22"/>
        </w:rPr>
      </w:pPr>
    </w:p>
    <w:p w14:paraId="0A81EBEF" w14:textId="4D6582F2" w:rsidR="00110137" w:rsidRPr="00C478DF" w:rsidRDefault="00A504EF" w:rsidP="00A504EF">
      <w:pPr>
        <w:pStyle w:val="Paragraph"/>
        <w:numPr>
          <w:ilvl w:val="0"/>
          <w:numId w:val="0"/>
        </w:numPr>
        <w:ind w:left="720"/>
        <w:jc w:val="center"/>
        <w:rPr>
          <w:rFonts w:ascii="Arial" w:hAnsi="Arial" w:cs="Arial"/>
          <w:b/>
          <w:sz w:val="22"/>
          <w:szCs w:val="22"/>
        </w:rPr>
      </w:pPr>
      <w:r w:rsidRPr="00C478DF">
        <w:rPr>
          <w:rFonts w:ascii="Arial" w:hAnsi="Arial" w:cs="Arial"/>
          <w:b/>
          <w:sz w:val="22"/>
          <w:szCs w:val="22"/>
        </w:rPr>
        <w:t xml:space="preserve">Cuadro </w:t>
      </w:r>
      <w:r w:rsidR="00BD3AD7">
        <w:rPr>
          <w:rFonts w:ascii="Arial" w:hAnsi="Arial" w:cs="Arial"/>
          <w:b/>
          <w:sz w:val="22"/>
          <w:szCs w:val="22"/>
        </w:rPr>
        <w:t>5</w:t>
      </w:r>
      <w:r w:rsidRPr="00C478DF">
        <w:rPr>
          <w:rFonts w:ascii="Arial" w:hAnsi="Arial" w:cs="Arial"/>
          <w:b/>
          <w:sz w:val="22"/>
          <w:szCs w:val="22"/>
        </w:rPr>
        <w:t xml:space="preserve">. </w:t>
      </w:r>
      <w:r w:rsidR="00110137" w:rsidRPr="00C478DF">
        <w:rPr>
          <w:rFonts w:ascii="Arial" w:hAnsi="Arial" w:cs="Arial"/>
          <w:b/>
          <w:sz w:val="22"/>
          <w:szCs w:val="22"/>
        </w:rPr>
        <w:t>Simulación de muestras necesarias para detectar efectos de magnitud “delta”</w:t>
      </w:r>
    </w:p>
    <w:p w14:paraId="222E377A" w14:textId="036A5DAD" w:rsidR="00110137" w:rsidRDefault="00110137" w:rsidP="00C860DA">
      <w:pPr>
        <w:pStyle w:val="Paragraph"/>
        <w:numPr>
          <w:ilvl w:val="0"/>
          <w:numId w:val="0"/>
        </w:numPr>
        <w:ind w:left="720"/>
        <w:jc w:val="center"/>
        <w:rPr>
          <w:rFonts w:ascii="Arial" w:hAnsi="Arial" w:cs="Arial"/>
          <w:sz w:val="22"/>
          <w:szCs w:val="22"/>
        </w:rPr>
      </w:pPr>
      <w:r>
        <w:rPr>
          <w:rFonts w:ascii="Arial" w:hAnsi="Arial" w:cs="Arial"/>
          <w:sz w:val="22"/>
          <w:szCs w:val="22"/>
        </w:rPr>
        <w:t xml:space="preserve">Resultado esperado 2. % de </w:t>
      </w:r>
      <w:proofErr w:type="spellStart"/>
      <w:r>
        <w:rPr>
          <w:rFonts w:ascii="Arial" w:hAnsi="Arial" w:cs="Arial"/>
          <w:sz w:val="22"/>
          <w:szCs w:val="22"/>
        </w:rPr>
        <w:t>MYPE</w:t>
      </w:r>
      <w:r w:rsidR="004920F0">
        <w:rPr>
          <w:rFonts w:ascii="Arial" w:hAnsi="Arial" w:cs="Arial"/>
          <w:sz w:val="22"/>
          <w:szCs w:val="22"/>
        </w:rPr>
        <w:t>s</w:t>
      </w:r>
      <w:proofErr w:type="spellEnd"/>
      <w:r>
        <w:rPr>
          <w:rFonts w:ascii="Arial" w:hAnsi="Arial" w:cs="Arial"/>
          <w:sz w:val="22"/>
          <w:szCs w:val="22"/>
        </w:rPr>
        <w:t xml:space="preserve"> que tienen planes de negocio</w:t>
      </w:r>
    </w:p>
    <w:p w14:paraId="2A39CC7F" w14:textId="3818B5A3" w:rsidR="00816F6F" w:rsidRDefault="00A74C04" w:rsidP="00427857">
      <w:pPr>
        <w:pStyle w:val="Paragraph"/>
        <w:numPr>
          <w:ilvl w:val="0"/>
          <w:numId w:val="0"/>
        </w:numPr>
        <w:rPr>
          <w:rFonts w:ascii="Arial" w:hAnsi="Arial" w:cs="Arial"/>
          <w:sz w:val="22"/>
          <w:szCs w:val="22"/>
        </w:rPr>
      </w:pPr>
      <w:r w:rsidRPr="00A74C04">
        <w:rPr>
          <w:rFonts w:ascii="Arial" w:hAnsi="Arial" w:cs="Arial"/>
          <w:noProof/>
          <w:sz w:val="22"/>
          <w:szCs w:val="22"/>
        </w:rPr>
        <w:drawing>
          <wp:inline distT="0" distB="0" distL="0" distR="0" wp14:anchorId="028679E9" wp14:editId="65B2BFA8">
            <wp:extent cx="8373353" cy="120967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382769" cy="1211035"/>
                    </a:xfrm>
                    <a:prstGeom prst="rect">
                      <a:avLst/>
                    </a:prstGeom>
                    <a:noFill/>
                    <a:ln>
                      <a:noFill/>
                    </a:ln>
                  </pic:spPr>
                </pic:pic>
              </a:graphicData>
            </a:graphic>
          </wp:inline>
        </w:drawing>
      </w:r>
    </w:p>
    <w:p w14:paraId="07052B97" w14:textId="4A5D4997" w:rsidR="002630AA" w:rsidRDefault="004920F0" w:rsidP="004920F0">
      <w:pPr>
        <w:pStyle w:val="Paragraph"/>
        <w:numPr>
          <w:ilvl w:val="0"/>
          <w:numId w:val="0"/>
        </w:numPr>
        <w:ind w:left="720"/>
        <w:jc w:val="center"/>
        <w:rPr>
          <w:rFonts w:ascii="Arial" w:hAnsi="Arial" w:cs="Arial"/>
          <w:sz w:val="22"/>
          <w:szCs w:val="22"/>
        </w:rPr>
      </w:pPr>
      <w:r>
        <w:rPr>
          <w:rFonts w:ascii="Arial" w:hAnsi="Arial" w:cs="Arial"/>
          <w:sz w:val="22"/>
          <w:szCs w:val="22"/>
        </w:rPr>
        <w:t xml:space="preserve">Resultado esperado 3. Ventas anuales promedio en </w:t>
      </w:r>
      <w:r w:rsidR="00C5594A">
        <w:rPr>
          <w:rFonts w:ascii="Arial" w:hAnsi="Arial" w:cs="Arial"/>
          <w:sz w:val="22"/>
          <w:szCs w:val="22"/>
        </w:rPr>
        <w:t xml:space="preserve">miles de </w:t>
      </w:r>
      <w:r>
        <w:rPr>
          <w:rFonts w:ascii="Arial" w:hAnsi="Arial" w:cs="Arial"/>
          <w:sz w:val="22"/>
          <w:szCs w:val="22"/>
        </w:rPr>
        <w:t>US</w:t>
      </w:r>
      <w:r w:rsidR="00CB4E75">
        <w:rPr>
          <w:rFonts w:ascii="Arial" w:hAnsi="Arial" w:cs="Arial"/>
          <w:sz w:val="22"/>
          <w:szCs w:val="22"/>
        </w:rPr>
        <w:t>$</w:t>
      </w:r>
      <w:r>
        <w:rPr>
          <w:rFonts w:ascii="Arial" w:hAnsi="Arial" w:cs="Arial"/>
          <w:sz w:val="22"/>
          <w:szCs w:val="22"/>
        </w:rPr>
        <w:t xml:space="preserve"> de </w:t>
      </w:r>
      <w:proofErr w:type="spellStart"/>
      <w:r>
        <w:rPr>
          <w:rFonts w:ascii="Arial" w:hAnsi="Arial" w:cs="Arial"/>
          <w:sz w:val="22"/>
          <w:szCs w:val="22"/>
        </w:rPr>
        <w:t>MYPEs</w:t>
      </w:r>
      <w:proofErr w:type="spellEnd"/>
      <w:r>
        <w:rPr>
          <w:rFonts w:ascii="Arial" w:hAnsi="Arial" w:cs="Arial"/>
          <w:sz w:val="22"/>
          <w:szCs w:val="22"/>
        </w:rPr>
        <w:t xml:space="preserve"> que participan en programa de compras públicas</w:t>
      </w:r>
    </w:p>
    <w:p w14:paraId="1C2C8CF6" w14:textId="772B9192" w:rsidR="002630AA" w:rsidRDefault="002630AA" w:rsidP="00427857">
      <w:pPr>
        <w:pStyle w:val="Paragraph"/>
        <w:numPr>
          <w:ilvl w:val="0"/>
          <w:numId w:val="0"/>
        </w:numPr>
        <w:rPr>
          <w:rFonts w:ascii="Arial" w:hAnsi="Arial" w:cs="Arial"/>
          <w:sz w:val="22"/>
          <w:szCs w:val="22"/>
        </w:rPr>
      </w:pPr>
      <w:r w:rsidRPr="002630AA">
        <w:rPr>
          <w:rFonts w:ascii="Arial" w:hAnsi="Arial" w:cs="Arial"/>
          <w:noProof/>
          <w:sz w:val="22"/>
          <w:szCs w:val="22"/>
        </w:rPr>
        <w:drawing>
          <wp:inline distT="0" distB="0" distL="0" distR="0" wp14:anchorId="6235A8D5" wp14:editId="3F3DA1E7">
            <wp:extent cx="5486400" cy="108321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86400" cy="1083212"/>
                    </a:xfrm>
                    <a:prstGeom prst="rect">
                      <a:avLst/>
                    </a:prstGeom>
                    <a:noFill/>
                    <a:ln>
                      <a:noFill/>
                    </a:ln>
                  </pic:spPr>
                </pic:pic>
              </a:graphicData>
            </a:graphic>
          </wp:inline>
        </w:drawing>
      </w:r>
    </w:p>
    <w:p w14:paraId="32FEF6B1" w14:textId="77777777" w:rsidR="006716E5" w:rsidRPr="00EF6F1F" w:rsidRDefault="006716E5" w:rsidP="00392C36">
      <w:pPr>
        <w:pStyle w:val="Paragraph"/>
        <w:numPr>
          <w:ilvl w:val="0"/>
          <w:numId w:val="0"/>
        </w:numPr>
        <w:ind w:left="720"/>
        <w:rPr>
          <w:rFonts w:ascii="Arial" w:hAnsi="Arial" w:cs="Arial"/>
          <w:sz w:val="22"/>
          <w:szCs w:val="22"/>
        </w:rPr>
      </w:pPr>
    </w:p>
    <w:p w14:paraId="37A4562A" w14:textId="6611114B" w:rsidR="005C3BC2" w:rsidRPr="00F42A95" w:rsidRDefault="005C157A" w:rsidP="005C3BC2">
      <w:pPr>
        <w:pStyle w:val="FirstHeading"/>
        <w:rPr>
          <w:rFonts w:ascii="Arial" w:hAnsi="Arial" w:cs="Arial"/>
          <w:sz w:val="22"/>
          <w:szCs w:val="22"/>
          <w:lang w:val="es-ES"/>
        </w:rPr>
      </w:pPr>
      <w:bookmarkStart w:id="16" w:name="_Toc524431189"/>
      <w:r>
        <w:rPr>
          <w:rFonts w:ascii="Arial" w:hAnsi="Arial" w:cs="Arial"/>
          <w:sz w:val="22"/>
          <w:szCs w:val="22"/>
          <w:lang w:val="es-ES"/>
        </w:rPr>
        <w:t>E</w:t>
      </w:r>
      <w:r w:rsidR="00E73957">
        <w:rPr>
          <w:rFonts w:ascii="Arial" w:hAnsi="Arial" w:cs="Arial"/>
          <w:sz w:val="22"/>
          <w:szCs w:val="22"/>
          <w:lang w:val="es-ES"/>
        </w:rPr>
        <w:t>.</w:t>
      </w:r>
      <w:r w:rsidR="005C3BC2" w:rsidRPr="00F42A95">
        <w:rPr>
          <w:rFonts w:ascii="Arial" w:hAnsi="Arial" w:cs="Arial"/>
          <w:sz w:val="22"/>
          <w:szCs w:val="22"/>
          <w:lang w:val="es-ES"/>
        </w:rPr>
        <w:tab/>
        <w:t>Información de los resultados</w:t>
      </w:r>
      <w:bookmarkEnd w:id="16"/>
    </w:p>
    <w:p w14:paraId="368A5E74" w14:textId="1815B14E" w:rsidR="005C3BC2" w:rsidRPr="00100E6A" w:rsidRDefault="005C3BC2" w:rsidP="005C3BC2">
      <w:pPr>
        <w:pStyle w:val="Paragraph"/>
        <w:rPr>
          <w:rFonts w:ascii="Arial" w:hAnsi="Arial" w:cs="Arial"/>
          <w:sz w:val="22"/>
          <w:szCs w:val="22"/>
        </w:rPr>
      </w:pPr>
      <w:r w:rsidRPr="00100E6A">
        <w:rPr>
          <w:rFonts w:ascii="Arial" w:hAnsi="Arial" w:cs="Arial"/>
          <w:sz w:val="22"/>
          <w:szCs w:val="22"/>
        </w:rPr>
        <w:t>El reporte de los resultados obtenidos en la</w:t>
      </w:r>
      <w:r w:rsidR="0040222A">
        <w:rPr>
          <w:rFonts w:ascii="Arial" w:hAnsi="Arial" w:cs="Arial"/>
          <w:sz w:val="22"/>
          <w:szCs w:val="22"/>
        </w:rPr>
        <w:t>s</w:t>
      </w:r>
      <w:r w:rsidRPr="00100E6A">
        <w:rPr>
          <w:rFonts w:ascii="Arial" w:hAnsi="Arial" w:cs="Arial"/>
          <w:sz w:val="22"/>
          <w:szCs w:val="22"/>
        </w:rPr>
        <w:t xml:space="preserve"> </w:t>
      </w:r>
      <w:r w:rsidR="0040222A">
        <w:rPr>
          <w:rFonts w:ascii="Arial" w:hAnsi="Arial" w:cs="Arial"/>
          <w:sz w:val="22"/>
          <w:szCs w:val="22"/>
        </w:rPr>
        <w:t>evaluaciones de resultados reflexivas y causales</w:t>
      </w:r>
      <w:r w:rsidRPr="00100E6A">
        <w:rPr>
          <w:rFonts w:ascii="Arial" w:hAnsi="Arial" w:cs="Arial"/>
          <w:sz w:val="22"/>
          <w:szCs w:val="22"/>
        </w:rPr>
        <w:t xml:space="preserve"> </w:t>
      </w:r>
      <w:r w:rsidR="005F392B">
        <w:rPr>
          <w:rFonts w:ascii="Arial" w:hAnsi="Arial" w:cs="Arial"/>
          <w:sz w:val="22"/>
          <w:szCs w:val="22"/>
        </w:rPr>
        <w:t>se incluirá como parte del conjunto de evidencia para sustentar efectividad de la operación en el reporte de terminación de proyecto (PCR).</w:t>
      </w:r>
    </w:p>
    <w:p w14:paraId="75564FC5" w14:textId="0B6F7F87" w:rsidR="005C3BC2" w:rsidRDefault="005C3BC2" w:rsidP="005C3BC2">
      <w:pPr>
        <w:pStyle w:val="Paragraph"/>
        <w:rPr>
          <w:rFonts w:ascii="Arial" w:hAnsi="Arial" w:cs="Arial"/>
          <w:sz w:val="22"/>
          <w:szCs w:val="22"/>
        </w:rPr>
      </w:pPr>
      <w:r w:rsidRPr="00100E6A">
        <w:rPr>
          <w:rFonts w:ascii="Arial" w:hAnsi="Arial" w:cs="Arial"/>
          <w:sz w:val="22"/>
          <w:szCs w:val="22"/>
        </w:rPr>
        <w:t>La socialización de la evaluació</w:t>
      </w:r>
      <w:r>
        <w:rPr>
          <w:rFonts w:ascii="Arial" w:hAnsi="Arial" w:cs="Arial"/>
          <w:sz w:val="22"/>
          <w:szCs w:val="22"/>
        </w:rPr>
        <w:t xml:space="preserve">n de impacto estará a cargo de </w:t>
      </w:r>
      <w:r w:rsidRPr="00100E6A">
        <w:rPr>
          <w:rFonts w:ascii="Arial" w:hAnsi="Arial" w:cs="Arial"/>
          <w:sz w:val="22"/>
          <w:szCs w:val="22"/>
        </w:rPr>
        <w:t>la unidad ejecutora de proyecto y del Banco y servirá como una herramienta que demuestre la efectividad en el desarrollo de este tipo de proyectos y genere lecciones de aprendizaje para el diseño y la implementación de proyectos similares en Latinoamérica.</w:t>
      </w:r>
    </w:p>
    <w:p w14:paraId="4F7C0501" w14:textId="77777777" w:rsidR="00FA013F" w:rsidRPr="00100E6A" w:rsidRDefault="00FA013F" w:rsidP="00FA013F">
      <w:pPr>
        <w:pStyle w:val="Paragraph"/>
        <w:numPr>
          <w:ilvl w:val="0"/>
          <w:numId w:val="0"/>
        </w:numPr>
        <w:ind w:left="720"/>
        <w:rPr>
          <w:rFonts w:ascii="Arial" w:hAnsi="Arial" w:cs="Arial"/>
          <w:sz w:val="22"/>
          <w:szCs w:val="22"/>
        </w:rPr>
      </w:pPr>
    </w:p>
    <w:p w14:paraId="0B3F2B49" w14:textId="77919396" w:rsidR="005C3BC2" w:rsidRPr="00F42A95" w:rsidRDefault="005C157A" w:rsidP="005C3BC2">
      <w:pPr>
        <w:pStyle w:val="FirstHeading"/>
        <w:rPr>
          <w:rFonts w:ascii="Arial" w:hAnsi="Arial" w:cs="Arial"/>
          <w:sz w:val="22"/>
          <w:szCs w:val="22"/>
          <w:lang w:val="es-ES"/>
        </w:rPr>
      </w:pPr>
      <w:bookmarkStart w:id="17" w:name="_Toc524431190"/>
      <w:r>
        <w:rPr>
          <w:rFonts w:ascii="Arial" w:hAnsi="Arial" w:cs="Arial"/>
          <w:sz w:val="22"/>
          <w:szCs w:val="22"/>
          <w:lang w:val="es-ES"/>
        </w:rPr>
        <w:t>F</w:t>
      </w:r>
      <w:r w:rsidR="005C3BC2" w:rsidRPr="00F42A95">
        <w:rPr>
          <w:rFonts w:ascii="Arial" w:hAnsi="Arial" w:cs="Arial"/>
          <w:sz w:val="22"/>
          <w:szCs w:val="22"/>
          <w:lang w:val="es-ES"/>
        </w:rPr>
        <w:t>.</w:t>
      </w:r>
      <w:r w:rsidR="005C3BC2" w:rsidRPr="00F42A95">
        <w:rPr>
          <w:rFonts w:ascii="Arial" w:hAnsi="Arial" w:cs="Arial"/>
          <w:sz w:val="22"/>
          <w:szCs w:val="22"/>
          <w:lang w:val="es-ES"/>
        </w:rPr>
        <w:tab/>
        <w:t>Coordinación, plan de trabajo y presupuesto de la evaluación</w:t>
      </w:r>
      <w:bookmarkEnd w:id="17"/>
    </w:p>
    <w:p w14:paraId="116C4698" w14:textId="0122672E" w:rsidR="005C3BC2" w:rsidRPr="00A7026E" w:rsidRDefault="005C3BC2" w:rsidP="005C3BC2">
      <w:pPr>
        <w:pStyle w:val="Paragraph"/>
        <w:rPr>
          <w:rFonts w:ascii="Arial" w:hAnsi="Arial" w:cs="Arial"/>
          <w:sz w:val="22"/>
        </w:rPr>
      </w:pPr>
      <w:r w:rsidRPr="00A7026E">
        <w:rPr>
          <w:rFonts w:ascii="Arial" w:hAnsi="Arial" w:cs="Arial"/>
          <w:sz w:val="22"/>
          <w:szCs w:val="22"/>
        </w:rPr>
        <w:t xml:space="preserve">El Cuadro </w:t>
      </w:r>
      <w:r>
        <w:rPr>
          <w:rFonts w:ascii="Arial" w:hAnsi="Arial" w:cs="Arial"/>
          <w:sz w:val="22"/>
          <w:szCs w:val="22"/>
        </w:rPr>
        <w:t>5</w:t>
      </w:r>
      <w:r w:rsidRPr="00A7026E">
        <w:rPr>
          <w:rFonts w:ascii="Arial" w:hAnsi="Arial" w:cs="Arial"/>
          <w:sz w:val="22"/>
          <w:szCs w:val="22"/>
        </w:rPr>
        <w:t xml:space="preserve"> presenta el cronograma de trabajo, actividades</w:t>
      </w:r>
      <w:r w:rsidR="00622EAE">
        <w:rPr>
          <w:rFonts w:ascii="Arial" w:hAnsi="Arial" w:cs="Arial"/>
          <w:sz w:val="22"/>
          <w:szCs w:val="22"/>
        </w:rPr>
        <w:t>,</w:t>
      </w:r>
      <w:r w:rsidR="00D16218">
        <w:rPr>
          <w:rFonts w:ascii="Arial" w:hAnsi="Arial" w:cs="Arial"/>
          <w:sz w:val="22"/>
          <w:szCs w:val="22"/>
        </w:rPr>
        <w:t xml:space="preserve"> </w:t>
      </w:r>
      <w:r w:rsidRPr="00A7026E">
        <w:rPr>
          <w:rFonts w:ascii="Arial" w:hAnsi="Arial" w:cs="Arial"/>
          <w:sz w:val="22"/>
          <w:szCs w:val="22"/>
        </w:rPr>
        <w:t>responsables</w:t>
      </w:r>
      <w:r w:rsidR="00622EAE">
        <w:rPr>
          <w:rFonts w:ascii="Arial" w:hAnsi="Arial" w:cs="Arial"/>
          <w:sz w:val="22"/>
          <w:szCs w:val="22"/>
        </w:rPr>
        <w:t xml:space="preserve"> y presupuesto indicativo</w:t>
      </w:r>
      <w:r w:rsidRPr="00A7026E">
        <w:rPr>
          <w:rFonts w:ascii="Arial" w:hAnsi="Arial" w:cs="Arial"/>
          <w:sz w:val="22"/>
          <w:szCs w:val="22"/>
        </w:rPr>
        <w:t xml:space="preserve"> para la ejecución del Plan de Evaluación. Además del presupuesto destinado a la supervisión del programa</w:t>
      </w:r>
      <w:r w:rsidR="00D16218">
        <w:rPr>
          <w:rFonts w:ascii="Arial" w:hAnsi="Arial" w:cs="Arial"/>
          <w:sz w:val="22"/>
          <w:szCs w:val="22"/>
        </w:rPr>
        <w:t xml:space="preserve"> y la preparación del tramo</w:t>
      </w:r>
      <w:r w:rsidR="00CE6C7A">
        <w:rPr>
          <w:rFonts w:ascii="Arial" w:hAnsi="Arial" w:cs="Arial"/>
          <w:sz w:val="22"/>
          <w:szCs w:val="22"/>
        </w:rPr>
        <w:t> </w:t>
      </w:r>
      <w:r w:rsidR="00D16218">
        <w:rPr>
          <w:rFonts w:ascii="Arial" w:hAnsi="Arial" w:cs="Arial"/>
          <w:sz w:val="22"/>
          <w:szCs w:val="22"/>
        </w:rPr>
        <w:t>II del programa</w:t>
      </w:r>
      <w:r w:rsidRPr="00A7026E">
        <w:rPr>
          <w:rFonts w:ascii="Arial" w:hAnsi="Arial" w:cs="Arial"/>
          <w:sz w:val="22"/>
          <w:szCs w:val="22"/>
        </w:rPr>
        <w:t xml:space="preserve">, </w:t>
      </w:r>
      <w:r>
        <w:rPr>
          <w:rFonts w:ascii="Arial" w:hAnsi="Arial" w:cs="Arial"/>
          <w:sz w:val="22"/>
          <w:szCs w:val="22"/>
        </w:rPr>
        <w:t>l</w:t>
      </w:r>
      <w:r>
        <w:rPr>
          <w:rFonts w:ascii="Arial" w:hAnsi="Arial" w:cs="Arial"/>
          <w:sz w:val="22"/>
        </w:rPr>
        <w:t>a ejecución</w:t>
      </w:r>
      <w:r w:rsidR="00813A44">
        <w:rPr>
          <w:rFonts w:ascii="Arial" w:hAnsi="Arial" w:cs="Arial"/>
          <w:sz w:val="22"/>
        </w:rPr>
        <w:t xml:space="preserve"> del PME</w:t>
      </w:r>
      <w:r>
        <w:rPr>
          <w:rFonts w:ascii="Arial" w:hAnsi="Arial" w:cs="Arial"/>
          <w:sz w:val="22"/>
        </w:rPr>
        <w:t xml:space="preserve"> </w:t>
      </w:r>
      <w:r w:rsidRPr="00A7026E">
        <w:rPr>
          <w:rFonts w:ascii="Arial" w:hAnsi="Arial" w:cs="Arial"/>
          <w:sz w:val="22"/>
        </w:rPr>
        <w:t xml:space="preserve">se apoyará con </w:t>
      </w:r>
      <w:r w:rsidR="00813A44">
        <w:rPr>
          <w:rFonts w:ascii="Arial" w:hAnsi="Arial" w:cs="Arial"/>
          <w:sz w:val="22"/>
        </w:rPr>
        <w:t>recursos asignados para evaluación de los préstamos</w:t>
      </w:r>
      <w:r w:rsidR="009C50E0">
        <w:rPr>
          <w:rFonts w:ascii="Arial" w:hAnsi="Arial" w:cs="Arial"/>
          <w:sz w:val="22"/>
        </w:rPr>
        <w:t xml:space="preserve"> PE</w:t>
      </w:r>
      <w:r w:rsidR="007C5B5D">
        <w:rPr>
          <w:rFonts w:ascii="Arial" w:hAnsi="Arial" w:cs="Arial"/>
          <w:sz w:val="22"/>
        </w:rPr>
        <w:noBreakHyphen/>
      </w:r>
      <w:r w:rsidR="007C5B5D">
        <w:rPr>
          <w:rFonts w:ascii="Arial" w:hAnsi="Arial" w:cs="Arial"/>
          <w:sz w:val="22"/>
        </w:rPr>
        <w:noBreakHyphen/>
      </w:r>
      <w:r w:rsidR="009C50E0">
        <w:rPr>
          <w:rFonts w:ascii="Arial" w:hAnsi="Arial" w:cs="Arial"/>
          <w:sz w:val="22"/>
        </w:rPr>
        <w:t>L1227 y PE-L1162</w:t>
      </w:r>
      <w:r w:rsidR="00465DBD">
        <w:rPr>
          <w:rFonts w:ascii="Arial" w:hAnsi="Arial" w:cs="Arial"/>
          <w:sz w:val="22"/>
        </w:rPr>
        <w:t>. Las evaluaciones basadas en comparaciones reflexivas no requieren partida presupuestal, las evaluaciones basadas en comparaciones causales se enmarcarán en los presupuestos considerados en las evaluaciones que se vienen trabajando con PRODUCE y las evaluaciones de impacto se financiarán con los fondos de evaluación previstos en los préstamos antes indicados.</w:t>
      </w:r>
    </w:p>
    <w:p w14:paraId="1BBF0D57" w14:textId="77777777" w:rsidR="00FA013F" w:rsidRDefault="00FA013F" w:rsidP="005C3BC2">
      <w:pPr>
        <w:pStyle w:val="heading-b24"/>
        <w:spacing w:after="0"/>
        <w:rPr>
          <w:rFonts w:ascii="Arial" w:eastAsia="Calibri" w:hAnsi="Arial" w:cs="Arial"/>
          <w:smallCaps w:val="0"/>
          <w:sz w:val="22"/>
          <w:szCs w:val="18"/>
          <w:lang w:val="es-ES"/>
        </w:rPr>
      </w:pPr>
    </w:p>
    <w:p w14:paraId="01DCFC1B" w14:textId="76EAC312" w:rsidR="005C3BC2" w:rsidRPr="00F0430C" w:rsidRDefault="005C3BC2" w:rsidP="005C3BC2">
      <w:pPr>
        <w:pStyle w:val="heading-b24"/>
        <w:spacing w:after="0"/>
        <w:rPr>
          <w:rFonts w:ascii="Arial" w:eastAsia="Calibri" w:hAnsi="Arial" w:cs="Arial"/>
          <w:smallCaps w:val="0"/>
          <w:sz w:val="22"/>
          <w:szCs w:val="18"/>
          <w:lang w:val="es-ES"/>
        </w:rPr>
      </w:pPr>
      <w:r w:rsidRPr="00F0430C">
        <w:rPr>
          <w:rFonts w:ascii="Arial" w:eastAsia="Calibri" w:hAnsi="Arial" w:cs="Arial"/>
          <w:smallCaps w:val="0"/>
          <w:sz w:val="22"/>
          <w:szCs w:val="18"/>
          <w:lang w:val="es-ES"/>
        </w:rPr>
        <w:t xml:space="preserve">Cuadro </w:t>
      </w:r>
      <w:r w:rsidR="00BD3AD7">
        <w:rPr>
          <w:rFonts w:ascii="Arial" w:eastAsia="Calibri" w:hAnsi="Arial" w:cs="Arial"/>
          <w:smallCaps w:val="0"/>
          <w:sz w:val="22"/>
          <w:szCs w:val="18"/>
          <w:lang w:val="es-ES"/>
        </w:rPr>
        <w:t>6</w:t>
      </w:r>
      <w:r w:rsidRPr="00F0430C">
        <w:rPr>
          <w:rFonts w:ascii="Arial" w:eastAsia="Calibri" w:hAnsi="Arial" w:cs="Arial"/>
          <w:smallCaps w:val="0"/>
          <w:sz w:val="22"/>
          <w:szCs w:val="18"/>
          <w:lang w:val="es-ES"/>
        </w:rPr>
        <w:t>. Plan de trabajo de actividades de Monitoreo y Evaluación</w:t>
      </w:r>
    </w:p>
    <w:tbl>
      <w:tblPr>
        <w:tblW w:w="94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0"/>
        <w:gridCol w:w="360"/>
        <w:gridCol w:w="360"/>
        <w:gridCol w:w="360"/>
        <w:gridCol w:w="360"/>
        <w:gridCol w:w="337"/>
        <w:gridCol w:w="1553"/>
        <w:gridCol w:w="3330"/>
      </w:tblGrid>
      <w:tr w:rsidR="00F050AE" w:rsidRPr="00100E6A" w14:paraId="2DF560D0" w14:textId="315F1411" w:rsidTr="00C27CB3">
        <w:trPr>
          <w:cantSplit/>
          <w:trHeight w:val="1134"/>
          <w:tblHeader/>
        </w:trPr>
        <w:tc>
          <w:tcPr>
            <w:tcW w:w="2800" w:type="dxa"/>
            <w:shd w:val="clear" w:color="auto" w:fill="000000" w:themeFill="text1"/>
            <w:vAlign w:val="center"/>
          </w:tcPr>
          <w:p w14:paraId="15C044D8" w14:textId="77777777" w:rsidR="00F050AE" w:rsidRPr="00100E6A" w:rsidRDefault="00F050AE" w:rsidP="002870D0">
            <w:pPr>
              <w:jc w:val="center"/>
              <w:rPr>
                <w:rFonts w:ascii="Arial" w:hAnsi="Arial" w:cs="Arial"/>
                <w:b/>
                <w:sz w:val="18"/>
                <w:szCs w:val="18"/>
              </w:rPr>
            </w:pPr>
            <w:r w:rsidRPr="00100E6A">
              <w:rPr>
                <w:rFonts w:ascii="Arial" w:hAnsi="Arial" w:cs="Arial"/>
                <w:b/>
                <w:sz w:val="18"/>
                <w:szCs w:val="18"/>
              </w:rPr>
              <w:t>Actividades</w:t>
            </w:r>
          </w:p>
        </w:tc>
        <w:tc>
          <w:tcPr>
            <w:tcW w:w="360" w:type="dxa"/>
            <w:shd w:val="clear" w:color="auto" w:fill="000000" w:themeFill="text1"/>
            <w:textDirection w:val="btLr"/>
            <w:vAlign w:val="center"/>
          </w:tcPr>
          <w:p w14:paraId="6E341298" w14:textId="77777777" w:rsidR="00F050AE" w:rsidRPr="00100E6A" w:rsidRDefault="00F050AE" w:rsidP="002870D0">
            <w:pPr>
              <w:pStyle w:val="TableTitle"/>
              <w:framePr w:wrap="auto" w:vAnchor="margin" w:yAlign="inline"/>
              <w:spacing w:before="0" w:after="0"/>
              <w:ind w:left="113" w:right="113"/>
              <w:rPr>
                <w:rFonts w:ascii="Arial" w:hAnsi="Arial" w:cs="Arial"/>
                <w:sz w:val="18"/>
                <w:szCs w:val="18"/>
                <w:lang w:val="es-ES_tradnl"/>
              </w:rPr>
            </w:pPr>
            <w:r w:rsidRPr="00100E6A">
              <w:rPr>
                <w:rFonts w:ascii="Arial" w:hAnsi="Arial" w:cs="Arial"/>
                <w:sz w:val="18"/>
                <w:szCs w:val="18"/>
                <w:lang w:val="es-ES_tradnl"/>
              </w:rPr>
              <w:t>2018</w:t>
            </w:r>
          </w:p>
        </w:tc>
        <w:tc>
          <w:tcPr>
            <w:tcW w:w="360" w:type="dxa"/>
            <w:shd w:val="clear" w:color="auto" w:fill="000000" w:themeFill="text1"/>
            <w:textDirection w:val="btLr"/>
            <w:vAlign w:val="center"/>
          </w:tcPr>
          <w:p w14:paraId="5EBA42E2" w14:textId="77777777" w:rsidR="00F050AE" w:rsidRPr="00100E6A" w:rsidRDefault="00F050AE" w:rsidP="002870D0">
            <w:pPr>
              <w:pStyle w:val="TableTitle"/>
              <w:framePr w:wrap="auto" w:vAnchor="margin" w:yAlign="inline"/>
              <w:spacing w:before="0" w:after="0"/>
              <w:ind w:left="113" w:right="113"/>
              <w:rPr>
                <w:rFonts w:ascii="Arial" w:hAnsi="Arial" w:cs="Arial"/>
                <w:sz w:val="18"/>
                <w:szCs w:val="18"/>
                <w:lang w:val="es-ES_tradnl"/>
              </w:rPr>
            </w:pPr>
            <w:r w:rsidRPr="00100E6A">
              <w:rPr>
                <w:rFonts w:ascii="Arial" w:hAnsi="Arial" w:cs="Arial"/>
                <w:sz w:val="18"/>
                <w:szCs w:val="18"/>
                <w:lang w:val="es-ES_tradnl"/>
              </w:rPr>
              <w:t>2019</w:t>
            </w:r>
          </w:p>
        </w:tc>
        <w:tc>
          <w:tcPr>
            <w:tcW w:w="360" w:type="dxa"/>
            <w:shd w:val="clear" w:color="auto" w:fill="000000" w:themeFill="text1"/>
            <w:textDirection w:val="btLr"/>
            <w:vAlign w:val="center"/>
          </w:tcPr>
          <w:p w14:paraId="2AA4C712" w14:textId="77777777" w:rsidR="00F050AE" w:rsidRPr="00100E6A" w:rsidRDefault="00F050AE" w:rsidP="002870D0">
            <w:pPr>
              <w:pStyle w:val="TableTitle"/>
              <w:framePr w:wrap="auto" w:vAnchor="margin" w:yAlign="inline"/>
              <w:spacing w:before="0" w:after="0"/>
              <w:ind w:left="113" w:right="113"/>
              <w:rPr>
                <w:rFonts w:ascii="Arial" w:hAnsi="Arial" w:cs="Arial"/>
                <w:sz w:val="18"/>
                <w:szCs w:val="18"/>
                <w:lang w:val="es-ES_tradnl"/>
              </w:rPr>
            </w:pPr>
            <w:r w:rsidRPr="00100E6A">
              <w:rPr>
                <w:rFonts w:ascii="Arial" w:hAnsi="Arial" w:cs="Arial"/>
                <w:sz w:val="18"/>
                <w:szCs w:val="18"/>
                <w:lang w:val="es-ES_tradnl"/>
              </w:rPr>
              <w:t>2020</w:t>
            </w:r>
          </w:p>
        </w:tc>
        <w:tc>
          <w:tcPr>
            <w:tcW w:w="360" w:type="dxa"/>
            <w:shd w:val="clear" w:color="auto" w:fill="000000" w:themeFill="text1"/>
            <w:textDirection w:val="btLr"/>
            <w:vAlign w:val="center"/>
          </w:tcPr>
          <w:p w14:paraId="0E75D7C2" w14:textId="77777777" w:rsidR="00F050AE" w:rsidRPr="00100E6A" w:rsidRDefault="00F050AE" w:rsidP="002870D0">
            <w:pPr>
              <w:pStyle w:val="TableTitle"/>
              <w:framePr w:wrap="auto" w:vAnchor="margin" w:yAlign="inline"/>
              <w:spacing w:before="0" w:after="0"/>
              <w:ind w:left="113" w:right="113"/>
              <w:rPr>
                <w:rFonts w:ascii="Arial" w:hAnsi="Arial" w:cs="Arial"/>
                <w:sz w:val="18"/>
                <w:szCs w:val="18"/>
                <w:lang w:val="es-ES_tradnl"/>
              </w:rPr>
            </w:pPr>
            <w:r w:rsidRPr="00100E6A">
              <w:rPr>
                <w:rFonts w:ascii="Arial" w:hAnsi="Arial" w:cs="Arial"/>
                <w:sz w:val="18"/>
                <w:szCs w:val="18"/>
                <w:lang w:val="es-ES_tradnl"/>
              </w:rPr>
              <w:t>2021</w:t>
            </w:r>
          </w:p>
        </w:tc>
        <w:tc>
          <w:tcPr>
            <w:tcW w:w="337" w:type="dxa"/>
            <w:shd w:val="clear" w:color="auto" w:fill="000000" w:themeFill="text1"/>
            <w:textDirection w:val="btLr"/>
          </w:tcPr>
          <w:p w14:paraId="657AD3CB" w14:textId="6678657A" w:rsidR="00F050AE" w:rsidRPr="00100E6A" w:rsidRDefault="00F050AE" w:rsidP="004B5CAC">
            <w:pPr>
              <w:pStyle w:val="TableTitle"/>
              <w:framePr w:wrap="auto" w:vAnchor="margin" w:yAlign="inline"/>
              <w:spacing w:before="0" w:after="0"/>
              <w:ind w:left="113" w:right="113"/>
              <w:rPr>
                <w:rFonts w:ascii="Arial" w:hAnsi="Arial" w:cs="Arial"/>
                <w:sz w:val="18"/>
                <w:szCs w:val="18"/>
                <w:lang w:val="es-ES_tradnl"/>
              </w:rPr>
            </w:pPr>
            <w:r w:rsidRPr="00100E6A">
              <w:rPr>
                <w:rFonts w:ascii="Arial" w:hAnsi="Arial" w:cs="Arial"/>
                <w:sz w:val="18"/>
                <w:szCs w:val="18"/>
                <w:lang w:val="es-ES_tradnl"/>
              </w:rPr>
              <w:t>202</w:t>
            </w:r>
            <w:r>
              <w:rPr>
                <w:rFonts w:ascii="Arial" w:hAnsi="Arial" w:cs="Arial"/>
                <w:sz w:val="18"/>
                <w:szCs w:val="18"/>
                <w:lang w:val="es-ES_tradnl"/>
              </w:rPr>
              <w:t>2</w:t>
            </w:r>
          </w:p>
        </w:tc>
        <w:tc>
          <w:tcPr>
            <w:tcW w:w="1553" w:type="dxa"/>
            <w:shd w:val="clear" w:color="auto" w:fill="000000" w:themeFill="text1"/>
            <w:vAlign w:val="center"/>
          </w:tcPr>
          <w:p w14:paraId="59E2D543" w14:textId="03AED700" w:rsidR="00F050AE" w:rsidRPr="00100E6A" w:rsidRDefault="00F050AE" w:rsidP="002870D0">
            <w:pPr>
              <w:pStyle w:val="TableTitle"/>
              <w:framePr w:wrap="auto" w:vAnchor="margin" w:yAlign="inline"/>
              <w:spacing w:before="0" w:after="0"/>
              <w:rPr>
                <w:rFonts w:ascii="Arial" w:hAnsi="Arial" w:cs="Arial"/>
                <w:sz w:val="18"/>
                <w:szCs w:val="18"/>
                <w:lang w:val="es-ES_tradnl"/>
              </w:rPr>
            </w:pPr>
            <w:r w:rsidRPr="00100E6A">
              <w:rPr>
                <w:rFonts w:ascii="Arial" w:hAnsi="Arial" w:cs="Arial"/>
                <w:sz w:val="18"/>
                <w:szCs w:val="18"/>
                <w:lang w:val="es-ES_tradnl"/>
              </w:rPr>
              <w:t>Responsable</w:t>
            </w:r>
          </w:p>
        </w:tc>
        <w:tc>
          <w:tcPr>
            <w:tcW w:w="3330" w:type="dxa"/>
            <w:shd w:val="clear" w:color="auto" w:fill="000000" w:themeFill="text1"/>
          </w:tcPr>
          <w:p w14:paraId="279197BC" w14:textId="274A840C" w:rsidR="00F050AE" w:rsidRPr="00100E6A" w:rsidRDefault="001F5143" w:rsidP="002870D0">
            <w:pPr>
              <w:pStyle w:val="TableTitle"/>
              <w:framePr w:wrap="auto" w:vAnchor="margin" w:yAlign="inline"/>
              <w:spacing w:before="0" w:after="0"/>
              <w:rPr>
                <w:rFonts w:ascii="Arial" w:hAnsi="Arial" w:cs="Arial"/>
                <w:sz w:val="18"/>
                <w:szCs w:val="18"/>
                <w:lang w:val="es-ES_tradnl"/>
              </w:rPr>
            </w:pPr>
            <w:r>
              <w:rPr>
                <w:rFonts w:ascii="Arial" w:hAnsi="Arial" w:cs="Arial"/>
                <w:sz w:val="18"/>
                <w:szCs w:val="18"/>
                <w:lang w:val="es-ES_tradnl"/>
              </w:rPr>
              <w:t>Presupuesto</w:t>
            </w:r>
            <w:r w:rsidR="00622EAE">
              <w:rPr>
                <w:rFonts w:ascii="Arial" w:hAnsi="Arial" w:cs="Arial"/>
                <w:sz w:val="18"/>
                <w:szCs w:val="18"/>
                <w:lang w:val="es-ES_tradnl"/>
              </w:rPr>
              <w:t xml:space="preserve"> en miles US</w:t>
            </w:r>
            <w:r w:rsidR="00CB4E75">
              <w:rPr>
                <w:rFonts w:ascii="Arial" w:hAnsi="Arial" w:cs="Arial"/>
                <w:sz w:val="18"/>
                <w:szCs w:val="18"/>
                <w:lang w:val="es-ES_tradnl"/>
              </w:rPr>
              <w:t>$</w:t>
            </w:r>
            <w:r w:rsidR="00660916">
              <w:rPr>
                <w:rFonts w:ascii="Arial" w:hAnsi="Arial" w:cs="Arial"/>
                <w:sz w:val="18"/>
                <w:szCs w:val="18"/>
                <w:lang w:val="es-ES_tradnl"/>
              </w:rPr>
              <w:t xml:space="preserve"> (para actividades a cargo </w:t>
            </w:r>
            <w:r w:rsidR="00622EAE">
              <w:rPr>
                <w:rFonts w:ascii="Arial" w:hAnsi="Arial" w:cs="Arial"/>
                <w:sz w:val="18"/>
                <w:szCs w:val="18"/>
                <w:lang w:val="es-ES_tradnl"/>
              </w:rPr>
              <w:t xml:space="preserve">o en coordinación </w:t>
            </w:r>
            <w:r w:rsidR="00660916">
              <w:rPr>
                <w:rFonts w:ascii="Arial" w:hAnsi="Arial" w:cs="Arial"/>
                <w:sz w:val="18"/>
                <w:szCs w:val="18"/>
                <w:lang w:val="es-ES_tradnl"/>
              </w:rPr>
              <w:t>del BID)</w:t>
            </w:r>
          </w:p>
        </w:tc>
      </w:tr>
      <w:tr w:rsidR="00F050AE" w:rsidRPr="008E3FFB" w14:paraId="1C2649D7" w14:textId="1776CCAF" w:rsidTr="00C27CB3">
        <w:trPr>
          <w:trHeight w:val="366"/>
        </w:trPr>
        <w:tc>
          <w:tcPr>
            <w:tcW w:w="2800" w:type="dxa"/>
          </w:tcPr>
          <w:p w14:paraId="398FC436" w14:textId="77777777" w:rsidR="00F050AE" w:rsidRPr="008E3FFB" w:rsidRDefault="00F050AE" w:rsidP="00FD0DF7">
            <w:pPr>
              <w:jc w:val="both"/>
              <w:rPr>
                <w:rFonts w:ascii="Arial" w:hAnsi="Arial" w:cs="Arial"/>
                <w:sz w:val="18"/>
                <w:szCs w:val="18"/>
              </w:rPr>
            </w:pPr>
            <w:r w:rsidRPr="008E3FFB">
              <w:rPr>
                <w:rFonts w:ascii="Arial" w:hAnsi="Arial" w:cs="Arial"/>
                <w:spacing w:val="0"/>
                <w:sz w:val="18"/>
                <w:lang w:val="es-AR" w:eastAsia="es-AR"/>
              </w:rPr>
              <w:t>Monitoreo de la ejecución física y financiera del Programa</w:t>
            </w:r>
          </w:p>
        </w:tc>
        <w:tc>
          <w:tcPr>
            <w:tcW w:w="360" w:type="dxa"/>
            <w:shd w:val="clear" w:color="auto" w:fill="7F7F7F" w:themeFill="text1" w:themeFillTint="80"/>
          </w:tcPr>
          <w:p w14:paraId="1B2C782F" w14:textId="77777777" w:rsidR="00F050AE" w:rsidRPr="008E3FFB" w:rsidRDefault="00F050AE" w:rsidP="00FD0DF7">
            <w:pPr>
              <w:pStyle w:val="Regtable"/>
              <w:framePr w:wrap="auto" w:vAnchor="margin" w:yAlign="inline"/>
              <w:spacing w:before="0" w:after="0"/>
              <w:jc w:val="both"/>
              <w:rPr>
                <w:rFonts w:ascii="Arial" w:hAnsi="Arial" w:cs="Arial"/>
                <w:sz w:val="18"/>
                <w:szCs w:val="18"/>
              </w:rPr>
            </w:pPr>
          </w:p>
        </w:tc>
        <w:tc>
          <w:tcPr>
            <w:tcW w:w="360" w:type="dxa"/>
            <w:shd w:val="clear" w:color="auto" w:fill="7F7F7F" w:themeFill="text1" w:themeFillTint="80"/>
          </w:tcPr>
          <w:p w14:paraId="140B64CA" w14:textId="77777777" w:rsidR="00F050AE" w:rsidRPr="008E3FFB" w:rsidRDefault="00F050AE" w:rsidP="00FD0DF7">
            <w:pPr>
              <w:pStyle w:val="Regtable"/>
              <w:framePr w:wrap="auto" w:vAnchor="margin" w:yAlign="inline"/>
              <w:spacing w:before="0" w:after="0"/>
              <w:jc w:val="both"/>
              <w:rPr>
                <w:rFonts w:ascii="Arial" w:hAnsi="Arial" w:cs="Arial"/>
                <w:sz w:val="18"/>
                <w:szCs w:val="18"/>
              </w:rPr>
            </w:pPr>
          </w:p>
        </w:tc>
        <w:tc>
          <w:tcPr>
            <w:tcW w:w="360" w:type="dxa"/>
            <w:shd w:val="clear" w:color="auto" w:fill="7F7F7F" w:themeFill="text1" w:themeFillTint="80"/>
          </w:tcPr>
          <w:p w14:paraId="14265853" w14:textId="77777777" w:rsidR="00F050AE" w:rsidRPr="008E3FFB" w:rsidRDefault="00F050AE" w:rsidP="00FD0DF7">
            <w:pPr>
              <w:pStyle w:val="Regtable"/>
              <w:framePr w:wrap="auto" w:vAnchor="margin" w:yAlign="inline"/>
              <w:spacing w:before="0" w:after="0"/>
              <w:jc w:val="both"/>
              <w:rPr>
                <w:rFonts w:ascii="Arial" w:hAnsi="Arial" w:cs="Arial"/>
                <w:sz w:val="18"/>
                <w:szCs w:val="18"/>
              </w:rPr>
            </w:pPr>
          </w:p>
        </w:tc>
        <w:tc>
          <w:tcPr>
            <w:tcW w:w="360" w:type="dxa"/>
            <w:shd w:val="clear" w:color="auto" w:fill="auto"/>
          </w:tcPr>
          <w:p w14:paraId="1E1731CF" w14:textId="77777777" w:rsidR="00F050AE" w:rsidRPr="008E3FFB" w:rsidRDefault="00F050AE" w:rsidP="00FD0DF7">
            <w:pPr>
              <w:pStyle w:val="Regtable"/>
              <w:framePr w:wrap="auto" w:vAnchor="margin" w:yAlign="inline"/>
              <w:spacing w:before="0" w:after="0"/>
              <w:jc w:val="both"/>
              <w:rPr>
                <w:rFonts w:ascii="Arial" w:hAnsi="Arial" w:cs="Arial"/>
                <w:sz w:val="18"/>
                <w:szCs w:val="18"/>
              </w:rPr>
            </w:pPr>
          </w:p>
        </w:tc>
        <w:tc>
          <w:tcPr>
            <w:tcW w:w="337" w:type="dxa"/>
          </w:tcPr>
          <w:p w14:paraId="323E1AE7" w14:textId="77777777" w:rsidR="00F050AE" w:rsidRDefault="00F050AE" w:rsidP="00FD0DF7">
            <w:pPr>
              <w:pStyle w:val="Regtable"/>
              <w:framePr w:wrap="auto" w:vAnchor="margin" w:yAlign="inline"/>
              <w:spacing w:before="0" w:after="0"/>
              <w:jc w:val="both"/>
              <w:rPr>
                <w:rFonts w:ascii="Arial" w:hAnsi="Arial" w:cs="Arial"/>
                <w:sz w:val="18"/>
                <w:szCs w:val="18"/>
              </w:rPr>
            </w:pPr>
          </w:p>
        </w:tc>
        <w:tc>
          <w:tcPr>
            <w:tcW w:w="1553" w:type="dxa"/>
          </w:tcPr>
          <w:p w14:paraId="7ADE9AE0" w14:textId="7EE6D275" w:rsidR="00F050AE" w:rsidRPr="008E3FFB" w:rsidRDefault="00F050AE" w:rsidP="00FD0DF7">
            <w:pPr>
              <w:pStyle w:val="Regtable"/>
              <w:framePr w:wrap="auto" w:vAnchor="margin" w:yAlign="inline"/>
              <w:spacing w:before="0" w:after="0"/>
              <w:jc w:val="both"/>
              <w:rPr>
                <w:rFonts w:ascii="Arial" w:hAnsi="Arial" w:cs="Arial"/>
                <w:sz w:val="18"/>
                <w:szCs w:val="18"/>
              </w:rPr>
            </w:pPr>
            <w:r>
              <w:rPr>
                <w:rFonts w:ascii="Arial" w:hAnsi="Arial" w:cs="Arial"/>
                <w:sz w:val="18"/>
                <w:szCs w:val="18"/>
              </w:rPr>
              <w:t>MEF</w:t>
            </w:r>
          </w:p>
        </w:tc>
        <w:tc>
          <w:tcPr>
            <w:tcW w:w="3330" w:type="dxa"/>
          </w:tcPr>
          <w:p w14:paraId="439710B1" w14:textId="2CEE9B17" w:rsidR="00F050AE" w:rsidRDefault="00660916" w:rsidP="00FD0DF7">
            <w:pPr>
              <w:pStyle w:val="Regtable"/>
              <w:framePr w:wrap="auto" w:vAnchor="margin" w:yAlign="inline"/>
              <w:spacing w:before="0" w:after="0"/>
              <w:jc w:val="both"/>
              <w:rPr>
                <w:rFonts w:ascii="Arial" w:hAnsi="Arial" w:cs="Arial"/>
                <w:sz w:val="18"/>
                <w:szCs w:val="18"/>
              </w:rPr>
            </w:pPr>
            <w:r>
              <w:rPr>
                <w:rFonts w:ascii="Arial" w:hAnsi="Arial" w:cs="Arial"/>
                <w:sz w:val="18"/>
                <w:szCs w:val="18"/>
              </w:rPr>
              <w:t>0</w:t>
            </w:r>
          </w:p>
        </w:tc>
      </w:tr>
      <w:tr w:rsidR="00F050AE" w:rsidRPr="008E3FFB" w14:paraId="1B17236F" w14:textId="15683C35" w:rsidTr="00C27CB3">
        <w:trPr>
          <w:trHeight w:val="251"/>
        </w:trPr>
        <w:tc>
          <w:tcPr>
            <w:tcW w:w="2800" w:type="dxa"/>
          </w:tcPr>
          <w:p w14:paraId="03EB893D" w14:textId="77777777" w:rsidR="00F050AE" w:rsidRPr="008E3FFB" w:rsidRDefault="00F050AE" w:rsidP="00FD0DF7">
            <w:pPr>
              <w:jc w:val="both"/>
              <w:rPr>
                <w:rFonts w:ascii="Arial" w:hAnsi="Arial" w:cs="Arial"/>
                <w:spacing w:val="0"/>
                <w:sz w:val="18"/>
                <w:lang w:val="es-AR" w:eastAsia="es-AR"/>
              </w:rPr>
            </w:pPr>
            <w:r>
              <w:rPr>
                <w:rFonts w:ascii="Arial" w:hAnsi="Arial" w:cs="Arial"/>
                <w:spacing w:val="0"/>
                <w:sz w:val="18"/>
                <w:lang w:val="es-AR" w:eastAsia="es-AR"/>
              </w:rPr>
              <w:t>Visitas de supervisión</w:t>
            </w:r>
          </w:p>
        </w:tc>
        <w:tc>
          <w:tcPr>
            <w:tcW w:w="360" w:type="dxa"/>
            <w:shd w:val="clear" w:color="auto" w:fill="7F7F7F" w:themeFill="text1" w:themeFillTint="80"/>
          </w:tcPr>
          <w:p w14:paraId="5C7708E4" w14:textId="77777777" w:rsidR="00F050AE" w:rsidRPr="008E3FFB" w:rsidRDefault="00F050AE" w:rsidP="00FD0DF7">
            <w:pPr>
              <w:pStyle w:val="Regtable"/>
              <w:framePr w:wrap="auto" w:vAnchor="margin" w:yAlign="inline"/>
              <w:spacing w:before="0" w:after="0"/>
              <w:jc w:val="both"/>
              <w:rPr>
                <w:rFonts w:ascii="Arial" w:hAnsi="Arial" w:cs="Arial"/>
                <w:sz w:val="18"/>
                <w:szCs w:val="18"/>
              </w:rPr>
            </w:pPr>
          </w:p>
        </w:tc>
        <w:tc>
          <w:tcPr>
            <w:tcW w:w="360" w:type="dxa"/>
            <w:shd w:val="clear" w:color="auto" w:fill="7F7F7F" w:themeFill="text1" w:themeFillTint="80"/>
          </w:tcPr>
          <w:p w14:paraId="5D9CE95E" w14:textId="77777777" w:rsidR="00F050AE" w:rsidRPr="008E3FFB" w:rsidRDefault="00F050AE" w:rsidP="00FD0DF7">
            <w:pPr>
              <w:pStyle w:val="Regtable"/>
              <w:framePr w:wrap="auto" w:vAnchor="margin" w:yAlign="inline"/>
              <w:spacing w:before="0" w:after="0"/>
              <w:jc w:val="both"/>
              <w:rPr>
                <w:rFonts w:ascii="Arial" w:hAnsi="Arial" w:cs="Arial"/>
                <w:sz w:val="18"/>
                <w:szCs w:val="18"/>
              </w:rPr>
            </w:pPr>
          </w:p>
        </w:tc>
        <w:tc>
          <w:tcPr>
            <w:tcW w:w="360" w:type="dxa"/>
            <w:shd w:val="clear" w:color="auto" w:fill="7F7F7F" w:themeFill="text1" w:themeFillTint="80"/>
          </w:tcPr>
          <w:p w14:paraId="67B1B37B" w14:textId="77777777" w:rsidR="00F050AE" w:rsidRPr="008E3FFB" w:rsidRDefault="00F050AE" w:rsidP="00FD0DF7">
            <w:pPr>
              <w:pStyle w:val="Regtable"/>
              <w:framePr w:wrap="auto" w:vAnchor="margin" w:yAlign="inline"/>
              <w:spacing w:before="0" w:after="0"/>
              <w:jc w:val="both"/>
              <w:rPr>
                <w:rFonts w:ascii="Arial" w:hAnsi="Arial" w:cs="Arial"/>
                <w:sz w:val="18"/>
                <w:szCs w:val="18"/>
              </w:rPr>
            </w:pPr>
          </w:p>
        </w:tc>
        <w:tc>
          <w:tcPr>
            <w:tcW w:w="360" w:type="dxa"/>
            <w:shd w:val="clear" w:color="auto" w:fill="auto"/>
          </w:tcPr>
          <w:p w14:paraId="273F6AF3" w14:textId="77777777" w:rsidR="00F050AE" w:rsidRPr="008E3FFB" w:rsidRDefault="00F050AE" w:rsidP="00FD0DF7">
            <w:pPr>
              <w:pStyle w:val="Regtable"/>
              <w:framePr w:wrap="auto" w:vAnchor="margin" w:yAlign="inline"/>
              <w:spacing w:before="0" w:after="0"/>
              <w:jc w:val="both"/>
              <w:rPr>
                <w:rFonts w:ascii="Arial" w:hAnsi="Arial" w:cs="Arial"/>
                <w:sz w:val="18"/>
                <w:szCs w:val="18"/>
              </w:rPr>
            </w:pPr>
          </w:p>
        </w:tc>
        <w:tc>
          <w:tcPr>
            <w:tcW w:w="337" w:type="dxa"/>
          </w:tcPr>
          <w:p w14:paraId="3585B180" w14:textId="77777777" w:rsidR="00F050AE" w:rsidRDefault="00F050AE" w:rsidP="00FD0DF7">
            <w:pPr>
              <w:pStyle w:val="Regtable"/>
              <w:framePr w:wrap="auto" w:vAnchor="margin" w:yAlign="inline"/>
              <w:spacing w:before="0" w:after="0"/>
              <w:jc w:val="both"/>
              <w:rPr>
                <w:rFonts w:ascii="Arial" w:hAnsi="Arial" w:cs="Arial"/>
                <w:sz w:val="18"/>
                <w:szCs w:val="18"/>
              </w:rPr>
            </w:pPr>
          </w:p>
        </w:tc>
        <w:tc>
          <w:tcPr>
            <w:tcW w:w="1553" w:type="dxa"/>
          </w:tcPr>
          <w:p w14:paraId="46F6AA05" w14:textId="139AD262" w:rsidR="00F050AE" w:rsidRDefault="00F050AE" w:rsidP="00FD0DF7">
            <w:pPr>
              <w:pStyle w:val="Regtable"/>
              <w:framePr w:wrap="auto" w:vAnchor="margin" w:yAlign="inline"/>
              <w:spacing w:before="0" w:after="0"/>
              <w:jc w:val="both"/>
              <w:rPr>
                <w:rFonts w:ascii="Arial" w:hAnsi="Arial" w:cs="Arial"/>
                <w:sz w:val="18"/>
                <w:szCs w:val="18"/>
              </w:rPr>
            </w:pPr>
            <w:r>
              <w:rPr>
                <w:rFonts w:ascii="Arial" w:hAnsi="Arial" w:cs="Arial"/>
                <w:sz w:val="18"/>
                <w:szCs w:val="18"/>
              </w:rPr>
              <w:t>BID</w:t>
            </w:r>
          </w:p>
        </w:tc>
        <w:tc>
          <w:tcPr>
            <w:tcW w:w="3330" w:type="dxa"/>
          </w:tcPr>
          <w:p w14:paraId="7618FA76" w14:textId="6C9A9A81" w:rsidR="00622EAE" w:rsidRDefault="00622EAE" w:rsidP="00FD0DF7">
            <w:pPr>
              <w:pStyle w:val="Regtable"/>
              <w:framePr w:wrap="auto" w:vAnchor="margin" w:yAlign="inline"/>
              <w:spacing w:before="0" w:after="0"/>
              <w:jc w:val="both"/>
              <w:rPr>
                <w:rFonts w:ascii="Arial" w:hAnsi="Arial" w:cs="Arial"/>
                <w:sz w:val="18"/>
                <w:szCs w:val="18"/>
              </w:rPr>
            </w:pPr>
            <w:r>
              <w:rPr>
                <w:rFonts w:ascii="Arial" w:hAnsi="Arial" w:cs="Arial"/>
                <w:sz w:val="18"/>
                <w:szCs w:val="18"/>
              </w:rPr>
              <w:t>40</w:t>
            </w:r>
          </w:p>
          <w:p w14:paraId="5ADA71ED" w14:textId="5A4A7936" w:rsidR="00F050AE" w:rsidRDefault="00660916" w:rsidP="00FD0DF7">
            <w:pPr>
              <w:pStyle w:val="Regtable"/>
              <w:framePr w:wrap="auto" w:vAnchor="margin" w:yAlign="inline"/>
              <w:spacing w:before="0" w:after="0"/>
              <w:jc w:val="both"/>
              <w:rPr>
                <w:rFonts w:ascii="Arial" w:hAnsi="Arial" w:cs="Arial"/>
                <w:sz w:val="18"/>
                <w:szCs w:val="18"/>
              </w:rPr>
            </w:pPr>
            <w:r>
              <w:rPr>
                <w:rFonts w:ascii="Arial" w:hAnsi="Arial" w:cs="Arial"/>
                <w:sz w:val="18"/>
                <w:szCs w:val="18"/>
              </w:rPr>
              <w:t xml:space="preserve">Presupuesto de </w:t>
            </w:r>
            <w:r w:rsidRPr="00660916">
              <w:rPr>
                <w:rFonts w:ascii="Arial" w:hAnsi="Arial" w:cs="Arial"/>
                <w:sz w:val="18"/>
                <w:szCs w:val="18"/>
              </w:rPr>
              <w:t>preparación</w:t>
            </w:r>
            <w:r>
              <w:rPr>
                <w:rFonts w:ascii="Arial" w:hAnsi="Arial" w:cs="Arial"/>
                <w:sz w:val="18"/>
                <w:szCs w:val="18"/>
              </w:rPr>
              <w:t xml:space="preserve"> de Segundo Tramo</w:t>
            </w:r>
            <w:r w:rsidR="00622EAE">
              <w:rPr>
                <w:rFonts w:ascii="Arial" w:hAnsi="Arial" w:cs="Arial"/>
                <w:sz w:val="18"/>
                <w:szCs w:val="18"/>
              </w:rPr>
              <w:t xml:space="preserve"> (monto indicativo)</w:t>
            </w:r>
          </w:p>
        </w:tc>
      </w:tr>
      <w:tr w:rsidR="00F050AE" w:rsidRPr="008E3FFB" w14:paraId="027DBD50" w14:textId="0951858A" w:rsidTr="00C27CB3">
        <w:trPr>
          <w:trHeight w:val="366"/>
        </w:trPr>
        <w:tc>
          <w:tcPr>
            <w:tcW w:w="2800" w:type="dxa"/>
          </w:tcPr>
          <w:p w14:paraId="61B70E4C" w14:textId="77777777" w:rsidR="00F050AE" w:rsidRPr="008E3FFB" w:rsidRDefault="00F050AE" w:rsidP="00FD0DF7">
            <w:pPr>
              <w:jc w:val="both"/>
              <w:rPr>
                <w:rFonts w:ascii="Arial" w:hAnsi="Arial" w:cs="Arial"/>
                <w:spacing w:val="0"/>
                <w:sz w:val="18"/>
                <w:lang w:val="es-AR" w:eastAsia="es-AR"/>
              </w:rPr>
            </w:pPr>
            <w:r>
              <w:rPr>
                <w:rFonts w:ascii="Arial" w:hAnsi="Arial" w:cs="Arial"/>
                <w:spacing w:val="0"/>
                <w:sz w:val="18"/>
                <w:lang w:val="es-AR" w:eastAsia="es-AR"/>
              </w:rPr>
              <w:t>Verificación de cumplimiento de productos para aprobación de desembolso</w:t>
            </w:r>
          </w:p>
        </w:tc>
        <w:tc>
          <w:tcPr>
            <w:tcW w:w="360" w:type="dxa"/>
            <w:tcBorders>
              <w:bottom w:val="single" w:sz="4" w:space="0" w:color="auto"/>
            </w:tcBorders>
            <w:shd w:val="clear" w:color="auto" w:fill="7F7F7F" w:themeFill="text1" w:themeFillTint="80"/>
          </w:tcPr>
          <w:p w14:paraId="5E7438A5" w14:textId="77777777" w:rsidR="00F050AE" w:rsidRPr="008E3FFB" w:rsidRDefault="00F050AE" w:rsidP="00FD0DF7">
            <w:pPr>
              <w:pStyle w:val="Regtable"/>
              <w:framePr w:wrap="auto" w:vAnchor="margin" w:yAlign="inline"/>
              <w:spacing w:before="0" w:after="0"/>
              <w:jc w:val="both"/>
              <w:rPr>
                <w:rFonts w:ascii="Arial" w:hAnsi="Arial" w:cs="Arial"/>
                <w:sz w:val="18"/>
                <w:szCs w:val="18"/>
              </w:rPr>
            </w:pPr>
          </w:p>
        </w:tc>
        <w:tc>
          <w:tcPr>
            <w:tcW w:w="360" w:type="dxa"/>
            <w:tcBorders>
              <w:bottom w:val="single" w:sz="4" w:space="0" w:color="auto"/>
            </w:tcBorders>
            <w:shd w:val="clear" w:color="auto" w:fill="FFFFFF" w:themeFill="background1"/>
          </w:tcPr>
          <w:p w14:paraId="2BADE7A9" w14:textId="77777777" w:rsidR="00F050AE" w:rsidRPr="008E3FFB" w:rsidRDefault="00F050AE" w:rsidP="00FD0DF7">
            <w:pPr>
              <w:pStyle w:val="Regtable"/>
              <w:framePr w:wrap="auto" w:vAnchor="margin" w:yAlign="inline"/>
              <w:spacing w:before="0" w:after="0"/>
              <w:jc w:val="both"/>
              <w:rPr>
                <w:rFonts w:ascii="Arial" w:hAnsi="Arial" w:cs="Arial"/>
                <w:sz w:val="18"/>
                <w:szCs w:val="18"/>
              </w:rPr>
            </w:pPr>
          </w:p>
        </w:tc>
        <w:tc>
          <w:tcPr>
            <w:tcW w:w="360" w:type="dxa"/>
            <w:tcBorders>
              <w:bottom w:val="single" w:sz="4" w:space="0" w:color="auto"/>
            </w:tcBorders>
            <w:shd w:val="clear" w:color="auto" w:fill="auto"/>
          </w:tcPr>
          <w:p w14:paraId="499D1071" w14:textId="77777777" w:rsidR="00F050AE" w:rsidRPr="008E3FFB" w:rsidRDefault="00F050AE" w:rsidP="00FD0DF7">
            <w:pPr>
              <w:pStyle w:val="Regtable"/>
              <w:framePr w:wrap="auto" w:vAnchor="margin" w:yAlign="inline"/>
              <w:spacing w:before="0" w:after="0"/>
              <w:jc w:val="both"/>
              <w:rPr>
                <w:rFonts w:ascii="Arial" w:hAnsi="Arial" w:cs="Arial"/>
                <w:sz w:val="18"/>
                <w:szCs w:val="18"/>
              </w:rPr>
            </w:pPr>
          </w:p>
        </w:tc>
        <w:tc>
          <w:tcPr>
            <w:tcW w:w="360" w:type="dxa"/>
            <w:tcBorders>
              <w:bottom w:val="single" w:sz="4" w:space="0" w:color="auto"/>
            </w:tcBorders>
            <w:shd w:val="clear" w:color="auto" w:fill="auto"/>
          </w:tcPr>
          <w:p w14:paraId="298C94EC" w14:textId="77777777" w:rsidR="00F050AE" w:rsidRPr="008E3FFB" w:rsidRDefault="00F050AE" w:rsidP="00FD0DF7">
            <w:pPr>
              <w:pStyle w:val="Regtable"/>
              <w:framePr w:wrap="auto" w:vAnchor="margin" w:yAlign="inline"/>
              <w:spacing w:before="0" w:after="0"/>
              <w:jc w:val="both"/>
              <w:rPr>
                <w:rFonts w:ascii="Arial" w:hAnsi="Arial" w:cs="Arial"/>
                <w:sz w:val="18"/>
                <w:szCs w:val="18"/>
              </w:rPr>
            </w:pPr>
          </w:p>
        </w:tc>
        <w:tc>
          <w:tcPr>
            <w:tcW w:w="337" w:type="dxa"/>
            <w:tcBorders>
              <w:bottom w:val="single" w:sz="4" w:space="0" w:color="auto"/>
            </w:tcBorders>
          </w:tcPr>
          <w:p w14:paraId="7CB79D1F" w14:textId="77777777" w:rsidR="00F050AE" w:rsidRDefault="00F050AE" w:rsidP="00FD0DF7">
            <w:pPr>
              <w:pStyle w:val="Regtable"/>
              <w:framePr w:wrap="auto" w:vAnchor="margin" w:yAlign="inline"/>
              <w:spacing w:before="0" w:after="0"/>
              <w:jc w:val="both"/>
              <w:rPr>
                <w:rFonts w:ascii="Arial" w:hAnsi="Arial" w:cs="Arial"/>
                <w:sz w:val="18"/>
                <w:szCs w:val="18"/>
              </w:rPr>
            </w:pPr>
          </w:p>
        </w:tc>
        <w:tc>
          <w:tcPr>
            <w:tcW w:w="1553" w:type="dxa"/>
          </w:tcPr>
          <w:p w14:paraId="1139DB5B" w14:textId="0512ED83" w:rsidR="00F050AE" w:rsidRDefault="00F050AE" w:rsidP="00FD0DF7">
            <w:pPr>
              <w:pStyle w:val="Regtable"/>
              <w:framePr w:wrap="auto" w:vAnchor="margin" w:yAlign="inline"/>
              <w:spacing w:before="0" w:after="0"/>
              <w:jc w:val="both"/>
              <w:rPr>
                <w:rFonts w:ascii="Arial" w:hAnsi="Arial" w:cs="Arial"/>
                <w:bCs/>
                <w:spacing w:val="0"/>
                <w:sz w:val="18"/>
                <w:lang w:val="es-AR" w:eastAsia="es-AR"/>
              </w:rPr>
            </w:pPr>
            <w:r>
              <w:rPr>
                <w:rFonts w:ascii="Arial" w:hAnsi="Arial" w:cs="Arial"/>
                <w:sz w:val="18"/>
                <w:szCs w:val="18"/>
              </w:rPr>
              <w:t>MEF</w:t>
            </w:r>
          </w:p>
        </w:tc>
        <w:tc>
          <w:tcPr>
            <w:tcW w:w="3330" w:type="dxa"/>
          </w:tcPr>
          <w:p w14:paraId="177CBCF4" w14:textId="641609A7" w:rsidR="00F050AE" w:rsidRDefault="00660916" w:rsidP="00FD0DF7">
            <w:pPr>
              <w:pStyle w:val="Regtable"/>
              <w:framePr w:wrap="auto" w:vAnchor="margin" w:yAlign="inline"/>
              <w:spacing w:before="0" w:after="0"/>
              <w:jc w:val="both"/>
              <w:rPr>
                <w:rFonts w:ascii="Arial" w:hAnsi="Arial" w:cs="Arial"/>
                <w:sz w:val="18"/>
                <w:szCs w:val="18"/>
              </w:rPr>
            </w:pPr>
            <w:r>
              <w:rPr>
                <w:rFonts w:ascii="Arial" w:hAnsi="Arial" w:cs="Arial"/>
                <w:sz w:val="18"/>
                <w:szCs w:val="18"/>
              </w:rPr>
              <w:t>0</w:t>
            </w:r>
          </w:p>
        </w:tc>
      </w:tr>
      <w:tr w:rsidR="004E3E79" w:rsidRPr="008E3FFB" w14:paraId="7BE95465" w14:textId="77777777" w:rsidTr="00C27CB3">
        <w:trPr>
          <w:trHeight w:val="366"/>
        </w:trPr>
        <w:tc>
          <w:tcPr>
            <w:tcW w:w="2800" w:type="dxa"/>
          </w:tcPr>
          <w:p w14:paraId="08369F63" w14:textId="26D0533F" w:rsidR="004E3E79" w:rsidRDefault="004E3E79" w:rsidP="00FD0DF7">
            <w:pPr>
              <w:jc w:val="both"/>
              <w:rPr>
                <w:rFonts w:ascii="Arial" w:hAnsi="Arial" w:cs="Arial"/>
                <w:spacing w:val="0"/>
                <w:sz w:val="18"/>
                <w:lang w:val="es-AR" w:eastAsia="es-AR"/>
              </w:rPr>
            </w:pPr>
            <w:r>
              <w:rPr>
                <w:rFonts w:ascii="Arial" w:hAnsi="Arial" w:cs="Arial"/>
                <w:spacing w:val="0"/>
                <w:sz w:val="18"/>
                <w:lang w:val="es-AR" w:eastAsia="es-AR"/>
              </w:rPr>
              <w:t>Evaluación de efectividad en consecución de resultados (comparación reflexiva)</w:t>
            </w:r>
          </w:p>
        </w:tc>
        <w:tc>
          <w:tcPr>
            <w:tcW w:w="360" w:type="dxa"/>
            <w:tcBorders>
              <w:bottom w:val="single" w:sz="4" w:space="0" w:color="auto"/>
            </w:tcBorders>
            <w:shd w:val="clear" w:color="auto" w:fill="7F7F7F" w:themeFill="text1" w:themeFillTint="80"/>
          </w:tcPr>
          <w:p w14:paraId="328D458C" w14:textId="77777777" w:rsidR="004E3E79" w:rsidRPr="008E3FFB" w:rsidRDefault="004E3E79" w:rsidP="00FD0DF7">
            <w:pPr>
              <w:pStyle w:val="Regtable"/>
              <w:framePr w:wrap="auto" w:vAnchor="margin" w:yAlign="inline"/>
              <w:spacing w:before="0" w:after="0"/>
              <w:jc w:val="both"/>
              <w:rPr>
                <w:rFonts w:ascii="Arial" w:hAnsi="Arial" w:cs="Arial"/>
                <w:sz w:val="18"/>
                <w:szCs w:val="18"/>
              </w:rPr>
            </w:pPr>
          </w:p>
        </w:tc>
        <w:tc>
          <w:tcPr>
            <w:tcW w:w="360" w:type="dxa"/>
            <w:tcBorders>
              <w:bottom w:val="single" w:sz="4" w:space="0" w:color="auto"/>
            </w:tcBorders>
            <w:shd w:val="clear" w:color="auto" w:fill="FFFFFF" w:themeFill="background1"/>
          </w:tcPr>
          <w:p w14:paraId="70B1E89E" w14:textId="77777777" w:rsidR="004E3E79" w:rsidRPr="008E3FFB" w:rsidRDefault="004E3E79" w:rsidP="00FD0DF7">
            <w:pPr>
              <w:pStyle w:val="Regtable"/>
              <w:framePr w:wrap="auto" w:vAnchor="margin" w:yAlign="inline"/>
              <w:spacing w:before="0" w:after="0"/>
              <w:jc w:val="both"/>
              <w:rPr>
                <w:rFonts w:ascii="Arial" w:hAnsi="Arial" w:cs="Arial"/>
                <w:sz w:val="18"/>
                <w:szCs w:val="18"/>
              </w:rPr>
            </w:pPr>
          </w:p>
        </w:tc>
        <w:tc>
          <w:tcPr>
            <w:tcW w:w="360" w:type="dxa"/>
            <w:tcBorders>
              <w:bottom w:val="single" w:sz="4" w:space="0" w:color="auto"/>
            </w:tcBorders>
            <w:shd w:val="clear" w:color="auto" w:fill="auto"/>
          </w:tcPr>
          <w:p w14:paraId="7435F0A7" w14:textId="77777777" w:rsidR="004E3E79" w:rsidRPr="008E3FFB" w:rsidRDefault="004E3E79" w:rsidP="00FD0DF7">
            <w:pPr>
              <w:pStyle w:val="Regtable"/>
              <w:framePr w:wrap="auto" w:vAnchor="margin" w:yAlign="inline"/>
              <w:spacing w:before="0" w:after="0"/>
              <w:jc w:val="both"/>
              <w:rPr>
                <w:rFonts w:ascii="Arial" w:hAnsi="Arial" w:cs="Arial"/>
                <w:sz w:val="18"/>
                <w:szCs w:val="18"/>
              </w:rPr>
            </w:pPr>
          </w:p>
        </w:tc>
        <w:tc>
          <w:tcPr>
            <w:tcW w:w="360" w:type="dxa"/>
            <w:tcBorders>
              <w:bottom w:val="single" w:sz="4" w:space="0" w:color="auto"/>
            </w:tcBorders>
            <w:shd w:val="clear" w:color="auto" w:fill="auto"/>
          </w:tcPr>
          <w:p w14:paraId="545E2F3A" w14:textId="77777777" w:rsidR="004E3E79" w:rsidRPr="008E3FFB" w:rsidRDefault="004E3E79" w:rsidP="00FD0DF7">
            <w:pPr>
              <w:pStyle w:val="Regtable"/>
              <w:framePr w:wrap="auto" w:vAnchor="margin" w:yAlign="inline"/>
              <w:spacing w:before="0" w:after="0"/>
              <w:jc w:val="both"/>
              <w:rPr>
                <w:rFonts w:ascii="Arial" w:hAnsi="Arial" w:cs="Arial"/>
                <w:sz w:val="18"/>
                <w:szCs w:val="18"/>
              </w:rPr>
            </w:pPr>
          </w:p>
        </w:tc>
        <w:tc>
          <w:tcPr>
            <w:tcW w:w="337" w:type="dxa"/>
            <w:tcBorders>
              <w:bottom w:val="single" w:sz="4" w:space="0" w:color="auto"/>
            </w:tcBorders>
          </w:tcPr>
          <w:p w14:paraId="3C46A7F3" w14:textId="77777777" w:rsidR="004E3E79" w:rsidRDefault="004E3E79" w:rsidP="00FD0DF7">
            <w:pPr>
              <w:pStyle w:val="Regtable"/>
              <w:framePr w:wrap="auto" w:vAnchor="margin" w:yAlign="inline"/>
              <w:spacing w:before="0" w:after="0"/>
              <w:jc w:val="both"/>
              <w:rPr>
                <w:rFonts w:ascii="Arial" w:hAnsi="Arial" w:cs="Arial"/>
                <w:sz w:val="18"/>
                <w:szCs w:val="18"/>
              </w:rPr>
            </w:pPr>
          </w:p>
        </w:tc>
        <w:tc>
          <w:tcPr>
            <w:tcW w:w="1553" w:type="dxa"/>
          </w:tcPr>
          <w:p w14:paraId="7DA5F3FC" w14:textId="619DAB66" w:rsidR="004E3E79" w:rsidRDefault="004E3E79" w:rsidP="00FD0DF7">
            <w:pPr>
              <w:pStyle w:val="Regtable"/>
              <w:framePr w:wrap="auto" w:vAnchor="margin" w:yAlign="inline"/>
              <w:spacing w:before="0" w:after="0"/>
              <w:jc w:val="both"/>
              <w:rPr>
                <w:rFonts w:ascii="Arial" w:hAnsi="Arial" w:cs="Arial"/>
                <w:sz w:val="18"/>
                <w:szCs w:val="18"/>
              </w:rPr>
            </w:pPr>
            <w:r>
              <w:rPr>
                <w:rFonts w:ascii="Arial" w:hAnsi="Arial" w:cs="Arial"/>
                <w:sz w:val="18"/>
                <w:szCs w:val="18"/>
              </w:rPr>
              <w:t>MEF en coordinación con el BID</w:t>
            </w:r>
          </w:p>
        </w:tc>
        <w:tc>
          <w:tcPr>
            <w:tcW w:w="3330" w:type="dxa"/>
          </w:tcPr>
          <w:p w14:paraId="628DFB2A" w14:textId="21166B22" w:rsidR="004E3E79" w:rsidRDefault="004E3E79" w:rsidP="00FD0DF7">
            <w:pPr>
              <w:pStyle w:val="Regtable"/>
              <w:framePr w:wrap="auto" w:vAnchor="margin" w:yAlign="inline"/>
              <w:spacing w:before="0" w:after="0"/>
              <w:jc w:val="both"/>
              <w:rPr>
                <w:rFonts w:ascii="Arial" w:hAnsi="Arial" w:cs="Arial"/>
                <w:sz w:val="18"/>
                <w:szCs w:val="18"/>
              </w:rPr>
            </w:pPr>
            <w:r>
              <w:rPr>
                <w:rFonts w:ascii="Arial" w:hAnsi="Arial" w:cs="Arial"/>
                <w:sz w:val="18"/>
                <w:szCs w:val="18"/>
              </w:rPr>
              <w:t>0</w:t>
            </w:r>
          </w:p>
        </w:tc>
      </w:tr>
      <w:tr w:rsidR="00F050AE" w:rsidRPr="008E3FFB" w14:paraId="5F1A2776" w14:textId="27698A80" w:rsidTr="00C27CB3">
        <w:trPr>
          <w:trHeight w:val="530"/>
        </w:trPr>
        <w:tc>
          <w:tcPr>
            <w:tcW w:w="2800" w:type="dxa"/>
            <w:vAlign w:val="center"/>
          </w:tcPr>
          <w:p w14:paraId="2CD4465C" w14:textId="23578187" w:rsidR="00F050AE" w:rsidRPr="008E3FFB" w:rsidRDefault="00F050AE" w:rsidP="00FD0DF7">
            <w:pPr>
              <w:jc w:val="both"/>
              <w:rPr>
                <w:rFonts w:ascii="Arial" w:hAnsi="Arial" w:cs="Arial"/>
                <w:spacing w:val="0"/>
                <w:sz w:val="18"/>
                <w:szCs w:val="18"/>
                <w:lang w:val="es-AR" w:eastAsia="es-AR"/>
              </w:rPr>
            </w:pPr>
            <w:r>
              <w:rPr>
                <w:rFonts w:ascii="Arial" w:hAnsi="Arial" w:cs="Arial"/>
                <w:spacing w:val="0"/>
                <w:sz w:val="18"/>
                <w:lang w:val="es-AR" w:eastAsia="es-AR"/>
              </w:rPr>
              <w:t>Evaluación de efectividad en consecución de resultados</w:t>
            </w:r>
          </w:p>
        </w:tc>
        <w:tc>
          <w:tcPr>
            <w:tcW w:w="360" w:type="dxa"/>
            <w:shd w:val="clear" w:color="auto" w:fill="auto"/>
          </w:tcPr>
          <w:p w14:paraId="0835EF39" w14:textId="77777777" w:rsidR="00F050AE" w:rsidRPr="008E3FFB" w:rsidRDefault="00F050AE" w:rsidP="00FD0DF7">
            <w:pPr>
              <w:pStyle w:val="Regtable"/>
              <w:framePr w:wrap="around"/>
              <w:spacing w:before="0" w:after="0"/>
              <w:jc w:val="both"/>
              <w:rPr>
                <w:rFonts w:ascii="Arial" w:hAnsi="Arial" w:cs="Arial"/>
                <w:sz w:val="18"/>
                <w:szCs w:val="18"/>
              </w:rPr>
            </w:pPr>
          </w:p>
        </w:tc>
        <w:tc>
          <w:tcPr>
            <w:tcW w:w="360" w:type="dxa"/>
            <w:shd w:val="clear" w:color="auto" w:fill="auto"/>
          </w:tcPr>
          <w:p w14:paraId="21E6E64C" w14:textId="77777777" w:rsidR="00F050AE" w:rsidRPr="00CA6655" w:rsidRDefault="00F050AE" w:rsidP="00FD0DF7">
            <w:pPr>
              <w:jc w:val="both"/>
            </w:pPr>
          </w:p>
        </w:tc>
        <w:tc>
          <w:tcPr>
            <w:tcW w:w="360" w:type="dxa"/>
            <w:shd w:val="clear" w:color="auto" w:fill="7F7F7F" w:themeFill="text1" w:themeFillTint="80"/>
          </w:tcPr>
          <w:p w14:paraId="33DB9C89" w14:textId="77777777" w:rsidR="00F050AE" w:rsidRPr="00CA6655" w:rsidRDefault="00F050AE" w:rsidP="00FD0DF7">
            <w:pPr>
              <w:jc w:val="both"/>
            </w:pPr>
          </w:p>
        </w:tc>
        <w:tc>
          <w:tcPr>
            <w:tcW w:w="360" w:type="dxa"/>
            <w:tcBorders>
              <w:bottom w:val="single" w:sz="4" w:space="0" w:color="auto"/>
            </w:tcBorders>
            <w:shd w:val="clear" w:color="auto" w:fill="auto"/>
          </w:tcPr>
          <w:p w14:paraId="43C177F7" w14:textId="77777777" w:rsidR="00F050AE" w:rsidRPr="008E3FFB" w:rsidRDefault="00F050AE" w:rsidP="00FD0DF7">
            <w:pPr>
              <w:pStyle w:val="Regtable"/>
              <w:framePr w:wrap="around"/>
              <w:spacing w:before="0" w:after="0"/>
              <w:jc w:val="both"/>
              <w:rPr>
                <w:rFonts w:ascii="Arial" w:hAnsi="Arial" w:cs="Arial"/>
                <w:noProof w:val="0"/>
                <w:sz w:val="18"/>
                <w:szCs w:val="18"/>
              </w:rPr>
            </w:pPr>
          </w:p>
        </w:tc>
        <w:tc>
          <w:tcPr>
            <w:tcW w:w="337" w:type="dxa"/>
            <w:shd w:val="clear" w:color="auto" w:fill="auto"/>
          </w:tcPr>
          <w:p w14:paraId="2EAB4ADF" w14:textId="77777777" w:rsidR="00F050AE" w:rsidRDefault="00F050AE" w:rsidP="00FD0DF7">
            <w:pPr>
              <w:pStyle w:val="Regtable"/>
              <w:framePr w:wrap="around"/>
              <w:spacing w:before="0" w:after="0"/>
              <w:jc w:val="both"/>
              <w:rPr>
                <w:rFonts w:ascii="Arial" w:hAnsi="Arial" w:cs="Arial"/>
                <w:sz w:val="18"/>
                <w:szCs w:val="18"/>
              </w:rPr>
            </w:pPr>
          </w:p>
        </w:tc>
        <w:tc>
          <w:tcPr>
            <w:tcW w:w="1553" w:type="dxa"/>
          </w:tcPr>
          <w:p w14:paraId="70240576" w14:textId="3C704ABB" w:rsidR="00F050AE" w:rsidRPr="008E3FFB" w:rsidRDefault="00F050AE" w:rsidP="00FD0DF7">
            <w:pPr>
              <w:pStyle w:val="Regtable"/>
              <w:framePr w:wrap="around"/>
              <w:spacing w:before="0" w:after="0"/>
              <w:jc w:val="both"/>
              <w:rPr>
                <w:rFonts w:ascii="Arial" w:hAnsi="Arial" w:cs="Arial"/>
                <w:noProof w:val="0"/>
                <w:sz w:val="18"/>
                <w:szCs w:val="18"/>
                <w:lang w:val="es-ES"/>
              </w:rPr>
            </w:pPr>
            <w:r>
              <w:rPr>
                <w:rFonts w:ascii="Arial" w:hAnsi="Arial" w:cs="Arial"/>
                <w:sz w:val="18"/>
                <w:szCs w:val="18"/>
              </w:rPr>
              <w:t>MEF en coordinación con el BID</w:t>
            </w:r>
          </w:p>
        </w:tc>
        <w:tc>
          <w:tcPr>
            <w:tcW w:w="3330" w:type="dxa"/>
          </w:tcPr>
          <w:p w14:paraId="6EEF999B" w14:textId="77777777" w:rsidR="00563405" w:rsidRDefault="004E3E79" w:rsidP="00FD0DF7">
            <w:pPr>
              <w:pStyle w:val="Regtable"/>
              <w:framePr w:wrap="around"/>
              <w:spacing w:before="0" w:after="0"/>
              <w:jc w:val="both"/>
              <w:rPr>
                <w:rFonts w:ascii="Arial" w:hAnsi="Arial" w:cs="Arial"/>
                <w:sz w:val="18"/>
                <w:szCs w:val="18"/>
              </w:rPr>
            </w:pPr>
            <w:r>
              <w:rPr>
                <w:rFonts w:ascii="Arial" w:hAnsi="Arial" w:cs="Arial"/>
                <w:sz w:val="18"/>
                <w:szCs w:val="18"/>
              </w:rPr>
              <w:t>Por definir</w:t>
            </w:r>
          </w:p>
          <w:p w14:paraId="16F30A46" w14:textId="78E4CA90" w:rsidR="00F050AE" w:rsidRDefault="004E3E79" w:rsidP="00FD0DF7">
            <w:pPr>
              <w:pStyle w:val="Regtable"/>
              <w:framePr w:wrap="around"/>
              <w:spacing w:before="0" w:after="0"/>
              <w:jc w:val="both"/>
              <w:rPr>
                <w:rFonts w:ascii="Arial" w:hAnsi="Arial" w:cs="Arial"/>
                <w:sz w:val="18"/>
                <w:szCs w:val="18"/>
              </w:rPr>
            </w:pPr>
            <w:r>
              <w:rPr>
                <w:rFonts w:ascii="Arial" w:hAnsi="Arial" w:cs="Arial"/>
                <w:sz w:val="18"/>
                <w:szCs w:val="18"/>
              </w:rPr>
              <w:t>(relevamiento sería financiado como parte de la recolección de la ENE 2019, esfuerzo complementario sería financiado con recursos de evaluación de impacto de programas de extensión especificados al final de la tabla)</w:t>
            </w:r>
          </w:p>
        </w:tc>
      </w:tr>
      <w:tr w:rsidR="00F050AE" w:rsidRPr="008E3FFB" w14:paraId="0C40C382" w14:textId="04DDD4A2" w:rsidTr="00C27CB3">
        <w:trPr>
          <w:trHeight w:val="272"/>
        </w:trPr>
        <w:tc>
          <w:tcPr>
            <w:tcW w:w="2800" w:type="dxa"/>
            <w:vAlign w:val="center"/>
          </w:tcPr>
          <w:p w14:paraId="0968C29F" w14:textId="77777777" w:rsidR="00F050AE" w:rsidRDefault="00F050AE" w:rsidP="00FD0DF7">
            <w:pPr>
              <w:jc w:val="both"/>
              <w:rPr>
                <w:rFonts w:ascii="Arial" w:hAnsi="Arial" w:cs="Arial"/>
                <w:spacing w:val="0"/>
                <w:sz w:val="18"/>
                <w:szCs w:val="18"/>
                <w:lang w:val="es-AR" w:eastAsia="es-AR"/>
              </w:rPr>
            </w:pPr>
            <w:r>
              <w:rPr>
                <w:rFonts w:ascii="Arial" w:hAnsi="Arial" w:cs="Arial"/>
                <w:spacing w:val="0"/>
                <w:sz w:val="18"/>
                <w:szCs w:val="18"/>
                <w:lang w:val="es-AR" w:eastAsia="es-AR"/>
              </w:rPr>
              <w:t xml:space="preserve">Evaluación final del programa </w:t>
            </w:r>
          </w:p>
        </w:tc>
        <w:tc>
          <w:tcPr>
            <w:tcW w:w="360" w:type="dxa"/>
            <w:shd w:val="clear" w:color="auto" w:fill="auto"/>
          </w:tcPr>
          <w:p w14:paraId="5B7D973A" w14:textId="77777777" w:rsidR="00F050AE" w:rsidRPr="008E3FFB" w:rsidRDefault="00F050AE" w:rsidP="00FD0DF7">
            <w:pPr>
              <w:pStyle w:val="Regtable"/>
              <w:framePr w:wrap="auto" w:vAnchor="margin" w:yAlign="inline"/>
              <w:spacing w:before="0" w:after="0"/>
              <w:jc w:val="both"/>
              <w:rPr>
                <w:rFonts w:ascii="Arial" w:hAnsi="Arial" w:cs="Arial"/>
                <w:sz w:val="18"/>
                <w:szCs w:val="18"/>
              </w:rPr>
            </w:pPr>
          </w:p>
        </w:tc>
        <w:tc>
          <w:tcPr>
            <w:tcW w:w="360" w:type="dxa"/>
            <w:shd w:val="clear" w:color="auto" w:fill="auto"/>
          </w:tcPr>
          <w:p w14:paraId="7C1F7E7C" w14:textId="77777777" w:rsidR="00F050AE" w:rsidRPr="008E3FFB" w:rsidRDefault="00F050AE" w:rsidP="00FD0DF7">
            <w:pPr>
              <w:pStyle w:val="Regtable"/>
              <w:framePr w:wrap="auto" w:vAnchor="margin" w:yAlign="inline"/>
              <w:spacing w:before="0" w:after="0"/>
              <w:jc w:val="both"/>
              <w:rPr>
                <w:rFonts w:ascii="Arial" w:hAnsi="Arial" w:cs="Arial"/>
                <w:sz w:val="18"/>
                <w:szCs w:val="18"/>
              </w:rPr>
            </w:pPr>
          </w:p>
        </w:tc>
        <w:tc>
          <w:tcPr>
            <w:tcW w:w="360" w:type="dxa"/>
            <w:shd w:val="clear" w:color="auto" w:fill="auto"/>
          </w:tcPr>
          <w:p w14:paraId="5F4442E5" w14:textId="77777777" w:rsidR="00F050AE" w:rsidRPr="008E3FFB" w:rsidRDefault="00F050AE" w:rsidP="00FD0DF7">
            <w:pPr>
              <w:pStyle w:val="Regtable"/>
              <w:framePr w:wrap="auto" w:vAnchor="margin" w:yAlign="inline"/>
              <w:spacing w:before="0" w:after="0"/>
              <w:jc w:val="both"/>
              <w:rPr>
                <w:rFonts w:ascii="Arial" w:hAnsi="Arial" w:cs="Arial"/>
                <w:sz w:val="18"/>
                <w:szCs w:val="18"/>
              </w:rPr>
            </w:pPr>
          </w:p>
        </w:tc>
        <w:tc>
          <w:tcPr>
            <w:tcW w:w="360" w:type="dxa"/>
            <w:shd w:val="clear" w:color="auto" w:fill="7F7F7F" w:themeFill="text1" w:themeFillTint="80"/>
          </w:tcPr>
          <w:p w14:paraId="58C7421A" w14:textId="77777777" w:rsidR="00F050AE" w:rsidRPr="008E3FFB" w:rsidRDefault="00F050AE" w:rsidP="00FD0DF7">
            <w:pPr>
              <w:pStyle w:val="Regtable"/>
              <w:framePr w:wrap="auto" w:vAnchor="margin" w:yAlign="inline"/>
              <w:spacing w:before="0" w:after="0"/>
              <w:jc w:val="both"/>
              <w:rPr>
                <w:rFonts w:ascii="Arial" w:hAnsi="Arial" w:cs="Arial"/>
                <w:noProof w:val="0"/>
                <w:sz w:val="18"/>
                <w:szCs w:val="18"/>
                <w:lang w:val="es-ES"/>
              </w:rPr>
            </w:pPr>
          </w:p>
        </w:tc>
        <w:tc>
          <w:tcPr>
            <w:tcW w:w="337" w:type="dxa"/>
            <w:tcBorders>
              <w:bottom w:val="single" w:sz="4" w:space="0" w:color="auto"/>
            </w:tcBorders>
            <w:shd w:val="clear" w:color="auto" w:fill="auto"/>
          </w:tcPr>
          <w:p w14:paraId="29F3E234" w14:textId="77777777" w:rsidR="00F050AE" w:rsidRDefault="00F050AE" w:rsidP="00FD0DF7">
            <w:pPr>
              <w:pStyle w:val="Regtable"/>
              <w:framePr w:wrap="auto" w:vAnchor="margin" w:yAlign="inline"/>
              <w:spacing w:before="0" w:after="0"/>
              <w:jc w:val="both"/>
              <w:rPr>
                <w:rFonts w:ascii="Arial" w:hAnsi="Arial" w:cs="Arial"/>
                <w:bCs/>
                <w:spacing w:val="0"/>
                <w:sz w:val="18"/>
                <w:lang w:val="es-AR" w:eastAsia="es-AR"/>
              </w:rPr>
            </w:pPr>
          </w:p>
        </w:tc>
        <w:tc>
          <w:tcPr>
            <w:tcW w:w="1553" w:type="dxa"/>
          </w:tcPr>
          <w:p w14:paraId="6F3FC366" w14:textId="255DD1AB" w:rsidR="00F050AE" w:rsidRPr="00DB5CFA" w:rsidRDefault="00F050AE" w:rsidP="00FD0DF7">
            <w:pPr>
              <w:pStyle w:val="Regtable"/>
              <w:framePr w:wrap="auto" w:vAnchor="margin" w:yAlign="inline"/>
              <w:spacing w:before="0" w:after="0"/>
              <w:jc w:val="both"/>
              <w:rPr>
                <w:rFonts w:ascii="Arial" w:hAnsi="Arial" w:cs="Arial"/>
                <w:bCs/>
                <w:spacing w:val="0"/>
                <w:lang w:val="es-AR" w:eastAsia="es-AR"/>
              </w:rPr>
            </w:pPr>
            <w:r>
              <w:rPr>
                <w:rFonts w:ascii="Arial" w:hAnsi="Arial" w:cs="Arial"/>
                <w:bCs/>
                <w:spacing w:val="0"/>
                <w:sz w:val="18"/>
                <w:lang w:val="es-AR" w:eastAsia="es-AR"/>
              </w:rPr>
              <w:t>MEF en coordinación con el BID</w:t>
            </w:r>
          </w:p>
        </w:tc>
        <w:tc>
          <w:tcPr>
            <w:tcW w:w="3330" w:type="dxa"/>
          </w:tcPr>
          <w:p w14:paraId="3A2FD90F" w14:textId="77777777" w:rsidR="00F050AE" w:rsidRDefault="00622EAE" w:rsidP="00FD0DF7">
            <w:pPr>
              <w:pStyle w:val="Regtable"/>
              <w:framePr w:wrap="auto" w:vAnchor="margin" w:yAlign="inline"/>
              <w:spacing w:before="0" w:after="0"/>
              <w:jc w:val="both"/>
              <w:rPr>
                <w:rFonts w:ascii="Arial" w:hAnsi="Arial" w:cs="Arial"/>
                <w:bCs/>
                <w:spacing w:val="0"/>
                <w:sz w:val="18"/>
                <w:lang w:val="es-AR" w:eastAsia="es-AR"/>
              </w:rPr>
            </w:pPr>
            <w:r>
              <w:rPr>
                <w:rFonts w:ascii="Arial" w:hAnsi="Arial" w:cs="Arial"/>
                <w:bCs/>
                <w:spacing w:val="0"/>
                <w:sz w:val="18"/>
                <w:lang w:val="es-AR" w:eastAsia="es-AR"/>
              </w:rPr>
              <w:t>20</w:t>
            </w:r>
          </w:p>
          <w:p w14:paraId="4D32FCFA" w14:textId="66D03183" w:rsidR="00622EAE" w:rsidRDefault="00622EAE" w:rsidP="00FD0DF7">
            <w:pPr>
              <w:pStyle w:val="Regtable"/>
              <w:framePr w:wrap="auto" w:vAnchor="margin" w:yAlign="inline"/>
              <w:spacing w:before="0" w:after="0"/>
              <w:jc w:val="both"/>
              <w:rPr>
                <w:rFonts w:ascii="Arial" w:hAnsi="Arial" w:cs="Arial"/>
                <w:bCs/>
                <w:spacing w:val="0"/>
                <w:sz w:val="18"/>
                <w:lang w:val="es-AR" w:eastAsia="es-AR"/>
              </w:rPr>
            </w:pPr>
            <w:r>
              <w:rPr>
                <w:rFonts w:ascii="Arial" w:hAnsi="Arial" w:cs="Arial"/>
                <w:bCs/>
                <w:spacing w:val="0"/>
                <w:sz w:val="18"/>
                <w:lang w:val="es-AR" w:eastAsia="es-AR"/>
              </w:rPr>
              <w:t>Presupuesto indicativo de preparación de PCR</w:t>
            </w:r>
          </w:p>
        </w:tc>
      </w:tr>
      <w:tr w:rsidR="00F050AE" w:rsidRPr="008E3FFB" w14:paraId="6C2E48C4" w14:textId="381FF084" w:rsidTr="00C27CB3">
        <w:trPr>
          <w:trHeight w:val="272"/>
        </w:trPr>
        <w:tc>
          <w:tcPr>
            <w:tcW w:w="2800" w:type="dxa"/>
            <w:vAlign w:val="center"/>
          </w:tcPr>
          <w:p w14:paraId="5C1011E2" w14:textId="7AC0DAD9" w:rsidR="00F050AE" w:rsidRDefault="00F050AE" w:rsidP="00FD0DF7">
            <w:pPr>
              <w:jc w:val="both"/>
              <w:rPr>
                <w:rFonts w:ascii="Arial" w:hAnsi="Arial" w:cs="Arial"/>
                <w:spacing w:val="0"/>
                <w:sz w:val="18"/>
                <w:szCs w:val="18"/>
                <w:lang w:val="es-AR" w:eastAsia="es-AR"/>
              </w:rPr>
            </w:pPr>
            <w:r>
              <w:rPr>
                <w:rFonts w:ascii="Arial" w:hAnsi="Arial" w:cs="Arial"/>
                <w:spacing w:val="0"/>
                <w:sz w:val="18"/>
                <w:szCs w:val="18"/>
                <w:lang w:val="es-AR" w:eastAsia="es-AR"/>
              </w:rPr>
              <w:t>Evaluación de efectividad en consecución de impactos</w:t>
            </w:r>
          </w:p>
        </w:tc>
        <w:tc>
          <w:tcPr>
            <w:tcW w:w="360" w:type="dxa"/>
            <w:shd w:val="clear" w:color="auto" w:fill="auto"/>
          </w:tcPr>
          <w:p w14:paraId="6F8AF99E" w14:textId="77777777" w:rsidR="00F050AE" w:rsidRPr="008E3FFB" w:rsidRDefault="00F050AE" w:rsidP="00FD0DF7">
            <w:pPr>
              <w:pStyle w:val="Regtable"/>
              <w:framePr w:wrap="auto" w:vAnchor="margin" w:yAlign="inline"/>
              <w:spacing w:before="0" w:after="0"/>
              <w:jc w:val="both"/>
              <w:rPr>
                <w:rFonts w:ascii="Arial" w:hAnsi="Arial" w:cs="Arial"/>
                <w:sz w:val="18"/>
                <w:szCs w:val="18"/>
              </w:rPr>
            </w:pPr>
          </w:p>
        </w:tc>
        <w:tc>
          <w:tcPr>
            <w:tcW w:w="360" w:type="dxa"/>
            <w:shd w:val="clear" w:color="auto" w:fill="auto"/>
          </w:tcPr>
          <w:p w14:paraId="41971F87" w14:textId="77777777" w:rsidR="00F050AE" w:rsidRPr="008E3FFB" w:rsidRDefault="00F050AE" w:rsidP="00FD0DF7">
            <w:pPr>
              <w:pStyle w:val="Regtable"/>
              <w:framePr w:wrap="auto" w:vAnchor="margin" w:yAlign="inline"/>
              <w:spacing w:before="0" w:after="0"/>
              <w:jc w:val="both"/>
              <w:rPr>
                <w:rFonts w:ascii="Arial" w:hAnsi="Arial" w:cs="Arial"/>
                <w:sz w:val="18"/>
                <w:szCs w:val="18"/>
              </w:rPr>
            </w:pPr>
          </w:p>
        </w:tc>
        <w:tc>
          <w:tcPr>
            <w:tcW w:w="360" w:type="dxa"/>
            <w:shd w:val="clear" w:color="auto" w:fill="auto"/>
          </w:tcPr>
          <w:p w14:paraId="5DA16511" w14:textId="77777777" w:rsidR="00F050AE" w:rsidRPr="008E3FFB" w:rsidRDefault="00F050AE" w:rsidP="00FD0DF7">
            <w:pPr>
              <w:pStyle w:val="Regtable"/>
              <w:framePr w:wrap="auto" w:vAnchor="margin" w:yAlign="inline"/>
              <w:spacing w:before="0" w:after="0"/>
              <w:jc w:val="both"/>
              <w:rPr>
                <w:rFonts w:ascii="Arial" w:hAnsi="Arial" w:cs="Arial"/>
                <w:sz w:val="18"/>
                <w:szCs w:val="18"/>
              </w:rPr>
            </w:pPr>
          </w:p>
        </w:tc>
        <w:tc>
          <w:tcPr>
            <w:tcW w:w="360" w:type="dxa"/>
            <w:shd w:val="clear" w:color="auto" w:fill="auto"/>
          </w:tcPr>
          <w:p w14:paraId="13AF3404" w14:textId="77777777" w:rsidR="00F050AE" w:rsidRPr="008E3FFB" w:rsidRDefault="00F050AE" w:rsidP="00FD0DF7">
            <w:pPr>
              <w:pStyle w:val="Regtable"/>
              <w:framePr w:wrap="auto" w:vAnchor="margin" w:yAlign="inline"/>
              <w:spacing w:before="0" w:after="0"/>
              <w:jc w:val="both"/>
              <w:rPr>
                <w:rFonts w:ascii="Arial" w:hAnsi="Arial" w:cs="Arial"/>
                <w:noProof w:val="0"/>
                <w:sz w:val="18"/>
                <w:szCs w:val="18"/>
                <w:lang w:val="es-ES"/>
              </w:rPr>
            </w:pPr>
          </w:p>
        </w:tc>
        <w:tc>
          <w:tcPr>
            <w:tcW w:w="337" w:type="dxa"/>
            <w:shd w:val="clear" w:color="auto" w:fill="7F7F7F" w:themeFill="text1" w:themeFillTint="80"/>
          </w:tcPr>
          <w:p w14:paraId="436B3413" w14:textId="77777777" w:rsidR="00F050AE" w:rsidRDefault="00F050AE" w:rsidP="00FD0DF7">
            <w:pPr>
              <w:pStyle w:val="Regtable"/>
              <w:framePr w:wrap="auto" w:vAnchor="margin" w:yAlign="inline"/>
              <w:spacing w:before="0" w:after="0"/>
              <w:jc w:val="both"/>
              <w:rPr>
                <w:rFonts w:ascii="Arial" w:hAnsi="Arial" w:cs="Arial"/>
                <w:bCs/>
                <w:spacing w:val="0"/>
                <w:sz w:val="18"/>
                <w:lang w:val="es-AR" w:eastAsia="es-AR"/>
              </w:rPr>
            </w:pPr>
          </w:p>
        </w:tc>
        <w:tc>
          <w:tcPr>
            <w:tcW w:w="1553" w:type="dxa"/>
          </w:tcPr>
          <w:p w14:paraId="02B9A6B5" w14:textId="5D56FC2B" w:rsidR="00F050AE" w:rsidRDefault="00F050AE" w:rsidP="00FD0DF7">
            <w:pPr>
              <w:pStyle w:val="Regtable"/>
              <w:framePr w:wrap="auto" w:vAnchor="margin" w:yAlign="inline"/>
              <w:spacing w:before="0" w:after="0"/>
              <w:jc w:val="both"/>
              <w:rPr>
                <w:rFonts w:ascii="Arial" w:hAnsi="Arial" w:cs="Arial"/>
                <w:bCs/>
                <w:spacing w:val="0"/>
                <w:sz w:val="18"/>
                <w:lang w:val="es-AR" w:eastAsia="es-AR"/>
              </w:rPr>
            </w:pPr>
            <w:r>
              <w:rPr>
                <w:rFonts w:ascii="Arial" w:hAnsi="Arial" w:cs="Arial"/>
                <w:bCs/>
                <w:spacing w:val="0"/>
                <w:sz w:val="18"/>
                <w:lang w:val="es-AR" w:eastAsia="es-AR"/>
              </w:rPr>
              <w:t>BID en coordinación con MINEDU y PRODUCE</w:t>
            </w:r>
          </w:p>
        </w:tc>
        <w:tc>
          <w:tcPr>
            <w:tcW w:w="3330" w:type="dxa"/>
          </w:tcPr>
          <w:p w14:paraId="373A82F7" w14:textId="77777777" w:rsidR="00563405" w:rsidRDefault="00622EAE" w:rsidP="00FD0DF7">
            <w:pPr>
              <w:pStyle w:val="Regtable"/>
              <w:framePr w:wrap="auto" w:vAnchor="margin" w:yAlign="inline"/>
              <w:spacing w:before="0" w:after="0"/>
              <w:jc w:val="both"/>
              <w:rPr>
                <w:rFonts w:ascii="Arial" w:hAnsi="Arial" w:cs="Arial"/>
                <w:bCs/>
                <w:spacing w:val="0"/>
                <w:sz w:val="18"/>
                <w:lang w:val="es-AR" w:eastAsia="es-AR"/>
              </w:rPr>
            </w:pPr>
            <w:r>
              <w:rPr>
                <w:rFonts w:ascii="Arial" w:hAnsi="Arial" w:cs="Arial"/>
                <w:bCs/>
                <w:spacing w:val="0"/>
                <w:sz w:val="18"/>
                <w:lang w:val="es-AR" w:eastAsia="es-AR"/>
              </w:rPr>
              <w:t>1</w:t>
            </w:r>
            <w:r w:rsidR="006D41D7">
              <w:rPr>
                <w:rFonts w:ascii="Arial" w:hAnsi="Arial" w:cs="Arial"/>
                <w:bCs/>
                <w:spacing w:val="0"/>
                <w:sz w:val="18"/>
                <w:lang w:val="es-AR" w:eastAsia="es-AR"/>
              </w:rPr>
              <w:t>8</w:t>
            </w:r>
            <w:r>
              <w:rPr>
                <w:rFonts w:ascii="Arial" w:hAnsi="Arial" w:cs="Arial"/>
                <w:bCs/>
                <w:spacing w:val="0"/>
                <w:sz w:val="18"/>
                <w:lang w:val="es-AR" w:eastAsia="es-AR"/>
              </w:rPr>
              <w:t>0</w:t>
            </w:r>
          </w:p>
          <w:p w14:paraId="6DE8E32B" w14:textId="4013CDDF" w:rsidR="00622EAE" w:rsidRDefault="00622EAE" w:rsidP="00FD0DF7">
            <w:pPr>
              <w:pStyle w:val="Regtable"/>
              <w:framePr w:wrap="auto" w:vAnchor="margin" w:yAlign="inline"/>
              <w:spacing w:before="0" w:after="0"/>
              <w:jc w:val="both"/>
              <w:rPr>
                <w:rFonts w:ascii="Arial" w:hAnsi="Arial" w:cs="Arial"/>
                <w:bCs/>
                <w:spacing w:val="0"/>
                <w:sz w:val="18"/>
                <w:lang w:val="es-AR" w:eastAsia="es-AR"/>
              </w:rPr>
            </w:pPr>
            <w:r>
              <w:rPr>
                <w:rFonts w:ascii="Arial" w:hAnsi="Arial" w:cs="Arial"/>
                <w:bCs/>
                <w:spacing w:val="0"/>
                <w:sz w:val="18"/>
                <w:lang w:val="es-AR" w:eastAsia="es-AR"/>
              </w:rPr>
              <w:t>(</w:t>
            </w:r>
            <w:r w:rsidR="006D41D7">
              <w:rPr>
                <w:rFonts w:ascii="Arial" w:hAnsi="Arial" w:cs="Arial"/>
                <w:bCs/>
                <w:spacing w:val="0"/>
                <w:sz w:val="18"/>
                <w:lang w:val="es-AR" w:eastAsia="es-AR"/>
              </w:rPr>
              <w:t xml:space="preserve">ver Cuadro 4 del Plan de M&amp;E </w:t>
            </w:r>
            <w:r>
              <w:rPr>
                <w:rFonts w:ascii="Arial" w:hAnsi="Arial" w:cs="Arial"/>
                <w:bCs/>
                <w:spacing w:val="0"/>
                <w:sz w:val="18"/>
                <w:lang w:val="es-AR" w:eastAsia="es-AR"/>
              </w:rPr>
              <w:t xml:space="preserve">asociado a evaluación de </w:t>
            </w:r>
            <w:r w:rsidR="00563405">
              <w:rPr>
                <w:rFonts w:ascii="Arial" w:hAnsi="Arial" w:cs="Arial"/>
                <w:bCs/>
                <w:spacing w:val="0"/>
                <w:sz w:val="18"/>
                <w:lang w:val="es-AR" w:eastAsia="es-AR"/>
              </w:rPr>
              <w:t>servicios de transferencia tecnológica de</w:t>
            </w:r>
            <w:r>
              <w:rPr>
                <w:rFonts w:ascii="Arial" w:hAnsi="Arial" w:cs="Arial"/>
                <w:bCs/>
                <w:spacing w:val="0"/>
                <w:sz w:val="18"/>
                <w:lang w:val="es-AR" w:eastAsia="es-AR"/>
              </w:rPr>
              <w:t xml:space="preserve"> CITE de</w:t>
            </w:r>
            <w:r w:rsidR="00563405">
              <w:rPr>
                <w:rFonts w:ascii="Arial" w:hAnsi="Arial" w:cs="Arial"/>
                <w:bCs/>
                <w:spacing w:val="0"/>
                <w:sz w:val="18"/>
                <w:lang w:val="es-AR" w:eastAsia="es-AR"/>
              </w:rPr>
              <w:t>l Plan de M&amp;E de</w:t>
            </w:r>
            <w:r>
              <w:rPr>
                <w:rFonts w:ascii="Arial" w:hAnsi="Arial" w:cs="Arial"/>
                <w:bCs/>
                <w:spacing w:val="0"/>
                <w:sz w:val="18"/>
                <w:lang w:val="es-AR" w:eastAsia="es-AR"/>
              </w:rPr>
              <w:t xml:space="preserve"> PE-L1162)</w:t>
            </w:r>
          </w:p>
          <w:p w14:paraId="3C5ACECC" w14:textId="74E9693B" w:rsidR="00151B8E" w:rsidRDefault="001B0BCE" w:rsidP="00FD0DF7">
            <w:pPr>
              <w:pStyle w:val="Regtable"/>
              <w:framePr w:wrap="auto" w:vAnchor="margin" w:yAlign="inline"/>
              <w:spacing w:before="0" w:after="0"/>
              <w:jc w:val="both"/>
              <w:rPr>
                <w:rFonts w:ascii="Arial" w:hAnsi="Arial" w:cs="Arial"/>
                <w:bCs/>
                <w:spacing w:val="0"/>
                <w:sz w:val="18"/>
                <w:lang w:val="es-AR" w:eastAsia="es-AR"/>
              </w:rPr>
            </w:pPr>
            <w:r>
              <w:rPr>
                <w:rFonts w:ascii="Arial" w:hAnsi="Arial" w:cs="Arial"/>
                <w:bCs/>
                <w:spacing w:val="0"/>
                <w:sz w:val="18"/>
                <w:lang w:val="es-AR" w:eastAsia="es-AR"/>
              </w:rPr>
              <w:t>Adicionalmente el Cuadro 1 del Plan de M&amp;E de PE-L1227 indica un presupuesto indicativo dedicado a evaluación de más de US</w:t>
            </w:r>
            <w:r w:rsidR="00CB4E75">
              <w:rPr>
                <w:rFonts w:ascii="Arial" w:hAnsi="Arial" w:cs="Arial"/>
                <w:bCs/>
                <w:spacing w:val="0"/>
                <w:sz w:val="18"/>
                <w:lang w:val="es-AR" w:eastAsia="es-AR"/>
              </w:rPr>
              <w:t>$</w:t>
            </w:r>
            <w:r>
              <w:rPr>
                <w:rFonts w:ascii="Arial" w:hAnsi="Arial" w:cs="Arial"/>
                <w:bCs/>
                <w:spacing w:val="0"/>
                <w:sz w:val="18"/>
                <w:lang w:val="es-AR" w:eastAsia="es-AR"/>
              </w:rPr>
              <w:t>4</w:t>
            </w:r>
            <w:r w:rsidR="00CB4E75">
              <w:rPr>
                <w:rFonts w:ascii="Arial" w:hAnsi="Arial" w:cs="Arial"/>
                <w:bCs/>
                <w:spacing w:val="0"/>
                <w:sz w:val="18"/>
                <w:lang w:val="es-AR" w:eastAsia="es-AR"/>
              </w:rPr>
              <w:t> </w:t>
            </w:r>
            <w:r>
              <w:rPr>
                <w:rFonts w:ascii="Arial" w:hAnsi="Arial" w:cs="Arial"/>
                <w:bCs/>
                <w:spacing w:val="0"/>
                <w:sz w:val="18"/>
                <w:lang w:val="es-AR" w:eastAsia="es-AR"/>
              </w:rPr>
              <w:t>millones.</w:t>
            </w:r>
          </w:p>
        </w:tc>
      </w:tr>
    </w:tbl>
    <w:p w14:paraId="2B990D59" w14:textId="77777777" w:rsidR="005C3BC2" w:rsidRPr="00100E6A" w:rsidRDefault="005C3BC2" w:rsidP="005C3BC2">
      <w:pPr>
        <w:rPr>
          <w:rFonts w:eastAsia="Calibri"/>
          <w:lang w:val="es-ES"/>
        </w:rPr>
      </w:pPr>
    </w:p>
    <w:p w14:paraId="2912A78A" w14:textId="2EB5386F" w:rsidR="007C5B5D" w:rsidRDefault="007C5B5D">
      <w:pPr>
        <w:spacing w:after="160" w:line="259" w:lineRule="auto"/>
        <w:rPr>
          <w:rFonts w:ascii="Arial" w:hAnsi="Arial" w:cs="Arial"/>
          <w:b/>
          <w:color w:val="222222"/>
          <w:sz w:val="22"/>
          <w:szCs w:val="22"/>
          <w:shd w:val="clear" w:color="auto" w:fill="FFFFFF"/>
        </w:rPr>
      </w:pPr>
      <w:r>
        <w:rPr>
          <w:rFonts w:ascii="Arial" w:hAnsi="Arial" w:cs="Arial"/>
          <w:b/>
          <w:color w:val="222222"/>
          <w:sz w:val="22"/>
          <w:szCs w:val="22"/>
          <w:shd w:val="clear" w:color="auto" w:fill="FFFFFF"/>
        </w:rPr>
        <w:br w:type="page"/>
      </w:r>
    </w:p>
    <w:p w14:paraId="29A1CEDF" w14:textId="25E3A3E1" w:rsidR="005C3BC2" w:rsidRPr="00C478DF" w:rsidRDefault="005C3BC2" w:rsidP="007C6E33">
      <w:pPr>
        <w:spacing w:after="160" w:line="259" w:lineRule="auto"/>
        <w:rPr>
          <w:rFonts w:ascii="Arial" w:hAnsi="Arial" w:cs="Arial"/>
          <w:b/>
          <w:color w:val="222222"/>
          <w:sz w:val="22"/>
          <w:szCs w:val="22"/>
          <w:shd w:val="clear" w:color="auto" w:fill="FFFFFF"/>
          <w:lang w:val="pt-BR"/>
        </w:rPr>
      </w:pPr>
      <w:r w:rsidRPr="00C478DF">
        <w:rPr>
          <w:rFonts w:ascii="Arial" w:hAnsi="Arial" w:cs="Arial"/>
          <w:b/>
          <w:color w:val="222222"/>
          <w:sz w:val="22"/>
          <w:szCs w:val="22"/>
          <w:shd w:val="clear" w:color="auto" w:fill="FFFFFF"/>
          <w:lang w:val="pt-BR"/>
        </w:rPr>
        <w:t>Referencias</w:t>
      </w:r>
    </w:p>
    <w:p w14:paraId="074D151B" w14:textId="639246B0" w:rsidR="005C3BC2" w:rsidRPr="002625CD" w:rsidRDefault="005C3BC2" w:rsidP="0021448B">
      <w:pPr>
        <w:autoSpaceDE w:val="0"/>
        <w:autoSpaceDN w:val="0"/>
        <w:adjustRightInd w:val="0"/>
        <w:jc w:val="both"/>
        <w:rPr>
          <w:rFonts w:ascii="Arial" w:hAnsi="Arial" w:cs="Arial"/>
          <w:color w:val="222222"/>
          <w:sz w:val="22"/>
          <w:szCs w:val="22"/>
          <w:shd w:val="clear" w:color="auto" w:fill="FFFFFF"/>
          <w:lang w:val="pt-BR"/>
        </w:rPr>
      </w:pPr>
    </w:p>
    <w:p w14:paraId="6E829566" w14:textId="57257F8A" w:rsidR="00C478DF" w:rsidRPr="002625CD" w:rsidRDefault="00C478DF" w:rsidP="0021448B">
      <w:pPr>
        <w:jc w:val="both"/>
        <w:rPr>
          <w:rFonts w:ascii="Arial" w:hAnsi="Arial" w:cs="Arial"/>
          <w:sz w:val="22"/>
          <w:szCs w:val="22"/>
          <w:lang w:val="en-US"/>
        </w:rPr>
      </w:pPr>
      <w:r w:rsidRPr="002625CD">
        <w:rPr>
          <w:rFonts w:ascii="Arial" w:hAnsi="Arial" w:cs="Arial"/>
          <w:sz w:val="22"/>
          <w:szCs w:val="22"/>
          <w:lang w:val="pt-BR"/>
        </w:rPr>
        <w:t xml:space="preserve">Almeida, Rita </w:t>
      </w:r>
      <w:r w:rsidR="005C157A">
        <w:rPr>
          <w:rFonts w:ascii="Arial" w:hAnsi="Arial" w:cs="Arial"/>
          <w:sz w:val="22"/>
          <w:szCs w:val="22"/>
          <w:lang w:val="pt-BR"/>
        </w:rPr>
        <w:t>y</w:t>
      </w:r>
      <w:r w:rsidRPr="002625CD">
        <w:rPr>
          <w:rFonts w:ascii="Arial" w:hAnsi="Arial" w:cs="Arial"/>
          <w:sz w:val="22"/>
          <w:szCs w:val="22"/>
          <w:lang w:val="pt-BR"/>
        </w:rPr>
        <w:t xml:space="preserve"> Carneiro, Ped</w:t>
      </w:r>
      <w:r w:rsidR="005C157A">
        <w:rPr>
          <w:rFonts w:ascii="Arial" w:hAnsi="Arial" w:cs="Arial"/>
          <w:sz w:val="22"/>
          <w:szCs w:val="22"/>
          <w:lang w:val="pt-BR"/>
        </w:rPr>
        <w:t>r</w:t>
      </w:r>
      <w:r w:rsidRPr="002625CD">
        <w:rPr>
          <w:rFonts w:ascii="Arial" w:hAnsi="Arial" w:cs="Arial"/>
          <w:sz w:val="22"/>
          <w:szCs w:val="22"/>
          <w:lang w:val="pt-BR"/>
        </w:rPr>
        <w:t xml:space="preserve">o. </w:t>
      </w:r>
      <w:r w:rsidRPr="002625CD">
        <w:rPr>
          <w:rFonts w:ascii="Arial" w:hAnsi="Arial" w:cs="Arial"/>
          <w:sz w:val="22"/>
          <w:szCs w:val="22"/>
          <w:lang w:val="en-US"/>
        </w:rPr>
        <w:t>2012. Enforcement of Labor Regulation and Informality. American Economic Journal: Applied Economics 2012, 4(3): 64-89.</w:t>
      </w:r>
    </w:p>
    <w:p w14:paraId="7A238CB0" w14:textId="77777777" w:rsidR="00C478DF" w:rsidRPr="00EA1931" w:rsidRDefault="00C478DF" w:rsidP="0021448B">
      <w:pPr>
        <w:jc w:val="both"/>
        <w:rPr>
          <w:rFonts w:ascii="Arial" w:hAnsi="Arial" w:cs="Arial"/>
          <w:sz w:val="22"/>
          <w:szCs w:val="22"/>
          <w:lang w:val="en-US"/>
        </w:rPr>
      </w:pPr>
    </w:p>
    <w:p w14:paraId="54870140" w14:textId="22AA4B9D" w:rsidR="00C27333" w:rsidRPr="002625CD" w:rsidRDefault="00C27333" w:rsidP="0021448B">
      <w:pPr>
        <w:jc w:val="both"/>
        <w:rPr>
          <w:rFonts w:ascii="Arial" w:hAnsi="Arial" w:cs="Arial"/>
          <w:sz w:val="22"/>
          <w:szCs w:val="22"/>
          <w:lang w:val="en-US"/>
        </w:rPr>
      </w:pPr>
      <w:proofErr w:type="spellStart"/>
      <w:r w:rsidRPr="00EA1931">
        <w:rPr>
          <w:rFonts w:ascii="Arial" w:hAnsi="Arial" w:cs="Arial"/>
          <w:sz w:val="22"/>
          <w:szCs w:val="22"/>
          <w:lang w:val="en-US"/>
        </w:rPr>
        <w:t>Almunia</w:t>
      </w:r>
      <w:proofErr w:type="spellEnd"/>
      <w:r w:rsidRPr="00EA1931">
        <w:rPr>
          <w:rFonts w:ascii="Arial" w:hAnsi="Arial" w:cs="Arial"/>
          <w:sz w:val="22"/>
          <w:szCs w:val="22"/>
          <w:lang w:val="en-US"/>
        </w:rPr>
        <w:t xml:space="preserve">, M., &amp; López-Rodriguez, D. (2018). </w:t>
      </w:r>
      <w:r w:rsidRPr="002625CD">
        <w:rPr>
          <w:rFonts w:ascii="Arial" w:hAnsi="Arial" w:cs="Arial"/>
          <w:sz w:val="22"/>
          <w:szCs w:val="22"/>
          <w:lang w:val="en-US"/>
        </w:rPr>
        <w:t>Under the Radar: The Effects of Monitoring Firms on Tax Compliance. American Economic Journal: Economic Policy, 10(1):1-38.</w:t>
      </w:r>
    </w:p>
    <w:p w14:paraId="2999F698" w14:textId="77777777" w:rsidR="00C478DF" w:rsidRPr="002625CD" w:rsidRDefault="00C478DF" w:rsidP="0021448B">
      <w:pPr>
        <w:jc w:val="both"/>
        <w:rPr>
          <w:rFonts w:ascii="Arial" w:hAnsi="Arial" w:cs="Arial"/>
          <w:sz w:val="22"/>
          <w:szCs w:val="22"/>
          <w:lang w:val="en-US"/>
        </w:rPr>
      </w:pPr>
    </w:p>
    <w:p w14:paraId="6566D674" w14:textId="353E1435" w:rsidR="00C478DF" w:rsidRPr="00EC1A96" w:rsidRDefault="00C478DF" w:rsidP="0021448B">
      <w:pPr>
        <w:jc w:val="both"/>
        <w:rPr>
          <w:rFonts w:ascii="Arial" w:hAnsi="Arial" w:cs="Arial"/>
          <w:sz w:val="22"/>
          <w:szCs w:val="22"/>
          <w:lang w:val="en-US"/>
        </w:rPr>
      </w:pPr>
      <w:r w:rsidRPr="002625CD">
        <w:rPr>
          <w:rFonts w:ascii="Arial" w:hAnsi="Arial" w:cs="Arial"/>
          <w:sz w:val="22"/>
          <w:szCs w:val="22"/>
          <w:lang w:val="en-US"/>
        </w:rPr>
        <w:t xml:space="preserve">Andrade, Gustavo, Bruhn, Miriam, y McKenzie, David. Bruhn y McKenzie. 2013. A Helping Hand or the Long Arm of the Law? Experimental Evidence on What Governments Can Do to Formalize Firms. </w:t>
      </w:r>
      <w:r w:rsidRPr="00EC1A96">
        <w:rPr>
          <w:rFonts w:ascii="Arial" w:hAnsi="Arial" w:cs="Arial"/>
          <w:sz w:val="22"/>
          <w:szCs w:val="22"/>
          <w:lang w:val="en-US"/>
        </w:rPr>
        <w:t>IZA DP. No. 7402, Mayo 2013.</w:t>
      </w:r>
    </w:p>
    <w:p w14:paraId="129A7C15" w14:textId="517963CC" w:rsidR="0021448B" w:rsidRPr="00EC1A96" w:rsidRDefault="0021448B" w:rsidP="0021448B">
      <w:pPr>
        <w:jc w:val="both"/>
        <w:rPr>
          <w:rFonts w:ascii="Arial" w:hAnsi="Arial" w:cs="Arial"/>
          <w:color w:val="222222"/>
          <w:sz w:val="22"/>
          <w:szCs w:val="22"/>
          <w:shd w:val="clear" w:color="auto" w:fill="FFFFFF"/>
          <w:lang w:val="en-US"/>
        </w:rPr>
      </w:pPr>
    </w:p>
    <w:p w14:paraId="38F67083" w14:textId="006B82E2" w:rsidR="00F26790" w:rsidRDefault="00F26790" w:rsidP="0021448B">
      <w:pPr>
        <w:jc w:val="both"/>
        <w:rPr>
          <w:rFonts w:ascii="Arial" w:hAnsi="Arial" w:cs="Arial"/>
          <w:sz w:val="22"/>
          <w:szCs w:val="22"/>
          <w:lang w:val="en-US"/>
        </w:rPr>
      </w:pPr>
      <w:proofErr w:type="spellStart"/>
      <w:r w:rsidRPr="00F26790">
        <w:rPr>
          <w:rFonts w:ascii="Arial" w:hAnsi="Arial" w:cs="Arial"/>
          <w:sz w:val="22"/>
          <w:szCs w:val="22"/>
          <w:lang w:val="en-US"/>
        </w:rPr>
        <w:t>Baqaee</w:t>
      </w:r>
      <w:proofErr w:type="spellEnd"/>
      <w:r w:rsidRPr="00F26790">
        <w:rPr>
          <w:rFonts w:ascii="Arial" w:hAnsi="Arial" w:cs="Arial"/>
          <w:sz w:val="22"/>
          <w:szCs w:val="22"/>
          <w:lang w:val="en-US"/>
        </w:rPr>
        <w:t xml:space="preserve"> y </w:t>
      </w:r>
      <w:proofErr w:type="spellStart"/>
      <w:r w:rsidRPr="00F26790">
        <w:rPr>
          <w:rFonts w:ascii="Arial" w:hAnsi="Arial" w:cs="Arial"/>
          <w:sz w:val="22"/>
          <w:szCs w:val="22"/>
          <w:lang w:val="en-US"/>
        </w:rPr>
        <w:t>Faehi</w:t>
      </w:r>
      <w:proofErr w:type="spellEnd"/>
      <w:r w:rsidRPr="00F26790">
        <w:rPr>
          <w:rFonts w:ascii="Arial" w:hAnsi="Arial" w:cs="Arial"/>
          <w:sz w:val="22"/>
          <w:szCs w:val="22"/>
          <w:lang w:val="en-US"/>
        </w:rPr>
        <w:t xml:space="preserve"> (2017) “Productivity and Misallocation in General Equilibrium”, NBER Working Paper No. 24007.</w:t>
      </w:r>
    </w:p>
    <w:p w14:paraId="3788B70C" w14:textId="77777777" w:rsidR="00F26790" w:rsidRPr="00F26790" w:rsidRDefault="00F26790" w:rsidP="0021448B">
      <w:pPr>
        <w:jc w:val="both"/>
        <w:rPr>
          <w:rFonts w:ascii="Arial" w:hAnsi="Arial" w:cs="Arial"/>
          <w:color w:val="222222"/>
          <w:sz w:val="22"/>
          <w:szCs w:val="22"/>
          <w:shd w:val="clear" w:color="auto" w:fill="FFFFFF"/>
          <w:lang w:val="en-US"/>
        </w:rPr>
      </w:pPr>
    </w:p>
    <w:p w14:paraId="7C9DF4E5" w14:textId="73A4C15A" w:rsidR="0021448B" w:rsidRPr="0021448B" w:rsidRDefault="0021448B" w:rsidP="0021448B">
      <w:pPr>
        <w:jc w:val="both"/>
        <w:rPr>
          <w:rFonts w:ascii="Arial" w:hAnsi="Arial" w:cs="Arial"/>
          <w:color w:val="222222"/>
          <w:sz w:val="22"/>
          <w:szCs w:val="22"/>
          <w:shd w:val="clear" w:color="auto" w:fill="FFFFFF"/>
          <w:lang w:val="en-US"/>
        </w:rPr>
      </w:pPr>
      <w:r w:rsidRPr="0021448B">
        <w:rPr>
          <w:rFonts w:ascii="Arial" w:hAnsi="Arial" w:cs="Arial"/>
          <w:color w:val="222222"/>
          <w:sz w:val="22"/>
          <w:szCs w:val="22"/>
          <w:shd w:val="clear" w:color="auto" w:fill="FFFFFF"/>
        </w:rPr>
        <w:t xml:space="preserve">Bah, E. H., </w:t>
      </w:r>
      <w:proofErr w:type="spellStart"/>
      <w:r w:rsidRPr="0021448B">
        <w:rPr>
          <w:rFonts w:ascii="Arial" w:hAnsi="Arial" w:cs="Arial"/>
          <w:color w:val="222222"/>
          <w:sz w:val="22"/>
          <w:szCs w:val="22"/>
          <w:shd w:val="clear" w:color="auto" w:fill="FFFFFF"/>
        </w:rPr>
        <w:t>Brada</w:t>
      </w:r>
      <w:proofErr w:type="spellEnd"/>
      <w:r w:rsidRPr="0021448B">
        <w:rPr>
          <w:rFonts w:ascii="Arial" w:hAnsi="Arial" w:cs="Arial"/>
          <w:color w:val="222222"/>
          <w:sz w:val="22"/>
          <w:szCs w:val="22"/>
          <w:shd w:val="clear" w:color="auto" w:fill="FFFFFF"/>
        </w:rPr>
        <w:t xml:space="preserve">, J. C., &amp; </w:t>
      </w:r>
      <w:proofErr w:type="spellStart"/>
      <w:r w:rsidRPr="0021448B">
        <w:rPr>
          <w:rFonts w:ascii="Arial" w:hAnsi="Arial" w:cs="Arial"/>
          <w:color w:val="222222"/>
          <w:sz w:val="22"/>
          <w:szCs w:val="22"/>
          <w:shd w:val="clear" w:color="auto" w:fill="FFFFFF"/>
        </w:rPr>
        <w:t>Yigit</w:t>
      </w:r>
      <w:proofErr w:type="spellEnd"/>
      <w:r w:rsidRPr="0021448B">
        <w:rPr>
          <w:rFonts w:ascii="Arial" w:hAnsi="Arial" w:cs="Arial"/>
          <w:color w:val="222222"/>
          <w:sz w:val="22"/>
          <w:szCs w:val="22"/>
          <w:shd w:val="clear" w:color="auto" w:fill="FFFFFF"/>
        </w:rPr>
        <w:t xml:space="preserve">, T. (2011). </w:t>
      </w:r>
      <w:r w:rsidRPr="00BF35DC">
        <w:rPr>
          <w:rFonts w:ascii="Arial" w:hAnsi="Arial" w:cs="Arial"/>
          <w:color w:val="222222"/>
          <w:sz w:val="22"/>
          <w:szCs w:val="22"/>
          <w:shd w:val="clear" w:color="auto" w:fill="FFFFFF"/>
          <w:lang w:val="en-US"/>
        </w:rPr>
        <w:t xml:space="preserve">With a little help from our friends: The effect of USAID assistance on SME growth in a transition economy. </w:t>
      </w:r>
      <w:r w:rsidRPr="0021448B">
        <w:rPr>
          <w:rFonts w:ascii="Arial" w:hAnsi="Arial" w:cs="Arial"/>
          <w:i/>
          <w:iCs/>
          <w:color w:val="222222"/>
          <w:sz w:val="22"/>
          <w:szCs w:val="22"/>
          <w:shd w:val="clear" w:color="auto" w:fill="FFFFFF"/>
          <w:lang w:val="en-US"/>
        </w:rPr>
        <w:t>Journal of Comparative Economics</w:t>
      </w:r>
      <w:r w:rsidRPr="0021448B">
        <w:rPr>
          <w:rFonts w:ascii="Arial" w:hAnsi="Arial" w:cs="Arial"/>
          <w:color w:val="222222"/>
          <w:sz w:val="22"/>
          <w:szCs w:val="22"/>
          <w:shd w:val="clear" w:color="auto" w:fill="FFFFFF"/>
          <w:lang w:val="en-US"/>
        </w:rPr>
        <w:t>,</w:t>
      </w:r>
      <w:r w:rsidRPr="0021448B">
        <w:rPr>
          <w:rStyle w:val="apple-converted-space"/>
          <w:rFonts w:ascii="Arial" w:hAnsi="Arial" w:cs="Arial"/>
          <w:color w:val="222222"/>
          <w:sz w:val="22"/>
          <w:szCs w:val="22"/>
          <w:shd w:val="clear" w:color="auto" w:fill="FFFFFF"/>
          <w:lang w:val="en-US"/>
        </w:rPr>
        <w:t> </w:t>
      </w:r>
      <w:r w:rsidRPr="0021448B">
        <w:rPr>
          <w:rFonts w:ascii="Arial" w:hAnsi="Arial" w:cs="Arial"/>
          <w:i/>
          <w:iCs/>
          <w:color w:val="222222"/>
          <w:sz w:val="22"/>
          <w:szCs w:val="22"/>
          <w:shd w:val="clear" w:color="auto" w:fill="FFFFFF"/>
          <w:lang w:val="en-US"/>
        </w:rPr>
        <w:t>39</w:t>
      </w:r>
      <w:r w:rsidRPr="0021448B">
        <w:rPr>
          <w:rFonts w:ascii="Arial" w:hAnsi="Arial" w:cs="Arial"/>
          <w:color w:val="222222"/>
          <w:sz w:val="22"/>
          <w:szCs w:val="22"/>
          <w:shd w:val="clear" w:color="auto" w:fill="FFFFFF"/>
          <w:lang w:val="en-US"/>
        </w:rPr>
        <w:t>(2), 205-220.</w:t>
      </w:r>
    </w:p>
    <w:p w14:paraId="15028A9C" w14:textId="77777777" w:rsidR="00C27333" w:rsidRPr="002625CD" w:rsidRDefault="00C27333" w:rsidP="0021448B">
      <w:pPr>
        <w:jc w:val="both"/>
        <w:rPr>
          <w:rFonts w:ascii="Arial" w:hAnsi="Arial" w:cs="Arial"/>
          <w:sz w:val="22"/>
          <w:szCs w:val="22"/>
          <w:lang w:val="en-US"/>
        </w:rPr>
      </w:pPr>
    </w:p>
    <w:p w14:paraId="5A47DF52" w14:textId="4EE07C04" w:rsidR="00C27333" w:rsidRPr="00BF35DC" w:rsidRDefault="00C27333" w:rsidP="0021448B">
      <w:pPr>
        <w:jc w:val="both"/>
        <w:rPr>
          <w:rFonts w:ascii="Arial" w:hAnsi="Arial" w:cs="Arial"/>
          <w:sz w:val="22"/>
          <w:szCs w:val="22"/>
        </w:rPr>
      </w:pPr>
      <w:r w:rsidRPr="002625CD">
        <w:rPr>
          <w:rFonts w:ascii="Arial" w:hAnsi="Arial" w:cs="Arial"/>
          <w:sz w:val="22"/>
          <w:szCs w:val="22"/>
          <w:lang w:val="en-US"/>
        </w:rPr>
        <w:t xml:space="preserve">Best, M. C., </w:t>
      </w:r>
      <w:proofErr w:type="spellStart"/>
      <w:r w:rsidRPr="002625CD">
        <w:rPr>
          <w:rFonts w:ascii="Arial" w:hAnsi="Arial" w:cs="Arial"/>
          <w:sz w:val="22"/>
          <w:szCs w:val="22"/>
          <w:lang w:val="en-US"/>
        </w:rPr>
        <w:t>Brockmeyer</w:t>
      </w:r>
      <w:proofErr w:type="spellEnd"/>
      <w:r w:rsidRPr="002625CD">
        <w:rPr>
          <w:rFonts w:ascii="Arial" w:hAnsi="Arial" w:cs="Arial"/>
          <w:sz w:val="22"/>
          <w:szCs w:val="22"/>
          <w:lang w:val="en-US"/>
        </w:rPr>
        <w:t xml:space="preserve">, A., Jacobsen, H., </w:t>
      </w:r>
      <w:proofErr w:type="spellStart"/>
      <w:r w:rsidRPr="002625CD">
        <w:rPr>
          <w:rFonts w:ascii="Arial" w:hAnsi="Arial" w:cs="Arial"/>
          <w:sz w:val="22"/>
          <w:szCs w:val="22"/>
          <w:lang w:val="en-US"/>
        </w:rPr>
        <w:t>Spinnewijn</w:t>
      </w:r>
      <w:proofErr w:type="spellEnd"/>
      <w:r w:rsidRPr="002625CD">
        <w:rPr>
          <w:rFonts w:ascii="Arial" w:hAnsi="Arial" w:cs="Arial"/>
          <w:sz w:val="22"/>
          <w:szCs w:val="22"/>
          <w:lang w:val="en-US"/>
        </w:rPr>
        <w:t xml:space="preserve">, J., &amp; Waseem, M. (2015). Production versus Revenue Efficiency with Limited Tax Capacity: Theory and Evidence from Pakistan. </w:t>
      </w:r>
      <w:proofErr w:type="spellStart"/>
      <w:r w:rsidRPr="00BF35DC">
        <w:rPr>
          <w:rFonts w:ascii="Arial" w:hAnsi="Arial" w:cs="Arial"/>
          <w:sz w:val="22"/>
          <w:szCs w:val="22"/>
        </w:rPr>
        <w:t>Journal</w:t>
      </w:r>
      <w:proofErr w:type="spellEnd"/>
      <w:r w:rsidRPr="00BF35DC">
        <w:rPr>
          <w:rFonts w:ascii="Arial" w:hAnsi="Arial" w:cs="Arial"/>
          <w:sz w:val="22"/>
          <w:szCs w:val="22"/>
        </w:rPr>
        <w:t xml:space="preserve"> of </w:t>
      </w:r>
      <w:proofErr w:type="spellStart"/>
      <w:r w:rsidRPr="00BF35DC">
        <w:rPr>
          <w:rFonts w:ascii="Arial" w:hAnsi="Arial" w:cs="Arial"/>
          <w:sz w:val="22"/>
          <w:szCs w:val="22"/>
        </w:rPr>
        <w:t>Political</w:t>
      </w:r>
      <w:proofErr w:type="spellEnd"/>
      <w:r w:rsidRPr="00BF35DC">
        <w:rPr>
          <w:rFonts w:ascii="Arial" w:hAnsi="Arial" w:cs="Arial"/>
          <w:sz w:val="22"/>
          <w:szCs w:val="22"/>
        </w:rPr>
        <w:t xml:space="preserve"> </w:t>
      </w:r>
      <w:proofErr w:type="spellStart"/>
      <w:r w:rsidRPr="00BF35DC">
        <w:rPr>
          <w:rFonts w:ascii="Arial" w:hAnsi="Arial" w:cs="Arial"/>
          <w:sz w:val="22"/>
          <w:szCs w:val="22"/>
        </w:rPr>
        <w:t>Economy</w:t>
      </w:r>
      <w:proofErr w:type="spellEnd"/>
      <w:r w:rsidRPr="00BF35DC">
        <w:rPr>
          <w:rFonts w:ascii="Arial" w:hAnsi="Arial" w:cs="Arial"/>
          <w:sz w:val="22"/>
          <w:szCs w:val="22"/>
        </w:rPr>
        <w:t>, 123(6):1311-1355.</w:t>
      </w:r>
    </w:p>
    <w:p w14:paraId="28425341" w14:textId="3CA70FB3" w:rsidR="00C27333" w:rsidRPr="00BF35DC" w:rsidRDefault="00C27333" w:rsidP="0021448B">
      <w:pPr>
        <w:jc w:val="both"/>
        <w:rPr>
          <w:rFonts w:ascii="Arial" w:hAnsi="Arial" w:cs="Arial"/>
          <w:sz w:val="22"/>
          <w:szCs w:val="22"/>
        </w:rPr>
      </w:pPr>
    </w:p>
    <w:p w14:paraId="0074AF4F" w14:textId="264879C4" w:rsidR="002625CD" w:rsidRPr="002625CD" w:rsidRDefault="002625CD" w:rsidP="0021448B">
      <w:pPr>
        <w:pStyle w:val="CommentText"/>
        <w:rPr>
          <w:rFonts w:ascii="Arial" w:hAnsi="Arial" w:cs="Arial"/>
          <w:sz w:val="22"/>
          <w:szCs w:val="22"/>
        </w:rPr>
      </w:pPr>
      <w:r w:rsidRPr="002625CD">
        <w:rPr>
          <w:rFonts w:ascii="Arial" w:hAnsi="Arial" w:cs="Arial"/>
          <w:sz w:val="22"/>
          <w:szCs w:val="22"/>
        </w:rPr>
        <w:t>BID (2017) Aprender Mejor: Políticas públicas para el desarrollo de Habilidad, Publicación Insignia del BID http://dx.doi.org/10.18235/0000799</w:t>
      </w:r>
    </w:p>
    <w:p w14:paraId="70121320" w14:textId="0E422E79" w:rsidR="002625CD" w:rsidRDefault="002625CD" w:rsidP="0021448B">
      <w:pPr>
        <w:jc w:val="both"/>
        <w:rPr>
          <w:rFonts w:ascii="Arial" w:hAnsi="Arial" w:cs="Arial"/>
          <w:sz w:val="22"/>
          <w:szCs w:val="22"/>
        </w:rPr>
      </w:pPr>
    </w:p>
    <w:p w14:paraId="2B521F4E" w14:textId="55A340F2" w:rsidR="00813A49" w:rsidRDefault="00813A49" w:rsidP="0021448B">
      <w:pPr>
        <w:jc w:val="both"/>
        <w:rPr>
          <w:rFonts w:ascii="Arial" w:hAnsi="Arial" w:cs="Arial"/>
          <w:sz w:val="22"/>
          <w:szCs w:val="22"/>
          <w:lang w:val="en-US"/>
        </w:rPr>
      </w:pPr>
      <w:r w:rsidRPr="00813A49">
        <w:rPr>
          <w:rFonts w:ascii="Arial" w:hAnsi="Arial" w:cs="Arial"/>
          <w:sz w:val="22"/>
          <w:szCs w:val="22"/>
          <w:lang w:val="en-US"/>
        </w:rPr>
        <w:t>Bloom, N., Eifert, B., Mahajan, A., McKenzie, D. y J. Roberts (201</w:t>
      </w:r>
      <w:r>
        <w:rPr>
          <w:rFonts w:ascii="Arial" w:hAnsi="Arial" w:cs="Arial"/>
          <w:sz w:val="22"/>
          <w:szCs w:val="22"/>
          <w:lang w:val="en-US"/>
        </w:rPr>
        <w:t>3</w:t>
      </w:r>
      <w:r w:rsidRPr="00813A49">
        <w:rPr>
          <w:rFonts w:ascii="Arial" w:hAnsi="Arial" w:cs="Arial"/>
          <w:sz w:val="22"/>
          <w:szCs w:val="22"/>
          <w:lang w:val="en-US"/>
        </w:rPr>
        <w:t>); “Does Manage</w:t>
      </w:r>
      <w:r>
        <w:rPr>
          <w:rFonts w:ascii="Arial" w:hAnsi="Arial" w:cs="Arial"/>
          <w:sz w:val="22"/>
          <w:szCs w:val="22"/>
          <w:lang w:val="en-US"/>
        </w:rPr>
        <w:t>ment matter? Evidence from India,” The Quarterly Journal of Economics, 128(1)1-51</w:t>
      </w:r>
    </w:p>
    <w:p w14:paraId="1BFDA150" w14:textId="254AEED7" w:rsidR="00813A49" w:rsidRPr="00F76CC3" w:rsidRDefault="00813A49" w:rsidP="0021448B">
      <w:pPr>
        <w:jc w:val="both"/>
        <w:rPr>
          <w:rFonts w:ascii="Arial" w:hAnsi="Arial" w:cs="Arial"/>
          <w:sz w:val="22"/>
          <w:szCs w:val="22"/>
          <w:lang w:val="en-US"/>
        </w:rPr>
      </w:pPr>
    </w:p>
    <w:p w14:paraId="4ABA2FA1" w14:textId="4DAC17F9" w:rsidR="00C478DF" w:rsidRPr="00BF35DC" w:rsidRDefault="00C478DF" w:rsidP="0021448B">
      <w:pPr>
        <w:jc w:val="both"/>
        <w:rPr>
          <w:rFonts w:ascii="Arial" w:hAnsi="Arial" w:cs="Arial"/>
          <w:sz w:val="22"/>
          <w:szCs w:val="22"/>
        </w:rPr>
      </w:pPr>
      <w:r w:rsidRPr="00EC1A96">
        <w:rPr>
          <w:rFonts w:ascii="Arial" w:hAnsi="Arial" w:cs="Arial"/>
          <w:sz w:val="22"/>
          <w:szCs w:val="22"/>
        </w:rPr>
        <w:t xml:space="preserve">Bosch, Mariano, Ángel Melguizo, </w:t>
      </w:r>
      <w:r w:rsidR="005C157A">
        <w:rPr>
          <w:rFonts w:ascii="Arial" w:hAnsi="Arial" w:cs="Arial"/>
          <w:sz w:val="22"/>
          <w:szCs w:val="22"/>
        </w:rPr>
        <w:t>y</w:t>
      </w:r>
      <w:r w:rsidRPr="00EC1A96">
        <w:rPr>
          <w:rFonts w:ascii="Arial" w:hAnsi="Arial" w:cs="Arial"/>
          <w:sz w:val="22"/>
          <w:szCs w:val="22"/>
        </w:rPr>
        <w:t xml:space="preserve"> Carmen Pagés. </w:t>
      </w:r>
      <w:r w:rsidRPr="002625CD">
        <w:rPr>
          <w:rFonts w:ascii="Arial" w:hAnsi="Arial" w:cs="Arial"/>
          <w:sz w:val="22"/>
          <w:szCs w:val="22"/>
        </w:rPr>
        <w:t xml:space="preserve">2013. Mejores Pensiones. Mejores Trabajos. Hacia la Cobertura Universal en América Latina y el Caribe. </w:t>
      </w:r>
      <w:r w:rsidRPr="00BF35DC">
        <w:rPr>
          <w:rFonts w:ascii="Arial" w:hAnsi="Arial" w:cs="Arial"/>
          <w:sz w:val="22"/>
          <w:szCs w:val="22"/>
        </w:rPr>
        <w:t>Washington D.C.: Banco Interamericano de Desarrollo. ISBN 978-1-59782-170-4.</w:t>
      </w:r>
    </w:p>
    <w:p w14:paraId="5C47D4C3" w14:textId="77777777" w:rsidR="00C478DF" w:rsidRPr="00BF35DC" w:rsidRDefault="00C478DF" w:rsidP="0021448B">
      <w:pPr>
        <w:jc w:val="both"/>
        <w:rPr>
          <w:rFonts w:ascii="Arial" w:hAnsi="Arial" w:cs="Arial"/>
          <w:sz w:val="22"/>
          <w:szCs w:val="22"/>
        </w:rPr>
      </w:pPr>
    </w:p>
    <w:p w14:paraId="124F3C49" w14:textId="1D8C3E64" w:rsidR="00C27333" w:rsidRPr="002625CD" w:rsidRDefault="00C27333" w:rsidP="0021448B">
      <w:pPr>
        <w:jc w:val="both"/>
        <w:rPr>
          <w:rFonts w:ascii="Arial" w:hAnsi="Arial" w:cs="Arial"/>
          <w:sz w:val="22"/>
          <w:szCs w:val="22"/>
          <w:lang w:val="en-US"/>
        </w:rPr>
      </w:pPr>
      <w:proofErr w:type="spellStart"/>
      <w:r w:rsidRPr="00BF35DC">
        <w:rPr>
          <w:rFonts w:ascii="Arial" w:hAnsi="Arial" w:cs="Arial"/>
          <w:sz w:val="22"/>
          <w:szCs w:val="22"/>
        </w:rPr>
        <w:t>Braguinsky</w:t>
      </w:r>
      <w:proofErr w:type="spellEnd"/>
      <w:r w:rsidRPr="00BF35DC">
        <w:rPr>
          <w:rFonts w:ascii="Arial" w:hAnsi="Arial" w:cs="Arial"/>
          <w:sz w:val="22"/>
          <w:szCs w:val="22"/>
        </w:rPr>
        <w:t xml:space="preserve">, S., </w:t>
      </w:r>
      <w:proofErr w:type="spellStart"/>
      <w:r w:rsidRPr="00BF35DC">
        <w:rPr>
          <w:rFonts w:ascii="Arial" w:hAnsi="Arial" w:cs="Arial"/>
          <w:sz w:val="22"/>
          <w:szCs w:val="22"/>
        </w:rPr>
        <w:t>Branstetter</w:t>
      </w:r>
      <w:proofErr w:type="spellEnd"/>
      <w:r w:rsidRPr="00BF35DC">
        <w:rPr>
          <w:rFonts w:ascii="Arial" w:hAnsi="Arial" w:cs="Arial"/>
          <w:sz w:val="22"/>
          <w:szCs w:val="22"/>
        </w:rPr>
        <w:t xml:space="preserve">, L., &amp; Le </w:t>
      </w:r>
      <w:proofErr w:type="spellStart"/>
      <w:r w:rsidRPr="00BF35DC">
        <w:rPr>
          <w:rFonts w:ascii="Arial" w:hAnsi="Arial" w:cs="Arial"/>
          <w:sz w:val="22"/>
          <w:szCs w:val="22"/>
        </w:rPr>
        <w:t>Barbanchon</w:t>
      </w:r>
      <w:proofErr w:type="spellEnd"/>
      <w:r w:rsidRPr="00BF35DC">
        <w:rPr>
          <w:rFonts w:ascii="Arial" w:hAnsi="Arial" w:cs="Arial"/>
          <w:sz w:val="22"/>
          <w:szCs w:val="22"/>
        </w:rPr>
        <w:t xml:space="preserve">, T. (2011). The </w:t>
      </w:r>
      <w:proofErr w:type="spellStart"/>
      <w:r w:rsidRPr="00BF35DC">
        <w:rPr>
          <w:rFonts w:ascii="Arial" w:hAnsi="Arial" w:cs="Arial"/>
          <w:sz w:val="22"/>
          <w:szCs w:val="22"/>
        </w:rPr>
        <w:t>Incredible</w:t>
      </w:r>
      <w:proofErr w:type="spellEnd"/>
      <w:r w:rsidRPr="00BF35DC">
        <w:rPr>
          <w:rFonts w:ascii="Arial" w:hAnsi="Arial" w:cs="Arial"/>
          <w:sz w:val="22"/>
          <w:szCs w:val="22"/>
        </w:rPr>
        <w:t xml:space="preserve"> </w:t>
      </w:r>
      <w:proofErr w:type="spellStart"/>
      <w:r w:rsidRPr="00BF35DC">
        <w:rPr>
          <w:rFonts w:ascii="Arial" w:hAnsi="Arial" w:cs="Arial"/>
          <w:sz w:val="22"/>
          <w:szCs w:val="22"/>
        </w:rPr>
        <w:t>Shrinking</w:t>
      </w:r>
      <w:proofErr w:type="spellEnd"/>
      <w:r w:rsidRPr="00BF35DC">
        <w:rPr>
          <w:rFonts w:ascii="Arial" w:hAnsi="Arial" w:cs="Arial"/>
          <w:sz w:val="22"/>
          <w:szCs w:val="22"/>
        </w:rPr>
        <w:t xml:space="preserve"> </w:t>
      </w:r>
      <w:proofErr w:type="spellStart"/>
      <w:r w:rsidRPr="00BF35DC">
        <w:rPr>
          <w:rFonts w:ascii="Arial" w:hAnsi="Arial" w:cs="Arial"/>
          <w:sz w:val="22"/>
          <w:szCs w:val="22"/>
        </w:rPr>
        <w:t>Portuguese</w:t>
      </w:r>
      <w:proofErr w:type="spellEnd"/>
      <w:r w:rsidRPr="00BF35DC">
        <w:rPr>
          <w:rFonts w:ascii="Arial" w:hAnsi="Arial" w:cs="Arial"/>
          <w:sz w:val="22"/>
          <w:szCs w:val="22"/>
        </w:rPr>
        <w:t xml:space="preserve"> </w:t>
      </w:r>
      <w:proofErr w:type="spellStart"/>
      <w:r w:rsidRPr="00BF35DC">
        <w:rPr>
          <w:rFonts w:ascii="Arial" w:hAnsi="Arial" w:cs="Arial"/>
          <w:sz w:val="22"/>
          <w:szCs w:val="22"/>
        </w:rPr>
        <w:t>Firm</w:t>
      </w:r>
      <w:proofErr w:type="spellEnd"/>
      <w:r w:rsidRPr="00BF35DC">
        <w:rPr>
          <w:rFonts w:ascii="Arial" w:hAnsi="Arial" w:cs="Arial"/>
          <w:sz w:val="22"/>
          <w:szCs w:val="22"/>
        </w:rPr>
        <w:t xml:space="preserve">. </w:t>
      </w:r>
      <w:r w:rsidRPr="002625CD">
        <w:rPr>
          <w:rFonts w:ascii="Arial" w:hAnsi="Arial" w:cs="Arial"/>
          <w:sz w:val="22"/>
          <w:szCs w:val="22"/>
          <w:lang w:val="en-US"/>
        </w:rPr>
        <w:t>National Bureau of Economic Research Working Paper, 17265.</w:t>
      </w:r>
    </w:p>
    <w:p w14:paraId="485470A5" w14:textId="77777777" w:rsidR="00C27333" w:rsidRPr="002625CD" w:rsidRDefault="00C27333" w:rsidP="0021448B">
      <w:pPr>
        <w:jc w:val="both"/>
        <w:rPr>
          <w:rFonts w:ascii="Arial" w:hAnsi="Arial" w:cs="Arial"/>
          <w:sz w:val="22"/>
          <w:szCs w:val="22"/>
          <w:lang w:val="en-US"/>
        </w:rPr>
      </w:pPr>
    </w:p>
    <w:p w14:paraId="3FDF1653" w14:textId="7537346A" w:rsidR="004B4DDA" w:rsidRDefault="004B4DDA" w:rsidP="0021448B">
      <w:pPr>
        <w:pStyle w:val="CommentText"/>
        <w:rPr>
          <w:rFonts w:ascii="Arial" w:hAnsi="Arial" w:cs="Arial"/>
          <w:color w:val="000000"/>
          <w:sz w:val="22"/>
          <w:szCs w:val="22"/>
          <w:shd w:val="clear" w:color="auto" w:fill="FFFFFF"/>
          <w:lang w:val="en-US"/>
        </w:rPr>
      </w:pPr>
      <w:r>
        <w:rPr>
          <w:rFonts w:ascii="Arial" w:hAnsi="Arial" w:cs="Arial"/>
          <w:color w:val="000000"/>
          <w:sz w:val="22"/>
          <w:szCs w:val="22"/>
          <w:shd w:val="clear" w:color="auto" w:fill="FFFFFF"/>
          <w:lang w:val="en-US"/>
        </w:rPr>
        <w:t xml:space="preserve">COFIDE (2017); Memoria </w:t>
      </w:r>
      <w:proofErr w:type="spellStart"/>
      <w:r>
        <w:rPr>
          <w:rFonts w:ascii="Arial" w:hAnsi="Arial" w:cs="Arial"/>
          <w:color w:val="000000"/>
          <w:sz w:val="22"/>
          <w:szCs w:val="22"/>
          <w:shd w:val="clear" w:color="auto" w:fill="FFFFFF"/>
          <w:lang w:val="en-US"/>
        </w:rPr>
        <w:t>Anual</w:t>
      </w:r>
      <w:proofErr w:type="spellEnd"/>
    </w:p>
    <w:p w14:paraId="286C39C7" w14:textId="77777777" w:rsidR="004B4DDA" w:rsidRDefault="004B4DDA" w:rsidP="0021448B">
      <w:pPr>
        <w:pStyle w:val="CommentText"/>
        <w:rPr>
          <w:rFonts w:ascii="Arial" w:hAnsi="Arial" w:cs="Arial"/>
          <w:color w:val="000000"/>
          <w:sz w:val="22"/>
          <w:szCs w:val="22"/>
          <w:shd w:val="clear" w:color="auto" w:fill="FFFFFF"/>
          <w:lang w:val="en-US"/>
        </w:rPr>
      </w:pPr>
    </w:p>
    <w:p w14:paraId="2BA6B07A" w14:textId="06633EC8" w:rsidR="002625CD" w:rsidRPr="002625CD" w:rsidRDefault="002625CD" w:rsidP="007C5B5D">
      <w:pPr>
        <w:pStyle w:val="CommentText"/>
        <w:jc w:val="both"/>
        <w:rPr>
          <w:rFonts w:ascii="Arial" w:hAnsi="Arial" w:cs="Arial"/>
          <w:sz w:val="22"/>
          <w:szCs w:val="22"/>
          <w:lang w:val="en-US"/>
        </w:rPr>
      </w:pPr>
      <w:r w:rsidRPr="002625CD">
        <w:rPr>
          <w:rFonts w:ascii="Arial" w:hAnsi="Arial" w:cs="Arial"/>
          <w:color w:val="000000"/>
          <w:sz w:val="22"/>
          <w:szCs w:val="22"/>
          <w:shd w:val="clear" w:color="auto" w:fill="FFFFFF"/>
          <w:lang w:val="en-US"/>
        </w:rPr>
        <w:t>Earthman, G. I. (2002). School Facility Conditions and Student Academic Achievement. </w:t>
      </w:r>
      <w:r w:rsidRPr="002625CD">
        <w:rPr>
          <w:rFonts w:ascii="Arial" w:hAnsi="Arial" w:cs="Arial"/>
          <w:i/>
          <w:iCs/>
          <w:color w:val="000000"/>
          <w:sz w:val="22"/>
          <w:szCs w:val="22"/>
          <w:shd w:val="clear" w:color="auto" w:fill="FFFFFF"/>
          <w:lang w:val="en-US"/>
        </w:rPr>
        <w:t>UCLA: 's Institute for Democracy, Education, and Access</w:t>
      </w:r>
      <w:r w:rsidRPr="002625CD">
        <w:rPr>
          <w:rFonts w:ascii="Arial" w:hAnsi="Arial" w:cs="Arial"/>
          <w:color w:val="000000"/>
          <w:sz w:val="22"/>
          <w:szCs w:val="22"/>
          <w:shd w:val="clear" w:color="auto" w:fill="FFFFFF"/>
          <w:lang w:val="en-US"/>
        </w:rPr>
        <w:t>. Retrieved from https://escholarship.org/uc/item/5sw56439</w:t>
      </w:r>
    </w:p>
    <w:p w14:paraId="7DFADF4D" w14:textId="77777777" w:rsidR="0021448B" w:rsidRPr="00EC1A96" w:rsidRDefault="0021448B" w:rsidP="0021448B">
      <w:pPr>
        <w:jc w:val="both"/>
        <w:rPr>
          <w:rFonts w:ascii="Arial" w:hAnsi="Arial" w:cs="Arial"/>
          <w:color w:val="222222"/>
          <w:sz w:val="22"/>
          <w:szCs w:val="22"/>
          <w:shd w:val="clear" w:color="auto" w:fill="FFFFFF"/>
          <w:lang w:val="en-US"/>
        </w:rPr>
      </w:pPr>
    </w:p>
    <w:p w14:paraId="666A9C8A" w14:textId="287A7C2F" w:rsidR="002625CD" w:rsidRPr="0021448B" w:rsidRDefault="0021448B" w:rsidP="0021448B">
      <w:pPr>
        <w:jc w:val="both"/>
        <w:rPr>
          <w:rFonts w:ascii="Arial" w:hAnsi="Arial" w:cs="Arial"/>
          <w:color w:val="222222"/>
          <w:sz w:val="22"/>
          <w:szCs w:val="22"/>
          <w:shd w:val="clear" w:color="auto" w:fill="FFFFFF"/>
        </w:rPr>
      </w:pPr>
      <w:proofErr w:type="spellStart"/>
      <w:r>
        <w:rPr>
          <w:rFonts w:ascii="Arial" w:hAnsi="Arial" w:cs="Arial"/>
          <w:color w:val="222222"/>
          <w:sz w:val="22"/>
          <w:szCs w:val="22"/>
          <w:shd w:val="clear" w:color="auto" w:fill="FFFFFF"/>
        </w:rPr>
        <w:t>Escuder</w:t>
      </w:r>
      <w:proofErr w:type="spellEnd"/>
      <w:r>
        <w:rPr>
          <w:rFonts w:ascii="Arial" w:hAnsi="Arial" w:cs="Arial"/>
          <w:color w:val="222222"/>
          <w:sz w:val="22"/>
          <w:szCs w:val="22"/>
          <w:shd w:val="clear" w:color="auto" w:fill="FFFFFF"/>
        </w:rPr>
        <w:t>, Jaime A. (2016). Análisis del impacto de la política de compras y contrataciones públicas en las MIPYME y Mujeres en la República Dominicana. PNUD y Dirección de contrataciones Públicas de República Dominicana</w:t>
      </w:r>
    </w:p>
    <w:p w14:paraId="6FE0ACA7" w14:textId="77777777" w:rsidR="0021448B" w:rsidRDefault="0021448B" w:rsidP="0021448B">
      <w:pPr>
        <w:jc w:val="both"/>
        <w:rPr>
          <w:rFonts w:ascii="Arial" w:hAnsi="Arial" w:cs="Arial"/>
          <w:sz w:val="22"/>
          <w:szCs w:val="22"/>
        </w:rPr>
      </w:pPr>
    </w:p>
    <w:p w14:paraId="194C6520" w14:textId="77777777" w:rsidR="0021448B" w:rsidRPr="00BF35DC" w:rsidRDefault="0021448B" w:rsidP="0021448B">
      <w:pPr>
        <w:jc w:val="both"/>
        <w:rPr>
          <w:rFonts w:ascii="Arial" w:hAnsi="Arial" w:cs="Arial"/>
          <w:color w:val="222222"/>
          <w:sz w:val="22"/>
          <w:szCs w:val="22"/>
          <w:shd w:val="clear" w:color="auto" w:fill="FFFFFF"/>
          <w:lang w:val="en-US"/>
        </w:rPr>
      </w:pPr>
      <w:r w:rsidRPr="00EC1A96">
        <w:rPr>
          <w:rFonts w:ascii="Arial" w:hAnsi="Arial" w:cs="Arial"/>
          <w:color w:val="222222"/>
          <w:sz w:val="22"/>
          <w:szCs w:val="22"/>
          <w:shd w:val="clear" w:color="auto" w:fill="FFFFFF"/>
        </w:rPr>
        <w:t xml:space="preserve">Ferraz, Claudio, Frederico Finan, and Dimitri </w:t>
      </w:r>
      <w:proofErr w:type="spellStart"/>
      <w:r w:rsidRPr="00EC1A96">
        <w:rPr>
          <w:rFonts w:ascii="Arial" w:hAnsi="Arial" w:cs="Arial"/>
          <w:color w:val="222222"/>
          <w:sz w:val="22"/>
          <w:szCs w:val="22"/>
          <w:shd w:val="clear" w:color="auto" w:fill="FFFFFF"/>
        </w:rPr>
        <w:t>Szerman</w:t>
      </w:r>
      <w:proofErr w:type="spellEnd"/>
      <w:r w:rsidRPr="00EC1A96">
        <w:rPr>
          <w:rFonts w:ascii="Arial" w:hAnsi="Arial" w:cs="Arial"/>
          <w:color w:val="222222"/>
          <w:sz w:val="22"/>
          <w:szCs w:val="22"/>
          <w:shd w:val="clear" w:color="auto" w:fill="FFFFFF"/>
        </w:rPr>
        <w:t xml:space="preserve">. </w:t>
      </w:r>
      <w:proofErr w:type="spellStart"/>
      <w:r w:rsidRPr="00EC1A96">
        <w:rPr>
          <w:rFonts w:ascii="Arial" w:hAnsi="Arial" w:cs="Arial"/>
          <w:color w:val="222222"/>
          <w:sz w:val="22"/>
          <w:szCs w:val="22"/>
          <w:shd w:val="clear" w:color="auto" w:fill="FFFFFF"/>
        </w:rPr>
        <w:t>Procuring</w:t>
      </w:r>
      <w:proofErr w:type="spellEnd"/>
      <w:r w:rsidRPr="00EC1A96">
        <w:rPr>
          <w:rFonts w:ascii="Arial" w:hAnsi="Arial" w:cs="Arial"/>
          <w:color w:val="222222"/>
          <w:sz w:val="22"/>
          <w:szCs w:val="22"/>
          <w:shd w:val="clear" w:color="auto" w:fill="FFFFFF"/>
        </w:rPr>
        <w:t xml:space="preserve"> </w:t>
      </w:r>
      <w:proofErr w:type="spellStart"/>
      <w:r w:rsidRPr="00EC1A96">
        <w:rPr>
          <w:rFonts w:ascii="Arial" w:hAnsi="Arial" w:cs="Arial"/>
          <w:color w:val="222222"/>
          <w:sz w:val="22"/>
          <w:szCs w:val="22"/>
          <w:shd w:val="clear" w:color="auto" w:fill="FFFFFF"/>
        </w:rPr>
        <w:t>firm</w:t>
      </w:r>
      <w:proofErr w:type="spellEnd"/>
      <w:r w:rsidRPr="00EC1A96">
        <w:rPr>
          <w:rFonts w:ascii="Arial" w:hAnsi="Arial" w:cs="Arial"/>
          <w:color w:val="222222"/>
          <w:sz w:val="22"/>
          <w:szCs w:val="22"/>
          <w:shd w:val="clear" w:color="auto" w:fill="FFFFFF"/>
        </w:rPr>
        <w:t xml:space="preserve"> </w:t>
      </w:r>
      <w:proofErr w:type="spellStart"/>
      <w:r w:rsidRPr="00EC1A96">
        <w:rPr>
          <w:rFonts w:ascii="Arial" w:hAnsi="Arial" w:cs="Arial"/>
          <w:color w:val="222222"/>
          <w:sz w:val="22"/>
          <w:szCs w:val="22"/>
          <w:shd w:val="clear" w:color="auto" w:fill="FFFFFF"/>
        </w:rPr>
        <w:t>growth</w:t>
      </w:r>
      <w:proofErr w:type="spellEnd"/>
      <w:r w:rsidRPr="00EC1A96">
        <w:rPr>
          <w:rFonts w:ascii="Arial" w:hAnsi="Arial" w:cs="Arial"/>
          <w:color w:val="222222"/>
          <w:sz w:val="22"/>
          <w:szCs w:val="22"/>
          <w:shd w:val="clear" w:color="auto" w:fill="FFFFFF"/>
        </w:rPr>
        <w:t xml:space="preserve">: the </w:t>
      </w:r>
      <w:proofErr w:type="spellStart"/>
      <w:r w:rsidRPr="00EC1A96">
        <w:rPr>
          <w:rFonts w:ascii="Arial" w:hAnsi="Arial" w:cs="Arial"/>
          <w:color w:val="222222"/>
          <w:sz w:val="22"/>
          <w:szCs w:val="22"/>
          <w:shd w:val="clear" w:color="auto" w:fill="FFFFFF"/>
        </w:rPr>
        <w:t>effects</w:t>
      </w:r>
      <w:proofErr w:type="spellEnd"/>
      <w:r w:rsidRPr="00EC1A96">
        <w:rPr>
          <w:rFonts w:ascii="Arial" w:hAnsi="Arial" w:cs="Arial"/>
          <w:color w:val="222222"/>
          <w:sz w:val="22"/>
          <w:szCs w:val="22"/>
          <w:shd w:val="clear" w:color="auto" w:fill="FFFFFF"/>
        </w:rPr>
        <w:t xml:space="preserve"> of </w:t>
      </w:r>
      <w:proofErr w:type="spellStart"/>
      <w:r w:rsidRPr="00EC1A96">
        <w:rPr>
          <w:rFonts w:ascii="Arial" w:hAnsi="Arial" w:cs="Arial"/>
          <w:color w:val="222222"/>
          <w:sz w:val="22"/>
          <w:szCs w:val="22"/>
          <w:shd w:val="clear" w:color="auto" w:fill="FFFFFF"/>
        </w:rPr>
        <w:t>government</w:t>
      </w:r>
      <w:proofErr w:type="spellEnd"/>
      <w:r w:rsidRPr="00EC1A96">
        <w:rPr>
          <w:rFonts w:ascii="Arial" w:hAnsi="Arial" w:cs="Arial"/>
          <w:color w:val="222222"/>
          <w:sz w:val="22"/>
          <w:szCs w:val="22"/>
          <w:shd w:val="clear" w:color="auto" w:fill="FFFFFF"/>
        </w:rPr>
        <w:t xml:space="preserve"> </w:t>
      </w:r>
      <w:proofErr w:type="spellStart"/>
      <w:r w:rsidRPr="00EC1A96">
        <w:rPr>
          <w:rFonts w:ascii="Arial" w:hAnsi="Arial" w:cs="Arial"/>
          <w:color w:val="222222"/>
          <w:sz w:val="22"/>
          <w:szCs w:val="22"/>
          <w:shd w:val="clear" w:color="auto" w:fill="FFFFFF"/>
        </w:rPr>
        <w:t>purchases</w:t>
      </w:r>
      <w:proofErr w:type="spellEnd"/>
      <w:r w:rsidRPr="00EC1A96">
        <w:rPr>
          <w:rFonts w:ascii="Arial" w:hAnsi="Arial" w:cs="Arial"/>
          <w:color w:val="222222"/>
          <w:sz w:val="22"/>
          <w:szCs w:val="22"/>
          <w:shd w:val="clear" w:color="auto" w:fill="FFFFFF"/>
        </w:rPr>
        <w:t xml:space="preserve"> </w:t>
      </w:r>
      <w:proofErr w:type="spellStart"/>
      <w:r w:rsidRPr="00EC1A96">
        <w:rPr>
          <w:rFonts w:ascii="Arial" w:hAnsi="Arial" w:cs="Arial"/>
          <w:color w:val="222222"/>
          <w:sz w:val="22"/>
          <w:szCs w:val="22"/>
          <w:shd w:val="clear" w:color="auto" w:fill="FFFFFF"/>
        </w:rPr>
        <w:t>on</w:t>
      </w:r>
      <w:proofErr w:type="spellEnd"/>
      <w:r w:rsidRPr="00EC1A96">
        <w:rPr>
          <w:rFonts w:ascii="Arial" w:hAnsi="Arial" w:cs="Arial"/>
          <w:color w:val="222222"/>
          <w:sz w:val="22"/>
          <w:szCs w:val="22"/>
          <w:shd w:val="clear" w:color="auto" w:fill="FFFFFF"/>
        </w:rPr>
        <w:t xml:space="preserve"> </w:t>
      </w:r>
      <w:proofErr w:type="spellStart"/>
      <w:r w:rsidRPr="00EC1A96">
        <w:rPr>
          <w:rFonts w:ascii="Arial" w:hAnsi="Arial" w:cs="Arial"/>
          <w:color w:val="222222"/>
          <w:sz w:val="22"/>
          <w:szCs w:val="22"/>
          <w:shd w:val="clear" w:color="auto" w:fill="FFFFFF"/>
        </w:rPr>
        <w:t>firm</w:t>
      </w:r>
      <w:proofErr w:type="spellEnd"/>
      <w:r w:rsidRPr="00EC1A96">
        <w:rPr>
          <w:rFonts w:ascii="Arial" w:hAnsi="Arial" w:cs="Arial"/>
          <w:color w:val="222222"/>
          <w:sz w:val="22"/>
          <w:szCs w:val="22"/>
          <w:shd w:val="clear" w:color="auto" w:fill="FFFFFF"/>
        </w:rPr>
        <w:t xml:space="preserve"> </w:t>
      </w:r>
      <w:proofErr w:type="spellStart"/>
      <w:r w:rsidRPr="00EC1A96">
        <w:rPr>
          <w:rFonts w:ascii="Arial" w:hAnsi="Arial" w:cs="Arial"/>
          <w:color w:val="222222"/>
          <w:sz w:val="22"/>
          <w:szCs w:val="22"/>
          <w:shd w:val="clear" w:color="auto" w:fill="FFFFFF"/>
        </w:rPr>
        <w:t>dynamics</w:t>
      </w:r>
      <w:proofErr w:type="spellEnd"/>
      <w:r w:rsidRPr="00EC1A96">
        <w:rPr>
          <w:rFonts w:ascii="Arial" w:hAnsi="Arial" w:cs="Arial"/>
          <w:color w:val="222222"/>
          <w:sz w:val="22"/>
          <w:szCs w:val="22"/>
          <w:shd w:val="clear" w:color="auto" w:fill="FFFFFF"/>
        </w:rPr>
        <w:t xml:space="preserve">. </w:t>
      </w:r>
      <w:r w:rsidRPr="00BF35DC">
        <w:rPr>
          <w:rFonts w:ascii="Arial" w:hAnsi="Arial" w:cs="Arial"/>
          <w:color w:val="222222"/>
          <w:sz w:val="22"/>
          <w:szCs w:val="22"/>
          <w:shd w:val="clear" w:color="auto" w:fill="FFFFFF"/>
          <w:lang w:val="en-US"/>
        </w:rPr>
        <w:t>No. w21219. National Bureau of Economic Research, 2015.</w:t>
      </w:r>
    </w:p>
    <w:p w14:paraId="2BBA7A1D" w14:textId="77777777" w:rsidR="0021448B" w:rsidRPr="0021448B" w:rsidRDefault="0021448B" w:rsidP="0021448B">
      <w:pPr>
        <w:jc w:val="both"/>
        <w:rPr>
          <w:rFonts w:ascii="Arial" w:hAnsi="Arial" w:cs="Arial"/>
          <w:sz w:val="22"/>
          <w:szCs w:val="22"/>
          <w:lang w:val="en-US"/>
        </w:rPr>
      </w:pPr>
    </w:p>
    <w:p w14:paraId="04C87ACA" w14:textId="22D04A2E" w:rsidR="00C27333" w:rsidRPr="002625CD" w:rsidRDefault="00C27333" w:rsidP="0021448B">
      <w:pPr>
        <w:jc w:val="both"/>
        <w:rPr>
          <w:rFonts w:ascii="Arial" w:hAnsi="Arial" w:cs="Arial"/>
          <w:sz w:val="22"/>
          <w:szCs w:val="22"/>
          <w:lang w:val="en-US"/>
        </w:rPr>
      </w:pPr>
      <w:proofErr w:type="spellStart"/>
      <w:r w:rsidRPr="0021448B">
        <w:rPr>
          <w:rFonts w:ascii="Arial" w:hAnsi="Arial" w:cs="Arial"/>
          <w:sz w:val="22"/>
          <w:szCs w:val="22"/>
          <w:lang w:val="en-US"/>
        </w:rPr>
        <w:t>Garicano</w:t>
      </w:r>
      <w:proofErr w:type="spellEnd"/>
      <w:r w:rsidRPr="0021448B">
        <w:rPr>
          <w:rFonts w:ascii="Arial" w:hAnsi="Arial" w:cs="Arial"/>
          <w:sz w:val="22"/>
          <w:szCs w:val="22"/>
          <w:lang w:val="en-US"/>
        </w:rPr>
        <w:t xml:space="preserve">, L., </w:t>
      </w:r>
      <w:proofErr w:type="spellStart"/>
      <w:r w:rsidRPr="0021448B">
        <w:rPr>
          <w:rFonts w:ascii="Arial" w:hAnsi="Arial" w:cs="Arial"/>
          <w:sz w:val="22"/>
          <w:szCs w:val="22"/>
          <w:lang w:val="en-US"/>
        </w:rPr>
        <w:t>Lelarge</w:t>
      </w:r>
      <w:proofErr w:type="spellEnd"/>
      <w:r w:rsidRPr="0021448B">
        <w:rPr>
          <w:rFonts w:ascii="Arial" w:hAnsi="Arial" w:cs="Arial"/>
          <w:sz w:val="22"/>
          <w:szCs w:val="22"/>
          <w:lang w:val="en-US"/>
        </w:rPr>
        <w:t xml:space="preserve">, C., &amp; Van Reenen, J. (2016). </w:t>
      </w:r>
      <w:r w:rsidRPr="002625CD">
        <w:rPr>
          <w:rFonts w:ascii="Arial" w:hAnsi="Arial" w:cs="Arial"/>
          <w:sz w:val="22"/>
          <w:szCs w:val="22"/>
          <w:lang w:val="en-US"/>
        </w:rPr>
        <w:t xml:space="preserve">Firm Size Distortions and the Productivity Distribution: Evidence from France. American Economic </w:t>
      </w:r>
      <w:proofErr w:type="spellStart"/>
      <w:r w:rsidRPr="002625CD">
        <w:rPr>
          <w:rFonts w:ascii="Arial" w:hAnsi="Arial" w:cs="Arial"/>
          <w:sz w:val="22"/>
          <w:szCs w:val="22"/>
          <w:lang w:val="en-US"/>
        </w:rPr>
        <w:t>Revies</w:t>
      </w:r>
      <w:proofErr w:type="spellEnd"/>
      <w:r w:rsidRPr="002625CD">
        <w:rPr>
          <w:rFonts w:ascii="Arial" w:hAnsi="Arial" w:cs="Arial"/>
          <w:sz w:val="22"/>
          <w:szCs w:val="22"/>
          <w:lang w:val="en-US"/>
        </w:rPr>
        <w:t>, 106(11):3439-3479.</w:t>
      </w:r>
    </w:p>
    <w:p w14:paraId="3FB2BDE5" w14:textId="3A55BD9C" w:rsidR="00C27333" w:rsidRPr="002625CD" w:rsidRDefault="00C27333" w:rsidP="0021448B">
      <w:pPr>
        <w:jc w:val="both"/>
        <w:rPr>
          <w:rFonts w:ascii="Arial" w:hAnsi="Arial" w:cs="Arial"/>
          <w:sz w:val="22"/>
          <w:szCs w:val="22"/>
          <w:lang w:val="en-US"/>
        </w:rPr>
      </w:pPr>
    </w:p>
    <w:p w14:paraId="0657E085" w14:textId="4976B93F" w:rsidR="002625CD" w:rsidRPr="002625CD" w:rsidRDefault="002625CD" w:rsidP="0021448B">
      <w:pPr>
        <w:jc w:val="both"/>
        <w:rPr>
          <w:rFonts w:ascii="Arial" w:hAnsi="Arial" w:cs="Arial"/>
          <w:sz w:val="22"/>
          <w:szCs w:val="22"/>
          <w:lang w:val="en-US"/>
        </w:rPr>
      </w:pPr>
      <w:r w:rsidRPr="002625CD">
        <w:rPr>
          <w:rFonts w:ascii="Arial" w:hAnsi="Arial" w:cs="Arial"/>
          <w:sz w:val="22"/>
          <w:szCs w:val="22"/>
          <w:lang w:val="en-US"/>
        </w:rPr>
        <w:t>Gibbs, G. &amp; Coffey, D. (2000) “The impact of training of university teachers on their teaching skills, their approach to teaching and the approach to learning of their students”. The Institute for Learning and Teaching in Higher Education and SAGE Publications (London, Thousand Oaks, CA and New Delhi) Vol 5(1): 87–100.</w:t>
      </w:r>
    </w:p>
    <w:p w14:paraId="6AAD8664" w14:textId="3E2104EA" w:rsidR="002625CD" w:rsidRPr="002625CD" w:rsidRDefault="002625CD" w:rsidP="0021448B">
      <w:pPr>
        <w:jc w:val="both"/>
        <w:rPr>
          <w:rFonts w:ascii="Arial" w:hAnsi="Arial" w:cs="Arial"/>
          <w:sz w:val="22"/>
          <w:szCs w:val="22"/>
          <w:lang w:val="en-US"/>
        </w:rPr>
      </w:pPr>
    </w:p>
    <w:p w14:paraId="02FD82AD" w14:textId="77777777" w:rsidR="0021448B" w:rsidRPr="00BF35DC" w:rsidRDefault="0021448B" w:rsidP="0021448B">
      <w:pPr>
        <w:jc w:val="both"/>
        <w:rPr>
          <w:rFonts w:ascii="Arial" w:hAnsi="Arial" w:cs="Arial"/>
          <w:color w:val="222222"/>
          <w:sz w:val="22"/>
          <w:szCs w:val="22"/>
          <w:shd w:val="clear" w:color="auto" w:fill="FFFFFF"/>
          <w:lang w:val="en-US"/>
        </w:rPr>
      </w:pPr>
      <w:r w:rsidRPr="0021448B">
        <w:rPr>
          <w:rFonts w:ascii="Arial" w:hAnsi="Arial" w:cs="Arial"/>
          <w:color w:val="222222"/>
          <w:sz w:val="22"/>
          <w:szCs w:val="22"/>
          <w:shd w:val="clear" w:color="auto" w:fill="FFFFFF"/>
        </w:rPr>
        <w:t xml:space="preserve">González, V., </w:t>
      </w:r>
      <w:proofErr w:type="spellStart"/>
      <w:r w:rsidRPr="0021448B">
        <w:rPr>
          <w:rFonts w:ascii="Arial" w:hAnsi="Arial" w:cs="Arial"/>
          <w:color w:val="222222"/>
          <w:sz w:val="22"/>
          <w:szCs w:val="22"/>
          <w:shd w:val="clear" w:color="auto" w:fill="FFFFFF"/>
        </w:rPr>
        <w:t>Ibarrarán</w:t>
      </w:r>
      <w:proofErr w:type="spellEnd"/>
      <w:r w:rsidRPr="0021448B">
        <w:rPr>
          <w:rFonts w:ascii="Arial" w:hAnsi="Arial" w:cs="Arial"/>
          <w:color w:val="222222"/>
          <w:sz w:val="22"/>
          <w:szCs w:val="22"/>
          <w:shd w:val="clear" w:color="auto" w:fill="FFFFFF"/>
        </w:rPr>
        <w:t>, P., Maffioli, A., &amp; Rozo, S. (2009).</w:t>
      </w:r>
      <w:r w:rsidRPr="0021448B">
        <w:rPr>
          <w:rStyle w:val="apple-converted-space"/>
          <w:rFonts w:ascii="Arial" w:hAnsi="Arial" w:cs="Arial"/>
          <w:color w:val="222222"/>
          <w:sz w:val="22"/>
          <w:szCs w:val="22"/>
          <w:shd w:val="clear" w:color="auto" w:fill="FFFFFF"/>
        </w:rPr>
        <w:t> </w:t>
      </w:r>
      <w:r w:rsidRPr="00BF35DC">
        <w:rPr>
          <w:rFonts w:ascii="Arial" w:hAnsi="Arial" w:cs="Arial"/>
          <w:color w:val="222222"/>
          <w:sz w:val="22"/>
          <w:szCs w:val="22"/>
          <w:shd w:val="clear" w:color="auto" w:fill="FFFFFF"/>
          <w:lang w:val="en-US"/>
        </w:rPr>
        <w:t>The Impact of Technology Adoption on Agricultural Productivity: The Case of the Dominican Republic</w:t>
      </w:r>
      <w:r w:rsidRPr="00BF35DC">
        <w:rPr>
          <w:rStyle w:val="apple-converted-space"/>
          <w:rFonts w:ascii="Arial" w:hAnsi="Arial" w:cs="Arial"/>
          <w:color w:val="222222"/>
          <w:sz w:val="22"/>
          <w:szCs w:val="22"/>
          <w:shd w:val="clear" w:color="auto" w:fill="FFFFFF"/>
          <w:lang w:val="en-US"/>
        </w:rPr>
        <w:t> </w:t>
      </w:r>
      <w:r w:rsidRPr="00BF35DC">
        <w:rPr>
          <w:rFonts w:ascii="Arial" w:hAnsi="Arial" w:cs="Arial"/>
          <w:color w:val="222222"/>
          <w:sz w:val="22"/>
          <w:szCs w:val="22"/>
          <w:shd w:val="clear" w:color="auto" w:fill="FFFFFF"/>
          <w:lang w:val="en-US"/>
        </w:rPr>
        <w:t>(No. 0509). Inter-American Development Bank, Office of Evaluation and Oversight (OVE).</w:t>
      </w:r>
    </w:p>
    <w:p w14:paraId="321A8885" w14:textId="7078167A" w:rsidR="0021448B" w:rsidRDefault="0021448B" w:rsidP="0021448B">
      <w:pPr>
        <w:jc w:val="both"/>
        <w:rPr>
          <w:rFonts w:ascii="Arial" w:hAnsi="Arial" w:cs="Arial"/>
          <w:sz w:val="22"/>
          <w:szCs w:val="22"/>
          <w:lang w:val="en-US"/>
        </w:rPr>
      </w:pPr>
    </w:p>
    <w:p w14:paraId="4A032F85" w14:textId="4DD07731" w:rsidR="00F26790" w:rsidRDefault="00F26790" w:rsidP="0021448B">
      <w:pPr>
        <w:jc w:val="both"/>
        <w:rPr>
          <w:rFonts w:ascii="Arial" w:hAnsi="Arial" w:cs="Arial"/>
          <w:sz w:val="22"/>
          <w:szCs w:val="22"/>
          <w:lang w:val="en-US"/>
        </w:rPr>
      </w:pPr>
      <w:r w:rsidRPr="00F26790">
        <w:rPr>
          <w:rFonts w:ascii="Arial" w:hAnsi="Arial" w:cs="Arial"/>
          <w:sz w:val="22"/>
          <w:szCs w:val="22"/>
          <w:lang w:val="en-US"/>
        </w:rPr>
        <w:t xml:space="preserve">Gutierrez and </w:t>
      </w:r>
      <w:proofErr w:type="spellStart"/>
      <w:r w:rsidRPr="00F26790">
        <w:rPr>
          <w:rFonts w:ascii="Arial" w:hAnsi="Arial" w:cs="Arial"/>
          <w:sz w:val="22"/>
          <w:szCs w:val="22"/>
          <w:lang w:val="en-US"/>
        </w:rPr>
        <w:t>Phillippon</w:t>
      </w:r>
      <w:proofErr w:type="spellEnd"/>
      <w:r w:rsidRPr="00F26790">
        <w:rPr>
          <w:rFonts w:ascii="Arial" w:hAnsi="Arial" w:cs="Arial"/>
          <w:sz w:val="22"/>
          <w:szCs w:val="22"/>
          <w:lang w:val="en-US"/>
        </w:rPr>
        <w:t xml:space="preserve"> (2016) “Investment-less growth: An empirical investigation”, NBER Working Paper No. 22897 </w:t>
      </w:r>
    </w:p>
    <w:p w14:paraId="110806C3" w14:textId="77777777" w:rsidR="00F26790" w:rsidRDefault="00F26790" w:rsidP="0021448B">
      <w:pPr>
        <w:jc w:val="both"/>
        <w:rPr>
          <w:rFonts w:ascii="Arial" w:hAnsi="Arial" w:cs="Arial"/>
          <w:sz w:val="22"/>
          <w:szCs w:val="22"/>
          <w:lang w:val="en-US"/>
        </w:rPr>
      </w:pPr>
    </w:p>
    <w:p w14:paraId="62E102F6" w14:textId="19B3FEBD" w:rsidR="000465A5" w:rsidRDefault="000465A5" w:rsidP="0021448B">
      <w:pPr>
        <w:jc w:val="both"/>
        <w:rPr>
          <w:rFonts w:ascii="Arial" w:hAnsi="Arial" w:cs="Arial"/>
          <w:sz w:val="22"/>
          <w:szCs w:val="22"/>
          <w:lang w:val="en-US"/>
        </w:rPr>
      </w:pPr>
      <w:r w:rsidRPr="000465A5">
        <w:rPr>
          <w:rFonts w:ascii="Arial" w:hAnsi="Arial" w:cs="Arial"/>
          <w:sz w:val="22"/>
          <w:szCs w:val="22"/>
          <w:lang w:val="en-US"/>
        </w:rPr>
        <w:t xml:space="preserve">Hsieh, Ch, y P. </w:t>
      </w:r>
      <w:proofErr w:type="spellStart"/>
      <w:r w:rsidRPr="000465A5">
        <w:rPr>
          <w:rFonts w:ascii="Arial" w:hAnsi="Arial" w:cs="Arial"/>
          <w:sz w:val="22"/>
          <w:szCs w:val="22"/>
          <w:lang w:val="en-US"/>
        </w:rPr>
        <w:t>Klenow</w:t>
      </w:r>
      <w:proofErr w:type="spellEnd"/>
      <w:r w:rsidRPr="000465A5">
        <w:rPr>
          <w:rFonts w:ascii="Arial" w:hAnsi="Arial" w:cs="Arial"/>
          <w:sz w:val="22"/>
          <w:szCs w:val="22"/>
          <w:lang w:val="en-US"/>
        </w:rPr>
        <w:t xml:space="preserve"> (2009); “Misall</w:t>
      </w:r>
      <w:r>
        <w:rPr>
          <w:rFonts w:ascii="Arial" w:hAnsi="Arial" w:cs="Arial"/>
          <w:sz w:val="22"/>
          <w:szCs w:val="22"/>
          <w:lang w:val="en-US"/>
        </w:rPr>
        <w:t>ocation and manufacturing TFP in China and India,” The Quarterly Journal of Economics, 124(</w:t>
      </w:r>
      <w:r w:rsidR="00906EDB">
        <w:rPr>
          <w:rFonts w:ascii="Arial" w:hAnsi="Arial" w:cs="Arial"/>
          <w:sz w:val="22"/>
          <w:szCs w:val="22"/>
          <w:lang w:val="en-US"/>
        </w:rPr>
        <w:t>4)1403-1447</w:t>
      </w:r>
    </w:p>
    <w:p w14:paraId="098D3FD3" w14:textId="6FFFC9FF" w:rsidR="000465A5" w:rsidRDefault="000465A5" w:rsidP="0021448B">
      <w:pPr>
        <w:jc w:val="both"/>
        <w:rPr>
          <w:rFonts w:ascii="Arial" w:hAnsi="Arial" w:cs="Arial"/>
          <w:sz w:val="22"/>
          <w:szCs w:val="22"/>
          <w:lang w:val="en-US"/>
        </w:rPr>
      </w:pPr>
    </w:p>
    <w:p w14:paraId="55C8F00F" w14:textId="77777777" w:rsidR="00F26790" w:rsidRDefault="00F26790" w:rsidP="00F26790">
      <w:pPr>
        <w:jc w:val="both"/>
        <w:rPr>
          <w:rFonts w:ascii="Arial" w:hAnsi="Arial" w:cs="Arial"/>
          <w:sz w:val="22"/>
          <w:szCs w:val="22"/>
          <w:lang w:val="en-US"/>
        </w:rPr>
      </w:pPr>
      <w:proofErr w:type="spellStart"/>
      <w:r w:rsidRPr="00F26790">
        <w:rPr>
          <w:rFonts w:ascii="Arial" w:hAnsi="Arial" w:cs="Arial"/>
          <w:sz w:val="22"/>
          <w:szCs w:val="22"/>
          <w:lang w:val="en-US"/>
        </w:rPr>
        <w:t>Hulten</w:t>
      </w:r>
      <w:proofErr w:type="spellEnd"/>
      <w:r w:rsidRPr="00F26790">
        <w:rPr>
          <w:rFonts w:ascii="Arial" w:hAnsi="Arial" w:cs="Arial"/>
          <w:sz w:val="22"/>
          <w:szCs w:val="22"/>
          <w:lang w:val="en-US"/>
        </w:rPr>
        <w:t xml:space="preserve"> (1978) “Growth accounting with intermediate inputs”, The Review of Economic Studies 45(3): 511-518.</w:t>
      </w:r>
    </w:p>
    <w:p w14:paraId="42F540EF" w14:textId="77777777" w:rsidR="00F26790" w:rsidRPr="000465A5" w:rsidRDefault="00F26790" w:rsidP="0021448B">
      <w:pPr>
        <w:jc w:val="both"/>
        <w:rPr>
          <w:rFonts w:ascii="Arial" w:hAnsi="Arial" w:cs="Arial"/>
          <w:sz w:val="22"/>
          <w:szCs w:val="22"/>
          <w:lang w:val="en-US"/>
        </w:rPr>
      </w:pPr>
    </w:p>
    <w:p w14:paraId="6C416510" w14:textId="77777777" w:rsidR="0021448B" w:rsidRPr="00EA1931" w:rsidRDefault="0021448B" w:rsidP="0021448B">
      <w:pPr>
        <w:jc w:val="both"/>
        <w:rPr>
          <w:rFonts w:ascii="Arial" w:hAnsi="Arial" w:cs="Arial"/>
          <w:color w:val="222222"/>
          <w:sz w:val="22"/>
          <w:szCs w:val="22"/>
          <w:shd w:val="clear" w:color="auto" w:fill="FFFFFF"/>
          <w:lang w:val="en-US"/>
        </w:rPr>
      </w:pPr>
      <w:proofErr w:type="spellStart"/>
      <w:r w:rsidRPr="00EC1A96">
        <w:rPr>
          <w:rFonts w:ascii="Arial" w:hAnsi="Arial" w:cs="Arial"/>
          <w:color w:val="222222"/>
          <w:sz w:val="22"/>
          <w:szCs w:val="22"/>
          <w:shd w:val="clear" w:color="auto" w:fill="FFFFFF"/>
          <w:lang w:val="en-US"/>
        </w:rPr>
        <w:t>Jarmin</w:t>
      </w:r>
      <w:proofErr w:type="spellEnd"/>
      <w:r w:rsidRPr="00EC1A96">
        <w:rPr>
          <w:rFonts w:ascii="Arial" w:hAnsi="Arial" w:cs="Arial"/>
          <w:color w:val="222222"/>
          <w:sz w:val="22"/>
          <w:szCs w:val="22"/>
          <w:shd w:val="clear" w:color="auto" w:fill="FFFFFF"/>
          <w:lang w:val="en-US"/>
        </w:rPr>
        <w:t xml:space="preserve">, R. S. (1999). </w:t>
      </w:r>
      <w:r w:rsidRPr="00BF35DC">
        <w:rPr>
          <w:rFonts w:ascii="Arial" w:hAnsi="Arial" w:cs="Arial"/>
          <w:color w:val="222222"/>
          <w:sz w:val="22"/>
          <w:szCs w:val="22"/>
          <w:shd w:val="clear" w:color="auto" w:fill="FFFFFF"/>
          <w:lang w:val="en-US"/>
        </w:rPr>
        <w:t>Evaluating the impact of manufacturing extension on productivity growth.</w:t>
      </w:r>
      <w:r w:rsidRPr="00BF35DC">
        <w:rPr>
          <w:rStyle w:val="apple-converted-space"/>
          <w:rFonts w:ascii="Arial" w:hAnsi="Arial" w:cs="Arial"/>
          <w:color w:val="222222"/>
          <w:sz w:val="22"/>
          <w:szCs w:val="22"/>
          <w:shd w:val="clear" w:color="auto" w:fill="FFFFFF"/>
          <w:lang w:val="en-US"/>
        </w:rPr>
        <w:t> </w:t>
      </w:r>
      <w:r w:rsidRPr="00EA1931">
        <w:rPr>
          <w:rFonts w:ascii="Arial" w:hAnsi="Arial" w:cs="Arial"/>
          <w:i/>
          <w:iCs/>
          <w:color w:val="222222"/>
          <w:sz w:val="22"/>
          <w:szCs w:val="22"/>
          <w:shd w:val="clear" w:color="auto" w:fill="FFFFFF"/>
          <w:lang w:val="en-US"/>
        </w:rPr>
        <w:t>Journal of Policy Analysis and Management</w:t>
      </w:r>
      <w:r w:rsidRPr="00EA1931">
        <w:rPr>
          <w:rFonts w:ascii="Arial" w:hAnsi="Arial" w:cs="Arial"/>
          <w:color w:val="222222"/>
          <w:sz w:val="22"/>
          <w:szCs w:val="22"/>
          <w:shd w:val="clear" w:color="auto" w:fill="FFFFFF"/>
          <w:lang w:val="en-US"/>
        </w:rPr>
        <w:t>,</w:t>
      </w:r>
      <w:r w:rsidRPr="00EA1931">
        <w:rPr>
          <w:rStyle w:val="apple-converted-space"/>
          <w:rFonts w:ascii="Arial" w:hAnsi="Arial" w:cs="Arial"/>
          <w:color w:val="222222"/>
          <w:sz w:val="22"/>
          <w:szCs w:val="22"/>
          <w:shd w:val="clear" w:color="auto" w:fill="FFFFFF"/>
          <w:lang w:val="en-US"/>
        </w:rPr>
        <w:t> </w:t>
      </w:r>
      <w:r w:rsidRPr="00EA1931">
        <w:rPr>
          <w:rFonts w:ascii="Arial" w:hAnsi="Arial" w:cs="Arial"/>
          <w:i/>
          <w:iCs/>
          <w:color w:val="222222"/>
          <w:sz w:val="22"/>
          <w:szCs w:val="22"/>
          <w:shd w:val="clear" w:color="auto" w:fill="FFFFFF"/>
          <w:lang w:val="en-US"/>
        </w:rPr>
        <w:t>18</w:t>
      </w:r>
      <w:r w:rsidRPr="00EA1931">
        <w:rPr>
          <w:rFonts w:ascii="Arial" w:hAnsi="Arial" w:cs="Arial"/>
          <w:color w:val="222222"/>
          <w:sz w:val="22"/>
          <w:szCs w:val="22"/>
          <w:shd w:val="clear" w:color="auto" w:fill="FFFFFF"/>
          <w:lang w:val="en-US"/>
        </w:rPr>
        <w:t>(1), 99-119.</w:t>
      </w:r>
    </w:p>
    <w:p w14:paraId="375252DB" w14:textId="5609DBCB" w:rsidR="0021448B" w:rsidRDefault="0021448B" w:rsidP="0021448B">
      <w:pPr>
        <w:jc w:val="both"/>
        <w:rPr>
          <w:rFonts w:ascii="Arial" w:hAnsi="Arial" w:cs="Arial"/>
          <w:sz w:val="22"/>
          <w:szCs w:val="22"/>
          <w:lang w:val="en-US"/>
        </w:rPr>
      </w:pPr>
    </w:p>
    <w:p w14:paraId="22C9CA88" w14:textId="77777777" w:rsidR="0021448B" w:rsidRPr="00EA1931" w:rsidRDefault="0021448B" w:rsidP="0021448B">
      <w:pPr>
        <w:jc w:val="both"/>
        <w:rPr>
          <w:rFonts w:ascii="Arial" w:hAnsi="Arial" w:cs="Arial"/>
          <w:color w:val="222222"/>
          <w:sz w:val="22"/>
          <w:szCs w:val="22"/>
          <w:shd w:val="clear" w:color="auto" w:fill="FFFFFF"/>
          <w:lang w:val="en-US"/>
        </w:rPr>
      </w:pPr>
      <w:r w:rsidRPr="00EA1931">
        <w:rPr>
          <w:rFonts w:ascii="Arial" w:hAnsi="Arial" w:cs="Arial"/>
          <w:color w:val="222222"/>
          <w:sz w:val="22"/>
          <w:szCs w:val="22"/>
          <w:shd w:val="clear" w:color="auto" w:fill="FFFFFF"/>
          <w:lang w:val="en-US"/>
        </w:rPr>
        <w:t xml:space="preserve">Lopez-Acevedo, G., &amp; </w:t>
      </w:r>
      <w:proofErr w:type="spellStart"/>
      <w:r w:rsidRPr="00EA1931">
        <w:rPr>
          <w:rFonts w:ascii="Arial" w:hAnsi="Arial" w:cs="Arial"/>
          <w:color w:val="222222"/>
          <w:sz w:val="22"/>
          <w:szCs w:val="22"/>
          <w:shd w:val="clear" w:color="auto" w:fill="FFFFFF"/>
          <w:lang w:val="en-US"/>
        </w:rPr>
        <w:t>Tinajero</w:t>
      </w:r>
      <w:proofErr w:type="spellEnd"/>
      <w:r w:rsidRPr="00EA1931">
        <w:rPr>
          <w:rFonts w:ascii="Arial" w:hAnsi="Arial" w:cs="Arial"/>
          <w:color w:val="222222"/>
          <w:sz w:val="22"/>
          <w:szCs w:val="22"/>
          <w:shd w:val="clear" w:color="auto" w:fill="FFFFFF"/>
          <w:lang w:val="en-US"/>
        </w:rPr>
        <w:t>-Bravo, M. (2013). Evaluating Different Types of Enterprise Support Programs Using Panel Firm Data: Evidence from the Mexican Manufacturing Sector.</w:t>
      </w:r>
      <w:r w:rsidRPr="00EA1931">
        <w:rPr>
          <w:rStyle w:val="apple-converted-space"/>
          <w:rFonts w:ascii="Arial" w:hAnsi="Arial" w:cs="Arial"/>
          <w:color w:val="222222"/>
          <w:sz w:val="22"/>
          <w:szCs w:val="22"/>
          <w:shd w:val="clear" w:color="auto" w:fill="FFFFFF"/>
          <w:lang w:val="en-US"/>
        </w:rPr>
        <w:t> </w:t>
      </w:r>
      <w:proofErr w:type="spellStart"/>
      <w:r w:rsidRPr="00EA1931">
        <w:rPr>
          <w:rFonts w:ascii="Arial" w:hAnsi="Arial" w:cs="Arial"/>
          <w:i/>
          <w:iCs/>
          <w:color w:val="222222"/>
          <w:sz w:val="22"/>
          <w:szCs w:val="22"/>
          <w:shd w:val="clear" w:color="auto" w:fill="FFFFFF"/>
          <w:lang w:val="en-US"/>
        </w:rPr>
        <w:t>Economía</w:t>
      </w:r>
      <w:proofErr w:type="spellEnd"/>
      <w:r w:rsidRPr="00EA1931">
        <w:rPr>
          <w:rFonts w:ascii="Arial" w:hAnsi="Arial" w:cs="Arial"/>
          <w:color w:val="222222"/>
          <w:sz w:val="22"/>
          <w:szCs w:val="22"/>
          <w:shd w:val="clear" w:color="auto" w:fill="FFFFFF"/>
          <w:lang w:val="en-US"/>
        </w:rPr>
        <w:t>,</w:t>
      </w:r>
      <w:r w:rsidRPr="00EA1931">
        <w:rPr>
          <w:rStyle w:val="apple-converted-space"/>
          <w:rFonts w:ascii="Arial" w:hAnsi="Arial" w:cs="Arial"/>
          <w:color w:val="222222"/>
          <w:sz w:val="22"/>
          <w:szCs w:val="22"/>
          <w:shd w:val="clear" w:color="auto" w:fill="FFFFFF"/>
          <w:lang w:val="en-US"/>
        </w:rPr>
        <w:t> </w:t>
      </w:r>
      <w:r w:rsidRPr="00EA1931">
        <w:rPr>
          <w:rFonts w:ascii="Arial" w:hAnsi="Arial" w:cs="Arial"/>
          <w:i/>
          <w:iCs/>
          <w:color w:val="222222"/>
          <w:sz w:val="22"/>
          <w:szCs w:val="22"/>
          <w:shd w:val="clear" w:color="auto" w:fill="FFFFFF"/>
          <w:lang w:val="en-US"/>
        </w:rPr>
        <w:t>14</w:t>
      </w:r>
      <w:r w:rsidRPr="00EA1931">
        <w:rPr>
          <w:rFonts w:ascii="Arial" w:hAnsi="Arial" w:cs="Arial"/>
          <w:color w:val="222222"/>
          <w:sz w:val="22"/>
          <w:szCs w:val="22"/>
          <w:shd w:val="clear" w:color="auto" w:fill="FFFFFF"/>
          <w:lang w:val="en-US"/>
        </w:rPr>
        <w:t>(1), 1-32.</w:t>
      </w:r>
    </w:p>
    <w:p w14:paraId="5341EA63" w14:textId="77777777" w:rsidR="0021448B" w:rsidRDefault="0021448B" w:rsidP="0021448B">
      <w:pPr>
        <w:jc w:val="both"/>
        <w:rPr>
          <w:rFonts w:ascii="Arial" w:hAnsi="Arial" w:cs="Arial"/>
          <w:sz w:val="22"/>
          <w:szCs w:val="22"/>
          <w:lang w:val="en-US"/>
        </w:rPr>
      </w:pPr>
    </w:p>
    <w:p w14:paraId="63ECBD88" w14:textId="77777777" w:rsidR="0021448B" w:rsidRPr="00EA1931" w:rsidRDefault="0021448B" w:rsidP="0021448B">
      <w:pPr>
        <w:jc w:val="both"/>
        <w:rPr>
          <w:rFonts w:ascii="Arial" w:hAnsi="Arial" w:cs="Arial"/>
          <w:color w:val="222222"/>
          <w:sz w:val="22"/>
          <w:szCs w:val="22"/>
          <w:shd w:val="clear" w:color="auto" w:fill="FFFFFF"/>
          <w:lang w:val="en-US"/>
        </w:rPr>
      </w:pPr>
      <w:r w:rsidRPr="00EA1931">
        <w:rPr>
          <w:rFonts w:ascii="Arial" w:hAnsi="Arial" w:cs="Arial"/>
          <w:color w:val="222222"/>
          <w:sz w:val="22"/>
          <w:szCs w:val="22"/>
          <w:shd w:val="clear" w:color="auto" w:fill="FFFFFF"/>
          <w:lang w:val="en-US"/>
        </w:rPr>
        <w:t>Lopez, F., &amp; Maffioli, A. (2008).</w:t>
      </w:r>
      <w:r w:rsidRPr="00EA1931">
        <w:rPr>
          <w:rStyle w:val="apple-converted-space"/>
          <w:rFonts w:ascii="Arial" w:hAnsi="Arial" w:cs="Arial"/>
          <w:color w:val="222222"/>
          <w:sz w:val="22"/>
          <w:szCs w:val="22"/>
          <w:shd w:val="clear" w:color="auto" w:fill="FFFFFF"/>
          <w:lang w:val="en-US"/>
        </w:rPr>
        <w:t> </w:t>
      </w:r>
      <w:r w:rsidRPr="00EA1931">
        <w:rPr>
          <w:rFonts w:ascii="Arial" w:hAnsi="Arial" w:cs="Arial"/>
          <w:color w:val="222222"/>
          <w:sz w:val="22"/>
          <w:szCs w:val="22"/>
          <w:shd w:val="clear" w:color="auto" w:fill="FFFFFF"/>
          <w:lang w:val="en-US"/>
        </w:rPr>
        <w:t>Technology Adoption, Productivity and Specialization of Uruguayan Breeders: Evidence from an Impact Evaluation. Inter-American Development Bank.</w:t>
      </w:r>
    </w:p>
    <w:p w14:paraId="299DF9A6" w14:textId="198F3DEE" w:rsidR="0021448B" w:rsidRDefault="0021448B" w:rsidP="0021448B">
      <w:pPr>
        <w:jc w:val="both"/>
        <w:rPr>
          <w:rFonts w:ascii="Arial" w:hAnsi="Arial" w:cs="Arial"/>
          <w:sz w:val="22"/>
          <w:szCs w:val="22"/>
          <w:lang w:val="en-US"/>
        </w:rPr>
      </w:pPr>
    </w:p>
    <w:p w14:paraId="01DC0B27" w14:textId="77777777" w:rsidR="0021448B" w:rsidRPr="00EA1931" w:rsidRDefault="0021448B" w:rsidP="0021448B">
      <w:pPr>
        <w:jc w:val="both"/>
        <w:rPr>
          <w:rFonts w:ascii="Arial" w:hAnsi="Arial" w:cs="Arial"/>
          <w:color w:val="222222"/>
          <w:sz w:val="22"/>
          <w:szCs w:val="22"/>
          <w:shd w:val="clear" w:color="auto" w:fill="FFFFFF"/>
          <w:lang w:val="en-US"/>
        </w:rPr>
      </w:pPr>
      <w:r w:rsidRPr="00EC1A96">
        <w:rPr>
          <w:rFonts w:ascii="Arial" w:hAnsi="Arial" w:cs="Arial"/>
          <w:color w:val="222222"/>
          <w:sz w:val="22"/>
          <w:szCs w:val="22"/>
          <w:shd w:val="clear" w:color="auto" w:fill="FFFFFF"/>
          <w:lang w:val="en-US"/>
        </w:rPr>
        <w:t xml:space="preserve">Maffioli, A., </w:t>
      </w:r>
      <w:proofErr w:type="spellStart"/>
      <w:r w:rsidRPr="00EC1A96">
        <w:rPr>
          <w:rFonts w:ascii="Arial" w:hAnsi="Arial" w:cs="Arial"/>
          <w:color w:val="222222"/>
          <w:sz w:val="22"/>
          <w:szCs w:val="22"/>
          <w:shd w:val="clear" w:color="auto" w:fill="FFFFFF"/>
          <w:lang w:val="en-US"/>
        </w:rPr>
        <w:t>Cerdán-Infantes</w:t>
      </w:r>
      <w:proofErr w:type="spellEnd"/>
      <w:r w:rsidRPr="00EC1A96">
        <w:rPr>
          <w:rFonts w:ascii="Arial" w:hAnsi="Arial" w:cs="Arial"/>
          <w:color w:val="222222"/>
          <w:sz w:val="22"/>
          <w:szCs w:val="22"/>
          <w:shd w:val="clear" w:color="auto" w:fill="FFFFFF"/>
          <w:lang w:val="en-US"/>
        </w:rPr>
        <w:t xml:space="preserve">, P. &amp; </w:t>
      </w:r>
      <w:proofErr w:type="spellStart"/>
      <w:r w:rsidRPr="00EC1A96">
        <w:rPr>
          <w:rFonts w:ascii="Arial" w:hAnsi="Arial" w:cs="Arial"/>
          <w:color w:val="222222"/>
          <w:sz w:val="22"/>
          <w:szCs w:val="22"/>
          <w:shd w:val="clear" w:color="auto" w:fill="FFFFFF"/>
          <w:lang w:val="en-US"/>
        </w:rPr>
        <w:t>Ubfal</w:t>
      </w:r>
      <w:proofErr w:type="spellEnd"/>
      <w:r w:rsidRPr="00EC1A96">
        <w:rPr>
          <w:rFonts w:ascii="Arial" w:hAnsi="Arial" w:cs="Arial"/>
          <w:color w:val="222222"/>
          <w:sz w:val="22"/>
          <w:szCs w:val="22"/>
          <w:shd w:val="clear" w:color="auto" w:fill="FFFFFF"/>
          <w:lang w:val="en-US"/>
        </w:rPr>
        <w:t xml:space="preserve">, D. (2011). </w:t>
      </w:r>
      <w:r w:rsidRPr="00EA1931">
        <w:rPr>
          <w:rFonts w:ascii="Arial" w:hAnsi="Arial" w:cs="Arial"/>
          <w:color w:val="222222"/>
          <w:sz w:val="22"/>
          <w:szCs w:val="22"/>
          <w:shd w:val="clear" w:color="auto" w:fill="FFFFFF"/>
          <w:lang w:val="en-US"/>
        </w:rPr>
        <w:t>The impact of agricultural extension services: the case of grape production in Argentina.</w:t>
      </w:r>
      <w:r w:rsidRPr="00EA1931">
        <w:rPr>
          <w:rStyle w:val="apple-converted-space"/>
          <w:rFonts w:ascii="Arial" w:hAnsi="Arial" w:cs="Arial"/>
          <w:color w:val="222222"/>
          <w:sz w:val="22"/>
          <w:szCs w:val="22"/>
          <w:shd w:val="clear" w:color="auto" w:fill="FFFFFF"/>
          <w:lang w:val="en-US"/>
        </w:rPr>
        <w:t> </w:t>
      </w:r>
      <w:r w:rsidRPr="00EA1931">
        <w:rPr>
          <w:rFonts w:ascii="Arial" w:hAnsi="Arial" w:cs="Arial"/>
          <w:color w:val="222222"/>
          <w:sz w:val="22"/>
          <w:szCs w:val="22"/>
          <w:shd w:val="clear" w:color="auto" w:fill="FFFFFF"/>
          <w:lang w:val="en-US"/>
        </w:rPr>
        <w:t>Office of Evaluation and Oversight (OVE). Inter-American Development Bank. Washington, DC</w:t>
      </w:r>
    </w:p>
    <w:p w14:paraId="0F607A70" w14:textId="77777777" w:rsidR="0021448B" w:rsidRDefault="0021448B" w:rsidP="0021448B">
      <w:pPr>
        <w:jc w:val="both"/>
        <w:rPr>
          <w:rFonts w:ascii="Arial" w:hAnsi="Arial" w:cs="Arial"/>
          <w:color w:val="222222"/>
          <w:sz w:val="22"/>
          <w:szCs w:val="22"/>
          <w:shd w:val="clear" w:color="auto" w:fill="FFFFFF"/>
          <w:lang w:val="en-US"/>
        </w:rPr>
      </w:pPr>
    </w:p>
    <w:p w14:paraId="71A47E5A" w14:textId="4E9042D3" w:rsidR="0021448B" w:rsidRPr="00EA1931" w:rsidRDefault="0021448B" w:rsidP="0021448B">
      <w:pPr>
        <w:jc w:val="both"/>
        <w:rPr>
          <w:rFonts w:ascii="Arial" w:hAnsi="Arial" w:cs="Arial"/>
          <w:color w:val="222222"/>
          <w:sz w:val="22"/>
          <w:szCs w:val="22"/>
          <w:shd w:val="clear" w:color="auto" w:fill="FFFFFF"/>
          <w:lang w:val="en-US"/>
        </w:rPr>
      </w:pPr>
      <w:r w:rsidRPr="00EA1931">
        <w:rPr>
          <w:rFonts w:ascii="Arial" w:hAnsi="Arial" w:cs="Arial"/>
          <w:color w:val="222222"/>
          <w:sz w:val="22"/>
          <w:szCs w:val="22"/>
          <w:shd w:val="clear" w:color="auto" w:fill="FFFFFF"/>
          <w:lang w:val="en-US"/>
        </w:rPr>
        <w:t xml:space="preserve">Maffioli, A., </w:t>
      </w:r>
      <w:proofErr w:type="spellStart"/>
      <w:r w:rsidRPr="00EA1931">
        <w:rPr>
          <w:rFonts w:ascii="Arial" w:hAnsi="Arial" w:cs="Arial"/>
          <w:color w:val="222222"/>
          <w:sz w:val="22"/>
          <w:szCs w:val="22"/>
          <w:shd w:val="clear" w:color="auto" w:fill="FFFFFF"/>
          <w:lang w:val="en-US"/>
        </w:rPr>
        <w:t>Ubfal</w:t>
      </w:r>
      <w:proofErr w:type="spellEnd"/>
      <w:r w:rsidRPr="00EA1931">
        <w:rPr>
          <w:rFonts w:ascii="Arial" w:hAnsi="Arial" w:cs="Arial"/>
          <w:color w:val="222222"/>
          <w:sz w:val="22"/>
          <w:szCs w:val="22"/>
          <w:shd w:val="clear" w:color="auto" w:fill="FFFFFF"/>
          <w:lang w:val="en-US"/>
        </w:rPr>
        <w:t xml:space="preserve">, D., Vazquez-Bare, G., &amp; </w:t>
      </w:r>
      <w:proofErr w:type="spellStart"/>
      <w:r w:rsidRPr="00EA1931">
        <w:rPr>
          <w:rFonts w:ascii="Arial" w:hAnsi="Arial" w:cs="Arial"/>
          <w:color w:val="222222"/>
          <w:sz w:val="22"/>
          <w:szCs w:val="22"/>
          <w:shd w:val="clear" w:color="auto" w:fill="FFFFFF"/>
          <w:lang w:val="en-US"/>
        </w:rPr>
        <w:t>Cerdan-Infantes</w:t>
      </w:r>
      <w:proofErr w:type="spellEnd"/>
      <w:r w:rsidRPr="00EA1931">
        <w:rPr>
          <w:rFonts w:ascii="Arial" w:hAnsi="Arial" w:cs="Arial"/>
          <w:color w:val="222222"/>
          <w:sz w:val="22"/>
          <w:szCs w:val="22"/>
          <w:shd w:val="clear" w:color="auto" w:fill="FFFFFF"/>
          <w:lang w:val="en-US"/>
        </w:rPr>
        <w:t>, P. (2013). Improving technology adoption in agriculture through extension services: evidence from Uruguay.</w:t>
      </w:r>
      <w:r w:rsidRPr="00EA1931">
        <w:rPr>
          <w:rStyle w:val="apple-converted-space"/>
          <w:rFonts w:ascii="Arial" w:hAnsi="Arial" w:cs="Arial"/>
          <w:color w:val="222222"/>
          <w:sz w:val="22"/>
          <w:szCs w:val="22"/>
          <w:shd w:val="clear" w:color="auto" w:fill="FFFFFF"/>
          <w:lang w:val="en-US"/>
        </w:rPr>
        <w:t> </w:t>
      </w:r>
      <w:r w:rsidRPr="00EA1931">
        <w:rPr>
          <w:rFonts w:ascii="Arial" w:hAnsi="Arial" w:cs="Arial"/>
          <w:i/>
          <w:iCs/>
          <w:color w:val="222222"/>
          <w:sz w:val="22"/>
          <w:szCs w:val="22"/>
          <w:shd w:val="clear" w:color="auto" w:fill="FFFFFF"/>
          <w:lang w:val="en-US"/>
        </w:rPr>
        <w:t>Journal of Development Effectiveness</w:t>
      </w:r>
      <w:r w:rsidRPr="00EA1931">
        <w:rPr>
          <w:rFonts w:ascii="Arial" w:hAnsi="Arial" w:cs="Arial"/>
          <w:color w:val="222222"/>
          <w:sz w:val="22"/>
          <w:szCs w:val="22"/>
          <w:shd w:val="clear" w:color="auto" w:fill="FFFFFF"/>
          <w:lang w:val="en-US"/>
        </w:rPr>
        <w:t>,</w:t>
      </w:r>
      <w:r w:rsidRPr="00EA1931">
        <w:rPr>
          <w:rStyle w:val="apple-converted-space"/>
          <w:rFonts w:ascii="Arial" w:hAnsi="Arial" w:cs="Arial"/>
          <w:color w:val="222222"/>
          <w:sz w:val="22"/>
          <w:szCs w:val="22"/>
          <w:shd w:val="clear" w:color="auto" w:fill="FFFFFF"/>
          <w:lang w:val="en-US"/>
        </w:rPr>
        <w:t> </w:t>
      </w:r>
      <w:r w:rsidRPr="00EA1931">
        <w:rPr>
          <w:rFonts w:ascii="Arial" w:hAnsi="Arial" w:cs="Arial"/>
          <w:i/>
          <w:iCs/>
          <w:color w:val="222222"/>
          <w:sz w:val="22"/>
          <w:szCs w:val="22"/>
          <w:shd w:val="clear" w:color="auto" w:fill="FFFFFF"/>
          <w:lang w:val="en-US"/>
        </w:rPr>
        <w:t>5</w:t>
      </w:r>
      <w:r w:rsidRPr="00EA1931">
        <w:rPr>
          <w:rFonts w:ascii="Arial" w:hAnsi="Arial" w:cs="Arial"/>
          <w:color w:val="222222"/>
          <w:sz w:val="22"/>
          <w:szCs w:val="22"/>
          <w:shd w:val="clear" w:color="auto" w:fill="FFFFFF"/>
          <w:lang w:val="en-US"/>
        </w:rPr>
        <w:t>(1), 64-81.</w:t>
      </w:r>
    </w:p>
    <w:p w14:paraId="2747A044" w14:textId="77777777" w:rsidR="0021448B" w:rsidRDefault="0021448B" w:rsidP="0021448B">
      <w:pPr>
        <w:jc w:val="both"/>
        <w:rPr>
          <w:rFonts w:ascii="Arial" w:hAnsi="Arial" w:cs="Arial"/>
          <w:sz w:val="22"/>
          <w:szCs w:val="22"/>
          <w:lang w:val="en-US"/>
        </w:rPr>
      </w:pPr>
    </w:p>
    <w:p w14:paraId="13C65974" w14:textId="0C30078A" w:rsidR="002625CD" w:rsidRPr="002625CD" w:rsidRDefault="002625CD" w:rsidP="0021448B">
      <w:pPr>
        <w:jc w:val="both"/>
        <w:rPr>
          <w:rFonts w:ascii="Arial" w:hAnsi="Arial" w:cs="Arial"/>
          <w:sz w:val="22"/>
          <w:szCs w:val="22"/>
          <w:lang w:val="en-US"/>
        </w:rPr>
      </w:pPr>
      <w:r w:rsidRPr="002625CD">
        <w:rPr>
          <w:rFonts w:ascii="Arial" w:hAnsi="Arial" w:cs="Arial"/>
          <w:sz w:val="22"/>
          <w:szCs w:val="22"/>
          <w:lang w:val="en-US"/>
        </w:rPr>
        <w:t>Maguire, S., J. Freely, C. Clymer, M. Conway y D. Schwartz. 2010. “Tuning in to Local Labor Markets: Findings from the Sectoral Employment Impact Study”. Informe. Public/Private Ventures, Philadelphia, PA.</w:t>
      </w:r>
    </w:p>
    <w:p w14:paraId="0D644EA4" w14:textId="77777777" w:rsidR="002625CD" w:rsidRPr="002625CD" w:rsidRDefault="002625CD" w:rsidP="0021448B">
      <w:pPr>
        <w:jc w:val="both"/>
        <w:rPr>
          <w:rFonts w:ascii="Arial" w:hAnsi="Arial" w:cs="Arial"/>
          <w:sz w:val="22"/>
          <w:szCs w:val="22"/>
          <w:lang w:val="en-US"/>
        </w:rPr>
      </w:pPr>
    </w:p>
    <w:p w14:paraId="283F5037" w14:textId="77777777" w:rsidR="0021448B" w:rsidRPr="00EA1931" w:rsidRDefault="0021448B" w:rsidP="0021448B">
      <w:pPr>
        <w:jc w:val="both"/>
        <w:rPr>
          <w:rFonts w:ascii="Arial" w:hAnsi="Arial" w:cs="Arial"/>
          <w:color w:val="222222"/>
          <w:sz w:val="22"/>
          <w:szCs w:val="22"/>
          <w:shd w:val="clear" w:color="auto" w:fill="FFFFFF"/>
          <w:lang w:val="en-US"/>
        </w:rPr>
      </w:pPr>
      <w:r w:rsidRPr="00EA1931">
        <w:rPr>
          <w:rFonts w:ascii="Arial" w:hAnsi="Arial" w:cs="Arial"/>
          <w:color w:val="222222"/>
          <w:sz w:val="22"/>
          <w:szCs w:val="22"/>
          <w:shd w:val="clear" w:color="auto" w:fill="FFFFFF"/>
          <w:lang w:val="en-US"/>
        </w:rPr>
        <w:t>Mole, K., Hart, M., Roper, S., &amp; Saal, D. (2008). Differential gains from Business Link support and advice: a treatment effects approach.</w:t>
      </w:r>
      <w:r w:rsidRPr="00EA1931">
        <w:rPr>
          <w:rStyle w:val="apple-converted-space"/>
          <w:rFonts w:ascii="Arial" w:hAnsi="Arial" w:cs="Arial"/>
          <w:color w:val="222222"/>
          <w:sz w:val="22"/>
          <w:szCs w:val="22"/>
          <w:shd w:val="clear" w:color="auto" w:fill="FFFFFF"/>
          <w:lang w:val="en-US"/>
        </w:rPr>
        <w:t> </w:t>
      </w:r>
      <w:r w:rsidRPr="00EA1931">
        <w:rPr>
          <w:rFonts w:ascii="Arial" w:hAnsi="Arial" w:cs="Arial"/>
          <w:i/>
          <w:iCs/>
          <w:color w:val="222222"/>
          <w:sz w:val="22"/>
          <w:szCs w:val="22"/>
          <w:shd w:val="clear" w:color="auto" w:fill="FFFFFF"/>
          <w:lang w:val="en-US"/>
        </w:rPr>
        <w:t>Environment and planning. C, Government &amp; policy</w:t>
      </w:r>
      <w:r w:rsidRPr="00EA1931">
        <w:rPr>
          <w:rFonts w:ascii="Arial" w:hAnsi="Arial" w:cs="Arial"/>
          <w:color w:val="222222"/>
          <w:sz w:val="22"/>
          <w:szCs w:val="22"/>
          <w:shd w:val="clear" w:color="auto" w:fill="FFFFFF"/>
          <w:lang w:val="en-US"/>
        </w:rPr>
        <w:t>,</w:t>
      </w:r>
      <w:r w:rsidRPr="00EA1931">
        <w:rPr>
          <w:rStyle w:val="apple-converted-space"/>
          <w:rFonts w:ascii="Arial" w:hAnsi="Arial" w:cs="Arial"/>
          <w:color w:val="222222"/>
          <w:sz w:val="22"/>
          <w:szCs w:val="22"/>
          <w:shd w:val="clear" w:color="auto" w:fill="FFFFFF"/>
          <w:lang w:val="en-US"/>
        </w:rPr>
        <w:t> </w:t>
      </w:r>
      <w:r w:rsidRPr="00EA1931">
        <w:rPr>
          <w:rFonts w:ascii="Arial" w:hAnsi="Arial" w:cs="Arial"/>
          <w:i/>
          <w:iCs/>
          <w:color w:val="222222"/>
          <w:sz w:val="22"/>
          <w:szCs w:val="22"/>
          <w:shd w:val="clear" w:color="auto" w:fill="FFFFFF"/>
          <w:lang w:val="en-US"/>
        </w:rPr>
        <w:t>26</w:t>
      </w:r>
      <w:r w:rsidRPr="00EA1931">
        <w:rPr>
          <w:rFonts w:ascii="Arial" w:hAnsi="Arial" w:cs="Arial"/>
          <w:color w:val="222222"/>
          <w:sz w:val="22"/>
          <w:szCs w:val="22"/>
          <w:shd w:val="clear" w:color="auto" w:fill="FFFFFF"/>
          <w:lang w:val="en-US"/>
        </w:rPr>
        <w:t>(2), 315.</w:t>
      </w:r>
    </w:p>
    <w:p w14:paraId="197BBDAF" w14:textId="77777777" w:rsidR="0021448B" w:rsidRDefault="0021448B" w:rsidP="0021448B">
      <w:pPr>
        <w:jc w:val="both"/>
        <w:rPr>
          <w:rFonts w:ascii="Arial" w:hAnsi="Arial" w:cs="Arial"/>
          <w:sz w:val="22"/>
          <w:szCs w:val="22"/>
          <w:lang w:val="en-US"/>
        </w:rPr>
      </w:pPr>
    </w:p>
    <w:p w14:paraId="21C3235C" w14:textId="77777777" w:rsidR="0021448B" w:rsidRPr="00EA1931" w:rsidRDefault="0021448B" w:rsidP="0021448B">
      <w:pPr>
        <w:jc w:val="both"/>
        <w:rPr>
          <w:rFonts w:ascii="Arial" w:hAnsi="Arial" w:cs="Arial"/>
          <w:color w:val="222222"/>
          <w:sz w:val="22"/>
          <w:szCs w:val="22"/>
          <w:shd w:val="clear" w:color="auto" w:fill="FFFFFF"/>
          <w:lang w:val="en-US"/>
        </w:rPr>
      </w:pPr>
      <w:proofErr w:type="spellStart"/>
      <w:r w:rsidRPr="00EA1931">
        <w:rPr>
          <w:rFonts w:ascii="Arial" w:hAnsi="Arial" w:cs="Arial"/>
          <w:color w:val="222222"/>
          <w:sz w:val="22"/>
          <w:szCs w:val="22"/>
          <w:shd w:val="clear" w:color="auto" w:fill="FFFFFF"/>
          <w:lang w:val="en-US"/>
        </w:rPr>
        <w:t>Oldsman</w:t>
      </w:r>
      <w:proofErr w:type="spellEnd"/>
      <w:r w:rsidRPr="00EA1931">
        <w:rPr>
          <w:rFonts w:ascii="Arial" w:hAnsi="Arial" w:cs="Arial"/>
          <w:color w:val="222222"/>
          <w:sz w:val="22"/>
          <w:szCs w:val="22"/>
          <w:shd w:val="clear" w:color="auto" w:fill="FFFFFF"/>
          <w:lang w:val="en-US"/>
        </w:rPr>
        <w:t xml:space="preserve">, E. S., &amp; </w:t>
      </w:r>
      <w:proofErr w:type="spellStart"/>
      <w:r w:rsidRPr="00EA1931">
        <w:rPr>
          <w:rFonts w:ascii="Arial" w:hAnsi="Arial" w:cs="Arial"/>
          <w:color w:val="222222"/>
          <w:sz w:val="22"/>
          <w:szCs w:val="22"/>
          <w:shd w:val="clear" w:color="auto" w:fill="FFFFFF"/>
          <w:lang w:val="en-US"/>
        </w:rPr>
        <w:t>Heye</w:t>
      </w:r>
      <w:proofErr w:type="spellEnd"/>
      <w:r w:rsidRPr="00EA1931">
        <w:rPr>
          <w:rFonts w:ascii="Arial" w:hAnsi="Arial" w:cs="Arial"/>
          <w:color w:val="222222"/>
          <w:sz w:val="22"/>
          <w:szCs w:val="22"/>
          <w:shd w:val="clear" w:color="auto" w:fill="FFFFFF"/>
          <w:lang w:val="en-US"/>
        </w:rPr>
        <w:t>, C. R. (1997). The Impact of the New York Manufacturing Extension Program: A Quasi-Experiment.</w:t>
      </w:r>
      <w:r w:rsidRPr="00EA1931">
        <w:rPr>
          <w:rStyle w:val="apple-converted-space"/>
          <w:rFonts w:ascii="Arial" w:hAnsi="Arial" w:cs="Arial"/>
          <w:color w:val="222222"/>
          <w:sz w:val="22"/>
          <w:szCs w:val="22"/>
          <w:shd w:val="clear" w:color="auto" w:fill="FFFFFF"/>
          <w:lang w:val="en-US"/>
        </w:rPr>
        <w:t> </w:t>
      </w:r>
      <w:r w:rsidRPr="00EA1931">
        <w:rPr>
          <w:rFonts w:ascii="Arial" w:hAnsi="Arial" w:cs="Arial"/>
          <w:i/>
          <w:iCs/>
          <w:color w:val="222222"/>
          <w:sz w:val="22"/>
          <w:szCs w:val="22"/>
          <w:shd w:val="clear" w:color="auto" w:fill="FFFFFF"/>
          <w:lang w:val="en-US"/>
        </w:rPr>
        <w:t>Manufacturing Modernization: Learning from Evaluation Practices and Results</w:t>
      </w:r>
      <w:r w:rsidRPr="00EA1931">
        <w:rPr>
          <w:rFonts w:ascii="Arial" w:hAnsi="Arial" w:cs="Arial"/>
          <w:color w:val="222222"/>
          <w:sz w:val="22"/>
          <w:szCs w:val="22"/>
          <w:shd w:val="clear" w:color="auto" w:fill="FFFFFF"/>
          <w:lang w:val="en-US"/>
        </w:rPr>
        <w:t>, p.1999.</w:t>
      </w:r>
    </w:p>
    <w:p w14:paraId="13748285" w14:textId="77777777" w:rsidR="0021448B" w:rsidRDefault="0021448B" w:rsidP="0021448B">
      <w:pPr>
        <w:jc w:val="both"/>
        <w:rPr>
          <w:rFonts w:ascii="Arial" w:hAnsi="Arial" w:cs="Arial"/>
          <w:sz w:val="22"/>
          <w:szCs w:val="22"/>
          <w:lang w:val="en-US"/>
        </w:rPr>
      </w:pPr>
    </w:p>
    <w:p w14:paraId="18884B78" w14:textId="56303BD7" w:rsidR="002625CD" w:rsidRPr="002625CD" w:rsidRDefault="002625CD" w:rsidP="0021448B">
      <w:pPr>
        <w:jc w:val="both"/>
        <w:rPr>
          <w:rFonts w:ascii="Arial" w:hAnsi="Arial" w:cs="Arial"/>
          <w:sz w:val="22"/>
          <w:szCs w:val="22"/>
        </w:rPr>
      </w:pPr>
      <w:proofErr w:type="spellStart"/>
      <w:r w:rsidRPr="002625CD">
        <w:rPr>
          <w:rFonts w:ascii="Arial" w:hAnsi="Arial" w:cs="Arial"/>
          <w:sz w:val="22"/>
          <w:szCs w:val="22"/>
          <w:lang w:val="en-US"/>
        </w:rPr>
        <w:t>Remess</w:t>
      </w:r>
      <w:proofErr w:type="spellEnd"/>
      <w:r w:rsidRPr="002625CD">
        <w:rPr>
          <w:rFonts w:ascii="Arial" w:hAnsi="Arial" w:cs="Arial"/>
          <w:sz w:val="22"/>
          <w:szCs w:val="22"/>
          <w:lang w:val="en-US"/>
        </w:rPr>
        <w:t xml:space="preserve"> Pérez M. y Winfield Reyes, F. N. (2008). </w:t>
      </w:r>
      <w:r w:rsidRPr="002625CD">
        <w:rPr>
          <w:rFonts w:ascii="Arial" w:hAnsi="Arial" w:cs="Arial"/>
          <w:sz w:val="22"/>
          <w:szCs w:val="22"/>
        </w:rPr>
        <w:t>Espacios educativos y desarrollo: alternativas desde la sustentabilidad y la regionalización. Investigación y ciencia de la UAA, núm. 42</w:t>
      </w:r>
    </w:p>
    <w:p w14:paraId="33C1E631" w14:textId="77777777" w:rsidR="002625CD" w:rsidRPr="002625CD" w:rsidRDefault="002625CD" w:rsidP="0021448B">
      <w:pPr>
        <w:jc w:val="both"/>
        <w:rPr>
          <w:rFonts w:ascii="Arial" w:hAnsi="Arial" w:cs="Arial"/>
          <w:sz w:val="22"/>
          <w:szCs w:val="22"/>
        </w:rPr>
      </w:pPr>
    </w:p>
    <w:p w14:paraId="1A1B48B0" w14:textId="6A72584F" w:rsidR="00C27333" w:rsidRPr="002625CD" w:rsidRDefault="00C27333" w:rsidP="0021448B">
      <w:pPr>
        <w:jc w:val="both"/>
        <w:rPr>
          <w:rFonts w:ascii="Arial" w:hAnsi="Arial" w:cs="Arial"/>
          <w:sz w:val="22"/>
          <w:szCs w:val="22"/>
          <w:lang w:val="en-US"/>
        </w:rPr>
      </w:pPr>
      <w:r w:rsidRPr="00BF35DC">
        <w:rPr>
          <w:rFonts w:ascii="Arial" w:hAnsi="Arial" w:cs="Arial"/>
          <w:sz w:val="22"/>
          <w:szCs w:val="22"/>
        </w:rPr>
        <w:t xml:space="preserve">Rocha, R., </w:t>
      </w:r>
      <w:proofErr w:type="spellStart"/>
      <w:r w:rsidRPr="00BF35DC">
        <w:rPr>
          <w:rFonts w:ascii="Arial" w:hAnsi="Arial" w:cs="Arial"/>
          <w:sz w:val="22"/>
          <w:szCs w:val="22"/>
        </w:rPr>
        <w:t>Ulyssea</w:t>
      </w:r>
      <w:proofErr w:type="spellEnd"/>
      <w:r w:rsidRPr="00BF35DC">
        <w:rPr>
          <w:rFonts w:ascii="Arial" w:hAnsi="Arial" w:cs="Arial"/>
          <w:sz w:val="22"/>
          <w:szCs w:val="22"/>
        </w:rPr>
        <w:t xml:space="preserve">, G., &amp; </w:t>
      </w:r>
      <w:proofErr w:type="spellStart"/>
      <w:r w:rsidRPr="00BF35DC">
        <w:rPr>
          <w:rFonts w:ascii="Arial" w:hAnsi="Arial" w:cs="Arial"/>
          <w:sz w:val="22"/>
          <w:szCs w:val="22"/>
        </w:rPr>
        <w:t>Rachter</w:t>
      </w:r>
      <w:proofErr w:type="spellEnd"/>
      <w:r w:rsidRPr="00BF35DC">
        <w:rPr>
          <w:rFonts w:ascii="Arial" w:hAnsi="Arial" w:cs="Arial"/>
          <w:sz w:val="22"/>
          <w:szCs w:val="22"/>
        </w:rPr>
        <w:t xml:space="preserve">, L. (2018). </w:t>
      </w:r>
      <w:r w:rsidRPr="002625CD">
        <w:rPr>
          <w:rFonts w:ascii="Arial" w:hAnsi="Arial" w:cs="Arial"/>
          <w:sz w:val="22"/>
          <w:szCs w:val="22"/>
          <w:lang w:val="en-US"/>
        </w:rPr>
        <w:t>Do Lower Taxes Reduce Informality? Evidence from Brazil. Journal of Development Economics, Forthcoming.</w:t>
      </w:r>
    </w:p>
    <w:p w14:paraId="6FC994CD" w14:textId="77777777" w:rsidR="00C478DF" w:rsidRPr="002625CD" w:rsidRDefault="00C478DF" w:rsidP="0021448B">
      <w:pPr>
        <w:jc w:val="both"/>
        <w:rPr>
          <w:rFonts w:ascii="Arial" w:hAnsi="Arial" w:cs="Arial"/>
          <w:sz w:val="22"/>
          <w:szCs w:val="22"/>
          <w:lang w:val="en-US"/>
        </w:rPr>
      </w:pPr>
    </w:p>
    <w:p w14:paraId="42118029" w14:textId="235E7ABB" w:rsidR="00C478DF" w:rsidRPr="002625CD" w:rsidRDefault="00C478DF" w:rsidP="0021448B">
      <w:pPr>
        <w:jc w:val="both"/>
        <w:rPr>
          <w:rFonts w:ascii="Arial" w:hAnsi="Arial" w:cs="Arial"/>
          <w:sz w:val="22"/>
          <w:szCs w:val="22"/>
          <w:lang w:val="en-US"/>
        </w:rPr>
      </w:pPr>
      <w:r w:rsidRPr="002625CD">
        <w:rPr>
          <w:rFonts w:ascii="Arial" w:hAnsi="Arial" w:cs="Arial"/>
          <w:sz w:val="22"/>
          <w:szCs w:val="22"/>
          <w:lang w:val="en-US"/>
        </w:rPr>
        <w:t>Samaniego de la Parra, Brenda (2016), “Formal Firms, Informal Workers and Household Labor Supply in Mexico”, mimeo, University of Chicago.</w:t>
      </w:r>
    </w:p>
    <w:p w14:paraId="7A970DF4" w14:textId="19D52497" w:rsidR="00C478DF" w:rsidRDefault="00C478DF" w:rsidP="0021448B">
      <w:pPr>
        <w:jc w:val="both"/>
        <w:rPr>
          <w:rFonts w:ascii="Arial" w:hAnsi="Arial" w:cs="Arial"/>
          <w:sz w:val="22"/>
          <w:szCs w:val="22"/>
          <w:lang w:val="en-US"/>
        </w:rPr>
      </w:pPr>
    </w:p>
    <w:p w14:paraId="34CA5CC2" w14:textId="77777777" w:rsidR="0021448B" w:rsidRPr="00EA1931" w:rsidRDefault="0021448B" w:rsidP="0021448B">
      <w:pPr>
        <w:jc w:val="both"/>
        <w:rPr>
          <w:rFonts w:ascii="Arial" w:hAnsi="Arial" w:cs="Arial"/>
          <w:color w:val="222222"/>
          <w:sz w:val="22"/>
          <w:szCs w:val="22"/>
          <w:shd w:val="clear" w:color="auto" w:fill="FFFFFF"/>
          <w:lang w:val="en-US"/>
        </w:rPr>
      </w:pPr>
      <w:proofErr w:type="spellStart"/>
      <w:r w:rsidRPr="00EA1931">
        <w:rPr>
          <w:rFonts w:ascii="Arial" w:hAnsi="Arial" w:cs="Arial"/>
          <w:color w:val="222222"/>
          <w:sz w:val="22"/>
          <w:szCs w:val="22"/>
          <w:shd w:val="clear" w:color="auto" w:fill="FFFFFF"/>
          <w:lang w:val="en-US"/>
        </w:rPr>
        <w:t>Shimizutani</w:t>
      </w:r>
      <w:proofErr w:type="spellEnd"/>
      <w:r w:rsidRPr="00EA1931">
        <w:rPr>
          <w:rFonts w:ascii="Arial" w:hAnsi="Arial" w:cs="Arial"/>
          <w:color w:val="222222"/>
          <w:sz w:val="22"/>
          <w:szCs w:val="22"/>
          <w:shd w:val="clear" w:color="auto" w:fill="FFFFFF"/>
          <w:lang w:val="en-US"/>
        </w:rPr>
        <w:t xml:space="preserve">, S., &amp; </w:t>
      </w:r>
      <w:proofErr w:type="spellStart"/>
      <w:r w:rsidRPr="00EA1931">
        <w:rPr>
          <w:rFonts w:ascii="Arial" w:hAnsi="Arial" w:cs="Arial"/>
          <w:color w:val="222222"/>
          <w:sz w:val="22"/>
          <w:szCs w:val="22"/>
          <w:shd w:val="clear" w:color="auto" w:fill="FFFFFF"/>
          <w:lang w:val="en-US"/>
        </w:rPr>
        <w:t>Todo</w:t>
      </w:r>
      <w:proofErr w:type="spellEnd"/>
      <w:r w:rsidRPr="00EA1931">
        <w:rPr>
          <w:rFonts w:ascii="Arial" w:hAnsi="Arial" w:cs="Arial"/>
          <w:color w:val="222222"/>
          <w:sz w:val="22"/>
          <w:szCs w:val="22"/>
          <w:shd w:val="clear" w:color="auto" w:fill="FFFFFF"/>
          <w:lang w:val="en-US"/>
        </w:rPr>
        <w:t>, Y. (2008). What determines overseas R&amp;D activities? The case of Japanese multinational firms.</w:t>
      </w:r>
      <w:r w:rsidRPr="00EA1931">
        <w:rPr>
          <w:rStyle w:val="apple-converted-space"/>
          <w:rFonts w:ascii="Arial" w:hAnsi="Arial" w:cs="Arial"/>
          <w:color w:val="222222"/>
          <w:sz w:val="22"/>
          <w:szCs w:val="22"/>
          <w:shd w:val="clear" w:color="auto" w:fill="FFFFFF"/>
          <w:lang w:val="en-US"/>
        </w:rPr>
        <w:t> </w:t>
      </w:r>
      <w:r w:rsidRPr="00EA1931">
        <w:rPr>
          <w:rFonts w:ascii="Arial" w:hAnsi="Arial" w:cs="Arial"/>
          <w:i/>
          <w:iCs/>
          <w:color w:val="222222"/>
          <w:sz w:val="22"/>
          <w:szCs w:val="22"/>
          <w:shd w:val="clear" w:color="auto" w:fill="FFFFFF"/>
          <w:lang w:val="en-US"/>
        </w:rPr>
        <w:t>Research Policy</w:t>
      </w:r>
      <w:r w:rsidRPr="00EA1931">
        <w:rPr>
          <w:rFonts w:ascii="Arial" w:hAnsi="Arial" w:cs="Arial"/>
          <w:color w:val="222222"/>
          <w:sz w:val="22"/>
          <w:szCs w:val="22"/>
          <w:shd w:val="clear" w:color="auto" w:fill="FFFFFF"/>
          <w:lang w:val="en-US"/>
        </w:rPr>
        <w:t>,</w:t>
      </w:r>
      <w:r w:rsidRPr="00EA1931">
        <w:rPr>
          <w:rStyle w:val="apple-converted-space"/>
          <w:rFonts w:ascii="Arial" w:hAnsi="Arial" w:cs="Arial"/>
          <w:color w:val="222222"/>
          <w:sz w:val="22"/>
          <w:szCs w:val="22"/>
          <w:shd w:val="clear" w:color="auto" w:fill="FFFFFF"/>
          <w:lang w:val="en-US"/>
        </w:rPr>
        <w:t> </w:t>
      </w:r>
      <w:r w:rsidRPr="00EA1931">
        <w:rPr>
          <w:rFonts w:ascii="Arial" w:hAnsi="Arial" w:cs="Arial"/>
          <w:i/>
          <w:iCs/>
          <w:color w:val="222222"/>
          <w:sz w:val="22"/>
          <w:szCs w:val="22"/>
          <w:shd w:val="clear" w:color="auto" w:fill="FFFFFF"/>
          <w:lang w:val="en-US"/>
        </w:rPr>
        <w:t>37</w:t>
      </w:r>
      <w:r w:rsidRPr="00EA1931">
        <w:rPr>
          <w:rFonts w:ascii="Arial" w:hAnsi="Arial" w:cs="Arial"/>
          <w:color w:val="222222"/>
          <w:sz w:val="22"/>
          <w:szCs w:val="22"/>
          <w:shd w:val="clear" w:color="auto" w:fill="FFFFFF"/>
          <w:lang w:val="en-US"/>
        </w:rPr>
        <w:t>(3), 530-544.</w:t>
      </w:r>
    </w:p>
    <w:p w14:paraId="20E964BD" w14:textId="160C04F8" w:rsidR="0021448B" w:rsidRDefault="0021448B" w:rsidP="0021448B">
      <w:pPr>
        <w:jc w:val="both"/>
        <w:rPr>
          <w:rFonts w:ascii="Arial" w:hAnsi="Arial" w:cs="Arial"/>
          <w:sz w:val="22"/>
          <w:szCs w:val="22"/>
          <w:lang w:val="en-US"/>
        </w:rPr>
      </w:pPr>
    </w:p>
    <w:p w14:paraId="24CCC050" w14:textId="77777777" w:rsidR="00F26790" w:rsidRDefault="00F26790" w:rsidP="0021448B">
      <w:pPr>
        <w:jc w:val="both"/>
        <w:rPr>
          <w:rFonts w:ascii="Arial" w:hAnsi="Arial" w:cs="Arial"/>
          <w:sz w:val="22"/>
          <w:szCs w:val="22"/>
          <w:lang w:val="en-US"/>
        </w:rPr>
      </w:pPr>
      <w:r w:rsidRPr="00F26790">
        <w:rPr>
          <w:rFonts w:ascii="Arial" w:hAnsi="Arial" w:cs="Arial"/>
          <w:sz w:val="22"/>
          <w:szCs w:val="22"/>
          <w:lang w:val="en-US"/>
        </w:rPr>
        <w:t xml:space="preserve">Solow (1957) “Technical change and the aggregate production function”, The Review of Economics and Statistics 39(3) </w:t>
      </w:r>
    </w:p>
    <w:p w14:paraId="59AFEAAE" w14:textId="77777777" w:rsidR="00F26790" w:rsidRDefault="00F26790" w:rsidP="0021448B">
      <w:pPr>
        <w:jc w:val="both"/>
        <w:rPr>
          <w:rFonts w:ascii="Arial" w:hAnsi="Arial" w:cs="Arial"/>
          <w:sz w:val="22"/>
          <w:szCs w:val="22"/>
          <w:lang w:val="en-US"/>
        </w:rPr>
      </w:pPr>
    </w:p>
    <w:p w14:paraId="29A96C30" w14:textId="77777777" w:rsidR="0021448B" w:rsidRPr="00EC1A96" w:rsidRDefault="0021448B" w:rsidP="0021448B">
      <w:pPr>
        <w:jc w:val="both"/>
        <w:rPr>
          <w:rFonts w:ascii="Arial" w:hAnsi="Arial" w:cs="Arial"/>
          <w:sz w:val="22"/>
          <w:szCs w:val="22"/>
          <w:lang w:val="en-US"/>
        </w:rPr>
      </w:pPr>
      <w:r w:rsidRPr="00EA1931">
        <w:rPr>
          <w:rFonts w:ascii="Arial" w:hAnsi="Arial" w:cs="Arial"/>
          <w:sz w:val="22"/>
          <w:szCs w:val="22"/>
          <w:lang w:val="en-US"/>
        </w:rPr>
        <w:t xml:space="preserve">Tan, H. W. (2011). Evaluating SME Support Programs in Chile. In G. López-Acevedo and H. W. Tan, eds., Impact Evaluation of Small and Medium Enterprise Programs in Latin America and the Caribbean. </w:t>
      </w:r>
      <w:r w:rsidRPr="00EC1A96">
        <w:rPr>
          <w:rFonts w:ascii="Arial" w:hAnsi="Arial" w:cs="Arial"/>
          <w:sz w:val="22"/>
          <w:szCs w:val="22"/>
          <w:lang w:val="en-US"/>
        </w:rPr>
        <w:t>Washington, DC: World Bank</w:t>
      </w:r>
    </w:p>
    <w:p w14:paraId="56D44D61" w14:textId="77777777" w:rsidR="0021448B" w:rsidRPr="002625CD" w:rsidRDefault="0021448B" w:rsidP="0021448B">
      <w:pPr>
        <w:jc w:val="both"/>
        <w:rPr>
          <w:rFonts w:ascii="Arial" w:hAnsi="Arial" w:cs="Arial"/>
          <w:sz w:val="22"/>
          <w:szCs w:val="22"/>
          <w:lang w:val="en-US"/>
        </w:rPr>
      </w:pPr>
    </w:p>
    <w:p w14:paraId="346E72E5" w14:textId="77777777" w:rsidR="00C478DF" w:rsidRPr="00BF35DC" w:rsidRDefault="00C478DF" w:rsidP="0021448B">
      <w:pPr>
        <w:jc w:val="both"/>
        <w:rPr>
          <w:rFonts w:ascii="Arial" w:hAnsi="Arial" w:cs="Arial"/>
          <w:sz w:val="22"/>
          <w:szCs w:val="22"/>
          <w:lang w:val="en-US"/>
        </w:rPr>
      </w:pPr>
      <w:proofErr w:type="spellStart"/>
      <w:r w:rsidRPr="002625CD">
        <w:rPr>
          <w:rFonts w:ascii="Arial" w:hAnsi="Arial" w:cs="Arial"/>
          <w:sz w:val="22"/>
          <w:szCs w:val="22"/>
          <w:lang w:val="en-US"/>
        </w:rPr>
        <w:t>Ulyssea</w:t>
      </w:r>
      <w:proofErr w:type="spellEnd"/>
      <w:r w:rsidRPr="002625CD">
        <w:rPr>
          <w:rFonts w:ascii="Arial" w:hAnsi="Arial" w:cs="Arial"/>
          <w:sz w:val="22"/>
          <w:szCs w:val="22"/>
          <w:lang w:val="en-US"/>
        </w:rPr>
        <w:t xml:space="preserve">, Gabriel. (2010). Regulation of entry, labor market institutions and the informal sector. </w:t>
      </w:r>
      <w:r w:rsidRPr="00BF35DC">
        <w:rPr>
          <w:rFonts w:ascii="Arial" w:hAnsi="Arial" w:cs="Arial"/>
          <w:sz w:val="22"/>
          <w:szCs w:val="22"/>
          <w:lang w:val="en-US"/>
        </w:rPr>
        <w:t>Journal of Development Economics 91, 87–99.</w:t>
      </w:r>
    </w:p>
    <w:sectPr w:rsidR="00C478DF" w:rsidRPr="00BF35DC" w:rsidSect="002870D0">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6AC072" w14:textId="77777777" w:rsidR="00526B7E" w:rsidRDefault="00526B7E" w:rsidP="005C3BC2">
      <w:r>
        <w:separator/>
      </w:r>
    </w:p>
  </w:endnote>
  <w:endnote w:type="continuationSeparator" w:id="0">
    <w:p w14:paraId="79B63A22" w14:textId="77777777" w:rsidR="00526B7E" w:rsidRDefault="00526B7E" w:rsidP="005C3B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panose1 w:val="00000000000000000000"/>
    <w:charset w:val="80"/>
    <w:family w:val="auto"/>
    <w:notTrueType/>
    <w:pitch w:val="variable"/>
    <w:sig w:usb0="00000000" w:usb1="00000000" w:usb2="01000407" w:usb3="00000000" w:csb0="00020000" w:csb1="00000000"/>
  </w:font>
  <w:font w:name="Arial Unicode MS">
    <w:panose1 w:val="020B0604020202020204"/>
    <w:charset w:val="80"/>
    <w:family w:val="swiss"/>
    <w:notTrueType/>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19A8BA" w14:textId="77777777" w:rsidR="00FD0DF7" w:rsidRDefault="00FD0DF7">
    <w:pPr>
      <w:pStyle w:val="Footer"/>
      <w:jc w:val="right"/>
    </w:pPr>
  </w:p>
  <w:p w14:paraId="3E6ACC59" w14:textId="77777777" w:rsidR="00FD0DF7" w:rsidRDefault="00FD0D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4E9415" w14:textId="77777777" w:rsidR="00526B7E" w:rsidRDefault="00526B7E" w:rsidP="005C3BC2">
      <w:r>
        <w:separator/>
      </w:r>
    </w:p>
  </w:footnote>
  <w:footnote w:type="continuationSeparator" w:id="0">
    <w:p w14:paraId="73F97DC2" w14:textId="77777777" w:rsidR="00526B7E" w:rsidRDefault="00526B7E" w:rsidP="005C3BC2">
      <w:r>
        <w:continuationSeparator/>
      </w:r>
    </w:p>
  </w:footnote>
  <w:footnote w:id="1">
    <w:p w14:paraId="471AA765" w14:textId="478259C2" w:rsidR="00FD0DF7" w:rsidRPr="007B408E" w:rsidRDefault="00FD0DF7">
      <w:pPr>
        <w:pStyle w:val="FootnoteText"/>
        <w:rPr>
          <w:rFonts w:ascii="Arial" w:hAnsi="Arial" w:cs="Arial"/>
          <w:sz w:val="18"/>
        </w:rPr>
      </w:pPr>
      <w:r w:rsidRPr="007B408E">
        <w:rPr>
          <w:rStyle w:val="FootnoteReference"/>
          <w:rFonts w:ascii="Arial" w:hAnsi="Arial" w:cs="Arial"/>
          <w:sz w:val="18"/>
        </w:rPr>
        <w:footnoteRef/>
      </w:r>
      <w:r w:rsidRPr="007B408E">
        <w:rPr>
          <w:rFonts w:ascii="Arial" w:hAnsi="Arial" w:cs="Arial"/>
          <w:sz w:val="18"/>
        </w:rPr>
        <w:t xml:space="preserve"> Ver Párrafo 29 del Análisis Económico de PE-L1227</w:t>
      </w:r>
      <w:r>
        <w:rPr>
          <w:rFonts w:ascii="Arial" w:hAnsi="Arial" w:cs="Arial"/>
          <w:sz w:val="18"/>
        </w:rPr>
        <w:t>.</w:t>
      </w:r>
    </w:p>
  </w:footnote>
  <w:footnote w:id="2">
    <w:p w14:paraId="48F7F80A" w14:textId="65F20C33" w:rsidR="00FD0DF7" w:rsidRPr="005560F4" w:rsidRDefault="00FD0DF7" w:rsidP="00FD0DF7">
      <w:pPr>
        <w:pStyle w:val="FootnoteText"/>
        <w:spacing w:after="0"/>
        <w:rPr>
          <w:rFonts w:ascii="Arial" w:hAnsi="Arial" w:cs="Arial"/>
          <w:sz w:val="18"/>
        </w:rPr>
      </w:pPr>
      <w:r w:rsidRPr="005560F4">
        <w:rPr>
          <w:rStyle w:val="FootnoteReference"/>
          <w:rFonts w:ascii="Arial" w:hAnsi="Arial" w:cs="Arial"/>
          <w:sz w:val="18"/>
        </w:rPr>
        <w:footnoteRef/>
      </w:r>
      <w:r>
        <w:rPr>
          <w:rFonts w:ascii="Arial" w:hAnsi="Arial" w:cs="Arial"/>
          <w:sz w:val="18"/>
        </w:rPr>
        <w:t xml:space="preserve"> </w:t>
      </w:r>
      <w:r>
        <w:rPr>
          <w:rFonts w:ascii="Arial" w:hAnsi="Arial" w:cs="Arial"/>
          <w:sz w:val="18"/>
        </w:rPr>
        <w:tab/>
      </w:r>
      <w:r w:rsidRPr="005560F4">
        <w:rPr>
          <w:rFonts w:ascii="Arial" w:hAnsi="Arial" w:cs="Arial"/>
          <w:sz w:val="18"/>
        </w:rPr>
        <w:t xml:space="preserve"> Cálculos de Semana Económica en base de datos de INEI (</w:t>
      </w:r>
      <w:r w:rsidRPr="005574FE">
        <w:rPr>
          <w:rFonts w:ascii="Arial" w:hAnsi="Arial" w:cs="Arial"/>
          <w:sz w:val="18"/>
        </w:rPr>
        <w:t>http://semanaeconomica.com/article/economia/empleo/235032-ccl-hay-11-7-millones-de-trabajadores-informales-en-el-peru/)</w:t>
      </w:r>
      <w:r>
        <w:rPr>
          <w:rFonts w:ascii="Arial" w:hAnsi="Arial" w:cs="Arial"/>
          <w:sz w:val="18"/>
        </w:rPr>
        <w:t>.</w:t>
      </w:r>
    </w:p>
  </w:footnote>
  <w:footnote w:id="3">
    <w:p w14:paraId="4046FDDF" w14:textId="11CAF2A5" w:rsidR="00FD0DF7" w:rsidRPr="005574FE" w:rsidRDefault="00FD0DF7" w:rsidP="00FD0DF7">
      <w:pPr>
        <w:pStyle w:val="FootnoteText"/>
        <w:spacing w:after="0"/>
        <w:rPr>
          <w:rFonts w:ascii="Arial" w:hAnsi="Arial" w:cs="Arial"/>
        </w:rPr>
      </w:pPr>
      <w:r>
        <w:rPr>
          <w:rStyle w:val="FootnoteReference"/>
          <w:rFonts w:ascii="Arial" w:hAnsi="Arial" w:cs="Arial"/>
          <w:sz w:val="18"/>
        </w:rPr>
        <w:t>3</w:t>
      </w:r>
      <w:r w:rsidRPr="005574FE">
        <w:rPr>
          <w:rFonts w:ascii="Arial" w:hAnsi="Arial" w:cs="Arial"/>
          <w:sz w:val="18"/>
        </w:rPr>
        <w:t xml:space="preserve"> </w:t>
      </w:r>
      <w:r>
        <w:rPr>
          <w:rFonts w:ascii="Arial" w:hAnsi="Arial" w:cs="Arial"/>
          <w:sz w:val="18"/>
        </w:rPr>
        <w:tab/>
      </w:r>
      <w:r w:rsidRPr="005574FE">
        <w:rPr>
          <w:rFonts w:ascii="Arial" w:hAnsi="Arial" w:cs="Arial"/>
          <w:sz w:val="18"/>
        </w:rPr>
        <w:t>Estimaciones de COMEX (</w:t>
      </w:r>
      <w:hyperlink r:id="rId1" w:history="1">
        <w:r w:rsidRPr="005574FE">
          <w:rPr>
            <w:rStyle w:val="Hyperlink"/>
            <w:rFonts w:ascii="Arial" w:hAnsi="Arial" w:cs="Arial"/>
            <w:sz w:val="18"/>
          </w:rPr>
          <w:t>COMEX 2017</w:t>
        </w:r>
      </w:hyperlink>
      <w:r w:rsidRPr="005574FE">
        <w:rPr>
          <w:rFonts w:ascii="Arial" w:hAnsi="Arial" w:cs="Arial"/>
          <w:sz w:val="18"/>
        </w:rPr>
        <w:t>)</w:t>
      </w:r>
      <w:r>
        <w:rPr>
          <w:rFonts w:ascii="Arial" w:hAnsi="Arial" w:cs="Arial"/>
          <w:sz w:val="18"/>
        </w:rPr>
        <w:t>.</w:t>
      </w:r>
    </w:p>
  </w:footnote>
  <w:footnote w:id="4">
    <w:p w14:paraId="67B64D40" w14:textId="3C7DB009" w:rsidR="00FD0DF7" w:rsidRPr="00155C49" w:rsidRDefault="00FD0DF7" w:rsidP="00FD0DF7">
      <w:pPr>
        <w:pStyle w:val="FootnoteText"/>
        <w:spacing w:after="0"/>
      </w:pPr>
      <w:r w:rsidRPr="00155C49">
        <w:rPr>
          <w:rStyle w:val="FootnoteReference"/>
          <w:rFonts w:ascii="Arial" w:hAnsi="Arial" w:cs="Arial"/>
          <w:sz w:val="18"/>
        </w:rPr>
        <w:footnoteRef/>
      </w:r>
      <w:r w:rsidRPr="00155C49">
        <w:rPr>
          <w:rFonts w:ascii="Arial" w:hAnsi="Arial" w:cs="Arial"/>
          <w:sz w:val="18"/>
        </w:rPr>
        <w:t xml:space="preserve"> </w:t>
      </w:r>
      <w:r>
        <w:rPr>
          <w:rFonts w:ascii="Arial" w:hAnsi="Arial" w:cs="Arial"/>
          <w:sz w:val="18"/>
        </w:rPr>
        <w:tab/>
      </w:r>
      <w:r w:rsidRPr="00155C49">
        <w:rPr>
          <w:rFonts w:ascii="Arial" w:hAnsi="Arial" w:cs="Arial"/>
          <w:sz w:val="18"/>
        </w:rPr>
        <w:t xml:space="preserve">De acuerdo al reporte de resultados de Tu </w:t>
      </w:r>
      <w:r w:rsidRPr="008F700E">
        <w:rPr>
          <w:rFonts w:ascii="Arial" w:hAnsi="Arial" w:cs="Arial"/>
          <w:sz w:val="18"/>
        </w:rPr>
        <w:t xml:space="preserve">Empresa de PRODUCE, entre el 1 de enero y el 9 de septiembre de 2018 se </w:t>
      </w:r>
      <w:r w:rsidRPr="005574FE">
        <w:rPr>
          <w:rFonts w:ascii="Arial" w:hAnsi="Arial" w:cs="Arial"/>
          <w:sz w:val="18"/>
        </w:rPr>
        <w:t>captaron 2,893 MYPES a las cuales se brindó 2,029 servicios de diagnóstico de negocio. Por otra parte</w:t>
      </w:r>
      <w:r w:rsidRPr="00636F96">
        <w:rPr>
          <w:rFonts w:ascii="Arial" w:hAnsi="Arial" w:cs="Arial"/>
          <w:sz w:val="18"/>
        </w:rPr>
        <w:t xml:space="preserve">, como se indica en el párrafo </w:t>
      </w:r>
      <w:r w:rsidRPr="00D14407">
        <w:rPr>
          <w:rFonts w:ascii="Arial" w:hAnsi="Arial" w:cs="Arial"/>
          <w:sz w:val="18"/>
        </w:rPr>
        <w:t>3.12 más adelante, e</w:t>
      </w:r>
      <w:r w:rsidRPr="00D80EA1">
        <w:rPr>
          <w:rFonts w:ascii="Arial" w:hAnsi="Arial" w:cs="Arial"/>
          <w:sz w:val="18"/>
        </w:rPr>
        <w:t>n 2017, el CDE de COFIDE Lima atendió a 5322</w:t>
      </w:r>
      <w:r>
        <w:rPr>
          <w:rFonts w:ascii="Arial" w:hAnsi="Arial" w:cs="Arial"/>
          <w:sz w:val="18"/>
        </w:rPr>
        <w:t> </w:t>
      </w:r>
      <w:r w:rsidRPr="00D80EA1">
        <w:rPr>
          <w:rFonts w:ascii="Arial" w:hAnsi="Arial" w:cs="Arial"/>
          <w:sz w:val="18"/>
        </w:rPr>
        <w:t xml:space="preserve">usuarios con servicios de formación empresarial (COFIDE 2017). </w:t>
      </w:r>
      <w:r w:rsidRPr="009D3588">
        <w:rPr>
          <w:rFonts w:ascii="Arial" w:hAnsi="Arial" w:cs="Arial"/>
          <w:sz w:val="18"/>
        </w:rPr>
        <w:t xml:space="preserve"> </w:t>
      </w:r>
      <w:r w:rsidRPr="00EB09DA">
        <w:rPr>
          <w:rFonts w:ascii="Arial" w:hAnsi="Arial" w:cs="Arial"/>
          <w:sz w:val="18"/>
        </w:rPr>
        <w:t xml:space="preserve">Por su parte, el Programa de Compras a </w:t>
      </w:r>
      <w:r w:rsidRPr="00EB09DA">
        <w:rPr>
          <w:rFonts w:ascii="Arial" w:hAnsi="Arial" w:cs="Arial"/>
          <w:sz w:val="18"/>
        </w:rPr>
        <w:t>MYPE</w:t>
      </w:r>
      <w:r w:rsidRPr="00D84F28">
        <w:rPr>
          <w:rFonts w:ascii="Arial" w:hAnsi="Arial" w:cs="Arial"/>
          <w:sz w:val="18"/>
        </w:rPr>
        <w:t>rú ha venido atendiendo en promedio a más de mil MYPE por año y los CITE</w:t>
      </w:r>
      <w:r w:rsidRPr="00155C49">
        <w:rPr>
          <w:rFonts w:ascii="Arial" w:hAnsi="Arial" w:cs="Arial"/>
          <w:sz w:val="18"/>
        </w:rPr>
        <w:t xml:space="preserve"> ofrecieron servicios de extensión tecnológica a 1</w:t>
      </w:r>
      <w:r>
        <w:rPr>
          <w:rFonts w:ascii="Arial" w:hAnsi="Arial" w:cs="Arial"/>
          <w:sz w:val="18"/>
        </w:rPr>
        <w:t>,</w:t>
      </w:r>
      <w:r w:rsidRPr="00155C49">
        <w:rPr>
          <w:rFonts w:ascii="Arial" w:hAnsi="Arial" w:cs="Arial"/>
          <w:sz w:val="18"/>
        </w:rPr>
        <w:t>594 y 2</w:t>
      </w:r>
      <w:r>
        <w:rPr>
          <w:rFonts w:ascii="Arial" w:hAnsi="Arial" w:cs="Arial"/>
          <w:sz w:val="18"/>
        </w:rPr>
        <w:t>,</w:t>
      </w:r>
      <w:r w:rsidRPr="00155C49">
        <w:rPr>
          <w:rFonts w:ascii="Arial" w:hAnsi="Arial" w:cs="Arial"/>
          <w:sz w:val="18"/>
        </w:rPr>
        <w:t>445</w:t>
      </w:r>
      <w:r>
        <w:rPr>
          <w:rFonts w:ascii="Arial" w:hAnsi="Arial" w:cs="Arial"/>
          <w:sz w:val="18"/>
        </w:rPr>
        <w:t xml:space="preserve"> MYPE</w:t>
      </w:r>
      <w:r w:rsidRPr="00155C49">
        <w:rPr>
          <w:rFonts w:ascii="Arial" w:hAnsi="Arial" w:cs="Arial"/>
          <w:sz w:val="18"/>
        </w:rPr>
        <w:t xml:space="preserve"> en 2014 y 2015 respectivamente (ver Tabla 1 del Plan de M&amp;E de PE-L1162)</w:t>
      </w:r>
      <w:r>
        <w:rPr>
          <w:rFonts w:ascii="Arial" w:hAnsi="Arial" w:cs="Arial"/>
          <w:sz w:val="18"/>
        </w:rPr>
        <w:t>.</w:t>
      </w:r>
    </w:p>
  </w:footnote>
  <w:footnote w:id="5">
    <w:p w14:paraId="566B1F91" w14:textId="3CD71D44" w:rsidR="00FD0DF7" w:rsidRPr="00D14407" w:rsidRDefault="00FD0DF7">
      <w:pPr>
        <w:pStyle w:val="FootnoteText"/>
        <w:rPr>
          <w:rFonts w:ascii="Arial" w:hAnsi="Arial" w:cs="Arial"/>
        </w:rPr>
      </w:pPr>
      <w:r w:rsidRPr="00D14407">
        <w:rPr>
          <w:rStyle w:val="FootnoteReference"/>
          <w:rFonts w:ascii="Arial" w:hAnsi="Arial" w:cs="Arial"/>
          <w:sz w:val="18"/>
        </w:rPr>
        <w:footnoteRef/>
      </w:r>
      <w:r w:rsidRPr="00D14407">
        <w:rPr>
          <w:rFonts w:ascii="Arial" w:hAnsi="Arial" w:cs="Arial"/>
          <w:sz w:val="18"/>
        </w:rPr>
        <w:t xml:space="preserve"> </w:t>
      </w:r>
      <w:r>
        <w:rPr>
          <w:rFonts w:ascii="Arial" w:hAnsi="Arial" w:cs="Arial"/>
          <w:sz w:val="18"/>
        </w:rPr>
        <w:tab/>
      </w:r>
      <w:r w:rsidRPr="00D14407">
        <w:rPr>
          <w:rFonts w:ascii="Arial" w:hAnsi="Arial" w:cs="Arial"/>
          <w:sz w:val="18"/>
        </w:rPr>
        <w:t>A marzo de 2016, de las 519,760 firmas registradas en el régimen único simplificado</w:t>
      </w:r>
      <w:r>
        <w:rPr>
          <w:rFonts w:ascii="Arial" w:hAnsi="Arial" w:cs="Arial"/>
          <w:sz w:val="18"/>
        </w:rPr>
        <w:t xml:space="preserve"> de la SUNAT</w:t>
      </w:r>
      <w:r w:rsidRPr="00D14407">
        <w:rPr>
          <w:rFonts w:ascii="Arial" w:hAnsi="Arial" w:cs="Arial"/>
          <w:sz w:val="18"/>
        </w:rPr>
        <w:t xml:space="preserve"> con ventas menores a 14 mil soles mensuales, 3,599 vendían entre 1</w:t>
      </w:r>
      <w:r>
        <w:rPr>
          <w:rFonts w:ascii="Arial" w:hAnsi="Arial" w:cs="Arial"/>
          <w:sz w:val="18"/>
        </w:rPr>
        <w:t xml:space="preserve">2 </w:t>
      </w:r>
      <w:r w:rsidRPr="00D14407">
        <w:rPr>
          <w:rFonts w:ascii="Arial" w:hAnsi="Arial" w:cs="Arial"/>
          <w:sz w:val="18"/>
        </w:rPr>
        <w:t>y 13 mil soles al mes y 1,073 vendían entre 13 y 14 mil soles al mes.</w:t>
      </w:r>
    </w:p>
  </w:footnote>
  <w:footnote w:id="6">
    <w:p w14:paraId="332F6694" w14:textId="022BCDBB" w:rsidR="00FD0DF7" w:rsidRPr="007A52A0" w:rsidRDefault="00FD0DF7" w:rsidP="005C3BC2">
      <w:pPr>
        <w:pStyle w:val="FootnoteText"/>
        <w:rPr>
          <w:rFonts w:ascii="Arial" w:hAnsi="Arial" w:cs="Arial"/>
          <w:sz w:val="18"/>
          <w:szCs w:val="18"/>
        </w:rPr>
      </w:pPr>
      <w:r w:rsidRPr="007A52A0">
        <w:rPr>
          <w:rStyle w:val="FootnoteReference"/>
          <w:rFonts w:ascii="Arial" w:hAnsi="Arial" w:cs="Arial"/>
          <w:sz w:val="18"/>
          <w:szCs w:val="18"/>
        </w:rPr>
        <w:footnoteRef/>
      </w:r>
      <w:r w:rsidRPr="007A52A0">
        <w:rPr>
          <w:rFonts w:ascii="Arial" w:hAnsi="Arial" w:cs="Arial"/>
          <w:sz w:val="18"/>
          <w:szCs w:val="18"/>
        </w:rPr>
        <w:t xml:space="preserve"> </w:t>
      </w:r>
      <w:r>
        <w:rPr>
          <w:rFonts w:ascii="Arial" w:hAnsi="Arial" w:cs="Arial"/>
          <w:sz w:val="18"/>
          <w:szCs w:val="18"/>
        </w:rPr>
        <w:tab/>
      </w:r>
      <w:r w:rsidRPr="007A52A0">
        <w:rPr>
          <w:rFonts w:ascii="Arial" w:hAnsi="Arial" w:cs="Arial"/>
          <w:bCs/>
          <w:sz w:val="18"/>
          <w:szCs w:val="18"/>
        </w:rPr>
        <w:t>Y de las demás condiciones establecidas en el Contrato de Préstamo.</w:t>
      </w:r>
    </w:p>
  </w:footnote>
  <w:footnote w:id="7">
    <w:p w14:paraId="4505042C" w14:textId="43EDBAFC" w:rsidR="00FD0DF7" w:rsidRPr="00D84F28" w:rsidRDefault="00FD0DF7">
      <w:pPr>
        <w:pStyle w:val="FootnoteText"/>
        <w:rPr>
          <w:rFonts w:ascii="Arial" w:hAnsi="Arial" w:cs="Arial"/>
          <w:sz w:val="18"/>
        </w:rPr>
      </w:pPr>
      <w:r w:rsidRPr="00D84F28">
        <w:rPr>
          <w:rStyle w:val="FootnoteReference"/>
          <w:rFonts w:ascii="Arial" w:hAnsi="Arial" w:cs="Arial"/>
          <w:sz w:val="18"/>
        </w:rPr>
        <w:footnoteRef/>
      </w:r>
      <w:r w:rsidRPr="00D84F28">
        <w:rPr>
          <w:rFonts w:ascii="Arial" w:hAnsi="Arial" w:cs="Arial"/>
          <w:sz w:val="18"/>
        </w:rPr>
        <w:t xml:space="preserve"> </w:t>
      </w:r>
      <w:bookmarkStart w:id="5" w:name="_Hlk525903775"/>
      <w:r>
        <w:rPr>
          <w:rFonts w:ascii="Arial" w:hAnsi="Arial" w:cs="Arial"/>
          <w:sz w:val="18"/>
        </w:rPr>
        <w:tab/>
        <w:t xml:space="preserve">Por correcto funcionamiento se entiende </w:t>
      </w:r>
      <w:r w:rsidRPr="00D84F28">
        <w:rPr>
          <w:rFonts w:ascii="Arial" w:hAnsi="Arial" w:cs="Arial"/>
          <w:sz w:val="18"/>
        </w:rPr>
        <w:t xml:space="preserve">que el indicador de calidad de funcionamiento, basado en un promedio de sub indicadores en las cuatro dimensiones </w:t>
      </w:r>
      <w:r>
        <w:rPr>
          <w:rFonts w:ascii="Arial" w:hAnsi="Arial" w:cs="Arial"/>
          <w:sz w:val="18"/>
        </w:rPr>
        <w:t>señaladas</w:t>
      </w:r>
      <w:r w:rsidRPr="00D84F28">
        <w:rPr>
          <w:rFonts w:ascii="Arial" w:hAnsi="Arial" w:cs="Arial"/>
          <w:sz w:val="18"/>
        </w:rPr>
        <w:t xml:space="preserve">, supera </w:t>
      </w:r>
      <w:r>
        <w:rPr>
          <w:rFonts w:ascii="Arial" w:hAnsi="Arial" w:cs="Arial"/>
          <w:sz w:val="18"/>
        </w:rPr>
        <w:t>el</w:t>
      </w:r>
      <w:r w:rsidRPr="00D84F28">
        <w:rPr>
          <w:rFonts w:ascii="Arial" w:hAnsi="Arial" w:cs="Arial"/>
          <w:sz w:val="18"/>
        </w:rPr>
        <w:t xml:space="preserve"> umbral especificado en el </w:t>
      </w:r>
      <w:r>
        <w:rPr>
          <w:rFonts w:ascii="Arial" w:hAnsi="Arial" w:cs="Arial"/>
          <w:sz w:val="18"/>
        </w:rPr>
        <w:t>informe</w:t>
      </w:r>
      <w:r w:rsidRPr="00D84F28">
        <w:rPr>
          <w:rFonts w:ascii="Arial" w:hAnsi="Arial" w:cs="Arial"/>
          <w:sz w:val="18"/>
        </w:rPr>
        <w:t xml:space="preserve"> metodológico de evaluación de CITE del ITP</w:t>
      </w:r>
      <w:bookmarkEnd w:id="5"/>
      <w:r w:rsidRPr="00D84F28">
        <w:rPr>
          <w:rFonts w:ascii="Arial" w:hAnsi="Arial" w:cs="Arial"/>
          <w:sz w:val="18"/>
        </w:rPr>
        <w:t>.</w:t>
      </w:r>
    </w:p>
    <w:p w14:paraId="683D5620" w14:textId="77777777" w:rsidR="00FD0DF7" w:rsidRPr="00D84F28" w:rsidRDefault="00FD0DF7">
      <w:pPr>
        <w:pStyle w:val="FootnoteText"/>
      </w:pPr>
    </w:p>
  </w:footnote>
  <w:footnote w:id="8">
    <w:p w14:paraId="6F15A6BB" w14:textId="77EA4B0A" w:rsidR="00FD0DF7" w:rsidRPr="007A52A0" w:rsidRDefault="00FD0DF7" w:rsidP="00FD0DF7">
      <w:pPr>
        <w:pStyle w:val="FootnoteText"/>
        <w:spacing w:after="0"/>
        <w:rPr>
          <w:rFonts w:ascii="Arial" w:hAnsi="Arial" w:cs="Arial"/>
          <w:sz w:val="18"/>
          <w:szCs w:val="18"/>
        </w:rPr>
      </w:pPr>
      <w:r w:rsidRPr="007A52A0">
        <w:rPr>
          <w:rStyle w:val="FootnoteReference"/>
          <w:rFonts w:ascii="Arial" w:hAnsi="Arial" w:cs="Arial"/>
          <w:sz w:val="18"/>
          <w:szCs w:val="18"/>
        </w:rPr>
        <w:footnoteRef/>
      </w:r>
      <w:r w:rsidRPr="007A52A0">
        <w:rPr>
          <w:rFonts w:ascii="Arial" w:hAnsi="Arial" w:cs="Arial"/>
          <w:sz w:val="18"/>
          <w:szCs w:val="18"/>
        </w:rPr>
        <w:t xml:space="preserve"> </w:t>
      </w:r>
      <w:r>
        <w:rPr>
          <w:rFonts w:ascii="Arial" w:hAnsi="Arial" w:cs="Arial"/>
          <w:sz w:val="18"/>
          <w:szCs w:val="18"/>
        </w:rPr>
        <w:tab/>
      </w:r>
      <w:r w:rsidRPr="007A52A0">
        <w:rPr>
          <w:rFonts w:ascii="Arial" w:hAnsi="Arial" w:cs="Arial"/>
          <w:sz w:val="18"/>
          <w:szCs w:val="18"/>
        </w:rPr>
        <w:t>Módulo 1, pregunta 2.</w:t>
      </w:r>
    </w:p>
  </w:footnote>
  <w:footnote w:id="9">
    <w:p w14:paraId="34E0710C" w14:textId="052DB65E" w:rsidR="00FD0DF7" w:rsidRPr="0063534D" w:rsidRDefault="00FD0DF7" w:rsidP="00FD0DF7">
      <w:pPr>
        <w:pStyle w:val="FootnoteText"/>
        <w:spacing w:after="0"/>
        <w:rPr>
          <w:rFonts w:ascii="Arial" w:hAnsi="Arial" w:cs="Arial"/>
          <w:sz w:val="18"/>
        </w:rPr>
      </w:pPr>
      <w:r w:rsidRPr="008323A8">
        <w:rPr>
          <w:rStyle w:val="FootnoteReference"/>
          <w:rFonts w:ascii="Arial" w:hAnsi="Arial" w:cs="Arial"/>
          <w:sz w:val="18"/>
        </w:rPr>
        <w:footnoteRef/>
      </w:r>
      <w:r w:rsidRPr="008323A8">
        <w:rPr>
          <w:rFonts w:ascii="Arial" w:hAnsi="Arial" w:cs="Arial"/>
          <w:sz w:val="18"/>
        </w:rPr>
        <w:t xml:space="preserve"> </w:t>
      </w:r>
      <w:r>
        <w:rPr>
          <w:rFonts w:ascii="Arial" w:hAnsi="Arial" w:cs="Arial"/>
          <w:sz w:val="18"/>
        </w:rPr>
        <w:tab/>
      </w:r>
      <w:r w:rsidRPr="0063534D">
        <w:rPr>
          <w:rFonts w:ascii="Arial" w:hAnsi="Arial" w:cs="Arial"/>
          <w:sz w:val="18"/>
        </w:rPr>
        <w:t>Módulo 9, Pregunta 4</w:t>
      </w:r>
      <w:r>
        <w:rPr>
          <w:rFonts w:ascii="Arial" w:hAnsi="Arial" w:cs="Arial"/>
          <w:sz w:val="18"/>
        </w:rPr>
        <w:t>.</w:t>
      </w:r>
    </w:p>
  </w:footnote>
  <w:footnote w:id="10">
    <w:p w14:paraId="2A72F8F7" w14:textId="45B9F6AF" w:rsidR="00FD0DF7" w:rsidRPr="005E0589" w:rsidRDefault="00FD0DF7" w:rsidP="00FD0DF7">
      <w:pPr>
        <w:pStyle w:val="FootnoteText"/>
        <w:spacing w:after="0"/>
        <w:rPr>
          <w:rFonts w:ascii="Arial" w:hAnsi="Arial" w:cs="Arial"/>
          <w:sz w:val="18"/>
        </w:rPr>
      </w:pPr>
      <w:r w:rsidRPr="005E0589">
        <w:rPr>
          <w:rStyle w:val="FootnoteReference"/>
          <w:rFonts w:ascii="Arial" w:hAnsi="Arial" w:cs="Arial"/>
          <w:sz w:val="18"/>
        </w:rPr>
        <w:footnoteRef/>
      </w:r>
      <w:r w:rsidRPr="005E0589">
        <w:rPr>
          <w:rFonts w:ascii="Arial" w:hAnsi="Arial" w:cs="Arial"/>
          <w:sz w:val="18"/>
        </w:rPr>
        <w:t xml:space="preserve"> </w:t>
      </w:r>
      <w:r>
        <w:rPr>
          <w:rFonts w:ascii="Arial" w:hAnsi="Arial" w:cs="Arial"/>
          <w:sz w:val="18"/>
        </w:rPr>
        <w:tab/>
      </w:r>
      <w:r w:rsidRPr="005E0589">
        <w:rPr>
          <w:rFonts w:ascii="Arial" w:hAnsi="Arial" w:cs="Arial"/>
          <w:sz w:val="18"/>
        </w:rPr>
        <w:t xml:space="preserve">Módulo </w:t>
      </w:r>
      <w:r>
        <w:rPr>
          <w:rFonts w:ascii="Arial" w:hAnsi="Arial" w:cs="Arial"/>
          <w:sz w:val="18"/>
        </w:rPr>
        <w:t>4</w:t>
      </w:r>
      <w:r w:rsidRPr="005E0589">
        <w:rPr>
          <w:rFonts w:ascii="Arial" w:hAnsi="Arial" w:cs="Arial"/>
          <w:sz w:val="18"/>
        </w:rPr>
        <w:t>, Pregunta 63</w:t>
      </w:r>
      <w:r>
        <w:rPr>
          <w:rFonts w:ascii="Arial" w:hAnsi="Arial" w:cs="Arial"/>
          <w:sz w:val="18"/>
        </w:rPr>
        <w:t>.</w:t>
      </w:r>
    </w:p>
  </w:footnote>
  <w:footnote w:id="11">
    <w:p w14:paraId="5175398F" w14:textId="70C48F87" w:rsidR="00FD0DF7" w:rsidRPr="007A52A0" w:rsidRDefault="00FD0DF7" w:rsidP="00B3282C">
      <w:pPr>
        <w:pStyle w:val="FootnoteText"/>
        <w:rPr>
          <w:rFonts w:ascii="Arial" w:hAnsi="Arial" w:cs="Arial"/>
          <w:sz w:val="18"/>
          <w:szCs w:val="18"/>
        </w:rPr>
      </w:pPr>
      <w:r w:rsidRPr="007A52A0">
        <w:rPr>
          <w:rStyle w:val="FootnoteReference"/>
          <w:rFonts w:ascii="Arial" w:hAnsi="Arial" w:cs="Arial"/>
          <w:sz w:val="18"/>
          <w:szCs w:val="18"/>
        </w:rPr>
        <w:footnoteRef/>
      </w:r>
      <w:r w:rsidRPr="007A52A0">
        <w:rPr>
          <w:rFonts w:ascii="Arial" w:hAnsi="Arial" w:cs="Arial"/>
          <w:sz w:val="18"/>
          <w:szCs w:val="18"/>
        </w:rPr>
        <w:t xml:space="preserve"> </w:t>
      </w:r>
      <w:r>
        <w:rPr>
          <w:rFonts w:ascii="Arial" w:hAnsi="Arial" w:cs="Arial"/>
          <w:sz w:val="18"/>
          <w:szCs w:val="18"/>
        </w:rPr>
        <w:tab/>
        <w:t>(</w:t>
      </w:r>
      <w:r w:rsidRPr="007A52A0">
        <w:rPr>
          <w:rFonts w:ascii="Arial" w:hAnsi="Arial" w:cs="Arial"/>
          <w:sz w:val="18"/>
          <w:szCs w:val="18"/>
        </w:rPr>
        <w:t>i</w:t>
      </w:r>
      <w:r>
        <w:rPr>
          <w:rFonts w:ascii="Arial" w:hAnsi="Arial" w:cs="Arial"/>
          <w:sz w:val="18"/>
          <w:szCs w:val="18"/>
        </w:rPr>
        <w:t xml:space="preserve">) </w:t>
      </w:r>
      <w:r w:rsidRPr="007A52A0">
        <w:rPr>
          <w:rFonts w:ascii="Arial" w:hAnsi="Arial" w:cs="Arial"/>
          <w:sz w:val="18"/>
          <w:szCs w:val="18"/>
        </w:rPr>
        <w:t xml:space="preserve">Auditorías y evaluaciones de procesos y tecnologías; </w:t>
      </w:r>
      <w:r>
        <w:rPr>
          <w:rFonts w:ascii="Arial" w:hAnsi="Arial" w:cs="Arial"/>
          <w:sz w:val="18"/>
          <w:szCs w:val="18"/>
        </w:rPr>
        <w:t>(</w:t>
      </w:r>
      <w:r w:rsidRPr="007A52A0">
        <w:rPr>
          <w:rFonts w:ascii="Arial" w:hAnsi="Arial" w:cs="Arial"/>
          <w:sz w:val="18"/>
          <w:szCs w:val="18"/>
        </w:rPr>
        <w:t>ii</w:t>
      </w:r>
      <w:r>
        <w:rPr>
          <w:rFonts w:ascii="Arial" w:hAnsi="Arial" w:cs="Arial"/>
          <w:sz w:val="18"/>
          <w:szCs w:val="18"/>
        </w:rPr>
        <w:t>)</w:t>
      </w:r>
      <w:r w:rsidRPr="007A52A0">
        <w:rPr>
          <w:rFonts w:ascii="Arial" w:hAnsi="Arial" w:cs="Arial"/>
          <w:sz w:val="18"/>
          <w:szCs w:val="18"/>
        </w:rPr>
        <w:t xml:space="preserve"> </w:t>
      </w:r>
      <w:r>
        <w:rPr>
          <w:rFonts w:ascii="Arial" w:hAnsi="Arial" w:cs="Arial"/>
          <w:sz w:val="18"/>
          <w:szCs w:val="18"/>
        </w:rPr>
        <w:t>d</w:t>
      </w:r>
      <w:r w:rsidRPr="007A52A0">
        <w:rPr>
          <w:rFonts w:ascii="Arial" w:hAnsi="Arial" w:cs="Arial"/>
          <w:sz w:val="18"/>
          <w:szCs w:val="18"/>
        </w:rPr>
        <w:t xml:space="preserve">esarrollo de nuevos productos, servicios o proceso; </w:t>
      </w:r>
      <w:r>
        <w:rPr>
          <w:rFonts w:ascii="Arial" w:hAnsi="Arial" w:cs="Arial"/>
          <w:sz w:val="18"/>
          <w:szCs w:val="18"/>
        </w:rPr>
        <w:t>(</w:t>
      </w:r>
      <w:r w:rsidRPr="007A52A0">
        <w:rPr>
          <w:rFonts w:ascii="Arial" w:hAnsi="Arial" w:cs="Arial"/>
          <w:sz w:val="18"/>
          <w:szCs w:val="18"/>
        </w:rPr>
        <w:t>iii</w:t>
      </w:r>
      <w:r>
        <w:rPr>
          <w:rFonts w:ascii="Arial" w:hAnsi="Arial" w:cs="Arial"/>
          <w:sz w:val="18"/>
          <w:szCs w:val="18"/>
        </w:rPr>
        <w:t>)</w:t>
      </w:r>
      <w:r w:rsidRPr="007A52A0">
        <w:rPr>
          <w:rFonts w:ascii="Arial" w:hAnsi="Arial" w:cs="Arial"/>
          <w:sz w:val="18"/>
          <w:szCs w:val="18"/>
        </w:rPr>
        <w:t xml:space="preserve"> </w:t>
      </w:r>
      <w:r>
        <w:rPr>
          <w:rFonts w:ascii="Arial" w:hAnsi="Arial" w:cs="Arial"/>
          <w:sz w:val="18"/>
          <w:szCs w:val="18"/>
        </w:rPr>
        <w:t>d</w:t>
      </w:r>
      <w:r w:rsidRPr="007A52A0">
        <w:rPr>
          <w:rFonts w:ascii="Arial" w:hAnsi="Arial" w:cs="Arial"/>
          <w:sz w:val="18"/>
          <w:szCs w:val="18"/>
        </w:rPr>
        <w:t>esarrollo de un nuevo modelo de negocio;</w:t>
      </w:r>
      <w:r>
        <w:rPr>
          <w:rFonts w:ascii="Arial" w:hAnsi="Arial" w:cs="Arial"/>
          <w:sz w:val="18"/>
          <w:szCs w:val="18"/>
        </w:rPr>
        <w:t xml:space="preserve"> (</w:t>
      </w:r>
      <w:r w:rsidRPr="007A52A0">
        <w:rPr>
          <w:rFonts w:ascii="Arial" w:hAnsi="Arial" w:cs="Arial"/>
          <w:sz w:val="18"/>
          <w:szCs w:val="18"/>
        </w:rPr>
        <w:t>iv</w:t>
      </w:r>
      <w:r>
        <w:rPr>
          <w:rFonts w:ascii="Arial" w:hAnsi="Arial" w:cs="Arial"/>
          <w:sz w:val="18"/>
          <w:szCs w:val="18"/>
        </w:rPr>
        <w:t>)</w:t>
      </w:r>
      <w:r w:rsidRPr="007A52A0">
        <w:rPr>
          <w:rFonts w:ascii="Arial" w:hAnsi="Arial" w:cs="Arial"/>
          <w:sz w:val="18"/>
          <w:szCs w:val="18"/>
        </w:rPr>
        <w:t xml:space="preserve"> </w:t>
      </w:r>
      <w:r>
        <w:rPr>
          <w:rFonts w:ascii="Arial" w:hAnsi="Arial" w:cs="Arial"/>
          <w:sz w:val="18"/>
          <w:szCs w:val="18"/>
        </w:rPr>
        <w:t>o</w:t>
      </w:r>
      <w:r w:rsidRPr="007A52A0">
        <w:rPr>
          <w:rFonts w:ascii="Arial" w:hAnsi="Arial" w:cs="Arial"/>
          <w:sz w:val="18"/>
          <w:szCs w:val="18"/>
        </w:rPr>
        <w:t xml:space="preserve">ptimización de productos, servicios o procesos; </w:t>
      </w:r>
      <w:r>
        <w:rPr>
          <w:rFonts w:ascii="Arial" w:hAnsi="Arial" w:cs="Arial"/>
          <w:sz w:val="18"/>
          <w:szCs w:val="18"/>
        </w:rPr>
        <w:t>(</w:t>
      </w:r>
      <w:r w:rsidRPr="007A52A0">
        <w:rPr>
          <w:rFonts w:ascii="Arial" w:hAnsi="Arial" w:cs="Arial"/>
          <w:sz w:val="18"/>
          <w:szCs w:val="18"/>
        </w:rPr>
        <w:t>v</w:t>
      </w:r>
      <w:r>
        <w:rPr>
          <w:rFonts w:ascii="Arial" w:hAnsi="Arial" w:cs="Arial"/>
          <w:sz w:val="18"/>
          <w:szCs w:val="18"/>
        </w:rPr>
        <w:t>)</w:t>
      </w:r>
      <w:r w:rsidRPr="007A52A0">
        <w:rPr>
          <w:rFonts w:ascii="Arial" w:hAnsi="Arial" w:cs="Arial"/>
          <w:sz w:val="18"/>
          <w:szCs w:val="18"/>
        </w:rPr>
        <w:t xml:space="preserve"> </w:t>
      </w:r>
      <w:r>
        <w:rPr>
          <w:rFonts w:ascii="Arial" w:hAnsi="Arial" w:cs="Arial"/>
          <w:sz w:val="18"/>
          <w:szCs w:val="18"/>
        </w:rPr>
        <w:t>i</w:t>
      </w:r>
      <w:r w:rsidRPr="007A52A0">
        <w:rPr>
          <w:rFonts w:ascii="Arial" w:hAnsi="Arial" w:cs="Arial"/>
          <w:sz w:val="18"/>
          <w:szCs w:val="18"/>
        </w:rPr>
        <w:t xml:space="preserve">nvestigación de mercado; </w:t>
      </w:r>
      <w:r>
        <w:rPr>
          <w:rFonts w:ascii="Arial" w:hAnsi="Arial" w:cs="Arial"/>
          <w:sz w:val="18"/>
          <w:szCs w:val="18"/>
        </w:rPr>
        <w:t>(</w:t>
      </w:r>
      <w:r w:rsidRPr="007A52A0">
        <w:rPr>
          <w:rFonts w:ascii="Arial" w:hAnsi="Arial" w:cs="Arial"/>
          <w:sz w:val="18"/>
          <w:szCs w:val="18"/>
        </w:rPr>
        <w:t>vi</w:t>
      </w:r>
      <w:r>
        <w:rPr>
          <w:rFonts w:ascii="Arial" w:hAnsi="Arial" w:cs="Arial"/>
          <w:sz w:val="18"/>
          <w:szCs w:val="18"/>
        </w:rPr>
        <w:t>) o</w:t>
      </w:r>
      <w:r w:rsidRPr="007A52A0">
        <w:rPr>
          <w:rFonts w:ascii="Arial" w:hAnsi="Arial" w:cs="Arial"/>
          <w:sz w:val="18"/>
          <w:szCs w:val="18"/>
        </w:rPr>
        <w:t xml:space="preserve">ptimización de la administración y logística de la cadena de suministros; </w:t>
      </w:r>
      <w:r>
        <w:rPr>
          <w:rFonts w:ascii="Arial" w:hAnsi="Arial" w:cs="Arial"/>
          <w:sz w:val="18"/>
          <w:szCs w:val="18"/>
        </w:rPr>
        <w:t>(</w:t>
      </w:r>
      <w:r w:rsidRPr="007A52A0">
        <w:rPr>
          <w:rFonts w:ascii="Arial" w:hAnsi="Arial" w:cs="Arial"/>
          <w:sz w:val="18"/>
          <w:szCs w:val="18"/>
        </w:rPr>
        <w:t>vii</w:t>
      </w:r>
      <w:r>
        <w:rPr>
          <w:rFonts w:ascii="Arial" w:hAnsi="Arial" w:cs="Arial"/>
          <w:sz w:val="18"/>
          <w:szCs w:val="18"/>
        </w:rPr>
        <w:t>) p</w:t>
      </w:r>
      <w:r w:rsidRPr="007A52A0">
        <w:rPr>
          <w:rFonts w:ascii="Arial" w:hAnsi="Arial" w:cs="Arial"/>
          <w:sz w:val="18"/>
          <w:szCs w:val="18"/>
        </w:rPr>
        <w:t xml:space="preserve">rueba de productos o servicios y evaluación de impacto económico; </w:t>
      </w:r>
      <w:r>
        <w:rPr>
          <w:rFonts w:ascii="Arial" w:hAnsi="Arial" w:cs="Arial"/>
          <w:sz w:val="18"/>
          <w:szCs w:val="18"/>
        </w:rPr>
        <w:t>(</w:t>
      </w:r>
      <w:r w:rsidRPr="007A52A0">
        <w:rPr>
          <w:rFonts w:ascii="Arial" w:hAnsi="Arial" w:cs="Arial"/>
          <w:sz w:val="18"/>
          <w:szCs w:val="18"/>
        </w:rPr>
        <w:t>viii</w:t>
      </w:r>
      <w:r>
        <w:rPr>
          <w:rFonts w:ascii="Arial" w:hAnsi="Arial" w:cs="Arial"/>
          <w:sz w:val="18"/>
          <w:szCs w:val="18"/>
        </w:rPr>
        <w:t>) d</w:t>
      </w:r>
      <w:r w:rsidRPr="007A52A0">
        <w:rPr>
          <w:rFonts w:ascii="Arial" w:hAnsi="Arial" w:cs="Arial"/>
          <w:sz w:val="18"/>
          <w:szCs w:val="18"/>
        </w:rPr>
        <w:t xml:space="preserve">iseño industrial o gráfico; </w:t>
      </w:r>
      <w:r>
        <w:rPr>
          <w:rFonts w:ascii="Arial" w:hAnsi="Arial" w:cs="Arial"/>
          <w:sz w:val="18"/>
          <w:szCs w:val="18"/>
        </w:rPr>
        <w:t>(</w:t>
      </w:r>
      <w:r w:rsidRPr="007A52A0">
        <w:rPr>
          <w:rFonts w:ascii="Arial" w:hAnsi="Arial" w:cs="Arial"/>
          <w:sz w:val="18"/>
          <w:szCs w:val="18"/>
        </w:rPr>
        <w:t>ix</w:t>
      </w:r>
      <w:r>
        <w:rPr>
          <w:rFonts w:ascii="Arial" w:hAnsi="Arial" w:cs="Arial"/>
          <w:sz w:val="18"/>
          <w:szCs w:val="18"/>
        </w:rPr>
        <w:t>) e</w:t>
      </w:r>
      <w:r w:rsidRPr="007A52A0">
        <w:rPr>
          <w:rFonts w:ascii="Arial" w:hAnsi="Arial" w:cs="Arial"/>
          <w:sz w:val="18"/>
          <w:szCs w:val="18"/>
        </w:rPr>
        <w:t xml:space="preserve">xplotación de nuevas tecnologías de la información para la región o la industria; </w:t>
      </w:r>
      <w:r>
        <w:rPr>
          <w:rFonts w:ascii="Arial" w:hAnsi="Arial" w:cs="Arial"/>
          <w:sz w:val="18"/>
          <w:szCs w:val="18"/>
        </w:rPr>
        <w:t>y (</w:t>
      </w:r>
      <w:r w:rsidRPr="007A52A0">
        <w:rPr>
          <w:rFonts w:ascii="Arial" w:hAnsi="Arial" w:cs="Arial"/>
          <w:sz w:val="18"/>
          <w:szCs w:val="18"/>
        </w:rPr>
        <w:t>x</w:t>
      </w:r>
      <w:r>
        <w:rPr>
          <w:rFonts w:ascii="Arial" w:hAnsi="Arial" w:cs="Arial"/>
          <w:sz w:val="18"/>
          <w:szCs w:val="18"/>
        </w:rPr>
        <w:t>) p</w:t>
      </w:r>
      <w:r w:rsidRPr="007A52A0">
        <w:rPr>
          <w:rFonts w:ascii="Arial" w:hAnsi="Arial" w:cs="Arial"/>
          <w:sz w:val="18"/>
          <w:szCs w:val="18"/>
        </w:rPr>
        <w:t>rotección de la marca y propiedad intelectual, servicios de laboratorio, control de calidad o certificación y otros.</w:t>
      </w:r>
    </w:p>
  </w:footnote>
  <w:footnote w:id="12">
    <w:p w14:paraId="0AA80FFC" w14:textId="49CB98BD" w:rsidR="00FD0DF7" w:rsidRPr="007A52A0" w:rsidRDefault="00FD0DF7" w:rsidP="0048224A">
      <w:pPr>
        <w:pStyle w:val="FootnoteText"/>
        <w:spacing w:after="0"/>
        <w:rPr>
          <w:rFonts w:ascii="Arial" w:hAnsi="Arial" w:cs="Arial"/>
          <w:sz w:val="18"/>
          <w:szCs w:val="18"/>
        </w:rPr>
      </w:pPr>
      <w:r w:rsidRPr="007A52A0">
        <w:rPr>
          <w:rStyle w:val="FootnoteReference"/>
          <w:rFonts w:ascii="Arial" w:hAnsi="Arial" w:cs="Arial"/>
          <w:sz w:val="18"/>
          <w:szCs w:val="18"/>
        </w:rPr>
        <w:footnoteRef/>
      </w:r>
      <w:r w:rsidRPr="007A52A0">
        <w:rPr>
          <w:rFonts w:ascii="Arial" w:hAnsi="Arial" w:cs="Arial"/>
          <w:sz w:val="18"/>
          <w:szCs w:val="18"/>
        </w:rPr>
        <w:t xml:space="preserve"> </w:t>
      </w:r>
      <w:r>
        <w:rPr>
          <w:rFonts w:ascii="Arial" w:hAnsi="Arial" w:cs="Arial"/>
          <w:sz w:val="18"/>
          <w:szCs w:val="18"/>
        </w:rPr>
        <w:tab/>
      </w:r>
      <w:r w:rsidRPr="007A52A0">
        <w:rPr>
          <w:rFonts w:ascii="Arial" w:hAnsi="Arial" w:cs="Arial"/>
          <w:sz w:val="18"/>
          <w:szCs w:val="18"/>
        </w:rPr>
        <w:t>El principal supuesto de identificación del modelo de DD es la ausencia de factores que varían en el tiempo y que afectan tanto la participación en el programa como los resultados que se quieren medir, lo que significa que todos los factores relevantes no observables tienen que ser constantes en el tiempo.</w:t>
      </w:r>
    </w:p>
  </w:footnote>
  <w:footnote w:id="13">
    <w:p w14:paraId="4B72F6E4" w14:textId="0A397CCE" w:rsidR="00FD0DF7" w:rsidRPr="0099083C" w:rsidRDefault="00FD0DF7">
      <w:pPr>
        <w:pStyle w:val="FootnoteText"/>
        <w:rPr>
          <w:rFonts w:ascii="Arial" w:hAnsi="Arial" w:cs="Arial"/>
          <w:sz w:val="18"/>
        </w:rPr>
      </w:pPr>
      <w:r w:rsidRPr="0099083C">
        <w:rPr>
          <w:rStyle w:val="FootnoteReference"/>
          <w:rFonts w:ascii="Arial" w:hAnsi="Arial" w:cs="Arial"/>
          <w:sz w:val="18"/>
        </w:rPr>
        <w:footnoteRef/>
      </w:r>
      <w:r w:rsidRPr="0099083C">
        <w:rPr>
          <w:rFonts w:ascii="Arial" w:hAnsi="Arial" w:cs="Arial"/>
          <w:sz w:val="18"/>
        </w:rPr>
        <w:t xml:space="preserve"> </w:t>
      </w:r>
      <w:hyperlink r:id="rId2" w:history="1">
        <w:r w:rsidRPr="008A48E4">
          <w:rPr>
            <w:rStyle w:val="Hyperlink"/>
            <w:rFonts w:ascii="Arial" w:hAnsi="Arial" w:cs="Arial"/>
            <w:sz w:val="18"/>
          </w:rPr>
          <w:t>https://webinei.inei.gob.pe/anda_inei/index.php/catalog/340</w:t>
        </w:r>
      </w:hyperlink>
      <w:r>
        <w:rPr>
          <w:rStyle w:val="Hyperlink"/>
          <w:rFonts w:ascii="Arial" w:hAnsi="Arial" w:cs="Arial"/>
          <w:sz w:val="18"/>
        </w:rPr>
        <w:t>.</w:t>
      </w:r>
      <w:r>
        <w:rPr>
          <w:rFonts w:ascii="Arial" w:hAnsi="Arial" w:cs="Arial"/>
          <w:sz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9ABC7F" w14:textId="56E74BFE" w:rsidR="00FD0DF7" w:rsidRPr="007C5B5D" w:rsidRDefault="00FD0DF7">
    <w:pPr>
      <w:pStyle w:val="Header"/>
      <w:jc w:val="right"/>
      <w:rPr>
        <w:rFonts w:ascii="Arial" w:hAnsi="Arial" w:cs="Arial"/>
        <w:sz w:val="20"/>
        <w:lang w:val="en-US"/>
      </w:rPr>
    </w:pPr>
    <w:r w:rsidRPr="007C5B5D">
      <w:rPr>
        <w:rFonts w:ascii="Arial" w:hAnsi="Arial" w:cs="Arial"/>
        <w:sz w:val="20"/>
      </w:rPr>
      <w:t>REL</w:t>
    </w:r>
    <w:r w:rsidRPr="007C5B5D">
      <w:rPr>
        <w:rFonts w:ascii="Arial" w:hAnsi="Arial" w:cs="Arial"/>
        <w:sz w:val="20"/>
        <w:lang w:val="en-US"/>
      </w:rPr>
      <w:t>#5 – PE-L1223</w:t>
    </w:r>
  </w:p>
  <w:sdt>
    <w:sdtPr>
      <w:rPr>
        <w:rFonts w:ascii="Arial" w:hAnsi="Arial" w:cs="Arial"/>
        <w:sz w:val="20"/>
      </w:rPr>
      <w:id w:val="-1318336367"/>
      <w:docPartObj>
        <w:docPartGallery w:val="Page Numbers (Top of Page)"/>
        <w:docPartUnique/>
      </w:docPartObj>
    </w:sdtPr>
    <w:sdtEndPr/>
    <w:sdtContent>
      <w:p w14:paraId="4D0D8BF0" w14:textId="1BBE5A4B" w:rsidR="00FD0DF7" w:rsidRPr="007C5B5D" w:rsidRDefault="00FD0DF7">
        <w:pPr>
          <w:pStyle w:val="Header"/>
          <w:jc w:val="right"/>
          <w:rPr>
            <w:rFonts w:ascii="Arial" w:hAnsi="Arial" w:cs="Arial"/>
            <w:sz w:val="20"/>
          </w:rPr>
        </w:pPr>
        <w:r w:rsidRPr="007C5B5D">
          <w:rPr>
            <w:rFonts w:ascii="Arial" w:hAnsi="Arial" w:cs="Arial"/>
            <w:sz w:val="20"/>
          </w:rPr>
          <w:t xml:space="preserve">Page </w:t>
        </w:r>
        <w:r w:rsidRPr="007C5B5D">
          <w:rPr>
            <w:rFonts w:ascii="Arial" w:hAnsi="Arial" w:cs="Arial"/>
            <w:b/>
            <w:bCs/>
            <w:sz w:val="20"/>
          </w:rPr>
          <w:fldChar w:fldCharType="begin"/>
        </w:r>
        <w:r w:rsidRPr="007C5B5D">
          <w:rPr>
            <w:rFonts w:ascii="Arial" w:hAnsi="Arial" w:cs="Arial"/>
            <w:b/>
            <w:bCs/>
            <w:sz w:val="20"/>
          </w:rPr>
          <w:instrText xml:space="preserve"> PAGE </w:instrText>
        </w:r>
        <w:r w:rsidRPr="007C5B5D">
          <w:rPr>
            <w:rFonts w:ascii="Arial" w:hAnsi="Arial" w:cs="Arial"/>
            <w:b/>
            <w:bCs/>
            <w:sz w:val="20"/>
          </w:rPr>
          <w:fldChar w:fldCharType="separate"/>
        </w:r>
        <w:r w:rsidRPr="007C5B5D">
          <w:rPr>
            <w:rFonts w:ascii="Arial" w:hAnsi="Arial" w:cs="Arial"/>
            <w:b/>
            <w:bCs/>
            <w:noProof/>
            <w:sz w:val="20"/>
          </w:rPr>
          <w:t>2</w:t>
        </w:r>
        <w:r w:rsidRPr="007C5B5D">
          <w:rPr>
            <w:rFonts w:ascii="Arial" w:hAnsi="Arial" w:cs="Arial"/>
            <w:b/>
            <w:bCs/>
            <w:sz w:val="20"/>
          </w:rPr>
          <w:fldChar w:fldCharType="end"/>
        </w:r>
        <w:r w:rsidRPr="007C5B5D">
          <w:rPr>
            <w:rFonts w:ascii="Arial" w:hAnsi="Arial" w:cs="Arial"/>
            <w:sz w:val="20"/>
          </w:rPr>
          <w:t xml:space="preserve"> of </w:t>
        </w:r>
        <w:r w:rsidRPr="007C5B5D">
          <w:rPr>
            <w:rFonts w:ascii="Arial" w:hAnsi="Arial" w:cs="Arial"/>
            <w:b/>
            <w:bCs/>
            <w:sz w:val="20"/>
          </w:rPr>
          <w:fldChar w:fldCharType="begin"/>
        </w:r>
        <w:r w:rsidRPr="007C5B5D">
          <w:rPr>
            <w:rFonts w:ascii="Arial" w:hAnsi="Arial" w:cs="Arial"/>
            <w:b/>
            <w:bCs/>
            <w:sz w:val="20"/>
          </w:rPr>
          <w:instrText xml:space="preserve"> NUMPAGES  </w:instrText>
        </w:r>
        <w:r w:rsidRPr="007C5B5D">
          <w:rPr>
            <w:rFonts w:ascii="Arial" w:hAnsi="Arial" w:cs="Arial"/>
            <w:b/>
            <w:bCs/>
            <w:sz w:val="20"/>
          </w:rPr>
          <w:fldChar w:fldCharType="separate"/>
        </w:r>
        <w:r w:rsidRPr="007C5B5D">
          <w:rPr>
            <w:rFonts w:ascii="Arial" w:hAnsi="Arial" w:cs="Arial"/>
            <w:b/>
            <w:bCs/>
            <w:noProof/>
            <w:sz w:val="20"/>
          </w:rPr>
          <w:t>2</w:t>
        </w:r>
        <w:r w:rsidRPr="007C5B5D">
          <w:rPr>
            <w:rFonts w:ascii="Arial" w:hAnsi="Arial" w:cs="Arial"/>
            <w:b/>
            <w:bCs/>
            <w:sz w:val="20"/>
          </w:rPr>
          <w:fldChar w:fldCharType="end"/>
        </w:r>
      </w:p>
    </w:sdtContent>
  </w:sdt>
  <w:p w14:paraId="7EBC4529" w14:textId="77777777" w:rsidR="00FD0DF7" w:rsidRPr="007C5B5D" w:rsidRDefault="00FD0DF7">
    <w:pPr>
      <w:rPr>
        <w:rFonts w:ascii="Arial" w:hAnsi="Arial" w:cs="Arial"/>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705EB"/>
    <w:multiLevelType w:val="hybridMultilevel"/>
    <w:tmpl w:val="82E624C0"/>
    <w:lvl w:ilvl="0" w:tplc="040A001B">
      <w:start w:val="1"/>
      <w:numFmt w:val="low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066B7006"/>
    <w:multiLevelType w:val="hybridMultilevel"/>
    <w:tmpl w:val="786EB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9164DD"/>
    <w:multiLevelType w:val="hybridMultilevel"/>
    <w:tmpl w:val="FF7E3EB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5C6699"/>
    <w:multiLevelType w:val="multilevel"/>
    <w:tmpl w:val="8F6C87EA"/>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4" w15:restartNumberingAfterBreak="0">
    <w:nsid w:val="093D2C34"/>
    <w:multiLevelType w:val="hybridMultilevel"/>
    <w:tmpl w:val="E2D83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A34661"/>
    <w:multiLevelType w:val="hybridMultilevel"/>
    <w:tmpl w:val="BB0C4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BA52A9"/>
    <w:multiLevelType w:val="hybridMultilevel"/>
    <w:tmpl w:val="BCF22A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F57D34"/>
    <w:multiLevelType w:val="hybridMultilevel"/>
    <w:tmpl w:val="D946D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B05AF1"/>
    <w:multiLevelType w:val="multilevel"/>
    <w:tmpl w:val="1B608B08"/>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b w:val="0"/>
      </w:rPr>
    </w:lvl>
    <w:lvl w:ilvl="2">
      <w:start w:val="1"/>
      <w:numFmt w:val="bullet"/>
      <w:lvlText w:val=""/>
      <w:lvlJc w:val="left"/>
      <w:pPr>
        <w:tabs>
          <w:tab w:val="num" w:pos="2304"/>
        </w:tabs>
        <w:ind w:left="2304" w:hanging="432"/>
      </w:pPr>
      <w:rPr>
        <w:rFonts w:ascii="Wingdings" w:hAnsi="Wingdings" w:hint="default"/>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9" w15:restartNumberingAfterBreak="0">
    <w:nsid w:val="239F4052"/>
    <w:multiLevelType w:val="multilevel"/>
    <w:tmpl w:val="13FCE74C"/>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1296"/>
        </w:tabs>
        <w:ind w:left="1296" w:hanging="1296"/>
      </w:pPr>
      <w:rPr>
        <w:rFonts w:ascii="Arial" w:hAnsi="Arial" w:cs="Arial" w:hint="default"/>
        <w:sz w:val="22"/>
        <w:szCs w:val="22"/>
      </w:r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0" w15:restartNumberingAfterBreak="0">
    <w:nsid w:val="25153DCF"/>
    <w:multiLevelType w:val="hybridMultilevel"/>
    <w:tmpl w:val="E6B8A3E0"/>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26E845AF"/>
    <w:multiLevelType w:val="hybridMultilevel"/>
    <w:tmpl w:val="027E0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F06239"/>
    <w:multiLevelType w:val="hybridMultilevel"/>
    <w:tmpl w:val="AF68AA10"/>
    <w:lvl w:ilvl="0" w:tplc="EAC64932">
      <w:numFmt w:val="bullet"/>
      <w:lvlText w:val="-"/>
      <w:lvlJc w:val="left"/>
      <w:pPr>
        <w:ind w:left="667" w:hanging="360"/>
      </w:pPr>
      <w:rPr>
        <w:rFonts w:ascii="Calibri" w:eastAsiaTheme="minorHAnsi" w:hAnsi="Calibri" w:cstheme="minorBidi" w:hint="default"/>
      </w:rPr>
    </w:lvl>
    <w:lvl w:ilvl="1" w:tplc="04090003" w:tentative="1">
      <w:start w:val="1"/>
      <w:numFmt w:val="bullet"/>
      <w:lvlText w:val="o"/>
      <w:lvlJc w:val="left"/>
      <w:pPr>
        <w:ind w:left="1387" w:hanging="360"/>
      </w:pPr>
      <w:rPr>
        <w:rFonts w:ascii="Courier New" w:hAnsi="Courier New" w:cs="Courier New" w:hint="default"/>
      </w:rPr>
    </w:lvl>
    <w:lvl w:ilvl="2" w:tplc="04090005" w:tentative="1">
      <w:start w:val="1"/>
      <w:numFmt w:val="bullet"/>
      <w:lvlText w:val=""/>
      <w:lvlJc w:val="left"/>
      <w:pPr>
        <w:ind w:left="2107" w:hanging="360"/>
      </w:pPr>
      <w:rPr>
        <w:rFonts w:ascii="Wingdings" w:hAnsi="Wingdings" w:hint="default"/>
      </w:rPr>
    </w:lvl>
    <w:lvl w:ilvl="3" w:tplc="04090001" w:tentative="1">
      <w:start w:val="1"/>
      <w:numFmt w:val="bullet"/>
      <w:lvlText w:val=""/>
      <w:lvlJc w:val="left"/>
      <w:pPr>
        <w:ind w:left="2827" w:hanging="360"/>
      </w:pPr>
      <w:rPr>
        <w:rFonts w:ascii="Symbol" w:hAnsi="Symbol" w:hint="default"/>
      </w:rPr>
    </w:lvl>
    <w:lvl w:ilvl="4" w:tplc="04090003" w:tentative="1">
      <w:start w:val="1"/>
      <w:numFmt w:val="bullet"/>
      <w:lvlText w:val="o"/>
      <w:lvlJc w:val="left"/>
      <w:pPr>
        <w:ind w:left="3547" w:hanging="360"/>
      </w:pPr>
      <w:rPr>
        <w:rFonts w:ascii="Courier New" w:hAnsi="Courier New" w:cs="Courier New" w:hint="default"/>
      </w:rPr>
    </w:lvl>
    <w:lvl w:ilvl="5" w:tplc="04090005" w:tentative="1">
      <w:start w:val="1"/>
      <w:numFmt w:val="bullet"/>
      <w:lvlText w:val=""/>
      <w:lvlJc w:val="left"/>
      <w:pPr>
        <w:ind w:left="4267" w:hanging="360"/>
      </w:pPr>
      <w:rPr>
        <w:rFonts w:ascii="Wingdings" w:hAnsi="Wingdings" w:hint="default"/>
      </w:rPr>
    </w:lvl>
    <w:lvl w:ilvl="6" w:tplc="04090001" w:tentative="1">
      <w:start w:val="1"/>
      <w:numFmt w:val="bullet"/>
      <w:lvlText w:val=""/>
      <w:lvlJc w:val="left"/>
      <w:pPr>
        <w:ind w:left="4987" w:hanging="360"/>
      </w:pPr>
      <w:rPr>
        <w:rFonts w:ascii="Symbol" w:hAnsi="Symbol" w:hint="default"/>
      </w:rPr>
    </w:lvl>
    <w:lvl w:ilvl="7" w:tplc="04090003" w:tentative="1">
      <w:start w:val="1"/>
      <w:numFmt w:val="bullet"/>
      <w:lvlText w:val="o"/>
      <w:lvlJc w:val="left"/>
      <w:pPr>
        <w:ind w:left="5707" w:hanging="360"/>
      </w:pPr>
      <w:rPr>
        <w:rFonts w:ascii="Courier New" w:hAnsi="Courier New" w:cs="Courier New" w:hint="default"/>
      </w:rPr>
    </w:lvl>
    <w:lvl w:ilvl="8" w:tplc="04090005" w:tentative="1">
      <w:start w:val="1"/>
      <w:numFmt w:val="bullet"/>
      <w:lvlText w:val=""/>
      <w:lvlJc w:val="left"/>
      <w:pPr>
        <w:ind w:left="6427" w:hanging="360"/>
      </w:pPr>
      <w:rPr>
        <w:rFonts w:ascii="Wingdings" w:hAnsi="Wingdings" w:hint="default"/>
      </w:rPr>
    </w:lvl>
  </w:abstractNum>
  <w:abstractNum w:abstractNumId="13" w15:restartNumberingAfterBreak="0">
    <w:nsid w:val="30FD1EF5"/>
    <w:multiLevelType w:val="hybridMultilevel"/>
    <w:tmpl w:val="C24C8D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3BF603B"/>
    <w:multiLevelType w:val="hybridMultilevel"/>
    <w:tmpl w:val="2ADA7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9B4991"/>
    <w:multiLevelType w:val="multilevel"/>
    <w:tmpl w:val="A4F4C8E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1926"/>
        </w:tabs>
        <w:ind w:left="1926"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6" w15:restartNumberingAfterBreak="0">
    <w:nsid w:val="35BF1B9D"/>
    <w:multiLevelType w:val="hybridMultilevel"/>
    <w:tmpl w:val="959AA3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192A80"/>
    <w:multiLevelType w:val="hybridMultilevel"/>
    <w:tmpl w:val="47BED5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ED81D2A"/>
    <w:multiLevelType w:val="hybridMultilevel"/>
    <w:tmpl w:val="16A892E6"/>
    <w:lvl w:ilvl="0" w:tplc="04090001">
      <w:start w:val="1"/>
      <w:numFmt w:val="bullet"/>
      <w:lvlText w:val=""/>
      <w:lvlJc w:val="left"/>
      <w:pPr>
        <w:ind w:left="720" w:hanging="360"/>
      </w:pPr>
      <w:rPr>
        <w:rFonts w:ascii="Symbol" w:hAnsi="Symbol"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9" w15:restartNumberingAfterBreak="0">
    <w:nsid w:val="401E7372"/>
    <w:multiLevelType w:val="hybridMultilevel"/>
    <w:tmpl w:val="6D8030AA"/>
    <w:lvl w:ilvl="0" w:tplc="D07483D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4002FB"/>
    <w:multiLevelType w:val="multilevel"/>
    <w:tmpl w:val="1018E1D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1" w15:restartNumberingAfterBreak="0">
    <w:nsid w:val="4BFF49BF"/>
    <w:multiLevelType w:val="hybridMultilevel"/>
    <w:tmpl w:val="DA6875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DE21308"/>
    <w:multiLevelType w:val="hybridMultilevel"/>
    <w:tmpl w:val="F636F75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569905A8"/>
    <w:multiLevelType w:val="multilevel"/>
    <w:tmpl w:val="606EDE02"/>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b w:val="0"/>
        <w:i w:val="0"/>
        <w:color w:val="auto"/>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24" w15:restartNumberingAfterBreak="0">
    <w:nsid w:val="57594781"/>
    <w:multiLevelType w:val="hybridMultilevel"/>
    <w:tmpl w:val="A8EACDA4"/>
    <w:lvl w:ilvl="0" w:tplc="040A001B">
      <w:start w:val="1"/>
      <w:numFmt w:val="low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5" w15:restartNumberingAfterBreak="0">
    <w:nsid w:val="5B187CEF"/>
    <w:multiLevelType w:val="multilevel"/>
    <w:tmpl w:val="B858B048"/>
    <w:styleLink w:val="Lista-Jerarquica"/>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077"/>
        </w:tabs>
        <w:ind w:left="1077" w:hanging="737"/>
      </w:pPr>
      <w:rPr>
        <w:rFonts w:hint="default"/>
      </w:rPr>
    </w:lvl>
    <w:lvl w:ilvl="2">
      <w:start w:val="1"/>
      <w:numFmt w:val="decimal"/>
      <w:lvlText w:val="%1.%2.%3."/>
      <w:lvlJc w:val="left"/>
      <w:pPr>
        <w:tabs>
          <w:tab w:val="num" w:pos="1588"/>
        </w:tabs>
        <w:ind w:left="1588" w:hanging="907"/>
      </w:pPr>
      <w:rPr>
        <w:rFonts w:hint="default"/>
      </w:rPr>
    </w:lvl>
    <w:lvl w:ilvl="3">
      <w:start w:val="1"/>
      <w:numFmt w:val="decimal"/>
      <w:lvlText w:val="%1.%2.%3.%4."/>
      <w:lvlJc w:val="left"/>
      <w:pPr>
        <w:tabs>
          <w:tab w:val="num" w:pos="2098"/>
        </w:tabs>
        <w:ind w:left="2098" w:hanging="1077"/>
      </w:pPr>
      <w:rPr>
        <w:rFonts w:hint="default"/>
      </w:rPr>
    </w:lvl>
    <w:lvl w:ilvl="4">
      <w:start w:val="1"/>
      <w:numFmt w:val="decimal"/>
      <w:lvlText w:val="%1.%2.%3.%4.%5."/>
      <w:lvlJc w:val="left"/>
      <w:pPr>
        <w:tabs>
          <w:tab w:val="num" w:pos="2608"/>
        </w:tabs>
        <w:ind w:left="2608" w:hanging="1247"/>
      </w:pPr>
      <w:rPr>
        <w:rFonts w:hint="default"/>
      </w:rPr>
    </w:lvl>
    <w:lvl w:ilvl="5">
      <w:start w:val="1"/>
      <w:numFmt w:val="decimal"/>
      <w:lvlText w:val="%1.%2.%3.%4.%5.%6."/>
      <w:lvlJc w:val="left"/>
      <w:pPr>
        <w:tabs>
          <w:tab w:val="num" w:pos="3119"/>
        </w:tabs>
        <w:ind w:left="3119" w:hanging="1418"/>
      </w:pPr>
      <w:rPr>
        <w:rFonts w:hint="default"/>
      </w:rPr>
    </w:lvl>
    <w:lvl w:ilvl="6">
      <w:start w:val="1"/>
      <w:numFmt w:val="decimal"/>
      <w:lvlText w:val="%1.%2.%3.%4.%5.%6.%7."/>
      <w:lvlJc w:val="left"/>
      <w:pPr>
        <w:tabs>
          <w:tab w:val="num" w:pos="3062"/>
        </w:tabs>
        <w:ind w:left="3629" w:hanging="1588"/>
      </w:pPr>
      <w:rPr>
        <w:rFonts w:hint="default"/>
      </w:rPr>
    </w:lvl>
    <w:lvl w:ilvl="7">
      <w:start w:val="1"/>
      <w:numFmt w:val="decimal"/>
      <w:lvlText w:val="%1.%2.%3.%4.%5.%6.%7.%8."/>
      <w:lvlJc w:val="left"/>
      <w:pPr>
        <w:tabs>
          <w:tab w:val="num" w:pos="4082"/>
        </w:tabs>
        <w:ind w:left="4082" w:hanging="1700"/>
      </w:pPr>
      <w:rPr>
        <w:rFonts w:hint="default"/>
      </w:rPr>
    </w:lvl>
    <w:lvl w:ilvl="8">
      <w:start w:val="1"/>
      <w:numFmt w:val="decimal"/>
      <w:lvlText w:val="%1.%2.%3.%4.%5.%6.%7.%8.%9."/>
      <w:lvlJc w:val="left"/>
      <w:pPr>
        <w:tabs>
          <w:tab w:val="num" w:pos="4593"/>
        </w:tabs>
        <w:ind w:left="4593" w:hanging="1871"/>
      </w:pPr>
      <w:rPr>
        <w:rFonts w:hint="default"/>
      </w:rPr>
    </w:lvl>
  </w:abstractNum>
  <w:abstractNum w:abstractNumId="26" w15:restartNumberingAfterBreak="0">
    <w:nsid w:val="60817747"/>
    <w:multiLevelType w:val="hybridMultilevel"/>
    <w:tmpl w:val="591E54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9923C8"/>
    <w:multiLevelType w:val="multilevel"/>
    <w:tmpl w:val="849252C8"/>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 w:ilvl="1">
      <w:start w:val="1"/>
      <w:numFmt w:val="decimal"/>
      <w:pStyle w:val="AutoNumpara"/>
      <w:isLgl/>
      <w:lvlText w:val="%1.%2"/>
      <w:lvlJc w:val="left"/>
      <w:pPr>
        <w:tabs>
          <w:tab w:val="num" w:pos="720"/>
        </w:tabs>
        <w:ind w:left="720" w:hanging="720"/>
      </w:pPr>
      <w:rPr>
        <w:rFonts w:hint="default"/>
        <w:b w:val="0"/>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8" w15:restartNumberingAfterBreak="0">
    <w:nsid w:val="6124622C"/>
    <w:multiLevelType w:val="hybridMultilevel"/>
    <w:tmpl w:val="D994BA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7F31BB5"/>
    <w:multiLevelType w:val="hybridMultilevel"/>
    <w:tmpl w:val="373ED67A"/>
    <w:lvl w:ilvl="0" w:tplc="040A001B">
      <w:start w:val="1"/>
      <w:numFmt w:val="low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0" w15:restartNumberingAfterBreak="0">
    <w:nsid w:val="73D74869"/>
    <w:multiLevelType w:val="hybridMultilevel"/>
    <w:tmpl w:val="33DC05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13"/>
  </w:num>
  <w:num w:numId="3">
    <w:abstractNumId w:val="11"/>
  </w:num>
  <w:num w:numId="4">
    <w:abstractNumId w:val="16"/>
  </w:num>
  <w:num w:numId="5">
    <w:abstractNumId w:val="8"/>
  </w:num>
  <w:num w:numId="6">
    <w:abstractNumId w:val="9"/>
  </w:num>
  <w:num w:numId="7">
    <w:abstractNumId w:val="3"/>
  </w:num>
  <w:num w:numId="8">
    <w:abstractNumId w:val="21"/>
  </w:num>
  <w:num w:numId="9">
    <w:abstractNumId w:val="6"/>
  </w:num>
  <w:num w:numId="10">
    <w:abstractNumId w:val="25"/>
  </w:num>
  <w:num w:numId="11">
    <w:abstractNumId w:val="14"/>
  </w:num>
  <w:num w:numId="12">
    <w:abstractNumId w:val="15"/>
  </w:num>
  <w:num w:numId="13">
    <w:abstractNumId w:val="22"/>
  </w:num>
  <w:num w:numId="14">
    <w:abstractNumId w:val="2"/>
  </w:num>
  <w:num w:numId="15">
    <w:abstractNumId w:val="30"/>
  </w:num>
  <w:num w:numId="16">
    <w:abstractNumId w:val="17"/>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7"/>
  </w:num>
  <w:num w:numId="20">
    <w:abstractNumId w:val="24"/>
  </w:num>
  <w:num w:numId="21">
    <w:abstractNumId w:val="20"/>
  </w:num>
  <w:num w:numId="22">
    <w:abstractNumId w:val="19"/>
  </w:num>
  <w:num w:numId="23">
    <w:abstractNumId w:val="10"/>
  </w:num>
  <w:num w:numId="24">
    <w:abstractNumId w:val="29"/>
  </w:num>
  <w:num w:numId="25">
    <w:abstractNumId w:val="0"/>
  </w:num>
  <w:num w:numId="26">
    <w:abstractNumId w:val="18"/>
  </w:num>
  <w:num w:numId="27">
    <w:abstractNumId w:val="23"/>
  </w:num>
  <w:num w:numId="28">
    <w:abstractNumId w:val="26"/>
  </w:num>
  <w:num w:numId="29">
    <w:abstractNumId w:val="1"/>
  </w:num>
  <w:num w:numId="30">
    <w:abstractNumId w:val="12"/>
  </w:num>
  <w:num w:numId="31">
    <w:abstractNumId w:val="28"/>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9"/>
  <w:proofState w:spelling="clean" w:grammar="clean"/>
  <w:trackRevision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760E"/>
    <w:rsid w:val="00013D5F"/>
    <w:rsid w:val="00014BA6"/>
    <w:rsid w:val="00015D15"/>
    <w:rsid w:val="00015D42"/>
    <w:rsid w:val="00016E7D"/>
    <w:rsid w:val="000270E3"/>
    <w:rsid w:val="000302DF"/>
    <w:rsid w:val="00030CFD"/>
    <w:rsid w:val="00031E86"/>
    <w:rsid w:val="0004269E"/>
    <w:rsid w:val="00042B79"/>
    <w:rsid w:val="00045A96"/>
    <w:rsid w:val="00045BB1"/>
    <w:rsid w:val="000465A5"/>
    <w:rsid w:val="0004720A"/>
    <w:rsid w:val="00051810"/>
    <w:rsid w:val="000572BE"/>
    <w:rsid w:val="00057744"/>
    <w:rsid w:val="00057848"/>
    <w:rsid w:val="00073718"/>
    <w:rsid w:val="000741D9"/>
    <w:rsid w:val="0007696E"/>
    <w:rsid w:val="00076D8A"/>
    <w:rsid w:val="00082028"/>
    <w:rsid w:val="00085D69"/>
    <w:rsid w:val="00091143"/>
    <w:rsid w:val="00093D3A"/>
    <w:rsid w:val="00094912"/>
    <w:rsid w:val="00095031"/>
    <w:rsid w:val="00095150"/>
    <w:rsid w:val="00096092"/>
    <w:rsid w:val="00097373"/>
    <w:rsid w:val="000A2531"/>
    <w:rsid w:val="000A2EEB"/>
    <w:rsid w:val="000C212F"/>
    <w:rsid w:val="000C2188"/>
    <w:rsid w:val="000C5437"/>
    <w:rsid w:val="000C7C7E"/>
    <w:rsid w:val="000D6D15"/>
    <w:rsid w:val="000D6D3A"/>
    <w:rsid w:val="000E2660"/>
    <w:rsid w:val="000E4D81"/>
    <w:rsid w:val="000E6928"/>
    <w:rsid w:val="000F03F9"/>
    <w:rsid w:val="000F3103"/>
    <w:rsid w:val="000F3E93"/>
    <w:rsid w:val="000F5858"/>
    <w:rsid w:val="000F5D52"/>
    <w:rsid w:val="000F68FF"/>
    <w:rsid w:val="00103B88"/>
    <w:rsid w:val="00110137"/>
    <w:rsid w:val="0011652C"/>
    <w:rsid w:val="00117004"/>
    <w:rsid w:val="00120B47"/>
    <w:rsid w:val="001223F2"/>
    <w:rsid w:val="00130171"/>
    <w:rsid w:val="00130F66"/>
    <w:rsid w:val="00134793"/>
    <w:rsid w:val="00134AA2"/>
    <w:rsid w:val="00135BE2"/>
    <w:rsid w:val="00137A0C"/>
    <w:rsid w:val="00144DC8"/>
    <w:rsid w:val="00145755"/>
    <w:rsid w:val="00150000"/>
    <w:rsid w:val="001505BF"/>
    <w:rsid w:val="00151B8E"/>
    <w:rsid w:val="00155C49"/>
    <w:rsid w:val="00160C4A"/>
    <w:rsid w:val="0016667A"/>
    <w:rsid w:val="00166AA4"/>
    <w:rsid w:val="00166E62"/>
    <w:rsid w:val="00175BBC"/>
    <w:rsid w:val="00180E97"/>
    <w:rsid w:val="00181500"/>
    <w:rsid w:val="00186564"/>
    <w:rsid w:val="00190879"/>
    <w:rsid w:val="00193F9E"/>
    <w:rsid w:val="00196CD0"/>
    <w:rsid w:val="00197426"/>
    <w:rsid w:val="001A2838"/>
    <w:rsid w:val="001A54CF"/>
    <w:rsid w:val="001A61F3"/>
    <w:rsid w:val="001B0BCE"/>
    <w:rsid w:val="001B1562"/>
    <w:rsid w:val="001B3AEE"/>
    <w:rsid w:val="001C22B5"/>
    <w:rsid w:val="001C2987"/>
    <w:rsid w:val="001C3828"/>
    <w:rsid w:val="001C5B5C"/>
    <w:rsid w:val="001C686B"/>
    <w:rsid w:val="001C6D00"/>
    <w:rsid w:val="001C779F"/>
    <w:rsid w:val="001D0109"/>
    <w:rsid w:val="001D26D3"/>
    <w:rsid w:val="001D67BD"/>
    <w:rsid w:val="001D6B7F"/>
    <w:rsid w:val="001D72DE"/>
    <w:rsid w:val="001E0B14"/>
    <w:rsid w:val="001E21BF"/>
    <w:rsid w:val="001E2957"/>
    <w:rsid w:val="001F355E"/>
    <w:rsid w:val="001F3FC1"/>
    <w:rsid w:val="001F4C7C"/>
    <w:rsid w:val="001F5143"/>
    <w:rsid w:val="00202623"/>
    <w:rsid w:val="0020432F"/>
    <w:rsid w:val="00204603"/>
    <w:rsid w:val="0020493B"/>
    <w:rsid w:val="00204A99"/>
    <w:rsid w:val="002051CB"/>
    <w:rsid w:val="00205E1B"/>
    <w:rsid w:val="002076D1"/>
    <w:rsid w:val="00210F0D"/>
    <w:rsid w:val="0021448B"/>
    <w:rsid w:val="00214575"/>
    <w:rsid w:val="00214E22"/>
    <w:rsid w:val="0021774F"/>
    <w:rsid w:val="00222BD1"/>
    <w:rsid w:val="00224BCA"/>
    <w:rsid w:val="0022512B"/>
    <w:rsid w:val="002264BF"/>
    <w:rsid w:val="00230B37"/>
    <w:rsid w:val="00231021"/>
    <w:rsid w:val="0023571B"/>
    <w:rsid w:val="00240CB3"/>
    <w:rsid w:val="0024161C"/>
    <w:rsid w:val="00242E3B"/>
    <w:rsid w:val="00244520"/>
    <w:rsid w:val="002446FA"/>
    <w:rsid w:val="00244E41"/>
    <w:rsid w:val="00247E17"/>
    <w:rsid w:val="002515CD"/>
    <w:rsid w:val="00253ECA"/>
    <w:rsid w:val="00254404"/>
    <w:rsid w:val="00256878"/>
    <w:rsid w:val="0026004D"/>
    <w:rsid w:val="002625CD"/>
    <w:rsid w:val="002630AA"/>
    <w:rsid w:val="00265AB2"/>
    <w:rsid w:val="00265F37"/>
    <w:rsid w:val="002677A8"/>
    <w:rsid w:val="0027110C"/>
    <w:rsid w:val="0027703D"/>
    <w:rsid w:val="00277B39"/>
    <w:rsid w:val="002870D0"/>
    <w:rsid w:val="0028781C"/>
    <w:rsid w:val="00292B2C"/>
    <w:rsid w:val="002948EE"/>
    <w:rsid w:val="00296BE8"/>
    <w:rsid w:val="0029777E"/>
    <w:rsid w:val="002A2F28"/>
    <w:rsid w:val="002A31F2"/>
    <w:rsid w:val="002A45CB"/>
    <w:rsid w:val="002A71FA"/>
    <w:rsid w:val="002B780A"/>
    <w:rsid w:val="002C79B9"/>
    <w:rsid w:val="002E3970"/>
    <w:rsid w:val="002F0082"/>
    <w:rsid w:val="002F17AB"/>
    <w:rsid w:val="002F2861"/>
    <w:rsid w:val="002F4146"/>
    <w:rsid w:val="002F4D90"/>
    <w:rsid w:val="002F704B"/>
    <w:rsid w:val="00315C14"/>
    <w:rsid w:val="0031699A"/>
    <w:rsid w:val="00316A41"/>
    <w:rsid w:val="00320C89"/>
    <w:rsid w:val="00323E62"/>
    <w:rsid w:val="00324041"/>
    <w:rsid w:val="00324892"/>
    <w:rsid w:val="00327B0A"/>
    <w:rsid w:val="003405F5"/>
    <w:rsid w:val="00342F85"/>
    <w:rsid w:val="00345A4D"/>
    <w:rsid w:val="003473A9"/>
    <w:rsid w:val="00354C4A"/>
    <w:rsid w:val="00354D3D"/>
    <w:rsid w:val="00362F13"/>
    <w:rsid w:val="003631F1"/>
    <w:rsid w:val="003655AA"/>
    <w:rsid w:val="00367666"/>
    <w:rsid w:val="0037196E"/>
    <w:rsid w:val="00376DF9"/>
    <w:rsid w:val="003775CF"/>
    <w:rsid w:val="00385526"/>
    <w:rsid w:val="003906EA"/>
    <w:rsid w:val="00392C36"/>
    <w:rsid w:val="003959A9"/>
    <w:rsid w:val="003A0B28"/>
    <w:rsid w:val="003A0CF7"/>
    <w:rsid w:val="003A1A16"/>
    <w:rsid w:val="003B07A9"/>
    <w:rsid w:val="003B0F3C"/>
    <w:rsid w:val="003B1AA7"/>
    <w:rsid w:val="003B2C79"/>
    <w:rsid w:val="003B3222"/>
    <w:rsid w:val="003B3779"/>
    <w:rsid w:val="003C3B60"/>
    <w:rsid w:val="003C433A"/>
    <w:rsid w:val="003C5F9A"/>
    <w:rsid w:val="003E047B"/>
    <w:rsid w:val="003E10C1"/>
    <w:rsid w:val="003E314E"/>
    <w:rsid w:val="003E51F7"/>
    <w:rsid w:val="003E6173"/>
    <w:rsid w:val="003E7909"/>
    <w:rsid w:val="003F3932"/>
    <w:rsid w:val="003F4C25"/>
    <w:rsid w:val="004008AC"/>
    <w:rsid w:val="0040222A"/>
    <w:rsid w:val="00404024"/>
    <w:rsid w:val="00413F3E"/>
    <w:rsid w:val="0041629A"/>
    <w:rsid w:val="00427800"/>
    <w:rsid w:val="00427857"/>
    <w:rsid w:val="00427D04"/>
    <w:rsid w:val="00430ABD"/>
    <w:rsid w:val="00434566"/>
    <w:rsid w:val="00435BE8"/>
    <w:rsid w:val="00440053"/>
    <w:rsid w:val="00443FAC"/>
    <w:rsid w:val="00444AED"/>
    <w:rsid w:val="00445D39"/>
    <w:rsid w:val="00447BF8"/>
    <w:rsid w:val="0045094B"/>
    <w:rsid w:val="00450B78"/>
    <w:rsid w:val="00457DB6"/>
    <w:rsid w:val="004622FC"/>
    <w:rsid w:val="00465D81"/>
    <w:rsid w:val="00465DBD"/>
    <w:rsid w:val="00466F83"/>
    <w:rsid w:val="00472599"/>
    <w:rsid w:val="004772CC"/>
    <w:rsid w:val="004803F7"/>
    <w:rsid w:val="0048224A"/>
    <w:rsid w:val="00486126"/>
    <w:rsid w:val="004920F0"/>
    <w:rsid w:val="00492439"/>
    <w:rsid w:val="00493640"/>
    <w:rsid w:val="00495E83"/>
    <w:rsid w:val="004966AE"/>
    <w:rsid w:val="00497936"/>
    <w:rsid w:val="004A4447"/>
    <w:rsid w:val="004A7F57"/>
    <w:rsid w:val="004B14EF"/>
    <w:rsid w:val="004B4DDA"/>
    <w:rsid w:val="004B5CAC"/>
    <w:rsid w:val="004C0CF9"/>
    <w:rsid w:val="004C50CF"/>
    <w:rsid w:val="004C5DE6"/>
    <w:rsid w:val="004D32E5"/>
    <w:rsid w:val="004D5EBD"/>
    <w:rsid w:val="004E0905"/>
    <w:rsid w:val="004E1151"/>
    <w:rsid w:val="004E137C"/>
    <w:rsid w:val="004E3E79"/>
    <w:rsid w:val="004E48FF"/>
    <w:rsid w:val="004E68CC"/>
    <w:rsid w:val="004F1981"/>
    <w:rsid w:val="004F4B4B"/>
    <w:rsid w:val="004F6400"/>
    <w:rsid w:val="005000FC"/>
    <w:rsid w:val="00501DBC"/>
    <w:rsid w:val="00503133"/>
    <w:rsid w:val="00504DB1"/>
    <w:rsid w:val="00510599"/>
    <w:rsid w:val="00516EE1"/>
    <w:rsid w:val="005257E6"/>
    <w:rsid w:val="00526B7E"/>
    <w:rsid w:val="005270C7"/>
    <w:rsid w:val="0053357E"/>
    <w:rsid w:val="00536750"/>
    <w:rsid w:val="0053776D"/>
    <w:rsid w:val="00541DE8"/>
    <w:rsid w:val="005445C6"/>
    <w:rsid w:val="00547219"/>
    <w:rsid w:val="005513D7"/>
    <w:rsid w:val="00554AE9"/>
    <w:rsid w:val="00555588"/>
    <w:rsid w:val="0055564C"/>
    <w:rsid w:val="005560F4"/>
    <w:rsid w:val="005574FE"/>
    <w:rsid w:val="00561C03"/>
    <w:rsid w:val="00561CD0"/>
    <w:rsid w:val="005627CB"/>
    <w:rsid w:val="00563405"/>
    <w:rsid w:val="00565A78"/>
    <w:rsid w:val="005820D2"/>
    <w:rsid w:val="005974DE"/>
    <w:rsid w:val="005A38D9"/>
    <w:rsid w:val="005A60A9"/>
    <w:rsid w:val="005B3431"/>
    <w:rsid w:val="005B3B93"/>
    <w:rsid w:val="005C157A"/>
    <w:rsid w:val="005C2C71"/>
    <w:rsid w:val="005C3BC2"/>
    <w:rsid w:val="005C67C4"/>
    <w:rsid w:val="005E0589"/>
    <w:rsid w:val="005E1277"/>
    <w:rsid w:val="005E23F5"/>
    <w:rsid w:val="005E240A"/>
    <w:rsid w:val="005E3591"/>
    <w:rsid w:val="005F153B"/>
    <w:rsid w:val="005F3651"/>
    <w:rsid w:val="005F392B"/>
    <w:rsid w:val="005F5D14"/>
    <w:rsid w:val="005F78C5"/>
    <w:rsid w:val="00600046"/>
    <w:rsid w:val="00605CEB"/>
    <w:rsid w:val="006062BE"/>
    <w:rsid w:val="00606A9F"/>
    <w:rsid w:val="00621A82"/>
    <w:rsid w:val="00622EAE"/>
    <w:rsid w:val="00625330"/>
    <w:rsid w:val="006256DB"/>
    <w:rsid w:val="00633ABA"/>
    <w:rsid w:val="0063534D"/>
    <w:rsid w:val="006364C5"/>
    <w:rsid w:val="00636F96"/>
    <w:rsid w:val="00647147"/>
    <w:rsid w:val="0065390F"/>
    <w:rsid w:val="006540B1"/>
    <w:rsid w:val="00654E86"/>
    <w:rsid w:val="0065687D"/>
    <w:rsid w:val="00660631"/>
    <w:rsid w:val="00660916"/>
    <w:rsid w:val="00660B1E"/>
    <w:rsid w:val="00661533"/>
    <w:rsid w:val="00663E39"/>
    <w:rsid w:val="006654A6"/>
    <w:rsid w:val="0066738F"/>
    <w:rsid w:val="0067163D"/>
    <w:rsid w:val="006716E5"/>
    <w:rsid w:val="0067554B"/>
    <w:rsid w:val="00676263"/>
    <w:rsid w:val="00676F95"/>
    <w:rsid w:val="00677DA5"/>
    <w:rsid w:val="006917A9"/>
    <w:rsid w:val="00693745"/>
    <w:rsid w:val="00695423"/>
    <w:rsid w:val="006A120E"/>
    <w:rsid w:val="006B0B65"/>
    <w:rsid w:val="006B0B9A"/>
    <w:rsid w:val="006B48C4"/>
    <w:rsid w:val="006C09FC"/>
    <w:rsid w:val="006C456C"/>
    <w:rsid w:val="006C5CB3"/>
    <w:rsid w:val="006C639B"/>
    <w:rsid w:val="006D082D"/>
    <w:rsid w:val="006D2D48"/>
    <w:rsid w:val="006D35B9"/>
    <w:rsid w:val="006D41D7"/>
    <w:rsid w:val="006D6FD2"/>
    <w:rsid w:val="006E1395"/>
    <w:rsid w:val="006E1B15"/>
    <w:rsid w:val="006E365B"/>
    <w:rsid w:val="006E4104"/>
    <w:rsid w:val="006E52F0"/>
    <w:rsid w:val="006E536B"/>
    <w:rsid w:val="006E610C"/>
    <w:rsid w:val="006F0A72"/>
    <w:rsid w:val="006F0E51"/>
    <w:rsid w:val="006F1EEF"/>
    <w:rsid w:val="006F4DA1"/>
    <w:rsid w:val="006F58E8"/>
    <w:rsid w:val="006F60E6"/>
    <w:rsid w:val="007012E6"/>
    <w:rsid w:val="007257D4"/>
    <w:rsid w:val="007261D1"/>
    <w:rsid w:val="00727D18"/>
    <w:rsid w:val="00732A66"/>
    <w:rsid w:val="0074332B"/>
    <w:rsid w:val="00745967"/>
    <w:rsid w:val="0075194B"/>
    <w:rsid w:val="00752B6E"/>
    <w:rsid w:val="00755615"/>
    <w:rsid w:val="00756EC5"/>
    <w:rsid w:val="00756F39"/>
    <w:rsid w:val="007622A6"/>
    <w:rsid w:val="0076609E"/>
    <w:rsid w:val="00766543"/>
    <w:rsid w:val="00767EBD"/>
    <w:rsid w:val="00771348"/>
    <w:rsid w:val="00773AB1"/>
    <w:rsid w:val="00776A25"/>
    <w:rsid w:val="00781F62"/>
    <w:rsid w:val="00782F70"/>
    <w:rsid w:val="00785BEB"/>
    <w:rsid w:val="00786736"/>
    <w:rsid w:val="00792958"/>
    <w:rsid w:val="007A4FC0"/>
    <w:rsid w:val="007A52A0"/>
    <w:rsid w:val="007B0E0D"/>
    <w:rsid w:val="007B1797"/>
    <w:rsid w:val="007B408E"/>
    <w:rsid w:val="007B530D"/>
    <w:rsid w:val="007B5E16"/>
    <w:rsid w:val="007C308A"/>
    <w:rsid w:val="007C5269"/>
    <w:rsid w:val="007C5B5D"/>
    <w:rsid w:val="007C6E33"/>
    <w:rsid w:val="007D13A9"/>
    <w:rsid w:val="007D2A2A"/>
    <w:rsid w:val="007E1D08"/>
    <w:rsid w:val="007F11E0"/>
    <w:rsid w:val="007F470E"/>
    <w:rsid w:val="00802AC6"/>
    <w:rsid w:val="00802D03"/>
    <w:rsid w:val="00807002"/>
    <w:rsid w:val="008112EE"/>
    <w:rsid w:val="00813A44"/>
    <w:rsid w:val="00813A49"/>
    <w:rsid w:val="00816F6F"/>
    <w:rsid w:val="0082293E"/>
    <w:rsid w:val="008259CD"/>
    <w:rsid w:val="00826725"/>
    <w:rsid w:val="008323A8"/>
    <w:rsid w:val="008339D1"/>
    <w:rsid w:val="00833FCE"/>
    <w:rsid w:val="008341D1"/>
    <w:rsid w:val="0084492E"/>
    <w:rsid w:val="00844C42"/>
    <w:rsid w:val="00857E43"/>
    <w:rsid w:val="0086039E"/>
    <w:rsid w:val="0086403C"/>
    <w:rsid w:val="008646F2"/>
    <w:rsid w:val="008657FB"/>
    <w:rsid w:val="00871AD7"/>
    <w:rsid w:val="00874936"/>
    <w:rsid w:val="008775B0"/>
    <w:rsid w:val="0087789B"/>
    <w:rsid w:val="00877A85"/>
    <w:rsid w:val="008836B9"/>
    <w:rsid w:val="00886408"/>
    <w:rsid w:val="00890EAC"/>
    <w:rsid w:val="0089137A"/>
    <w:rsid w:val="00892C0C"/>
    <w:rsid w:val="00897E24"/>
    <w:rsid w:val="008B1D53"/>
    <w:rsid w:val="008B6B72"/>
    <w:rsid w:val="008B79DB"/>
    <w:rsid w:val="008D1D90"/>
    <w:rsid w:val="008E0D79"/>
    <w:rsid w:val="008E6FD3"/>
    <w:rsid w:val="008F05C5"/>
    <w:rsid w:val="008F09CB"/>
    <w:rsid w:val="008F133A"/>
    <w:rsid w:val="008F5584"/>
    <w:rsid w:val="008F700E"/>
    <w:rsid w:val="0090146B"/>
    <w:rsid w:val="00901586"/>
    <w:rsid w:val="00905CFE"/>
    <w:rsid w:val="00906EDB"/>
    <w:rsid w:val="009111B9"/>
    <w:rsid w:val="00913333"/>
    <w:rsid w:val="009140DF"/>
    <w:rsid w:val="00916FC7"/>
    <w:rsid w:val="00921191"/>
    <w:rsid w:val="00921311"/>
    <w:rsid w:val="00922850"/>
    <w:rsid w:val="00922B60"/>
    <w:rsid w:val="0093643A"/>
    <w:rsid w:val="00937103"/>
    <w:rsid w:val="0093713C"/>
    <w:rsid w:val="00937A63"/>
    <w:rsid w:val="009400F4"/>
    <w:rsid w:val="00943A88"/>
    <w:rsid w:val="00944056"/>
    <w:rsid w:val="009447B6"/>
    <w:rsid w:val="00950746"/>
    <w:rsid w:val="0095218D"/>
    <w:rsid w:val="00954104"/>
    <w:rsid w:val="009559C7"/>
    <w:rsid w:val="00955B54"/>
    <w:rsid w:val="009618FB"/>
    <w:rsid w:val="00971140"/>
    <w:rsid w:val="00975DBD"/>
    <w:rsid w:val="00980D8F"/>
    <w:rsid w:val="00984FFC"/>
    <w:rsid w:val="00986F8B"/>
    <w:rsid w:val="00987897"/>
    <w:rsid w:val="0099083C"/>
    <w:rsid w:val="0099117E"/>
    <w:rsid w:val="009A6C06"/>
    <w:rsid w:val="009B25B8"/>
    <w:rsid w:val="009C50E0"/>
    <w:rsid w:val="009D1814"/>
    <w:rsid w:val="009D1875"/>
    <w:rsid w:val="009D19E0"/>
    <w:rsid w:val="009D33C2"/>
    <w:rsid w:val="009D3588"/>
    <w:rsid w:val="009D379B"/>
    <w:rsid w:val="009D4E32"/>
    <w:rsid w:val="009E0A64"/>
    <w:rsid w:val="009E481C"/>
    <w:rsid w:val="009E74C3"/>
    <w:rsid w:val="009F7BAD"/>
    <w:rsid w:val="00A02E09"/>
    <w:rsid w:val="00A048BF"/>
    <w:rsid w:val="00A0638E"/>
    <w:rsid w:val="00A135C4"/>
    <w:rsid w:val="00A2240E"/>
    <w:rsid w:val="00A22E40"/>
    <w:rsid w:val="00A23B41"/>
    <w:rsid w:val="00A27551"/>
    <w:rsid w:val="00A31C3E"/>
    <w:rsid w:val="00A32461"/>
    <w:rsid w:val="00A361EA"/>
    <w:rsid w:val="00A37790"/>
    <w:rsid w:val="00A46287"/>
    <w:rsid w:val="00A46E1D"/>
    <w:rsid w:val="00A46F95"/>
    <w:rsid w:val="00A503CB"/>
    <w:rsid w:val="00A504EF"/>
    <w:rsid w:val="00A52485"/>
    <w:rsid w:val="00A53A7F"/>
    <w:rsid w:val="00A53BB6"/>
    <w:rsid w:val="00A54209"/>
    <w:rsid w:val="00A54D88"/>
    <w:rsid w:val="00A55F32"/>
    <w:rsid w:val="00A61A24"/>
    <w:rsid w:val="00A62C5E"/>
    <w:rsid w:val="00A6312A"/>
    <w:rsid w:val="00A6600F"/>
    <w:rsid w:val="00A737ED"/>
    <w:rsid w:val="00A73E16"/>
    <w:rsid w:val="00A74C04"/>
    <w:rsid w:val="00A754F2"/>
    <w:rsid w:val="00A8431E"/>
    <w:rsid w:val="00A87741"/>
    <w:rsid w:val="00A93993"/>
    <w:rsid w:val="00A9462F"/>
    <w:rsid w:val="00A94B5D"/>
    <w:rsid w:val="00AA2CD5"/>
    <w:rsid w:val="00AA4420"/>
    <w:rsid w:val="00AA7DF9"/>
    <w:rsid w:val="00AB034D"/>
    <w:rsid w:val="00AB07C2"/>
    <w:rsid w:val="00AB0C35"/>
    <w:rsid w:val="00AB1CED"/>
    <w:rsid w:val="00AB2A23"/>
    <w:rsid w:val="00AE2F95"/>
    <w:rsid w:val="00AE641E"/>
    <w:rsid w:val="00AE786F"/>
    <w:rsid w:val="00AF2D97"/>
    <w:rsid w:val="00B00FD5"/>
    <w:rsid w:val="00B0122C"/>
    <w:rsid w:val="00B02023"/>
    <w:rsid w:val="00B02F53"/>
    <w:rsid w:val="00B0309F"/>
    <w:rsid w:val="00B14C97"/>
    <w:rsid w:val="00B1764A"/>
    <w:rsid w:val="00B1799C"/>
    <w:rsid w:val="00B26CFE"/>
    <w:rsid w:val="00B3282C"/>
    <w:rsid w:val="00B337E3"/>
    <w:rsid w:val="00B33A48"/>
    <w:rsid w:val="00B356EA"/>
    <w:rsid w:val="00B35931"/>
    <w:rsid w:val="00B36C4F"/>
    <w:rsid w:val="00B41755"/>
    <w:rsid w:val="00B47495"/>
    <w:rsid w:val="00B479B9"/>
    <w:rsid w:val="00B567AB"/>
    <w:rsid w:val="00B63DD7"/>
    <w:rsid w:val="00B749E3"/>
    <w:rsid w:val="00B77A54"/>
    <w:rsid w:val="00B81FAE"/>
    <w:rsid w:val="00B93839"/>
    <w:rsid w:val="00B93CF3"/>
    <w:rsid w:val="00B940C1"/>
    <w:rsid w:val="00B95516"/>
    <w:rsid w:val="00BA474E"/>
    <w:rsid w:val="00BA4D83"/>
    <w:rsid w:val="00BA6615"/>
    <w:rsid w:val="00BB760E"/>
    <w:rsid w:val="00BC233F"/>
    <w:rsid w:val="00BC2CFB"/>
    <w:rsid w:val="00BD179D"/>
    <w:rsid w:val="00BD3AD7"/>
    <w:rsid w:val="00BE1312"/>
    <w:rsid w:val="00BE264D"/>
    <w:rsid w:val="00BE3686"/>
    <w:rsid w:val="00BE6C14"/>
    <w:rsid w:val="00BF0928"/>
    <w:rsid w:val="00BF1E61"/>
    <w:rsid w:val="00BF2EB5"/>
    <w:rsid w:val="00BF35DC"/>
    <w:rsid w:val="00C039ED"/>
    <w:rsid w:val="00C04B56"/>
    <w:rsid w:val="00C16100"/>
    <w:rsid w:val="00C16B6F"/>
    <w:rsid w:val="00C212D1"/>
    <w:rsid w:val="00C21864"/>
    <w:rsid w:val="00C24FFE"/>
    <w:rsid w:val="00C258B6"/>
    <w:rsid w:val="00C26389"/>
    <w:rsid w:val="00C268E3"/>
    <w:rsid w:val="00C26FD5"/>
    <w:rsid w:val="00C27333"/>
    <w:rsid w:val="00C27752"/>
    <w:rsid w:val="00C27CB3"/>
    <w:rsid w:val="00C33F2B"/>
    <w:rsid w:val="00C36D31"/>
    <w:rsid w:val="00C36DF9"/>
    <w:rsid w:val="00C4282B"/>
    <w:rsid w:val="00C4450A"/>
    <w:rsid w:val="00C44F43"/>
    <w:rsid w:val="00C45570"/>
    <w:rsid w:val="00C478DF"/>
    <w:rsid w:val="00C5594A"/>
    <w:rsid w:val="00C56897"/>
    <w:rsid w:val="00C664DF"/>
    <w:rsid w:val="00C76292"/>
    <w:rsid w:val="00C779C5"/>
    <w:rsid w:val="00C8101A"/>
    <w:rsid w:val="00C8436D"/>
    <w:rsid w:val="00C860DA"/>
    <w:rsid w:val="00C923C8"/>
    <w:rsid w:val="00C93E4C"/>
    <w:rsid w:val="00C94E34"/>
    <w:rsid w:val="00C96F99"/>
    <w:rsid w:val="00CA2683"/>
    <w:rsid w:val="00CA37B6"/>
    <w:rsid w:val="00CA6655"/>
    <w:rsid w:val="00CB3CA2"/>
    <w:rsid w:val="00CB4E75"/>
    <w:rsid w:val="00CB6024"/>
    <w:rsid w:val="00CC5272"/>
    <w:rsid w:val="00CC6CE7"/>
    <w:rsid w:val="00CD3FCB"/>
    <w:rsid w:val="00CD40B8"/>
    <w:rsid w:val="00CD4A18"/>
    <w:rsid w:val="00CD5ECD"/>
    <w:rsid w:val="00CD6640"/>
    <w:rsid w:val="00CE058A"/>
    <w:rsid w:val="00CE2941"/>
    <w:rsid w:val="00CE6C7A"/>
    <w:rsid w:val="00CE6FD0"/>
    <w:rsid w:val="00CF1EC9"/>
    <w:rsid w:val="00CF2DEC"/>
    <w:rsid w:val="00CF70A7"/>
    <w:rsid w:val="00CF7E81"/>
    <w:rsid w:val="00D00DA6"/>
    <w:rsid w:val="00D0367D"/>
    <w:rsid w:val="00D05B12"/>
    <w:rsid w:val="00D073F5"/>
    <w:rsid w:val="00D14407"/>
    <w:rsid w:val="00D16218"/>
    <w:rsid w:val="00D34F27"/>
    <w:rsid w:val="00D3624E"/>
    <w:rsid w:val="00D37B13"/>
    <w:rsid w:val="00D406EE"/>
    <w:rsid w:val="00D40B84"/>
    <w:rsid w:val="00D46F0D"/>
    <w:rsid w:val="00D5283C"/>
    <w:rsid w:val="00D549ED"/>
    <w:rsid w:val="00D553A9"/>
    <w:rsid w:val="00D5554A"/>
    <w:rsid w:val="00D6276F"/>
    <w:rsid w:val="00D62A8D"/>
    <w:rsid w:val="00D635A8"/>
    <w:rsid w:val="00D64296"/>
    <w:rsid w:val="00D70310"/>
    <w:rsid w:val="00D74156"/>
    <w:rsid w:val="00D76120"/>
    <w:rsid w:val="00D7691B"/>
    <w:rsid w:val="00D80C5C"/>
    <w:rsid w:val="00D80EA1"/>
    <w:rsid w:val="00D80EE1"/>
    <w:rsid w:val="00D82848"/>
    <w:rsid w:val="00D8458F"/>
    <w:rsid w:val="00D84F28"/>
    <w:rsid w:val="00DA4C12"/>
    <w:rsid w:val="00DA7722"/>
    <w:rsid w:val="00DB1C24"/>
    <w:rsid w:val="00DB2F00"/>
    <w:rsid w:val="00DB3CA4"/>
    <w:rsid w:val="00DB54C2"/>
    <w:rsid w:val="00DB62AE"/>
    <w:rsid w:val="00DB7439"/>
    <w:rsid w:val="00DC1E9E"/>
    <w:rsid w:val="00DE2880"/>
    <w:rsid w:val="00DE621F"/>
    <w:rsid w:val="00DF1691"/>
    <w:rsid w:val="00DF499D"/>
    <w:rsid w:val="00DF77D0"/>
    <w:rsid w:val="00E00D6D"/>
    <w:rsid w:val="00E14694"/>
    <w:rsid w:val="00E463CA"/>
    <w:rsid w:val="00E47A88"/>
    <w:rsid w:val="00E51105"/>
    <w:rsid w:val="00E53C6F"/>
    <w:rsid w:val="00E5734C"/>
    <w:rsid w:val="00E65239"/>
    <w:rsid w:val="00E70BFB"/>
    <w:rsid w:val="00E735E8"/>
    <w:rsid w:val="00E73957"/>
    <w:rsid w:val="00E74E80"/>
    <w:rsid w:val="00E76B30"/>
    <w:rsid w:val="00E80E49"/>
    <w:rsid w:val="00E82EAB"/>
    <w:rsid w:val="00E830A4"/>
    <w:rsid w:val="00E83D0B"/>
    <w:rsid w:val="00E841EA"/>
    <w:rsid w:val="00E85137"/>
    <w:rsid w:val="00E97C60"/>
    <w:rsid w:val="00EA0FDA"/>
    <w:rsid w:val="00EA1931"/>
    <w:rsid w:val="00EA2168"/>
    <w:rsid w:val="00EA5D48"/>
    <w:rsid w:val="00EA71FC"/>
    <w:rsid w:val="00EB09DA"/>
    <w:rsid w:val="00EB1C35"/>
    <w:rsid w:val="00EB4E29"/>
    <w:rsid w:val="00EB4EEC"/>
    <w:rsid w:val="00EB5311"/>
    <w:rsid w:val="00EB5C8B"/>
    <w:rsid w:val="00EB63A2"/>
    <w:rsid w:val="00EC1A96"/>
    <w:rsid w:val="00EC77D0"/>
    <w:rsid w:val="00ED0BFB"/>
    <w:rsid w:val="00ED14C2"/>
    <w:rsid w:val="00ED4031"/>
    <w:rsid w:val="00EE1137"/>
    <w:rsid w:val="00EE3320"/>
    <w:rsid w:val="00EE334D"/>
    <w:rsid w:val="00EE793B"/>
    <w:rsid w:val="00EF12AE"/>
    <w:rsid w:val="00EF1C7A"/>
    <w:rsid w:val="00EF6669"/>
    <w:rsid w:val="00F02DAD"/>
    <w:rsid w:val="00F050AE"/>
    <w:rsid w:val="00F17BC1"/>
    <w:rsid w:val="00F20CB4"/>
    <w:rsid w:val="00F24A9D"/>
    <w:rsid w:val="00F259F8"/>
    <w:rsid w:val="00F26790"/>
    <w:rsid w:val="00F27198"/>
    <w:rsid w:val="00F31443"/>
    <w:rsid w:val="00F34543"/>
    <w:rsid w:val="00F40103"/>
    <w:rsid w:val="00F435B2"/>
    <w:rsid w:val="00F45ADF"/>
    <w:rsid w:val="00F5296E"/>
    <w:rsid w:val="00F53F5C"/>
    <w:rsid w:val="00F55F91"/>
    <w:rsid w:val="00F60C2C"/>
    <w:rsid w:val="00F627D6"/>
    <w:rsid w:val="00F63223"/>
    <w:rsid w:val="00F669FB"/>
    <w:rsid w:val="00F7009A"/>
    <w:rsid w:val="00F71CD3"/>
    <w:rsid w:val="00F76CC3"/>
    <w:rsid w:val="00F817EB"/>
    <w:rsid w:val="00F85DAC"/>
    <w:rsid w:val="00F86087"/>
    <w:rsid w:val="00F918DD"/>
    <w:rsid w:val="00F92F1A"/>
    <w:rsid w:val="00F949BA"/>
    <w:rsid w:val="00F965E9"/>
    <w:rsid w:val="00FA013F"/>
    <w:rsid w:val="00FA0447"/>
    <w:rsid w:val="00FA29D4"/>
    <w:rsid w:val="00FA65A9"/>
    <w:rsid w:val="00FB0F51"/>
    <w:rsid w:val="00FB3431"/>
    <w:rsid w:val="00FC44AD"/>
    <w:rsid w:val="00FC5580"/>
    <w:rsid w:val="00FC5840"/>
    <w:rsid w:val="00FC72EB"/>
    <w:rsid w:val="00FD0516"/>
    <w:rsid w:val="00FD0DF7"/>
    <w:rsid w:val="00FD1E12"/>
    <w:rsid w:val="00FD2BD2"/>
    <w:rsid w:val="00FD4383"/>
    <w:rsid w:val="00FD5A73"/>
    <w:rsid w:val="00FE1F90"/>
    <w:rsid w:val="00FF1461"/>
    <w:rsid w:val="00FF16A1"/>
    <w:rsid w:val="00FF2439"/>
    <w:rsid w:val="00FF4F87"/>
    <w:rsid w:val="00FF5E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54AE1"/>
  <w15:chartTrackingRefBased/>
  <w15:docId w15:val="{BDE43FCA-6920-4218-B1B5-0EDCA1923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3BC2"/>
    <w:pPr>
      <w:spacing w:after="0" w:line="240" w:lineRule="auto"/>
    </w:pPr>
    <w:rPr>
      <w:rFonts w:ascii="Times New Roman" w:eastAsia="Times New Roman" w:hAnsi="Times New Roman" w:cs="Times New Roman"/>
      <w:spacing w:val="-3"/>
      <w:sz w:val="24"/>
      <w:szCs w:val="20"/>
      <w:lang w:val="es-ES_tradnl"/>
    </w:rPr>
  </w:style>
  <w:style w:type="paragraph" w:styleId="Heading1">
    <w:name w:val="heading 1"/>
    <w:aliases w:val="Heading 1.I"/>
    <w:next w:val="Normal"/>
    <w:link w:val="Heading1Char"/>
    <w:qFormat/>
    <w:rsid w:val="005C3BC2"/>
    <w:pPr>
      <w:keepNext/>
      <w:numPr>
        <w:numId w:val="1"/>
      </w:numPr>
      <w:spacing w:before="240" w:after="240" w:line="240" w:lineRule="auto"/>
      <w:jc w:val="center"/>
      <w:outlineLvl w:val="0"/>
    </w:pPr>
    <w:rPr>
      <w:rFonts w:ascii="Times New Roman Bold" w:eastAsia="Times New Roman" w:hAnsi="Times New Roman Bold" w:cs="Times New Roman"/>
      <w:b/>
      <w:smallCaps/>
      <w:noProof/>
      <w:sz w:val="28"/>
      <w:szCs w:val="20"/>
    </w:rPr>
  </w:style>
  <w:style w:type="paragraph" w:styleId="Heading4">
    <w:name w:val="heading 4"/>
    <w:aliases w:val="Heading 4.a"/>
    <w:next w:val="Normal"/>
    <w:link w:val="Heading4Char"/>
    <w:qFormat/>
    <w:rsid w:val="005C3BC2"/>
    <w:pPr>
      <w:keepNext/>
      <w:numPr>
        <w:ilvl w:val="2"/>
        <w:numId w:val="1"/>
      </w:numPr>
      <w:tabs>
        <w:tab w:val="left" w:pos="1440"/>
      </w:tabs>
      <w:spacing w:before="120" w:after="120" w:line="240" w:lineRule="auto"/>
      <w:jc w:val="both"/>
      <w:outlineLvl w:val="3"/>
    </w:pPr>
    <w:rPr>
      <w:rFonts w:ascii="Times New Roman Bold" w:eastAsia="Times New Roman" w:hAnsi="Times New Roman Bold" w:cs="Times New Roman"/>
      <w:b/>
      <w:noProof/>
      <w:sz w:val="24"/>
      <w:szCs w:val="20"/>
    </w:rPr>
  </w:style>
  <w:style w:type="paragraph" w:styleId="Heading5">
    <w:name w:val="heading 5"/>
    <w:aliases w:val="Heading 5.(i)"/>
    <w:next w:val="Normal"/>
    <w:link w:val="Heading5Char"/>
    <w:uiPriority w:val="9"/>
    <w:qFormat/>
    <w:rsid w:val="005C3BC2"/>
    <w:pPr>
      <w:keepNext/>
      <w:numPr>
        <w:ilvl w:val="4"/>
        <w:numId w:val="7"/>
      </w:numPr>
      <w:spacing w:before="120" w:after="120" w:line="240" w:lineRule="auto"/>
      <w:jc w:val="both"/>
      <w:outlineLvl w:val="4"/>
    </w:pPr>
    <w:rPr>
      <w:rFonts w:ascii="Times New Roman Bold" w:eastAsia="Times New Roman" w:hAnsi="Times New Roman Bold" w:cs="Times New Roman"/>
      <w:b/>
      <w:noProof/>
      <w:sz w:val="24"/>
      <w:szCs w:val="20"/>
    </w:rPr>
  </w:style>
  <w:style w:type="paragraph" w:styleId="Heading6">
    <w:name w:val="heading 6"/>
    <w:basedOn w:val="Normal"/>
    <w:next w:val="Normal"/>
    <w:link w:val="Heading6Char"/>
    <w:uiPriority w:val="9"/>
    <w:semiHidden/>
    <w:unhideWhenUsed/>
    <w:qFormat/>
    <w:rsid w:val="005C3BC2"/>
    <w:pPr>
      <w:keepNext/>
      <w:keepLines/>
      <w:numPr>
        <w:ilvl w:val="5"/>
        <w:numId w:val="7"/>
      </w:numPr>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semiHidden/>
    <w:unhideWhenUsed/>
    <w:qFormat/>
    <w:rsid w:val="005C3BC2"/>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5C3BC2"/>
    <w:pPr>
      <w:keepNext/>
      <w:keepLines/>
      <w:numPr>
        <w:ilvl w:val="7"/>
        <w:numId w:val="7"/>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5C3BC2"/>
    <w:pPr>
      <w:keepNext/>
      <w:keepLines/>
      <w:numPr>
        <w:ilvl w:val="8"/>
        <w:numId w:val="7"/>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
    <w:basedOn w:val="DefaultParagraphFont"/>
    <w:link w:val="Heading1"/>
    <w:rsid w:val="005C3BC2"/>
    <w:rPr>
      <w:rFonts w:ascii="Times New Roman Bold" w:eastAsia="Times New Roman" w:hAnsi="Times New Roman Bold" w:cs="Times New Roman"/>
      <w:b/>
      <w:smallCaps/>
      <w:noProof/>
      <w:sz w:val="28"/>
      <w:szCs w:val="20"/>
    </w:rPr>
  </w:style>
  <w:style w:type="character" w:customStyle="1" w:styleId="Heading4Char">
    <w:name w:val="Heading 4 Char"/>
    <w:aliases w:val="Heading 4.a Char"/>
    <w:basedOn w:val="DefaultParagraphFont"/>
    <w:link w:val="Heading4"/>
    <w:rsid w:val="005C3BC2"/>
    <w:rPr>
      <w:rFonts w:ascii="Times New Roman Bold" w:eastAsia="Times New Roman" w:hAnsi="Times New Roman Bold" w:cs="Times New Roman"/>
      <w:b/>
      <w:noProof/>
      <w:sz w:val="24"/>
      <w:szCs w:val="20"/>
    </w:rPr>
  </w:style>
  <w:style w:type="character" w:customStyle="1" w:styleId="Heading5Char">
    <w:name w:val="Heading 5 Char"/>
    <w:aliases w:val="Heading 5.(i) Char"/>
    <w:basedOn w:val="DefaultParagraphFont"/>
    <w:link w:val="Heading5"/>
    <w:rsid w:val="005C3BC2"/>
    <w:rPr>
      <w:rFonts w:ascii="Times New Roman Bold" w:eastAsia="Times New Roman" w:hAnsi="Times New Roman Bold" w:cs="Times New Roman"/>
      <w:b/>
      <w:noProof/>
      <w:sz w:val="24"/>
      <w:szCs w:val="20"/>
    </w:rPr>
  </w:style>
  <w:style w:type="character" w:customStyle="1" w:styleId="Heading6Char">
    <w:name w:val="Heading 6 Char"/>
    <w:basedOn w:val="DefaultParagraphFont"/>
    <w:link w:val="Heading6"/>
    <w:uiPriority w:val="9"/>
    <w:semiHidden/>
    <w:rsid w:val="005C3BC2"/>
    <w:rPr>
      <w:rFonts w:asciiTheme="majorHAnsi" w:eastAsiaTheme="majorEastAsia" w:hAnsiTheme="majorHAnsi" w:cstheme="majorBidi"/>
      <w:i/>
      <w:iCs/>
      <w:color w:val="1F3763" w:themeColor="accent1" w:themeShade="7F"/>
      <w:spacing w:val="-3"/>
      <w:sz w:val="24"/>
      <w:szCs w:val="20"/>
      <w:lang w:val="es-ES_tradnl"/>
    </w:rPr>
  </w:style>
  <w:style w:type="character" w:customStyle="1" w:styleId="Heading7Char">
    <w:name w:val="Heading 7 Char"/>
    <w:basedOn w:val="DefaultParagraphFont"/>
    <w:link w:val="Heading7"/>
    <w:uiPriority w:val="9"/>
    <w:semiHidden/>
    <w:rsid w:val="005C3BC2"/>
    <w:rPr>
      <w:rFonts w:asciiTheme="majorHAnsi" w:eastAsiaTheme="majorEastAsia" w:hAnsiTheme="majorHAnsi" w:cstheme="majorBidi"/>
      <w:i/>
      <w:iCs/>
      <w:color w:val="404040" w:themeColor="text1" w:themeTint="BF"/>
      <w:spacing w:val="-3"/>
      <w:sz w:val="24"/>
      <w:szCs w:val="20"/>
      <w:lang w:val="es-ES_tradnl"/>
    </w:rPr>
  </w:style>
  <w:style w:type="character" w:customStyle="1" w:styleId="Heading8Char">
    <w:name w:val="Heading 8 Char"/>
    <w:basedOn w:val="DefaultParagraphFont"/>
    <w:link w:val="Heading8"/>
    <w:uiPriority w:val="9"/>
    <w:semiHidden/>
    <w:rsid w:val="005C3BC2"/>
    <w:rPr>
      <w:rFonts w:asciiTheme="majorHAnsi" w:eastAsiaTheme="majorEastAsia" w:hAnsiTheme="majorHAnsi" w:cstheme="majorBidi"/>
      <w:color w:val="404040" w:themeColor="text1" w:themeTint="BF"/>
      <w:spacing w:val="-3"/>
      <w:sz w:val="20"/>
      <w:szCs w:val="20"/>
      <w:lang w:val="es-ES_tradnl"/>
    </w:rPr>
  </w:style>
  <w:style w:type="character" w:customStyle="1" w:styleId="Heading9Char">
    <w:name w:val="Heading 9 Char"/>
    <w:basedOn w:val="DefaultParagraphFont"/>
    <w:link w:val="Heading9"/>
    <w:uiPriority w:val="9"/>
    <w:semiHidden/>
    <w:rsid w:val="005C3BC2"/>
    <w:rPr>
      <w:rFonts w:asciiTheme="majorHAnsi" w:eastAsiaTheme="majorEastAsia" w:hAnsiTheme="majorHAnsi" w:cstheme="majorBidi"/>
      <w:i/>
      <w:iCs/>
      <w:color w:val="404040" w:themeColor="text1" w:themeTint="BF"/>
      <w:spacing w:val="-3"/>
      <w:sz w:val="20"/>
      <w:szCs w:val="20"/>
      <w:lang w:val="es-ES_tradnl"/>
    </w:rPr>
  </w:style>
  <w:style w:type="paragraph" w:customStyle="1" w:styleId="ColorfulList-Accent11">
    <w:name w:val="Colorful List - Accent 11"/>
    <w:basedOn w:val="Normal"/>
    <w:link w:val="ColorfulList-Accent1Char"/>
    <w:uiPriority w:val="34"/>
    <w:qFormat/>
    <w:rsid w:val="005C3BC2"/>
    <w:pPr>
      <w:ind w:left="720"/>
      <w:contextualSpacing/>
    </w:pPr>
    <w:rPr>
      <w:rFonts w:ascii="Calibri" w:eastAsia="Calibri" w:hAnsi="Calibri"/>
      <w:spacing w:val="0"/>
      <w:sz w:val="22"/>
      <w:szCs w:val="22"/>
      <w:lang w:val="x-none" w:eastAsia="x-none"/>
    </w:rPr>
  </w:style>
  <w:style w:type="paragraph" w:styleId="Title">
    <w:name w:val="Title"/>
    <w:basedOn w:val="Normal"/>
    <w:link w:val="TitleChar"/>
    <w:qFormat/>
    <w:rsid w:val="005C3BC2"/>
    <w:pPr>
      <w:tabs>
        <w:tab w:val="left" w:pos="1440"/>
        <w:tab w:val="left" w:pos="3060"/>
      </w:tabs>
      <w:jc w:val="center"/>
      <w:outlineLvl w:val="0"/>
    </w:pPr>
    <w:rPr>
      <w:spacing w:val="0"/>
      <w:lang w:val="x-none" w:eastAsia="x-none"/>
    </w:rPr>
  </w:style>
  <w:style w:type="character" w:customStyle="1" w:styleId="TitleChar">
    <w:name w:val="Title Char"/>
    <w:basedOn w:val="DefaultParagraphFont"/>
    <w:link w:val="Title"/>
    <w:rsid w:val="005C3BC2"/>
    <w:rPr>
      <w:rFonts w:ascii="Times New Roman" w:eastAsia="Times New Roman" w:hAnsi="Times New Roman" w:cs="Times New Roman"/>
      <w:sz w:val="24"/>
      <w:szCs w:val="20"/>
      <w:lang w:val="x-none" w:eastAsia="x-none"/>
    </w:rPr>
  </w:style>
  <w:style w:type="paragraph" w:customStyle="1" w:styleId="Newpage">
    <w:name w:val="Newpage"/>
    <w:basedOn w:val="Normal"/>
    <w:rsid w:val="005C3BC2"/>
    <w:pPr>
      <w:tabs>
        <w:tab w:val="left" w:pos="1440"/>
        <w:tab w:val="left" w:pos="3060"/>
      </w:tabs>
      <w:jc w:val="center"/>
    </w:pPr>
    <w:rPr>
      <w:rFonts w:cs="Arial"/>
      <w:b/>
      <w:smallCaps/>
    </w:rPr>
  </w:style>
  <w:style w:type="paragraph" w:styleId="BodyText">
    <w:name w:val="Body Text"/>
    <w:aliases w:val=" Car"/>
    <w:basedOn w:val="Normal"/>
    <w:link w:val="BodyTextChar"/>
    <w:rsid w:val="005C3BC2"/>
    <w:pPr>
      <w:tabs>
        <w:tab w:val="left" w:pos="3060"/>
      </w:tabs>
      <w:jc w:val="center"/>
    </w:pPr>
    <w:rPr>
      <w:spacing w:val="0"/>
      <w:lang w:val="x-none" w:eastAsia="x-none"/>
    </w:rPr>
  </w:style>
  <w:style w:type="character" w:customStyle="1" w:styleId="BodyTextChar">
    <w:name w:val="Body Text Char"/>
    <w:aliases w:val=" Car Char"/>
    <w:basedOn w:val="DefaultParagraphFont"/>
    <w:link w:val="BodyText"/>
    <w:rsid w:val="005C3BC2"/>
    <w:rPr>
      <w:rFonts w:ascii="Times New Roman" w:eastAsia="Times New Roman" w:hAnsi="Times New Roman" w:cs="Times New Roman"/>
      <w:sz w:val="24"/>
      <w:szCs w:val="20"/>
      <w:lang w:val="x-none" w:eastAsia="x-none"/>
    </w:rPr>
  </w:style>
  <w:style w:type="character" w:customStyle="1" w:styleId="ColorfulList-Accent1Char">
    <w:name w:val="Colorful List - Accent 1 Char"/>
    <w:link w:val="ColorfulList-Accent11"/>
    <w:uiPriority w:val="34"/>
    <w:rsid w:val="005C3BC2"/>
    <w:rPr>
      <w:rFonts w:ascii="Calibri" w:eastAsia="Calibri" w:hAnsi="Calibri" w:cs="Times New Roman"/>
      <w:lang w:val="x-none" w:eastAsia="x-none"/>
    </w:rPr>
  </w:style>
  <w:style w:type="paragraph" w:styleId="FootnoteText">
    <w:name w:val="footnote text"/>
    <w:aliases w:val="fn,Texto nota pie IIRSA,Car,footnote,single space,FOOTNOTES,Footnote Text Char Char,ft,Footnote,foottextfra,F,Footnote Text Char Char Char Char Char Char Char,Footnote Text Char Char Char Char Char,footnote text,texto de nota al pie,Texto"/>
    <w:basedOn w:val="Normal"/>
    <w:link w:val="FootnoteTextChar"/>
    <w:unhideWhenUsed/>
    <w:qFormat/>
    <w:rsid w:val="005C3BC2"/>
    <w:pPr>
      <w:keepNext/>
      <w:keepLines/>
      <w:spacing w:after="120"/>
      <w:ind w:left="288" w:hanging="288"/>
      <w:jc w:val="both"/>
    </w:pPr>
    <w:rPr>
      <w:sz w:val="20"/>
    </w:rPr>
  </w:style>
  <w:style w:type="character" w:customStyle="1" w:styleId="FootnoteTextChar">
    <w:name w:val="Footnote Text Char"/>
    <w:aliases w:val="fn Char,Texto nota pie IIRSA Char,Car Char,footnote Char,single space Char,FOOTNOTES Char,Footnote Text Char Char Char,ft Char,Footnote Char,foottextfra Char,F Char,Footnote Text Char Char Char Char Char Char Char Char,Texto Char"/>
    <w:basedOn w:val="DefaultParagraphFont"/>
    <w:link w:val="FootnoteText"/>
    <w:rsid w:val="005C3BC2"/>
    <w:rPr>
      <w:rFonts w:ascii="Times New Roman" w:eastAsia="Times New Roman" w:hAnsi="Times New Roman" w:cs="Times New Roman"/>
      <w:spacing w:val="-3"/>
      <w:sz w:val="20"/>
      <w:szCs w:val="20"/>
      <w:lang w:val="es-ES_tradnl"/>
    </w:rPr>
  </w:style>
  <w:style w:type="character" w:styleId="FootnoteReference">
    <w:name w:val="footnote reference"/>
    <w:aliases w:val="Ref. de nota al pie.,FC,ftref,16 Point,Superscript 6 Point,Ref,de nota al pie,Style 24,titulo 2,pie pddes,Stinking Styles11,referencia nota al pie,Texto de nota al pie,Footnote symbol,BVI fnr,Footnote Reference.SES,Знак сноски-FN,fr"/>
    <w:basedOn w:val="DefaultParagraphFont"/>
    <w:link w:val="Char2"/>
    <w:uiPriority w:val="99"/>
    <w:unhideWhenUsed/>
    <w:qFormat/>
    <w:rsid w:val="005C3BC2"/>
    <w:rPr>
      <w:vertAlign w:val="superscript"/>
    </w:rPr>
  </w:style>
  <w:style w:type="paragraph" w:styleId="Header">
    <w:name w:val="header"/>
    <w:basedOn w:val="Normal"/>
    <w:link w:val="HeaderChar"/>
    <w:uiPriority w:val="99"/>
    <w:unhideWhenUsed/>
    <w:rsid w:val="005C3BC2"/>
    <w:pPr>
      <w:tabs>
        <w:tab w:val="center" w:pos="4680"/>
        <w:tab w:val="right" w:pos="9360"/>
      </w:tabs>
    </w:pPr>
  </w:style>
  <w:style w:type="character" w:customStyle="1" w:styleId="HeaderChar">
    <w:name w:val="Header Char"/>
    <w:basedOn w:val="DefaultParagraphFont"/>
    <w:link w:val="Header"/>
    <w:uiPriority w:val="99"/>
    <w:rsid w:val="005C3BC2"/>
    <w:rPr>
      <w:rFonts w:ascii="Times New Roman" w:eastAsia="Times New Roman" w:hAnsi="Times New Roman" w:cs="Times New Roman"/>
      <w:spacing w:val="-3"/>
      <w:sz w:val="24"/>
      <w:szCs w:val="20"/>
      <w:lang w:val="es-ES_tradnl"/>
    </w:rPr>
  </w:style>
  <w:style w:type="paragraph" w:styleId="Footer">
    <w:name w:val="footer"/>
    <w:basedOn w:val="Normal"/>
    <w:link w:val="FooterChar"/>
    <w:uiPriority w:val="99"/>
    <w:unhideWhenUsed/>
    <w:rsid w:val="005C3BC2"/>
    <w:pPr>
      <w:tabs>
        <w:tab w:val="center" w:pos="4680"/>
        <w:tab w:val="right" w:pos="9360"/>
      </w:tabs>
    </w:pPr>
  </w:style>
  <w:style w:type="character" w:customStyle="1" w:styleId="FooterChar">
    <w:name w:val="Footer Char"/>
    <w:basedOn w:val="DefaultParagraphFont"/>
    <w:link w:val="Footer"/>
    <w:uiPriority w:val="99"/>
    <w:rsid w:val="005C3BC2"/>
    <w:rPr>
      <w:rFonts w:ascii="Times New Roman" w:eastAsia="Times New Roman" w:hAnsi="Times New Roman" w:cs="Times New Roman"/>
      <w:spacing w:val="-3"/>
      <w:sz w:val="24"/>
      <w:szCs w:val="20"/>
      <w:lang w:val="es-ES_tradnl"/>
    </w:rPr>
  </w:style>
  <w:style w:type="paragraph" w:customStyle="1" w:styleId="heading-b24">
    <w:name w:val="heading-b24"/>
    <w:basedOn w:val="Normal"/>
    <w:next w:val="Normal"/>
    <w:rsid w:val="005C3BC2"/>
    <w:pPr>
      <w:spacing w:after="600"/>
      <w:jc w:val="center"/>
    </w:pPr>
    <w:rPr>
      <w:rFonts w:ascii="Times New Roman Bold" w:hAnsi="Times New Roman Bold"/>
      <w:b/>
      <w:smallCaps/>
    </w:rPr>
  </w:style>
  <w:style w:type="paragraph" w:customStyle="1" w:styleId="AutoNumpara">
    <w:name w:val="AutoNumpara"/>
    <w:basedOn w:val="BodyTextIndent"/>
    <w:rsid w:val="005C3BC2"/>
    <w:pPr>
      <w:numPr>
        <w:ilvl w:val="1"/>
        <w:numId w:val="1"/>
      </w:numPr>
      <w:spacing w:before="120"/>
      <w:jc w:val="both"/>
    </w:pPr>
    <w:rPr>
      <w:noProof/>
      <w:spacing w:val="-2"/>
      <w:lang w:eastAsia="x-none"/>
    </w:rPr>
  </w:style>
  <w:style w:type="paragraph" w:styleId="BodyTextIndent">
    <w:name w:val="Body Text Indent"/>
    <w:basedOn w:val="Normal"/>
    <w:link w:val="BodyTextIndentChar"/>
    <w:uiPriority w:val="99"/>
    <w:semiHidden/>
    <w:unhideWhenUsed/>
    <w:rsid w:val="005C3BC2"/>
    <w:pPr>
      <w:spacing w:after="120"/>
      <w:ind w:left="360"/>
    </w:pPr>
  </w:style>
  <w:style w:type="character" w:customStyle="1" w:styleId="BodyTextIndentChar">
    <w:name w:val="Body Text Indent Char"/>
    <w:basedOn w:val="DefaultParagraphFont"/>
    <w:link w:val="BodyTextIndent"/>
    <w:uiPriority w:val="99"/>
    <w:semiHidden/>
    <w:rsid w:val="005C3BC2"/>
    <w:rPr>
      <w:rFonts w:ascii="Times New Roman" w:eastAsia="Times New Roman" w:hAnsi="Times New Roman" w:cs="Times New Roman"/>
      <w:spacing w:val="-3"/>
      <w:sz w:val="24"/>
      <w:szCs w:val="20"/>
      <w:lang w:val="es-ES_tradnl"/>
    </w:rPr>
  </w:style>
  <w:style w:type="paragraph" w:styleId="ListParagraph">
    <w:name w:val="List Paragraph"/>
    <w:aliases w:val="Fundamentacion,Lista 123,List Paragraph1,Cuadro 2-1,Párrafo de lista2,Numbered Paragraph,Main numbered paragraph,Bullets,References,Numbered List Paragraph,123 List Paragraph,List Paragraph (numbered (a)),List Paragraph nowy"/>
    <w:basedOn w:val="Normal"/>
    <w:link w:val="ListParagraphChar"/>
    <w:uiPriority w:val="34"/>
    <w:qFormat/>
    <w:rsid w:val="005C3BC2"/>
    <w:pPr>
      <w:ind w:left="720"/>
      <w:contextualSpacing/>
    </w:pPr>
  </w:style>
  <w:style w:type="paragraph" w:styleId="BalloonText">
    <w:name w:val="Balloon Text"/>
    <w:basedOn w:val="Normal"/>
    <w:link w:val="BalloonTextChar"/>
    <w:uiPriority w:val="99"/>
    <w:semiHidden/>
    <w:unhideWhenUsed/>
    <w:rsid w:val="005C3BC2"/>
    <w:rPr>
      <w:rFonts w:ascii="Tahoma" w:hAnsi="Tahoma" w:cs="Tahoma"/>
      <w:sz w:val="16"/>
      <w:szCs w:val="16"/>
    </w:rPr>
  </w:style>
  <w:style w:type="character" w:customStyle="1" w:styleId="BalloonTextChar">
    <w:name w:val="Balloon Text Char"/>
    <w:basedOn w:val="DefaultParagraphFont"/>
    <w:link w:val="BalloonText"/>
    <w:uiPriority w:val="99"/>
    <w:semiHidden/>
    <w:rsid w:val="005C3BC2"/>
    <w:rPr>
      <w:rFonts w:ascii="Tahoma" w:eastAsia="Times New Roman" w:hAnsi="Tahoma" w:cs="Tahoma"/>
      <w:spacing w:val="-3"/>
      <w:sz w:val="16"/>
      <w:szCs w:val="16"/>
      <w:lang w:val="es-ES_tradnl"/>
    </w:rPr>
  </w:style>
  <w:style w:type="table" w:styleId="TableGrid">
    <w:name w:val="Table Grid"/>
    <w:basedOn w:val="TableNormal"/>
    <w:uiPriority w:val="39"/>
    <w:rsid w:val="005C3B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basedOn w:val="Normal"/>
    <w:uiPriority w:val="99"/>
    <w:unhideWhenUsed/>
    <w:rsid w:val="005C3BC2"/>
    <w:pPr>
      <w:spacing w:after="200" w:line="276" w:lineRule="auto"/>
      <w:ind w:left="360" w:hanging="360"/>
      <w:contextualSpacing/>
    </w:pPr>
    <w:rPr>
      <w:rFonts w:asciiTheme="minorHAnsi" w:eastAsiaTheme="minorHAnsi" w:hAnsiTheme="minorHAnsi" w:cstheme="minorBidi"/>
      <w:spacing w:val="0"/>
      <w:sz w:val="22"/>
      <w:szCs w:val="22"/>
      <w:lang w:val="en-US"/>
    </w:rPr>
  </w:style>
  <w:style w:type="paragraph" w:customStyle="1" w:styleId="Chapter">
    <w:name w:val="Chapter"/>
    <w:basedOn w:val="Normal"/>
    <w:next w:val="Normal"/>
    <w:rsid w:val="005C3BC2"/>
    <w:pPr>
      <w:keepNext/>
      <w:numPr>
        <w:numId w:val="6"/>
      </w:numPr>
      <w:tabs>
        <w:tab w:val="clear" w:pos="2088"/>
        <w:tab w:val="num" w:pos="648"/>
        <w:tab w:val="left" w:pos="1440"/>
      </w:tabs>
      <w:spacing w:before="240" w:after="240"/>
      <w:ind w:left="0"/>
      <w:jc w:val="center"/>
    </w:pPr>
    <w:rPr>
      <w:b/>
      <w:smallCaps/>
      <w:spacing w:val="0"/>
      <w:lang w:val="es-ES"/>
    </w:rPr>
  </w:style>
  <w:style w:type="paragraph" w:customStyle="1" w:styleId="Paragraph">
    <w:name w:val="Paragraph"/>
    <w:aliases w:val="p,PARAGRAPH,PG,pa,at,paragraph+1,paragraph,at Char"/>
    <w:basedOn w:val="BodyTextIndent"/>
    <w:link w:val="ParagraphChar"/>
    <w:qFormat/>
    <w:rsid w:val="005C3BC2"/>
    <w:pPr>
      <w:numPr>
        <w:ilvl w:val="1"/>
        <w:numId w:val="6"/>
      </w:numPr>
      <w:tabs>
        <w:tab w:val="clear" w:pos="1296"/>
        <w:tab w:val="num" w:pos="720"/>
      </w:tabs>
      <w:spacing w:before="120"/>
      <w:ind w:left="720" w:hanging="720"/>
      <w:jc w:val="both"/>
      <w:outlineLvl w:val="1"/>
    </w:pPr>
    <w:rPr>
      <w:lang w:val="es-ES"/>
    </w:rPr>
  </w:style>
  <w:style w:type="paragraph" w:customStyle="1" w:styleId="subpar">
    <w:name w:val="subpar"/>
    <w:basedOn w:val="BodyTextIndent3"/>
    <w:rsid w:val="005C3BC2"/>
    <w:pPr>
      <w:numPr>
        <w:ilvl w:val="2"/>
        <w:numId w:val="6"/>
      </w:numPr>
      <w:tabs>
        <w:tab w:val="clear" w:pos="2592"/>
        <w:tab w:val="num" w:pos="1152"/>
      </w:tabs>
      <w:spacing w:before="120"/>
      <w:ind w:left="1152"/>
      <w:jc w:val="both"/>
      <w:outlineLvl w:val="2"/>
    </w:pPr>
    <w:rPr>
      <w:spacing w:val="0"/>
      <w:szCs w:val="20"/>
    </w:rPr>
  </w:style>
  <w:style w:type="paragraph" w:customStyle="1" w:styleId="SubSubPar">
    <w:name w:val="SubSubPar"/>
    <w:basedOn w:val="subpar"/>
    <w:rsid w:val="005C3BC2"/>
    <w:pPr>
      <w:numPr>
        <w:ilvl w:val="3"/>
      </w:numPr>
      <w:tabs>
        <w:tab w:val="clear" w:pos="3024"/>
        <w:tab w:val="left" w:pos="0"/>
        <w:tab w:val="num" w:pos="1296"/>
      </w:tabs>
      <w:ind w:left="1296"/>
    </w:pPr>
  </w:style>
  <w:style w:type="character" w:customStyle="1" w:styleId="ParagraphChar">
    <w:name w:val="Paragraph Char"/>
    <w:basedOn w:val="BodyTextIndentChar"/>
    <w:link w:val="Paragraph"/>
    <w:rsid w:val="005C3BC2"/>
    <w:rPr>
      <w:rFonts w:ascii="Times New Roman" w:eastAsia="Times New Roman" w:hAnsi="Times New Roman" w:cs="Times New Roman"/>
      <w:spacing w:val="-3"/>
      <w:sz w:val="24"/>
      <w:szCs w:val="20"/>
      <w:lang w:val="es-ES"/>
    </w:rPr>
  </w:style>
  <w:style w:type="paragraph" w:styleId="BodyTextIndent3">
    <w:name w:val="Body Text Indent 3"/>
    <w:basedOn w:val="Normal"/>
    <w:link w:val="BodyTextIndent3Char"/>
    <w:uiPriority w:val="99"/>
    <w:semiHidden/>
    <w:unhideWhenUsed/>
    <w:rsid w:val="005C3BC2"/>
    <w:pPr>
      <w:spacing w:after="120"/>
      <w:ind w:left="360"/>
    </w:pPr>
    <w:rPr>
      <w:szCs w:val="16"/>
    </w:rPr>
  </w:style>
  <w:style w:type="character" w:customStyle="1" w:styleId="BodyTextIndent3Char">
    <w:name w:val="Body Text Indent 3 Char"/>
    <w:basedOn w:val="DefaultParagraphFont"/>
    <w:link w:val="BodyTextIndent3"/>
    <w:uiPriority w:val="99"/>
    <w:semiHidden/>
    <w:rsid w:val="005C3BC2"/>
    <w:rPr>
      <w:rFonts w:ascii="Times New Roman" w:eastAsia="Times New Roman" w:hAnsi="Times New Roman" w:cs="Times New Roman"/>
      <w:spacing w:val="-3"/>
      <w:sz w:val="24"/>
      <w:szCs w:val="16"/>
      <w:lang w:val="es-ES_tradnl"/>
    </w:rPr>
  </w:style>
  <w:style w:type="paragraph" w:customStyle="1" w:styleId="Regtable">
    <w:name w:val="Regtable"/>
    <w:basedOn w:val="Normal"/>
    <w:link w:val="RegtableChar"/>
    <w:rsid w:val="005C3BC2"/>
    <w:pPr>
      <w:keepLines/>
      <w:framePr w:wrap="around" w:vAnchor="text" w:hAnchor="text" w:y="1"/>
      <w:spacing w:before="20" w:after="20"/>
    </w:pPr>
    <w:rPr>
      <w:noProof/>
      <w:sz w:val="20"/>
    </w:rPr>
  </w:style>
  <w:style w:type="character" w:customStyle="1" w:styleId="RegtableChar">
    <w:name w:val="Regtable Char"/>
    <w:link w:val="Regtable"/>
    <w:rsid w:val="005C3BC2"/>
    <w:rPr>
      <w:rFonts w:ascii="Times New Roman" w:eastAsia="Times New Roman" w:hAnsi="Times New Roman" w:cs="Times New Roman"/>
      <w:noProof/>
      <w:spacing w:val="-3"/>
      <w:sz w:val="20"/>
      <w:szCs w:val="20"/>
      <w:lang w:val="es-ES_tradnl"/>
    </w:rPr>
  </w:style>
  <w:style w:type="paragraph" w:customStyle="1" w:styleId="TableTitle">
    <w:name w:val="TableTitle"/>
    <w:basedOn w:val="Normal"/>
    <w:link w:val="TableTitleChar"/>
    <w:rsid w:val="005C3BC2"/>
    <w:pPr>
      <w:keepNext/>
      <w:framePr w:wrap="around" w:vAnchor="text" w:hAnchor="text" w:y="1"/>
      <w:spacing w:before="20" w:after="20"/>
      <w:jc w:val="center"/>
    </w:pPr>
    <w:rPr>
      <w:rFonts w:ascii="Times New Roman Bold" w:hAnsi="Times New Roman Bold"/>
      <w:b/>
      <w:sz w:val="20"/>
      <w:lang w:val="es-ES"/>
    </w:rPr>
  </w:style>
  <w:style w:type="character" w:customStyle="1" w:styleId="TableTitleChar">
    <w:name w:val="TableTitle Char"/>
    <w:link w:val="TableTitle"/>
    <w:rsid w:val="005C3BC2"/>
    <w:rPr>
      <w:rFonts w:ascii="Times New Roman Bold" w:eastAsia="Times New Roman" w:hAnsi="Times New Roman Bold" w:cs="Times New Roman"/>
      <w:b/>
      <w:spacing w:val="-3"/>
      <w:sz w:val="20"/>
      <w:szCs w:val="20"/>
      <w:lang w:val="es-ES"/>
    </w:rPr>
  </w:style>
  <w:style w:type="paragraph" w:customStyle="1" w:styleId="Default">
    <w:name w:val="Default"/>
    <w:rsid w:val="005C3BC2"/>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link w:val="NoSpacingChar"/>
    <w:uiPriority w:val="99"/>
    <w:qFormat/>
    <w:rsid w:val="005C3BC2"/>
    <w:pPr>
      <w:widowControl w:val="0"/>
      <w:adjustRightInd w:val="0"/>
      <w:spacing w:after="0" w:line="240" w:lineRule="auto"/>
      <w:jc w:val="both"/>
      <w:textAlignment w:val="baseline"/>
    </w:pPr>
    <w:rPr>
      <w:rFonts w:ascii="Times New Roman" w:eastAsia="ヒラギノ角ゴ Pro W3" w:hAnsi="Times New Roman" w:cs="Times New Roman"/>
      <w:color w:val="000000"/>
      <w:sz w:val="24"/>
      <w:szCs w:val="24"/>
    </w:rPr>
  </w:style>
  <w:style w:type="character" w:customStyle="1" w:styleId="NoSpacingChar">
    <w:name w:val="No Spacing Char"/>
    <w:basedOn w:val="DefaultParagraphFont"/>
    <w:link w:val="NoSpacing"/>
    <w:uiPriority w:val="99"/>
    <w:rsid w:val="005C3BC2"/>
    <w:rPr>
      <w:rFonts w:ascii="Times New Roman" w:eastAsia="ヒラギノ角ゴ Pro W3" w:hAnsi="Times New Roman" w:cs="Times New Roman"/>
      <w:color w:val="000000"/>
      <w:sz w:val="24"/>
      <w:szCs w:val="24"/>
    </w:rPr>
  </w:style>
  <w:style w:type="paragraph" w:styleId="NormalWeb">
    <w:name w:val="Normal (Web)"/>
    <w:basedOn w:val="Normal"/>
    <w:uiPriority w:val="99"/>
    <w:semiHidden/>
    <w:unhideWhenUsed/>
    <w:rsid w:val="005C3BC2"/>
    <w:pPr>
      <w:spacing w:before="100" w:beforeAutospacing="1" w:after="100" w:afterAutospacing="1"/>
    </w:pPr>
    <w:rPr>
      <w:spacing w:val="0"/>
      <w:szCs w:val="24"/>
      <w:lang w:val="en-US"/>
    </w:rPr>
  </w:style>
  <w:style w:type="character" w:styleId="PlaceholderText">
    <w:name w:val="Placeholder Text"/>
    <w:basedOn w:val="DefaultParagraphFont"/>
    <w:uiPriority w:val="99"/>
    <w:semiHidden/>
    <w:rsid w:val="005C3BC2"/>
    <w:rPr>
      <w:color w:val="808080"/>
    </w:rPr>
  </w:style>
  <w:style w:type="character" w:styleId="Emphasis">
    <w:name w:val="Emphasis"/>
    <w:basedOn w:val="DefaultParagraphFont"/>
    <w:uiPriority w:val="20"/>
    <w:qFormat/>
    <w:rsid w:val="005C3BC2"/>
    <w:rPr>
      <w:b/>
      <w:bCs/>
      <w:i w:val="0"/>
      <w:iCs w:val="0"/>
    </w:rPr>
  </w:style>
  <w:style w:type="character" w:customStyle="1" w:styleId="st1">
    <w:name w:val="st1"/>
    <w:basedOn w:val="DefaultParagraphFont"/>
    <w:rsid w:val="005C3BC2"/>
  </w:style>
  <w:style w:type="character" w:styleId="CommentReference">
    <w:name w:val="annotation reference"/>
    <w:basedOn w:val="DefaultParagraphFont"/>
    <w:uiPriority w:val="99"/>
    <w:semiHidden/>
    <w:unhideWhenUsed/>
    <w:rsid w:val="005C3BC2"/>
    <w:rPr>
      <w:sz w:val="16"/>
      <w:szCs w:val="16"/>
    </w:rPr>
  </w:style>
  <w:style w:type="paragraph" w:styleId="CommentText">
    <w:name w:val="annotation text"/>
    <w:basedOn w:val="Normal"/>
    <w:link w:val="CommentTextChar"/>
    <w:uiPriority w:val="99"/>
    <w:unhideWhenUsed/>
    <w:rsid w:val="005C3BC2"/>
    <w:rPr>
      <w:sz w:val="20"/>
    </w:rPr>
  </w:style>
  <w:style w:type="character" w:customStyle="1" w:styleId="CommentTextChar">
    <w:name w:val="Comment Text Char"/>
    <w:basedOn w:val="DefaultParagraphFont"/>
    <w:link w:val="CommentText"/>
    <w:uiPriority w:val="99"/>
    <w:rsid w:val="005C3BC2"/>
    <w:rPr>
      <w:rFonts w:ascii="Times New Roman" w:eastAsia="Times New Roman" w:hAnsi="Times New Roman" w:cs="Times New Roman"/>
      <w:spacing w:val="-3"/>
      <w:sz w:val="20"/>
      <w:szCs w:val="20"/>
      <w:lang w:val="es-ES_tradnl"/>
    </w:rPr>
  </w:style>
  <w:style w:type="character" w:customStyle="1" w:styleId="apple-converted-space">
    <w:name w:val="apple-converted-space"/>
    <w:basedOn w:val="DefaultParagraphFont"/>
    <w:rsid w:val="005C3BC2"/>
  </w:style>
  <w:style w:type="paragraph" w:customStyle="1" w:styleId="FirstHeading">
    <w:name w:val="FirstHeading"/>
    <w:basedOn w:val="Normal"/>
    <w:next w:val="Normal"/>
    <w:link w:val="FirstHeadingChar"/>
    <w:rsid w:val="005C3BC2"/>
    <w:pPr>
      <w:keepNext/>
      <w:numPr>
        <w:numId w:val="7"/>
      </w:numPr>
      <w:tabs>
        <w:tab w:val="left" w:pos="0"/>
        <w:tab w:val="left" w:pos="86"/>
      </w:tabs>
      <w:spacing w:before="120" w:after="120"/>
      <w:ind w:left="720"/>
    </w:pPr>
    <w:rPr>
      <w:b/>
    </w:rPr>
  </w:style>
  <w:style w:type="character" w:customStyle="1" w:styleId="FirstHeadingChar">
    <w:name w:val="FirstHeading Char"/>
    <w:basedOn w:val="DefaultParagraphFont"/>
    <w:link w:val="FirstHeading"/>
    <w:rsid w:val="005C3BC2"/>
    <w:rPr>
      <w:rFonts w:ascii="Times New Roman" w:eastAsia="Times New Roman" w:hAnsi="Times New Roman" w:cs="Times New Roman"/>
      <w:b/>
      <w:spacing w:val="-3"/>
      <w:sz w:val="24"/>
      <w:szCs w:val="20"/>
      <w:lang w:val="es-ES_tradnl"/>
    </w:rPr>
  </w:style>
  <w:style w:type="paragraph" w:customStyle="1" w:styleId="SecHeading">
    <w:name w:val="SecHeading"/>
    <w:basedOn w:val="Normal"/>
    <w:next w:val="Paragraph"/>
    <w:link w:val="SecHeadingChar"/>
    <w:rsid w:val="005C3BC2"/>
    <w:pPr>
      <w:keepNext/>
      <w:numPr>
        <w:ilvl w:val="1"/>
        <w:numId w:val="7"/>
      </w:numPr>
      <w:tabs>
        <w:tab w:val="clear" w:pos="5400"/>
        <w:tab w:val="num" w:pos="1296"/>
      </w:tabs>
      <w:spacing w:before="120" w:after="120"/>
      <w:ind w:left="1296"/>
    </w:pPr>
    <w:rPr>
      <w:b/>
    </w:rPr>
  </w:style>
  <w:style w:type="character" w:customStyle="1" w:styleId="SecHeadingChar">
    <w:name w:val="SecHeading Char"/>
    <w:basedOn w:val="DefaultParagraphFont"/>
    <w:link w:val="SecHeading"/>
    <w:rsid w:val="005C3BC2"/>
    <w:rPr>
      <w:rFonts w:ascii="Times New Roman" w:eastAsia="Times New Roman" w:hAnsi="Times New Roman" w:cs="Times New Roman"/>
      <w:b/>
      <w:spacing w:val="-3"/>
      <w:sz w:val="24"/>
      <w:szCs w:val="20"/>
      <w:lang w:val="es-ES_tradnl"/>
    </w:rPr>
  </w:style>
  <w:style w:type="paragraph" w:customStyle="1" w:styleId="SubHeading1">
    <w:name w:val="SubHeading1"/>
    <w:basedOn w:val="SecHeading"/>
    <w:link w:val="SubHeading1Char"/>
    <w:rsid w:val="005C3BC2"/>
    <w:pPr>
      <w:numPr>
        <w:ilvl w:val="2"/>
      </w:numPr>
      <w:tabs>
        <w:tab w:val="clear" w:pos="5976"/>
        <w:tab w:val="num" w:pos="1872"/>
      </w:tabs>
      <w:ind w:left="1872"/>
    </w:pPr>
  </w:style>
  <w:style w:type="character" w:customStyle="1" w:styleId="SubHeading1Char">
    <w:name w:val="SubHeading1 Char"/>
    <w:basedOn w:val="DefaultParagraphFont"/>
    <w:link w:val="SubHeading1"/>
    <w:rsid w:val="005C3BC2"/>
    <w:rPr>
      <w:rFonts w:ascii="Times New Roman" w:eastAsia="Times New Roman" w:hAnsi="Times New Roman" w:cs="Times New Roman"/>
      <w:b/>
      <w:spacing w:val="-3"/>
      <w:sz w:val="24"/>
      <w:szCs w:val="20"/>
      <w:lang w:val="es-ES_tradnl"/>
    </w:rPr>
  </w:style>
  <w:style w:type="paragraph" w:customStyle="1" w:styleId="Subheading2">
    <w:name w:val="Subheading2"/>
    <w:basedOn w:val="SecHeading"/>
    <w:link w:val="Subheading2Char"/>
    <w:rsid w:val="005C3BC2"/>
    <w:pPr>
      <w:numPr>
        <w:ilvl w:val="3"/>
      </w:numPr>
      <w:tabs>
        <w:tab w:val="clear" w:pos="6480"/>
        <w:tab w:val="num" w:pos="2376"/>
      </w:tabs>
      <w:ind w:left="2376"/>
    </w:pPr>
  </w:style>
  <w:style w:type="character" w:customStyle="1" w:styleId="Subheading2Char">
    <w:name w:val="Subheading2 Char"/>
    <w:basedOn w:val="DefaultParagraphFont"/>
    <w:link w:val="Subheading2"/>
    <w:rsid w:val="005C3BC2"/>
    <w:rPr>
      <w:rFonts w:ascii="Times New Roman" w:eastAsia="Times New Roman" w:hAnsi="Times New Roman" w:cs="Times New Roman"/>
      <w:b/>
      <w:spacing w:val="-3"/>
      <w:sz w:val="24"/>
      <w:szCs w:val="20"/>
      <w:lang w:val="es-ES_tradnl"/>
    </w:rPr>
  </w:style>
  <w:style w:type="paragraph" w:styleId="TOC1">
    <w:name w:val="toc 1"/>
    <w:basedOn w:val="Normal"/>
    <w:next w:val="Normal"/>
    <w:autoRedefine/>
    <w:uiPriority w:val="39"/>
    <w:unhideWhenUsed/>
    <w:rsid w:val="005C3BC2"/>
    <w:pPr>
      <w:tabs>
        <w:tab w:val="right" w:leader="dot" w:pos="8741"/>
      </w:tabs>
      <w:spacing w:before="240" w:after="240"/>
      <w:ind w:left="547" w:hanging="547"/>
    </w:pPr>
    <w:rPr>
      <w:rFonts w:ascii="Arial" w:hAnsi="Arial" w:cs="Arial"/>
      <w:b/>
      <w:smallCaps/>
      <w:noProof/>
      <w:sz w:val="22"/>
      <w:szCs w:val="22"/>
    </w:rPr>
  </w:style>
  <w:style w:type="paragraph" w:styleId="TOC2">
    <w:name w:val="toc 2"/>
    <w:basedOn w:val="Normal"/>
    <w:next w:val="Normal"/>
    <w:autoRedefine/>
    <w:uiPriority w:val="39"/>
    <w:unhideWhenUsed/>
    <w:rsid w:val="005C3BC2"/>
    <w:pPr>
      <w:tabs>
        <w:tab w:val="left" w:pos="1152"/>
        <w:tab w:val="right" w:leader="dot" w:pos="8741"/>
      </w:tabs>
      <w:ind w:left="1166" w:hanging="605"/>
    </w:pPr>
  </w:style>
  <w:style w:type="paragraph" w:styleId="TOC3">
    <w:name w:val="toc 3"/>
    <w:basedOn w:val="Normal"/>
    <w:next w:val="Normal"/>
    <w:autoRedefine/>
    <w:uiPriority w:val="39"/>
    <w:unhideWhenUsed/>
    <w:rsid w:val="005C3BC2"/>
    <w:pPr>
      <w:tabs>
        <w:tab w:val="left" w:pos="1728"/>
        <w:tab w:val="right" w:leader="dot" w:pos="8741"/>
      </w:tabs>
      <w:ind w:left="1714" w:hanging="562"/>
    </w:pPr>
  </w:style>
  <w:style w:type="character" w:styleId="Hyperlink">
    <w:name w:val="Hyperlink"/>
    <w:basedOn w:val="DefaultParagraphFont"/>
    <w:uiPriority w:val="99"/>
    <w:unhideWhenUsed/>
    <w:rsid w:val="005C3BC2"/>
    <w:rPr>
      <w:color w:val="0563C1" w:themeColor="hyperlink"/>
      <w:u w:val="single"/>
    </w:rPr>
  </w:style>
  <w:style w:type="character" w:styleId="FollowedHyperlink">
    <w:name w:val="FollowedHyperlink"/>
    <w:basedOn w:val="DefaultParagraphFont"/>
    <w:uiPriority w:val="99"/>
    <w:semiHidden/>
    <w:unhideWhenUsed/>
    <w:rsid w:val="005C3BC2"/>
    <w:rPr>
      <w:color w:val="954F72" w:themeColor="followedHyperlink"/>
      <w:u w:val="single"/>
    </w:rPr>
  </w:style>
  <w:style w:type="paragraph" w:customStyle="1" w:styleId="Char2">
    <w:name w:val="Char2"/>
    <w:basedOn w:val="Normal"/>
    <w:link w:val="FootnoteReference"/>
    <w:uiPriority w:val="99"/>
    <w:rsid w:val="005C3BC2"/>
    <w:pPr>
      <w:spacing w:after="160" w:line="240" w:lineRule="exact"/>
    </w:pPr>
    <w:rPr>
      <w:rFonts w:asciiTheme="minorHAnsi" w:eastAsiaTheme="minorHAnsi" w:hAnsiTheme="minorHAnsi" w:cstheme="minorBidi"/>
      <w:spacing w:val="0"/>
      <w:sz w:val="22"/>
      <w:szCs w:val="22"/>
      <w:vertAlign w:val="superscript"/>
      <w:lang w:val="en-US"/>
    </w:rPr>
  </w:style>
  <w:style w:type="paragraph" w:customStyle="1" w:styleId="Notaderodape">
    <w:name w:val="Nota de rodape"/>
    <w:basedOn w:val="FootnoteText"/>
    <w:link w:val="NotaderodapeChar"/>
    <w:autoRedefine/>
    <w:qFormat/>
    <w:rsid w:val="005C3BC2"/>
    <w:pPr>
      <w:tabs>
        <w:tab w:val="left" w:pos="180"/>
        <w:tab w:val="left" w:pos="270"/>
      </w:tabs>
      <w:spacing w:after="0"/>
      <w:ind w:left="180" w:hanging="180"/>
    </w:pPr>
    <w:rPr>
      <w:rFonts w:ascii="Arial" w:eastAsiaTheme="majorEastAsia" w:hAnsi="Arial" w:cs="Arial"/>
      <w:sz w:val="18"/>
      <w:szCs w:val="18"/>
    </w:rPr>
  </w:style>
  <w:style w:type="character" w:customStyle="1" w:styleId="NotaderodapeChar">
    <w:name w:val="Nota de rodape Char"/>
    <w:basedOn w:val="DefaultParagraphFont"/>
    <w:link w:val="Notaderodape"/>
    <w:rsid w:val="005C3BC2"/>
    <w:rPr>
      <w:rFonts w:ascii="Arial" w:eastAsiaTheme="majorEastAsia" w:hAnsi="Arial" w:cs="Arial"/>
      <w:spacing w:val="-3"/>
      <w:sz w:val="18"/>
      <w:szCs w:val="18"/>
      <w:lang w:val="es-ES_tradnl"/>
    </w:rPr>
  </w:style>
  <w:style w:type="character" w:customStyle="1" w:styleId="ParagraphCar">
    <w:name w:val="Paragraph Car"/>
    <w:rsid w:val="005C3BC2"/>
    <w:rPr>
      <w:rFonts w:ascii="Arial" w:eastAsia="Times New Roman" w:hAnsi="Arial" w:cs="Times New Roman"/>
      <w:szCs w:val="20"/>
      <w:lang w:val="es-ES"/>
    </w:rPr>
  </w:style>
  <w:style w:type="paragraph" w:styleId="CommentSubject">
    <w:name w:val="annotation subject"/>
    <w:basedOn w:val="CommentText"/>
    <w:next w:val="CommentText"/>
    <w:link w:val="CommentSubjectChar"/>
    <w:rsid w:val="005C3BC2"/>
    <w:rPr>
      <w:b/>
      <w:bCs/>
      <w:spacing w:val="0"/>
      <w:lang w:val="en-US"/>
    </w:rPr>
  </w:style>
  <w:style w:type="character" w:customStyle="1" w:styleId="CommentSubjectChar">
    <w:name w:val="Comment Subject Char"/>
    <w:basedOn w:val="CommentTextChar"/>
    <w:link w:val="CommentSubject"/>
    <w:rsid w:val="005C3BC2"/>
    <w:rPr>
      <w:rFonts w:ascii="Times New Roman" w:eastAsia="Times New Roman" w:hAnsi="Times New Roman" w:cs="Times New Roman"/>
      <w:b/>
      <w:bCs/>
      <w:spacing w:val="-3"/>
      <w:sz w:val="20"/>
      <w:szCs w:val="20"/>
      <w:lang w:val="es-ES_tradnl"/>
    </w:rPr>
  </w:style>
  <w:style w:type="numbering" w:customStyle="1" w:styleId="Lista-Jerarquica">
    <w:name w:val="Lista - Jerarquica"/>
    <w:aliases w:val="Numerada"/>
    <w:basedOn w:val="NoList"/>
    <w:rsid w:val="005C3BC2"/>
    <w:pPr>
      <w:numPr>
        <w:numId w:val="10"/>
      </w:numPr>
    </w:pPr>
  </w:style>
  <w:style w:type="character" w:customStyle="1" w:styleId="ListParagraphChar">
    <w:name w:val="List Paragraph Char"/>
    <w:aliases w:val="Fundamentacion Char,Lista 123 Char,List Paragraph1 Char,Cuadro 2-1 Char,Párrafo de lista2 Char,Numbered Paragraph Char,Main numbered paragraph Char,Bullets Char,References Char,Numbered List Paragraph Char,123 List Paragraph Char"/>
    <w:basedOn w:val="DefaultParagraphFont"/>
    <w:link w:val="ListParagraph"/>
    <w:uiPriority w:val="34"/>
    <w:rsid w:val="005C3BC2"/>
    <w:rPr>
      <w:rFonts w:ascii="Times New Roman" w:eastAsia="Times New Roman" w:hAnsi="Times New Roman" w:cs="Times New Roman"/>
      <w:spacing w:val="-3"/>
      <w:sz w:val="24"/>
      <w:szCs w:val="20"/>
      <w:lang w:val="es-ES_tradnl"/>
    </w:rPr>
  </w:style>
  <w:style w:type="paragraph" w:customStyle="1" w:styleId="Normal1">
    <w:name w:val="Normal1"/>
    <w:rsid w:val="005C3BC2"/>
    <w:pPr>
      <w:widowControl w:val="0"/>
      <w:spacing w:after="0" w:line="276" w:lineRule="auto"/>
    </w:pPr>
    <w:rPr>
      <w:rFonts w:ascii="Arial" w:eastAsia="Arial" w:hAnsi="Arial" w:cs="Arial"/>
      <w:color w:val="000000"/>
      <w:lang w:val="es-ES_tradnl"/>
    </w:rPr>
  </w:style>
  <w:style w:type="paragraph" w:styleId="Caption">
    <w:name w:val="caption"/>
    <w:basedOn w:val="Normal"/>
    <w:next w:val="Normal"/>
    <w:uiPriority w:val="35"/>
    <w:unhideWhenUsed/>
    <w:qFormat/>
    <w:rsid w:val="00392C36"/>
    <w:pPr>
      <w:spacing w:after="200"/>
    </w:pPr>
    <w:rPr>
      <w:i/>
      <w:iCs/>
      <w:color w:val="44546A" w:themeColor="text2"/>
      <w:sz w:val="18"/>
      <w:szCs w:val="18"/>
    </w:rPr>
  </w:style>
  <w:style w:type="character" w:styleId="UnresolvedMention">
    <w:name w:val="Unresolved Mention"/>
    <w:basedOn w:val="DefaultParagraphFont"/>
    <w:uiPriority w:val="99"/>
    <w:semiHidden/>
    <w:unhideWhenUsed/>
    <w:rsid w:val="007C5B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7680905">
      <w:bodyDiv w:val="1"/>
      <w:marLeft w:val="0"/>
      <w:marRight w:val="0"/>
      <w:marTop w:val="0"/>
      <w:marBottom w:val="0"/>
      <w:divBdr>
        <w:top w:val="none" w:sz="0" w:space="0" w:color="auto"/>
        <w:left w:val="none" w:sz="0" w:space="0" w:color="auto"/>
        <w:bottom w:val="none" w:sz="0" w:space="0" w:color="auto"/>
        <w:right w:val="none" w:sz="0" w:space="0" w:color="auto"/>
      </w:divBdr>
    </w:div>
    <w:div w:id="581063371">
      <w:bodyDiv w:val="1"/>
      <w:marLeft w:val="0"/>
      <w:marRight w:val="0"/>
      <w:marTop w:val="0"/>
      <w:marBottom w:val="0"/>
      <w:divBdr>
        <w:top w:val="none" w:sz="0" w:space="0" w:color="auto"/>
        <w:left w:val="none" w:sz="0" w:space="0" w:color="auto"/>
        <w:bottom w:val="none" w:sz="0" w:space="0" w:color="auto"/>
        <w:right w:val="none" w:sz="0" w:space="0" w:color="auto"/>
      </w:divBdr>
    </w:div>
    <w:div w:id="725883098">
      <w:bodyDiv w:val="1"/>
      <w:marLeft w:val="0"/>
      <w:marRight w:val="0"/>
      <w:marTop w:val="0"/>
      <w:marBottom w:val="0"/>
      <w:divBdr>
        <w:top w:val="none" w:sz="0" w:space="0" w:color="auto"/>
        <w:left w:val="none" w:sz="0" w:space="0" w:color="auto"/>
        <w:bottom w:val="none" w:sz="0" w:space="0" w:color="auto"/>
        <w:right w:val="none" w:sz="0" w:space="0" w:color="auto"/>
      </w:divBdr>
    </w:div>
    <w:div w:id="1180848361">
      <w:bodyDiv w:val="1"/>
      <w:marLeft w:val="0"/>
      <w:marRight w:val="0"/>
      <w:marTop w:val="0"/>
      <w:marBottom w:val="0"/>
      <w:divBdr>
        <w:top w:val="none" w:sz="0" w:space="0" w:color="auto"/>
        <w:left w:val="none" w:sz="0" w:space="0" w:color="auto"/>
        <w:bottom w:val="none" w:sz="0" w:space="0" w:color="auto"/>
        <w:right w:val="none" w:sz="0" w:space="0" w:color="auto"/>
      </w:divBdr>
    </w:div>
    <w:div w:id="1516654308">
      <w:bodyDiv w:val="1"/>
      <w:marLeft w:val="0"/>
      <w:marRight w:val="0"/>
      <w:marTop w:val="0"/>
      <w:marBottom w:val="0"/>
      <w:divBdr>
        <w:top w:val="none" w:sz="0" w:space="0" w:color="auto"/>
        <w:left w:val="none" w:sz="0" w:space="0" w:color="auto"/>
        <w:bottom w:val="none" w:sz="0" w:space="0" w:color="auto"/>
        <w:right w:val="none" w:sz="0" w:space="0" w:color="auto"/>
      </w:divBdr>
    </w:div>
    <w:div w:id="1520388663">
      <w:bodyDiv w:val="1"/>
      <w:marLeft w:val="0"/>
      <w:marRight w:val="0"/>
      <w:marTop w:val="0"/>
      <w:marBottom w:val="0"/>
      <w:divBdr>
        <w:top w:val="none" w:sz="0" w:space="0" w:color="auto"/>
        <w:left w:val="none" w:sz="0" w:space="0" w:color="auto"/>
        <w:bottom w:val="none" w:sz="0" w:space="0" w:color="auto"/>
        <w:right w:val="none" w:sz="0" w:space="0" w:color="auto"/>
      </w:divBdr>
    </w:div>
    <w:div w:id="2057272478">
      <w:bodyDiv w:val="1"/>
      <w:marLeft w:val="0"/>
      <w:marRight w:val="0"/>
      <w:marTop w:val="0"/>
      <w:marBottom w:val="0"/>
      <w:divBdr>
        <w:top w:val="none" w:sz="0" w:space="0" w:color="auto"/>
        <w:left w:val="none" w:sz="0" w:space="0" w:color="auto"/>
        <w:bottom w:val="none" w:sz="0" w:space="0" w:color="auto"/>
        <w:right w:val="none" w:sz="0" w:space="0" w:color="auto"/>
      </w:divBdr>
      <w:divsChild>
        <w:div w:id="8444369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ebinei.inei.gob.pe/anda_inei/index.php/catalog/340" TargetMode="External"/><Relationship Id="rId1" Type="http://schemas.openxmlformats.org/officeDocument/2006/relationships/hyperlink" Target="https://rpp.pe/economia/economia/hay-mas-microempresas-en-el-pais-pero-por-que-esto-no-es-bueno-noticia-1069359"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edwing\Desktop\POD\PME\Copy%20of%20SUNAT_DATA.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edwing\Desktop\POD\PME\Copy%20of%20SUNAT_DATA.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tx1"/>
            </a:solidFill>
            <a:ln>
              <a:solidFill>
                <a:schemeClr val="tx1"/>
              </a:solidFill>
            </a:ln>
            <a:effectLst/>
          </c:spPr>
          <c:invertIfNegative val="0"/>
          <c:cat>
            <c:strRef>
              <c:f>'A - Ventas_Mensuales'!$K$20:$K$30</c:f>
              <c:strCache>
                <c:ptCount val="11"/>
                <c:pt idx="0">
                  <c:v>R_8 [7000 - 8000] Soles</c:v>
                </c:pt>
                <c:pt idx="1">
                  <c:v>R_9 [8000 - 9000] Soles</c:v>
                </c:pt>
                <c:pt idx="2">
                  <c:v>R_10 [9000 - 10000] Soles</c:v>
                </c:pt>
                <c:pt idx="3">
                  <c:v>R_11 [10000 - 11000] Soles</c:v>
                </c:pt>
                <c:pt idx="4">
                  <c:v>R_12 [11000 - 12000] Soles</c:v>
                </c:pt>
                <c:pt idx="5">
                  <c:v>R_13 [12000 - 13000] Soles</c:v>
                </c:pt>
                <c:pt idx="6">
                  <c:v>R_14 [13000 - 14000] Soles</c:v>
                </c:pt>
                <c:pt idx="7">
                  <c:v>R_15 [14000 - 15000] Soles</c:v>
                </c:pt>
                <c:pt idx="8">
                  <c:v>R_16 [15000 - 16000] Soles</c:v>
                </c:pt>
                <c:pt idx="9">
                  <c:v>R_17 [16000 - 17000] Soles</c:v>
                </c:pt>
                <c:pt idx="10">
                  <c:v>R_18 [17000 - 18000] Soles</c:v>
                </c:pt>
              </c:strCache>
            </c:strRef>
          </c:cat>
          <c:val>
            <c:numRef>
              <c:f>'A - Ventas_Mensuales'!$L$20:$L$30</c:f>
              <c:numCache>
                <c:formatCode>#,##0</c:formatCode>
                <c:ptCount val="11"/>
                <c:pt idx="0">
                  <c:v>18033</c:v>
                </c:pt>
                <c:pt idx="1">
                  <c:v>4791</c:v>
                </c:pt>
                <c:pt idx="2">
                  <c:v>1565</c:v>
                </c:pt>
                <c:pt idx="3">
                  <c:v>1456</c:v>
                </c:pt>
                <c:pt idx="4">
                  <c:v>1630</c:v>
                </c:pt>
                <c:pt idx="5">
                  <c:v>3599</c:v>
                </c:pt>
                <c:pt idx="6">
                  <c:v>1073</c:v>
                </c:pt>
                <c:pt idx="7">
                  <c:v>429</c:v>
                </c:pt>
                <c:pt idx="8">
                  <c:v>464</c:v>
                </c:pt>
                <c:pt idx="9">
                  <c:v>464</c:v>
                </c:pt>
                <c:pt idx="10">
                  <c:v>485</c:v>
                </c:pt>
              </c:numCache>
            </c:numRef>
          </c:val>
          <c:extLst>
            <c:ext xmlns:c16="http://schemas.microsoft.com/office/drawing/2014/chart" uri="{C3380CC4-5D6E-409C-BE32-E72D297353CC}">
              <c16:uniqueId val="{00000000-C29A-4B81-BDD4-129F26054940}"/>
            </c:ext>
          </c:extLst>
        </c:ser>
        <c:dLbls>
          <c:showLegendKey val="0"/>
          <c:showVal val="0"/>
          <c:showCatName val="0"/>
          <c:showSerName val="0"/>
          <c:showPercent val="0"/>
          <c:showBubbleSize val="0"/>
        </c:dLbls>
        <c:gapWidth val="150"/>
        <c:axId val="555215496"/>
        <c:axId val="555218120"/>
      </c:barChart>
      <c:catAx>
        <c:axId val="555215496"/>
        <c:scaling>
          <c:orientation val="minMax"/>
        </c:scaling>
        <c:delete val="0"/>
        <c:axPos val="b"/>
        <c:title>
          <c:tx>
            <c:rich>
              <a:bodyPr rot="0" spcFirstLastPara="1" vertOverflow="ellipsis" vert="horz" wrap="square" anchor="ctr" anchorCtr="1"/>
              <a:lstStyle/>
              <a:p>
                <a:pPr>
                  <a:defRPr sz="1050" b="1" i="0" u="none" strike="noStrike" kern="1200" baseline="0">
                    <a:solidFill>
                      <a:schemeClr val="tx1">
                        <a:lumMod val="65000"/>
                        <a:lumOff val="35000"/>
                      </a:schemeClr>
                    </a:solidFill>
                    <a:latin typeface="+mn-lt"/>
                    <a:ea typeface="+mn-ea"/>
                    <a:cs typeface="+mn-cs"/>
                  </a:defRPr>
                </a:pPr>
                <a:r>
                  <a:rPr lang="en-US" b="1"/>
                  <a:t>Rango de Ventas Mensuales (en Soles)</a:t>
                </a:r>
              </a:p>
            </c:rich>
          </c:tx>
          <c:layout>
            <c:manualLayout>
              <c:xMode val="edge"/>
              <c:yMode val="edge"/>
              <c:x val="0.3468146347884537"/>
              <c:y val="0.9279944349650131"/>
            </c:manualLayout>
          </c:layout>
          <c:overlay val="0"/>
          <c:spPr>
            <a:noFill/>
            <a:ln>
              <a:noFill/>
            </a:ln>
            <a:effectLst/>
          </c:spPr>
          <c:txPr>
            <a:bodyPr rot="0" spcFirstLastPara="1" vertOverflow="ellipsis" vert="horz" wrap="square" anchor="ctr" anchorCtr="1"/>
            <a:lstStyle/>
            <a:p>
              <a:pPr>
                <a:defRPr sz="1050" b="1"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1050" b="0" i="0" u="none" strike="noStrike" kern="1200" baseline="0">
                <a:solidFill>
                  <a:schemeClr val="tx1">
                    <a:lumMod val="65000"/>
                    <a:lumOff val="35000"/>
                  </a:schemeClr>
                </a:solidFill>
                <a:latin typeface="+mn-lt"/>
                <a:ea typeface="+mn-ea"/>
                <a:cs typeface="+mn-cs"/>
              </a:defRPr>
            </a:pPr>
            <a:endParaRPr lang="en-US"/>
          </a:p>
        </c:txPr>
        <c:crossAx val="555218120"/>
        <c:crosses val="autoZero"/>
        <c:auto val="1"/>
        <c:lblAlgn val="ctr"/>
        <c:lblOffset val="100"/>
        <c:noMultiLvlLbl val="0"/>
      </c:catAx>
      <c:valAx>
        <c:axId val="55521812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lgn="ctr" rtl="0">
                  <a:defRPr sz="1050" b="1" i="0" u="none" strike="noStrike" kern="1200" baseline="0">
                    <a:solidFill>
                      <a:schemeClr val="tx1">
                        <a:lumMod val="65000"/>
                        <a:lumOff val="35000"/>
                      </a:schemeClr>
                    </a:solidFill>
                    <a:latin typeface="+mn-lt"/>
                    <a:ea typeface="+mn-ea"/>
                    <a:cs typeface="+mn-cs"/>
                  </a:defRPr>
                </a:pPr>
                <a:r>
                  <a:rPr lang="en-US" b="1"/>
                  <a:t>Número de empresas</a:t>
                </a:r>
              </a:p>
              <a:p>
                <a:pPr algn="ctr" rtl="0">
                  <a:defRPr b="1"/>
                </a:pPr>
                <a:endParaRPr lang="en-US" b="1"/>
              </a:p>
            </c:rich>
          </c:tx>
          <c:overlay val="0"/>
          <c:spPr>
            <a:noFill/>
            <a:ln>
              <a:noFill/>
            </a:ln>
            <a:effectLst/>
          </c:spPr>
          <c:txPr>
            <a:bodyPr rot="-5400000" spcFirstLastPara="1" vertOverflow="ellipsis" vert="horz" wrap="square" anchor="ctr" anchorCtr="1"/>
            <a:lstStyle/>
            <a:p>
              <a:pPr algn="ctr" rtl="0">
                <a:defRPr sz="1050" b="1"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out"/>
        <c:minorTickMark val="none"/>
        <c:tickLblPos val="nextTo"/>
        <c:spPr>
          <a:noFill/>
          <a:ln>
            <a:noFill/>
          </a:ln>
          <a:effectLst/>
        </c:spPr>
        <c:txPr>
          <a:bodyPr rot="-60000000" spcFirstLastPara="1" vertOverflow="ellipsis" vert="horz" wrap="square" anchor="ctr" anchorCtr="1"/>
          <a:lstStyle/>
          <a:p>
            <a:pPr>
              <a:defRPr sz="1050" b="0" i="0" u="none" strike="noStrike" kern="1200" baseline="0">
                <a:solidFill>
                  <a:schemeClr val="tx1">
                    <a:lumMod val="65000"/>
                    <a:lumOff val="35000"/>
                  </a:schemeClr>
                </a:solidFill>
                <a:latin typeface="+mn-lt"/>
                <a:ea typeface="+mn-ea"/>
                <a:cs typeface="+mn-cs"/>
              </a:defRPr>
            </a:pPr>
            <a:endParaRPr lang="en-US"/>
          </a:p>
        </c:txPr>
        <c:crossAx val="55521549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1050"/>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manualLayout>
          <c:layoutTarget val="inner"/>
          <c:xMode val="edge"/>
          <c:yMode val="edge"/>
          <c:x val="0.16909922717993586"/>
          <c:y val="4.3183662718939593E-2"/>
          <c:w val="0.62090040828229798"/>
          <c:h val="0.42980916766967725"/>
        </c:manualLayout>
      </c:layout>
      <c:lineChart>
        <c:grouping val="standard"/>
        <c:varyColors val="0"/>
        <c:ser>
          <c:idx val="0"/>
          <c:order val="0"/>
          <c:tx>
            <c:strRef>
              <c:f>'A - Ventas_Mensuales'!$C$5</c:f>
              <c:strCache>
                <c:ptCount val="1"/>
                <c:pt idx="0">
                  <c:v>Marzo 2014</c:v>
                </c:pt>
              </c:strCache>
            </c:strRef>
          </c:tx>
          <c:spPr>
            <a:ln w="28575" cap="rnd">
              <a:solidFill>
                <a:schemeClr val="dk1">
                  <a:tint val="88500"/>
                </a:schemeClr>
              </a:solidFill>
              <a:round/>
            </a:ln>
            <a:effectLst/>
          </c:spPr>
          <c:marker>
            <c:symbol val="none"/>
          </c:marker>
          <c:cat>
            <c:strRef>
              <c:f>'A - Ventas_Mensuales'!$B$13:$B$24</c:f>
              <c:strCache>
                <c:ptCount val="12"/>
                <c:pt idx="0">
                  <c:v>R_8 [7000 - 8000] Soles</c:v>
                </c:pt>
                <c:pt idx="1">
                  <c:v>R_9 [8000 - 9000] Soles</c:v>
                </c:pt>
                <c:pt idx="2">
                  <c:v>R_10 [9000 - 10000] Soles</c:v>
                </c:pt>
                <c:pt idx="3">
                  <c:v>R_11 [10000 - 11000] Soles</c:v>
                </c:pt>
                <c:pt idx="4">
                  <c:v>R_12 [11000 - 12000] Soles</c:v>
                </c:pt>
                <c:pt idx="5">
                  <c:v>R_13 [12000 - 13000] Soles</c:v>
                </c:pt>
                <c:pt idx="6">
                  <c:v>R_14 [13000 - 14000] Soles</c:v>
                </c:pt>
                <c:pt idx="7">
                  <c:v>R_15 [14000 - 15000] Soles</c:v>
                </c:pt>
                <c:pt idx="8">
                  <c:v>R_16 [15000 - 16000] Soles</c:v>
                </c:pt>
                <c:pt idx="9">
                  <c:v>R_17 [16000 - 17000] Soles</c:v>
                </c:pt>
                <c:pt idx="10">
                  <c:v>R_18 [17000 - 18000] Soles</c:v>
                </c:pt>
                <c:pt idx="11">
                  <c:v>R_19 [18000 - 19000] Soles</c:v>
                </c:pt>
              </c:strCache>
            </c:strRef>
          </c:cat>
          <c:val>
            <c:numRef>
              <c:f>'A - Ventas_Mensuales'!$C$13:$C$24</c:f>
              <c:numCache>
                <c:formatCode>#,##0</c:formatCode>
                <c:ptCount val="12"/>
                <c:pt idx="0">
                  <c:v>14784</c:v>
                </c:pt>
                <c:pt idx="1">
                  <c:v>3963</c:v>
                </c:pt>
                <c:pt idx="2">
                  <c:v>1374</c:v>
                </c:pt>
                <c:pt idx="3">
                  <c:v>1316</c:v>
                </c:pt>
                <c:pt idx="4">
                  <c:v>1421</c:v>
                </c:pt>
                <c:pt idx="5">
                  <c:v>2962</c:v>
                </c:pt>
                <c:pt idx="6">
                  <c:v>876</c:v>
                </c:pt>
                <c:pt idx="7">
                  <c:v>306</c:v>
                </c:pt>
                <c:pt idx="8">
                  <c:v>336</c:v>
                </c:pt>
                <c:pt idx="9">
                  <c:v>374</c:v>
                </c:pt>
                <c:pt idx="10">
                  <c:v>405</c:v>
                </c:pt>
                <c:pt idx="11">
                  <c:v>500</c:v>
                </c:pt>
              </c:numCache>
            </c:numRef>
          </c:val>
          <c:smooth val="0"/>
          <c:extLst>
            <c:ext xmlns:c16="http://schemas.microsoft.com/office/drawing/2014/chart" uri="{C3380CC4-5D6E-409C-BE32-E72D297353CC}">
              <c16:uniqueId val="{00000000-E0A2-41F1-94D3-79FBDF2E4148}"/>
            </c:ext>
          </c:extLst>
        </c:ser>
        <c:ser>
          <c:idx val="1"/>
          <c:order val="1"/>
          <c:tx>
            <c:strRef>
              <c:f>'A - Ventas_Mensuales'!$D$5</c:f>
              <c:strCache>
                <c:ptCount val="1"/>
                <c:pt idx="0">
                  <c:v>Marzo 2015</c:v>
                </c:pt>
              </c:strCache>
            </c:strRef>
          </c:tx>
          <c:spPr>
            <a:ln w="28575" cap="rnd">
              <a:solidFill>
                <a:schemeClr val="dk1">
                  <a:tint val="55000"/>
                </a:schemeClr>
              </a:solidFill>
              <a:round/>
            </a:ln>
            <a:effectLst/>
          </c:spPr>
          <c:marker>
            <c:symbol val="none"/>
          </c:marker>
          <c:cat>
            <c:strRef>
              <c:f>'A - Ventas_Mensuales'!$B$13:$B$24</c:f>
              <c:strCache>
                <c:ptCount val="12"/>
                <c:pt idx="0">
                  <c:v>R_8 [7000 - 8000] Soles</c:v>
                </c:pt>
                <c:pt idx="1">
                  <c:v>R_9 [8000 - 9000] Soles</c:v>
                </c:pt>
                <c:pt idx="2">
                  <c:v>R_10 [9000 - 10000] Soles</c:v>
                </c:pt>
                <c:pt idx="3">
                  <c:v>R_11 [10000 - 11000] Soles</c:v>
                </c:pt>
                <c:pt idx="4">
                  <c:v>R_12 [11000 - 12000] Soles</c:v>
                </c:pt>
                <c:pt idx="5">
                  <c:v>R_13 [12000 - 13000] Soles</c:v>
                </c:pt>
                <c:pt idx="6">
                  <c:v>R_14 [13000 - 14000] Soles</c:v>
                </c:pt>
                <c:pt idx="7">
                  <c:v>R_15 [14000 - 15000] Soles</c:v>
                </c:pt>
                <c:pt idx="8">
                  <c:v>R_16 [15000 - 16000] Soles</c:v>
                </c:pt>
                <c:pt idx="9">
                  <c:v>R_17 [16000 - 17000] Soles</c:v>
                </c:pt>
                <c:pt idx="10">
                  <c:v>R_18 [17000 - 18000] Soles</c:v>
                </c:pt>
                <c:pt idx="11">
                  <c:v>R_19 [18000 - 19000] Soles</c:v>
                </c:pt>
              </c:strCache>
            </c:strRef>
          </c:cat>
          <c:val>
            <c:numRef>
              <c:f>'A - Ventas_Mensuales'!$D$13:$D$24</c:f>
              <c:numCache>
                <c:formatCode>#,##0</c:formatCode>
                <c:ptCount val="12"/>
                <c:pt idx="0">
                  <c:v>17085</c:v>
                </c:pt>
                <c:pt idx="1">
                  <c:v>4469</c:v>
                </c:pt>
                <c:pt idx="2">
                  <c:v>1504</c:v>
                </c:pt>
                <c:pt idx="3">
                  <c:v>1487</c:v>
                </c:pt>
                <c:pt idx="4">
                  <c:v>1574</c:v>
                </c:pt>
                <c:pt idx="5">
                  <c:v>3424</c:v>
                </c:pt>
                <c:pt idx="6">
                  <c:v>928</c:v>
                </c:pt>
                <c:pt idx="7">
                  <c:v>371</c:v>
                </c:pt>
                <c:pt idx="8">
                  <c:v>393</c:v>
                </c:pt>
                <c:pt idx="9">
                  <c:v>427</c:v>
                </c:pt>
                <c:pt idx="10">
                  <c:v>429</c:v>
                </c:pt>
                <c:pt idx="11">
                  <c:v>511</c:v>
                </c:pt>
              </c:numCache>
            </c:numRef>
          </c:val>
          <c:smooth val="0"/>
          <c:extLst>
            <c:ext xmlns:c16="http://schemas.microsoft.com/office/drawing/2014/chart" uri="{C3380CC4-5D6E-409C-BE32-E72D297353CC}">
              <c16:uniqueId val="{00000001-E0A2-41F1-94D3-79FBDF2E4148}"/>
            </c:ext>
          </c:extLst>
        </c:ser>
        <c:ser>
          <c:idx val="2"/>
          <c:order val="2"/>
          <c:tx>
            <c:strRef>
              <c:f>'A - Ventas_Mensuales'!$E$5</c:f>
              <c:strCache>
                <c:ptCount val="1"/>
                <c:pt idx="0">
                  <c:v>Marzo 2016</c:v>
                </c:pt>
              </c:strCache>
            </c:strRef>
          </c:tx>
          <c:spPr>
            <a:ln w="28575" cap="rnd">
              <a:solidFill>
                <a:schemeClr val="dk1">
                  <a:tint val="75000"/>
                </a:schemeClr>
              </a:solidFill>
              <a:round/>
            </a:ln>
            <a:effectLst/>
          </c:spPr>
          <c:marker>
            <c:symbol val="none"/>
          </c:marker>
          <c:cat>
            <c:strRef>
              <c:f>'A - Ventas_Mensuales'!$B$13:$B$24</c:f>
              <c:strCache>
                <c:ptCount val="12"/>
                <c:pt idx="0">
                  <c:v>R_8 [7000 - 8000] Soles</c:v>
                </c:pt>
                <c:pt idx="1">
                  <c:v>R_9 [8000 - 9000] Soles</c:v>
                </c:pt>
                <c:pt idx="2">
                  <c:v>R_10 [9000 - 10000] Soles</c:v>
                </c:pt>
                <c:pt idx="3">
                  <c:v>R_11 [10000 - 11000] Soles</c:v>
                </c:pt>
                <c:pt idx="4">
                  <c:v>R_12 [11000 - 12000] Soles</c:v>
                </c:pt>
                <c:pt idx="5">
                  <c:v>R_13 [12000 - 13000] Soles</c:v>
                </c:pt>
                <c:pt idx="6">
                  <c:v>R_14 [13000 - 14000] Soles</c:v>
                </c:pt>
                <c:pt idx="7">
                  <c:v>R_15 [14000 - 15000] Soles</c:v>
                </c:pt>
                <c:pt idx="8">
                  <c:v>R_16 [15000 - 16000] Soles</c:v>
                </c:pt>
                <c:pt idx="9">
                  <c:v>R_17 [16000 - 17000] Soles</c:v>
                </c:pt>
                <c:pt idx="10">
                  <c:v>R_18 [17000 - 18000] Soles</c:v>
                </c:pt>
                <c:pt idx="11">
                  <c:v>R_19 [18000 - 19000] Soles</c:v>
                </c:pt>
              </c:strCache>
            </c:strRef>
          </c:cat>
          <c:val>
            <c:numRef>
              <c:f>'A - Ventas_Mensuales'!$E$13:$E$24</c:f>
              <c:numCache>
                <c:formatCode>#,##0</c:formatCode>
                <c:ptCount val="12"/>
                <c:pt idx="0">
                  <c:v>18033</c:v>
                </c:pt>
                <c:pt idx="1">
                  <c:v>4791</c:v>
                </c:pt>
                <c:pt idx="2">
                  <c:v>1565</c:v>
                </c:pt>
                <c:pt idx="3">
                  <c:v>1456</c:v>
                </c:pt>
                <c:pt idx="4">
                  <c:v>1630</c:v>
                </c:pt>
                <c:pt idx="5">
                  <c:v>3599</c:v>
                </c:pt>
                <c:pt idx="6">
                  <c:v>1073</c:v>
                </c:pt>
                <c:pt idx="7">
                  <c:v>429</c:v>
                </c:pt>
                <c:pt idx="8">
                  <c:v>464</c:v>
                </c:pt>
                <c:pt idx="9">
                  <c:v>464</c:v>
                </c:pt>
                <c:pt idx="10">
                  <c:v>485</c:v>
                </c:pt>
                <c:pt idx="11">
                  <c:v>599</c:v>
                </c:pt>
              </c:numCache>
            </c:numRef>
          </c:val>
          <c:smooth val="0"/>
          <c:extLst>
            <c:ext xmlns:c16="http://schemas.microsoft.com/office/drawing/2014/chart" uri="{C3380CC4-5D6E-409C-BE32-E72D297353CC}">
              <c16:uniqueId val="{00000002-E0A2-41F1-94D3-79FBDF2E4148}"/>
            </c:ext>
          </c:extLst>
        </c:ser>
        <c:dLbls>
          <c:showLegendKey val="0"/>
          <c:showVal val="0"/>
          <c:showCatName val="0"/>
          <c:showSerName val="0"/>
          <c:showPercent val="0"/>
          <c:showBubbleSize val="0"/>
        </c:dLbls>
        <c:hiLowLines>
          <c:spPr>
            <a:ln w="9525" cap="flat" cmpd="sng" algn="ctr">
              <a:solidFill>
                <a:schemeClr val="tx1">
                  <a:lumMod val="75000"/>
                  <a:lumOff val="25000"/>
                </a:schemeClr>
              </a:solidFill>
              <a:round/>
            </a:ln>
            <a:effectLst/>
          </c:spPr>
        </c:hiLowLines>
        <c:smooth val="0"/>
        <c:axId val="670696616"/>
        <c:axId val="670690384"/>
      </c:lineChart>
      <c:catAx>
        <c:axId val="670696616"/>
        <c:scaling>
          <c:orientation val="minMax"/>
        </c:scaling>
        <c:delete val="0"/>
        <c:axPos val="b"/>
        <c:title>
          <c:tx>
            <c:rich>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100" b="0" i="0" u="none" strike="noStrike" kern="1200" baseline="0">
                    <a:solidFill>
                      <a:sysClr val="windowText" lastClr="000000">
                        <a:lumMod val="65000"/>
                        <a:lumOff val="35000"/>
                      </a:sysClr>
                    </a:solidFill>
                    <a:latin typeface="+mn-lt"/>
                    <a:ea typeface="+mn-ea"/>
                    <a:cs typeface="+mn-cs"/>
                  </a:defRPr>
                </a:pPr>
                <a:r>
                  <a:rPr lang="en-US" sz="1100" b="1" i="0" baseline="0">
                    <a:effectLst/>
                  </a:rPr>
                  <a:t>Rango de Ventas Mensuales (en Soles)</a:t>
                </a:r>
                <a:endParaRPr lang="en-US" sz="1100">
                  <a:effectLst/>
                </a:endParaRPr>
              </a:p>
              <a:p>
                <a:pPr marL="0" marR="0" lvl="0" indent="0" algn="ctr" defTabSz="914400" rtl="0" eaLnBrk="1" fontAlgn="auto" latinLnBrk="0" hangingPunct="1">
                  <a:lnSpc>
                    <a:spcPct val="100000"/>
                  </a:lnSpc>
                  <a:spcBef>
                    <a:spcPts val="0"/>
                  </a:spcBef>
                  <a:spcAft>
                    <a:spcPts val="0"/>
                  </a:spcAft>
                  <a:buClrTx/>
                  <a:buSzTx/>
                  <a:buFontTx/>
                  <a:buNone/>
                  <a:tabLst/>
                  <a:defRPr sz="1100">
                    <a:solidFill>
                      <a:sysClr val="windowText" lastClr="000000">
                        <a:lumMod val="65000"/>
                        <a:lumOff val="35000"/>
                      </a:sysClr>
                    </a:solidFill>
                  </a:defRPr>
                </a:pPr>
                <a:endParaRPr lang="en-US" sz="1100">
                  <a:effectLst/>
                </a:endParaRPr>
              </a:p>
            </c:rich>
          </c:tx>
          <c:layout>
            <c:manualLayout>
              <c:xMode val="edge"/>
              <c:yMode val="edge"/>
              <c:x val="0.24528170294397914"/>
              <c:y val="0.88098503740648382"/>
            </c:manualLayout>
          </c:layout>
          <c:overlay val="0"/>
          <c:spPr>
            <a:noFill/>
            <a:ln>
              <a:noFill/>
            </a:ln>
            <a:effectLst/>
          </c:spPr>
          <c:txPr>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100" b="0" i="0" u="none" strike="noStrike" kern="1200" baseline="0">
                  <a:solidFill>
                    <a:sysClr val="windowText" lastClr="000000">
                      <a:lumMod val="65000"/>
                      <a:lumOff val="35000"/>
                    </a:sys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670690384"/>
        <c:crosses val="autoZero"/>
        <c:auto val="1"/>
        <c:lblAlgn val="ctr"/>
        <c:lblOffset val="100"/>
        <c:noMultiLvlLbl val="0"/>
      </c:catAx>
      <c:valAx>
        <c:axId val="67069038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r>
                  <a:rPr lang="en-US" sz="1100" b="1" i="0" baseline="0">
                    <a:effectLst/>
                  </a:rPr>
                  <a:t>Número de empresas</a:t>
                </a:r>
                <a:endParaRPr lang="en-US" sz="1100">
                  <a:effectLst/>
                </a:endParaRPr>
              </a:p>
            </c:rich>
          </c:tx>
          <c:layout>
            <c:manualLayout>
              <c:xMode val="edge"/>
              <c:yMode val="edge"/>
              <c:x val="2.5462962962962962E-2"/>
              <c:y val="4.8179420979612086E-2"/>
            </c:manualLayout>
          </c:layout>
          <c:overlay val="0"/>
          <c:spPr>
            <a:noFill/>
            <a:ln>
              <a:noFill/>
            </a:ln>
            <a:effectLst/>
          </c:spPr>
          <c:txPr>
            <a:bodyPr rot="-54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out"/>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670696616"/>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Bra11</b:Tag>
    <b:SourceType>JournalArticle</b:SourceType>
    <b:Guid>{5441643E-1630-43E0-B424-9655743C9CC9}</b:Guid>
    <b:Author>
      <b:Author>
        <b:NameList>
          <b:Person>
            <b:Last>Braguinsky</b:Last>
            <b:First>Sergey</b:First>
          </b:Person>
          <b:Person>
            <b:Last>Branstetter</b:Last>
            <b:First>Lee</b:First>
          </b:Person>
          <b:Person>
            <b:Last>Le Barbanchon</b:Last>
            <b:First>Thomas</b:First>
          </b:Person>
        </b:NameList>
      </b:Author>
    </b:Author>
    <b:Title>The Incredible Shrinking Portuguese Firm</b:Title>
    <b:JournalName>National Bureau of Economic Research Working Paper</b:JournalName>
    <b:Year>2011</b:Year>
    <b:Pages>17265</b:Pages>
    <b:RefOrder>3</b:RefOrder>
  </b:Source>
  <b:Source>
    <b:Tag>Roc18</b:Tag>
    <b:SourceType>JournalArticle</b:SourceType>
    <b:Guid>{756B300C-10A5-45F0-81DE-929B03694511}</b:Guid>
    <b:Author>
      <b:Author>
        <b:NameList>
          <b:Person>
            <b:Last>Rocha</b:Last>
            <b:First>Rudi</b:First>
          </b:Person>
          <b:Person>
            <b:Last>Ulyssea</b:Last>
            <b:First>Gabriel</b:First>
          </b:Person>
          <b:Person>
            <b:Last>Rachter</b:Last>
            <b:First>Laisa</b:First>
          </b:Person>
        </b:NameList>
      </b:Author>
    </b:Author>
    <b:Title>Do Lower Taxes Reduce Informality? Evidence from Brazil</b:Title>
    <b:JournalName>Journal of Development Economics</b:JournalName>
    <b:Year>2018</b:Year>
    <b:Pages>Forthcoming</b:Pages>
    <b:RefOrder>5</b:RefOrder>
  </b:Source>
  <b:Source>
    <b:Tag>Alm18</b:Tag>
    <b:SourceType>JournalArticle</b:SourceType>
    <b:Guid>{6A80AE30-C643-414A-9EAD-6E9F0B1C2940}</b:Guid>
    <b:Author>
      <b:Author>
        <b:NameList>
          <b:Person>
            <b:Last>Almunia</b:Last>
            <b:First>Miguel</b:First>
          </b:Person>
          <b:Person>
            <b:Last>López-Rodriguez</b:Last>
            <b:First>David</b:First>
          </b:Person>
        </b:NameList>
      </b:Author>
    </b:Author>
    <b:Title>Under the Radar: The Effects of Monitoring Firms on Tax Compliance</b:Title>
    <b:JournalName>American Economic Journal: Economic Policy</b:JournalName>
    <b:Year>2018</b:Year>
    <b:Pages>10(1):1-38</b:Pages>
    <b:RefOrder>1</b:RefOrder>
  </b:Source>
  <b:Source>
    <b:Tag>Bes15</b:Tag>
    <b:SourceType>JournalArticle</b:SourceType>
    <b:Guid>{1DD18F60-C609-4E73-8094-61A3760908BE}</b:Guid>
    <b:Author>
      <b:Author>
        <b:NameList>
          <b:Person>
            <b:Last>Best</b:Last>
            <b:First>Michael</b:First>
            <b:Middle>Carlos</b:Middle>
          </b:Person>
          <b:Person>
            <b:Last>Brockmeyer</b:Last>
            <b:First>Anne</b:First>
          </b:Person>
          <b:Person>
            <b:Last>Jacobsen</b:Last>
            <b:First>Henrik</b:First>
          </b:Person>
          <b:Person>
            <b:Last>Spinnewijn</b:Last>
            <b:First>Johannes</b:First>
          </b:Person>
          <b:Person>
            <b:Last>Waseem</b:Last>
            <b:First>Mazhar</b:First>
          </b:Person>
        </b:NameList>
      </b:Author>
    </b:Author>
    <b:Title>Production versus Revenue Efficiency with Limited Tax Capacity: Theory and Evidence from Pakistan</b:Title>
    <b:JournalName>Journal of Political Economy</b:JournalName>
    <b:Year>2015</b:Year>
    <b:Pages>123(6):1311-1355</b:Pages>
    <b:RefOrder>4</b:RefOrder>
  </b:Source>
  <b:Source>
    <b:Tag>Gar16</b:Tag>
    <b:SourceType>JournalArticle</b:SourceType>
    <b:Guid>{09A189DC-A4F7-48F1-BF37-C770DA548FD4}</b:Guid>
    <b:Author>
      <b:Author>
        <b:NameList>
          <b:Person>
            <b:Last>Garicano</b:Last>
            <b:First>Luis</b:First>
          </b:Person>
          <b:Person>
            <b:Last>Lelarge</b:Last>
            <b:First>Claire</b:First>
          </b:Person>
          <b:Person>
            <b:Last>Van Reenen</b:Last>
            <b:First>John</b:First>
          </b:Person>
        </b:NameList>
      </b:Author>
    </b:Author>
    <b:Title>Firm Size Distortions and the Productivity Distribution: Evidence from France</b:Title>
    <b:JournalName>American Economic Revies</b:JournalName>
    <b:Year>2016</b:Year>
    <b:Pages>106(11):3439-3479</b:Pages>
    <b:RefOrder>2</b:RefOrder>
  </b:Source>
</b:Sources>
</file>

<file path=customXml/itemProps1.xml><?xml version="1.0" encoding="utf-8"?>
<ds:datastoreItem xmlns:ds="http://schemas.openxmlformats.org/officeDocument/2006/customXml" ds:itemID="{418156A2-3C42-4B0C-8CF5-CC02E72B4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13251</Words>
  <Characters>75535</Characters>
  <Application>Microsoft Office Word</Application>
  <DocSecurity>0</DocSecurity>
  <Lines>629</Lines>
  <Paragraphs>177</Paragraphs>
  <ScaleCrop>false</ScaleCrop>
  <HeadingPairs>
    <vt:vector size="4" baseType="variant">
      <vt:variant>
        <vt:lpstr>Title</vt:lpstr>
      </vt:variant>
      <vt:variant>
        <vt:i4>1</vt:i4>
      </vt:variant>
      <vt:variant>
        <vt:lpstr>Headings</vt:lpstr>
      </vt:variant>
      <vt:variant>
        <vt:i4>100</vt:i4>
      </vt:variant>
    </vt:vector>
  </HeadingPairs>
  <TitlesOfParts>
    <vt:vector size="101" baseType="lpstr">
      <vt:lpstr/>
      <vt:lpstr>Plan de Monitoreo y Evaluación</vt:lpstr>
      <vt:lpstr/>
      <vt:lpstr>    Desde los años 2000s, con una tasa de crecimiento anual promedio superior al 5%,</vt:lpstr>
      <vt:lpstr>    Así, el objetivo del programa es apoyar al GOP a incrementar la productividad de</vt:lpstr>
      <vt:lpstr>    Componente 2: Mejorar las habilidades de la fuerza laboral. Busca reducir la esc</vt:lpstr>
      <vt:lpstr>    Componente 3: Mejorar las políticas de mercado laboral y la capacidad para fisca</vt:lpstr>
      <vt:lpstr>    Componente 4: Mejorar las políticas de desarrollo productivo. Busca reducir las </vt:lpstr>
      <vt:lpstr>    Componente 5: Mejorar las políticas tributarias y la capacidad para fiscalizarla</vt:lpstr>
      <vt:lpstr>    Componente 6: Mejorar la coordinación interinstitucional. Busca desarrollar una </vt:lpstr>
      <vt:lpstr>    Prestatario y Organismo Ejecutor (OE): El Prestatario de la operación será la Re</vt:lpstr>
      <vt:lpstr>    Al ser este un programa de apoyo a políticas, se prevé un horizonte de ejecución</vt:lpstr>
      <vt:lpstr>    Dado que el desembolso de los recursos está sujeto al cumplimiento de las medida</vt:lpstr>
      <vt:lpstr>    En ese sentido, el Banco y el prestatario han acordado utilizar los siguientes i</vt:lpstr>
      <vt:lpstr>    El objetivo del monitoreo es: (i) verificar el cumplimiento de los compromisos d</vt:lpstr>
      <vt:lpstr>    El MEF, como OE del programa, presentará al Banco la evidencia de cumplimiento d</vt:lpstr>
      <vt:lpstr>    El equipo de proyecto del BID monitoreará su ejecución desde la oficina de país,</vt:lpstr>
      <vt:lpstr>    El monitoreo hecho por el equipo de proyecto tendrá inicio después de la aprobac</vt:lpstr>
      <vt:lpstr>    El esquema de monitoreo del programa incluirá, por lo menos:</vt:lpstr>
      <vt:lpstr>        La realización de misiones para el apoyo de la formulación del segundo tramo de </vt:lpstr>
      <vt:lpstr>        Los informes semestrales de los avances de cada uno de los componentes y el dese</vt:lpstr>
      <vt:lpstr>    Este esquema estará vigente mientras esté activa la operación, y finalizará cuan</vt:lpstr>
      <vt:lpstr>    Como se indicó anteriormente, el marco de evaluación del cumplimiento de comprom</vt:lpstr>
      <vt:lpstr>    Los indicadores de monitoreo medirán el grado de avance en la consecución anual </vt:lpstr>
      <vt:lpstr>    Indicadores de productos (Cuadro 1). Al tratarse de un préstamo programático, lo</vt:lpstr>
      <vt:lpstr>    Indicadores de resultados (Cuadro 2). Los indicadores a los que se dará seguimie</vt:lpstr>
      <vt:lpstr>    El objetivo de esta actividad es hacer un seguimiento cercano a la ejecución del</vt:lpstr>
      <vt:lpstr>    La información sobre los productos se obtendrá a partir de la evidencia de cumpl</vt:lpstr>
      <vt:lpstr>    La información sobre los resultados se obtendrá a partir de informes de los avan</vt:lpstr>
      <vt:lpstr>    La publicación de los resultados del monitoreo del proyecto, conformada principa</vt:lpstr>
      <vt:lpstr>    El OE presentará informes de progreso con datos sobre los avances en el cumplimi</vt:lpstr>
      <vt:lpstr>    En cuanto a la información para monitorear el avance de los resultados, se utili</vt:lpstr>
      <vt:lpstr>    Al término del Programa el OE realizará una evaluación final. Los términos de re</vt:lpstr>
      <vt:lpstr>    Como ya fue mencionado, la OE será el responsable del Monitoreo y Evaluación. Se</vt:lpstr>
      <vt:lpstr>    El BID realizará, además del apoyo regular al proyecto, misiones de administraci</vt:lpstr>
      <vt:lpstr>    </vt:lpstr>
      <vt:lpstr>    El Plan de Evaluación propuesto para verificar la efectividad en el desarrollo d</vt:lpstr>
      <vt:lpstr>    Por un lado, el presente PME propone medir el impacto de las reformas institucio</vt:lpstr>
      <vt:lpstr>    Por otro lado, el PME propone medir la efectividad del programa en el logro de r</vt:lpstr>
      <vt:lpstr>    Dado que el programa busca mejorar la calidad del factor productivo laboral y re</vt:lpstr>
      <vt:lpstr>    El Cuadro 2 presenta los indicadores de impacto y de resultado, sus líneas de ba</vt:lpstr>
      <vt:lpstr>    </vt:lpstr>
      <vt:lpstr>    Conceptualmente, el crecimiento de la productividad agregada mide qué tan más rá</vt:lpstr>
      <vt:lpstr>    Efectividad de políticas de mejoramiento de calidad de educación superior técnic</vt:lpstr>
      <vt:lpstr>    En términos de ES, hay varios factores, por el lado de la oferta y la demanda, q</vt:lpstr>
      <vt:lpstr>    Efectividad de políticas de fiscalización laboral</vt:lpstr>
      <vt:lpstr>    La falta de monitoreo y capacidad de fiscalización permite, en gran medida, que </vt:lpstr>
      <vt:lpstr>    Efectividad de políticas de extensionismo productivo en firmas (empresarial y te</vt:lpstr>
      <vt:lpstr>    Extensionismo empresarial</vt:lpstr>
      <vt:lpstr>    Algunos estudios han evaluado programas de extensión empresarial que otorgan sub</vt:lpstr>
      <vt:lpstr>    Extensionismo tecnológico</vt:lpstr>
      <vt:lpstr>    Existen varios estudios en la región que evalúan la efectividad de programas de </vt:lpstr>
      <vt:lpstr>    Programas de compras estatales</vt:lpstr>
      <vt:lpstr>    Efectividad de políticas de simplificación tributaria</vt:lpstr>
      <vt:lpstr>    Existe abundante evidencia empírica sobre los efectos negativos de los sistemas </vt:lpstr>
      <vt:lpstr>    La evaluación de los resultados será no experimental y estará basada en el métod</vt:lpstr>
      <vt:lpstr>    </vt:lpstr>
      <vt:lpstr>    donde ,𝑌-𝑖𝑡. es el indicador de resultado del buscador i en el periodo t, ,𝑇</vt:lpstr>
      <vt:lpstr>    </vt:lpstr>
      <vt:lpstr>    El DD puede ser fortalecido cuando es combinado con métodos de emparejamiento es</vt:lpstr>
      <vt:lpstr>    Los aspectos técnicos (tratamiento y grupos de comparación, fuentes de informaci</vt:lpstr>
      <vt:lpstr>    Comparación reflexiva:</vt:lpstr>
      <vt:lpstr>    Para efectos de la evaluación reflexiva (antes y después), el grupo de control e</vt:lpstr>
      <vt:lpstr>    En primer lugar, al ser esta una operación que condiciona desembolsos al reconoc</vt:lpstr>
      <vt:lpstr>    En particular, el Cuadro 2 indica que se empleará comparación reflexiva para la </vt:lpstr>
      <vt:lpstr>        Resultado esperado 1 “Incrementar la adopción de modelos de excelencia de instit</vt:lpstr>
      <vt:lpstr>        Resultado esperado 2 “Mejorar las políticas de fiscalización laboral”: Como part</vt:lpstr>
      <vt:lpstr>        </vt:lpstr>
      <vt:lpstr>        Resultado esperado 5 “Destrabar el crecimiento de las MYPE desincentivado por di</vt:lpstr>
      <vt:lpstr>    Gráfico 1. Distribución de firmas por rangos de ventas mensuales del Nuevo Regim</vt:lpstr>
      <vt:lpstr>    a. Marzo de 2016</vt:lpstr>
      <vt:lpstr>    /</vt:lpstr>
      <vt:lpstr>    </vt:lpstr>
      <vt:lpstr>    b. 2014 a 2016</vt:lpstr>
      <vt:lpstr>    /</vt:lpstr>
      <vt:lpstr>    Fuente: SUNAT</vt:lpstr>
      <vt:lpstr>    </vt:lpstr>
      <vt:lpstr>    Comparación causal:</vt:lpstr>
      <vt:lpstr>    Por otra parte, son pocos los indicadores de resultados que pueden ser sometidos</vt:lpstr>
      <vt:lpstr>    Para efectos de la evaluación causal no experimental, el grupo de control se ide</vt:lpstr>
      <vt:lpstr>    Aprovechando la disponibilidad de la base de datos de la ENE 2015, se procedió a</vt:lpstr>
      <vt:lpstr>    Cuadro 4. Ejercicio de Emparejamiento basado en la ENE 2015</vt:lpstr>
      <vt:lpstr>    </vt:lpstr>
      <vt:lpstr>    Fuente: ENE 2015</vt:lpstr>
      <vt:lpstr>    </vt:lpstr>
      <vt:lpstr>    Fuentes de información</vt:lpstr>
      <vt:lpstr>    Las fuentes de información para los indicadores de resultado son.</vt:lpstr>
      <vt:lpstr>    </vt:lpstr>
      <vt:lpstr>    Requisitos de muestra para detectar efectos</vt:lpstr>
      <vt:lpstr>    Para asegurar que el tamaño de la muestra sea suficiente para medir los resultad</vt:lpstr>
      <vt:lpstr>        Poder: 0.8</vt:lpstr>
      <vt:lpstr>        Significancia: 0.05</vt:lpstr>
      <vt:lpstr>        Ratio grupo tratamiento/grupo control: 1</vt:lpstr>
      <vt:lpstr>    El Cuadro 3 muestra los resultados de la simulación para diversos tamaños de efe</vt:lpstr>
      <vt:lpstr>    </vt:lpstr>
      <vt:lpstr>    Cuadro 5. Simulación de muestras necesarias para detectar efectos de magnitud “d</vt:lpstr>
      <vt:lpstr>    Resultado esperado 2. % de MYPEs que tienen planes de negocio</vt:lpstr>
      <vt:lpstr>    /</vt:lpstr>
      <vt:lpstr>    Resultado esperado 3. Ventas anuales promedio en miles de US$ de MYPEs que parti</vt:lpstr>
      <vt:lpstr>    /</vt:lpstr>
      <vt:lpstr>    </vt:lpstr>
    </vt:vector>
  </TitlesOfParts>
  <Company/>
  <LinksUpToDate>false</LinksUpToDate>
  <CharactersWithSpaces>88609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Goni Pacchioni, Edwin Antonio</dc:creator>
  <cp:keywords/>
  <dc:description/>
  <cp:lastModifiedBy>Muhlstein, Ethel Rosa</cp:lastModifiedBy>
  <cp:revision>2</cp:revision>
  <cp:lastPrinted>2018-09-11T19:14:00Z</cp:lastPrinted>
  <dcterms:created xsi:type="dcterms:W3CDTF">2018-10-01T15:54:00Z</dcterms:created>
  <dcterms:modified xsi:type="dcterms:W3CDTF">2018-10-01T15:54:00Z</dcterms:modified>
</cp:coreProperties>
</file>