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868732" w14:textId="11104878" w:rsidR="00F92D1E" w:rsidRPr="00E3064B" w:rsidRDefault="003E7EF4" w:rsidP="4C4E8546">
      <w:pPr>
        <w:spacing w:after="0"/>
        <w:jc w:val="center"/>
        <w:rPr>
          <w:rFonts w:ascii="Arial" w:eastAsia="Arial" w:hAnsi="Arial" w:cs="Arial"/>
          <w:b/>
          <w:bCs/>
          <w:sz w:val="24"/>
          <w:szCs w:val="24"/>
          <w:lang w:val="es-ES"/>
        </w:rPr>
      </w:pPr>
      <w:r w:rsidRPr="47BA8339">
        <w:rPr>
          <w:rFonts w:ascii="Arial" w:eastAsia="Arial" w:hAnsi="Arial" w:cs="Arial"/>
          <w:b/>
          <w:bCs/>
          <w:smallCaps/>
          <w:sz w:val="24"/>
          <w:szCs w:val="24"/>
          <w:lang w:val="es-ES"/>
        </w:rPr>
        <w:t xml:space="preserve">Cambios en las condiciones acordadas para la segunda operación vs. condiciones acordadas en la </w:t>
      </w:r>
      <w:r>
        <w:rPr>
          <w:rFonts w:ascii="Arial" w:hAnsi="Arial" w:cs="Arial"/>
          <w:b/>
          <w:smallCaps/>
          <w:sz w:val="24"/>
          <w:szCs w:val="18"/>
          <w:lang w:val="es-ES_tradnl"/>
        </w:rPr>
        <w:br/>
      </w:r>
      <w:r w:rsidRPr="47BA8339">
        <w:rPr>
          <w:rFonts w:ascii="Arial" w:eastAsia="Arial" w:hAnsi="Arial" w:cs="Arial"/>
          <w:b/>
          <w:bCs/>
          <w:smallCaps/>
          <w:sz w:val="24"/>
          <w:szCs w:val="24"/>
          <w:lang w:val="es-ES"/>
        </w:rPr>
        <w:t>Propuesta de Préstamo de la primera operación</w:t>
      </w:r>
    </w:p>
    <w:p w14:paraId="51868733" w14:textId="77777777" w:rsidR="0004095D" w:rsidRPr="00E3064B" w:rsidRDefault="0004095D" w:rsidP="000B3E6D">
      <w:pPr>
        <w:spacing w:after="0"/>
        <w:jc w:val="center"/>
        <w:rPr>
          <w:rFonts w:ascii="Arial" w:hAnsi="Arial" w:cs="Arial"/>
          <w:b/>
          <w:smallCaps/>
          <w:sz w:val="24"/>
          <w:szCs w:val="18"/>
          <w:lang w:val="es-ES_tradnl"/>
        </w:rPr>
      </w:pPr>
    </w:p>
    <w:tbl>
      <w:tblPr>
        <w:tblStyle w:val="TableGrid"/>
        <w:tblW w:w="13068" w:type="dxa"/>
        <w:tblLook w:val="04A0" w:firstRow="1" w:lastRow="0" w:firstColumn="1" w:lastColumn="0" w:noHBand="0" w:noVBand="1"/>
      </w:tblPr>
      <w:tblGrid>
        <w:gridCol w:w="3267"/>
        <w:gridCol w:w="3267"/>
        <w:gridCol w:w="3267"/>
        <w:gridCol w:w="3267"/>
      </w:tblGrid>
      <w:tr w:rsidR="00922FAF" w:rsidRPr="009E0B15" w14:paraId="51868739" w14:textId="7E56EBD4" w:rsidTr="4C4E8546">
        <w:trPr>
          <w:tblHeader/>
        </w:trPr>
        <w:tc>
          <w:tcPr>
            <w:tcW w:w="3267" w:type="dxa"/>
            <w:shd w:val="clear" w:color="auto" w:fill="BFBFBF" w:themeFill="background1" w:themeFillShade="BF"/>
            <w:vAlign w:val="center"/>
          </w:tcPr>
          <w:p w14:paraId="51868734" w14:textId="77777777" w:rsidR="00922FAF" w:rsidRPr="009E0B15" w:rsidRDefault="4C4E8546" w:rsidP="4C4E8546">
            <w:pPr>
              <w:spacing w:before="60" w:after="60"/>
              <w:jc w:val="center"/>
              <w:rPr>
                <w:rFonts w:ascii="Arial" w:eastAsia="Arial" w:hAnsi="Arial" w:cs="Arial"/>
                <w:b/>
                <w:bCs/>
                <w:sz w:val="20"/>
                <w:szCs w:val="20"/>
                <w:lang w:val="es-ES"/>
              </w:rPr>
            </w:pPr>
            <w:r w:rsidRPr="009E0B15">
              <w:rPr>
                <w:rFonts w:ascii="Arial" w:eastAsia="Arial" w:hAnsi="Arial" w:cs="Arial"/>
                <w:b/>
                <w:bCs/>
                <w:sz w:val="20"/>
                <w:szCs w:val="20"/>
                <w:lang w:val="es-ES"/>
              </w:rPr>
              <w:t>Objetivos de Política</w:t>
            </w:r>
          </w:p>
        </w:tc>
        <w:tc>
          <w:tcPr>
            <w:tcW w:w="3267" w:type="dxa"/>
            <w:shd w:val="clear" w:color="auto" w:fill="BFBFBF" w:themeFill="background1" w:themeFillShade="BF"/>
          </w:tcPr>
          <w:p w14:paraId="51868736" w14:textId="1782A2B4" w:rsidR="00922FAF" w:rsidRPr="009E0B15" w:rsidRDefault="4C4E8546" w:rsidP="4C4E8546">
            <w:pPr>
              <w:spacing w:before="60" w:after="60"/>
              <w:jc w:val="center"/>
              <w:rPr>
                <w:rFonts w:ascii="Arial" w:eastAsia="Arial" w:hAnsi="Arial" w:cs="Arial"/>
                <w:b/>
                <w:bCs/>
                <w:sz w:val="20"/>
                <w:szCs w:val="20"/>
                <w:lang w:val="pt-BR"/>
              </w:rPr>
            </w:pPr>
            <w:r w:rsidRPr="009E0B15">
              <w:rPr>
                <w:rFonts w:ascii="Arial" w:eastAsia="Arial" w:hAnsi="Arial" w:cs="Arial"/>
                <w:b/>
                <w:bCs/>
                <w:sz w:val="20"/>
                <w:szCs w:val="20"/>
                <w:lang w:val="pt-BR"/>
              </w:rPr>
              <w:t>Mecanismos Activadores para el Programa II, acordados en el Programa I</w:t>
            </w:r>
          </w:p>
        </w:tc>
        <w:tc>
          <w:tcPr>
            <w:tcW w:w="3267" w:type="dxa"/>
            <w:shd w:val="clear" w:color="auto" w:fill="BFBFBF" w:themeFill="background1" w:themeFillShade="BF"/>
          </w:tcPr>
          <w:p w14:paraId="51868737" w14:textId="2AAC78C2" w:rsidR="00922FAF" w:rsidRPr="009E0B15" w:rsidRDefault="4C4E8546" w:rsidP="4C4E8546">
            <w:pPr>
              <w:spacing w:before="60" w:after="60"/>
              <w:jc w:val="center"/>
              <w:rPr>
                <w:rFonts w:ascii="Arial" w:eastAsia="Arial" w:hAnsi="Arial" w:cs="Arial"/>
                <w:b/>
                <w:bCs/>
                <w:sz w:val="20"/>
                <w:szCs w:val="20"/>
                <w:lang w:val="es-ES"/>
              </w:rPr>
            </w:pPr>
            <w:r w:rsidRPr="009E0B15">
              <w:rPr>
                <w:rFonts w:ascii="Arial" w:eastAsia="Arial" w:hAnsi="Arial" w:cs="Arial"/>
                <w:b/>
                <w:bCs/>
                <w:sz w:val="20"/>
                <w:szCs w:val="20"/>
                <w:lang w:val="es-ES"/>
              </w:rPr>
              <w:t>Medidas de Política para el</w:t>
            </w:r>
          </w:p>
          <w:p w14:paraId="51868738" w14:textId="35A172A2" w:rsidR="00922FAF" w:rsidRPr="009E0B15" w:rsidRDefault="4C4E8546" w:rsidP="4C4E8546">
            <w:pPr>
              <w:spacing w:before="60" w:after="60"/>
              <w:jc w:val="center"/>
              <w:rPr>
                <w:rFonts w:ascii="Arial" w:eastAsia="Arial" w:hAnsi="Arial" w:cs="Arial"/>
                <w:b/>
                <w:bCs/>
                <w:sz w:val="20"/>
                <w:szCs w:val="20"/>
                <w:lang w:val="es-ES"/>
              </w:rPr>
            </w:pPr>
            <w:r w:rsidRPr="009E0B15">
              <w:rPr>
                <w:rFonts w:ascii="Arial" w:eastAsia="Arial" w:hAnsi="Arial" w:cs="Arial"/>
                <w:b/>
                <w:bCs/>
                <w:sz w:val="20"/>
                <w:szCs w:val="20"/>
                <w:lang w:val="es-ES"/>
              </w:rPr>
              <w:t>Programa II revisadas y acordadas</w:t>
            </w:r>
          </w:p>
        </w:tc>
        <w:tc>
          <w:tcPr>
            <w:tcW w:w="3267" w:type="dxa"/>
            <w:shd w:val="clear" w:color="auto" w:fill="BFBFBF" w:themeFill="background1" w:themeFillShade="BF"/>
            <w:vAlign w:val="center"/>
          </w:tcPr>
          <w:p w14:paraId="67A22ACF" w14:textId="6F9ED7BC" w:rsidR="00922FAF" w:rsidRPr="009E0B15" w:rsidRDefault="4C4E8546" w:rsidP="4C4E8546">
            <w:pPr>
              <w:spacing w:before="60" w:after="60"/>
              <w:jc w:val="center"/>
              <w:rPr>
                <w:rFonts w:ascii="Arial" w:eastAsia="Arial" w:hAnsi="Arial" w:cs="Arial"/>
                <w:b/>
                <w:bCs/>
                <w:sz w:val="20"/>
                <w:szCs w:val="20"/>
                <w:lang w:val="es-ES"/>
              </w:rPr>
            </w:pPr>
            <w:r w:rsidRPr="009E0B15">
              <w:rPr>
                <w:rFonts w:ascii="Arial" w:eastAsia="Arial" w:hAnsi="Arial" w:cs="Arial"/>
                <w:b/>
                <w:bCs/>
                <w:sz w:val="20"/>
                <w:szCs w:val="20"/>
                <w:lang w:val="es-ES"/>
              </w:rPr>
              <w:t>Explicaciones</w:t>
            </w:r>
          </w:p>
        </w:tc>
      </w:tr>
      <w:tr w:rsidR="00BB195B" w:rsidRPr="009E0B15" w14:paraId="5186873B" w14:textId="53513EB6" w:rsidTr="4C4E8546">
        <w:tc>
          <w:tcPr>
            <w:tcW w:w="13068" w:type="dxa"/>
            <w:gridSpan w:val="4"/>
            <w:shd w:val="clear" w:color="auto" w:fill="BFBFBF" w:themeFill="background1" w:themeFillShade="BF"/>
          </w:tcPr>
          <w:p w14:paraId="6EDF9B17" w14:textId="61FBD6F2" w:rsidR="00BB195B" w:rsidRPr="009E0B15" w:rsidRDefault="4C4E8546" w:rsidP="4C4E8546">
            <w:pPr>
              <w:spacing w:before="60" w:after="60"/>
              <w:jc w:val="both"/>
              <w:rPr>
                <w:rFonts w:ascii="Arial" w:eastAsia="Arial" w:hAnsi="Arial" w:cs="Arial"/>
                <w:b/>
                <w:bCs/>
                <w:sz w:val="20"/>
                <w:szCs w:val="20"/>
                <w:lang w:val="es-ES"/>
              </w:rPr>
            </w:pPr>
            <w:r w:rsidRPr="009E0B15">
              <w:rPr>
                <w:rFonts w:ascii="Arial" w:eastAsia="Arial" w:hAnsi="Arial" w:cs="Arial"/>
                <w:b/>
                <w:bCs/>
                <w:sz w:val="20"/>
                <w:szCs w:val="20"/>
                <w:lang w:val="es-ES"/>
              </w:rPr>
              <w:t>Componente I: Estabilidad macroeconómica</w:t>
            </w:r>
          </w:p>
        </w:tc>
      </w:tr>
      <w:tr w:rsidR="00922FAF" w:rsidRPr="009E0B15" w14:paraId="5186873F" w14:textId="134DAC6E" w:rsidTr="4C4E8546">
        <w:tc>
          <w:tcPr>
            <w:tcW w:w="3267" w:type="dxa"/>
          </w:tcPr>
          <w:p w14:paraId="5186873C" w14:textId="77777777" w:rsidR="00922FAF" w:rsidRPr="009E0B15" w:rsidRDefault="4C4E8546" w:rsidP="4C4E8546">
            <w:pPr>
              <w:pStyle w:val="ListParagraph"/>
              <w:numPr>
                <w:ilvl w:val="0"/>
                <w:numId w:val="1"/>
              </w:numPr>
              <w:tabs>
                <w:tab w:val="left" w:pos="187"/>
              </w:tabs>
              <w:ind w:left="180" w:hanging="180"/>
              <w:rPr>
                <w:rFonts w:ascii="Arial" w:eastAsia="Arial" w:hAnsi="Arial" w:cs="Arial"/>
                <w:sz w:val="20"/>
                <w:szCs w:val="20"/>
                <w:lang w:val="es-ES"/>
              </w:rPr>
            </w:pPr>
            <w:r w:rsidRPr="009E0B15">
              <w:rPr>
                <w:rFonts w:ascii="Arial" w:eastAsia="Arial" w:hAnsi="Arial" w:cs="Arial"/>
                <w:sz w:val="20"/>
                <w:szCs w:val="20"/>
                <w:lang w:val="es-ES"/>
              </w:rPr>
              <w:t>Mantener un entorno macroeconómico consistente con los objetivos del programa y con los lineamientos de la carta de política sectorial.</w:t>
            </w:r>
          </w:p>
        </w:tc>
        <w:tc>
          <w:tcPr>
            <w:tcW w:w="3267" w:type="dxa"/>
          </w:tcPr>
          <w:p w14:paraId="5186873D" w14:textId="6DD1954E" w:rsidR="00922FAF" w:rsidRPr="009E0B15" w:rsidRDefault="4C4E8546" w:rsidP="4C4E8546">
            <w:pPr>
              <w:rPr>
                <w:rFonts w:ascii="Arial" w:eastAsia="Arial" w:hAnsi="Arial" w:cs="Arial"/>
                <w:sz w:val="20"/>
                <w:szCs w:val="20"/>
                <w:lang w:val="es-ES"/>
              </w:rPr>
            </w:pPr>
            <w:r w:rsidRPr="009E0B15">
              <w:rPr>
                <w:rFonts w:ascii="Arial" w:eastAsia="Arial" w:hAnsi="Arial" w:cs="Arial"/>
                <w:sz w:val="20"/>
                <w:szCs w:val="20"/>
                <w:lang w:val="es-ES"/>
              </w:rPr>
              <w:t>El entorno macroeconómico sigue siendo consistente con los objetivos del programa y con los lineamientos de la carta de política sectorial.</w:t>
            </w:r>
          </w:p>
        </w:tc>
        <w:tc>
          <w:tcPr>
            <w:tcW w:w="3267" w:type="dxa"/>
          </w:tcPr>
          <w:p w14:paraId="5186873E" w14:textId="77777777" w:rsidR="00922FAF" w:rsidRPr="009E0B15" w:rsidRDefault="4C4E8546" w:rsidP="4C4E8546">
            <w:pPr>
              <w:rPr>
                <w:rFonts w:ascii="Arial" w:eastAsia="Arial" w:hAnsi="Arial" w:cs="Arial"/>
                <w:sz w:val="20"/>
                <w:szCs w:val="20"/>
                <w:lang w:val="es-ES"/>
              </w:rPr>
            </w:pPr>
            <w:r w:rsidRPr="009E0B15">
              <w:rPr>
                <w:rFonts w:ascii="Arial" w:eastAsia="Arial" w:hAnsi="Arial" w:cs="Arial"/>
                <w:sz w:val="20"/>
                <w:szCs w:val="20"/>
                <w:lang w:val="es-ES"/>
              </w:rPr>
              <w:t>El entorno macroeconómico sigue siendo consistente con los objetivos del programa y con los lineamientos de la carta de política sectorial.</w:t>
            </w:r>
          </w:p>
        </w:tc>
        <w:tc>
          <w:tcPr>
            <w:tcW w:w="3267" w:type="dxa"/>
          </w:tcPr>
          <w:p w14:paraId="25DCC12B" w14:textId="5A7E0444" w:rsidR="00922FAF" w:rsidRPr="009E0B15" w:rsidRDefault="4C4E8546" w:rsidP="4C4E8546">
            <w:pPr>
              <w:rPr>
                <w:rFonts w:ascii="Arial" w:eastAsia="Arial" w:hAnsi="Arial" w:cs="Arial"/>
                <w:sz w:val="20"/>
                <w:szCs w:val="20"/>
                <w:lang w:val="es-ES"/>
              </w:rPr>
            </w:pPr>
            <w:r w:rsidRPr="009E0B15">
              <w:rPr>
                <w:rFonts w:ascii="Arial" w:eastAsia="Arial" w:hAnsi="Arial" w:cs="Arial"/>
                <w:sz w:val="20"/>
                <w:szCs w:val="20"/>
                <w:lang w:val="es-ES"/>
              </w:rPr>
              <w:t>No hubo cambios.</w:t>
            </w:r>
          </w:p>
        </w:tc>
      </w:tr>
      <w:tr w:rsidR="00BB195B" w:rsidRPr="00F52BC8" w14:paraId="51868741" w14:textId="20EB53DB" w:rsidTr="4C4E8546">
        <w:tc>
          <w:tcPr>
            <w:tcW w:w="9801" w:type="dxa"/>
            <w:gridSpan w:val="3"/>
            <w:shd w:val="clear" w:color="auto" w:fill="BFBFBF" w:themeFill="background1" w:themeFillShade="BF"/>
          </w:tcPr>
          <w:p w14:paraId="67793B9D" w14:textId="4ADB7F4D" w:rsidR="00BB195B" w:rsidRPr="009E0B15" w:rsidRDefault="4C4E8546" w:rsidP="4C4E8546">
            <w:pPr>
              <w:spacing w:before="60" w:after="60"/>
              <w:jc w:val="both"/>
              <w:rPr>
                <w:rFonts w:ascii="Arial" w:eastAsia="Arial,Times New Roman" w:hAnsi="Arial" w:cs="Arial"/>
                <w:b/>
                <w:bCs/>
                <w:color w:val="000000" w:themeColor="text1"/>
                <w:sz w:val="20"/>
                <w:szCs w:val="20"/>
                <w:lang w:val="es-ES"/>
              </w:rPr>
            </w:pPr>
            <w:r w:rsidRPr="009E0B15">
              <w:rPr>
                <w:rFonts w:ascii="Arial" w:eastAsia="Arial,Times New Roman" w:hAnsi="Arial" w:cs="Arial"/>
                <w:b/>
                <w:bCs/>
                <w:color w:val="000000" w:themeColor="text1"/>
                <w:sz w:val="20"/>
                <w:szCs w:val="20"/>
                <w:lang w:val="es-ES"/>
              </w:rPr>
              <w:t>Componente II: Mejora del financiamiento para el desarrollo productivo y las alianzas público-privadas</w:t>
            </w:r>
          </w:p>
        </w:tc>
        <w:tc>
          <w:tcPr>
            <w:tcW w:w="3267" w:type="dxa"/>
            <w:shd w:val="clear" w:color="auto" w:fill="BFBFBF" w:themeFill="background1" w:themeFillShade="BF"/>
          </w:tcPr>
          <w:p w14:paraId="7EFCCC1A" w14:textId="6AF6493B" w:rsidR="00BB195B" w:rsidRPr="009E0B15" w:rsidRDefault="4C4E8546" w:rsidP="4C4E8546">
            <w:pPr>
              <w:spacing w:before="60" w:after="60"/>
              <w:jc w:val="both"/>
              <w:rPr>
                <w:rFonts w:ascii="Arial" w:eastAsia="Arial,Times New Roman" w:hAnsi="Arial" w:cs="Arial"/>
                <w:b/>
                <w:bCs/>
                <w:color w:val="000000" w:themeColor="text1"/>
                <w:sz w:val="20"/>
                <w:szCs w:val="20"/>
                <w:lang w:val="es-ES"/>
              </w:rPr>
            </w:pPr>
            <w:r w:rsidRPr="009E0B15">
              <w:rPr>
                <w:rFonts w:ascii="Arial" w:eastAsia="Arial,Times New Roman" w:hAnsi="Arial" w:cs="Arial"/>
                <w:b/>
                <w:bCs/>
                <w:color w:val="000000" w:themeColor="text1"/>
                <w:sz w:val="20"/>
                <w:szCs w:val="20"/>
                <w:lang w:val="es-ES"/>
              </w:rPr>
              <w:t>Se agrega el concepto de financiamiento a las alianzas público-privadas para poner en evidencia el papel relevante que está jugando la Financiera de Desarrollo Nacional en el tema</w:t>
            </w:r>
          </w:p>
        </w:tc>
      </w:tr>
      <w:tr w:rsidR="00922FAF" w:rsidRPr="00F52BC8" w14:paraId="5186874E" w14:textId="432EEF97" w:rsidTr="4C4E8546">
        <w:tc>
          <w:tcPr>
            <w:tcW w:w="3267" w:type="dxa"/>
          </w:tcPr>
          <w:p w14:paraId="51868742" w14:textId="77777777" w:rsidR="00922FAF" w:rsidRPr="009E0B15" w:rsidRDefault="4C4E8546" w:rsidP="4C4E8546">
            <w:pPr>
              <w:pStyle w:val="ListParagraph"/>
              <w:numPr>
                <w:ilvl w:val="0"/>
                <w:numId w:val="2"/>
              </w:numPr>
              <w:tabs>
                <w:tab w:val="left" w:pos="187"/>
              </w:tabs>
              <w:ind w:left="180" w:hanging="180"/>
              <w:rPr>
                <w:rFonts w:ascii="Arial" w:eastAsia="Arial" w:hAnsi="Arial" w:cs="Arial"/>
                <w:sz w:val="20"/>
                <w:szCs w:val="20"/>
                <w:lang w:val="es-ES"/>
              </w:rPr>
            </w:pPr>
            <w:r w:rsidRPr="009E0B15">
              <w:rPr>
                <w:rFonts w:ascii="Arial" w:eastAsia="Arial" w:hAnsi="Arial" w:cs="Arial"/>
                <w:sz w:val="20"/>
                <w:szCs w:val="20"/>
                <w:lang w:val="es-ES"/>
              </w:rPr>
              <w:t>Fortalecimiento a los sistemas de garantías para el desarrollo productivo.</w:t>
            </w:r>
          </w:p>
        </w:tc>
        <w:tc>
          <w:tcPr>
            <w:tcW w:w="3267" w:type="dxa"/>
          </w:tcPr>
          <w:p w14:paraId="0C155386" w14:textId="59C799B1" w:rsidR="00922FAF" w:rsidRPr="009E0B15" w:rsidRDefault="4C4E8546" w:rsidP="4C4E8546">
            <w:pPr>
              <w:pStyle w:val="ListParagraph"/>
              <w:numPr>
                <w:ilvl w:val="0"/>
                <w:numId w:val="47"/>
              </w:numPr>
              <w:ind w:left="378" w:hanging="360"/>
              <w:jc w:val="both"/>
              <w:rPr>
                <w:rFonts w:ascii="Arial" w:eastAsia="Arial" w:hAnsi="Arial" w:cs="Arial"/>
                <w:sz w:val="20"/>
                <w:szCs w:val="20"/>
                <w:lang w:val="es-ES"/>
              </w:rPr>
            </w:pPr>
            <w:r w:rsidRPr="009E0B15">
              <w:rPr>
                <w:rFonts w:ascii="Arial" w:eastAsia="Arial" w:hAnsi="Arial" w:cs="Arial"/>
                <w:sz w:val="20"/>
                <w:szCs w:val="20"/>
                <w:lang w:val="es-ES"/>
              </w:rPr>
              <w:t>Se ha avanzado en las siguientes áreas:</w:t>
            </w:r>
          </w:p>
          <w:p w14:paraId="2932015D" w14:textId="77777777" w:rsidR="00922FAF" w:rsidRPr="009E0B15" w:rsidRDefault="4C4E8546" w:rsidP="4C4E8546">
            <w:pPr>
              <w:pStyle w:val="ListParagraph"/>
              <w:numPr>
                <w:ilvl w:val="0"/>
                <w:numId w:val="8"/>
              </w:numPr>
              <w:rPr>
                <w:rFonts w:ascii="Arial" w:eastAsia="Arial" w:hAnsi="Arial" w:cs="Arial"/>
                <w:sz w:val="20"/>
                <w:szCs w:val="20"/>
                <w:lang w:val="es-ES"/>
              </w:rPr>
            </w:pPr>
            <w:r w:rsidRPr="009E0B15">
              <w:rPr>
                <w:rFonts w:ascii="Arial" w:eastAsia="Arial" w:hAnsi="Arial" w:cs="Arial"/>
                <w:sz w:val="20"/>
                <w:szCs w:val="20"/>
                <w:lang w:val="es-ES"/>
              </w:rPr>
              <w:t>El Decreto que reglamenta la ejecución de garantías mobiliarias por parte de las entidades de crédito ha sido emitido por el Gobierno Nacional (MHCP).</w:t>
            </w:r>
          </w:p>
          <w:p w14:paraId="7E6B23C6" w14:textId="77777777" w:rsidR="00922FAF" w:rsidRPr="009E0B15" w:rsidRDefault="4C4E8546" w:rsidP="4C4E8546">
            <w:pPr>
              <w:pStyle w:val="ListParagraph"/>
              <w:numPr>
                <w:ilvl w:val="0"/>
                <w:numId w:val="8"/>
              </w:numPr>
              <w:rPr>
                <w:rFonts w:ascii="Arial" w:eastAsia="Arial" w:hAnsi="Arial" w:cs="Arial"/>
                <w:sz w:val="20"/>
                <w:szCs w:val="20"/>
                <w:lang w:val="es-ES"/>
              </w:rPr>
            </w:pPr>
            <w:r w:rsidRPr="009E0B15">
              <w:rPr>
                <w:rFonts w:ascii="Arial" w:eastAsia="Arial" w:hAnsi="Arial" w:cs="Arial"/>
                <w:sz w:val="20"/>
                <w:szCs w:val="20"/>
                <w:lang w:val="es-ES"/>
              </w:rPr>
              <w:t xml:space="preserve">La Circular sobre mecanismos de valoración de las garantías mobiliarias ha sido emitida por la Superintendencia Financiera. </w:t>
            </w:r>
          </w:p>
          <w:p w14:paraId="6F485EB5" w14:textId="77777777" w:rsidR="00922FAF" w:rsidRPr="009E0B15" w:rsidRDefault="4C4E8546" w:rsidP="4C4E8546">
            <w:pPr>
              <w:pStyle w:val="ListParagraph"/>
              <w:numPr>
                <w:ilvl w:val="0"/>
                <w:numId w:val="8"/>
              </w:numPr>
              <w:rPr>
                <w:rFonts w:ascii="Arial" w:eastAsia="Arial" w:hAnsi="Arial" w:cs="Arial"/>
                <w:sz w:val="20"/>
                <w:szCs w:val="20"/>
                <w:lang w:val="es-ES"/>
              </w:rPr>
            </w:pPr>
            <w:r w:rsidRPr="009E0B15">
              <w:rPr>
                <w:rFonts w:ascii="Arial" w:eastAsia="Arial" w:hAnsi="Arial" w:cs="Arial"/>
                <w:sz w:val="20"/>
                <w:szCs w:val="20"/>
                <w:lang w:val="es-ES"/>
              </w:rPr>
              <w:t xml:space="preserve">El Registro Único de Factura Electrónica ha </w:t>
            </w:r>
            <w:r w:rsidRPr="009E0B15">
              <w:rPr>
                <w:rFonts w:ascii="Arial" w:eastAsia="Arial" w:hAnsi="Arial" w:cs="Arial"/>
                <w:sz w:val="20"/>
                <w:szCs w:val="20"/>
                <w:lang w:val="es-ES"/>
              </w:rPr>
              <w:lastRenderedPageBreak/>
              <w:t>sido creado mediante la Ley del Plan Nacional de Desarrollo 2014-2018 aprobada por el Congreso de la República.</w:t>
            </w:r>
          </w:p>
          <w:p w14:paraId="32EEB5F1" w14:textId="034C5523" w:rsidR="00922FAF" w:rsidRPr="009E0B15" w:rsidRDefault="4C4E8546" w:rsidP="4C4E8546">
            <w:pPr>
              <w:pStyle w:val="ListParagraph"/>
              <w:numPr>
                <w:ilvl w:val="0"/>
                <w:numId w:val="8"/>
              </w:numPr>
              <w:rPr>
                <w:rFonts w:ascii="Arial" w:eastAsia="Arial" w:hAnsi="Arial" w:cs="Arial"/>
                <w:sz w:val="20"/>
                <w:szCs w:val="20"/>
                <w:lang w:val="es-ES"/>
              </w:rPr>
            </w:pPr>
            <w:r w:rsidRPr="009E0B15">
              <w:rPr>
                <w:rFonts w:ascii="Arial" w:eastAsia="Arial" w:hAnsi="Arial" w:cs="Arial"/>
                <w:sz w:val="20"/>
                <w:szCs w:val="20"/>
                <w:lang w:val="es-ES"/>
              </w:rPr>
              <w:t>El Decreto que reglamenta la puesta en funcionamiento del Registro Único de Factura Electrónica ha sido emitido por el Gobierno Nacional (Ministerio de Comercio, Industria y Turismo).</w:t>
            </w:r>
          </w:p>
          <w:p w14:paraId="51868748" w14:textId="0AC6AFA0" w:rsidR="00922FAF" w:rsidRPr="009E0B15" w:rsidRDefault="4C4E8546" w:rsidP="4C4E8546">
            <w:pPr>
              <w:pStyle w:val="ListParagraph"/>
              <w:numPr>
                <w:ilvl w:val="0"/>
                <w:numId w:val="8"/>
              </w:numPr>
              <w:rPr>
                <w:rFonts w:ascii="Arial" w:eastAsia="Arial" w:hAnsi="Arial" w:cs="Arial"/>
                <w:sz w:val="20"/>
                <w:szCs w:val="20"/>
                <w:lang w:val="es-ES"/>
              </w:rPr>
            </w:pPr>
            <w:r w:rsidRPr="009E0B15">
              <w:rPr>
                <w:rFonts w:ascii="Arial" w:eastAsia="Arial" w:hAnsi="Arial" w:cs="Arial"/>
                <w:sz w:val="20"/>
                <w:szCs w:val="20"/>
                <w:lang w:val="es-ES"/>
              </w:rPr>
              <w:t>El Decreto que reglamenta la masificación de la Factura Electrónica ha sido emitido por el Gobierno Nacional (MHCP).</w:t>
            </w:r>
          </w:p>
        </w:tc>
        <w:tc>
          <w:tcPr>
            <w:tcW w:w="3267" w:type="dxa"/>
          </w:tcPr>
          <w:p w14:paraId="51868749" w14:textId="77777777" w:rsidR="00922FAF" w:rsidRPr="009E0B15" w:rsidRDefault="4C4E8546" w:rsidP="4C4E8546">
            <w:pPr>
              <w:pStyle w:val="ListParagraph"/>
              <w:numPr>
                <w:ilvl w:val="0"/>
                <w:numId w:val="7"/>
              </w:numPr>
              <w:ind w:left="396"/>
              <w:rPr>
                <w:rFonts w:ascii="Arial" w:eastAsia="Arial" w:hAnsi="Arial" w:cs="Arial"/>
                <w:sz w:val="20"/>
                <w:szCs w:val="20"/>
                <w:lang w:val="es-ES"/>
              </w:rPr>
            </w:pPr>
            <w:r w:rsidRPr="009E0B15">
              <w:rPr>
                <w:rFonts w:ascii="Arial" w:eastAsia="Arial" w:hAnsi="Arial" w:cs="Arial"/>
                <w:sz w:val="20"/>
                <w:szCs w:val="20"/>
                <w:lang w:val="es-ES"/>
              </w:rPr>
              <w:lastRenderedPageBreak/>
              <w:t>Se han adoptado medidas para mejorar el acceso al financiamiento productivo por parte de las firmas colombianas, incluidas como mínimo las siguientes medidas:</w:t>
            </w:r>
          </w:p>
          <w:p w14:paraId="5186874A" w14:textId="77777777" w:rsidR="00922FAF" w:rsidRPr="009E0B15" w:rsidRDefault="4C4E8546" w:rsidP="4C4E8546">
            <w:pPr>
              <w:pStyle w:val="ListParagraph"/>
              <w:numPr>
                <w:ilvl w:val="0"/>
                <w:numId w:val="8"/>
              </w:numPr>
              <w:rPr>
                <w:rFonts w:ascii="Arial" w:eastAsia="Arial" w:hAnsi="Arial" w:cs="Arial"/>
                <w:sz w:val="20"/>
                <w:szCs w:val="20"/>
                <w:lang w:val="es-ES"/>
              </w:rPr>
            </w:pPr>
            <w:r w:rsidRPr="009E0B15">
              <w:rPr>
                <w:rFonts w:ascii="Arial" w:eastAsia="Arial" w:hAnsi="Arial" w:cs="Arial"/>
                <w:sz w:val="20"/>
                <w:szCs w:val="20"/>
                <w:lang w:val="es-ES"/>
              </w:rPr>
              <w:t>El Decreto que reglamenta la ejecución de garantías mobiliarias por parte de las entidades de crédito ha sido emitido por el Gobierno Nacional (MHCP).</w:t>
            </w:r>
          </w:p>
          <w:p w14:paraId="5186874B" w14:textId="77777777" w:rsidR="00922FAF" w:rsidRPr="009E0B15" w:rsidRDefault="4C4E8546" w:rsidP="4C4E8546">
            <w:pPr>
              <w:pStyle w:val="ListParagraph"/>
              <w:numPr>
                <w:ilvl w:val="0"/>
                <w:numId w:val="8"/>
              </w:numPr>
              <w:rPr>
                <w:rFonts w:ascii="Arial" w:eastAsia="Arial" w:hAnsi="Arial" w:cs="Arial"/>
                <w:sz w:val="20"/>
                <w:szCs w:val="20"/>
                <w:lang w:val="es-ES"/>
              </w:rPr>
            </w:pPr>
            <w:r w:rsidRPr="009E0B15">
              <w:rPr>
                <w:rFonts w:ascii="Arial" w:eastAsia="Arial" w:hAnsi="Arial" w:cs="Arial"/>
                <w:sz w:val="20"/>
                <w:szCs w:val="20"/>
                <w:lang w:val="es-ES"/>
              </w:rPr>
              <w:t xml:space="preserve">La Circular sobre mecanismos de valoración de las garantías mobiliarias ha </w:t>
            </w:r>
            <w:r w:rsidRPr="009E0B15">
              <w:rPr>
                <w:rFonts w:ascii="Arial" w:eastAsia="Arial" w:hAnsi="Arial" w:cs="Arial"/>
                <w:sz w:val="20"/>
                <w:szCs w:val="20"/>
                <w:lang w:val="es-ES"/>
              </w:rPr>
              <w:lastRenderedPageBreak/>
              <w:t>sido emitida por la Superintendencia Financiera.</w:t>
            </w:r>
          </w:p>
          <w:p w14:paraId="5186874C" w14:textId="77777777" w:rsidR="00922FAF" w:rsidRPr="009E0B15" w:rsidRDefault="4C4E8546" w:rsidP="4C4E8546">
            <w:pPr>
              <w:pStyle w:val="ListParagraph"/>
              <w:numPr>
                <w:ilvl w:val="0"/>
                <w:numId w:val="8"/>
              </w:numPr>
              <w:rPr>
                <w:rFonts w:ascii="Arial" w:eastAsia="Arial" w:hAnsi="Arial" w:cs="Arial"/>
                <w:sz w:val="20"/>
                <w:szCs w:val="20"/>
                <w:lang w:val="es-ES"/>
              </w:rPr>
            </w:pPr>
            <w:r w:rsidRPr="009E0B15">
              <w:rPr>
                <w:rFonts w:ascii="Arial" w:eastAsia="Arial" w:hAnsi="Arial" w:cs="Arial"/>
                <w:sz w:val="20"/>
                <w:szCs w:val="20"/>
                <w:lang w:val="es-ES"/>
              </w:rPr>
              <w:t>El Decreto que reglamenta la puesta en funcionamiento del Registro Único de Factura Electrónica ha sido emitido por el Gobierno Nacional (Ministerio de Comercio, Industria y Turismo).</w:t>
            </w:r>
          </w:p>
          <w:p w14:paraId="5186874D" w14:textId="77777777" w:rsidR="00922FAF" w:rsidRPr="009E0B15" w:rsidRDefault="4C4E8546" w:rsidP="4C4E8546">
            <w:pPr>
              <w:pStyle w:val="ListParagraph"/>
              <w:numPr>
                <w:ilvl w:val="0"/>
                <w:numId w:val="8"/>
              </w:numPr>
              <w:rPr>
                <w:rFonts w:ascii="Arial" w:eastAsia="Arial" w:hAnsi="Arial" w:cs="Arial"/>
                <w:sz w:val="20"/>
                <w:szCs w:val="20"/>
                <w:lang w:val="es-ES"/>
              </w:rPr>
            </w:pPr>
            <w:r w:rsidRPr="009E0B15">
              <w:rPr>
                <w:rFonts w:ascii="Arial" w:eastAsia="Arial" w:hAnsi="Arial" w:cs="Arial"/>
                <w:sz w:val="20"/>
                <w:szCs w:val="20"/>
                <w:lang w:val="es-ES"/>
              </w:rPr>
              <w:t>El Decreto que reglamenta la masificación de la Factura Electrónica ha sido emitido por el Gobierno Nacional (MHCP).</w:t>
            </w:r>
          </w:p>
        </w:tc>
        <w:tc>
          <w:tcPr>
            <w:tcW w:w="3267" w:type="dxa"/>
          </w:tcPr>
          <w:p w14:paraId="7AAA4E24" w14:textId="2B7AFBB9" w:rsidR="00922FAF" w:rsidRPr="009E0B15" w:rsidRDefault="4C4E8546" w:rsidP="4C4E8546">
            <w:pPr>
              <w:rPr>
                <w:rFonts w:ascii="Arial" w:eastAsia="Arial" w:hAnsi="Arial" w:cs="Arial"/>
                <w:sz w:val="20"/>
                <w:szCs w:val="20"/>
                <w:lang w:val="es-ES"/>
              </w:rPr>
            </w:pPr>
            <w:r w:rsidRPr="009E0B15">
              <w:rPr>
                <w:rFonts w:ascii="Arial" w:eastAsia="Arial" w:hAnsi="Arial" w:cs="Arial"/>
                <w:sz w:val="20"/>
                <w:szCs w:val="20"/>
                <w:lang w:val="es-ES"/>
              </w:rPr>
              <w:lastRenderedPageBreak/>
              <w:t>Se elimina mención de la medida descrita en el tercer punto, “El Registro Único de la Factura Electrónica ha sido creado mediante la Ley del Plan Nacional de Desarrollo 2014-2018 aprobada por el Congreso de la República”, al encontrarse duplicado en los hitos de la primera operación.</w:t>
            </w:r>
          </w:p>
        </w:tc>
      </w:tr>
      <w:tr w:rsidR="00922FAF" w:rsidRPr="00F52BC8" w14:paraId="51868769" w14:textId="7284B68F" w:rsidTr="4C4E8546">
        <w:tc>
          <w:tcPr>
            <w:tcW w:w="3267" w:type="dxa"/>
          </w:tcPr>
          <w:p w14:paraId="5186874F" w14:textId="0F8FF4E1" w:rsidR="00922FAF" w:rsidRPr="009E0B15" w:rsidRDefault="4C4E8546" w:rsidP="4C4E8546">
            <w:pPr>
              <w:pStyle w:val="ListParagraph"/>
              <w:numPr>
                <w:ilvl w:val="0"/>
                <w:numId w:val="2"/>
              </w:numPr>
              <w:tabs>
                <w:tab w:val="left" w:pos="187"/>
              </w:tabs>
              <w:ind w:left="180" w:hanging="180"/>
              <w:rPr>
                <w:rFonts w:ascii="Arial" w:eastAsia="Arial" w:hAnsi="Arial" w:cs="Arial"/>
                <w:sz w:val="20"/>
                <w:szCs w:val="20"/>
                <w:lang w:val="es-ES"/>
              </w:rPr>
            </w:pPr>
            <w:r w:rsidRPr="009E0B15">
              <w:rPr>
                <w:rFonts w:ascii="Arial" w:eastAsia="Arial" w:hAnsi="Arial" w:cs="Arial"/>
                <w:sz w:val="20"/>
                <w:szCs w:val="20"/>
                <w:lang w:val="es-ES"/>
              </w:rPr>
              <w:t>Fortalecimiento de las instituciones públicas para el financiamiento del desarrollo productivo y de alianzas público</w:t>
            </w:r>
            <w:r w:rsidR="00242D4C">
              <w:rPr>
                <w:rFonts w:ascii="Arial" w:eastAsia="Arial" w:hAnsi="Arial" w:cs="Arial"/>
                <w:sz w:val="20"/>
                <w:szCs w:val="20"/>
                <w:lang w:val="es-ES"/>
              </w:rPr>
              <w:t>-</w:t>
            </w:r>
            <w:r w:rsidRPr="009E0B15">
              <w:rPr>
                <w:rFonts w:ascii="Arial" w:eastAsia="Arial" w:hAnsi="Arial" w:cs="Arial"/>
                <w:sz w:val="20"/>
                <w:szCs w:val="20"/>
                <w:lang w:val="es-ES"/>
              </w:rPr>
              <w:t xml:space="preserve">privadas. </w:t>
            </w:r>
          </w:p>
        </w:tc>
        <w:tc>
          <w:tcPr>
            <w:tcW w:w="3267" w:type="dxa"/>
          </w:tcPr>
          <w:p w14:paraId="504135A3" w14:textId="59743E0F" w:rsidR="00922FAF" w:rsidRPr="009E0B15" w:rsidRDefault="4C4E8546" w:rsidP="4C4E8546">
            <w:pPr>
              <w:pStyle w:val="ListParagraph"/>
              <w:numPr>
                <w:ilvl w:val="0"/>
                <w:numId w:val="42"/>
              </w:numPr>
              <w:ind w:left="378" w:hanging="360"/>
              <w:rPr>
                <w:rFonts w:ascii="Arial" w:eastAsia="Arial" w:hAnsi="Arial" w:cs="Arial"/>
                <w:sz w:val="20"/>
                <w:szCs w:val="20"/>
                <w:lang w:val="es-ES"/>
              </w:rPr>
            </w:pPr>
            <w:r w:rsidRPr="009E0B15">
              <w:rPr>
                <w:rFonts w:ascii="Arial" w:eastAsia="Arial" w:hAnsi="Arial" w:cs="Arial"/>
                <w:sz w:val="20"/>
                <w:szCs w:val="20"/>
                <w:lang w:val="es-ES"/>
              </w:rPr>
              <w:t>Se ha avanzado en las siguientes áreas:</w:t>
            </w:r>
          </w:p>
          <w:p w14:paraId="63EC33EB" w14:textId="77777777" w:rsidR="00922FAF" w:rsidRPr="009E0B15" w:rsidRDefault="4C4E8546" w:rsidP="4C4E8546">
            <w:pPr>
              <w:pStyle w:val="ListParagraph"/>
              <w:numPr>
                <w:ilvl w:val="0"/>
                <w:numId w:val="8"/>
              </w:numPr>
              <w:rPr>
                <w:rFonts w:ascii="Arial" w:eastAsia="Arial" w:hAnsi="Arial" w:cs="Arial"/>
                <w:sz w:val="20"/>
                <w:szCs w:val="20"/>
                <w:lang w:val="es-ES"/>
              </w:rPr>
            </w:pPr>
            <w:r w:rsidRPr="009E0B15">
              <w:rPr>
                <w:rFonts w:ascii="Arial" w:eastAsia="Arial" w:hAnsi="Arial" w:cs="Arial"/>
                <w:sz w:val="20"/>
                <w:szCs w:val="20"/>
                <w:lang w:val="es-ES"/>
              </w:rPr>
              <w:t>Los cierres financieros de contratos de concesión de cuarta generación han sido firmados por la Financiera de Desarrollo Nacional.</w:t>
            </w:r>
          </w:p>
          <w:p w14:paraId="069A2E36" w14:textId="7790A399" w:rsidR="00922FAF" w:rsidRPr="009E0B15" w:rsidRDefault="4C4E8546" w:rsidP="4C4E8546">
            <w:pPr>
              <w:pStyle w:val="ListParagraph"/>
              <w:numPr>
                <w:ilvl w:val="0"/>
                <w:numId w:val="8"/>
              </w:numPr>
              <w:rPr>
                <w:rFonts w:ascii="Arial" w:eastAsia="Arial" w:hAnsi="Arial" w:cs="Arial"/>
                <w:sz w:val="20"/>
                <w:szCs w:val="20"/>
                <w:lang w:val="es-ES"/>
              </w:rPr>
            </w:pPr>
            <w:r w:rsidRPr="009E0B15">
              <w:rPr>
                <w:rFonts w:ascii="Arial" w:eastAsia="Arial" w:hAnsi="Arial" w:cs="Arial"/>
                <w:sz w:val="20"/>
                <w:szCs w:val="20"/>
                <w:lang w:val="es-ES"/>
              </w:rPr>
              <w:t xml:space="preserve">Nuevos instrumentos financieros para la estructuración de proyectos de concesión de cuarta generación han sido emitidos por la </w:t>
            </w:r>
            <w:r w:rsidRPr="009E0B15">
              <w:rPr>
                <w:rFonts w:ascii="Arial" w:eastAsia="Arial" w:hAnsi="Arial" w:cs="Arial"/>
                <w:sz w:val="20"/>
                <w:szCs w:val="20"/>
                <w:lang w:val="es-ES"/>
              </w:rPr>
              <w:lastRenderedPageBreak/>
              <w:t>Financiera de Desarrollo Nacional.</w:t>
            </w:r>
          </w:p>
          <w:p w14:paraId="4F1693BA" w14:textId="77777777" w:rsidR="00922FAF" w:rsidRPr="009E0B15" w:rsidRDefault="00922FAF" w:rsidP="00013E76">
            <w:pPr>
              <w:pStyle w:val="ListParagraph"/>
              <w:rPr>
                <w:rFonts w:ascii="Arial" w:hAnsi="Arial" w:cs="Arial"/>
                <w:sz w:val="20"/>
                <w:szCs w:val="20"/>
                <w:lang w:val="es-ES_tradnl"/>
              </w:rPr>
            </w:pPr>
          </w:p>
          <w:p w14:paraId="69C36785" w14:textId="7F38C5EF" w:rsidR="00922FAF" w:rsidRPr="009E0B15" w:rsidRDefault="4C4E8546" w:rsidP="4C4E8546">
            <w:pPr>
              <w:pStyle w:val="ListParagraph"/>
              <w:numPr>
                <w:ilvl w:val="0"/>
                <w:numId w:val="42"/>
              </w:numPr>
              <w:ind w:left="378" w:hanging="360"/>
              <w:rPr>
                <w:rFonts w:ascii="Arial" w:eastAsia="Arial" w:hAnsi="Arial" w:cs="Arial"/>
                <w:sz w:val="20"/>
                <w:szCs w:val="20"/>
                <w:lang w:val="es-ES"/>
              </w:rPr>
            </w:pPr>
            <w:r w:rsidRPr="009E0B15">
              <w:rPr>
                <w:rFonts w:ascii="Arial" w:eastAsia="Arial" w:hAnsi="Arial" w:cs="Arial"/>
                <w:sz w:val="20"/>
                <w:szCs w:val="20"/>
                <w:lang w:val="es-ES"/>
              </w:rPr>
              <w:t>Se ha avanzado en las siguientes áreas:</w:t>
            </w:r>
          </w:p>
          <w:p w14:paraId="086746F1" w14:textId="77777777" w:rsidR="00922FAF" w:rsidRPr="009E0B15" w:rsidRDefault="4C4E8546" w:rsidP="4C4E8546">
            <w:pPr>
              <w:pStyle w:val="ListParagraph"/>
              <w:numPr>
                <w:ilvl w:val="0"/>
                <w:numId w:val="8"/>
              </w:numPr>
              <w:rPr>
                <w:rFonts w:ascii="Arial" w:eastAsia="Arial" w:hAnsi="Arial" w:cs="Arial"/>
                <w:sz w:val="20"/>
                <w:szCs w:val="20"/>
                <w:lang w:val="es-ES"/>
              </w:rPr>
            </w:pPr>
            <w:r w:rsidRPr="009E0B15">
              <w:rPr>
                <w:rFonts w:ascii="Arial" w:eastAsia="Arial" w:hAnsi="Arial" w:cs="Arial"/>
                <w:sz w:val="20"/>
                <w:szCs w:val="20"/>
                <w:lang w:val="es-ES"/>
              </w:rPr>
              <w:t>El proyecto de Decreto para la reglamentación de financiamiento para la reactivación del sector agropecuario ha sido publicado para consulta por el Ministerio de Agricultura y Desarrollo Rural.</w:t>
            </w:r>
          </w:p>
          <w:p w14:paraId="7D59ACDE" w14:textId="77777777" w:rsidR="00922FAF" w:rsidRPr="009E0B15" w:rsidRDefault="4C4E8546" w:rsidP="4C4E8546">
            <w:pPr>
              <w:pStyle w:val="ListParagraph"/>
              <w:numPr>
                <w:ilvl w:val="0"/>
                <w:numId w:val="8"/>
              </w:numPr>
              <w:rPr>
                <w:rFonts w:ascii="Arial" w:eastAsia="Arial" w:hAnsi="Arial" w:cs="Arial"/>
                <w:sz w:val="20"/>
                <w:szCs w:val="20"/>
                <w:lang w:val="es-ES"/>
              </w:rPr>
            </w:pPr>
            <w:r w:rsidRPr="009E0B15">
              <w:rPr>
                <w:rFonts w:ascii="Arial" w:eastAsia="Arial" w:hAnsi="Arial" w:cs="Arial"/>
                <w:sz w:val="20"/>
                <w:szCs w:val="20"/>
                <w:lang w:val="es-ES"/>
              </w:rPr>
              <w:t>El Decreto para la revisión de cupos de concentración de crédito del Fondo para el Financiamiento del Sector Agropecuario con las entidades con que hace redescuento ha sido emitido por el Gobierno Nacional (MHCP).</w:t>
            </w:r>
          </w:p>
          <w:p w14:paraId="51868757" w14:textId="7449B4C9" w:rsidR="00922FAF" w:rsidRPr="009E0B15" w:rsidRDefault="4C4E8546" w:rsidP="4C4E8546">
            <w:pPr>
              <w:pStyle w:val="ListParagraph"/>
              <w:numPr>
                <w:ilvl w:val="0"/>
                <w:numId w:val="8"/>
              </w:numPr>
              <w:rPr>
                <w:rFonts w:ascii="Arial" w:eastAsia="Arial" w:hAnsi="Arial" w:cs="Arial"/>
                <w:sz w:val="20"/>
                <w:szCs w:val="20"/>
                <w:lang w:val="es-ES"/>
              </w:rPr>
            </w:pPr>
            <w:r w:rsidRPr="009E0B15">
              <w:rPr>
                <w:rFonts w:ascii="Arial" w:eastAsia="Arial" w:hAnsi="Arial" w:cs="Arial"/>
                <w:sz w:val="20"/>
                <w:szCs w:val="20"/>
                <w:lang w:val="es-ES"/>
              </w:rPr>
              <w:t>La Circular que amplía el espectro de pólizas de seguros para el sector agropecuario ha sido emitida por la Superintendencia Financiera.</w:t>
            </w:r>
          </w:p>
        </w:tc>
        <w:tc>
          <w:tcPr>
            <w:tcW w:w="3267" w:type="dxa"/>
          </w:tcPr>
          <w:p w14:paraId="51868758" w14:textId="510AACE7" w:rsidR="00922FAF" w:rsidRPr="009E0B15" w:rsidRDefault="4C4E8546" w:rsidP="4C4E8546">
            <w:pPr>
              <w:pStyle w:val="ListParagraph"/>
              <w:numPr>
                <w:ilvl w:val="0"/>
                <w:numId w:val="10"/>
              </w:numPr>
              <w:ind w:left="396"/>
              <w:rPr>
                <w:rFonts w:ascii="Arial" w:eastAsia="Arial" w:hAnsi="Arial" w:cs="Arial"/>
                <w:sz w:val="20"/>
                <w:szCs w:val="20"/>
                <w:lang w:val="es-ES"/>
              </w:rPr>
            </w:pPr>
            <w:r w:rsidRPr="009E0B15">
              <w:rPr>
                <w:rFonts w:ascii="Arial" w:eastAsia="Arial" w:hAnsi="Arial" w:cs="Arial"/>
                <w:sz w:val="20"/>
                <w:szCs w:val="20"/>
                <w:lang w:val="es-ES"/>
              </w:rPr>
              <w:lastRenderedPageBreak/>
              <w:t>Se han adoptado medidas para fortalecer la capacidad de la Financiera de Desarrollo Nacional para facilitar un mejor acceso a financiamiento de proyectos de infraestructura a través de alianzas público</w:t>
            </w:r>
            <w:r w:rsidR="00242D4C">
              <w:rPr>
                <w:rFonts w:ascii="Arial" w:eastAsia="Arial" w:hAnsi="Arial" w:cs="Arial"/>
                <w:sz w:val="20"/>
                <w:szCs w:val="20"/>
                <w:lang w:val="es-ES"/>
              </w:rPr>
              <w:t>-</w:t>
            </w:r>
            <w:r w:rsidRPr="009E0B15">
              <w:rPr>
                <w:rFonts w:ascii="Arial" w:eastAsia="Arial" w:hAnsi="Arial" w:cs="Arial"/>
                <w:sz w:val="20"/>
                <w:szCs w:val="20"/>
                <w:lang w:val="es-ES"/>
              </w:rPr>
              <w:t>privadas, incluidas como mínimo:</w:t>
            </w:r>
          </w:p>
          <w:p w14:paraId="51868759" w14:textId="40129799" w:rsidR="00922FAF" w:rsidRPr="009E0B15" w:rsidRDefault="4C4E8546" w:rsidP="4C4E8546">
            <w:pPr>
              <w:pStyle w:val="ListParagraph"/>
              <w:numPr>
                <w:ilvl w:val="0"/>
                <w:numId w:val="12"/>
              </w:numPr>
              <w:rPr>
                <w:rFonts w:ascii="Arial" w:eastAsia="Arial" w:hAnsi="Arial" w:cs="Arial"/>
                <w:sz w:val="20"/>
                <w:szCs w:val="20"/>
                <w:lang w:val="es-ES"/>
              </w:rPr>
            </w:pPr>
            <w:r w:rsidRPr="009E0B15">
              <w:rPr>
                <w:rFonts w:ascii="Arial" w:eastAsia="Arial" w:hAnsi="Arial" w:cs="Arial"/>
                <w:sz w:val="20"/>
                <w:szCs w:val="20"/>
                <w:lang w:val="es-ES"/>
              </w:rPr>
              <w:t xml:space="preserve">Los cierres financieros de contratos de concesión de cuarta generación han sido </w:t>
            </w:r>
            <w:r w:rsidR="00F80310">
              <w:rPr>
                <w:rFonts w:ascii="Arial" w:eastAsia="Arial" w:hAnsi="Arial" w:cs="Arial"/>
                <w:sz w:val="20"/>
                <w:szCs w:val="20"/>
                <w:lang w:val="es-ES"/>
              </w:rPr>
              <w:t>concluidos</w:t>
            </w:r>
            <w:r w:rsidR="00F80310" w:rsidRPr="009E0B15">
              <w:rPr>
                <w:rFonts w:ascii="Arial" w:eastAsia="Arial" w:hAnsi="Arial" w:cs="Arial"/>
                <w:sz w:val="20"/>
                <w:szCs w:val="20"/>
                <w:lang w:val="es-ES"/>
              </w:rPr>
              <w:t xml:space="preserve"> </w:t>
            </w:r>
            <w:r w:rsidRPr="009E0B15">
              <w:rPr>
                <w:rFonts w:ascii="Arial" w:eastAsia="Arial" w:hAnsi="Arial" w:cs="Arial"/>
                <w:sz w:val="20"/>
                <w:szCs w:val="20"/>
                <w:lang w:val="es-ES"/>
              </w:rPr>
              <w:t>por la Financiera de Desarrollo Nacional</w:t>
            </w:r>
            <w:r w:rsidR="00F80310">
              <w:rPr>
                <w:rFonts w:ascii="Arial" w:eastAsia="Arial" w:hAnsi="Arial" w:cs="Arial"/>
                <w:sz w:val="20"/>
                <w:szCs w:val="20"/>
                <w:lang w:val="es-ES"/>
              </w:rPr>
              <w:t xml:space="preserve">, haciendo uso </w:t>
            </w:r>
            <w:r w:rsidR="00F80310">
              <w:rPr>
                <w:rFonts w:ascii="Arial" w:eastAsia="Arial" w:hAnsi="Arial" w:cs="Arial"/>
                <w:sz w:val="20"/>
                <w:szCs w:val="20"/>
                <w:lang w:val="es-ES"/>
              </w:rPr>
              <w:lastRenderedPageBreak/>
              <w:t>de nuevos instrumentos financieros</w:t>
            </w:r>
            <w:r w:rsidRPr="009E0B15">
              <w:rPr>
                <w:rFonts w:ascii="Arial" w:eastAsia="Arial" w:hAnsi="Arial" w:cs="Arial"/>
                <w:sz w:val="20"/>
                <w:szCs w:val="20"/>
                <w:lang w:val="es-ES"/>
              </w:rPr>
              <w:t>.</w:t>
            </w:r>
          </w:p>
          <w:p w14:paraId="5186875B" w14:textId="77777777" w:rsidR="00922FAF" w:rsidRPr="009E0B15" w:rsidRDefault="00922FAF" w:rsidP="00953CD3">
            <w:pPr>
              <w:rPr>
                <w:rFonts w:ascii="Arial" w:hAnsi="Arial" w:cs="Arial"/>
                <w:sz w:val="20"/>
                <w:szCs w:val="20"/>
                <w:lang w:val="es-ES_tradnl"/>
              </w:rPr>
            </w:pPr>
          </w:p>
          <w:p w14:paraId="51868765" w14:textId="77777777" w:rsidR="00922FAF" w:rsidRPr="009E0B15" w:rsidRDefault="4C4E8546" w:rsidP="4C4E8546">
            <w:pPr>
              <w:pStyle w:val="ListParagraph"/>
              <w:numPr>
                <w:ilvl w:val="0"/>
                <w:numId w:val="10"/>
              </w:numPr>
              <w:ind w:left="396"/>
              <w:rPr>
                <w:rFonts w:ascii="Arial" w:eastAsia="Arial" w:hAnsi="Arial" w:cs="Arial"/>
                <w:sz w:val="20"/>
                <w:szCs w:val="20"/>
                <w:lang w:val="es-ES"/>
              </w:rPr>
            </w:pPr>
            <w:r w:rsidRPr="009E0B15">
              <w:rPr>
                <w:rFonts w:ascii="Arial" w:eastAsia="Arial" w:hAnsi="Arial" w:cs="Arial"/>
                <w:sz w:val="20"/>
                <w:szCs w:val="20"/>
                <w:lang w:val="es-ES"/>
              </w:rPr>
              <w:t>Se han adoptado medidas para el acceso del sector agrícola a financiamiento productivo, incluidas como mínimo:</w:t>
            </w:r>
          </w:p>
          <w:p w14:paraId="51868766" w14:textId="3D18E3A8" w:rsidR="00922FAF" w:rsidRPr="009E0B15" w:rsidRDefault="4C4E8546" w:rsidP="4C4E8546">
            <w:pPr>
              <w:pStyle w:val="ListParagraph"/>
              <w:numPr>
                <w:ilvl w:val="0"/>
                <w:numId w:val="36"/>
              </w:numPr>
              <w:rPr>
                <w:rFonts w:ascii="Arial" w:eastAsia="Arial" w:hAnsi="Arial" w:cs="Arial"/>
                <w:sz w:val="20"/>
                <w:szCs w:val="20"/>
                <w:lang w:val="es-ES"/>
              </w:rPr>
            </w:pPr>
            <w:r w:rsidRPr="009E0B15">
              <w:rPr>
                <w:rFonts w:ascii="Arial" w:eastAsia="Arial" w:hAnsi="Arial" w:cs="Arial"/>
                <w:sz w:val="20"/>
                <w:szCs w:val="20"/>
                <w:lang w:val="es-ES"/>
              </w:rPr>
              <w:t>El Decreto para la reglamentación de financiamiento para la reactivación del sector agropecuario ha sido emitido por el Gobierno Nacional (Ministerio de Agricultura y Desarrollo Rural).</w:t>
            </w:r>
          </w:p>
          <w:p w14:paraId="51868767" w14:textId="77777777" w:rsidR="00922FAF" w:rsidRPr="009E0B15" w:rsidRDefault="4C4E8546" w:rsidP="4C4E8546">
            <w:pPr>
              <w:pStyle w:val="ListParagraph"/>
              <w:numPr>
                <w:ilvl w:val="0"/>
                <w:numId w:val="36"/>
              </w:numPr>
              <w:rPr>
                <w:rFonts w:ascii="Arial" w:eastAsia="Arial" w:hAnsi="Arial" w:cs="Arial"/>
                <w:sz w:val="20"/>
                <w:szCs w:val="20"/>
                <w:lang w:val="es-ES"/>
              </w:rPr>
            </w:pPr>
            <w:r w:rsidRPr="009E0B15">
              <w:rPr>
                <w:rFonts w:ascii="Arial" w:eastAsia="Arial" w:hAnsi="Arial" w:cs="Arial"/>
                <w:sz w:val="20"/>
                <w:szCs w:val="20"/>
                <w:lang w:val="es-ES"/>
              </w:rPr>
              <w:t>El Decreto para la revisión de cupos de concentración de crédito del Fondo para el Financiamiento del Sector Agropecuario con las entidades con que hace redescuento ha sido emitido por el Gobierno Nacional (MHCP).</w:t>
            </w:r>
          </w:p>
          <w:p w14:paraId="4387E148" w14:textId="77777777" w:rsidR="00922FAF" w:rsidRDefault="4C4E8546" w:rsidP="4C4E8546">
            <w:pPr>
              <w:pStyle w:val="ListParagraph"/>
              <w:numPr>
                <w:ilvl w:val="0"/>
                <w:numId w:val="36"/>
              </w:numPr>
              <w:rPr>
                <w:rFonts w:ascii="Arial" w:eastAsia="Arial" w:hAnsi="Arial" w:cs="Arial"/>
                <w:sz w:val="20"/>
                <w:szCs w:val="20"/>
                <w:lang w:val="es-ES"/>
              </w:rPr>
            </w:pPr>
            <w:r w:rsidRPr="009E0B15">
              <w:rPr>
                <w:rFonts w:ascii="Arial" w:eastAsia="Arial" w:hAnsi="Arial" w:cs="Arial"/>
                <w:sz w:val="20"/>
                <w:szCs w:val="20"/>
                <w:lang w:val="es-ES"/>
              </w:rPr>
              <w:t>La Circular que amplía el espectro de pólizas de seguros para el sector agropecuario ha sido emitida por la Superintendencia Financiera.</w:t>
            </w:r>
          </w:p>
          <w:p w14:paraId="51868768" w14:textId="4D68AB7E" w:rsidR="003D74DF" w:rsidRPr="009E0B15" w:rsidRDefault="003D74DF" w:rsidP="00FD510A">
            <w:pPr>
              <w:pStyle w:val="ListParagraph"/>
              <w:rPr>
                <w:rFonts w:ascii="Arial" w:eastAsia="Arial" w:hAnsi="Arial" w:cs="Arial"/>
                <w:sz w:val="20"/>
                <w:szCs w:val="20"/>
                <w:lang w:val="es-ES"/>
              </w:rPr>
            </w:pPr>
          </w:p>
        </w:tc>
        <w:tc>
          <w:tcPr>
            <w:tcW w:w="3267" w:type="dxa"/>
          </w:tcPr>
          <w:p w14:paraId="3AE0EA97" w14:textId="3C52F3CE" w:rsidR="00922FAF" w:rsidRPr="00D81CAC" w:rsidRDefault="00D81CAC" w:rsidP="4C4E8546">
            <w:pPr>
              <w:rPr>
                <w:rFonts w:ascii="Arial" w:eastAsia="Arial" w:hAnsi="Arial" w:cs="Arial"/>
                <w:sz w:val="20"/>
                <w:szCs w:val="20"/>
                <w:lang w:val="es-ES"/>
              </w:rPr>
            </w:pPr>
            <w:r w:rsidRPr="00FD510A">
              <w:rPr>
                <w:rFonts w:ascii="Arial" w:eastAsia="Times New Roman" w:hAnsi="Arial" w:cs="Arial"/>
                <w:sz w:val="20"/>
                <w:szCs w:val="20"/>
                <w:lang w:val="es-ES_tradnl"/>
              </w:rPr>
              <w:lastRenderedPageBreak/>
              <w:t>Se ha</w:t>
            </w:r>
            <w:r w:rsidR="00930077">
              <w:rPr>
                <w:rFonts w:ascii="Arial" w:eastAsia="Times New Roman" w:hAnsi="Arial" w:cs="Arial"/>
                <w:sz w:val="20"/>
                <w:szCs w:val="20"/>
                <w:lang w:val="es-ES_tradnl"/>
              </w:rPr>
              <w:t>n</w:t>
            </w:r>
            <w:r w:rsidRPr="00FD510A">
              <w:rPr>
                <w:rFonts w:ascii="Arial" w:eastAsia="Times New Roman" w:hAnsi="Arial" w:cs="Arial"/>
                <w:sz w:val="20"/>
                <w:szCs w:val="20"/>
                <w:lang w:val="es-ES_tradnl"/>
              </w:rPr>
              <w:t xml:space="preserve"> unido los cierres financieros de la FDN con los nuevos instrumentos</w:t>
            </w:r>
            <w:r w:rsidR="00930077">
              <w:rPr>
                <w:rFonts w:ascii="Arial" w:eastAsia="Times New Roman" w:hAnsi="Arial" w:cs="Arial"/>
                <w:sz w:val="20"/>
                <w:szCs w:val="20"/>
                <w:lang w:val="es-ES_tradnl"/>
              </w:rPr>
              <w:t>,</w:t>
            </w:r>
            <w:r w:rsidRPr="00FD510A">
              <w:rPr>
                <w:rFonts w:ascii="Arial" w:eastAsia="Times New Roman" w:hAnsi="Arial" w:cs="Arial"/>
                <w:sz w:val="20"/>
                <w:szCs w:val="20"/>
                <w:lang w:val="es-ES_tradnl"/>
              </w:rPr>
              <w:t xml:space="preserve"> ya que se cuenta con el mismo medio de verificación (la FDN emitió todo en una misma carta), adicionalmente las autoridades aportaron un decreto que crea un fondo a ser administrado por la FDN que califica como nuevo instrumento para el financiamiento de infraestructura</w:t>
            </w:r>
            <w:r w:rsidR="4C4E8546" w:rsidRPr="00D81CAC">
              <w:rPr>
                <w:rFonts w:ascii="Arial" w:eastAsia="Arial" w:hAnsi="Arial" w:cs="Arial"/>
                <w:sz w:val="20"/>
                <w:szCs w:val="20"/>
                <w:lang w:val="es-ES"/>
              </w:rPr>
              <w:t>.</w:t>
            </w:r>
          </w:p>
          <w:p w14:paraId="3D7AB885" w14:textId="77777777" w:rsidR="005D2D7B" w:rsidRPr="00D81CAC" w:rsidRDefault="005D2D7B" w:rsidP="4C4E8546">
            <w:pPr>
              <w:rPr>
                <w:rFonts w:ascii="Arial" w:eastAsia="Arial" w:hAnsi="Arial" w:cs="Arial"/>
                <w:sz w:val="20"/>
                <w:szCs w:val="20"/>
                <w:lang w:val="es-ES"/>
              </w:rPr>
            </w:pPr>
          </w:p>
          <w:p w14:paraId="26659D18" w14:textId="77777777" w:rsidR="005D2D7B" w:rsidRPr="00D81CAC" w:rsidRDefault="005D2D7B" w:rsidP="4C4E8546">
            <w:pPr>
              <w:rPr>
                <w:rFonts w:ascii="Arial" w:eastAsia="Arial" w:hAnsi="Arial" w:cs="Arial"/>
                <w:sz w:val="20"/>
                <w:szCs w:val="20"/>
                <w:lang w:val="es-ES"/>
              </w:rPr>
            </w:pPr>
          </w:p>
          <w:p w14:paraId="4184A62A" w14:textId="77777777" w:rsidR="005D2D7B" w:rsidRPr="00D81CAC" w:rsidRDefault="005D2D7B" w:rsidP="4C4E8546">
            <w:pPr>
              <w:rPr>
                <w:rFonts w:ascii="Arial" w:eastAsia="Arial" w:hAnsi="Arial" w:cs="Arial"/>
                <w:sz w:val="20"/>
                <w:szCs w:val="20"/>
                <w:lang w:val="es-ES"/>
              </w:rPr>
            </w:pPr>
          </w:p>
          <w:p w14:paraId="4688F5F6" w14:textId="77777777" w:rsidR="005D2D7B" w:rsidRPr="00D81CAC" w:rsidRDefault="005D2D7B" w:rsidP="4C4E8546">
            <w:pPr>
              <w:rPr>
                <w:rFonts w:ascii="Arial" w:eastAsia="Arial" w:hAnsi="Arial" w:cs="Arial"/>
                <w:sz w:val="20"/>
                <w:szCs w:val="20"/>
                <w:lang w:val="es-ES"/>
              </w:rPr>
            </w:pPr>
          </w:p>
          <w:p w14:paraId="51A1C8EA" w14:textId="77777777" w:rsidR="005D2D7B" w:rsidRPr="00D81CAC" w:rsidRDefault="005D2D7B" w:rsidP="4C4E8546">
            <w:pPr>
              <w:rPr>
                <w:rFonts w:ascii="Arial" w:eastAsia="Arial" w:hAnsi="Arial" w:cs="Arial"/>
                <w:sz w:val="20"/>
                <w:szCs w:val="20"/>
                <w:lang w:val="es-ES"/>
              </w:rPr>
            </w:pPr>
          </w:p>
          <w:p w14:paraId="50D88A4E" w14:textId="77777777" w:rsidR="005D2D7B" w:rsidRPr="00D81CAC" w:rsidRDefault="005D2D7B" w:rsidP="4C4E8546">
            <w:pPr>
              <w:rPr>
                <w:rFonts w:ascii="Arial" w:eastAsia="Arial" w:hAnsi="Arial" w:cs="Arial"/>
                <w:sz w:val="20"/>
                <w:szCs w:val="20"/>
                <w:lang w:val="es-ES"/>
              </w:rPr>
            </w:pPr>
          </w:p>
          <w:p w14:paraId="685C72F9" w14:textId="166BEA1E" w:rsidR="005D2D7B" w:rsidRPr="009E0B15" w:rsidRDefault="005D2D7B" w:rsidP="4C4E8546">
            <w:pPr>
              <w:rPr>
                <w:rFonts w:ascii="Arial" w:eastAsia="Arial" w:hAnsi="Arial" w:cs="Arial"/>
                <w:sz w:val="20"/>
                <w:szCs w:val="20"/>
                <w:lang w:val="es-ES"/>
              </w:rPr>
            </w:pPr>
            <w:r>
              <w:rPr>
                <w:rFonts w:ascii="Arial" w:eastAsia="Arial" w:hAnsi="Arial" w:cs="Arial"/>
                <w:sz w:val="20"/>
                <w:szCs w:val="20"/>
                <w:lang w:val="es-ES"/>
              </w:rPr>
              <w:t xml:space="preserve">El medio de verificación para la reglamentación </w:t>
            </w:r>
            <w:r w:rsidRPr="005D2D7B">
              <w:rPr>
                <w:rFonts w:ascii="Arial" w:eastAsia="Arial" w:hAnsi="Arial" w:cs="Arial"/>
                <w:sz w:val="20"/>
                <w:szCs w:val="20"/>
                <w:lang w:val="es-ES"/>
              </w:rPr>
              <w:t>de financiamiento para la react</w:t>
            </w:r>
            <w:r w:rsidR="00540CC8">
              <w:rPr>
                <w:rFonts w:ascii="Arial" w:eastAsia="Arial" w:hAnsi="Arial" w:cs="Arial"/>
                <w:sz w:val="20"/>
                <w:szCs w:val="20"/>
                <w:lang w:val="es-ES"/>
              </w:rPr>
              <w:t xml:space="preserve">ivación del sector agropecuario, mencionado en el primer punto, fue </w:t>
            </w:r>
            <w:r>
              <w:rPr>
                <w:rFonts w:ascii="Arial" w:eastAsia="Arial" w:hAnsi="Arial" w:cs="Arial"/>
                <w:sz w:val="20"/>
                <w:szCs w:val="20"/>
                <w:lang w:val="es-ES"/>
              </w:rPr>
              <w:t xml:space="preserve">inicialmente contemplado como proyecto de Decreto </w:t>
            </w:r>
            <w:r w:rsidR="00540CC8">
              <w:rPr>
                <w:rFonts w:ascii="Arial" w:eastAsia="Arial" w:hAnsi="Arial" w:cs="Arial"/>
                <w:sz w:val="20"/>
                <w:szCs w:val="20"/>
                <w:lang w:val="es-ES"/>
              </w:rPr>
              <w:t xml:space="preserve">y ya </w:t>
            </w:r>
            <w:r>
              <w:rPr>
                <w:rFonts w:ascii="Arial" w:eastAsia="Arial" w:hAnsi="Arial" w:cs="Arial"/>
                <w:sz w:val="20"/>
                <w:szCs w:val="20"/>
                <w:lang w:val="es-ES"/>
              </w:rPr>
              <w:t>ha sido emitido como Decreto</w:t>
            </w:r>
            <w:r w:rsidR="00540CC8">
              <w:rPr>
                <w:rFonts w:ascii="Arial" w:eastAsia="Arial" w:hAnsi="Arial" w:cs="Arial"/>
                <w:sz w:val="20"/>
                <w:szCs w:val="20"/>
                <w:lang w:val="es-ES"/>
              </w:rPr>
              <w:t xml:space="preserve"> durante la preparación del Programa II</w:t>
            </w:r>
            <w:r>
              <w:rPr>
                <w:rFonts w:ascii="Arial" w:eastAsia="Arial" w:hAnsi="Arial" w:cs="Arial"/>
                <w:sz w:val="20"/>
                <w:szCs w:val="20"/>
                <w:lang w:val="es-ES"/>
              </w:rPr>
              <w:t>.</w:t>
            </w:r>
          </w:p>
        </w:tc>
      </w:tr>
      <w:tr w:rsidR="00BB195B" w:rsidRPr="00F52BC8" w14:paraId="5186876B" w14:textId="3DB3B15E" w:rsidTr="4C4E8546">
        <w:tc>
          <w:tcPr>
            <w:tcW w:w="13068" w:type="dxa"/>
            <w:gridSpan w:val="4"/>
            <w:shd w:val="clear" w:color="auto" w:fill="BFBFBF" w:themeFill="background1" w:themeFillShade="BF"/>
          </w:tcPr>
          <w:p w14:paraId="31A8471B" w14:textId="5E259997" w:rsidR="00BB195B" w:rsidRPr="009E0B15" w:rsidRDefault="4C4E8546" w:rsidP="4C4E8546">
            <w:pPr>
              <w:spacing w:before="60" w:after="60"/>
              <w:jc w:val="both"/>
              <w:rPr>
                <w:rFonts w:ascii="Arial" w:eastAsia="Arial,Times New Roman" w:hAnsi="Arial" w:cs="Arial"/>
                <w:b/>
                <w:bCs/>
                <w:color w:val="000000" w:themeColor="text1"/>
                <w:sz w:val="20"/>
                <w:szCs w:val="20"/>
                <w:lang w:val="es-ES"/>
              </w:rPr>
            </w:pPr>
            <w:r w:rsidRPr="009E0B15">
              <w:rPr>
                <w:rFonts w:ascii="Arial" w:eastAsia="Arial,Times New Roman" w:hAnsi="Arial" w:cs="Arial"/>
                <w:b/>
                <w:bCs/>
                <w:color w:val="000000" w:themeColor="text1"/>
                <w:sz w:val="20"/>
                <w:szCs w:val="20"/>
                <w:lang w:val="es-ES"/>
              </w:rPr>
              <w:lastRenderedPageBreak/>
              <w:t>Componente III: Mejora de la regulación y supervisión del sistema financiero</w:t>
            </w:r>
          </w:p>
        </w:tc>
      </w:tr>
      <w:tr w:rsidR="00922FAF" w:rsidRPr="00F52BC8" w14:paraId="51868795" w14:textId="1FBC9620" w:rsidTr="4C4E8546">
        <w:tc>
          <w:tcPr>
            <w:tcW w:w="3267" w:type="dxa"/>
          </w:tcPr>
          <w:p w14:paraId="5186876C" w14:textId="1E09C268" w:rsidR="00922FAF" w:rsidRPr="009E0B15" w:rsidRDefault="4C4E8546" w:rsidP="4C4E8546">
            <w:pPr>
              <w:pStyle w:val="ListParagraph"/>
              <w:numPr>
                <w:ilvl w:val="0"/>
                <w:numId w:val="3"/>
              </w:numPr>
              <w:ind w:left="180" w:hanging="180"/>
              <w:rPr>
                <w:rFonts w:ascii="Arial" w:eastAsia="Arial" w:hAnsi="Arial" w:cs="Arial"/>
                <w:sz w:val="20"/>
                <w:szCs w:val="20"/>
                <w:lang w:val="es-ES"/>
              </w:rPr>
            </w:pPr>
            <w:r w:rsidRPr="009E0B15">
              <w:rPr>
                <w:rFonts w:ascii="Arial" w:eastAsia="Arial" w:hAnsi="Arial" w:cs="Arial"/>
                <w:sz w:val="20"/>
                <w:szCs w:val="20"/>
                <w:lang w:val="es-ES"/>
              </w:rPr>
              <w:t>Fortalecimiento de la regulación y supervisión para un sistema financiero más sólido y profundo.</w:t>
            </w:r>
          </w:p>
          <w:p w14:paraId="5186876D" w14:textId="77777777" w:rsidR="00922FAF" w:rsidRPr="009E0B15" w:rsidRDefault="00922FAF" w:rsidP="00DA7F79">
            <w:pPr>
              <w:jc w:val="center"/>
              <w:rPr>
                <w:rFonts w:ascii="Arial" w:hAnsi="Arial" w:cs="Arial"/>
                <w:sz w:val="20"/>
                <w:szCs w:val="20"/>
                <w:lang w:val="es-ES_tradnl"/>
              </w:rPr>
            </w:pPr>
          </w:p>
        </w:tc>
        <w:tc>
          <w:tcPr>
            <w:tcW w:w="3267" w:type="dxa"/>
          </w:tcPr>
          <w:p w14:paraId="1BB2366A" w14:textId="77777777" w:rsidR="00922FAF" w:rsidRPr="00A91377" w:rsidRDefault="4C4E8546" w:rsidP="4C4E8546">
            <w:pPr>
              <w:pStyle w:val="ListParagraph"/>
              <w:numPr>
                <w:ilvl w:val="0"/>
                <w:numId w:val="48"/>
              </w:numPr>
              <w:ind w:left="378" w:hanging="450"/>
              <w:rPr>
                <w:rFonts w:ascii="Arial" w:eastAsia="Arial" w:hAnsi="Arial" w:cs="Arial"/>
                <w:sz w:val="20"/>
                <w:szCs w:val="20"/>
                <w:lang w:val="es-ES"/>
              </w:rPr>
            </w:pPr>
            <w:r w:rsidRPr="00A91377">
              <w:rPr>
                <w:rFonts w:ascii="Arial" w:eastAsia="Arial" w:hAnsi="Arial" w:cs="Arial"/>
                <w:sz w:val="20"/>
                <w:szCs w:val="20"/>
                <w:lang w:val="es-ES"/>
              </w:rPr>
              <w:t>Se ha avanzado en las siguientes áreas:</w:t>
            </w:r>
          </w:p>
          <w:p w14:paraId="1EDE504F" w14:textId="77777777" w:rsidR="00922FAF" w:rsidRPr="00A91377" w:rsidRDefault="4C4E8546" w:rsidP="4C4E8546">
            <w:pPr>
              <w:pStyle w:val="ListParagraph"/>
              <w:numPr>
                <w:ilvl w:val="0"/>
                <w:numId w:val="8"/>
              </w:numPr>
              <w:rPr>
                <w:rFonts w:ascii="Arial" w:eastAsia="Arial" w:hAnsi="Arial" w:cs="Arial"/>
                <w:sz w:val="20"/>
                <w:szCs w:val="20"/>
                <w:lang w:val="es-ES"/>
              </w:rPr>
            </w:pPr>
            <w:r w:rsidRPr="00A91377">
              <w:rPr>
                <w:rFonts w:ascii="Arial" w:eastAsia="Arial" w:hAnsi="Arial" w:cs="Arial"/>
                <w:sz w:val="20"/>
                <w:szCs w:val="20"/>
                <w:lang w:val="es-ES"/>
              </w:rPr>
              <w:t>El Decreto Presidencial de Régimen de Inversiones Internacionales ha sido emitido por el Gobierno Nacional (MHCP).</w:t>
            </w:r>
          </w:p>
          <w:p w14:paraId="51BBAB55" w14:textId="77777777" w:rsidR="00922FAF" w:rsidRPr="00A91377" w:rsidRDefault="4C4E8546" w:rsidP="4C4E8546">
            <w:pPr>
              <w:pStyle w:val="ListParagraph"/>
              <w:numPr>
                <w:ilvl w:val="0"/>
                <w:numId w:val="8"/>
              </w:numPr>
              <w:rPr>
                <w:rFonts w:ascii="Arial" w:eastAsia="Arial" w:hAnsi="Arial" w:cs="Arial"/>
                <w:sz w:val="20"/>
                <w:szCs w:val="20"/>
                <w:lang w:val="es-ES"/>
              </w:rPr>
            </w:pPr>
            <w:r w:rsidRPr="00A91377">
              <w:rPr>
                <w:rFonts w:ascii="Arial" w:eastAsia="Arial" w:hAnsi="Arial" w:cs="Arial"/>
                <w:sz w:val="20"/>
                <w:szCs w:val="20"/>
                <w:lang w:val="es-ES"/>
              </w:rPr>
              <w:t>El Proyecto de Ley de supervisión de conglomerados e independencia de la Superintendencia ha sido presentado al Congreso de la República para su revisión y aprobación.</w:t>
            </w:r>
          </w:p>
          <w:p w14:paraId="36D55308" w14:textId="77777777" w:rsidR="00922FAF" w:rsidRPr="00A91377" w:rsidRDefault="4C4E8546" w:rsidP="4C4E8546">
            <w:pPr>
              <w:pStyle w:val="ListParagraph"/>
              <w:numPr>
                <w:ilvl w:val="0"/>
                <w:numId w:val="8"/>
              </w:numPr>
              <w:rPr>
                <w:rFonts w:ascii="Arial" w:eastAsia="Arial" w:hAnsi="Arial" w:cs="Arial"/>
                <w:sz w:val="20"/>
                <w:szCs w:val="20"/>
                <w:lang w:val="es-ES"/>
              </w:rPr>
            </w:pPr>
            <w:r w:rsidRPr="00A91377">
              <w:rPr>
                <w:rFonts w:ascii="Arial" w:eastAsia="Arial" w:hAnsi="Arial" w:cs="Arial"/>
                <w:sz w:val="20"/>
                <w:szCs w:val="20"/>
                <w:lang w:val="es-ES"/>
              </w:rPr>
              <w:t>El reporte de revisión del régimen de capital para los agentes del mercado bursátil componentes de patrimonio técnico y los riesgos operacionales ha sido emitida por la Superintendencia Financiera.</w:t>
            </w:r>
          </w:p>
          <w:p w14:paraId="10838C2C" w14:textId="30DF277F" w:rsidR="00922FAF" w:rsidRPr="00A91377" w:rsidRDefault="4C4E8546" w:rsidP="4C4E8546">
            <w:pPr>
              <w:pStyle w:val="ListParagraph"/>
              <w:numPr>
                <w:ilvl w:val="0"/>
                <w:numId w:val="8"/>
              </w:numPr>
              <w:rPr>
                <w:rFonts w:ascii="Arial" w:eastAsia="Arial" w:hAnsi="Arial" w:cs="Arial"/>
                <w:sz w:val="20"/>
                <w:szCs w:val="20"/>
                <w:lang w:val="es-ES"/>
              </w:rPr>
            </w:pPr>
            <w:r w:rsidRPr="00A91377">
              <w:rPr>
                <w:rFonts w:ascii="Arial" w:eastAsia="Arial" w:hAnsi="Arial" w:cs="Arial"/>
                <w:sz w:val="20"/>
                <w:szCs w:val="20"/>
                <w:lang w:val="es-ES"/>
              </w:rPr>
              <w:t xml:space="preserve">El reporte de implementación del marco integral de supervisión basada en riesgos para gobierno corporativo en el mercado de capitales ha sido emitido por la </w:t>
            </w:r>
            <w:r w:rsidRPr="00A91377">
              <w:rPr>
                <w:rFonts w:ascii="Arial" w:eastAsia="Arial" w:hAnsi="Arial" w:cs="Arial"/>
                <w:sz w:val="20"/>
                <w:szCs w:val="20"/>
                <w:lang w:val="es-ES"/>
              </w:rPr>
              <w:lastRenderedPageBreak/>
              <w:t>Superintendencia Financiera.</w:t>
            </w:r>
          </w:p>
          <w:p w14:paraId="21A524EA" w14:textId="77777777" w:rsidR="00922FAF" w:rsidRPr="00A91377" w:rsidRDefault="00922FAF" w:rsidP="003255F7">
            <w:pPr>
              <w:jc w:val="both"/>
              <w:rPr>
                <w:rFonts w:ascii="Arial" w:hAnsi="Arial" w:cs="Arial"/>
                <w:sz w:val="20"/>
                <w:szCs w:val="20"/>
                <w:lang w:val="es-ES_tradnl"/>
              </w:rPr>
            </w:pPr>
          </w:p>
          <w:p w14:paraId="5785EFEF" w14:textId="77777777" w:rsidR="00922FAF" w:rsidRPr="00A91377" w:rsidRDefault="00922FAF" w:rsidP="003255F7">
            <w:pPr>
              <w:jc w:val="both"/>
              <w:rPr>
                <w:rFonts w:ascii="Arial" w:hAnsi="Arial" w:cs="Arial"/>
                <w:sz w:val="20"/>
                <w:szCs w:val="20"/>
                <w:lang w:val="es-ES_tradnl"/>
              </w:rPr>
            </w:pPr>
          </w:p>
          <w:p w14:paraId="4852963D" w14:textId="77777777" w:rsidR="00922FAF" w:rsidRPr="00A91377" w:rsidRDefault="00922FAF" w:rsidP="003255F7">
            <w:pPr>
              <w:jc w:val="both"/>
              <w:rPr>
                <w:rFonts w:ascii="Arial" w:hAnsi="Arial" w:cs="Arial"/>
                <w:sz w:val="20"/>
                <w:szCs w:val="20"/>
                <w:lang w:val="es-ES_tradnl"/>
              </w:rPr>
            </w:pPr>
          </w:p>
          <w:p w14:paraId="235A8A03" w14:textId="77777777" w:rsidR="00922FAF" w:rsidRPr="00A91377" w:rsidRDefault="00922FAF" w:rsidP="003255F7">
            <w:pPr>
              <w:jc w:val="both"/>
              <w:rPr>
                <w:rFonts w:ascii="Arial" w:hAnsi="Arial" w:cs="Arial"/>
                <w:sz w:val="20"/>
                <w:szCs w:val="20"/>
                <w:lang w:val="es-ES_tradnl"/>
              </w:rPr>
            </w:pPr>
          </w:p>
          <w:p w14:paraId="636D657C" w14:textId="77777777" w:rsidR="00922FAF" w:rsidRPr="00A91377" w:rsidRDefault="00922FAF" w:rsidP="003255F7">
            <w:pPr>
              <w:jc w:val="both"/>
              <w:rPr>
                <w:rFonts w:ascii="Arial" w:hAnsi="Arial" w:cs="Arial"/>
                <w:sz w:val="20"/>
                <w:szCs w:val="20"/>
                <w:lang w:val="es-ES_tradnl"/>
              </w:rPr>
            </w:pPr>
          </w:p>
          <w:p w14:paraId="76DB426D" w14:textId="77777777" w:rsidR="00922FAF" w:rsidRPr="00A91377" w:rsidRDefault="00922FAF" w:rsidP="003255F7">
            <w:pPr>
              <w:jc w:val="both"/>
              <w:rPr>
                <w:rFonts w:ascii="Arial" w:hAnsi="Arial" w:cs="Arial"/>
                <w:sz w:val="20"/>
                <w:szCs w:val="20"/>
                <w:lang w:val="es-ES_tradnl"/>
              </w:rPr>
            </w:pPr>
          </w:p>
          <w:p w14:paraId="7BFAFD3D" w14:textId="77777777" w:rsidR="00922FAF" w:rsidRPr="00A91377" w:rsidRDefault="00922FAF" w:rsidP="003255F7">
            <w:pPr>
              <w:jc w:val="both"/>
              <w:rPr>
                <w:rFonts w:ascii="Arial" w:hAnsi="Arial" w:cs="Arial"/>
                <w:sz w:val="20"/>
                <w:szCs w:val="20"/>
                <w:lang w:val="es-ES_tradnl"/>
              </w:rPr>
            </w:pPr>
          </w:p>
          <w:p w14:paraId="66D1FFA6" w14:textId="77777777" w:rsidR="00922FAF" w:rsidRPr="00A91377" w:rsidRDefault="00922FAF" w:rsidP="003255F7">
            <w:pPr>
              <w:jc w:val="both"/>
              <w:rPr>
                <w:rFonts w:ascii="Arial" w:hAnsi="Arial" w:cs="Arial"/>
                <w:sz w:val="20"/>
                <w:szCs w:val="20"/>
                <w:lang w:val="es-ES_tradnl"/>
              </w:rPr>
            </w:pPr>
          </w:p>
          <w:p w14:paraId="21497220" w14:textId="77777777" w:rsidR="00922FAF" w:rsidRPr="00A91377" w:rsidRDefault="00922FAF" w:rsidP="003255F7">
            <w:pPr>
              <w:jc w:val="both"/>
              <w:rPr>
                <w:rFonts w:ascii="Arial" w:hAnsi="Arial" w:cs="Arial"/>
                <w:sz w:val="20"/>
                <w:szCs w:val="20"/>
                <w:lang w:val="es-ES_tradnl"/>
              </w:rPr>
            </w:pPr>
          </w:p>
          <w:p w14:paraId="19AC01E8" w14:textId="77777777" w:rsidR="00922FAF" w:rsidRPr="00A91377" w:rsidRDefault="00922FAF" w:rsidP="003255F7">
            <w:pPr>
              <w:jc w:val="both"/>
              <w:rPr>
                <w:rFonts w:ascii="Arial" w:hAnsi="Arial" w:cs="Arial"/>
                <w:sz w:val="20"/>
                <w:szCs w:val="20"/>
                <w:lang w:val="es-ES_tradnl"/>
              </w:rPr>
            </w:pPr>
          </w:p>
          <w:p w14:paraId="76D1D14F" w14:textId="77777777" w:rsidR="00922FAF" w:rsidRPr="00A91377" w:rsidRDefault="00922FAF" w:rsidP="003255F7">
            <w:pPr>
              <w:jc w:val="both"/>
              <w:rPr>
                <w:rFonts w:ascii="Arial" w:hAnsi="Arial" w:cs="Arial"/>
                <w:sz w:val="20"/>
                <w:szCs w:val="20"/>
                <w:lang w:val="es-ES_tradnl"/>
              </w:rPr>
            </w:pPr>
          </w:p>
          <w:p w14:paraId="6A57AE18" w14:textId="77777777" w:rsidR="00922FAF" w:rsidRPr="00A91377" w:rsidRDefault="00922FAF" w:rsidP="003255F7">
            <w:pPr>
              <w:jc w:val="both"/>
              <w:rPr>
                <w:rFonts w:ascii="Arial" w:hAnsi="Arial" w:cs="Arial"/>
                <w:sz w:val="20"/>
                <w:szCs w:val="20"/>
                <w:lang w:val="es-ES_tradnl"/>
              </w:rPr>
            </w:pPr>
          </w:p>
          <w:p w14:paraId="40BECC39" w14:textId="77777777" w:rsidR="00922FAF" w:rsidRPr="00A91377" w:rsidRDefault="00922FAF" w:rsidP="003255F7">
            <w:pPr>
              <w:jc w:val="both"/>
              <w:rPr>
                <w:rFonts w:ascii="Arial" w:hAnsi="Arial" w:cs="Arial"/>
                <w:sz w:val="20"/>
                <w:szCs w:val="20"/>
                <w:lang w:val="es-ES_tradnl"/>
              </w:rPr>
            </w:pPr>
          </w:p>
          <w:p w14:paraId="72AD8A0F" w14:textId="77777777" w:rsidR="00922FAF" w:rsidRPr="00A91377" w:rsidRDefault="00922FAF" w:rsidP="003255F7">
            <w:pPr>
              <w:jc w:val="both"/>
              <w:rPr>
                <w:rFonts w:ascii="Arial" w:hAnsi="Arial" w:cs="Arial"/>
                <w:sz w:val="20"/>
                <w:szCs w:val="20"/>
                <w:lang w:val="es-ES_tradnl"/>
              </w:rPr>
            </w:pPr>
          </w:p>
          <w:p w14:paraId="06965C1C" w14:textId="77777777" w:rsidR="00922FAF" w:rsidRPr="00A91377" w:rsidRDefault="00922FAF" w:rsidP="003255F7">
            <w:pPr>
              <w:jc w:val="both"/>
              <w:rPr>
                <w:rFonts w:ascii="Arial" w:hAnsi="Arial" w:cs="Arial"/>
                <w:sz w:val="20"/>
                <w:szCs w:val="20"/>
                <w:lang w:val="es-ES_tradnl"/>
              </w:rPr>
            </w:pPr>
          </w:p>
          <w:p w14:paraId="51585EFC" w14:textId="77777777" w:rsidR="00922FAF" w:rsidRPr="00A91377" w:rsidRDefault="00922FAF" w:rsidP="003255F7">
            <w:pPr>
              <w:jc w:val="both"/>
              <w:rPr>
                <w:rFonts w:ascii="Arial" w:hAnsi="Arial" w:cs="Arial"/>
                <w:sz w:val="20"/>
                <w:szCs w:val="20"/>
                <w:lang w:val="es-ES_tradnl"/>
              </w:rPr>
            </w:pPr>
          </w:p>
          <w:p w14:paraId="4640C7F5" w14:textId="77777777" w:rsidR="00922FAF" w:rsidRPr="00A91377" w:rsidRDefault="00922FAF" w:rsidP="003255F7">
            <w:pPr>
              <w:jc w:val="both"/>
              <w:rPr>
                <w:rFonts w:ascii="Arial" w:hAnsi="Arial" w:cs="Arial"/>
                <w:sz w:val="20"/>
                <w:szCs w:val="20"/>
                <w:lang w:val="es-ES_tradnl"/>
              </w:rPr>
            </w:pPr>
          </w:p>
          <w:p w14:paraId="3E43D6C0" w14:textId="77777777" w:rsidR="00922FAF" w:rsidRPr="00A91377" w:rsidRDefault="00922FAF" w:rsidP="003255F7">
            <w:pPr>
              <w:jc w:val="both"/>
              <w:rPr>
                <w:rFonts w:ascii="Arial" w:hAnsi="Arial" w:cs="Arial"/>
                <w:sz w:val="20"/>
                <w:szCs w:val="20"/>
                <w:lang w:val="es-ES_tradnl"/>
              </w:rPr>
            </w:pPr>
          </w:p>
          <w:p w14:paraId="4B9247EF" w14:textId="77777777" w:rsidR="00922FAF" w:rsidRPr="00A91377" w:rsidRDefault="00922FAF" w:rsidP="003255F7">
            <w:pPr>
              <w:jc w:val="both"/>
              <w:rPr>
                <w:rFonts w:ascii="Arial" w:hAnsi="Arial" w:cs="Arial"/>
                <w:sz w:val="20"/>
                <w:szCs w:val="20"/>
                <w:lang w:val="es-ES_tradnl"/>
              </w:rPr>
            </w:pPr>
          </w:p>
          <w:p w14:paraId="45DE80E7" w14:textId="77777777" w:rsidR="00922FAF" w:rsidRPr="00A91377" w:rsidRDefault="00922FAF" w:rsidP="003255F7">
            <w:pPr>
              <w:jc w:val="both"/>
              <w:rPr>
                <w:rFonts w:ascii="Arial" w:hAnsi="Arial" w:cs="Arial"/>
                <w:sz w:val="20"/>
                <w:szCs w:val="20"/>
                <w:lang w:val="es-ES_tradnl"/>
              </w:rPr>
            </w:pPr>
          </w:p>
          <w:p w14:paraId="0403F909" w14:textId="77777777" w:rsidR="00922FAF" w:rsidRPr="00A91377" w:rsidRDefault="00922FAF" w:rsidP="003255F7">
            <w:pPr>
              <w:jc w:val="both"/>
              <w:rPr>
                <w:rFonts w:ascii="Arial" w:hAnsi="Arial" w:cs="Arial"/>
                <w:sz w:val="20"/>
                <w:szCs w:val="20"/>
                <w:lang w:val="es-ES_tradnl"/>
              </w:rPr>
            </w:pPr>
          </w:p>
          <w:p w14:paraId="27757CF4" w14:textId="77777777" w:rsidR="00922FAF" w:rsidRPr="00A91377" w:rsidRDefault="00922FAF" w:rsidP="003255F7">
            <w:pPr>
              <w:jc w:val="both"/>
              <w:rPr>
                <w:rFonts w:ascii="Arial" w:hAnsi="Arial" w:cs="Arial"/>
                <w:sz w:val="20"/>
                <w:szCs w:val="20"/>
                <w:lang w:val="es-ES_tradnl"/>
              </w:rPr>
            </w:pPr>
          </w:p>
          <w:p w14:paraId="61475655" w14:textId="77777777" w:rsidR="00922FAF" w:rsidRPr="00A91377" w:rsidRDefault="00922FAF" w:rsidP="003255F7">
            <w:pPr>
              <w:jc w:val="both"/>
              <w:rPr>
                <w:rFonts w:ascii="Arial" w:hAnsi="Arial" w:cs="Arial"/>
                <w:sz w:val="20"/>
                <w:szCs w:val="20"/>
                <w:lang w:val="es-ES_tradnl"/>
              </w:rPr>
            </w:pPr>
          </w:p>
          <w:p w14:paraId="08C7F5D7" w14:textId="77777777" w:rsidR="00922FAF" w:rsidRPr="00A91377" w:rsidRDefault="00922FAF" w:rsidP="003255F7">
            <w:pPr>
              <w:jc w:val="both"/>
              <w:rPr>
                <w:rFonts w:ascii="Arial" w:hAnsi="Arial" w:cs="Arial"/>
                <w:sz w:val="20"/>
                <w:szCs w:val="20"/>
                <w:lang w:val="es-ES_tradnl"/>
              </w:rPr>
            </w:pPr>
          </w:p>
          <w:p w14:paraId="7A2EEF5A" w14:textId="77777777" w:rsidR="00922FAF" w:rsidRPr="00A91377" w:rsidRDefault="00922FAF" w:rsidP="003255F7">
            <w:pPr>
              <w:jc w:val="both"/>
              <w:rPr>
                <w:rFonts w:ascii="Arial" w:hAnsi="Arial" w:cs="Arial"/>
                <w:sz w:val="20"/>
                <w:szCs w:val="20"/>
                <w:lang w:val="es-ES_tradnl"/>
              </w:rPr>
            </w:pPr>
          </w:p>
          <w:p w14:paraId="54210057" w14:textId="77777777" w:rsidR="00922FAF" w:rsidRPr="00A91377" w:rsidRDefault="00922FAF" w:rsidP="003255F7">
            <w:pPr>
              <w:jc w:val="both"/>
              <w:rPr>
                <w:rFonts w:ascii="Arial" w:hAnsi="Arial" w:cs="Arial"/>
                <w:sz w:val="20"/>
                <w:szCs w:val="20"/>
                <w:lang w:val="es-ES_tradnl"/>
              </w:rPr>
            </w:pPr>
          </w:p>
          <w:p w14:paraId="1116EA6A" w14:textId="77777777" w:rsidR="00922FAF" w:rsidRPr="00A91377" w:rsidRDefault="00922FAF" w:rsidP="003255F7">
            <w:pPr>
              <w:jc w:val="both"/>
              <w:rPr>
                <w:rFonts w:ascii="Arial" w:hAnsi="Arial" w:cs="Arial"/>
                <w:sz w:val="20"/>
                <w:szCs w:val="20"/>
                <w:lang w:val="es-ES_tradnl"/>
              </w:rPr>
            </w:pPr>
          </w:p>
          <w:p w14:paraId="372BB20F" w14:textId="77777777" w:rsidR="00922FAF" w:rsidRPr="00A91377" w:rsidRDefault="00922FAF" w:rsidP="003255F7">
            <w:pPr>
              <w:jc w:val="both"/>
              <w:rPr>
                <w:rFonts w:ascii="Arial" w:hAnsi="Arial" w:cs="Arial"/>
                <w:sz w:val="20"/>
                <w:szCs w:val="20"/>
                <w:lang w:val="es-ES_tradnl"/>
              </w:rPr>
            </w:pPr>
          </w:p>
          <w:p w14:paraId="225AC337" w14:textId="77777777" w:rsidR="00922FAF" w:rsidRPr="00A91377" w:rsidRDefault="00922FAF" w:rsidP="003255F7">
            <w:pPr>
              <w:jc w:val="both"/>
              <w:rPr>
                <w:rFonts w:ascii="Arial" w:hAnsi="Arial" w:cs="Arial"/>
                <w:sz w:val="20"/>
                <w:szCs w:val="20"/>
                <w:lang w:val="es-ES_tradnl"/>
              </w:rPr>
            </w:pPr>
          </w:p>
          <w:p w14:paraId="0EFFDFB0" w14:textId="77777777" w:rsidR="00922FAF" w:rsidRPr="00A91377" w:rsidRDefault="00922FAF" w:rsidP="003255F7">
            <w:pPr>
              <w:jc w:val="both"/>
              <w:rPr>
                <w:rFonts w:ascii="Arial" w:hAnsi="Arial" w:cs="Arial"/>
                <w:sz w:val="20"/>
                <w:szCs w:val="20"/>
                <w:lang w:val="es-ES_tradnl"/>
              </w:rPr>
            </w:pPr>
          </w:p>
          <w:p w14:paraId="09351A17" w14:textId="77777777" w:rsidR="00922FAF" w:rsidRPr="00A91377" w:rsidRDefault="00922FAF" w:rsidP="003255F7">
            <w:pPr>
              <w:jc w:val="both"/>
              <w:rPr>
                <w:rFonts w:ascii="Arial" w:hAnsi="Arial" w:cs="Arial"/>
                <w:sz w:val="20"/>
                <w:szCs w:val="20"/>
                <w:lang w:val="es-ES_tradnl"/>
              </w:rPr>
            </w:pPr>
          </w:p>
          <w:p w14:paraId="55368BD7" w14:textId="77777777" w:rsidR="00922FAF" w:rsidRPr="00A91377" w:rsidRDefault="00922FAF" w:rsidP="003255F7">
            <w:pPr>
              <w:jc w:val="both"/>
              <w:rPr>
                <w:rFonts w:ascii="Arial" w:hAnsi="Arial" w:cs="Arial"/>
                <w:sz w:val="20"/>
                <w:szCs w:val="20"/>
                <w:lang w:val="es-ES_tradnl"/>
              </w:rPr>
            </w:pPr>
          </w:p>
          <w:p w14:paraId="289FACBF" w14:textId="77777777" w:rsidR="00922FAF" w:rsidRPr="00A91377" w:rsidRDefault="00922FAF" w:rsidP="003255F7">
            <w:pPr>
              <w:jc w:val="both"/>
              <w:rPr>
                <w:rFonts w:ascii="Arial" w:hAnsi="Arial" w:cs="Arial"/>
                <w:sz w:val="20"/>
                <w:szCs w:val="20"/>
                <w:lang w:val="es-ES_tradnl"/>
              </w:rPr>
            </w:pPr>
          </w:p>
          <w:p w14:paraId="10B2D59C" w14:textId="31E42CF5" w:rsidR="00922FAF" w:rsidRDefault="00922FAF" w:rsidP="003255F7">
            <w:pPr>
              <w:jc w:val="both"/>
              <w:rPr>
                <w:rFonts w:ascii="Arial" w:hAnsi="Arial" w:cs="Arial"/>
                <w:sz w:val="20"/>
                <w:szCs w:val="20"/>
                <w:lang w:val="es-ES_tradnl"/>
              </w:rPr>
            </w:pPr>
          </w:p>
          <w:p w14:paraId="199D9370" w14:textId="03913254" w:rsidR="00885FF3" w:rsidRDefault="00885FF3" w:rsidP="003255F7">
            <w:pPr>
              <w:jc w:val="both"/>
              <w:rPr>
                <w:rFonts w:ascii="Arial" w:hAnsi="Arial" w:cs="Arial"/>
                <w:sz w:val="20"/>
                <w:szCs w:val="20"/>
                <w:lang w:val="es-ES_tradnl"/>
              </w:rPr>
            </w:pPr>
          </w:p>
          <w:p w14:paraId="7444829A" w14:textId="724CD977" w:rsidR="00885FF3" w:rsidRDefault="00885FF3" w:rsidP="003255F7">
            <w:pPr>
              <w:jc w:val="both"/>
              <w:rPr>
                <w:rFonts w:ascii="Arial" w:hAnsi="Arial" w:cs="Arial"/>
                <w:sz w:val="20"/>
                <w:szCs w:val="20"/>
                <w:lang w:val="es-ES_tradnl"/>
              </w:rPr>
            </w:pPr>
          </w:p>
          <w:p w14:paraId="093F8EB7" w14:textId="121D7A11" w:rsidR="00885FF3" w:rsidRDefault="00885FF3" w:rsidP="003255F7">
            <w:pPr>
              <w:jc w:val="both"/>
              <w:rPr>
                <w:rFonts w:ascii="Arial" w:hAnsi="Arial" w:cs="Arial"/>
                <w:sz w:val="20"/>
                <w:szCs w:val="20"/>
                <w:lang w:val="es-ES_tradnl"/>
              </w:rPr>
            </w:pPr>
          </w:p>
          <w:p w14:paraId="0FE08B83" w14:textId="7CB2F620" w:rsidR="00885FF3" w:rsidRDefault="00885FF3" w:rsidP="003255F7">
            <w:pPr>
              <w:jc w:val="both"/>
              <w:rPr>
                <w:rFonts w:ascii="Arial" w:hAnsi="Arial" w:cs="Arial"/>
                <w:sz w:val="20"/>
                <w:szCs w:val="20"/>
                <w:lang w:val="es-ES_tradnl"/>
              </w:rPr>
            </w:pPr>
          </w:p>
          <w:p w14:paraId="789934C4" w14:textId="1F6905D8" w:rsidR="00885FF3" w:rsidRDefault="00885FF3" w:rsidP="003255F7">
            <w:pPr>
              <w:jc w:val="both"/>
              <w:rPr>
                <w:rFonts w:ascii="Arial" w:hAnsi="Arial" w:cs="Arial"/>
                <w:sz w:val="20"/>
                <w:szCs w:val="20"/>
                <w:lang w:val="es-ES_tradnl"/>
              </w:rPr>
            </w:pPr>
          </w:p>
          <w:p w14:paraId="1B120125" w14:textId="77777777" w:rsidR="00885FF3" w:rsidRPr="00A91377" w:rsidRDefault="00885FF3" w:rsidP="003255F7">
            <w:pPr>
              <w:jc w:val="both"/>
              <w:rPr>
                <w:rFonts w:ascii="Arial" w:hAnsi="Arial" w:cs="Arial"/>
                <w:sz w:val="20"/>
                <w:szCs w:val="20"/>
                <w:lang w:val="es-ES_tradnl"/>
              </w:rPr>
            </w:pPr>
          </w:p>
          <w:p w14:paraId="37B97A52" w14:textId="77777777" w:rsidR="00922FAF" w:rsidRPr="00A91377" w:rsidRDefault="00922FAF" w:rsidP="003255F7">
            <w:pPr>
              <w:jc w:val="both"/>
              <w:rPr>
                <w:rFonts w:ascii="Arial" w:hAnsi="Arial" w:cs="Arial"/>
                <w:sz w:val="20"/>
                <w:szCs w:val="20"/>
                <w:lang w:val="es-ES_tradnl"/>
              </w:rPr>
            </w:pPr>
          </w:p>
          <w:p w14:paraId="61965B8D" w14:textId="77777777" w:rsidR="00922FAF" w:rsidRPr="00A91377" w:rsidRDefault="00922FAF" w:rsidP="003255F7">
            <w:pPr>
              <w:jc w:val="both"/>
              <w:rPr>
                <w:rFonts w:ascii="Arial" w:hAnsi="Arial" w:cs="Arial"/>
                <w:sz w:val="20"/>
                <w:szCs w:val="20"/>
                <w:lang w:val="es-ES_tradnl"/>
              </w:rPr>
            </w:pPr>
          </w:p>
          <w:p w14:paraId="6043202A" w14:textId="667BE365" w:rsidR="00922FAF" w:rsidRDefault="00922FAF" w:rsidP="003255F7">
            <w:pPr>
              <w:jc w:val="both"/>
              <w:rPr>
                <w:rFonts w:ascii="Arial" w:hAnsi="Arial" w:cs="Arial"/>
                <w:sz w:val="20"/>
                <w:szCs w:val="20"/>
                <w:lang w:val="es-ES_tradnl"/>
              </w:rPr>
            </w:pPr>
          </w:p>
          <w:p w14:paraId="39CF831E" w14:textId="02609809" w:rsidR="00C27071" w:rsidRDefault="00C27071" w:rsidP="003255F7">
            <w:pPr>
              <w:jc w:val="both"/>
              <w:rPr>
                <w:rFonts w:ascii="Arial" w:hAnsi="Arial" w:cs="Arial"/>
                <w:sz w:val="20"/>
                <w:szCs w:val="20"/>
                <w:lang w:val="es-ES_tradnl"/>
              </w:rPr>
            </w:pPr>
          </w:p>
          <w:p w14:paraId="4EB53F0D" w14:textId="6710F51E" w:rsidR="00C27071" w:rsidRDefault="00C27071" w:rsidP="003255F7">
            <w:pPr>
              <w:jc w:val="both"/>
              <w:rPr>
                <w:rFonts w:ascii="Arial" w:hAnsi="Arial" w:cs="Arial"/>
                <w:sz w:val="20"/>
                <w:szCs w:val="20"/>
                <w:lang w:val="es-ES_tradnl"/>
              </w:rPr>
            </w:pPr>
          </w:p>
          <w:p w14:paraId="109877B6" w14:textId="2A0D34C9" w:rsidR="00C27071" w:rsidRDefault="00C27071" w:rsidP="003255F7">
            <w:pPr>
              <w:jc w:val="both"/>
              <w:rPr>
                <w:rFonts w:ascii="Arial" w:hAnsi="Arial" w:cs="Arial"/>
                <w:sz w:val="20"/>
                <w:szCs w:val="20"/>
                <w:lang w:val="es-ES_tradnl"/>
              </w:rPr>
            </w:pPr>
          </w:p>
          <w:p w14:paraId="57AED2D1" w14:textId="4296D0F3" w:rsidR="00C27071" w:rsidRDefault="00C27071" w:rsidP="003255F7">
            <w:pPr>
              <w:jc w:val="both"/>
              <w:rPr>
                <w:rFonts w:ascii="Arial" w:hAnsi="Arial" w:cs="Arial"/>
                <w:sz w:val="20"/>
                <w:szCs w:val="20"/>
                <w:lang w:val="es-ES_tradnl"/>
              </w:rPr>
            </w:pPr>
          </w:p>
          <w:p w14:paraId="2EDAE49A" w14:textId="1DBDC918" w:rsidR="00C27071" w:rsidRDefault="00C27071" w:rsidP="003255F7">
            <w:pPr>
              <w:jc w:val="both"/>
              <w:rPr>
                <w:rFonts w:ascii="Arial" w:hAnsi="Arial" w:cs="Arial"/>
                <w:sz w:val="20"/>
                <w:szCs w:val="20"/>
                <w:lang w:val="es-ES_tradnl"/>
              </w:rPr>
            </w:pPr>
          </w:p>
          <w:p w14:paraId="00A82B03" w14:textId="3D77BC46" w:rsidR="00C27071" w:rsidRDefault="00C27071" w:rsidP="003255F7">
            <w:pPr>
              <w:jc w:val="both"/>
              <w:rPr>
                <w:rFonts w:ascii="Arial" w:hAnsi="Arial" w:cs="Arial"/>
                <w:sz w:val="20"/>
                <w:szCs w:val="20"/>
                <w:lang w:val="es-ES_tradnl"/>
              </w:rPr>
            </w:pPr>
          </w:p>
          <w:p w14:paraId="7E94D680" w14:textId="77777777" w:rsidR="00885FF3" w:rsidRPr="00A91377" w:rsidRDefault="00885FF3" w:rsidP="003255F7">
            <w:pPr>
              <w:jc w:val="both"/>
              <w:rPr>
                <w:rFonts w:ascii="Arial" w:hAnsi="Arial" w:cs="Arial"/>
                <w:sz w:val="20"/>
                <w:szCs w:val="20"/>
                <w:lang w:val="es-ES_tradnl"/>
              </w:rPr>
            </w:pPr>
          </w:p>
          <w:p w14:paraId="54903D84" w14:textId="77777777" w:rsidR="00922FAF" w:rsidRPr="00A91377" w:rsidRDefault="4C4E8546" w:rsidP="4C4E8546">
            <w:pPr>
              <w:pStyle w:val="ListParagraph"/>
              <w:numPr>
                <w:ilvl w:val="0"/>
                <w:numId w:val="48"/>
              </w:numPr>
              <w:ind w:left="378" w:hanging="360"/>
              <w:jc w:val="both"/>
              <w:rPr>
                <w:rFonts w:ascii="Arial" w:eastAsia="Arial" w:hAnsi="Arial" w:cs="Arial"/>
                <w:sz w:val="20"/>
                <w:szCs w:val="20"/>
                <w:lang w:val="es-ES"/>
              </w:rPr>
            </w:pPr>
            <w:r w:rsidRPr="00A91377">
              <w:rPr>
                <w:rFonts w:ascii="Arial" w:eastAsia="Arial,Times New Roman" w:hAnsi="Arial" w:cs="Arial"/>
                <w:sz w:val="20"/>
                <w:szCs w:val="20"/>
                <w:lang w:val="es-ES"/>
              </w:rPr>
              <w:t>Se ha avanzado en las siguientes áreas:</w:t>
            </w:r>
          </w:p>
          <w:p w14:paraId="045FFA3C" w14:textId="77777777" w:rsidR="00922FAF" w:rsidRPr="00A91377" w:rsidRDefault="4C4E8546" w:rsidP="4C4E8546">
            <w:pPr>
              <w:pStyle w:val="ListParagraph"/>
              <w:numPr>
                <w:ilvl w:val="0"/>
                <w:numId w:val="8"/>
              </w:numPr>
              <w:rPr>
                <w:rFonts w:ascii="Arial" w:eastAsia="Arial" w:hAnsi="Arial" w:cs="Arial"/>
                <w:sz w:val="20"/>
                <w:szCs w:val="20"/>
                <w:lang w:val="es-ES"/>
              </w:rPr>
            </w:pPr>
            <w:r w:rsidRPr="00A91377">
              <w:rPr>
                <w:rFonts w:ascii="Arial" w:eastAsia="Arial" w:hAnsi="Arial" w:cs="Arial"/>
                <w:sz w:val="20"/>
                <w:szCs w:val="20"/>
                <w:lang w:val="es-ES"/>
              </w:rPr>
              <w:t>El Decreto que modifica las disposiciones sobre la administración de portafolio de terceros ha sido emitido por el Gobierno Nacional (MHCP).</w:t>
            </w:r>
          </w:p>
          <w:p w14:paraId="51868788" w14:textId="710F73FC" w:rsidR="00922FAF" w:rsidRPr="00A91377" w:rsidRDefault="4C4E8546" w:rsidP="4C4E8546">
            <w:pPr>
              <w:pStyle w:val="ListParagraph"/>
              <w:numPr>
                <w:ilvl w:val="0"/>
                <w:numId w:val="8"/>
              </w:numPr>
              <w:rPr>
                <w:rFonts w:ascii="Arial" w:eastAsia="Arial" w:hAnsi="Arial" w:cs="Arial"/>
                <w:sz w:val="20"/>
                <w:szCs w:val="20"/>
                <w:lang w:val="es-ES"/>
              </w:rPr>
            </w:pPr>
            <w:r w:rsidRPr="00A91377">
              <w:rPr>
                <w:rFonts w:ascii="Arial" w:eastAsia="Arial" w:hAnsi="Arial" w:cs="Arial"/>
                <w:sz w:val="20"/>
                <w:szCs w:val="20"/>
                <w:lang w:val="es-ES"/>
              </w:rPr>
              <w:t xml:space="preserve">Se ha llevado a cabo la revisión de los marcos normativos aplicables a las actividades de la asesoría en el mercado de valores, la ampliación de instrumentos financieros de renta fija y derivados como parte de la ampliación de la </w:t>
            </w:r>
            <w:r w:rsidRPr="00A91377">
              <w:rPr>
                <w:rFonts w:ascii="Arial" w:eastAsia="Arial" w:hAnsi="Arial" w:cs="Arial"/>
                <w:sz w:val="20"/>
                <w:szCs w:val="20"/>
                <w:lang w:val="es-ES"/>
              </w:rPr>
              <w:lastRenderedPageBreak/>
              <w:t>integración de mercados financieros con el Mercado Integrado Latinoamericano y la ampliación de los contratos de corresponsalía y oficinas de representación para la oferta de productos de mercados de capitales del exterior y el MHCP ha producido un informe en cada caso sobre los resultados de dicha revisión y los avances, o cuenta con los proyectos de documentos jurídicos para efectuar los cambios.</w:t>
            </w:r>
          </w:p>
        </w:tc>
        <w:tc>
          <w:tcPr>
            <w:tcW w:w="3267" w:type="dxa"/>
          </w:tcPr>
          <w:p w14:paraId="51868789" w14:textId="77777777" w:rsidR="00922FAF" w:rsidRPr="00A91377" w:rsidRDefault="4C4E8546" w:rsidP="4C4E8546">
            <w:pPr>
              <w:pStyle w:val="ListParagraph"/>
              <w:numPr>
                <w:ilvl w:val="0"/>
                <w:numId w:val="17"/>
              </w:numPr>
              <w:ind w:left="396"/>
              <w:rPr>
                <w:rFonts w:ascii="Arial" w:eastAsia="Arial" w:hAnsi="Arial" w:cs="Arial"/>
                <w:sz w:val="20"/>
                <w:szCs w:val="20"/>
                <w:lang w:val="es-ES"/>
              </w:rPr>
            </w:pPr>
            <w:r w:rsidRPr="00A91377">
              <w:rPr>
                <w:rFonts w:ascii="Arial" w:eastAsia="Arial" w:hAnsi="Arial" w:cs="Arial"/>
                <w:sz w:val="20"/>
                <w:szCs w:val="20"/>
                <w:lang w:val="es-ES"/>
              </w:rPr>
              <w:lastRenderedPageBreak/>
              <w:t>Se han adoptado medidas orientadas a profundizar el desarrollo del sistema financiero, incluidas como mínimo las siguientes:</w:t>
            </w:r>
          </w:p>
          <w:p w14:paraId="5186878A" w14:textId="555FE766" w:rsidR="00922FAF" w:rsidRPr="00A91377" w:rsidRDefault="4C4E8546" w:rsidP="4C4E8546">
            <w:pPr>
              <w:pStyle w:val="ListParagraph"/>
              <w:numPr>
                <w:ilvl w:val="0"/>
                <w:numId w:val="33"/>
              </w:numPr>
              <w:rPr>
                <w:rFonts w:ascii="Arial" w:eastAsia="Arial" w:hAnsi="Arial" w:cs="Arial"/>
                <w:sz w:val="20"/>
                <w:szCs w:val="20"/>
                <w:lang w:val="es-ES"/>
              </w:rPr>
            </w:pPr>
            <w:r w:rsidRPr="00A91377">
              <w:rPr>
                <w:rFonts w:ascii="Arial" w:eastAsia="Arial,Times New Roman" w:hAnsi="Arial" w:cs="Arial"/>
                <w:sz w:val="20"/>
                <w:szCs w:val="20"/>
                <w:lang w:val="es-ES"/>
              </w:rPr>
              <w:t>El Decreto que modifica las disposiciones en lo relacionado con el régimen general de la inversión de capitales del exterior en Colombia y de las inversiones colombianas en el exterior ha sido emitido por el Gobierno Nacional (MHCP).</w:t>
            </w:r>
          </w:p>
          <w:p w14:paraId="5186878B" w14:textId="77777777" w:rsidR="00922FAF" w:rsidRPr="00A91377" w:rsidRDefault="4C4E8546" w:rsidP="4C4E8546">
            <w:pPr>
              <w:pStyle w:val="ListParagraph"/>
              <w:numPr>
                <w:ilvl w:val="0"/>
                <w:numId w:val="33"/>
              </w:numPr>
              <w:rPr>
                <w:rFonts w:ascii="Arial" w:eastAsia="Arial" w:hAnsi="Arial" w:cs="Arial"/>
                <w:sz w:val="20"/>
                <w:szCs w:val="20"/>
                <w:lang w:val="es-ES"/>
              </w:rPr>
            </w:pPr>
            <w:r w:rsidRPr="00A91377">
              <w:rPr>
                <w:rFonts w:ascii="Arial" w:eastAsia="Arial" w:hAnsi="Arial" w:cs="Arial"/>
                <w:sz w:val="20"/>
                <w:szCs w:val="20"/>
                <w:lang w:val="es-ES"/>
              </w:rPr>
              <w:t>El Decreto que modifica las disposiciones en relación con las excepciones a la definición de oferta pública de valores y la reapertura de emisiones de bonos ha sido emitido por el Gobierno Nacional (MHCP).</w:t>
            </w:r>
          </w:p>
          <w:p w14:paraId="5186878C" w14:textId="77777777" w:rsidR="00922FAF" w:rsidRPr="00A91377" w:rsidRDefault="4C4E8546" w:rsidP="4C4E8546">
            <w:pPr>
              <w:pStyle w:val="ListParagraph"/>
              <w:numPr>
                <w:ilvl w:val="0"/>
                <w:numId w:val="33"/>
              </w:numPr>
              <w:rPr>
                <w:rFonts w:ascii="Arial" w:eastAsia="Arial" w:hAnsi="Arial" w:cs="Arial"/>
                <w:sz w:val="20"/>
                <w:szCs w:val="20"/>
                <w:lang w:val="es-ES"/>
              </w:rPr>
            </w:pPr>
            <w:r w:rsidRPr="00A91377">
              <w:rPr>
                <w:rFonts w:ascii="Arial" w:eastAsia="Arial" w:hAnsi="Arial" w:cs="Arial"/>
                <w:sz w:val="20"/>
                <w:szCs w:val="20"/>
                <w:lang w:val="es-ES"/>
              </w:rPr>
              <w:t xml:space="preserve">El Proyecto de Ley por el cual se dictan normas para fortalecer la regulación y supervisión de los conglomerados financieros y los mecanismos de resolución de las </w:t>
            </w:r>
            <w:r w:rsidRPr="00A91377">
              <w:rPr>
                <w:rFonts w:ascii="Arial" w:eastAsia="Arial" w:hAnsi="Arial" w:cs="Arial"/>
                <w:sz w:val="20"/>
                <w:szCs w:val="20"/>
                <w:lang w:val="es-ES"/>
              </w:rPr>
              <w:lastRenderedPageBreak/>
              <w:t>entidades financieras ha sido presentado al Congreso de la República para su revisión y aprobación.</w:t>
            </w:r>
          </w:p>
          <w:p w14:paraId="5186878D" w14:textId="77777777" w:rsidR="00922FAF" w:rsidRPr="00A91377" w:rsidRDefault="4C4E8546" w:rsidP="4C4E8546">
            <w:pPr>
              <w:pStyle w:val="ListParagraph"/>
              <w:numPr>
                <w:ilvl w:val="0"/>
                <w:numId w:val="33"/>
              </w:numPr>
              <w:rPr>
                <w:rFonts w:ascii="Arial" w:eastAsia="Arial" w:hAnsi="Arial" w:cs="Arial"/>
                <w:sz w:val="20"/>
                <w:szCs w:val="20"/>
                <w:lang w:val="es-ES"/>
              </w:rPr>
            </w:pPr>
            <w:r w:rsidRPr="00A91377">
              <w:rPr>
                <w:rFonts w:ascii="Arial" w:eastAsia="Arial" w:hAnsi="Arial" w:cs="Arial"/>
                <w:sz w:val="20"/>
                <w:szCs w:val="20"/>
                <w:lang w:val="es-ES"/>
              </w:rPr>
              <w:t>El Decreto que modifica las disposiciones sobre el nombramiento y remoción del Superintendente Financiero ha sido emitido por el Gobierno Nacional (Departamento Administrativo de la Función Pública).</w:t>
            </w:r>
          </w:p>
          <w:p w14:paraId="5186878E" w14:textId="77777777" w:rsidR="00922FAF" w:rsidRPr="00A91377" w:rsidRDefault="4C4E8546" w:rsidP="4C4E8546">
            <w:pPr>
              <w:pStyle w:val="ListParagraph"/>
              <w:numPr>
                <w:ilvl w:val="0"/>
                <w:numId w:val="33"/>
              </w:numPr>
              <w:rPr>
                <w:rFonts w:ascii="Arial" w:eastAsia="Arial" w:hAnsi="Arial" w:cs="Arial"/>
                <w:sz w:val="20"/>
                <w:szCs w:val="20"/>
                <w:lang w:val="es-ES"/>
              </w:rPr>
            </w:pPr>
            <w:r w:rsidRPr="00A91377">
              <w:rPr>
                <w:rFonts w:ascii="Arial" w:eastAsia="Arial" w:hAnsi="Arial" w:cs="Arial"/>
                <w:sz w:val="20"/>
                <w:szCs w:val="20"/>
                <w:lang w:val="es-ES"/>
              </w:rPr>
              <w:t>El Decreto que modifica las disposiciones en lo relacionado con el proceso de liquidación forzosa administrativa y el pago del seguro de depósitos de Fogafín ha sido emitido por el Gobierno Nacional (MHCP).</w:t>
            </w:r>
          </w:p>
          <w:p w14:paraId="5186878F" w14:textId="205A6039" w:rsidR="00922FAF" w:rsidRPr="00A91377" w:rsidRDefault="4C4E8546" w:rsidP="4C4E8546">
            <w:pPr>
              <w:pStyle w:val="ListParagraph"/>
              <w:numPr>
                <w:ilvl w:val="0"/>
                <w:numId w:val="33"/>
              </w:numPr>
              <w:rPr>
                <w:rFonts w:ascii="Arial" w:eastAsia="Arial" w:hAnsi="Arial" w:cs="Arial"/>
                <w:sz w:val="20"/>
                <w:szCs w:val="20"/>
                <w:lang w:val="es-ES"/>
              </w:rPr>
            </w:pPr>
            <w:r w:rsidRPr="00A91377">
              <w:rPr>
                <w:rFonts w:ascii="Arial" w:eastAsia="Arial" w:hAnsi="Arial" w:cs="Arial"/>
                <w:sz w:val="20"/>
                <w:szCs w:val="20"/>
                <w:lang w:val="es-ES"/>
              </w:rPr>
              <w:t xml:space="preserve">El </w:t>
            </w:r>
            <w:r w:rsidR="00C27071">
              <w:rPr>
                <w:rFonts w:ascii="Arial" w:eastAsia="Arial" w:hAnsi="Arial" w:cs="Arial"/>
                <w:sz w:val="20"/>
                <w:szCs w:val="20"/>
                <w:lang w:val="es-ES"/>
              </w:rPr>
              <w:t xml:space="preserve">proyecto de decreto relacionado con el patrimonio adecuado de las sociedades </w:t>
            </w:r>
            <w:r w:rsidR="00F52BC8">
              <w:rPr>
                <w:rFonts w:ascii="Arial" w:eastAsia="Arial" w:hAnsi="Arial" w:cs="Arial"/>
                <w:sz w:val="20"/>
                <w:szCs w:val="20"/>
                <w:lang w:val="es-ES"/>
              </w:rPr>
              <w:t xml:space="preserve">fiduciarias, sociedades </w:t>
            </w:r>
            <w:r w:rsidR="00C27071">
              <w:rPr>
                <w:rFonts w:ascii="Arial" w:eastAsia="Arial" w:hAnsi="Arial" w:cs="Arial"/>
                <w:sz w:val="20"/>
                <w:szCs w:val="20"/>
                <w:lang w:val="es-ES"/>
              </w:rPr>
              <w:t xml:space="preserve">administradoras de fondos de pensiones y de cesantías, las sociedades comisionistas de bolsa y las sociedades administradoras de </w:t>
            </w:r>
            <w:r w:rsidR="00C27071">
              <w:rPr>
                <w:rFonts w:ascii="Arial" w:eastAsia="Arial" w:hAnsi="Arial" w:cs="Arial"/>
                <w:sz w:val="20"/>
                <w:szCs w:val="20"/>
                <w:lang w:val="es-ES"/>
              </w:rPr>
              <w:lastRenderedPageBreak/>
              <w:t>inversión ha sido publicado para comentarios por el MHCP</w:t>
            </w:r>
            <w:r w:rsidR="00C27071" w:rsidRPr="00CF07EF">
              <w:rPr>
                <w:rFonts w:ascii="Arial" w:eastAsia="Arial" w:hAnsi="Arial" w:cs="Arial"/>
                <w:sz w:val="20"/>
                <w:szCs w:val="20"/>
                <w:lang w:val="es-ES"/>
              </w:rPr>
              <w:t>.</w:t>
            </w:r>
          </w:p>
          <w:p w14:paraId="51868790" w14:textId="2BCDE049" w:rsidR="00922FAF" w:rsidRDefault="00C27071" w:rsidP="4C4E8546">
            <w:pPr>
              <w:pStyle w:val="ListParagraph"/>
              <w:numPr>
                <w:ilvl w:val="0"/>
                <w:numId w:val="33"/>
              </w:numPr>
              <w:rPr>
                <w:rFonts w:ascii="Arial" w:eastAsia="Arial" w:hAnsi="Arial" w:cs="Arial"/>
                <w:sz w:val="20"/>
                <w:szCs w:val="20"/>
                <w:lang w:val="es-ES"/>
              </w:rPr>
            </w:pPr>
            <w:r>
              <w:rPr>
                <w:rFonts w:ascii="Arial" w:eastAsia="Arial" w:hAnsi="Arial" w:cs="Arial"/>
                <w:sz w:val="20"/>
                <w:szCs w:val="20"/>
                <w:lang w:val="es-ES"/>
              </w:rPr>
              <w:t xml:space="preserve">La Guía de Criterios de Evaluación de Riesgos </w:t>
            </w:r>
            <w:r w:rsidR="4C4E8546" w:rsidRPr="00A91377">
              <w:rPr>
                <w:rFonts w:ascii="Arial" w:eastAsia="Arial" w:hAnsi="Arial" w:cs="Arial"/>
                <w:sz w:val="20"/>
                <w:szCs w:val="20"/>
                <w:lang w:val="es-ES"/>
              </w:rPr>
              <w:t>ha sido emitid</w:t>
            </w:r>
            <w:r>
              <w:rPr>
                <w:rFonts w:ascii="Arial" w:eastAsia="Arial" w:hAnsi="Arial" w:cs="Arial"/>
                <w:sz w:val="20"/>
                <w:szCs w:val="20"/>
                <w:lang w:val="es-ES"/>
              </w:rPr>
              <w:t>a</w:t>
            </w:r>
            <w:r w:rsidR="4C4E8546" w:rsidRPr="00A91377">
              <w:rPr>
                <w:rFonts w:ascii="Arial" w:eastAsia="Arial" w:hAnsi="Arial" w:cs="Arial"/>
                <w:sz w:val="20"/>
                <w:szCs w:val="20"/>
                <w:lang w:val="es-ES"/>
              </w:rPr>
              <w:t xml:space="preserve"> por la Superintendencia Financiera.</w:t>
            </w:r>
          </w:p>
          <w:p w14:paraId="09551AF2" w14:textId="1D0B5CC6" w:rsidR="00885FF3" w:rsidRDefault="00885FF3" w:rsidP="0056545A">
            <w:pPr>
              <w:rPr>
                <w:lang w:val="es-ES"/>
              </w:rPr>
            </w:pPr>
          </w:p>
          <w:p w14:paraId="51868792" w14:textId="77777777" w:rsidR="00922FAF" w:rsidRPr="00A91377" w:rsidRDefault="4C4E8546" w:rsidP="4C4E8546">
            <w:pPr>
              <w:pStyle w:val="ListParagraph"/>
              <w:numPr>
                <w:ilvl w:val="0"/>
                <w:numId w:val="38"/>
              </w:numPr>
              <w:ind w:left="396"/>
              <w:rPr>
                <w:rFonts w:ascii="Arial" w:eastAsia="Arial" w:hAnsi="Arial" w:cs="Arial"/>
                <w:sz w:val="20"/>
                <w:szCs w:val="20"/>
                <w:lang w:val="es-ES"/>
              </w:rPr>
            </w:pPr>
            <w:r w:rsidRPr="00A91377">
              <w:rPr>
                <w:rFonts w:ascii="Arial" w:eastAsia="Arial" w:hAnsi="Arial" w:cs="Arial"/>
                <w:sz w:val="20"/>
                <w:szCs w:val="20"/>
                <w:lang w:val="es-ES"/>
              </w:rPr>
              <w:t>Se han adoptado mecanismos para mejorar la protección a los inversionistas en los mercados de capital, incluidos como mínimo:</w:t>
            </w:r>
          </w:p>
          <w:p w14:paraId="51868793" w14:textId="77777777" w:rsidR="00922FAF" w:rsidRPr="00A91377" w:rsidRDefault="4C4E8546" w:rsidP="4C4E8546">
            <w:pPr>
              <w:pStyle w:val="ListParagraph"/>
              <w:numPr>
                <w:ilvl w:val="0"/>
                <w:numId w:val="39"/>
              </w:numPr>
              <w:rPr>
                <w:rFonts w:ascii="Arial" w:eastAsia="Arial" w:hAnsi="Arial" w:cs="Arial"/>
                <w:sz w:val="20"/>
                <w:szCs w:val="20"/>
                <w:lang w:val="es-ES"/>
              </w:rPr>
            </w:pPr>
            <w:r w:rsidRPr="00A91377">
              <w:rPr>
                <w:rFonts w:ascii="Arial" w:eastAsia="Arial" w:hAnsi="Arial" w:cs="Arial"/>
                <w:sz w:val="20"/>
                <w:szCs w:val="20"/>
                <w:lang w:val="es-ES"/>
              </w:rPr>
              <w:t>El Decreto que modifica las disposiciones sobre la administración de portafolio de terceros ha sido emitido por el Gobierno Nacional (MHCP).</w:t>
            </w:r>
          </w:p>
          <w:p w14:paraId="51868794" w14:textId="7A28067A" w:rsidR="00922FAF" w:rsidRPr="00A91377" w:rsidRDefault="4C4E8546" w:rsidP="4C4E8546">
            <w:pPr>
              <w:pStyle w:val="ListParagraph"/>
              <w:numPr>
                <w:ilvl w:val="0"/>
                <w:numId w:val="39"/>
              </w:numPr>
              <w:rPr>
                <w:rFonts w:ascii="Arial" w:eastAsia="Arial" w:hAnsi="Arial" w:cs="Arial"/>
                <w:sz w:val="20"/>
                <w:szCs w:val="20"/>
                <w:lang w:val="es-ES"/>
              </w:rPr>
            </w:pPr>
            <w:r w:rsidRPr="00A91377">
              <w:rPr>
                <w:rFonts w:ascii="Arial" w:eastAsia="Arial" w:hAnsi="Arial" w:cs="Arial"/>
                <w:sz w:val="20"/>
                <w:szCs w:val="20"/>
                <w:lang w:val="es-ES"/>
              </w:rPr>
              <w:t xml:space="preserve">Se ha llevado a cabo </w:t>
            </w:r>
            <w:r w:rsidR="007A7D73">
              <w:rPr>
                <w:rFonts w:ascii="Arial" w:eastAsia="Arial" w:hAnsi="Arial" w:cs="Arial"/>
                <w:sz w:val="20"/>
                <w:szCs w:val="20"/>
                <w:lang w:val="es-ES"/>
              </w:rPr>
              <w:t xml:space="preserve">el estudio sobre asesoría en el mercado de valores que incluye el análisis regulatorio de </w:t>
            </w:r>
            <w:r w:rsidRPr="00A91377">
              <w:rPr>
                <w:rFonts w:ascii="Arial" w:eastAsia="Arial" w:hAnsi="Arial" w:cs="Arial"/>
                <w:sz w:val="20"/>
                <w:szCs w:val="20"/>
                <w:lang w:val="es-ES"/>
              </w:rPr>
              <w:t xml:space="preserve">las actividades de la asesoría en el mercado de valores, la ampliación de instrumentos financieros de renta fija y derivados como parte de la ampliación de la </w:t>
            </w:r>
            <w:r w:rsidRPr="00A91377">
              <w:rPr>
                <w:rFonts w:ascii="Arial" w:eastAsia="Arial" w:hAnsi="Arial" w:cs="Arial"/>
                <w:sz w:val="20"/>
                <w:szCs w:val="20"/>
                <w:lang w:val="es-ES"/>
              </w:rPr>
              <w:lastRenderedPageBreak/>
              <w:t xml:space="preserve">integración de mercados financieros con el Mercado Integrado Latinoamericano (MILA) y la ampliación de los contratos de corresponsalía y oficinas de representación para la oferta de productos de mercados financieros del exterior y </w:t>
            </w:r>
            <w:r w:rsidR="00E70AB1">
              <w:rPr>
                <w:rFonts w:ascii="Arial" w:eastAsia="Arial" w:hAnsi="Arial" w:cs="Arial"/>
                <w:sz w:val="20"/>
                <w:szCs w:val="20"/>
                <w:lang w:val="es-ES"/>
              </w:rPr>
              <w:t xml:space="preserve">ha sido publicado por </w:t>
            </w:r>
            <w:r w:rsidRPr="00A91377">
              <w:rPr>
                <w:rFonts w:ascii="Arial" w:eastAsia="Arial" w:hAnsi="Arial" w:cs="Arial"/>
                <w:sz w:val="20"/>
                <w:szCs w:val="20"/>
                <w:lang w:val="es-ES"/>
              </w:rPr>
              <w:t>el MHCP.</w:t>
            </w:r>
          </w:p>
        </w:tc>
        <w:tc>
          <w:tcPr>
            <w:tcW w:w="3267" w:type="dxa"/>
          </w:tcPr>
          <w:p w14:paraId="7EA2543F" w14:textId="6C8D5E18" w:rsidR="009E0B15" w:rsidRPr="0056545A" w:rsidRDefault="00604CAA" w:rsidP="4C4E8546">
            <w:pPr>
              <w:rPr>
                <w:rFonts w:ascii="Arial" w:eastAsia="Arial" w:hAnsi="Arial" w:cs="Arial"/>
                <w:sz w:val="20"/>
                <w:szCs w:val="20"/>
                <w:lang w:val="es-ES"/>
              </w:rPr>
            </w:pPr>
            <w:r w:rsidRPr="0056545A">
              <w:rPr>
                <w:rFonts w:ascii="Arial" w:eastAsia="Arial" w:hAnsi="Arial" w:cs="Arial"/>
                <w:sz w:val="20"/>
                <w:szCs w:val="20"/>
                <w:lang w:val="es-ES"/>
              </w:rPr>
              <w:lastRenderedPageBreak/>
              <w:t>Se</w:t>
            </w:r>
            <w:r>
              <w:rPr>
                <w:rFonts w:ascii="Arial" w:eastAsia="Arial" w:hAnsi="Arial" w:cs="Arial"/>
                <w:sz w:val="20"/>
                <w:szCs w:val="20"/>
                <w:lang w:val="es-ES"/>
              </w:rPr>
              <w:t xml:space="preserve"> </w:t>
            </w:r>
            <w:r w:rsidRPr="009E0B15">
              <w:rPr>
                <w:rFonts w:ascii="Arial" w:eastAsia="Arial" w:hAnsi="Arial" w:cs="Arial"/>
                <w:sz w:val="20"/>
                <w:szCs w:val="20"/>
                <w:lang w:val="es-ES"/>
              </w:rPr>
              <w:t>amplía la redacción de la medida descrita en el</w:t>
            </w:r>
            <w:r w:rsidR="00815E56">
              <w:rPr>
                <w:rFonts w:ascii="Arial" w:eastAsia="Arial" w:hAnsi="Arial" w:cs="Arial"/>
                <w:sz w:val="20"/>
                <w:szCs w:val="20"/>
                <w:lang w:val="es-ES"/>
              </w:rPr>
              <w:t xml:space="preserve"> primer punto, “</w:t>
            </w:r>
            <w:r w:rsidR="00815E56" w:rsidRPr="00815E56">
              <w:rPr>
                <w:rFonts w:ascii="Arial" w:eastAsia="Arial" w:hAnsi="Arial" w:cs="Arial"/>
                <w:sz w:val="20"/>
                <w:szCs w:val="20"/>
                <w:lang w:val="es-ES"/>
              </w:rPr>
              <w:t xml:space="preserve">El Decreto que modifica las disposiciones en lo relacionado con el régimen general de la inversión de capitales del exterior en Colombia y de las inversiones colombianas en el exterior ha sido emitido </w:t>
            </w:r>
            <w:r w:rsidR="00815E56">
              <w:rPr>
                <w:rFonts w:ascii="Arial" w:eastAsia="Arial" w:hAnsi="Arial" w:cs="Arial"/>
                <w:sz w:val="20"/>
                <w:szCs w:val="20"/>
                <w:lang w:val="es-ES"/>
              </w:rPr>
              <w:t>por el Gobierno Nacional (MHCP), debido a que esa es la descripción oficial final de esa medida.</w:t>
            </w:r>
          </w:p>
          <w:p w14:paraId="5ED504D3" w14:textId="17B470A9" w:rsidR="3054F60D" w:rsidRPr="009E0B15" w:rsidRDefault="3054F60D" w:rsidP="3054F60D">
            <w:pPr>
              <w:rPr>
                <w:rFonts w:ascii="Arial" w:eastAsia="Arial" w:hAnsi="Arial" w:cs="Arial"/>
                <w:sz w:val="20"/>
                <w:szCs w:val="20"/>
                <w:lang w:val="es-ES"/>
              </w:rPr>
            </w:pPr>
          </w:p>
          <w:p w14:paraId="25F4B0C0" w14:textId="77777777" w:rsidR="00922FAF" w:rsidRPr="009E0B15" w:rsidRDefault="4C4E8546" w:rsidP="4C4E8546">
            <w:pPr>
              <w:rPr>
                <w:rFonts w:ascii="Arial" w:eastAsia="Arial" w:hAnsi="Arial" w:cs="Arial"/>
                <w:sz w:val="20"/>
                <w:szCs w:val="20"/>
                <w:lang w:val="es-ES"/>
              </w:rPr>
            </w:pPr>
            <w:r w:rsidRPr="009E0B15">
              <w:rPr>
                <w:rFonts w:ascii="Arial" w:eastAsia="Arial" w:hAnsi="Arial" w:cs="Arial"/>
                <w:sz w:val="20"/>
                <w:szCs w:val="20"/>
                <w:lang w:val="es-ES"/>
              </w:rPr>
              <w:t>Se agrega la medida descrita en el segundo punto, “El Decreto que modifica las disposiciones en relación con las excepciones a la definición de oferta pública de valores y la reapertura de emisiones de bonos ha sido emitido por el Gobierno Nacional (MHCP)”, al alinearse con las medidas que fortalece el funcionamiento de los mercados de capitales.</w:t>
            </w:r>
          </w:p>
          <w:p w14:paraId="372D8E9E" w14:textId="77777777" w:rsidR="009D3409" w:rsidRPr="009E0B15" w:rsidRDefault="009D3409" w:rsidP="00542286">
            <w:pPr>
              <w:rPr>
                <w:rFonts w:ascii="Arial" w:hAnsi="Arial" w:cs="Arial"/>
                <w:sz w:val="20"/>
                <w:szCs w:val="20"/>
                <w:lang w:val="es-ES_tradnl"/>
              </w:rPr>
            </w:pPr>
          </w:p>
          <w:p w14:paraId="29AEE8B4" w14:textId="77777777" w:rsidR="009D3409" w:rsidRPr="009E0B15" w:rsidRDefault="4C4E8546" w:rsidP="4C4E8546">
            <w:pPr>
              <w:rPr>
                <w:rFonts w:ascii="Arial" w:eastAsia="Arial" w:hAnsi="Arial" w:cs="Arial"/>
                <w:sz w:val="20"/>
                <w:szCs w:val="20"/>
                <w:lang w:val="es-ES"/>
              </w:rPr>
            </w:pPr>
            <w:r w:rsidRPr="009E0B15">
              <w:rPr>
                <w:rFonts w:ascii="Arial" w:eastAsia="Arial" w:hAnsi="Arial" w:cs="Arial"/>
                <w:sz w:val="20"/>
                <w:szCs w:val="20"/>
                <w:lang w:val="es-ES"/>
              </w:rPr>
              <w:t xml:space="preserve">Se amplía la redacción de la medida descrita en el tercer punto, “El Proyecto de Ley por el cual se dictan normas para fortalecer la regulación y supervisión de los conglomerados financieros y los mecanismos de </w:t>
            </w:r>
            <w:r w:rsidRPr="009E0B15">
              <w:rPr>
                <w:rFonts w:ascii="Arial" w:eastAsia="Arial" w:hAnsi="Arial" w:cs="Arial"/>
                <w:sz w:val="20"/>
                <w:szCs w:val="20"/>
                <w:lang w:val="es-ES"/>
              </w:rPr>
              <w:lastRenderedPageBreak/>
              <w:t>resolución de las entidades financieras ha sido presentado al Congreso de la República para su revisión y aprobación”, para ajustar al lenguaje preciso utilizado, siendo en efecto la misma medida prevista originalmente.</w:t>
            </w:r>
          </w:p>
          <w:p w14:paraId="36221C81" w14:textId="77777777" w:rsidR="002E2503" w:rsidRPr="009E0B15" w:rsidRDefault="002E2503" w:rsidP="00542286">
            <w:pPr>
              <w:rPr>
                <w:rFonts w:ascii="Arial" w:hAnsi="Arial" w:cs="Arial"/>
                <w:sz w:val="20"/>
                <w:szCs w:val="20"/>
                <w:lang w:val="es-ES_tradnl"/>
              </w:rPr>
            </w:pPr>
          </w:p>
          <w:p w14:paraId="35D144EF" w14:textId="77777777" w:rsidR="002E2503" w:rsidRPr="009E0B15" w:rsidRDefault="4C4E8546" w:rsidP="4C4E8546">
            <w:pPr>
              <w:rPr>
                <w:rFonts w:ascii="Arial" w:eastAsia="Arial" w:hAnsi="Arial" w:cs="Arial"/>
                <w:sz w:val="20"/>
                <w:szCs w:val="20"/>
                <w:lang w:val="es-ES"/>
              </w:rPr>
            </w:pPr>
            <w:r w:rsidRPr="009E0B15">
              <w:rPr>
                <w:rFonts w:ascii="Arial" w:eastAsia="Arial" w:hAnsi="Arial" w:cs="Arial"/>
                <w:sz w:val="20"/>
                <w:szCs w:val="20"/>
                <w:lang w:val="es-ES"/>
              </w:rPr>
              <w:t>Se agrega la medida descrita en el cuarto punto, “El Decreto que modifica las disposiciones sobre el nombramiento y remoción del Superintendente Financiero ha sido emitido por el Gobierno Nacional (Departamento Administrativo de la Función Pública)”, al fortalecer la función de regulación y supervisión del sistema financiero.</w:t>
            </w:r>
          </w:p>
          <w:p w14:paraId="325308C4" w14:textId="77777777" w:rsidR="002E2503" w:rsidRPr="009E0B15" w:rsidRDefault="002E2503" w:rsidP="00542286">
            <w:pPr>
              <w:rPr>
                <w:rFonts w:ascii="Arial" w:hAnsi="Arial" w:cs="Arial"/>
                <w:sz w:val="20"/>
                <w:szCs w:val="20"/>
                <w:lang w:val="es-ES_tradnl"/>
              </w:rPr>
            </w:pPr>
          </w:p>
          <w:p w14:paraId="77DDE2AF" w14:textId="034C62DB" w:rsidR="002E2503" w:rsidRPr="009E0B15" w:rsidRDefault="4C4E8546" w:rsidP="4C4E8546">
            <w:pPr>
              <w:rPr>
                <w:rFonts w:ascii="Arial" w:eastAsia="Arial" w:hAnsi="Arial" w:cs="Arial"/>
                <w:sz w:val="20"/>
                <w:szCs w:val="20"/>
                <w:lang w:val="es-ES"/>
              </w:rPr>
            </w:pPr>
            <w:r w:rsidRPr="009E0B15">
              <w:rPr>
                <w:rFonts w:ascii="Arial" w:eastAsia="Arial" w:hAnsi="Arial" w:cs="Arial"/>
                <w:sz w:val="20"/>
                <w:szCs w:val="20"/>
                <w:lang w:val="es-ES"/>
              </w:rPr>
              <w:t>Se agrega la medida descrita en el quinto punto, “El Decreto que modifica las disposiciones en lo relacionado con el proceso de liquidación forzosa administrativa y el pago de seguro de depósitos de Fogafín ha sido emitido por el Gobierno Nacional (MHCP)”, al clarificar ésta el papel del Fogafín ante situaciones adversas en las entidades reguladas.</w:t>
            </w:r>
          </w:p>
          <w:p w14:paraId="164E54D4" w14:textId="386BEDF6" w:rsidR="005D4F8F" w:rsidRDefault="005D4F8F" w:rsidP="00542286">
            <w:pPr>
              <w:rPr>
                <w:rFonts w:ascii="Arial" w:hAnsi="Arial" w:cs="Arial"/>
                <w:sz w:val="20"/>
                <w:szCs w:val="20"/>
                <w:lang w:val="es-ES_tradnl"/>
              </w:rPr>
            </w:pPr>
          </w:p>
          <w:p w14:paraId="1F94D77A" w14:textId="08AB5A17" w:rsidR="00C27071" w:rsidRPr="009E0B15" w:rsidRDefault="00C27071" w:rsidP="00542286">
            <w:pPr>
              <w:rPr>
                <w:rFonts w:ascii="Arial" w:hAnsi="Arial" w:cs="Arial"/>
                <w:sz w:val="20"/>
                <w:szCs w:val="20"/>
                <w:lang w:val="es-ES_tradnl"/>
              </w:rPr>
            </w:pPr>
            <w:r>
              <w:rPr>
                <w:rFonts w:ascii="Arial" w:hAnsi="Arial" w:cs="Arial"/>
                <w:sz w:val="20"/>
                <w:szCs w:val="20"/>
                <w:lang w:val="es-ES_tradnl"/>
              </w:rPr>
              <w:t xml:space="preserve">Se </w:t>
            </w:r>
            <w:r w:rsidR="00A70B72">
              <w:rPr>
                <w:rFonts w:ascii="Arial" w:hAnsi="Arial" w:cs="Arial"/>
                <w:sz w:val="20"/>
                <w:szCs w:val="20"/>
                <w:lang w:val="es-ES_tradnl"/>
              </w:rPr>
              <w:t xml:space="preserve">sustituye </w:t>
            </w:r>
            <w:r>
              <w:rPr>
                <w:rFonts w:ascii="Arial" w:hAnsi="Arial" w:cs="Arial"/>
                <w:sz w:val="20"/>
                <w:szCs w:val="20"/>
                <w:lang w:val="es-ES_tradnl"/>
              </w:rPr>
              <w:t>la medida descrita en el sexto punto “</w:t>
            </w:r>
            <w:r w:rsidRPr="00A91377">
              <w:rPr>
                <w:rFonts w:ascii="Arial" w:eastAsia="Arial" w:hAnsi="Arial" w:cs="Arial"/>
                <w:sz w:val="20"/>
                <w:szCs w:val="20"/>
                <w:lang w:val="es-ES"/>
              </w:rPr>
              <w:t xml:space="preserve">El </w:t>
            </w:r>
            <w:r>
              <w:rPr>
                <w:rFonts w:ascii="Arial" w:eastAsia="Arial" w:hAnsi="Arial" w:cs="Arial"/>
                <w:sz w:val="20"/>
                <w:szCs w:val="20"/>
                <w:lang w:val="es-ES"/>
              </w:rPr>
              <w:t xml:space="preserve">proyecto de decreto relacionado con el </w:t>
            </w:r>
            <w:r>
              <w:rPr>
                <w:rFonts w:ascii="Arial" w:eastAsia="Arial" w:hAnsi="Arial" w:cs="Arial"/>
                <w:sz w:val="20"/>
                <w:szCs w:val="20"/>
                <w:lang w:val="es-ES"/>
              </w:rPr>
              <w:lastRenderedPageBreak/>
              <w:t xml:space="preserve">patrimonio adecuado de las </w:t>
            </w:r>
            <w:r w:rsidR="00F52BC8">
              <w:rPr>
                <w:rFonts w:ascii="Arial" w:eastAsia="Arial" w:hAnsi="Arial" w:cs="Arial"/>
                <w:sz w:val="20"/>
                <w:szCs w:val="20"/>
                <w:lang w:val="es-ES"/>
              </w:rPr>
              <w:t xml:space="preserve">sociedades fiduciarias, </w:t>
            </w:r>
            <w:bookmarkStart w:id="0" w:name="_GoBack"/>
            <w:bookmarkEnd w:id="0"/>
            <w:r>
              <w:rPr>
                <w:rFonts w:ascii="Arial" w:eastAsia="Arial" w:hAnsi="Arial" w:cs="Arial"/>
                <w:sz w:val="20"/>
                <w:szCs w:val="20"/>
                <w:lang w:val="es-ES"/>
              </w:rPr>
              <w:t xml:space="preserve">sociedades administradoras de fondos de pensiones y de cesantías, las sociedades comisionistas de bolsa y las sociedades administradoras de inversión ha </w:t>
            </w:r>
            <w:r w:rsidRPr="00A70B72">
              <w:rPr>
                <w:rFonts w:ascii="Arial" w:eastAsia="Arial" w:hAnsi="Arial" w:cs="Arial"/>
                <w:sz w:val="20"/>
                <w:szCs w:val="20"/>
                <w:lang w:val="es-ES"/>
              </w:rPr>
              <w:t>sido publicado para comentarios por el MHCP”</w:t>
            </w:r>
            <w:r w:rsidR="00A70B72" w:rsidRPr="00A70B72">
              <w:rPr>
                <w:rFonts w:ascii="Arial" w:eastAsia="Arial" w:hAnsi="Arial" w:cs="Arial"/>
                <w:sz w:val="20"/>
                <w:szCs w:val="20"/>
                <w:lang w:val="es-ES"/>
              </w:rPr>
              <w:t xml:space="preserve">, </w:t>
            </w:r>
            <w:r w:rsidR="00A70B72">
              <w:rPr>
                <w:rFonts w:ascii="Arial" w:eastAsia="Arial" w:hAnsi="Arial" w:cs="Arial"/>
                <w:sz w:val="20"/>
                <w:szCs w:val="20"/>
                <w:lang w:val="es-ES"/>
              </w:rPr>
              <w:t xml:space="preserve">ya que </w:t>
            </w:r>
            <w:r w:rsidR="00A70B72" w:rsidRPr="00FD510A">
              <w:rPr>
                <w:rFonts w:ascii="Arial" w:eastAsia="Times New Roman" w:hAnsi="Arial" w:cs="Arial"/>
                <w:sz w:val="20"/>
                <w:szCs w:val="20"/>
                <w:lang w:val="es-ES_tradnl"/>
              </w:rPr>
              <w:t>con el estudio completado, han presentado un proyecto de decreto para implementar los cambios que se proponían en el estudio (medida más fuerte).</w:t>
            </w:r>
            <w:r w:rsidR="00A70B72" w:rsidRPr="00A70B72">
              <w:rPr>
                <w:rFonts w:ascii="Arial" w:eastAsia="Arial" w:hAnsi="Arial" w:cs="Arial"/>
                <w:sz w:val="20"/>
                <w:szCs w:val="20"/>
                <w:lang w:val="es-ES"/>
              </w:rPr>
              <w:t xml:space="preserve"> </w:t>
            </w:r>
          </w:p>
          <w:p w14:paraId="5619093A" w14:textId="77777777" w:rsidR="005D4F8F" w:rsidRPr="009E0B15" w:rsidRDefault="005D4F8F" w:rsidP="00542286">
            <w:pPr>
              <w:rPr>
                <w:rFonts w:ascii="Arial" w:hAnsi="Arial" w:cs="Arial"/>
                <w:sz w:val="20"/>
                <w:szCs w:val="20"/>
                <w:lang w:val="es-ES_tradnl"/>
              </w:rPr>
            </w:pPr>
          </w:p>
          <w:p w14:paraId="1983E976" w14:textId="065FAE97" w:rsidR="005D4F8F" w:rsidRPr="009E0B15" w:rsidRDefault="00C27071" w:rsidP="00542286">
            <w:pPr>
              <w:rPr>
                <w:rFonts w:ascii="Arial" w:hAnsi="Arial" w:cs="Arial"/>
                <w:sz w:val="20"/>
                <w:szCs w:val="20"/>
                <w:lang w:val="es-ES_tradnl"/>
              </w:rPr>
            </w:pPr>
            <w:r w:rsidRPr="00902C0C">
              <w:rPr>
                <w:rFonts w:ascii="Arial" w:eastAsia="Arial" w:hAnsi="Arial" w:cs="Arial"/>
                <w:sz w:val="20"/>
                <w:szCs w:val="20"/>
                <w:lang w:val="es-ES"/>
              </w:rPr>
              <w:t xml:space="preserve">Se modifica la medida descrita en el séptimo punto “La Guía de Criterios de Evaluación de Riesgos ha sido emitida por la Superintendencia Financiera”, </w:t>
            </w:r>
            <w:r w:rsidR="00DB1751" w:rsidRPr="00FD510A">
              <w:rPr>
                <w:rFonts w:ascii="Arial" w:eastAsia="Arial" w:hAnsi="Arial" w:cs="Arial"/>
                <w:sz w:val="20"/>
                <w:szCs w:val="20"/>
                <w:lang w:val="es-ES"/>
              </w:rPr>
              <w:t>para reflejar la redacción utilizada por la Superintendencia Financiera en el medio de verificación</w:t>
            </w:r>
            <w:r w:rsidRPr="00902C0C">
              <w:rPr>
                <w:rFonts w:ascii="Arial" w:eastAsia="Arial" w:hAnsi="Arial" w:cs="Arial"/>
                <w:sz w:val="20"/>
                <w:szCs w:val="20"/>
                <w:lang w:val="es-ES"/>
              </w:rPr>
              <w:t>.</w:t>
            </w:r>
          </w:p>
          <w:p w14:paraId="74A02337" w14:textId="77777777" w:rsidR="005D4F8F" w:rsidRPr="009E0B15" w:rsidRDefault="005D4F8F" w:rsidP="00542286">
            <w:pPr>
              <w:rPr>
                <w:rFonts w:ascii="Arial" w:hAnsi="Arial" w:cs="Arial"/>
                <w:sz w:val="20"/>
                <w:szCs w:val="20"/>
                <w:lang w:val="es-ES_tradnl"/>
              </w:rPr>
            </w:pPr>
          </w:p>
          <w:p w14:paraId="3E73DC88" w14:textId="77777777" w:rsidR="005D4F8F" w:rsidRPr="009E0B15" w:rsidRDefault="005D4F8F" w:rsidP="00542286">
            <w:pPr>
              <w:rPr>
                <w:rFonts w:ascii="Arial" w:hAnsi="Arial" w:cs="Arial"/>
                <w:sz w:val="20"/>
                <w:szCs w:val="20"/>
                <w:lang w:val="es-ES_tradnl"/>
              </w:rPr>
            </w:pPr>
          </w:p>
          <w:p w14:paraId="7DE0284A" w14:textId="77777777" w:rsidR="005D4F8F" w:rsidRPr="009E0B15" w:rsidRDefault="005D4F8F" w:rsidP="00542286">
            <w:pPr>
              <w:rPr>
                <w:rFonts w:ascii="Arial" w:hAnsi="Arial" w:cs="Arial"/>
                <w:sz w:val="20"/>
                <w:szCs w:val="20"/>
                <w:lang w:val="es-ES_tradnl"/>
              </w:rPr>
            </w:pPr>
          </w:p>
          <w:p w14:paraId="1B76ABC0" w14:textId="77777777" w:rsidR="005D4F8F" w:rsidRPr="009E0B15" w:rsidRDefault="005D4F8F" w:rsidP="00542286">
            <w:pPr>
              <w:rPr>
                <w:rFonts w:ascii="Arial" w:hAnsi="Arial" w:cs="Arial"/>
                <w:sz w:val="20"/>
                <w:szCs w:val="20"/>
                <w:lang w:val="es-ES_tradnl"/>
              </w:rPr>
            </w:pPr>
          </w:p>
          <w:p w14:paraId="32A7AACF" w14:textId="77777777" w:rsidR="005D4F8F" w:rsidRPr="009E0B15" w:rsidRDefault="005D4F8F" w:rsidP="00542286">
            <w:pPr>
              <w:rPr>
                <w:rFonts w:ascii="Arial" w:hAnsi="Arial" w:cs="Arial"/>
                <w:sz w:val="20"/>
                <w:szCs w:val="20"/>
                <w:lang w:val="es-ES_tradnl"/>
              </w:rPr>
            </w:pPr>
          </w:p>
          <w:p w14:paraId="65509AAB" w14:textId="77777777" w:rsidR="005D4F8F" w:rsidRPr="009E0B15" w:rsidRDefault="005D4F8F" w:rsidP="00542286">
            <w:pPr>
              <w:rPr>
                <w:rFonts w:ascii="Arial" w:hAnsi="Arial" w:cs="Arial"/>
                <w:sz w:val="20"/>
                <w:szCs w:val="20"/>
                <w:lang w:val="es-ES_tradnl"/>
              </w:rPr>
            </w:pPr>
          </w:p>
          <w:p w14:paraId="604A794C" w14:textId="77777777" w:rsidR="005D4F8F" w:rsidRPr="009E0B15" w:rsidRDefault="005D4F8F" w:rsidP="00542286">
            <w:pPr>
              <w:rPr>
                <w:rFonts w:ascii="Arial" w:hAnsi="Arial" w:cs="Arial"/>
                <w:sz w:val="20"/>
                <w:szCs w:val="20"/>
                <w:lang w:val="es-ES_tradnl"/>
              </w:rPr>
            </w:pPr>
          </w:p>
          <w:p w14:paraId="241C3705" w14:textId="77777777" w:rsidR="005D4F8F" w:rsidRPr="009E0B15" w:rsidRDefault="005D4F8F" w:rsidP="00542286">
            <w:pPr>
              <w:rPr>
                <w:rFonts w:ascii="Arial" w:hAnsi="Arial" w:cs="Arial"/>
                <w:sz w:val="20"/>
                <w:szCs w:val="20"/>
                <w:lang w:val="es-ES_tradnl"/>
              </w:rPr>
            </w:pPr>
          </w:p>
          <w:p w14:paraId="69778F8F" w14:textId="16F2B539" w:rsidR="005D4F8F" w:rsidRDefault="005D4F8F" w:rsidP="00542286">
            <w:pPr>
              <w:rPr>
                <w:rFonts w:ascii="Arial" w:hAnsi="Arial" w:cs="Arial"/>
                <w:sz w:val="20"/>
                <w:szCs w:val="20"/>
                <w:lang w:val="es-ES_tradnl"/>
              </w:rPr>
            </w:pPr>
          </w:p>
          <w:p w14:paraId="781F10B7" w14:textId="77777777" w:rsidR="00885FF3" w:rsidRPr="009E0B15" w:rsidRDefault="00885FF3" w:rsidP="00542286">
            <w:pPr>
              <w:rPr>
                <w:rFonts w:ascii="Arial" w:hAnsi="Arial" w:cs="Arial"/>
                <w:sz w:val="20"/>
                <w:szCs w:val="20"/>
                <w:lang w:val="es-ES_tradnl"/>
              </w:rPr>
            </w:pPr>
          </w:p>
          <w:p w14:paraId="2ACB4B80" w14:textId="77777777" w:rsidR="005D4F8F" w:rsidRPr="009E0B15" w:rsidRDefault="005D4F8F" w:rsidP="00542286">
            <w:pPr>
              <w:rPr>
                <w:rFonts w:ascii="Arial" w:hAnsi="Arial" w:cs="Arial"/>
                <w:sz w:val="20"/>
                <w:szCs w:val="20"/>
                <w:lang w:val="es-ES_tradnl"/>
              </w:rPr>
            </w:pPr>
          </w:p>
          <w:p w14:paraId="50442067" w14:textId="77777777" w:rsidR="00C27071" w:rsidRDefault="00C27071" w:rsidP="4C4E8546">
            <w:pPr>
              <w:rPr>
                <w:rFonts w:ascii="Arial" w:eastAsia="Arial" w:hAnsi="Arial" w:cs="Arial"/>
                <w:sz w:val="20"/>
                <w:szCs w:val="20"/>
                <w:lang w:val="es-ES"/>
              </w:rPr>
            </w:pPr>
          </w:p>
          <w:p w14:paraId="1B90956B" w14:textId="77777777" w:rsidR="00C27071" w:rsidRDefault="00C27071" w:rsidP="4C4E8546">
            <w:pPr>
              <w:rPr>
                <w:rFonts w:ascii="Arial" w:eastAsia="Arial" w:hAnsi="Arial" w:cs="Arial"/>
                <w:sz w:val="20"/>
                <w:szCs w:val="20"/>
                <w:lang w:val="es-ES"/>
              </w:rPr>
            </w:pPr>
          </w:p>
          <w:p w14:paraId="6D1E0660" w14:textId="77777777" w:rsidR="00C27071" w:rsidRDefault="00C27071" w:rsidP="4C4E8546">
            <w:pPr>
              <w:rPr>
                <w:rFonts w:ascii="Arial" w:eastAsia="Arial" w:hAnsi="Arial" w:cs="Arial"/>
                <w:sz w:val="20"/>
                <w:szCs w:val="20"/>
                <w:lang w:val="es-ES"/>
              </w:rPr>
            </w:pPr>
          </w:p>
          <w:p w14:paraId="368CB615" w14:textId="77777777" w:rsidR="00C27071" w:rsidRDefault="00C27071" w:rsidP="4C4E8546">
            <w:pPr>
              <w:rPr>
                <w:rFonts w:ascii="Arial" w:eastAsia="Arial" w:hAnsi="Arial" w:cs="Arial"/>
                <w:sz w:val="20"/>
                <w:szCs w:val="20"/>
                <w:lang w:val="es-ES"/>
              </w:rPr>
            </w:pPr>
          </w:p>
          <w:p w14:paraId="3977F571" w14:textId="77777777" w:rsidR="00C27071" w:rsidRDefault="00C27071" w:rsidP="4C4E8546">
            <w:pPr>
              <w:rPr>
                <w:rFonts w:ascii="Arial" w:eastAsia="Arial" w:hAnsi="Arial" w:cs="Arial"/>
                <w:sz w:val="20"/>
                <w:szCs w:val="20"/>
                <w:lang w:val="es-ES"/>
              </w:rPr>
            </w:pPr>
          </w:p>
          <w:p w14:paraId="2DE05108" w14:textId="1FB991AD" w:rsidR="005D4F8F" w:rsidRPr="009E0B15" w:rsidRDefault="4C4E8546" w:rsidP="4C4E8546">
            <w:pPr>
              <w:rPr>
                <w:rFonts w:ascii="Arial" w:eastAsia="Arial" w:hAnsi="Arial" w:cs="Arial"/>
                <w:sz w:val="20"/>
                <w:szCs w:val="20"/>
                <w:lang w:val="es-ES"/>
              </w:rPr>
            </w:pPr>
            <w:r w:rsidRPr="009E0B15">
              <w:rPr>
                <w:rFonts w:ascii="Arial" w:eastAsia="Arial" w:hAnsi="Arial" w:cs="Arial"/>
                <w:sz w:val="20"/>
                <w:szCs w:val="20"/>
                <w:lang w:val="es-ES"/>
              </w:rPr>
              <w:t xml:space="preserve">Se modifica la redacción de la medida descrita en el segundo punto, “Se ha llevado a cabo </w:t>
            </w:r>
            <w:r w:rsidR="007A7D73">
              <w:rPr>
                <w:rFonts w:ascii="Arial" w:eastAsia="Arial" w:hAnsi="Arial" w:cs="Arial"/>
                <w:sz w:val="20"/>
                <w:szCs w:val="20"/>
                <w:lang w:val="es-ES"/>
              </w:rPr>
              <w:t>el estudio sobre asesoría en el mercado de valores que incluye el análisis regulatorio de</w:t>
            </w:r>
            <w:r w:rsidRPr="009E0B15">
              <w:rPr>
                <w:rFonts w:ascii="Arial" w:eastAsia="Arial" w:hAnsi="Arial" w:cs="Arial"/>
                <w:sz w:val="20"/>
                <w:szCs w:val="20"/>
                <w:lang w:val="es-ES"/>
              </w:rPr>
              <w:t xml:space="preserve"> las actividades de asesoría en el mercado de valores, la ampliación de instrumentos financieros de renta fija y derivados como parte de la ampliación de la integración de mercados financieros con el Mercado Integrado Latinoamericano (MILA) y la ampliación de los contratos de corresponsalía y oficinas de representación para la oferta de productos de mercados financieros del </w:t>
            </w:r>
            <w:r w:rsidRPr="00EB3902">
              <w:rPr>
                <w:rFonts w:ascii="Arial" w:eastAsia="Arial" w:hAnsi="Arial" w:cs="Arial"/>
                <w:sz w:val="20"/>
                <w:szCs w:val="20"/>
                <w:lang w:val="es-ES"/>
              </w:rPr>
              <w:t>exterior …”,</w:t>
            </w:r>
            <w:r w:rsidRPr="009E0B15">
              <w:rPr>
                <w:rFonts w:ascii="Arial" w:eastAsia="Arial" w:hAnsi="Arial" w:cs="Arial"/>
                <w:sz w:val="20"/>
                <w:szCs w:val="20"/>
                <w:lang w:val="es-ES"/>
              </w:rPr>
              <w:t xml:space="preserve"> ya que</w:t>
            </w:r>
            <w:r w:rsidR="00EB3902">
              <w:rPr>
                <w:rFonts w:ascii="Arial" w:eastAsia="Arial" w:hAnsi="Arial" w:cs="Arial"/>
                <w:sz w:val="20"/>
                <w:szCs w:val="20"/>
                <w:lang w:val="es-ES"/>
              </w:rPr>
              <w:t xml:space="preserve">, para efectos del BID, el MHCP </w:t>
            </w:r>
            <w:r w:rsidR="00EB3902" w:rsidRPr="00EB3902">
              <w:rPr>
                <w:rFonts w:ascii="Arial" w:eastAsia="Arial" w:hAnsi="Arial" w:cs="Arial"/>
                <w:sz w:val="20"/>
                <w:szCs w:val="20"/>
                <w:lang w:val="es-ES"/>
              </w:rPr>
              <w:t>presentará un solo informe para cumplir con el medio de verificación, en lugar de varios informes</w:t>
            </w:r>
            <w:r w:rsidR="00EB3902">
              <w:rPr>
                <w:rFonts w:ascii="Arial" w:eastAsia="Arial" w:hAnsi="Arial" w:cs="Arial"/>
                <w:sz w:val="20"/>
                <w:szCs w:val="20"/>
                <w:lang w:val="es-ES"/>
              </w:rPr>
              <w:t>.</w:t>
            </w:r>
            <w:r w:rsidR="00EB3902" w:rsidRPr="009E0B15" w:rsidDel="00EB3902">
              <w:rPr>
                <w:rFonts w:ascii="Arial" w:eastAsia="Arial" w:hAnsi="Arial" w:cs="Arial"/>
                <w:sz w:val="20"/>
                <w:szCs w:val="20"/>
                <w:lang w:val="es-ES"/>
              </w:rPr>
              <w:t xml:space="preserve"> </w:t>
            </w:r>
          </w:p>
          <w:p w14:paraId="20D80FC3" w14:textId="3B7EB85D" w:rsidR="00E1042F" w:rsidRPr="009E0B15" w:rsidRDefault="00E1042F" w:rsidP="4C4E8546">
            <w:pPr>
              <w:rPr>
                <w:rFonts w:ascii="Arial" w:eastAsia="Arial" w:hAnsi="Arial" w:cs="Arial"/>
                <w:sz w:val="20"/>
                <w:szCs w:val="20"/>
                <w:lang w:val="es-ES"/>
              </w:rPr>
            </w:pPr>
          </w:p>
        </w:tc>
      </w:tr>
      <w:tr w:rsidR="00922FAF" w:rsidRPr="00F52BC8" w14:paraId="518687A2" w14:textId="1BE15FEB" w:rsidTr="4C4E8546">
        <w:tc>
          <w:tcPr>
            <w:tcW w:w="3267" w:type="dxa"/>
          </w:tcPr>
          <w:p w14:paraId="51868796" w14:textId="384E63AF" w:rsidR="00922FAF" w:rsidRPr="009E0B15" w:rsidRDefault="4C4E8546" w:rsidP="4C4E8546">
            <w:pPr>
              <w:pStyle w:val="ListParagraph"/>
              <w:numPr>
                <w:ilvl w:val="0"/>
                <w:numId w:val="3"/>
              </w:numPr>
              <w:ind w:left="180" w:hanging="180"/>
              <w:rPr>
                <w:rFonts w:ascii="Arial" w:eastAsia="Arial" w:hAnsi="Arial" w:cs="Arial"/>
                <w:sz w:val="20"/>
                <w:szCs w:val="20"/>
                <w:lang w:val="es-ES"/>
              </w:rPr>
            </w:pPr>
            <w:r w:rsidRPr="009E0B15">
              <w:rPr>
                <w:rFonts w:ascii="Arial" w:eastAsia="Arial" w:hAnsi="Arial" w:cs="Arial"/>
                <w:sz w:val="20"/>
                <w:szCs w:val="20"/>
                <w:lang w:val="es-ES"/>
              </w:rPr>
              <w:lastRenderedPageBreak/>
              <w:t>Fortalecimiento de la transparencia financiera.</w:t>
            </w:r>
          </w:p>
        </w:tc>
        <w:tc>
          <w:tcPr>
            <w:tcW w:w="3267" w:type="dxa"/>
          </w:tcPr>
          <w:p w14:paraId="7FF69BCF" w14:textId="355E7EA4" w:rsidR="00922FAF" w:rsidRPr="009E0B15" w:rsidRDefault="4C4E8546" w:rsidP="4C4E8546">
            <w:pPr>
              <w:pStyle w:val="ListParagraph"/>
              <w:numPr>
                <w:ilvl w:val="0"/>
                <w:numId w:val="44"/>
              </w:numPr>
              <w:ind w:left="378" w:hanging="360"/>
              <w:jc w:val="both"/>
              <w:rPr>
                <w:rFonts w:ascii="Arial" w:eastAsia="Arial" w:hAnsi="Arial" w:cs="Arial"/>
                <w:sz w:val="20"/>
                <w:szCs w:val="20"/>
                <w:lang w:val="es-ES"/>
              </w:rPr>
            </w:pPr>
            <w:r w:rsidRPr="009E0B15">
              <w:rPr>
                <w:rFonts w:ascii="Arial" w:eastAsia="Arial" w:hAnsi="Arial" w:cs="Arial"/>
                <w:sz w:val="20"/>
                <w:szCs w:val="20"/>
                <w:lang w:val="es-ES"/>
              </w:rPr>
              <w:t>Se ha avanzado en las siguientes áreas:</w:t>
            </w:r>
          </w:p>
          <w:p w14:paraId="32C45321" w14:textId="77777777" w:rsidR="00922FAF" w:rsidRPr="009E0B15" w:rsidRDefault="4C4E8546" w:rsidP="4C4E8546">
            <w:pPr>
              <w:pStyle w:val="ListParagraph"/>
              <w:numPr>
                <w:ilvl w:val="0"/>
                <w:numId w:val="8"/>
              </w:numPr>
              <w:rPr>
                <w:rFonts w:ascii="Arial" w:eastAsia="Arial" w:hAnsi="Arial" w:cs="Arial"/>
                <w:sz w:val="20"/>
                <w:szCs w:val="20"/>
                <w:lang w:val="es-ES"/>
              </w:rPr>
            </w:pPr>
            <w:r w:rsidRPr="009E0B15">
              <w:rPr>
                <w:rFonts w:ascii="Arial" w:eastAsia="Arial" w:hAnsi="Arial" w:cs="Arial"/>
                <w:sz w:val="20"/>
                <w:szCs w:val="20"/>
                <w:lang w:val="es-ES"/>
              </w:rPr>
              <w:t xml:space="preserve">El Decreto que modifica las disposiciones sobre el régimen de protección al consumidor financiero del </w:t>
            </w:r>
            <w:r w:rsidRPr="009E0B15">
              <w:rPr>
                <w:rFonts w:ascii="Arial" w:eastAsia="Arial" w:hAnsi="Arial" w:cs="Arial"/>
                <w:sz w:val="20"/>
                <w:szCs w:val="20"/>
                <w:lang w:val="es-ES"/>
              </w:rPr>
              <w:lastRenderedPageBreak/>
              <w:t>sistema general de pensiones para lograr precios transparentes ha sido emitido por el Gobierno Nacional (MHCP).</w:t>
            </w:r>
          </w:p>
          <w:p w14:paraId="30B5E74A" w14:textId="77777777" w:rsidR="00922FAF" w:rsidRPr="009E0B15" w:rsidRDefault="4C4E8546" w:rsidP="4C4E8546">
            <w:pPr>
              <w:pStyle w:val="ListParagraph"/>
              <w:numPr>
                <w:ilvl w:val="0"/>
                <w:numId w:val="8"/>
              </w:numPr>
              <w:rPr>
                <w:rFonts w:ascii="Arial" w:eastAsia="Arial" w:hAnsi="Arial" w:cs="Arial"/>
                <w:sz w:val="20"/>
                <w:szCs w:val="20"/>
                <w:lang w:val="es-ES"/>
              </w:rPr>
            </w:pPr>
            <w:r w:rsidRPr="009E0B15">
              <w:rPr>
                <w:rFonts w:ascii="Arial" w:eastAsia="Arial" w:hAnsi="Arial" w:cs="Arial"/>
                <w:sz w:val="20"/>
                <w:szCs w:val="20"/>
                <w:lang w:val="es-ES"/>
              </w:rPr>
              <w:t>El Decreto para precios transparentes para los clientes de los establecimientos de crédito ha sido emitido por el Gobierno Nacional (MHCP).</w:t>
            </w:r>
          </w:p>
          <w:p w14:paraId="5186879D" w14:textId="4D76D49A" w:rsidR="00922FAF" w:rsidRPr="009E0B15" w:rsidRDefault="4C4E8546" w:rsidP="4C4E8546">
            <w:pPr>
              <w:pStyle w:val="ListParagraph"/>
              <w:numPr>
                <w:ilvl w:val="0"/>
                <w:numId w:val="8"/>
              </w:numPr>
              <w:rPr>
                <w:rFonts w:ascii="Arial" w:eastAsia="Arial" w:hAnsi="Arial" w:cs="Arial"/>
                <w:sz w:val="20"/>
                <w:szCs w:val="20"/>
                <w:lang w:val="es-ES"/>
              </w:rPr>
            </w:pPr>
            <w:r w:rsidRPr="009E0B15">
              <w:rPr>
                <w:rFonts w:ascii="Arial" w:eastAsia="Arial" w:hAnsi="Arial" w:cs="Arial"/>
                <w:sz w:val="20"/>
                <w:szCs w:val="20"/>
                <w:lang w:val="es-ES"/>
              </w:rPr>
              <w:t>Las Circulares de Normas Internacionales de Información Financiera han sido emitidas por la Superintendencia Financiera de acuerdo a las actualizaciones de la Junta de Normas Internacionales de Contabilidad.</w:t>
            </w:r>
          </w:p>
        </w:tc>
        <w:tc>
          <w:tcPr>
            <w:tcW w:w="3267" w:type="dxa"/>
          </w:tcPr>
          <w:p w14:paraId="5186879E" w14:textId="77777777" w:rsidR="00922FAF" w:rsidRPr="009E0B15" w:rsidRDefault="4C4E8546" w:rsidP="4C4E8546">
            <w:pPr>
              <w:pStyle w:val="ListParagraph"/>
              <w:numPr>
                <w:ilvl w:val="0"/>
                <w:numId w:val="23"/>
              </w:numPr>
              <w:ind w:left="396"/>
              <w:rPr>
                <w:rFonts w:ascii="Arial" w:eastAsia="Arial" w:hAnsi="Arial" w:cs="Arial"/>
                <w:sz w:val="20"/>
                <w:szCs w:val="20"/>
                <w:lang w:val="es-ES"/>
              </w:rPr>
            </w:pPr>
            <w:r w:rsidRPr="009E0B15">
              <w:rPr>
                <w:rFonts w:ascii="Arial" w:eastAsia="Arial" w:hAnsi="Arial" w:cs="Arial"/>
                <w:sz w:val="20"/>
                <w:szCs w:val="20"/>
                <w:lang w:val="es-ES"/>
              </w:rPr>
              <w:lastRenderedPageBreak/>
              <w:t>Se han adoptado medidas para mejorar los mecanismos de transparencia financiera para los usuarios del sistema financiero, incluidas como mínimo las siguientes:</w:t>
            </w:r>
          </w:p>
          <w:p w14:paraId="5186879F" w14:textId="2D1663E1" w:rsidR="00922FAF" w:rsidRPr="009E0B15" w:rsidRDefault="00FE3821" w:rsidP="4C4E8546">
            <w:pPr>
              <w:pStyle w:val="ListParagraph"/>
              <w:numPr>
                <w:ilvl w:val="0"/>
                <w:numId w:val="24"/>
              </w:numPr>
              <w:rPr>
                <w:rFonts w:ascii="Arial" w:eastAsia="Arial" w:hAnsi="Arial" w:cs="Arial"/>
                <w:sz w:val="20"/>
                <w:szCs w:val="20"/>
                <w:lang w:val="es-ES"/>
              </w:rPr>
            </w:pPr>
            <w:r>
              <w:rPr>
                <w:rFonts w:ascii="Arial" w:eastAsia="Arial" w:hAnsi="Arial" w:cs="Arial"/>
                <w:sz w:val="20"/>
                <w:szCs w:val="20"/>
                <w:lang w:val="es-ES"/>
              </w:rPr>
              <w:lastRenderedPageBreak/>
              <w:t>Los</w:t>
            </w:r>
            <w:r w:rsidR="4C4E8546" w:rsidRPr="009E0B15">
              <w:rPr>
                <w:rFonts w:ascii="Arial" w:eastAsia="Arial" w:hAnsi="Arial" w:cs="Arial"/>
                <w:sz w:val="20"/>
                <w:szCs w:val="20"/>
                <w:lang w:val="es-ES"/>
              </w:rPr>
              <w:t xml:space="preserve"> </w:t>
            </w:r>
            <w:r>
              <w:rPr>
                <w:rFonts w:ascii="Arial" w:eastAsia="Arial" w:hAnsi="Arial" w:cs="Arial"/>
                <w:sz w:val="20"/>
                <w:szCs w:val="20"/>
                <w:lang w:val="es-ES"/>
              </w:rPr>
              <w:t xml:space="preserve">decretos </w:t>
            </w:r>
            <w:r w:rsidR="4C4E8546" w:rsidRPr="009E0B15">
              <w:rPr>
                <w:rFonts w:ascii="Arial" w:eastAsia="Arial" w:hAnsi="Arial" w:cs="Arial"/>
                <w:sz w:val="20"/>
                <w:szCs w:val="20"/>
                <w:lang w:val="es-ES"/>
              </w:rPr>
              <w:t>que modifica</w:t>
            </w:r>
            <w:r>
              <w:rPr>
                <w:rFonts w:ascii="Arial" w:eastAsia="Arial" w:hAnsi="Arial" w:cs="Arial"/>
                <w:sz w:val="20"/>
                <w:szCs w:val="20"/>
                <w:lang w:val="es-ES"/>
              </w:rPr>
              <w:t>n</w:t>
            </w:r>
            <w:r w:rsidR="4C4E8546" w:rsidRPr="009E0B15">
              <w:rPr>
                <w:rFonts w:ascii="Arial" w:eastAsia="Arial" w:hAnsi="Arial" w:cs="Arial"/>
                <w:sz w:val="20"/>
                <w:szCs w:val="20"/>
                <w:lang w:val="es-ES"/>
              </w:rPr>
              <w:t xml:space="preserve"> las disposiciones sobre el régimen de protección al consumidor financiero del sistema general de pensiones para lograr precios transparentes ha</w:t>
            </w:r>
            <w:r>
              <w:rPr>
                <w:rFonts w:ascii="Arial" w:eastAsia="Arial" w:hAnsi="Arial" w:cs="Arial"/>
                <w:sz w:val="20"/>
                <w:szCs w:val="20"/>
                <w:lang w:val="es-ES"/>
              </w:rPr>
              <w:t>n</w:t>
            </w:r>
            <w:r w:rsidR="4C4E8546" w:rsidRPr="009E0B15">
              <w:rPr>
                <w:rFonts w:ascii="Arial" w:eastAsia="Arial" w:hAnsi="Arial" w:cs="Arial"/>
                <w:sz w:val="20"/>
                <w:szCs w:val="20"/>
                <w:lang w:val="es-ES"/>
              </w:rPr>
              <w:t xml:space="preserve"> sido emitido</w:t>
            </w:r>
            <w:r>
              <w:rPr>
                <w:rFonts w:ascii="Arial" w:eastAsia="Arial" w:hAnsi="Arial" w:cs="Arial"/>
                <w:sz w:val="20"/>
                <w:szCs w:val="20"/>
                <w:lang w:val="es-ES"/>
              </w:rPr>
              <w:t>s</w:t>
            </w:r>
            <w:r w:rsidR="4C4E8546" w:rsidRPr="009E0B15">
              <w:rPr>
                <w:rFonts w:ascii="Arial" w:eastAsia="Arial" w:hAnsi="Arial" w:cs="Arial"/>
                <w:sz w:val="20"/>
                <w:szCs w:val="20"/>
                <w:lang w:val="es-ES"/>
              </w:rPr>
              <w:t xml:space="preserve"> por el Gobierno Nacional (MHCP).</w:t>
            </w:r>
          </w:p>
          <w:p w14:paraId="518687A0" w14:textId="77777777" w:rsidR="00922FAF" w:rsidRPr="009E0B15" w:rsidRDefault="4C4E8546" w:rsidP="4C4E8546">
            <w:pPr>
              <w:pStyle w:val="ListParagraph"/>
              <w:numPr>
                <w:ilvl w:val="0"/>
                <w:numId w:val="24"/>
              </w:numPr>
              <w:rPr>
                <w:rFonts w:ascii="Arial" w:eastAsia="Arial" w:hAnsi="Arial" w:cs="Arial"/>
                <w:sz w:val="20"/>
                <w:szCs w:val="20"/>
                <w:lang w:val="es-ES"/>
              </w:rPr>
            </w:pPr>
            <w:r w:rsidRPr="009E0B15">
              <w:rPr>
                <w:rFonts w:ascii="Arial" w:eastAsia="Arial" w:hAnsi="Arial" w:cs="Arial"/>
                <w:sz w:val="20"/>
                <w:szCs w:val="20"/>
                <w:lang w:val="es-ES"/>
              </w:rPr>
              <w:t>El Decreto para precios transparentes para los clientes de los establecimientos de crédito ha sido emitido por el Gobierno Nacional (MHCP).</w:t>
            </w:r>
          </w:p>
          <w:p w14:paraId="518687A1" w14:textId="77777777" w:rsidR="00922FAF" w:rsidRPr="009E0B15" w:rsidRDefault="4C4E8546" w:rsidP="4C4E8546">
            <w:pPr>
              <w:pStyle w:val="ListParagraph"/>
              <w:numPr>
                <w:ilvl w:val="0"/>
                <w:numId w:val="24"/>
              </w:numPr>
              <w:rPr>
                <w:rFonts w:ascii="Arial" w:eastAsia="Arial" w:hAnsi="Arial" w:cs="Arial"/>
                <w:sz w:val="20"/>
                <w:szCs w:val="20"/>
                <w:lang w:val="es-ES"/>
              </w:rPr>
            </w:pPr>
            <w:r w:rsidRPr="009E0B15">
              <w:rPr>
                <w:rFonts w:ascii="Arial" w:eastAsia="Arial" w:hAnsi="Arial" w:cs="Arial"/>
                <w:sz w:val="20"/>
                <w:szCs w:val="20"/>
                <w:lang w:val="es-ES"/>
              </w:rPr>
              <w:t>Las Circulares de Normas Internacionales de Información Financiera han sido emitidas por la Superintendencia Financiera de acuerdo a las actualizaciones de la Junta de Normas Internacionales de Contabilidad.</w:t>
            </w:r>
          </w:p>
        </w:tc>
        <w:tc>
          <w:tcPr>
            <w:tcW w:w="3267" w:type="dxa"/>
          </w:tcPr>
          <w:p w14:paraId="30297710" w14:textId="2C250B22" w:rsidR="00922FAF" w:rsidRPr="003D2C70" w:rsidRDefault="00FE3821" w:rsidP="4C4E8546">
            <w:pPr>
              <w:rPr>
                <w:rFonts w:ascii="Arial" w:eastAsia="Arial" w:hAnsi="Arial" w:cs="Arial"/>
                <w:sz w:val="20"/>
                <w:szCs w:val="20"/>
                <w:lang w:val="es-ES"/>
              </w:rPr>
            </w:pPr>
            <w:r w:rsidRPr="003D2C70">
              <w:rPr>
                <w:rFonts w:ascii="Arial" w:eastAsia="Arial" w:hAnsi="Arial" w:cs="Arial"/>
                <w:sz w:val="20"/>
                <w:szCs w:val="20"/>
                <w:lang w:val="es-ES"/>
              </w:rPr>
              <w:lastRenderedPageBreak/>
              <w:t xml:space="preserve">Se modifica la redacción de la medida descrita en el primer punto, “Los decretos que modifican las disposiciones sobre el régimen de protección al consumidor financiero del sistema </w:t>
            </w:r>
            <w:r w:rsidRPr="003D2C70">
              <w:rPr>
                <w:rFonts w:ascii="Arial" w:eastAsia="Arial" w:hAnsi="Arial" w:cs="Arial"/>
                <w:sz w:val="20"/>
                <w:szCs w:val="20"/>
                <w:lang w:val="es-ES"/>
              </w:rPr>
              <w:lastRenderedPageBreak/>
              <w:t xml:space="preserve">general de pensiones para lograr precios transparentes han sido emitidos por el Gobierno Nacional (MHCP)”, </w:t>
            </w:r>
            <w:r w:rsidR="00DB1751" w:rsidRPr="00FD510A">
              <w:rPr>
                <w:rFonts w:ascii="Arial" w:eastAsia="Arial" w:hAnsi="Arial" w:cs="Arial"/>
                <w:sz w:val="20"/>
                <w:szCs w:val="20"/>
                <w:lang w:val="es-ES"/>
              </w:rPr>
              <w:t xml:space="preserve">ya que se han emitido dos decretos sobre el mismo tema, uno desde el punto de vista del tratamiento a los consumidores y el otro desde el puntos de vista de las obligaciones de los administradores de fondos de pensiones en cuanto a transparencia de información hacia los consumidores. </w:t>
            </w:r>
            <w:r w:rsidRPr="003D2C70">
              <w:rPr>
                <w:rFonts w:ascii="Arial" w:eastAsia="Arial" w:hAnsi="Arial" w:cs="Arial"/>
                <w:sz w:val="20"/>
                <w:szCs w:val="20"/>
                <w:lang w:val="es-ES"/>
              </w:rPr>
              <w:t xml:space="preserve"> </w:t>
            </w:r>
          </w:p>
        </w:tc>
      </w:tr>
      <w:tr w:rsidR="00BB195B" w:rsidRPr="00F52BC8" w14:paraId="518687A4" w14:textId="41C97F99" w:rsidTr="4C4E8546">
        <w:tc>
          <w:tcPr>
            <w:tcW w:w="13068" w:type="dxa"/>
            <w:gridSpan w:val="4"/>
            <w:shd w:val="clear" w:color="auto" w:fill="BFBFBF" w:themeFill="background1" w:themeFillShade="BF"/>
          </w:tcPr>
          <w:p w14:paraId="6A30E1CD" w14:textId="2FA3C36C" w:rsidR="00BB195B" w:rsidRPr="009E0B15" w:rsidRDefault="4C4E8546" w:rsidP="4C4E8546">
            <w:pPr>
              <w:spacing w:before="60" w:after="60"/>
              <w:jc w:val="both"/>
              <w:rPr>
                <w:rFonts w:ascii="Arial" w:eastAsia="Arial,Times New Roman" w:hAnsi="Arial" w:cs="Arial"/>
                <w:b/>
                <w:bCs/>
                <w:color w:val="000000" w:themeColor="text1"/>
                <w:sz w:val="20"/>
                <w:szCs w:val="20"/>
                <w:lang w:val="es-ES"/>
              </w:rPr>
            </w:pPr>
            <w:r w:rsidRPr="009E0B15">
              <w:rPr>
                <w:rFonts w:ascii="Arial" w:eastAsia="Arial,Times New Roman" w:hAnsi="Arial" w:cs="Arial"/>
                <w:b/>
                <w:bCs/>
                <w:color w:val="000000" w:themeColor="text1"/>
                <w:sz w:val="20"/>
                <w:szCs w:val="20"/>
                <w:lang w:val="es-ES"/>
              </w:rPr>
              <w:lastRenderedPageBreak/>
              <w:t>Componente IV: Mejoras de la inclusión financiera</w:t>
            </w:r>
          </w:p>
        </w:tc>
      </w:tr>
      <w:tr w:rsidR="00922FAF" w:rsidRPr="00F52BC8" w14:paraId="518687B3" w14:textId="705371C7" w:rsidTr="4C4E8546">
        <w:tc>
          <w:tcPr>
            <w:tcW w:w="3267" w:type="dxa"/>
          </w:tcPr>
          <w:p w14:paraId="518687A5" w14:textId="77777777" w:rsidR="00922FAF" w:rsidRPr="009E0B15" w:rsidRDefault="4C4E8546" w:rsidP="4C4E8546">
            <w:pPr>
              <w:pStyle w:val="ListParagraph"/>
              <w:numPr>
                <w:ilvl w:val="0"/>
                <w:numId w:val="4"/>
              </w:numPr>
              <w:ind w:left="180" w:hanging="180"/>
              <w:rPr>
                <w:rFonts w:ascii="Arial" w:eastAsia="Arial" w:hAnsi="Arial" w:cs="Arial"/>
                <w:sz w:val="20"/>
                <w:szCs w:val="20"/>
                <w:lang w:val="es-ES"/>
              </w:rPr>
            </w:pPr>
            <w:r w:rsidRPr="009E0B15">
              <w:rPr>
                <w:rFonts w:ascii="Arial" w:eastAsia="Arial" w:hAnsi="Arial" w:cs="Arial"/>
                <w:sz w:val="20"/>
                <w:szCs w:val="20"/>
                <w:lang w:val="es-ES"/>
              </w:rPr>
              <w:t>Mejoras de la oferta de productos y canales para la inclusión financiera.</w:t>
            </w:r>
          </w:p>
        </w:tc>
        <w:tc>
          <w:tcPr>
            <w:tcW w:w="3267" w:type="dxa"/>
          </w:tcPr>
          <w:p w14:paraId="307BE9CF" w14:textId="233A5177" w:rsidR="00922FAF" w:rsidRPr="009E0B15" w:rsidRDefault="4C4E8546" w:rsidP="4C4E8546">
            <w:pPr>
              <w:pStyle w:val="ListParagraph"/>
              <w:numPr>
                <w:ilvl w:val="0"/>
                <w:numId w:val="45"/>
              </w:numPr>
              <w:ind w:left="378" w:hanging="360"/>
              <w:jc w:val="both"/>
              <w:rPr>
                <w:rFonts w:ascii="Arial" w:eastAsia="Arial" w:hAnsi="Arial" w:cs="Arial"/>
                <w:sz w:val="20"/>
                <w:szCs w:val="20"/>
                <w:lang w:val="es-ES"/>
              </w:rPr>
            </w:pPr>
            <w:r w:rsidRPr="009E0B15">
              <w:rPr>
                <w:rFonts w:ascii="Arial" w:eastAsia="Arial" w:hAnsi="Arial" w:cs="Arial"/>
                <w:sz w:val="20"/>
                <w:szCs w:val="20"/>
                <w:lang w:val="es-ES"/>
              </w:rPr>
              <w:t>Se ha avanzado en las siguientes áreas:</w:t>
            </w:r>
          </w:p>
          <w:p w14:paraId="1CC5865D" w14:textId="77777777" w:rsidR="00922FAF" w:rsidRPr="009E0B15" w:rsidRDefault="4C4E8546" w:rsidP="4C4E8546">
            <w:pPr>
              <w:pStyle w:val="ListParagraph"/>
              <w:numPr>
                <w:ilvl w:val="0"/>
                <w:numId w:val="8"/>
              </w:numPr>
              <w:rPr>
                <w:rFonts w:ascii="Arial" w:eastAsia="Arial" w:hAnsi="Arial" w:cs="Arial"/>
                <w:sz w:val="20"/>
                <w:szCs w:val="20"/>
                <w:lang w:val="es-ES"/>
              </w:rPr>
            </w:pPr>
            <w:r w:rsidRPr="009E0B15">
              <w:rPr>
                <w:rFonts w:ascii="Arial" w:eastAsia="Arial" w:hAnsi="Arial" w:cs="Arial"/>
                <w:sz w:val="20"/>
                <w:szCs w:val="20"/>
                <w:lang w:val="es-ES"/>
              </w:rPr>
              <w:t xml:space="preserve">El Decreto de reglamentación de la Ley de Inclusión de Inclusión Financiera ha sido </w:t>
            </w:r>
            <w:r w:rsidRPr="009E0B15">
              <w:rPr>
                <w:rFonts w:ascii="Arial" w:eastAsia="Arial" w:hAnsi="Arial" w:cs="Arial"/>
                <w:sz w:val="20"/>
                <w:szCs w:val="20"/>
                <w:lang w:val="es-ES"/>
              </w:rPr>
              <w:lastRenderedPageBreak/>
              <w:t>emitido por el Gobierno Nacional (MHCP).</w:t>
            </w:r>
          </w:p>
          <w:p w14:paraId="60C0614B" w14:textId="77777777" w:rsidR="00922FAF" w:rsidRPr="009E0B15" w:rsidRDefault="4C4E8546" w:rsidP="4C4E8546">
            <w:pPr>
              <w:pStyle w:val="ListParagraph"/>
              <w:numPr>
                <w:ilvl w:val="0"/>
                <w:numId w:val="8"/>
              </w:numPr>
              <w:rPr>
                <w:rFonts w:ascii="Arial" w:eastAsia="Arial" w:hAnsi="Arial" w:cs="Arial"/>
                <w:sz w:val="20"/>
                <w:szCs w:val="20"/>
                <w:lang w:val="es-ES"/>
              </w:rPr>
            </w:pPr>
            <w:r w:rsidRPr="009E0B15">
              <w:rPr>
                <w:rFonts w:ascii="Arial" w:eastAsia="Arial" w:hAnsi="Arial" w:cs="Arial"/>
                <w:sz w:val="20"/>
                <w:szCs w:val="20"/>
                <w:lang w:val="es-ES"/>
              </w:rPr>
              <w:t>La Resolución que certifica el interés bancario corriente para la modalidad de Crédito de Consumo de Bajo Monto ha sido actualizada por la Superintendencia Financiera.</w:t>
            </w:r>
          </w:p>
          <w:p w14:paraId="4F616D56" w14:textId="77777777" w:rsidR="00922FAF" w:rsidRPr="009E0B15" w:rsidRDefault="4C4E8546" w:rsidP="4C4E8546">
            <w:pPr>
              <w:pStyle w:val="ListParagraph"/>
              <w:numPr>
                <w:ilvl w:val="0"/>
                <w:numId w:val="8"/>
              </w:numPr>
              <w:rPr>
                <w:rFonts w:ascii="Arial" w:eastAsia="Arial" w:hAnsi="Arial" w:cs="Arial"/>
                <w:sz w:val="20"/>
                <w:szCs w:val="20"/>
                <w:lang w:val="es-ES"/>
              </w:rPr>
            </w:pPr>
            <w:r w:rsidRPr="009E0B15">
              <w:rPr>
                <w:rFonts w:ascii="Arial" w:eastAsia="Arial" w:hAnsi="Arial" w:cs="Arial"/>
                <w:sz w:val="20"/>
                <w:szCs w:val="20"/>
                <w:lang w:val="es-ES"/>
              </w:rPr>
              <w:t>Se ha llevado a cabo el diagnóstico de las barreras tributarias para la formalización y creación de ecosistemas de pagos y el MHCP ha preparado el correspondiente informe.</w:t>
            </w:r>
          </w:p>
          <w:p w14:paraId="5FE6CB5B" w14:textId="77777777" w:rsidR="00922FAF" w:rsidRPr="009E0B15" w:rsidRDefault="4C4E8546" w:rsidP="4C4E8546">
            <w:pPr>
              <w:pStyle w:val="ListParagraph"/>
              <w:numPr>
                <w:ilvl w:val="0"/>
                <w:numId w:val="8"/>
              </w:numPr>
              <w:rPr>
                <w:rFonts w:ascii="Arial" w:eastAsia="Arial" w:hAnsi="Arial" w:cs="Arial"/>
                <w:sz w:val="20"/>
                <w:szCs w:val="20"/>
                <w:lang w:val="es-ES"/>
              </w:rPr>
            </w:pPr>
            <w:r w:rsidRPr="009E0B15">
              <w:rPr>
                <w:rFonts w:ascii="Arial" w:eastAsia="Arial" w:hAnsi="Arial" w:cs="Arial"/>
                <w:sz w:val="20"/>
                <w:szCs w:val="20"/>
                <w:lang w:val="es-ES"/>
              </w:rPr>
              <w:t>Se ha llevado a cabo el diagnóstico de la normativa del sistema financiero para ampliar el acceso a servicios</w:t>
            </w:r>
            <w:r w:rsidRPr="009E0B15">
              <w:rPr>
                <w:rFonts w:ascii="Arial" w:eastAsia="Arial,Times New Roman" w:hAnsi="Arial" w:cs="Arial"/>
                <w:sz w:val="20"/>
                <w:szCs w:val="20"/>
                <w:lang w:val="es-ES"/>
              </w:rPr>
              <w:t xml:space="preserve"> financieros por género y el MHCP ha preparado el correspondiente informe.</w:t>
            </w:r>
          </w:p>
          <w:p w14:paraId="518687AC" w14:textId="3414438B" w:rsidR="00922FAF" w:rsidRPr="009E0B15" w:rsidRDefault="4C4E8546" w:rsidP="4C4E8546">
            <w:pPr>
              <w:pStyle w:val="ListParagraph"/>
              <w:numPr>
                <w:ilvl w:val="0"/>
                <w:numId w:val="8"/>
              </w:numPr>
              <w:rPr>
                <w:rFonts w:ascii="Arial" w:eastAsia="Arial" w:hAnsi="Arial" w:cs="Arial"/>
                <w:sz w:val="20"/>
                <w:szCs w:val="20"/>
                <w:lang w:val="es-ES"/>
              </w:rPr>
            </w:pPr>
            <w:r w:rsidRPr="009E0B15">
              <w:rPr>
                <w:rFonts w:ascii="Arial" w:eastAsia="Arial" w:hAnsi="Arial" w:cs="Arial"/>
                <w:sz w:val="20"/>
                <w:szCs w:val="20"/>
                <w:lang w:val="es-ES"/>
              </w:rPr>
              <w:t>Se ha elaborado el plan de acción para la revisión del marco regulatorio sobre protección de consumidor, información y canales de distribución de seguros inclusivos por el MHCP.</w:t>
            </w:r>
          </w:p>
        </w:tc>
        <w:tc>
          <w:tcPr>
            <w:tcW w:w="3267" w:type="dxa"/>
          </w:tcPr>
          <w:p w14:paraId="518687AD" w14:textId="77777777" w:rsidR="00922FAF" w:rsidRPr="009E0B15" w:rsidRDefault="4C4E8546" w:rsidP="4C4E8546">
            <w:pPr>
              <w:pStyle w:val="ListParagraph"/>
              <w:numPr>
                <w:ilvl w:val="0"/>
                <w:numId w:val="26"/>
              </w:numPr>
              <w:ind w:left="396"/>
              <w:rPr>
                <w:rFonts w:ascii="Arial" w:eastAsia="Arial" w:hAnsi="Arial" w:cs="Arial"/>
                <w:sz w:val="20"/>
                <w:szCs w:val="20"/>
                <w:lang w:val="es-ES"/>
              </w:rPr>
            </w:pPr>
            <w:r w:rsidRPr="009E0B15">
              <w:rPr>
                <w:rFonts w:ascii="Arial" w:eastAsia="Arial" w:hAnsi="Arial" w:cs="Arial"/>
                <w:sz w:val="20"/>
                <w:szCs w:val="20"/>
                <w:lang w:val="es-ES"/>
              </w:rPr>
              <w:lastRenderedPageBreak/>
              <w:t xml:space="preserve">Se han adoptado medidas para ampliar el acceso a servicios financieros para la población no incluida o de reciente inclusión, </w:t>
            </w:r>
            <w:r w:rsidRPr="009E0B15">
              <w:rPr>
                <w:rFonts w:ascii="Arial" w:eastAsia="Arial" w:hAnsi="Arial" w:cs="Arial"/>
                <w:sz w:val="20"/>
                <w:szCs w:val="20"/>
                <w:lang w:val="es-ES"/>
              </w:rPr>
              <w:lastRenderedPageBreak/>
              <w:t>comprendiendo como mínimo las siguientes:</w:t>
            </w:r>
          </w:p>
          <w:p w14:paraId="518687AE" w14:textId="47D1F2EB" w:rsidR="00922FAF" w:rsidRPr="009E0B15" w:rsidRDefault="4C4E8546" w:rsidP="4C4E8546">
            <w:pPr>
              <w:pStyle w:val="ListParagraph"/>
              <w:numPr>
                <w:ilvl w:val="0"/>
                <w:numId w:val="28"/>
              </w:numPr>
              <w:rPr>
                <w:rFonts w:ascii="Arial" w:eastAsia="Arial" w:hAnsi="Arial" w:cs="Arial"/>
                <w:sz w:val="20"/>
                <w:szCs w:val="20"/>
                <w:lang w:val="es-ES"/>
              </w:rPr>
            </w:pPr>
            <w:r w:rsidRPr="009E0B15">
              <w:rPr>
                <w:rFonts w:ascii="Arial" w:eastAsia="Arial" w:hAnsi="Arial" w:cs="Arial"/>
                <w:sz w:val="20"/>
                <w:szCs w:val="20"/>
                <w:lang w:val="es-ES"/>
              </w:rPr>
              <w:t>El Decreto de reglamentación de la Ley de Inclusión Financiera ha sido emitido por el Gobierno Nacional (MHCP).</w:t>
            </w:r>
          </w:p>
          <w:p w14:paraId="518687AF" w14:textId="77777777" w:rsidR="00922FAF" w:rsidRPr="009E0B15" w:rsidRDefault="4C4E8546" w:rsidP="4C4E8546">
            <w:pPr>
              <w:pStyle w:val="ListParagraph"/>
              <w:numPr>
                <w:ilvl w:val="0"/>
                <w:numId w:val="28"/>
              </w:numPr>
              <w:rPr>
                <w:rFonts w:ascii="Arial" w:eastAsia="Arial" w:hAnsi="Arial" w:cs="Arial"/>
                <w:sz w:val="20"/>
                <w:szCs w:val="20"/>
                <w:lang w:val="es-ES"/>
              </w:rPr>
            </w:pPr>
            <w:r w:rsidRPr="009E0B15">
              <w:rPr>
                <w:rFonts w:ascii="Arial" w:eastAsia="Arial" w:hAnsi="Arial" w:cs="Arial"/>
                <w:sz w:val="20"/>
                <w:szCs w:val="20"/>
                <w:lang w:val="es-ES"/>
              </w:rPr>
              <w:t>La Resolución que certifica el interés bancario corriente para la modalidad de Crédito de Consumo de Bajo Monto ha sido actualizada por la Superintendencia Financiera.</w:t>
            </w:r>
          </w:p>
          <w:p w14:paraId="518687B0" w14:textId="3D7129AF" w:rsidR="00922FAF" w:rsidRPr="009E0B15" w:rsidRDefault="4C4E8546" w:rsidP="4C4E8546">
            <w:pPr>
              <w:pStyle w:val="ListParagraph"/>
              <w:numPr>
                <w:ilvl w:val="0"/>
                <w:numId w:val="28"/>
              </w:numPr>
              <w:rPr>
                <w:rFonts w:ascii="Arial" w:eastAsia="Arial" w:hAnsi="Arial" w:cs="Arial"/>
                <w:sz w:val="20"/>
                <w:szCs w:val="20"/>
                <w:lang w:val="es-ES"/>
              </w:rPr>
            </w:pPr>
            <w:r w:rsidRPr="009E0B15">
              <w:rPr>
                <w:rFonts w:ascii="Arial" w:eastAsia="Arial" w:hAnsi="Arial" w:cs="Arial"/>
                <w:sz w:val="20"/>
                <w:szCs w:val="20"/>
                <w:lang w:val="es-ES"/>
              </w:rPr>
              <w:t>Se ha</w:t>
            </w:r>
            <w:r w:rsidR="00A10709">
              <w:rPr>
                <w:rFonts w:ascii="Arial" w:eastAsia="Arial" w:hAnsi="Arial" w:cs="Arial"/>
                <w:sz w:val="20"/>
                <w:szCs w:val="20"/>
                <w:lang w:val="es-ES"/>
              </w:rPr>
              <w:t>n</w:t>
            </w:r>
            <w:r w:rsidRPr="009E0B15">
              <w:rPr>
                <w:rFonts w:ascii="Arial" w:eastAsia="Arial" w:hAnsi="Arial" w:cs="Arial"/>
                <w:sz w:val="20"/>
                <w:szCs w:val="20"/>
                <w:lang w:val="es-ES"/>
              </w:rPr>
              <w:t xml:space="preserve"> llevado a cabo </w:t>
            </w:r>
            <w:r w:rsidR="00A10709">
              <w:rPr>
                <w:rFonts w:ascii="Arial" w:eastAsia="Arial" w:hAnsi="Arial" w:cs="Arial"/>
                <w:sz w:val="20"/>
                <w:szCs w:val="20"/>
                <w:lang w:val="es-ES"/>
              </w:rPr>
              <w:t>los</w:t>
            </w:r>
            <w:r w:rsidR="00A10709" w:rsidRPr="009E0B15">
              <w:rPr>
                <w:rFonts w:ascii="Arial" w:eastAsia="Arial" w:hAnsi="Arial" w:cs="Arial"/>
                <w:sz w:val="20"/>
                <w:szCs w:val="20"/>
                <w:lang w:val="es-ES"/>
              </w:rPr>
              <w:t xml:space="preserve"> </w:t>
            </w:r>
            <w:r w:rsidRPr="009E0B15">
              <w:rPr>
                <w:rFonts w:ascii="Arial" w:eastAsia="Arial" w:hAnsi="Arial" w:cs="Arial"/>
                <w:sz w:val="20"/>
                <w:szCs w:val="20"/>
                <w:lang w:val="es-ES"/>
              </w:rPr>
              <w:t>diagnóstico</w:t>
            </w:r>
            <w:r w:rsidR="00A10709">
              <w:rPr>
                <w:rFonts w:ascii="Arial" w:eastAsia="Arial" w:hAnsi="Arial" w:cs="Arial"/>
                <w:sz w:val="20"/>
                <w:szCs w:val="20"/>
                <w:lang w:val="es-ES"/>
              </w:rPr>
              <w:t>s</w:t>
            </w:r>
            <w:r w:rsidRPr="009E0B15">
              <w:rPr>
                <w:rFonts w:ascii="Arial" w:eastAsia="Arial" w:hAnsi="Arial" w:cs="Arial"/>
                <w:sz w:val="20"/>
                <w:szCs w:val="20"/>
                <w:lang w:val="es-ES"/>
              </w:rPr>
              <w:t xml:space="preserve"> de las barreras tributarias para la formalización y creación de ecosistemas de pagos y </w:t>
            </w:r>
            <w:r w:rsidR="00A10709">
              <w:rPr>
                <w:rFonts w:ascii="Arial" w:eastAsia="Arial" w:hAnsi="Arial" w:cs="Arial"/>
                <w:sz w:val="20"/>
                <w:szCs w:val="20"/>
                <w:lang w:val="es-ES"/>
              </w:rPr>
              <w:t>para incentivar los pagos digitales, preparados por la Unidad de Proyección Normativa y Estudios de Regulación Financiera (URF) y publicados por</w:t>
            </w:r>
            <w:r w:rsidR="00A10709" w:rsidRPr="00CF07EF">
              <w:rPr>
                <w:rFonts w:ascii="Arial" w:eastAsia="Arial" w:hAnsi="Arial" w:cs="Arial"/>
                <w:sz w:val="20"/>
                <w:szCs w:val="20"/>
                <w:lang w:val="es-ES"/>
              </w:rPr>
              <w:t xml:space="preserve"> </w:t>
            </w:r>
            <w:r w:rsidRPr="009E0B15">
              <w:rPr>
                <w:rFonts w:ascii="Arial" w:eastAsia="Arial" w:hAnsi="Arial" w:cs="Arial"/>
                <w:sz w:val="20"/>
                <w:szCs w:val="20"/>
                <w:lang w:val="es-ES"/>
              </w:rPr>
              <w:t xml:space="preserve">el </w:t>
            </w:r>
            <w:proofErr w:type="gramStart"/>
            <w:r w:rsidRPr="009E0B15">
              <w:rPr>
                <w:rFonts w:ascii="Arial" w:eastAsia="Arial" w:hAnsi="Arial" w:cs="Arial"/>
                <w:sz w:val="20"/>
                <w:szCs w:val="20"/>
                <w:lang w:val="es-ES"/>
              </w:rPr>
              <w:t>MHCP</w:t>
            </w:r>
            <w:r w:rsidR="00A10709">
              <w:rPr>
                <w:rFonts w:ascii="Arial" w:eastAsia="Arial" w:hAnsi="Arial" w:cs="Arial"/>
                <w:sz w:val="20"/>
                <w:szCs w:val="20"/>
                <w:lang w:val="es-ES"/>
              </w:rPr>
              <w:t>;  y</w:t>
            </w:r>
            <w:proofErr w:type="gramEnd"/>
            <w:r w:rsidR="00A10709">
              <w:rPr>
                <w:rFonts w:ascii="Arial" w:eastAsia="Arial" w:hAnsi="Arial" w:cs="Arial"/>
                <w:sz w:val="20"/>
                <w:szCs w:val="20"/>
                <w:lang w:val="es-ES"/>
              </w:rPr>
              <w:t xml:space="preserve"> el mecanismo del monotributo ha sido creado.</w:t>
            </w:r>
          </w:p>
          <w:p w14:paraId="518687B1" w14:textId="2E649EC5" w:rsidR="00922FAF" w:rsidRPr="009E0B15" w:rsidRDefault="4C4E8546" w:rsidP="4C4E8546">
            <w:pPr>
              <w:pStyle w:val="ListParagraph"/>
              <w:numPr>
                <w:ilvl w:val="0"/>
                <w:numId w:val="28"/>
              </w:numPr>
              <w:rPr>
                <w:rFonts w:ascii="Arial" w:eastAsia="Arial" w:hAnsi="Arial" w:cs="Arial"/>
                <w:sz w:val="20"/>
                <w:szCs w:val="20"/>
                <w:lang w:val="es-ES"/>
              </w:rPr>
            </w:pPr>
            <w:r w:rsidRPr="009E0B15">
              <w:rPr>
                <w:rFonts w:ascii="Arial" w:eastAsia="Arial" w:hAnsi="Arial" w:cs="Arial"/>
                <w:sz w:val="20"/>
                <w:szCs w:val="20"/>
                <w:lang w:val="es-ES"/>
              </w:rPr>
              <w:t xml:space="preserve">Se ha llevado a cabo </w:t>
            </w:r>
            <w:r w:rsidR="002B404D">
              <w:rPr>
                <w:rFonts w:ascii="Arial" w:eastAsia="Arial" w:hAnsi="Arial" w:cs="Arial"/>
                <w:sz w:val="20"/>
                <w:szCs w:val="20"/>
                <w:lang w:val="es-ES"/>
              </w:rPr>
              <w:t xml:space="preserve">un </w:t>
            </w:r>
            <w:r w:rsidRPr="009E0B15">
              <w:rPr>
                <w:rFonts w:ascii="Arial" w:eastAsia="Arial" w:hAnsi="Arial" w:cs="Arial"/>
                <w:sz w:val="20"/>
                <w:szCs w:val="20"/>
                <w:lang w:val="es-ES"/>
              </w:rPr>
              <w:t xml:space="preserve">diagnóstico de la normativa del sistema financiero para ampliar el </w:t>
            </w:r>
            <w:r w:rsidRPr="009E0B15">
              <w:rPr>
                <w:rFonts w:ascii="Arial" w:eastAsia="Arial" w:hAnsi="Arial" w:cs="Arial"/>
                <w:sz w:val="20"/>
                <w:szCs w:val="20"/>
                <w:lang w:val="es-ES"/>
              </w:rPr>
              <w:lastRenderedPageBreak/>
              <w:t xml:space="preserve">acceso a servicios financieros </w:t>
            </w:r>
            <w:r w:rsidR="002B404D">
              <w:rPr>
                <w:rFonts w:ascii="Arial" w:eastAsia="Arial" w:hAnsi="Arial" w:cs="Arial"/>
                <w:sz w:val="20"/>
                <w:szCs w:val="20"/>
                <w:lang w:val="es-ES"/>
              </w:rPr>
              <w:t>para mujeres</w:t>
            </w:r>
            <w:r w:rsidRPr="009E0B15">
              <w:rPr>
                <w:rFonts w:ascii="Arial" w:eastAsia="Arial" w:hAnsi="Arial" w:cs="Arial"/>
                <w:sz w:val="20"/>
                <w:szCs w:val="20"/>
                <w:lang w:val="es-ES"/>
              </w:rPr>
              <w:t>.</w:t>
            </w:r>
          </w:p>
          <w:p w14:paraId="518687B2" w14:textId="5BD671BA" w:rsidR="00922FAF" w:rsidRPr="009E0B15" w:rsidRDefault="4C4E8546" w:rsidP="4C4E8546">
            <w:pPr>
              <w:pStyle w:val="ListParagraph"/>
              <w:numPr>
                <w:ilvl w:val="0"/>
                <w:numId w:val="28"/>
              </w:numPr>
              <w:rPr>
                <w:rFonts w:ascii="Arial" w:eastAsia="Arial" w:hAnsi="Arial" w:cs="Arial"/>
                <w:sz w:val="20"/>
                <w:szCs w:val="20"/>
                <w:lang w:val="es-ES"/>
              </w:rPr>
            </w:pPr>
            <w:r w:rsidRPr="009E0B15">
              <w:rPr>
                <w:rFonts w:ascii="Arial" w:eastAsia="Arial" w:hAnsi="Arial" w:cs="Arial"/>
                <w:sz w:val="20"/>
                <w:szCs w:val="20"/>
                <w:lang w:val="es-ES"/>
              </w:rPr>
              <w:t xml:space="preserve">Se ha elaborado el </w:t>
            </w:r>
            <w:r w:rsidR="00B548C6">
              <w:rPr>
                <w:rFonts w:ascii="Arial" w:eastAsia="Arial" w:hAnsi="Arial" w:cs="Arial"/>
                <w:sz w:val="20"/>
                <w:szCs w:val="20"/>
                <w:lang w:val="es-ES"/>
              </w:rPr>
              <w:t>estudio de diagnóstico del esquema de comercialización de seguros en Colombia, preparado por la URF.</w:t>
            </w:r>
          </w:p>
        </w:tc>
        <w:tc>
          <w:tcPr>
            <w:tcW w:w="3267" w:type="dxa"/>
          </w:tcPr>
          <w:p w14:paraId="086000EB" w14:textId="4CD5D5D8" w:rsidR="00922FAF" w:rsidRDefault="002B404D">
            <w:pPr>
              <w:rPr>
                <w:rFonts w:ascii="Arial" w:eastAsia="Arial" w:hAnsi="Arial" w:cs="Arial"/>
                <w:sz w:val="20"/>
                <w:szCs w:val="20"/>
                <w:lang w:val="es-ES"/>
              </w:rPr>
            </w:pPr>
            <w:r w:rsidRPr="00FD510A">
              <w:rPr>
                <w:rFonts w:ascii="Arial" w:eastAsia="Arial" w:hAnsi="Arial" w:cs="Arial"/>
                <w:sz w:val="20"/>
                <w:szCs w:val="20"/>
                <w:lang w:val="es-ES"/>
              </w:rPr>
              <w:lastRenderedPageBreak/>
              <w:t xml:space="preserve">Se modifica la medida descrita en el tercer punto, “Se han llevado a cabo los diagnósticos de las barreras tributarias para la formalización y creación de ecosistemas de pagos y para </w:t>
            </w:r>
            <w:r w:rsidRPr="00FD510A">
              <w:rPr>
                <w:rFonts w:ascii="Arial" w:eastAsia="Arial" w:hAnsi="Arial" w:cs="Arial"/>
                <w:sz w:val="20"/>
                <w:szCs w:val="20"/>
                <w:lang w:val="es-ES"/>
              </w:rPr>
              <w:lastRenderedPageBreak/>
              <w:t>incentivar los pagos digitales, preparados por la Unidad de Proyección Normativa y Estudios de Regulación Financiera (URF) y publicados por el MHCP;  y el mecanismo del monotributo ha sido creado”</w:t>
            </w:r>
            <w:r w:rsidRPr="00902C0C">
              <w:rPr>
                <w:rFonts w:ascii="Arial" w:eastAsia="Arial" w:hAnsi="Arial" w:cs="Arial"/>
                <w:sz w:val="20"/>
                <w:szCs w:val="20"/>
                <w:lang w:val="es-ES"/>
              </w:rPr>
              <w:t>, para</w:t>
            </w:r>
            <w:r w:rsidR="00DB1751" w:rsidRPr="00902C0C">
              <w:rPr>
                <w:rFonts w:ascii="Arial" w:eastAsia="Arial" w:hAnsi="Arial" w:cs="Arial"/>
                <w:sz w:val="20"/>
                <w:szCs w:val="20"/>
                <w:lang w:val="es-ES"/>
              </w:rPr>
              <w:t xml:space="preserve"> reflejar dos estudios como medio de verificación uno relacionado con las barreras y el otro relacionado con los pagos digitales, finalmente se agrega la ley de reforma tributaria como medio de verificación, ya que crea</w:t>
            </w:r>
            <w:r w:rsidR="00DB1751">
              <w:rPr>
                <w:rFonts w:ascii="Arial" w:eastAsia="Arial" w:hAnsi="Arial" w:cs="Arial"/>
                <w:sz w:val="20"/>
                <w:szCs w:val="20"/>
                <w:lang w:val="es-ES"/>
              </w:rPr>
              <w:t xml:space="preserve"> el mecanismo de monotributo que tiene el objetivo de incentivar las firmas informales a pagar el impuesto de monotributo.</w:t>
            </w:r>
          </w:p>
          <w:p w14:paraId="56070497" w14:textId="77777777" w:rsidR="002B404D" w:rsidRDefault="002B404D">
            <w:pPr>
              <w:rPr>
                <w:rFonts w:ascii="Arial" w:eastAsia="Arial" w:hAnsi="Arial" w:cs="Arial"/>
                <w:sz w:val="20"/>
                <w:szCs w:val="20"/>
                <w:lang w:val="es-ES"/>
              </w:rPr>
            </w:pPr>
          </w:p>
          <w:p w14:paraId="19D1C543" w14:textId="276FCDB5" w:rsidR="002B404D" w:rsidRPr="00902C0C" w:rsidRDefault="002B404D">
            <w:pPr>
              <w:rPr>
                <w:rFonts w:ascii="Arial" w:eastAsia="Arial" w:hAnsi="Arial" w:cs="Arial"/>
                <w:sz w:val="20"/>
                <w:szCs w:val="20"/>
                <w:lang w:val="es-ES"/>
              </w:rPr>
            </w:pPr>
            <w:r w:rsidRPr="00902C0C">
              <w:rPr>
                <w:rFonts w:ascii="Arial" w:eastAsia="Arial" w:hAnsi="Arial" w:cs="Arial"/>
                <w:sz w:val="20"/>
                <w:szCs w:val="20"/>
                <w:lang w:val="es-ES"/>
              </w:rPr>
              <w:t>Se modifica la medida descrita en el cuarto punt</w:t>
            </w:r>
            <w:r w:rsidR="00B548C6" w:rsidRPr="00902C0C">
              <w:rPr>
                <w:rFonts w:ascii="Arial" w:eastAsia="Arial" w:hAnsi="Arial" w:cs="Arial"/>
                <w:sz w:val="20"/>
                <w:szCs w:val="20"/>
                <w:lang w:val="es-ES"/>
              </w:rPr>
              <w:t>o</w:t>
            </w:r>
            <w:r w:rsidRPr="00902C0C">
              <w:rPr>
                <w:rFonts w:ascii="Arial" w:eastAsia="Arial" w:hAnsi="Arial" w:cs="Arial"/>
                <w:sz w:val="20"/>
                <w:szCs w:val="20"/>
                <w:lang w:val="es-ES"/>
              </w:rPr>
              <w:t>, “Se ha llevado a cabo un diagnóstico de la normativa del sistema financiero para ampliar el acceso a servicios financieros para mujeres”, para</w:t>
            </w:r>
            <w:r w:rsidR="00D91490" w:rsidRPr="00902C0C">
              <w:rPr>
                <w:rFonts w:ascii="Arial" w:eastAsia="Arial" w:hAnsi="Arial" w:cs="Arial"/>
                <w:sz w:val="20"/>
                <w:szCs w:val="20"/>
                <w:lang w:val="es-ES"/>
              </w:rPr>
              <w:t xml:space="preserve"> reflejar la redacción del informe que servirá de medio de verificación.</w:t>
            </w:r>
          </w:p>
          <w:p w14:paraId="6E40387F" w14:textId="77777777" w:rsidR="00B548C6" w:rsidRPr="00902C0C" w:rsidRDefault="00B548C6">
            <w:pPr>
              <w:rPr>
                <w:rFonts w:ascii="Arial" w:eastAsia="Arial" w:hAnsi="Arial" w:cs="Arial"/>
                <w:sz w:val="20"/>
                <w:szCs w:val="20"/>
                <w:lang w:val="es-ES"/>
              </w:rPr>
            </w:pPr>
          </w:p>
          <w:p w14:paraId="4C40C63E" w14:textId="2BA29335" w:rsidR="00B548C6" w:rsidRPr="00FD510A" w:rsidRDefault="00B548C6">
            <w:pPr>
              <w:rPr>
                <w:rFonts w:ascii="Arial" w:eastAsia="Arial" w:hAnsi="Arial" w:cs="Arial"/>
                <w:sz w:val="20"/>
                <w:szCs w:val="20"/>
                <w:lang w:val="es-ES"/>
              </w:rPr>
            </w:pPr>
            <w:r w:rsidRPr="00902C0C">
              <w:rPr>
                <w:rFonts w:ascii="Arial" w:eastAsia="Arial" w:hAnsi="Arial" w:cs="Arial"/>
                <w:sz w:val="20"/>
                <w:szCs w:val="20"/>
                <w:lang w:val="es-ES"/>
              </w:rPr>
              <w:t>Se modifica la medida descrita en el quinto punto, “Se ha elaborado el estudio de diagnóstico del esquema de comercialización de seguros en Colombia, preparado por la URF”, para</w:t>
            </w:r>
            <w:r w:rsidR="00D91490" w:rsidRPr="00902C0C">
              <w:rPr>
                <w:rFonts w:ascii="Arial" w:eastAsia="Arial" w:hAnsi="Arial" w:cs="Arial"/>
                <w:sz w:val="20"/>
                <w:szCs w:val="20"/>
                <w:lang w:val="es-ES"/>
              </w:rPr>
              <w:t xml:space="preserve"> reflejar la </w:t>
            </w:r>
            <w:r w:rsidR="00D91490" w:rsidRPr="00902C0C">
              <w:rPr>
                <w:rFonts w:ascii="Arial" w:eastAsia="Arial" w:hAnsi="Arial" w:cs="Arial"/>
                <w:sz w:val="20"/>
                <w:szCs w:val="20"/>
                <w:lang w:val="es-ES"/>
              </w:rPr>
              <w:lastRenderedPageBreak/>
              <w:t>redacción del medio de verificación.</w:t>
            </w:r>
          </w:p>
        </w:tc>
      </w:tr>
      <w:tr w:rsidR="00922FAF" w:rsidRPr="00F52BC8" w14:paraId="518687BC" w14:textId="6C022864" w:rsidTr="4C4E8546">
        <w:tc>
          <w:tcPr>
            <w:tcW w:w="3267" w:type="dxa"/>
          </w:tcPr>
          <w:p w14:paraId="518687B4" w14:textId="77777777" w:rsidR="00922FAF" w:rsidRPr="009E0B15" w:rsidRDefault="4C4E8546" w:rsidP="4C4E8546">
            <w:pPr>
              <w:pStyle w:val="ListParagraph"/>
              <w:numPr>
                <w:ilvl w:val="0"/>
                <w:numId w:val="4"/>
              </w:numPr>
              <w:ind w:left="180" w:hanging="180"/>
              <w:rPr>
                <w:rFonts w:ascii="Arial" w:eastAsia="Arial" w:hAnsi="Arial" w:cs="Arial"/>
                <w:sz w:val="20"/>
                <w:szCs w:val="20"/>
                <w:lang w:val="es-ES"/>
              </w:rPr>
            </w:pPr>
            <w:r w:rsidRPr="009E0B15">
              <w:rPr>
                <w:rFonts w:ascii="Arial" w:eastAsia="Arial" w:hAnsi="Arial" w:cs="Arial"/>
                <w:sz w:val="20"/>
                <w:szCs w:val="20"/>
                <w:lang w:val="es-ES"/>
              </w:rPr>
              <w:lastRenderedPageBreak/>
              <w:t>Mejora de la institucionalidad para aumentar la inclusión financiera.</w:t>
            </w:r>
          </w:p>
        </w:tc>
        <w:tc>
          <w:tcPr>
            <w:tcW w:w="3267" w:type="dxa"/>
          </w:tcPr>
          <w:p w14:paraId="1437A982" w14:textId="3DA82DDD" w:rsidR="00922FAF" w:rsidRPr="009E0B15" w:rsidRDefault="4C4E8546" w:rsidP="4C4E8546">
            <w:pPr>
              <w:pStyle w:val="ListParagraph"/>
              <w:numPr>
                <w:ilvl w:val="0"/>
                <w:numId w:val="46"/>
              </w:numPr>
              <w:ind w:left="378" w:hanging="360"/>
              <w:jc w:val="both"/>
              <w:rPr>
                <w:rFonts w:ascii="Arial" w:eastAsia="Arial" w:hAnsi="Arial" w:cs="Arial"/>
                <w:sz w:val="20"/>
                <w:szCs w:val="20"/>
                <w:lang w:val="es-ES"/>
              </w:rPr>
            </w:pPr>
            <w:r w:rsidRPr="009E0B15">
              <w:rPr>
                <w:rFonts w:ascii="Arial" w:eastAsia="Arial" w:hAnsi="Arial" w:cs="Arial"/>
                <w:sz w:val="20"/>
                <w:szCs w:val="20"/>
                <w:lang w:val="es-ES"/>
              </w:rPr>
              <w:t>Se ha avanzado en las siguientes áreas:</w:t>
            </w:r>
          </w:p>
          <w:p w14:paraId="366E9F8B" w14:textId="77777777" w:rsidR="00922FAF" w:rsidRPr="009E0B15" w:rsidRDefault="4C4E8546" w:rsidP="4C4E8546">
            <w:pPr>
              <w:pStyle w:val="ListParagraph"/>
              <w:numPr>
                <w:ilvl w:val="0"/>
                <w:numId w:val="8"/>
              </w:numPr>
              <w:rPr>
                <w:rFonts w:ascii="Arial" w:eastAsia="Arial" w:hAnsi="Arial" w:cs="Arial"/>
                <w:sz w:val="20"/>
                <w:szCs w:val="20"/>
                <w:lang w:val="es-ES"/>
              </w:rPr>
            </w:pPr>
            <w:r w:rsidRPr="009E0B15">
              <w:rPr>
                <w:rFonts w:ascii="Arial" w:eastAsia="Arial" w:hAnsi="Arial" w:cs="Arial"/>
                <w:sz w:val="20"/>
                <w:szCs w:val="20"/>
                <w:lang w:val="es-ES"/>
              </w:rPr>
              <w:t>El Decreto de creación y establecimiento de una Comisión Intersectorial para la Inclusión Financiera ha sido emitido por el Gobierno Nacional (MHCP).</w:t>
            </w:r>
          </w:p>
          <w:p w14:paraId="518687B8" w14:textId="4CEB5DA1" w:rsidR="00922FAF" w:rsidRPr="009E0B15" w:rsidRDefault="4C4E8546" w:rsidP="4C4E8546">
            <w:pPr>
              <w:pStyle w:val="ListParagraph"/>
              <w:numPr>
                <w:ilvl w:val="0"/>
                <w:numId w:val="8"/>
              </w:numPr>
              <w:rPr>
                <w:rFonts w:ascii="Arial" w:eastAsia="Arial" w:hAnsi="Arial" w:cs="Arial"/>
                <w:sz w:val="20"/>
                <w:szCs w:val="20"/>
                <w:lang w:val="es-ES"/>
              </w:rPr>
            </w:pPr>
            <w:r w:rsidRPr="009E0B15">
              <w:rPr>
                <w:rFonts w:ascii="Arial" w:eastAsia="Arial" w:hAnsi="Arial" w:cs="Arial"/>
                <w:sz w:val="20"/>
                <w:szCs w:val="20"/>
                <w:lang w:val="es-ES"/>
              </w:rPr>
              <w:t>El informe de mapeo, diagnóstico, identificación de necesidades, recomendaciones y plan de acción sobre la educación económica y financiera ha sido elaborado por la Comisión Intersectorial para la Educación Económica y Financiera.</w:t>
            </w:r>
          </w:p>
        </w:tc>
        <w:tc>
          <w:tcPr>
            <w:tcW w:w="3267" w:type="dxa"/>
          </w:tcPr>
          <w:p w14:paraId="518687B9" w14:textId="77777777" w:rsidR="00922FAF" w:rsidRPr="009E0B15" w:rsidRDefault="4C4E8546" w:rsidP="4C4E8546">
            <w:pPr>
              <w:pStyle w:val="ListParagraph"/>
              <w:numPr>
                <w:ilvl w:val="0"/>
                <w:numId w:val="30"/>
              </w:numPr>
              <w:ind w:left="396"/>
              <w:rPr>
                <w:rFonts w:ascii="Arial" w:eastAsia="Arial" w:hAnsi="Arial" w:cs="Arial"/>
                <w:sz w:val="20"/>
                <w:szCs w:val="20"/>
                <w:lang w:val="es-ES"/>
              </w:rPr>
            </w:pPr>
            <w:r w:rsidRPr="009E0B15">
              <w:rPr>
                <w:rFonts w:ascii="Arial" w:eastAsia="Arial" w:hAnsi="Arial" w:cs="Arial"/>
                <w:sz w:val="20"/>
                <w:szCs w:val="20"/>
                <w:lang w:val="es-ES"/>
              </w:rPr>
              <w:t>Se han adoptado medidas para fortalecer la coordinación de las entidades de gobierno que participen en inclusión financiera y educación económica y financiera, incluidas como mínimo las siguientes:</w:t>
            </w:r>
          </w:p>
          <w:p w14:paraId="518687BA" w14:textId="77777777" w:rsidR="00922FAF" w:rsidRPr="009E0B15" w:rsidRDefault="4C4E8546" w:rsidP="4C4E8546">
            <w:pPr>
              <w:pStyle w:val="ListParagraph"/>
              <w:numPr>
                <w:ilvl w:val="0"/>
                <w:numId w:val="32"/>
              </w:numPr>
              <w:rPr>
                <w:rFonts w:ascii="Arial" w:eastAsia="Arial" w:hAnsi="Arial" w:cs="Arial"/>
                <w:sz w:val="20"/>
                <w:szCs w:val="20"/>
                <w:lang w:val="es-ES"/>
              </w:rPr>
            </w:pPr>
            <w:r w:rsidRPr="009E0B15">
              <w:rPr>
                <w:rFonts w:ascii="Arial" w:eastAsia="Arial" w:hAnsi="Arial" w:cs="Arial"/>
                <w:sz w:val="20"/>
                <w:szCs w:val="20"/>
                <w:lang w:val="es-ES"/>
              </w:rPr>
              <w:t>El Decreto de creación y establecimiento de una Comisión Intersectorial para la Inclusión Financiera ha sido emitido por el Gobierno Nacional (MHCP).</w:t>
            </w:r>
          </w:p>
          <w:p w14:paraId="518687BB" w14:textId="4F290FCB" w:rsidR="00922FAF" w:rsidRPr="009E0B15" w:rsidRDefault="00D40709" w:rsidP="4C4E8546">
            <w:pPr>
              <w:pStyle w:val="ListParagraph"/>
              <w:numPr>
                <w:ilvl w:val="0"/>
                <w:numId w:val="32"/>
              </w:numPr>
              <w:rPr>
                <w:rFonts w:ascii="Arial" w:eastAsia="Arial" w:hAnsi="Arial" w:cs="Arial"/>
                <w:sz w:val="20"/>
                <w:szCs w:val="20"/>
                <w:lang w:val="es-ES"/>
              </w:rPr>
            </w:pPr>
            <w:r>
              <w:rPr>
                <w:rFonts w:ascii="Arial" w:eastAsia="Arial" w:hAnsi="Arial" w:cs="Arial"/>
                <w:sz w:val="20"/>
                <w:szCs w:val="20"/>
                <w:lang w:val="es-ES"/>
              </w:rPr>
              <w:t xml:space="preserve">Se ha elaborado la Estrategia Nacional de Educación Económica y Financiera de Colombia (ENEEF), </w:t>
            </w:r>
            <w:r w:rsidR="4C4E8546" w:rsidRPr="009E0B15">
              <w:rPr>
                <w:rFonts w:ascii="Arial" w:eastAsia="Arial" w:hAnsi="Arial" w:cs="Arial"/>
                <w:sz w:val="20"/>
                <w:szCs w:val="20"/>
                <w:lang w:val="es-ES"/>
              </w:rPr>
              <w:t>por la Comisión Intersectorial para la Educación Económica y Financiera.</w:t>
            </w:r>
          </w:p>
        </w:tc>
        <w:tc>
          <w:tcPr>
            <w:tcW w:w="3267" w:type="dxa"/>
          </w:tcPr>
          <w:p w14:paraId="29D46570" w14:textId="0CBCD770" w:rsidR="00922FAF" w:rsidRPr="009E0B15" w:rsidRDefault="00D40709" w:rsidP="4C4E8546">
            <w:pPr>
              <w:rPr>
                <w:rFonts w:ascii="Arial" w:eastAsia="Arial" w:hAnsi="Arial" w:cs="Arial"/>
                <w:sz w:val="20"/>
                <w:szCs w:val="20"/>
                <w:lang w:val="es-ES"/>
              </w:rPr>
            </w:pPr>
            <w:r>
              <w:rPr>
                <w:rFonts w:ascii="Arial" w:eastAsia="Arial" w:hAnsi="Arial" w:cs="Arial"/>
                <w:sz w:val="20"/>
                <w:szCs w:val="20"/>
                <w:lang w:val="es-ES"/>
              </w:rPr>
              <w:t xml:space="preserve">Se modifica la medida descrita en el segundo punto, “Se ha elaborado la Estrategia Nacional de Educación </w:t>
            </w:r>
            <w:r w:rsidRPr="00902C0C">
              <w:rPr>
                <w:rFonts w:ascii="Arial" w:eastAsia="Arial" w:hAnsi="Arial" w:cs="Arial"/>
                <w:sz w:val="20"/>
                <w:szCs w:val="20"/>
                <w:lang w:val="es-ES"/>
              </w:rPr>
              <w:t xml:space="preserve">Económica y Financiera de Colombia (ENEEF), por la Comisión Intersectorial para la Educación Económica y Financiera”, </w:t>
            </w:r>
            <w:r w:rsidR="00D91490" w:rsidRPr="00902C0C">
              <w:rPr>
                <w:rFonts w:ascii="Arial" w:eastAsia="Arial" w:hAnsi="Arial" w:cs="Arial"/>
                <w:sz w:val="20"/>
                <w:szCs w:val="20"/>
                <w:lang w:val="es-ES"/>
              </w:rPr>
              <w:t>ya que la estrategia es el documento resultante del informe que</w:t>
            </w:r>
            <w:r w:rsidR="00D91490">
              <w:rPr>
                <w:rFonts w:ascii="Arial" w:eastAsia="Arial" w:hAnsi="Arial" w:cs="Arial"/>
                <w:sz w:val="20"/>
                <w:szCs w:val="20"/>
                <w:lang w:val="es-ES"/>
              </w:rPr>
              <w:t xml:space="preserve"> recoge todos los temas señalados anteriormente.</w:t>
            </w:r>
          </w:p>
        </w:tc>
      </w:tr>
    </w:tbl>
    <w:p w14:paraId="518687BD" w14:textId="77777777" w:rsidR="004C3721" w:rsidRPr="00BD79E3" w:rsidRDefault="004C3721" w:rsidP="00AE4303">
      <w:pPr>
        <w:jc w:val="both"/>
        <w:rPr>
          <w:rFonts w:ascii="Arial" w:hAnsi="Arial" w:cs="Arial"/>
          <w:sz w:val="20"/>
          <w:szCs w:val="20"/>
          <w:lang w:val="es-ES_tradnl"/>
        </w:rPr>
      </w:pPr>
    </w:p>
    <w:sectPr w:rsidR="004C3721" w:rsidRPr="00BD79E3" w:rsidSect="0056545A">
      <w:headerReference w:type="even" r:id="rId14"/>
      <w:headerReference w:type="default" r:id="rId15"/>
      <w:footerReference w:type="default" r:id="rId16"/>
      <w:pgSz w:w="15840" w:h="12240" w:orient="landscape"/>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E24004" w14:textId="77777777" w:rsidR="00DB1751" w:rsidRDefault="00DB1751" w:rsidP="00A96AE5">
      <w:pPr>
        <w:spacing w:after="0" w:line="240" w:lineRule="auto"/>
      </w:pPr>
      <w:r>
        <w:separator/>
      </w:r>
    </w:p>
  </w:endnote>
  <w:endnote w:type="continuationSeparator" w:id="0">
    <w:p w14:paraId="3C8F034C" w14:textId="77777777" w:rsidR="00DB1751" w:rsidRDefault="00DB1751" w:rsidP="00A96AE5">
      <w:pPr>
        <w:spacing w:after="0" w:line="240" w:lineRule="auto"/>
      </w:pPr>
      <w:r>
        <w:continuationSeparator/>
      </w:r>
    </w:p>
  </w:endnote>
  <w:endnote w:type="continuationNotice" w:id="1">
    <w:p w14:paraId="73636BE1" w14:textId="77777777" w:rsidR="00DB1751" w:rsidRDefault="00DB17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Light"/>
    <w:panose1 w:val="020F0502020204030204"/>
    <w:charset w:val="00"/>
    <w:family w:val="swiss"/>
    <w:pitch w:val="variable"/>
    <w:sig w:usb0="00000001"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Times New Roman">
    <w:altName w:val="Times New Roman"/>
    <w:panose1 w:val="00000000000000000000"/>
    <w:charset w:val="00"/>
    <w:family w:val="roman"/>
    <w:notTrueType/>
    <w:pitch w:val="default"/>
  </w:font>
  <w:font w:name="Gotham Book">
    <w:panose1 w:val="00000000000000000000"/>
    <w:charset w:val="00"/>
    <w:family w:val="modern"/>
    <w:notTrueType/>
    <w:pitch w:val="variable"/>
    <w:sig w:usb0="A10000FF" w:usb1="4000005B" w:usb2="00000000" w:usb3="00000000" w:csb0="0000009B" w:csb1="00000000"/>
  </w:font>
  <w:font w:name="Gotham Book,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altName w:val="Times New Roman"/>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51DB2" w14:textId="77777777" w:rsidR="00DB1751" w:rsidRDefault="00DB17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9F732D" w14:textId="77777777" w:rsidR="00DB1751" w:rsidRDefault="00DB1751" w:rsidP="00A96AE5">
      <w:pPr>
        <w:spacing w:after="0" w:line="240" w:lineRule="auto"/>
      </w:pPr>
      <w:r>
        <w:separator/>
      </w:r>
    </w:p>
  </w:footnote>
  <w:footnote w:type="continuationSeparator" w:id="0">
    <w:p w14:paraId="568D151C" w14:textId="77777777" w:rsidR="00DB1751" w:rsidRDefault="00DB1751" w:rsidP="00A96AE5">
      <w:pPr>
        <w:spacing w:after="0" w:line="240" w:lineRule="auto"/>
      </w:pPr>
      <w:r>
        <w:continuationSeparator/>
      </w:r>
    </w:p>
  </w:footnote>
  <w:footnote w:type="continuationNotice" w:id="1">
    <w:p w14:paraId="2C648629" w14:textId="77777777" w:rsidR="00DB1751" w:rsidRDefault="00DB17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Gotham Book" w:hAnsi="Gotham Book" w:cs="Times New Roman"/>
        <w:sz w:val="18"/>
        <w:szCs w:val="18"/>
      </w:rPr>
      <w:id w:val="1187869367"/>
      <w:docPartObj>
        <w:docPartGallery w:val="Page Numbers (Top of Page)"/>
        <w:docPartUnique/>
      </w:docPartObj>
    </w:sdtPr>
    <w:sdtEndPr/>
    <w:sdtContent>
      <w:p w14:paraId="518687C2" w14:textId="77777777" w:rsidR="00DB1751" w:rsidRPr="00EA64B4" w:rsidRDefault="00DB1751" w:rsidP="4C4E8546">
        <w:pPr>
          <w:pStyle w:val="Header"/>
          <w:rPr>
            <w:rFonts w:ascii="Gotham Book,Times New Roman" w:eastAsia="Gotham Book,Times New Roman" w:hAnsi="Gotham Book,Times New Roman" w:cs="Gotham Book,Times New Roman"/>
            <w:sz w:val="18"/>
            <w:szCs w:val="18"/>
            <w:lang w:val="pt-BR"/>
          </w:rPr>
        </w:pPr>
        <w:r w:rsidRPr="4C4E8546">
          <w:rPr>
            <w:rFonts w:ascii="Gotham Book,Times New Roman" w:eastAsia="Gotham Book,Times New Roman" w:hAnsi="Gotham Book,Times New Roman" w:cs="Gotham Book,Times New Roman"/>
            <w:sz w:val="18"/>
            <w:szCs w:val="18"/>
            <w:lang w:val="pt-BR"/>
          </w:rPr>
          <w:t>Anexo II - CO-L1144</w:t>
        </w:r>
      </w:p>
      <w:p w14:paraId="518687C3" w14:textId="43A19703" w:rsidR="00DB1751" w:rsidRPr="00EA64B4" w:rsidRDefault="00DB1751" w:rsidP="4C4E8546">
        <w:pPr>
          <w:pStyle w:val="Header"/>
          <w:rPr>
            <w:rFonts w:ascii="Gotham Book,Times New Roman" w:eastAsia="Gotham Book,Times New Roman" w:hAnsi="Gotham Book,Times New Roman" w:cs="Gotham Book,Times New Roman"/>
            <w:sz w:val="18"/>
            <w:szCs w:val="18"/>
            <w:lang w:val="pt-BR"/>
          </w:rPr>
        </w:pPr>
        <w:r w:rsidRPr="4C4E8546">
          <w:rPr>
            <w:rFonts w:ascii="Gotham Book,Times New Roman" w:eastAsia="Gotham Book,Times New Roman" w:hAnsi="Gotham Book,Times New Roman" w:cs="Gotham Book,Times New Roman"/>
            <w:sz w:val="18"/>
            <w:szCs w:val="18"/>
            <w:lang w:val="pt-BR"/>
          </w:rPr>
          <w:t xml:space="preserve">Página </w:t>
        </w:r>
        <w:r w:rsidRPr="4C4E8546">
          <w:rPr>
            <w:rFonts w:ascii="Gotham Book,Times New Roman" w:eastAsia="Gotham Book,Times New Roman" w:hAnsi="Gotham Book,Times New Roman" w:cs="Gotham Book,Times New Roman"/>
            <w:b/>
            <w:bCs/>
            <w:noProof/>
            <w:sz w:val="18"/>
            <w:szCs w:val="18"/>
            <w:lang w:val="pt-BR"/>
          </w:rPr>
          <w:fldChar w:fldCharType="begin"/>
        </w:r>
        <w:r w:rsidRPr="4C4E8546">
          <w:rPr>
            <w:rFonts w:ascii="Gotham Book,Times New Roman" w:eastAsia="Gotham Book,Times New Roman" w:hAnsi="Gotham Book,Times New Roman" w:cs="Gotham Book,Times New Roman"/>
            <w:b/>
            <w:bCs/>
            <w:noProof/>
            <w:sz w:val="18"/>
            <w:szCs w:val="18"/>
            <w:lang w:val="pt-BR"/>
          </w:rPr>
          <w:instrText xml:space="preserve"> PAGE </w:instrText>
        </w:r>
        <w:r w:rsidRPr="4C4E8546">
          <w:rPr>
            <w:rFonts w:ascii="Gotham Book,Times New Roman" w:eastAsia="Gotham Book,Times New Roman" w:hAnsi="Gotham Book,Times New Roman" w:cs="Gotham Book,Times New Roman"/>
            <w:b/>
            <w:bCs/>
            <w:noProof/>
            <w:sz w:val="18"/>
            <w:szCs w:val="18"/>
            <w:lang w:val="pt-BR"/>
          </w:rPr>
          <w:fldChar w:fldCharType="separate"/>
        </w:r>
        <w:r w:rsidRPr="4C4E8546">
          <w:rPr>
            <w:rFonts w:ascii="Gotham Book,Times New Roman" w:eastAsia="Gotham Book,Times New Roman" w:hAnsi="Gotham Book,Times New Roman" w:cs="Gotham Book,Times New Roman"/>
            <w:b/>
            <w:bCs/>
            <w:noProof/>
            <w:sz w:val="18"/>
            <w:szCs w:val="18"/>
            <w:lang w:val="pt-BR"/>
          </w:rPr>
          <w:t>2</w:t>
        </w:r>
        <w:r w:rsidRPr="4C4E8546">
          <w:rPr>
            <w:rFonts w:ascii="Gotham Book,Times New Roman" w:eastAsia="Gotham Book,Times New Roman" w:hAnsi="Gotham Book,Times New Roman" w:cs="Gotham Book,Times New Roman"/>
            <w:b/>
            <w:bCs/>
            <w:noProof/>
            <w:sz w:val="18"/>
            <w:szCs w:val="18"/>
            <w:lang w:val="pt-BR"/>
          </w:rPr>
          <w:fldChar w:fldCharType="end"/>
        </w:r>
        <w:r w:rsidRPr="4C4E8546">
          <w:rPr>
            <w:rFonts w:ascii="Gotham Book,Times New Roman" w:eastAsia="Gotham Book,Times New Roman" w:hAnsi="Gotham Book,Times New Roman" w:cs="Gotham Book,Times New Roman"/>
            <w:sz w:val="18"/>
            <w:szCs w:val="18"/>
            <w:lang w:val="pt-BR"/>
          </w:rPr>
          <w:t xml:space="preserve"> of </w:t>
        </w:r>
        <w:r w:rsidRPr="4C4E8546">
          <w:rPr>
            <w:rFonts w:ascii="Gotham Book,Times New Roman" w:eastAsia="Gotham Book,Times New Roman" w:hAnsi="Gotham Book,Times New Roman" w:cs="Gotham Book,Times New Roman"/>
            <w:b/>
            <w:bCs/>
            <w:noProof/>
            <w:sz w:val="18"/>
            <w:szCs w:val="18"/>
            <w:lang w:val="pt-BR"/>
          </w:rPr>
          <w:fldChar w:fldCharType="begin"/>
        </w:r>
        <w:r w:rsidRPr="4C4E8546">
          <w:rPr>
            <w:rFonts w:ascii="Gotham Book,Times New Roman" w:eastAsia="Gotham Book,Times New Roman" w:hAnsi="Gotham Book,Times New Roman" w:cs="Gotham Book,Times New Roman"/>
            <w:b/>
            <w:bCs/>
            <w:noProof/>
            <w:sz w:val="18"/>
            <w:szCs w:val="18"/>
            <w:lang w:val="pt-BR"/>
          </w:rPr>
          <w:instrText xml:space="preserve"> NUMPAGES  </w:instrText>
        </w:r>
        <w:r w:rsidRPr="4C4E8546">
          <w:rPr>
            <w:rFonts w:ascii="Gotham Book,Times New Roman" w:eastAsia="Gotham Book,Times New Roman" w:hAnsi="Gotham Book,Times New Roman" w:cs="Gotham Book,Times New Roman"/>
            <w:b/>
            <w:bCs/>
            <w:noProof/>
            <w:sz w:val="18"/>
            <w:szCs w:val="18"/>
            <w:lang w:val="pt-BR"/>
          </w:rPr>
          <w:fldChar w:fldCharType="separate"/>
        </w:r>
        <w:r>
          <w:rPr>
            <w:rFonts w:ascii="Gotham Book,Times New Roman" w:eastAsia="Gotham Book,Times New Roman" w:hAnsi="Gotham Book,Times New Roman" w:cs="Gotham Book,Times New Roman"/>
            <w:b/>
            <w:bCs/>
            <w:noProof/>
            <w:sz w:val="18"/>
            <w:szCs w:val="18"/>
            <w:lang w:val="pt-BR"/>
          </w:rPr>
          <w:t>11</w:t>
        </w:r>
        <w:r w:rsidRPr="4C4E8546">
          <w:rPr>
            <w:rFonts w:ascii="Gotham Book,Times New Roman" w:eastAsia="Gotham Book,Times New Roman" w:hAnsi="Gotham Book,Times New Roman" w:cs="Gotham Book,Times New Roman"/>
            <w:b/>
            <w:bCs/>
            <w:noProof/>
            <w:sz w:val="18"/>
            <w:szCs w:val="18"/>
            <w:lang w:val="pt-BR"/>
          </w:rPr>
          <w:fldChar w:fldCharType="end"/>
        </w:r>
      </w:p>
    </w:sdtContent>
  </w:sdt>
  <w:p w14:paraId="518687C4" w14:textId="77777777" w:rsidR="00DB1751" w:rsidRPr="00EA64B4" w:rsidRDefault="00DB1751">
    <w:pPr>
      <w:pStyle w:val="Header"/>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804587392"/>
      <w:docPartObj>
        <w:docPartGallery w:val="Page Numbers (Top of Page)"/>
        <w:docPartUnique/>
      </w:docPartObj>
    </w:sdtPr>
    <w:sdtEndPr/>
    <w:sdtContent>
      <w:p w14:paraId="518687C5" w14:textId="32B6814A" w:rsidR="00DB1751" w:rsidRPr="00EA64B4" w:rsidRDefault="00DB1751" w:rsidP="4C4E8546">
        <w:pPr>
          <w:pStyle w:val="Header"/>
          <w:jc w:val="right"/>
          <w:rPr>
            <w:rFonts w:ascii="Arial" w:eastAsia="Arial" w:hAnsi="Arial" w:cs="Arial"/>
            <w:sz w:val="18"/>
            <w:szCs w:val="18"/>
            <w:lang w:val="pt-BR"/>
          </w:rPr>
        </w:pPr>
        <w:r w:rsidRPr="4C4E8546">
          <w:rPr>
            <w:rFonts w:ascii="Arial" w:eastAsia="Arial" w:hAnsi="Arial" w:cs="Arial"/>
            <w:sz w:val="18"/>
            <w:szCs w:val="18"/>
            <w:lang w:val="pt-BR"/>
          </w:rPr>
          <w:t>CO-L1214</w:t>
        </w:r>
      </w:p>
      <w:p w14:paraId="518687C6" w14:textId="3837A217" w:rsidR="00DB1751" w:rsidRPr="00EA64B4" w:rsidRDefault="00DB1751" w:rsidP="4C4E8546">
        <w:pPr>
          <w:pStyle w:val="Header"/>
          <w:jc w:val="right"/>
          <w:rPr>
            <w:rFonts w:ascii="Arial" w:eastAsia="Arial" w:hAnsi="Arial" w:cs="Arial"/>
            <w:sz w:val="18"/>
            <w:szCs w:val="18"/>
            <w:lang w:val="pt-BR"/>
          </w:rPr>
        </w:pPr>
        <w:r w:rsidRPr="4C4E8546">
          <w:rPr>
            <w:rFonts w:ascii="Arial" w:eastAsia="Arial" w:hAnsi="Arial" w:cs="Arial"/>
            <w:sz w:val="18"/>
            <w:szCs w:val="18"/>
            <w:lang w:val="pt-BR"/>
          </w:rPr>
          <w:t xml:space="preserve">Página </w:t>
        </w:r>
        <w:r w:rsidRPr="4C4E8546">
          <w:rPr>
            <w:rFonts w:ascii="Arial" w:eastAsia="Arial" w:hAnsi="Arial" w:cs="Arial"/>
            <w:noProof/>
            <w:sz w:val="18"/>
            <w:szCs w:val="18"/>
            <w:lang w:val="pt-BR"/>
          </w:rPr>
          <w:fldChar w:fldCharType="begin"/>
        </w:r>
        <w:r w:rsidRPr="4C4E8546">
          <w:rPr>
            <w:rFonts w:ascii="Arial" w:eastAsia="Arial" w:hAnsi="Arial" w:cs="Arial"/>
            <w:noProof/>
            <w:sz w:val="18"/>
            <w:szCs w:val="18"/>
            <w:lang w:val="pt-BR"/>
          </w:rPr>
          <w:instrText xml:space="preserve"> PAGE </w:instrText>
        </w:r>
        <w:r w:rsidRPr="4C4E8546">
          <w:rPr>
            <w:rFonts w:ascii="Arial" w:eastAsia="Arial" w:hAnsi="Arial" w:cs="Arial"/>
            <w:noProof/>
            <w:sz w:val="18"/>
            <w:szCs w:val="18"/>
            <w:lang w:val="pt-BR"/>
          </w:rPr>
          <w:fldChar w:fldCharType="separate"/>
        </w:r>
        <w:r w:rsidR="00F52BC8">
          <w:rPr>
            <w:rFonts w:ascii="Arial" w:eastAsia="Arial" w:hAnsi="Arial" w:cs="Arial"/>
            <w:noProof/>
            <w:sz w:val="18"/>
            <w:szCs w:val="18"/>
            <w:lang w:val="pt-BR"/>
          </w:rPr>
          <w:t>10</w:t>
        </w:r>
        <w:r w:rsidRPr="4C4E8546">
          <w:rPr>
            <w:rFonts w:ascii="Arial" w:eastAsia="Arial" w:hAnsi="Arial" w:cs="Arial"/>
            <w:noProof/>
            <w:sz w:val="18"/>
            <w:szCs w:val="18"/>
            <w:lang w:val="pt-BR"/>
          </w:rPr>
          <w:fldChar w:fldCharType="end"/>
        </w:r>
        <w:r w:rsidRPr="4C4E8546">
          <w:rPr>
            <w:rFonts w:ascii="Arial" w:eastAsia="Arial" w:hAnsi="Arial" w:cs="Arial"/>
            <w:sz w:val="18"/>
            <w:szCs w:val="18"/>
            <w:lang w:val="pt-BR"/>
          </w:rPr>
          <w:t xml:space="preserve"> de </w:t>
        </w:r>
        <w:r w:rsidRPr="4C4E8546">
          <w:rPr>
            <w:rFonts w:ascii="Arial" w:eastAsia="Arial" w:hAnsi="Arial" w:cs="Arial"/>
            <w:noProof/>
            <w:sz w:val="18"/>
            <w:szCs w:val="18"/>
            <w:lang w:val="pt-BR"/>
          </w:rPr>
          <w:fldChar w:fldCharType="begin"/>
        </w:r>
        <w:r w:rsidRPr="4C4E8546">
          <w:rPr>
            <w:rFonts w:ascii="Arial" w:eastAsia="Arial" w:hAnsi="Arial" w:cs="Arial"/>
            <w:noProof/>
            <w:sz w:val="18"/>
            <w:szCs w:val="18"/>
            <w:lang w:val="pt-BR"/>
          </w:rPr>
          <w:instrText xml:space="preserve"> NUMPAGES  </w:instrText>
        </w:r>
        <w:r w:rsidRPr="4C4E8546">
          <w:rPr>
            <w:rFonts w:ascii="Arial" w:eastAsia="Arial" w:hAnsi="Arial" w:cs="Arial"/>
            <w:noProof/>
            <w:sz w:val="18"/>
            <w:szCs w:val="18"/>
            <w:lang w:val="pt-BR"/>
          </w:rPr>
          <w:fldChar w:fldCharType="separate"/>
        </w:r>
        <w:r w:rsidR="00F52BC8">
          <w:rPr>
            <w:rFonts w:ascii="Arial" w:eastAsia="Arial" w:hAnsi="Arial" w:cs="Arial"/>
            <w:noProof/>
            <w:sz w:val="18"/>
            <w:szCs w:val="18"/>
            <w:lang w:val="pt-BR"/>
          </w:rPr>
          <w:t>10</w:t>
        </w:r>
        <w:r w:rsidRPr="4C4E8546">
          <w:rPr>
            <w:rFonts w:ascii="Arial" w:eastAsia="Arial" w:hAnsi="Arial" w:cs="Arial"/>
            <w:noProof/>
            <w:sz w:val="18"/>
            <w:szCs w:val="18"/>
            <w:lang w:val="pt-BR"/>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2675B"/>
    <w:multiLevelType w:val="hybridMultilevel"/>
    <w:tmpl w:val="A5265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2C6E1F"/>
    <w:multiLevelType w:val="hybridMultilevel"/>
    <w:tmpl w:val="D7AEBED0"/>
    <w:lvl w:ilvl="0" w:tplc="0E063FC6">
      <w:start w:val="1"/>
      <w:numFmt w:val="lowerRoman"/>
      <w:lvlText w:val="(%1)"/>
      <w:lvlJc w:val="left"/>
      <w:pPr>
        <w:ind w:left="720" w:hanging="360"/>
      </w:pPr>
      <w:rPr>
        <w:rFonts w:asciiTheme="minorHAnsi" w:hAnsiTheme="minorHAnsi" w:cstheme="minorBidi"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93FF8"/>
    <w:multiLevelType w:val="hybridMultilevel"/>
    <w:tmpl w:val="8F7AD502"/>
    <w:lvl w:ilvl="0" w:tplc="EA76370A">
      <w:start w:val="2"/>
      <w:numFmt w:val="lowerRoman"/>
      <w:lvlText w:val="(%1)"/>
      <w:lvlJc w:val="left"/>
      <w:pPr>
        <w:ind w:left="720" w:hanging="360"/>
      </w:pPr>
      <w:rPr>
        <w:rFonts w:asciiTheme="minorHAnsi" w:hAnsiTheme="minorHAnsi" w:cstheme="minorBidi"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2D2F06"/>
    <w:multiLevelType w:val="hybridMultilevel"/>
    <w:tmpl w:val="4ACA7676"/>
    <w:lvl w:ilvl="0" w:tplc="3948F47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256CD5"/>
    <w:multiLevelType w:val="hybridMultilevel"/>
    <w:tmpl w:val="E82EC336"/>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5" w15:restartNumberingAfterBreak="0">
    <w:nsid w:val="0B1A12EB"/>
    <w:multiLevelType w:val="hybridMultilevel"/>
    <w:tmpl w:val="DF1493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532347"/>
    <w:multiLevelType w:val="hybridMultilevel"/>
    <w:tmpl w:val="A91C351C"/>
    <w:lvl w:ilvl="0" w:tplc="1A9C5B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FE2EBF"/>
    <w:multiLevelType w:val="hybridMultilevel"/>
    <w:tmpl w:val="6EE852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610D9C"/>
    <w:multiLevelType w:val="hybridMultilevel"/>
    <w:tmpl w:val="8070D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0F0F12"/>
    <w:multiLevelType w:val="hybridMultilevel"/>
    <w:tmpl w:val="D17E7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DA3688"/>
    <w:multiLevelType w:val="hybridMultilevel"/>
    <w:tmpl w:val="CEDA26D4"/>
    <w:lvl w:ilvl="0" w:tplc="0E063FC6">
      <w:start w:val="1"/>
      <w:numFmt w:val="lowerRoman"/>
      <w:lvlText w:val="(%1)"/>
      <w:lvlJc w:val="left"/>
      <w:pPr>
        <w:ind w:left="720" w:hanging="360"/>
      </w:pPr>
      <w:rPr>
        <w:rFonts w:asciiTheme="minorHAnsi" w:hAnsiTheme="minorHAnsi" w:cstheme="minorBidi"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2E556A"/>
    <w:multiLevelType w:val="hybridMultilevel"/>
    <w:tmpl w:val="01AA1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6405F0"/>
    <w:multiLevelType w:val="hybridMultilevel"/>
    <w:tmpl w:val="86D28B48"/>
    <w:lvl w:ilvl="0" w:tplc="169813A6">
      <w:start w:val="1"/>
      <w:numFmt w:val="lowerRoman"/>
      <w:lvlText w:val="(%1)"/>
      <w:lvlJc w:val="left"/>
      <w:pPr>
        <w:ind w:left="1080" w:hanging="72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C62E85"/>
    <w:multiLevelType w:val="hybridMultilevel"/>
    <w:tmpl w:val="D1068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75135"/>
    <w:multiLevelType w:val="hybridMultilevel"/>
    <w:tmpl w:val="8736B84A"/>
    <w:lvl w:ilvl="0" w:tplc="1C4AA682">
      <w:start w:val="1"/>
      <w:numFmt w:val="lowerRoman"/>
      <w:lvlText w:val="(%1)"/>
      <w:lvlJc w:val="left"/>
      <w:pPr>
        <w:ind w:left="1080" w:hanging="72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4D553C"/>
    <w:multiLevelType w:val="hybridMultilevel"/>
    <w:tmpl w:val="681A41FC"/>
    <w:lvl w:ilvl="0" w:tplc="EC5C369C">
      <w:start w:val="1"/>
      <w:numFmt w:val="lowerRoman"/>
      <w:lvlText w:val="(%1)"/>
      <w:lvlJc w:val="left"/>
      <w:pPr>
        <w:ind w:left="720" w:hanging="360"/>
      </w:pPr>
      <w:rPr>
        <w:rFonts w:asciiTheme="minorHAnsi" w:hAnsiTheme="minorHAnsi" w:cstheme="minorBidi"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7F29FC"/>
    <w:multiLevelType w:val="hybridMultilevel"/>
    <w:tmpl w:val="ED660076"/>
    <w:lvl w:ilvl="0" w:tplc="AB78998A">
      <w:start w:val="1"/>
      <w:numFmt w:val="lowerRoman"/>
      <w:lvlText w:val="(%1)"/>
      <w:lvlJc w:val="left"/>
      <w:pPr>
        <w:ind w:left="720" w:hanging="360"/>
      </w:pPr>
      <w:rPr>
        <w:rFonts w:asciiTheme="minorHAnsi" w:hAnsiTheme="minorHAnsi" w:cstheme="minorBidi"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F728B5"/>
    <w:multiLevelType w:val="hybridMultilevel"/>
    <w:tmpl w:val="93EEACBE"/>
    <w:lvl w:ilvl="0" w:tplc="0E063FC6">
      <w:start w:val="1"/>
      <w:numFmt w:val="lowerRoman"/>
      <w:lvlText w:val="(%1)"/>
      <w:lvlJc w:val="left"/>
      <w:pPr>
        <w:ind w:left="720" w:hanging="360"/>
      </w:pPr>
      <w:rPr>
        <w:rFonts w:asciiTheme="minorHAnsi" w:hAnsiTheme="minorHAnsi" w:cstheme="minorBidi"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061AAB"/>
    <w:multiLevelType w:val="hybridMultilevel"/>
    <w:tmpl w:val="AD9CC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D3490C"/>
    <w:multiLevelType w:val="hybridMultilevel"/>
    <w:tmpl w:val="99E8D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963044"/>
    <w:multiLevelType w:val="hybridMultilevel"/>
    <w:tmpl w:val="957C42E0"/>
    <w:lvl w:ilvl="0" w:tplc="04090001">
      <w:start w:val="1"/>
      <w:numFmt w:val="bullet"/>
      <w:lvlText w:val=""/>
      <w:lvlJc w:val="left"/>
      <w:pPr>
        <w:ind w:left="1098" w:hanging="360"/>
      </w:pPr>
      <w:rPr>
        <w:rFonts w:ascii="Symbol" w:hAnsi="Symbol" w:hint="default"/>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21" w15:restartNumberingAfterBreak="0">
    <w:nsid w:val="3AE5138E"/>
    <w:multiLevelType w:val="hybridMultilevel"/>
    <w:tmpl w:val="868AB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E92F7A"/>
    <w:multiLevelType w:val="hybridMultilevel"/>
    <w:tmpl w:val="948A045A"/>
    <w:lvl w:ilvl="0" w:tplc="0E063FC6">
      <w:start w:val="1"/>
      <w:numFmt w:val="lowerRoman"/>
      <w:lvlText w:val="(%1)"/>
      <w:lvlJc w:val="left"/>
      <w:pPr>
        <w:ind w:left="720" w:hanging="360"/>
      </w:pPr>
      <w:rPr>
        <w:rFonts w:asciiTheme="minorHAnsi" w:hAnsiTheme="minorHAnsi" w:cstheme="minorBidi"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4B62BF"/>
    <w:multiLevelType w:val="hybridMultilevel"/>
    <w:tmpl w:val="9E5CDA42"/>
    <w:lvl w:ilvl="0" w:tplc="0E063FC6">
      <w:start w:val="1"/>
      <w:numFmt w:val="lowerRoman"/>
      <w:lvlText w:val="(%1)"/>
      <w:lvlJc w:val="left"/>
      <w:pPr>
        <w:ind w:left="720" w:hanging="360"/>
      </w:pPr>
      <w:rPr>
        <w:rFonts w:asciiTheme="minorHAnsi" w:hAnsiTheme="minorHAnsi" w:cstheme="minorBidi"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7B6A37"/>
    <w:multiLevelType w:val="hybridMultilevel"/>
    <w:tmpl w:val="BDFE681A"/>
    <w:lvl w:ilvl="0" w:tplc="0E063FC6">
      <w:start w:val="1"/>
      <w:numFmt w:val="lowerRoman"/>
      <w:lvlText w:val="(%1)"/>
      <w:lvlJc w:val="left"/>
      <w:pPr>
        <w:ind w:left="720" w:hanging="360"/>
      </w:pPr>
      <w:rPr>
        <w:rFonts w:asciiTheme="minorHAnsi" w:hAnsiTheme="minorHAnsi" w:cstheme="minorBidi"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0767CA"/>
    <w:multiLevelType w:val="hybridMultilevel"/>
    <w:tmpl w:val="1F8492A2"/>
    <w:lvl w:ilvl="0" w:tplc="DE18E8C6">
      <w:start w:val="2"/>
      <w:numFmt w:val="lowerRoman"/>
      <w:lvlText w:val="(%1)"/>
      <w:lvlJc w:val="left"/>
      <w:pPr>
        <w:ind w:left="720" w:hanging="360"/>
      </w:pPr>
      <w:rPr>
        <w:rFonts w:asciiTheme="minorHAnsi" w:hAnsiTheme="minorHAnsi" w:cstheme="minorBidi"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881500"/>
    <w:multiLevelType w:val="hybridMultilevel"/>
    <w:tmpl w:val="B3DA2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624B42"/>
    <w:multiLevelType w:val="hybridMultilevel"/>
    <w:tmpl w:val="B7887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765161"/>
    <w:multiLevelType w:val="hybridMultilevel"/>
    <w:tmpl w:val="61706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A73F4D"/>
    <w:multiLevelType w:val="hybridMultilevel"/>
    <w:tmpl w:val="409E5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5F514E"/>
    <w:multiLevelType w:val="hybridMultilevel"/>
    <w:tmpl w:val="C84ED908"/>
    <w:lvl w:ilvl="0" w:tplc="A0DA3C2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625F3A"/>
    <w:multiLevelType w:val="hybridMultilevel"/>
    <w:tmpl w:val="F1C01B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C40E07"/>
    <w:multiLevelType w:val="hybridMultilevel"/>
    <w:tmpl w:val="C6368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D55C45"/>
    <w:multiLevelType w:val="hybridMultilevel"/>
    <w:tmpl w:val="2B444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7C7ED4"/>
    <w:multiLevelType w:val="hybridMultilevel"/>
    <w:tmpl w:val="88C8E50C"/>
    <w:lvl w:ilvl="0" w:tplc="A6DA677C">
      <w:start w:val="1"/>
      <w:numFmt w:val="lowerRoman"/>
      <w:lvlText w:val="(%1)"/>
      <w:lvlJc w:val="left"/>
      <w:pPr>
        <w:ind w:left="1080" w:hanging="72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F265DC"/>
    <w:multiLevelType w:val="hybridMultilevel"/>
    <w:tmpl w:val="F6E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2E5E8E"/>
    <w:multiLevelType w:val="hybridMultilevel"/>
    <w:tmpl w:val="7AACB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8048FE"/>
    <w:multiLevelType w:val="hybridMultilevel"/>
    <w:tmpl w:val="C5365D88"/>
    <w:lvl w:ilvl="0" w:tplc="0E063FC6">
      <w:start w:val="1"/>
      <w:numFmt w:val="lowerRoman"/>
      <w:lvlText w:val="(%1)"/>
      <w:lvlJc w:val="left"/>
      <w:pPr>
        <w:ind w:left="720" w:hanging="360"/>
      </w:pPr>
      <w:rPr>
        <w:rFonts w:asciiTheme="minorHAnsi" w:hAnsiTheme="minorHAnsi" w:cstheme="minorBidi"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A8B3522"/>
    <w:multiLevelType w:val="hybridMultilevel"/>
    <w:tmpl w:val="4A120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D21141"/>
    <w:multiLevelType w:val="hybridMultilevel"/>
    <w:tmpl w:val="61BE4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9E6EBC"/>
    <w:multiLevelType w:val="hybridMultilevel"/>
    <w:tmpl w:val="D7AEB93E"/>
    <w:lvl w:ilvl="0" w:tplc="0E063FC6">
      <w:start w:val="1"/>
      <w:numFmt w:val="lowerRoman"/>
      <w:lvlText w:val="(%1)"/>
      <w:lvlJc w:val="left"/>
      <w:pPr>
        <w:ind w:left="720" w:hanging="360"/>
      </w:pPr>
      <w:rPr>
        <w:rFonts w:asciiTheme="minorHAnsi" w:hAnsiTheme="minorHAnsi" w:cstheme="minorBidi"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E76D4E"/>
    <w:multiLevelType w:val="hybridMultilevel"/>
    <w:tmpl w:val="C5365D88"/>
    <w:lvl w:ilvl="0" w:tplc="0E063FC6">
      <w:start w:val="1"/>
      <w:numFmt w:val="lowerRoman"/>
      <w:lvlText w:val="(%1)"/>
      <w:lvlJc w:val="left"/>
      <w:pPr>
        <w:ind w:left="720" w:hanging="360"/>
      </w:pPr>
      <w:rPr>
        <w:rFonts w:asciiTheme="minorHAnsi" w:hAnsiTheme="minorHAnsi" w:cstheme="minorBidi"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6C5958"/>
    <w:multiLevelType w:val="hybridMultilevel"/>
    <w:tmpl w:val="86CCC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F33948"/>
    <w:multiLevelType w:val="hybridMultilevel"/>
    <w:tmpl w:val="FAC02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F3746A"/>
    <w:multiLevelType w:val="hybridMultilevel"/>
    <w:tmpl w:val="B9BAB26C"/>
    <w:lvl w:ilvl="0" w:tplc="5ECC402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8454BAA"/>
    <w:multiLevelType w:val="hybridMultilevel"/>
    <w:tmpl w:val="93B618B4"/>
    <w:lvl w:ilvl="0" w:tplc="0E063FC6">
      <w:start w:val="1"/>
      <w:numFmt w:val="lowerRoman"/>
      <w:lvlText w:val="(%1)"/>
      <w:lvlJc w:val="left"/>
      <w:pPr>
        <w:ind w:left="720" w:hanging="360"/>
      </w:pPr>
      <w:rPr>
        <w:rFonts w:asciiTheme="minorHAnsi" w:hAnsiTheme="minorHAnsi" w:cstheme="minorBidi"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5B436A"/>
    <w:multiLevelType w:val="hybridMultilevel"/>
    <w:tmpl w:val="9DFEBC28"/>
    <w:lvl w:ilvl="0" w:tplc="0E063FC6">
      <w:start w:val="1"/>
      <w:numFmt w:val="lowerRoman"/>
      <w:lvlText w:val="(%1)"/>
      <w:lvlJc w:val="left"/>
      <w:pPr>
        <w:ind w:left="720" w:hanging="360"/>
      </w:pPr>
      <w:rPr>
        <w:rFonts w:asciiTheme="minorHAnsi" w:hAnsiTheme="minorHAnsi" w:cstheme="minorBidi"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EA2533B"/>
    <w:multiLevelType w:val="hybridMultilevel"/>
    <w:tmpl w:val="2D5222DC"/>
    <w:lvl w:ilvl="0" w:tplc="1C4AA682">
      <w:start w:val="1"/>
      <w:numFmt w:val="lowerRoman"/>
      <w:lvlText w:val="(%1)"/>
      <w:lvlJc w:val="left"/>
      <w:pPr>
        <w:ind w:left="1080" w:hanging="72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1"/>
  </w:num>
  <w:num w:numId="3">
    <w:abstractNumId w:val="7"/>
  </w:num>
  <w:num w:numId="4">
    <w:abstractNumId w:val="29"/>
  </w:num>
  <w:num w:numId="5">
    <w:abstractNumId w:val="1"/>
  </w:num>
  <w:num w:numId="6">
    <w:abstractNumId w:val="13"/>
  </w:num>
  <w:num w:numId="7">
    <w:abstractNumId w:val="40"/>
  </w:num>
  <w:num w:numId="8">
    <w:abstractNumId w:val="39"/>
  </w:num>
  <w:num w:numId="9">
    <w:abstractNumId w:val="23"/>
  </w:num>
  <w:num w:numId="10">
    <w:abstractNumId w:val="24"/>
  </w:num>
  <w:num w:numId="11">
    <w:abstractNumId w:val="32"/>
  </w:num>
  <w:num w:numId="12">
    <w:abstractNumId w:val="8"/>
  </w:num>
  <w:num w:numId="13">
    <w:abstractNumId w:val="25"/>
  </w:num>
  <w:num w:numId="14">
    <w:abstractNumId w:val="38"/>
  </w:num>
  <w:num w:numId="15">
    <w:abstractNumId w:val="35"/>
  </w:num>
  <w:num w:numId="16">
    <w:abstractNumId w:val="10"/>
  </w:num>
  <w:num w:numId="17">
    <w:abstractNumId w:val="16"/>
  </w:num>
  <w:num w:numId="18">
    <w:abstractNumId w:val="19"/>
  </w:num>
  <w:num w:numId="19">
    <w:abstractNumId w:val="36"/>
  </w:num>
  <w:num w:numId="20">
    <w:abstractNumId w:val="9"/>
  </w:num>
  <w:num w:numId="21">
    <w:abstractNumId w:val="43"/>
  </w:num>
  <w:num w:numId="22">
    <w:abstractNumId w:val="22"/>
  </w:num>
  <w:num w:numId="23">
    <w:abstractNumId w:val="17"/>
  </w:num>
  <w:num w:numId="24">
    <w:abstractNumId w:val="21"/>
  </w:num>
  <w:num w:numId="25">
    <w:abstractNumId w:val="46"/>
  </w:num>
  <w:num w:numId="26">
    <w:abstractNumId w:val="45"/>
  </w:num>
  <w:num w:numId="27">
    <w:abstractNumId w:val="28"/>
  </w:num>
  <w:num w:numId="28">
    <w:abstractNumId w:val="42"/>
  </w:num>
  <w:num w:numId="29">
    <w:abstractNumId w:val="37"/>
  </w:num>
  <w:num w:numId="30">
    <w:abstractNumId w:val="41"/>
  </w:num>
  <w:num w:numId="31">
    <w:abstractNumId w:val="0"/>
  </w:num>
  <w:num w:numId="32">
    <w:abstractNumId w:val="18"/>
  </w:num>
  <w:num w:numId="33">
    <w:abstractNumId w:val="11"/>
  </w:num>
  <w:num w:numId="34">
    <w:abstractNumId w:val="15"/>
  </w:num>
  <w:num w:numId="35">
    <w:abstractNumId w:val="20"/>
  </w:num>
  <w:num w:numId="36">
    <w:abstractNumId w:val="33"/>
  </w:num>
  <w:num w:numId="37">
    <w:abstractNumId w:val="27"/>
  </w:num>
  <w:num w:numId="38">
    <w:abstractNumId w:val="2"/>
  </w:num>
  <w:num w:numId="39">
    <w:abstractNumId w:val="4"/>
  </w:num>
  <w:num w:numId="40">
    <w:abstractNumId w:val="26"/>
  </w:num>
  <w:num w:numId="41">
    <w:abstractNumId w:val="47"/>
  </w:num>
  <w:num w:numId="42">
    <w:abstractNumId w:val="34"/>
  </w:num>
  <w:num w:numId="43">
    <w:abstractNumId w:val="14"/>
  </w:num>
  <w:num w:numId="44">
    <w:abstractNumId w:val="3"/>
  </w:num>
  <w:num w:numId="45">
    <w:abstractNumId w:val="6"/>
  </w:num>
  <w:num w:numId="46">
    <w:abstractNumId w:val="44"/>
  </w:num>
  <w:num w:numId="47">
    <w:abstractNumId w:val="30"/>
  </w:num>
  <w:num w:numId="48">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mailMerge>
    <w:mainDocumentType w:val="formLetters"/>
    <w:dataType w:val="textFile"/>
    <w:activeRecord w:val="-1"/>
  </w:mailMerge>
  <w:defaultTabStop w:val="720"/>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721"/>
    <w:rsid w:val="00001785"/>
    <w:rsid w:val="00003666"/>
    <w:rsid w:val="00010DCA"/>
    <w:rsid w:val="000131D7"/>
    <w:rsid w:val="00013E76"/>
    <w:rsid w:val="000158FB"/>
    <w:rsid w:val="0001730C"/>
    <w:rsid w:val="000229FC"/>
    <w:rsid w:val="0002552C"/>
    <w:rsid w:val="00036106"/>
    <w:rsid w:val="0004095D"/>
    <w:rsid w:val="00043C86"/>
    <w:rsid w:val="0004601C"/>
    <w:rsid w:val="000468C5"/>
    <w:rsid w:val="00046B5A"/>
    <w:rsid w:val="0005411E"/>
    <w:rsid w:val="00067AE6"/>
    <w:rsid w:val="00067BC6"/>
    <w:rsid w:val="000728BC"/>
    <w:rsid w:val="00072EBE"/>
    <w:rsid w:val="00073A45"/>
    <w:rsid w:val="00075B97"/>
    <w:rsid w:val="00080715"/>
    <w:rsid w:val="000A5120"/>
    <w:rsid w:val="000A6596"/>
    <w:rsid w:val="000B0511"/>
    <w:rsid w:val="000B3E6D"/>
    <w:rsid w:val="000B6D1B"/>
    <w:rsid w:val="000D53DE"/>
    <w:rsid w:val="00110223"/>
    <w:rsid w:val="00114108"/>
    <w:rsid w:val="00144471"/>
    <w:rsid w:val="001542F3"/>
    <w:rsid w:val="00156AA9"/>
    <w:rsid w:val="00166E17"/>
    <w:rsid w:val="001778E5"/>
    <w:rsid w:val="00184E04"/>
    <w:rsid w:val="00185498"/>
    <w:rsid w:val="001927DB"/>
    <w:rsid w:val="001928B3"/>
    <w:rsid w:val="001936D8"/>
    <w:rsid w:val="001962AE"/>
    <w:rsid w:val="001A2C01"/>
    <w:rsid w:val="001A3231"/>
    <w:rsid w:val="001A40FF"/>
    <w:rsid w:val="001B5F97"/>
    <w:rsid w:val="001C018B"/>
    <w:rsid w:val="001E1B34"/>
    <w:rsid w:val="001E3364"/>
    <w:rsid w:val="001F0639"/>
    <w:rsid w:val="001F6625"/>
    <w:rsid w:val="00224888"/>
    <w:rsid w:val="002256BB"/>
    <w:rsid w:val="00226014"/>
    <w:rsid w:val="00230FD3"/>
    <w:rsid w:val="002322E8"/>
    <w:rsid w:val="00242D4C"/>
    <w:rsid w:val="00245CE3"/>
    <w:rsid w:val="00254F26"/>
    <w:rsid w:val="00255F86"/>
    <w:rsid w:val="00261B5E"/>
    <w:rsid w:val="00270363"/>
    <w:rsid w:val="0027319E"/>
    <w:rsid w:val="002753FE"/>
    <w:rsid w:val="00282EC5"/>
    <w:rsid w:val="00285A35"/>
    <w:rsid w:val="00297D50"/>
    <w:rsid w:val="002A54EF"/>
    <w:rsid w:val="002B2B7D"/>
    <w:rsid w:val="002B404D"/>
    <w:rsid w:val="002C03A3"/>
    <w:rsid w:val="002C568F"/>
    <w:rsid w:val="002E2503"/>
    <w:rsid w:val="002E6E33"/>
    <w:rsid w:val="002F0767"/>
    <w:rsid w:val="002F25D6"/>
    <w:rsid w:val="002F351F"/>
    <w:rsid w:val="002F7594"/>
    <w:rsid w:val="00300C47"/>
    <w:rsid w:val="003160E6"/>
    <w:rsid w:val="00321D33"/>
    <w:rsid w:val="003255F7"/>
    <w:rsid w:val="003420E5"/>
    <w:rsid w:val="00344AA7"/>
    <w:rsid w:val="00382BBA"/>
    <w:rsid w:val="00394964"/>
    <w:rsid w:val="003A2998"/>
    <w:rsid w:val="003C6CE6"/>
    <w:rsid w:val="003D2C70"/>
    <w:rsid w:val="003D74DF"/>
    <w:rsid w:val="003E7EF4"/>
    <w:rsid w:val="004034F1"/>
    <w:rsid w:val="00423150"/>
    <w:rsid w:val="004247CD"/>
    <w:rsid w:val="00451BB4"/>
    <w:rsid w:val="0045475F"/>
    <w:rsid w:val="0045556D"/>
    <w:rsid w:val="00460D55"/>
    <w:rsid w:val="00490058"/>
    <w:rsid w:val="004917C4"/>
    <w:rsid w:val="00491E4B"/>
    <w:rsid w:val="00497DB8"/>
    <w:rsid w:val="004A5E23"/>
    <w:rsid w:val="004B5896"/>
    <w:rsid w:val="004C03B2"/>
    <w:rsid w:val="004C3721"/>
    <w:rsid w:val="004C4F17"/>
    <w:rsid w:val="004D7EEC"/>
    <w:rsid w:val="00501485"/>
    <w:rsid w:val="00514B0D"/>
    <w:rsid w:val="00522443"/>
    <w:rsid w:val="00526E7B"/>
    <w:rsid w:val="00540CC8"/>
    <w:rsid w:val="00542286"/>
    <w:rsid w:val="00543F19"/>
    <w:rsid w:val="00552999"/>
    <w:rsid w:val="0056545A"/>
    <w:rsid w:val="00575D09"/>
    <w:rsid w:val="00576CC7"/>
    <w:rsid w:val="00580415"/>
    <w:rsid w:val="00582406"/>
    <w:rsid w:val="00594BD0"/>
    <w:rsid w:val="00597D21"/>
    <w:rsid w:val="005A0172"/>
    <w:rsid w:val="005A1D90"/>
    <w:rsid w:val="005A4BA9"/>
    <w:rsid w:val="005C0B2C"/>
    <w:rsid w:val="005C5B78"/>
    <w:rsid w:val="005D2D7B"/>
    <w:rsid w:val="005D4F8F"/>
    <w:rsid w:val="005E17A1"/>
    <w:rsid w:val="005E4A88"/>
    <w:rsid w:val="006011F8"/>
    <w:rsid w:val="00604CAA"/>
    <w:rsid w:val="006137D5"/>
    <w:rsid w:val="00626A57"/>
    <w:rsid w:val="006324AD"/>
    <w:rsid w:val="00632F6E"/>
    <w:rsid w:val="006409BD"/>
    <w:rsid w:val="006514AF"/>
    <w:rsid w:val="00651AB2"/>
    <w:rsid w:val="00654DD8"/>
    <w:rsid w:val="006668B3"/>
    <w:rsid w:val="00675626"/>
    <w:rsid w:val="0067752E"/>
    <w:rsid w:val="00686D1D"/>
    <w:rsid w:val="00692CF4"/>
    <w:rsid w:val="006A330C"/>
    <w:rsid w:val="006A76A4"/>
    <w:rsid w:val="006A79C7"/>
    <w:rsid w:val="006B6573"/>
    <w:rsid w:val="006B7131"/>
    <w:rsid w:val="006D168A"/>
    <w:rsid w:val="006D1983"/>
    <w:rsid w:val="006E4A86"/>
    <w:rsid w:val="006F1B0A"/>
    <w:rsid w:val="00712395"/>
    <w:rsid w:val="00712DA9"/>
    <w:rsid w:val="00716B89"/>
    <w:rsid w:val="00746A26"/>
    <w:rsid w:val="00770632"/>
    <w:rsid w:val="007746EF"/>
    <w:rsid w:val="00775C00"/>
    <w:rsid w:val="00781160"/>
    <w:rsid w:val="00783D42"/>
    <w:rsid w:val="007852F0"/>
    <w:rsid w:val="00785D7D"/>
    <w:rsid w:val="00797879"/>
    <w:rsid w:val="007A7D73"/>
    <w:rsid w:val="007B7705"/>
    <w:rsid w:val="007D3EBD"/>
    <w:rsid w:val="007E41D7"/>
    <w:rsid w:val="007E4ECE"/>
    <w:rsid w:val="007F2392"/>
    <w:rsid w:val="007F2E63"/>
    <w:rsid w:val="007F7F48"/>
    <w:rsid w:val="0080386D"/>
    <w:rsid w:val="00807E73"/>
    <w:rsid w:val="00815E56"/>
    <w:rsid w:val="008229E5"/>
    <w:rsid w:val="00825B14"/>
    <w:rsid w:val="00826B12"/>
    <w:rsid w:val="0083249D"/>
    <w:rsid w:val="00847AE3"/>
    <w:rsid w:val="008546AC"/>
    <w:rsid w:val="00870135"/>
    <w:rsid w:val="00873610"/>
    <w:rsid w:val="00885FF3"/>
    <w:rsid w:val="00886DF4"/>
    <w:rsid w:val="008911F9"/>
    <w:rsid w:val="0089497D"/>
    <w:rsid w:val="008A0AA5"/>
    <w:rsid w:val="008B6CAB"/>
    <w:rsid w:val="008C0520"/>
    <w:rsid w:val="008C6ED5"/>
    <w:rsid w:val="008D2F72"/>
    <w:rsid w:val="008D3212"/>
    <w:rsid w:val="008F12D6"/>
    <w:rsid w:val="008F39A2"/>
    <w:rsid w:val="009017BC"/>
    <w:rsid w:val="00902C0C"/>
    <w:rsid w:val="00910EA8"/>
    <w:rsid w:val="00911FFA"/>
    <w:rsid w:val="009155C5"/>
    <w:rsid w:val="00922FAF"/>
    <w:rsid w:val="0092333D"/>
    <w:rsid w:val="00930077"/>
    <w:rsid w:val="009316F8"/>
    <w:rsid w:val="009462A2"/>
    <w:rsid w:val="00953CD3"/>
    <w:rsid w:val="0095526E"/>
    <w:rsid w:val="00957DC1"/>
    <w:rsid w:val="0096657D"/>
    <w:rsid w:val="0097018D"/>
    <w:rsid w:val="009701E2"/>
    <w:rsid w:val="0097395E"/>
    <w:rsid w:val="00980F0F"/>
    <w:rsid w:val="00987EB7"/>
    <w:rsid w:val="00994922"/>
    <w:rsid w:val="009958C7"/>
    <w:rsid w:val="009B3D32"/>
    <w:rsid w:val="009C0C8F"/>
    <w:rsid w:val="009D3409"/>
    <w:rsid w:val="009D4B5A"/>
    <w:rsid w:val="009E0B15"/>
    <w:rsid w:val="009E1392"/>
    <w:rsid w:val="009F18C5"/>
    <w:rsid w:val="009F38DD"/>
    <w:rsid w:val="009F55D8"/>
    <w:rsid w:val="00A06E45"/>
    <w:rsid w:val="00A10709"/>
    <w:rsid w:val="00A113A1"/>
    <w:rsid w:val="00A11F1F"/>
    <w:rsid w:val="00A27DE8"/>
    <w:rsid w:val="00A359A1"/>
    <w:rsid w:val="00A36984"/>
    <w:rsid w:val="00A538A4"/>
    <w:rsid w:val="00A5632D"/>
    <w:rsid w:val="00A613BF"/>
    <w:rsid w:val="00A63743"/>
    <w:rsid w:val="00A65CD1"/>
    <w:rsid w:val="00A70B72"/>
    <w:rsid w:val="00A72033"/>
    <w:rsid w:val="00A7457D"/>
    <w:rsid w:val="00A861FA"/>
    <w:rsid w:val="00A910F0"/>
    <w:rsid w:val="00A91377"/>
    <w:rsid w:val="00A96AE5"/>
    <w:rsid w:val="00AA022A"/>
    <w:rsid w:val="00AA1AD4"/>
    <w:rsid w:val="00AA23F9"/>
    <w:rsid w:val="00AA5011"/>
    <w:rsid w:val="00AB0CE9"/>
    <w:rsid w:val="00AC4AD4"/>
    <w:rsid w:val="00AC64FE"/>
    <w:rsid w:val="00AD09D2"/>
    <w:rsid w:val="00AD355E"/>
    <w:rsid w:val="00AD74E4"/>
    <w:rsid w:val="00AE4303"/>
    <w:rsid w:val="00AE6AEE"/>
    <w:rsid w:val="00B03D91"/>
    <w:rsid w:val="00B05151"/>
    <w:rsid w:val="00B27FB9"/>
    <w:rsid w:val="00B501D9"/>
    <w:rsid w:val="00B51F8A"/>
    <w:rsid w:val="00B53DF9"/>
    <w:rsid w:val="00B548C6"/>
    <w:rsid w:val="00B66493"/>
    <w:rsid w:val="00B779A4"/>
    <w:rsid w:val="00B80752"/>
    <w:rsid w:val="00B81931"/>
    <w:rsid w:val="00B824A8"/>
    <w:rsid w:val="00B959E5"/>
    <w:rsid w:val="00BA72DA"/>
    <w:rsid w:val="00BB195B"/>
    <w:rsid w:val="00BB2278"/>
    <w:rsid w:val="00BB6C30"/>
    <w:rsid w:val="00BC0DA3"/>
    <w:rsid w:val="00BC518D"/>
    <w:rsid w:val="00BD79E3"/>
    <w:rsid w:val="00BE032B"/>
    <w:rsid w:val="00BE58F8"/>
    <w:rsid w:val="00BF318C"/>
    <w:rsid w:val="00BF5EA9"/>
    <w:rsid w:val="00C11213"/>
    <w:rsid w:val="00C14396"/>
    <w:rsid w:val="00C27071"/>
    <w:rsid w:val="00C311DF"/>
    <w:rsid w:val="00C3592C"/>
    <w:rsid w:val="00C36149"/>
    <w:rsid w:val="00C53F28"/>
    <w:rsid w:val="00C547E9"/>
    <w:rsid w:val="00C63BF7"/>
    <w:rsid w:val="00C7558E"/>
    <w:rsid w:val="00C75F37"/>
    <w:rsid w:val="00C761C9"/>
    <w:rsid w:val="00C812EC"/>
    <w:rsid w:val="00C851A6"/>
    <w:rsid w:val="00C85ED9"/>
    <w:rsid w:val="00C9338C"/>
    <w:rsid w:val="00C9559C"/>
    <w:rsid w:val="00CA0DDE"/>
    <w:rsid w:val="00CC37B4"/>
    <w:rsid w:val="00CD33C7"/>
    <w:rsid w:val="00CF40BA"/>
    <w:rsid w:val="00D073DE"/>
    <w:rsid w:val="00D077E0"/>
    <w:rsid w:val="00D1140E"/>
    <w:rsid w:val="00D12E17"/>
    <w:rsid w:val="00D15431"/>
    <w:rsid w:val="00D25E23"/>
    <w:rsid w:val="00D3125E"/>
    <w:rsid w:val="00D34AEC"/>
    <w:rsid w:val="00D36156"/>
    <w:rsid w:val="00D40709"/>
    <w:rsid w:val="00D442D6"/>
    <w:rsid w:val="00D54F72"/>
    <w:rsid w:val="00D55125"/>
    <w:rsid w:val="00D55940"/>
    <w:rsid w:val="00D71DC9"/>
    <w:rsid w:val="00D73793"/>
    <w:rsid w:val="00D81CAC"/>
    <w:rsid w:val="00D8570C"/>
    <w:rsid w:val="00D912BF"/>
    <w:rsid w:val="00D91490"/>
    <w:rsid w:val="00D94791"/>
    <w:rsid w:val="00DA7F79"/>
    <w:rsid w:val="00DB1751"/>
    <w:rsid w:val="00DC0024"/>
    <w:rsid w:val="00DC2E50"/>
    <w:rsid w:val="00DC48D4"/>
    <w:rsid w:val="00DC6E8E"/>
    <w:rsid w:val="00DD4F55"/>
    <w:rsid w:val="00DD6A0E"/>
    <w:rsid w:val="00DD6E1D"/>
    <w:rsid w:val="00DE4D12"/>
    <w:rsid w:val="00DF5328"/>
    <w:rsid w:val="00E1042F"/>
    <w:rsid w:val="00E15160"/>
    <w:rsid w:val="00E20671"/>
    <w:rsid w:val="00E2140B"/>
    <w:rsid w:val="00E22249"/>
    <w:rsid w:val="00E26F3F"/>
    <w:rsid w:val="00E270F1"/>
    <w:rsid w:val="00E27C50"/>
    <w:rsid w:val="00E3064B"/>
    <w:rsid w:val="00E35FF9"/>
    <w:rsid w:val="00E65198"/>
    <w:rsid w:val="00E6773A"/>
    <w:rsid w:val="00E70AB1"/>
    <w:rsid w:val="00E77543"/>
    <w:rsid w:val="00E8542B"/>
    <w:rsid w:val="00E96017"/>
    <w:rsid w:val="00EA04B4"/>
    <w:rsid w:val="00EA64B4"/>
    <w:rsid w:val="00EA6F67"/>
    <w:rsid w:val="00EB3902"/>
    <w:rsid w:val="00EC3D56"/>
    <w:rsid w:val="00ED299D"/>
    <w:rsid w:val="00EE4954"/>
    <w:rsid w:val="00EF1E7B"/>
    <w:rsid w:val="00F04811"/>
    <w:rsid w:val="00F12778"/>
    <w:rsid w:val="00F128E9"/>
    <w:rsid w:val="00F1713F"/>
    <w:rsid w:val="00F32F83"/>
    <w:rsid w:val="00F42C15"/>
    <w:rsid w:val="00F45819"/>
    <w:rsid w:val="00F52BC8"/>
    <w:rsid w:val="00F530C5"/>
    <w:rsid w:val="00F62A99"/>
    <w:rsid w:val="00F70A59"/>
    <w:rsid w:val="00F70A6C"/>
    <w:rsid w:val="00F80310"/>
    <w:rsid w:val="00F82721"/>
    <w:rsid w:val="00F8343C"/>
    <w:rsid w:val="00F92D1E"/>
    <w:rsid w:val="00FA7880"/>
    <w:rsid w:val="00FA7E74"/>
    <w:rsid w:val="00FB2F7B"/>
    <w:rsid w:val="00FC477F"/>
    <w:rsid w:val="00FD510A"/>
    <w:rsid w:val="00FE0F1D"/>
    <w:rsid w:val="00FE25B6"/>
    <w:rsid w:val="00FE3821"/>
    <w:rsid w:val="00FF0188"/>
    <w:rsid w:val="00FF435E"/>
    <w:rsid w:val="00FF687C"/>
    <w:rsid w:val="3054F60D"/>
    <w:rsid w:val="47BA8339"/>
    <w:rsid w:val="4C4E8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1868732"/>
  <w15:docId w15:val="{8B146DF8-8BBF-4B1A-9932-785A9BF7A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C37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C3721"/>
    <w:pPr>
      <w:ind w:left="720"/>
      <w:contextualSpacing/>
    </w:pPr>
  </w:style>
  <w:style w:type="character" w:styleId="PlaceholderText">
    <w:name w:val="Placeholder Text"/>
    <w:basedOn w:val="DefaultParagraphFont"/>
    <w:uiPriority w:val="99"/>
    <w:semiHidden/>
    <w:rsid w:val="00AE4303"/>
    <w:rPr>
      <w:color w:val="808080"/>
    </w:rPr>
  </w:style>
  <w:style w:type="paragraph" w:styleId="BalloonText">
    <w:name w:val="Balloon Text"/>
    <w:basedOn w:val="Normal"/>
    <w:link w:val="BalloonTextChar"/>
    <w:uiPriority w:val="99"/>
    <w:semiHidden/>
    <w:unhideWhenUsed/>
    <w:rsid w:val="00AE43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4303"/>
    <w:rPr>
      <w:rFonts w:ascii="Tahoma" w:hAnsi="Tahoma" w:cs="Tahoma"/>
      <w:sz w:val="16"/>
      <w:szCs w:val="16"/>
    </w:rPr>
  </w:style>
  <w:style w:type="character" w:styleId="CommentReference">
    <w:name w:val="annotation reference"/>
    <w:basedOn w:val="DefaultParagraphFont"/>
    <w:uiPriority w:val="99"/>
    <w:semiHidden/>
    <w:unhideWhenUsed/>
    <w:rsid w:val="00847AE3"/>
    <w:rPr>
      <w:sz w:val="16"/>
      <w:szCs w:val="16"/>
    </w:rPr>
  </w:style>
  <w:style w:type="paragraph" w:styleId="CommentText">
    <w:name w:val="annotation text"/>
    <w:basedOn w:val="Normal"/>
    <w:link w:val="CommentTextChar"/>
    <w:uiPriority w:val="99"/>
    <w:semiHidden/>
    <w:unhideWhenUsed/>
    <w:rsid w:val="00847AE3"/>
    <w:pPr>
      <w:spacing w:line="240" w:lineRule="auto"/>
    </w:pPr>
    <w:rPr>
      <w:sz w:val="20"/>
      <w:szCs w:val="20"/>
    </w:rPr>
  </w:style>
  <w:style w:type="character" w:customStyle="1" w:styleId="CommentTextChar">
    <w:name w:val="Comment Text Char"/>
    <w:basedOn w:val="DefaultParagraphFont"/>
    <w:link w:val="CommentText"/>
    <w:uiPriority w:val="99"/>
    <w:semiHidden/>
    <w:rsid w:val="00847AE3"/>
    <w:rPr>
      <w:sz w:val="20"/>
      <w:szCs w:val="20"/>
    </w:rPr>
  </w:style>
  <w:style w:type="paragraph" w:styleId="CommentSubject">
    <w:name w:val="annotation subject"/>
    <w:basedOn w:val="CommentText"/>
    <w:next w:val="CommentText"/>
    <w:link w:val="CommentSubjectChar"/>
    <w:uiPriority w:val="99"/>
    <w:semiHidden/>
    <w:unhideWhenUsed/>
    <w:rsid w:val="00847AE3"/>
    <w:rPr>
      <w:b/>
      <w:bCs/>
    </w:rPr>
  </w:style>
  <w:style w:type="character" w:customStyle="1" w:styleId="CommentSubjectChar">
    <w:name w:val="Comment Subject Char"/>
    <w:basedOn w:val="CommentTextChar"/>
    <w:link w:val="CommentSubject"/>
    <w:uiPriority w:val="99"/>
    <w:semiHidden/>
    <w:rsid w:val="00847AE3"/>
    <w:rPr>
      <w:b/>
      <w:bCs/>
      <w:sz w:val="20"/>
      <w:szCs w:val="20"/>
    </w:rPr>
  </w:style>
  <w:style w:type="paragraph" w:styleId="Header">
    <w:name w:val="header"/>
    <w:basedOn w:val="Normal"/>
    <w:link w:val="HeaderChar"/>
    <w:uiPriority w:val="99"/>
    <w:unhideWhenUsed/>
    <w:rsid w:val="00A96A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6AE5"/>
  </w:style>
  <w:style w:type="paragraph" w:styleId="Footer">
    <w:name w:val="footer"/>
    <w:basedOn w:val="Normal"/>
    <w:link w:val="FooterChar"/>
    <w:uiPriority w:val="99"/>
    <w:unhideWhenUsed/>
    <w:rsid w:val="00A96A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6A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835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4" Type="http://schemas.openxmlformats.org/officeDocument/2006/relationships/header" Target="header1.xml"/><Relationship Id="rId9"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32B668316E7E54A90D96CCB9867CFAA" ma:contentTypeVersion="19" ma:contentTypeDescription="A content type to manage public (operations) IDB documents" ma:contentTypeScope="" ma:versionID="5b5ad02f16b5ed50bc4c080148e6a2e3">
  <xsd:schema xmlns:xsd="http://www.w3.org/2001/XMLSchema" xmlns:xs="http://www.w3.org/2001/XMLSchema" xmlns:p="http://schemas.microsoft.com/office/2006/metadata/properties" xmlns:ns2="cdc7663a-08f0-4737-9e8c-148ce897a09c" targetNamespace="http://schemas.microsoft.com/office/2006/metadata/properties" ma:root="true" ma:fieldsID="52f75a97534f73305059e4ad7324dd1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maxLength value="255"/>
        </xsd:restriction>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D1C324CC4D96DA4B9AC85C36EE9833D8" ma:contentTypeVersion="19" ma:contentTypeDescription="The base project type from which other project content types inherit their information." ma:contentTypeScope="" ma:versionID="2955dc828371be91230f2ad074713175">
  <xsd:schema xmlns:xsd="http://www.w3.org/2001/XMLSchema" xmlns:xs="http://www.w3.org/2001/XMLSchema" xmlns:p="http://schemas.microsoft.com/office/2006/metadata/properties" xmlns:ns2="cdc7663a-08f0-4737-9e8c-148ce897a09c" targetNamespace="http://schemas.microsoft.com/office/2006/metadata/properties" ma:root="true" ma:fieldsID="7f6d097056863eafd10722b12e009f5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false</Key_x0020_Document>
    <Division_x0020_or_x0020_Unit xmlns="cdc7663a-08f0-4737-9e8c-148ce897a09c">IFD/CMF</Division_x0020_or_x0020_Unit>
    <Other_x0020_Author xmlns="cdc7663a-08f0-4737-9e8c-148ce897a09c" xsi:nil="true"/>
    <IDBDocs_x0020_Number xmlns="cdc7663a-08f0-4737-9e8c-148ce897a09c">40715064</IDBDocs_x0020_Number>
    <Document_x0020_Author xmlns="cdc7663a-08f0-4737-9e8c-148ce897a09c">Gaggero, Annabella</Document_x0020_Author>
    <Operation_x0020_Type xmlns="cdc7663a-08f0-4737-9e8c-148ce897a09c">Loan Operation</Operation_x0020_Type>
    <TaxCatchAll xmlns="cdc7663a-08f0-4737-9e8c-148ce897a09c">
      <Value>50</Value>
      <Value>31</Value>
      <Value>27</Value>
      <Value>7</Value>
      <Value>71</Value>
      <Value>2</Value>
      <Value>51</Value>
    </TaxCatchAll>
    <Fiscal_x0020_Year_x0020_IDB xmlns="cdc7663a-08f0-4737-9e8c-148ce897a09c">2017</Fiscal_x0020_Year_x0020_IDB>
    <Project_x0020_Number xmlns="cdc7663a-08f0-4737-9e8c-148ce897a09c">CO-L1214</Project_x0020_Number>
    <Package_x0020_Code xmlns="cdc7663a-08f0-4737-9e8c-148ce897a09c" xsi:nil="true"/>
    <Migration_x0020_Info xmlns="cdc7663a-08f0-4737-9e8c-148ce897a09c">MS WORDPODProposal for Operation DevelopmentMANAGERManager0N</Migration_x0020_Info>
    <Approval_x0020_Number xmlns="cdc7663a-08f0-4737-9e8c-148ce897a09c" xsi:nil="true"/>
    <Business_x0020_Area xmlns="cdc7663a-08f0-4737-9e8c-148ce897a09c" xsi:nil="true"/>
    <SISCOR_x0020_Number xmlns="cdc7663a-08f0-4737-9e8c-148ce897a09c" xsi:nil="true"/>
    <Identifier xmlns="cdc7663a-08f0-4737-9e8c-148ce897a09c"> ANNEX</Identifier>
    <Document_x0020_Language_x0020_IDB xmlns="cdc7663a-08f0-4737-9e8c-148ce897a09c">English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Mission Report</TermName>
          <TermId xmlns="http://schemas.microsoft.com/office/infopath/2007/PartnerControls">11d962ee-56b5-4670-be97-f378599c86ca</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FINANCIAL REGULATION AND SUPERVISION</TermName>
          <TermId xmlns="http://schemas.microsoft.com/office/infopath/2007/PartnerControls">cfed87c2-6f36-4f6b-9a83-5b88cea48148</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Info xmlns="http://schemas.microsoft.com/office/infopath/2007/PartnerControls">
          <TermName xmlns="http://schemas.microsoft.com/office/infopath/2007/PartnerControls">CHC</TermName>
          <TermId xmlns="http://schemas.microsoft.com/office/infopath/2007/PartnerControls">d10ee644-ef4b-40bb-b5a1-2275688ee788</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_dlc_DocId xmlns="cdc7663a-08f0-4737-9e8c-148ce897a09c">EZSHARE-1417945983-11</_dlc_DocId>
    <_dlc_DocIdUrl xmlns="cdc7663a-08f0-4737-9e8c-148ce897a09c">
      <Url>https://idbg.sharepoint.com/teams/EZ-CO-LON/CO-L1214/_layouts/15/DocIdRedir.aspx?ID=EZSHARE-1417945983-11</Url>
      <Description>EZSHARE-1417945983-11</Description>
    </_dlc_DocIdUrl>
    <Record_x0020_Number xmlns="cdc7663a-08f0-4737-9e8c-148ce897a09c">R0000067047</Record_x0020_Number>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and Capital Markets;Financial Regulation and Oversight;Financial Risk Management;Financial Sector Development;</Webtopic>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2B490-1DD8-411E-8B05-2D9D955CC353}"/>
</file>

<file path=customXml/itemProps2.xml><?xml version="1.0" encoding="utf-8"?>
<ds:datastoreItem xmlns:ds="http://schemas.openxmlformats.org/officeDocument/2006/customXml" ds:itemID="{A3E3D127-BB22-4D32-863D-229B51F6FEA0}">
  <ds:schemaRefs>
    <ds:schemaRef ds:uri="http://schemas.microsoft.com/sharepoint/events"/>
  </ds:schemaRefs>
</ds:datastoreItem>
</file>

<file path=customXml/itemProps3.xml><?xml version="1.0" encoding="utf-8"?>
<ds:datastoreItem xmlns:ds="http://schemas.openxmlformats.org/officeDocument/2006/customXml" ds:itemID="{190DDB6F-CF7A-46ED-9B4D-EC9BDE1E0626}"/>
</file>

<file path=customXml/itemProps4.xml><?xml version="1.0" encoding="utf-8"?>
<ds:datastoreItem xmlns:ds="http://schemas.openxmlformats.org/officeDocument/2006/customXml" ds:itemID="{1985004C-75A0-419E-90AA-5BF4288B5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98DD120-2F03-4F6D-BCE2-1DAE522F36CB}">
  <ds:schemaRefs>
    <ds:schemaRef ds:uri="http://schemas.microsoft.com/sharepoint/v3/contenttype/forms"/>
  </ds:schemaRefs>
</ds:datastoreItem>
</file>

<file path=customXml/itemProps6.xml><?xml version="1.0" encoding="utf-8"?>
<ds:datastoreItem xmlns:ds="http://schemas.openxmlformats.org/officeDocument/2006/customXml" ds:itemID="{486107B2-DE96-44A9-A620-BB6C99D9D11A}">
  <ds:schemaRefs>
    <ds:schemaRef ds:uri="http://schemas.microsoft.com/office/2006/documentManagement/types"/>
    <ds:schemaRef ds:uri="http://www.w3.org/XML/1998/namespace"/>
    <ds:schemaRef ds:uri="http://purl.org/dc/terms/"/>
    <ds:schemaRef ds:uri="http://purl.org/dc/elements/1.1/"/>
    <ds:schemaRef ds:uri="http://schemas.openxmlformats.org/package/2006/metadata/core-properties"/>
    <ds:schemaRef ds:uri="http://schemas.microsoft.com/office/infopath/2007/PartnerControls"/>
    <ds:schemaRef ds:uri="cdc7663a-08f0-4737-9e8c-148ce897a09c"/>
    <ds:schemaRef ds:uri="http://schemas.microsoft.com/office/2006/metadata/properties"/>
    <ds:schemaRef ds:uri="http://purl.org/dc/dcmitype/"/>
  </ds:schemaRefs>
</ds:datastoreItem>
</file>

<file path=customXml/itemProps7.xml><?xml version="1.0" encoding="utf-8"?>
<ds:datastoreItem xmlns:ds="http://schemas.openxmlformats.org/officeDocument/2006/customXml" ds:itemID="{32AE4185-B08C-42FF-BE70-C9F9F0DB4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2940</Words>
  <Characters>16760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POD_ Anexo II - Matriz de Políticas _ CO-L1214</vt:lpstr>
    </vt:vector>
  </TitlesOfParts>
  <Company>Inter-American Development Bank</Company>
  <LinksUpToDate>false</LinksUpToDate>
  <CharactersWithSpaces>19661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POD_ Anexo II - Matriz de Políticas _ CO-L1214</dc:title>
  <dc:creator>Daniel Fonseca</dc:creator>
  <cp:keywords/>
  <cp:lastModifiedBy>Gaggero, Annabella</cp:lastModifiedBy>
  <cp:revision>6</cp:revision>
  <cp:lastPrinted>2017-05-16T16:02:00Z</cp:lastPrinted>
  <dcterms:created xsi:type="dcterms:W3CDTF">2017-05-16T17:01:00Z</dcterms:created>
  <dcterms:modified xsi:type="dcterms:W3CDTF">2017-05-17T18:50:00Z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Abstract">
    <vt:lpwstr/>
  </property>
  <property fmtid="{D5CDD505-2E9C-101B-9397-08002B2CF9AE}" pid="4" name="Disclosure Activity">
    <vt:lpwstr>Loan Proposal</vt:lpwstr>
  </property>
  <property fmtid="{D5CDD505-2E9C-101B-9397-08002B2CF9AE}" pid="5" name="Sub_x002d_Sector">
    <vt:lpwstr/>
  </property>
  <property fmtid="{D5CDD505-2E9C-101B-9397-08002B2CF9AE}" pid="7" name="TaxKeywordTaxHTField">
    <vt:lpwstr/>
  </property>
  <property fmtid="{D5CDD505-2E9C-101B-9397-08002B2CF9AE}" pid="8" name="Series Operations IDB">
    <vt:lpwstr>7;#Loan Proposal|6ee86b6f-6e46-485b-8bfb-87a1f44622ac</vt:lpwstr>
  </property>
  <property fmtid="{D5CDD505-2E9C-101B-9397-08002B2CF9AE}" pid="9" name="Sub-Sector">
    <vt:lpwstr>51;#FINANCIAL REGULATION AND SUPERVISION|cfed87c2-6f36-4f6b-9a83-5b88cea48148</vt:lpwstr>
  </property>
  <property fmtid="{D5CDD505-2E9C-101B-9397-08002B2CF9AE}" pid="10" name="Country">
    <vt:lpwstr>27;#Colombia|c7d386d6-75f3-4fc0-bde8-e021ccd68f5c</vt:lpwstr>
  </property>
  <property fmtid="{D5CDD505-2E9C-101B-9397-08002B2CF9AE}" pid="11" name="Fund IDB">
    <vt:lpwstr>31;#ORC|c028a4b2-ad8b-4cf4-9cac-a2ae6a778e23;#71;#CHC|d10ee644-ef4b-40bb-b5a1-2275688ee788</vt:lpwstr>
  </property>
  <property fmtid="{D5CDD505-2E9C-101B-9397-08002B2CF9AE}" pid="12" name="Series_x0020_Operations_x0020_IDB">
    <vt:lpwstr>7;#Loan Proposal|6ee86b6f-6e46-485b-8bfb-87a1f44622ac</vt:lpwstr>
  </property>
  <property fmtid="{D5CDD505-2E9C-101B-9397-08002B2CF9AE}" pid="13" name="Webtopic">
    <vt:lpwstr/>
  </property>
  <property fmtid="{D5CDD505-2E9C-101B-9397-08002B2CF9AE}" pid="14" name="Publishing House">
    <vt:lpwstr/>
  </property>
  <property fmtid="{D5CDD505-2E9C-101B-9397-08002B2CF9AE}" pid="15" name="Sector IDB">
    <vt:lpwstr>50;#FINANCIAL MARKETS|75500f29-2419-473a-bcd8-84901ddc2aa7</vt:lpwstr>
  </property>
  <property fmtid="{D5CDD505-2E9C-101B-9397-08002B2CF9AE}" pid="16" name="Function Operations IDB">
    <vt:lpwstr>2;#Monitoring and Reporting|df3c2aa1-d63e-41aa-b1f5-bb15dee691ca</vt:lpwstr>
  </property>
  <property fmtid="{D5CDD505-2E9C-101B-9397-08002B2CF9AE}" pid="17" name="_dlc_DocIdItemGuid">
    <vt:lpwstr>7779513e-bdf0-40f9-b35c-524fd3689d25</vt:lpwstr>
  </property>
  <property fmtid="{D5CDD505-2E9C-101B-9397-08002B2CF9AE}" pid="18" name="RecordPoint_ActiveItemMoved">
    <vt:lpwstr>/teams/EZ-CO-LON/CO-L1214/15 LifeCycle Milestones/Draft Area/Matriz de Políticas Comparativa (CO-L1214).docx</vt:lpwstr>
  </property>
  <property fmtid="{D5CDD505-2E9C-101B-9397-08002B2CF9AE}" pid="19" name="RecordStorageActiveId">
    <vt:lpwstr>f7003b7d-df23-4422-be7a-1f628031ae8e</vt:lpwstr>
  </property>
  <property fmtid="{D5CDD505-2E9C-101B-9397-08002B2CF9AE}" pid="20" name="ContentTypeId">
    <vt:lpwstr>0x0101001A458A224826124E8B45B1D613300CFC00A32B668316E7E54A90D96CCB9867CFAA</vt:lpwstr>
  </property>
</Properties>
</file>