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82CC4" w14:textId="77777777" w:rsidR="00BD7937" w:rsidRPr="00FE10BE" w:rsidRDefault="00C32666" w:rsidP="00FE10BE">
      <w:pPr>
        <w:autoSpaceDE w:val="0"/>
        <w:autoSpaceDN w:val="0"/>
        <w:adjustRightInd w:val="0"/>
        <w:spacing w:after="120" w:line="240" w:lineRule="auto"/>
        <w:jc w:val="center"/>
        <w:rPr>
          <w:rFonts w:ascii="Arial" w:hAnsi="Arial"/>
          <w:b/>
          <w:smallCaps/>
          <w:sz w:val="24"/>
        </w:rPr>
      </w:pPr>
      <w:r w:rsidRPr="00FE10BE">
        <w:rPr>
          <w:rFonts w:ascii="Arial" w:hAnsi="Arial"/>
          <w:b/>
          <w:smallCaps/>
          <w:sz w:val="24"/>
        </w:rPr>
        <w:t>Matriz de Resultados</w:t>
      </w:r>
    </w:p>
    <w:tbl>
      <w:tblPr>
        <w:tblStyle w:val="TableGrid"/>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8"/>
        <w:gridCol w:w="10620"/>
      </w:tblGrid>
      <w:tr w:rsidR="00273B08" w:rsidRPr="00445CB7" w14:paraId="0E43682C" w14:textId="77777777" w:rsidTr="00FE10BE">
        <w:tc>
          <w:tcPr>
            <w:tcW w:w="2718" w:type="dxa"/>
          </w:tcPr>
          <w:p w14:paraId="41FA393D" w14:textId="7A44987C" w:rsidR="00273B08" w:rsidRPr="00FE10BE" w:rsidRDefault="00C32666" w:rsidP="00FE10BE">
            <w:pPr>
              <w:pStyle w:val="Paragraph"/>
              <w:numPr>
                <w:ilvl w:val="0"/>
                <w:numId w:val="0"/>
              </w:numPr>
              <w:jc w:val="left"/>
              <w:rPr>
                <w:rFonts w:ascii="Arial" w:hAnsi="Arial"/>
                <w:b/>
                <w:sz w:val="20"/>
                <w:lang w:val="es-CO"/>
              </w:rPr>
            </w:pPr>
            <w:r w:rsidRPr="00FE10BE">
              <w:rPr>
                <w:rFonts w:ascii="Arial" w:hAnsi="Arial"/>
                <w:b/>
                <w:sz w:val="20"/>
              </w:rPr>
              <w:t xml:space="preserve">Objetivo del </w:t>
            </w:r>
            <w:r w:rsidR="000B5701">
              <w:rPr>
                <w:rFonts w:ascii="Arial" w:hAnsi="Arial"/>
                <w:b/>
                <w:sz w:val="20"/>
              </w:rPr>
              <w:t>p</w:t>
            </w:r>
            <w:r w:rsidR="00205AC6">
              <w:rPr>
                <w:rFonts w:ascii="Arial" w:hAnsi="Arial" w:cs="Arial"/>
                <w:b/>
                <w:sz w:val="20"/>
              </w:rPr>
              <w:t>royecto</w:t>
            </w:r>
            <w:r w:rsidRPr="00FE10BE">
              <w:rPr>
                <w:rFonts w:ascii="Arial" w:hAnsi="Arial"/>
                <w:b/>
                <w:sz w:val="20"/>
              </w:rPr>
              <w:t>:</w:t>
            </w:r>
          </w:p>
        </w:tc>
        <w:tc>
          <w:tcPr>
            <w:tcW w:w="10620" w:type="dxa"/>
            <w:vAlign w:val="center"/>
          </w:tcPr>
          <w:p w14:paraId="7BD5493C" w14:textId="77777777" w:rsidR="008C693C" w:rsidRPr="008C693C" w:rsidRDefault="008C693C" w:rsidP="00B36BE9">
            <w:pPr>
              <w:spacing w:before="120" w:after="120" w:line="240" w:lineRule="auto"/>
              <w:jc w:val="both"/>
              <w:rPr>
                <w:rFonts w:ascii="Arial" w:hAnsi="Arial" w:cs="Arial"/>
                <w:sz w:val="18"/>
                <w:szCs w:val="18"/>
                <w:lang w:val="es-ES_tradnl"/>
              </w:rPr>
            </w:pPr>
            <w:r w:rsidRPr="008C693C">
              <w:rPr>
                <w:rFonts w:ascii="Arial" w:hAnsi="Arial" w:cs="Arial"/>
                <w:sz w:val="18"/>
                <w:szCs w:val="18"/>
                <w:lang w:val="es-ES_tradnl"/>
              </w:rPr>
              <w:t>El objetivo del programa es mejorar la contribución del sistema financiero al crecimiento de Colombia a través de: (i) el aumento del financiamiento para el desarrollo productivo; (ii) la mejora de la regulación y supervisión del sistema financiero para apoyar el desarrollo del mercado de capitales y la transparencia financiera; y (iii) la mejora de la inclusión financiera para la población no bancarizada y las Micro, Pequeñas y Medianas Empresas (MIPYME).</w:t>
            </w:r>
          </w:p>
          <w:p w14:paraId="460D7B63" w14:textId="40677F67" w:rsidR="00273B08" w:rsidRPr="00FE10BE" w:rsidRDefault="008C693C" w:rsidP="00B36BE9">
            <w:pPr>
              <w:pStyle w:val="Paragraph"/>
              <w:numPr>
                <w:ilvl w:val="0"/>
                <w:numId w:val="0"/>
              </w:numPr>
              <w:rPr>
                <w:rFonts w:ascii="Arial" w:hAnsi="Arial"/>
                <w:sz w:val="20"/>
                <w:lang w:val="es-CO"/>
              </w:rPr>
            </w:pPr>
            <w:r w:rsidRPr="008C693C">
              <w:rPr>
                <w:rFonts w:ascii="Arial" w:hAnsi="Arial" w:cs="Arial"/>
                <w:sz w:val="18"/>
                <w:szCs w:val="18"/>
                <w:lang w:val="es-ES_tradnl"/>
              </w:rPr>
              <w:t>La presente operación es la segunda de dos consecutivas, vinculadas técnicamente entre sí, pero financiadas de forma independiente bajo la modalidad de Préstamo Programático de Apoyo a Reformas de Política.</w:t>
            </w:r>
          </w:p>
        </w:tc>
      </w:tr>
    </w:tbl>
    <w:p w14:paraId="4B002657" w14:textId="77777777" w:rsidR="00273B08" w:rsidRPr="00FE10BE" w:rsidRDefault="00273B08" w:rsidP="00FE10BE">
      <w:pPr>
        <w:autoSpaceDE w:val="0"/>
        <w:autoSpaceDN w:val="0"/>
        <w:adjustRightInd w:val="0"/>
        <w:spacing w:after="120" w:line="240" w:lineRule="auto"/>
        <w:jc w:val="both"/>
        <w:rPr>
          <w:rFonts w:ascii="Arial" w:hAnsi="Arial"/>
          <w:b/>
          <w:sz w:val="20"/>
          <w:lang w:val="es-ES_tradnl"/>
        </w:rPr>
      </w:pPr>
    </w:p>
    <w:p w14:paraId="3881C596" w14:textId="77777777" w:rsidR="00FE40E8" w:rsidRPr="00B36BE9" w:rsidRDefault="00FE40E8" w:rsidP="00B36BE9">
      <w:pPr>
        <w:autoSpaceDE w:val="0"/>
        <w:autoSpaceDN w:val="0"/>
        <w:adjustRightInd w:val="0"/>
        <w:spacing w:before="120" w:after="120" w:line="240" w:lineRule="auto"/>
        <w:jc w:val="center"/>
        <w:rPr>
          <w:rFonts w:ascii="Arial" w:hAnsi="Arial" w:cs="Arial"/>
          <w:b/>
          <w:smallCaps/>
          <w:sz w:val="24"/>
          <w:szCs w:val="20"/>
        </w:rPr>
      </w:pPr>
      <w:r w:rsidRPr="00B36BE9">
        <w:rPr>
          <w:rFonts w:ascii="Arial" w:hAnsi="Arial" w:cs="Arial"/>
          <w:b/>
          <w:smallCaps/>
          <w:sz w:val="24"/>
          <w:szCs w:val="20"/>
        </w:rPr>
        <w:t>Impact</w:t>
      </w:r>
      <w:r w:rsidR="009A7AE3" w:rsidRPr="00B36BE9">
        <w:rPr>
          <w:rFonts w:ascii="Arial" w:hAnsi="Arial" w:cs="Arial"/>
          <w:b/>
          <w:smallCaps/>
          <w:sz w:val="24"/>
          <w:szCs w:val="20"/>
        </w:rPr>
        <w:t>o Esperado</w:t>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1421"/>
        <w:gridCol w:w="1100"/>
        <w:gridCol w:w="1260"/>
        <w:gridCol w:w="992"/>
        <w:gridCol w:w="1802"/>
        <w:gridCol w:w="4768"/>
      </w:tblGrid>
      <w:tr w:rsidR="00894C3A" w:rsidRPr="003F305C" w14:paraId="4CDF115B" w14:textId="32B2588C" w:rsidTr="00625253">
        <w:trPr>
          <w:trHeight w:val="703"/>
        </w:trPr>
        <w:tc>
          <w:tcPr>
            <w:tcW w:w="19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CBC6F3" w14:textId="77777777" w:rsidR="0075783E" w:rsidRPr="00FE10BE" w:rsidRDefault="0075783E" w:rsidP="00FE10BE">
            <w:pPr>
              <w:spacing w:after="0" w:line="240" w:lineRule="auto"/>
              <w:jc w:val="center"/>
              <w:rPr>
                <w:rFonts w:ascii="Arial" w:hAnsi="Arial"/>
                <w:b/>
                <w:sz w:val="20"/>
              </w:rPr>
            </w:pPr>
            <w:r w:rsidRPr="00FE10BE">
              <w:rPr>
                <w:rFonts w:ascii="Arial" w:hAnsi="Arial"/>
                <w:b/>
                <w:sz w:val="20"/>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9C2EF9" w14:textId="6585E375" w:rsidR="0075783E" w:rsidRPr="00FE10BE" w:rsidRDefault="0075783E" w:rsidP="00FE10BE">
            <w:pPr>
              <w:spacing w:after="0" w:line="240" w:lineRule="auto"/>
              <w:jc w:val="center"/>
              <w:rPr>
                <w:rFonts w:ascii="Arial" w:hAnsi="Arial"/>
                <w:b/>
                <w:sz w:val="20"/>
              </w:rPr>
            </w:pPr>
            <w:r w:rsidRPr="00FE10BE">
              <w:rPr>
                <w:rFonts w:ascii="Arial" w:hAnsi="Arial"/>
                <w:b/>
                <w:sz w:val="20"/>
              </w:rPr>
              <w:t>Unidad</w:t>
            </w:r>
            <w:r w:rsidR="00F81D51">
              <w:rPr>
                <w:rFonts w:ascii="Arial" w:hAnsi="Arial" w:cs="Arial"/>
                <w:b/>
                <w:sz w:val="20"/>
                <w:szCs w:val="20"/>
                <w:lang w:eastAsia="zh-CN"/>
              </w:rPr>
              <w:t xml:space="preserve"> de Medida</w:t>
            </w:r>
          </w:p>
        </w:tc>
        <w:tc>
          <w:tcPr>
            <w:tcW w:w="11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C2C001" w14:textId="069F5D49" w:rsidR="0075783E" w:rsidRPr="00FE10BE" w:rsidRDefault="008C693C" w:rsidP="00FE10BE">
            <w:pPr>
              <w:spacing w:after="0" w:line="240" w:lineRule="auto"/>
              <w:jc w:val="center"/>
              <w:rPr>
                <w:rFonts w:ascii="Arial" w:hAnsi="Arial"/>
                <w:b/>
                <w:sz w:val="20"/>
              </w:rPr>
            </w:pPr>
            <w:r w:rsidRPr="00FE10BE">
              <w:rPr>
                <w:rFonts w:ascii="Arial" w:hAnsi="Arial"/>
                <w:b/>
                <w:sz w:val="20"/>
              </w:rPr>
              <w:t xml:space="preserve">Línea de Base </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73E2C8" w14:textId="77777777" w:rsidR="00F81D51" w:rsidRDefault="00F81D51">
            <w:pPr>
              <w:spacing w:after="0" w:line="240" w:lineRule="auto"/>
              <w:jc w:val="center"/>
              <w:rPr>
                <w:rFonts w:ascii="Arial" w:hAnsi="Arial" w:cs="Arial"/>
                <w:b/>
                <w:sz w:val="20"/>
                <w:szCs w:val="20"/>
                <w:lang w:eastAsia="zh-CN"/>
              </w:rPr>
            </w:pPr>
            <w:r>
              <w:rPr>
                <w:rFonts w:ascii="Arial" w:hAnsi="Arial" w:cs="Arial"/>
                <w:b/>
                <w:sz w:val="20"/>
                <w:szCs w:val="20"/>
                <w:lang w:eastAsia="zh-CN"/>
              </w:rPr>
              <w:t xml:space="preserve">Año </w:t>
            </w:r>
          </w:p>
          <w:p w14:paraId="59A52D18" w14:textId="30296250" w:rsidR="0075783E" w:rsidRPr="00FE10BE" w:rsidRDefault="00F81D51" w:rsidP="00FE10BE">
            <w:pPr>
              <w:spacing w:after="0" w:line="240" w:lineRule="auto"/>
              <w:jc w:val="center"/>
              <w:rPr>
                <w:rFonts w:ascii="Arial" w:hAnsi="Arial"/>
                <w:b/>
                <w:sz w:val="20"/>
              </w:rPr>
            </w:pPr>
            <w:r>
              <w:rPr>
                <w:rFonts w:ascii="Arial" w:hAnsi="Arial" w:cs="Arial"/>
                <w:b/>
                <w:sz w:val="20"/>
                <w:szCs w:val="20"/>
                <w:lang w:eastAsia="zh-CN"/>
              </w:rPr>
              <w:t>Línea de Base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BFE5C9" w14:textId="3EAD6D75" w:rsidR="0075783E" w:rsidRPr="00FE10BE" w:rsidRDefault="00F81D51" w:rsidP="00A35794">
            <w:pPr>
              <w:spacing w:after="0" w:line="240" w:lineRule="auto"/>
              <w:jc w:val="center"/>
              <w:rPr>
                <w:rFonts w:ascii="Arial" w:hAnsi="Arial"/>
                <w:b/>
                <w:sz w:val="20"/>
              </w:rPr>
            </w:pPr>
            <w:r>
              <w:rPr>
                <w:rFonts w:ascii="Arial" w:hAnsi="Arial" w:cs="Arial"/>
                <w:b/>
                <w:sz w:val="20"/>
                <w:szCs w:val="20"/>
                <w:lang w:eastAsia="zh-CN"/>
              </w:rPr>
              <w:t>Meta Final</w:t>
            </w:r>
          </w:p>
        </w:tc>
        <w:tc>
          <w:tcPr>
            <w:tcW w:w="1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52D7C1" w14:textId="77777777" w:rsidR="00F81D51" w:rsidRDefault="00F81D51">
            <w:pPr>
              <w:jc w:val="center"/>
              <w:rPr>
                <w:rFonts w:ascii="Arial" w:hAnsi="Arial" w:cs="Arial"/>
                <w:b/>
                <w:sz w:val="20"/>
                <w:szCs w:val="20"/>
                <w:lang w:eastAsia="zh-CN"/>
              </w:rPr>
            </w:pPr>
            <w:r>
              <w:rPr>
                <w:rFonts w:ascii="Arial" w:hAnsi="Arial" w:cs="Arial"/>
                <w:b/>
                <w:sz w:val="20"/>
                <w:szCs w:val="20"/>
                <w:lang w:eastAsia="zh-CN"/>
              </w:rPr>
              <w:t>Medios de Verificación</w:t>
            </w:r>
          </w:p>
        </w:tc>
        <w:tc>
          <w:tcPr>
            <w:tcW w:w="4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2BF303" w14:textId="14BE7A12" w:rsidR="00F81D51" w:rsidRDefault="00F81D51" w:rsidP="003563C3">
            <w:pPr>
              <w:jc w:val="center"/>
              <w:rPr>
                <w:rFonts w:ascii="Arial" w:hAnsi="Arial" w:cs="Arial"/>
                <w:b/>
                <w:sz w:val="20"/>
                <w:szCs w:val="20"/>
                <w:lang w:eastAsia="zh-CN"/>
              </w:rPr>
            </w:pPr>
            <w:r>
              <w:rPr>
                <w:rFonts w:ascii="Arial" w:hAnsi="Arial" w:cs="Arial"/>
                <w:b/>
                <w:sz w:val="20"/>
                <w:szCs w:val="20"/>
                <w:lang w:eastAsia="zh-CN"/>
              </w:rPr>
              <w:t>Comentarios</w:t>
            </w:r>
          </w:p>
        </w:tc>
      </w:tr>
      <w:tr w:rsidR="006170FE" w:rsidRPr="00445CB7" w14:paraId="6B82C273" w14:textId="77777777" w:rsidTr="00625253">
        <w:trPr>
          <w:trHeight w:val="64"/>
        </w:trPr>
        <w:tc>
          <w:tcPr>
            <w:tcW w:w="1995" w:type="dxa"/>
            <w:tcBorders>
              <w:top w:val="single" w:sz="4" w:space="0" w:color="auto"/>
              <w:left w:val="single" w:sz="4" w:space="0" w:color="auto"/>
              <w:bottom w:val="single" w:sz="4" w:space="0" w:color="auto"/>
              <w:right w:val="single" w:sz="4" w:space="0" w:color="auto"/>
            </w:tcBorders>
            <w:vAlign w:val="center"/>
            <w:hideMark/>
          </w:tcPr>
          <w:p w14:paraId="3293E1D4" w14:textId="789B87F3" w:rsidR="00F81D51" w:rsidRPr="003F305C" w:rsidRDefault="00F81D51" w:rsidP="00AE5429">
            <w:pPr>
              <w:pStyle w:val="ListParagraph"/>
              <w:spacing w:after="0" w:line="240" w:lineRule="auto"/>
              <w:ind w:left="0"/>
              <w:rPr>
                <w:rFonts w:ascii="Arial" w:hAnsi="Arial" w:cs="Arial"/>
                <w:sz w:val="18"/>
                <w:szCs w:val="18"/>
                <w:lang w:val="es-ES"/>
              </w:rPr>
            </w:pPr>
            <w:r w:rsidRPr="003F305C">
              <w:rPr>
                <w:rFonts w:ascii="Arial" w:hAnsi="Arial" w:cs="Arial"/>
                <w:sz w:val="18"/>
                <w:szCs w:val="18"/>
                <w:lang w:val="es-ES"/>
              </w:rPr>
              <w:t>Crecimiento del PIB (promedio de varios años)</w:t>
            </w:r>
          </w:p>
        </w:tc>
        <w:tc>
          <w:tcPr>
            <w:tcW w:w="1421" w:type="dxa"/>
            <w:tcBorders>
              <w:top w:val="single" w:sz="4" w:space="0" w:color="auto"/>
              <w:left w:val="single" w:sz="4" w:space="0" w:color="auto"/>
              <w:bottom w:val="single" w:sz="4" w:space="0" w:color="auto"/>
              <w:right w:val="single" w:sz="4" w:space="0" w:color="auto"/>
            </w:tcBorders>
            <w:vAlign w:val="center"/>
          </w:tcPr>
          <w:p w14:paraId="6E4B6358" w14:textId="02144D1B" w:rsidR="00F81D51" w:rsidRPr="003F305C" w:rsidRDefault="00F81D51" w:rsidP="00AE5429">
            <w:pPr>
              <w:spacing w:after="0" w:line="240" w:lineRule="auto"/>
              <w:jc w:val="center"/>
              <w:rPr>
                <w:rFonts w:ascii="Arial" w:hAnsi="Arial" w:cs="Arial"/>
                <w:sz w:val="18"/>
                <w:szCs w:val="18"/>
                <w:lang w:val="es-ES"/>
              </w:rPr>
            </w:pPr>
            <w:r w:rsidRPr="003F305C">
              <w:rPr>
                <w:rFonts w:ascii="Arial" w:hAnsi="Arial" w:cs="Arial"/>
                <w:sz w:val="18"/>
                <w:szCs w:val="18"/>
                <w:lang w:val="es-ES"/>
              </w:rPr>
              <w:t>%</w:t>
            </w:r>
          </w:p>
        </w:tc>
        <w:tc>
          <w:tcPr>
            <w:tcW w:w="1100" w:type="dxa"/>
            <w:tcBorders>
              <w:top w:val="single" w:sz="4" w:space="0" w:color="auto"/>
              <w:left w:val="single" w:sz="4" w:space="0" w:color="auto"/>
              <w:bottom w:val="single" w:sz="4" w:space="0" w:color="auto"/>
              <w:right w:val="single" w:sz="4" w:space="0" w:color="auto"/>
            </w:tcBorders>
            <w:vAlign w:val="center"/>
          </w:tcPr>
          <w:p w14:paraId="5D2F254C" w14:textId="3C16E16E" w:rsidR="00F81D51" w:rsidRPr="003F305C" w:rsidRDefault="00F81D51" w:rsidP="00AE5429">
            <w:pPr>
              <w:spacing w:after="0" w:line="240" w:lineRule="auto"/>
              <w:jc w:val="center"/>
              <w:rPr>
                <w:rFonts w:ascii="Arial" w:hAnsi="Arial" w:cs="Arial"/>
                <w:sz w:val="18"/>
                <w:szCs w:val="18"/>
                <w:lang w:val="es-ES"/>
              </w:rPr>
            </w:pPr>
            <w:r w:rsidRPr="003F305C">
              <w:rPr>
                <w:rFonts w:ascii="Arial" w:hAnsi="Arial" w:cs="Arial"/>
                <w:sz w:val="18"/>
                <w:szCs w:val="18"/>
                <w:lang w:val="es-ES"/>
              </w:rPr>
              <w:t>4,3%</w:t>
            </w:r>
          </w:p>
        </w:tc>
        <w:tc>
          <w:tcPr>
            <w:tcW w:w="1260" w:type="dxa"/>
            <w:tcBorders>
              <w:top w:val="single" w:sz="4" w:space="0" w:color="auto"/>
              <w:left w:val="single" w:sz="4" w:space="0" w:color="auto"/>
              <w:bottom w:val="single" w:sz="4" w:space="0" w:color="auto"/>
              <w:right w:val="single" w:sz="4" w:space="0" w:color="auto"/>
            </w:tcBorders>
            <w:vAlign w:val="center"/>
          </w:tcPr>
          <w:p w14:paraId="74B6B809" w14:textId="54D30264" w:rsidR="00F81D51" w:rsidRDefault="00F81D51" w:rsidP="00AE542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2014</w:t>
            </w:r>
          </w:p>
        </w:tc>
        <w:tc>
          <w:tcPr>
            <w:tcW w:w="992" w:type="dxa"/>
            <w:tcBorders>
              <w:top w:val="single" w:sz="4" w:space="0" w:color="auto"/>
              <w:left w:val="single" w:sz="4" w:space="0" w:color="auto"/>
              <w:bottom w:val="single" w:sz="4" w:space="0" w:color="auto"/>
              <w:right w:val="single" w:sz="4" w:space="0" w:color="auto"/>
            </w:tcBorders>
            <w:vAlign w:val="center"/>
          </w:tcPr>
          <w:p w14:paraId="117BFDE7" w14:textId="3E59083C" w:rsidR="00F81D51" w:rsidRDefault="00F81D51" w:rsidP="00434357">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4,</w:t>
            </w:r>
            <w:r w:rsidR="00434357">
              <w:rPr>
                <w:rFonts w:ascii="Arial" w:hAnsi="Arial" w:cs="Arial"/>
                <w:sz w:val="20"/>
                <w:szCs w:val="20"/>
                <w:lang w:val="es-ES_tradnl" w:eastAsia="zh-CN"/>
              </w:rPr>
              <w:t>5</w:t>
            </w:r>
            <w:r>
              <w:rPr>
                <w:rFonts w:ascii="Arial" w:hAnsi="Arial" w:cs="Arial"/>
                <w:sz w:val="20"/>
                <w:szCs w:val="20"/>
                <w:lang w:val="es-ES_tradnl" w:eastAsia="zh-CN"/>
              </w:rPr>
              <w:t>%</w:t>
            </w:r>
          </w:p>
        </w:tc>
        <w:tc>
          <w:tcPr>
            <w:tcW w:w="1802" w:type="dxa"/>
            <w:tcBorders>
              <w:top w:val="single" w:sz="4" w:space="0" w:color="auto"/>
              <w:left w:val="single" w:sz="4" w:space="0" w:color="auto"/>
              <w:bottom w:val="single" w:sz="4" w:space="0" w:color="auto"/>
              <w:right w:val="single" w:sz="4" w:space="0" w:color="auto"/>
            </w:tcBorders>
            <w:vAlign w:val="center"/>
          </w:tcPr>
          <w:p w14:paraId="5CC843FC" w14:textId="37583594" w:rsidR="00F81D51" w:rsidRDefault="00F81D51" w:rsidP="00AE542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Fondo Monetario Internacional</w:t>
            </w:r>
          </w:p>
        </w:tc>
        <w:tc>
          <w:tcPr>
            <w:tcW w:w="4768" w:type="dxa"/>
            <w:tcBorders>
              <w:top w:val="single" w:sz="4" w:space="0" w:color="auto"/>
              <w:left w:val="single" w:sz="4" w:space="0" w:color="auto"/>
              <w:bottom w:val="single" w:sz="4" w:space="0" w:color="auto"/>
              <w:right w:val="single" w:sz="4" w:space="0" w:color="auto"/>
            </w:tcBorders>
            <w:vAlign w:val="center"/>
          </w:tcPr>
          <w:p w14:paraId="6399BAFA" w14:textId="5A737EC9" w:rsidR="009E61A4" w:rsidRPr="003F305C" w:rsidRDefault="009E61A4" w:rsidP="00AE5429">
            <w:pPr>
              <w:spacing w:after="0" w:line="240" w:lineRule="auto"/>
              <w:rPr>
                <w:rFonts w:ascii="Arial" w:hAnsi="Arial" w:cs="Arial"/>
                <w:sz w:val="18"/>
                <w:szCs w:val="18"/>
                <w:lang w:val="es-ES_tradnl"/>
              </w:rPr>
            </w:pPr>
            <w:r w:rsidRPr="003F305C">
              <w:rPr>
                <w:rFonts w:ascii="Arial" w:hAnsi="Arial" w:cs="Arial"/>
                <w:sz w:val="18"/>
                <w:szCs w:val="18"/>
                <w:lang w:val="es-ES_tradnl"/>
              </w:rPr>
              <w:t>La línea de base utilizada corresponde al promedio del período 2014 a 2024.</w:t>
            </w:r>
          </w:p>
          <w:p w14:paraId="4CC638ED" w14:textId="1BA6F3D2" w:rsidR="006170FE" w:rsidRPr="00FE10BE" w:rsidRDefault="009E61A4" w:rsidP="00AE5429">
            <w:pPr>
              <w:spacing w:after="0" w:line="240" w:lineRule="auto"/>
              <w:jc w:val="both"/>
              <w:rPr>
                <w:rFonts w:ascii="Arial" w:hAnsi="Arial"/>
                <w:sz w:val="20"/>
                <w:lang w:val="es-ES_tradnl"/>
              </w:rPr>
            </w:pPr>
            <w:r w:rsidRPr="003F305C">
              <w:rPr>
                <w:rFonts w:ascii="Arial" w:hAnsi="Arial" w:cs="Arial"/>
                <w:sz w:val="18"/>
                <w:szCs w:val="18"/>
                <w:lang w:val="es-ES_tradnl"/>
              </w:rPr>
              <w:t xml:space="preserve">Debido al efecto de las reformas estructurales introducidas por el programa, se prevé que el crecimiento anual promedio para el período 2014-2024 sea 0,24% mayor que el crecimiento estimado sin el programa (sobre la base de datos del FMI). </w:t>
            </w:r>
          </w:p>
        </w:tc>
      </w:tr>
    </w:tbl>
    <w:p w14:paraId="6EE48173" w14:textId="77777777" w:rsidR="003A35A9" w:rsidRPr="000413FA" w:rsidRDefault="003A35A9" w:rsidP="003A35A9">
      <w:pPr>
        <w:autoSpaceDE w:val="0"/>
        <w:autoSpaceDN w:val="0"/>
        <w:adjustRightInd w:val="0"/>
        <w:spacing w:after="120" w:line="240" w:lineRule="auto"/>
        <w:jc w:val="center"/>
        <w:rPr>
          <w:rFonts w:ascii="Arial" w:hAnsi="Arial" w:cs="Arial"/>
          <w:b/>
          <w:smallCaps/>
          <w:color w:val="000000"/>
          <w:sz w:val="20"/>
          <w:szCs w:val="20"/>
          <w:lang w:val="es-ES_tradnl"/>
        </w:rPr>
      </w:pPr>
    </w:p>
    <w:p w14:paraId="4F470187" w14:textId="77777777" w:rsidR="003A35A9" w:rsidRPr="00B36BE9" w:rsidRDefault="003A35A9" w:rsidP="00B36BE9">
      <w:pPr>
        <w:autoSpaceDE w:val="0"/>
        <w:autoSpaceDN w:val="0"/>
        <w:adjustRightInd w:val="0"/>
        <w:spacing w:before="120" w:after="120" w:line="240" w:lineRule="auto"/>
        <w:jc w:val="center"/>
        <w:rPr>
          <w:rFonts w:ascii="Arial" w:hAnsi="Arial" w:cs="Arial"/>
          <w:b/>
          <w:smallCaps/>
          <w:sz w:val="24"/>
          <w:szCs w:val="20"/>
        </w:rPr>
      </w:pPr>
      <w:r w:rsidRPr="00B36BE9">
        <w:rPr>
          <w:rFonts w:ascii="Arial" w:hAnsi="Arial" w:cs="Arial"/>
          <w:b/>
          <w:smallCaps/>
          <w:sz w:val="24"/>
          <w:szCs w:val="20"/>
        </w:rPr>
        <w:t>Resultados Esperados</w:t>
      </w:r>
    </w:p>
    <w:tbl>
      <w:tblPr>
        <w:tblpPr w:leftFromText="180" w:rightFromText="180" w:vertAnchor="text" w:horzAnchor="margin" w:tblpY="120"/>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439"/>
        <w:gridCol w:w="1169"/>
        <w:gridCol w:w="1170"/>
        <w:gridCol w:w="990"/>
        <w:gridCol w:w="1713"/>
        <w:gridCol w:w="4860"/>
      </w:tblGrid>
      <w:tr w:rsidR="00F81D51" w:rsidRPr="003A35A9" w14:paraId="7842DEA1" w14:textId="77777777" w:rsidTr="002F5C9A">
        <w:trPr>
          <w:trHeight w:val="791"/>
          <w:tblHeader/>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2126F55"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Indicadores</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46012C"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Unidad de Medida</w:t>
            </w:r>
          </w:p>
        </w:tc>
        <w:tc>
          <w:tcPr>
            <w:tcW w:w="11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0A7C109"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 xml:space="preserve">Línea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EA55E1E"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 xml:space="preserve">Año </w:t>
            </w:r>
          </w:p>
          <w:p w14:paraId="29189BA9"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018787D" w14:textId="77777777" w:rsidR="00F81D51" w:rsidRPr="003A35A9" w:rsidRDefault="00F81D51" w:rsidP="00A35794">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Meta Final</w:t>
            </w:r>
            <w:r w:rsidRPr="003A35A9">
              <w:rPr>
                <w:rFonts w:ascii="Arial" w:hAnsi="Arial" w:cs="Arial"/>
                <w:b/>
                <w:sz w:val="20"/>
                <w:szCs w:val="20"/>
                <w:vertAlign w:val="superscript"/>
                <w:lang w:eastAsia="zh-CN"/>
              </w:rPr>
              <w:t>1</w:t>
            </w:r>
            <w:r w:rsidRPr="003A35A9">
              <w:rPr>
                <w:rStyle w:val="FootnoteReference"/>
                <w:rFonts w:ascii="Arial" w:hAnsi="Arial" w:cs="Arial"/>
                <w:color w:val="D9D9D9" w:themeColor="background1" w:themeShade="D9"/>
                <w:lang w:eastAsia="zh-CN"/>
              </w:rPr>
              <w:footnoteRef/>
            </w:r>
          </w:p>
        </w:tc>
        <w:tc>
          <w:tcPr>
            <w:tcW w:w="17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D321F0"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Medios de Verificación</w:t>
            </w:r>
          </w:p>
        </w:tc>
        <w:tc>
          <w:tcPr>
            <w:tcW w:w="48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C9B572"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Comentarios</w:t>
            </w:r>
            <w:r w:rsidRPr="003A35A9">
              <w:rPr>
                <w:rStyle w:val="FootnoteReference"/>
                <w:rFonts w:ascii="Arial" w:hAnsi="Arial" w:cs="Arial"/>
                <w:lang w:eastAsia="zh-CN"/>
              </w:rPr>
              <w:t>2</w:t>
            </w:r>
          </w:p>
        </w:tc>
      </w:tr>
      <w:tr w:rsidR="003A35A9" w:rsidRPr="00445CB7" w14:paraId="6811F74D" w14:textId="77777777" w:rsidTr="00625253">
        <w:trPr>
          <w:trHeight w:val="70"/>
        </w:trPr>
        <w:tc>
          <w:tcPr>
            <w:tcW w:w="13338" w:type="dxa"/>
            <w:gridSpan w:val="7"/>
            <w:tcBorders>
              <w:top w:val="single" w:sz="4" w:space="0" w:color="000000"/>
              <w:left w:val="single" w:sz="4" w:space="0" w:color="000000"/>
              <w:bottom w:val="single" w:sz="4" w:space="0" w:color="000000"/>
              <w:right w:val="single" w:sz="4" w:space="0" w:color="000000"/>
            </w:tcBorders>
            <w:vAlign w:val="center"/>
            <w:hideMark/>
          </w:tcPr>
          <w:p w14:paraId="3863CF3C" w14:textId="01C2A023" w:rsidR="003A35A9" w:rsidRPr="001A4F23" w:rsidRDefault="001A4F23" w:rsidP="001A4F23">
            <w:pPr>
              <w:spacing w:before="120" w:after="120" w:line="240" w:lineRule="auto"/>
              <w:rPr>
                <w:rFonts w:ascii="Arial" w:hAnsi="Arial" w:cs="Arial"/>
                <w:sz w:val="20"/>
                <w:szCs w:val="20"/>
                <w:lang w:val="es-ES_tradnl" w:eastAsia="zh-CN"/>
              </w:rPr>
            </w:pPr>
            <w:r w:rsidRPr="001A4F23">
              <w:rPr>
                <w:rFonts w:ascii="Arial" w:hAnsi="Arial" w:cs="Arial"/>
                <w:b/>
                <w:caps/>
                <w:sz w:val="20"/>
                <w:szCs w:val="20"/>
                <w:u w:val="single"/>
                <w:lang w:val="es-ES_tradnl" w:eastAsia="zh-CN"/>
              </w:rPr>
              <w:t xml:space="preserve">Componente II: mejora del financiamiento para el </w:t>
            </w:r>
            <w:r>
              <w:rPr>
                <w:rFonts w:ascii="Arial" w:hAnsi="Arial" w:cs="Arial"/>
                <w:b/>
                <w:caps/>
                <w:sz w:val="20"/>
                <w:szCs w:val="20"/>
                <w:u w:val="single"/>
                <w:lang w:val="es-ES_tradnl" w:eastAsia="zh-CN"/>
              </w:rPr>
              <w:t>desarrollo productivo</w:t>
            </w:r>
            <w:r w:rsidR="00434357">
              <w:rPr>
                <w:rFonts w:ascii="Arial" w:hAnsi="Arial" w:cs="Arial"/>
                <w:b/>
                <w:caps/>
                <w:sz w:val="20"/>
                <w:szCs w:val="20"/>
                <w:u w:val="single"/>
                <w:lang w:val="es-ES_tradnl" w:eastAsia="zh-CN"/>
              </w:rPr>
              <w:t xml:space="preserve"> Y LAS ALIANZAS PUBLICO-PRIVADAS</w:t>
            </w:r>
          </w:p>
        </w:tc>
      </w:tr>
      <w:tr w:rsidR="00F81D51" w:rsidRPr="00445CB7" w14:paraId="4BFB3B9C" w14:textId="77777777" w:rsidTr="00625253">
        <w:trPr>
          <w:trHeight w:val="547"/>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14494241" w14:textId="77777777" w:rsidR="00F81D51" w:rsidRPr="001A4F23" w:rsidRDefault="00F81D51" w:rsidP="00B36BE9">
            <w:pPr>
              <w:pStyle w:val="ListParagraph"/>
              <w:spacing w:before="40" w:after="40" w:line="240" w:lineRule="auto"/>
              <w:ind w:left="0"/>
              <w:rPr>
                <w:rFonts w:ascii="Arial" w:hAnsi="Arial" w:cs="Arial"/>
                <w:sz w:val="20"/>
                <w:szCs w:val="20"/>
                <w:lang w:val="es-ES_tradnl" w:eastAsia="zh-CN"/>
              </w:rPr>
            </w:pPr>
            <w:r w:rsidRPr="003F305C">
              <w:rPr>
                <w:rFonts w:ascii="Arial" w:hAnsi="Arial" w:cs="Arial"/>
                <w:sz w:val="18"/>
                <w:szCs w:val="18"/>
              </w:rPr>
              <w:t>Crédito al sector privado como % del PIB.</w:t>
            </w:r>
          </w:p>
        </w:tc>
        <w:tc>
          <w:tcPr>
            <w:tcW w:w="1439" w:type="dxa"/>
            <w:tcBorders>
              <w:top w:val="single" w:sz="4" w:space="0" w:color="000000"/>
              <w:left w:val="single" w:sz="4" w:space="0" w:color="000000"/>
              <w:bottom w:val="single" w:sz="4" w:space="0" w:color="000000"/>
              <w:right w:val="single" w:sz="4" w:space="0" w:color="000000"/>
            </w:tcBorders>
            <w:vAlign w:val="center"/>
          </w:tcPr>
          <w:p w14:paraId="597F8610"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0C46F479"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rPr>
              <w:t>45,5%</w:t>
            </w:r>
          </w:p>
        </w:tc>
        <w:tc>
          <w:tcPr>
            <w:tcW w:w="1170" w:type="dxa"/>
            <w:tcBorders>
              <w:top w:val="single" w:sz="4" w:space="0" w:color="000000"/>
              <w:left w:val="single" w:sz="4" w:space="0" w:color="000000"/>
              <w:bottom w:val="single" w:sz="4" w:space="0" w:color="000000"/>
              <w:right w:val="single" w:sz="4" w:space="0" w:color="000000"/>
            </w:tcBorders>
            <w:vAlign w:val="center"/>
          </w:tcPr>
          <w:p w14:paraId="191D8593"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Promedio de 2009 a 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1C9A140C"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rPr>
              <w:t>50%</w:t>
            </w:r>
          </w:p>
        </w:tc>
        <w:tc>
          <w:tcPr>
            <w:tcW w:w="1713" w:type="dxa"/>
            <w:tcBorders>
              <w:top w:val="single" w:sz="4" w:space="0" w:color="000000"/>
              <w:left w:val="single" w:sz="4" w:space="0" w:color="000000"/>
              <w:bottom w:val="single" w:sz="4" w:space="0" w:color="000000"/>
              <w:right w:val="single" w:sz="4" w:space="0" w:color="000000"/>
            </w:tcBorders>
            <w:vAlign w:val="center"/>
          </w:tcPr>
          <w:p w14:paraId="5DFFDA50"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Banco Mundial</w:t>
            </w:r>
          </w:p>
        </w:tc>
        <w:tc>
          <w:tcPr>
            <w:tcW w:w="4860" w:type="dxa"/>
            <w:tcBorders>
              <w:top w:val="single" w:sz="4" w:space="0" w:color="000000"/>
              <w:left w:val="single" w:sz="4" w:space="0" w:color="000000"/>
              <w:bottom w:val="single" w:sz="4" w:space="0" w:color="000000"/>
              <w:right w:val="single" w:sz="4" w:space="0" w:color="000000"/>
            </w:tcBorders>
            <w:vAlign w:val="center"/>
          </w:tcPr>
          <w:p w14:paraId="3B67139E" w14:textId="77777777" w:rsidR="00F81D51" w:rsidRPr="003F305C" w:rsidRDefault="00F81D51" w:rsidP="00B36BE9">
            <w:pPr>
              <w:spacing w:before="40" w:after="40" w:line="240" w:lineRule="auto"/>
              <w:jc w:val="both"/>
              <w:rPr>
                <w:rFonts w:ascii="Arial" w:hAnsi="Arial" w:cs="Arial"/>
                <w:sz w:val="18"/>
                <w:szCs w:val="18"/>
                <w:lang w:val="es-ES_tradnl"/>
              </w:rPr>
            </w:pPr>
            <w:r w:rsidRPr="003F305C">
              <w:rPr>
                <w:rFonts w:ascii="Arial" w:hAnsi="Arial" w:cs="Arial"/>
                <w:sz w:val="18"/>
                <w:szCs w:val="18"/>
                <w:lang w:val="es-ES_tradnl"/>
              </w:rPr>
              <w:t>La línea de base utilizada es el promedio del crédito al sector privado como % del PIB en los últimos 5 años para los cuales existen datos disponibles (2009 a 2013) en Colombia.</w:t>
            </w:r>
          </w:p>
          <w:p w14:paraId="7C686518" w14:textId="77777777" w:rsidR="00F81D51" w:rsidRPr="001A4F23" w:rsidRDefault="00F81D51" w:rsidP="00B36BE9">
            <w:pPr>
              <w:spacing w:before="40" w:after="40" w:line="240" w:lineRule="auto"/>
              <w:jc w:val="both"/>
              <w:rPr>
                <w:rFonts w:ascii="Arial" w:hAnsi="Arial" w:cs="Arial"/>
                <w:sz w:val="20"/>
                <w:szCs w:val="20"/>
                <w:lang w:val="es-ES_tradnl" w:eastAsia="zh-CN"/>
              </w:rPr>
            </w:pPr>
            <w:r w:rsidRPr="003F305C">
              <w:rPr>
                <w:rFonts w:ascii="Arial" w:hAnsi="Arial" w:cs="Arial"/>
                <w:sz w:val="18"/>
                <w:szCs w:val="18"/>
                <w:lang w:val="es-ES_tradnl"/>
              </w:rPr>
              <w:t>Como producto de las reformas implementadas, se prevé que el incremento del crédito al sector privado como % del PIB sea de 50% al 2020.</w:t>
            </w:r>
          </w:p>
        </w:tc>
      </w:tr>
      <w:tr w:rsidR="00F81D51" w:rsidRPr="00445CB7" w14:paraId="0E94BEA8"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002AAD1D" w14:textId="6CE16A58" w:rsidR="00F81D51" w:rsidRPr="001A4F23" w:rsidRDefault="00F81D51" w:rsidP="00B36BE9">
            <w:pPr>
              <w:pStyle w:val="ListParagraph"/>
              <w:spacing w:before="40" w:after="40" w:line="240" w:lineRule="auto"/>
              <w:ind w:left="0"/>
              <w:rPr>
                <w:rFonts w:ascii="Arial" w:hAnsi="Arial" w:cs="Arial"/>
                <w:sz w:val="20"/>
                <w:szCs w:val="20"/>
                <w:lang w:val="es-ES_tradnl" w:eastAsia="zh-CN"/>
              </w:rPr>
            </w:pPr>
            <w:r w:rsidRPr="003F305C">
              <w:rPr>
                <w:rFonts w:ascii="Arial" w:hAnsi="Arial" w:cs="Arial"/>
                <w:sz w:val="18"/>
                <w:szCs w:val="18"/>
              </w:rPr>
              <w:t>Porcentaje de empresas con crédito o línea de crédito</w:t>
            </w:r>
            <w:r w:rsidR="00A35794">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003FD20F"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Porcentaje</w:t>
            </w:r>
          </w:p>
        </w:tc>
        <w:tc>
          <w:tcPr>
            <w:tcW w:w="1169" w:type="dxa"/>
            <w:tcBorders>
              <w:top w:val="single" w:sz="4" w:space="0" w:color="000000"/>
              <w:left w:val="single" w:sz="4" w:space="0" w:color="000000"/>
              <w:bottom w:val="single" w:sz="4" w:space="0" w:color="000000"/>
              <w:right w:val="single" w:sz="4" w:space="0" w:color="000000"/>
            </w:tcBorders>
            <w:vAlign w:val="center"/>
          </w:tcPr>
          <w:p w14:paraId="2B6A367C"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
              </w:rPr>
              <w:t>42,5%</w:t>
            </w:r>
          </w:p>
        </w:tc>
        <w:tc>
          <w:tcPr>
            <w:tcW w:w="1170" w:type="dxa"/>
            <w:tcBorders>
              <w:top w:val="single" w:sz="4" w:space="0" w:color="000000"/>
              <w:left w:val="single" w:sz="4" w:space="0" w:color="000000"/>
              <w:bottom w:val="single" w:sz="4" w:space="0" w:color="000000"/>
              <w:right w:val="single" w:sz="4" w:space="0" w:color="000000"/>
            </w:tcBorders>
            <w:vAlign w:val="center"/>
          </w:tcPr>
          <w:p w14:paraId="24B8FB44"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2014</w:t>
            </w:r>
          </w:p>
        </w:tc>
        <w:tc>
          <w:tcPr>
            <w:tcW w:w="990" w:type="dxa"/>
            <w:tcBorders>
              <w:top w:val="single" w:sz="4" w:space="0" w:color="000000"/>
              <w:left w:val="single" w:sz="4" w:space="0" w:color="000000"/>
              <w:bottom w:val="single" w:sz="4" w:space="0" w:color="000000"/>
              <w:right w:val="single" w:sz="4" w:space="0" w:color="000000"/>
            </w:tcBorders>
            <w:vAlign w:val="center"/>
          </w:tcPr>
          <w:p w14:paraId="678C37D1"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
              </w:rPr>
              <w:t>51%</w:t>
            </w:r>
          </w:p>
        </w:tc>
        <w:tc>
          <w:tcPr>
            <w:tcW w:w="1713" w:type="dxa"/>
            <w:tcBorders>
              <w:top w:val="single" w:sz="4" w:space="0" w:color="000000"/>
              <w:left w:val="single" w:sz="4" w:space="0" w:color="000000"/>
              <w:bottom w:val="single" w:sz="4" w:space="0" w:color="000000"/>
              <w:right w:val="single" w:sz="4" w:space="0" w:color="000000"/>
            </w:tcBorders>
            <w:vAlign w:val="center"/>
          </w:tcPr>
          <w:p w14:paraId="09463E25" w14:textId="77777777" w:rsidR="00F81D51" w:rsidRPr="001A4F23" w:rsidRDefault="00F81D51" w:rsidP="00A35794">
            <w:pPr>
              <w:spacing w:before="40" w:after="40" w:line="240" w:lineRule="auto"/>
              <w:ind w:left="-105" w:right="-108"/>
              <w:jc w:val="center"/>
              <w:rPr>
                <w:rFonts w:ascii="Arial" w:hAnsi="Arial" w:cs="Arial"/>
                <w:sz w:val="20"/>
                <w:szCs w:val="20"/>
                <w:lang w:val="es-ES_tradnl" w:eastAsia="zh-CN"/>
              </w:rPr>
            </w:pPr>
            <w:r>
              <w:rPr>
                <w:rFonts w:ascii="Arial" w:hAnsi="Arial" w:cs="Arial"/>
                <w:sz w:val="20"/>
                <w:szCs w:val="20"/>
                <w:lang w:val="es-ES_tradnl" w:eastAsia="zh-CN"/>
              </w:rPr>
              <w:t>Superintendencia Financiera de Colombia</w:t>
            </w:r>
          </w:p>
        </w:tc>
        <w:tc>
          <w:tcPr>
            <w:tcW w:w="4860" w:type="dxa"/>
            <w:tcBorders>
              <w:top w:val="single" w:sz="4" w:space="0" w:color="000000"/>
              <w:left w:val="single" w:sz="4" w:space="0" w:color="000000"/>
              <w:bottom w:val="single" w:sz="4" w:space="0" w:color="000000"/>
              <w:right w:val="single" w:sz="4" w:space="0" w:color="000000"/>
            </w:tcBorders>
          </w:tcPr>
          <w:p w14:paraId="66CAD686" w14:textId="77777777" w:rsidR="00F81D51" w:rsidRPr="001A4F23" w:rsidRDefault="00F81D51" w:rsidP="00B36BE9">
            <w:pPr>
              <w:autoSpaceDE w:val="0"/>
              <w:autoSpaceDN w:val="0"/>
              <w:adjustRightInd w:val="0"/>
              <w:spacing w:before="40" w:after="40" w:line="240" w:lineRule="auto"/>
              <w:jc w:val="both"/>
              <w:rPr>
                <w:rFonts w:ascii="Arial" w:hAnsi="Arial" w:cs="Arial"/>
                <w:b/>
                <w:sz w:val="20"/>
                <w:szCs w:val="20"/>
                <w:lang w:val="es-ES_tradnl" w:eastAsia="zh-CN"/>
              </w:rPr>
            </w:pPr>
            <w:r w:rsidRPr="003F305C">
              <w:rPr>
                <w:rFonts w:ascii="Arial" w:hAnsi="Arial" w:cs="Arial"/>
                <w:sz w:val="18"/>
                <w:szCs w:val="18"/>
                <w:lang w:val="es-ES_tradnl"/>
              </w:rPr>
              <w:t>Porcentaje de empresas con crédito o línea de crédito.</w:t>
            </w:r>
          </w:p>
        </w:tc>
      </w:tr>
      <w:tr w:rsidR="00F81D51" w:rsidRPr="00445CB7" w14:paraId="5E7894D2"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7B62DCB0" w14:textId="77777777" w:rsidR="00F81D51" w:rsidRPr="001A4F23" w:rsidRDefault="00F81D51" w:rsidP="00B36BE9">
            <w:pPr>
              <w:pStyle w:val="ListParagraph"/>
              <w:spacing w:before="40" w:after="40" w:line="240" w:lineRule="auto"/>
              <w:ind w:left="0"/>
              <w:rPr>
                <w:rFonts w:ascii="Arial" w:hAnsi="Arial" w:cs="Arial"/>
                <w:sz w:val="20"/>
                <w:szCs w:val="20"/>
                <w:lang w:val="es-ES_tradnl" w:eastAsia="zh-CN"/>
              </w:rPr>
            </w:pPr>
            <w:r w:rsidRPr="003F305C">
              <w:rPr>
                <w:rFonts w:ascii="Arial" w:hAnsi="Arial" w:cs="Arial"/>
                <w:sz w:val="18"/>
                <w:szCs w:val="18"/>
              </w:rPr>
              <w:lastRenderedPageBreak/>
              <w:t>Número de cierres financieros de contratos de concesión de cuarta generación.</w:t>
            </w:r>
          </w:p>
        </w:tc>
        <w:tc>
          <w:tcPr>
            <w:tcW w:w="1439" w:type="dxa"/>
            <w:tcBorders>
              <w:top w:val="single" w:sz="4" w:space="0" w:color="000000"/>
              <w:left w:val="single" w:sz="4" w:space="0" w:color="000000"/>
              <w:bottom w:val="single" w:sz="4" w:space="0" w:color="000000"/>
              <w:right w:val="single" w:sz="4" w:space="0" w:color="000000"/>
            </w:tcBorders>
            <w:vAlign w:val="center"/>
          </w:tcPr>
          <w:p w14:paraId="1AB94BD8"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519F5357"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0</w:t>
            </w:r>
          </w:p>
        </w:tc>
        <w:tc>
          <w:tcPr>
            <w:tcW w:w="1170" w:type="dxa"/>
            <w:tcBorders>
              <w:top w:val="single" w:sz="4" w:space="0" w:color="000000"/>
              <w:left w:val="single" w:sz="4" w:space="0" w:color="000000"/>
              <w:bottom w:val="single" w:sz="4" w:space="0" w:color="000000"/>
              <w:right w:val="single" w:sz="4" w:space="0" w:color="000000"/>
            </w:tcBorders>
            <w:vAlign w:val="center"/>
          </w:tcPr>
          <w:p w14:paraId="684D2172"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2014</w:t>
            </w:r>
          </w:p>
        </w:tc>
        <w:tc>
          <w:tcPr>
            <w:tcW w:w="990" w:type="dxa"/>
            <w:tcBorders>
              <w:top w:val="single" w:sz="4" w:space="0" w:color="000000"/>
              <w:left w:val="single" w:sz="4" w:space="0" w:color="000000"/>
              <w:bottom w:val="single" w:sz="4" w:space="0" w:color="000000"/>
              <w:right w:val="single" w:sz="4" w:space="0" w:color="000000"/>
            </w:tcBorders>
            <w:vAlign w:val="center"/>
          </w:tcPr>
          <w:p w14:paraId="72090161"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5</w:t>
            </w:r>
          </w:p>
        </w:tc>
        <w:tc>
          <w:tcPr>
            <w:tcW w:w="1713" w:type="dxa"/>
            <w:tcBorders>
              <w:top w:val="single" w:sz="4" w:space="0" w:color="000000"/>
              <w:left w:val="single" w:sz="4" w:space="0" w:color="000000"/>
              <w:bottom w:val="single" w:sz="4" w:space="0" w:color="000000"/>
              <w:right w:val="single" w:sz="4" w:space="0" w:color="000000"/>
            </w:tcBorders>
            <w:vAlign w:val="center"/>
          </w:tcPr>
          <w:p w14:paraId="5E86E6D0"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Financiera de Desarrollo Nacional</w:t>
            </w:r>
          </w:p>
        </w:tc>
        <w:tc>
          <w:tcPr>
            <w:tcW w:w="4860" w:type="dxa"/>
            <w:tcBorders>
              <w:top w:val="single" w:sz="4" w:space="0" w:color="000000"/>
              <w:left w:val="single" w:sz="4" w:space="0" w:color="000000"/>
              <w:bottom w:val="single" w:sz="4" w:space="0" w:color="000000"/>
              <w:right w:val="single" w:sz="4" w:space="0" w:color="000000"/>
            </w:tcBorders>
            <w:vAlign w:val="center"/>
          </w:tcPr>
          <w:p w14:paraId="7851AE13" w14:textId="3B8A7EA0" w:rsidR="00F81D51" w:rsidRPr="003F305C" w:rsidRDefault="00F81D51" w:rsidP="00B36BE9">
            <w:pPr>
              <w:spacing w:before="40" w:after="40" w:line="240" w:lineRule="auto"/>
              <w:jc w:val="both"/>
              <w:rPr>
                <w:rFonts w:ascii="Arial" w:hAnsi="Arial" w:cs="Arial"/>
                <w:sz w:val="18"/>
                <w:szCs w:val="18"/>
                <w:lang w:val="es-ES_tradnl"/>
              </w:rPr>
            </w:pPr>
            <w:r w:rsidRPr="003F305C">
              <w:rPr>
                <w:rFonts w:ascii="Arial" w:hAnsi="Arial" w:cs="Arial"/>
                <w:sz w:val="18"/>
                <w:szCs w:val="18"/>
                <w:lang w:val="es-ES_tradnl"/>
              </w:rPr>
              <w:t>La línea de base utilizada es el número de cierres financieros de contratos de concesión de cuarta de generación a 2014.</w:t>
            </w:r>
          </w:p>
          <w:p w14:paraId="708FFA0C" w14:textId="4B288775" w:rsidR="00F81D51" w:rsidRPr="001A4F23" w:rsidRDefault="00F81D51" w:rsidP="00A35794">
            <w:pPr>
              <w:spacing w:before="40" w:after="40" w:line="240" w:lineRule="auto"/>
              <w:jc w:val="both"/>
              <w:rPr>
                <w:rFonts w:ascii="Arial" w:hAnsi="Arial" w:cs="Arial"/>
                <w:b/>
                <w:sz w:val="20"/>
                <w:szCs w:val="20"/>
                <w:lang w:val="es-ES_tradnl" w:eastAsia="zh-CN"/>
              </w:rPr>
            </w:pPr>
            <w:r w:rsidRPr="003F305C">
              <w:rPr>
                <w:rFonts w:ascii="Arial" w:hAnsi="Arial" w:cs="Arial"/>
                <w:sz w:val="18"/>
                <w:szCs w:val="18"/>
                <w:lang w:val="es-ES_tradnl"/>
              </w:rPr>
              <w:t>Como producto de las reformas implementadas, se prevé que el incremento de cierres financieros de cuarta generación sea de 5 a 2020.</w:t>
            </w:r>
          </w:p>
        </w:tc>
      </w:tr>
      <w:tr w:rsidR="00F81D51" w:rsidRPr="00445CB7" w14:paraId="1E237973"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52F21CDF" w14:textId="77777777" w:rsidR="00F81D51" w:rsidRPr="001A4F23" w:rsidRDefault="00F81D51" w:rsidP="00B36BE9">
            <w:pPr>
              <w:pStyle w:val="ListParagraph"/>
              <w:spacing w:before="40" w:after="40" w:line="240" w:lineRule="auto"/>
              <w:ind w:left="0"/>
              <w:rPr>
                <w:rFonts w:ascii="Arial" w:hAnsi="Arial" w:cs="Arial"/>
                <w:sz w:val="20"/>
                <w:szCs w:val="20"/>
                <w:lang w:val="es-ES_tradnl" w:eastAsia="zh-CN"/>
              </w:rPr>
            </w:pPr>
            <w:r w:rsidRPr="003F305C">
              <w:rPr>
                <w:rFonts w:ascii="Arial" w:hAnsi="Arial" w:cs="Arial"/>
                <w:sz w:val="18"/>
                <w:szCs w:val="18"/>
              </w:rPr>
              <w:t>Crédito al sector agrícola sobre PIB del sector agrícola.</w:t>
            </w:r>
          </w:p>
        </w:tc>
        <w:tc>
          <w:tcPr>
            <w:tcW w:w="1439" w:type="dxa"/>
            <w:tcBorders>
              <w:top w:val="single" w:sz="4" w:space="0" w:color="000000"/>
              <w:left w:val="single" w:sz="4" w:space="0" w:color="000000"/>
              <w:bottom w:val="single" w:sz="4" w:space="0" w:color="000000"/>
              <w:right w:val="single" w:sz="4" w:space="0" w:color="000000"/>
            </w:tcBorders>
            <w:vAlign w:val="center"/>
          </w:tcPr>
          <w:p w14:paraId="2D4A7606"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1C9E83F2"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31%</w:t>
            </w:r>
          </w:p>
        </w:tc>
        <w:tc>
          <w:tcPr>
            <w:tcW w:w="1170" w:type="dxa"/>
            <w:tcBorders>
              <w:top w:val="single" w:sz="4" w:space="0" w:color="000000"/>
              <w:left w:val="single" w:sz="4" w:space="0" w:color="000000"/>
              <w:bottom w:val="single" w:sz="4" w:space="0" w:color="000000"/>
              <w:right w:val="single" w:sz="4" w:space="0" w:color="000000"/>
            </w:tcBorders>
            <w:vAlign w:val="center"/>
          </w:tcPr>
          <w:p w14:paraId="0838A47F"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Promedio de 2009 a 2013</w:t>
            </w:r>
          </w:p>
        </w:tc>
        <w:tc>
          <w:tcPr>
            <w:tcW w:w="990" w:type="dxa"/>
            <w:tcBorders>
              <w:top w:val="single" w:sz="4" w:space="0" w:color="000000"/>
              <w:left w:val="single" w:sz="4" w:space="0" w:color="000000"/>
              <w:bottom w:val="single" w:sz="4" w:space="0" w:color="000000"/>
              <w:right w:val="single" w:sz="4" w:space="0" w:color="000000"/>
            </w:tcBorders>
            <w:vAlign w:val="center"/>
          </w:tcPr>
          <w:p w14:paraId="000B5DDA"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35%</w:t>
            </w:r>
          </w:p>
        </w:tc>
        <w:tc>
          <w:tcPr>
            <w:tcW w:w="1713" w:type="dxa"/>
            <w:tcBorders>
              <w:top w:val="single" w:sz="4" w:space="0" w:color="000000"/>
              <w:left w:val="single" w:sz="4" w:space="0" w:color="000000"/>
              <w:bottom w:val="single" w:sz="4" w:space="0" w:color="000000"/>
              <w:right w:val="single" w:sz="4" w:space="0" w:color="000000"/>
            </w:tcBorders>
            <w:vAlign w:val="center"/>
          </w:tcPr>
          <w:p w14:paraId="4F1C3322" w14:textId="77777777" w:rsidR="00F81D51" w:rsidRPr="001A4F23" w:rsidRDefault="00F81D51" w:rsidP="008C341D">
            <w:pPr>
              <w:spacing w:before="40" w:after="40" w:line="240" w:lineRule="auto"/>
              <w:ind w:left="-105" w:right="-108"/>
              <w:jc w:val="center"/>
              <w:rPr>
                <w:rFonts w:ascii="Arial" w:hAnsi="Arial" w:cs="Arial"/>
                <w:sz w:val="20"/>
                <w:szCs w:val="20"/>
                <w:lang w:val="es-ES_tradnl" w:eastAsia="zh-CN"/>
              </w:rPr>
            </w:pPr>
            <w:r>
              <w:rPr>
                <w:rFonts w:ascii="Arial" w:hAnsi="Arial" w:cs="Arial"/>
                <w:sz w:val="20"/>
                <w:szCs w:val="20"/>
                <w:lang w:val="es-ES_tradnl" w:eastAsia="zh-CN"/>
              </w:rPr>
              <w:t>Superintendencia Finan</w:t>
            </w:r>
            <w:r w:rsidR="003563C3">
              <w:rPr>
                <w:rFonts w:ascii="Arial" w:hAnsi="Arial" w:cs="Arial"/>
                <w:sz w:val="20"/>
                <w:szCs w:val="20"/>
                <w:lang w:val="es-ES_tradnl" w:eastAsia="zh-CN"/>
              </w:rPr>
              <w:t>c</w:t>
            </w:r>
            <w:r>
              <w:rPr>
                <w:rFonts w:ascii="Arial" w:hAnsi="Arial" w:cs="Arial"/>
                <w:sz w:val="20"/>
                <w:szCs w:val="20"/>
                <w:lang w:val="es-ES_tradnl" w:eastAsia="zh-CN"/>
              </w:rPr>
              <w:t>iera de Colombia y Finagro</w:t>
            </w:r>
          </w:p>
        </w:tc>
        <w:tc>
          <w:tcPr>
            <w:tcW w:w="4860" w:type="dxa"/>
            <w:tcBorders>
              <w:top w:val="single" w:sz="4" w:space="0" w:color="000000"/>
              <w:left w:val="single" w:sz="4" w:space="0" w:color="000000"/>
              <w:bottom w:val="single" w:sz="4" w:space="0" w:color="000000"/>
              <w:right w:val="single" w:sz="4" w:space="0" w:color="000000"/>
            </w:tcBorders>
            <w:vAlign w:val="center"/>
          </w:tcPr>
          <w:p w14:paraId="07E28F60" w14:textId="039BE3FA" w:rsidR="00F81D51" w:rsidRPr="003F305C" w:rsidRDefault="00F81D51" w:rsidP="00B36BE9">
            <w:pPr>
              <w:spacing w:before="40" w:after="40" w:line="240" w:lineRule="auto"/>
              <w:jc w:val="both"/>
              <w:rPr>
                <w:rFonts w:ascii="Arial" w:hAnsi="Arial" w:cs="Arial"/>
                <w:sz w:val="18"/>
                <w:szCs w:val="18"/>
                <w:lang w:val="es-ES_tradnl"/>
              </w:rPr>
            </w:pPr>
            <w:r w:rsidRPr="003F305C">
              <w:rPr>
                <w:rFonts w:ascii="Arial" w:hAnsi="Arial" w:cs="Arial"/>
                <w:sz w:val="18"/>
                <w:szCs w:val="18"/>
                <w:lang w:val="es-ES_tradnl"/>
              </w:rPr>
              <w:t>La línea de base utilizada es el promedio del crédito al sector agrícola como % del PIB del sector agrícola en los últimos 5</w:t>
            </w:r>
            <w:r w:rsidR="006F79E2">
              <w:rPr>
                <w:rFonts w:ascii="Arial" w:hAnsi="Arial" w:cs="Arial"/>
                <w:sz w:val="18"/>
                <w:szCs w:val="18"/>
                <w:lang w:val="es-ES_tradnl"/>
              </w:rPr>
              <w:t> </w:t>
            </w:r>
            <w:r w:rsidRPr="003F305C">
              <w:rPr>
                <w:rFonts w:ascii="Arial" w:hAnsi="Arial" w:cs="Arial"/>
                <w:sz w:val="18"/>
                <w:szCs w:val="18"/>
                <w:lang w:val="es-ES_tradnl"/>
              </w:rPr>
              <w:t>años para los cuales existen datos disponibles (2009 a 2013) en Colombia.</w:t>
            </w:r>
          </w:p>
          <w:p w14:paraId="19A305D5" w14:textId="0E859862" w:rsidR="00F81D51" w:rsidRPr="001A4F23" w:rsidRDefault="00F81D51" w:rsidP="006F79E2">
            <w:pPr>
              <w:spacing w:before="40" w:after="40" w:line="240" w:lineRule="auto"/>
              <w:jc w:val="both"/>
              <w:rPr>
                <w:rFonts w:ascii="Arial" w:hAnsi="Arial" w:cs="Arial"/>
                <w:b/>
                <w:sz w:val="20"/>
                <w:szCs w:val="20"/>
                <w:lang w:val="es-ES_tradnl" w:eastAsia="zh-CN"/>
              </w:rPr>
            </w:pPr>
            <w:r w:rsidRPr="003F305C">
              <w:rPr>
                <w:rFonts w:ascii="Arial" w:hAnsi="Arial" w:cs="Arial"/>
                <w:sz w:val="18"/>
                <w:szCs w:val="18"/>
                <w:lang w:val="es-ES_tradnl"/>
              </w:rPr>
              <w:t>Como producto de las reformas implementadas, se prevé que el incremento del crédito al sector agrícola como % del PIB del sector agrícola sea de 35% a 202</w:t>
            </w:r>
            <w:r>
              <w:rPr>
                <w:rFonts w:ascii="Arial" w:hAnsi="Arial" w:cs="Arial"/>
                <w:sz w:val="18"/>
                <w:szCs w:val="18"/>
                <w:lang w:val="es-ES_tradnl"/>
              </w:rPr>
              <w:t>1</w:t>
            </w:r>
            <w:r w:rsidRPr="003F305C">
              <w:rPr>
                <w:rFonts w:ascii="Arial" w:hAnsi="Arial" w:cs="Arial"/>
                <w:sz w:val="18"/>
                <w:szCs w:val="18"/>
                <w:lang w:val="es-ES_tradnl"/>
              </w:rPr>
              <w:t>.</w:t>
            </w:r>
          </w:p>
        </w:tc>
      </w:tr>
      <w:tr w:rsidR="00F81D51" w:rsidRPr="00445CB7" w14:paraId="5F4ACB46"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51F6E5AD" w14:textId="789DAC00" w:rsidR="00F81D51" w:rsidRPr="001A4F23" w:rsidRDefault="00434357" w:rsidP="00434357">
            <w:pPr>
              <w:pStyle w:val="ListParagraph"/>
              <w:spacing w:before="40" w:after="40" w:line="240" w:lineRule="auto"/>
              <w:ind w:left="0"/>
              <w:rPr>
                <w:rFonts w:ascii="Arial" w:hAnsi="Arial" w:cs="Arial"/>
                <w:sz w:val="20"/>
                <w:szCs w:val="20"/>
                <w:lang w:val="es-ES_tradnl" w:eastAsia="zh-CN"/>
              </w:rPr>
            </w:pPr>
            <w:r>
              <w:rPr>
                <w:rFonts w:ascii="Arial" w:hAnsi="Arial" w:cs="Arial"/>
                <w:sz w:val="18"/>
                <w:szCs w:val="18"/>
                <w:lang w:val="es-ES_tradnl"/>
              </w:rPr>
              <w:t xml:space="preserve">Valor </w:t>
            </w:r>
            <w:r>
              <w:rPr>
                <w:rFonts w:ascii="Arial" w:hAnsi="Arial" w:cs="Arial"/>
                <w:sz w:val="18"/>
                <w:szCs w:val="18"/>
              </w:rPr>
              <w:t>p</w:t>
            </w:r>
            <w:r w:rsidR="00F81D51" w:rsidRPr="003F305C">
              <w:rPr>
                <w:rFonts w:ascii="Arial" w:hAnsi="Arial" w:cs="Arial"/>
                <w:sz w:val="18"/>
                <w:szCs w:val="18"/>
              </w:rPr>
              <w:t>romedio de las garantías requeridas para obtener un préstamo en proporción al monto requerido</w:t>
            </w:r>
            <w:r w:rsidR="003563C3">
              <w:rPr>
                <w:rFonts w:ascii="Arial" w:hAnsi="Arial" w:cs="Arial"/>
                <w:sz w:val="18"/>
                <w:szCs w:val="18"/>
              </w:rPr>
              <w:t>.</w:t>
            </w:r>
          </w:p>
        </w:tc>
        <w:tc>
          <w:tcPr>
            <w:tcW w:w="1439" w:type="dxa"/>
            <w:tcBorders>
              <w:top w:val="single" w:sz="4" w:space="0" w:color="000000"/>
              <w:left w:val="single" w:sz="4" w:space="0" w:color="000000"/>
              <w:bottom w:val="single" w:sz="4" w:space="0" w:color="000000"/>
              <w:right w:val="single" w:sz="4" w:space="0" w:color="000000"/>
            </w:tcBorders>
            <w:vAlign w:val="center"/>
          </w:tcPr>
          <w:p w14:paraId="07D600D5"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Porcentaje</w:t>
            </w:r>
          </w:p>
        </w:tc>
        <w:tc>
          <w:tcPr>
            <w:tcW w:w="1169" w:type="dxa"/>
            <w:tcBorders>
              <w:top w:val="single" w:sz="4" w:space="0" w:color="000000"/>
              <w:left w:val="single" w:sz="4" w:space="0" w:color="000000"/>
              <w:bottom w:val="single" w:sz="4" w:space="0" w:color="000000"/>
              <w:right w:val="single" w:sz="4" w:space="0" w:color="000000"/>
            </w:tcBorders>
            <w:vAlign w:val="center"/>
          </w:tcPr>
          <w:p w14:paraId="37EA9CD5"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169,6</w:t>
            </w:r>
          </w:p>
        </w:tc>
        <w:tc>
          <w:tcPr>
            <w:tcW w:w="1170" w:type="dxa"/>
            <w:tcBorders>
              <w:top w:val="single" w:sz="4" w:space="0" w:color="000000"/>
              <w:left w:val="single" w:sz="4" w:space="0" w:color="000000"/>
              <w:bottom w:val="single" w:sz="4" w:space="0" w:color="000000"/>
              <w:right w:val="single" w:sz="4" w:space="0" w:color="000000"/>
            </w:tcBorders>
            <w:vAlign w:val="center"/>
          </w:tcPr>
          <w:p w14:paraId="3E8F6CB9"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2014</w:t>
            </w:r>
          </w:p>
        </w:tc>
        <w:tc>
          <w:tcPr>
            <w:tcW w:w="990" w:type="dxa"/>
            <w:tcBorders>
              <w:top w:val="single" w:sz="4" w:space="0" w:color="000000"/>
              <w:left w:val="single" w:sz="4" w:space="0" w:color="000000"/>
              <w:bottom w:val="single" w:sz="4" w:space="0" w:color="000000"/>
              <w:right w:val="single" w:sz="4" w:space="0" w:color="000000"/>
            </w:tcBorders>
            <w:vAlign w:val="center"/>
          </w:tcPr>
          <w:p w14:paraId="1F4ACAC7"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sidRPr="003F305C">
              <w:rPr>
                <w:rFonts w:ascii="Arial" w:hAnsi="Arial" w:cs="Arial"/>
                <w:sz w:val="18"/>
                <w:szCs w:val="18"/>
                <w:lang w:val="es-ES_tradnl"/>
              </w:rPr>
              <w:t>152</w:t>
            </w:r>
            <w:r>
              <w:rPr>
                <w:rFonts w:ascii="Arial" w:hAnsi="Arial" w:cs="Arial"/>
                <w:sz w:val="18"/>
                <w:szCs w:val="18"/>
                <w:lang w:val="es-ES_tradnl"/>
              </w:rPr>
              <w:t>,</w:t>
            </w:r>
            <w:r w:rsidRPr="003F305C">
              <w:rPr>
                <w:rFonts w:ascii="Arial" w:hAnsi="Arial" w:cs="Arial"/>
                <w:sz w:val="18"/>
                <w:szCs w:val="18"/>
                <w:lang w:val="es-ES_tradnl"/>
              </w:rPr>
              <w:t>6</w:t>
            </w:r>
          </w:p>
        </w:tc>
        <w:tc>
          <w:tcPr>
            <w:tcW w:w="1713" w:type="dxa"/>
            <w:tcBorders>
              <w:top w:val="single" w:sz="4" w:space="0" w:color="000000"/>
              <w:left w:val="single" w:sz="4" w:space="0" w:color="000000"/>
              <w:bottom w:val="single" w:sz="4" w:space="0" w:color="000000"/>
              <w:right w:val="single" w:sz="4" w:space="0" w:color="000000"/>
            </w:tcBorders>
            <w:vAlign w:val="center"/>
          </w:tcPr>
          <w:p w14:paraId="1351F868" w14:textId="77777777" w:rsidR="00F81D51" w:rsidRPr="001A4F23" w:rsidRDefault="00F81D51" w:rsidP="00B36BE9">
            <w:pPr>
              <w:spacing w:before="40" w:after="40" w:line="240" w:lineRule="auto"/>
              <w:jc w:val="center"/>
              <w:rPr>
                <w:rFonts w:ascii="Arial" w:hAnsi="Arial" w:cs="Arial"/>
                <w:sz w:val="20"/>
                <w:szCs w:val="20"/>
                <w:lang w:val="es-ES_tradnl" w:eastAsia="zh-CN"/>
              </w:rPr>
            </w:pPr>
            <w:r>
              <w:rPr>
                <w:rFonts w:ascii="Arial" w:hAnsi="Arial" w:cs="Arial"/>
                <w:sz w:val="20"/>
                <w:szCs w:val="20"/>
                <w:lang w:val="es-ES_tradnl" w:eastAsia="zh-CN"/>
              </w:rPr>
              <w:t>GFDD Banco Mundial</w:t>
            </w:r>
          </w:p>
        </w:tc>
        <w:tc>
          <w:tcPr>
            <w:tcW w:w="4860" w:type="dxa"/>
            <w:tcBorders>
              <w:top w:val="single" w:sz="4" w:space="0" w:color="000000"/>
              <w:left w:val="single" w:sz="4" w:space="0" w:color="000000"/>
              <w:bottom w:val="single" w:sz="4" w:space="0" w:color="000000"/>
              <w:right w:val="single" w:sz="4" w:space="0" w:color="000000"/>
            </w:tcBorders>
            <w:vAlign w:val="center"/>
          </w:tcPr>
          <w:p w14:paraId="4AB36587" w14:textId="77777777" w:rsidR="00F81D51" w:rsidRPr="001A4F23" w:rsidRDefault="00F81D51" w:rsidP="00B36BE9">
            <w:pPr>
              <w:spacing w:before="40" w:after="40" w:line="240" w:lineRule="auto"/>
              <w:jc w:val="both"/>
              <w:rPr>
                <w:rFonts w:ascii="Arial" w:hAnsi="Arial" w:cs="Arial"/>
                <w:b/>
                <w:sz w:val="20"/>
                <w:szCs w:val="20"/>
                <w:lang w:val="es-ES_tradnl" w:eastAsia="zh-CN"/>
              </w:rPr>
            </w:pPr>
            <w:r w:rsidRPr="003F305C">
              <w:rPr>
                <w:rFonts w:ascii="Arial" w:hAnsi="Arial" w:cs="Arial"/>
                <w:sz w:val="18"/>
                <w:szCs w:val="18"/>
                <w:lang w:val="es-ES_tradnl"/>
              </w:rPr>
              <w:t>Promedio valor de las garantías requeridas para obtener un préstamo en proporción al monto requerido.</w:t>
            </w:r>
          </w:p>
        </w:tc>
      </w:tr>
      <w:tr w:rsidR="00B00E26" w:rsidRPr="00445CB7" w14:paraId="6D0D8D72" w14:textId="77777777" w:rsidTr="00625253">
        <w:trPr>
          <w:trHeight w:val="368"/>
        </w:trPr>
        <w:tc>
          <w:tcPr>
            <w:tcW w:w="13338" w:type="dxa"/>
            <w:gridSpan w:val="7"/>
            <w:tcBorders>
              <w:top w:val="single" w:sz="4" w:space="0" w:color="000000"/>
              <w:left w:val="single" w:sz="4" w:space="0" w:color="000000"/>
              <w:bottom w:val="single" w:sz="4" w:space="0" w:color="000000"/>
              <w:right w:val="single" w:sz="4" w:space="0" w:color="000000"/>
            </w:tcBorders>
            <w:vAlign w:val="center"/>
          </w:tcPr>
          <w:p w14:paraId="53653776" w14:textId="77777777" w:rsidR="00B00E26" w:rsidRPr="00B00E26" w:rsidRDefault="00B00E26" w:rsidP="003A35A9">
            <w:pPr>
              <w:spacing w:before="120" w:after="120" w:line="240" w:lineRule="auto"/>
              <w:rPr>
                <w:rFonts w:ascii="Arial" w:hAnsi="Arial" w:cs="Arial"/>
                <w:b/>
                <w:caps/>
                <w:sz w:val="20"/>
                <w:szCs w:val="20"/>
                <w:u w:val="single"/>
                <w:lang w:val="es-ES_tradnl" w:eastAsia="zh-CN"/>
              </w:rPr>
            </w:pPr>
            <w:r w:rsidRPr="00B00E26">
              <w:rPr>
                <w:rFonts w:ascii="Arial" w:hAnsi="Arial" w:cs="Arial"/>
                <w:b/>
                <w:caps/>
                <w:sz w:val="20"/>
                <w:szCs w:val="20"/>
                <w:u w:val="single"/>
                <w:lang w:val="es-ES_tradnl" w:eastAsia="zh-CN"/>
              </w:rPr>
              <w:t>Componente III: Mejora de la regulaci</w:t>
            </w:r>
            <w:r>
              <w:rPr>
                <w:rFonts w:ascii="Arial" w:hAnsi="Arial" w:cs="Arial"/>
                <w:b/>
                <w:caps/>
                <w:sz w:val="20"/>
                <w:szCs w:val="20"/>
                <w:u w:val="single"/>
                <w:lang w:val="es-ES_tradnl" w:eastAsia="zh-CN"/>
              </w:rPr>
              <w:t>ón y Supervisión del Sistema Financiero</w:t>
            </w:r>
          </w:p>
        </w:tc>
      </w:tr>
      <w:tr w:rsidR="00F81D51" w:rsidRPr="00445CB7" w14:paraId="7EC7E2EB"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3BF8379D" w14:textId="77777777" w:rsidR="00F81D51" w:rsidRPr="00B36BE9" w:rsidRDefault="00F81D51" w:rsidP="00B36BE9">
            <w:pPr>
              <w:pStyle w:val="ListParagraph"/>
              <w:spacing w:before="40" w:after="40" w:line="240" w:lineRule="auto"/>
              <w:ind w:left="0"/>
              <w:rPr>
                <w:rFonts w:ascii="Arial" w:hAnsi="Arial" w:cs="Arial"/>
                <w:sz w:val="18"/>
                <w:szCs w:val="18"/>
              </w:rPr>
            </w:pPr>
            <w:r w:rsidRPr="003F305C">
              <w:rPr>
                <w:rFonts w:ascii="Arial" w:hAnsi="Arial" w:cs="Arial"/>
                <w:sz w:val="18"/>
                <w:szCs w:val="18"/>
              </w:rPr>
              <w:t>Nuevas emisiones inscritas en la bolsa de valores</w:t>
            </w:r>
          </w:p>
        </w:tc>
        <w:tc>
          <w:tcPr>
            <w:tcW w:w="1439" w:type="dxa"/>
            <w:tcBorders>
              <w:top w:val="single" w:sz="4" w:space="0" w:color="000000"/>
              <w:left w:val="single" w:sz="4" w:space="0" w:color="000000"/>
              <w:bottom w:val="single" w:sz="4" w:space="0" w:color="000000"/>
              <w:right w:val="single" w:sz="4" w:space="0" w:color="000000"/>
            </w:tcBorders>
            <w:vAlign w:val="center"/>
          </w:tcPr>
          <w:p w14:paraId="3C7A5CC6"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3D45F07F"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NA</w:t>
            </w:r>
          </w:p>
        </w:tc>
        <w:tc>
          <w:tcPr>
            <w:tcW w:w="1170" w:type="dxa"/>
            <w:tcBorders>
              <w:top w:val="single" w:sz="4" w:space="0" w:color="000000"/>
              <w:left w:val="single" w:sz="4" w:space="0" w:color="000000"/>
              <w:bottom w:val="single" w:sz="4" w:space="0" w:color="000000"/>
              <w:right w:val="single" w:sz="4" w:space="0" w:color="000000"/>
            </w:tcBorders>
            <w:vAlign w:val="center"/>
          </w:tcPr>
          <w:p w14:paraId="3F280670"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NA</w:t>
            </w:r>
          </w:p>
        </w:tc>
        <w:tc>
          <w:tcPr>
            <w:tcW w:w="990" w:type="dxa"/>
            <w:tcBorders>
              <w:top w:val="single" w:sz="4" w:space="0" w:color="000000"/>
              <w:left w:val="single" w:sz="4" w:space="0" w:color="000000"/>
              <w:bottom w:val="single" w:sz="4" w:space="0" w:color="000000"/>
              <w:right w:val="single" w:sz="4" w:space="0" w:color="000000"/>
            </w:tcBorders>
            <w:vAlign w:val="center"/>
          </w:tcPr>
          <w:p w14:paraId="7D8BC968" w14:textId="77777777" w:rsidR="00F81D51" w:rsidRPr="00B36BE9" w:rsidRDefault="00F81D51" w:rsidP="00B36BE9">
            <w:pPr>
              <w:spacing w:before="40" w:after="40"/>
              <w:jc w:val="center"/>
              <w:rPr>
                <w:rFonts w:ascii="Arial" w:hAnsi="Arial" w:cs="Arial"/>
                <w:sz w:val="18"/>
                <w:szCs w:val="18"/>
                <w:lang w:val="es-CO"/>
              </w:rPr>
            </w:pPr>
            <w:r w:rsidRPr="00B36BE9">
              <w:rPr>
                <w:rFonts w:ascii="Arial" w:hAnsi="Arial" w:cs="Arial"/>
                <w:sz w:val="18"/>
                <w:szCs w:val="18"/>
                <w:lang w:val="es-CO"/>
              </w:rPr>
              <w:t>5</w:t>
            </w:r>
          </w:p>
        </w:tc>
        <w:tc>
          <w:tcPr>
            <w:tcW w:w="1713" w:type="dxa"/>
            <w:tcBorders>
              <w:top w:val="single" w:sz="4" w:space="0" w:color="000000"/>
              <w:left w:val="single" w:sz="4" w:space="0" w:color="000000"/>
              <w:bottom w:val="single" w:sz="4" w:space="0" w:color="000000"/>
              <w:right w:val="single" w:sz="4" w:space="0" w:color="000000"/>
            </w:tcBorders>
            <w:vAlign w:val="center"/>
          </w:tcPr>
          <w:p w14:paraId="76BA88FF"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Bolsa de Valores de Colombia</w:t>
            </w:r>
          </w:p>
        </w:tc>
        <w:tc>
          <w:tcPr>
            <w:tcW w:w="4860" w:type="dxa"/>
            <w:tcBorders>
              <w:top w:val="single" w:sz="4" w:space="0" w:color="000000"/>
              <w:left w:val="single" w:sz="4" w:space="0" w:color="000000"/>
              <w:bottom w:val="single" w:sz="4" w:space="0" w:color="000000"/>
              <w:right w:val="single" w:sz="4" w:space="0" w:color="000000"/>
            </w:tcBorders>
            <w:vAlign w:val="center"/>
          </w:tcPr>
          <w:p w14:paraId="6D26A654" w14:textId="53DC83C5" w:rsidR="00F81D51" w:rsidRPr="00B36BE9" w:rsidRDefault="00F81D51" w:rsidP="00B36BE9">
            <w:pPr>
              <w:spacing w:before="40" w:after="40" w:line="240" w:lineRule="auto"/>
              <w:jc w:val="both"/>
              <w:rPr>
                <w:rFonts w:ascii="Arial" w:hAnsi="Arial" w:cs="Arial"/>
                <w:sz w:val="18"/>
                <w:szCs w:val="18"/>
                <w:lang w:val="es-CO"/>
              </w:rPr>
            </w:pPr>
            <w:r w:rsidRPr="00B36BE9">
              <w:rPr>
                <w:rFonts w:ascii="Arial" w:hAnsi="Arial" w:cs="Arial"/>
                <w:sz w:val="18"/>
                <w:szCs w:val="18"/>
                <w:lang w:val="es-CO"/>
              </w:rPr>
              <w:t>Como producto de las reformas implementadas, se prevé que la cantidad de nuevas emisiones inscrita</w:t>
            </w:r>
            <w:r w:rsidR="00434357">
              <w:rPr>
                <w:rFonts w:ascii="Arial" w:hAnsi="Arial" w:cs="Arial"/>
                <w:sz w:val="18"/>
                <w:szCs w:val="18"/>
                <w:lang w:val="es-CO"/>
              </w:rPr>
              <w:t>s</w:t>
            </w:r>
            <w:r w:rsidRPr="00B36BE9">
              <w:rPr>
                <w:rFonts w:ascii="Arial" w:hAnsi="Arial" w:cs="Arial"/>
                <w:sz w:val="18"/>
                <w:szCs w:val="18"/>
                <w:lang w:val="es-CO"/>
              </w:rPr>
              <w:t xml:space="preserve"> en la bolsa de valores sean de 5.</w:t>
            </w:r>
          </w:p>
        </w:tc>
      </w:tr>
      <w:tr w:rsidR="00F81D51" w:rsidRPr="00445CB7" w14:paraId="1C269DF2"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55593BB2" w14:textId="3E0D800C" w:rsidR="00F81D51" w:rsidRPr="00B36BE9" w:rsidRDefault="00F81D51" w:rsidP="00F61A0E">
            <w:pPr>
              <w:pStyle w:val="ListParagraph"/>
              <w:spacing w:before="40" w:after="40" w:line="240" w:lineRule="auto"/>
              <w:ind w:left="0"/>
              <w:rPr>
                <w:rFonts w:ascii="Arial" w:hAnsi="Arial" w:cs="Arial"/>
                <w:sz w:val="18"/>
                <w:szCs w:val="18"/>
              </w:rPr>
            </w:pPr>
            <w:r w:rsidRPr="003F305C">
              <w:rPr>
                <w:rFonts w:ascii="Arial" w:hAnsi="Arial" w:cs="Arial"/>
                <w:sz w:val="18"/>
                <w:szCs w:val="18"/>
              </w:rPr>
              <w:t>Cambio en el diferencial (</w:t>
            </w:r>
            <w:r w:rsidRPr="00F61A0E">
              <w:rPr>
                <w:rFonts w:ascii="Arial" w:hAnsi="Arial" w:cs="Arial"/>
                <w:i/>
                <w:sz w:val="18"/>
                <w:szCs w:val="18"/>
              </w:rPr>
              <w:t>spread</w:t>
            </w:r>
            <w:r w:rsidRPr="003F305C">
              <w:rPr>
                <w:rFonts w:ascii="Arial" w:hAnsi="Arial" w:cs="Arial"/>
                <w:sz w:val="18"/>
                <w:szCs w:val="18"/>
              </w:rPr>
              <w:t>) promedio entre tasas activas y pasivas</w:t>
            </w:r>
          </w:p>
        </w:tc>
        <w:tc>
          <w:tcPr>
            <w:tcW w:w="1439" w:type="dxa"/>
            <w:tcBorders>
              <w:top w:val="single" w:sz="4" w:space="0" w:color="000000"/>
              <w:left w:val="single" w:sz="4" w:space="0" w:color="000000"/>
              <w:bottom w:val="single" w:sz="4" w:space="0" w:color="000000"/>
              <w:right w:val="single" w:sz="4" w:space="0" w:color="000000"/>
            </w:tcBorders>
            <w:vAlign w:val="center"/>
          </w:tcPr>
          <w:p w14:paraId="5B53EBE9"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Puntos básicos</w:t>
            </w:r>
          </w:p>
        </w:tc>
        <w:tc>
          <w:tcPr>
            <w:tcW w:w="1169" w:type="dxa"/>
            <w:tcBorders>
              <w:top w:val="single" w:sz="4" w:space="0" w:color="000000"/>
              <w:left w:val="single" w:sz="4" w:space="0" w:color="000000"/>
              <w:bottom w:val="single" w:sz="4" w:space="0" w:color="000000"/>
              <w:right w:val="single" w:sz="4" w:space="0" w:color="000000"/>
            </w:tcBorders>
            <w:vAlign w:val="center"/>
          </w:tcPr>
          <w:p w14:paraId="3D8E3817"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621</w:t>
            </w:r>
          </w:p>
        </w:tc>
        <w:tc>
          <w:tcPr>
            <w:tcW w:w="1170" w:type="dxa"/>
            <w:tcBorders>
              <w:top w:val="single" w:sz="4" w:space="0" w:color="000000"/>
              <w:left w:val="single" w:sz="4" w:space="0" w:color="000000"/>
              <w:bottom w:val="single" w:sz="4" w:space="0" w:color="000000"/>
              <w:right w:val="single" w:sz="4" w:space="0" w:color="000000"/>
            </w:tcBorders>
            <w:vAlign w:val="center"/>
          </w:tcPr>
          <w:p w14:paraId="140A9A28"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990" w:type="dxa"/>
            <w:tcBorders>
              <w:top w:val="single" w:sz="4" w:space="0" w:color="000000"/>
              <w:left w:val="single" w:sz="4" w:space="0" w:color="000000"/>
              <w:bottom w:val="single" w:sz="4" w:space="0" w:color="000000"/>
              <w:right w:val="single" w:sz="4" w:space="0" w:color="000000"/>
            </w:tcBorders>
            <w:vAlign w:val="center"/>
          </w:tcPr>
          <w:p w14:paraId="75C8B52A" w14:textId="77777777" w:rsidR="00F81D51" w:rsidRPr="00B36BE9" w:rsidRDefault="00F81D51" w:rsidP="00B36BE9">
            <w:pPr>
              <w:spacing w:before="40" w:after="40"/>
              <w:jc w:val="center"/>
              <w:rPr>
                <w:rFonts w:ascii="Arial" w:hAnsi="Arial" w:cs="Arial"/>
                <w:sz w:val="18"/>
                <w:szCs w:val="18"/>
                <w:lang w:val="es-CO"/>
              </w:rPr>
            </w:pPr>
            <w:r w:rsidRPr="00B36BE9">
              <w:rPr>
                <w:rFonts w:ascii="Arial" w:hAnsi="Arial" w:cs="Arial"/>
                <w:sz w:val="18"/>
                <w:szCs w:val="18"/>
                <w:lang w:val="es-CO"/>
              </w:rPr>
              <w:t>605</w:t>
            </w:r>
          </w:p>
        </w:tc>
        <w:tc>
          <w:tcPr>
            <w:tcW w:w="1713" w:type="dxa"/>
            <w:tcBorders>
              <w:top w:val="single" w:sz="4" w:space="0" w:color="000000"/>
              <w:left w:val="single" w:sz="4" w:space="0" w:color="000000"/>
              <w:bottom w:val="single" w:sz="4" w:space="0" w:color="000000"/>
              <w:right w:val="single" w:sz="4" w:space="0" w:color="000000"/>
            </w:tcBorders>
            <w:vAlign w:val="center"/>
          </w:tcPr>
          <w:p w14:paraId="2FDAF4C9"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Banco de la República</w:t>
            </w:r>
          </w:p>
        </w:tc>
        <w:tc>
          <w:tcPr>
            <w:tcW w:w="4860" w:type="dxa"/>
            <w:tcBorders>
              <w:top w:val="single" w:sz="4" w:space="0" w:color="000000"/>
              <w:left w:val="single" w:sz="4" w:space="0" w:color="000000"/>
              <w:bottom w:val="single" w:sz="4" w:space="0" w:color="000000"/>
              <w:right w:val="single" w:sz="4" w:space="0" w:color="000000"/>
            </w:tcBorders>
            <w:vAlign w:val="center"/>
          </w:tcPr>
          <w:p w14:paraId="7DED857A" w14:textId="77777777" w:rsidR="00F81D51" w:rsidRPr="00B36BE9" w:rsidRDefault="00F81D51" w:rsidP="00B36BE9">
            <w:pPr>
              <w:spacing w:before="40" w:after="40"/>
              <w:jc w:val="both"/>
              <w:rPr>
                <w:rFonts w:ascii="Arial" w:hAnsi="Arial" w:cs="Arial"/>
                <w:sz w:val="18"/>
                <w:szCs w:val="18"/>
                <w:lang w:val="es-CO"/>
              </w:rPr>
            </w:pPr>
            <w:r w:rsidRPr="00B36BE9">
              <w:rPr>
                <w:rFonts w:ascii="Arial" w:hAnsi="Arial" w:cs="Arial"/>
                <w:sz w:val="18"/>
                <w:szCs w:val="18"/>
                <w:lang w:val="es-CO"/>
              </w:rPr>
              <w:t xml:space="preserve">Diferencial promedio entre tasas activas y pasivas, según información agregada reportada por el Banco de la República. </w:t>
            </w:r>
          </w:p>
        </w:tc>
      </w:tr>
      <w:tr w:rsidR="00B00E26" w:rsidRPr="00445CB7" w14:paraId="02AF6CA3" w14:textId="77777777" w:rsidTr="00625253">
        <w:trPr>
          <w:trHeight w:val="368"/>
        </w:trPr>
        <w:tc>
          <w:tcPr>
            <w:tcW w:w="13338" w:type="dxa"/>
            <w:gridSpan w:val="7"/>
            <w:tcBorders>
              <w:top w:val="single" w:sz="4" w:space="0" w:color="000000"/>
              <w:left w:val="single" w:sz="4" w:space="0" w:color="000000"/>
              <w:bottom w:val="single" w:sz="4" w:space="0" w:color="000000"/>
              <w:right w:val="single" w:sz="4" w:space="0" w:color="000000"/>
            </w:tcBorders>
            <w:vAlign w:val="center"/>
            <w:hideMark/>
          </w:tcPr>
          <w:p w14:paraId="108613B9" w14:textId="77777777" w:rsidR="00B00E26" w:rsidRPr="00B00E26" w:rsidRDefault="00B00E26" w:rsidP="003A35A9">
            <w:pPr>
              <w:spacing w:before="120" w:after="120" w:line="240" w:lineRule="auto"/>
              <w:rPr>
                <w:rFonts w:ascii="Arial" w:hAnsi="Arial" w:cs="Arial"/>
                <w:sz w:val="20"/>
                <w:szCs w:val="20"/>
                <w:lang w:val="es-ES_tradnl" w:eastAsia="zh-CN"/>
              </w:rPr>
            </w:pPr>
            <w:r w:rsidRPr="00B00E26">
              <w:rPr>
                <w:rFonts w:ascii="Arial" w:hAnsi="Arial" w:cs="Arial"/>
                <w:b/>
                <w:caps/>
                <w:sz w:val="20"/>
                <w:szCs w:val="20"/>
                <w:u w:val="single"/>
                <w:lang w:val="es-ES_tradnl" w:eastAsia="zh-CN"/>
              </w:rPr>
              <w:t>Componente Iv: Mejoras de la Inclusi</w:t>
            </w:r>
            <w:r>
              <w:rPr>
                <w:rFonts w:ascii="Arial" w:hAnsi="Arial" w:cs="Arial"/>
                <w:b/>
                <w:caps/>
                <w:sz w:val="20"/>
                <w:szCs w:val="20"/>
                <w:u w:val="single"/>
                <w:lang w:val="es-ES_tradnl" w:eastAsia="zh-CN"/>
              </w:rPr>
              <w:t>ón Financiera</w:t>
            </w:r>
          </w:p>
        </w:tc>
      </w:tr>
      <w:tr w:rsidR="00F81D51" w:rsidRPr="00445CB7" w14:paraId="28FA82DB"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1EE7672F" w14:textId="77777777" w:rsidR="00F81D51" w:rsidRPr="00B36BE9" w:rsidRDefault="00F81D51" w:rsidP="00B36BE9">
            <w:pPr>
              <w:pStyle w:val="ListParagraph"/>
              <w:spacing w:before="40" w:after="40" w:line="240" w:lineRule="auto"/>
              <w:ind w:left="0"/>
              <w:rPr>
                <w:rFonts w:ascii="Arial" w:hAnsi="Arial" w:cs="Arial"/>
                <w:sz w:val="18"/>
                <w:szCs w:val="18"/>
              </w:rPr>
            </w:pPr>
            <w:r w:rsidRPr="003F305C">
              <w:rPr>
                <w:rFonts w:ascii="Arial" w:hAnsi="Arial" w:cs="Arial"/>
                <w:sz w:val="18"/>
                <w:szCs w:val="18"/>
              </w:rPr>
              <w:t>Adultos con al menos un producto financiero.</w:t>
            </w:r>
          </w:p>
        </w:tc>
        <w:tc>
          <w:tcPr>
            <w:tcW w:w="1439" w:type="dxa"/>
            <w:tcBorders>
              <w:top w:val="single" w:sz="4" w:space="0" w:color="000000"/>
              <w:left w:val="single" w:sz="4" w:space="0" w:color="000000"/>
              <w:bottom w:val="single" w:sz="4" w:space="0" w:color="000000"/>
              <w:right w:val="single" w:sz="4" w:space="0" w:color="000000"/>
            </w:tcBorders>
            <w:vAlign w:val="center"/>
          </w:tcPr>
          <w:p w14:paraId="2E6E31DF"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547C008B"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69%</w:t>
            </w:r>
          </w:p>
        </w:tc>
        <w:tc>
          <w:tcPr>
            <w:tcW w:w="1170" w:type="dxa"/>
            <w:tcBorders>
              <w:top w:val="single" w:sz="4" w:space="0" w:color="000000"/>
              <w:left w:val="single" w:sz="4" w:space="0" w:color="000000"/>
              <w:bottom w:val="single" w:sz="4" w:space="0" w:color="000000"/>
              <w:right w:val="single" w:sz="4" w:space="0" w:color="000000"/>
            </w:tcBorders>
            <w:vAlign w:val="center"/>
          </w:tcPr>
          <w:p w14:paraId="342DA7BE" w14:textId="77777777" w:rsidR="00F81D51" w:rsidRPr="00B36BE9" w:rsidRDefault="002A23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990" w:type="dxa"/>
            <w:tcBorders>
              <w:top w:val="single" w:sz="4" w:space="0" w:color="000000"/>
              <w:left w:val="single" w:sz="4" w:space="0" w:color="000000"/>
              <w:bottom w:val="single" w:sz="4" w:space="0" w:color="000000"/>
              <w:right w:val="single" w:sz="4" w:space="0" w:color="000000"/>
            </w:tcBorders>
            <w:vAlign w:val="center"/>
          </w:tcPr>
          <w:p w14:paraId="5688F64B" w14:textId="77777777" w:rsidR="00F81D51" w:rsidRPr="00B36BE9" w:rsidRDefault="00F81D51" w:rsidP="00B36BE9">
            <w:pPr>
              <w:spacing w:before="40" w:after="40"/>
              <w:jc w:val="center"/>
              <w:rPr>
                <w:rFonts w:ascii="Arial" w:hAnsi="Arial" w:cs="Arial"/>
                <w:sz w:val="18"/>
                <w:szCs w:val="18"/>
                <w:lang w:val="es-CO"/>
              </w:rPr>
            </w:pPr>
            <w:r w:rsidRPr="00B36BE9">
              <w:rPr>
                <w:rFonts w:ascii="Arial" w:hAnsi="Arial" w:cs="Arial"/>
                <w:sz w:val="18"/>
                <w:szCs w:val="18"/>
                <w:lang w:val="es-CO"/>
              </w:rPr>
              <w:t>75%</w:t>
            </w:r>
          </w:p>
        </w:tc>
        <w:tc>
          <w:tcPr>
            <w:tcW w:w="1713" w:type="dxa"/>
            <w:tcBorders>
              <w:top w:val="single" w:sz="4" w:space="0" w:color="000000"/>
              <w:left w:val="single" w:sz="4" w:space="0" w:color="000000"/>
              <w:bottom w:val="single" w:sz="4" w:space="0" w:color="000000"/>
              <w:right w:val="single" w:sz="4" w:space="0" w:color="000000"/>
            </w:tcBorders>
            <w:vAlign w:val="center"/>
          </w:tcPr>
          <w:p w14:paraId="5F5D8604"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CIFIN y DANE</w:t>
            </w:r>
          </w:p>
        </w:tc>
        <w:tc>
          <w:tcPr>
            <w:tcW w:w="4860" w:type="dxa"/>
            <w:tcBorders>
              <w:top w:val="single" w:sz="4" w:space="0" w:color="000000"/>
              <w:left w:val="single" w:sz="4" w:space="0" w:color="000000"/>
              <w:bottom w:val="single" w:sz="4" w:space="0" w:color="000000"/>
              <w:right w:val="single" w:sz="4" w:space="0" w:color="000000"/>
            </w:tcBorders>
          </w:tcPr>
          <w:p w14:paraId="21EB4170" w14:textId="77777777" w:rsidR="00F81D51" w:rsidRPr="00B36BE9" w:rsidRDefault="00F81D51" w:rsidP="00B36BE9">
            <w:pPr>
              <w:autoSpaceDE w:val="0"/>
              <w:autoSpaceDN w:val="0"/>
              <w:adjustRightInd w:val="0"/>
              <w:spacing w:before="40" w:after="40"/>
              <w:jc w:val="both"/>
              <w:rPr>
                <w:rFonts w:ascii="Arial" w:hAnsi="Arial" w:cs="Arial"/>
                <w:sz w:val="18"/>
                <w:szCs w:val="18"/>
                <w:lang w:val="es-CO"/>
              </w:rPr>
            </w:pPr>
            <w:r w:rsidRPr="00B36BE9">
              <w:rPr>
                <w:rFonts w:ascii="Arial" w:hAnsi="Arial" w:cs="Arial"/>
                <w:sz w:val="18"/>
                <w:szCs w:val="18"/>
                <w:lang w:val="es-CO"/>
              </w:rPr>
              <w:t>La línea de base utilizada es el porcentaje de adultos con al menos un producto financiero sobre el total de adultos.</w:t>
            </w:r>
          </w:p>
          <w:p w14:paraId="593A3470" w14:textId="26F634E3" w:rsidR="00F81D51" w:rsidRPr="00B36BE9" w:rsidRDefault="00F81D51" w:rsidP="00F61A0E">
            <w:pPr>
              <w:autoSpaceDE w:val="0"/>
              <w:autoSpaceDN w:val="0"/>
              <w:adjustRightInd w:val="0"/>
              <w:spacing w:before="40" w:after="40"/>
              <w:jc w:val="both"/>
              <w:rPr>
                <w:rFonts w:ascii="Arial" w:hAnsi="Arial" w:cs="Arial"/>
                <w:sz w:val="18"/>
                <w:szCs w:val="18"/>
                <w:lang w:val="es-CO"/>
              </w:rPr>
            </w:pPr>
            <w:r w:rsidRPr="00B36BE9">
              <w:rPr>
                <w:rFonts w:ascii="Arial" w:hAnsi="Arial" w:cs="Arial"/>
                <w:sz w:val="18"/>
                <w:szCs w:val="18"/>
                <w:lang w:val="es-CO"/>
              </w:rPr>
              <w:t>Como producto de las reformas implementadas, se prevé que el incremento de los adultos con al menos un producto financiero sobre el total de adultos sea de 75% a 2020.</w:t>
            </w:r>
          </w:p>
        </w:tc>
      </w:tr>
      <w:tr w:rsidR="00F81D51" w:rsidRPr="00445CB7" w14:paraId="09424B3D" w14:textId="77777777" w:rsidTr="00625253">
        <w:trPr>
          <w:trHeight w:val="64"/>
        </w:trPr>
        <w:tc>
          <w:tcPr>
            <w:tcW w:w="1997" w:type="dxa"/>
            <w:tcBorders>
              <w:top w:val="single" w:sz="4" w:space="0" w:color="000000"/>
              <w:left w:val="single" w:sz="4" w:space="0" w:color="000000"/>
              <w:bottom w:val="single" w:sz="4" w:space="0" w:color="000000"/>
              <w:right w:val="single" w:sz="4" w:space="0" w:color="000000"/>
            </w:tcBorders>
            <w:vAlign w:val="center"/>
            <w:hideMark/>
          </w:tcPr>
          <w:p w14:paraId="2D7AE10E" w14:textId="4DB7FB80" w:rsidR="00F81D51" w:rsidRPr="00B36BE9" w:rsidRDefault="003D7F28" w:rsidP="003D7F28">
            <w:pPr>
              <w:pStyle w:val="ListParagraph"/>
              <w:spacing w:before="40" w:after="40" w:line="240" w:lineRule="auto"/>
              <w:ind w:left="0"/>
              <w:rPr>
                <w:rFonts w:ascii="Arial" w:hAnsi="Arial" w:cs="Arial"/>
                <w:sz w:val="18"/>
                <w:szCs w:val="18"/>
              </w:rPr>
            </w:pPr>
            <w:r>
              <w:rPr>
                <w:rFonts w:ascii="Arial" w:hAnsi="Arial" w:cs="Arial"/>
                <w:sz w:val="18"/>
                <w:szCs w:val="18"/>
              </w:rPr>
              <w:t xml:space="preserve">Promedio simple de los </w:t>
            </w:r>
            <w:r w:rsidR="00F81D51" w:rsidRPr="003F305C">
              <w:rPr>
                <w:rFonts w:ascii="Arial" w:hAnsi="Arial" w:cs="Arial"/>
                <w:sz w:val="18"/>
                <w:szCs w:val="18"/>
              </w:rPr>
              <w:t xml:space="preserve">saldos mínimos en cuentas de ahorro en </w:t>
            </w:r>
            <w:r>
              <w:rPr>
                <w:rFonts w:ascii="Arial" w:hAnsi="Arial" w:cs="Arial"/>
                <w:sz w:val="18"/>
                <w:szCs w:val="18"/>
              </w:rPr>
              <w:t xml:space="preserve">los </w:t>
            </w:r>
            <w:r w:rsidR="00F81D51" w:rsidRPr="003F305C">
              <w:rPr>
                <w:rFonts w:ascii="Arial" w:hAnsi="Arial" w:cs="Arial"/>
                <w:sz w:val="18"/>
                <w:szCs w:val="18"/>
              </w:rPr>
              <w:t>principales bancos.</w:t>
            </w:r>
          </w:p>
        </w:tc>
        <w:tc>
          <w:tcPr>
            <w:tcW w:w="1439" w:type="dxa"/>
            <w:tcBorders>
              <w:top w:val="single" w:sz="4" w:space="0" w:color="000000"/>
              <w:left w:val="single" w:sz="4" w:space="0" w:color="000000"/>
              <w:bottom w:val="single" w:sz="4" w:space="0" w:color="000000"/>
              <w:right w:val="single" w:sz="4" w:space="0" w:color="000000"/>
            </w:tcBorders>
            <w:vAlign w:val="center"/>
          </w:tcPr>
          <w:p w14:paraId="5E18933A" w14:textId="3E58356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CO</w:t>
            </w:r>
            <w:r w:rsidR="001A576E">
              <w:rPr>
                <w:rFonts w:ascii="Arial" w:hAnsi="Arial" w:cs="Arial"/>
                <w:sz w:val="18"/>
                <w:szCs w:val="18"/>
                <w:lang w:val="es-CO"/>
              </w:rPr>
              <w:t>P</w:t>
            </w:r>
            <w:r w:rsidRPr="00B36BE9">
              <w:rPr>
                <w:rFonts w:ascii="Arial" w:hAnsi="Arial" w:cs="Arial"/>
                <w:sz w:val="18"/>
                <w:szCs w:val="18"/>
                <w:lang w:val="es-CO"/>
              </w:rPr>
              <w:t>$ constantes 2015</w:t>
            </w:r>
          </w:p>
        </w:tc>
        <w:tc>
          <w:tcPr>
            <w:tcW w:w="1169" w:type="dxa"/>
            <w:tcBorders>
              <w:top w:val="single" w:sz="4" w:space="0" w:color="000000"/>
              <w:left w:val="single" w:sz="4" w:space="0" w:color="000000"/>
              <w:bottom w:val="single" w:sz="4" w:space="0" w:color="000000"/>
              <w:right w:val="single" w:sz="4" w:space="0" w:color="000000"/>
            </w:tcBorders>
            <w:vAlign w:val="center"/>
          </w:tcPr>
          <w:p w14:paraId="6FD4FA4C" w14:textId="77777777"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316.667</w:t>
            </w:r>
          </w:p>
        </w:tc>
        <w:tc>
          <w:tcPr>
            <w:tcW w:w="1170" w:type="dxa"/>
            <w:tcBorders>
              <w:top w:val="single" w:sz="4" w:space="0" w:color="000000"/>
              <w:left w:val="single" w:sz="4" w:space="0" w:color="000000"/>
              <w:bottom w:val="single" w:sz="4" w:space="0" w:color="000000"/>
              <w:right w:val="single" w:sz="4" w:space="0" w:color="000000"/>
            </w:tcBorders>
            <w:vAlign w:val="center"/>
          </w:tcPr>
          <w:p w14:paraId="58933AD5" w14:textId="77777777" w:rsidR="00F81D51" w:rsidRPr="00B36BE9" w:rsidRDefault="002A23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990" w:type="dxa"/>
            <w:tcBorders>
              <w:top w:val="single" w:sz="4" w:space="0" w:color="000000"/>
              <w:left w:val="single" w:sz="4" w:space="0" w:color="000000"/>
              <w:bottom w:val="single" w:sz="4" w:space="0" w:color="000000"/>
              <w:right w:val="single" w:sz="4" w:space="0" w:color="000000"/>
            </w:tcBorders>
            <w:vAlign w:val="center"/>
          </w:tcPr>
          <w:p w14:paraId="2344D592" w14:textId="77777777" w:rsidR="00F81D51" w:rsidRPr="00B36BE9" w:rsidRDefault="00F81D51" w:rsidP="00B36BE9">
            <w:pPr>
              <w:spacing w:before="40" w:after="40"/>
              <w:jc w:val="center"/>
              <w:rPr>
                <w:rFonts w:ascii="Arial" w:hAnsi="Arial" w:cs="Arial"/>
                <w:sz w:val="18"/>
                <w:szCs w:val="18"/>
                <w:lang w:val="es-CO"/>
              </w:rPr>
            </w:pPr>
            <w:r w:rsidRPr="00B36BE9">
              <w:rPr>
                <w:rFonts w:ascii="Arial" w:hAnsi="Arial" w:cs="Arial"/>
                <w:sz w:val="18"/>
                <w:szCs w:val="18"/>
                <w:lang w:val="es-CO"/>
              </w:rPr>
              <w:t>253.333</w:t>
            </w:r>
          </w:p>
        </w:tc>
        <w:tc>
          <w:tcPr>
            <w:tcW w:w="1713" w:type="dxa"/>
            <w:tcBorders>
              <w:top w:val="single" w:sz="4" w:space="0" w:color="000000"/>
              <w:left w:val="single" w:sz="4" w:space="0" w:color="000000"/>
              <w:bottom w:val="single" w:sz="4" w:space="0" w:color="000000"/>
              <w:right w:val="single" w:sz="4" w:space="0" w:color="000000"/>
            </w:tcBorders>
            <w:vAlign w:val="center"/>
          </w:tcPr>
          <w:p w14:paraId="22C213DD" w14:textId="61DF8C1E" w:rsidR="00F81D51" w:rsidRPr="00B36BE9" w:rsidRDefault="00F81D51"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 xml:space="preserve">Páginas web de Bancolombia, </w:t>
            </w:r>
            <w:r w:rsidR="005A4C49">
              <w:rPr>
                <w:rFonts w:ascii="Arial" w:hAnsi="Arial" w:cs="Arial"/>
                <w:sz w:val="18"/>
                <w:szCs w:val="18"/>
                <w:lang w:val="es-CO"/>
              </w:rPr>
              <w:t>BBVA Colombia y Banco de Bogotá</w:t>
            </w:r>
          </w:p>
        </w:tc>
        <w:tc>
          <w:tcPr>
            <w:tcW w:w="4860" w:type="dxa"/>
            <w:tcBorders>
              <w:top w:val="single" w:sz="4" w:space="0" w:color="000000"/>
              <w:left w:val="single" w:sz="4" w:space="0" w:color="000000"/>
              <w:bottom w:val="single" w:sz="4" w:space="0" w:color="000000"/>
              <w:right w:val="single" w:sz="4" w:space="0" w:color="000000"/>
            </w:tcBorders>
          </w:tcPr>
          <w:p w14:paraId="0A80C640" w14:textId="74BA8D27" w:rsidR="00F81D51" w:rsidRPr="00B36BE9" w:rsidRDefault="00F81D51" w:rsidP="001A576E">
            <w:pPr>
              <w:autoSpaceDE w:val="0"/>
              <w:autoSpaceDN w:val="0"/>
              <w:adjustRightInd w:val="0"/>
              <w:spacing w:before="40" w:after="40"/>
              <w:jc w:val="both"/>
              <w:rPr>
                <w:rFonts w:ascii="Arial" w:hAnsi="Arial" w:cs="Arial"/>
                <w:sz w:val="18"/>
                <w:szCs w:val="18"/>
                <w:lang w:val="es-CO"/>
              </w:rPr>
            </w:pPr>
            <w:r w:rsidRPr="00B36BE9">
              <w:rPr>
                <w:rFonts w:ascii="Arial" w:hAnsi="Arial" w:cs="Arial"/>
                <w:sz w:val="18"/>
                <w:szCs w:val="18"/>
                <w:lang w:val="es-CO"/>
              </w:rPr>
              <w:t xml:space="preserve">. Promedio simple de los </w:t>
            </w:r>
            <w:r w:rsidR="003D7F28">
              <w:rPr>
                <w:rFonts w:ascii="Arial" w:hAnsi="Arial" w:cs="Arial"/>
                <w:sz w:val="18"/>
                <w:szCs w:val="18"/>
                <w:lang w:val="es-CO"/>
              </w:rPr>
              <w:t xml:space="preserve">saldos </w:t>
            </w:r>
            <w:r w:rsidR="003D7F28" w:rsidRPr="00B36BE9">
              <w:rPr>
                <w:rFonts w:ascii="Arial" w:hAnsi="Arial" w:cs="Arial"/>
                <w:sz w:val="18"/>
                <w:szCs w:val="18"/>
                <w:lang w:val="es-CO"/>
              </w:rPr>
              <w:t>mínimo</w:t>
            </w:r>
            <w:r w:rsidR="003D7F28">
              <w:rPr>
                <w:rFonts w:ascii="Arial" w:hAnsi="Arial" w:cs="Arial"/>
                <w:sz w:val="18"/>
                <w:szCs w:val="18"/>
                <w:lang w:val="es-CO"/>
              </w:rPr>
              <w:t>s</w:t>
            </w:r>
            <w:r w:rsidR="003D7F28" w:rsidRPr="00B36BE9">
              <w:rPr>
                <w:rFonts w:ascii="Arial" w:hAnsi="Arial" w:cs="Arial"/>
                <w:sz w:val="18"/>
                <w:szCs w:val="18"/>
                <w:lang w:val="es-CO"/>
              </w:rPr>
              <w:t xml:space="preserve"> </w:t>
            </w:r>
            <w:r w:rsidR="003D7F28">
              <w:rPr>
                <w:rFonts w:ascii="Arial" w:hAnsi="Arial" w:cs="Arial"/>
                <w:sz w:val="18"/>
                <w:szCs w:val="18"/>
                <w:lang w:val="es-CO"/>
              </w:rPr>
              <w:t>fijados en cuentas de ahorro para tres instituciones financieras (Bancolombia, BBVA Colombia y Banco de Bogotá)</w:t>
            </w:r>
            <w:r w:rsidR="003D7F28" w:rsidRPr="00B36BE9">
              <w:rPr>
                <w:rFonts w:ascii="Arial" w:hAnsi="Arial" w:cs="Arial"/>
                <w:sz w:val="18"/>
                <w:szCs w:val="18"/>
                <w:lang w:val="es-CO"/>
              </w:rPr>
              <w:t xml:space="preserve"> para percibir intereses</w:t>
            </w:r>
            <w:r w:rsidRPr="00B36BE9">
              <w:rPr>
                <w:rFonts w:ascii="Arial" w:hAnsi="Arial" w:cs="Arial"/>
                <w:sz w:val="18"/>
                <w:szCs w:val="18"/>
                <w:lang w:val="es-CO"/>
              </w:rPr>
              <w:t xml:space="preserve">. </w:t>
            </w:r>
            <w:r w:rsidR="001B3A03">
              <w:rPr>
                <w:rFonts w:ascii="Arial" w:hAnsi="Arial" w:cs="Arial"/>
                <w:sz w:val="18"/>
                <w:szCs w:val="18"/>
                <w:lang w:val="es-CO"/>
              </w:rPr>
              <w:t xml:space="preserve">Como producto de las reformas implementadas, se espera que el promedio simple de los </w:t>
            </w:r>
            <w:r w:rsidR="001B3A03">
              <w:rPr>
                <w:rFonts w:ascii="Arial" w:hAnsi="Arial" w:cs="Arial"/>
                <w:sz w:val="18"/>
                <w:szCs w:val="18"/>
                <w:lang w:val="es-CO"/>
              </w:rPr>
              <w:lastRenderedPageBreak/>
              <w:t xml:space="preserve">saldos mínimos en cuentas de ahorro para los tres bancos se </w:t>
            </w:r>
            <w:r w:rsidR="001A576E" w:rsidRPr="00E339EA">
              <w:rPr>
                <w:rFonts w:ascii="Arial" w:hAnsi="Arial" w:cs="Arial"/>
                <w:sz w:val="18"/>
                <w:szCs w:val="18"/>
                <w:lang w:val="es-CO"/>
              </w:rPr>
              <w:t xml:space="preserve">disminuya </w:t>
            </w:r>
            <w:r w:rsidR="001B3A03" w:rsidRPr="00E339EA">
              <w:rPr>
                <w:rFonts w:ascii="Arial" w:hAnsi="Arial" w:cs="Arial"/>
                <w:sz w:val="18"/>
                <w:szCs w:val="18"/>
                <w:lang w:val="es-CO"/>
              </w:rPr>
              <w:t>a CO</w:t>
            </w:r>
            <w:r w:rsidR="001A576E" w:rsidRPr="00E339EA">
              <w:rPr>
                <w:rFonts w:ascii="Arial" w:hAnsi="Arial" w:cs="Arial"/>
                <w:sz w:val="18"/>
                <w:szCs w:val="18"/>
                <w:lang w:val="es-CO"/>
              </w:rPr>
              <w:t>P</w:t>
            </w:r>
            <w:r w:rsidR="001B3A03" w:rsidRPr="00E339EA">
              <w:rPr>
                <w:rFonts w:ascii="Arial" w:hAnsi="Arial" w:cs="Arial"/>
                <w:sz w:val="18"/>
                <w:szCs w:val="18"/>
                <w:lang w:val="es-CO"/>
              </w:rPr>
              <w:t>$ 253.333.</w:t>
            </w:r>
          </w:p>
        </w:tc>
      </w:tr>
      <w:tr w:rsidR="002B7AE5" w:rsidRPr="00445CB7" w14:paraId="2E987DD9" w14:textId="77777777" w:rsidTr="00E339EA">
        <w:trPr>
          <w:trHeight w:val="64"/>
        </w:trPr>
        <w:tc>
          <w:tcPr>
            <w:tcW w:w="1997" w:type="dxa"/>
            <w:tcBorders>
              <w:top w:val="single" w:sz="4" w:space="0" w:color="000000"/>
              <w:left w:val="single" w:sz="4" w:space="0" w:color="000000"/>
              <w:bottom w:val="single" w:sz="4" w:space="0" w:color="000000"/>
              <w:right w:val="single" w:sz="4" w:space="0" w:color="000000"/>
            </w:tcBorders>
            <w:vAlign w:val="center"/>
          </w:tcPr>
          <w:p w14:paraId="391F46BB" w14:textId="25C14BD4" w:rsidR="002B7AE5" w:rsidRPr="003F305C" w:rsidRDefault="002B7AE5" w:rsidP="001B3A03">
            <w:pPr>
              <w:pStyle w:val="ListParagraph"/>
              <w:spacing w:before="40" w:after="40" w:line="240" w:lineRule="auto"/>
              <w:ind w:left="0"/>
              <w:rPr>
                <w:rFonts w:ascii="Arial" w:hAnsi="Arial" w:cs="Arial"/>
                <w:sz w:val="18"/>
                <w:szCs w:val="18"/>
              </w:rPr>
            </w:pPr>
            <w:r w:rsidRPr="002B7AE5">
              <w:rPr>
                <w:rFonts w:ascii="Arial" w:hAnsi="Arial" w:cs="Arial"/>
                <w:sz w:val="18"/>
                <w:szCs w:val="18"/>
              </w:rPr>
              <w:lastRenderedPageBreak/>
              <w:t>Porcentaje de</w:t>
            </w:r>
            <w:r>
              <w:rPr>
                <w:rFonts w:ascii="Arial" w:hAnsi="Arial" w:cs="Arial"/>
                <w:sz w:val="18"/>
                <w:szCs w:val="18"/>
              </w:rPr>
              <w:t xml:space="preserve"> </w:t>
            </w:r>
            <w:r w:rsidR="001B3A03">
              <w:rPr>
                <w:rFonts w:ascii="Arial" w:hAnsi="Arial" w:cs="Arial"/>
                <w:sz w:val="18"/>
                <w:szCs w:val="18"/>
              </w:rPr>
              <w:t xml:space="preserve">micro, pequeñas y medianas empresas (MIPYME) </w:t>
            </w:r>
            <w:r w:rsidRPr="002B7AE5">
              <w:rPr>
                <w:rFonts w:ascii="Arial" w:hAnsi="Arial" w:cs="Arial"/>
                <w:sz w:val="18"/>
                <w:szCs w:val="18"/>
              </w:rPr>
              <w:t>con un préstamo bancario o línea de crédito</w:t>
            </w:r>
          </w:p>
        </w:tc>
        <w:tc>
          <w:tcPr>
            <w:tcW w:w="1439" w:type="dxa"/>
            <w:tcBorders>
              <w:top w:val="single" w:sz="4" w:space="0" w:color="000000"/>
              <w:left w:val="single" w:sz="4" w:space="0" w:color="000000"/>
              <w:bottom w:val="single" w:sz="4" w:space="0" w:color="000000"/>
              <w:right w:val="single" w:sz="4" w:space="0" w:color="000000"/>
            </w:tcBorders>
            <w:vAlign w:val="center"/>
          </w:tcPr>
          <w:p w14:paraId="7FE9411B" w14:textId="3EB30E81" w:rsidR="002B7AE5" w:rsidRPr="00B36BE9" w:rsidRDefault="002B7AE5"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3273AC75" w14:textId="0386CDF9" w:rsidR="002B7AE5" w:rsidRPr="00B36BE9" w:rsidRDefault="002B7AE5" w:rsidP="00B36BE9">
            <w:pPr>
              <w:spacing w:before="40" w:after="40" w:line="240" w:lineRule="auto"/>
              <w:jc w:val="center"/>
              <w:rPr>
                <w:rFonts w:ascii="Arial" w:hAnsi="Arial" w:cs="Arial"/>
                <w:sz w:val="18"/>
                <w:szCs w:val="18"/>
                <w:lang w:val="es-CO"/>
              </w:rPr>
            </w:pPr>
            <w:r>
              <w:rPr>
                <w:rFonts w:ascii="Arial" w:hAnsi="Arial" w:cs="Arial"/>
                <w:sz w:val="18"/>
                <w:szCs w:val="18"/>
                <w:lang w:val="es-CO"/>
              </w:rPr>
              <w:t>57.2%</w:t>
            </w:r>
          </w:p>
        </w:tc>
        <w:tc>
          <w:tcPr>
            <w:tcW w:w="1170" w:type="dxa"/>
            <w:tcBorders>
              <w:top w:val="single" w:sz="4" w:space="0" w:color="000000"/>
              <w:left w:val="single" w:sz="4" w:space="0" w:color="000000"/>
              <w:bottom w:val="single" w:sz="4" w:space="0" w:color="000000"/>
              <w:right w:val="single" w:sz="4" w:space="0" w:color="000000"/>
            </w:tcBorders>
            <w:vAlign w:val="center"/>
          </w:tcPr>
          <w:p w14:paraId="1AABE3E4" w14:textId="4EDE9173" w:rsidR="002B7AE5" w:rsidRPr="00B36BE9" w:rsidRDefault="002B7AE5" w:rsidP="00B36BE9">
            <w:pPr>
              <w:spacing w:before="40" w:after="40" w:line="240" w:lineRule="auto"/>
              <w:jc w:val="center"/>
              <w:rPr>
                <w:rFonts w:ascii="Arial" w:hAnsi="Arial" w:cs="Arial"/>
                <w:sz w:val="18"/>
                <w:szCs w:val="18"/>
                <w:lang w:val="es-CO"/>
              </w:rPr>
            </w:pPr>
            <w:r>
              <w:rPr>
                <w:rFonts w:ascii="Arial" w:hAnsi="Arial" w:cs="Arial"/>
                <w:sz w:val="18"/>
                <w:szCs w:val="18"/>
                <w:lang w:val="es-CO"/>
              </w:rPr>
              <w:t>2010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25E12" w14:textId="7FE4FBDD" w:rsidR="002B7AE5" w:rsidRPr="00B36BE9" w:rsidRDefault="003D7F28" w:rsidP="00B36BE9">
            <w:pPr>
              <w:spacing w:before="40" w:after="40"/>
              <w:jc w:val="center"/>
              <w:rPr>
                <w:rFonts w:ascii="Arial" w:hAnsi="Arial" w:cs="Arial"/>
                <w:sz w:val="18"/>
                <w:szCs w:val="18"/>
                <w:lang w:val="es-CO"/>
              </w:rPr>
            </w:pPr>
            <w:r>
              <w:rPr>
                <w:rFonts w:ascii="Arial" w:hAnsi="Arial" w:cs="Arial"/>
                <w:sz w:val="18"/>
                <w:szCs w:val="18"/>
                <w:lang w:val="es-CO"/>
              </w:rPr>
              <w:t>60%</w:t>
            </w:r>
          </w:p>
        </w:tc>
        <w:tc>
          <w:tcPr>
            <w:tcW w:w="1713" w:type="dxa"/>
            <w:tcBorders>
              <w:top w:val="single" w:sz="4" w:space="0" w:color="000000"/>
              <w:left w:val="single" w:sz="4" w:space="0" w:color="000000"/>
              <w:bottom w:val="single" w:sz="4" w:space="0" w:color="000000"/>
              <w:right w:val="single" w:sz="4" w:space="0" w:color="000000"/>
            </w:tcBorders>
            <w:vAlign w:val="center"/>
          </w:tcPr>
          <w:p w14:paraId="25EFB3E1" w14:textId="1E7FF91E" w:rsidR="002B7AE5" w:rsidRPr="00137A6A" w:rsidRDefault="002B7AE5" w:rsidP="00B36BE9">
            <w:pPr>
              <w:spacing w:before="40" w:after="40" w:line="240" w:lineRule="auto"/>
              <w:jc w:val="center"/>
              <w:rPr>
                <w:rFonts w:ascii="Arial" w:hAnsi="Arial" w:cs="Arial"/>
                <w:sz w:val="18"/>
                <w:szCs w:val="18"/>
              </w:rPr>
            </w:pPr>
            <w:r>
              <w:rPr>
                <w:rFonts w:ascii="Arial" w:hAnsi="Arial" w:cs="Arial"/>
                <w:sz w:val="18"/>
                <w:szCs w:val="18"/>
                <w:lang w:val="es-CO"/>
              </w:rPr>
              <w:t xml:space="preserve">Banco Mundial, </w:t>
            </w:r>
            <w:r>
              <w:rPr>
                <w:rFonts w:ascii="Arial" w:hAnsi="Arial" w:cs="Arial"/>
                <w:sz w:val="18"/>
                <w:szCs w:val="18"/>
              </w:rPr>
              <w:t>Enterprise Surveys</w:t>
            </w:r>
          </w:p>
        </w:tc>
        <w:tc>
          <w:tcPr>
            <w:tcW w:w="4860" w:type="dxa"/>
            <w:tcBorders>
              <w:top w:val="single" w:sz="4" w:space="0" w:color="000000"/>
              <w:left w:val="single" w:sz="4" w:space="0" w:color="000000"/>
              <w:bottom w:val="single" w:sz="4" w:space="0" w:color="000000"/>
              <w:right w:val="single" w:sz="4" w:space="0" w:color="000000"/>
            </w:tcBorders>
          </w:tcPr>
          <w:p w14:paraId="3AA26777" w14:textId="62C56A51" w:rsidR="002B7AE5" w:rsidRDefault="002B7AE5" w:rsidP="00B36BE9">
            <w:pPr>
              <w:autoSpaceDE w:val="0"/>
              <w:autoSpaceDN w:val="0"/>
              <w:adjustRightInd w:val="0"/>
              <w:spacing w:before="40" w:after="40"/>
              <w:jc w:val="both"/>
              <w:rPr>
                <w:rFonts w:ascii="Arial" w:hAnsi="Arial" w:cs="Arial"/>
                <w:sz w:val="18"/>
                <w:szCs w:val="18"/>
                <w:lang w:val="es-CO"/>
              </w:rPr>
            </w:pPr>
            <w:r>
              <w:rPr>
                <w:rFonts w:ascii="Arial" w:hAnsi="Arial" w:cs="Arial"/>
                <w:sz w:val="18"/>
                <w:szCs w:val="18"/>
                <w:lang w:val="es-CO"/>
              </w:rPr>
              <w:t>La línea de base utilizada es producto de la agregación de los valores para medianas empresas y para pequeñas empresas atendiendo a la representatividad de estos grupos de empresas en la economía colombiana.</w:t>
            </w:r>
          </w:p>
          <w:p w14:paraId="77D48252" w14:textId="659887A5" w:rsidR="002B7AE5" w:rsidRPr="00B36BE9" w:rsidRDefault="002B7AE5" w:rsidP="00B36BE9">
            <w:pPr>
              <w:autoSpaceDE w:val="0"/>
              <w:autoSpaceDN w:val="0"/>
              <w:adjustRightInd w:val="0"/>
              <w:spacing w:before="40" w:after="40"/>
              <w:jc w:val="both"/>
              <w:rPr>
                <w:rFonts w:ascii="Arial" w:hAnsi="Arial" w:cs="Arial"/>
                <w:sz w:val="18"/>
                <w:szCs w:val="18"/>
                <w:lang w:val="es-CO"/>
              </w:rPr>
            </w:pPr>
            <w:r>
              <w:rPr>
                <w:rFonts w:ascii="Arial" w:hAnsi="Arial" w:cs="Arial"/>
                <w:sz w:val="18"/>
                <w:szCs w:val="18"/>
                <w:lang w:val="es-CO"/>
              </w:rPr>
              <w:t>Las reformas propuestas tendrán especial impacto sobre MIPYMES ya que son estas empresas las que se enfrentan a mayores restricciones de acceso al financiamiento.</w:t>
            </w:r>
          </w:p>
        </w:tc>
      </w:tr>
    </w:tbl>
    <w:p w14:paraId="4F4D094C" w14:textId="77777777" w:rsidR="003A35A9" w:rsidRPr="006F5FBF" w:rsidRDefault="003A35A9" w:rsidP="003A35A9">
      <w:pPr>
        <w:autoSpaceDE w:val="0"/>
        <w:autoSpaceDN w:val="0"/>
        <w:adjustRightInd w:val="0"/>
        <w:spacing w:after="120" w:line="240" w:lineRule="auto"/>
        <w:jc w:val="center"/>
        <w:rPr>
          <w:rFonts w:ascii="Arial" w:hAnsi="Arial" w:cs="Arial"/>
          <w:b/>
          <w:smallCaps/>
          <w:color w:val="000000"/>
          <w:sz w:val="20"/>
          <w:szCs w:val="20"/>
          <w:lang w:val="es-ES_tradnl"/>
        </w:rPr>
      </w:pPr>
    </w:p>
    <w:p w14:paraId="16CE19E3" w14:textId="77777777" w:rsidR="00B36BE9" w:rsidRPr="006F5FBF" w:rsidRDefault="00B36BE9" w:rsidP="003A35A9">
      <w:pPr>
        <w:autoSpaceDE w:val="0"/>
        <w:autoSpaceDN w:val="0"/>
        <w:adjustRightInd w:val="0"/>
        <w:spacing w:after="120" w:line="240" w:lineRule="auto"/>
        <w:jc w:val="center"/>
        <w:rPr>
          <w:rFonts w:ascii="Arial" w:hAnsi="Arial" w:cs="Arial"/>
          <w:b/>
          <w:smallCaps/>
          <w:color w:val="000000"/>
          <w:sz w:val="20"/>
          <w:szCs w:val="20"/>
          <w:lang w:val="es-ES_tradnl"/>
        </w:rPr>
      </w:pPr>
    </w:p>
    <w:p w14:paraId="596A93E8" w14:textId="77777777" w:rsidR="00637F8D" w:rsidRPr="00B36BE9" w:rsidRDefault="009A7AE3" w:rsidP="00B36BE9">
      <w:pPr>
        <w:autoSpaceDE w:val="0"/>
        <w:autoSpaceDN w:val="0"/>
        <w:adjustRightInd w:val="0"/>
        <w:spacing w:before="120" w:after="120" w:line="240" w:lineRule="auto"/>
        <w:jc w:val="center"/>
        <w:rPr>
          <w:rFonts w:ascii="Arial" w:hAnsi="Arial" w:cs="Arial"/>
          <w:b/>
          <w:smallCaps/>
          <w:sz w:val="24"/>
          <w:szCs w:val="20"/>
        </w:rPr>
      </w:pPr>
      <w:r w:rsidRPr="00B36BE9">
        <w:rPr>
          <w:rFonts w:ascii="Arial" w:hAnsi="Arial" w:cs="Arial"/>
          <w:b/>
          <w:smallCaps/>
          <w:sz w:val="24"/>
          <w:szCs w:val="20"/>
        </w:rPr>
        <w:t>Producto</w:t>
      </w:r>
      <w:r w:rsidR="00562D13" w:rsidRPr="00B36BE9">
        <w:rPr>
          <w:rFonts w:ascii="Arial" w:hAnsi="Arial" w:cs="Arial"/>
          <w:b/>
          <w:smallCaps/>
          <w:sz w:val="24"/>
          <w:szCs w:val="20"/>
        </w:rPr>
        <w:t>s</w:t>
      </w:r>
    </w:p>
    <w:tbl>
      <w:tblPr>
        <w:tblW w:w="133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03"/>
        <w:gridCol w:w="1440"/>
        <w:gridCol w:w="1080"/>
        <w:gridCol w:w="1080"/>
        <w:gridCol w:w="1170"/>
        <w:gridCol w:w="1440"/>
        <w:gridCol w:w="5130"/>
      </w:tblGrid>
      <w:tr w:rsidR="00F81D51" w:rsidRPr="003A35A9" w14:paraId="43D26999" w14:textId="77777777" w:rsidTr="002F5C9A">
        <w:trPr>
          <w:trHeight w:val="1070"/>
          <w:tblHeader/>
        </w:trPr>
        <w:tc>
          <w:tcPr>
            <w:tcW w:w="20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8B90950" w14:textId="77777777" w:rsidR="00F81D51" w:rsidRPr="003A35A9" w:rsidRDefault="00F81D51">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Productos</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DA740B2" w14:textId="77777777" w:rsidR="00F81D51" w:rsidRPr="003A35A9" w:rsidRDefault="00F81D51">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Unidad de Medida</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4699F18" w14:textId="77777777" w:rsidR="00F81D51" w:rsidRPr="003A35A9" w:rsidRDefault="00F81D51">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 xml:space="preserve">Línea de Base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309188F" w14:textId="77777777" w:rsidR="00F81D51" w:rsidRPr="003A35A9" w:rsidRDefault="00F81D51">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 xml:space="preserve">Año </w:t>
            </w:r>
          </w:p>
          <w:p w14:paraId="1F0012AC" w14:textId="77777777" w:rsidR="00F81D51" w:rsidRPr="003A35A9" w:rsidRDefault="00F81D51">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Línea de Base</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0D91976" w14:textId="77777777" w:rsidR="00F81D51" w:rsidRPr="003A35A9" w:rsidRDefault="00F81D51" w:rsidP="003A35A9">
            <w:pPr>
              <w:spacing w:after="0" w:line="240" w:lineRule="auto"/>
              <w:rPr>
                <w:rFonts w:ascii="Arial" w:hAnsi="Arial" w:cs="Arial"/>
                <w:b/>
                <w:sz w:val="20"/>
                <w:szCs w:val="20"/>
                <w:lang w:eastAsia="zh-CN"/>
              </w:rPr>
            </w:pPr>
            <w:r w:rsidRPr="003A35A9">
              <w:rPr>
                <w:rFonts w:ascii="Arial" w:hAnsi="Arial" w:cs="Arial"/>
                <w:b/>
                <w:sz w:val="20"/>
                <w:szCs w:val="20"/>
                <w:lang w:eastAsia="zh-CN"/>
              </w:rPr>
              <w:t>Meta Final</w:t>
            </w:r>
            <w:r w:rsidRPr="003A35A9">
              <w:rPr>
                <w:rFonts w:ascii="Arial" w:hAnsi="Arial" w:cs="Arial"/>
                <w:b/>
                <w:sz w:val="20"/>
                <w:szCs w:val="20"/>
                <w:vertAlign w:val="superscript"/>
                <w:lang w:eastAsia="zh-CN"/>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3B2C0ED" w14:textId="77777777" w:rsidR="00F81D51" w:rsidRPr="003A35A9" w:rsidRDefault="00F81D51">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Medios de Verificación</w:t>
            </w:r>
          </w:p>
        </w:tc>
        <w:tc>
          <w:tcPr>
            <w:tcW w:w="5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B9FFDA4" w14:textId="77777777" w:rsidR="00F81D51" w:rsidRPr="003A35A9" w:rsidRDefault="00F81D51" w:rsidP="003A35A9">
            <w:pPr>
              <w:spacing w:after="0" w:line="240" w:lineRule="auto"/>
              <w:jc w:val="center"/>
              <w:rPr>
                <w:rFonts w:ascii="Arial" w:hAnsi="Arial" w:cs="Arial"/>
                <w:b/>
                <w:sz w:val="20"/>
                <w:szCs w:val="20"/>
                <w:lang w:eastAsia="zh-CN"/>
              </w:rPr>
            </w:pPr>
            <w:r w:rsidRPr="003A35A9">
              <w:rPr>
                <w:rFonts w:ascii="Arial" w:hAnsi="Arial" w:cs="Arial"/>
                <w:b/>
                <w:sz w:val="20"/>
                <w:szCs w:val="20"/>
                <w:lang w:eastAsia="zh-CN"/>
              </w:rPr>
              <w:t>Comentarios</w:t>
            </w:r>
            <w:r w:rsidRPr="003A35A9">
              <w:rPr>
                <w:rFonts w:ascii="Arial" w:hAnsi="Arial" w:cs="Arial"/>
                <w:b/>
                <w:sz w:val="20"/>
                <w:szCs w:val="20"/>
                <w:vertAlign w:val="superscript"/>
                <w:lang w:eastAsia="zh-CN"/>
              </w:rPr>
              <w:t>2</w:t>
            </w:r>
          </w:p>
        </w:tc>
      </w:tr>
      <w:tr w:rsidR="002A2351" w:rsidRPr="00445CB7" w14:paraId="370929C4" w14:textId="77777777" w:rsidTr="002F5C9A">
        <w:trPr>
          <w:trHeight w:val="64"/>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7A29F782" w14:textId="79B5C2AA" w:rsidR="002A2351" w:rsidRPr="002A2351" w:rsidRDefault="002A2351" w:rsidP="002A2351">
            <w:pPr>
              <w:spacing w:before="120" w:after="120" w:line="240" w:lineRule="auto"/>
              <w:rPr>
                <w:rFonts w:ascii="Arial" w:hAnsi="Arial" w:cs="Arial"/>
                <w:sz w:val="20"/>
                <w:szCs w:val="20"/>
                <w:lang w:val="es-ES_tradnl" w:eastAsia="zh-CN"/>
              </w:rPr>
            </w:pPr>
            <w:r w:rsidRPr="001A4F23">
              <w:rPr>
                <w:rFonts w:ascii="Arial" w:hAnsi="Arial" w:cs="Arial"/>
                <w:b/>
                <w:caps/>
                <w:sz w:val="20"/>
                <w:szCs w:val="20"/>
                <w:u w:val="single"/>
                <w:lang w:val="es-ES_tradnl" w:eastAsia="zh-CN"/>
              </w:rPr>
              <w:t xml:space="preserve">Componente II: mejora del financiamiento para el </w:t>
            </w:r>
            <w:r>
              <w:rPr>
                <w:rFonts w:ascii="Arial" w:hAnsi="Arial" w:cs="Arial"/>
                <w:b/>
                <w:caps/>
                <w:sz w:val="20"/>
                <w:szCs w:val="20"/>
                <w:u w:val="single"/>
                <w:lang w:val="es-ES_tradnl" w:eastAsia="zh-CN"/>
              </w:rPr>
              <w:t>desarrollo productivo</w:t>
            </w:r>
            <w:r w:rsidR="00434357">
              <w:rPr>
                <w:rFonts w:ascii="Arial" w:hAnsi="Arial" w:cs="Arial"/>
                <w:b/>
                <w:caps/>
                <w:sz w:val="20"/>
                <w:szCs w:val="20"/>
                <w:u w:val="single"/>
                <w:lang w:val="es-ES_tradnl" w:eastAsia="zh-CN"/>
              </w:rPr>
              <w:t xml:space="preserve"> Y LAS ALIANZAS PUBLICO-PRIVADAS</w:t>
            </w:r>
          </w:p>
        </w:tc>
      </w:tr>
      <w:tr w:rsidR="0064130C" w:rsidRPr="00445CB7" w14:paraId="136C87EA" w14:textId="77777777" w:rsidTr="002F5C9A">
        <w:trPr>
          <w:trHeight w:val="64"/>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33E92CE8" w14:textId="0DE7F5D1" w:rsidR="0064130C" w:rsidRPr="00FE10BE" w:rsidRDefault="008C693C" w:rsidP="00FE10BE">
            <w:pPr>
              <w:numPr>
                <w:ilvl w:val="0"/>
                <w:numId w:val="24"/>
              </w:numPr>
              <w:spacing w:before="120" w:after="120" w:line="240" w:lineRule="auto"/>
              <w:ind w:left="432"/>
              <w:rPr>
                <w:rFonts w:ascii="Arial" w:hAnsi="Arial"/>
                <w:b/>
                <w:sz w:val="20"/>
                <w:lang w:val="es-ES_tradnl"/>
              </w:rPr>
            </w:pPr>
            <w:r w:rsidRPr="00FE10BE">
              <w:rPr>
                <w:rFonts w:ascii="Arial" w:hAnsi="Arial"/>
                <w:b/>
                <w:sz w:val="20"/>
                <w:lang w:val="es-ES_tradnl"/>
              </w:rPr>
              <w:t>Fortalecimiento a los sistemas de garantía</w:t>
            </w:r>
            <w:r w:rsidR="00B36BE9">
              <w:rPr>
                <w:rFonts w:ascii="Arial" w:hAnsi="Arial"/>
                <w:b/>
                <w:sz w:val="20"/>
                <w:lang w:val="es-ES_tradnl"/>
              </w:rPr>
              <w:t>s para el desarrollo productivo</w:t>
            </w:r>
          </w:p>
        </w:tc>
      </w:tr>
      <w:tr w:rsidR="00894C3A" w:rsidRPr="00445CB7" w14:paraId="486C7CBE" w14:textId="7D246E6C" w:rsidTr="002F5C9A">
        <w:trPr>
          <w:trHeight w:val="64"/>
        </w:trPr>
        <w:tc>
          <w:tcPr>
            <w:tcW w:w="2003" w:type="dxa"/>
            <w:tcBorders>
              <w:top w:val="single" w:sz="4" w:space="0" w:color="000000"/>
              <w:left w:val="single" w:sz="4" w:space="0" w:color="000000"/>
              <w:bottom w:val="single" w:sz="4" w:space="0" w:color="000000"/>
              <w:right w:val="single" w:sz="4" w:space="0" w:color="000000"/>
            </w:tcBorders>
            <w:vAlign w:val="center"/>
          </w:tcPr>
          <w:p w14:paraId="1EECA999" w14:textId="1988D84F" w:rsidR="0075783E" w:rsidRPr="00B36BE9" w:rsidRDefault="008C693C"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El Decreto que reglamenta la ejecución de garantías mobiliarias por parte de las entidades de crédito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78330515" w14:textId="44BCB33A" w:rsidR="0075783E" w:rsidRPr="00B36BE9" w:rsidRDefault="008B1C9F"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 xml:space="preserve">Norma </w:t>
            </w:r>
            <w:r w:rsidR="0075783E" w:rsidRPr="00B36BE9">
              <w:rPr>
                <w:rFonts w:ascii="Arial" w:hAnsi="Arial" w:cs="Arial"/>
                <w:sz w:val="18"/>
                <w:szCs w:val="18"/>
                <w:lang w:val="es-CO"/>
              </w:rPr>
              <w:t>publicada</w:t>
            </w:r>
            <w:r w:rsidR="002F1BC9" w:rsidRPr="00B36BE9">
              <w:rPr>
                <w:rFonts w:ascii="Arial" w:hAnsi="Arial" w:cs="Arial"/>
                <w:sz w:val="18"/>
                <w:szCs w:val="18"/>
                <w:lang w:val="es-CO"/>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5856E0CD" w14:textId="51B28AA5" w:rsidR="0075783E" w:rsidRPr="00B36BE9" w:rsidRDefault="0075783E"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EA2C5B3" w14:textId="6CC6656E"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5C18C88A" w14:textId="732A497A" w:rsidR="0075783E" w:rsidRPr="00B36BE9" w:rsidRDefault="0075783E"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3DD250A4" w14:textId="5AE582A4" w:rsidR="0075783E" w:rsidRPr="00B36BE9" w:rsidRDefault="0075783E"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w:t>
            </w:r>
            <w:r w:rsidR="005A4C49">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607B73C0" w14:textId="77777777" w:rsidR="002A2351" w:rsidRPr="00B36BE9" w:rsidRDefault="002A2351" w:rsidP="00B36BE9">
            <w:pPr>
              <w:spacing w:before="40" w:after="40"/>
              <w:jc w:val="center"/>
              <w:rPr>
                <w:rFonts w:ascii="Arial" w:hAnsi="Arial" w:cs="Arial"/>
                <w:sz w:val="18"/>
                <w:szCs w:val="18"/>
                <w:lang w:val="es-CO"/>
              </w:rPr>
            </w:pPr>
          </w:p>
        </w:tc>
      </w:tr>
      <w:tr w:rsidR="00894C3A" w:rsidRPr="00445CB7" w14:paraId="40CFD30E" w14:textId="59CDDE71"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04FA64B6" w14:textId="5B9FCB36" w:rsidR="0075783E" w:rsidRPr="00B36BE9" w:rsidRDefault="008C693C"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La Circular sobre mecanismos de valoración de las garantías mobiliarias ha sido emitida por la Superintendencia Financiera</w:t>
            </w:r>
            <w:r w:rsidR="00D137DA" w:rsidRPr="00B36BE9">
              <w:rPr>
                <w:rFonts w:ascii="Arial" w:hAnsi="Arial" w:cs="Arial"/>
                <w:sz w:val="18"/>
                <w:szCs w:val="18"/>
              </w:rPr>
              <w:t>.</w:t>
            </w:r>
          </w:p>
        </w:tc>
        <w:tc>
          <w:tcPr>
            <w:tcW w:w="1440" w:type="dxa"/>
            <w:tcBorders>
              <w:top w:val="single" w:sz="4" w:space="0" w:color="000000"/>
              <w:left w:val="single" w:sz="4" w:space="0" w:color="000000"/>
              <w:bottom w:val="single" w:sz="4" w:space="0" w:color="000000"/>
              <w:right w:val="single" w:sz="4" w:space="0" w:color="000000"/>
            </w:tcBorders>
            <w:vAlign w:val="center"/>
          </w:tcPr>
          <w:p w14:paraId="14F64BDF" w14:textId="1F6DC4AC" w:rsidR="0075783E"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Resolución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47C974DD" w14:textId="682234A3" w:rsidR="0075783E" w:rsidRPr="00B36BE9" w:rsidRDefault="0075783E"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8AC0775" w14:textId="0DA7971E"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79B0C996" w14:textId="6DACEC80" w:rsidR="0075783E" w:rsidRPr="00B36BE9" w:rsidRDefault="0075783E"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0E32756F" w14:textId="31D1B175" w:rsidR="0075783E" w:rsidRPr="00B36BE9" w:rsidRDefault="0075783E"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20FD6750" w14:textId="77777777" w:rsidR="002A2351" w:rsidRPr="00B36BE9" w:rsidRDefault="002A2351" w:rsidP="00B36BE9">
            <w:pPr>
              <w:spacing w:before="40" w:after="40"/>
              <w:jc w:val="center"/>
              <w:rPr>
                <w:rFonts w:ascii="Arial" w:hAnsi="Arial" w:cs="Arial"/>
                <w:sz w:val="18"/>
                <w:szCs w:val="18"/>
                <w:lang w:val="es-CO"/>
              </w:rPr>
            </w:pPr>
          </w:p>
        </w:tc>
      </w:tr>
      <w:tr w:rsidR="000D7FC9" w:rsidRPr="00445CB7" w14:paraId="4AA9C9EA" w14:textId="2381CA1E"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7FE08E9B" w14:textId="2A926D4D" w:rsidR="000D7FC9" w:rsidRPr="00B36BE9" w:rsidRDefault="000D7FC9"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lastRenderedPageBreak/>
              <w:t>El Decreto que reglamenta la puesta en funcionamiento del Registro Único de Factura Electrónica ha sido emitido por el Gobierno Nacional (Ministerio de Comercio, Industria y Turismo).</w:t>
            </w:r>
          </w:p>
        </w:tc>
        <w:tc>
          <w:tcPr>
            <w:tcW w:w="1440" w:type="dxa"/>
            <w:tcBorders>
              <w:top w:val="single" w:sz="4" w:space="0" w:color="000000"/>
              <w:left w:val="single" w:sz="4" w:space="0" w:color="000000"/>
              <w:bottom w:val="single" w:sz="4" w:space="0" w:color="000000"/>
              <w:right w:val="single" w:sz="4" w:space="0" w:color="000000"/>
            </w:tcBorders>
            <w:vAlign w:val="center"/>
          </w:tcPr>
          <w:p w14:paraId="64CBDE4C" w14:textId="50734ED5"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7C1BEB8A" w14:textId="56406BCD"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08A6C91" w14:textId="715D00B5"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2ED9BF29" w14:textId="79657851" w:rsidR="000D7FC9" w:rsidRPr="00B36BE9" w:rsidRDefault="000D7FC9"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72874688" w14:textId="5491B436" w:rsidR="000D7FC9" w:rsidRPr="00B36BE9" w:rsidRDefault="000D7FC9"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6060C09A" w14:textId="77777777" w:rsidR="002A2351" w:rsidRPr="00B36BE9" w:rsidRDefault="002A2351" w:rsidP="00B36BE9">
            <w:pPr>
              <w:spacing w:before="40" w:after="40"/>
              <w:jc w:val="center"/>
              <w:rPr>
                <w:rFonts w:ascii="Arial" w:hAnsi="Arial" w:cs="Arial"/>
                <w:sz w:val="18"/>
                <w:szCs w:val="18"/>
                <w:lang w:val="es-CO"/>
              </w:rPr>
            </w:pPr>
          </w:p>
        </w:tc>
      </w:tr>
      <w:tr w:rsidR="000D7FC9" w:rsidRPr="00445CB7" w14:paraId="5F58DDCA" w14:textId="7DFF74F8"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6EB3EF3F" w14:textId="3EC71BCB" w:rsidR="00625253" w:rsidRPr="00B36BE9" w:rsidRDefault="000D7FC9"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El Decreto que reglamenta la masificación de la Factura Electrónica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07EE2A8B" w14:textId="1548FD23"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56E2C420" w14:textId="1FC3FA12"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CF7C7DC" w14:textId="17F12368"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461D8584" w14:textId="7F4B74EB" w:rsidR="000D7FC9" w:rsidRPr="00B36BE9" w:rsidRDefault="000D7FC9"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7597E5D4" w14:textId="74BB6C3B" w:rsidR="000D7FC9" w:rsidRPr="00B36BE9" w:rsidRDefault="000D7FC9"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4891D7CB" w14:textId="77777777" w:rsidR="002A2351" w:rsidRPr="00B36BE9" w:rsidRDefault="002A2351" w:rsidP="00B36BE9">
            <w:pPr>
              <w:spacing w:before="40" w:after="40"/>
              <w:jc w:val="center"/>
              <w:rPr>
                <w:rFonts w:ascii="Arial" w:hAnsi="Arial" w:cs="Arial"/>
                <w:sz w:val="18"/>
                <w:szCs w:val="18"/>
                <w:lang w:val="es-CO"/>
              </w:rPr>
            </w:pPr>
          </w:p>
        </w:tc>
      </w:tr>
      <w:tr w:rsidR="00E96796" w:rsidRPr="00445CB7" w14:paraId="762C106A"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1C54A434" w14:textId="2EAD56E4" w:rsidR="00E96796" w:rsidRPr="00FE10BE" w:rsidRDefault="00E96796" w:rsidP="00FE10BE">
            <w:pPr>
              <w:numPr>
                <w:ilvl w:val="0"/>
                <w:numId w:val="24"/>
              </w:numPr>
              <w:spacing w:before="120" w:after="120" w:line="240" w:lineRule="auto"/>
              <w:ind w:left="432"/>
              <w:rPr>
                <w:rFonts w:ascii="Arial" w:hAnsi="Arial"/>
                <w:b/>
                <w:sz w:val="20"/>
                <w:lang w:val="es-ES_tradnl"/>
              </w:rPr>
            </w:pPr>
            <w:r w:rsidRPr="00FE10BE">
              <w:rPr>
                <w:rFonts w:ascii="Arial" w:hAnsi="Arial"/>
                <w:b/>
                <w:sz w:val="20"/>
                <w:lang w:val="es-ES_tradnl"/>
              </w:rPr>
              <w:t>Fortalecimiento de las instituciones públicas para el financiamiento de</w:t>
            </w:r>
            <w:r w:rsidR="00AF3F70" w:rsidRPr="00FE10BE">
              <w:rPr>
                <w:rFonts w:ascii="Arial" w:hAnsi="Arial"/>
                <w:b/>
                <w:sz w:val="20"/>
                <w:lang w:val="es-ES_tradnl"/>
              </w:rPr>
              <w:t>l desarrollo productivo y de las</w:t>
            </w:r>
            <w:r w:rsidR="00B36BE9">
              <w:rPr>
                <w:rFonts w:ascii="Arial" w:hAnsi="Arial"/>
                <w:b/>
                <w:sz w:val="20"/>
                <w:lang w:val="es-ES_tradnl"/>
              </w:rPr>
              <w:t xml:space="preserve"> alianzas público-privadas</w:t>
            </w:r>
          </w:p>
        </w:tc>
      </w:tr>
      <w:tr w:rsidR="00976A14" w:rsidRPr="00445CB7" w14:paraId="12C41843" w14:textId="29F0AABC"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25DD7E13" w14:textId="0CDF5D65" w:rsidR="00976A14" w:rsidRPr="00B36BE9" w:rsidRDefault="00976A1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 xml:space="preserve">Los cierres financieros de contratos de concesión de cuarta generación han sido </w:t>
            </w:r>
            <w:r w:rsidR="00115B49">
              <w:rPr>
                <w:rFonts w:ascii="Arial" w:hAnsi="Arial" w:cs="Arial"/>
                <w:sz w:val="18"/>
                <w:szCs w:val="18"/>
              </w:rPr>
              <w:t>concluidos</w:t>
            </w:r>
            <w:r w:rsidR="00115B49" w:rsidRPr="00B36BE9">
              <w:rPr>
                <w:rFonts w:ascii="Arial" w:hAnsi="Arial" w:cs="Arial"/>
                <w:sz w:val="18"/>
                <w:szCs w:val="18"/>
              </w:rPr>
              <w:t xml:space="preserve"> </w:t>
            </w:r>
            <w:r w:rsidRPr="00B36BE9">
              <w:rPr>
                <w:rFonts w:ascii="Arial" w:hAnsi="Arial" w:cs="Arial"/>
                <w:sz w:val="18"/>
                <w:szCs w:val="18"/>
              </w:rPr>
              <w:t>por la Financiera de Desarrollo Nacional</w:t>
            </w:r>
            <w:r w:rsidR="00115B49">
              <w:rPr>
                <w:rFonts w:ascii="Arial" w:hAnsi="Arial" w:cs="Arial"/>
                <w:sz w:val="18"/>
                <w:szCs w:val="18"/>
              </w:rPr>
              <w:t>, haciendo uso de nuevos instrumentos financieros</w:t>
            </w:r>
            <w:r w:rsidRPr="00B36BE9">
              <w:rPr>
                <w:rFonts w:ascii="Arial" w:hAnsi="Arial" w:cs="Arial"/>
                <w:sz w:val="18"/>
                <w:szCs w:val="18"/>
              </w:rPr>
              <w:t>.</w:t>
            </w:r>
          </w:p>
        </w:tc>
        <w:tc>
          <w:tcPr>
            <w:tcW w:w="1440" w:type="dxa"/>
            <w:tcBorders>
              <w:top w:val="single" w:sz="4" w:space="0" w:color="000000"/>
              <w:left w:val="single" w:sz="4" w:space="0" w:color="000000"/>
              <w:bottom w:val="single" w:sz="4" w:space="0" w:color="000000"/>
              <w:right w:val="single" w:sz="4" w:space="0" w:color="000000"/>
            </w:tcBorders>
            <w:vAlign w:val="center"/>
          </w:tcPr>
          <w:p w14:paraId="3D3A5394" w14:textId="5A97C092" w:rsidR="00976A14" w:rsidRPr="00B36BE9" w:rsidRDefault="00976A1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01A522D8" w14:textId="0AC37A35" w:rsidR="00976A14" w:rsidRPr="00B36BE9" w:rsidRDefault="00976A1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253686E" w14:textId="18E805CE"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37367649" w14:textId="30230B9F" w:rsidR="00976A14" w:rsidRPr="00B36BE9" w:rsidRDefault="00976A1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3F64A2BE" w14:textId="553413DC" w:rsidR="00976A14" w:rsidRPr="00B36BE9" w:rsidRDefault="00976A14"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7D54A0EA" w14:textId="0174B22D" w:rsidR="002A2351" w:rsidRPr="00B36BE9" w:rsidRDefault="002A2351" w:rsidP="00B36BE9">
            <w:pPr>
              <w:spacing w:before="40" w:after="40"/>
              <w:jc w:val="center"/>
              <w:rPr>
                <w:rFonts w:ascii="Arial" w:hAnsi="Arial" w:cs="Arial"/>
                <w:sz w:val="18"/>
                <w:szCs w:val="18"/>
                <w:lang w:val="es-CO"/>
              </w:rPr>
            </w:pPr>
          </w:p>
        </w:tc>
      </w:tr>
      <w:tr w:rsidR="000D7FC9" w:rsidRPr="00445CB7" w14:paraId="704CE2B4" w14:textId="62E07AAC"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60B589C9" w14:textId="32A8637B" w:rsidR="000D7FC9" w:rsidRPr="00B36BE9" w:rsidRDefault="000D7FC9"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 xml:space="preserve">El proyecto de Decreto para la reglamentación de financiamiento para la reactivación del sector agropecuario ha sido publicado para consulta por el Ministerio de </w:t>
            </w:r>
            <w:r w:rsidRPr="00B36BE9">
              <w:rPr>
                <w:rFonts w:ascii="Arial" w:hAnsi="Arial" w:cs="Arial"/>
                <w:sz w:val="18"/>
                <w:szCs w:val="18"/>
              </w:rPr>
              <w:lastRenderedPageBreak/>
              <w:t>Agricultura y Desarrollo Rural.</w:t>
            </w:r>
          </w:p>
        </w:tc>
        <w:tc>
          <w:tcPr>
            <w:tcW w:w="1440" w:type="dxa"/>
            <w:tcBorders>
              <w:top w:val="single" w:sz="4" w:space="0" w:color="000000"/>
              <w:left w:val="single" w:sz="4" w:space="0" w:color="000000"/>
              <w:bottom w:val="single" w:sz="4" w:space="0" w:color="000000"/>
              <w:right w:val="single" w:sz="4" w:space="0" w:color="000000"/>
            </w:tcBorders>
            <w:vAlign w:val="center"/>
          </w:tcPr>
          <w:p w14:paraId="2F73C833" w14:textId="513BEE01"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lastRenderedPageBreak/>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24DEE80C" w14:textId="244761F4"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7F24E01" w14:textId="07C6169B"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1678DBD8" w14:textId="549F361B" w:rsidR="000D7FC9" w:rsidRPr="00B36BE9" w:rsidRDefault="000D7FC9"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3596ABE3" w14:textId="4EA78C87" w:rsidR="000D7FC9" w:rsidRPr="00B36BE9" w:rsidRDefault="000D7FC9"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728399F4" w14:textId="6EEF551B" w:rsidR="002A2351" w:rsidRPr="00B36BE9" w:rsidRDefault="002A2351" w:rsidP="00B36BE9">
            <w:pPr>
              <w:spacing w:before="40" w:after="40"/>
              <w:jc w:val="center"/>
              <w:rPr>
                <w:rFonts w:ascii="Arial" w:hAnsi="Arial" w:cs="Arial"/>
                <w:sz w:val="18"/>
                <w:szCs w:val="18"/>
                <w:lang w:val="es-CO"/>
              </w:rPr>
            </w:pPr>
          </w:p>
        </w:tc>
      </w:tr>
      <w:tr w:rsidR="000D7FC9" w:rsidRPr="00445CB7" w14:paraId="13E8E080" w14:textId="75688169"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27533206" w14:textId="10259F9B" w:rsidR="000D7FC9" w:rsidRPr="00B36BE9" w:rsidRDefault="000D7FC9"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El Decreto para la revisión de cupos de concentración de crédito del Fondo para el Financiamiento del Sector Agropecuario con las entidades con que hace redescuento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3DB2CB60" w14:textId="7ADD4D5B"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4F842FD6" w14:textId="668E77BD"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B47D0C0" w14:textId="555DFBE5"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1D2C14C3" w14:textId="7C40D8F3" w:rsidR="000D7FC9" w:rsidRPr="00B36BE9" w:rsidRDefault="000D7FC9"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3F254585" w14:textId="0CC6E665" w:rsidR="000D7FC9" w:rsidRPr="00B36BE9" w:rsidRDefault="000D7FC9"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1A5661DE" w14:textId="6EA0E55E" w:rsidR="002A2351" w:rsidRPr="00B36BE9" w:rsidRDefault="002A2351" w:rsidP="00B36BE9">
            <w:pPr>
              <w:spacing w:before="40" w:after="40"/>
              <w:jc w:val="center"/>
              <w:rPr>
                <w:rFonts w:ascii="Arial" w:hAnsi="Arial" w:cs="Arial"/>
                <w:sz w:val="18"/>
                <w:szCs w:val="18"/>
                <w:lang w:val="es-CO"/>
              </w:rPr>
            </w:pPr>
          </w:p>
        </w:tc>
      </w:tr>
      <w:tr w:rsidR="000D7FC9" w:rsidRPr="00445CB7" w14:paraId="516AB151" w14:textId="5A5011CF"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365D857B" w14:textId="0A5CEE8C" w:rsidR="000D7FC9" w:rsidRPr="00B36BE9" w:rsidRDefault="000D7FC9"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La Circular que amplía el espectro de pólizas de seguros para el sector agropecuario ha sido emitida por la Superintendencia Financiera.</w:t>
            </w:r>
          </w:p>
        </w:tc>
        <w:tc>
          <w:tcPr>
            <w:tcW w:w="1440" w:type="dxa"/>
            <w:tcBorders>
              <w:top w:val="single" w:sz="4" w:space="0" w:color="000000"/>
              <w:left w:val="single" w:sz="4" w:space="0" w:color="000000"/>
              <w:bottom w:val="single" w:sz="4" w:space="0" w:color="000000"/>
              <w:right w:val="single" w:sz="4" w:space="0" w:color="000000"/>
            </w:tcBorders>
            <w:vAlign w:val="center"/>
          </w:tcPr>
          <w:p w14:paraId="3CD6975A" w14:textId="02E3F880"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Resolución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12C921DB" w14:textId="362A8A32"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0EA0C224" w14:textId="119553E4"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492488A1" w14:textId="3690D1BB" w:rsidR="000D7FC9" w:rsidRPr="00B36BE9" w:rsidRDefault="000D7FC9"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199A5990" w14:textId="458171E1" w:rsidR="000D7FC9" w:rsidRPr="00B36BE9" w:rsidRDefault="000D7FC9"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12E30382" w14:textId="2D8C2B08" w:rsidR="002A2351" w:rsidRPr="00B36BE9" w:rsidRDefault="002A2351" w:rsidP="00B36BE9">
            <w:pPr>
              <w:spacing w:before="40" w:after="40"/>
              <w:jc w:val="center"/>
              <w:rPr>
                <w:rFonts w:ascii="Arial" w:hAnsi="Arial" w:cs="Arial"/>
                <w:sz w:val="18"/>
                <w:szCs w:val="18"/>
                <w:lang w:val="es-CO"/>
              </w:rPr>
            </w:pPr>
          </w:p>
        </w:tc>
      </w:tr>
      <w:tr w:rsidR="000D7FC9" w:rsidRPr="00445CB7" w14:paraId="4307AFA0"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7A630019" w14:textId="2479192A" w:rsidR="000D7FC9" w:rsidRPr="00FE10BE" w:rsidRDefault="000D7FC9" w:rsidP="00FE10BE">
            <w:pPr>
              <w:spacing w:before="120" w:after="120" w:line="240" w:lineRule="auto"/>
              <w:rPr>
                <w:rFonts w:ascii="Arial" w:hAnsi="Arial"/>
                <w:sz w:val="20"/>
                <w:lang w:val="es-ES_tradnl"/>
              </w:rPr>
            </w:pPr>
            <w:r w:rsidRPr="00FE10BE">
              <w:rPr>
                <w:rFonts w:ascii="Arial" w:hAnsi="Arial"/>
                <w:b/>
                <w:caps/>
                <w:sz w:val="20"/>
                <w:u w:val="single"/>
                <w:lang w:val="es-ES_tradnl"/>
              </w:rPr>
              <w:t xml:space="preserve">Componente III: Mejora de la </w:t>
            </w:r>
            <w:r w:rsidR="002A2351" w:rsidRPr="00B00E26">
              <w:rPr>
                <w:rFonts w:ascii="Arial" w:hAnsi="Arial" w:cs="Arial"/>
                <w:b/>
                <w:caps/>
                <w:sz w:val="20"/>
                <w:szCs w:val="20"/>
                <w:u w:val="single"/>
                <w:lang w:val="es-ES_tradnl" w:eastAsia="zh-CN"/>
              </w:rPr>
              <w:t>regulaci</w:t>
            </w:r>
            <w:r w:rsidR="002A2351">
              <w:rPr>
                <w:rFonts w:ascii="Arial" w:hAnsi="Arial" w:cs="Arial"/>
                <w:b/>
                <w:caps/>
                <w:sz w:val="20"/>
                <w:szCs w:val="20"/>
                <w:u w:val="single"/>
                <w:lang w:val="es-ES_tradnl" w:eastAsia="zh-CN"/>
              </w:rPr>
              <w:t>ón</w:t>
            </w:r>
            <w:r w:rsidRPr="00FE10BE">
              <w:rPr>
                <w:rFonts w:ascii="Arial" w:hAnsi="Arial"/>
                <w:b/>
                <w:caps/>
                <w:sz w:val="20"/>
                <w:u w:val="single"/>
                <w:lang w:val="es-ES_tradnl"/>
              </w:rPr>
              <w:t xml:space="preserve"> y Supervisión del Sistema Financiero</w:t>
            </w:r>
          </w:p>
        </w:tc>
      </w:tr>
      <w:tr w:rsidR="000D7FC9" w:rsidRPr="00445CB7" w14:paraId="42392398"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28864606" w14:textId="3B73FB98" w:rsidR="000D7FC9" w:rsidRPr="00FE10BE" w:rsidRDefault="000D7FC9" w:rsidP="00B36BE9">
            <w:pPr>
              <w:numPr>
                <w:ilvl w:val="0"/>
                <w:numId w:val="25"/>
              </w:numPr>
              <w:spacing w:before="120" w:after="120" w:line="240" w:lineRule="auto"/>
              <w:ind w:left="432"/>
              <w:rPr>
                <w:rFonts w:ascii="Arial" w:hAnsi="Arial"/>
                <w:b/>
                <w:sz w:val="20"/>
                <w:lang w:val="es-ES_tradnl"/>
              </w:rPr>
            </w:pPr>
            <w:r w:rsidRPr="00FE10BE">
              <w:rPr>
                <w:rFonts w:ascii="Arial" w:hAnsi="Arial"/>
                <w:b/>
                <w:sz w:val="20"/>
                <w:lang w:val="es-ES_tradnl"/>
              </w:rPr>
              <w:t>Fortalec</w:t>
            </w:r>
            <w:r w:rsidR="00591BB7">
              <w:rPr>
                <w:rFonts w:ascii="Arial" w:hAnsi="Arial"/>
                <w:b/>
                <w:sz w:val="20"/>
                <w:lang w:val="es-ES_tradnl"/>
              </w:rPr>
              <w:t>imiento de</w:t>
            </w:r>
            <w:r w:rsidR="00115B49">
              <w:rPr>
                <w:rFonts w:ascii="Arial" w:hAnsi="Arial"/>
                <w:b/>
                <w:sz w:val="20"/>
                <w:lang w:val="es-ES_tradnl"/>
              </w:rPr>
              <w:t xml:space="preserve"> la</w:t>
            </w:r>
            <w:r w:rsidRPr="00FE10BE">
              <w:rPr>
                <w:rFonts w:ascii="Arial" w:hAnsi="Arial"/>
                <w:b/>
                <w:sz w:val="20"/>
                <w:lang w:val="es-ES_tradnl"/>
              </w:rPr>
              <w:t xml:space="preserve"> regulación y sup</w:t>
            </w:r>
            <w:r w:rsidR="00B36BE9">
              <w:rPr>
                <w:rFonts w:ascii="Arial" w:hAnsi="Arial"/>
                <w:b/>
                <w:sz w:val="20"/>
                <w:lang w:val="es-ES_tradnl"/>
              </w:rPr>
              <w:t xml:space="preserve">ervisión </w:t>
            </w:r>
            <w:r w:rsidR="00115B49">
              <w:rPr>
                <w:rFonts w:ascii="Arial" w:hAnsi="Arial"/>
                <w:b/>
                <w:sz w:val="20"/>
                <w:lang w:val="es-ES_tradnl"/>
              </w:rPr>
              <w:t xml:space="preserve">para un </w:t>
            </w:r>
            <w:r w:rsidR="00B36BE9">
              <w:rPr>
                <w:rFonts w:ascii="Arial" w:hAnsi="Arial"/>
                <w:b/>
                <w:sz w:val="20"/>
                <w:lang w:val="es-ES_tradnl"/>
              </w:rPr>
              <w:t>sistema financiero</w:t>
            </w:r>
            <w:r w:rsidR="00115B49">
              <w:rPr>
                <w:rFonts w:ascii="Arial" w:hAnsi="Arial"/>
                <w:b/>
                <w:sz w:val="20"/>
                <w:lang w:val="es-ES_tradnl"/>
              </w:rPr>
              <w:t xml:space="preserve"> más sólido y profundo</w:t>
            </w:r>
          </w:p>
        </w:tc>
      </w:tr>
      <w:tr w:rsidR="000D7FC9" w:rsidRPr="00445CB7" w14:paraId="013BBD35" w14:textId="1D077B80"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4B72A6D6" w14:textId="1D8A1771" w:rsidR="000D7FC9" w:rsidRPr="00B36BE9" w:rsidRDefault="000D7FC9"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 xml:space="preserve">El Decreto </w:t>
            </w:r>
            <w:r w:rsidR="00115B49">
              <w:rPr>
                <w:rFonts w:ascii="Arial" w:hAnsi="Arial" w:cs="Arial"/>
                <w:sz w:val="18"/>
                <w:szCs w:val="18"/>
              </w:rPr>
              <w:t>que modifica las disposiciones en lo relacionado con el régimen general de la inversión de capitales del exterior en Colombia y de las inversiones colombianas en el exterior</w:t>
            </w:r>
            <w:r w:rsidRPr="00B36BE9">
              <w:rPr>
                <w:rFonts w:ascii="Arial" w:hAnsi="Arial" w:cs="Arial"/>
                <w:sz w:val="18"/>
                <w:szCs w:val="18"/>
              </w:rPr>
              <w:t xml:space="preserve">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08773085" w14:textId="0A49617B"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57DAE51B" w14:textId="1F433AD5" w:rsidR="000D7FC9" w:rsidRPr="00B36BE9" w:rsidRDefault="000D7FC9"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66FF360" w14:textId="28C0012F"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039425F0" w14:textId="23392C9B" w:rsidR="000D7FC9" w:rsidRPr="00B36BE9" w:rsidRDefault="000D7FC9"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65802C98" w14:textId="11FA9FA1" w:rsidR="000D7FC9" w:rsidRPr="00B36BE9" w:rsidRDefault="000D7FC9"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5D2F2338"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2334E0D7" w14:textId="500504D6"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499F740D" w14:textId="008E809B" w:rsidR="009E61A4"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lastRenderedPageBreak/>
              <w:t>El Decreto que modifica las disposiciones en relación con las excepciones a la definición de oferta pública de valores y la reapertura de emisiones de bonos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0533E95F" w14:textId="3625AB30"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338CA267" w14:textId="5E252C4C"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1573F70" w14:textId="68FA3A1E"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353F086F" w14:textId="03CAFB3C"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4E335AF2" w14:textId="56CAA3A0" w:rsidR="009E61A4" w:rsidRPr="00B36BE9" w:rsidRDefault="009E61A4"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39A0C46E"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063D8870" w14:textId="6433C59E"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6275933F" w14:textId="36DB4B36" w:rsidR="009E61A4"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El Proyecto de Ley por el cual se dictan normas para fortalecer la regulación y supervisión de los conglomerados financieros y los mecanismos de resolución de las entidades financieras ha sido presentado al Congreso de la República para su revisión y aprobación.</w:t>
            </w:r>
          </w:p>
        </w:tc>
        <w:tc>
          <w:tcPr>
            <w:tcW w:w="1440" w:type="dxa"/>
            <w:tcBorders>
              <w:top w:val="single" w:sz="4" w:space="0" w:color="000000"/>
              <w:left w:val="single" w:sz="4" w:space="0" w:color="000000"/>
              <w:bottom w:val="single" w:sz="4" w:space="0" w:color="000000"/>
              <w:right w:val="single" w:sz="4" w:space="0" w:color="000000"/>
            </w:tcBorders>
            <w:vAlign w:val="center"/>
          </w:tcPr>
          <w:p w14:paraId="539ECA4D" w14:textId="618DDAE2"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06F1B613" w14:textId="41EE06D6"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E28A1DB" w14:textId="62948D21"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01E2B672" w14:textId="2295AB2C"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717DE816" w14:textId="36F41D8C" w:rsidR="009E61A4" w:rsidRPr="00B36BE9" w:rsidRDefault="009E61A4"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71351546"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6D74B193" w14:textId="48752D6B"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5042DFFB" w14:textId="55B21BDF" w:rsidR="00080F9E"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El Decreto que modifica las disposiciones sobre el nombramiento y remoción del Superintendente Financiero ha sido emitido por el Gobierno Nacional (Departamento Administrativo de la Función Pública).</w:t>
            </w:r>
          </w:p>
        </w:tc>
        <w:tc>
          <w:tcPr>
            <w:tcW w:w="1440" w:type="dxa"/>
            <w:tcBorders>
              <w:top w:val="single" w:sz="4" w:space="0" w:color="000000"/>
              <w:left w:val="single" w:sz="4" w:space="0" w:color="000000"/>
              <w:bottom w:val="single" w:sz="4" w:space="0" w:color="000000"/>
              <w:right w:val="single" w:sz="4" w:space="0" w:color="000000"/>
            </w:tcBorders>
            <w:vAlign w:val="center"/>
          </w:tcPr>
          <w:p w14:paraId="30978530" w14:textId="025DDCB8"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3FDD5695" w14:textId="65E93577"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4D9618C" w14:textId="77F70AF8"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294F6B4C" w14:textId="2C9AF6C9"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66D3FBED" w14:textId="4E1E5754" w:rsidR="009E61A4" w:rsidRPr="00B36BE9" w:rsidRDefault="009E61A4"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139FFD9E"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73519155" w14:textId="2F6B7242"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0515182F" w14:textId="77CB892D" w:rsidR="009E61A4"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lastRenderedPageBreak/>
              <w:t>El Decreto que modifica las disposiciones en lo relacionado con el proceso de liquidación forzosa administrativa y el pago del seguro de depósitos de Fogafín ha sido emitido por el Gobierno Nacional (MHCP)</w:t>
            </w:r>
            <w:r w:rsidR="00376B87">
              <w:rPr>
                <w:rFonts w:ascii="Arial" w:hAnsi="Arial" w:cs="Arial"/>
                <w:sz w:val="18"/>
                <w:szCs w:val="18"/>
              </w:rPr>
              <w:t>.</w:t>
            </w:r>
          </w:p>
        </w:tc>
        <w:tc>
          <w:tcPr>
            <w:tcW w:w="1440" w:type="dxa"/>
            <w:tcBorders>
              <w:top w:val="single" w:sz="4" w:space="0" w:color="000000"/>
              <w:left w:val="single" w:sz="4" w:space="0" w:color="000000"/>
              <w:bottom w:val="single" w:sz="4" w:space="0" w:color="000000"/>
              <w:right w:val="single" w:sz="4" w:space="0" w:color="000000"/>
            </w:tcBorders>
            <w:vAlign w:val="center"/>
          </w:tcPr>
          <w:p w14:paraId="154D6C4A" w14:textId="1ACD372F"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5640029C" w14:textId="4DCABCEC"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0A89DBF" w14:textId="5B6CC015"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70B10F8F" w14:textId="16CE63E9"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53AEC893" w14:textId="7D0918B0" w:rsidR="009E61A4" w:rsidRPr="00B36BE9" w:rsidRDefault="009E61A4"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420048A5"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7EF89096" w14:textId="0CB53E59"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01A7DF12" w14:textId="27E52E31" w:rsidR="009E61A4"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 xml:space="preserve">El </w:t>
            </w:r>
            <w:r w:rsidR="005A3506">
              <w:rPr>
                <w:rFonts w:ascii="Arial" w:hAnsi="Arial" w:cs="Arial"/>
                <w:sz w:val="18"/>
                <w:szCs w:val="18"/>
              </w:rPr>
              <w:t xml:space="preserve">proyecto de decreto relacionado con el patrimonio adecuado de </w:t>
            </w:r>
            <w:r w:rsidR="00445CB7">
              <w:rPr>
                <w:rFonts w:ascii="Arial" w:hAnsi="Arial" w:cs="Arial"/>
                <w:sz w:val="18"/>
                <w:szCs w:val="18"/>
              </w:rPr>
              <w:t xml:space="preserve">las sociedades fiduciarias, </w:t>
            </w:r>
            <w:bookmarkStart w:id="0" w:name="_GoBack"/>
            <w:bookmarkEnd w:id="0"/>
            <w:r w:rsidR="005A3506">
              <w:rPr>
                <w:rFonts w:ascii="Arial" w:hAnsi="Arial" w:cs="Arial"/>
                <w:sz w:val="18"/>
                <w:szCs w:val="18"/>
              </w:rPr>
              <w:t>las sociedades adm</w:t>
            </w:r>
            <w:r w:rsidR="00D448D3">
              <w:rPr>
                <w:rFonts w:ascii="Arial" w:hAnsi="Arial" w:cs="Arial"/>
                <w:sz w:val="18"/>
                <w:szCs w:val="18"/>
              </w:rPr>
              <w:t>i</w:t>
            </w:r>
            <w:r w:rsidR="005A3506">
              <w:rPr>
                <w:rFonts w:ascii="Arial" w:hAnsi="Arial" w:cs="Arial"/>
                <w:sz w:val="18"/>
                <w:szCs w:val="18"/>
              </w:rPr>
              <w:t>nistradoras de fondos de pensiones y cesantías, las sociedades comisionistas de bolsa y las sociedades administradoras de inversión ha sido publicado para comentarios por el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202579BA" w14:textId="4FCF24CC"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660C3752" w14:textId="62E7BA51"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07C71F11" w14:textId="7611C65C"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7DB33268" w14:textId="5E29802D"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5EA1C467" w14:textId="61051CB5" w:rsidR="009E61A4" w:rsidRPr="00B36BE9" w:rsidRDefault="009E61A4" w:rsidP="005A4C4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66E9C560"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3E0D27BF" w14:textId="35C1B43D"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20CFBD49" w14:textId="4C7A535B" w:rsidR="009E61A4" w:rsidRPr="000E06E2" w:rsidRDefault="000E06E2" w:rsidP="00B36BE9">
            <w:pPr>
              <w:pStyle w:val="ListParagraph"/>
              <w:spacing w:before="40" w:after="40" w:line="240" w:lineRule="auto"/>
              <w:ind w:left="0"/>
              <w:rPr>
                <w:rFonts w:ascii="Arial" w:hAnsi="Arial" w:cs="Arial"/>
                <w:sz w:val="18"/>
                <w:szCs w:val="18"/>
              </w:rPr>
            </w:pPr>
            <w:r w:rsidRPr="000C373E">
              <w:rPr>
                <w:rFonts w:ascii="Arial" w:eastAsia="Arial" w:hAnsi="Arial" w:cs="Arial"/>
                <w:sz w:val="18"/>
                <w:szCs w:val="18"/>
                <w:lang w:val="es-ES"/>
              </w:rPr>
              <w:t xml:space="preserve">La Guía de Criterios de Evaluación de Riesgos </w:t>
            </w:r>
            <w:r w:rsidR="009E61A4" w:rsidRPr="000E06E2">
              <w:rPr>
                <w:rFonts w:ascii="Arial" w:hAnsi="Arial" w:cs="Arial"/>
                <w:sz w:val="18"/>
                <w:szCs w:val="18"/>
              </w:rPr>
              <w:t>ha sido emitid</w:t>
            </w:r>
            <w:r>
              <w:rPr>
                <w:rFonts w:ascii="Arial" w:hAnsi="Arial" w:cs="Arial"/>
                <w:sz w:val="18"/>
                <w:szCs w:val="18"/>
              </w:rPr>
              <w:t>a</w:t>
            </w:r>
            <w:r w:rsidR="009E61A4" w:rsidRPr="000E06E2">
              <w:rPr>
                <w:rFonts w:ascii="Arial" w:hAnsi="Arial" w:cs="Arial"/>
                <w:sz w:val="18"/>
                <w:szCs w:val="18"/>
              </w:rPr>
              <w:t xml:space="preserve"> por la Superintendencia Financiera.</w:t>
            </w:r>
          </w:p>
        </w:tc>
        <w:tc>
          <w:tcPr>
            <w:tcW w:w="1440" w:type="dxa"/>
            <w:tcBorders>
              <w:top w:val="single" w:sz="4" w:space="0" w:color="000000"/>
              <w:left w:val="single" w:sz="4" w:space="0" w:color="000000"/>
              <w:bottom w:val="single" w:sz="4" w:space="0" w:color="000000"/>
              <w:right w:val="single" w:sz="4" w:space="0" w:color="000000"/>
            </w:tcBorders>
            <w:vAlign w:val="center"/>
          </w:tcPr>
          <w:p w14:paraId="5C9D577C" w14:textId="59A6687A"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0992D2C7" w14:textId="3494EDB9"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FD01F09" w14:textId="22F3A45F"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60ACC08E" w14:textId="3F798D39"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5E64047D" w14:textId="703E0D93"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w:t>
            </w:r>
            <w:r w:rsidR="00BC67DC">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76716A50"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313AF1BB" w14:textId="0A7E8C55"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19BA994A" w14:textId="40D1D2F2" w:rsidR="009E61A4"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 xml:space="preserve">El Decreto que modifica las disposiciones sobre la </w:t>
            </w:r>
            <w:r w:rsidRPr="00B36BE9">
              <w:rPr>
                <w:rFonts w:ascii="Arial" w:hAnsi="Arial" w:cs="Arial"/>
                <w:sz w:val="18"/>
                <w:szCs w:val="18"/>
              </w:rPr>
              <w:lastRenderedPageBreak/>
              <w:t>administración de portafolio de terceros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269769A0" w14:textId="6DE615A5"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lastRenderedPageBreak/>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26FCED64" w14:textId="599F0D2A"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54C71AA9" w14:textId="77F58808"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502BEE6B" w14:textId="3B473DE5"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40665796" w14:textId="0DD94FD9"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w:t>
            </w:r>
            <w:r w:rsidR="00BC67DC">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34B2C8EC"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68BF8D61" w14:textId="6D12422D"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6BD642A3" w14:textId="4AC24D48" w:rsidR="009E61A4" w:rsidRPr="00B36BE9" w:rsidRDefault="00045873" w:rsidP="00B36BE9">
            <w:pPr>
              <w:pStyle w:val="ListParagraph"/>
              <w:spacing w:before="40" w:after="40" w:line="240" w:lineRule="auto"/>
              <w:ind w:left="0"/>
              <w:rPr>
                <w:rFonts w:ascii="Arial" w:hAnsi="Arial" w:cs="Arial"/>
                <w:sz w:val="18"/>
                <w:szCs w:val="18"/>
              </w:rPr>
            </w:pPr>
            <w:r w:rsidRPr="00045873">
              <w:rPr>
                <w:rFonts w:ascii="Arial" w:hAnsi="Arial" w:cs="Arial"/>
                <w:sz w:val="18"/>
                <w:szCs w:val="18"/>
                <w:lang w:val="es-ES_tradnl"/>
              </w:rPr>
              <w:t>Se ha llevado a cabo el estudio sobre asesoría en el mercado de valores que incluye el análisis regulatorio de las actividades de la asesoría en el mercado de valores, la ampliación de instrumentos financieros de renta fija y derivados como parte de la ampliación de la integración de mercados financieros con el Mercado Integrado Latinoamericano (MILA) y la ampliación de los contratos de corresponsalía y oficinas de representación para la oferta de productos de mercados financieros del exterior y ha sido publicado por el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15C763C0" w14:textId="07807BFF" w:rsidR="009E61A4" w:rsidRPr="00B36BE9" w:rsidRDefault="005A1B15" w:rsidP="00B36BE9">
            <w:pPr>
              <w:spacing w:before="40" w:after="40" w:line="240" w:lineRule="auto"/>
              <w:jc w:val="center"/>
              <w:rPr>
                <w:rFonts w:ascii="Arial" w:hAnsi="Arial" w:cs="Arial"/>
                <w:sz w:val="18"/>
                <w:szCs w:val="18"/>
                <w:lang w:val="es-CO"/>
              </w:rPr>
            </w:pPr>
            <w:r>
              <w:rPr>
                <w:rFonts w:ascii="Arial" w:hAnsi="Arial" w:cs="Arial"/>
                <w:sz w:val="18"/>
                <w:szCs w:val="18"/>
                <w:lang w:val="es-CO"/>
              </w:rPr>
              <w:t>Estudio publicado</w:t>
            </w:r>
          </w:p>
        </w:tc>
        <w:tc>
          <w:tcPr>
            <w:tcW w:w="1080" w:type="dxa"/>
            <w:tcBorders>
              <w:top w:val="single" w:sz="4" w:space="0" w:color="000000"/>
              <w:left w:val="single" w:sz="4" w:space="0" w:color="000000"/>
              <w:bottom w:val="single" w:sz="4" w:space="0" w:color="000000"/>
              <w:right w:val="single" w:sz="4" w:space="0" w:color="000000"/>
            </w:tcBorders>
            <w:vAlign w:val="center"/>
          </w:tcPr>
          <w:p w14:paraId="4D75A0B7" w14:textId="1D741C76"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0B7C80A6" w14:textId="21708B9A" w:rsidR="005A1E9D" w:rsidRPr="00B36BE9" w:rsidRDefault="005A1E9D"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34A3770C" w14:textId="35276B4C"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7E1AE491" w14:textId="24C8E7A4"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w:t>
            </w:r>
            <w:r w:rsidR="00BC67DC">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09B3646B" w14:textId="77777777" w:rsidR="002A2351" w:rsidRPr="00B36BE9" w:rsidRDefault="002A2351" w:rsidP="00B36BE9">
            <w:pPr>
              <w:spacing w:before="40" w:after="40" w:line="240" w:lineRule="auto"/>
              <w:jc w:val="center"/>
              <w:rPr>
                <w:rFonts w:ascii="Arial" w:hAnsi="Arial" w:cs="Arial"/>
                <w:sz w:val="18"/>
                <w:szCs w:val="18"/>
                <w:lang w:val="es-CO"/>
              </w:rPr>
            </w:pPr>
          </w:p>
        </w:tc>
      </w:tr>
      <w:tr w:rsidR="009E61A4" w:rsidRPr="00445CB7" w14:paraId="0B892CBF"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001A49AD" w14:textId="79CD3479" w:rsidR="009E61A4" w:rsidRPr="00FE10BE" w:rsidRDefault="009E61A4" w:rsidP="00FE10BE">
            <w:pPr>
              <w:numPr>
                <w:ilvl w:val="0"/>
                <w:numId w:val="25"/>
              </w:numPr>
              <w:spacing w:before="120" w:after="120" w:line="240" w:lineRule="auto"/>
              <w:ind w:left="432"/>
              <w:rPr>
                <w:rFonts w:ascii="Arial" w:hAnsi="Arial"/>
                <w:b/>
                <w:sz w:val="20"/>
                <w:lang w:val="es-ES_tradnl"/>
              </w:rPr>
            </w:pPr>
            <w:r w:rsidRPr="00FE10BE">
              <w:rPr>
                <w:rFonts w:ascii="Arial" w:hAnsi="Arial"/>
                <w:b/>
                <w:sz w:val="20"/>
                <w:lang w:val="es-ES_tradnl"/>
              </w:rPr>
              <w:t>Fortalecimiento</w:t>
            </w:r>
            <w:r w:rsidR="00B36BE9">
              <w:rPr>
                <w:rFonts w:ascii="Arial" w:hAnsi="Arial"/>
                <w:b/>
                <w:sz w:val="20"/>
                <w:lang w:val="es-ES_tradnl"/>
              </w:rPr>
              <w:t xml:space="preserve"> de la transparencia financiera</w:t>
            </w:r>
          </w:p>
        </w:tc>
      </w:tr>
      <w:tr w:rsidR="009E61A4" w:rsidRPr="00445CB7" w14:paraId="3567AAA9" w14:textId="26C65840"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037C2D5B" w14:textId="6721A15A" w:rsidR="009E61A4" w:rsidRPr="00B36BE9" w:rsidRDefault="009E13D9" w:rsidP="00B36BE9">
            <w:pPr>
              <w:pStyle w:val="ListParagraph"/>
              <w:spacing w:before="40" w:after="40" w:line="240" w:lineRule="auto"/>
              <w:ind w:left="0"/>
              <w:rPr>
                <w:rFonts w:ascii="Arial" w:hAnsi="Arial" w:cs="Arial"/>
                <w:sz w:val="18"/>
                <w:szCs w:val="18"/>
              </w:rPr>
            </w:pPr>
            <w:r>
              <w:rPr>
                <w:rFonts w:ascii="Arial" w:hAnsi="Arial" w:cs="Arial"/>
                <w:sz w:val="18"/>
                <w:szCs w:val="18"/>
              </w:rPr>
              <w:t>Los decretos</w:t>
            </w:r>
            <w:r w:rsidR="009E61A4" w:rsidRPr="00B36BE9">
              <w:rPr>
                <w:rFonts w:ascii="Arial" w:hAnsi="Arial" w:cs="Arial"/>
                <w:sz w:val="18"/>
                <w:szCs w:val="18"/>
              </w:rPr>
              <w:t xml:space="preserve"> que modifica</w:t>
            </w:r>
            <w:r>
              <w:rPr>
                <w:rFonts w:ascii="Arial" w:hAnsi="Arial" w:cs="Arial"/>
                <w:sz w:val="18"/>
                <w:szCs w:val="18"/>
              </w:rPr>
              <w:t>n</w:t>
            </w:r>
            <w:r w:rsidR="009E61A4" w:rsidRPr="00B36BE9">
              <w:rPr>
                <w:rFonts w:ascii="Arial" w:hAnsi="Arial" w:cs="Arial"/>
                <w:sz w:val="18"/>
                <w:szCs w:val="18"/>
              </w:rPr>
              <w:t xml:space="preserve"> las disposiciones sobre el régimen de protección </w:t>
            </w:r>
            <w:r w:rsidR="009E61A4" w:rsidRPr="00B36BE9">
              <w:rPr>
                <w:rFonts w:ascii="Arial" w:hAnsi="Arial" w:cs="Arial"/>
                <w:sz w:val="18"/>
                <w:szCs w:val="18"/>
              </w:rPr>
              <w:lastRenderedPageBreak/>
              <w:t>al consumidor financiero del sistema general de pensiones para lograr precios transparentes ha</w:t>
            </w:r>
            <w:r>
              <w:rPr>
                <w:rFonts w:ascii="Arial" w:hAnsi="Arial" w:cs="Arial"/>
                <w:sz w:val="18"/>
                <w:szCs w:val="18"/>
              </w:rPr>
              <w:t>n</w:t>
            </w:r>
            <w:r w:rsidR="009E61A4" w:rsidRPr="00B36BE9">
              <w:rPr>
                <w:rFonts w:ascii="Arial" w:hAnsi="Arial" w:cs="Arial"/>
                <w:sz w:val="18"/>
                <w:szCs w:val="18"/>
              </w:rPr>
              <w:t xml:space="preserve"> sido emitido</w:t>
            </w:r>
            <w:r>
              <w:rPr>
                <w:rFonts w:ascii="Arial" w:hAnsi="Arial" w:cs="Arial"/>
                <w:sz w:val="18"/>
                <w:szCs w:val="18"/>
              </w:rPr>
              <w:t>s</w:t>
            </w:r>
            <w:r w:rsidR="009E61A4" w:rsidRPr="00B36BE9">
              <w:rPr>
                <w:rFonts w:ascii="Arial" w:hAnsi="Arial" w:cs="Arial"/>
                <w:sz w:val="18"/>
                <w:szCs w:val="18"/>
              </w:rPr>
              <w:t xml:space="preserve">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4DE4B168" w14:textId="411140F9"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lastRenderedPageBreak/>
              <w:t>Norma</w:t>
            </w:r>
            <w:r w:rsidR="00037B6E">
              <w:rPr>
                <w:rFonts w:ascii="Arial" w:hAnsi="Arial" w:cs="Arial"/>
                <w:sz w:val="18"/>
                <w:szCs w:val="18"/>
                <w:lang w:val="es-CO"/>
              </w:rPr>
              <w:t>s</w:t>
            </w:r>
            <w:r w:rsidRPr="00B36BE9">
              <w:rPr>
                <w:rFonts w:ascii="Arial" w:hAnsi="Arial" w:cs="Arial"/>
                <w:sz w:val="18"/>
                <w:szCs w:val="18"/>
                <w:lang w:val="es-CO"/>
              </w:rPr>
              <w:t xml:space="preserve"> publicada</w:t>
            </w:r>
            <w:r w:rsidR="00037B6E">
              <w:rPr>
                <w:rFonts w:ascii="Arial" w:hAnsi="Arial" w:cs="Arial"/>
                <w:sz w:val="18"/>
                <w:szCs w:val="18"/>
                <w:lang w:val="es-CO"/>
              </w:rPr>
              <w:t>s</w:t>
            </w:r>
            <w:r w:rsidRPr="00B36BE9">
              <w:rPr>
                <w:rFonts w:ascii="Arial" w:hAnsi="Arial" w:cs="Arial"/>
                <w:sz w:val="18"/>
                <w:szCs w:val="18"/>
                <w:lang w:val="es-CO"/>
              </w:rPr>
              <w:t>*</w:t>
            </w:r>
          </w:p>
        </w:tc>
        <w:tc>
          <w:tcPr>
            <w:tcW w:w="1080" w:type="dxa"/>
            <w:tcBorders>
              <w:top w:val="single" w:sz="4" w:space="0" w:color="000000"/>
              <w:left w:val="single" w:sz="4" w:space="0" w:color="000000"/>
              <w:bottom w:val="single" w:sz="4" w:space="0" w:color="000000"/>
              <w:right w:val="single" w:sz="4" w:space="0" w:color="000000"/>
            </w:tcBorders>
            <w:vAlign w:val="center"/>
          </w:tcPr>
          <w:p w14:paraId="78FB408F" w14:textId="2C50430B"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4A803A3F" w14:textId="75A84D9C"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59E89D97" w14:textId="72852FBE"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4BF29C6C" w14:textId="2CA2C2D9"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 xml:space="preserve">Ver Matriz de Medios de </w:t>
            </w:r>
            <w:r w:rsidR="00BC67DC">
              <w:rPr>
                <w:rFonts w:ascii="Arial" w:hAnsi="Arial" w:cs="Arial"/>
                <w:sz w:val="18"/>
                <w:szCs w:val="18"/>
                <w:lang w:val="es-CO"/>
              </w:rPr>
              <w:t>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544AFC0A"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468EFDFF" w14:textId="387862E5"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650ADD8C" w14:textId="4CFDDEEB" w:rsidR="00625253"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El Decreto para precios transparentes para los clientes de los establecimientos de crédito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6CE240FD" w14:textId="716E8D8B"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11D6BED9" w14:textId="6E619EF5"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68C5215A" w14:textId="54B6627D"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766443C6" w14:textId="0749A8A6"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7F8904ED" w14:textId="6DCBB534"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w:t>
            </w:r>
            <w:r w:rsidR="00BC67DC">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22876C8A"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6D4B56C8" w14:textId="79F6F032"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76B2E9E3" w14:textId="61B324EE" w:rsidR="009E61A4" w:rsidRPr="00B36BE9" w:rsidRDefault="009E61A4" w:rsidP="00B36BE9">
            <w:pPr>
              <w:pStyle w:val="ListParagraph"/>
              <w:spacing w:before="40" w:after="40" w:line="240" w:lineRule="auto"/>
              <w:ind w:left="0"/>
              <w:rPr>
                <w:rFonts w:ascii="Arial" w:hAnsi="Arial" w:cs="Arial"/>
                <w:sz w:val="18"/>
                <w:szCs w:val="18"/>
              </w:rPr>
            </w:pPr>
            <w:r w:rsidRPr="00B36BE9">
              <w:rPr>
                <w:rFonts w:ascii="Arial" w:hAnsi="Arial" w:cs="Arial"/>
                <w:sz w:val="18"/>
                <w:szCs w:val="18"/>
              </w:rPr>
              <w:t>Las Circulares de Normas Internacionales de Información Financiera han sido emitidas por la Superintendencia Financiera de acuerdo a las actualizaciones de la Junta de Normas Internacionales de Contabilidad.</w:t>
            </w:r>
          </w:p>
        </w:tc>
        <w:tc>
          <w:tcPr>
            <w:tcW w:w="1440" w:type="dxa"/>
            <w:tcBorders>
              <w:top w:val="single" w:sz="4" w:space="0" w:color="000000"/>
              <w:left w:val="single" w:sz="4" w:space="0" w:color="000000"/>
              <w:bottom w:val="single" w:sz="4" w:space="0" w:color="000000"/>
              <w:right w:val="single" w:sz="4" w:space="0" w:color="000000"/>
            </w:tcBorders>
            <w:vAlign w:val="center"/>
          </w:tcPr>
          <w:p w14:paraId="48C3A9E4" w14:textId="334E5A7C"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Resolución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1BDECA69" w14:textId="01157F9B"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71116A3" w14:textId="73ED492C" w:rsidR="005A1E9D" w:rsidRPr="00B36BE9" w:rsidRDefault="005A1E9D" w:rsidP="00B36BE9">
            <w:pPr>
              <w:spacing w:before="40" w:after="40"/>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4D07E434" w14:textId="278F8196" w:rsidR="009E61A4" w:rsidRPr="00B36BE9" w:rsidRDefault="009E61A4" w:rsidP="00B36BE9">
            <w:pPr>
              <w:spacing w:before="40" w:after="40"/>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42CA7DDD" w14:textId="47CC8BB2" w:rsidR="009E61A4" w:rsidRPr="00B36BE9" w:rsidRDefault="009E61A4" w:rsidP="00B36BE9">
            <w:pPr>
              <w:spacing w:before="40" w:after="40" w:line="240" w:lineRule="auto"/>
              <w:jc w:val="center"/>
              <w:rPr>
                <w:rFonts w:ascii="Arial" w:hAnsi="Arial" w:cs="Arial"/>
                <w:sz w:val="18"/>
                <w:szCs w:val="18"/>
                <w:lang w:val="es-CO"/>
              </w:rPr>
            </w:pPr>
            <w:r w:rsidRPr="00B36BE9">
              <w:rPr>
                <w:rFonts w:ascii="Arial" w:hAnsi="Arial" w:cs="Arial"/>
                <w:sz w:val="18"/>
                <w:szCs w:val="18"/>
                <w:lang w:val="es-CO"/>
              </w:rPr>
              <w:t>Ver M</w:t>
            </w:r>
            <w:r w:rsidR="00BC67DC">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7BC5F6AD" w14:textId="77777777" w:rsidR="002A2351" w:rsidRPr="00B36BE9" w:rsidRDefault="002A2351" w:rsidP="00B36BE9">
            <w:pPr>
              <w:spacing w:before="40" w:after="40"/>
              <w:jc w:val="center"/>
              <w:rPr>
                <w:rFonts w:ascii="Arial" w:hAnsi="Arial" w:cs="Arial"/>
                <w:sz w:val="18"/>
                <w:szCs w:val="18"/>
                <w:lang w:val="es-CO"/>
              </w:rPr>
            </w:pPr>
          </w:p>
        </w:tc>
      </w:tr>
      <w:tr w:rsidR="009E61A4" w:rsidRPr="00445CB7" w14:paraId="7D7037DC"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2F37742A" w14:textId="54C737B3" w:rsidR="009E61A4" w:rsidRPr="00FE10BE" w:rsidRDefault="009E61A4" w:rsidP="00FE10BE">
            <w:pPr>
              <w:spacing w:before="120" w:after="120" w:line="240" w:lineRule="auto"/>
              <w:rPr>
                <w:rFonts w:ascii="Arial" w:hAnsi="Arial"/>
                <w:sz w:val="20"/>
                <w:lang w:val="es-ES_tradnl"/>
              </w:rPr>
            </w:pPr>
            <w:r w:rsidRPr="00FE10BE">
              <w:rPr>
                <w:rFonts w:ascii="Arial" w:hAnsi="Arial"/>
                <w:b/>
                <w:caps/>
                <w:sz w:val="20"/>
                <w:u w:val="single"/>
                <w:lang w:val="es-ES_tradnl"/>
              </w:rPr>
              <w:t xml:space="preserve">Componente </w:t>
            </w:r>
            <w:r w:rsidR="002A2351" w:rsidRPr="00B00E26">
              <w:rPr>
                <w:rFonts w:ascii="Arial" w:hAnsi="Arial" w:cs="Arial"/>
                <w:b/>
                <w:caps/>
                <w:sz w:val="20"/>
                <w:szCs w:val="20"/>
                <w:u w:val="single"/>
                <w:lang w:val="es-ES_tradnl" w:eastAsia="zh-CN"/>
              </w:rPr>
              <w:t>Iv</w:t>
            </w:r>
            <w:r w:rsidRPr="00FE10BE">
              <w:rPr>
                <w:rFonts w:ascii="Arial" w:hAnsi="Arial"/>
                <w:b/>
                <w:caps/>
                <w:sz w:val="20"/>
                <w:u w:val="single"/>
                <w:lang w:val="es-ES_tradnl"/>
              </w:rPr>
              <w:t>: Mejoras de la Inclusión Financiera</w:t>
            </w:r>
          </w:p>
        </w:tc>
      </w:tr>
      <w:tr w:rsidR="009E61A4" w:rsidRPr="00445CB7" w14:paraId="10828159"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4E2C31E2" w14:textId="46509EE6" w:rsidR="009E61A4" w:rsidRPr="00FE10BE" w:rsidRDefault="009E61A4" w:rsidP="00FE10BE">
            <w:pPr>
              <w:numPr>
                <w:ilvl w:val="0"/>
                <w:numId w:val="27"/>
              </w:numPr>
              <w:spacing w:before="120" w:after="120" w:line="240" w:lineRule="auto"/>
              <w:ind w:left="432"/>
              <w:rPr>
                <w:rFonts w:ascii="Arial" w:hAnsi="Arial"/>
                <w:b/>
                <w:sz w:val="20"/>
                <w:lang w:val="es-ES_tradnl"/>
              </w:rPr>
            </w:pPr>
            <w:r w:rsidRPr="00FE10BE">
              <w:rPr>
                <w:rFonts w:ascii="Arial" w:hAnsi="Arial"/>
                <w:b/>
                <w:sz w:val="20"/>
                <w:lang w:val="es-ES_tradnl"/>
              </w:rPr>
              <w:t>Mejora de la oferta de productos y canal</w:t>
            </w:r>
            <w:r w:rsidR="00BC67DC">
              <w:rPr>
                <w:rFonts w:ascii="Arial" w:hAnsi="Arial"/>
                <w:b/>
                <w:sz w:val="20"/>
                <w:lang w:val="es-ES_tradnl"/>
              </w:rPr>
              <w:t>es para la inclusión financiera</w:t>
            </w:r>
          </w:p>
        </w:tc>
      </w:tr>
      <w:tr w:rsidR="009E61A4" w:rsidRPr="00445CB7" w14:paraId="09086CE4" w14:textId="5E91B62C"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37BDBFC0" w14:textId="565A8D37" w:rsidR="009E61A4" w:rsidRPr="00B36BE9" w:rsidRDefault="009E61A4" w:rsidP="00376B87">
            <w:pPr>
              <w:pStyle w:val="ListParagraph"/>
              <w:spacing w:before="120" w:after="120" w:line="240" w:lineRule="auto"/>
              <w:ind w:left="0"/>
              <w:rPr>
                <w:rFonts w:ascii="Arial" w:hAnsi="Arial" w:cs="Arial"/>
                <w:sz w:val="18"/>
                <w:szCs w:val="18"/>
              </w:rPr>
            </w:pPr>
            <w:r w:rsidRPr="00B36BE9">
              <w:rPr>
                <w:rFonts w:ascii="Arial" w:hAnsi="Arial" w:cs="Arial"/>
                <w:sz w:val="18"/>
                <w:szCs w:val="18"/>
              </w:rPr>
              <w:t xml:space="preserve">El Decreto de reglamentación de la Ley de Inclusión Financiera ha sido emitido por el </w:t>
            </w:r>
            <w:r w:rsidRPr="00B36BE9">
              <w:rPr>
                <w:rFonts w:ascii="Arial" w:hAnsi="Arial" w:cs="Arial"/>
                <w:sz w:val="18"/>
                <w:szCs w:val="18"/>
              </w:rPr>
              <w:lastRenderedPageBreak/>
              <w:t>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0571F568" w14:textId="7C1C8F9C"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lastRenderedPageBreak/>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678B2E02" w14:textId="390888E6"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43A1B6C" w14:textId="711D0F2C" w:rsidR="005A1E9D" w:rsidRPr="00B36BE9" w:rsidRDefault="005A1E9D"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6170F1B2" w14:textId="4BD00B78"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44F513E1" w14:textId="7F5814B2"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Ver M</w:t>
            </w:r>
            <w:r w:rsidR="00BC67DC">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09830308" w14:textId="120E8DC9" w:rsidR="002A2351" w:rsidRPr="00B36BE9" w:rsidRDefault="002A2351" w:rsidP="00B36BE9">
            <w:pPr>
              <w:spacing w:before="120" w:after="120" w:line="240" w:lineRule="auto"/>
              <w:jc w:val="center"/>
              <w:rPr>
                <w:rFonts w:ascii="Arial" w:hAnsi="Arial" w:cs="Arial"/>
                <w:sz w:val="18"/>
                <w:szCs w:val="18"/>
                <w:lang w:val="es-CO"/>
              </w:rPr>
            </w:pPr>
          </w:p>
        </w:tc>
      </w:tr>
      <w:tr w:rsidR="009E61A4" w:rsidRPr="00445CB7" w14:paraId="1A162F68" w14:textId="71407527"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23462B9D" w14:textId="3B9EC86F" w:rsidR="009E61A4" w:rsidRPr="00B36BE9" w:rsidRDefault="009E61A4" w:rsidP="00B36BE9">
            <w:pPr>
              <w:pStyle w:val="ListParagraph"/>
              <w:spacing w:before="120" w:after="120" w:line="240" w:lineRule="auto"/>
              <w:ind w:left="0"/>
              <w:rPr>
                <w:rFonts w:ascii="Arial" w:hAnsi="Arial" w:cs="Arial"/>
                <w:sz w:val="18"/>
                <w:szCs w:val="18"/>
              </w:rPr>
            </w:pPr>
            <w:r w:rsidRPr="00B36BE9">
              <w:rPr>
                <w:rFonts w:ascii="Arial" w:hAnsi="Arial" w:cs="Arial"/>
                <w:sz w:val="18"/>
                <w:szCs w:val="18"/>
              </w:rPr>
              <w:t>La Resolución que certifica el interés bancario corriente para la modalidad de Crédito de Consumo de Bajo Monto ha sido actualizada por la Superintendencia Financiera.</w:t>
            </w:r>
          </w:p>
        </w:tc>
        <w:tc>
          <w:tcPr>
            <w:tcW w:w="1440" w:type="dxa"/>
            <w:tcBorders>
              <w:top w:val="single" w:sz="4" w:space="0" w:color="000000"/>
              <w:left w:val="single" w:sz="4" w:space="0" w:color="000000"/>
              <w:bottom w:val="single" w:sz="4" w:space="0" w:color="000000"/>
              <w:right w:val="single" w:sz="4" w:space="0" w:color="000000"/>
            </w:tcBorders>
            <w:vAlign w:val="center"/>
          </w:tcPr>
          <w:p w14:paraId="5603F622" w14:textId="00D0FA3C"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Resolución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443FC13E" w14:textId="343EFA9D"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3080963" w14:textId="02DC044C" w:rsidR="005A1E9D" w:rsidRPr="00B36BE9" w:rsidRDefault="005A1E9D"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5CE55225" w14:textId="565CC9AB"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648D417C" w14:textId="6CB3AAD7"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Ver M</w:t>
            </w:r>
            <w:r w:rsidR="00BC67DC">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3E91F4EF" w14:textId="5362099E" w:rsidR="002A2351" w:rsidRPr="00B36BE9" w:rsidRDefault="002A2351" w:rsidP="00B36BE9">
            <w:pPr>
              <w:spacing w:before="120" w:after="120" w:line="240" w:lineRule="auto"/>
              <w:jc w:val="center"/>
              <w:rPr>
                <w:rFonts w:ascii="Arial" w:hAnsi="Arial" w:cs="Arial"/>
                <w:sz w:val="18"/>
                <w:szCs w:val="18"/>
                <w:lang w:val="es-CO"/>
              </w:rPr>
            </w:pPr>
          </w:p>
        </w:tc>
      </w:tr>
      <w:tr w:rsidR="009E61A4" w:rsidRPr="00445CB7" w14:paraId="35841BEA" w14:textId="10D833CE"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602557D6" w14:textId="222DFD54" w:rsidR="00625253" w:rsidRPr="00B36BE9" w:rsidRDefault="00DA4143" w:rsidP="00B36BE9">
            <w:pPr>
              <w:pStyle w:val="ListParagraph"/>
              <w:spacing w:before="120" w:after="120" w:line="240" w:lineRule="auto"/>
              <w:ind w:left="0"/>
              <w:rPr>
                <w:rFonts w:ascii="Arial" w:hAnsi="Arial" w:cs="Arial"/>
                <w:sz w:val="18"/>
                <w:szCs w:val="18"/>
              </w:rPr>
            </w:pPr>
            <w:r>
              <w:rPr>
                <w:rFonts w:ascii="Arial" w:eastAsia="Arial" w:hAnsi="Arial" w:cs="Arial"/>
                <w:sz w:val="20"/>
                <w:szCs w:val="20"/>
                <w:lang w:val="es-ES"/>
              </w:rPr>
              <w:t>Se han llevado a cabo los d</w:t>
            </w:r>
            <w:r w:rsidR="00037B6E" w:rsidRPr="00CF07EF">
              <w:rPr>
                <w:rFonts w:ascii="Arial" w:eastAsia="Arial" w:hAnsi="Arial" w:cs="Arial"/>
                <w:sz w:val="20"/>
                <w:szCs w:val="20"/>
                <w:lang w:val="es-ES"/>
              </w:rPr>
              <w:t>iagnóstico</w:t>
            </w:r>
            <w:r w:rsidR="00037B6E">
              <w:rPr>
                <w:rFonts w:ascii="Arial" w:eastAsia="Arial" w:hAnsi="Arial" w:cs="Arial"/>
                <w:sz w:val="20"/>
                <w:szCs w:val="20"/>
                <w:lang w:val="es-ES"/>
              </w:rPr>
              <w:t>s</w:t>
            </w:r>
            <w:r w:rsidR="00037B6E" w:rsidRPr="00CF07EF">
              <w:rPr>
                <w:rFonts w:ascii="Arial" w:eastAsia="Arial" w:hAnsi="Arial" w:cs="Arial"/>
                <w:sz w:val="20"/>
                <w:szCs w:val="20"/>
                <w:lang w:val="es-ES"/>
              </w:rPr>
              <w:t xml:space="preserve"> de las barreras tributarias para la formalización y creación de ecosistemas de pagos y</w:t>
            </w:r>
            <w:r w:rsidR="00037B6E">
              <w:rPr>
                <w:rFonts w:ascii="Arial" w:eastAsia="Arial" w:hAnsi="Arial" w:cs="Arial"/>
                <w:sz w:val="20"/>
                <w:szCs w:val="20"/>
                <w:lang w:val="es-ES"/>
              </w:rPr>
              <w:t xml:space="preserve"> para incentivar los pagos digitales, preparados por la Unidad de Proyección Normativa y Estudios de Regulación Financiera (URF) y publicados por</w:t>
            </w:r>
            <w:r w:rsidR="00037B6E" w:rsidRPr="00CF07EF">
              <w:rPr>
                <w:rFonts w:ascii="Arial" w:eastAsia="Arial" w:hAnsi="Arial" w:cs="Arial"/>
                <w:sz w:val="20"/>
                <w:szCs w:val="20"/>
                <w:lang w:val="es-ES"/>
              </w:rPr>
              <w:t xml:space="preserve"> el MHCP</w:t>
            </w:r>
            <w:r w:rsidR="00037B6E">
              <w:rPr>
                <w:rFonts w:ascii="Arial" w:eastAsia="Arial" w:hAnsi="Arial" w:cs="Arial"/>
                <w:sz w:val="20"/>
                <w:szCs w:val="20"/>
                <w:lang w:val="es-ES"/>
              </w:rPr>
              <w:t>;</w:t>
            </w:r>
            <w:r w:rsidR="00037B6E" w:rsidRPr="00CF07EF">
              <w:rPr>
                <w:rFonts w:ascii="Arial" w:eastAsia="Arial" w:hAnsi="Arial" w:cs="Arial"/>
                <w:sz w:val="20"/>
                <w:szCs w:val="20"/>
                <w:lang w:val="es-ES"/>
              </w:rPr>
              <w:t xml:space="preserve"> </w:t>
            </w:r>
            <w:r w:rsidR="00037B6E">
              <w:rPr>
                <w:rFonts w:ascii="Arial" w:eastAsia="Arial" w:hAnsi="Arial" w:cs="Arial"/>
                <w:sz w:val="20"/>
                <w:szCs w:val="20"/>
                <w:lang w:val="es-ES"/>
              </w:rPr>
              <w:t>y el mecanismo del monotributo ha sido creado</w:t>
            </w:r>
            <w:r w:rsidR="00037B6E" w:rsidRPr="00CF07EF">
              <w:rPr>
                <w:rFonts w:ascii="Arial" w:eastAsia="Arial" w:hAnsi="Arial" w:cs="Arial"/>
                <w:sz w:val="20"/>
                <w:szCs w:val="20"/>
                <w:lang w:val="es-ES"/>
              </w:rPr>
              <w:t>.</w:t>
            </w:r>
          </w:p>
        </w:tc>
        <w:tc>
          <w:tcPr>
            <w:tcW w:w="1440" w:type="dxa"/>
            <w:tcBorders>
              <w:top w:val="single" w:sz="4" w:space="0" w:color="000000"/>
              <w:left w:val="single" w:sz="4" w:space="0" w:color="000000"/>
              <w:bottom w:val="single" w:sz="4" w:space="0" w:color="000000"/>
              <w:right w:val="single" w:sz="4" w:space="0" w:color="000000"/>
            </w:tcBorders>
            <w:vAlign w:val="center"/>
          </w:tcPr>
          <w:p w14:paraId="13A78948" w14:textId="687CF83E"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2ADF223B" w14:textId="0A257D60"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8489299" w14:textId="4D9D8E15" w:rsidR="005A1E9D" w:rsidRPr="00B36BE9" w:rsidRDefault="005A1E9D"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4D30EDC0" w14:textId="1A106F1F"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691DC10E" w14:textId="7823ACD1"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Ver M</w:t>
            </w:r>
            <w:r w:rsidR="00B36BE9">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76905294" w14:textId="7317CE0D" w:rsidR="002A2351" w:rsidRPr="00B36BE9" w:rsidRDefault="002A2351" w:rsidP="00B36BE9">
            <w:pPr>
              <w:spacing w:before="120" w:after="120" w:line="240" w:lineRule="auto"/>
              <w:jc w:val="center"/>
              <w:rPr>
                <w:rFonts w:ascii="Arial" w:hAnsi="Arial" w:cs="Arial"/>
                <w:sz w:val="18"/>
                <w:szCs w:val="18"/>
                <w:lang w:val="es-CO"/>
              </w:rPr>
            </w:pPr>
          </w:p>
        </w:tc>
      </w:tr>
      <w:tr w:rsidR="009E61A4" w:rsidRPr="00445CB7" w14:paraId="5305BA5E" w14:textId="6010C03B"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282FB414" w14:textId="0611FD24" w:rsidR="009E61A4" w:rsidRPr="00B36BE9" w:rsidRDefault="006D0E18" w:rsidP="00B36BE9">
            <w:pPr>
              <w:pStyle w:val="ListParagraph"/>
              <w:spacing w:before="120" w:after="120" w:line="240" w:lineRule="auto"/>
              <w:ind w:left="0"/>
              <w:rPr>
                <w:rFonts w:ascii="Arial" w:hAnsi="Arial" w:cs="Arial"/>
                <w:sz w:val="18"/>
                <w:szCs w:val="18"/>
              </w:rPr>
            </w:pPr>
            <w:r>
              <w:rPr>
                <w:rFonts w:ascii="Arial" w:hAnsi="Arial" w:cs="Arial"/>
                <w:sz w:val="18"/>
                <w:szCs w:val="18"/>
              </w:rPr>
              <w:lastRenderedPageBreak/>
              <w:t>Se ha llevado a cabo un d</w:t>
            </w:r>
            <w:r w:rsidR="001C04E0">
              <w:rPr>
                <w:rFonts w:ascii="Arial" w:hAnsi="Arial" w:cs="Arial"/>
                <w:sz w:val="18"/>
                <w:szCs w:val="18"/>
              </w:rPr>
              <w:t>iagn</w:t>
            </w:r>
            <w:r w:rsidR="001C04E0" w:rsidRPr="00B36BE9">
              <w:rPr>
                <w:rFonts w:ascii="Arial" w:hAnsi="Arial" w:cs="Arial"/>
                <w:sz w:val="18"/>
                <w:szCs w:val="18"/>
              </w:rPr>
              <w:t>ó</w:t>
            </w:r>
            <w:r w:rsidR="001C04E0">
              <w:rPr>
                <w:rFonts w:ascii="Arial" w:hAnsi="Arial" w:cs="Arial"/>
                <w:sz w:val="18"/>
                <w:szCs w:val="18"/>
              </w:rPr>
              <w:t xml:space="preserve">stico de </w:t>
            </w:r>
            <w:r w:rsidR="009E61A4" w:rsidRPr="00B36BE9">
              <w:rPr>
                <w:rFonts w:ascii="Arial" w:hAnsi="Arial" w:cs="Arial"/>
                <w:sz w:val="18"/>
                <w:szCs w:val="18"/>
              </w:rPr>
              <w:t xml:space="preserve">la normativa del sistema financiero para ampliar el acceso a servicios financieros </w:t>
            </w:r>
            <w:r w:rsidR="00E17211">
              <w:rPr>
                <w:rFonts w:ascii="Arial" w:hAnsi="Arial" w:cs="Arial"/>
                <w:sz w:val="18"/>
                <w:szCs w:val="18"/>
              </w:rPr>
              <w:t>para mujeres</w:t>
            </w:r>
            <w:r w:rsidR="009E61A4" w:rsidRPr="00B36BE9">
              <w:rPr>
                <w:rFonts w:ascii="Arial" w:hAnsi="Arial" w:cs="Arial"/>
                <w:sz w:val="18"/>
                <w:szCs w:val="18"/>
              </w:rPr>
              <w:t>.</w:t>
            </w:r>
          </w:p>
        </w:tc>
        <w:tc>
          <w:tcPr>
            <w:tcW w:w="1440" w:type="dxa"/>
            <w:tcBorders>
              <w:top w:val="single" w:sz="4" w:space="0" w:color="000000"/>
              <w:left w:val="single" w:sz="4" w:space="0" w:color="000000"/>
              <w:bottom w:val="single" w:sz="4" w:space="0" w:color="000000"/>
              <w:right w:val="single" w:sz="4" w:space="0" w:color="000000"/>
            </w:tcBorders>
            <w:vAlign w:val="center"/>
          </w:tcPr>
          <w:p w14:paraId="491C3576" w14:textId="396AE2E3"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79FD6020" w14:textId="51151B53"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028C53B" w14:textId="3060977F" w:rsidR="005A1E9D" w:rsidRPr="00B36BE9" w:rsidRDefault="005A1E9D"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085D9F78" w14:textId="27908DB0"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0ABB6B08" w14:textId="2CCB429A"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Ver M</w:t>
            </w:r>
            <w:r w:rsidR="00B36BE9">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746C7CB6" w14:textId="427ACBE0" w:rsidR="002A2351" w:rsidRPr="00B36BE9" w:rsidRDefault="002A2351" w:rsidP="00B36BE9">
            <w:pPr>
              <w:spacing w:before="120" w:after="120" w:line="240" w:lineRule="auto"/>
              <w:jc w:val="center"/>
              <w:rPr>
                <w:rFonts w:ascii="Arial" w:hAnsi="Arial" w:cs="Arial"/>
                <w:sz w:val="18"/>
                <w:szCs w:val="18"/>
                <w:lang w:val="es-CO"/>
              </w:rPr>
            </w:pPr>
          </w:p>
        </w:tc>
      </w:tr>
      <w:tr w:rsidR="009E61A4" w:rsidRPr="00445CB7" w14:paraId="59DD795A" w14:textId="6382A49D"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1DCB8549" w14:textId="4A5EE526" w:rsidR="009E61A4" w:rsidRPr="00B36BE9" w:rsidRDefault="006D0E18" w:rsidP="00B36BE9">
            <w:pPr>
              <w:pStyle w:val="ListParagraph"/>
              <w:spacing w:before="120" w:after="120" w:line="240" w:lineRule="auto"/>
              <w:ind w:left="0"/>
              <w:rPr>
                <w:rFonts w:ascii="Arial" w:hAnsi="Arial" w:cs="Arial"/>
                <w:sz w:val="18"/>
                <w:szCs w:val="18"/>
              </w:rPr>
            </w:pPr>
            <w:r>
              <w:rPr>
                <w:rFonts w:ascii="Arial" w:eastAsia="Arial" w:hAnsi="Arial" w:cs="Arial"/>
                <w:sz w:val="18"/>
                <w:szCs w:val="18"/>
                <w:lang w:val="es-ES"/>
              </w:rPr>
              <w:t>Se ha elaborado el e</w:t>
            </w:r>
            <w:r w:rsidR="00D11BBF" w:rsidRPr="000C373E">
              <w:rPr>
                <w:rFonts w:ascii="Arial" w:eastAsia="Arial" w:hAnsi="Arial" w:cs="Arial"/>
                <w:sz w:val="18"/>
                <w:szCs w:val="18"/>
                <w:lang w:val="es-ES"/>
              </w:rPr>
              <w:t xml:space="preserve">studio de diagnóstico del esquema de comercialización de seguros en Colombia, preparado por la </w:t>
            </w:r>
            <w:r w:rsidR="00D11BBF" w:rsidRPr="00D11BBF">
              <w:rPr>
                <w:rFonts w:ascii="Arial" w:eastAsia="Arial" w:hAnsi="Arial" w:cs="Arial"/>
                <w:sz w:val="18"/>
                <w:szCs w:val="18"/>
                <w:lang w:val="es-ES"/>
              </w:rPr>
              <w:t>Unidad de Proyección Normativa y Estudios de Regulación Financiera (URF)</w:t>
            </w:r>
            <w:r w:rsidR="00D11BBF">
              <w:rPr>
                <w:rFonts w:ascii="Arial" w:eastAsia="Arial" w:hAnsi="Arial" w:cs="Arial"/>
                <w:sz w:val="18"/>
                <w:szCs w:val="18"/>
                <w:lang w:val="es-ES"/>
              </w:rPr>
              <w:t>.</w:t>
            </w:r>
          </w:p>
        </w:tc>
        <w:tc>
          <w:tcPr>
            <w:tcW w:w="1440" w:type="dxa"/>
            <w:tcBorders>
              <w:top w:val="single" w:sz="4" w:space="0" w:color="000000"/>
              <w:left w:val="single" w:sz="4" w:space="0" w:color="000000"/>
              <w:bottom w:val="single" w:sz="4" w:space="0" w:color="000000"/>
              <w:right w:val="single" w:sz="4" w:space="0" w:color="000000"/>
            </w:tcBorders>
            <w:vAlign w:val="center"/>
          </w:tcPr>
          <w:p w14:paraId="23C512E5" w14:textId="7C0A1B20"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7139EC9C" w14:textId="7FA3B480"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537F15D" w14:textId="04A0A1C8" w:rsidR="005A1E9D" w:rsidRPr="00B36BE9" w:rsidRDefault="005A1E9D"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5637159B" w14:textId="256EB579"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1A44BB98" w14:textId="4CEDCEC7"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Ver M</w:t>
            </w:r>
            <w:r w:rsidR="00B36BE9">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2AF53C2E" w14:textId="7BEC3513" w:rsidR="002A2351" w:rsidRPr="00B36BE9" w:rsidRDefault="002A2351" w:rsidP="00B36BE9">
            <w:pPr>
              <w:spacing w:before="120" w:after="120" w:line="240" w:lineRule="auto"/>
              <w:jc w:val="center"/>
              <w:rPr>
                <w:rFonts w:ascii="Arial" w:hAnsi="Arial" w:cs="Arial"/>
                <w:sz w:val="18"/>
                <w:szCs w:val="18"/>
                <w:lang w:val="es-CO"/>
              </w:rPr>
            </w:pPr>
          </w:p>
        </w:tc>
      </w:tr>
      <w:tr w:rsidR="009E61A4" w:rsidRPr="00445CB7" w14:paraId="5BC5EB96"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7AE5C510" w14:textId="1F2A3982" w:rsidR="009E61A4" w:rsidRPr="00FE10BE" w:rsidRDefault="009E61A4" w:rsidP="00FE10BE">
            <w:pPr>
              <w:numPr>
                <w:ilvl w:val="0"/>
                <w:numId w:val="27"/>
              </w:numPr>
              <w:spacing w:before="120" w:after="120" w:line="240" w:lineRule="auto"/>
              <w:ind w:left="432"/>
              <w:rPr>
                <w:rFonts w:ascii="Arial" w:hAnsi="Arial"/>
                <w:b/>
                <w:sz w:val="20"/>
                <w:lang w:val="es-ES_tradnl"/>
              </w:rPr>
            </w:pPr>
            <w:r w:rsidRPr="00FE10BE">
              <w:rPr>
                <w:rFonts w:ascii="Arial" w:hAnsi="Arial"/>
                <w:b/>
                <w:sz w:val="20"/>
                <w:lang w:val="es-ES_tradnl"/>
              </w:rPr>
              <w:t>Mejora de la institucionalidad para a</w:t>
            </w:r>
            <w:r w:rsidR="00BC67DC">
              <w:rPr>
                <w:rFonts w:ascii="Arial" w:hAnsi="Arial"/>
                <w:b/>
                <w:sz w:val="20"/>
                <w:lang w:val="es-ES_tradnl"/>
              </w:rPr>
              <w:t>umentar la inclusión financiera</w:t>
            </w:r>
          </w:p>
        </w:tc>
      </w:tr>
      <w:tr w:rsidR="009E61A4" w:rsidRPr="00445CB7" w14:paraId="482DD58B" w14:textId="39823DAF"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52EBC9CF" w14:textId="1515C5A5" w:rsidR="009E61A4" w:rsidRPr="00B36BE9" w:rsidRDefault="009E61A4" w:rsidP="00B36BE9">
            <w:pPr>
              <w:pStyle w:val="ListParagraph"/>
              <w:spacing w:before="120" w:after="120" w:line="240" w:lineRule="auto"/>
              <w:ind w:left="0"/>
              <w:rPr>
                <w:rFonts w:ascii="Arial" w:hAnsi="Arial" w:cs="Arial"/>
                <w:sz w:val="18"/>
                <w:szCs w:val="18"/>
              </w:rPr>
            </w:pPr>
            <w:r w:rsidRPr="00B36BE9">
              <w:rPr>
                <w:rFonts w:ascii="Arial" w:hAnsi="Arial" w:cs="Arial"/>
                <w:sz w:val="18"/>
                <w:szCs w:val="18"/>
              </w:rPr>
              <w:t>El Decreto de creación y establecimiento de una Comisión Intersectorial para la Inclusión Financiera ha sido emitido por el Gobierno Nacional (MHCP).</w:t>
            </w:r>
          </w:p>
        </w:tc>
        <w:tc>
          <w:tcPr>
            <w:tcW w:w="1440" w:type="dxa"/>
            <w:tcBorders>
              <w:top w:val="single" w:sz="4" w:space="0" w:color="000000"/>
              <w:left w:val="single" w:sz="4" w:space="0" w:color="000000"/>
              <w:bottom w:val="single" w:sz="4" w:space="0" w:color="000000"/>
              <w:right w:val="single" w:sz="4" w:space="0" w:color="000000"/>
            </w:tcBorders>
            <w:vAlign w:val="center"/>
          </w:tcPr>
          <w:p w14:paraId="3AA9EEC1" w14:textId="77722448"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Norma publicada*</w:t>
            </w:r>
          </w:p>
        </w:tc>
        <w:tc>
          <w:tcPr>
            <w:tcW w:w="1080" w:type="dxa"/>
            <w:tcBorders>
              <w:top w:val="single" w:sz="4" w:space="0" w:color="000000"/>
              <w:left w:val="single" w:sz="4" w:space="0" w:color="000000"/>
              <w:bottom w:val="single" w:sz="4" w:space="0" w:color="000000"/>
              <w:right w:val="single" w:sz="4" w:space="0" w:color="000000"/>
            </w:tcBorders>
            <w:vAlign w:val="center"/>
          </w:tcPr>
          <w:p w14:paraId="217BC350" w14:textId="26246F92"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FEA9E80" w14:textId="216B2371" w:rsidR="005A1E9D" w:rsidRPr="00B36BE9" w:rsidRDefault="005A1E9D"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2400903B" w14:textId="7618330D"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44A9FBCE" w14:textId="1FFC2D5E"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Ver M</w:t>
            </w:r>
            <w:r w:rsidR="00B36BE9">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4E43A355" w14:textId="77777777" w:rsidR="002A2351" w:rsidRPr="00B36BE9" w:rsidRDefault="002A2351" w:rsidP="00B36BE9">
            <w:pPr>
              <w:spacing w:before="120" w:after="120" w:line="240" w:lineRule="auto"/>
              <w:jc w:val="center"/>
              <w:rPr>
                <w:rFonts w:ascii="Arial" w:hAnsi="Arial" w:cs="Arial"/>
                <w:sz w:val="18"/>
                <w:szCs w:val="18"/>
                <w:lang w:val="es-CO"/>
              </w:rPr>
            </w:pPr>
          </w:p>
        </w:tc>
      </w:tr>
      <w:tr w:rsidR="009E61A4" w:rsidRPr="00445CB7" w14:paraId="5F3E5C5D" w14:textId="17FFC154" w:rsidTr="002F5C9A">
        <w:trPr>
          <w:trHeight w:val="242"/>
        </w:trPr>
        <w:tc>
          <w:tcPr>
            <w:tcW w:w="2003" w:type="dxa"/>
            <w:tcBorders>
              <w:top w:val="single" w:sz="4" w:space="0" w:color="000000"/>
              <w:left w:val="single" w:sz="4" w:space="0" w:color="000000"/>
              <w:bottom w:val="single" w:sz="4" w:space="0" w:color="000000"/>
              <w:right w:val="single" w:sz="4" w:space="0" w:color="000000"/>
            </w:tcBorders>
            <w:vAlign w:val="center"/>
          </w:tcPr>
          <w:p w14:paraId="41688CED" w14:textId="1F86A8F7" w:rsidR="009E61A4" w:rsidRPr="00B36BE9" w:rsidRDefault="00074128" w:rsidP="00B36BE9">
            <w:pPr>
              <w:pStyle w:val="ListParagraph"/>
              <w:spacing w:before="120" w:after="120" w:line="240" w:lineRule="auto"/>
              <w:ind w:left="0"/>
              <w:rPr>
                <w:rFonts w:ascii="Arial" w:hAnsi="Arial" w:cs="Arial"/>
                <w:sz w:val="18"/>
                <w:szCs w:val="18"/>
              </w:rPr>
            </w:pPr>
            <w:r w:rsidRPr="00074128">
              <w:rPr>
                <w:rFonts w:ascii="Arial" w:hAnsi="Arial" w:cs="Arial"/>
                <w:sz w:val="18"/>
                <w:szCs w:val="18"/>
                <w:lang w:val="es-ES_tradnl"/>
              </w:rPr>
              <w:t xml:space="preserve">Se ha elaborado la Estrategia Nacional de Educación Económica y Financiera de Colombia (ENEEF), por la Comisión Intersectorial para la </w:t>
            </w:r>
            <w:r w:rsidRPr="00074128">
              <w:rPr>
                <w:rFonts w:ascii="Arial" w:hAnsi="Arial" w:cs="Arial"/>
                <w:sz w:val="18"/>
                <w:szCs w:val="18"/>
                <w:lang w:val="es-ES_tradnl"/>
              </w:rPr>
              <w:lastRenderedPageBreak/>
              <w:t>Educación Económica y Financiera.</w:t>
            </w:r>
            <w:r w:rsidR="009E61A4" w:rsidRPr="00B36BE9">
              <w:rPr>
                <w:rFonts w:ascii="Arial" w:hAnsi="Arial" w:cs="Arial"/>
                <w:sz w:val="18"/>
                <w:szCs w:val="18"/>
              </w:rPr>
              <w:t>.</w:t>
            </w:r>
          </w:p>
        </w:tc>
        <w:tc>
          <w:tcPr>
            <w:tcW w:w="1440" w:type="dxa"/>
            <w:tcBorders>
              <w:top w:val="single" w:sz="4" w:space="0" w:color="000000"/>
              <w:left w:val="single" w:sz="4" w:space="0" w:color="000000"/>
              <w:bottom w:val="single" w:sz="4" w:space="0" w:color="000000"/>
              <w:right w:val="single" w:sz="4" w:space="0" w:color="000000"/>
            </w:tcBorders>
            <w:vAlign w:val="center"/>
          </w:tcPr>
          <w:p w14:paraId="62F34879" w14:textId="465A462A"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lastRenderedPageBreak/>
              <w:t>Comunicación emitida***</w:t>
            </w:r>
          </w:p>
        </w:tc>
        <w:tc>
          <w:tcPr>
            <w:tcW w:w="1080" w:type="dxa"/>
            <w:tcBorders>
              <w:top w:val="single" w:sz="4" w:space="0" w:color="000000"/>
              <w:left w:val="single" w:sz="4" w:space="0" w:color="000000"/>
              <w:bottom w:val="single" w:sz="4" w:space="0" w:color="000000"/>
              <w:right w:val="single" w:sz="4" w:space="0" w:color="000000"/>
            </w:tcBorders>
            <w:vAlign w:val="center"/>
          </w:tcPr>
          <w:p w14:paraId="14104EA7" w14:textId="6A480C2B"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0FF62A3" w14:textId="263B58DB" w:rsidR="005A1E9D" w:rsidRPr="00B36BE9" w:rsidRDefault="005A1E9D"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2014</w:t>
            </w:r>
          </w:p>
        </w:tc>
        <w:tc>
          <w:tcPr>
            <w:tcW w:w="1170" w:type="dxa"/>
            <w:tcBorders>
              <w:top w:val="single" w:sz="4" w:space="0" w:color="000000"/>
              <w:left w:val="single" w:sz="4" w:space="0" w:color="000000"/>
              <w:bottom w:val="single" w:sz="4" w:space="0" w:color="000000"/>
              <w:right w:val="single" w:sz="4" w:space="0" w:color="000000"/>
            </w:tcBorders>
            <w:vAlign w:val="center"/>
          </w:tcPr>
          <w:p w14:paraId="50A614A4" w14:textId="49B1F99D"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0E72A55B" w14:textId="45DF19E1" w:rsidR="009E61A4" w:rsidRPr="00B36BE9" w:rsidRDefault="009E61A4" w:rsidP="00B36BE9">
            <w:pPr>
              <w:spacing w:before="120" w:after="120" w:line="240" w:lineRule="auto"/>
              <w:jc w:val="center"/>
              <w:rPr>
                <w:rFonts w:ascii="Arial" w:hAnsi="Arial" w:cs="Arial"/>
                <w:sz w:val="18"/>
                <w:szCs w:val="18"/>
                <w:lang w:val="es-CO"/>
              </w:rPr>
            </w:pPr>
            <w:r w:rsidRPr="00B36BE9">
              <w:rPr>
                <w:rFonts w:ascii="Arial" w:hAnsi="Arial" w:cs="Arial"/>
                <w:sz w:val="18"/>
                <w:szCs w:val="18"/>
                <w:lang w:val="es-CO"/>
              </w:rPr>
              <w:t>Ver M</w:t>
            </w:r>
            <w:r w:rsidR="00B36BE9">
              <w:rPr>
                <w:rFonts w:ascii="Arial" w:hAnsi="Arial" w:cs="Arial"/>
                <w:sz w:val="18"/>
                <w:szCs w:val="18"/>
                <w:lang w:val="es-CO"/>
              </w:rPr>
              <w:t>atriz de Medios de Verificación</w:t>
            </w:r>
          </w:p>
        </w:tc>
        <w:tc>
          <w:tcPr>
            <w:tcW w:w="5130" w:type="dxa"/>
            <w:tcBorders>
              <w:top w:val="single" w:sz="4" w:space="0" w:color="000000"/>
              <w:left w:val="single" w:sz="4" w:space="0" w:color="000000"/>
              <w:bottom w:val="single" w:sz="4" w:space="0" w:color="000000"/>
              <w:right w:val="single" w:sz="4" w:space="0" w:color="000000"/>
            </w:tcBorders>
            <w:vAlign w:val="center"/>
          </w:tcPr>
          <w:p w14:paraId="1F9F3337" w14:textId="77777777" w:rsidR="002A2351" w:rsidRPr="00B36BE9" w:rsidRDefault="002A2351" w:rsidP="00B36BE9">
            <w:pPr>
              <w:spacing w:before="120" w:after="120" w:line="240" w:lineRule="auto"/>
              <w:jc w:val="center"/>
              <w:rPr>
                <w:rFonts w:ascii="Arial" w:hAnsi="Arial" w:cs="Arial"/>
                <w:sz w:val="18"/>
                <w:szCs w:val="18"/>
                <w:lang w:val="es-CO"/>
              </w:rPr>
            </w:pPr>
          </w:p>
        </w:tc>
      </w:tr>
      <w:tr w:rsidR="009E61A4" w:rsidRPr="00445CB7" w14:paraId="33F4FFD3" w14:textId="77777777" w:rsidTr="002F5C9A">
        <w:trPr>
          <w:trHeight w:val="242"/>
        </w:trPr>
        <w:tc>
          <w:tcPr>
            <w:tcW w:w="13343" w:type="dxa"/>
            <w:gridSpan w:val="7"/>
            <w:tcBorders>
              <w:top w:val="single" w:sz="4" w:space="0" w:color="000000"/>
              <w:left w:val="single" w:sz="4" w:space="0" w:color="000000"/>
              <w:bottom w:val="single" w:sz="4" w:space="0" w:color="000000"/>
              <w:right w:val="single" w:sz="4" w:space="0" w:color="000000"/>
            </w:tcBorders>
            <w:vAlign w:val="center"/>
          </w:tcPr>
          <w:p w14:paraId="6930F82F" w14:textId="79B0A6E4" w:rsidR="009E61A4" w:rsidRPr="00B36BE9" w:rsidRDefault="009E61A4" w:rsidP="00B36BE9">
            <w:pPr>
              <w:pStyle w:val="ListParagraph"/>
              <w:spacing w:before="120" w:after="120" w:line="240" w:lineRule="auto"/>
              <w:ind w:left="0"/>
              <w:rPr>
                <w:rFonts w:ascii="Arial" w:hAnsi="Arial" w:cs="Arial"/>
                <w:sz w:val="18"/>
                <w:szCs w:val="18"/>
              </w:rPr>
            </w:pPr>
            <w:r w:rsidRPr="00B36BE9">
              <w:rPr>
                <w:rFonts w:ascii="Arial" w:hAnsi="Arial" w:cs="Arial"/>
                <w:sz w:val="18"/>
                <w:szCs w:val="18"/>
              </w:rPr>
              <w:t>* Se entiende como “norma publicada” a la regulación vinculante y de obligado cumplimiento para el sector, publicada en el Diario Oficial de la República de Colombia.</w:t>
            </w:r>
          </w:p>
          <w:p w14:paraId="16AE0635" w14:textId="5A89CB99" w:rsidR="009E61A4" w:rsidRPr="00B36BE9" w:rsidRDefault="009E61A4" w:rsidP="00B36BE9">
            <w:pPr>
              <w:pStyle w:val="ListParagraph"/>
              <w:spacing w:before="120" w:after="120" w:line="240" w:lineRule="auto"/>
              <w:ind w:left="0"/>
              <w:rPr>
                <w:rFonts w:ascii="Arial" w:hAnsi="Arial" w:cs="Arial"/>
                <w:sz w:val="18"/>
                <w:szCs w:val="18"/>
              </w:rPr>
            </w:pPr>
            <w:r w:rsidRPr="00B36BE9">
              <w:rPr>
                <w:rFonts w:ascii="Arial" w:hAnsi="Arial" w:cs="Arial"/>
                <w:sz w:val="18"/>
                <w:szCs w:val="18"/>
              </w:rPr>
              <w:t>** Se entiende como “resolución publicada” a la orden escrita dictada por el jefe de un servicio público que tiene carácter general, obligatorio y permanente, y se refiere al ámbito de competencia del servicio.</w:t>
            </w:r>
          </w:p>
          <w:p w14:paraId="1203B9A1" w14:textId="16BCE363" w:rsidR="009E61A4" w:rsidRPr="00B36BE9" w:rsidRDefault="009E61A4" w:rsidP="00B36BE9">
            <w:pPr>
              <w:pStyle w:val="ListParagraph"/>
              <w:spacing w:before="120" w:after="120" w:line="240" w:lineRule="auto"/>
              <w:ind w:left="0"/>
              <w:rPr>
                <w:rFonts w:ascii="Arial" w:hAnsi="Arial" w:cs="Arial"/>
                <w:sz w:val="18"/>
                <w:szCs w:val="18"/>
              </w:rPr>
            </w:pPr>
            <w:r w:rsidRPr="00B36BE9">
              <w:rPr>
                <w:rFonts w:ascii="Arial" w:hAnsi="Arial" w:cs="Arial"/>
                <w:sz w:val="18"/>
                <w:szCs w:val="18"/>
              </w:rPr>
              <w:t xml:space="preserve">*** Se entiende como “comunicación emitida” a la comunicación </w:t>
            </w:r>
            <w:r w:rsidR="001941C7">
              <w:rPr>
                <w:rFonts w:ascii="Arial" w:hAnsi="Arial" w:cs="Arial"/>
                <w:sz w:val="18"/>
                <w:szCs w:val="18"/>
              </w:rPr>
              <w:t xml:space="preserve">o informe </w:t>
            </w:r>
            <w:r w:rsidRPr="00B36BE9">
              <w:rPr>
                <w:rFonts w:ascii="Arial" w:hAnsi="Arial" w:cs="Arial"/>
                <w:sz w:val="18"/>
                <w:szCs w:val="18"/>
              </w:rPr>
              <w:t>emitid</w:t>
            </w:r>
            <w:r w:rsidR="001941C7">
              <w:rPr>
                <w:rFonts w:ascii="Arial" w:hAnsi="Arial" w:cs="Arial"/>
                <w:sz w:val="18"/>
                <w:szCs w:val="18"/>
              </w:rPr>
              <w:t>os</w:t>
            </w:r>
            <w:r w:rsidRPr="00B36BE9">
              <w:rPr>
                <w:rFonts w:ascii="Arial" w:hAnsi="Arial" w:cs="Arial"/>
                <w:sz w:val="18"/>
                <w:szCs w:val="18"/>
              </w:rPr>
              <w:t xml:space="preserve"> por la autoridad competente, y que deja constancia acerca del avance concreto en la determinada materia.</w:t>
            </w:r>
          </w:p>
        </w:tc>
      </w:tr>
    </w:tbl>
    <w:p w14:paraId="0CA92368" w14:textId="77777777" w:rsidR="00273B08" w:rsidRPr="003F305C" w:rsidRDefault="00273B08">
      <w:pPr>
        <w:rPr>
          <w:rFonts w:ascii="Arial" w:hAnsi="Arial" w:cs="Arial"/>
          <w:sz w:val="20"/>
          <w:szCs w:val="20"/>
          <w:lang w:val="es-ES_tradnl"/>
        </w:rPr>
      </w:pPr>
    </w:p>
    <w:sectPr w:rsidR="00273B08" w:rsidRPr="003F305C" w:rsidSect="00FE10BE">
      <w:headerReference w:type="default" r:id="rId14"/>
      <w:footerReference w:type="default" r:id="rId15"/>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E95F2" w14:textId="77777777" w:rsidR="008B4341" w:rsidRDefault="008B4341" w:rsidP="00866C47">
      <w:pPr>
        <w:spacing w:after="0" w:line="240" w:lineRule="auto"/>
      </w:pPr>
      <w:r>
        <w:separator/>
      </w:r>
    </w:p>
  </w:endnote>
  <w:endnote w:type="continuationSeparator" w:id="0">
    <w:p w14:paraId="278297A6" w14:textId="77777777" w:rsidR="008B4341" w:rsidRDefault="008B4341" w:rsidP="00866C47">
      <w:pPr>
        <w:spacing w:after="0" w:line="240" w:lineRule="auto"/>
      </w:pPr>
      <w:r>
        <w:continuationSeparator/>
      </w:r>
    </w:p>
  </w:endnote>
  <w:endnote w:type="continuationNotice" w:id="1">
    <w:p w14:paraId="24059C10" w14:textId="77777777" w:rsidR="008B4341" w:rsidRDefault="008B4341" w:rsidP="00866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swiss"/>
    <w:pitch w:val="variable"/>
    <w:sig w:usb0="00000001" w:usb1="4000ACFF" w:usb2="00000001" w:usb3="00000000" w:csb0="0000019F"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967FF" w14:textId="77777777" w:rsidR="00241340" w:rsidRDefault="002413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37253" w14:textId="77777777" w:rsidR="008B4341" w:rsidRDefault="008B4341" w:rsidP="00866C47">
      <w:pPr>
        <w:spacing w:after="0" w:line="240" w:lineRule="auto"/>
      </w:pPr>
      <w:r>
        <w:separator/>
      </w:r>
    </w:p>
  </w:footnote>
  <w:footnote w:type="continuationSeparator" w:id="0">
    <w:p w14:paraId="7CE5EA08" w14:textId="77777777" w:rsidR="008B4341" w:rsidRDefault="008B4341" w:rsidP="00866C47">
      <w:pPr>
        <w:spacing w:after="0" w:line="240" w:lineRule="auto"/>
      </w:pPr>
      <w:r>
        <w:continuationSeparator/>
      </w:r>
    </w:p>
  </w:footnote>
  <w:footnote w:type="continuationNotice" w:id="1">
    <w:p w14:paraId="70E11005" w14:textId="77777777" w:rsidR="008B4341" w:rsidRDefault="008B4341" w:rsidP="00866C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76014"/>
      <w:docPartObj>
        <w:docPartGallery w:val="Page Numbers (Top of Page)"/>
        <w:docPartUnique/>
      </w:docPartObj>
    </w:sdtPr>
    <w:sdtEndPr>
      <w:rPr>
        <w:rFonts w:ascii="Arial" w:hAnsi="Arial" w:cs="Arial"/>
        <w:sz w:val="18"/>
        <w:szCs w:val="18"/>
      </w:rPr>
    </w:sdtEndPr>
    <w:sdtContent>
      <w:p w14:paraId="2B54CFAD" w14:textId="0E0D9B64" w:rsidR="00F75BD2" w:rsidRPr="00B36BE9" w:rsidRDefault="00F546DD">
        <w:pPr>
          <w:pStyle w:val="Header"/>
          <w:jc w:val="right"/>
          <w:rPr>
            <w:rFonts w:ascii="Arial" w:hAnsi="Arial" w:cs="Arial"/>
            <w:sz w:val="18"/>
            <w:szCs w:val="18"/>
          </w:rPr>
        </w:pPr>
        <w:r w:rsidRPr="00B36BE9">
          <w:rPr>
            <w:rFonts w:ascii="Arial" w:hAnsi="Arial" w:cs="Arial"/>
            <w:sz w:val="18"/>
            <w:szCs w:val="18"/>
          </w:rPr>
          <w:t>CO-L1</w:t>
        </w:r>
        <w:r w:rsidR="00A01270" w:rsidRPr="00B36BE9">
          <w:rPr>
            <w:rFonts w:ascii="Arial" w:hAnsi="Arial" w:cs="Arial"/>
            <w:sz w:val="18"/>
            <w:szCs w:val="18"/>
          </w:rPr>
          <w:t>21</w:t>
        </w:r>
        <w:r w:rsidRPr="00B36BE9">
          <w:rPr>
            <w:rFonts w:ascii="Arial" w:hAnsi="Arial" w:cs="Arial"/>
            <w:sz w:val="18"/>
            <w:szCs w:val="18"/>
          </w:rPr>
          <w:t>4</w:t>
        </w:r>
        <w:r w:rsidR="009966C5" w:rsidRPr="00B36BE9">
          <w:rPr>
            <w:rFonts w:ascii="Arial" w:hAnsi="Arial" w:cs="Arial"/>
            <w:sz w:val="18"/>
            <w:szCs w:val="18"/>
          </w:rPr>
          <w:t xml:space="preserve"> </w:t>
        </w:r>
      </w:p>
      <w:p w14:paraId="6FAFE11C" w14:textId="70E97648" w:rsidR="00F75BD2" w:rsidRPr="00B36BE9" w:rsidRDefault="00F75BD2">
        <w:pPr>
          <w:pStyle w:val="Header"/>
          <w:jc w:val="right"/>
          <w:rPr>
            <w:rFonts w:ascii="Arial" w:hAnsi="Arial" w:cs="Arial"/>
            <w:sz w:val="18"/>
            <w:szCs w:val="18"/>
          </w:rPr>
        </w:pPr>
        <w:r w:rsidRPr="00B36BE9">
          <w:rPr>
            <w:rFonts w:ascii="Arial" w:hAnsi="Arial" w:cs="Arial"/>
            <w:sz w:val="18"/>
            <w:szCs w:val="18"/>
          </w:rPr>
          <w:t xml:space="preserve">Página </w:t>
        </w:r>
        <w:r w:rsidRPr="00B36BE9">
          <w:rPr>
            <w:rFonts w:ascii="Arial" w:hAnsi="Arial" w:cs="Arial"/>
            <w:bCs/>
            <w:sz w:val="18"/>
            <w:szCs w:val="18"/>
          </w:rPr>
          <w:fldChar w:fldCharType="begin"/>
        </w:r>
        <w:r w:rsidRPr="00B36BE9">
          <w:rPr>
            <w:rFonts w:ascii="Arial" w:hAnsi="Arial" w:cs="Arial"/>
            <w:sz w:val="18"/>
            <w:szCs w:val="18"/>
          </w:rPr>
          <w:instrText xml:space="preserve"> PAGE </w:instrText>
        </w:r>
        <w:r w:rsidRPr="00B36BE9">
          <w:rPr>
            <w:rFonts w:ascii="Arial" w:hAnsi="Arial" w:cs="Arial"/>
            <w:bCs/>
            <w:sz w:val="18"/>
            <w:szCs w:val="18"/>
          </w:rPr>
          <w:fldChar w:fldCharType="separate"/>
        </w:r>
        <w:r w:rsidR="00445CB7">
          <w:rPr>
            <w:rFonts w:ascii="Arial" w:hAnsi="Arial" w:cs="Arial"/>
            <w:noProof/>
            <w:sz w:val="18"/>
            <w:szCs w:val="18"/>
          </w:rPr>
          <w:t>12</w:t>
        </w:r>
        <w:r w:rsidRPr="00B36BE9">
          <w:rPr>
            <w:rFonts w:ascii="Arial" w:hAnsi="Arial" w:cs="Arial"/>
            <w:bCs/>
            <w:sz w:val="18"/>
            <w:szCs w:val="18"/>
          </w:rPr>
          <w:fldChar w:fldCharType="end"/>
        </w:r>
        <w:r w:rsidRPr="00B36BE9">
          <w:rPr>
            <w:rFonts w:ascii="Arial" w:hAnsi="Arial" w:cs="Arial"/>
            <w:sz w:val="18"/>
            <w:szCs w:val="18"/>
          </w:rPr>
          <w:t xml:space="preserve"> de </w:t>
        </w:r>
        <w:r w:rsidRPr="00B36BE9">
          <w:rPr>
            <w:rFonts w:ascii="Arial" w:hAnsi="Arial" w:cs="Arial"/>
            <w:bCs/>
            <w:sz w:val="18"/>
            <w:szCs w:val="18"/>
          </w:rPr>
          <w:fldChar w:fldCharType="begin"/>
        </w:r>
        <w:r w:rsidRPr="00B36BE9">
          <w:rPr>
            <w:rFonts w:ascii="Arial" w:hAnsi="Arial" w:cs="Arial"/>
            <w:bCs/>
            <w:sz w:val="18"/>
            <w:szCs w:val="18"/>
            <w:lang w:val="pt-BR"/>
          </w:rPr>
          <w:instrText xml:space="preserve"> NUMPAGES  </w:instrText>
        </w:r>
        <w:r w:rsidRPr="00B36BE9">
          <w:rPr>
            <w:rFonts w:ascii="Arial" w:hAnsi="Arial" w:cs="Arial"/>
            <w:bCs/>
            <w:sz w:val="18"/>
            <w:szCs w:val="18"/>
          </w:rPr>
          <w:fldChar w:fldCharType="separate"/>
        </w:r>
        <w:r w:rsidR="00445CB7">
          <w:rPr>
            <w:rFonts w:ascii="Arial" w:hAnsi="Arial" w:cs="Arial"/>
            <w:bCs/>
            <w:noProof/>
            <w:sz w:val="18"/>
            <w:szCs w:val="18"/>
            <w:lang w:val="pt-BR"/>
          </w:rPr>
          <w:t>12</w:t>
        </w:r>
        <w:r w:rsidRPr="00B36BE9">
          <w:rPr>
            <w:rFonts w:ascii="Arial" w:hAnsi="Arial" w:cs="Arial"/>
            <w:bCs/>
            <w:sz w:val="18"/>
            <w:szCs w:val="18"/>
          </w:rPr>
          <w:fldChar w:fldCharType="end"/>
        </w:r>
      </w:p>
      <w:p w14:paraId="495BD107" w14:textId="0BDED4D3" w:rsidR="00F75BD2" w:rsidRPr="00FE10BE" w:rsidRDefault="008B4341" w:rsidP="00FE10BE">
        <w:pPr>
          <w:pStyle w:val="Header"/>
          <w:jc w:val="right"/>
          <w:rPr>
            <w:rFonts w:ascii="Arial" w:hAnsi="Arial"/>
            <w:sz w:val="18"/>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358D"/>
    <w:multiLevelType w:val="hybridMultilevel"/>
    <w:tmpl w:val="30A81F70"/>
    <w:lvl w:ilvl="0" w:tplc="DFA8D47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5082E"/>
    <w:multiLevelType w:val="hybridMultilevel"/>
    <w:tmpl w:val="93BC1794"/>
    <w:lvl w:ilvl="0" w:tplc="DCD8D9AE">
      <w:start w:val="100"/>
      <w:numFmt w:val="bullet"/>
      <w:lvlText w:val="-"/>
      <w:lvlJc w:val="left"/>
      <w:pPr>
        <w:ind w:left="540" w:hanging="360"/>
      </w:pPr>
      <w:rPr>
        <w:rFonts w:ascii="Times New Roman" w:eastAsia="Times New Roman" w:hAnsi="Times New Roman" w:cs="Times New Roman" w:hint="default"/>
      </w:rPr>
    </w:lvl>
    <w:lvl w:ilvl="1" w:tplc="0C0A0003" w:tentative="1">
      <w:start w:val="1"/>
      <w:numFmt w:val="bullet"/>
      <w:lvlText w:val="o"/>
      <w:lvlJc w:val="left"/>
      <w:pPr>
        <w:ind w:left="1260" w:hanging="360"/>
      </w:pPr>
      <w:rPr>
        <w:rFonts w:ascii="Courier New" w:hAnsi="Courier New" w:cs="Courier New" w:hint="default"/>
      </w:rPr>
    </w:lvl>
    <w:lvl w:ilvl="2" w:tplc="0C0A0005" w:tentative="1">
      <w:start w:val="1"/>
      <w:numFmt w:val="bullet"/>
      <w:lvlText w:val=""/>
      <w:lvlJc w:val="left"/>
      <w:pPr>
        <w:ind w:left="1980" w:hanging="360"/>
      </w:pPr>
      <w:rPr>
        <w:rFonts w:ascii="Wingdings" w:hAnsi="Wingdings" w:hint="default"/>
      </w:rPr>
    </w:lvl>
    <w:lvl w:ilvl="3" w:tplc="0C0A0001" w:tentative="1">
      <w:start w:val="1"/>
      <w:numFmt w:val="bullet"/>
      <w:lvlText w:val=""/>
      <w:lvlJc w:val="left"/>
      <w:pPr>
        <w:ind w:left="2700" w:hanging="360"/>
      </w:pPr>
      <w:rPr>
        <w:rFonts w:ascii="Symbol" w:hAnsi="Symbol" w:hint="default"/>
      </w:rPr>
    </w:lvl>
    <w:lvl w:ilvl="4" w:tplc="0C0A0003" w:tentative="1">
      <w:start w:val="1"/>
      <w:numFmt w:val="bullet"/>
      <w:lvlText w:val="o"/>
      <w:lvlJc w:val="left"/>
      <w:pPr>
        <w:ind w:left="3420" w:hanging="360"/>
      </w:pPr>
      <w:rPr>
        <w:rFonts w:ascii="Courier New" w:hAnsi="Courier New" w:cs="Courier New" w:hint="default"/>
      </w:rPr>
    </w:lvl>
    <w:lvl w:ilvl="5" w:tplc="0C0A0005" w:tentative="1">
      <w:start w:val="1"/>
      <w:numFmt w:val="bullet"/>
      <w:lvlText w:val=""/>
      <w:lvlJc w:val="left"/>
      <w:pPr>
        <w:ind w:left="4140" w:hanging="360"/>
      </w:pPr>
      <w:rPr>
        <w:rFonts w:ascii="Wingdings" w:hAnsi="Wingdings" w:hint="default"/>
      </w:rPr>
    </w:lvl>
    <w:lvl w:ilvl="6" w:tplc="0C0A0001" w:tentative="1">
      <w:start w:val="1"/>
      <w:numFmt w:val="bullet"/>
      <w:lvlText w:val=""/>
      <w:lvlJc w:val="left"/>
      <w:pPr>
        <w:ind w:left="4860" w:hanging="360"/>
      </w:pPr>
      <w:rPr>
        <w:rFonts w:ascii="Symbol" w:hAnsi="Symbol" w:hint="default"/>
      </w:rPr>
    </w:lvl>
    <w:lvl w:ilvl="7" w:tplc="0C0A0003" w:tentative="1">
      <w:start w:val="1"/>
      <w:numFmt w:val="bullet"/>
      <w:lvlText w:val="o"/>
      <w:lvlJc w:val="left"/>
      <w:pPr>
        <w:ind w:left="5580" w:hanging="360"/>
      </w:pPr>
      <w:rPr>
        <w:rFonts w:ascii="Courier New" w:hAnsi="Courier New" w:cs="Courier New" w:hint="default"/>
      </w:rPr>
    </w:lvl>
    <w:lvl w:ilvl="8" w:tplc="0C0A0005" w:tentative="1">
      <w:start w:val="1"/>
      <w:numFmt w:val="bullet"/>
      <w:lvlText w:val=""/>
      <w:lvlJc w:val="left"/>
      <w:pPr>
        <w:ind w:left="6300" w:hanging="360"/>
      </w:pPr>
      <w:rPr>
        <w:rFonts w:ascii="Wingdings" w:hAnsi="Wingdings" w:hint="default"/>
      </w:rPr>
    </w:lvl>
  </w:abstractNum>
  <w:abstractNum w:abstractNumId="2"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6634EF"/>
    <w:multiLevelType w:val="hybridMultilevel"/>
    <w:tmpl w:val="75B8B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2E556A"/>
    <w:multiLevelType w:val="hybridMultilevel"/>
    <w:tmpl w:val="01AA1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20657216"/>
    <w:multiLevelType w:val="hybridMultilevel"/>
    <w:tmpl w:val="89749C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E1345A2"/>
    <w:multiLevelType w:val="hybridMultilevel"/>
    <w:tmpl w:val="19C62FAC"/>
    <w:lvl w:ilvl="0" w:tplc="F7369808">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881500"/>
    <w:multiLevelType w:val="hybridMultilevel"/>
    <w:tmpl w:val="B3DA2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6" w15:restartNumberingAfterBreak="0">
    <w:nsid w:val="50B16161"/>
    <w:multiLevelType w:val="hybridMultilevel"/>
    <w:tmpl w:val="164A98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4904E7A"/>
    <w:multiLevelType w:val="hybridMultilevel"/>
    <w:tmpl w:val="15C227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21"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E13BC6"/>
    <w:multiLevelType w:val="hybridMultilevel"/>
    <w:tmpl w:val="10A882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F93B51"/>
    <w:multiLevelType w:val="hybridMultilevel"/>
    <w:tmpl w:val="0FE8AF9C"/>
    <w:lvl w:ilvl="0" w:tplc="2D6CE03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6"/>
  </w:num>
  <w:num w:numId="3">
    <w:abstractNumId w:val="23"/>
  </w:num>
  <w:num w:numId="4">
    <w:abstractNumId w:val="11"/>
  </w:num>
  <w:num w:numId="5">
    <w:abstractNumId w:val="0"/>
  </w:num>
  <w:num w:numId="6">
    <w:abstractNumId w:val="14"/>
  </w:num>
  <w:num w:numId="7">
    <w:abstractNumId w:val="5"/>
  </w:num>
  <w:num w:numId="8">
    <w:abstractNumId w:val="15"/>
  </w:num>
  <w:num w:numId="9">
    <w:abstractNumId w:val="7"/>
  </w:num>
  <w:num w:numId="10">
    <w:abstractNumId w:val="13"/>
  </w:num>
  <w:num w:numId="11">
    <w:abstractNumId w:val="1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6"/>
  </w:num>
  <w:num w:numId="19">
    <w:abstractNumId w:val="3"/>
  </w:num>
  <w:num w:numId="20">
    <w:abstractNumId w:val="21"/>
  </w:num>
  <w:num w:numId="21">
    <w:abstractNumId w:val="17"/>
  </w:num>
  <w:num w:numId="22">
    <w:abstractNumId w:val="20"/>
    <w:lvlOverride w:ilvl="0">
      <w:startOverride w:val="1"/>
    </w:lvlOverride>
    <w:lvlOverride w:ilvl="1"/>
    <w:lvlOverride w:ilvl="2"/>
    <w:lvlOverride w:ilvl="3"/>
    <w:lvlOverride w:ilvl="4"/>
    <w:lvlOverride w:ilvl="5"/>
    <w:lvlOverride w:ilvl="6"/>
    <w:lvlOverride w:ilvl="7"/>
    <w:lvlOverride w:ilvl="8"/>
  </w:num>
  <w:num w:numId="23">
    <w:abstractNumId w:val="19"/>
  </w:num>
  <w:num w:numId="24">
    <w:abstractNumId w:val="22"/>
  </w:num>
  <w:num w:numId="25">
    <w:abstractNumId w:val="4"/>
  </w:num>
  <w:num w:numId="26">
    <w:abstractNumId w:val="9"/>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20"/>
  <w:hyphenationZone w:val="425"/>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B08"/>
    <w:rsid w:val="00000A82"/>
    <w:rsid w:val="00002FBE"/>
    <w:rsid w:val="00005605"/>
    <w:rsid w:val="000065B4"/>
    <w:rsid w:val="00007303"/>
    <w:rsid w:val="00016F82"/>
    <w:rsid w:val="000203FC"/>
    <w:rsid w:val="0002055E"/>
    <w:rsid w:val="00022A27"/>
    <w:rsid w:val="00023C48"/>
    <w:rsid w:val="0002526D"/>
    <w:rsid w:val="00026183"/>
    <w:rsid w:val="00026619"/>
    <w:rsid w:val="00030475"/>
    <w:rsid w:val="0003114C"/>
    <w:rsid w:val="00031203"/>
    <w:rsid w:val="00035ED9"/>
    <w:rsid w:val="00036606"/>
    <w:rsid w:val="00037B6E"/>
    <w:rsid w:val="00037F05"/>
    <w:rsid w:val="000413FA"/>
    <w:rsid w:val="0004302D"/>
    <w:rsid w:val="00045873"/>
    <w:rsid w:val="00051DF2"/>
    <w:rsid w:val="00053AEE"/>
    <w:rsid w:val="00056F4C"/>
    <w:rsid w:val="00060AE9"/>
    <w:rsid w:val="000616C6"/>
    <w:rsid w:val="0006189B"/>
    <w:rsid w:val="000619D4"/>
    <w:rsid w:val="00062698"/>
    <w:rsid w:val="000660DE"/>
    <w:rsid w:val="000701B1"/>
    <w:rsid w:val="00073E1C"/>
    <w:rsid w:val="00074128"/>
    <w:rsid w:val="000751B3"/>
    <w:rsid w:val="00080701"/>
    <w:rsid w:val="00080F9E"/>
    <w:rsid w:val="0008220C"/>
    <w:rsid w:val="000867FF"/>
    <w:rsid w:val="00090311"/>
    <w:rsid w:val="000A2132"/>
    <w:rsid w:val="000A55DE"/>
    <w:rsid w:val="000B219E"/>
    <w:rsid w:val="000B254C"/>
    <w:rsid w:val="000B4FB5"/>
    <w:rsid w:val="000B5701"/>
    <w:rsid w:val="000B7EC5"/>
    <w:rsid w:val="000C0450"/>
    <w:rsid w:val="000C0515"/>
    <w:rsid w:val="000C128D"/>
    <w:rsid w:val="000C20EF"/>
    <w:rsid w:val="000C373E"/>
    <w:rsid w:val="000C45FF"/>
    <w:rsid w:val="000D7FC9"/>
    <w:rsid w:val="000E06E2"/>
    <w:rsid w:val="000E5438"/>
    <w:rsid w:val="000F44DF"/>
    <w:rsid w:val="000F5D84"/>
    <w:rsid w:val="00101E8D"/>
    <w:rsid w:val="001021BA"/>
    <w:rsid w:val="00104D21"/>
    <w:rsid w:val="00110E29"/>
    <w:rsid w:val="00111FF8"/>
    <w:rsid w:val="001139F5"/>
    <w:rsid w:val="00113B4A"/>
    <w:rsid w:val="0011501A"/>
    <w:rsid w:val="00115379"/>
    <w:rsid w:val="001153A2"/>
    <w:rsid w:val="00115B49"/>
    <w:rsid w:val="00117A23"/>
    <w:rsid w:val="00117DE1"/>
    <w:rsid w:val="00121BF8"/>
    <w:rsid w:val="00121C5B"/>
    <w:rsid w:val="0012516F"/>
    <w:rsid w:val="001275F6"/>
    <w:rsid w:val="00127CA3"/>
    <w:rsid w:val="00130B10"/>
    <w:rsid w:val="00134095"/>
    <w:rsid w:val="00135F64"/>
    <w:rsid w:val="00137A6A"/>
    <w:rsid w:val="0014088A"/>
    <w:rsid w:val="00143BD3"/>
    <w:rsid w:val="00143CAC"/>
    <w:rsid w:val="001441FF"/>
    <w:rsid w:val="00146596"/>
    <w:rsid w:val="00150D0B"/>
    <w:rsid w:val="001516C4"/>
    <w:rsid w:val="00151B7F"/>
    <w:rsid w:val="001539B9"/>
    <w:rsid w:val="0015401A"/>
    <w:rsid w:val="00154E58"/>
    <w:rsid w:val="001556EC"/>
    <w:rsid w:val="00156B14"/>
    <w:rsid w:val="00157925"/>
    <w:rsid w:val="00160108"/>
    <w:rsid w:val="00163C04"/>
    <w:rsid w:val="001647F9"/>
    <w:rsid w:val="00167DD5"/>
    <w:rsid w:val="00172D39"/>
    <w:rsid w:val="00175010"/>
    <w:rsid w:val="00177249"/>
    <w:rsid w:val="00180BFF"/>
    <w:rsid w:val="0018147E"/>
    <w:rsid w:val="001857A2"/>
    <w:rsid w:val="00185F7B"/>
    <w:rsid w:val="00186711"/>
    <w:rsid w:val="00191A42"/>
    <w:rsid w:val="00192135"/>
    <w:rsid w:val="001941C7"/>
    <w:rsid w:val="00195981"/>
    <w:rsid w:val="001A36C9"/>
    <w:rsid w:val="001A4F23"/>
    <w:rsid w:val="001A4F42"/>
    <w:rsid w:val="001A576E"/>
    <w:rsid w:val="001A625A"/>
    <w:rsid w:val="001A68D3"/>
    <w:rsid w:val="001B3A03"/>
    <w:rsid w:val="001B420D"/>
    <w:rsid w:val="001B4470"/>
    <w:rsid w:val="001B46BF"/>
    <w:rsid w:val="001B53CA"/>
    <w:rsid w:val="001B59EF"/>
    <w:rsid w:val="001B5EC2"/>
    <w:rsid w:val="001B7F25"/>
    <w:rsid w:val="001C04E0"/>
    <w:rsid w:val="001C148F"/>
    <w:rsid w:val="001C231B"/>
    <w:rsid w:val="001C7B29"/>
    <w:rsid w:val="001D1B01"/>
    <w:rsid w:val="001D4EF3"/>
    <w:rsid w:val="001D542B"/>
    <w:rsid w:val="001D5AD8"/>
    <w:rsid w:val="001D715F"/>
    <w:rsid w:val="001E0C89"/>
    <w:rsid w:val="001E37F7"/>
    <w:rsid w:val="001E55F3"/>
    <w:rsid w:val="001E562E"/>
    <w:rsid w:val="001F0669"/>
    <w:rsid w:val="001F414F"/>
    <w:rsid w:val="001F5546"/>
    <w:rsid w:val="002010E1"/>
    <w:rsid w:val="002041FF"/>
    <w:rsid w:val="002047F5"/>
    <w:rsid w:val="00204EFC"/>
    <w:rsid w:val="002059C3"/>
    <w:rsid w:val="00205AC6"/>
    <w:rsid w:val="00205C50"/>
    <w:rsid w:val="0021583D"/>
    <w:rsid w:val="00215D2A"/>
    <w:rsid w:val="0022128F"/>
    <w:rsid w:val="00221E06"/>
    <w:rsid w:val="0022498F"/>
    <w:rsid w:val="0022614F"/>
    <w:rsid w:val="002322C7"/>
    <w:rsid w:val="00233600"/>
    <w:rsid w:val="00233A74"/>
    <w:rsid w:val="00237E31"/>
    <w:rsid w:val="00237F6F"/>
    <w:rsid w:val="00241340"/>
    <w:rsid w:val="00242405"/>
    <w:rsid w:val="002603B8"/>
    <w:rsid w:val="00260E12"/>
    <w:rsid w:val="00262609"/>
    <w:rsid w:val="00266F4D"/>
    <w:rsid w:val="00270FED"/>
    <w:rsid w:val="0027175F"/>
    <w:rsid w:val="00273B08"/>
    <w:rsid w:val="0027411D"/>
    <w:rsid w:val="002805D5"/>
    <w:rsid w:val="00280BBE"/>
    <w:rsid w:val="00284E26"/>
    <w:rsid w:val="00285D55"/>
    <w:rsid w:val="00287836"/>
    <w:rsid w:val="00291086"/>
    <w:rsid w:val="00292862"/>
    <w:rsid w:val="002952DD"/>
    <w:rsid w:val="002A2351"/>
    <w:rsid w:val="002A2752"/>
    <w:rsid w:val="002A3EC0"/>
    <w:rsid w:val="002A460D"/>
    <w:rsid w:val="002A4D3B"/>
    <w:rsid w:val="002B12D4"/>
    <w:rsid w:val="002B41CC"/>
    <w:rsid w:val="002B5CA4"/>
    <w:rsid w:val="002B6A6F"/>
    <w:rsid w:val="002B7AE5"/>
    <w:rsid w:val="002C1233"/>
    <w:rsid w:val="002C1B43"/>
    <w:rsid w:val="002C5CE6"/>
    <w:rsid w:val="002C6ADB"/>
    <w:rsid w:val="002C7D1C"/>
    <w:rsid w:val="002D154A"/>
    <w:rsid w:val="002D7000"/>
    <w:rsid w:val="002E60DE"/>
    <w:rsid w:val="002F08D6"/>
    <w:rsid w:val="002F1991"/>
    <w:rsid w:val="002F1BC9"/>
    <w:rsid w:val="002F1F5B"/>
    <w:rsid w:val="002F2249"/>
    <w:rsid w:val="002F2F27"/>
    <w:rsid w:val="002F481B"/>
    <w:rsid w:val="002F4C20"/>
    <w:rsid w:val="002F5C9A"/>
    <w:rsid w:val="002F5FD4"/>
    <w:rsid w:val="002F6774"/>
    <w:rsid w:val="002F6A68"/>
    <w:rsid w:val="00300C59"/>
    <w:rsid w:val="00301AC4"/>
    <w:rsid w:val="00301DFC"/>
    <w:rsid w:val="00302181"/>
    <w:rsid w:val="00303C3E"/>
    <w:rsid w:val="00305C95"/>
    <w:rsid w:val="00306655"/>
    <w:rsid w:val="00306AC0"/>
    <w:rsid w:val="00306D38"/>
    <w:rsid w:val="003158DF"/>
    <w:rsid w:val="00315F60"/>
    <w:rsid w:val="00316598"/>
    <w:rsid w:val="003225C8"/>
    <w:rsid w:val="00322DC5"/>
    <w:rsid w:val="00323C50"/>
    <w:rsid w:val="00326973"/>
    <w:rsid w:val="003327C9"/>
    <w:rsid w:val="00340924"/>
    <w:rsid w:val="003416AE"/>
    <w:rsid w:val="00341A7E"/>
    <w:rsid w:val="00342EB1"/>
    <w:rsid w:val="00347930"/>
    <w:rsid w:val="00347BBC"/>
    <w:rsid w:val="00354689"/>
    <w:rsid w:val="00354D7A"/>
    <w:rsid w:val="00355CDE"/>
    <w:rsid w:val="003563C3"/>
    <w:rsid w:val="003610F5"/>
    <w:rsid w:val="00361DF3"/>
    <w:rsid w:val="00365F1C"/>
    <w:rsid w:val="00367600"/>
    <w:rsid w:val="0037043C"/>
    <w:rsid w:val="00372642"/>
    <w:rsid w:val="00373A4F"/>
    <w:rsid w:val="00376B87"/>
    <w:rsid w:val="003812A0"/>
    <w:rsid w:val="00383C7F"/>
    <w:rsid w:val="0038438F"/>
    <w:rsid w:val="00386D06"/>
    <w:rsid w:val="00387E97"/>
    <w:rsid w:val="003901F3"/>
    <w:rsid w:val="003920ED"/>
    <w:rsid w:val="00395036"/>
    <w:rsid w:val="00395884"/>
    <w:rsid w:val="003A1F08"/>
    <w:rsid w:val="003A2482"/>
    <w:rsid w:val="003A273B"/>
    <w:rsid w:val="003A2ABD"/>
    <w:rsid w:val="003A35A9"/>
    <w:rsid w:val="003A44C9"/>
    <w:rsid w:val="003A5D1C"/>
    <w:rsid w:val="003B4026"/>
    <w:rsid w:val="003B4EC6"/>
    <w:rsid w:val="003B6A72"/>
    <w:rsid w:val="003C0598"/>
    <w:rsid w:val="003C12EB"/>
    <w:rsid w:val="003C1A3C"/>
    <w:rsid w:val="003C4FD7"/>
    <w:rsid w:val="003C70EB"/>
    <w:rsid w:val="003D20C0"/>
    <w:rsid w:val="003D3ACC"/>
    <w:rsid w:val="003D4B6F"/>
    <w:rsid w:val="003D5B36"/>
    <w:rsid w:val="003D5CE1"/>
    <w:rsid w:val="003D7F28"/>
    <w:rsid w:val="003E258D"/>
    <w:rsid w:val="003E33B3"/>
    <w:rsid w:val="003E4A67"/>
    <w:rsid w:val="003E4BDC"/>
    <w:rsid w:val="003F0B43"/>
    <w:rsid w:val="003F305C"/>
    <w:rsid w:val="003F58AE"/>
    <w:rsid w:val="004002FD"/>
    <w:rsid w:val="00401385"/>
    <w:rsid w:val="00404238"/>
    <w:rsid w:val="004051F3"/>
    <w:rsid w:val="004058FE"/>
    <w:rsid w:val="0040592B"/>
    <w:rsid w:val="00405996"/>
    <w:rsid w:val="0040752D"/>
    <w:rsid w:val="00407E88"/>
    <w:rsid w:val="004139B5"/>
    <w:rsid w:val="00415F65"/>
    <w:rsid w:val="0041747F"/>
    <w:rsid w:val="0042164F"/>
    <w:rsid w:val="004252EA"/>
    <w:rsid w:val="00432037"/>
    <w:rsid w:val="004321D9"/>
    <w:rsid w:val="00433B6D"/>
    <w:rsid w:val="00434357"/>
    <w:rsid w:val="00434F7D"/>
    <w:rsid w:val="004351BF"/>
    <w:rsid w:val="00436377"/>
    <w:rsid w:val="00436E41"/>
    <w:rsid w:val="00440BC9"/>
    <w:rsid w:val="00445CB7"/>
    <w:rsid w:val="00451EDD"/>
    <w:rsid w:val="00456C3D"/>
    <w:rsid w:val="0046310E"/>
    <w:rsid w:val="004632FE"/>
    <w:rsid w:val="00463EB0"/>
    <w:rsid w:val="004655E2"/>
    <w:rsid w:val="004668B9"/>
    <w:rsid w:val="0046791C"/>
    <w:rsid w:val="00470D84"/>
    <w:rsid w:val="004719B2"/>
    <w:rsid w:val="00471BC9"/>
    <w:rsid w:val="00472FC8"/>
    <w:rsid w:val="0047735D"/>
    <w:rsid w:val="004811BC"/>
    <w:rsid w:val="004816C0"/>
    <w:rsid w:val="00482D74"/>
    <w:rsid w:val="0048587F"/>
    <w:rsid w:val="00491F1E"/>
    <w:rsid w:val="00493D21"/>
    <w:rsid w:val="00495CD7"/>
    <w:rsid w:val="004A10DB"/>
    <w:rsid w:val="004A2488"/>
    <w:rsid w:val="004B032D"/>
    <w:rsid w:val="004B06ED"/>
    <w:rsid w:val="004B2CC6"/>
    <w:rsid w:val="004B5EE8"/>
    <w:rsid w:val="004B6D3C"/>
    <w:rsid w:val="004B7EA8"/>
    <w:rsid w:val="004C2EFE"/>
    <w:rsid w:val="004C6BCE"/>
    <w:rsid w:val="004D39FD"/>
    <w:rsid w:val="004D5D3E"/>
    <w:rsid w:val="004D6CCA"/>
    <w:rsid w:val="004D7BD1"/>
    <w:rsid w:val="004E4CCD"/>
    <w:rsid w:val="004E604B"/>
    <w:rsid w:val="004F0875"/>
    <w:rsid w:val="004F0C2A"/>
    <w:rsid w:val="004F55A0"/>
    <w:rsid w:val="004F5774"/>
    <w:rsid w:val="004F5EA1"/>
    <w:rsid w:val="004F6477"/>
    <w:rsid w:val="004F7298"/>
    <w:rsid w:val="004F7EEE"/>
    <w:rsid w:val="0050027A"/>
    <w:rsid w:val="00500F46"/>
    <w:rsid w:val="00505E46"/>
    <w:rsid w:val="00507157"/>
    <w:rsid w:val="00510EC1"/>
    <w:rsid w:val="005145CC"/>
    <w:rsid w:val="00514902"/>
    <w:rsid w:val="005153FE"/>
    <w:rsid w:val="00515423"/>
    <w:rsid w:val="00516DDF"/>
    <w:rsid w:val="00516F98"/>
    <w:rsid w:val="00523B0F"/>
    <w:rsid w:val="00523B85"/>
    <w:rsid w:val="00524650"/>
    <w:rsid w:val="00524F25"/>
    <w:rsid w:val="00527B4E"/>
    <w:rsid w:val="00530E5D"/>
    <w:rsid w:val="0053473D"/>
    <w:rsid w:val="00535810"/>
    <w:rsid w:val="00536BC4"/>
    <w:rsid w:val="00540A04"/>
    <w:rsid w:val="00550357"/>
    <w:rsid w:val="005509E6"/>
    <w:rsid w:val="005570B8"/>
    <w:rsid w:val="00560B63"/>
    <w:rsid w:val="00562981"/>
    <w:rsid w:val="00562ABC"/>
    <w:rsid w:val="00562D13"/>
    <w:rsid w:val="00562E2C"/>
    <w:rsid w:val="00566117"/>
    <w:rsid w:val="00570D8C"/>
    <w:rsid w:val="00576594"/>
    <w:rsid w:val="00577C26"/>
    <w:rsid w:val="005806FC"/>
    <w:rsid w:val="005808DF"/>
    <w:rsid w:val="00586AB5"/>
    <w:rsid w:val="00590669"/>
    <w:rsid w:val="00591BB7"/>
    <w:rsid w:val="00591F0C"/>
    <w:rsid w:val="00596969"/>
    <w:rsid w:val="00597251"/>
    <w:rsid w:val="005A018C"/>
    <w:rsid w:val="005A0506"/>
    <w:rsid w:val="005A07F9"/>
    <w:rsid w:val="005A0CDB"/>
    <w:rsid w:val="005A11A0"/>
    <w:rsid w:val="005A1B15"/>
    <w:rsid w:val="005A1E9D"/>
    <w:rsid w:val="005A3506"/>
    <w:rsid w:val="005A4237"/>
    <w:rsid w:val="005A43F2"/>
    <w:rsid w:val="005A4C49"/>
    <w:rsid w:val="005A4EA5"/>
    <w:rsid w:val="005A5CAF"/>
    <w:rsid w:val="005A6480"/>
    <w:rsid w:val="005A6C85"/>
    <w:rsid w:val="005A70FC"/>
    <w:rsid w:val="005A7AFD"/>
    <w:rsid w:val="005A7EE1"/>
    <w:rsid w:val="005B1138"/>
    <w:rsid w:val="005B238B"/>
    <w:rsid w:val="005B2468"/>
    <w:rsid w:val="005B474D"/>
    <w:rsid w:val="005B47E8"/>
    <w:rsid w:val="005B4808"/>
    <w:rsid w:val="005B7039"/>
    <w:rsid w:val="005B780E"/>
    <w:rsid w:val="005C0113"/>
    <w:rsid w:val="005C1F47"/>
    <w:rsid w:val="005C29E5"/>
    <w:rsid w:val="005C34EC"/>
    <w:rsid w:val="005C5750"/>
    <w:rsid w:val="005D00DF"/>
    <w:rsid w:val="005D087F"/>
    <w:rsid w:val="005D2392"/>
    <w:rsid w:val="005D3C08"/>
    <w:rsid w:val="005D41CA"/>
    <w:rsid w:val="005E23F8"/>
    <w:rsid w:val="005E464B"/>
    <w:rsid w:val="005E5075"/>
    <w:rsid w:val="005E6EB0"/>
    <w:rsid w:val="005E7E65"/>
    <w:rsid w:val="005F095E"/>
    <w:rsid w:val="005F0F22"/>
    <w:rsid w:val="005F0F86"/>
    <w:rsid w:val="005F5DE8"/>
    <w:rsid w:val="005F7EAB"/>
    <w:rsid w:val="00602A8F"/>
    <w:rsid w:val="00604287"/>
    <w:rsid w:val="0061249A"/>
    <w:rsid w:val="006170FE"/>
    <w:rsid w:val="006224BC"/>
    <w:rsid w:val="00623016"/>
    <w:rsid w:val="00624474"/>
    <w:rsid w:val="00625253"/>
    <w:rsid w:val="00631A74"/>
    <w:rsid w:val="006362B6"/>
    <w:rsid w:val="006365C7"/>
    <w:rsid w:val="00637F8D"/>
    <w:rsid w:val="0064130C"/>
    <w:rsid w:val="006416F5"/>
    <w:rsid w:val="00651678"/>
    <w:rsid w:val="00656D17"/>
    <w:rsid w:val="006617D1"/>
    <w:rsid w:val="00666567"/>
    <w:rsid w:val="00666C17"/>
    <w:rsid w:val="0067482D"/>
    <w:rsid w:val="00674F2E"/>
    <w:rsid w:val="00681A01"/>
    <w:rsid w:val="00687723"/>
    <w:rsid w:val="006969BE"/>
    <w:rsid w:val="00697BC0"/>
    <w:rsid w:val="006A40A3"/>
    <w:rsid w:val="006A43E0"/>
    <w:rsid w:val="006A480C"/>
    <w:rsid w:val="006A70A8"/>
    <w:rsid w:val="006B0D0F"/>
    <w:rsid w:val="006B3A69"/>
    <w:rsid w:val="006B6810"/>
    <w:rsid w:val="006B7266"/>
    <w:rsid w:val="006C163D"/>
    <w:rsid w:val="006C1738"/>
    <w:rsid w:val="006C6CE5"/>
    <w:rsid w:val="006D02BD"/>
    <w:rsid w:val="006D0A00"/>
    <w:rsid w:val="006D0E18"/>
    <w:rsid w:val="006D1FD2"/>
    <w:rsid w:val="006D3787"/>
    <w:rsid w:val="006D5012"/>
    <w:rsid w:val="006E23C4"/>
    <w:rsid w:val="006E3D12"/>
    <w:rsid w:val="006E45D5"/>
    <w:rsid w:val="006E4629"/>
    <w:rsid w:val="006E6637"/>
    <w:rsid w:val="006F4B96"/>
    <w:rsid w:val="006F5BF6"/>
    <w:rsid w:val="006F5C64"/>
    <w:rsid w:val="006F5FBF"/>
    <w:rsid w:val="006F6C61"/>
    <w:rsid w:val="006F79E2"/>
    <w:rsid w:val="007002E7"/>
    <w:rsid w:val="00703B4B"/>
    <w:rsid w:val="00704028"/>
    <w:rsid w:val="00704135"/>
    <w:rsid w:val="00713D10"/>
    <w:rsid w:val="00715517"/>
    <w:rsid w:val="007203BB"/>
    <w:rsid w:val="007205D0"/>
    <w:rsid w:val="00720EF4"/>
    <w:rsid w:val="00721DE0"/>
    <w:rsid w:val="00721F27"/>
    <w:rsid w:val="00722931"/>
    <w:rsid w:val="00722B27"/>
    <w:rsid w:val="007276E8"/>
    <w:rsid w:val="00730197"/>
    <w:rsid w:val="007305F6"/>
    <w:rsid w:val="00732FFD"/>
    <w:rsid w:val="00733023"/>
    <w:rsid w:val="00736466"/>
    <w:rsid w:val="007364A3"/>
    <w:rsid w:val="00743411"/>
    <w:rsid w:val="00754CC9"/>
    <w:rsid w:val="0075573A"/>
    <w:rsid w:val="00756C05"/>
    <w:rsid w:val="0075783E"/>
    <w:rsid w:val="0076121D"/>
    <w:rsid w:val="00764222"/>
    <w:rsid w:val="00764B2C"/>
    <w:rsid w:val="00765098"/>
    <w:rsid w:val="00766693"/>
    <w:rsid w:val="00767CDB"/>
    <w:rsid w:val="00770D03"/>
    <w:rsid w:val="007721E6"/>
    <w:rsid w:val="007732E3"/>
    <w:rsid w:val="00774118"/>
    <w:rsid w:val="00774966"/>
    <w:rsid w:val="0077647A"/>
    <w:rsid w:val="00781455"/>
    <w:rsid w:val="00784B5E"/>
    <w:rsid w:val="00785013"/>
    <w:rsid w:val="00790618"/>
    <w:rsid w:val="00793342"/>
    <w:rsid w:val="00795640"/>
    <w:rsid w:val="007A1E69"/>
    <w:rsid w:val="007A2E03"/>
    <w:rsid w:val="007A4E9B"/>
    <w:rsid w:val="007A657D"/>
    <w:rsid w:val="007B480D"/>
    <w:rsid w:val="007B68C6"/>
    <w:rsid w:val="007B6ECD"/>
    <w:rsid w:val="007B7C28"/>
    <w:rsid w:val="007C461C"/>
    <w:rsid w:val="007C57B3"/>
    <w:rsid w:val="007C784D"/>
    <w:rsid w:val="007D1607"/>
    <w:rsid w:val="007D1A17"/>
    <w:rsid w:val="007E22A3"/>
    <w:rsid w:val="007E31B6"/>
    <w:rsid w:val="007E4F27"/>
    <w:rsid w:val="007E630F"/>
    <w:rsid w:val="007F0B43"/>
    <w:rsid w:val="007F29B7"/>
    <w:rsid w:val="007F7953"/>
    <w:rsid w:val="00807307"/>
    <w:rsid w:val="00815687"/>
    <w:rsid w:val="00817B08"/>
    <w:rsid w:val="008208D7"/>
    <w:rsid w:val="00821716"/>
    <w:rsid w:val="00821FAD"/>
    <w:rsid w:val="008234FA"/>
    <w:rsid w:val="00825AA8"/>
    <w:rsid w:val="00831349"/>
    <w:rsid w:val="00834D4C"/>
    <w:rsid w:val="00837A7E"/>
    <w:rsid w:val="008412DF"/>
    <w:rsid w:val="008427DF"/>
    <w:rsid w:val="00842EB8"/>
    <w:rsid w:val="00851ABF"/>
    <w:rsid w:val="0085281E"/>
    <w:rsid w:val="0085366E"/>
    <w:rsid w:val="008568D2"/>
    <w:rsid w:val="00857D67"/>
    <w:rsid w:val="00865677"/>
    <w:rsid w:val="00866C47"/>
    <w:rsid w:val="00867D7E"/>
    <w:rsid w:val="00870C92"/>
    <w:rsid w:val="008719CD"/>
    <w:rsid w:val="00873F19"/>
    <w:rsid w:val="00873FD0"/>
    <w:rsid w:val="00874FB2"/>
    <w:rsid w:val="008755DD"/>
    <w:rsid w:val="00877287"/>
    <w:rsid w:val="00877CFA"/>
    <w:rsid w:val="00883361"/>
    <w:rsid w:val="00885AB3"/>
    <w:rsid w:val="00886201"/>
    <w:rsid w:val="00886779"/>
    <w:rsid w:val="00890878"/>
    <w:rsid w:val="00891C03"/>
    <w:rsid w:val="00892CA0"/>
    <w:rsid w:val="0089349A"/>
    <w:rsid w:val="00894C3A"/>
    <w:rsid w:val="00895C43"/>
    <w:rsid w:val="008A41E7"/>
    <w:rsid w:val="008B1C9F"/>
    <w:rsid w:val="008B4341"/>
    <w:rsid w:val="008B438B"/>
    <w:rsid w:val="008B5B2C"/>
    <w:rsid w:val="008C30B6"/>
    <w:rsid w:val="008C341D"/>
    <w:rsid w:val="008C4556"/>
    <w:rsid w:val="008C6612"/>
    <w:rsid w:val="008C693C"/>
    <w:rsid w:val="008C765B"/>
    <w:rsid w:val="008D21B4"/>
    <w:rsid w:val="008D73ED"/>
    <w:rsid w:val="008E4095"/>
    <w:rsid w:val="008E5BCD"/>
    <w:rsid w:val="008E5D97"/>
    <w:rsid w:val="008E6F03"/>
    <w:rsid w:val="008F2E3F"/>
    <w:rsid w:val="008F55F4"/>
    <w:rsid w:val="008F7548"/>
    <w:rsid w:val="008F782C"/>
    <w:rsid w:val="00901604"/>
    <w:rsid w:val="00901707"/>
    <w:rsid w:val="009101D7"/>
    <w:rsid w:val="009102B2"/>
    <w:rsid w:val="00912ED1"/>
    <w:rsid w:val="00913DE2"/>
    <w:rsid w:val="00914313"/>
    <w:rsid w:val="00922991"/>
    <w:rsid w:val="009249FE"/>
    <w:rsid w:val="00924ADD"/>
    <w:rsid w:val="00925C19"/>
    <w:rsid w:val="00925C2A"/>
    <w:rsid w:val="00932861"/>
    <w:rsid w:val="00932D09"/>
    <w:rsid w:val="00934F83"/>
    <w:rsid w:val="00935752"/>
    <w:rsid w:val="00936130"/>
    <w:rsid w:val="009365B5"/>
    <w:rsid w:val="009378E1"/>
    <w:rsid w:val="00940EEA"/>
    <w:rsid w:val="0094145D"/>
    <w:rsid w:val="00943CCF"/>
    <w:rsid w:val="00944CB2"/>
    <w:rsid w:val="009461DB"/>
    <w:rsid w:val="00947C4A"/>
    <w:rsid w:val="00952E20"/>
    <w:rsid w:val="00953774"/>
    <w:rsid w:val="009559D9"/>
    <w:rsid w:val="00955D6B"/>
    <w:rsid w:val="00962137"/>
    <w:rsid w:val="009676D9"/>
    <w:rsid w:val="00967DA8"/>
    <w:rsid w:val="009747BE"/>
    <w:rsid w:val="00976A14"/>
    <w:rsid w:val="00983093"/>
    <w:rsid w:val="00985A94"/>
    <w:rsid w:val="00993D17"/>
    <w:rsid w:val="00993FAB"/>
    <w:rsid w:val="009962DF"/>
    <w:rsid w:val="009966C5"/>
    <w:rsid w:val="00996C8B"/>
    <w:rsid w:val="009A1160"/>
    <w:rsid w:val="009A269A"/>
    <w:rsid w:val="009A5261"/>
    <w:rsid w:val="009A6506"/>
    <w:rsid w:val="009A7274"/>
    <w:rsid w:val="009A7AE3"/>
    <w:rsid w:val="009A7B4C"/>
    <w:rsid w:val="009A7DA5"/>
    <w:rsid w:val="009B0293"/>
    <w:rsid w:val="009B05D6"/>
    <w:rsid w:val="009B1969"/>
    <w:rsid w:val="009B6433"/>
    <w:rsid w:val="009C2619"/>
    <w:rsid w:val="009C3484"/>
    <w:rsid w:val="009C47EE"/>
    <w:rsid w:val="009C52A2"/>
    <w:rsid w:val="009C79A5"/>
    <w:rsid w:val="009D0086"/>
    <w:rsid w:val="009D2F67"/>
    <w:rsid w:val="009D376C"/>
    <w:rsid w:val="009D5047"/>
    <w:rsid w:val="009D696D"/>
    <w:rsid w:val="009E13D9"/>
    <w:rsid w:val="009E207C"/>
    <w:rsid w:val="009E3A64"/>
    <w:rsid w:val="009E3BD1"/>
    <w:rsid w:val="009E3FF3"/>
    <w:rsid w:val="009E4142"/>
    <w:rsid w:val="009E4442"/>
    <w:rsid w:val="009E61A4"/>
    <w:rsid w:val="009F10F2"/>
    <w:rsid w:val="009F778C"/>
    <w:rsid w:val="00A01270"/>
    <w:rsid w:val="00A046D9"/>
    <w:rsid w:val="00A13929"/>
    <w:rsid w:val="00A15177"/>
    <w:rsid w:val="00A16624"/>
    <w:rsid w:val="00A17EC7"/>
    <w:rsid w:val="00A17FAF"/>
    <w:rsid w:val="00A17FDF"/>
    <w:rsid w:val="00A2161F"/>
    <w:rsid w:val="00A2577D"/>
    <w:rsid w:val="00A25BDC"/>
    <w:rsid w:val="00A32A31"/>
    <w:rsid w:val="00A33AB7"/>
    <w:rsid w:val="00A349DE"/>
    <w:rsid w:val="00A35794"/>
    <w:rsid w:val="00A36FCB"/>
    <w:rsid w:val="00A37291"/>
    <w:rsid w:val="00A431B5"/>
    <w:rsid w:val="00A46CB3"/>
    <w:rsid w:val="00A52DDD"/>
    <w:rsid w:val="00A53E24"/>
    <w:rsid w:val="00A61E8A"/>
    <w:rsid w:val="00A62A2F"/>
    <w:rsid w:val="00A64A5B"/>
    <w:rsid w:val="00A665DC"/>
    <w:rsid w:val="00A708A9"/>
    <w:rsid w:val="00A710E4"/>
    <w:rsid w:val="00A71582"/>
    <w:rsid w:val="00A72A3F"/>
    <w:rsid w:val="00A74106"/>
    <w:rsid w:val="00A763AE"/>
    <w:rsid w:val="00A773BA"/>
    <w:rsid w:val="00A80B02"/>
    <w:rsid w:val="00A82307"/>
    <w:rsid w:val="00A834D1"/>
    <w:rsid w:val="00A850A4"/>
    <w:rsid w:val="00A87960"/>
    <w:rsid w:val="00A92B62"/>
    <w:rsid w:val="00A95DF4"/>
    <w:rsid w:val="00A9661F"/>
    <w:rsid w:val="00A97071"/>
    <w:rsid w:val="00AA36F0"/>
    <w:rsid w:val="00AA4B04"/>
    <w:rsid w:val="00AA4BFA"/>
    <w:rsid w:val="00AA4C42"/>
    <w:rsid w:val="00AA5B7B"/>
    <w:rsid w:val="00AA5FB7"/>
    <w:rsid w:val="00AB1710"/>
    <w:rsid w:val="00AB2E0A"/>
    <w:rsid w:val="00AB5463"/>
    <w:rsid w:val="00AC0E00"/>
    <w:rsid w:val="00AD0943"/>
    <w:rsid w:val="00AD11A7"/>
    <w:rsid w:val="00AD5391"/>
    <w:rsid w:val="00AE0844"/>
    <w:rsid w:val="00AE0A74"/>
    <w:rsid w:val="00AE0E83"/>
    <w:rsid w:val="00AE371C"/>
    <w:rsid w:val="00AE50B5"/>
    <w:rsid w:val="00AE5429"/>
    <w:rsid w:val="00AE617E"/>
    <w:rsid w:val="00AF2E86"/>
    <w:rsid w:val="00AF3F70"/>
    <w:rsid w:val="00AF4DDC"/>
    <w:rsid w:val="00B00B88"/>
    <w:rsid w:val="00B00E26"/>
    <w:rsid w:val="00B01893"/>
    <w:rsid w:val="00B033BD"/>
    <w:rsid w:val="00B03495"/>
    <w:rsid w:val="00B04319"/>
    <w:rsid w:val="00B062FA"/>
    <w:rsid w:val="00B06F5E"/>
    <w:rsid w:val="00B1208A"/>
    <w:rsid w:val="00B137CB"/>
    <w:rsid w:val="00B145CC"/>
    <w:rsid w:val="00B161CA"/>
    <w:rsid w:val="00B16590"/>
    <w:rsid w:val="00B17350"/>
    <w:rsid w:val="00B2657F"/>
    <w:rsid w:val="00B27C71"/>
    <w:rsid w:val="00B32010"/>
    <w:rsid w:val="00B36B75"/>
    <w:rsid w:val="00B36BE9"/>
    <w:rsid w:val="00B407EC"/>
    <w:rsid w:val="00B410AB"/>
    <w:rsid w:val="00B43FAE"/>
    <w:rsid w:val="00B47C8A"/>
    <w:rsid w:val="00B52695"/>
    <w:rsid w:val="00B5449F"/>
    <w:rsid w:val="00B55401"/>
    <w:rsid w:val="00B556D6"/>
    <w:rsid w:val="00B60ECD"/>
    <w:rsid w:val="00B65902"/>
    <w:rsid w:val="00B670E6"/>
    <w:rsid w:val="00B6757D"/>
    <w:rsid w:val="00B67959"/>
    <w:rsid w:val="00B715AA"/>
    <w:rsid w:val="00B71CE2"/>
    <w:rsid w:val="00B73EE1"/>
    <w:rsid w:val="00B752D5"/>
    <w:rsid w:val="00B75835"/>
    <w:rsid w:val="00B80405"/>
    <w:rsid w:val="00B812E8"/>
    <w:rsid w:val="00B81722"/>
    <w:rsid w:val="00B843E3"/>
    <w:rsid w:val="00B906ED"/>
    <w:rsid w:val="00B95455"/>
    <w:rsid w:val="00B965B8"/>
    <w:rsid w:val="00BA1002"/>
    <w:rsid w:val="00BA1485"/>
    <w:rsid w:val="00BB01FC"/>
    <w:rsid w:val="00BB123C"/>
    <w:rsid w:val="00BC0EB6"/>
    <w:rsid w:val="00BC3D7B"/>
    <w:rsid w:val="00BC4908"/>
    <w:rsid w:val="00BC5588"/>
    <w:rsid w:val="00BC67DC"/>
    <w:rsid w:val="00BD313A"/>
    <w:rsid w:val="00BD39F0"/>
    <w:rsid w:val="00BD6FEB"/>
    <w:rsid w:val="00BD7937"/>
    <w:rsid w:val="00BE00D4"/>
    <w:rsid w:val="00BE520A"/>
    <w:rsid w:val="00BE78A9"/>
    <w:rsid w:val="00BF00CF"/>
    <w:rsid w:val="00BF0EDD"/>
    <w:rsid w:val="00BF788C"/>
    <w:rsid w:val="00C01001"/>
    <w:rsid w:val="00C022E2"/>
    <w:rsid w:val="00C10A28"/>
    <w:rsid w:val="00C10FD9"/>
    <w:rsid w:val="00C15792"/>
    <w:rsid w:val="00C22C8F"/>
    <w:rsid w:val="00C243AA"/>
    <w:rsid w:val="00C30C70"/>
    <w:rsid w:val="00C32666"/>
    <w:rsid w:val="00C3455E"/>
    <w:rsid w:val="00C37547"/>
    <w:rsid w:val="00C407D5"/>
    <w:rsid w:val="00C4082B"/>
    <w:rsid w:val="00C43E84"/>
    <w:rsid w:val="00C445A2"/>
    <w:rsid w:val="00C52A59"/>
    <w:rsid w:val="00C53C11"/>
    <w:rsid w:val="00C54CC9"/>
    <w:rsid w:val="00C54CE3"/>
    <w:rsid w:val="00C609A1"/>
    <w:rsid w:val="00C60EE2"/>
    <w:rsid w:val="00C64754"/>
    <w:rsid w:val="00C77603"/>
    <w:rsid w:val="00C80866"/>
    <w:rsid w:val="00C81324"/>
    <w:rsid w:val="00C849AC"/>
    <w:rsid w:val="00C85925"/>
    <w:rsid w:val="00C86439"/>
    <w:rsid w:val="00C91B93"/>
    <w:rsid w:val="00C92B26"/>
    <w:rsid w:val="00C95DC5"/>
    <w:rsid w:val="00C96046"/>
    <w:rsid w:val="00CA25B4"/>
    <w:rsid w:val="00CA610F"/>
    <w:rsid w:val="00CB0208"/>
    <w:rsid w:val="00CB26A2"/>
    <w:rsid w:val="00CB3963"/>
    <w:rsid w:val="00CB3F45"/>
    <w:rsid w:val="00CB4DFE"/>
    <w:rsid w:val="00CB6769"/>
    <w:rsid w:val="00CB67B0"/>
    <w:rsid w:val="00CC0650"/>
    <w:rsid w:val="00CC1689"/>
    <w:rsid w:val="00CC1E3B"/>
    <w:rsid w:val="00CC213E"/>
    <w:rsid w:val="00CC3B1F"/>
    <w:rsid w:val="00CC587B"/>
    <w:rsid w:val="00CD299A"/>
    <w:rsid w:val="00CD510F"/>
    <w:rsid w:val="00CD6A36"/>
    <w:rsid w:val="00CD6B46"/>
    <w:rsid w:val="00CD743B"/>
    <w:rsid w:val="00CD746F"/>
    <w:rsid w:val="00CF1633"/>
    <w:rsid w:val="00CF6712"/>
    <w:rsid w:val="00D00CD7"/>
    <w:rsid w:val="00D01744"/>
    <w:rsid w:val="00D024CC"/>
    <w:rsid w:val="00D02610"/>
    <w:rsid w:val="00D04F88"/>
    <w:rsid w:val="00D04FAF"/>
    <w:rsid w:val="00D1137F"/>
    <w:rsid w:val="00D11BBF"/>
    <w:rsid w:val="00D12C64"/>
    <w:rsid w:val="00D137DA"/>
    <w:rsid w:val="00D169CB"/>
    <w:rsid w:val="00D17366"/>
    <w:rsid w:val="00D17F43"/>
    <w:rsid w:val="00D17F85"/>
    <w:rsid w:val="00D217A1"/>
    <w:rsid w:val="00D23FA1"/>
    <w:rsid w:val="00D2462F"/>
    <w:rsid w:val="00D26C6F"/>
    <w:rsid w:val="00D3148B"/>
    <w:rsid w:val="00D322CF"/>
    <w:rsid w:val="00D32324"/>
    <w:rsid w:val="00D35C2E"/>
    <w:rsid w:val="00D37ACE"/>
    <w:rsid w:val="00D43EFD"/>
    <w:rsid w:val="00D448D3"/>
    <w:rsid w:val="00D44FAB"/>
    <w:rsid w:val="00D45496"/>
    <w:rsid w:val="00D45B7D"/>
    <w:rsid w:val="00D53FD6"/>
    <w:rsid w:val="00D54A67"/>
    <w:rsid w:val="00D61F4F"/>
    <w:rsid w:val="00D62E88"/>
    <w:rsid w:val="00D777FF"/>
    <w:rsid w:val="00D813F4"/>
    <w:rsid w:val="00D841C0"/>
    <w:rsid w:val="00D84A55"/>
    <w:rsid w:val="00D84DAA"/>
    <w:rsid w:val="00D850F0"/>
    <w:rsid w:val="00D9004F"/>
    <w:rsid w:val="00D909AB"/>
    <w:rsid w:val="00D93B00"/>
    <w:rsid w:val="00D9454C"/>
    <w:rsid w:val="00D94C3E"/>
    <w:rsid w:val="00D95502"/>
    <w:rsid w:val="00D959B3"/>
    <w:rsid w:val="00D97B13"/>
    <w:rsid w:val="00DA2B97"/>
    <w:rsid w:val="00DA3610"/>
    <w:rsid w:val="00DA4143"/>
    <w:rsid w:val="00DA6C64"/>
    <w:rsid w:val="00DA75FB"/>
    <w:rsid w:val="00DB1987"/>
    <w:rsid w:val="00DB226D"/>
    <w:rsid w:val="00DB4CCB"/>
    <w:rsid w:val="00DB6331"/>
    <w:rsid w:val="00DB7F32"/>
    <w:rsid w:val="00DB7F8C"/>
    <w:rsid w:val="00DC02C9"/>
    <w:rsid w:val="00DC1885"/>
    <w:rsid w:val="00DC5009"/>
    <w:rsid w:val="00DD1691"/>
    <w:rsid w:val="00DD40B6"/>
    <w:rsid w:val="00DD7FC2"/>
    <w:rsid w:val="00DE41F3"/>
    <w:rsid w:val="00DF3524"/>
    <w:rsid w:val="00DF4DA1"/>
    <w:rsid w:val="00E01C28"/>
    <w:rsid w:val="00E0457D"/>
    <w:rsid w:val="00E046D0"/>
    <w:rsid w:val="00E05C22"/>
    <w:rsid w:val="00E10B72"/>
    <w:rsid w:val="00E1626C"/>
    <w:rsid w:val="00E17211"/>
    <w:rsid w:val="00E20CA5"/>
    <w:rsid w:val="00E2119F"/>
    <w:rsid w:val="00E2213D"/>
    <w:rsid w:val="00E27083"/>
    <w:rsid w:val="00E310AD"/>
    <w:rsid w:val="00E339EA"/>
    <w:rsid w:val="00E36DFD"/>
    <w:rsid w:val="00E410B2"/>
    <w:rsid w:val="00E44A60"/>
    <w:rsid w:val="00E46733"/>
    <w:rsid w:val="00E52DD0"/>
    <w:rsid w:val="00E576D4"/>
    <w:rsid w:val="00E64815"/>
    <w:rsid w:val="00E64C9F"/>
    <w:rsid w:val="00E71FAA"/>
    <w:rsid w:val="00E7413C"/>
    <w:rsid w:val="00E74320"/>
    <w:rsid w:val="00E74E2A"/>
    <w:rsid w:val="00E764A0"/>
    <w:rsid w:val="00E817E5"/>
    <w:rsid w:val="00E81FDD"/>
    <w:rsid w:val="00E82204"/>
    <w:rsid w:val="00E82684"/>
    <w:rsid w:val="00E91FCD"/>
    <w:rsid w:val="00E92D07"/>
    <w:rsid w:val="00E93B45"/>
    <w:rsid w:val="00E94175"/>
    <w:rsid w:val="00E96796"/>
    <w:rsid w:val="00E97EF2"/>
    <w:rsid w:val="00EA044B"/>
    <w:rsid w:val="00EA456F"/>
    <w:rsid w:val="00EA510F"/>
    <w:rsid w:val="00EA670A"/>
    <w:rsid w:val="00EA72F8"/>
    <w:rsid w:val="00EA7E56"/>
    <w:rsid w:val="00EB1DA4"/>
    <w:rsid w:val="00EB71FC"/>
    <w:rsid w:val="00EC3981"/>
    <w:rsid w:val="00ED2DBD"/>
    <w:rsid w:val="00ED3F11"/>
    <w:rsid w:val="00ED4070"/>
    <w:rsid w:val="00ED44A2"/>
    <w:rsid w:val="00ED5B6F"/>
    <w:rsid w:val="00ED6D0E"/>
    <w:rsid w:val="00ED71C7"/>
    <w:rsid w:val="00ED75A7"/>
    <w:rsid w:val="00EE0E61"/>
    <w:rsid w:val="00EE1D9A"/>
    <w:rsid w:val="00EE5764"/>
    <w:rsid w:val="00EF0FD4"/>
    <w:rsid w:val="00EF3886"/>
    <w:rsid w:val="00EF4283"/>
    <w:rsid w:val="00EF6CB0"/>
    <w:rsid w:val="00F0219F"/>
    <w:rsid w:val="00F022F3"/>
    <w:rsid w:val="00F0461C"/>
    <w:rsid w:val="00F078BA"/>
    <w:rsid w:val="00F1213B"/>
    <w:rsid w:val="00F12DA0"/>
    <w:rsid w:val="00F133CB"/>
    <w:rsid w:val="00F2144A"/>
    <w:rsid w:val="00F225E7"/>
    <w:rsid w:val="00F2261B"/>
    <w:rsid w:val="00F2603F"/>
    <w:rsid w:val="00F26163"/>
    <w:rsid w:val="00F266D6"/>
    <w:rsid w:val="00F27887"/>
    <w:rsid w:val="00F27E50"/>
    <w:rsid w:val="00F32DEE"/>
    <w:rsid w:val="00F33022"/>
    <w:rsid w:val="00F42F9A"/>
    <w:rsid w:val="00F43DD0"/>
    <w:rsid w:val="00F45011"/>
    <w:rsid w:val="00F4544B"/>
    <w:rsid w:val="00F469E9"/>
    <w:rsid w:val="00F510E9"/>
    <w:rsid w:val="00F51376"/>
    <w:rsid w:val="00F51F1C"/>
    <w:rsid w:val="00F53AC4"/>
    <w:rsid w:val="00F546DD"/>
    <w:rsid w:val="00F55C16"/>
    <w:rsid w:val="00F56DA7"/>
    <w:rsid w:val="00F57B2A"/>
    <w:rsid w:val="00F61A0E"/>
    <w:rsid w:val="00F61D62"/>
    <w:rsid w:val="00F645E1"/>
    <w:rsid w:val="00F712DD"/>
    <w:rsid w:val="00F74030"/>
    <w:rsid w:val="00F75194"/>
    <w:rsid w:val="00F75BD2"/>
    <w:rsid w:val="00F8135D"/>
    <w:rsid w:val="00F81D51"/>
    <w:rsid w:val="00F84A42"/>
    <w:rsid w:val="00F8550F"/>
    <w:rsid w:val="00F971DA"/>
    <w:rsid w:val="00FA0557"/>
    <w:rsid w:val="00FA247B"/>
    <w:rsid w:val="00FA25B4"/>
    <w:rsid w:val="00FA758A"/>
    <w:rsid w:val="00FB1C95"/>
    <w:rsid w:val="00FB200A"/>
    <w:rsid w:val="00FB43BA"/>
    <w:rsid w:val="00FB555B"/>
    <w:rsid w:val="00FB5A69"/>
    <w:rsid w:val="00FB61BF"/>
    <w:rsid w:val="00FB6479"/>
    <w:rsid w:val="00FC0E4E"/>
    <w:rsid w:val="00FC3445"/>
    <w:rsid w:val="00FC3E88"/>
    <w:rsid w:val="00FC3F4C"/>
    <w:rsid w:val="00FC552D"/>
    <w:rsid w:val="00FC5988"/>
    <w:rsid w:val="00FC65DE"/>
    <w:rsid w:val="00FC7A5A"/>
    <w:rsid w:val="00FD0163"/>
    <w:rsid w:val="00FE10BE"/>
    <w:rsid w:val="00FE1BA4"/>
    <w:rsid w:val="00FE303B"/>
    <w:rsid w:val="00FE40E8"/>
    <w:rsid w:val="00FE58C6"/>
    <w:rsid w:val="00FE615C"/>
    <w:rsid w:val="00FF03F9"/>
    <w:rsid w:val="00FF229D"/>
    <w:rsid w:val="00FF2DB9"/>
    <w:rsid w:val="00FF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8321F"/>
  <w15:docId w15:val="{A1738CDE-EBB3-46D2-A5E7-E2D0BC1E4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520A"/>
    <w:pPr>
      <w:spacing w:after="200" w:line="276" w:lineRule="auto"/>
      <w:jc w:val="lef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3B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basedOn w:val="DefaultParagraphFont"/>
    <w:link w:val="FootnoteText"/>
    <w:semiHidden/>
    <w:rsid w:val="00273B08"/>
    <w:rPr>
      <w:rFonts w:ascii="Times New Roman" w:eastAsia="Times New Roman" w:hAnsi="Times New Roman" w:cs="Times New Roman"/>
      <w:sz w:val="20"/>
      <w:szCs w:val="20"/>
      <w:lang w:val="es-ES"/>
    </w:rPr>
  </w:style>
  <w:style w:type="character" w:styleId="FootnoteReference">
    <w:name w:val="footnote reference"/>
    <w:uiPriority w:val="99"/>
    <w:unhideWhenUsed/>
    <w:rsid w:val="00B32010"/>
    <w:rPr>
      <w:vertAlign w:val="superscript"/>
    </w:rPr>
  </w:style>
  <w:style w:type="character" w:styleId="Hyperlink">
    <w:name w:val="Hyperlink"/>
    <w:basedOn w:val="DefaultParagraphFont"/>
    <w:unhideWhenUsed/>
    <w:rsid w:val="00472FC8"/>
    <w:rPr>
      <w:color w:val="0000FF" w:themeColor="hyperlink"/>
      <w:u w:val="single"/>
    </w:rPr>
  </w:style>
  <w:style w:type="paragraph" w:styleId="ListParagraph">
    <w:name w:val="List Paragraph"/>
    <w:basedOn w:val="Normal"/>
    <w:link w:val="ListParagraphChar"/>
    <w:uiPriority w:val="34"/>
    <w:qFormat/>
    <w:rsid w:val="00E01C28"/>
    <w:pPr>
      <w:ind w:left="720"/>
      <w:contextualSpacing/>
    </w:pPr>
    <w:rPr>
      <w:lang w:val="es-CO"/>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1689"/>
    <w:rPr>
      <w:rFonts w:ascii="Calibri" w:eastAsia="Calibri" w:hAnsi="Calibri" w:cs="Times New Roman"/>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1689"/>
    <w:rPr>
      <w:rFonts w:ascii="Calibri" w:eastAsia="Calibri" w:hAnsi="Calibri" w:cs="Times New Roman"/>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5F4"/>
    <w:rPr>
      <w:rFonts w:ascii="Tahoma" w:eastAsia="Calibri" w:hAnsi="Tahoma" w:cs="Tahoma"/>
      <w:sz w:val="16"/>
      <w:szCs w:val="16"/>
    </w:rPr>
  </w:style>
  <w:style w:type="paragraph" w:styleId="Revision">
    <w:name w:val="Revision"/>
    <w:hidden/>
    <w:uiPriority w:val="99"/>
    <w:semiHidden/>
    <w:rsid w:val="00340924"/>
    <w:pPr>
      <w:jc w:val="left"/>
    </w:pPr>
  </w:style>
  <w:style w:type="character" w:customStyle="1" w:styleId="apple-converted-space">
    <w:name w:val="apple-converted-space"/>
    <w:basedOn w:val="DefaultParagraphFont"/>
    <w:rsid w:val="008568D2"/>
  </w:style>
  <w:style w:type="character" w:styleId="CommentReference">
    <w:name w:val="annotation reference"/>
    <w:basedOn w:val="DefaultParagraphFont"/>
    <w:uiPriority w:val="99"/>
    <w:semiHidden/>
    <w:unhideWhenUsed/>
    <w:rsid w:val="00E82684"/>
    <w:rPr>
      <w:sz w:val="16"/>
      <w:szCs w:val="16"/>
    </w:rPr>
  </w:style>
  <w:style w:type="paragraph" w:styleId="CommentText">
    <w:name w:val="annotation text"/>
    <w:basedOn w:val="Normal"/>
    <w:link w:val="CommentTextChar"/>
    <w:uiPriority w:val="99"/>
    <w:semiHidden/>
    <w:unhideWhenUsed/>
    <w:rsid w:val="00E82684"/>
    <w:rPr>
      <w:sz w:val="20"/>
      <w:szCs w:val="20"/>
    </w:rPr>
  </w:style>
  <w:style w:type="character" w:customStyle="1" w:styleId="CommentTextChar">
    <w:name w:val="Comment Text Char"/>
    <w:basedOn w:val="DefaultParagraphFont"/>
    <w:link w:val="CommentText"/>
    <w:uiPriority w:val="99"/>
    <w:semiHidden/>
    <w:rsid w:val="00E82684"/>
    <w:rPr>
      <w:sz w:val="20"/>
      <w:szCs w:val="20"/>
    </w:rPr>
  </w:style>
  <w:style w:type="paragraph" w:styleId="CommentSubject">
    <w:name w:val="annotation subject"/>
    <w:basedOn w:val="CommentText"/>
    <w:next w:val="CommentText"/>
    <w:link w:val="CommentSubjectChar"/>
    <w:uiPriority w:val="99"/>
    <w:semiHidden/>
    <w:unhideWhenUsed/>
    <w:rsid w:val="00E82684"/>
    <w:rPr>
      <w:b/>
      <w:bCs/>
    </w:rPr>
  </w:style>
  <w:style w:type="character" w:customStyle="1" w:styleId="CommentSubjectChar">
    <w:name w:val="Comment Subject Char"/>
    <w:basedOn w:val="CommentTextChar"/>
    <w:link w:val="CommentSubject"/>
    <w:uiPriority w:val="99"/>
    <w:semiHidden/>
    <w:rsid w:val="00E82684"/>
    <w:rPr>
      <w:b/>
      <w:bCs/>
      <w:sz w:val="20"/>
      <w:szCs w:val="20"/>
    </w:rPr>
  </w:style>
  <w:style w:type="paragraph" w:customStyle="1" w:styleId="Default">
    <w:name w:val="Default"/>
    <w:rsid w:val="00866C47"/>
    <w:pPr>
      <w:autoSpaceDE w:val="0"/>
      <w:autoSpaceDN w:val="0"/>
      <w:adjustRightInd w:val="0"/>
      <w:jc w:val="left"/>
    </w:pPr>
    <w:rPr>
      <w:rFonts w:ascii="Times New Roman" w:eastAsia="Calibri" w:hAnsi="Times New Roman" w:cs="Times New Roman"/>
      <w:color w:val="000000"/>
      <w:sz w:val="24"/>
      <w:szCs w:val="24"/>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character" w:customStyle="1" w:styleId="ListParagraphChar">
    <w:name w:val="List Paragraph Char"/>
    <w:link w:val="ListParagraph"/>
    <w:uiPriority w:val="34"/>
    <w:locked/>
    <w:rsid w:val="00866C47"/>
    <w:rPr>
      <w:rFonts w:ascii="Calibri" w:eastAsia="Calibri" w:hAnsi="Calibri" w:cs="Times New Roman"/>
      <w:lang w:val="es-CO"/>
    </w:rPr>
  </w:style>
  <w:style w:type="paragraph" w:customStyle="1" w:styleId="Chapter">
    <w:name w:val="Chapter"/>
    <w:basedOn w:val="Normal"/>
    <w:next w:val="Normal"/>
    <w:rsid w:val="00795640"/>
    <w:pPr>
      <w:keepNext/>
      <w:numPr>
        <w:numId w:val="23"/>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866C47"/>
    <w:pPr>
      <w:numPr>
        <w:ilvl w:val="1"/>
        <w:numId w:val="23"/>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23"/>
      </w:numPr>
      <w:tabs>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304"/>
        <w:tab w:val="clear" w:pos="2736"/>
        <w:tab w:val="left" w:pos="0"/>
        <w:tab w:val="num" w:pos="360"/>
        <w:tab w:val="num" w:pos="1152"/>
        <w:tab w:val="num" w:pos="1296"/>
      </w:tabs>
      <w:ind w:left="1296" w:hanging="720"/>
    </w:pPr>
  </w:style>
  <w:style w:type="character" w:customStyle="1" w:styleId="ParagraphChar">
    <w:name w:val="Paragraph Char"/>
    <w:link w:val="Paragraph"/>
    <w:rsid w:val="00866C47"/>
    <w:rPr>
      <w:rFonts w:ascii="Times New Roman" w:eastAsia="Times New Roman" w:hAnsi="Times New Roman" w:cs="Times New Roman"/>
      <w:sz w:val="24"/>
      <w:szCs w:val="20"/>
      <w:lang w:val="es-ES"/>
    </w:rPr>
  </w:style>
  <w:style w:type="character" w:customStyle="1" w:styleId="hps">
    <w:name w:val="hps"/>
    <w:basedOn w:val="DefaultParagraphFont"/>
    <w:rsid w:val="00866C47"/>
  </w:style>
  <w:style w:type="paragraph" w:styleId="BodyTextIndent">
    <w:name w:val="Body Text Indent"/>
    <w:basedOn w:val="Normal"/>
    <w:link w:val="BodyTextIndentChar"/>
    <w:uiPriority w:val="99"/>
    <w:semiHidden/>
    <w:unhideWhenUsed/>
    <w:rsid w:val="00866C47"/>
    <w:pPr>
      <w:spacing w:after="120"/>
      <w:ind w:left="360"/>
    </w:pPr>
  </w:style>
  <w:style w:type="character" w:customStyle="1" w:styleId="BodyTextIndentChar">
    <w:name w:val="Body Text Indent Char"/>
    <w:basedOn w:val="DefaultParagraphFont"/>
    <w:link w:val="BodyTextIndent"/>
    <w:uiPriority w:val="99"/>
    <w:semiHidden/>
    <w:rsid w:val="00866C47"/>
    <w:rPr>
      <w:rFonts w:ascii="Calibri" w:eastAsia="Calibri" w:hAnsi="Calibri" w:cs="Times New Roman"/>
    </w:rPr>
  </w:style>
  <w:style w:type="paragraph" w:styleId="BodyTextIndent3">
    <w:name w:val="Body Text Indent 3"/>
    <w:basedOn w:val="Normal"/>
    <w:link w:val="BodyTextIndent3Char"/>
    <w:uiPriority w:val="99"/>
    <w:semiHidden/>
    <w:unhideWhenUsed/>
    <w:rsid w:val="00866C4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66C47"/>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66040">
      <w:bodyDiv w:val="1"/>
      <w:marLeft w:val="0"/>
      <w:marRight w:val="0"/>
      <w:marTop w:val="0"/>
      <w:marBottom w:val="0"/>
      <w:divBdr>
        <w:top w:val="none" w:sz="0" w:space="0" w:color="auto"/>
        <w:left w:val="none" w:sz="0" w:space="0" w:color="auto"/>
        <w:bottom w:val="none" w:sz="0" w:space="0" w:color="auto"/>
        <w:right w:val="none" w:sz="0" w:space="0" w:color="auto"/>
      </w:divBdr>
    </w:div>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B668316E7E54A90D96CCB9867CFAA" ma:contentTypeVersion="19" ma:contentTypeDescription="A content type to manage public (operations) IDB documents" ma:contentTypeScope="" ma:versionID="5b5ad02f16b5ed50bc4c080148e6a2e3">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R0000067045</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Gaggero, Annabella</Document_x0020_Author>
    <_dlc_DocId xmlns="cdc7663a-08f0-4737-9e8c-148ce897a09c">EZSHARE-1417945983-17</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TaxCatchAll xmlns="cdc7663a-08f0-4737-9e8c-148ce897a09c">
      <Value>50</Value>
      <Value>31</Value>
      <Value>27</Value>
      <Value>71</Value>
      <Value>2</Value>
      <Value>51</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CO-L1214</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Info xmlns="http://schemas.microsoft.com/office/infopath/2007/PartnerControls">
          <TermName xmlns="http://schemas.microsoft.com/office/infopath/2007/PartnerControls">CHC</TermName>
          <TermId xmlns="http://schemas.microsoft.com/office/infopath/2007/PartnerControls">d10ee644-ef4b-40bb-b5a1-2275688ee788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REGULATION AND SUPERVISION</TermName>
          <TermId xmlns="http://schemas.microsoft.com/office/infopath/2007/PartnerControls">cfed87c2-6f36-4f6b-9a83-5b88cea48148</TermId>
        </TermInfo>
      </Terms>
    </b2ec7cfb18674cb8803df6b262e8b107>
    <Document_x0020_Language_x0020_IDB xmlns="cdc7663a-08f0-4737-9e8c-148ce897a09c">English</Document_x0020_Language_x0020_IDB>
    <_dlc_DocIdUrl xmlns="cdc7663a-08f0-4737-9e8c-148ce897a09c">
      <Url>https://idbg.sharepoint.com/teams/EZ-CO-LON/CO-L1214/_layouts/15/DocIdRedir.aspx?ID=EZSHARE-1417945983-17</Url>
      <Description>EZSHARE-1417945983-17</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6334B-D125-4C8B-BB3F-BC2E83B749D6}"/>
</file>

<file path=customXml/itemProps2.xml><?xml version="1.0" encoding="utf-8"?>
<ds:datastoreItem xmlns:ds="http://schemas.openxmlformats.org/officeDocument/2006/customXml" ds:itemID="{FE9730FB-B155-4CF3-8688-317219B6B6AE}">
  <ds:schemaRefs>
    <ds:schemaRef ds:uri="http://schemas.microsoft.com/sharepoint/v3/contenttype/forms"/>
  </ds:schemaRefs>
</ds:datastoreItem>
</file>

<file path=customXml/itemProps3.xml><?xml version="1.0" encoding="utf-8"?>
<ds:datastoreItem xmlns:ds="http://schemas.openxmlformats.org/officeDocument/2006/customXml" ds:itemID="{2BD984D8-C995-4045-BE03-AC737017B57D}">
  <ds:schemaRefs>
    <ds:schemaRef ds:uri="http://schemas.microsoft.com/sharepoint/events"/>
  </ds:schemaRefs>
</ds:datastoreItem>
</file>

<file path=customXml/itemProps4.xml><?xml version="1.0" encoding="utf-8"?>
<ds:datastoreItem xmlns:ds="http://schemas.openxmlformats.org/officeDocument/2006/customXml" ds:itemID="{2D645B0D-99BF-489D-ACB6-7E720876F783}"/>
</file>

<file path=customXml/itemProps5.xml><?xml version="1.0" encoding="utf-8"?>
<ds:datastoreItem xmlns:ds="http://schemas.openxmlformats.org/officeDocument/2006/customXml" ds:itemID="{9ADCA9D0-E452-450C-9E8E-E5B15C166F49}"/>
</file>

<file path=customXml/itemProps6.xml><?xml version="1.0" encoding="utf-8"?>
<ds:datastoreItem xmlns:ds="http://schemas.openxmlformats.org/officeDocument/2006/customXml" ds:itemID="{762BC884-3DE0-47F4-9517-729D2996B5DF}">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F1BCF779-6116-428F-92AA-52389CFA0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2056</Words>
  <Characters>11724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Gaggero, Annabella</cp:lastModifiedBy>
  <cp:revision>6</cp:revision>
  <cp:lastPrinted>2017-01-26T14:46:00Z</cp:lastPrinted>
  <dcterms:created xsi:type="dcterms:W3CDTF">2017-05-17T14:09:00Z</dcterms:created>
  <dcterms:modified xsi:type="dcterms:W3CDTF">2017-05-17T18:36:00Z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51;#FINANCIAL REGULATION AND SUPERVISION|cfed87c2-6f36-4f6b-9a83-5b88cea48148</vt:lpwstr>
  </property>
  <property fmtid="{D5CDD505-2E9C-101B-9397-08002B2CF9AE}" pid="7" name="Country">
    <vt:lpwstr>27;#Colombia|c7d386d6-75f3-4fc0-bde8-e021ccd68f5c</vt:lpwstr>
  </property>
  <property fmtid="{D5CDD505-2E9C-101B-9397-08002B2CF9AE}" pid="8" name="Fund IDB">
    <vt:lpwstr>31;#ORC|c028a4b2-ad8b-4cf4-9cac-a2ae6a778e23;#71;#CHC|d10ee644-ef4b-40bb-b5a1-2275688ee788</vt:lpwstr>
  </property>
  <property fmtid="{D5CDD505-2E9C-101B-9397-08002B2CF9AE}" pid="9" name="_dlc_DocIdItemGuid">
    <vt:lpwstr>71516175-d8e8-437c-9f94-bbcdb93bc9ba</vt:lpwstr>
  </property>
  <property fmtid="{D5CDD505-2E9C-101B-9397-08002B2CF9AE}" pid="10" name="Sector IDB">
    <vt:lpwstr>50;#FINANCIAL MARKETS|75500f29-2419-473a-bcd8-84901ddc2aa7</vt:lpwstr>
  </property>
  <property fmtid="{D5CDD505-2E9C-101B-9397-08002B2CF9AE}" pid="11" name="Function Operations IDB">
    <vt:lpwstr>2;#Monitoring and Reporting|df3c2aa1-d63e-41aa-b1f5-bb15dee691ca</vt:lpwstr>
  </property>
  <property fmtid="{D5CDD505-2E9C-101B-9397-08002B2CF9AE}" pid="12" name="RecordPoint_ActiveItemMoved">
    <vt:lpwstr>/teams/EZ-CO-LON/CO-L1214/15 LifeCycle Milestones/Draft Area/Matriz de Resultados  CO-L1214.docx</vt:lpwstr>
  </property>
  <property fmtid="{D5CDD505-2E9C-101B-9397-08002B2CF9AE}" pid="13" name="RecordStorageActiveId">
    <vt:lpwstr>84997ccb-cde3-4ef9-8385-75adfb1a7da0</vt:lpwstr>
  </property>
  <property fmtid="{D5CDD505-2E9C-101B-9397-08002B2CF9AE}" pid="14" name="Disclosure Activity">
    <vt:lpwstr>Loan Proposal</vt:lpwstr>
  </property>
  <property fmtid="{D5CDD505-2E9C-101B-9397-08002B2CF9AE}" pid="15" name="ContentTypeId">
    <vt:lpwstr>0x0101001A458A224826124E8B45B1D613300CFC00A32B668316E7E54A90D96CCB9867CFAA</vt:lpwstr>
  </property>
</Properties>
</file>