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2262AA" w14:textId="5209906F" w:rsidR="00813650" w:rsidRPr="00164CCD" w:rsidRDefault="00120449" w:rsidP="00164CCD">
      <w:pPr>
        <w:pStyle w:val="NoSpacing"/>
        <w:jc w:val="center"/>
        <w:rPr>
          <w:rFonts w:ascii="Arial" w:hAnsi="Arial" w:cs="Arial"/>
          <w:b/>
          <w:sz w:val="22"/>
          <w:szCs w:val="22"/>
          <w:lang w:val="es-ES_tradnl"/>
        </w:rPr>
      </w:pPr>
      <w:r w:rsidRPr="00164CCD">
        <w:rPr>
          <w:rFonts w:ascii="Arial" w:hAnsi="Arial" w:cs="Arial"/>
          <w:b/>
          <w:sz w:val="22"/>
          <w:szCs w:val="22"/>
          <w:lang w:val="es-ES_tradnl"/>
        </w:rPr>
        <w:t xml:space="preserve">Análisis del Cumplimiento del </w:t>
      </w:r>
      <w:r w:rsidR="00784F79" w:rsidRPr="00164CCD">
        <w:rPr>
          <w:rFonts w:ascii="Arial" w:hAnsi="Arial" w:cs="Arial"/>
          <w:b/>
          <w:sz w:val="22"/>
          <w:szCs w:val="22"/>
          <w:lang w:val="es-ES_tradnl"/>
        </w:rPr>
        <w:t xml:space="preserve">Proyecto de Saneamiento de Ciudad del Plata, Etapa I </w:t>
      </w:r>
      <w:r w:rsidRPr="00164CCD">
        <w:rPr>
          <w:rFonts w:ascii="Arial" w:hAnsi="Arial" w:cs="Arial"/>
          <w:b/>
          <w:sz w:val="22"/>
          <w:szCs w:val="22"/>
          <w:lang w:val="es-ES_tradnl"/>
        </w:rPr>
        <w:t>(</w:t>
      </w:r>
      <w:r w:rsidR="00784F79" w:rsidRPr="00164CCD">
        <w:rPr>
          <w:rFonts w:ascii="Arial" w:hAnsi="Arial" w:cs="Arial"/>
          <w:b/>
          <w:sz w:val="22"/>
          <w:szCs w:val="22"/>
          <w:lang w:val="es-ES_tradnl"/>
        </w:rPr>
        <w:t>UR</w:t>
      </w:r>
      <w:r w:rsidRPr="00164CCD">
        <w:rPr>
          <w:rFonts w:ascii="Arial" w:hAnsi="Arial" w:cs="Arial"/>
          <w:b/>
          <w:sz w:val="22"/>
          <w:szCs w:val="22"/>
          <w:lang w:val="es-ES_tradnl"/>
        </w:rPr>
        <w:t>-</w:t>
      </w:r>
      <w:r w:rsidR="00DF2C05" w:rsidRPr="00164CCD">
        <w:rPr>
          <w:rFonts w:ascii="Arial" w:hAnsi="Arial" w:cs="Arial"/>
          <w:b/>
          <w:sz w:val="22"/>
          <w:szCs w:val="22"/>
          <w:lang w:val="es-ES_tradnl"/>
        </w:rPr>
        <w:t>L114</w:t>
      </w:r>
      <w:r w:rsidR="00784F79" w:rsidRPr="00164CCD">
        <w:rPr>
          <w:rFonts w:ascii="Arial" w:hAnsi="Arial" w:cs="Arial"/>
          <w:b/>
          <w:sz w:val="22"/>
          <w:szCs w:val="22"/>
          <w:lang w:val="es-ES_tradnl"/>
        </w:rPr>
        <w:t>9</w:t>
      </w:r>
      <w:r w:rsidRPr="00164CCD">
        <w:rPr>
          <w:rFonts w:ascii="Arial" w:hAnsi="Arial" w:cs="Arial"/>
          <w:b/>
          <w:sz w:val="22"/>
          <w:szCs w:val="22"/>
          <w:lang w:val="es-ES_tradnl"/>
        </w:rPr>
        <w:t>) con la Política de Servicios Públicos Domiciliarios (</w:t>
      </w:r>
      <w:r w:rsidRPr="00164CCD">
        <w:rPr>
          <w:rFonts w:ascii="Arial" w:hAnsi="Arial" w:cs="Arial"/>
          <w:b/>
          <w:sz w:val="22"/>
          <w:szCs w:val="22"/>
          <w:lang w:val="es-ES"/>
        </w:rPr>
        <w:t>GN-2716-6</w:t>
      </w:r>
      <w:r w:rsidRPr="00164CCD">
        <w:rPr>
          <w:rFonts w:ascii="Arial" w:hAnsi="Arial" w:cs="Arial"/>
          <w:b/>
          <w:sz w:val="22"/>
          <w:szCs w:val="22"/>
          <w:lang w:val="es-ES_tradnl"/>
        </w:rPr>
        <w:t>)</w:t>
      </w:r>
    </w:p>
    <w:p w14:paraId="052262AB" w14:textId="77777777" w:rsidR="00813650" w:rsidRDefault="00813650" w:rsidP="00BD68A5">
      <w:pPr>
        <w:jc w:val="center"/>
        <w:rPr>
          <w:b/>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7"/>
        <w:gridCol w:w="3138"/>
        <w:gridCol w:w="3595"/>
      </w:tblGrid>
      <w:tr w:rsidR="00762CE0" w:rsidRPr="00164CCD" w14:paraId="052262B0" w14:textId="77777777" w:rsidTr="00164CCD">
        <w:trPr>
          <w:jc w:val="center"/>
        </w:trPr>
        <w:tc>
          <w:tcPr>
            <w:tcW w:w="1897" w:type="dxa"/>
            <w:shd w:val="clear" w:color="auto" w:fill="C0C0C0"/>
          </w:tcPr>
          <w:p w14:paraId="052262AD" w14:textId="5EB16739" w:rsidR="00813650" w:rsidRPr="00164CCD" w:rsidRDefault="00813650" w:rsidP="00CE33C6">
            <w:pPr>
              <w:rPr>
                <w:rFonts w:ascii="Arial" w:hAnsi="Arial" w:cs="Arial"/>
                <w:b/>
                <w:sz w:val="18"/>
                <w:szCs w:val="18"/>
                <w:lang w:val="es-ES_tradnl"/>
              </w:rPr>
            </w:pPr>
            <w:r w:rsidRPr="00164CCD">
              <w:rPr>
                <w:rFonts w:ascii="Arial" w:hAnsi="Arial" w:cs="Arial"/>
                <w:b/>
                <w:sz w:val="18"/>
                <w:szCs w:val="18"/>
                <w:lang w:val="es-ES_tradnl"/>
              </w:rPr>
              <w:t>Condiciones de la Política</w:t>
            </w:r>
          </w:p>
        </w:tc>
        <w:tc>
          <w:tcPr>
            <w:tcW w:w="3138" w:type="dxa"/>
            <w:shd w:val="clear" w:color="auto" w:fill="C0C0C0"/>
          </w:tcPr>
          <w:p w14:paraId="052262AE" w14:textId="77777777" w:rsidR="00813650" w:rsidRPr="00164CCD" w:rsidRDefault="00813650" w:rsidP="00CE33C6">
            <w:pPr>
              <w:rPr>
                <w:rFonts w:ascii="Arial" w:hAnsi="Arial" w:cs="Arial"/>
                <w:b/>
                <w:sz w:val="18"/>
                <w:szCs w:val="18"/>
                <w:lang w:val="es-ES_tradnl"/>
              </w:rPr>
            </w:pPr>
            <w:r w:rsidRPr="00164CCD">
              <w:rPr>
                <w:rFonts w:ascii="Arial" w:hAnsi="Arial" w:cs="Arial"/>
                <w:b/>
                <w:sz w:val="18"/>
                <w:szCs w:val="18"/>
                <w:lang w:val="es-ES_tradnl"/>
              </w:rPr>
              <w:t xml:space="preserve">Descripción </w:t>
            </w:r>
          </w:p>
        </w:tc>
        <w:tc>
          <w:tcPr>
            <w:tcW w:w="3595" w:type="dxa"/>
            <w:shd w:val="clear" w:color="auto" w:fill="C0C0C0"/>
          </w:tcPr>
          <w:p w14:paraId="052262AF" w14:textId="77777777" w:rsidR="00813650" w:rsidRPr="00164CCD" w:rsidRDefault="00813650" w:rsidP="00CE33C6">
            <w:pPr>
              <w:rPr>
                <w:rFonts w:ascii="Arial" w:hAnsi="Arial" w:cs="Arial"/>
                <w:b/>
                <w:sz w:val="18"/>
                <w:szCs w:val="18"/>
                <w:lang w:val="es-ES_tradnl"/>
              </w:rPr>
            </w:pPr>
            <w:r w:rsidRPr="00164CCD">
              <w:rPr>
                <w:rFonts w:ascii="Arial" w:hAnsi="Arial" w:cs="Arial"/>
                <w:b/>
                <w:sz w:val="18"/>
                <w:szCs w:val="18"/>
                <w:lang w:val="es-ES_tradnl"/>
              </w:rPr>
              <w:t>Comentarios</w:t>
            </w:r>
          </w:p>
        </w:tc>
      </w:tr>
      <w:tr w:rsidR="00813650" w:rsidRPr="00164CCD" w14:paraId="052262B7" w14:textId="77777777" w:rsidTr="00164CCD">
        <w:trPr>
          <w:jc w:val="center"/>
        </w:trPr>
        <w:tc>
          <w:tcPr>
            <w:tcW w:w="1897" w:type="dxa"/>
            <w:shd w:val="clear" w:color="auto" w:fill="auto"/>
          </w:tcPr>
          <w:p w14:paraId="052262B1" w14:textId="77777777" w:rsidR="00813650" w:rsidRPr="00164CCD" w:rsidRDefault="00813650" w:rsidP="00CE33C6">
            <w:pPr>
              <w:rPr>
                <w:rFonts w:ascii="Arial" w:hAnsi="Arial" w:cs="Arial"/>
                <w:sz w:val="18"/>
                <w:szCs w:val="18"/>
                <w:lang w:val="es-ES_tradnl"/>
              </w:rPr>
            </w:pPr>
            <w:r w:rsidRPr="00164CCD">
              <w:rPr>
                <w:rFonts w:ascii="Arial" w:hAnsi="Arial" w:cs="Arial"/>
                <w:b/>
                <w:bCs/>
                <w:sz w:val="18"/>
                <w:szCs w:val="18"/>
                <w:lang w:val="es-ES_tradnl"/>
              </w:rPr>
              <w:t>1. Sostenibilidad Financiera</w:t>
            </w:r>
            <w:bookmarkStart w:id="0" w:name="_GoBack"/>
            <w:bookmarkEnd w:id="0"/>
          </w:p>
        </w:tc>
        <w:tc>
          <w:tcPr>
            <w:tcW w:w="3138" w:type="dxa"/>
            <w:shd w:val="clear" w:color="auto" w:fill="auto"/>
          </w:tcPr>
          <w:p w14:paraId="052262B2" w14:textId="77777777" w:rsidR="00813650" w:rsidRPr="00164CCD" w:rsidRDefault="00813650" w:rsidP="00CE33C6">
            <w:pPr>
              <w:autoSpaceDE w:val="0"/>
              <w:autoSpaceDN w:val="0"/>
              <w:adjustRightInd w:val="0"/>
              <w:rPr>
                <w:rFonts w:ascii="Arial" w:hAnsi="Arial" w:cs="Arial"/>
                <w:sz w:val="18"/>
                <w:szCs w:val="18"/>
                <w:lang w:val="es-ES_tradnl"/>
              </w:rPr>
            </w:pPr>
            <w:r w:rsidRPr="00164CCD">
              <w:rPr>
                <w:rFonts w:ascii="Arial" w:eastAsiaTheme="minorHAnsi" w:hAnsi="Arial" w:cs="Arial"/>
                <w:sz w:val="18"/>
                <w:szCs w:val="18"/>
                <w:lang w:val="es-ES_tradnl"/>
              </w:rPr>
              <w:t>Para cada operación se deberá verificar que el servicio correspondiente generará o recibirá fondos suficientes para atender sus compromisos financieros y sufragar los costos de operación y mantenimiento de los sistemas relacionados con la operación.</w:t>
            </w:r>
          </w:p>
        </w:tc>
        <w:tc>
          <w:tcPr>
            <w:tcW w:w="3595" w:type="dxa"/>
            <w:shd w:val="clear" w:color="auto" w:fill="auto"/>
          </w:tcPr>
          <w:p w14:paraId="052262B6" w14:textId="2DA46E9A" w:rsidR="00F246AF" w:rsidRPr="00164CCD" w:rsidRDefault="00702A16">
            <w:pPr>
              <w:jc w:val="both"/>
              <w:rPr>
                <w:rFonts w:ascii="Arial" w:hAnsi="Arial" w:cs="Arial"/>
                <w:sz w:val="18"/>
                <w:szCs w:val="18"/>
                <w:lang w:val="es-ES"/>
              </w:rPr>
            </w:pPr>
            <w:r w:rsidRPr="00164CCD">
              <w:rPr>
                <w:rFonts w:ascii="Arial" w:hAnsi="Arial" w:cs="Arial"/>
                <w:sz w:val="18"/>
                <w:szCs w:val="18"/>
                <w:lang w:val="es-ES"/>
              </w:rPr>
              <w:t>Se realizó un análisis financiero de OSE como la entidad responsable de la operación y mantenimiento las obras construidas por el Programa. Este análisis financiero incluyó tanto el análisis histórico, con base en los estados financieros de la entidad, como la realización de un modelo financiero que proyecte la situación financiera estimada para los próximos diez años. La información financiera histórica indica que la OSE, con recursos propios (tarifarios) provenientes de la prestación de los servicios, ha sido capaz de cubrir sus costos de O&amp;M y administración de forma adecuada (lo que se refleja en el margen EBITDA de aproximadamente 20% en promedio anual para los tres últimos ejercicios cerrados). El ejercicio de la proyección muestra que la OSE podrá sostener por el período de la proyección el margen EBITDA a un nivel equivalente al actual, por lo que se confirma que mantendrá una situación financiera adecuada.</w:t>
            </w:r>
          </w:p>
        </w:tc>
      </w:tr>
      <w:tr w:rsidR="00813650" w:rsidRPr="00164CCD" w14:paraId="052262BB" w14:textId="77777777" w:rsidTr="00164CCD">
        <w:trPr>
          <w:jc w:val="center"/>
        </w:trPr>
        <w:tc>
          <w:tcPr>
            <w:tcW w:w="1897" w:type="dxa"/>
            <w:shd w:val="clear" w:color="auto" w:fill="auto"/>
          </w:tcPr>
          <w:p w14:paraId="052262B8" w14:textId="77777777" w:rsidR="00813650" w:rsidRPr="00164CCD" w:rsidRDefault="00813650" w:rsidP="00CE33C6">
            <w:pPr>
              <w:rPr>
                <w:rFonts w:ascii="Arial" w:hAnsi="Arial" w:cs="Arial"/>
                <w:sz w:val="18"/>
                <w:szCs w:val="18"/>
                <w:lang w:val="es-ES_tradnl"/>
              </w:rPr>
            </w:pPr>
            <w:r w:rsidRPr="00164CCD">
              <w:rPr>
                <w:rFonts w:ascii="Arial" w:hAnsi="Arial" w:cs="Arial"/>
                <w:b/>
                <w:bCs/>
                <w:sz w:val="18"/>
                <w:szCs w:val="18"/>
                <w:lang w:val="es-ES_tradnl"/>
              </w:rPr>
              <w:t>2. Evaluación Económica</w:t>
            </w:r>
          </w:p>
        </w:tc>
        <w:tc>
          <w:tcPr>
            <w:tcW w:w="3138" w:type="dxa"/>
            <w:shd w:val="clear" w:color="auto" w:fill="auto"/>
          </w:tcPr>
          <w:p w14:paraId="052262B9" w14:textId="77777777" w:rsidR="00813650" w:rsidRPr="00164CCD" w:rsidRDefault="00813650" w:rsidP="00CE33C6">
            <w:pPr>
              <w:rPr>
                <w:rFonts w:ascii="Arial" w:hAnsi="Arial" w:cs="Arial"/>
                <w:sz w:val="18"/>
                <w:szCs w:val="18"/>
                <w:lang w:val="es-ES_tradnl"/>
              </w:rPr>
            </w:pPr>
            <w:r w:rsidRPr="00164CCD">
              <w:rPr>
                <w:rFonts w:ascii="Arial" w:hAnsi="Arial" w:cs="Arial"/>
                <w:sz w:val="18"/>
                <w:szCs w:val="18"/>
                <w:lang w:val="es-ES_tradnl"/>
              </w:rPr>
              <w:t>Los proyectos de servicios públicos domiciliarios deberán ser económicamente rentables [</w:t>
            </w:r>
            <w:proofErr w:type="gramStart"/>
            <w:r w:rsidRPr="00164CCD">
              <w:rPr>
                <w:rFonts w:ascii="Arial" w:hAnsi="Arial" w:cs="Arial"/>
                <w:sz w:val="18"/>
                <w:szCs w:val="18"/>
                <w:lang w:val="es-ES_tradnl"/>
              </w:rPr>
              <w:t>de acuerdo a</w:t>
            </w:r>
            <w:proofErr w:type="gramEnd"/>
            <w:r w:rsidRPr="00164CCD">
              <w:rPr>
                <w:rFonts w:ascii="Arial" w:hAnsi="Arial" w:cs="Arial"/>
                <w:sz w:val="18"/>
                <w:szCs w:val="18"/>
                <w:lang w:val="es-ES_tradnl"/>
              </w:rPr>
              <w:t xml:space="preserve"> las metodologías de evaluación costo beneficio y costo efectividad utilizadas y aceptadas por el Banco.]</w:t>
            </w:r>
          </w:p>
        </w:tc>
        <w:tc>
          <w:tcPr>
            <w:tcW w:w="3595" w:type="dxa"/>
            <w:shd w:val="clear" w:color="auto" w:fill="auto"/>
          </w:tcPr>
          <w:p w14:paraId="052262BA" w14:textId="47A0BE39" w:rsidR="00813650" w:rsidRPr="00164CCD" w:rsidRDefault="0087253F">
            <w:pPr>
              <w:jc w:val="both"/>
              <w:rPr>
                <w:rFonts w:ascii="Arial" w:hAnsi="Arial" w:cs="Arial"/>
                <w:sz w:val="18"/>
                <w:szCs w:val="18"/>
                <w:lang w:val="es-ES"/>
              </w:rPr>
            </w:pPr>
            <w:r w:rsidRPr="00164CCD">
              <w:rPr>
                <w:rFonts w:ascii="Arial" w:hAnsi="Arial" w:cs="Arial"/>
                <w:sz w:val="18"/>
                <w:szCs w:val="18"/>
                <w:lang w:val="es-ES"/>
              </w:rPr>
              <w:t>Se elaboró una evaluación costo-beneficio a los proyectos que se financiarían y que se basó en una comparación de los beneficios y los costos en situaciones con y sin intervención. Los costos considerados fueron costos incrementales de inversión y O&amp;M, valorados a precios de eficiencia. Los beneficios económicos de los proyectos de saneamiento se cuantificaron utilizando valores de Disposición al Pago (DAP) calculados a partir de encuestas aplicadas en abril 2016 en el marco de Plan de Saneamiento Urbano de Montevideo -PSDUM- para acceso al servicio de saneamiento, actualizadas por el IPC publicado por el INE; y valores de DAP obtenidos a través de encuestas aplicadas en 2012 en Ciudad de Pando y 2014 en La Paz y las Piedras y actualizados a julio de 2018 a través de correcciones monetarias del ingreso medio familiar y el índice de precios al consumidor que se calcularon utilizando la metodología de valuación contingente. Los resultados del análisis muestran que el programa será viable socioeconómicamente con Tasas Internas de Retorno Económico (TIRE) superiores al 12% y coeficientes de beneficio costo superiores a 1.</w:t>
            </w:r>
          </w:p>
        </w:tc>
      </w:tr>
    </w:tbl>
    <w:p w14:paraId="22362A6F" w14:textId="77777777" w:rsidR="00164CCD" w:rsidRDefault="00164CCD">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7"/>
        <w:gridCol w:w="20"/>
        <w:gridCol w:w="3375"/>
        <w:gridCol w:w="84"/>
        <w:gridCol w:w="3274"/>
      </w:tblGrid>
      <w:tr w:rsidR="00762CE0" w:rsidRPr="009876DD" w14:paraId="052262C0" w14:textId="77777777" w:rsidTr="00164CCD">
        <w:trPr>
          <w:jc w:val="center"/>
        </w:trPr>
        <w:tc>
          <w:tcPr>
            <w:tcW w:w="1897" w:type="dxa"/>
            <w:gridSpan w:val="2"/>
            <w:shd w:val="clear" w:color="auto" w:fill="C0C0C0"/>
          </w:tcPr>
          <w:p w14:paraId="052262BC" w14:textId="73125AE6" w:rsidR="000F1306" w:rsidRPr="009876DD" w:rsidRDefault="000F1306" w:rsidP="000F1306">
            <w:pPr>
              <w:rPr>
                <w:b/>
                <w:sz w:val="18"/>
                <w:szCs w:val="18"/>
                <w:lang w:val="es-ES_tradnl"/>
              </w:rPr>
            </w:pPr>
            <w:r w:rsidRPr="009876DD">
              <w:rPr>
                <w:b/>
                <w:sz w:val="18"/>
                <w:szCs w:val="18"/>
                <w:lang w:val="es-ES_tradnl"/>
              </w:rPr>
              <w:lastRenderedPageBreak/>
              <w:t>Objetivos de la Política</w:t>
            </w:r>
          </w:p>
          <w:p w14:paraId="052262BD" w14:textId="77777777" w:rsidR="000F1306" w:rsidRPr="009876DD" w:rsidRDefault="000F1306" w:rsidP="000F1306">
            <w:pPr>
              <w:rPr>
                <w:b/>
                <w:sz w:val="18"/>
                <w:szCs w:val="18"/>
                <w:lang w:val="es-ES_tradnl"/>
              </w:rPr>
            </w:pPr>
          </w:p>
        </w:tc>
        <w:tc>
          <w:tcPr>
            <w:tcW w:w="3375" w:type="dxa"/>
            <w:shd w:val="clear" w:color="auto" w:fill="C0C0C0"/>
          </w:tcPr>
          <w:p w14:paraId="052262BE" w14:textId="77777777" w:rsidR="000F1306" w:rsidRPr="009876DD" w:rsidRDefault="000F1306" w:rsidP="000F1306">
            <w:pPr>
              <w:rPr>
                <w:b/>
                <w:sz w:val="18"/>
                <w:szCs w:val="18"/>
                <w:lang w:val="es-ES_tradnl"/>
              </w:rPr>
            </w:pPr>
            <w:r w:rsidRPr="009876DD">
              <w:rPr>
                <w:b/>
                <w:sz w:val="18"/>
                <w:szCs w:val="18"/>
                <w:lang w:val="es-ES_tradnl"/>
              </w:rPr>
              <w:t xml:space="preserve">Descripción </w:t>
            </w:r>
          </w:p>
        </w:tc>
        <w:tc>
          <w:tcPr>
            <w:tcW w:w="3358" w:type="dxa"/>
            <w:gridSpan w:val="2"/>
            <w:shd w:val="clear" w:color="auto" w:fill="C0C0C0"/>
          </w:tcPr>
          <w:p w14:paraId="052262BF" w14:textId="77777777" w:rsidR="000F1306" w:rsidRPr="009876DD" w:rsidRDefault="000F1306" w:rsidP="000F1306">
            <w:pPr>
              <w:rPr>
                <w:b/>
                <w:sz w:val="18"/>
                <w:szCs w:val="18"/>
                <w:lang w:val="es-ES_tradnl"/>
              </w:rPr>
            </w:pPr>
            <w:r w:rsidRPr="009876DD">
              <w:rPr>
                <w:b/>
                <w:sz w:val="18"/>
                <w:szCs w:val="18"/>
                <w:lang w:val="es-ES_tradnl"/>
              </w:rPr>
              <w:t>Comentarios</w:t>
            </w:r>
          </w:p>
        </w:tc>
      </w:tr>
      <w:tr w:rsidR="000F1306" w:rsidRPr="00164CCD" w14:paraId="052262C7" w14:textId="77777777" w:rsidTr="00164CCD">
        <w:trPr>
          <w:jc w:val="center"/>
        </w:trPr>
        <w:tc>
          <w:tcPr>
            <w:tcW w:w="1897" w:type="dxa"/>
            <w:gridSpan w:val="2"/>
            <w:shd w:val="clear" w:color="auto" w:fill="auto"/>
          </w:tcPr>
          <w:p w14:paraId="052262C1" w14:textId="77777777" w:rsidR="000F1306" w:rsidRPr="009876DD" w:rsidRDefault="000F1306" w:rsidP="000F1306">
            <w:pPr>
              <w:rPr>
                <w:sz w:val="18"/>
                <w:szCs w:val="18"/>
                <w:lang w:val="es-ES_tradnl"/>
              </w:rPr>
            </w:pPr>
            <w:r w:rsidRPr="009876DD">
              <w:rPr>
                <w:b/>
                <w:bCs/>
                <w:sz w:val="18"/>
                <w:szCs w:val="18"/>
                <w:lang w:val="es-ES_tradnl"/>
              </w:rPr>
              <w:t>1. Fomentar el Acceso</w:t>
            </w:r>
          </w:p>
        </w:tc>
        <w:tc>
          <w:tcPr>
            <w:tcW w:w="3375" w:type="dxa"/>
            <w:shd w:val="clear" w:color="auto" w:fill="auto"/>
          </w:tcPr>
          <w:p w14:paraId="052262C2" w14:textId="7CF526D2" w:rsidR="000F1306" w:rsidRPr="009876DD" w:rsidRDefault="000F1306" w:rsidP="000F1306">
            <w:pPr>
              <w:rPr>
                <w:sz w:val="18"/>
                <w:szCs w:val="18"/>
                <w:lang w:val="es-ES_tradnl"/>
              </w:rPr>
            </w:pPr>
            <w:r w:rsidRPr="009876DD">
              <w:rPr>
                <w:sz w:val="18"/>
                <w:szCs w:val="18"/>
                <w:lang w:val="es-ES_tradnl"/>
              </w:rPr>
              <w:t xml:space="preserve">Las políticas deben promover el acceso a todos los usuarios, especialmente a las comunidades y grupos más </w:t>
            </w:r>
            <w:r w:rsidR="00905BD5">
              <w:rPr>
                <w:sz w:val="18"/>
                <w:szCs w:val="18"/>
                <w:lang w:val="es-ES_tradnl"/>
              </w:rPr>
              <w:t>d</w:t>
            </w:r>
            <w:r w:rsidRPr="009876DD">
              <w:rPr>
                <w:sz w:val="18"/>
                <w:szCs w:val="18"/>
                <w:lang w:val="es-ES_tradnl"/>
              </w:rPr>
              <w:t xml:space="preserve">esfavorecidos. </w:t>
            </w:r>
          </w:p>
        </w:tc>
        <w:tc>
          <w:tcPr>
            <w:tcW w:w="3358" w:type="dxa"/>
            <w:gridSpan w:val="2"/>
            <w:shd w:val="clear" w:color="auto" w:fill="auto"/>
          </w:tcPr>
          <w:p w14:paraId="052262C6" w14:textId="2626BCD5" w:rsidR="000F1306" w:rsidRPr="00164CCD" w:rsidRDefault="009F15CA" w:rsidP="69DA8260">
            <w:pPr>
              <w:autoSpaceDE w:val="0"/>
              <w:autoSpaceDN w:val="0"/>
              <w:adjustRightInd w:val="0"/>
              <w:jc w:val="both"/>
              <w:rPr>
                <w:sz w:val="18"/>
                <w:szCs w:val="18"/>
                <w:lang w:val="es-ES"/>
              </w:rPr>
            </w:pPr>
            <w:r w:rsidRPr="00164CCD">
              <w:rPr>
                <w:sz w:val="18"/>
                <w:szCs w:val="18"/>
                <w:lang w:val="es-ES"/>
              </w:rPr>
              <w:t xml:space="preserve">Las inversiones en alcantarillado sanitario del programa permitirán </w:t>
            </w:r>
            <w:r w:rsidR="003B7C1E" w:rsidRPr="00164CCD">
              <w:rPr>
                <w:sz w:val="18"/>
                <w:szCs w:val="18"/>
                <w:lang w:val="es-ES"/>
              </w:rPr>
              <w:t xml:space="preserve">dar acceso </w:t>
            </w:r>
            <w:r w:rsidR="00144CC0" w:rsidRPr="00164CCD">
              <w:rPr>
                <w:sz w:val="18"/>
                <w:szCs w:val="18"/>
                <w:lang w:val="es-ES"/>
              </w:rPr>
              <w:t>a la red de saneamiento a 2,990</w:t>
            </w:r>
            <w:r w:rsidRPr="00164CCD">
              <w:rPr>
                <w:sz w:val="18"/>
                <w:szCs w:val="18"/>
                <w:lang w:val="es-ES"/>
              </w:rPr>
              <w:t xml:space="preserve"> hogares.</w:t>
            </w:r>
            <w:r w:rsidR="009044EA" w:rsidRPr="00164CCD">
              <w:rPr>
                <w:sz w:val="18"/>
                <w:szCs w:val="18"/>
                <w:lang w:val="es-ES"/>
              </w:rPr>
              <w:t xml:space="preserve"> </w:t>
            </w:r>
            <w:r w:rsidR="005941AF" w:rsidRPr="00164CCD">
              <w:rPr>
                <w:sz w:val="18"/>
                <w:szCs w:val="18"/>
                <w:lang w:val="es-ES"/>
              </w:rPr>
              <w:t xml:space="preserve"> </w:t>
            </w:r>
            <w:r w:rsidR="009044EA" w:rsidRPr="00164CCD">
              <w:rPr>
                <w:sz w:val="18"/>
                <w:szCs w:val="18"/>
                <w:lang w:val="es-ES"/>
              </w:rPr>
              <w:t>Además</w:t>
            </w:r>
            <w:r w:rsidR="00C5368E" w:rsidRPr="00164CCD">
              <w:rPr>
                <w:sz w:val="18"/>
                <w:szCs w:val="18"/>
                <w:lang w:val="es-ES"/>
              </w:rPr>
              <w:t xml:space="preserve">, </w:t>
            </w:r>
            <w:r w:rsidR="00354A6E" w:rsidRPr="00164CCD">
              <w:rPr>
                <w:sz w:val="18"/>
                <w:szCs w:val="18"/>
                <w:lang w:val="es-ES"/>
              </w:rPr>
              <w:t xml:space="preserve">se financiarán </w:t>
            </w:r>
            <w:r w:rsidR="009044EA" w:rsidRPr="00164CCD">
              <w:rPr>
                <w:sz w:val="18"/>
                <w:szCs w:val="18"/>
                <w:lang w:val="es-ES"/>
              </w:rPr>
              <w:t>bajo</w:t>
            </w:r>
            <w:r w:rsidR="00354A6E" w:rsidRPr="00164CCD">
              <w:rPr>
                <w:sz w:val="18"/>
                <w:szCs w:val="18"/>
                <w:lang w:val="es-ES"/>
              </w:rPr>
              <w:t xml:space="preserve"> el componente 2 l</w:t>
            </w:r>
            <w:r w:rsidR="006327F5" w:rsidRPr="00164CCD">
              <w:rPr>
                <w:sz w:val="18"/>
                <w:szCs w:val="18"/>
                <w:lang w:val="es-ES"/>
              </w:rPr>
              <w:t xml:space="preserve">as </w:t>
            </w:r>
            <w:r w:rsidR="007E0404" w:rsidRPr="00164CCD">
              <w:rPr>
                <w:sz w:val="18"/>
                <w:szCs w:val="18"/>
                <w:lang w:val="es-ES"/>
              </w:rPr>
              <w:t>medidas no estructurales</w:t>
            </w:r>
            <w:r w:rsidR="009044EA" w:rsidRPr="00164CCD">
              <w:rPr>
                <w:sz w:val="18"/>
                <w:szCs w:val="18"/>
                <w:lang w:val="es-ES"/>
              </w:rPr>
              <w:t xml:space="preserve"> (</w:t>
            </w:r>
            <w:r w:rsidR="005941AF" w:rsidRPr="00164CCD">
              <w:rPr>
                <w:sz w:val="18"/>
                <w:szCs w:val="18"/>
                <w:lang w:val="es-ES"/>
              </w:rPr>
              <w:t>el desarrollo y ejecución del programa de conexiones intradomiciliarias</w:t>
            </w:r>
            <w:r w:rsidR="009044EA" w:rsidRPr="00164CCD">
              <w:rPr>
                <w:sz w:val="18"/>
                <w:szCs w:val="18"/>
                <w:lang w:val="es-ES"/>
              </w:rPr>
              <w:t>) para asegurar la conexión de los hogares al sistema</w:t>
            </w:r>
            <w:r w:rsidRPr="00164CCD">
              <w:rPr>
                <w:sz w:val="18"/>
                <w:szCs w:val="18"/>
                <w:lang w:val="es-ES"/>
              </w:rPr>
              <w:t>.</w:t>
            </w:r>
          </w:p>
        </w:tc>
      </w:tr>
      <w:tr w:rsidR="000F1306" w:rsidRPr="00164CCD" w14:paraId="052262CB" w14:textId="77777777" w:rsidTr="00164CCD">
        <w:trPr>
          <w:jc w:val="center"/>
        </w:trPr>
        <w:tc>
          <w:tcPr>
            <w:tcW w:w="1897" w:type="dxa"/>
            <w:gridSpan w:val="2"/>
            <w:shd w:val="clear" w:color="auto" w:fill="auto"/>
          </w:tcPr>
          <w:p w14:paraId="052262C8" w14:textId="77777777" w:rsidR="000F1306" w:rsidRPr="009876DD" w:rsidRDefault="000F1306" w:rsidP="000F1306">
            <w:pPr>
              <w:rPr>
                <w:sz w:val="18"/>
                <w:szCs w:val="18"/>
                <w:lang w:val="es-ES_tradnl"/>
              </w:rPr>
            </w:pPr>
            <w:r w:rsidRPr="009876DD">
              <w:rPr>
                <w:b/>
                <w:bCs/>
                <w:sz w:val="18"/>
                <w:szCs w:val="18"/>
                <w:lang w:val="es-ES_tradnl"/>
              </w:rPr>
              <w:t>2. Suministrar el acceso al servicio en condiciones de confiabilidad y calidad adecuadas</w:t>
            </w:r>
          </w:p>
        </w:tc>
        <w:tc>
          <w:tcPr>
            <w:tcW w:w="3375" w:type="dxa"/>
            <w:shd w:val="clear" w:color="auto" w:fill="auto"/>
          </w:tcPr>
          <w:p w14:paraId="052262C9" w14:textId="0781FB09" w:rsidR="000F1306" w:rsidRPr="009876DD" w:rsidRDefault="000F1306" w:rsidP="000F1306">
            <w:pPr>
              <w:rPr>
                <w:sz w:val="18"/>
                <w:szCs w:val="18"/>
                <w:lang w:val="es-ES_tradnl"/>
              </w:rPr>
            </w:pPr>
            <w:r w:rsidRPr="009876DD">
              <w:rPr>
                <w:sz w:val="18"/>
                <w:szCs w:val="18"/>
                <w:lang w:val="es-ES_tradnl"/>
              </w:rPr>
              <w:t>Es importante asegurar que las variaciones de costo guarden un equilibrio apropiado con los cambios en la calidad del servicio. Este equilibrio sólo puede obtenerse mediante una estricta reglamentación de la calidad del servicio por medio de un sistema de sanciones</w:t>
            </w:r>
            <w:r w:rsidR="00BA2817" w:rsidRPr="009876DD">
              <w:rPr>
                <w:sz w:val="18"/>
                <w:szCs w:val="18"/>
                <w:lang w:val="es-ES_tradnl"/>
              </w:rPr>
              <w:t>. El marco reglamentario debe contener procedimientos mediante los cuales se definan claramente las normas de calidad y se controlen y hagan cumplir</w:t>
            </w:r>
            <w:r w:rsidRPr="009876DD">
              <w:rPr>
                <w:sz w:val="18"/>
                <w:szCs w:val="18"/>
                <w:lang w:val="es-ES_tradnl"/>
              </w:rPr>
              <w:t xml:space="preserve"> e incentivos.</w:t>
            </w:r>
          </w:p>
        </w:tc>
        <w:tc>
          <w:tcPr>
            <w:tcW w:w="3358" w:type="dxa"/>
            <w:gridSpan w:val="2"/>
            <w:shd w:val="clear" w:color="auto" w:fill="auto"/>
          </w:tcPr>
          <w:p w14:paraId="052262CA" w14:textId="47792B92" w:rsidR="000F1306" w:rsidRPr="00164CCD" w:rsidRDefault="00226B92" w:rsidP="69DA8260">
            <w:pPr>
              <w:jc w:val="both"/>
              <w:rPr>
                <w:sz w:val="18"/>
                <w:szCs w:val="18"/>
                <w:lang w:val="es-ES"/>
              </w:rPr>
            </w:pPr>
            <w:r w:rsidRPr="00164CCD">
              <w:rPr>
                <w:sz w:val="18"/>
                <w:szCs w:val="18"/>
                <w:lang w:val="es-ES"/>
              </w:rPr>
              <w:t xml:space="preserve">La Unidad Reguladora de Servicios de Energía y Agua (URSEA), creada por la Ley </w:t>
            </w:r>
            <w:r w:rsidR="002458DD" w:rsidRPr="00164CCD">
              <w:rPr>
                <w:sz w:val="18"/>
                <w:szCs w:val="18"/>
                <w:lang w:val="es-ES"/>
              </w:rPr>
              <w:t>17.598</w:t>
            </w:r>
            <w:r w:rsidRPr="00164CCD">
              <w:rPr>
                <w:sz w:val="18"/>
                <w:szCs w:val="18"/>
                <w:lang w:val="es-ES"/>
              </w:rPr>
              <w:t>, está a cargo de la regulación económica y de la calidad del servicio, la atención al usuario, el desarrollo de la normativa vinculada con aspectos regulatorios y el control de su cumplimiento.</w:t>
            </w:r>
            <w:r w:rsidR="002458DD" w:rsidRPr="00164CCD">
              <w:rPr>
                <w:sz w:val="18"/>
                <w:szCs w:val="18"/>
                <w:lang w:val="es-ES"/>
              </w:rPr>
              <w:t xml:space="preserve"> </w:t>
            </w:r>
            <w:r w:rsidR="00697BF7" w:rsidRPr="00164CCD">
              <w:rPr>
                <w:sz w:val="18"/>
                <w:szCs w:val="18"/>
                <w:lang w:val="es-ES"/>
              </w:rPr>
              <w:t xml:space="preserve">URSEA </w:t>
            </w:r>
            <w:r w:rsidR="009572C5" w:rsidRPr="00164CCD">
              <w:rPr>
                <w:sz w:val="18"/>
                <w:szCs w:val="18"/>
                <w:lang w:val="es-ES"/>
              </w:rPr>
              <w:t>tiene</w:t>
            </w:r>
            <w:r w:rsidR="00697BF7" w:rsidRPr="00164CCD">
              <w:rPr>
                <w:sz w:val="18"/>
                <w:szCs w:val="18"/>
                <w:lang w:val="es-ES"/>
              </w:rPr>
              <w:t xml:space="preserve"> </w:t>
            </w:r>
            <w:r w:rsidR="006E41BD" w:rsidRPr="00164CCD">
              <w:rPr>
                <w:sz w:val="18"/>
                <w:szCs w:val="18"/>
                <w:lang w:val="es-ES"/>
              </w:rPr>
              <w:t xml:space="preserve">la </w:t>
            </w:r>
            <w:r w:rsidR="009572C5" w:rsidRPr="00164CCD">
              <w:rPr>
                <w:sz w:val="18"/>
                <w:szCs w:val="18"/>
                <w:lang w:val="es-ES"/>
              </w:rPr>
              <w:t>potestad</w:t>
            </w:r>
            <w:r w:rsidR="006E41BD" w:rsidRPr="00164CCD">
              <w:rPr>
                <w:sz w:val="18"/>
                <w:szCs w:val="18"/>
                <w:lang w:val="es-ES"/>
              </w:rPr>
              <w:t xml:space="preserve"> de aplicar</w:t>
            </w:r>
            <w:r w:rsidR="00697BF7" w:rsidRPr="00164CCD">
              <w:rPr>
                <w:sz w:val="18"/>
                <w:szCs w:val="18"/>
                <w:lang w:val="es-ES"/>
              </w:rPr>
              <w:t xml:space="preserve"> sanciones</w:t>
            </w:r>
            <w:r w:rsidR="006E41BD" w:rsidRPr="00164CCD">
              <w:rPr>
                <w:sz w:val="18"/>
                <w:szCs w:val="18"/>
                <w:lang w:val="es-ES"/>
              </w:rPr>
              <w:t xml:space="preserve">, incluyendo multas, en caso de </w:t>
            </w:r>
            <w:r w:rsidR="00762CE0" w:rsidRPr="00164CCD">
              <w:rPr>
                <w:sz w:val="18"/>
                <w:szCs w:val="18"/>
                <w:lang w:val="es-ES"/>
              </w:rPr>
              <w:t>incumplimientos.</w:t>
            </w:r>
            <w:r w:rsidR="00D77B05" w:rsidRPr="00164CCD">
              <w:rPr>
                <w:sz w:val="18"/>
                <w:szCs w:val="18"/>
                <w:lang w:val="es-ES"/>
              </w:rPr>
              <w:t xml:space="preserve"> </w:t>
            </w:r>
          </w:p>
        </w:tc>
      </w:tr>
      <w:tr w:rsidR="000F1306" w:rsidRPr="00164CCD" w14:paraId="052262D1" w14:textId="77777777" w:rsidTr="00164CCD">
        <w:trPr>
          <w:jc w:val="center"/>
        </w:trPr>
        <w:tc>
          <w:tcPr>
            <w:tcW w:w="1897" w:type="dxa"/>
            <w:gridSpan w:val="2"/>
            <w:shd w:val="clear" w:color="auto" w:fill="auto"/>
          </w:tcPr>
          <w:p w14:paraId="052262CC" w14:textId="77777777" w:rsidR="000F1306" w:rsidRPr="009876DD" w:rsidRDefault="000F1306" w:rsidP="000F1306">
            <w:pPr>
              <w:rPr>
                <w:b/>
                <w:bCs/>
                <w:sz w:val="18"/>
                <w:szCs w:val="18"/>
                <w:lang w:val="es-ES_tradnl"/>
              </w:rPr>
            </w:pPr>
            <w:r w:rsidRPr="009876DD">
              <w:rPr>
                <w:b/>
                <w:bCs/>
                <w:sz w:val="18"/>
                <w:szCs w:val="18"/>
                <w:lang w:val="es-ES_tradnl"/>
              </w:rPr>
              <w:t>3. Suministrar un servicio en condiciones de eficiencia</w:t>
            </w:r>
          </w:p>
        </w:tc>
        <w:tc>
          <w:tcPr>
            <w:tcW w:w="3375" w:type="dxa"/>
            <w:shd w:val="clear" w:color="auto" w:fill="auto"/>
          </w:tcPr>
          <w:p w14:paraId="052262CD" w14:textId="77777777" w:rsidR="000F1306" w:rsidRPr="009876DD" w:rsidRDefault="000F1306" w:rsidP="000F1306">
            <w:pPr>
              <w:rPr>
                <w:sz w:val="18"/>
                <w:szCs w:val="18"/>
                <w:lang w:val="es-ES_tradnl"/>
              </w:rPr>
            </w:pPr>
            <w:r w:rsidRPr="009876DD">
              <w:rPr>
                <w:sz w:val="18"/>
                <w:szCs w:val="18"/>
                <w:lang w:val="es-ES_tradnl"/>
              </w:rPr>
              <w:t>Debe asegurarse que, desde el punto de vista de la oferta, los servicios se proveen con los menores costos posibles.</w:t>
            </w:r>
          </w:p>
        </w:tc>
        <w:tc>
          <w:tcPr>
            <w:tcW w:w="3358" w:type="dxa"/>
            <w:gridSpan w:val="2"/>
            <w:shd w:val="clear" w:color="auto" w:fill="auto"/>
          </w:tcPr>
          <w:p w14:paraId="052262CF" w14:textId="0F844B72" w:rsidR="005676D8" w:rsidRPr="00164CCD" w:rsidRDefault="00764DA7" w:rsidP="291D8010">
            <w:pPr>
              <w:jc w:val="both"/>
              <w:rPr>
                <w:sz w:val="18"/>
                <w:szCs w:val="18"/>
                <w:lang w:val="es-ES"/>
              </w:rPr>
            </w:pPr>
            <w:r w:rsidRPr="00164CCD">
              <w:rPr>
                <w:sz w:val="18"/>
                <w:szCs w:val="18"/>
                <w:lang w:val="es-ES"/>
              </w:rPr>
              <w:t>La ley 17</w:t>
            </w:r>
            <w:r w:rsidR="005A45A8" w:rsidRPr="00164CCD">
              <w:rPr>
                <w:sz w:val="18"/>
                <w:szCs w:val="18"/>
                <w:lang w:val="es-ES"/>
              </w:rPr>
              <w:t>.</w:t>
            </w:r>
            <w:r w:rsidRPr="00164CCD">
              <w:rPr>
                <w:sz w:val="18"/>
                <w:szCs w:val="18"/>
                <w:lang w:val="es-ES"/>
              </w:rPr>
              <w:t xml:space="preserve">598 establece que </w:t>
            </w:r>
            <w:r w:rsidR="00B95561" w:rsidRPr="00164CCD">
              <w:rPr>
                <w:sz w:val="18"/>
                <w:szCs w:val="18"/>
                <w:lang w:val="es-ES"/>
              </w:rPr>
              <w:t xml:space="preserve">las tarifas deben </w:t>
            </w:r>
            <w:r w:rsidRPr="00164CCD">
              <w:rPr>
                <w:sz w:val="18"/>
                <w:szCs w:val="18"/>
                <w:lang w:val="es-ES"/>
              </w:rPr>
              <w:t>reflej</w:t>
            </w:r>
            <w:r w:rsidR="00B95561" w:rsidRPr="00164CCD">
              <w:rPr>
                <w:sz w:val="18"/>
                <w:szCs w:val="18"/>
                <w:lang w:val="es-ES"/>
              </w:rPr>
              <w:t>ar</w:t>
            </w:r>
            <w:r w:rsidRPr="00164CCD">
              <w:rPr>
                <w:sz w:val="18"/>
                <w:szCs w:val="18"/>
                <w:lang w:val="es-ES"/>
              </w:rPr>
              <w:t xml:space="preserve"> los costos económicos</w:t>
            </w:r>
            <w:r w:rsidR="0055741F" w:rsidRPr="00164CCD">
              <w:rPr>
                <w:sz w:val="18"/>
                <w:szCs w:val="18"/>
                <w:lang w:val="es-ES"/>
              </w:rPr>
              <w:t xml:space="preserve">. </w:t>
            </w:r>
            <w:r w:rsidR="005676D8" w:rsidRPr="00164CCD">
              <w:rPr>
                <w:sz w:val="18"/>
                <w:szCs w:val="18"/>
                <w:lang w:val="es-ES"/>
              </w:rPr>
              <w:t xml:space="preserve"> </w:t>
            </w:r>
            <w:r w:rsidR="001B675E" w:rsidRPr="00164CCD">
              <w:rPr>
                <w:sz w:val="18"/>
                <w:szCs w:val="18"/>
                <w:lang w:val="es-ES"/>
              </w:rPr>
              <w:t>La URSEA actúa en esta materia, asesorando a Poder Ejecutivo, en su tarea de examinar en forma permanente las tarifas de los servicios</w:t>
            </w:r>
            <w:r w:rsidR="0062756A" w:rsidRPr="00164CCD">
              <w:rPr>
                <w:sz w:val="18"/>
                <w:szCs w:val="18"/>
                <w:lang w:val="es-ES"/>
              </w:rPr>
              <w:t xml:space="preserve"> de agua y saneamiento</w:t>
            </w:r>
            <w:r w:rsidR="001B675E" w:rsidRPr="00164CCD">
              <w:rPr>
                <w:sz w:val="18"/>
                <w:szCs w:val="18"/>
                <w:lang w:val="es-ES"/>
              </w:rPr>
              <w:t>.</w:t>
            </w:r>
            <w:r w:rsidR="003F587E" w:rsidRPr="00164CCD">
              <w:rPr>
                <w:sz w:val="18"/>
                <w:szCs w:val="18"/>
                <w:lang w:val="es-ES"/>
              </w:rPr>
              <w:t xml:space="preserve"> </w:t>
            </w:r>
            <w:r w:rsidR="0098478D" w:rsidRPr="00164CCD">
              <w:rPr>
                <w:sz w:val="18"/>
                <w:szCs w:val="18"/>
                <w:lang w:val="es-ES"/>
              </w:rPr>
              <w:t>S</w:t>
            </w:r>
            <w:r w:rsidR="00C4656D" w:rsidRPr="00164CCD">
              <w:rPr>
                <w:sz w:val="18"/>
                <w:szCs w:val="18"/>
                <w:lang w:val="es-ES"/>
              </w:rPr>
              <w:t xml:space="preserve">e </w:t>
            </w:r>
            <w:r w:rsidR="0098478D" w:rsidRPr="00164CCD">
              <w:rPr>
                <w:sz w:val="18"/>
                <w:szCs w:val="18"/>
                <w:lang w:val="es-ES"/>
              </w:rPr>
              <w:t xml:space="preserve">ha implementado </w:t>
            </w:r>
            <w:r w:rsidR="00866921" w:rsidRPr="00164CCD">
              <w:rPr>
                <w:sz w:val="18"/>
                <w:szCs w:val="18"/>
                <w:lang w:val="es-ES"/>
              </w:rPr>
              <w:t>la contabilidad regulatoria</w:t>
            </w:r>
            <w:r w:rsidR="0098478D" w:rsidRPr="00164CCD">
              <w:rPr>
                <w:sz w:val="18"/>
                <w:szCs w:val="18"/>
                <w:lang w:val="es-ES"/>
              </w:rPr>
              <w:t>, desde el 2009</w:t>
            </w:r>
            <w:r w:rsidR="008E0E4C" w:rsidRPr="00164CCD">
              <w:rPr>
                <w:sz w:val="18"/>
                <w:szCs w:val="18"/>
                <w:lang w:val="es-ES"/>
              </w:rPr>
              <w:t xml:space="preserve"> </w:t>
            </w:r>
            <w:r w:rsidR="00AC4360" w:rsidRPr="00164CCD">
              <w:rPr>
                <w:sz w:val="18"/>
                <w:szCs w:val="18"/>
                <w:lang w:val="es-ES"/>
              </w:rPr>
              <w:t xml:space="preserve">(se aprobó </w:t>
            </w:r>
            <w:r w:rsidR="004B68C8" w:rsidRPr="00164CCD">
              <w:rPr>
                <w:sz w:val="18"/>
                <w:szCs w:val="18"/>
                <w:lang w:val="es-ES"/>
              </w:rPr>
              <w:t xml:space="preserve">el Reglamento de Suministro de Información Contable </w:t>
            </w:r>
            <w:r w:rsidR="006408F8" w:rsidRPr="00164CCD">
              <w:rPr>
                <w:sz w:val="18"/>
                <w:szCs w:val="18"/>
                <w:lang w:val="es-ES"/>
              </w:rPr>
              <w:t>con Fines Regulatorios del Sector Agua Potable y Saneami</w:t>
            </w:r>
            <w:r w:rsidR="00517E54" w:rsidRPr="00164CCD">
              <w:rPr>
                <w:sz w:val="18"/>
                <w:szCs w:val="18"/>
                <w:lang w:val="es-ES"/>
              </w:rPr>
              <w:t>ento</w:t>
            </w:r>
            <w:r w:rsidR="006408F8" w:rsidRPr="00164CCD">
              <w:rPr>
                <w:sz w:val="18"/>
                <w:szCs w:val="18"/>
                <w:lang w:val="es-ES"/>
              </w:rPr>
              <w:t>.</w:t>
            </w:r>
            <w:r w:rsidR="00AC4360" w:rsidRPr="00164CCD">
              <w:rPr>
                <w:sz w:val="18"/>
                <w:szCs w:val="18"/>
                <w:lang w:val="es-ES"/>
              </w:rPr>
              <w:t>)</w:t>
            </w:r>
          </w:p>
          <w:p w14:paraId="052262D0" w14:textId="77777777" w:rsidR="000F1306" w:rsidRPr="00164CCD" w:rsidRDefault="000F1306">
            <w:pPr>
              <w:jc w:val="both"/>
              <w:rPr>
                <w:sz w:val="18"/>
                <w:szCs w:val="18"/>
                <w:lang w:val="es-ES"/>
              </w:rPr>
            </w:pPr>
          </w:p>
        </w:tc>
      </w:tr>
      <w:tr w:rsidR="000F1306" w:rsidRPr="00164CCD" w14:paraId="052262D5" w14:textId="77777777" w:rsidTr="00164CCD">
        <w:trPr>
          <w:jc w:val="center"/>
        </w:trPr>
        <w:tc>
          <w:tcPr>
            <w:tcW w:w="1897" w:type="dxa"/>
            <w:gridSpan w:val="2"/>
            <w:tcBorders>
              <w:bottom w:val="single" w:sz="4" w:space="0" w:color="auto"/>
            </w:tcBorders>
            <w:shd w:val="clear" w:color="auto" w:fill="auto"/>
          </w:tcPr>
          <w:p w14:paraId="052262D2" w14:textId="77777777" w:rsidR="000F1306" w:rsidRPr="009876DD" w:rsidRDefault="000F1306" w:rsidP="000F1306">
            <w:pPr>
              <w:rPr>
                <w:b/>
                <w:bCs/>
                <w:sz w:val="18"/>
                <w:szCs w:val="18"/>
                <w:lang w:val="es-ES_tradnl"/>
              </w:rPr>
            </w:pPr>
            <w:r w:rsidRPr="009876DD">
              <w:rPr>
                <w:b/>
                <w:bCs/>
                <w:sz w:val="18"/>
                <w:szCs w:val="18"/>
                <w:lang w:val="es-ES_tradnl"/>
              </w:rPr>
              <w:t>4. Generar incentivos adecuados a la demanda de servicios.</w:t>
            </w:r>
          </w:p>
        </w:tc>
        <w:tc>
          <w:tcPr>
            <w:tcW w:w="3375" w:type="dxa"/>
            <w:tcBorders>
              <w:bottom w:val="single" w:sz="4" w:space="0" w:color="auto"/>
            </w:tcBorders>
            <w:shd w:val="clear" w:color="auto" w:fill="auto"/>
          </w:tcPr>
          <w:p w14:paraId="052262D3" w14:textId="77777777" w:rsidR="000F1306" w:rsidRPr="009876DD" w:rsidRDefault="000F1306" w:rsidP="000F1306">
            <w:pPr>
              <w:rPr>
                <w:sz w:val="18"/>
                <w:szCs w:val="18"/>
                <w:lang w:val="es-ES_tradnl"/>
              </w:rPr>
            </w:pPr>
            <w:r w:rsidRPr="009876DD">
              <w:rPr>
                <w:sz w:val="18"/>
                <w:szCs w:val="18"/>
                <w:lang w:val="es-ES_tradnl"/>
              </w:rPr>
              <w:t>Debe velarse porque existan los incentivos adecuados para que los usuarios hagan un uso de estos servicios compatible con su sostenibilidad económica, financiera y ambiental</w:t>
            </w:r>
          </w:p>
        </w:tc>
        <w:tc>
          <w:tcPr>
            <w:tcW w:w="3358" w:type="dxa"/>
            <w:gridSpan w:val="2"/>
            <w:tcBorders>
              <w:bottom w:val="single" w:sz="4" w:space="0" w:color="auto"/>
            </w:tcBorders>
            <w:shd w:val="clear" w:color="auto" w:fill="auto"/>
          </w:tcPr>
          <w:p w14:paraId="052262D4" w14:textId="58253A67" w:rsidR="000F1306" w:rsidRPr="00164CCD" w:rsidRDefault="005057ED">
            <w:pPr>
              <w:jc w:val="both"/>
              <w:rPr>
                <w:sz w:val="18"/>
                <w:szCs w:val="18"/>
                <w:lang w:val="es-ES"/>
              </w:rPr>
            </w:pPr>
            <w:r w:rsidRPr="00164CCD">
              <w:rPr>
                <w:sz w:val="18"/>
                <w:szCs w:val="18"/>
                <w:lang w:val="es-ES"/>
              </w:rPr>
              <w:t>El</w:t>
            </w:r>
            <w:r w:rsidR="00991651" w:rsidRPr="00164CCD">
              <w:rPr>
                <w:sz w:val="18"/>
                <w:szCs w:val="18"/>
                <w:lang w:val="es-ES"/>
              </w:rPr>
              <w:t xml:space="preserve"> principal incentivo para que los usuarios hagan un uso del servicio de agua com</w:t>
            </w:r>
            <w:r w:rsidR="00735EDF" w:rsidRPr="00164CCD">
              <w:rPr>
                <w:sz w:val="18"/>
                <w:szCs w:val="18"/>
                <w:lang w:val="es-ES"/>
              </w:rPr>
              <w:t>p</w:t>
            </w:r>
            <w:r w:rsidRPr="00164CCD">
              <w:rPr>
                <w:sz w:val="18"/>
                <w:szCs w:val="18"/>
                <w:lang w:val="es-ES"/>
              </w:rPr>
              <w:t>atible con su sostenibilidad es</w:t>
            </w:r>
            <w:r w:rsidR="00991651" w:rsidRPr="00164CCD">
              <w:rPr>
                <w:sz w:val="18"/>
                <w:szCs w:val="18"/>
                <w:lang w:val="es-ES"/>
              </w:rPr>
              <w:t xml:space="preserve"> </w:t>
            </w:r>
            <w:r w:rsidR="00735EDF" w:rsidRPr="00164CCD">
              <w:rPr>
                <w:sz w:val="18"/>
                <w:szCs w:val="18"/>
                <w:lang w:val="es-ES"/>
              </w:rPr>
              <w:t xml:space="preserve">la </w:t>
            </w:r>
            <w:r w:rsidRPr="00164CCD">
              <w:rPr>
                <w:sz w:val="18"/>
                <w:szCs w:val="18"/>
                <w:lang w:val="es-ES"/>
              </w:rPr>
              <w:t xml:space="preserve">facturación con base en </w:t>
            </w:r>
            <w:r w:rsidR="00C717F9" w:rsidRPr="00164CCD">
              <w:rPr>
                <w:sz w:val="18"/>
                <w:szCs w:val="18"/>
                <w:lang w:val="es-ES"/>
              </w:rPr>
              <w:t>el volumen</w:t>
            </w:r>
            <w:r w:rsidRPr="00164CCD">
              <w:rPr>
                <w:sz w:val="18"/>
                <w:szCs w:val="18"/>
                <w:lang w:val="es-ES"/>
              </w:rPr>
              <w:t xml:space="preserve"> consumido (micro-medición).</w:t>
            </w:r>
            <w:r w:rsidR="00BF34E9" w:rsidRPr="00164CCD">
              <w:rPr>
                <w:sz w:val="18"/>
                <w:szCs w:val="18"/>
                <w:lang w:val="es-ES"/>
              </w:rPr>
              <w:t xml:space="preserve"> </w:t>
            </w:r>
            <w:r w:rsidR="007A1C87" w:rsidRPr="00164CCD">
              <w:rPr>
                <w:sz w:val="18"/>
                <w:szCs w:val="18"/>
                <w:lang w:val="es-ES"/>
              </w:rPr>
              <w:t>OSE cuenta con una alta tasa de</w:t>
            </w:r>
            <w:r w:rsidR="006D2767" w:rsidRPr="00164CCD">
              <w:rPr>
                <w:sz w:val="18"/>
                <w:szCs w:val="18"/>
                <w:lang w:val="es-ES"/>
              </w:rPr>
              <w:t xml:space="preserve"> cobertura de </w:t>
            </w:r>
            <w:r w:rsidR="00BF34E9" w:rsidRPr="00164CCD">
              <w:rPr>
                <w:sz w:val="18"/>
                <w:szCs w:val="18"/>
                <w:lang w:val="es-ES"/>
              </w:rPr>
              <w:t>micro-medición</w:t>
            </w:r>
            <w:r w:rsidR="007A1C87" w:rsidRPr="00164CCD">
              <w:rPr>
                <w:sz w:val="18"/>
                <w:szCs w:val="18"/>
                <w:lang w:val="es-ES"/>
              </w:rPr>
              <w:t xml:space="preserve"> </w:t>
            </w:r>
            <w:r w:rsidR="006D2767" w:rsidRPr="00164CCD">
              <w:rPr>
                <w:sz w:val="18"/>
                <w:szCs w:val="18"/>
                <w:lang w:val="es-ES"/>
              </w:rPr>
              <w:t xml:space="preserve">(un </w:t>
            </w:r>
            <w:r w:rsidR="009F0873" w:rsidRPr="00164CCD">
              <w:rPr>
                <w:sz w:val="18"/>
                <w:szCs w:val="18"/>
                <w:lang w:val="es-ES"/>
              </w:rPr>
              <w:t>98</w:t>
            </w:r>
            <w:r w:rsidR="006D2767" w:rsidRPr="00164CCD">
              <w:rPr>
                <w:sz w:val="18"/>
                <w:szCs w:val="18"/>
                <w:lang w:val="es-ES"/>
              </w:rPr>
              <w:t>% en el 201</w:t>
            </w:r>
            <w:r w:rsidR="009F0873" w:rsidRPr="00164CCD">
              <w:rPr>
                <w:sz w:val="18"/>
                <w:szCs w:val="18"/>
                <w:lang w:val="es-ES"/>
              </w:rPr>
              <w:t>7</w:t>
            </w:r>
            <w:r w:rsidR="006D2767" w:rsidRPr="00164CCD">
              <w:rPr>
                <w:sz w:val="18"/>
                <w:szCs w:val="18"/>
                <w:lang w:val="es-ES"/>
              </w:rPr>
              <w:t>)</w:t>
            </w:r>
            <w:r w:rsidR="00BF34E9" w:rsidRPr="00164CCD">
              <w:rPr>
                <w:sz w:val="18"/>
                <w:szCs w:val="18"/>
                <w:lang w:val="es-ES"/>
              </w:rPr>
              <w:t>.</w:t>
            </w:r>
          </w:p>
        </w:tc>
      </w:tr>
      <w:tr w:rsidR="000F1306" w:rsidRPr="00164CCD" w14:paraId="052262EB" w14:textId="77777777" w:rsidTr="00164CCD">
        <w:trPr>
          <w:jc w:val="center"/>
        </w:trPr>
        <w:tc>
          <w:tcPr>
            <w:tcW w:w="1897" w:type="dxa"/>
            <w:gridSpan w:val="2"/>
            <w:tcBorders>
              <w:bottom w:val="single" w:sz="4" w:space="0" w:color="auto"/>
            </w:tcBorders>
            <w:shd w:val="clear" w:color="auto" w:fill="auto"/>
          </w:tcPr>
          <w:p w14:paraId="052262D6" w14:textId="77777777" w:rsidR="000F1306" w:rsidRPr="00164CCD" w:rsidRDefault="000F1306">
            <w:pPr>
              <w:rPr>
                <w:b/>
                <w:bCs/>
                <w:sz w:val="18"/>
                <w:szCs w:val="18"/>
                <w:lang w:val="es-ES"/>
              </w:rPr>
            </w:pPr>
            <w:r w:rsidRPr="00164CCD">
              <w:rPr>
                <w:b/>
                <w:bCs/>
                <w:sz w:val="18"/>
                <w:szCs w:val="18"/>
                <w:lang w:val="es-ES"/>
              </w:rPr>
              <w:t>5. Promover la sostenibilidad de los servicios públicos domiciliarios</w:t>
            </w:r>
          </w:p>
        </w:tc>
        <w:tc>
          <w:tcPr>
            <w:tcW w:w="3375" w:type="dxa"/>
            <w:tcBorders>
              <w:bottom w:val="single" w:sz="4" w:space="0" w:color="auto"/>
            </w:tcBorders>
            <w:shd w:val="clear" w:color="auto" w:fill="auto"/>
          </w:tcPr>
          <w:p w14:paraId="052262D7" w14:textId="77777777" w:rsidR="000F1306" w:rsidRPr="00164CCD" w:rsidRDefault="000F1306">
            <w:pPr>
              <w:rPr>
                <w:sz w:val="18"/>
                <w:szCs w:val="18"/>
                <w:lang w:val="es-ES"/>
              </w:rPr>
            </w:pPr>
            <w:r w:rsidRPr="00164CCD">
              <w:rPr>
                <w:sz w:val="18"/>
                <w:szCs w:val="18"/>
                <w:lang w:val="es-ES"/>
              </w:rPr>
              <w:t>El alcance de la sostenibilidad de los servicios públicos domiciliarios se promoverá en función de tres pilares:</w:t>
            </w:r>
          </w:p>
          <w:p w14:paraId="052262D8" w14:textId="77777777" w:rsidR="000F1306" w:rsidRPr="00164CCD" w:rsidRDefault="000F1306">
            <w:pPr>
              <w:rPr>
                <w:sz w:val="18"/>
                <w:szCs w:val="18"/>
                <w:lang w:val="es-ES"/>
              </w:rPr>
            </w:pPr>
          </w:p>
          <w:p w14:paraId="052262D9" w14:textId="77777777" w:rsidR="000F1306" w:rsidRPr="00164CCD" w:rsidRDefault="000F1306">
            <w:pPr>
              <w:rPr>
                <w:sz w:val="18"/>
                <w:szCs w:val="18"/>
                <w:lang w:val="es-ES"/>
              </w:rPr>
            </w:pPr>
            <w:r w:rsidRPr="00164CCD">
              <w:rPr>
                <w:sz w:val="18"/>
                <w:szCs w:val="18"/>
                <w:lang w:val="es-ES"/>
              </w:rPr>
              <w:t>a. Sostenibilidad financiera: procurando contar con suficientes ingresos por la prestación del servicio al usuario, con los aportes de la comunidad y con los aportes directos del gobierno que permitan cubrir los costos eficientes de prestación del servicio.</w:t>
            </w:r>
          </w:p>
          <w:p w14:paraId="052262DA" w14:textId="77777777" w:rsidR="000F1306" w:rsidRPr="00164CCD" w:rsidRDefault="000F1306">
            <w:pPr>
              <w:rPr>
                <w:sz w:val="18"/>
                <w:szCs w:val="18"/>
                <w:lang w:val="es-ES"/>
              </w:rPr>
            </w:pPr>
          </w:p>
          <w:p w14:paraId="052262DB" w14:textId="77777777" w:rsidR="000F1306" w:rsidRPr="00164CCD" w:rsidRDefault="000F1306">
            <w:pPr>
              <w:rPr>
                <w:sz w:val="18"/>
                <w:szCs w:val="18"/>
                <w:lang w:val="es-ES"/>
              </w:rPr>
            </w:pPr>
            <w:r w:rsidRPr="00164CCD">
              <w:rPr>
                <w:sz w:val="18"/>
                <w:szCs w:val="18"/>
                <w:lang w:val="es-ES"/>
              </w:rPr>
              <w:t>b. Sostenibilidad ambiental: apoyando que la selección, ejecución, operación y mantenimiento de los proyectos para prestar el servicio cumplan con las salvaguardias ambientales del Banco y contribuyan al desarrollo de una infraestructura con mayor resiliencia, considerando alternativas viables para mitigar el cambio climático.</w:t>
            </w:r>
          </w:p>
          <w:p w14:paraId="052262DC" w14:textId="77777777" w:rsidR="000F1306" w:rsidRPr="00164CCD" w:rsidRDefault="000F1306">
            <w:pPr>
              <w:rPr>
                <w:sz w:val="18"/>
                <w:szCs w:val="18"/>
                <w:lang w:val="es-ES"/>
              </w:rPr>
            </w:pPr>
          </w:p>
          <w:p w14:paraId="052262DD" w14:textId="77777777" w:rsidR="000F1306" w:rsidRPr="00164CCD" w:rsidRDefault="000F1306">
            <w:pPr>
              <w:rPr>
                <w:sz w:val="18"/>
                <w:szCs w:val="18"/>
                <w:lang w:val="es-ES"/>
              </w:rPr>
            </w:pPr>
            <w:r w:rsidRPr="00164CCD">
              <w:rPr>
                <w:sz w:val="18"/>
                <w:szCs w:val="18"/>
                <w:lang w:val="es-ES"/>
              </w:rPr>
              <w:t>c. Sostenibilidad social: contribuyendo a incrementar el acceso al servicio y previendo mecanismos de consulta con la comunidad sobre los aspectos relevantes de la provisión del servicio.</w:t>
            </w:r>
          </w:p>
        </w:tc>
        <w:tc>
          <w:tcPr>
            <w:tcW w:w="3358" w:type="dxa"/>
            <w:gridSpan w:val="2"/>
            <w:tcBorders>
              <w:bottom w:val="single" w:sz="4" w:space="0" w:color="auto"/>
            </w:tcBorders>
            <w:shd w:val="clear" w:color="auto" w:fill="auto"/>
          </w:tcPr>
          <w:p w14:paraId="135720A7" w14:textId="43EAAAE9" w:rsidR="000F53F4" w:rsidRPr="00164CCD" w:rsidRDefault="000F1306">
            <w:pPr>
              <w:jc w:val="both"/>
              <w:rPr>
                <w:sz w:val="18"/>
                <w:szCs w:val="18"/>
                <w:lang w:val="es-ES"/>
              </w:rPr>
            </w:pPr>
            <w:r w:rsidRPr="00164CCD">
              <w:rPr>
                <w:i/>
                <w:iCs/>
                <w:sz w:val="18"/>
                <w:szCs w:val="18"/>
                <w:lang w:val="es-ES"/>
              </w:rPr>
              <w:lastRenderedPageBreak/>
              <w:t>Sostenibilidad Financiera:</w:t>
            </w:r>
            <w:r w:rsidRPr="00164CCD">
              <w:rPr>
                <w:sz w:val="18"/>
                <w:szCs w:val="18"/>
                <w:lang w:val="es-ES"/>
              </w:rPr>
              <w:t xml:space="preserve"> </w:t>
            </w:r>
            <w:r w:rsidR="001B55BB" w:rsidRPr="00164CCD">
              <w:rPr>
                <w:sz w:val="18"/>
                <w:szCs w:val="18"/>
                <w:lang w:val="es-ES"/>
              </w:rPr>
              <w:t xml:space="preserve">Como se ha mencionado en el punto 1. arriba, </w:t>
            </w:r>
            <w:r w:rsidR="00976B42" w:rsidRPr="00164CCD">
              <w:rPr>
                <w:sz w:val="18"/>
                <w:szCs w:val="18"/>
                <w:lang w:val="es-ES"/>
              </w:rPr>
              <w:t>OSE</w:t>
            </w:r>
            <w:r w:rsidR="001B55BB" w:rsidRPr="00164CCD">
              <w:rPr>
                <w:sz w:val="18"/>
                <w:szCs w:val="18"/>
                <w:lang w:val="es-ES"/>
              </w:rPr>
              <w:t xml:space="preserve"> </w:t>
            </w:r>
            <w:r w:rsidR="00976B42" w:rsidRPr="00164CCD">
              <w:rPr>
                <w:sz w:val="18"/>
                <w:szCs w:val="18"/>
                <w:lang w:val="es-ES"/>
              </w:rPr>
              <w:t xml:space="preserve">posee </w:t>
            </w:r>
            <w:r w:rsidR="00901D3D" w:rsidRPr="00164CCD">
              <w:rPr>
                <w:sz w:val="18"/>
                <w:szCs w:val="18"/>
                <w:lang w:val="es-ES"/>
              </w:rPr>
              <w:t xml:space="preserve">una </w:t>
            </w:r>
            <w:r w:rsidR="000568E4" w:rsidRPr="00164CCD">
              <w:rPr>
                <w:sz w:val="18"/>
                <w:szCs w:val="18"/>
                <w:lang w:val="es-ES"/>
              </w:rPr>
              <w:t xml:space="preserve">capacidad financiera sólida: </w:t>
            </w:r>
            <w:r w:rsidR="000F5F71" w:rsidRPr="00164CCD">
              <w:rPr>
                <w:sz w:val="18"/>
                <w:szCs w:val="18"/>
                <w:lang w:val="es-ES"/>
              </w:rPr>
              <w:t>registró</w:t>
            </w:r>
            <w:r w:rsidR="007611E3" w:rsidRPr="00164CCD">
              <w:rPr>
                <w:sz w:val="18"/>
                <w:szCs w:val="18"/>
                <w:lang w:val="es-ES"/>
              </w:rPr>
              <w:t xml:space="preserve"> el margen EBITDA de aproximadamente 20% en promedio anual para los tres últimos ejercicios cerrados</w:t>
            </w:r>
            <w:r w:rsidR="0088390E" w:rsidRPr="00164CCD">
              <w:rPr>
                <w:sz w:val="18"/>
                <w:szCs w:val="18"/>
                <w:lang w:val="es-ES"/>
              </w:rPr>
              <w:t>,</w:t>
            </w:r>
            <w:r w:rsidR="00467A8A" w:rsidRPr="00164CCD">
              <w:rPr>
                <w:sz w:val="18"/>
                <w:szCs w:val="18"/>
                <w:lang w:val="es-ES"/>
              </w:rPr>
              <w:t xml:space="preserve"> y se prevé que </w:t>
            </w:r>
            <w:r w:rsidR="00901D3D" w:rsidRPr="00164CCD">
              <w:rPr>
                <w:sz w:val="18"/>
                <w:szCs w:val="18"/>
                <w:lang w:val="es-ES"/>
              </w:rPr>
              <w:t>podrá sostener por el período de la proyección el margen EBITDA a un nivel equivalente al actual</w:t>
            </w:r>
            <w:r w:rsidR="00847C6C" w:rsidRPr="00164CCD">
              <w:rPr>
                <w:sz w:val="18"/>
                <w:szCs w:val="18"/>
                <w:lang w:val="es-ES"/>
              </w:rPr>
              <w:t>.</w:t>
            </w:r>
          </w:p>
          <w:p w14:paraId="052262E0" w14:textId="77777777" w:rsidR="009934CD" w:rsidRPr="00164CCD" w:rsidRDefault="009934CD">
            <w:pPr>
              <w:pStyle w:val="ListParagraph"/>
              <w:ind w:left="0"/>
              <w:jc w:val="both"/>
              <w:rPr>
                <w:sz w:val="18"/>
                <w:szCs w:val="18"/>
                <w:lang w:val="es-ES"/>
              </w:rPr>
            </w:pPr>
          </w:p>
          <w:p w14:paraId="427CA67D" w14:textId="166D333E" w:rsidR="00905BD5" w:rsidRPr="00164CCD" w:rsidRDefault="00101141">
            <w:pPr>
              <w:jc w:val="both"/>
              <w:rPr>
                <w:sz w:val="18"/>
                <w:szCs w:val="18"/>
                <w:lang w:val="es-ES"/>
              </w:rPr>
            </w:pPr>
            <w:r w:rsidRPr="00164CCD">
              <w:rPr>
                <w:i/>
                <w:iCs/>
                <w:sz w:val="18"/>
                <w:szCs w:val="18"/>
                <w:lang w:val="es-ES"/>
              </w:rPr>
              <w:t>Sostenibilidad</w:t>
            </w:r>
            <w:r w:rsidR="008C0E36" w:rsidRPr="00164CCD">
              <w:rPr>
                <w:i/>
                <w:iCs/>
                <w:sz w:val="18"/>
                <w:szCs w:val="18"/>
                <w:lang w:val="es-ES"/>
              </w:rPr>
              <w:t xml:space="preserve"> </w:t>
            </w:r>
            <w:r w:rsidRPr="00164CCD">
              <w:rPr>
                <w:i/>
                <w:iCs/>
                <w:sz w:val="18"/>
                <w:szCs w:val="18"/>
                <w:lang w:val="es-ES"/>
              </w:rPr>
              <w:t>Ambiental</w:t>
            </w:r>
            <w:r w:rsidR="006C23EB" w:rsidRPr="00164CCD">
              <w:rPr>
                <w:i/>
                <w:iCs/>
                <w:sz w:val="18"/>
                <w:szCs w:val="18"/>
                <w:lang w:val="es-ES"/>
              </w:rPr>
              <w:t xml:space="preserve"> y social</w:t>
            </w:r>
            <w:r w:rsidRPr="00164CCD">
              <w:rPr>
                <w:i/>
                <w:iCs/>
                <w:sz w:val="18"/>
                <w:szCs w:val="18"/>
                <w:lang w:val="es-ES"/>
              </w:rPr>
              <w:t>:</w:t>
            </w:r>
            <w:r w:rsidR="0089733E" w:rsidRPr="00164CCD">
              <w:rPr>
                <w:i/>
                <w:iCs/>
                <w:sz w:val="18"/>
                <w:szCs w:val="18"/>
                <w:lang w:val="es-ES"/>
              </w:rPr>
              <w:t xml:space="preserve"> </w:t>
            </w:r>
            <w:r w:rsidR="00905BD5" w:rsidRPr="00164CCD">
              <w:rPr>
                <w:sz w:val="18"/>
                <w:szCs w:val="18"/>
                <w:lang w:val="es-ES"/>
              </w:rPr>
              <w:t>Las soluciones propuestas en materia de y saneamiento previsiblemente supondrán mejoras significativas en la calidad de vida y en la calidad ambiental de los</w:t>
            </w:r>
            <w:r w:rsidR="00C125C9" w:rsidRPr="00164CCD">
              <w:rPr>
                <w:sz w:val="18"/>
                <w:szCs w:val="18"/>
                <w:lang w:val="es-ES"/>
              </w:rPr>
              <w:t xml:space="preserve"> barrios</w:t>
            </w:r>
            <w:r w:rsidR="00905BD5" w:rsidRPr="00164CCD">
              <w:rPr>
                <w:sz w:val="18"/>
                <w:szCs w:val="18"/>
                <w:lang w:val="es-ES"/>
              </w:rPr>
              <w:t xml:space="preserve"> beneficiarios. De conformidad con lo establecido en la política OP-703, de Medio Ambiente y Cumplimiento de Salvaguardias, el programa ha sido clasificado como de Categoría “B”. Debido a las características de las intervenciones, se </w:t>
            </w:r>
            <w:r w:rsidR="00905BD5" w:rsidRPr="00164CCD">
              <w:rPr>
                <w:sz w:val="18"/>
                <w:szCs w:val="18"/>
                <w:lang w:val="es-ES"/>
              </w:rPr>
              <w:lastRenderedPageBreak/>
              <w:t xml:space="preserve">pueden generar impactos </w:t>
            </w:r>
            <w:proofErr w:type="gramStart"/>
            <w:r w:rsidR="00905BD5" w:rsidRPr="00164CCD">
              <w:rPr>
                <w:sz w:val="18"/>
                <w:szCs w:val="18"/>
                <w:lang w:val="es-ES"/>
              </w:rPr>
              <w:t>socio-ambientales</w:t>
            </w:r>
            <w:proofErr w:type="gramEnd"/>
            <w:r w:rsidR="00905BD5" w:rsidRPr="00164CCD">
              <w:rPr>
                <w:sz w:val="18"/>
                <w:szCs w:val="18"/>
                <w:lang w:val="es-ES"/>
              </w:rPr>
              <w:t xml:space="preserve"> negativos localizados para las que existen medidas de mitigación incluidas en los Planes de Gestión Ambiental y Social (PGAS) y en el Marco de Gestión Ambiental y Social (MGAS). Al momento se han producido Evaluaciones Ambientales y Sociales (EAS) junto con PGAS para los proyectos incluidos dentro de la muestra significativa en esta operación de obras múltiples: para el saneamiento </w:t>
            </w:r>
            <w:proofErr w:type="spellStart"/>
            <w:r w:rsidR="00905BD5" w:rsidRPr="00164CCD">
              <w:rPr>
                <w:sz w:val="18"/>
                <w:szCs w:val="18"/>
                <w:lang w:val="es-ES"/>
              </w:rPr>
              <w:t xml:space="preserve">de </w:t>
            </w:r>
            <w:r w:rsidR="00C125C9" w:rsidRPr="00164CCD">
              <w:rPr>
                <w:sz w:val="18"/>
                <w:szCs w:val="18"/>
                <w:lang w:val="es-ES"/>
              </w:rPr>
              <w:t>el</w:t>
            </w:r>
            <w:proofErr w:type="spellEnd"/>
            <w:r w:rsidR="00C125C9" w:rsidRPr="00164CCD">
              <w:rPr>
                <w:sz w:val="18"/>
                <w:szCs w:val="18"/>
                <w:lang w:val="es-ES"/>
              </w:rPr>
              <w:t xml:space="preserve"> barrio San Fernando</w:t>
            </w:r>
            <w:r w:rsidR="00905BD5" w:rsidRPr="00164CCD">
              <w:rPr>
                <w:sz w:val="18"/>
                <w:szCs w:val="18"/>
                <w:lang w:val="es-ES"/>
              </w:rPr>
              <w:t xml:space="preserve"> y para </w:t>
            </w:r>
            <w:r w:rsidR="00C125C9" w:rsidRPr="00164CCD">
              <w:rPr>
                <w:sz w:val="18"/>
                <w:szCs w:val="18"/>
                <w:lang w:val="es-ES"/>
              </w:rPr>
              <w:t>la planta de tratamiento de aguas residuales de Ciudad del Plata</w:t>
            </w:r>
            <w:r w:rsidR="00905BD5" w:rsidRPr="00164CCD">
              <w:rPr>
                <w:sz w:val="18"/>
                <w:szCs w:val="18"/>
                <w:lang w:val="es-ES"/>
              </w:rPr>
              <w:t xml:space="preserve">. El resto de </w:t>
            </w:r>
            <w:proofErr w:type="gramStart"/>
            <w:r w:rsidR="00905BD5" w:rsidRPr="00164CCD">
              <w:rPr>
                <w:sz w:val="18"/>
                <w:szCs w:val="18"/>
                <w:lang w:val="es-ES"/>
              </w:rPr>
              <w:t>proyectos</w:t>
            </w:r>
            <w:proofErr w:type="gramEnd"/>
            <w:r w:rsidR="00905BD5" w:rsidRPr="00164CCD">
              <w:rPr>
                <w:sz w:val="18"/>
                <w:szCs w:val="18"/>
                <w:lang w:val="es-ES"/>
              </w:rPr>
              <w:t xml:space="preserve"> no incluidos dentro de la muestra deberán cumplir con los requerimientos incluidos en el MGAS. </w:t>
            </w:r>
          </w:p>
          <w:p w14:paraId="052262EA" w14:textId="5550DCF0" w:rsidR="000F1306" w:rsidRPr="00164CCD" w:rsidRDefault="00C125C9" w:rsidP="00164CCD">
            <w:pPr>
              <w:pStyle w:val="Paragraph"/>
              <w:numPr>
                <w:ilvl w:val="1"/>
                <w:numId w:val="0"/>
              </w:numPr>
              <w:ind w:left="1"/>
              <w:rPr>
                <w:sz w:val="18"/>
                <w:szCs w:val="18"/>
              </w:rPr>
            </w:pPr>
            <w:r w:rsidRPr="00164CCD">
              <w:rPr>
                <w:sz w:val="18"/>
                <w:szCs w:val="18"/>
              </w:rPr>
              <w:t xml:space="preserve">OPP </w:t>
            </w:r>
            <w:r w:rsidR="00905BD5" w:rsidRPr="00164CCD">
              <w:rPr>
                <w:sz w:val="18"/>
                <w:szCs w:val="18"/>
              </w:rPr>
              <w:t xml:space="preserve">tiene previsto realizar las consultas significativas para los proyectos </w:t>
            </w:r>
            <w:r w:rsidRPr="00164CCD">
              <w:rPr>
                <w:sz w:val="18"/>
                <w:szCs w:val="18"/>
              </w:rPr>
              <w:t>de la muestra</w:t>
            </w:r>
            <w:r w:rsidR="00905BD5" w:rsidRPr="00164CCD">
              <w:rPr>
                <w:sz w:val="18"/>
                <w:szCs w:val="18"/>
              </w:rPr>
              <w:t xml:space="preserve"> para la última </w:t>
            </w:r>
            <w:r w:rsidRPr="00164CCD">
              <w:rPr>
                <w:sz w:val="18"/>
                <w:szCs w:val="18"/>
              </w:rPr>
              <w:t xml:space="preserve">primera </w:t>
            </w:r>
            <w:r w:rsidR="00905BD5" w:rsidRPr="00164CCD">
              <w:rPr>
                <w:sz w:val="18"/>
                <w:szCs w:val="18"/>
              </w:rPr>
              <w:t>semana de septiembre de 201</w:t>
            </w:r>
            <w:r w:rsidRPr="00164CCD">
              <w:rPr>
                <w:sz w:val="18"/>
                <w:szCs w:val="18"/>
              </w:rPr>
              <w:t>8</w:t>
            </w:r>
            <w:r w:rsidR="00905BD5" w:rsidRPr="00164CCD">
              <w:rPr>
                <w:sz w:val="18"/>
                <w:szCs w:val="18"/>
              </w:rPr>
              <w:t xml:space="preserve">. Los principales resultados de las consultas deberán introducirse en la versión final de las </w:t>
            </w:r>
            <w:r w:rsidRPr="00164CCD">
              <w:rPr>
                <w:sz w:val="18"/>
                <w:szCs w:val="18"/>
              </w:rPr>
              <w:t>A</w:t>
            </w:r>
            <w:r w:rsidR="00905BD5" w:rsidRPr="00164CCD">
              <w:rPr>
                <w:sz w:val="18"/>
                <w:szCs w:val="18"/>
              </w:rPr>
              <w:t xml:space="preserve">AS, PGAS y </w:t>
            </w:r>
            <w:proofErr w:type="spellStart"/>
            <w:r w:rsidR="00905BD5" w:rsidRPr="00164CCD">
              <w:rPr>
                <w:sz w:val="18"/>
                <w:szCs w:val="18"/>
              </w:rPr>
              <w:t>MGAs</w:t>
            </w:r>
            <w:proofErr w:type="spellEnd"/>
            <w:r w:rsidR="00905BD5" w:rsidRPr="00164CCD">
              <w:rPr>
                <w:sz w:val="18"/>
                <w:szCs w:val="18"/>
              </w:rPr>
              <w:t>, además de anexarse los informes completos que evidencien que las consultas han sido significativas</w:t>
            </w:r>
            <w:r w:rsidR="00D5727E" w:rsidRPr="00164CCD">
              <w:rPr>
                <w:sz w:val="18"/>
                <w:szCs w:val="18"/>
              </w:rPr>
              <w:t>.</w:t>
            </w:r>
            <w:r w:rsidR="00905BD5" w:rsidRPr="00164CCD">
              <w:rPr>
                <w:sz w:val="18"/>
                <w:szCs w:val="18"/>
              </w:rPr>
              <w:t xml:space="preserve">  </w:t>
            </w:r>
          </w:p>
        </w:tc>
      </w:tr>
      <w:tr w:rsidR="000F1306" w:rsidRPr="009876DD" w14:paraId="052262F0" w14:textId="77777777" w:rsidTr="00164CCD">
        <w:trPr>
          <w:trHeight w:val="701"/>
          <w:jc w:val="center"/>
        </w:trPr>
        <w:tc>
          <w:tcPr>
            <w:tcW w:w="1877" w:type="dxa"/>
            <w:shd w:val="clear" w:color="auto" w:fill="C0C0C0"/>
          </w:tcPr>
          <w:p w14:paraId="052262ED" w14:textId="77777777" w:rsidR="000F1306" w:rsidRPr="00164CCD" w:rsidRDefault="000F1306">
            <w:pPr>
              <w:rPr>
                <w:b/>
                <w:bCs/>
                <w:sz w:val="18"/>
                <w:szCs w:val="18"/>
                <w:lang w:val="es-ES"/>
              </w:rPr>
            </w:pPr>
            <w:r w:rsidRPr="00164CCD">
              <w:rPr>
                <w:b/>
                <w:bCs/>
                <w:sz w:val="18"/>
                <w:szCs w:val="18"/>
                <w:lang w:val="es-ES"/>
              </w:rPr>
              <w:t>Principios de la Política que orientan el diseño de las operaciones del Banco</w:t>
            </w:r>
          </w:p>
        </w:tc>
        <w:tc>
          <w:tcPr>
            <w:tcW w:w="3479" w:type="dxa"/>
            <w:gridSpan w:val="3"/>
            <w:shd w:val="clear" w:color="auto" w:fill="C0C0C0"/>
            <w:vAlign w:val="center"/>
          </w:tcPr>
          <w:p w14:paraId="052262EE" w14:textId="77777777" w:rsidR="000F1306" w:rsidRPr="00164CCD" w:rsidRDefault="000F1306">
            <w:pPr>
              <w:jc w:val="center"/>
              <w:rPr>
                <w:b/>
                <w:bCs/>
                <w:sz w:val="18"/>
                <w:szCs w:val="18"/>
                <w:lang w:val="es-ES"/>
              </w:rPr>
            </w:pPr>
            <w:r w:rsidRPr="00164CCD">
              <w:rPr>
                <w:b/>
                <w:bCs/>
                <w:sz w:val="18"/>
                <w:szCs w:val="18"/>
                <w:lang w:val="es-ES"/>
              </w:rPr>
              <w:t>Descripción</w:t>
            </w:r>
          </w:p>
        </w:tc>
        <w:tc>
          <w:tcPr>
            <w:tcW w:w="3274" w:type="dxa"/>
            <w:shd w:val="clear" w:color="auto" w:fill="C0C0C0"/>
            <w:vAlign w:val="center"/>
          </w:tcPr>
          <w:p w14:paraId="052262EF" w14:textId="77777777" w:rsidR="000F1306" w:rsidRPr="00164CCD" w:rsidRDefault="000F1306">
            <w:pPr>
              <w:jc w:val="center"/>
              <w:rPr>
                <w:b/>
                <w:bCs/>
                <w:sz w:val="18"/>
                <w:szCs w:val="18"/>
                <w:lang w:val="es-ES"/>
              </w:rPr>
            </w:pPr>
            <w:r w:rsidRPr="00164CCD">
              <w:rPr>
                <w:b/>
                <w:bCs/>
                <w:sz w:val="18"/>
                <w:szCs w:val="18"/>
                <w:lang w:val="es-ES"/>
              </w:rPr>
              <w:t>Comentarios</w:t>
            </w:r>
          </w:p>
        </w:tc>
      </w:tr>
      <w:tr w:rsidR="000F1306" w:rsidRPr="00164CCD" w14:paraId="052262F4" w14:textId="77777777" w:rsidTr="00164CCD">
        <w:trPr>
          <w:jc w:val="center"/>
        </w:trPr>
        <w:tc>
          <w:tcPr>
            <w:tcW w:w="1877" w:type="dxa"/>
            <w:shd w:val="clear" w:color="auto" w:fill="auto"/>
          </w:tcPr>
          <w:p w14:paraId="052262F1" w14:textId="77777777" w:rsidR="000F1306" w:rsidRPr="00164CCD" w:rsidRDefault="000F1306">
            <w:pPr>
              <w:rPr>
                <w:b/>
                <w:bCs/>
                <w:sz w:val="18"/>
                <w:szCs w:val="18"/>
                <w:lang w:val="es-ES"/>
              </w:rPr>
            </w:pPr>
            <w:r w:rsidRPr="00164CCD">
              <w:rPr>
                <w:b/>
                <w:bCs/>
                <w:sz w:val="18"/>
                <w:szCs w:val="18"/>
                <w:lang w:val="es-ES"/>
              </w:rPr>
              <w:t xml:space="preserve">1. Apoyar a los países para atender las necesidades básicas </w:t>
            </w:r>
          </w:p>
        </w:tc>
        <w:tc>
          <w:tcPr>
            <w:tcW w:w="3479" w:type="dxa"/>
            <w:gridSpan w:val="3"/>
            <w:shd w:val="clear" w:color="auto" w:fill="auto"/>
          </w:tcPr>
          <w:p w14:paraId="052262F2" w14:textId="77777777" w:rsidR="000F1306" w:rsidRPr="00164CCD" w:rsidRDefault="000F1306">
            <w:pPr>
              <w:rPr>
                <w:sz w:val="18"/>
                <w:szCs w:val="18"/>
                <w:lang w:val="es-ES"/>
              </w:rPr>
            </w:pPr>
            <w:r w:rsidRPr="00164CCD">
              <w:rPr>
                <w:sz w:val="18"/>
                <w:szCs w:val="18"/>
                <w:lang w:val="es-ES"/>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274" w:type="dxa"/>
            <w:shd w:val="clear" w:color="auto" w:fill="auto"/>
          </w:tcPr>
          <w:p w14:paraId="052262F3" w14:textId="0D738A52" w:rsidR="00AA1821" w:rsidRPr="00164CCD" w:rsidRDefault="00414837">
            <w:pPr>
              <w:rPr>
                <w:sz w:val="18"/>
                <w:szCs w:val="18"/>
                <w:lang w:val="es-ES"/>
              </w:rPr>
            </w:pPr>
            <w:r w:rsidRPr="00164CCD">
              <w:rPr>
                <w:sz w:val="18"/>
                <w:szCs w:val="18"/>
                <w:lang w:val="es-ES"/>
              </w:rPr>
              <w:t xml:space="preserve">El Plan de Aguas Urbanas y el Plan director integral de saneamiento, drenaje pluvial, vialidad y espacios públicos de Ciudad del Plata elaborado por el Consorcio Consultor CSI-DHI-SEURECA/VEOLIA financiado mediante la Cooperación Técnica UR-T1114, constituye la base sobre la cual se diseñó el proyecto de saneamiento para la </w:t>
            </w:r>
            <w:r w:rsidR="00D5727E" w:rsidRPr="00164CCD">
              <w:rPr>
                <w:sz w:val="18"/>
                <w:szCs w:val="18"/>
                <w:lang w:val="es-ES"/>
              </w:rPr>
              <w:t>Etapa I</w:t>
            </w:r>
            <w:r w:rsidRPr="00164CCD">
              <w:rPr>
                <w:sz w:val="18"/>
                <w:szCs w:val="18"/>
                <w:lang w:val="es-ES"/>
              </w:rPr>
              <w:t xml:space="preserve"> de </w:t>
            </w:r>
            <w:proofErr w:type="spellStart"/>
            <w:r w:rsidRPr="00164CCD">
              <w:rPr>
                <w:sz w:val="18"/>
                <w:szCs w:val="18"/>
                <w:lang w:val="es-ES"/>
              </w:rPr>
              <w:t>CdP</w:t>
            </w:r>
            <w:proofErr w:type="spellEnd"/>
            <w:r w:rsidRPr="00164CCD">
              <w:rPr>
                <w:sz w:val="18"/>
                <w:szCs w:val="18"/>
                <w:lang w:val="es-ES"/>
              </w:rPr>
              <w:t xml:space="preserve">. Dicho estudio integral identificó la viabilidad técnica de readecuar la Planta de Tratamiento de </w:t>
            </w:r>
            <w:r w:rsidR="00D5727E" w:rsidRPr="00164CCD">
              <w:rPr>
                <w:sz w:val="18"/>
                <w:szCs w:val="18"/>
                <w:lang w:val="es-ES"/>
              </w:rPr>
              <w:t xml:space="preserve">líquidos barométricos y </w:t>
            </w:r>
            <w:r w:rsidRPr="00164CCD">
              <w:rPr>
                <w:sz w:val="18"/>
                <w:szCs w:val="18"/>
                <w:lang w:val="es-ES"/>
              </w:rPr>
              <w:t>Lixiviados del Vertedero Sanitario de CdP, para recibir y tratar los efluentes domésticos recolectados por las nuevas redes de alcantarillado que darán servicio de saneamiento a los barrios de la zona central de CdP y otros como Villa Rives, SOFIMA o Delta del Tigre.</w:t>
            </w:r>
          </w:p>
        </w:tc>
      </w:tr>
      <w:tr w:rsidR="000F1306" w:rsidRPr="00164CCD" w14:paraId="052262F8" w14:textId="77777777" w:rsidTr="00164CCD">
        <w:trPr>
          <w:jc w:val="center"/>
        </w:trPr>
        <w:tc>
          <w:tcPr>
            <w:tcW w:w="1877" w:type="dxa"/>
            <w:shd w:val="clear" w:color="auto" w:fill="auto"/>
          </w:tcPr>
          <w:p w14:paraId="052262F5" w14:textId="77777777" w:rsidR="000F1306" w:rsidRPr="00164CCD" w:rsidRDefault="000F1306">
            <w:pPr>
              <w:rPr>
                <w:b/>
                <w:bCs/>
                <w:sz w:val="18"/>
                <w:szCs w:val="18"/>
                <w:lang w:val="es-ES"/>
              </w:rPr>
            </w:pPr>
            <w:r w:rsidRPr="00164CCD">
              <w:rPr>
                <w:b/>
                <w:bCs/>
                <w:sz w:val="18"/>
                <w:szCs w:val="18"/>
                <w:lang w:val="es-ES"/>
              </w:rPr>
              <w:t>2. Las mejoras continuas en la gobernanza de los servicios públicos domiciliarios serán clave para incrementar la eficiencia en su provisión y proteger satisfactoriamente los intereses de los usuarios</w:t>
            </w:r>
          </w:p>
        </w:tc>
        <w:tc>
          <w:tcPr>
            <w:tcW w:w="3479" w:type="dxa"/>
            <w:gridSpan w:val="3"/>
            <w:shd w:val="clear" w:color="auto" w:fill="auto"/>
          </w:tcPr>
          <w:p w14:paraId="052262F6" w14:textId="77777777" w:rsidR="000F1306" w:rsidRPr="00164CCD" w:rsidRDefault="000F1306">
            <w:pPr>
              <w:rPr>
                <w:sz w:val="18"/>
                <w:szCs w:val="18"/>
                <w:lang w:val="es-ES"/>
              </w:rPr>
            </w:pPr>
            <w:r w:rsidRPr="00164CCD">
              <w:rPr>
                <w:sz w:val="18"/>
                <w:szCs w:val="18"/>
                <w:lang w:val="es-ES"/>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3274" w:type="dxa"/>
            <w:shd w:val="clear" w:color="auto" w:fill="auto"/>
          </w:tcPr>
          <w:p w14:paraId="052262F7" w14:textId="0BFD67A7" w:rsidR="000F1306" w:rsidRPr="00164CCD" w:rsidRDefault="003B1D41">
            <w:pPr>
              <w:jc w:val="both"/>
              <w:rPr>
                <w:sz w:val="18"/>
                <w:szCs w:val="18"/>
                <w:lang w:val="es-ES"/>
              </w:rPr>
            </w:pPr>
            <w:r w:rsidRPr="00164CCD">
              <w:rPr>
                <w:sz w:val="18"/>
                <w:szCs w:val="18"/>
                <w:lang w:val="es-ES"/>
              </w:rPr>
              <w:t xml:space="preserve">Ver discusión puntos A </w:t>
            </w:r>
            <w:proofErr w:type="spellStart"/>
            <w:r w:rsidRPr="00164CCD">
              <w:rPr>
                <w:sz w:val="18"/>
                <w:szCs w:val="18"/>
                <w:lang w:val="es-ES"/>
              </w:rPr>
              <w:t>a</w:t>
            </w:r>
            <w:proofErr w:type="spellEnd"/>
            <w:r w:rsidRPr="00164CCD">
              <w:rPr>
                <w:sz w:val="18"/>
                <w:szCs w:val="18"/>
                <w:lang w:val="es-ES"/>
              </w:rPr>
              <w:t xml:space="preserve"> G a seguir</w:t>
            </w:r>
            <w:r w:rsidR="007C01B6" w:rsidRPr="00164CCD">
              <w:rPr>
                <w:sz w:val="18"/>
                <w:szCs w:val="18"/>
                <w:lang w:val="es-ES"/>
              </w:rPr>
              <w:t>.</w:t>
            </w:r>
          </w:p>
        </w:tc>
      </w:tr>
      <w:tr w:rsidR="000F1306" w:rsidRPr="00164CCD" w14:paraId="052262FC" w14:textId="77777777" w:rsidTr="00164CCD">
        <w:trPr>
          <w:jc w:val="center"/>
        </w:trPr>
        <w:tc>
          <w:tcPr>
            <w:tcW w:w="1877" w:type="dxa"/>
            <w:shd w:val="clear" w:color="auto" w:fill="auto"/>
          </w:tcPr>
          <w:p w14:paraId="052262F9" w14:textId="77777777" w:rsidR="000F1306" w:rsidRPr="00164CCD" w:rsidRDefault="000F1306">
            <w:pPr>
              <w:ind w:left="330" w:hanging="150"/>
              <w:rPr>
                <w:b/>
                <w:bCs/>
                <w:i/>
                <w:iCs/>
                <w:sz w:val="18"/>
                <w:szCs w:val="18"/>
                <w:lang w:val="es-ES"/>
              </w:rPr>
            </w:pPr>
            <w:r w:rsidRPr="00164CCD">
              <w:rPr>
                <w:b/>
                <w:bCs/>
                <w:i/>
                <w:iCs/>
                <w:sz w:val="18"/>
                <w:szCs w:val="18"/>
                <w:lang w:val="es-ES"/>
              </w:rPr>
              <w:lastRenderedPageBreak/>
              <w:t>A. Promover la integridad, la transparencia y la rendición de cuentas</w:t>
            </w:r>
          </w:p>
        </w:tc>
        <w:tc>
          <w:tcPr>
            <w:tcW w:w="3479" w:type="dxa"/>
            <w:gridSpan w:val="3"/>
            <w:shd w:val="clear" w:color="auto" w:fill="auto"/>
          </w:tcPr>
          <w:p w14:paraId="052262FA" w14:textId="691ED137" w:rsidR="000F1306" w:rsidRPr="00164CCD" w:rsidRDefault="003B1D41">
            <w:pPr>
              <w:rPr>
                <w:sz w:val="18"/>
                <w:szCs w:val="18"/>
                <w:lang w:val="es-ES"/>
              </w:rPr>
            </w:pPr>
            <w:r w:rsidRPr="00164CCD">
              <w:rPr>
                <w:rFonts w:eastAsiaTheme="minorEastAsia"/>
                <w:sz w:val="18"/>
                <w:szCs w:val="18"/>
                <w:lang w:val="es-ES"/>
              </w:rPr>
              <w:t>Se impulsarán los arreglos institucionales básicos para que los países de la región adopten medidas que promuevan la integridad y aumenten la transparencia en la provisión de servicios públicos domiciliarios, con el objetivo de mejorar la rendición de cuentas y fortalecer el cumplimiento de los derechos de los usuarios</w:t>
            </w:r>
            <w:r w:rsidRPr="009C306A">
              <w:rPr>
                <w:sz w:val="18"/>
                <w:szCs w:val="18"/>
                <w:lang w:val="es-ES"/>
              </w:rPr>
              <w:t>.</w:t>
            </w:r>
          </w:p>
        </w:tc>
        <w:tc>
          <w:tcPr>
            <w:tcW w:w="3274" w:type="dxa"/>
            <w:shd w:val="clear" w:color="auto" w:fill="auto"/>
          </w:tcPr>
          <w:p w14:paraId="4A69221F" w14:textId="77777777" w:rsidR="00517F89" w:rsidRPr="00164CCD" w:rsidRDefault="00D76C97">
            <w:pPr>
              <w:jc w:val="both"/>
              <w:rPr>
                <w:sz w:val="18"/>
                <w:szCs w:val="18"/>
                <w:lang w:val="es-ES"/>
              </w:rPr>
            </w:pPr>
            <w:r w:rsidRPr="00164CCD">
              <w:rPr>
                <w:sz w:val="18"/>
                <w:szCs w:val="18"/>
                <w:lang w:val="es-ES"/>
              </w:rPr>
              <w:t>La defensa de los Consumidores en los sectores regulados, tanto desde el punto de vista individual, como general</w:t>
            </w:r>
            <w:r w:rsidR="00517F89" w:rsidRPr="00164CCD">
              <w:rPr>
                <w:sz w:val="18"/>
                <w:szCs w:val="18"/>
                <w:lang w:val="es-ES"/>
              </w:rPr>
              <w:t>,</w:t>
            </w:r>
            <w:r w:rsidRPr="00164CCD">
              <w:rPr>
                <w:sz w:val="18"/>
                <w:szCs w:val="18"/>
                <w:lang w:val="es-ES"/>
              </w:rPr>
              <w:t xml:space="preserve"> es de los principales cometidos de la URSEA</w:t>
            </w:r>
            <w:r w:rsidR="00517F89" w:rsidRPr="00164CCD">
              <w:rPr>
                <w:sz w:val="18"/>
                <w:szCs w:val="18"/>
                <w:lang w:val="es-ES"/>
              </w:rPr>
              <w:t xml:space="preserve">. Es por ello que la URSEA recibe las Reclamos de los usuarios en segunda instancia, </w:t>
            </w:r>
            <w:proofErr w:type="gramStart"/>
            <w:r w:rsidR="00517F89" w:rsidRPr="00164CCD">
              <w:rPr>
                <w:sz w:val="18"/>
                <w:szCs w:val="18"/>
                <w:lang w:val="es-ES"/>
              </w:rPr>
              <w:t>en caso que</w:t>
            </w:r>
            <w:proofErr w:type="gramEnd"/>
            <w:r w:rsidR="00517F89" w:rsidRPr="00164CCD">
              <w:rPr>
                <w:sz w:val="18"/>
                <w:szCs w:val="18"/>
                <w:lang w:val="es-ES"/>
              </w:rPr>
              <w:t xml:space="preserve"> el prestador no haya dado satisfacción a las mismas.</w:t>
            </w:r>
          </w:p>
          <w:p w14:paraId="052262FB" w14:textId="75217585" w:rsidR="000F1306" w:rsidRPr="00164CCD" w:rsidRDefault="00517F89">
            <w:pPr>
              <w:jc w:val="both"/>
              <w:rPr>
                <w:sz w:val="18"/>
                <w:szCs w:val="18"/>
                <w:lang w:val="es-ES"/>
              </w:rPr>
            </w:pPr>
            <w:r w:rsidRPr="00164CCD">
              <w:rPr>
                <w:sz w:val="18"/>
                <w:szCs w:val="18"/>
                <w:lang w:val="es-ES"/>
              </w:rPr>
              <w:t xml:space="preserve">OSE </w:t>
            </w:r>
            <w:r w:rsidR="002C40B3" w:rsidRPr="00164CCD">
              <w:rPr>
                <w:sz w:val="18"/>
                <w:szCs w:val="18"/>
                <w:lang w:val="es-ES"/>
              </w:rPr>
              <w:t xml:space="preserve">publica anualmente su Plan de Acción y </w:t>
            </w:r>
            <w:r w:rsidR="0083444A" w:rsidRPr="00164CCD">
              <w:rPr>
                <w:sz w:val="18"/>
                <w:szCs w:val="18"/>
                <w:lang w:val="es-ES"/>
              </w:rPr>
              <w:t xml:space="preserve">da seguimiento al mismo en su Informe de Gestión Anual, </w:t>
            </w:r>
            <w:r w:rsidR="00EF0525" w:rsidRPr="00164CCD">
              <w:rPr>
                <w:sz w:val="18"/>
                <w:szCs w:val="18"/>
                <w:lang w:val="es-ES"/>
              </w:rPr>
              <w:t xml:space="preserve">lo cual forma parte de los esfuerzos que </w:t>
            </w:r>
            <w:r w:rsidR="00EA7CBD" w:rsidRPr="00164CCD">
              <w:rPr>
                <w:sz w:val="18"/>
                <w:szCs w:val="18"/>
                <w:lang w:val="es-ES"/>
              </w:rPr>
              <w:t>realiza OSE en</w:t>
            </w:r>
            <w:r w:rsidR="00EF0525" w:rsidRPr="00164CCD">
              <w:rPr>
                <w:sz w:val="18"/>
                <w:szCs w:val="18"/>
                <w:lang w:val="es-ES"/>
              </w:rPr>
              <w:t xml:space="preserve"> materia de la transparencia y rendición de cuentas</w:t>
            </w:r>
            <w:r w:rsidR="00EA7CBD" w:rsidRPr="00164CCD">
              <w:rPr>
                <w:sz w:val="18"/>
                <w:szCs w:val="18"/>
                <w:lang w:val="es-ES"/>
              </w:rPr>
              <w:t>.</w:t>
            </w:r>
            <w:r w:rsidRPr="00164CCD">
              <w:rPr>
                <w:sz w:val="18"/>
                <w:szCs w:val="18"/>
                <w:lang w:val="es-ES"/>
              </w:rPr>
              <w:t xml:space="preserve"> </w:t>
            </w:r>
          </w:p>
        </w:tc>
      </w:tr>
      <w:tr w:rsidR="000F1306" w:rsidRPr="00164CCD" w14:paraId="05226307" w14:textId="77777777" w:rsidTr="00164CCD">
        <w:trPr>
          <w:jc w:val="center"/>
        </w:trPr>
        <w:tc>
          <w:tcPr>
            <w:tcW w:w="1877" w:type="dxa"/>
            <w:shd w:val="clear" w:color="auto" w:fill="auto"/>
          </w:tcPr>
          <w:p w14:paraId="052262FD" w14:textId="77777777" w:rsidR="000F1306" w:rsidRPr="00164CCD" w:rsidRDefault="000F1306">
            <w:pPr>
              <w:ind w:left="330" w:hanging="150"/>
              <w:rPr>
                <w:b/>
                <w:bCs/>
                <w:i/>
                <w:iCs/>
                <w:sz w:val="18"/>
                <w:szCs w:val="18"/>
                <w:lang w:val="es-ES"/>
              </w:rPr>
            </w:pPr>
            <w:r w:rsidRPr="00164CCD">
              <w:rPr>
                <w:b/>
                <w:bCs/>
                <w:i/>
                <w:iCs/>
                <w:sz w:val="18"/>
                <w:szCs w:val="18"/>
                <w:lang w:val="es-ES"/>
              </w:rPr>
              <w:t>B. Analizar las características e impactos de los subsidios</w:t>
            </w:r>
          </w:p>
        </w:tc>
        <w:tc>
          <w:tcPr>
            <w:tcW w:w="3479" w:type="dxa"/>
            <w:gridSpan w:val="3"/>
            <w:shd w:val="clear" w:color="auto" w:fill="auto"/>
          </w:tcPr>
          <w:p w14:paraId="052262FE" w14:textId="77777777" w:rsidR="000F1306" w:rsidRPr="00164CCD" w:rsidRDefault="000F1306">
            <w:pPr>
              <w:rPr>
                <w:sz w:val="18"/>
                <w:szCs w:val="18"/>
                <w:lang w:val="es-ES"/>
              </w:rPr>
            </w:pPr>
            <w:r w:rsidRPr="00164CCD">
              <w:rPr>
                <w:sz w:val="18"/>
                <w:szCs w:val="18"/>
                <w:lang w:val="es-ES"/>
              </w:rPr>
              <w:t>La operación y financiamiento de los servicios debería lograr la recuperación de costos de prestación en condiciones de eficiencia mediante tarifas a los usuarios. Sin embargo, se reconoce que, ocasionalmente, la sostenibilidad financiera puede alcanzarse complementando los ingresos provenientes de las, con aportes de la comunidad y aportes directos del gobierno. En situaciones en las que se otorguen subsidios, se promoverá que tanto su asignación como utilización se realicen de modo transparente y sujeto a mecanismos frecuentes y eficaces de rendición de cuentas. En los casos en que se otorguen subsidios tarifarios, se impulsará su focalización en los grupos más vulnerables y de menores ingresos. Adicionalmente, y en la medida de lo posible, se apoyará a los países para sustituir los subsidios tarifarios a los servicios públicos por mecanismos de transferencias de ingresos más directos y focalizados en los segmentos de la población con menores ingresos.</w:t>
            </w:r>
          </w:p>
        </w:tc>
        <w:tc>
          <w:tcPr>
            <w:tcW w:w="3274" w:type="dxa"/>
            <w:shd w:val="clear" w:color="auto" w:fill="auto"/>
          </w:tcPr>
          <w:p w14:paraId="05226306" w14:textId="3BDADD73" w:rsidR="000F1306" w:rsidRPr="00164CCD" w:rsidRDefault="00820D05">
            <w:pPr>
              <w:jc w:val="both"/>
              <w:rPr>
                <w:sz w:val="18"/>
                <w:szCs w:val="18"/>
                <w:lang w:val="es-ES"/>
              </w:rPr>
            </w:pPr>
            <w:r w:rsidRPr="00164CCD">
              <w:rPr>
                <w:sz w:val="18"/>
                <w:szCs w:val="18"/>
                <w:lang w:val="es-ES"/>
              </w:rPr>
              <w:t>La bonificación de la factura se aplica en los siguientes casos: (i) El servicio de agua prestado a beneficiarios de planes sociales del Ministerio de Desarrollo Social (MI.DE.S.), así como inmuebles ubicados en asentamientos identificados por el Ministerio de Vivienda Ordenamiento Territorial y Medio Ambiente (M.V.O.T.M.A.) y los hogares considerados en situación de vulnerabilidad socioeconómica identificados por la Dirección Nacional de Vivienda (DI.NA.VI.); (ii) El jubilado o pensionista titular de contrato que acredite que los ingresos del núcleo familiar provienen exclusivamente de pasividades; (iii) Los refugios diurnos y nocturnos gestionados por personas físicas o jurídicas privadas, habilitados por el MIDES; (iv) El servicio de agua (con medidor individual o mediante postes surtidores con medidor general) en una localidad rural con gestión participativa de la comunidad.</w:t>
            </w:r>
          </w:p>
        </w:tc>
      </w:tr>
      <w:tr w:rsidR="000F1306" w:rsidRPr="00164CCD" w14:paraId="0522630D" w14:textId="77777777" w:rsidTr="00164CCD">
        <w:trPr>
          <w:jc w:val="center"/>
        </w:trPr>
        <w:tc>
          <w:tcPr>
            <w:tcW w:w="1877" w:type="dxa"/>
            <w:shd w:val="clear" w:color="auto" w:fill="auto"/>
          </w:tcPr>
          <w:p w14:paraId="05226308" w14:textId="77777777" w:rsidR="000F1306" w:rsidRPr="00164CCD" w:rsidRDefault="000F1306">
            <w:pPr>
              <w:ind w:left="330" w:hanging="150"/>
              <w:rPr>
                <w:i/>
                <w:iCs/>
                <w:sz w:val="18"/>
                <w:szCs w:val="18"/>
                <w:lang w:val="es-ES"/>
              </w:rPr>
            </w:pPr>
            <w:r w:rsidRPr="00164CCD">
              <w:rPr>
                <w:b/>
                <w:bCs/>
                <w:i/>
                <w:iCs/>
                <w:sz w:val="18"/>
                <w:szCs w:val="18"/>
                <w:lang w:val="es-ES"/>
              </w:rPr>
              <w:t>C. Separación de Funciones para mejorar la gobernanza sectorial</w:t>
            </w:r>
          </w:p>
        </w:tc>
        <w:tc>
          <w:tcPr>
            <w:tcW w:w="3479" w:type="dxa"/>
            <w:gridSpan w:val="3"/>
            <w:shd w:val="clear" w:color="auto" w:fill="auto"/>
          </w:tcPr>
          <w:p w14:paraId="05226309" w14:textId="77777777" w:rsidR="000F1306" w:rsidRPr="00164CCD" w:rsidRDefault="000F1306">
            <w:pPr>
              <w:rPr>
                <w:sz w:val="18"/>
                <w:szCs w:val="18"/>
                <w:lang w:val="es-ES"/>
              </w:rPr>
            </w:pPr>
            <w:r w:rsidRPr="00164CCD">
              <w:rPr>
                <w:sz w:val="18"/>
                <w:szCs w:val="18"/>
                <w:lang w:val="es-ES"/>
              </w:rPr>
              <w:t xml:space="preserve">Deben separarse las funciones de </w:t>
            </w:r>
            <w:r w:rsidRPr="00164CCD">
              <w:rPr>
                <w:b/>
                <w:bCs/>
                <w:sz w:val="18"/>
                <w:szCs w:val="18"/>
                <w:lang w:val="es-ES"/>
              </w:rPr>
              <w:t>formulador de políticas, regulador</w:t>
            </w:r>
            <w:r w:rsidRPr="00164CCD">
              <w:rPr>
                <w:sz w:val="18"/>
                <w:szCs w:val="18"/>
                <w:lang w:val="es-ES"/>
              </w:rPr>
              <w:t xml:space="preserve"> y </w:t>
            </w:r>
            <w:r w:rsidRPr="00164CCD">
              <w:rPr>
                <w:b/>
                <w:bCs/>
                <w:sz w:val="18"/>
                <w:szCs w:val="18"/>
                <w:lang w:val="es-ES"/>
              </w:rPr>
              <w:t>empresario</w:t>
            </w:r>
            <w:r w:rsidRPr="00164CCD">
              <w:rPr>
                <w:sz w:val="18"/>
                <w:szCs w:val="18"/>
                <w:lang w:val="es-ES"/>
              </w:rPr>
              <w:t xml:space="preserve"> y asignarse a instituciones distintas y apropiadas. De esta manera, las autoridades conservarán la responsabilidad de </w:t>
            </w:r>
            <w:r w:rsidRPr="00164CCD">
              <w:rPr>
                <w:b/>
                <w:bCs/>
                <w:sz w:val="18"/>
                <w:szCs w:val="18"/>
                <w:lang w:val="es-ES"/>
              </w:rPr>
              <w:t>formular la política</w:t>
            </w:r>
            <w:r w:rsidRPr="00164CCD">
              <w:rPr>
                <w:sz w:val="18"/>
                <w:szCs w:val="18"/>
                <w:lang w:val="es-ES"/>
              </w:rPr>
              <w:t xml:space="preserve">, un ente público separado dictará el </w:t>
            </w:r>
            <w:r w:rsidRPr="00164CCD">
              <w:rPr>
                <w:b/>
                <w:bCs/>
                <w:sz w:val="18"/>
                <w:szCs w:val="18"/>
                <w:lang w:val="es-ES"/>
              </w:rPr>
              <w:t>régimen reglamentario</w:t>
            </w:r>
            <w:r w:rsidRPr="00164CCD">
              <w:rPr>
                <w:sz w:val="18"/>
                <w:szCs w:val="18"/>
                <w:lang w:val="es-ES"/>
              </w:rPr>
              <w:t xml:space="preserve"> y se asignará al proveedor del servicio una función exclusivamente </w:t>
            </w:r>
            <w:r w:rsidRPr="00164CCD">
              <w:rPr>
                <w:b/>
                <w:bCs/>
                <w:sz w:val="18"/>
                <w:szCs w:val="18"/>
                <w:lang w:val="es-ES"/>
              </w:rPr>
              <w:t>empresarial</w:t>
            </w:r>
            <w:r w:rsidRPr="00164CCD">
              <w:rPr>
                <w:sz w:val="18"/>
                <w:szCs w:val="18"/>
                <w:lang w:val="es-ES"/>
              </w:rPr>
              <w:t>, sea ésta de propiedad estatal o privada. Esta Política reconoce, sin embargo, que la organización institucional no puede responder a un modelo único, debiendo adaptarse a las particularidades de cada sector y país. En varios países de la región, la responsabilidad de la formulación de políticas, la</w:t>
            </w:r>
            <w:r w:rsidRPr="009876DD">
              <w:rPr>
                <w:lang w:val="es-ES"/>
              </w:rPr>
              <w:t xml:space="preserve"> </w:t>
            </w:r>
            <w:r w:rsidRPr="00164CCD">
              <w:rPr>
                <w:sz w:val="18"/>
                <w:szCs w:val="18"/>
                <w:lang w:val="es-ES"/>
              </w:rPr>
              <w:t xml:space="preserve">regulación y la provisión de los servicios públicos domiciliarios reside en el ámbito local (provincial o municipal). En estos casos, en los cuales no necesariamente es óptimo separar los roles de formulación de políticas y de regulación, el Banco promoverá una regulación homogénea, con parámetros mínimos adecuados de calidad, </w:t>
            </w:r>
            <w:r w:rsidRPr="00164CCD">
              <w:rPr>
                <w:sz w:val="18"/>
                <w:szCs w:val="18"/>
                <w:lang w:val="es-ES"/>
              </w:rPr>
              <w:lastRenderedPageBreak/>
              <w:t xml:space="preserve">principios para la fijación de tarifas, y mecanismos de supervisión y control. Además, contribuirá a desarrollar mecanismos institucionales que fortalezcan la debida gestión en el marco de la legislación local. </w:t>
            </w:r>
          </w:p>
        </w:tc>
        <w:tc>
          <w:tcPr>
            <w:tcW w:w="3274" w:type="dxa"/>
            <w:shd w:val="clear" w:color="auto" w:fill="auto"/>
          </w:tcPr>
          <w:p w14:paraId="639D2389" w14:textId="77777777" w:rsidR="002F3018" w:rsidRPr="00164CCD" w:rsidRDefault="002F3018">
            <w:pPr>
              <w:jc w:val="both"/>
              <w:rPr>
                <w:sz w:val="18"/>
                <w:szCs w:val="18"/>
                <w:lang w:val="es-ES"/>
              </w:rPr>
            </w:pPr>
            <w:r w:rsidRPr="00164CCD">
              <w:rPr>
                <w:sz w:val="18"/>
                <w:szCs w:val="18"/>
                <w:lang w:val="es-ES"/>
              </w:rPr>
              <w:lastRenderedPageBreak/>
              <w:t>El Poder Ejecutivo es el responsable de la formulación de las políticas nacionales del sector. A su vez, el Ministerio de Vivienda, Ordenamiento Territorial y Medio Ambiente (MVOTMA) es quien propone las políticas respecto a los servicios, y el Ministerio de Salud Pública es el encargado de las políticas sanitarias vinculadas al control y abastecimiento de agua potable y el saneamiento.</w:t>
            </w:r>
          </w:p>
          <w:p w14:paraId="5D7B7AB1" w14:textId="77777777" w:rsidR="002F3018" w:rsidRPr="00164CCD" w:rsidRDefault="002F3018">
            <w:pPr>
              <w:jc w:val="both"/>
              <w:rPr>
                <w:sz w:val="18"/>
                <w:szCs w:val="18"/>
                <w:lang w:val="es-ES"/>
              </w:rPr>
            </w:pPr>
            <w:r w:rsidRPr="00164CCD">
              <w:rPr>
                <w:sz w:val="18"/>
                <w:szCs w:val="18"/>
                <w:lang w:val="es-ES"/>
              </w:rPr>
              <w:t>URSEA está a cargo de la regulación económica y de la calidad del servicio, la atención al usuario, el desarrollo de la normativa vinculada con aspectos regulatorios y el control de su cumplimiento.</w:t>
            </w:r>
          </w:p>
          <w:p w14:paraId="0522630C" w14:textId="2010EEAF" w:rsidR="00894CCD" w:rsidRPr="00164CCD" w:rsidRDefault="004D7494">
            <w:pPr>
              <w:jc w:val="both"/>
              <w:rPr>
                <w:sz w:val="18"/>
                <w:szCs w:val="18"/>
                <w:lang w:val="es-ES"/>
              </w:rPr>
            </w:pPr>
            <w:r w:rsidRPr="00164CCD">
              <w:rPr>
                <w:sz w:val="18"/>
                <w:szCs w:val="18"/>
                <w:lang w:val="es-ES"/>
              </w:rPr>
              <w:t>La administración de las Obras Sanitarias del Estado (OSE), que brinda el servicio de agua potable en todo el país y el de saneamiento en todo el país con excepción de Montevideo.</w:t>
            </w:r>
            <w:r w:rsidR="002F3018" w:rsidRPr="00164CCD">
              <w:rPr>
                <w:sz w:val="18"/>
                <w:szCs w:val="18"/>
                <w:lang w:val="es-ES"/>
              </w:rPr>
              <w:t xml:space="preserve"> </w:t>
            </w:r>
          </w:p>
        </w:tc>
      </w:tr>
      <w:tr w:rsidR="000F1306" w:rsidRPr="00847A10" w14:paraId="05226311" w14:textId="77777777" w:rsidTr="00164CCD">
        <w:trPr>
          <w:jc w:val="center"/>
        </w:trPr>
        <w:tc>
          <w:tcPr>
            <w:tcW w:w="1877" w:type="dxa"/>
            <w:shd w:val="clear" w:color="auto" w:fill="auto"/>
          </w:tcPr>
          <w:p w14:paraId="0522630E" w14:textId="77777777" w:rsidR="000F1306" w:rsidRPr="00164CCD" w:rsidRDefault="000F1306">
            <w:pPr>
              <w:ind w:left="330" w:hanging="150"/>
              <w:rPr>
                <w:i/>
                <w:iCs/>
                <w:sz w:val="18"/>
                <w:szCs w:val="18"/>
                <w:lang w:val="es-ES"/>
              </w:rPr>
            </w:pPr>
            <w:r w:rsidRPr="00164CCD">
              <w:rPr>
                <w:b/>
                <w:bCs/>
                <w:i/>
                <w:iCs/>
                <w:sz w:val="18"/>
                <w:szCs w:val="18"/>
                <w:lang w:val="es-ES"/>
              </w:rPr>
              <w:t>D. Establecer la estructura sectorial más apropiada en el contexto de las características del servicio y los objetivos de la política</w:t>
            </w:r>
          </w:p>
        </w:tc>
        <w:tc>
          <w:tcPr>
            <w:tcW w:w="3479" w:type="dxa"/>
            <w:gridSpan w:val="3"/>
            <w:shd w:val="clear" w:color="auto" w:fill="auto"/>
          </w:tcPr>
          <w:p w14:paraId="0522630F" w14:textId="77777777" w:rsidR="000F1306" w:rsidRPr="00164CCD" w:rsidRDefault="000F1306">
            <w:pPr>
              <w:rPr>
                <w:sz w:val="18"/>
                <w:szCs w:val="18"/>
                <w:lang w:val="es-ES"/>
              </w:rPr>
            </w:pPr>
            <w:r w:rsidRPr="00164CCD">
              <w:rPr>
                <w:sz w:val="18"/>
                <w:szCs w:val="18"/>
                <w:lang w:val="es-ES"/>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3274" w:type="dxa"/>
            <w:shd w:val="clear" w:color="auto" w:fill="auto"/>
          </w:tcPr>
          <w:p w14:paraId="05226310" w14:textId="77777777" w:rsidR="000F1306" w:rsidRPr="00164CCD" w:rsidRDefault="00894CCD">
            <w:pPr>
              <w:jc w:val="both"/>
              <w:rPr>
                <w:sz w:val="18"/>
                <w:szCs w:val="18"/>
                <w:lang w:val="es-ES"/>
              </w:rPr>
            </w:pPr>
            <w:r w:rsidRPr="00164CCD">
              <w:rPr>
                <w:sz w:val="18"/>
                <w:szCs w:val="18"/>
                <w:lang w:val="es-ES"/>
              </w:rPr>
              <w:t>Ver comentario anterior.</w:t>
            </w:r>
          </w:p>
        </w:tc>
      </w:tr>
      <w:tr w:rsidR="000F1306" w:rsidRPr="00164CCD" w14:paraId="05226319" w14:textId="77777777" w:rsidTr="00164CCD">
        <w:trPr>
          <w:jc w:val="center"/>
        </w:trPr>
        <w:tc>
          <w:tcPr>
            <w:tcW w:w="1877" w:type="dxa"/>
            <w:shd w:val="clear" w:color="auto" w:fill="auto"/>
          </w:tcPr>
          <w:p w14:paraId="05226312" w14:textId="77777777" w:rsidR="000F1306" w:rsidRPr="00164CCD" w:rsidRDefault="000F1306">
            <w:pPr>
              <w:ind w:left="330" w:hanging="150"/>
              <w:rPr>
                <w:i/>
                <w:iCs/>
                <w:sz w:val="18"/>
                <w:szCs w:val="18"/>
                <w:lang w:val="es-ES"/>
              </w:rPr>
            </w:pPr>
            <w:r w:rsidRPr="00164CCD">
              <w:rPr>
                <w:b/>
                <w:bCs/>
                <w:i/>
                <w:iCs/>
                <w:sz w:val="18"/>
                <w:szCs w:val="18"/>
                <w:lang w:val="es-ES"/>
              </w:rPr>
              <w:t>E.</w:t>
            </w:r>
            <w:r w:rsidRPr="00164CCD">
              <w:rPr>
                <w:i/>
                <w:iCs/>
                <w:lang w:val="es-ES"/>
              </w:rPr>
              <w:t xml:space="preserve"> </w:t>
            </w:r>
            <w:r w:rsidRPr="00164CCD">
              <w:rPr>
                <w:b/>
                <w:bCs/>
                <w:i/>
                <w:iCs/>
                <w:sz w:val="18"/>
                <w:szCs w:val="18"/>
                <w:lang w:val="es-ES"/>
              </w:rPr>
              <w:t>El rol de la regulación económica para incentivar la eficiencia, la inversión y proteger los derechos de los usuarios</w:t>
            </w:r>
          </w:p>
        </w:tc>
        <w:tc>
          <w:tcPr>
            <w:tcW w:w="3479" w:type="dxa"/>
            <w:gridSpan w:val="3"/>
            <w:shd w:val="clear" w:color="auto" w:fill="auto"/>
          </w:tcPr>
          <w:p w14:paraId="05226313" w14:textId="77777777" w:rsidR="000F1306" w:rsidRPr="00164CCD" w:rsidRDefault="000F1306">
            <w:pPr>
              <w:rPr>
                <w:sz w:val="18"/>
                <w:szCs w:val="18"/>
                <w:lang w:val="es-ES"/>
              </w:rPr>
            </w:pPr>
            <w:r w:rsidRPr="00164CCD">
              <w:rPr>
                <w:sz w:val="18"/>
                <w:szCs w:val="18"/>
                <w:lang w:val="es-ES"/>
              </w:rPr>
              <w:t>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para alcanzar la sostenibilidad financiera. La promoción de los derechos de los usuarios debe ser un objetivo primordial del proceso de regulación de los servicios. Así, la regulación debe lograr que las ganancias de eficiencia, alcanzadas en el tiempo por los proveedores de los servicios, se trasladen a los usuarios vía reducciones tarifarias o mediante mejoras en la calidad del servicio. Independientemente de la estructura sectorial y el 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3274" w:type="dxa"/>
            <w:shd w:val="clear" w:color="auto" w:fill="auto"/>
          </w:tcPr>
          <w:p w14:paraId="05226314" w14:textId="45B31B47" w:rsidR="005821B3" w:rsidRPr="00164CCD" w:rsidRDefault="00894CCD">
            <w:pPr>
              <w:jc w:val="both"/>
              <w:rPr>
                <w:sz w:val="18"/>
                <w:szCs w:val="18"/>
                <w:lang w:val="es-ES"/>
              </w:rPr>
            </w:pPr>
            <w:r w:rsidRPr="00164CCD">
              <w:rPr>
                <w:sz w:val="18"/>
                <w:szCs w:val="18"/>
                <w:lang w:val="es-ES"/>
              </w:rPr>
              <w:t xml:space="preserve">El rol de la regulación económica descrito el este párrafo “E.” está asumido por el Regulador </w:t>
            </w:r>
            <w:r w:rsidR="007577DF" w:rsidRPr="00164CCD">
              <w:rPr>
                <w:sz w:val="18"/>
                <w:szCs w:val="18"/>
                <w:lang w:val="es-ES"/>
              </w:rPr>
              <w:t>URSEA</w:t>
            </w:r>
            <w:r w:rsidRPr="00164CCD">
              <w:rPr>
                <w:sz w:val="18"/>
                <w:szCs w:val="18"/>
                <w:lang w:val="es-ES"/>
              </w:rPr>
              <w:t>.</w:t>
            </w:r>
          </w:p>
          <w:p w14:paraId="05226316" w14:textId="77777777" w:rsidR="005821B3" w:rsidRPr="00164CCD" w:rsidRDefault="005821B3">
            <w:pPr>
              <w:jc w:val="both"/>
              <w:rPr>
                <w:sz w:val="18"/>
                <w:szCs w:val="18"/>
                <w:lang w:val="es-ES"/>
              </w:rPr>
            </w:pPr>
          </w:p>
          <w:p w14:paraId="05226317" w14:textId="77777777" w:rsidR="000F1306" w:rsidRPr="00164CCD" w:rsidRDefault="000F1306">
            <w:pPr>
              <w:jc w:val="both"/>
              <w:rPr>
                <w:sz w:val="18"/>
                <w:szCs w:val="18"/>
                <w:lang w:val="es-ES"/>
              </w:rPr>
            </w:pPr>
          </w:p>
          <w:p w14:paraId="05226318" w14:textId="77777777" w:rsidR="000F1306" w:rsidRPr="00164CCD" w:rsidRDefault="000F1306">
            <w:pPr>
              <w:jc w:val="both"/>
              <w:rPr>
                <w:sz w:val="18"/>
                <w:szCs w:val="18"/>
                <w:lang w:val="es-ES"/>
              </w:rPr>
            </w:pPr>
            <w:r w:rsidRPr="00164CCD">
              <w:rPr>
                <w:sz w:val="18"/>
                <w:szCs w:val="18"/>
                <w:lang w:val="es-ES"/>
              </w:rPr>
              <w:t xml:space="preserve"> </w:t>
            </w:r>
          </w:p>
        </w:tc>
      </w:tr>
      <w:tr w:rsidR="000F1306" w:rsidRPr="00164CCD" w14:paraId="0522631E" w14:textId="77777777" w:rsidTr="00164CCD">
        <w:trPr>
          <w:jc w:val="center"/>
        </w:trPr>
        <w:tc>
          <w:tcPr>
            <w:tcW w:w="1877" w:type="dxa"/>
            <w:shd w:val="clear" w:color="auto" w:fill="auto"/>
          </w:tcPr>
          <w:p w14:paraId="0522631A" w14:textId="77777777" w:rsidR="000F1306" w:rsidRPr="00164CCD" w:rsidRDefault="000F1306">
            <w:pPr>
              <w:ind w:left="330" w:hanging="150"/>
              <w:rPr>
                <w:b/>
                <w:bCs/>
                <w:i/>
                <w:iCs/>
                <w:sz w:val="18"/>
                <w:szCs w:val="18"/>
                <w:lang w:val="es-ES"/>
              </w:rPr>
            </w:pPr>
            <w:r w:rsidRPr="00164CCD">
              <w:rPr>
                <w:b/>
                <w:bCs/>
                <w:i/>
                <w:iCs/>
                <w:sz w:val="18"/>
                <w:szCs w:val="18"/>
                <w:lang w:val="es-ES"/>
              </w:rPr>
              <w:t>F. Generar condiciones adecuadas para que la participación privada sea una opción viable para la provisión de servicios públicos domiciliarios</w:t>
            </w:r>
          </w:p>
        </w:tc>
        <w:tc>
          <w:tcPr>
            <w:tcW w:w="3479" w:type="dxa"/>
            <w:gridSpan w:val="3"/>
            <w:shd w:val="clear" w:color="auto" w:fill="auto"/>
          </w:tcPr>
          <w:p w14:paraId="0522631B" w14:textId="77777777" w:rsidR="000F1306" w:rsidRPr="00164CCD" w:rsidRDefault="000F1306">
            <w:pPr>
              <w:rPr>
                <w:sz w:val="18"/>
                <w:szCs w:val="18"/>
                <w:lang w:val="es-ES"/>
              </w:rPr>
            </w:pPr>
            <w:r w:rsidRPr="00164CCD">
              <w:rPr>
                <w:sz w:val="18"/>
                <w:szCs w:val="18"/>
                <w:lang w:val="es-ES"/>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w:t>
            </w:r>
            <w:r w:rsidRPr="00164CCD">
              <w:rPr>
                <w:sz w:val="18"/>
                <w:szCs w:val="18"/>
                <w:lang w:val="es-ES"/>
              </w:rPr>
              <w:lastRenderedPageBreak/>
              <w:t xml:space="preserve">o empresas de propiedad mixta, entre otras) es un instrumento clave para cerrar las brechas en la cantidad y calidad de los servicios domiciliarios en la región. </w:t>
            </w:r>
          </w:p>
        </w:tc>
        <w:tc>
          <w:tcPr>
            <w:tcW w:w="3274" w:type="dxa"/>
            <w:shd w:val="clear" w:color="auto" w:fill="auto"/>
          </w:tcPr>
          <w:p w14:paraId="35F06972" w14:textId="5653CDF8" w:rsidR="00B34463" w:rsidRPr="00164CCD" w:rsidRDefault="00B34463">
            <w:pPr>
              <w:jc w:val="both"/>
              <w:rPr>
                <w:sz w:val="18"/>
                <w:szCs w:val="18"/>
                <w:lang w:val="es-ES"/>
              </w:rPr>
            </w:pPr>
            <w:r w:rsidRPr="00164CCD">
              <w:rPr>
                <w:sz w:val="18"/>
                <w:szCs w:val="18"/>
                <w:lang w:val="es-ES"/>
              </w:rPr>
              <w:lastRenderedPageBreak/>
              <w:t xml:space="preserve">El </w:t>
            </w:r>
            <w:r w:rsidR="00981E15" w:rsidRPr="00164CCD">
              <w:rPr>
                <w:sz w:val="18"/>
                <w:szCs w:val="18"/>
                <w:lang w:val="es-ES"/>
              </w:rPr>
              <w:t>artículo</w:t>
            </w:r>
            <w:r w:rsidRPr="00164CCD">
              <w:rPr>
                <w:sz w:val="18"/>
                <w:szCs w:val="18"/>
                <w:lang w:val="es-ES"/>
              </w:rPr>
              <w:t xml:space="preserve"> 47 de la </w:t>
            </w:r>
            <w:r w:rsidR="00981E15" w:rsidRPr="00164CCD">
              <w:rPr>
                <w:sz w:val="18"/>
                <w:szCs w:val="18"/>
                <w:lang w:val="es-ES"/>
              </w:rPr>
              <w:t>Constitución</w:t>
            </w:r>
            <w:r w:rsidRPr="00164CCD">
              <w:rPr>
                <w:sz w:val="18"/>
                <w:szCs w:val="18"/>
                <w:lang w:val="es-ES"/>
              </w:rPr>
              <w:t xml:space="preserve"> establece, en su </w:t>
            </w:r>
            <w:r w:rsidR="00981E15" w:rsidRPr="00164CCD">
              <w:rPr>
                <w:sz w:val="18"/>
                <w:szCs w:val="18"/>
                <w:lang w:val="es-ES"/>
              </w:rPr>
              <w:t>numeral 3</w:t>
            </w:r>
            <w:r w:rsidRPr="00164CCD">
              <w:rPr>
                <w:sz w:val="18"/>
                <w:szCs w:val="18"/>
                <w:lang w:val="es-ES"/>
              </w:rPr>
              <w:t>, que el servicio público de saneamiento y el servicio público de abastecimiento de agua para el</w:t>
            </w:r>
          </w:p>
          <w:p w14:paraId="0522631C" w14:textId="68118FF6" w:rsidR="007E2508" w:rsidRPr="00164CCD" w:rsidRDefault="00B34463">
            <w:pPr>
              <w:jc w:val="both"/>
              <w:rPr>
                <w:sz w:val="18"/>
                <w:szCs w:val="18"/>
                <w:lang w:val="es-ES"/>
              </w:rPr>
            </w:pPr>
            <w:r w:rsidRPr="00164CCD">
              <w:rPr>
                <w:sz w:val="18"/>
                <w:szCs w:val="18"/>
                <w:lang w:val="es-ES"/>
              </w:rPr>
              <w:t>consumo humano serán prestados exclusiva y directamente por personas jurídicas estatales</w:t>
            </w:r>
            <w:r w:rsidR="00981E15" w:rsidRPr="00164CCD">
              <w:rPr>
                <w:sz w:val="18"/>
                <w:szCs w:val="18"/>
                <w:lang w:val="es-ES"/>
              </w:rPr>
              <w:t>.</w:t>
            </w:r>
          </w:p>
          <w:p w14:paraId="0522631D" w14:textId="77777777" w:rsidR="000F1306" w:rsidRPr="00164CCD" w:rsidRDefault="000F1306">
            <w:pPr>
              <w:jc w:val="both"/>
              <w:rPr>
                <w:sz w:val="18"/>
                <w:szCs w:val="18"/>
                <w:lang w:val="es-ES"/>
              </w:rPr>
            </w:pPr>
          </w:p>
        </w:tc>
      </w:tr>
      <w:tr w:rsidR="000F1306" w:rsidRPr="003B7C1E" w14:paraId="05226324" w14:textId="77777777" w:rsidTr="00164CCD">
        <w:trPr>
          <w:jc w:val="center"/>
        </w:trPr>
        <w:tc>
          <w:tcPr>
            <w:tcW w:w="1877" w:type="dxa"/>
            <w:shd w:val="clear" w:color="auto" w:fill="auto"/>
          </w:tcPr>
          <w:p w14:paraId="0522631F" w14:textId="77777777" w:rsidR="000F1306" w:rsidRPr="00164CCD" w:rsidRDefault="000F1306">
            <w:pPr>
              <w:ind w:left="330" w:hanging="150"/>
              <w:rPr>
                <w:b/>
                <w:bCs/>
                <w:i/>
                <w:iCs/>
                <w:sz w:val="18"/>
                <w:szCs w:val="18"/>
                <w:lang w:val="es-ES"/>
              </w:rPr>
            </w:pPr>
            <w:r w:rsidRPr="00164CCD">
              <w:rPr>
                <w:b/>
                <w:bCs/>
                <w:i/>
                <w:iCs/>
                <w:sz w:val="18"/>
                <w:szCs w:val="18"/>
                <w:lang w:val="es-ES"/>
              </w:rPr>
              <w:t>G. Fortalecer la gestión de la infraestructura utilizada para la prestación de los servicios públicos domiciliarios.</w:t>
            </w:r>
          </w:p>
        </w:tc>
        <w:tc>
          <w:tcPr>
            <w:tcW w:w="3479" w:type="dxa"/>
            <w:gridSpan w:val="3"/>
            <w:shd w:val="clear" w:color="auto" w:fill="auto"/>
          </w:tcPr>
          <w:p w14:paraId="05226320" w14:textId="77777777" w:rsidR="000F1306" w:rsidRPr="009876DD" w:rsidRDefault="000F1306" w:rsidP="000F1306">
            <w:pPr>
              <w:rPr>
                <w:sz w:val="18"/>
                <w:szCs w:val="18"/>
                <w:lang w:val="es-ES"/>
              </w:rPr>
            </w:pPr>
            <w:r w:rsidRPr="009876DD">
              <w:rPr>
                <w:sz w:val="18"/>
                <w:szCs w:val="18"/>
                <w:lang w:val="es-ES"/>
              </w:rPr>
              <w:t xml:space="preserve">Los ámbitos de acción más relevantes para optimizar la gestión de la infraestructura son: i) incentivar la eficiencia en la gestión de las empresas; ii) desarrollar e implementar políticas adecuadas y estables de mantenimiento de activos; y iii) optimizar el uso de la infraestructura a través de incentivos a la demanda. </w:t>
            </w:r>
          </w:p>
        </w:tc>
        <w:tc>
          <w:tcPr>
            <w:tcW w:w="3274" w:type="dxa"/>
            <w:shd w:val="clear" w:color="auto" w:fill="auto"/>
          </w:tcPr>
          <w:p w14:paraId="05226323" w14:textId="158246A6" w:rsidR="000F1306" w:rsidRPr="00164CCD" w:rsidRDefault="007C33EE">
            <w:pPr>
              <w:jc w:val="both"/>
              <w:rPr>
                <w:sz w:val="18"/>
                <w:szCs w:val="18"/>
                <w:lang w:val="es-ES"/>
              </w:rPr>
            </w:pPr>
            <w:r w:rsidRPr="00164CCD">
              <w:rPr>
                <w:sz w:val="18"/>
                <w:szCs w:val="18"/>
                <w:lang w:val="es-ES"/>
              </w:rPr>
              <w:t>La gestión de OSE es sólida, e implementa el proceso de mejora continua anualmente mediante su Plan de Acción, el cual cubre aspectos de: (i) Clientes y Agentes Externos; (ii) Finanzas; (iii) Sustentabilidad; (iv) Procesos Internos; y (v) Capital Interno</w:t>
            </w:r>
            <w:r w:rsidR="00AD2CE7" w:rsidRPr="00164CCD">
              <w:rPr>
                <w:sz w:val="18"/>
                <w:szCs w:val="18"/>
                <w:lang w:val="es-ES"/>
              </w:rPr>
              <w:t>. (Plan de Acción 2018)</w:t>
            </w:r>
          </w:p>
        </w:tc>
      </w:tr>
      <w:tr w:rsidR="000F1306" w:rsidRPr="00164CCD" w14:paraId="05226328" w14:textId="77777777" w:rsidTr="00164CCD">
        <w:trPr>
          <w:jc w:val="center"/>
        </w:trPr>
        <w:tc>
          <w:tcPr>
            <w:tcW w:w="1877" w:type="dxa"/>
            <w:shd w:val="clear" w:color="auto" w:fill="auto"/>
          </w:tcPr>
          <w:p w14:paraId="05226325" w14:textId="77777777" w:rsidR="000F1306" w:rsidRPr="009876DD" w:rsidRDefault="000F1306" w:rsidP="000F1306">
            <w:pPr>
              <w:rPr>
                <w:sz w:val="18"/>
                <w:szCs w:val="18"/>
                <w:lang w:val="es-ES"/>
              </w:rPr>
            </w:pPr>
            <w:r w:rsidRPr="00164CCD">
              <w:rPr>
                <w:b/>
                <w:bCs/>
                <w:sz w:val="18"/>
                <w:szCs w:val="18"/>
                <w:lang w:val="es-ES"/>
              </w:rPr>
              <w:t>3. Promover la innovación para fomentar la eficiencia, el acceso y la sostenibilidad ambiental</w:t>
            </w:r>
          </w:p>
        </w:tc>
        <w:tc>
          <w:tcPr>
            <w:tcW w:w="3479" w:type="dxa"/>
            <w:gridSpan w:val="3"/>
            <w:shd w:val="clear" w:color="auto" w:fill="auto"/>
          </w:tcPr>
          <w:p w14:paraId="05226326" w14:textId="77777777" w:rsidR="000F1306" w:rsidRPr="009876DD" w:rsidRDefault="000F1306" w:rsidP="000F1306">
            <w:pPr>
              <w:rPr>
                <w:sz w:val="18"/>
                <w:szCs w:val="18"/>
                <w:lang w:val="es-ES"/>
              </w:rPr>
            </w:pPr>
            <w:r w:rsidRPr="009876DD">
              <w:rPr>
                <w:sz w:val="18"/>
                <w:szCs w:val="18"/>
                <w:lang w:val="es-ES"/>
              </w:rPr>
              <w:t>Esta Política resalta el rol de la tecnología para incrementar el acceso con soluciones costo-efectivas, reducir los costos de mantenimiento y administrar el consumo, evitando inversiones innecesarias en mayor capacidad. La Política reconoce que se deberá contribuir a diseminar información sobre la adopción, financiamiento y esquemas de gestión de las soluciones tecnológicas más apropiadas para cada combinación particular de servicio público y características de la demanda.</w:t>
            </w:r>
          </w:p>
        </w:tc>
        <w:tc>
          <w:tcPr>
            <w:tcW w:w="3274" w:type="dxa"/>
            <w:shd w:val="clear" w:color="auto" w:fill="auto"/>
          </w:tcPr>
          <w:p w14:paraId="05226327" w14:textId="13A70A19" w:rsidR="000F1306" w:rsidRPr="009876DD" w:rsidRDefault="008F2CB0" w:rsidP="00563D9C">
            <w:pPr>
              <w:jc w:val="both"/>
              <w:rPr>
                <w:sz w:val="18"/>
                <w:szCs w:val="18"/>
                <w:lang w:val="es-ES"/>
              </w:rPr>
            </w:pPr>
            <w:r w:rsidRPr="00164CCD">
              <w:rPr>
                <w:sz w:val="18"/>
                <w:szCs w:val="18"/>
                <w:lang w:val="es-ES"/>
              </w:rPr>
              <w:t xml:space="preserve">Con la Cooperación Técnica UR-T1114, se financió </w:t>
            </w:r>
            <w:r w:rsidR="00FA712B" w:rsidRPr="00164CCD">
              <w:rPr>
                <w:sz w:val="18"/>
                <w:szCs w:val="18"/>
                <w:lang w:val="es-ES"/>
              </w:rPr>
              <w:t xml:space="preserve">el Plan director integral de saneamiento, drenaje pluvial, vialidad y espacios públicos de Ciudad del Plata. </w:t>
            </w:r>
            <w:r w:rsidR="001F6741" w:rsidRPr="00164CCD">
              <w:rPr>
                <w:sz w:val="18"/>
                <w:szCs w:val="18"/>
                <w:lang w:val="es-ES"/>
              </w:rPr>
              <w:t xml:space="preserve">Dicho estudio integral identificó la viabilidad técnica de </w:t>
            </w:r>
            <w:r w:rsidR="00135C57" w:rsidRPr="00164CCD">
              <w:rPr>
                <w:sz w:val="18"/>
                <w:szCs w:val="18"/>
                <w:lang w:val="es-ES"/>
              </w:rPr>
              <w:t>realizar las obras de redes de alcantarillado</w:t>
            </w:r>
            <w:r w:rsidR="001F6741" w:rsidRPr="00164CCD">
              <w:rPr>
                <w:sz w:val="18"/>
                <w:szCs w:val="18"/>
                <w:lang w:val="es-ES"/>
              </w:rPr>
              <w:t xml:space="preserve">, coordinadamente con las demás intervenciones definidas por el plan, como </w:t>
            </w:r>
            <w:proofErr w:type="gramStart"/>
            <w:r w:rsidR="00D5727E" w:rsidRPr="00164CCD">
              <w:rPr>
                <w:sz w:val="18"/>
                <w:szCs w:val="18"/>
                <w:lang w:val="es-ES"/>
              </w:rPr>
              <w:t xml:space="preserve">el </w:t>
            </w:r>
            <w:r w:rsidR="001F6741" w:rsidRPr="00164CCD">
              <w:rPr>
                <w:sz w:val="18"/>
                <w:szCs w:val="18"/>
                <w:lang w:val="es-ES"/>
              </w:rPr>
              <w:t xml:space="preserve"> drenaje</w:t>
            </w:r>
            <w:proofErr w:type="gramEnd"/>
            <w:r w:rsidR="001F6741" w:rsidRPr="00164CCD">
              <w:rPr>
                <w:sz w:val="18"/>
                <w:szCs w:val="18"/>
                <w:lang w:val="es-ES"/>
              </w:rPr>
              <w:t xml:space="preserve"> pluvial, la vialidad y los espacios públicos para dar una solución integral al barrio.</w:t>
            </w:r>
            <w:r w:rsidR="001F6741" w:rsidRPr="001F6741">
              <w:rPr>
                <w:sz w:val="18"/>
                <w:szCs w:val="18"/>
                <w:lang w:val="es-ES"/>
              </w:rPr>
              <w:t xml:space="preserve">  </w:t>
            </w:r>
          </w:p>
        </w:tc>
      </w:tr>
    </w:tbl>
    <w:p w14:paraId="05226329" w14:textId="77777777" w:rsidR="003B02C4" w:rsidRPr="000F1306" w:rsidRDefault="003B02C4" w:rsidP="00120449">
      <w:pPr>
        <w:rPr>
          <w:lang w:val="es-ES"/>
        </w:rPr>
      </w:pPr>
    </w:p>
    <w:sectPr w:rsidR="003B02C4" w:rsidRPr="000F1306" w:rsidSect="00164CCD">
      <w:head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C4ED1" w14:textId="77777777" w:rsidR="00426A57" w:rsidRDefault="00426A57" w:rsidP="00B72604">
      <w:r>
        <w:separator/>
      </w:r>
    </w:p>
  </w:endnote>
  <w:endnote w:type="continuationSeparator" w:id="0">
    <w:p w14:paraId="07C023CB" w14:textId="77777777" w:rsidR="00426A57" w:rsidRDefault="00426A57" w:rsidP="00B72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FAC5CF" w14:textId="77777777" w:rsidR="00426A57" w:rsidRDefault="00426A57" w:rsidP="00B72604">
      <w:r>
        <w:separator/>
      </w:r>
    </w:p>
  </w:footnote>
  <w:footnote w:type="continuationSeparator" w:id="0">
    <w:p w14:paraId="0DEBA211" w14:textId="77777777" w:rsidR="00426A57" w:rsidRDefault="00426A57" w:rsidP="00B726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168209085"/>
      <w:docPartObj>
        <w:docPartGallery w:val="Page Numbers (Top of Page)"/>
        <w:docPartUnique/>
      </w:docPartObj>
    </w:sdtPr>
    <w:sdtEndPr/>
    <w:sdtContent>
      <w:p w14:paraId="0522632E" w14:textId="2BCC1D03" w:rsidR="000F53F4" w:rsidRPr="00164CCD" w:rsidRDefault="0038272C" w:rsidP="00812BF8">
        <w:pPr>
          <w:pStyle w:val="Header"/>
          <w:tabs>
            <w:tab w:val="clear" w:pos="9360"/>
            <w:tab w:val="left" w:pos="8480"/>
          </w:tabs>
          <w:ind w:left="7200"/>
          <w:rPr>
            <w:rFonts w:ascii="Arial" w:hAnsi="Arial" w:cs="Arial"/>
            <w:sz w:val="20"/>
            <w:szCs w:val="20"/>
          </w:rPr>
        </w:pPr>
        <w:r w:rsidRPr="00164CCD">
          <w:rPr>
            <w:rFonts w:ascii="Arial" w:hAnsi="Arial" w:cs="Arial"/>
            <w:sz w:val="20"/>
            <w:szCs w:val="20"/>
          </w:rPr>
          <w:t>UR</w:t>
        </w:r>
        <w:r w:rsidR="000F53F4" w:rsidRPr="00164CCD">
          <w:rPr>
            <w:rFonts w:ascii="Arial" w:hAnsi="Arial" w:cs="Arial"/>
            <w:sz w:val="20"/>
            <w:szCs w:val="20"/>
          </w:rPr>
          <w:t>-L11</w:t>
        </w:r>
        <w:r w:rsidRPr="00164CCD">
          <w:rPr>
            <w:rFonts w:ascii="Arial" w:hAnsi="Arial" w:cs="Arial"/>
            <w:sz w:val="20"/>
            <w:szCs w:val="20"/>
          </w:rPr>
          <w:t>49</w:t>
        </w:r>
        <w:r w:rsidR="000F53F4" w:rsidRPr="00164CCD">
          <w:rPr>
            <w:rFonts w:ascii="Arial" w:hAnsi="Arial" w:cs="Arial"/>
            <w:sz w:val="20"/>
            <w:szCs w:val="20"/>
          </w:rPr>
          <w:tab/>
        </w:r>
      </w:p>
      <w:p w14:paraId="0522632F" w14:textId="5BA271EF" w:rsidR="000F53F4" w:rsidRPr="00164CCD" w:rsidRDefault="000F53F4" w:rsidP="00120449">
        <w:pPr>
          <w:pStyle w:val="Header"/>
          <w:ind w:left="7200"/>
          <w:rPr>
            <w:rFonts w:ascii="Arial" w:hAnsi="Arial" w:cs="Arial"/>
            <w:sz w:val="20"/>
            <w:szCs w:val="20"/>
          </w:rPr>
        </w:pPr>
        <w:r w:rsidRPr="00164CCD">
          <w:rPr>
            <w:rFonts w:ascii="Arial" w:hAnsi="Arial" w:cs="Arial"/>
            <w:sz w:val="20"/>
            <w:szCs w:val="20"/>
          </w:rPr>
          <w:t xml:space="preserve">Página </w:t>
        </w:r>
        <w:r w:rsidRPr="00164CCD">
          <w:rPr>
            <w:rFonts w:ascii="Arial" w:hAnsi="Arial" w:cs="Arial"/>
            <w:bCs/>
            <w:sz w:val="20"/>
            <w:szCs w:val="20"/>
          </w:rPr>
          <w:fldChar w:fldCharType="begin"/>
        </w:r>
        <w:r w:rsidRPr="00164CCD">
          <w:rPr>
            <w:rFonts w:ascii="Arial" w:hAnsi="Arial" w:cs="Arial"/>
            <w:bCs/>
            <w:sz w:val="20"/>
            <w:szCs w:val="20"/>
          </w:rPr>
          <w:instrText xml:space="preserve"> PAGE </w:instrText>
        </w:r>
        <w:r w:rsidRPr="00164CCD">
          <w:rPr>
            <w:rFonts w:ascii="Arial" w:hAnsi="Arial" w:cs="Arial"/>
            <w:bCs/>
            <w:sz w:val="20"/>
            <w:szCs w:val="20"/>
          </w:rPr>
          <w:fldChar w:fldCharType="separate"/>
        </w:r>
        <w:r w:rsidR="007D2B5A" w:rsidRPr="00164CCD">
          <w:rPr>
            <w:rFonts w:ascii="Arial" w:hAnsi="Arial" w:cs="Arial"/>
            <w:bCs/>
            <w:noProof/>
            <w:sz w:val="20"/>
            <w:szCs w:val="20"/>
          </w:rPr>
          <w:t>1</w:t>
        </w:r>
        <w:r w:rsidRPr="00164CCD">
          <w:rPr>
            <w:rFonts w:ascii="Arial" w:hAnsi="Arial" w:cs="Arial"/>
            <w:bCs/>
            <w:sz w:val="20"/>
            <w:szCs w:val="20"/>
          </w:rPr>
          <w:fldChar w:fldCharType="end"/>
        </w:r>
        <w:r w:rsidRPr="00164CCD">
          <w:rPr>
            <w:rFonts w:ascii="Arial" w:hAnsi="Arial" w:cs="Arial"/>
            <w:bCs/>
            <w:sz w:val="20"/>
            <w:szCs w:val="20"/>
          </w:rPr>
          <w:t xml:space="preserve"> </w:t>
        </w:r>
        <w:r w:rsidRPr="00164CCD">
          <w:rPr>
            <w:rFonts w:ascii="Arial" w:hAnsi="Arial" w:cs="Arial"/>
            <w:sz w:val="20"/>
            <w:szCs w:val="20"/>
          </w:rPr>
          <w:t xml:space="preserve">de </w:t>
        </w:r>
        <w:r w:rsidRPr="00164CCD">
          <w:rPr>
            <w:rFonts w:ascii="Arial" w:hAnsi="Arial" w:cs="Arial"/>
            <w:bCs/>
            <w:sz w:val="20"/>
            <w:szCs w:val="20"/>
          </w:rPr>
          <w:fldChar w:fldCharType="begin"/>
        </w:r>
        <w:r w:rsidRPr="00164CCD">
          <w:rPr>
            <w:rFonts w:ascii="Arial" w:hAnsi="Arial" w:cs="Arial"/>
            <w:bCs/>
            <w:sz w:val="20"/>
            <w:szCs w:val="20"/>
          </w:rPr>
          <w:instrText xml:space="preserve"> NUMPAGES  </w:instrText>
        </w:r>
        <w:r w:rsidRPr="00164CCD">
          <w:rPr>
            <w:rFonts w:ascii="Arial" w:hAnsi="Arial" w:cs="Arial"/>
            <w:bCs/>
            <w:sz w:val="20"/>
            <w:szCs w:val="20"/>
          </w:rPr>
          <w:fldChar w:fldCharType="separate"/>
        </w:r>
        <w:r w:rsidR="007D2B5A" w:rsidRPr="00164CCD">
          <w:rPr>
            <w:rFonts w:ascii="Arial" w:hAnsi="Arial" w:cs="Arial"/>
            <w:bCs/>
            <w:noProof/>
            <w:sz w:val="20"/>
            <w:szCs w:val="20"/>
          </w:rPr>
          <w:t>8</w:t>
        </w:r>
        <w:r w:rsidRPr="00164CCD">
          <w:rPr>
            <w:rFonts w:ascii="Arial" w:hAnsi="Arial" w:cs="Arial"/>
            <w:bCs/>
            <w:sz w:val="20"/>
            <w:szCs w:val="20"/>
          </w:rPr>
          <w:fldChar w:fldCharType="end"/>
        </w:r>
      </w:p>
    </w:sdtContent>
  </w:sdt>
  <w:p w14:paraId="05226330" w14:textId="77777777" w:rsidR="000F53F4" w:rsidRDefault="000F53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C1306"/>
    <w:multiLevelType w:val="hybridMultilevel"/>
    <w:tmpl w:val="0434AFC2"/>
    <w:lvl w:ilvl="0" w:tplc="A4888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F2B98"/>
    <w:multiLevelType w:val="multilevel"/>
    <w:tmpl w:val="4C2CC41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 w15:restartNumberingAfterBreak="0">
    <w:nsid w:val="0DAB7FC9"/>
    <w:multiLevelType w:val="multilevel"/>
    <w:tmpl w:val="7AFC8574"/>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15:restartNumberingAfterBreak="0">
    <w:nsid w:val="10D159F9"/>
    <w:multiLevelType w:val="hybridMultilevel"/>
    <w:tmpl w:val="591CF180"/>
    <w:lvl w:ilvl="0" w:tplc="D0ECA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0320B5"/>
    <w:multiLevelType w:val="multilevel"/>
    <w:tmpl w:val="7C5448D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5" w15:restartNumberingAfterBreak="0">
    <w:nsid w:val="1D79533A"/>
    <w:multiLevelType w:val="multilevel"/>
    <w:tmpl w:val="BA3076C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lvl>
    <w:lvl w:ilvl="2">
      <w:start w:val="1"/>
      <w:numFmt w:val="lowerLetter"/>
      <w:pStyle w:val="SubHeading1"/>
      <w:lvlText w:val="%3)"/>
      <w:lvlJc w:val="left"/>
      <w:pPr>
        <w:tabs>
          <w:tab w:val="num" w:pos="5976"/>
        </w:tabs>
        <w:ind w:left="5976" w:hanging="576"/>
      </w:pPr>
    </w:lvl>
    <w:lvl w:ilvl="3">
      <w:start w:val="1"/>
      <w:numFmt w:val="lowerRoman"/>
      <w:pStyle w:val="Subheading2"/>
      <w:lvlText w:val="(%4)"/>
      <w:lvlJc w:val="right"/>
      <w:pPr>
        <w:tabs>
          <w:tab w:val="num" w:pos="6480"/>
        </w:tabs>
        <w:ind w:left="6480" w:hanging="288"/>
      </w:pPr>
    </w:lvl>
    <w:lvl w:ilvl="4">
      <w:start w:val="1"/>
      <w:numFmt w:val="none"/>
      <w:lvlText w:val=""/>
      <w:lvlJc w:val="left"/>
      <w:pPr>
        <w:tabs>
          <w:tab w:val="num" w:pos="5112"/>
        </w:tabs>
        <w:ind w:left="5112" w:hanging="1008"/>
      </w:pPr>
    </w:lvl>
    <w:lvl w:ilvl="5">
      <w:start w:val="1"/>
      <w:numFmt w:val="none"/>
      <w:lvlText w:val=""/>
      <w:lvlJc w:val="left"/>
      <w:pPr>
        <w:tabs>
          <w:tab w:val="num" w:pos="5256"/>
        </w:tabs>
        <w:ind w:left="5256" w:hanging="1152"/>
      </w:pPr>
    </w:lvl>
    <w:lvl w:ilvl="6">
      <w:start w:val="1"/>
      <w:numFmt w:val="none"/>
      <w:lvlText w:val=""/>
      <w:lvlJc w:val="left"/>
      <w:pPr>
        <w:tabs>
          <w:tab w:val="num" w:pos="5400"/>
        </w:tabs>
        <w:ind w:left="5400" w:hanging="1296"/>
      </w:pPr>
    </w:lvl>
    <w:lvl w:ilvl="7">
      <w:start w:val="1"/>
      <w:numFmt w:val="none"/>
      <w:lvlText w:val=""/>
      <w:lvlJc w:val="left"/>
      <w:pPr>
        <w:tabs>
          <w:tab w:val="num" w:pos="5544"/>
        </w:tabs>
        <w:ind w:left="5544" w:hanging="1440"/>
      </w:pPr>
    </w:lvl>
    <w:lvl w:ilvl="8">
      <w:start w:val="1"/>
      <w:numFmt w:val="none"/>
      <w:lvlText w:val=""/>
      <w:lvlJc w:val="left"/>
      <w:pPr>
        <w:tabs>
          <w:tab w:val="num" w:pos="5688"/>
        </w:tabs>
        <w:ind w:left="5688" w:hanging="1584"/>
      </w:pPr>
    </w:lvl>
  </w:abstractNum>
  <w:num w:numId="1">
    <w:abstractNumId w:val="3"/>
  </w:num>
  <w:num w:numId="2">
    <w:abstractNumId w:val="0"/>
  </w:num>
  <w:num w:numId="3">
    <w:abstractNumId w:val="2"/>
  </w:num>
  <w:num w:numId="4">
    <w:abstractNumId w:val="4"/>
  </w:num>
  <w:num w:numId="5">
    <w:abstractNumId w:val="1"/>
  </w:num>
  <w:num w:numId="6">
    <w:abstractNumId w:val="5"/>
  </w:num>
  <w:num w:numId="7">
    <w:abstractNumId w:val="2"/>
    <w:lvlOverride w:ilvl="0">
      <w:startOverride w:val="544"/>
    </w:lvlOverride>
    <w:lvlOverride w:ilvl="1">
      <w:startOverride w:val="8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DF1"/>
    <w:rsid w:val="0001340C"/>
    <w:rsid w:val="00015D4F"/>
    <w:rsid w:val="000341C2"/>
    <w:rsid w:val="000568E4"/>
    <w:rsid w:val="00060E7F"/>
    <w:rsid w:val="00064F88"/>
    <w:rsid w:val="00066B5B"/>
    <w:rsid w:val="00071A12"/>
    <w:rsid w:val="00077E56"/>
    <w:rsid w:val="0008572D"/>
    <w:rsid w:val="000D6CE7"/>
    <w:rsid w:val="000E1F44"/>
    <w:rsid w:val="000F1306"/>
    <w:rsid w:val="000F2902"/>
    <w:rsid w:val="000F2E9C"/>
    <w:rsid w:val="000F53F4"/>
    <w:rsid w:val="000F5F71"/>
    <w:rsid w:val="00101141"/>
    <w:rsid w:val="00117FA1"/>
    <w:rsid w:val="00120449"/>
    <w:rsid w:val="00122520"/>
    <w:rsid w:val="00122913"/>
    <w:rsid w:val="00135C57"/>
    <w:rsid w:val="00144CC0"/>
    <w:rsid w:val="0014579B"/>
    <w:rsid w:val="00154CC9"/>
    <w:rsid w:val="00164CCD"/>
    <w:rsid w:val="001666EA"/>
    <w:rsid w:val="00191CD4"/>
    <w:rsid w:val="001923B1"/>
    <w:rsid w:val="00197176"/>
    <w:rsid w:val="001B55BB"/>
    <w:rsid w:val="001B675E"/>
    <w:rsid w:val="001F6741"/>
    <w:rsid w:val="002004C3"/>
    <w:rsid w:val="00206462"/>
    <w:rsid w:val="00216F3D"/>
    <w:rsid w:val="00217ABB"/>
    <w:rsid w:val="0022142A"/>
    <w:rsid w:val="00224644"/>
    <w:rsid w:val="00226150"/>
    <w:rsid w:val="00226B92"/>
    <w:rsid w:val="002427AE"/>
    <w:rsid w:val="002458DD"/>
    <w:rsid w:val="00272372"/>
    <w:rsid w:val="0027619C"/>
    <w:rsid w:val="00277E06"/>
    <w:rsid w:val="00287378"/>
    <w:rsid w:val="002B229F"/>
    <w:rsid w:val="002B5737"/>
    <w:rsid w:val="002B6E68"/>
    <w:rsid w:val="002C0486"/>
    <w:rsid w:val="002C40B3"/>
    <w:rsid w:val="002C6C2F"/>
    <w:rsid w:val="002D5CE0"/>
    <w:rsid w:val="002D7AB7"/>
    <w:rsid w:val="002E236F"/>
    <w:rsid w:val="002E3C4E"/>
    <w:rsid w:val="002E53CF"/>
    <w:rsid w:val="002E6D11"/>
    <w:rsid w:val="002F12C1"/>
    <w:rsid w:val="002F3018"/>
    <w:rsid w:val="0033068E"/>
    <w:rsid w:val="00354A6E"/>
    <w:rsid w:val="00357537"/>
    <w:rsid w:val="00367261"/>
    <w:rsid w:val="0038272C"/>
    <w:rsid w:val="003A14B3"/>
    <w:rsid w:val="003A7D44"/>
    <w:rsid w:val="003B02C4"/>
    <w:rsid w:val="003B1D41"/>
    <w:rsid w:val="003B2420"/>
    <w:rsid w:val="003B47BE"/>
    <w:rsid w:val="003B7C1E"/>
    <w:rsid w:val="003D3C2C"/>
    <w:rsid w:val="003D5B41"/>
    <w:rsid w:val="003D6315"/>
    <w:rsid w:val="003F4487"/>
    <w:rsid w:val="003F48CF"/>
    <w:rsid w:val="003F587E"/>
    <w:rsid w:val="003F7382"/>
    <w:rsid w:val="003F78EE"/>
    <w:rsid w:val="004138F9"/>
    <w:rsid w:val="00414837"/>
    <w:rsid w:val="00420DA6"/>
    <w:rsid w:val="00426A57"/>
    <w:rsid w:val="004359CD"/>
    <w:rsid w:val="00444A98"/>
    <w:rsid w:val="004479AD"/>
    <w:rsid w:val="00462588"/>
    <w:rsid w:val="00467A8A"/>
    <w:rsid w:val="00473544"/>
    <w:rsid w:val="0048033F"/>
    <w:rsid w:val="00494D55"/>
    <w:rsid w:val="00496A86"/>
    <w:rsid w:val="004B68C8"/>
    <w:rsid w:val="004C2D78"/>
    <w:rsid w:val="004C6BDE"/>
    <w:rsid w:val="004D7494"/>
    <w:rsid w:val="004D7636"/>
    <w:rsid w:val="004F1F7E"/>
    <w:rsid w:val="005057ED"/>
    <w:rsid w:val="00517E54"/>
    <w:rsid w:val="00517F89"/>
    <w:rsid w:val="00531A0D"/>
    <w:rsid w:val="00533433"/>
    <w:rsid w:val="00542B73"/>
    <w:rsid w:val="00547668"/>
    <w:rsid w:val="0055292C"/>
    <w:rsid w:val="00553263"/>
    <w:rsid w:val="0055741F"/>
    <w:rsid w:val="0056359E"/>
    <w:rsid w:val="00563D9C"/>
    <w:rsid w:val="0056478F"/>
    <w:rsid w:val="005676D8"/>
    <w:rsid w:val="00575D50"/>
    <w:rsid w:val="0057785A"/>
    <w:rsid w:val="005821B3"/>
    <w:rsid w:val="00590F44"/>
    <w:rsid w:val="005915E0"/>
    <w:rsid w:val="005941AF"/>
    <w:rsid w:val="005A45A8"/>
    <w:rsid w:val="005D1EFB"/>
    <w:rsid w:val="005D2F29"/>
    <w:rsid w:val="005F04E3"/>
    <w:rsid w:val="005F4BFB"/>
    <w:rsid w:val="00614E30"/>
    <w:rsid w:val="006169AD"/>
    <w:rsid w:val="006256DC"/>
    <w:rsid w:val="0062756A"/>
    <w:rsid w:val="006327F5"/>
    <w:rsid w:val="00640137"/>
    <w:rsid w:val="006408F8"/>
    <w:rsid w:val="0067714B"/>
    <w:rsid w:val="0068015B"/>
    <w:rsid w:val="00691441"/>
    <w:rsid w:val="0069471F"/>
    <w:rsid w:val="00697BF7"/>
    <w:rsid w:val="006B2755"/>
    <w:rsid w:val="006C23EB"/>
    <w:rsid w:val="006C2B99"/>
    <w:rsid w:val="006C69F4"/>
    <w:rsid w:val="006D22E2"/>
    <w:rsid w:val="006D2767"/>
    <w:rsid w:val="006D4A79"/>
    <w:rsid w:val="006E41BD"/>
    <w:rsid w:val="00702A16"/>
    <w:rsid w:val="00703D79"/>
    <w:rsid w:val="00704BC7"/>
    <w:rsid w:val="007146AD"/>
    <w:rsid w:val="00720A31"/>
    <w:rsid w:val="00727EE2"/>
    <w:rsid w:val="00735EDF"/>
    <w:rsid w:val="007577DF"/>
    <w:rsid w:val="007611E3"/>
    <w:rsid w:val="00762CE0"/>
    <w:rsid w:val="00764DA7"/>
    <w:rsid w:val="007839D8"/>
    <w:rsid w:val="00784F79"/>
    <w:rsid w:val="007A1C87"/>
    <w:rsid w:val="007A5503"/>
    <w:rsid w:val="007B322D"/>
    <w:rsid w:val="007B3542"/>
    <w:rsid w:val="007C01B6"/>
    <w:rsid w:val="007C31ED"/>
    <w:rsid w:val="007C33EE"/>
    <w:rsid w:val="007C72C6"/>
    <w:rsid w:val="007D2B5A"/>
    <w:rsid w:val="007E0404"/>
    <w:rsid w:val="007E2508"/>
    <w:rsid w:val="007E3287"/>
    <w:rsid w:val="00807584"/>
    <w:rsid w:val="00812BF8"/>
    <w:rsid w:val="00813650"/>
    <w:rsid w:val="00820D05"/>
    <w:rsid w:val="00830D4A"/>
    <w:rsid w:val="0083444A"/>
    <w:rsid w:val="00847A10"/>
    <w:rsid w:val="00847C6C"/>
    <w:rsid w:val="00861A4E"/>
    <w:rsid w:val="00866921"/>
    <w:rsid w:val="00870DB0"/>
    <w:rsid w:val="0087253F"/>
    <w:rsid w:val="008751CA"/>
    <w:rsid w:val="0088390E"/>
    <w:rsid w:val="008841BA"/>
    <w:rsid w:val="00894CCD"/>
    <w:rsid w:val="008957EA"/>
    <w:rsid w:val="0089733E"/>
    <w:rsid w:val="008B0C6D"/>
    <w:rsid w:val="008C0E36"/>
    <w:rsid w:val="008E0E4C"/>
    <w:rsid w:val="008E3A32"/>
    <w:rsid w:val="008E71BF"/>
    <w:rsid w:val="008F2CB0"/>
    <w:rsid w:val="008F3683"/>
    <w:rsid w:val="00901D3D"/>
    <w:rsid w:val="009044EA"/>
    <w:rsid w:val="00905BD5"/>
    <w:rsid w:val="009076BD"/>
    <w:rsid w:val="00912AE0"/>
    <w:rsid w:val="009572C5"/>
    <w:rsid w:val="00960729"/>
    <w:rsid w:val="00972ABE"/>
    <w:rsid w:val="00976B42"/>
    <w:rsid w:val="00981E15"/>
    <w:rsid w:val="0098478D"/>
    <w:rsid w:val="0098758F"/>
    <w:rsid w:val="009876DD"/>
    <w:rsid w:val="00991651"/>
    <w:rsid w:val="009934CD"/>
    <w:rsid w:val="00997FE5"/>
    <w:rsid w:val="009A016C"/>
    <w:rsid w:val="009A34A8"/>
    <w:rsid w:val="009A463C"/>
    <w:rsid w:val="009A5C2E"/>
    <w:rsid w:val="009B38CC"/>
    <w:rsid w:val="009C1A96"/>
    <w:rsid w:val="009C5D53"/>
    <w:rsid w:val="009D0850"/>
    <w:rsid w:val="009E6E3E"/>
    <w:rsid w:val="009F0873"/>
    <w:rsid w:val="009F15CA"/>
    <w:rsid w:val="009F7BD4"/>
    <w:rsid w:val="00A20997"/>
    <w:rsid w:val="00A44FC9"/>
    <w:rsid w:val="00A541BB"/>
    <w:rsid w:val="00A67558"/>
    <w:rsid w:val="00A72548"/>
    <w:rsid w:val="00A90601"/>
    <w:rsid w:val="00AA1821"/>
    <w:rsid w:val="00AA6446"/>
    <w:rsid w:val="00AB7080"/>
    <w:rsid w:val="00AC2264"/>
    <w:rsid w:val="00AC4360"/>
    <w:rsid w:val="00AC4A10"/>
    <w:rsid w:val="00AD0F07"/>
    <w:rsid w:val="00AD2CE7"/>
    <w:rsid w:val="00AE539F"/>
    <w:rsid w:val="00AF45AF"/>
    <w:rsid w:val="00B01479"/>
    <w:rsid w:val="00B34463"/>
    <w:rsid w:val="00B45D92"/>
    <w:rsid w:val="00B47D24"/>
    <w:rsid w:val="00B706DF"/>
    <w:rsid w:val="00B706F2"/>
    <w:rsid w:val="00B715E7"/>
    <w:rsid w:val="00B72604"/>
    <w:rsid w:val="00B8458F"/>
    <w:rsid w:val="00B95561"/>
    <w:rsid w:val="00BA2817"/>
    <w:rsid w:val="00BD68A5"/>
    <w:rsid w:val="00BE1B62"/>
    <w:rsid w:val="00BE384C"/>
    <w:rsid w:val="00BE5763"/>
    <w:rsid w:val="00BE6737"/>
    <w:rsid w:val="00BF1333"/>
    <w:rsid w:val="00BF34E9"/>
    <w:rsid w:val="00BF646D"/>
    <w:rsid w:val="00C057CF"/>
    <w:rsid w:val="00C11B5B"/>
    <w:rsid w:val="00C125C9"/>
    <w:rsid w:val="00C2511F"/>
    <w:rsid w:val="00C4656D"/>
    <w:rsid w:val="00C507CE"/>
    <w:rsid w:val="00C5368E"/>
    <w:rsid w:val="00C54D22"/>
    <w:rsid w:val="00C717F9"/>
    <w:rsid w:val="00C829A6"/>
    <w:rsid w:val="00C96383"/>
    <w:rsid w:val="00CA60A9"/>
    <w:rsid w:val="00CB77BC"/>
    <w:rsid w:val="00CE1909"/>
    <w:rsid w:val="00CE33C6"/>
    <w:rsid w:val="00CE5546"/>
    <w:rsid w:val="00D33947"/>
    <w:rsid w:val="00D40F37"/>
    <w:rsid w:val="00D4736E"/>
    <w:rsid w:val="00D50613"/>
    <w:rsid w:val="00D5534D"/>
    <w:rsid w:val="00D5727E"/>
    <w:rsid w:val="00D630FF"/>
    <w:rsid w:val="00D66FE8"/>
    <w:rsid w:val="00D756A5"/>
    <w:rsid w:val="00D76C97"/>
    <w:rsid w:val="00D77B05"/>
    <w:rsid w:val="00D802A5"/>
    <w:rsid w:val="00D8138A"/>
    <w:rsid w:val="00D9070D"/>
    <w:rsid w:val="00D974A1"/>
    <w:rsid w:val="00DA7E1A"/>
    <w:rsid w:val="00DB17B7"/>
    <w:rsid w:val="00DC1D42"/>
    <w:rsid w:val="00DC2213"/>
    <w:rsid w:val="00DC2FAD"/>
    <w:rsid w:val="00DC472F"/>
    <w:rsid w:val="00DF2C05"/>
    <w:rsid w:val="00DF688D"/>
    <w:rsid w:val="00E078BC"/>
    <w:rsid w:val="00E130F6"/>
    <w:rsid w:val="00E1537F"/>
    <w:rsid w:val="00E6177B"/>
    <w:rsid w:val="00E70C67"/>
    <w:rsid w:val="00E83AD9"/>
    <w:rsid w:val="00EA7CBD"/>
    <w:rsid w:val="00EB4D24"/>
    <w:rsid w:val="00EB73C6"/>
    <w:rsid w:val="00EC6D3B"/>
    <w:rsid w:val="00ED0DF1"/>
    <w:rsid w:val="00EE0FC0"/>
    <w:rsid w:val="00EE29E8"/>
    <w:rsid w:val="00EF0525"/>
    <w:rsid w:val="00F013C9"/>
    <w:rsid w:val="00F01F33"/>
    <w:rsid w:val="00F06490"/>
    <w:rsid w:val="00F17736"/>
    <w:rsid w:val="00F246AF"/>
    <w:rsid w:val="00F40992"/>
    <w:rsid w:val="00F46760"/>
    <w:rsid w:val="00F529C0"/>
    <w:rsid w:val="00F64670"/>
    <w:rsid w:val="00F65C6C"/>
    <w:rsid w:val="00F9446E"/>
    <w:rsid w:val="00F95C7E"/>
    <w:rsid w:val="00FA712B"/>
    <w:rsid w:val="00FA7917"/>
    <w:rsid w:val="00FC0D74"/>
    <w:rsid w:val="00FC5D15"/>
    <w:rsid w:val="00FE2B92"/>
    <w:rsid w:val="00FF16A0"/>
    <w:rsid w:val="072CD1CA"/>
    <w:rsid w:val="291D8010"/>
    <w:rsid w:val="42D34220"/>
    <w:rsid w:val="69DA82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262AA"/>
  <w15:docId w15:val="{558BE680-D26A-4BB0-9D23-8D205F940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0D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uiPriority w:val="34"/>
    <w:qFormat/>
    <w:rsid w:val="00F06490"/>
    <w:pPr>
      <w:ind w:left="720"/>
      <w:contextualSpacing/>
    </w:pPr>
  </w:style>
  <w:style w:type="paragraph" w:customStyle="1" w:styleId="Default">
    <w:name w:val="Default"/>
    <w:rsid w:val="0033068E"/>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D9070D"/>
    <w:rPr>
      <w:sz w:val="16"/>
      <w:szCs w:val="16"/>
    </w:rPr>
  </w:style>
  <w:style w:type="paragraph" w:styleId="CommentText">
    <w:name w:val="annotation text"/>
    <w:basedOn w:val="Normal"/>
    <w:link w:val="CommentTextChar"/>
    <w:uiPriority w:val="99"/>
    <w:semiHidden/>
    <w:unhideWhenUsed/>
    <w:rsid w:val="00D9070D"/>
    <w:rPr>
      <w:sz w:val="20"/>
      <w:szCs w:val="20"/>
    </w:rPr>
  </w:style>
  <w:style w:type="character" w:customStyle="1" w:styleId="CommentTextChar">
    <w:name w:val="Comment Text Char"/>
    <w:basedOn w:val="DefaultParagraphFont"/>
    <w:link w:val="CommentText"/>
    <w:uiPriority w:val="99"/>
    <w:semiHidden/>
    <w:rsid w:val="00D9070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9070D"/>
    <w:rPr>
      <w:b/>
      <w:bCs/>
    </w:rPr>
  </w:style>
  <w:style w:type="character" w:customStyle="1" w:styleId="CommentSubjectChar">
    <w:name w:val="Comment Subject Char"/>
    <w:basedOn w:val="CommentTextChar"/>
    <w:link w:val="CommentSubject"/>
    <w:uiPriority w:val="99"/>
    <w:semiHidden/>
    <w:rsid w:val="00D9070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9070D"/>
    <w:rPr>
      <w:rFonts w:ascii="Tahoma" w:hAnsi="Tahoma" w:cs="Tahoma"/>
      <w:sz w:val="16"/>
      <w:szCs w:val="16"/>
    </w:rPr>
  </w:style>
  <w:style w:type="character" w:customStyle="1" w:styleId="BalloonTextChar">
    <w:name w:val="Balloon Text Char"/>
    <w:basedOn w:val="DefaultParagraphFont"/>
    <w:link w:val="BalloonText"/>
    <w:uiPriority w:val="99"/>
    <w:semiHidden/>
    <w:rsid w:val="00D9070D"/>
    <w:rPr>
      <w:rFonts w:ascii="Tahoma" w:eastAsia="Times New Roman" w:hAnsi="Tahoma" w:cs="Tahoma"/>
      <w:sz w:val="16"/>
      <w:szCs w:val="16"/>
    </w:rPr>
  </w:style>
  <w:style w:type="paragraph" w:customStyle="1" w:styleId="Chapter">
    <w:name w:val="Chapter"/>
    <w:basedOn w:val="Normal"/>
    <w:next w:val="Normal"/>
    <w:uiPriority w:val="99"/>
    <w:rsid w:val="00B72604"/>
    <w:pPr>
      <w:numPr>
        <w:numId w:val="3"/>
      </w:numPr>
      <w:tabs>
        <w:tab w:val="left" w:pos="1440"/>
      </w:tabs>
      <w:spacing w:after="240"/>
      <w:jc w:val="center"/>
    </w:pPr>
    <w:rPr>
      <w:b/>
      <w:smallCaps/>
      <w:szCs w:val="20"/>
      <w:lang w:val="es-ES"/>
    </w:rPr>
  </w:style>
  <w:style w:type="paragraph" w:customStyle="1" w:styleId="Paragraph">
    <w:name w:val="Paragraph"/>
    <w:aliases w:val="p,PARAGRAPH,PG,pa,at,paragraph"/>
    <w:basedOn w:val="BodyTextIndent"/>
    <w:link w:val="ParagraphChar"/>
    <w:uiPriority w:val="99"/>
    <w:qFormat/>
    <w:rsid w:val="00B72604"/>
    <w:pPr>
      <w:numPr>
        <w:ilvl w:val="1"/>
        <w:numId w:val="3"/>
      </w:numPr>
      <w:tabs>
        <w:tab w:val="clear" w:pos="720"/>
      </w:tabs>
      <w:spacing w:before="120"/>
      <w:ind w:left="1440" w:hanging="360"/>
      <w:jc w:val="both"/>
      <w:outlineLvl w:val="1"/>
    </w:pPr>
    <w:rPr>
      <w:szCs w:val="20"/>
      <w:lang w:val="es-ES"/>
    </w:rPr>
  </w:style>
  <w:style w:type="paragraph" w:customStyle="1" w:styleId="subpar">
    <w:name w:val="subpar"/>
    <w:basedOn w:val="BodyTextIndent3"/>
    <w:uiPriority w:val="99"/>
    <w:rsid w:val="00B72604"/>
    <w:pPr>
      <w:numPr>
        <w:ilvl w:val="2"/>
        <w:numId w:val="3"/>
      </w:numPr>
      <w:tabs>
        <w:tab w:val="clear" w:pos="1152"/>
      </w:tabs>
      <w:spacing w:before="120"/>
      <w:ind w:left="2160" w:hanging="180"/>
      <w:jc w:val="both"/>
      <w:outlineLvl w:val="2"/>
    </w:pPr>
    <w:rPr>
      <w:sz w:val="24"/>
      <w:szCs w:val="20"/>
      <w:lang w:val="es-ES_tradnl"/>
    </w:rPr>
  </w:style>
  <w:style w:type="paragraph" w:customStyle="1" w:styleId="SubSubPar">
    <w:name w:val="SubSubPar"/>
    <w:basedOn w:val="subpar"/>
    <w:uiPriority w:val="99"/>
    <w:rsid w:val="00B72604"/>
    <w:pPr>
      <w:numPr>
        <w:ilvl w:val="3"/>
      </w:numPr>
      <w:tabs>
        <w:tab w:val="clear" w:pos="1584"/>
        <w:tab w:val="left" w:pos="0"/>
      </w:tabs>
      <w:ind w:left="2880" w:hanging="360"/>
    </w:pPr>
  </w:style>
  <w:style w:type="paragraph" w:styleId="FootnoteText">
    <w:name w:val="footnote text"/>
    <w:aliases w:val="fn,texto de nota al pie,Nota a pie/Bibliog,footnote,foottextfra,F,single space,footnote text,Texto de rodapé,nota_rodapé,nota de rodapé,Texto nota pie IIRSA,Texto nota pie Car Car,ft,Footnote Text Char Char,Char,Char Char Char Char"/>
    <w:basedOn w:val="Normal"/>
    <w:link w:val="FootnoteTextChar"/>
    <w:uiPriority w:val="99"/>
    <w:unhideWhenUsed/>
    <w:rsid w:val="00B72604"/>
    <w:rPr>
      <w:rFonts w:asciiTheme="minorHAnsi" w:eastAsiaTheme="minorEastAsia" w:hAnsiTheme="minorHAnsi" w:cstheme="minorBidi"/>
      <w:sz w:val="20"/>
      <w:szCs w:val="20"/>
    </w:rPr>
  </w:style>
  <w:style w:type="character" w:customStyle="1" w:styleId="FootnoteTextChar">
    <w:name w:val="Footnote Text Char"/>
    <w:aliases w:val="fn Char,texto de nota al pie Char,Nota a pie/Bibliog Char,footnote Char,foottextfra Char,F Char,single space Char,footnote text Char,Texto de rodapé Char,nota_rodapé Char,nota de rodapé Char,Texto nota pie IIRSA Char,ft Char,Char Char"/>
    <w:basedOn w:val="DefaultParagraphFont"/>
    <w:link w:val="FootnoteText"/>
    <w:uiPriority w:val="99"/>
    <w:rsid w:val="00B72604"/>
    <w:rPr>
      <w:rFonts w:eastAsiaTheme="minorEastAsia"/>
      <w:sz w:val="20"/>
      <w:szCs w:val="20"/>
    </w:rPr>
  </w:style>
  <w:style w:type="character" w:styleId="FootnoteReference">
    <w:name w:val="footnote reference"/>
    <w:aliases w:val="FC,referencia nota al pie,Ref. de nota al pie.,BVI fnr Char Char Char Char Char Char Char Char,BVI fnr Car Car Char Char Char Char Char Char Char Char,BVI fnr Car Char Char Char Char Char Char Char Char Char,BVI fnr,titulo 2,16 Point"/>
    <w:basedOn w:val="DefaultParagraphFont"/>
    <w:link w:val="BVIfnrCharCharCharCharCharCharChar"/>
    <w:uiPriority w:val="99"/>
    <w:unhideWhenUsed/>
    <w:rsid w:val="00B72604"/>
    <w:rPr>
      <w:vertAlign w:val="superscript"/>
    </w:rPr>
  </w:style>
  <w:style w:type="paragraph" w:styleId="BodyTextIndent">
    <w:name w:val="Body Text Indent"/>
    <w:basedOn w:val="Normal"/>
    <w:link w:val="BodyTextIndentChar"/>
    <w:uiPriority w:val="99"/>
    <w:semiHidden/>
    <w:unhideWhenUsed/>
    <w:rsid w:val="00B72604"/>
    <w:pPr>
      <w:spacing w:after="120"/>
      <w:ind w:left="360"/>
    </w:pPr>
  </w:style>
  <w:style w:type="character" w:customStyle="1" w:styleId="BodyTextIndentChar">
    <w:name w:val="Body Text Indent Char"/>
    <w:basedOn w:val="DefaultParagraphFont"/>
    <w:link w:val="BodyTextIndent"/>
    <w:uiPriority w:val="99"/>
    <w:semiHidden/>
    <w:rsid w:val="00B72604"/>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B7260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72604"/>
    <w:rPr>
      <w:rFonts w:ascii="Times New Roman" w:eastAsia="Times New Roman" w:hAnsi="Times New Roman" w:cs="Times New Roman"/>
      <w:sz w:val="16"/>
      <w:szCs w:val="16"/>
    </w:rPr>
  </w:style>
  <w:style w:type="character" w:customStyle="1" w:styleId="Heading7Char">
    <w:name w:val="Heading 7 Char"/>
    <w:rsid w:val="006D4A79"/>
    <w:rPr>
      <w:rFonts w:ascii="Arial" w:eastAsia="Times New Roman" w:hAnsi="Arial" w:cs="Times New Roman"/>
      <w:sz w:val="24"/>
      <w:szCs w:val="20"/>
    </w:rPr>
  </w:style>
  <w:style w:type="paragraph" w:customStyle="1" w:styleId="FirstHeading">
    <w:name w:val="FirstHeading"/>
    <w:basedOn w:val="Normal"/>
    <w:rsid w:val="002B6E68"/>
    <w:pPr>
      <w:keepNext/>
      <w:numPr>
        <w:numId w:val="6"/>
      </w:numPr>
      <w:tabs>
        <w:tab w:val="left" w:pos="0"/>
        <w:tab w:val="left" w:pos="86"/>
      </w:tabs>
      <w:spacing w:before="120" w:after="120"/>
    </w:pPr>
    <w:rPr>
      <w:b/>
      <w:lang w:val="es-ES_tradnl"/>
    </w:rPr>
  </w:style>
  <w:style w:type="paragraph" w:customStyle="1" w:styleId="SecHeading">
    <w:name w:val="SecHeading"/>
    <w:basedOn w:val="Normal"/>
    <w:next w:val="Normal"/>
    <w:rsid w:val="002B6E68"/>
    <w:pPr>
      <w:keepNext/>
      <w:numPr>
        <w:ilvl w:val="1"/>
        <w:numId w:val="6"/>
      </w:numPr>
      <w:tabs>
        <w:tab w:val="clear" w:pos="5400"/>
        <w:tab w:val="num" w:pos="1296"/>
      </w:tabs>
      <w:spacing w:before="120" w:after="120"/>
      <w:ind w:left="1296"/>
    </w:pPr>
    <w:rPr>
      <w:b/>
      <w:lang w:val="es-ES_tradnl"/>
    </w:rPr>
  </w:style>
  <w:style w:type="paragraph" w:customStyle="1" w:styleId="SubHeading1">
    <w:name w:val="SubHeading1"/>
    <w:basedOn w:val="SecHeading"/>
    <w:rsid w:val="002B6E68"/>
    <w:pPr>
      <w:numPr>
        <w:ilvl w:val="2"/>
      </w:numPr>
      <w:tabs>
        <w:tab w:val="clear" w:pos="5976"/>
        <w:tab w:val="num" w:pos="1872"/>
      </w:tabs>
      <w:ind w:left="1872"/>
    </w:pPr>
  </w:style>
  <w:style w:type="paragraph" w:customStyle="1" w:styleId="Subheading2">
    <w:name w:val="Subheading2"/>
    <w:basedOn w:val="SecHeading"/>
    <w:rsid w:val="002B6E68"/>
    <w:pPr>
      <w:numPr>
        <w:ilvl w:val="3"/>
      </w:numPr>
      <w:tabs>
        <w:tab w:val="clear" w:pos="6480"/>
        <w:tab w:val="num" w:pos="2376"/>
      </w:tabs>
      <w:ind w:left="2376"/>
    </w:pPr>
  </w:style>
  <w:style w:type="paragraph" w:customStyle="1" w:styleId="BVIfnrCharCharCharCharCharCharChar">
    <w:name w:val="BVI fnr Char Char Char Char Char Char Char"/>
    <w:aliases w:val="BVI fnr Car Car Char Char Char Char Char Char Char,BVI fnr Car Char Char Char Char Char Char Char"/>
    <w:basedOn w:val="Normal"/>
    <w:link w:val="FootnoteReference"/>
    <w:rsid w:val="002B6E68"/>
    <w:pPr>
      <w:spacing w:after="160" w:line="240" w:lineRule="exact"/>
    </w:pPr>
    <w:rPr>
      <w:rFonts w:asciiTheme="minorHAnsi" w:eastAsiaTheme="minorHAnsi" w:hAnsiTheme="minorHAnsi" w:cstheme="minorBidi"/>
      <w:sz w:val="22"/>
      <w:szCs w:val="22"/>
      <w:vertAlign w:val="superscript"/>
    </w:rPr>
  </w:style>
  <w:style w:type="character" w:customStyle="1" w:styleId="ParagraphChar">
    <w:name w:val="Paragraph Char"/>
    <w:link w:val="Paragraph"/>
    <w:uiPriority w:val="99"/>
    <w:locked/>
    <w:rsid w:val="00B47D24"/>
    <w:rPr>
      <w:rFonts w:ascii="Times New Roman" w:eastAsia="Times New Roman" w:hAnsi="Times New Roman" w:cs="Times New Roman"/>
      <w:sz w:val="24"/>
      <w:szCs w:val="20"/>
      <w:lang w:val="es-ES"/>
    </w:rPr>
  </w:style>
  <w:style w:type="paragraph" w:styleId="Header">
    <w:name w:val="header"/>
    <w:basedOn w:val="Normal"/>
    <w:link w:val="HeaderChar"/>
    <w:uiPriority w:val="99"/>
    <w:unhideWhenUsed/>
    <w:rsid w:val="00120449"/>
    <w:pPr>
      <w:tabs>
        <w:tab w:val="center" w:pos="4680"/>
        <w:tab w:val="right" w:pos="9360"/>
      </w:tabs>
    </w:pPr>
  </w:style>
  <w:style w:type="character" w:customStyle="1" w:styleId="HeaderChar">
    <w:name w:val="Header Char"/>
    <w:basedOn w:val="DefaultParagraphFont"/>
    <w:link w:val="Header"/>
    <w:uiPriority w:val="99"/>
    <w:rsid w:val="0012044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20449"/>
    <w:pPr>
      <w:tabs>
        <w:tab w:val="center" w:pos="4680"/>
        <w:tab w:val="right" w:pos="9360"/>
      </w:tabs>
    </w:pPr>
  </w:style>
  <w:style w:type="character" w:customStyle="1" w:styleId="FooterChar">
    <w:name w:val="Footer Char"/>
    <w:basedOn w:val="DefaultParagraphFont"/>
    <w:link w:val="Footer"/>
    <w:uiPriority w:val="99"/>
    <w:rsid w:val="00120449"/>
    <w:rPr>
      <w:rFonts w:ascii="Times New Roman" w:eastAsia="Times New Roman" w:hAnsi="Times New Roman" w:cs="Times New Roman"/>
      <w:sz w:val="24"/>
      <w:szCs w:val="24"/>
    </w:rPr>
  </w:style>
  <w:style w:type="paragraph" w:styleId="Revision">
    <w:name w:val="Revision"/>
    <w:hidden/>
    <w:uiPriority w:val="99"/>
    <w:semiHidden/>
    <w:rsid w:val="00D50613"/>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05BD5"/>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638544">
      <w:bodyDiv w:val="1"/>
      <w:marLeft w:val="0"/>
      <w:marRight w:val="0"/>
      <w:marTop w:val="0"/>
      <w:marBottom w:val="0"/>
      <w:divBdr>
        <w:top w:val="none" w:sz="0" w:space="0" w:color="auto"/>
        <w:left w:val="none" w:sz="0" w:space="0" w:color="auto"/>
        <w:bottom w:val="none" w:sz="0" w:space="0" w:color="auto"/>
        <w:right w:val="none" w:sz="0" w:space="0" w:color="auto"/>
      </w:divBdr>
    </w:div>
    <w:div w:id="1085344569">
      <w:bodyDiv w:val="1"/>
      <w:marLeft w:val="0"/>
      <w:marRight w:val="0"/>
      <w:marTop w:val="0"/>
      <w:marBottom w:val="0"/>
      <w:divBdr>
        <w:top w:val="none" w:sz="0" w:space="0" w:color="auto"/>
        <w:left w:val="none" w:sz="0" w:space="0" w:color="auto"/>
        <w:bottom w:val="none" w:sz="0" w:space="0" w:color="auto"/>
        <w:right w:val="none" w:sz="0" w:space="0" w:color="auto"/>
      </w:divBdr>
    </w:div>
    <w:div w:id="117676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Lopez, Liliana M.</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58dede58-0f72-4d2f-8205-0b2af4d108e7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TaxCatchAll xmlns="cdc7663a-08f0-4737-9e8c-148ce897a09c">
      <Value>97</Value>
      <Value>32</Value>
      <Value>44</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UR-L1149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R0001258967</Record_x0020_Number>
    <_dlc_DocId xmlns="cdc7663a-08f0-4737-9e8c-148ce897a09c">EZSHARE-1419195803-32</_dlc_DocId>
    <_dlc_DocIdUrl xmlns="cdc7663a-08f0-4737-9e8c-148ce897a09c">
      <Url>https://idbg.sharepoint.com/teams/EZ-UR-LON/UR-L1149/_layouts/15/DocIdRedir.aspx?ID=EZSHARE-1419195803-32</Url>
      <Description>EZSHARE-1419195803-32</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93785A42A6BD04F938879E944375909" ma:contentTypeVersion="500" ma:contentTypeDescription="A content type to manage public (operations) IDB documents" ma:contentTypeScope="" ma:versionID="11cd21182fc16826598cb07bb9a315ad">
  <xsd:schema xmlns:xsd="http://www.w3.org/2001/XMLSchema" xmlns:xs="http://www.w3.org/2001/XMLSchema" xmlns:p="http://schemas.microsoft.com/office/2006/metadata/properties" xmlns:ns2="cdc7663a-08f0-4737-9e8c-148ce897a09c" targetNamespace="http://schemas.microsoft.com/office/2006/metadata/properties" ma:root="true" ma:fieldsID="ed931a9cecf5c2b91ccbf646c3d5269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UR-L114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A0A55-A7C5-4F6C-9E61-5EAECBD88312}">
  <ds:schemaRefs>
    <ds:schemaRef ds:uri="http://schemas.microsoft.com/sharepoint/v3/contenttype/forms"/>
  </ds:schemaRefs>
</ds:datastoreItem>
</file>

<file path=customXml/itemProps2.xml><?xml version="1.0" encoding="utf-8"?>
<ds:datastoreItem xmlns:ds="http://schemas.openxmlformats.org/officeDocument/2006/customXml" ds:itemID="{E53C98B8-AA5B-4351-9F03-B73EEDD138D7}">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A0ECDB23-8977-4572-998F-1C4539336048}"/>
</file>

<file path=customXml/itemProps4.xml><?xml version="1.0" encoding="utf-8"?>
<ds:datastoreItem xmlns:ds="http://schemas.openxmlformats.org/officeDocument/2006/customXml" ds:itemID="{A6B209B1-26C1-440E-9C1D-6499D6DEFD5F}"/>
</file>

<file path=customXml/itemProps5.xml><?xml version="1.0" encoding="utf-8"?>
<ds:datastoreItem xmlns:ds="http://schemas.openxmlformats.org/officeDocument/2006/customXml" ds:itemID="{F67203E1-C51A-4A0D-A32F-03C0A3A49765}">
  <ds:schemaRefs>
    <ds:schemaRef ds:uri="http://schemas.microsoft.com/sharepoint/events"/>
  </ds:schemaRefs>
</ds:datastoreItem>
</file>

<file path=customXml/itemProps6.xml><?xml version="1.0" encoding="utf-8"?>
<ds:datastoreItem xmlns:ds="http://schemas.openxmlformats.org/officeDocument/2006/customXml" ds:itemID="{936BB236-B59B-4127-9A76-54FDCE4B6AA7}"/>
</file>

<file path=customXml/itemProps7.xml><?xml version="1.0" encoding="utf-8"?>
<ds:datastoreItem xmlns:ds="http://schemas.openxmlformats.org/officeDocument/2006/customXml" ds:itemID="{FCFAA607-1E6C-4E8F-9D0F-3E1ADCFB1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2925</Words>
  <Characters>16675</Characters>
  <Application>Microsoft Office Word</Application>
  <DocSecurity>0</DocSecurity>
  <Lines>138</Lines>
  <Paragraphs>39</Paragraphs>
  <ScaleCrop>false</ScaleCrop>
  <Company>Inter-American Development Bank</Company>
  <LinksUpToDate>false</LinksUpToDate>
  <CharactersWithSpaces>19561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Inter-American Development Bank</dc:creator>
  <cp:keywords/>
  <cp:lastModifiedBy>Machado, Kleber B.</cp:lastModifiedBy>
  <cp:revision>8</cp:revision>
  <cp:lastPrinted>2017-08-30T17:53:00Z</cp:lastPrinted>
  <dcterms:created xsi:type="dcterms:W3CDTF">2018-08-28T20:01:00Z</dcterms:created>
  <dcterms:modified xsi:type="dcterms:W3CDTF">2018-08-30T19:12:00Z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97;#WATER AND SANITATION|58dede58-0f72-4d2f-8205-0b2af4d108e7</vt:lpwstr>
  </property>
  <property fmtid="{D5CDD505-2E9C-101B-9397-08002B2CF9AE}" pid="7" name="Fund IDB">
    <vt:lpwstr/>
  </property>
  <property fmtid="{D5CDD505-2E9C-101B-9397-08002B2CF9AE}" pid="8" name="Country">
    <vt:lpwstr>32;#Uruguay|5d9b6fdd-d595-4446-a0eb-c14b465f6d0e</vt:lpwstr>
  </property>
  <property fmtid="{D5CDD505-2E9C-101B-9397-08002B2CF9AE}" pid="9" name="Sector IDB">
    <vt:lpwstr>44;#WATER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c202589a-5f7d-4bb9-b8d0-081dbb49d0d3</vt:lpwstr>
  </property>
  <property fmtid="{D5CDD505-2E9C-101B-9397-08002B2CF9AE}" pid="12" name="RecordStorageActiveId">
    <vt:lpwstr>702df874-b497-4392-8681-9712e54b9f51</vt:lpwstr>
  </property>
  <property fmtid="{D5CDD505-2E9C-101B-9397-08002B2CF9AE}" pid="13" name="ContentTypeId">
    <vt:lpwstr>0x0101001A458A224826124E8B45B1D613300CFC00993785A42A6BD04F938879E944375909</vt:lpwstr>
  </property>
</Properties>
</file>