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14B6" w14:textId="72A3F473" w:rsidR="00D761FB" w:rsidRPr="00DC06E2" w:rsidRDefault="00546C8D" w:rsidP="00DC06E2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Arial" w:eastAsiaTheme="minorEastAsia" w:hAnsi="Arial" w:cs="Arial"/>
          <w:sz w:val="22"/>
          <w:szCs w:val="22"/>
          <w:u w:val="single"/>
          <w:lang w:val="es-PA"/>
        </w:rPr>
      </w:pPr>
      <w:r w:rsidRPr="00DC06E2">
        <w:rPr>
          <w:rFonts w:ascii="Arial" w:eastAsiaTheme="minorEastAsia" w:hAnsi="Arial" w:cs="Arial"/>
          <w:smallCaps w:val="0"/>
          <w:sz w:val="22"/>
          <w:szCs w:val="22"/>
          <w:u w:val="single"/>
          <w:lang w:val="es-PA"/>
        </w:rPr>
        <w:t xml:space="preserve">SOLICITUD DE </w:t>
      </w:r>
      <w:r w:rsidR="00E82ED1" w:rsidRPr="00DC06E2">
        <w:rPr>
          <w:rFonts w:ascii="Arial" w:eastAsiaTheme="minorEastAsia" w:hAnsi="Arial" w:cs="Arial"/>
          <w:smallCaps w:val="0"/>
          <w:sz w:val="22"/>
          <w:szCs w:val="22"/>
          <w:u w:val="single"/>
          <w:lang w:val="es-PA"/>
        </w:rPr>
        <w:t xml:space="preserve">EXPRESIONES </w:t>
      </w:r>
      <w:r w:rsidRPr="00DC06E2">
        <w:rPr>
          <w:rFonts w:ascii="Arial" w:eastAsiaTheme="minorEastAsia" w:hAnsi="Arial" w:cs="Arial"/>
          <w:smallCaps w:val="0"/>
          <w:sz w:val="22"/>
          <w:szCs w:val="22"/>
          <w:u w:val="single"/>
          <w:lang w:val="es-PA"/>
        </w:rPr>
        <w:t>DE INTERÉS</w:t>
      </w:r>
    </w:p>
    <w:p w14:paraId="32A39256" w14:textId="77777777" w:rsidR="00D761FB" w:rsidRPr="00DC06E2" w:rsidRDefault="00546C8D" w:rsidP="00DC06E2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="Arial" w:eastAsiaTheme="minorEastAsia" w:hAnsi="Arial" w:cs="Arial"/>
          <w:sz w:val="22"/>
          <w:szCs w:val="22"/>
          <w:u w:val="single"/>
        </w:rPr>
      </w:pPr>
      <w:r w:rsidRPr="00DC06E2">
        <w:rPr>
          <w:rFonts w:ascii="Arial" w:eastAsiaTheme="minorEastAsia" w:hAnsi="Arial" w:cs="Arial"/>
          <w:smallCaps w:val="0"/>
          <w:sz w:val="22"/>
          <w:szCs w:val="22"/>
          <w:u w:val="single"/>
        </w:rPr>
        <w:t>SERVICIOS DE CONSULTORÍA</w:t>
      </w:r>
    </w:p>
    <w:p w14:paraId="2E615853" w14:textId="77777777" w:rsidR="00D761FB" w:rsidRPr="00DC06E2" w:rsidRDefault="00D761FB" w:rsidP="00DC06E2">
      <w:pPr>
        <w:jc w:val="both"/>
        <w:rPr>
          <w:color w:val="auto"/>
          <w:sz w:val="22"/>
          <w:szCs w:val="22"/>
        </w:rPr>
      </w:pPr>
    </w:p>
    <w:p w14:paraId="628BF229" w14:textId="0B47E408" w:rsidR="00D761FB" w:rsidRPr="00DC06E2" w:rsidRDefault="08202347" w:rsidP="00DC06E2">
      <w:pPr>
        <w:suppressAutoHyphens/>
        <w:spacing w:after="80"/>
        <w:jc w:val="both"/>
        <w:rPr>
          <w:color w:val="auto"/>
          <w:sz w:val="22"/>
          <w:szCs w:val="22"/>
        </w:rPr>
      </w:pPr>
      <w:r w:rsidRPr="00DC06E2">
        <w:rPr>
          <w:b/>
          <w:color w:val="auto"/>
          <w:sz w:val="22"/>
          <w:szCs w:val="22"/>
        </w:rPr>
        <w:t>Selección #:</w:t>
      </w:r>
      <w:r w:rsidRPr="00DC06E2">
        <w:rPr>
          <w:color w:val="auto"/>
          <w:sz w:val="22"/>
          <w:szCs w:val="22"/>
        </w:rPr>
        <w:t xml:space="preserve"> </w:t>
      </w:r>
      <w:r w:rsidR="006B6690" w:rsidRPr="00DC06E2">
        <w:rPr>
          <w:color w:val="auto"/>
          <w:sz w:val="22"/>
          <w:szCs w:val="22"/>
        </w:rPr>
        <w:t>RG -T3657-P0</w:t>
      </w:r>
      <w:r w:rsidR="0074222F" w:rsidRPr="00DC06E2">
        <w:rPr>
          <w:color w:val="auto"/>
          <w:sz w:val="22"/>
          <w:szCs w:val="22"/>
        </w:rPr>
        <w:t>10</w:t>
      </w:r>
    </w:p>
    <w:p w14:paraId="2FE659F0" w14:textId="7EC6CC1C" w:rsidR="00D761FB" w:rsidRPr="00DC06E2" w:rsidRDefault="08202347" w:rsidP="00DC06E2">
      <w:pPr>
        <w:spacing w:after="80"/>
        <w:jc w:val="both"/>
        <w:rPr>
          <w:color w:val="auto"/>
          <w:sz w:val="22"/>
          <w:szCs w:val="22"/>
        </w:rPr>
      </w:pPr>
      <w:r w:rsidRPr="00DC06E2">
        <w:rPr>
          <w:b/>
          <w:color w:val="auto"/>
          <w:sz w:val="22"/>
          <w:szCs w:val="22"/>
        </w:rPr>
        <w:t>Método de selección</w:t>
      </w:r>
      <w:r w:rsidRPr="00DC06E2">
        <w:rPr>
          <w:color w:val="auto"/>
          <w:sz w:val="22"/>
          <w:szCs w:val="22"/>
        </w:rPr>
        <w:t>:</w:t>
      </w:r>
      <w:r w:rsidR="009A71B1" w:rsidRPr="00DC06E2">
        <w:rPr>
          <w:color w:val="auto"/>
          <w:sz w:val="22"/>
          <w:szCs w:val="22"/>
        </w:rPr>
        <w:t xml:space="preserve"> </w:t>
      </w:r>
      <w:r w:rsidR="005E2A4A" w:rsidRPr="00DC06E2">
        <w:rPr>
          <w:color w:val="auto"/>
          <w:sz w:val="22"/>
          <w:szCs w:val="22"/>
        </w:rPr>
        <w:t xml:space="preserve">Selección </w:t>
      </w:r>
      <w:r w:rsidR="00264EDA">
        <w:rPr>
          <w:color w:val="auto"/>
          <w:sz w:val="22"/>
          <w:szCs w:val="22"/>
        </w:rPr>
        <w:t>C</w:t>
      </w:r>
      <w:r w:rsidR="005E2A4A" w:rsidRPr="00DC06E2">
        <w:rPr>
          <w:color w:val="auto"/>
          <w:sz w:val="22"/>
          <w:szCs w:val="22"/>
        </w:rPr>
        <w:t>ompetitiva</w:t>
      </w:r>
      <w:r w:rsidR="00D46B8B" w:rsidRPr="00DC06E2">
        <w:rPr>
          <w:color w:val="auto"/>
          <w:sz w:val="22"/>
          <w:szCs w:val="22"/>
        </w:rPr>
        <w:t xml:space="preserve"> </w:t>
      </w:r>
      <w:r w:rsidR="00264EDA">
        <w:rPr>
          <w:color w:val="auto"/>
          <w:sz w:val="22"/>
          <w:szCs w:val="22"/>
        </w:rPr>
        <w:t>I</w:t>
      </w:r>
      <w:r w:rsidR="00D46B8B" w:rsidRPr="00DC06E2">
        <w:rPr>
          <w:color w:val="auto"/>
          <w:sz w:val="22"/>
          <w:szCs w:val="22"/>
        </w:rPr>
        <w:t>ntegral</w:t>
      </w:r>
    </w:p>
    <w:p w14:paraId="4356DB27" w14:textId="656E786F" w:rsidR="00D761FB" w:rsidRPr="00DC06E2" w:rsidRDefault="08202347" w:rsidP="00DC06E2">
      <w:pPr>
        <w:suppressAutoHyphens/>
        <w:spacing w:after="80"/>
        <w:jc w:val="both"/>
        <w:rPr>
          <w:color w:val="auto"/>
          <w:sz w:val="22"/>
          <w:szCs w:val="22"/>
        </w:rPr>
      </w:pPr>
      <w:r w:rsidRPr="00DC06E2">
        <w:rPr>
          <w:b/>
          <w:color w:val="auto"/>
          <w:sz w:val="22"/>
          <w:szCs w:val="22"/>
        </w:rPr>
        <w:t>País:</w:t>
      </w:r>
      <w:r w:rsidR="005E2A4A" w:rsidRPr="00DC06E2">
        <w:rPr>
          <w:color w:val="auto"/>
          <w:sz w:val="22"/>
          <w:szCs w:val="22"/>
        </w:rPr>
        <w:t xml:space="preserve"> </w:t>
      </w:r>
      <w:r w:rsidR="00BF16EA" w:rsidRPr="00DC06E2">
        <w:rPr>
          <w:color w:val="auto"/>
          <w:sz w:val="22"/>
          <w:szCs w:val="22"/>
        </w:rPr>
        <w:t>Regional -</w:t>
      </w:r>
      <w:r w:rsidR="009622B3" w:rsidRPr="00DC06E2">
        <w:rPr>
          <w:color w:val="auto"/>
          <w:sz w:val="22"/>
          <w:szCs w:val="22"/>
        </w:rPr>
        <w:t xml:space="preserve"> </w:t>
      </w:r>
      <w:r w:rsidR="005E2A4A" w:rsidRPr="00DC06E2">
        <w:rPr>
          <w:color w:val="auto"/>
          <w:sz w:val="22"/>
          <w:szCs w:val="22"/>
        </w:rPr>
        <w:t>Panamá</w:t>
      </w:r>
    </w:p>
    <w:p w14:paraId="4C834057" w14:textId="1C946B51" w:rsidR="00D761FB" w:rsidRPr="00DC06E2" w:rsidRDefault="08202347" w:rsidP="00DC06E2">
      <w:pPr>
        <w:suppressAutoHyphens/>
        <w:spacing w:after="80"/>
        <w:jc w:val="both"/>
        <w:rPr>
          <w:color w:val="auto"/>
          <w:sz w:val="22"/>
          <w:szCs w:val="22"/>
        </w:rPr>
      </w:pPr>
      <w:r w:rsidRPr="00DC06E2">
        <w:rPr>
          <w:b/>
          <w:bCs/>
          <w:color w:val="auto"/>
          <w:sz w:val="22"/>
          <w:szCs w:val="22"/>
        </w:rPr>
        <w:t>Sector</w:t>
      </w:r>
      <w:r w:rsidR="005E2A4A" w:rsidRPr="00DC06E2">
        <w:rPr>
          <w:b/>
          <w:bCs/>
          <w:color w:val="auto"/>
          <w:sz w:val="22"/>
          <w:szCs w:val="22"/>
        </w:rPr>
        <w:t>:</w:t>
      </w:r>
      <w:r w:rsidR="007163BE" w:rsidRPr="00DC06E2">
        <w:rPr>
          <w:color w:val="auto"/>
          <w:sz w:val="22"/>
          <w:szCs w:val="22"/>
        </w:rPr>
        <w:t xml:space="preserve"> </w:t>
      </w:r>
      <w:r w:rsidR="00CD7C9A" w:rsidRPr="00DC06E2">
        <w:rPr>
          <w:color w:val="auto"/>
          <w:sz w:val="22"/>
          <w:szCs w:val="22"/>
        </w:rPr>
        <w:t>Medio Ambiente y Desastres Naturales</w:t>
      </w:r>
    </w:p>
    <w:p w14:paraId="420580C3" w14:textId="7A34FC54" w:rsidR="00D761FB" w:rsidRPr="00DC06E2" w:rsidRDefault="08202347" w:rsidP="00DC06E2">
      <w:pPr>
        <w:suppressAutoHyphens/>
        <w:spacing w:after="80"/>
        <w:jc w:val="both"/>
        <w:rPr>
          <w:color w:val="auto"/>
          <w:sz w:val="22"/>
          <w:szCs w:val="22"/>
        </w:rPr>
      </w:pPr>
      <w:r w:rsidRPr="00DC06E2">
        <w:rPr>
          <w:b/>
          <w:color w:val="auto"/>
          <w:sz w:val="22"/>
          <w:szCs w:val="22"/>
        </w:rPr>
        <w:t>Financiación - TC #:</w:t>
      </w:r>
      <w:r w:rsidR="00783200" w:rsidRPr="00DC06E2">
        <w:rPr>
          <w:color w:val="auto"/>
          <w:sz w:val="22"/>
          <w:szCs w:val="22"/>
        </w:rPr>
        <w:t xml:space="preserve"> </w:t>
      </w:r>
      <w:bookmarkStart w:id="0" w:name="_Hlk112147066"/>
      <w:r w:rsidR="007D06DC" w:rsidRPr="00DC06E2">
        <w:rPr>
          <w:color w:val="auto"/>
          <w:sz w:val="22"/>
          <w:szCs w:val="22"/>
        </w:rPr>
        <w:t>ATN/AC-18143-RG</w:t>
      </w:r>
    </w:p>
    <w:bookmarkEnd w:id="0"/>
    <w:p w14:paraId="6B175998" w14:textId="54FD5238" w:rsidR="00D761FB" w:rsidRPr="00716302" w:rsidRDefault="08202347" w:rsidP="00DC06E2">
      <w:pPr>
        <w:pStyle w:val="BodyText"/>
        <w:spacing w:after="80"/>
        <w:jc w:val="both"/>
        <w:rPr>
          <w:rFonts w:ascii="Arial" w:hAnsi="Arial" w:cs="Arial"/>
          <w:sz w:val="22"/>
          <w:szCs w:val="22"/>
          <w:lang w:val="es-PA"/>
        </w:rPr>
      </w:pPr>
      <w:r w:rsidRPr="00DC06E2">
        <w:rPr>
          <w:rFonts w:ascii="Arial" w:eastAsiaTheme="minorEastAsia" w:hAnsi="Arial" w:cs="Arial"/>
          <w:b/>
          <w:sz w:val="22"/>
          <w:szCs w:val="22"/>
          <w:lang w:val="es-PA"/>
        </w:rPr>
        <w:t>Proyecto #:</w:t>
      </w:r>
      <w:r w:rsidR="00862BCD" w:rsidRPr="00DC06E2">
        <w:rPr>
          <w:rFonts w:ascii="Arial" w:eastAsiaTheme="minorEastAsia" w:hAnsi="Arial" w:cs="Arial"/>
          <w:sz w:val="22"/>
          <w:szCs w:val="22"/>
          <w:lang w:val="es-PA"/>
        </w:rPr>
        <w:t xml:space="preserve"> </w:t>
      </w:r>
      <w:r w:rsidR="003F00A4" w:rsidRPr="00DC06E2">
        <w:rPr>
          <w:rFonts w:ascii="Arial" w:hAnsi="Arial" w:cs="Arial"/>
          <w:iCs/>
          <w:sz w:val="22"/>
          <w:szCs w:val="22"/>
          <w:lang w:val="es-PA"/>
        </w:rPr>
        <w:t>RG-T3657</w:t>
      </w:r>
    </w:p>
    <w:p w14:paraId="08959238" w14:textId="0EFA53F0" w:rsidR="00D761FB" w:rsidRPr="00716302" w:rsidRDefault="08202347" w:rsidP="00DC06E2">
      <w:pPr>
        <w:pStyle w:val="BodyText"/>
        <w:spacing w:after="80"/>
        <w:jc w:val="both"/>
        <w:rPr>
          <w:rFonts w:ascii="Arial" w:eastAsiaTheme="minorEastAsia" w:hAnsi="Arial" w:cs="Arial"/>
          <w:sz w:val="22"/>
          <w:szCs w:val="22"/>
        </w:rPr>
      </w:pPr>
      <w:r w:rsidRPr="00716302">
        <w:rPr>
          <w:rFonts w:ascii="Arial" w:eastAsiaTheme="minorEastAsia" w:hAnsi="Arial" w:cs="Arial"/>
          <w:b/>
          <w:sz w:val="22"/>
          <w:szCs w:val="22"/>
          <w:lang w:val="es-PA"/>
        </w:rPr>
        <w:t>Nombre de</w:t>
      </w:r>
      <w:r w:rsidR="008D0AD6" w:rsidRPr="00716302">
        <w:rPr>
          <w:rFonts w:ascii="Arial" w:eastAsiaTheme="minorEastAsia" w:hAnsi="Arial" w:cs="Arial"/>
          <w:b/>
          <w:sz w:val="22"/>
          <w:szCs w:val="22"/>
          <w:lang w:val="es-PA"/>
        </w:rPr>
        <w:t xml:space="preserve"> </w:t>
      </w:r>
      <w:r w:rsidRPr="00716302">
        <w:rPr>
          <w:rFonts w:ascii="Arial" w:eastAsiaTheme="minorEastAsia" w:hAnsi="Arial" w:cs="Arial"/>
          <w:b/>
          <w:sz w:val="22"/>
          <w:szCs w:val="22"/>
          <w:lang w:val="es-PA"/>
        </w:rPr>
        <w:t>l</w:t>
      </w:r>
      <w:r w:rsidR="008D0AD6" w:rsidRPr="00716302">
        <w:rPr>
          <w:rFonts w:ascii="Arial" w:eastAsiaTheme="minorEastAsia" w:hAnsi="Arial" w:cs="Arial"/>
          <w:b/>
          <w:sz w:val="22"/>
          <w:szCs w:val="22"/>
          <w:lang w:val="es-PA"/>
        </w:rPr>
        <w:t>a</w:t>
      </w:r>
      <w:r w:rsidRPr="00716302">
        <w:rPr>
          <w:rFonts w:ascii="Arial" w:eastAsiaTheme="minorEastAsia" w:hAnsi="Arial" w:cs="Arial"/>
          <w:b/>
          <w:sz w:val="22"/>
          <w:szCs w:val="22"/>
          <w:lang w:val="es-PA"/>
        </w:rPr>
        <w:t xml:space="preserve"> T</w:t>
      </w:r>
      <w:r w:rsidR="00432DA0" w:rsidRPr="00716302">
        <w:rPr>
          <w:rFonts w:ascii="Arial" w:eastAsiaTheme="minorEastAsia" w:hAnsi="Arial" w:cs="Arial"/>
          <w:b/>
          <w:sz w:val="22"/>
          <w:szCs w:val="22"/>
          <w:lang w:val="es-PA"/>
        </w:rPr>
        <w:t>C:</w:t>
      </w:r>
      <w:r w:rsidR="00432DA0" w:rsidRPr="00716302">
        <w:rPr>
          <w:rFonts w:ascii="Arial" w:eastAsiaTheme="minorEastAsia" w:hAnsi="Arial" w:cs="Arial"/>
          <w:sz w:val="22"/>
          <w:szCs w:val="22"/>
          <w:lang w:val="es-PA"/>
        </w:rPr>
        <w:t xml:space="preserve"> </w:t>
      </w:r>
      <w:r w:rsidR="00CF6042" w:rsidRPr="00716302">
        <w:rPr>
          <w:rFonts w:ascii="Arial" w:eastAsiaTheme="minorEastAsia" w:hAnsi="Arial" w:cs="Arial"/>
          <w:sz w:val="22"/>
          <w:szCs w:val="22"/>
        </w:rPr>
        <w:t>Fortaleciendo la resiliencia en América Latina y el Caribe</w:t>
      </w:r>
    </w:p>
    <w:p w14:paraId="3472C4A0" w14:textId="1015B960" w:rsidR="00D94732" w:rsidRPr="00716302" w:rsidRDefault="00D94732" w:rsidP="00DC06E2">
      <w:pPr>
        <w:pStyle w:val="BodyText"/>
        <w:spacing w:after="80"/>
        <w:jc w:val="both"/>
        <w:rPr>
          <w:rFonts w:ascii="Arial" w:hAnsi="Arial" w:cs="Arial"/>
          <w:sz w:val="22"/>
          <w:szCs w:val="22"/>
          <w:lang w:val="es-PA"/>
        </w:rPr>
      </w:pPr>
      <w:r w:rsidRPr="00716302">
        <w:rPr>
          <w:rFonts w:ascii="Arial" w:eastAsiaTheme="minorEastAsia" w:hAnsi="Arial" w:cs="Arial"/>
          <w:b/>
          <w:bCs/>
          <w:sz w:val="22"/>
          <w:szCs w:val="22"/>
        </w:rPr>
        <w:t>Monto de la Asignación:</w:t>
      </w:r>
      <w:r w:rsidRPr="00716302">
        <w:rPr>
          <w:rFonts w:ascii="Arial" w:eastAsiaTheme="minorEastAsia" w:hAnsi="Arial" w:cs="Arial"/>
          <w:sz w:val="22"/>
          <w:szCs w:val="22"/>
        </w:rPr>
        <w:t xml:space="preserve"> </w:t>
      </w:r>
      <w:r w:rsidR="00DC06E2" w:rsidRPr="00716302">
        <w:rPr>
          <w:rFonts w:ascii="Arial" w:eastAsiaTheme="minorEastAsia" w:hAnsi="Arial" w:cs="Arial"/>
          <w:sz w:val="22"/>
          <w:szCs w:val="22"/>
        </w:rPr>
        <w:t>USD$298,000</w:t>
      </w:r>
    </w:p>
    <w:p w14:paraId="68E94DCA" w14:textId="4912A32B" w:rsidR="00416227" w:rsidRPr="00DC06E2" w:rsidRDefault="08202347" w:rsidP="00DC06E2">
      <w:pPr>
        <w:pStyle w:val="BodyText"/>
        <w:spacing w:after="80"/>
        <w:jc w:val="both"/>
        <w:rPr>
          <w:rFonts w:ascii="Arial" w:hAnsi="Arial" w:cs="Arial"/>
          <w:sz w:val="22"/>
          <w:szCs w:val="22"/>
        </w:rPr>
      </w:pPr>
      <w:r w:rsidRPr="00716302">
        <w:rPr>
          <w:rFonts w:ascii="Arial" w:eastAsiaTheme="minorEastAsia" w:hAnsi="Arial" w:cs="Arial"/>
          <w:b/>
          <w:sz w:val="22"/>
          <w:szCs w:val="22"/>
        </w:rPr>
        <w:t>Descripción de los Servicios:</w:t>
      </w:r>
      <w:r w:rsidR="00E87DE8" w:rsidRPr="00716302">
        <w:rPr>
          <w:rFonts w:ascii="Arial" w:eastAsiaTheme="minorEastAsia" w:hAnsi="Arial" w:cs="Arial"/>
          <w:sz w:val="22"/>
          <w:szCs w:val="22"/>
        </w:rPr>
        <w:t xml:space="preserve"> </w:t>
      </w:r>
      <w:r w:rsidR="00416227" w:rsidRPr="00716302">
        <w:rPr>
          <w:rFonts w:ascii="Arial" w:hAnsi="Arial" w:cs="Arial"/>
          <w:sz w:val="22"/>
          <w:szCs w:val="22"/>
        </w:rPr>
        <w:t>Consultoría</w:t>
      </w:r>
      <w:r w:rsidR="00416227" w:rsidRPr="00DC06E2">
        <w:rPr>
          <w:rFonts w:ascii="Arial" w:hAnsi="Arial" w:cs="Arial"/>
          <w:sz w:val="22"/>
          <w:szCs w:val="22"/>
        </w:rPr>
        <w:t xml:space="preserve"> para el estudio de riesgo por efectos del cambio climático y generación del atlas interactivo de visualización de los resultados para la República de Panamá</w:t>
      </w:r>
    </w:p>
    <w:p w14:paraId="72939560" w14:textId="354C7C39" w:rsidR="00A5722D" w:rsidRPr="00DC06E2" w:rsidRDefault="00E83E41" w:rsidP="00DC06E2">
      <w:pPr>
        <w:pStyle w:val="BodyText"/>
        <w:spacing w:after="80"/>
        <w:jc w:val="both"/>
        <w:rPr>
          <w:rStyle w:val="Hyperlink"/>
          <w:rFonts w:ascii="Arial" w:hAnsi="Arial" w:cs="Arial"/>
          <w:sz w:val="22"/>
          <w:szCs w:val="22"/>
          <w:lang w:val="it-IT"/>
        </w:rPr>
      </w:pPr>
      <w:r w:rsidRPr="00DC06E2">
        <w:rPr>
          <w:rFonts w:ascii="Arial" w:eastAsiaTheme="minorEastAsia" w:hAnsi="Arial" w:cs="Arial"/>
          <w:sz w:val="22"/>
          <w:szCs w:val="22"/>
          <w:lang w:val="it-IT"/>
        </w:rPr>
        <w:fldChar w:fldCharType="begin"/>
      </w:r>
      <w:r w:rsidRPr="00DC06E2">
        <w:rPr>
          <w:rFonts w:ascii="Arial" w:eastAsiaTheme="minorEastAsia" w:hAnsi="Arial" w:cs="Arial"/>
          <w:sz w:val="22"/>
          <w:szCs w:val="22"/>
          <w:lang w:val="it-IT"/>
        </w:rPr>
        <w:instrText xml:space="preserve"> HYPERLINK "https://www.iadb.org/en/project/RG-T3657" </w:instrText>
      </w:r>
      <w:r w:rsidRPr="00DC06E2">
        <w:rPr>
          <w:rFonts w:ascii="Arial" w:eastAsiaTheme="minorEastAsia" w:hAnsi="Arial" w:cs="Arial"/>
          <w:sz w:val="22"/>
          <w:szCs w:val="22"/>
          <w:lang w:val="it-IT"/>
        </w:rPr>
        <w:fldChar w:fldCharType="separate"/>
      </w:r>
      <w:r w:rsidR="08202347" w:rsidRPr="00DC06E2">
        <w:rPr>
          <w:rStyle w:val="Hyperlink"/>
          <w:rFonts w:ascii="Arial" w:eastAsiaTheme="minorEastAsia" w:hAnsi="Arial" w:cs="Arial"/>
          <w:sz w:val="22"/>
          <w:szCs w:val="22"/>
          <w:lang w:val="it-IT"/>
        </w:rPr>
        <w:t xml:space="preserve">Enlace al documento </w:t>
      </w:r>
      <w:r w:rsidR="00693527" w:rsidRPr="00DC06E2">
        <w:rPr>
          <w:rStyle w:val="Hyperlink"/>
          <w:rFonts w:ascii="Arial" w:eastAsiaTheme="minorEastAsia" w:hAnsi="Arial" w:cs="Arial"/>
          <w:sz w:val="22"/>
          <w:szCs w:val="22"/>
          <w:lang w:val="it-IT"/>
        </w:rPr>
        <w:t>CT</w:t>
      </w:r>
    </w:p>
    <w:p w14:paraId="59050BCC" w14:textId="58229CBD" w:rsidR="00223735" w:rsidRPr="00DC06E2" w:rsidRDefault="00E83E41" w:rsidP="00DC06E2">
      <w:pPr>
        <w:jc w:val="both"/>
        <w:rPr>
          <w:color w:val="auto"/>
          <w:sz w:val="22"/>
          <w:szCs w:val="22"/>
          <w:lang w:val="it-IT"/>
        </w:rPr>
      </w:pPr>
      <w:r w:rsidRPr="00DC06E2">
        <w:rPr>
          <w:color w:val="auto"/>
          <w:spacing w:val="-2"/>
          <w:sz w:val="22"/>
          <w:szCs w:val="22"/>
          <w:lang w:val="it-IT" w:eastAsia="en-US"/>
        </w:rPr>
        <w:fldChar w:fldCharType="end"/>
      </w:r>
    </w:p>
    <w:p w14:paraId="2C0FC91B" w14:textId="66362DB9" w:rsidR="00D761FB" w:rsidRPr="00DC06E2" w:rsidRDefault="08202347" w:rsidP="00DC06E2">
      <w:pPr>
        <w:spacing w:after="120"/>
        <w:jc w:val="both"/>
        <w:rPr>
          <w:sz w:val="22"/>
          <w:szCs w:val="22"/>
        </w:rPr>
      </w:pPr>
      <w:r w:rsidRPr="00DC06E2">
        <w:rPr>
          <w:color w:val="auto"/>
          <w:sz w:val="22"/>
          <w:szCs w:val="22"/>
        </w:rPr>
        <w:t>El Banco Interamericano de Desarrollo (BID) está ejecutando la operación mencionad</w:t>
      </w:r>
      <w:r w:rsidR="00F0387C" w:rsidRPr="00DC06E2">
        <w:rPr>
          <w:color w:val="auto"/>
          <w:sz w:val="22"/>
          <w:szCs w:val="22"/>
        </w:rPr>
        <w:t>a arriba</w:t>
      </w:r>
      <w:r w:rsidRPr="00DC06E2">
        <w:rPr>
          <w:color w:val="auto"/>
          <w:sz w:val="22"/>
          <w:szCs w:val="22"/>
        </w:rPr>
        <w:t xml:space="preserve">. Para esta operación, el BID </w:t>
      </w:r>
      <w:r w:rsidRPr="00DC06E2">
        <w:rPr>
          <w:sz w:val="22"/>
          <w:szCs w:val="22"/>
        </w:rPr>
        <w:t xml:space="preserve">tiene la intención de contratar los servicios de consultoría descritos en esta </w:t>
      </w:r>
      <w:r w:rsidR="00716302">
        <w:rPr>
          <w:sz w:val="22"/>
          <w:szCs w:val="22"/>
        </w:rPr>
        <w:t>s</w:t>
      </w:r>
      <w:r w:rsidRPr="00DC06E2">
        <w:rPr>
          <w:sz w:val="22"/>
          <w:szCs w:val="22"/>
        </w:rPr>
        <w:t>olicitud de Expresiones de Interés</w:t>
      </w:r>
      <w:r w:rsidR="00A631FF" w:rsidRPr="00DC06E2">
        <w:rPr>
          <w:sz w:val="22"/>
          <w:szCs w:val="22"/>
        </w:rPr>
        <w:t xml:space="preserve"> (</w:t>
      </w:r>
      <w:r w:rsidR="002C75EB" w:rsidRPr="00DC06E2">
        <w:rPr>
          <w:sz w:val="22"/>
          <w:szCs w:val="22"/>
        </w:rPr>
        <w:t>E</w:t>
      </w:r>
      <w:r w:rsidR="00484E41" w:rsidRPr="00DC06E2">
        <w:rPr>
          <w:sz w:val="22"/>
          <w:szCs w:val="22"/>
        </w:rPr>
        <w:t>o</w:t>
      </w:r>
      <w:r w:rsidR="002C75EB" w:rsidRPr="00DC06E2">
        <w:rPr>
          <w:sz w:val="22"/>
          <w:szCs w:val="22"/>
        </w:rPr>
        <w:t>I)</w:t>
      </w:r>
      <w:r w:rsidRPr="00DC06E2">
        <w:rPr>
          <w:sz w:val="22"/>
          <w:szCs w:val="22"/>
        </w:rPr>
        <w:t>.</w:t>
      </w:r>
      <w:r w:rsidR="005B434A" w:rsidRPr="00DC06E2">
        <w:rPr>
          <w:sz w:val="22"/>
          <w:szCs w:val="22"/>
        </w:rPr>
        <w:t xml:space="preserve"> </w:t>
      </w:r>
      <w:r w:rsidR="005B434A" w:rsidRPr="00DC06E2">
        <w:rPr>
          <w:color w:val="auto"/>
          <w:sz w:val="22"/>
          <w:szCs w:val="22"/>
        </w:rPr>
        <w:t xml:space="preserve">Las </w:t>
      </w:r>
      <w:r w:rsidR="00484E41" w:rsidRPr="00DC06E2">
        <w:rPr>
          <w:color w:val="auto"/>
          <w:sz w:val="22"/>
          <w:szCs w:val="22"/>
        </w:rPr>
        <w:t>EoI</w:t>
      </w:r>
      <w:r w:rsidR="005B434A" w:rsidRPr="00DC06E2">
        <w:rPr>
          <w:color w:val="auto"/>
          <w:sz w:val="22"/>
          <w:szCs w:val="22"/>
        </w:rPr>
        <w:t xml:space="preserve"> deberán ser recibidas </w:t>
      </w:r>
      <w:r w:rsidR="00484E41" w:rsidRPr="00DC06E2">
        <w:rPr>
          <w:color w:val="auto"/>
          <w:sz w:val="22"/>
          <w:szCs w:val="22"/>
        </w:rPr>
        <w:t>a través</w:t>
      </w:r>
      <w:r w:rsidR="005B434A" w:rsidRPr="00DC06E2">
        <w:rPr>
          <w:color w:val="auto"/>
          <w:sz w:val="22"/>
          <w:szCs w:val="22"/>
        </w:rPr>
        <w:t xml:space="preserve"> </w:t>
      </w:r>
      <w:r w:rsidR="00484E41" w:rsidRPr="00DC06E2">
        <w:rPr>
          <w:color w:val="auto"/>
          <w:sz w:val="22"/>
          <w:szCs w:val="22"/>
        </w:rPr>
        <w:t>d</w:t>
      </w:r>
      <w:r w:rsidR="005B434A" w:rsidRPr="00DC06E2">
        <w:rPr>
          <w:color w:val="auto"/>
          <w:sz w:val="22"/>
          <w:szCs w:val="22"/>
        </w:rPr>
        <w:t xml:space="preserve">el </w:t>
      </w:r>
      <w:hyperlink r:id="rId11" w:history="1">
        <w:r w:rsidR="005B434A" w:rsidRPr="00A161C1">
          <w:rPr>
            <w:rStyle w:val="Hyperlink"/>
            <w:sz w:val="22"/>
            <w:szCs w:val="22"/>
          </w:rPr>
          <w:t>Portal del BID para las Operaciones Ejecutadas por el Banco</w:t>
        </w:r>
      </w:hyperlink>
      <w:r w:rsidR="00A161C1">
        <w:rPr>
          <w:color w:val="auto"/>
          <w:sz w:val="22"/>
          <w:szCs w:val="22"/>
        </w:rPr>
        <w:t xml:space="preserve"> </w:t>
      </w:r>
      <w:r w:rsidR="005B434A" w:rsidRPr="00DC06E2">
        <w:rPr>
          <w:color w:val="auto"/>
          <w:sz w:val="22"/>
          <w:szCs w:val="22"/>
        </w:rPr>
        <w:t>antes de</w:t>
      </w:r>
      <w:r w:rsidR="00CB13E3">
        <w:rPr>
          <w:color w:val="auto"/>
          <w:sz w:val="22"/>
          <w:szCs w:val="22"/>
        </w:rPr>
        <w:t xml:space="preserve">l </w:t>
      </w:r>
      <w:r w:rsidR="00CB13E3" w:rsidRPr="00CB13E3">
        <w:rPr>
          <w:color w:val="auto"/>
          <w:sz w:val="22"/>
          <w:szCs w:val="22"/>
        </w:rPr>
        <w:t>28</w:t>
      </w:r>
      <w:r w:rsidR="002B12C2" w:rsidRPr="00CB13E3">
        <w:rPr>
          <w:color w:val="auto"/>
          <w:sz w:val="22"/>
          <w:szCs w:val="22"/>
        </w:rPr>
        <w:t xml:space="preserve"> de octubre</w:t>
      </w:r>
      <w:r w:rsidR="00484E41" w:rsidRPr="00CB13E3">
        <w:rPr>
          <w:color w:val="auto"/>
          <w:sz w:val="22"/>
          <w:szCs w:val="22"/>
        </w:rPr>
        <w:t>,</w:t>
      </w:r>
      <w:r w:rsidR="00C61F66" w:rsidRPr="00CB13E3">
        <w:rPr>
          <w:color w:val="auto"/>
          <w:sz w:val="22"/>
          <w:szCs w:val="22"/>
        </w:rPr>
        <w:t xml:space="preserve"> 2022</w:t>
      </w:r>
      <w:r w:rsidR="00C61F66" w:rsidRPr="00DC06E2">
        <w:rPr>
          <w:color w:val="auto"/>
          <w:sz w:val="22"/>
          <w:szCs w:val="22"/>
        </w:rPr>
        <w:t xml:space="preserve"> a las</w:t>
      </w:r>
      <w:r w:rsidR="005B434A" w:rsidRPr="00DC06E2">
        <w:rPr>
          <w:color w:val="auto"/>
          <w:sz w:val="22"/>
          <w:szCs w:val="22"/>
        </w:rPr>
        <w:t xml:space="preserve"> 5:00</w:t>
      </w:r>
      <w:r w:rsidR="000A52EF" w:rsidRPr="00DC06E2">
        <w:rPr>
          <w:color w:val="auto"/>
          <w:sz w:val="22"/>
          <w:szCs w:val="22"/>
        </w:rPr>
        <w:t xml:space="preserve"> </w:t>
      </w:r>
      <w:r w:rsidR="0050631E" w:rsidRPr="00DC06E2">
        <w:rPr>
          <w:color w:val="auto"/>
          <w:sz w:val="22"/>
          <w:szCs w:val="22"/>
        </w:rPr>
        <w:t>pm</w:t>
      </w:r>
      <w:r w:rsidR="005B434A" w:rsidRPr="00DC06E2">
        <w:rPr>
          <w:color w:val="auto"/>
          <w:sz w:val="22"/>
          <w:szCs w:val="22"/>
        </w:rPr>
        <w:t xml:space="preserve"> (</w:t>
      </w:r>
      <w:r w:rsidR="000A52EF" w:rsidRPr="00DC06E2">
        <w:rPr>
          <w:color w:val="auto"/>
          <w:sz w:val="22"/>
          <w:szCs w:val="22"/>
        </w:rPr>
        <w:t>h</w:t>
      </w:r>
      <w:r w:rsidR="005B434A" w:rsidRPr="00DC06E2">
        <w:rPr>
          <w:color w:val="auto"/>
          <w:sz w:val="22"/>
          <w:szCs w:val="22"/>
        </w:rPr>
        <w:t>ora de Washington D</w:t>
      </w:r>
      <w:r w:rsidR="00484E41" w:rsidRPr="00DC06E2">
        <w:rPr>
          <w:color w:val="auto"/>
          <w:sz w:val="22"/>
          <w:szCs w:val="22"/>
        </w:rPr>
        <w:t>.</w:t>
      </w:r>
      <w:r w:rsidR="005B434A" w:rsidRPr="00DC06E2">
        <w:rPr>
          <w:color w:val="auto"/>
          <w:sz w:val="22"/>
          <w:szCs w:val="22"/>
        </w:rPr>
        <w:t>C</w:t>
      </w:r>
      <w:r w:rsidR="00484E41" w:rsidRPr="00DC06E2">
        <w:rPr>
          <w:color w:val="auto"/>
          <w:sz w:val="22"/>
          <w:szCs w:val="22"/>
        </w:rPr>
        <w:t>.</w:t>
      </w:r>
      <w:r w:rsidR="005B434A" w:rsidRPr="00DC06E2">
        <w:rPr>
          <w:color w:val="auto"/>
          <w:sz w:val="22"/>
          <w:szCs w:val="22"/>
        </w:rPr>
        <w:t>).</w:t>
      </w:r>
    </w:p>
    <w:p w14:paraId="686597DA" w14:textId="011A0A3E" w:rsidR="004831F1" w:rsidRPr="00DC06E2" w:rsidRDefault="00EC4D64" w:rsidP="00DC06E2">
      <w:pPr>
        <w:suppressAutoHyphens/>
        <w:spacing w:after="12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 xml:space="preserve">El objetivo de esta consultoría </w:t>
      </w:r>
      <w:r w:rsidR="00332B86" w:rsidRPr="00DC06E2">
        <w:rPr>
          <w:color w:val="auto"/>
          <w:sz w:val="22"/>
          <w:szCs w:val="22"/>
        </w:rPr>
        <w:t>es</w:t>
      </w:r>
      <w:r w:rsidR="0080222C" w:rsidRPr="00DC06E2">
        <w:rPr>
          <w:color w:val="auto"/>
          <w:sz w:val="22"/>
          <w:szCs w:val="22"/>
        </w:rPr>
        <w:t xml:space="preserve"> la evaluación cuantitativa</w:t>
      </w:r>
      <w:r w:rsidR="004831F1" w:rsidRPr="00DC06E2">
        <w:rPr>
          <w:color w:val="auto"/>
          <w:sz w:val="22"/>
          <w:szCs w:val="22"/>
        </w:rPr>
        <w:t xml:space="preserve"> del riesgo de índole meteorológico o climático a nivel regional y sectorial (priorizando los sectores de la </w:t>
      </w:r>
      <w:r w:rsidR="00A75D73" w:rsidRPr="00716302">
        <w:rPr>
          <w:color w:val="auto"/>
          <w:sz w:val="22"/>
          <w:szCs w:val="22"/>
        </w:rPr>
        <w:t>Primera Actualización de la Contribución Determinada a Nivel Nacional de Panamá (</w:t>
      </w:r>
      <w:r w:rsidR="004831F1" w:rsidRPr="00716302">
        <w:rPr>
          <w:color w:val="auto"/>
          <w:sz w:val="22"/>
          <w:szCs w:val="22"/>
        </w:rPr>
        <w:t>CDN1)</w:t>
      </w:r>
      <w:r w:rsidR="00A75D73" w:rsidRPr="00716302">
        <w:rPr>
          <w:color w:val="auto"/>
          <w:sz w:val="22"/>
          <w:szCs w:val="22"/>
        </w:rPr>
        <w:t>)</w:t>
      </w:r>
      <w:r w:rsidR="004831F1" w:rsidRPr="00716302">
        <w:rPr>
          <w:color w:val="auto"/>
          <w:sz w:val="22"/>
          <w:szCs w:val="22"/>
        </w:rPr>
        <w:t>, así como la evaluación y priorización de medidas</w:t>
      </w:r>
      <w:r w:rsidR="001F3D74" w:rsidRPr="00716302">
        <w:rPr>
          <w:color w:val="auto"/>
          <w:sz w:val="22"/>
          <w:szCs w:val="22"/>
        </w:rPr>
        <w:t xml:space="preserve"> de adaptación</w:t>
      </w:r>
      <w:r w:rsidR="004831F1" w:rsidRPr="00716302">
        <w:rPr>
          <w:color w:val="auto"/>
          <w:sz w:val="22"/>
          <w:szCs w:val="22"/>
        </w:rPr>
        <w:t>, aplicando</w:t>
      </w:r>
      <w:r w:rsidR="0092024B" w:rsidRPr="00716302">
        <w:rPr>
          <w:color w:val="auto"/>
          <w:sz w:val="22"/>
          <w:szCs w:val="22"/>
        </w:rPr>
        <w:t>,</w:t>
      </w:r>
      <w:r w:rsidR="004831F1" w:rsidRPr="00716302">
        <w:rPr>
          <w:color w:val="auto"/>
          <w:sz w:val="22"/>
          <w:szCs w:val="22"/>
        </w:rPr>
        <w:t xml:space="preserve"> cuando sea necesario</w:t>
      </w:r>
      <w:r w:rsidR="0092024B">
        <w:rPr>
          <w:color w:val="auto"/>
          <w:sz w:val="22"/>
          <w:szCs w:val="22"/>
        </w:rPr>
        <w:t>,</w:t>
      </w:r>
      <w:r w:rsidR="004831F1" w:rsidRPr="00DC06E2">
        <w:rPr>
          <w:color w:val="auto"/>
          <w:sz w:val="22"/>
          <w:szCs w:val="22"/>
        </w:rPr>
        <w:t xml:space="preserve"> un enfoque de toma de decisiones robustas.</w:t>
      </w:r>
      <w:r w:rsidR="00EC0F4F" w:rsidRPr="00DC06E2">
        <w:rPr>
          <w:color w:val="auto"/>
          <w:sz w:val="22"/>
          <w:szCs w:val="22"/>
        </w:rPr>
        <w:t xml:space="preserve"> Los resultados del estudio serán publicados en la forma de </w:t>
      </w:r>
      <w:r w:rsidR="0092024B">
        <w:rPr>
          <w:color w:val="auto"/>
          <w:sz w:val="22"/>
          <w:szCs w:val="22"/>
        </w:rPr>
        <w:t xml:space="preserve">un </w:t>
      </w:r>
      <w:r w:rsidR="00EC0F4F" w:rsidRPr="00DC06E2">
        <w:rPr>
          <w:color w:val="auto"/>
          <w:sz w:val="22"/>
          <w:szCs w:val="22"/>
        </w:rPr>
        <w:t>Atlas Interactivo de Riesgo Climático en la web.</w:t>
      </w:r>
    </w:p>
    <w:p w14:paraId="6EE07F7B" w14:textId="485A9A4B" w:rsidR="002F6F3F" w:rsidRPr="00DC06E2" w:rsidRDefault="08202347" w:rsidP="00DC06E2">
      <w:pPr>
        <w:suppressAutoHyphens/>
        <w:spacing w:after="120"/>
        <w:jc w:val="both"/>
        <w:rPr>
          <w:sz w:val="22"/>
          <w:szCs w:val="22"/>
          <w:lang w:val="es-PA"/>
        </w:rPr>
      </w:pPr>
      <w:r w:rsidRPr="00DC06E2">
        <w:rPr>
          <w:sz w:val="22"/>
          <w:szCs w:val="22"/>
          <w:lang w:val="es-PA"/>
        </w:rPr>
        <w:t>Los servicios de consultoría (</w:t>
      </w:r>
      <w:r w:rsidR="0092024B">
        <w:rPr>
          <w:sz w:val="22"/>
          <w:szCs w:val="22"/>
          <w:lang w:val="es-PA"/>
        </w:rPr>
        <w:t>“</w:t>
      </w:r>
      <w:r w:rsidRPr="00DC06E2">
        <w:rPr>
          <w:sz w:val="22"/>
          <w:szCs w:val="22"/>
          <w:lang w:val="es-PA"/>
        </w:rPr>
        <w:t>los Servicios</w:t>
      </w:r>
      <w:r w:rsidR="0092024B">
        <w:rPr>
          <w:sz w:val="22"/>
          <w:szCs w:val="22"/>
          <w:lang w:val="es-PA"/>
        </w:rPr>
        <w:t>”</w:t>
      </w:r>
      <w:r w:rsidRPr="00DC06E2">
        <w:rPr>
          <w:sz w:val="22"/>
          <w:szCs w:val="22"/>
          <w:lang w:val="es-PA"/>
        </w:rPr>
        <w:t>) incluye</w:t>
      </w:r>
      <w:r w:rsidR="00484E41" w:rsidRPr="00DC06E2">
        <w:rPr>
          <w:sz w:val="22"/>
          <w:szCs w:val="22"/>
          <w:lang w:val="es-PA"/>
        </w:rPr>
        <w:t>n</w:t>
      </w:r>
      <w:r w:rsidR="00D102B7" w:rsidRPr="00DC06E2">
        <w:rPr>
          <w:sz w:val="22"/>
          <w:szCs w:val="22"/>
          <w:lang w:val="es-PA"/>
        </w:rPr>
        <w:t>:</w:t>
      </w:r>
    </w:p>
    <w:p w14:paraId="38DD9668" w14:textId="6BFB4F29" w:rsidR="006D203B" w:rsidRPr="00DC06E2" w:rsidRDefault="006D203B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Proporcionar los lineamientos para generar, validar y representar el riesgo climático</w:t>
      </w:r>
      <w:r w:rsidR="00CB0662" w:rsidRPr="00DC06E2">
        <w:rPr>
          <w:color w:val="auto"/>
          <w:sz w:val="22"/>
          <w:szCs w:val="22"/>
        </w:rPr>
        <w:t xml:space="preserve"> </w:t>
      </w:r>
      <w:r w:rsidRPr="00DC06E2">
        <w:rPr>
          <w:color w:val="auto"/>
          <w:sz w:val="22"/>
          <w:szCs w:val="22"/>
        </w:rPr>
        <w:t xml:space="preserve">nacional para los sectores </w:t>
      </w:r>
      <w:r w:rsidR="00CB0662" w:rsidRPr="00DC06E2">
        <w:rPr>
          <w:color w:val="auto"/>
          <w:sz w:val="22"/>
          <w:szCs w:val="22"/>
        </w:rPr>
        <w:t xml:space="preserve">de la </w:t>
      </w:r>
      <w:hyperlink r:id="rId12" w:history="1">
        <w:r w:rsidR="00CF0125" w:rsidRPr="00DC06E2">
          <w:rPr>
            <w:rStyle w:val="Hyperlink"/>
            <w:sz w:val="22"/>
            <w:szCs w:val="22"/>
          </w:rPr>
          <w:t>CDN1</w:t>
        </w:r>
      </w:hyperlink>
      <w:r w:rsidR="00771869" w:rsidRPr="00DC06E2">
        <w:rPr>
          <w:color w:val="auto"/>
          <w:sz w:val="22"/>
          <w:szCs w:val="22"/>
        </w:rPr>
        <w:t xml:space="preserve"> </w:t>
      </w:r>
      <w:r w:rsidRPr="00DC06E2">
        <w:rPr>
          <w:color w:val="auto"/>
          <w:sz w:val="22"/>
          <w:szCs w:val="22"/>
        </w:rPr>
        <w:t>y las regiones</w:t>
      </w:r>
      <w:r w:rsidR="00771869" w:rsidRPr="00DC06E2">
        <w:rPr>
          <w:color w:val="auto"/>
          <w:sz w:val="22"/>
          <w:szCs w:val="22"/>
        </w:rPr>
        <w:t xml:space="preserve"> bioclimáticas</w:t>
      </w:r>
      <w:r w:rsidRPr="00DC06E2">
        <w:rPr>
          <w:color w:val="auto"/>
          <w:sz w:val="22"/>
          <w:szCs w:val="22"/>
        </w:rPr>
        <w:t>, teniendo como producto</w:t>
      </w:r>
      <w:r w:rsidR="00B32E62" w:rsidRPr="00DC06E2">
        <w:rPr>
          <w:color w:val="auto"/>
          <w:sz w:val="22"/>
          <w:szCs w:val="22"/>
        </w:rPr>
        <w:t xml:space="preserve"> un </w:t>
      </w:r>
      <w:r w:rsidR="007C71E3">
        <w:rPr>
          <w:color w:val="auto"/>
          <w:sz w:val="22"/>
          <w:szCs w:val="22"/>
        </w:rPr>
        <w:t>a</w:t>
      </w:r>
      <w:r w:rsidR="00B32E62" w:rsidRPr="00DC06E2">
        <w:rPr>
          <w:color w:val="auto"/>
          <w:sz w:val="22"/>
          <w:szCs w:val="22"/>
        </w:rPr>
        <w:t>tlas de riesgos climáticos que es un</w:t>
      </w:r>
      <w:r w:rsidR="00F26F07" w:rsidRPr="00DC06E2">
        <w:rPr>
          <w:color w:val="auto"/>
          <w:sz w:val="22"/>
          <w:szCs w:val="22"/>
        </w:rPr>
        <w:t>a herramienta de</w:t>
      </w:r>
      <w:r w:rsidRPr="00DC06E2">
        <w:rPr>
          <w:color w:val="auto"/>
          <w:sz w:val="22"/>
          <w:szCs w:val="22"/>
        </w:rPr>
        <w:t xml:space="preserve"> información cartográfica interactiva de consulta, que permitirá a los usuarios contar con una herramienta capaz de ubicar e identificar el tipo y grado de amenazas, exposición, riesgos y/o índice de exposición existente de acuerdo con el origen de los mismos. </w:t>
      </w:r>
    </w:p>
    <w:p w14:paraId="018E82AB" w14:textId="07A4497B" w:rsidR="00BF3442" w:rsidRPr="00DC06E2" w:rsidRDefault="00353E30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 xml:space="preserve">Analizar cuantitativamente el </w:t>
      </w:r>
      <w:r w:rsidR="006D203B" w:rsidRPr="00DC06E2">
        <w:rPr>
          <w:color w:val="auto"/>
          <w:sz w:val="22"/>
          <w:szCs w:val="22"/>
        </w:rPr>
        <w:t>riesgo</w:t>
      </w:r>
      <w:r w:rsidR="001F3D74" w:rsidRPr="00DC06E2">
        <w:rPr>
          <w:color w:val="auto"/>
          <w:sz w:val="22"/>
          <w:szCs w:val="22"/>
        </w:rPr>
        <w:t xml:space="preserve"> de desastres</w:t>
      </w:r>
      <w:r w:rsidR="008D526D" w:rsidRPr="00DC06E2">
        <w:rPr>
          <w:color w:val="auto"/>
          <w:sz w:val="22"/>
          <w:szCs w:val="22"/>
        </w:rPr>
        <w:t xml:space="preserve"> y cambio climático</w:t>
      </w:r>
      <w:r w:rsidRPr="00DC06E2">
        <w:rPr>
          <w:color w:val="auto"/>
          <w:sz w:val="22"/>
          <w:szCs w:val="22"/>
        </w:rPr>
        <w:t xml:space="preserve"> e </w:t>
      </w:r>
      <w:r w:rsidR="006D203B" w:rsidRPr="00DC06E2">
        <w:rPr>
          <w:color w:val="auto"/>
          <w:sz w:val="22"/>
          <w:szCs w:val="22"/>
        </w:rPr>
        <w:t>identifica</w:t>
      </w:r>
      <w:r w:rsidRPr="00DC06E2">
        <w:rPr>
          <w:color w:val="auto"/>
          <w:sz w:val="22"/>
          <w:szCs w:val="22"/>
        </w:rPr>
        <w:t>r</w:t>
      </w:r>
      <w:r w:rsidR="006D203B" w:rsidRPr="00DC06E2">
        <w:rPr>
          <w:color w:val="auto"/>
          <w:sz w:val="22"/>
          <w:szCs w:val="22"/>
        </w:rPr>
        <w:t xml:space="preserve"> las áreas de amenaza, susceptibilidad, vulnerabilidad, riesgo y/o índice de exposición</w:t>
      </w:r>
      <w:r w:rsidR="00000DDF" w:rsidRPr="00DC06E2">
        <w:rPr>
          <w:color w:val="auto"/>
          <w:sz w:val="22"/>
          <w:szCs w:val="22"/>
        </w:rPr>
        <w:t>.</w:t>
      </w:r>
      <w:r w:rsidR="00BF3442" w:rsidRPr="00DC06E2">
        <w:rPr>
          <w:color w:val="auto"/>
          <w:sz w:val="22"/>
          <w:szCs w:val="22"/>
        </w:rPr>
        <w:t xml:space="preserve"> </w:t>
      </w:r>
    </w:p>
    <w:p w14:paraId="5632ACD8" w14:textId="7CC9FDF6" w:rsidR="006D203B" w:rsidRPr="00DC06E2" w:rsidRDefault="00BF3442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I</w:t>
      </w:r>
      <w:r w:rsidR="006D203B" w:rsidRPr="00DC06E2">
        <w:rPr>
          <w:color w:val="auto"/>
          <w:sz w:val="22"/>
          <w:szCs w:val="22"/>
        </w:rPr>
        <w:t xml:space="preserve">dentificar </w:t>
      </w:r>
      <w:r w:rsidRPr="00DC06E2">
        <w:rPr>
          <w:color w:val="auto"/>
          <w:sz w:val="22"/>
          <w:szCs w:val="22"/>
        </w:rPr>
        <w:t>la</w:t>
      </w:r>
      <w:r w:rsidR="006D203B" w:rsidRPr="00DC06E2">
        <w:rPr>
          <w:color w:val="auto"/>
          <w:sz w:val="22"/>
          <w:szCs w:val="22"/>
        </w:rPr>
        <w:t xml:space="preserve"> correlación entre las zonas propensas a</w:t>
      </w:r>
      <w:r w:rsidR="0068466D">
        <w:rPr>
          <w:color w:val="auto"/>
          <w:sz w:val="22"/>
          <w:szCs w:val="22"/>
        </w:rPr>
        <w:t xml:space="preserve"> la ocurrencia </w:t>
      </w:r>
      <w:r w:rsidR="006D203B" w:rsidRPr="00DC06E2">
        <w:rPr>
          <w:color w:val="auto"/>
          <w:sz w:val="22"/>
          <w:szCs w:val="22"/>
        </w:rPr>
        <w:t>de eventos extremos y el espacio físico vulnerable, considerando infraestructura, vivienda, equipamiento e indicadores socioeconómicos, demográficos, etc. La correlación evidenciará diferentes niveles de vulnerabilidad desde una perspectiva cuantitativa</w:t>
      </w:r>
      <w:r w:rsidR="0068466D">
        <w:rPr>
          <w:color w:val="auto"/>
          <w:sz w:val="22"/>
          <w:szCs w:val="22"/>
        </w:rPr>
        <w:t xml:space="preserve">, lo cual </w:t>
      </w:r>
      <w:r w:rsidR="006D203B" w:rsidRPr="00DC06E2">
        <w:rPr>
          <w:color w:val="auto"/>
          <w:sz w:val="22"/>
          <w:szCs w:val="22"/>
        </w:rPr>
        <w:t>permitirá establecer las prioridades aplicables a la realización de acciones de ordenamiento territorial, prevención de desastres, reducción de vulnerabilidad y riesgo climático. </w:t>
      </w:r>
    </w:p>
    <w:p w14:paraId="6F7536C5" w14:textId="6E2F956E" w:rsidR="005D1A88" w:rsidRPr="00DC06E2" w:rsidRDefault="00DF095C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 xml:space="preserve">Desarrollar un análisis de costo beneficio de la implementación de medidas </w:t>
      </w:r>
      <w:r w:rsidR="006A1BED" w:rsidRPr="00DC06E2">
        <w:rPr>
          <w:color w:val="auto"/>
          <w:sz w:val="22"/>
          <w:szCs w:val="22"/>
        </w:rPr>
        <w:t>de adaptación bajo un escenario base y escenarios con cambio climático.</w:t>
      </w:r>
    </w:p>
    <w:p w14:paraId="711DC2D7" w14:textId="085CE977" w:rsidR="006D203B" w:rsidRPr="00DC06E2" w:rsidRDefault="001D7850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lastRenderedPageBreak/>
        <w:t xml:space="preserve">Construir un atlas de riesgo, que será una herramienta </w:t>
      </w:r>
      <w:r w:rsidR="006D203B" w:rsidRPr="00DC06E2">
        <w:rPr>
          <w:color w:val="auto"/>
          <w:sz w:val="22"/>
          <w:szCs w:val="22"/>
        </w:rPr>
        <w:t>que informará sobre el beneficio de la implementación de medidas de adaptación medido como reducción del riesgo climático.</w:t>
      </w:r>
    </w:p>
    <w:p w14:paraId="123464B0" w14:textId="7D5B95F1" w:rsidR="00EC0F4F" w:rsidRPr="00DC06E2" w:rsidRDefault="006D203B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contextualSpacing w:val="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Implementa</w:t>
      </w:r>
      <w:r w:rsidR="004B1297" w:rsidRPr="00DC06E2">
        <w:rPr>
          <w:color w:val="auto"/>
          <w:sz w:val="22"/>
          <w:szCs w:val="22"/>
        </w:rPr>
        <w:t>r</w:t>
      </w:r>
      <w:r w:rsidRPr="00DC06E2">
        <w:rPr>
          <w:color w:val="auto"/>
          <w:sz w:val="22"/>
          <w:szCs w:val="22"/>
        </w:rPr>
        <w:t xml:space="preserve"> la metodología de toma de decisiones robusta (RDM, por sus siglas en inglés) dirigid</w:t>
      </w:r>
      <w:r w:rsidR="00C34C40">
        <w:rPr>
          <w:color w:val="auto"/>
          <w:sz w:val="22"/>
          <w:szCs w:val="22"/>
        </w:rPr>
        <w:t>a</w:t>
      </w:r>
      <w:r w:rsidRPr="00DC06E2">
        <w:rPr>
          <w:color w:val="auto"/>
          <w:sz w:val="22"/>
          <w:szCs w:val="22"/>
        </w:rPr>
        <w:t xml:space="preserve"> especialmente a los sectores de la </w:t>
      </w:r>
      <w:r w:rsidR="005B4E45">
        <w:rPr>
          <w:color w:val="auto"/>
          <w:sz w:val="22"/>
          <w:szCs w:val="22"/>
        </w:rPr>
        <w:t>CDN</w:t>
      </w:r>
      <w:r w:rsidRPr="00DC06E2">
        <w:rPr>
          <w:color w:val="auto"/>
          <w:sz w:val="22"/>
          <w:szCs w:val="22"/>
        </w:rPr>
        <w:t xml:space="preserve"> de </w:t>
      </w:r>
      <w:r w:rsidR="005B4E45">
        <w:rPr>
          <w:color w:val="auto"/>
          <w:sz w:val="22"/>
          <w:szCs w:val="22"/>
        </w:rPr>
        <w:t>s</w:t>
      </w:r>
      <w:r w:rsidRPr="00DC06E2">
        <w:rPr>
          <w:color w:val="auto"/>
          <w:sz w:val="22"/>
          <w:szCs w:val="22"/>
        </w:rPr>
        <w:t xml:space="preserve">alud, infraestructura, agricultura, ganadería, acuicultura sostenible y transición energética, ayudando a identificar posibles medidas de adaptación basadas en </w:t>
      </w:r>
      <w:r w:rsidR="004D3299" w:rsidRPr="00DC06E2">
        <w:rPr>
          <w:color w:val="auto"/>
          <w:sz w:val="22"/>
          <w:szCs w:val="22"/>
        </w:rPr>
        <w:t xml:space="preserve">la </w:t>
      </w:r>
      <w:r w:rsidRPr="00DC06E2">
        <w:rPr>
          <w:color w:val="auto"/>
          <w:sz w:val="22"/>
          <w:szCs w:val="22"/>
        </w:rPr>
        <w:t>naturaleza y su priorización.</w:t>
      </w:r>
    </w:p>
    <w:p w14:paraId="3106055C" w14:textId="141F31EE" w:rsidR="004B1297" w:rsidRPr="00DC06E2" w:rsidRDefault="004B1297" w:rsidP="007C71E3">
      <w:pPr>
        <w:pStyle w:val="ListParagraph"/>
        <w:numPr>
          <w:ilvl w:val="0"/>
          <w:numId w:val="5"/>
        </w:numPr>
        <w:suppressAutoHyphens/>
        <w:spacing w:after="120"/>
        <w:ind w:left="36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Fortalec</w:t>
      </w:r>
      <w:r w:rsidR="004F7196" w:rsidRPr="00DC06E2">
        <w:rPr>
          <w:color w:val="auto"/>
          <w:sz w:val="22"/>
          <w:szCs w:val="22"/>
        </w:rPr>
        <w:t>er</w:t>
      </w:r>
      <w:r w:rsidRPr="00DC06E2">
        <w:rPr>
          <w:color w:val="auto"/>
          <w:sz w:val="22"/>
          <w:szCs w:val="22"/>
        </w:rPr>
        <w:t xml:space="preserve"> capacidades </w:t>
      </w:r>
      <w:r w:rsidR="005B4E45">
        <w:rPr>
          <w:color w:val="auto"/>
          <w:sz w:val="22"/>
          <w:szCs w:val="22"/>
        </w:rPr>
        <w:t xml:space="preserve">relevantes </w:t>
      </w:r>
      <w:r w:rsidRPr="00DC06E2">
        <w:rPr>
          <w:color w:val="auto"/>
          <w:sz w:val="22"/>
          <w:szCs w:val="22"/>
        </w:rPr>
        <w:t>a</w:t>
      </w:r>
      <w:r w:rsidR="005B4E45">
        <w:rPr>
          <w:color w:val="auto"/>
          <w:sz w:val="22"/>
          <w:szCs w:val="22"/>
        </w:rPr>
        <w:t>l</w:t>
      </w:r>
      <w:r w:rsidRPr="00DC06E2">
        <w:rPr>
          <w:color w:val="auto"/>
          <w:sz w:val="22"/>
          <w:szCs w:val="22"/>
        </w:rPr>
        <w:t xml:space="preserve"> inter</w:t>
      </w:r>
      <w:r w:rsidR="005B4E45">
        <w:rPr>
          <w:color w:val="auto"/>
          <w:sz w:val="22"/>
          <w:szCs w:val="22"/>
        </w:rPr>
        <w:t xml:space="preserve">ior </w:t>
      </w:r>
      <w:r w:rsidRPr="00DC06E2">
        <w:rPr>
          <w:color w:val="auto"/>
          <w:sz w:val="22"/>
          <w:szCs w:val="22"/>
        </w:rPr>
        <w:t>del Ministerio de Ambiente y actores claves.</w:t>
      </w:r>
    </w:p>
    <w:p w14:paraId="2052BAC3" w14:textId="33FD2E32" w:rsidR="0027205E" w:rsidRPr="00DC06E2" w:rsidRDefault="0027205E" w:rsidP="00DC06E2">
      <w:pPr>
        <w:suppressAutoHyphens/>
        <w:spacing w:after="120"/>
        <w:jc w:val="both"/>
        <w:rPr>
          <w:sz w:val="22"/>
          <w:szCs w:val="22"/>
        </w:rPr>
      </w:pPr>
      <w:r w:rsidRPr="00DC06E2">
        <w:rPr>
          <w:color w:val="auto"/>
          <w:sz w:val="22"/>
          <w:szCs w:val="22"/>
        </w:rPr>
        <w:t xml:space="preserve">El tiempo estimado para la ejecución de los servicios es de </w:t>
      </w:r>
      <w:r w:rsidR="00B45D1B" w:rsidRPr="00DC06E2">
        <w:rPr>
          <w:color w:val="auto"/>
          <w:sz w:val="22"/>
          <w:szCs w:val="22"/>
        </w:rPr>
        <w:t xml:space="preserve">doce </w:t>
      </w:r>
      <w:r w:rsidRPr="00DC06E2">
        <w:rPr>
          <w:color w:val="auto"/>
          <w:sz w:val="22"/>
          <w:szCs w:val="22"/>
        </w:rPr>
        <w:t>(</w:t>
      </w:r>
      <w:r w:rsidR="00332B86" w:rsidRPr="00DC06E2">
        <w:rPr>
          <w:color w:val="auto"/>
          <w:sz w:val="22"/>
          <w:szCs w:val="22"/>
        </w:rPr>
        <w:t>1</w:t>
      </w:r>
      <w:r w:rsidR="006D203B" w:rsidRPr="00DC06E2">
        <w:rPr>
          <w:color w:val="auto"/>
          <w:sz w:val="22"/>
          <w:szCs w:val="22"/>
        </w:rPr>
        <w:t>2</w:t>
      </w:r>
      <w:r w:rsidRPr="00DC06E2">
        <w:rPr>
          <w:color w:val="auto"/>
          <w:sz w:val="22"/>
          <w:szCs w:val="22"/>
        </w:rPr>
        <w:t>) meses.</w:t>
      </w:r>
    </w:p>
    <w:p w14:paraId="68B2066F" w14:textId="5C40EFBB" w:rsidR="007001EE" w:rsidRPr="00DC06E2" w:rsidRDefault="08202347" w:rsidP="00DC06E2">
      <w:pPr>
        <w:spacing w:after="12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Las firmas consultoras elegibles serán seleccionad</w:t>
      </w:r>
      <w:r w:rsidR="00B97F83" w:rsidRPr="00DC06E2">
        <w:rPr>
          <w:color w:val="auto"/>
          <w:sz w:val="22"/>
          <w:szCs w:val="22"/>
        </w:rPr>
        <w:t>a</w:t>
      </w:r>
      <w:r w:rsidRPr="00DC06E2">
        <w:rPr>
          <w:color w:val="auto"/>
          <w:sz w:val="22"/>
          <w:szCs w:val="22"/>
        </w:rPr>
        <w:t xml:space="preserve">s de acuerdo con los procedimientos establecidos en el Banco Interamericano de Desarrollo: </w:t>
      </w:r>
      <w:hyperlink r:id="rId13">
        <w:r w:rsidRPr="00DC06E2">
          <w:rPr>
            <w:rStyle w:val="Hyperlink"/>
            <w:sz w:val="22"/>
            <w:szCs w:val="22"/>
          </w:rPr>
          <w:t>Política para la Selección y Contratación de Firmas Consultoras para el Trabajo Operativo ejecutado por el Banco - GN-2765-</w:t>
        </w:r>
        <w:r w:rsidR="0506207C" w:rsidRPr="00DC06E2">
          <w:rPr>
            <w:rStyle w:val="Hyperlink"/>
            <w:sz w:val="22"/>
            <w:szCs w:val="22"/>
          </w:rPr>
          <w:t>4</w:t>
        </w:r>
      </w:hyperlink>
      <w:r w:rsidR="00C90263" w:rsidRPr="00DC06E2">
        <w:rPr>
          <w:color w:val="auto"/>
          <w:sz w:val="22"/>
          <w:szCs w:val="22"/>
        </w:rPr>
        <w:t xml:space="preserve">. </w:t>
      </w:r>
      <w:r w:rsidRPr="00DC06E2">
        <w:rPr>
          <w:color w:val="auto"/>
          <w:sz w:val="22"/>
          <w:szCs w:val="22"/>
        </w:rPr>
        <w:t xml:space="preserve">Todas las firmas consultoras elegibles, según se define en la política, pueden manifestar su interés. </w:t>
      </w:r>
      <w:r w:rsidR="00C90263" w:rsidRPr="00DC06E2">
        <w:rPr>
          <w:color w:val="auto"/>
          <w:sz w:val="22"/>
          <w:szCs w:val="22"/>
        </w:rPr>
        <w:t xml:space="preserve">Si la </w:t>
      </w:r>
      <w:r w:rsidR="00B97F83" w:rsidRPr="00DC06E2">
        <w:rPr>
          <w:color w:val="auto"/>
          <w:sz w:val="22"/>
          <w:szCs w:val="22"/>
        </w:rPr>
        <w:t>f</w:t>
      </w:r>
      <w:r w:rsidR="00C90263" w:rsidRPr="00DC06E2">
        <w:rPr>
          <w:color w:val="auto"/>
          <w:sz w:val="22"/>
          <w:szCs w:val="22"/>
        </w:rPr>
        <w:t xml:space="preserve">irma consultora se presentara en Consorcio, </w:t>
      </w:r>
      <w:r w:rsidR="00B97F83" w:rsidRPr="00DC06E2">
        <w:rPr>
          <w:color w:val="auto"/>
          <w:sz w:val="22"/>
          <w:szCs w:val="22"/>
        </w:rPr>
        <w:t>est</w:t>
      </w:r>
      <w:r w:rsidR="001A0EAD" w:rsidRPr="00DC06E2">
        <w:rPr>
          <w:color w:val="auto"/>
          <w:sz w:val="22"/>
          <w:szCs w:val="22"/>
        </w:rPr>
        <w:t>a</w:t>
      </w:r>
      <w:r w:rsidR="00B97F83" w:rsidRPr="00DC06E2">
        <w:rPr>
          <w:color w:val="auto"/>
          <w:sz w:val="22"/>
          <w:szCs w:val="22"/>
        </w:rPr>
        <w:t xml:space="preserve"> deberá </w:t>
      </w:r>
      <w:r w:rsidR="00C90263" w:rsidRPr="00DC06E2">
        <w:rPr>
          <w:color w:val="auto"/>
          <w:sz w:val="22"/>
          <w:szCs w:val="22"/>
        </w:rPr>
        <w:t xml:space="preserve">designar a una de ellas como </w:t>
      </w:r>
      <w:r w:rsidR="00B97F83" w:rsidRPr="00DC06E2">
        <w:rPr>
          <w:color w:val="auto"/>
          <w:sz w:val="22"/>
          <w:szCs w:val="22"/>
        </w:rPr>
        <w:t xml:space="preserve">su </w:t>
      </w:r>
      <w:r w:rsidR="00C90263" w:rsidRPr="00DC06E2">
        <w:rPr>
          <w:color w:val="auto"/>
          <w:sz w:val="22"/>
          <w:szCs w:val="22"/>
        </w:rPr>
        <w:t>representante, y ésta será responsable de las comunicaciones, del registro en el portal y del envío de los documento</w:t>
      </w:r>
      <w:r w:rsidR="007001EE" w:rsidRPr="00DC06E2">
        <w:rPr>
          <w:color w:val="auto"/>
          <w:sz w:val="22"/>
          <w:szCs w:val="22"/>
        </w:rPr>
        <w:t>s correspondientes.</w:t>
      </w:r>
      <w:r w:rsidR="0061139E" w:rsidRPr="00DC06E2">
        <w:rPr>
          <w:color w:val="auto"/>
          <w:sz w:val="22"/>
          <w:szCs w:val="22"/>
        </w:rPr>
        <w:t xml:space="preserve"> </w:t>
      </w:r>
    </w:p>
    <w:p w14:paraId="6BEB1B61" w14:textId="12E20C82" w:rsidR="00931AC7" w:rsidRPr="00DC06E2" w:rsidRDefault="08202347" w:rsidP="00DC06E2">
      <w:pPr>
        <w:spacing w:after="12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El BID invita a las firmas consultoras elegibles a expresar su interés en prestar los servicios</w:t>
      </w:r>
      <w:r w:rsidR="00CE0491" w:rsidRPr="00DC06E2">
        <w:rPr>
          <w:color w:val="auto"/>
          <w:sz w:val="22"/>
          <w:szCs w:val="22"/>
        </w:rPr>
        <w:t xml:space="preserve"> </w:t>
      </w:r>
      <w:r w:rsidR="005716AC" w:rsidRPr="00DC06E2">
        <w:rPr>
          <w:color w:val="auto"/>
          <w:sz w:val="22"/>
          <w:szCs w:val="22"/>
        </w:rPr>
        <w:t>asociados a la asignación.</w:t>
      </w:r>
      <w:r w:rsidRPr="00DC06E2">
        <w:rPr>
          <w:color w:val="auto"/>
          <w:sz w:val="22"/>
          <w:szCs w:val="22"/>
        </w:rPr>
        <w:t xml:space="preserve"> Las f</w:t>
      </w:r>
      <w:r w:rsidR="00C90263" w:rsidRPr="00DC06E2">
        <w:rPr>
          <w:color w:val="auto"/>
          <w:sz w:val="22"/>
          <w:szCs w:val="22"/>
        </w:rPr>
        <w:t xml:space="preserve">irmas interesadas </w:t>
      </w:r>
      <w:r w:rsidRPr="00DC06E2">
        <w:rPr>
          <w:color w:val="auto"/>
          <w:sz w:val="22"/>
          <w:szCs w:val="22"/>
        </w:rPr>
        <w:t>deberán proporcionar información que indique que están calificadas para suministrar los servicios (folletos, descripción de trabajos similares, experiencia en condiciones similares, disponibilidad de personal que tenga los conocimientos pertinentes, etc</w:t>
      </w:r>
      <w:r w:rsidR="00FC1997" w:rsidRPr="00DC06E2">
        <w:rPr>
          <w:color w:val="auto"/>
          <w:sz w:val="22"/>
          <w:szCs w:val="22"/>
        </w:rPr>
        <w:t>)</w:t>
      </w:r>
      <w:r w:rsidRPr="00DC06E2">
        <w:rPr>
          <w:color w:val="auto"/>
          <w:sz w:val="22"/>
          <w:szCs w:val="22"/>
        </w:rPr>
        <w:t>.</w:t>
      </w:r>
      <w:r w:rsidR="00F823FF" w:rsidRPr="00DC06E2">
        <w:rPr>
          <w:color w:val="auto"/>
          <w:sz w:val="22"/>
          <w:szCs w:val="22"/>
        </w:rPr>
        <w:t xml:space="preserve"> Se</w:t>
      </w:r>
      <w:r w:rsidR="00530077" w:rsidRPr="00DC06E2">
        <w:rPr>
          <w:color w:val="auto"/>
          <w:sz w:val="22"/>
          <w:szCs w:val="22"/>
        </w:rPr>
        <w:t xml:space="preserve"> recomienda no enviar más de 30 páginas</w:t>
      </w:r>
      <w:r w:rsidRPr="00DC06E2">
        <w:rPr>
          <w:color w:val="auto"/>
          <w:sz w:val="22"/>
          <w:szCs w:val="22"/>
        </w:rPr>
        <w:t>. Las firmas consultoras elegibles se pueden asociar como un emprendimiento conjunto o en un acuerdo de sub-consultoría para mejorar sus calificaciones. Dicha asociación o emprendimiento conjunto nombrará a una de las firmas como representante.</w:t>
      </w:r>
    </w:p>
    <w:p w14:paraId="6016E562" w14:textId="5AA8FD7F" w:rsidR="00B82239" w:rsidRPr="00DC06E2" w:rsidRDefault="006C7B25" w:rsidP="00DC06E2">
      <w:pPr>
        <w:spacing w:after="120"/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Se sugiere demostrar experiencia relevante y específica</w:t>
      </w:r>
      <w:r w:rsidR="00556F2B" w:rsidRPr="00DC06E2">
        <w:rPr>
          <w:color w:val="auto"/>
          <w:sz w:val="22"/>
          <w:szCs w:val="22"/>
        </w:rPr>
        <w:t xml:space="preserve"> relacionada con los</w:t>
      </w:r>
      <w:r w:rsidR="000420AD" w:rsidRPr="00DC06E2">
        <w:rPr>
          <w:color w:val="auto"/>
          <w:sz w:val="22"/>
          <w:szCs w:val="22"/>
        </w:rPr>
        <w:t xml:space="preserve"> servicios descritos</w:t>
      </w:r>
      <w:r w:rsidR="00785778" w:rsidRPr="00DC06E2">
        <w:rPr>
          <w:color w:val="auto"/>
          <w:sz w:val="22"/>
          <w:szCs w:val="22"/>
        </w:rPr>
        <w:t xml:space="preserve"> para está consultoría</w:t>
      </w:r>
      <w:r w:rsidRPr="00DC06E2">
        <w:rPr>
          <w:color w:val="auto"/>
          <w:sz w:val="22"/>
          <w:szCs w:val="22"/>
        </w:rPr>
        <w:t>. Por ejemplo, se podría incluir una tabla en la EOI:</w:t>
      </w:r>
    </w:p>
    <w:tbl>
      <w:tblPr>
        <w:tblStyle w:val="TableGrid"/>
        <w:tblW w:w="8275" w:type="dxa"/>
        <w:tblLook w:val="04A0" w:firstRow="1" w:lastRow="0" w:firstColumn="1" w:lastColumn="0" w:noHBand="0" w:noVBand="1"/>
      </w:tblPr>
      <w:tblGrid>
        <w:gridCol w:w="1158"/>
        <w:gridCol w:w="669"/>
        <w:gridCol w:w="852"/>
        <w:gridCol w:w="1463"/>
        <w:gridCol w:w="1290"/>
        <w:gridCol w:w="2843"/>
      </w:tblGrid>
      <w:tr w:rsidR="004F7196" w:rsidRPr="00DC06E2" w14:paraId="67268873" w14:textId="77777777" w:rsidTr="004F7196">
        <w:tc>
          <w:tcPr>
            <w:tcW w:w="1075" w:type="dxa"/>
            <w:shd w:val="clear" w:color="auto" w:fill="EEECE1" w:themeFill="background2"/>
            <w:vAlign w:val="center"/>
          </w:tcPr>
          <w:p w14:paraId="3BD552D7" w14:textId="4F972F7A" w:rsidR="004F7196" w:rsidRPr="00DC06E2" w:rsidRDefault="004F7196" w:rsidP="00DC06E2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Proyecto</w:t>
            </w:r>
          </w:p>
        </w:tc>
        <w:tc>
          <w:tcPr>
            <w:tcW w:w="630" w:type="dxa"/>
            <w:shd w:val="clear" w:color="auto" w:fill="EEECE1" w:themeFill="background2"/>
          </w:tcPr>
          <w:p w14:paraId="333A9842" w14:textId="696B2A90" w:rsidR="004F7196" w:rsidRPr="00DC06E2" w:rsidRDefault="004F7196" w:rsidP="00DC06E2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País</w:t>
            </w:r>
          </w:p>
        </w:tc>
        <w:tc>
          <w:tcPr>
            <w:tcW w:w="810" w:type="dxa"/>
            <w:shd w:val="clear" w:color="auto" w:fill="EEECE1" w:themeFill="background2"/>
            <w:vAlign w:val="center"/>
          </w:tcPr>
          <w:p w14:paraId="01D7D402" w14:textId="6981CA4B" w:rsidR="004F7196" w:rsidRPr="00DC06E2" w:rsidRDefault="004F7196" w:rsidP="00DC06E2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Fecha Inicio</w:t>
            </w:r>
          </w:p>
        </w:tc>
        <w:tc>
          <w:tcPr>
            <w:tcW w:w="1350" w:type="dxa"/>
            <w:shd w:val="clear" w:color="auto" w:fill="EEECE1" w:themeFill="background2"/>
            <w:vAlign w:val="center"/>
          </w:tcPr>
          <w:p w14:paraId="4FECF24B" w14:textId="1E15048B" w:rsidR="004F7196" w:rsidRPr="00DC06E2" w:rsidRDefault="004F7196" w:rsidP="00DC06E2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Fecha terminación</w:t>
            </w:r>
          </w:p>
        </w:tc>
        <w:tc>
          <w:tcPr>
            <w:tcW w:w="1350" w:type="dxa"/>
            <w:shd w:val="clear" w:color="auto" w:fill="EEECE1" w:themeFill="background2"/>
            <w:vAlign w:val="center"/>
          </w:tcPr>
          <w:p w14:paraId="50180F79" w14:textId="53DBD2AD" w:rsidR="004F7196" w:rsidRPr="00DC06E2" w:rsidRDefault="004F7196" w:rsidP="00DC06E2">
            <w:pPr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Monto</w:t>
            </w:r>
          </w:p>
        </w:tc>
        <w:tc>
          <w:tcPr>
            <w:tcW w:w="3060" w:type="dxa"/>
            <w:shd w:val="clear" w:color="auto" w:fill="EEECE1" w:themeFill="background2"/>
            <w:vAlign w:val="center"/>
          </w:tcPr>
          <w:p w14:paraId="461678D6" w14:textId="4E3DB5AD" w:rsidR="004F7196" w:rsidRPr="00DC06E2" w:rsidRDefault="004F7196" w:rsidP="00DC06E2">
            <w:pPr>
              <w:ind w:left="-109" w:right="-83"/>
              <w:jc w:val="center"/>
              <w:rPr>
                <w:b/>
                <w:color w:val="auto"/>
                <w:sz w:val="22"/>
                <w:szCs w:val="22"/>
              </w:rPr>
            </w:pPr>
            <w:r w:rsidRPr="00DC06E2">
              <w:rPr>
                <w:b/>
                <w:color w:val="auto"/>
                <w:sz w:val="22"/>
                <w:szCs w:val="22"/>
              </w:rPr>
              <w:t>Actividades de relevancia para esta consultoría</w:t>
            </w:r>
          </w:p>
        </w:tc>
      </w:tr>
      <w:tr w:rsidR="004F7196" w:rsidRPr="00DC06E2" w14:paraId="2831F644" w14:textId="77777777" w:rsidTr="004F7196">
        <w:tc>
          <w:tcPr>
            <w:tcW w:w="1075" w:type="dxa"/>
          </w:tcPr>
          <w:p w14:paraId="6BF02320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30" w:type="dxa"/>
          </w:tcPr>
          <w:p w14:paraId="7CE6FD28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76807171" w14:textId="360F1D62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88CEEC4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50" w:type="dxa"/>
          </w:tcPr>
          <w:p w14:paraId="11B0B2A4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060" w:type="dxa"/>
          </w:tcPr>
          <w:p w14:paraId="42C20476" w14:textId="77777777" w:rsidR="004F7196" w:rsidRPr="00DC06E2" w:rsidRDefault="004F7196" w:rsidP="00DC06E2">
            <w:pPr>
              <w:ind w:left="-109" w:right="-83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4F7196" w:rsidRPr="00DC06E2" w14:paraId="0615A73B" w14:textId="77777777" w:rsidTr="004F7196">
        <w:tc>
          <w:tcPr>
            <w:tcW w:w="1075" w:type="dxa"/>
          </w:tcPr>
          <w:p w14:paraId="631838A3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630" w:type="dxa"/>
          </w:tcPr>
          <w:p w14:paraId="3223BAF0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10" w:type="dxa"/>
          </w:tcPr>
          <w:p w14:paraId="3341ABDE" w14:textId="2398A5F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96B37A4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50" w:type="dxa"/>
          </w:tcPr>
          <w:p w14:paraId="2142802C" w14:textId="77777777" w:rsidR="004F7196" w:rsidRPr="00DC06E2" w:rsidRDefault="004F7196" w:rsidP="00DC06E2">
            <w:pPr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060" w:type="dxa"/>
          </w:tcPr>
          <w:p w14:paraId="0F3BD98D" w14:textId="77777777" w:rsidR="004F7196" w:rsidRPr="00DC06E2" w:rsidRDefault="004F7196" w:rsidP="00DC06E2">
            <w:pPr>
              <w:ind w:left="-109" w:right="-83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43089E7A" w14:textId="77777777" w:rsidR="00B82239" w:rsidRPr="00DC06E2" w:rsidRDefault="00B82239" w:rsidP="00DC06E2">
      <w:pPr>
        <w:jc w:val="both"/>
        <w:rPr>
          <w:color w:val="auto"/>
          <w:sz w:val="22"/>
          <w:szCs w:val="22"/>
        </w:rPr>
      </w:pPr>
    </w:p>
    <w:p w14:paraId="6EEE2F93" w14:textId="48EB197B" w:rsidR="009745A1" w:rsidRDefault="08202347" w:rsidP="00A7228F">
      <w:pPr>
        <w:spacing w:after="120"/>
        <w:jc w:val="both"/>
        <w:rPr>
          <w:rStyle w:val="Hyperlink"/>
          <w:i/>
          <w:iCs/>
          <w:sz w:val="22"/>
          <w:szCs w:val="22"/>
        </w:rPr>
      </w:pPr>
      <w:r w:rsidRPr="00DC06E2">
        <w:rPr>
          <w:color w:val="auto"/>
          <w:sz w:val="22"/>
          <w:szCs w:val="22"/>
        </w:rPr>
        <w:t>Las firmas consultoras el</w:t>
      </w:r>
      <w:r w:rsidR="007001EE" w:rsidRPr="00DC06E2">
        <w:rPr>
          <w:color w:val="auto"/>
          <w:sz w:val="22"/>
          <w:szCs w:val="22"/>
        </w:rPr>
        <w:t xml:space="preserve">egibles que estén interesadas </w:t>
      </w:r>
      <w:r w:rsidRPr="00DC06E2">
        <w:rPr>
          <w:color w:val="auto"/>
          <w:sz w:val="22"/>
          <w:szCs w:val="22"/>
        </w:rPr>
        <w:t>podrán obtener información adicional en horario de oficina</w:t>
      </w:r>
      <w:r w:rsidR="00BA205D" w:rsidRPr="00DC06E2">
        <w:rPr>
          <w:color w:val="auto"/>
          <w:sz w:val="22"/>
          <w:szCs w:val="22"/>
        </w:rPr>
        <w:t xml:space="preserve"> </w:t>
      </w:r>
      <w:r w:rsidRPr="00DC06E2">
        <w:rPr>
          <w:color w:val="auto"/>
          <w:sz w:val="22"/>
          <w:szCs w:val="22"/>
        </w:rPr>
        <w:t>9:00 am - 5:00</w:t>
      </w:r>
      <w:r w:rsidR="00BA205D" w:rsidRPr="00DC06E2">
        <w:rPr>
          <w:color w:val="auto"/>
          <w:sz w:val="22"/>
          <w:szCs w:val="22"/>
        </w:rPr>
        <w:t xml:space="preserve"> pm</w:t>
      </w:r>
      <w:r w:rsidRPr="00DC06E2">
        <w:rPr>
          <w:color w:val="auto"/>
          <w:sz w:val="22"/>
          <w:szCs w:val="22"/>
        </w:rPr>
        <w:t xml:space="preserve"> (Hora de Washington D</w:t>
      </w:r>
      <w:r w:rsidR="00BA205D" w:rsidRPr="00DC06E2">
        <w:rPr>
          <w:color w:val="auto"/>
          <w:sz w:val="22"/>
          <w:szCs w:val="22"/>
        </w:rPr>
        <w:t>.</w:t>
      </w:r>
      <w:r w:rsidRPr="00DC06E2">
        <w:rPr>
          <w:color w:val="auto"/>
          <w:sz w:val="22"/>
          <w:szCs w:val="22"/>
        </w:rPr>
        <w:t>C</w:t>
      </w:r>
      <w:r w:rsidR="00BA205D" w:rsidRPr="00DC06E2">
        <w:rPr>
          <w:color w:val="auto"/>
          <w:sz w:val="22"/>
          <w:szCs w:val="22"/>
        </w:rPr>
        <w:t>.</w:t>
      </w:r>
      <w:r w:rsidRPr="00DC06E2">
        <w:rPr>
          <w:color w:val="auto"/>
          <w:sz w:val="22"/>
          <w:szCs w:val="22"/>
        </w:rPr>
        <w:t>), mediante el envío de un correo electrónico a</w:t>
      </w:r>
      <w:r w:rsidR="008A64B9" w:rsidRPr="00DC06E2">
        <w:rPr>
          <w:color w:val="auto"/>
          <w:sz w:val="22"/>
          <w:szCs w:val="22"/>
        </w:rPr>
        <w:t xml:space="preserve">: </w:t>
      </w:r>
      <w:hyperlink r:id="rId14" w:history="1">
        <w:r w:rsidR="00CD1782" w:rsidRPr="00DC06E2">
          <w:rPr>
            <w:rStyle w:val="Hyperlink"/>
            <w:i/>
            <w:iCs/>
            <w:sz w:val="22"/>
            <w:szCs w:val="22"/>
          </w:rPr>
          <w:t>rosago@iadb.org</w:t>
        </w:r>
      </w:hyperlink>
      <w:r w:rsidR="003163A2" w:rsidRPr="00DC06E2">
        <w:rPr>
          <w:rStyle w:val="Hyperlink"/>
          <w:i/>
          <w:iCs/>
          <w:sz w:val="22"/>
          <w:szCs w:val="22"/>
        </w:rPr>
        <w:t>,</w:t>
      </w:r>
      <w:r w:rsidR="005279E9" w:rsidRPr="00DC06E2">
        <w:rPr>
          <w:sz w:val="22"/>
          <w:szCs w:val="22"/>
        </w:rPr>
        <w:t xml:space="preserve"> </w:t>
      </w:r>
      <w:bookmarkStart w:id="1" w:name="_Hlk115362858"/>
      <w:r w:rsidR="00A7228F">
        <w:rPr>
          <w:rStyle w:val="Hyperlink"/>
          <w:i/>
          <w:iCs/>
          <w:sz w:val="22"/>
          <w:szCs w:val="22"/>
        </w:rPr>
        <w:fldChar w:fldCharType="begin"/>
      </w:r>
      <w:r w:rsidR="00A7228F">
        <w:rPr>
          <w:rStyle w:val="Hyperlink"/>
          <w:i/>
          <w:iCs/>
          <w:sz w:val="22"/>
          <w:szCs w:val="22"/>
        </w:rPr>
        <w:instrText xml:space="preserve"> HYPERLINK "mailto:</w:instrText>
      </w:r>
      <w:r w:rsidR="00A7228F" w:rsidRPr="00DC06E2">
        <w:rPr>
          <w:rStyle w:val="Hyperlink"/>
          <w:i/>
          <w:iCs/>
          <w:sz w:val="22"/>
          <w:szCs w:val="22"/>
        </w:rPr>
        <w:instrText>mariaesc@iadb.org</w:instrText>
      </w:r>
      <w:r w:rsidR="00A7228F">
        <w:rPr>
          <w:rStyle w:val="Hyperlink"/>
          <w:i/>
          <w:iCs/>
          <w:sz w:val="22"/>
          <w:szCs w:val="22"/>
        </w:rPr>
        <w:instrText xml:space="preserve">" </w:instrText>
      </w:r>
      <w:r w:rsidR="00A7228F">
        <w:rPr>
          <w:rStyle w:val="Hyperlink"/>
          <w:i/>
          <w:iCs/>
          <w:sz w:val="22"/>
          <w:szCs w:val="22"/>
        </w:rPr>
        <w:fldChar w:fldCharType="separate"/>
      </w:r>
      <w:r w:rsidR="00A7228F" w:rsidRPr="0031154E">
        <w:rPr>
          <w:rStyle w:val="Hyperlink"/>
          <w:i/>
          <w:iCs/>
          <w:sz w:val="22"/>
          <w:szCs w:val="22"/>
        </w:rPr>
        <w:t>mariaesc@iadb.org</w:t>
      </w:r>
      <w:r w:rsidR="00A7228F">
        <w:rPr>
          <w:rStyle w:val="Hyperlink"/>
          <w:i/>
          <w:iCs/>
          <w:sz w:val="22"/>
          <w:szCs w:val="22"/>
        </w:rPr>
        <w:fldChar w:fldCharType="end"/>
      </w:r>
      <w:r w:rsidR="00A7228F">
        <w:rPr>
          <w:rStyle w:val="Hyperlink"/>
          <w:i/>
          <w:iCs/>
          <w:sz w:val="22"/>
          <w:szCs w:val="22"/>
        </w:rPr>
        <w:t>.</w:t>
      </w:r>
    </w:p>
    <w:p w14:paraId="3E0A54C3" w14:textId="132096CD" w:rsidR="00A7228F" w:rsidRPr="00A7228F" w:rsidRDefault="00A7228F" w:rsidP="00A7228F">
      <w:pPr>
        <w:spacing w:after="120"/>
        <w:jc w:val="both"/>
        <w:rPr>
          <w:color w:val="auto"/>
          <w:sz w:val="20"/>
          <w:szCs w:val="20"/>
        </w:rPr>
      </w:pPr>
      <w:r w:rsidRPr="00A7228F">
        <w:rPr>
          <w:color w:val="auto"/>
          <w:sz w:val="22"/>
          <w:szCs w:val="22"/>
        </w:rPr>
        <w:t>Cordialmente,</w:t>
      </w:r>
    </w:p>
    <w:bookmarkEnd w:id="1"/>
    <w:p w14:paraId="200D8E06" w14:textId="5B69F881" w:rsidR="00D761FB" w:rsidRDefault="00D761FB" w:rsidP="00DC06E2">
      <w:pPr>
        <w:jc w:val="both"/>
        <w:rPr>
          <w:color w:val="auto"/>
          <w:sz w:val="22"/>
          <w:szCs w:val="22"/>
        </w:rPr>
      </w:pPr>
    </w:p>
    <w:p w14:paraId="0B6F485B" w14:textId="77777777" w:rsidR="00A7228F" w:rsidRPr="00DC06E2" w:rsidRDefault="00A7228F" w:rsidP="00DC06E2">
      <w:pPr>
        <w:jc w:val="both"/>
        <w:rPr>
          <w:color w:val="auto"/>
          <w:sz w:val="22"/>
          <w:szCs w:val="22"/>
        </w:rPr>
      </w:pPr>
    </w:p>
    <w:p w14:paraId="55AA7914" w14:textId="00032CCE" w:rsidR="00BA205D" w:rsidRPr="00DC06E2" w:rsidRDefault="00B217EC" w:rsidP="00DC06E2">
      <w:pPr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Raúl Delgado</w:t>
      </w:r>
    </w:p>
    <w:p w14:paraId="24E265D7" w14:textId="77777777" w:rsidR="00BA205D" w:rsidRPr="00DC06E2" w:rsidRDefault="00BA205D" w:rsidP="00DC06E2">
      <w:pPr>
        <w:jc w:val="both"/>
        <w:rPr>
          <w:i/>
          <w:iCs/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División de Cambio Climático</w:t>
      </w:r>
    </w:p>
    <w:p w14:paraId="2FC68AA2" w14:textId="043739A1" w:rsidR="007B424D" w:rsidRPr="00DC06E2" w:rsidRDefault="007B424D" w:rsidP="00DC06E2">
      <w:pPr>
        <w:jc w:val="both"/>
        <w:rPr>
          <w:color w:val="auto"/>
          <w:sz w:val="22"/>
          <w:szCs w:val="22"/>
        </w:rPr>
      </w:pPr>
      <w:r w:rsidRPr="00DC06E2">
        <w:rPr>
          <w:color w:val="auto"/>
          <w:sz w:val="22"/>
          <w:szCs w:val="22"/>
        </w:rPr>
        <w:t>Banco Interamericano de Desarrollo</w:t>
      </w:r>
    </w:p>
    <w:p w14:paraId="02DE4361" w14:textId="11BAD009" w:rsidR="007B424D" w:rsidRPr="00DC06E2" w:rsidRDefault="007B424D" w:rsidP="00DC06E2">
      <w:pPr>
        <w:jc w:val="both"/>
        <w:rPr>
          <w:color w:val="auto"/>
          <w:sz w:val="22"/>
          <w:szCs w:val="22"/>
          <w:lang w:val="es-CO"/>
        </w:rPr>
      </w:pPr>
      <w:r w:rsidRPr="00A7228F">
        <w:rPr>
          <w:b/>
          <w:bCs/>
          <w:color w:val="auto"/>
          <w:sz w:val="22"/>
          <w:szCs w:val="22"/>
          <w:lang w:val="es-CO"/>
        </w:rPr>
        <w:t>Atención:</w:t>
      </w:r>
      <w:r w:rsidRPr="00A7228F">
        <w:rPr>
          <w:i/>
          <w:iCs/>
          <w:color w:val="auto"/>
          <w:sz w:val="22"/>
          <w:szCs w:val="22"/>
          <w:lang w:val="es-CO"/>
        </w:rPr>
        <w:t xml:space="preserve"> </w:t>
      </w:r>
      <w:r w:rsidR="00BA5747" w:rsidRPr="00DC06E2">
        <w:rPr>
          <w:color w:val="auto"/>
          <w:sz w:val="22"/>
          <w:szCs w:val="22"/>
          <w:lang w:val="es-CO"/>
        </w:rPr>
        <w:t>Esperanza González</w:t>
      </w:r>
      <w:r w:rsidR="00B217EC" w:rsidRPr="00DC06E2">
        <w:rPr>
          <w:color w:val="auto"/>
          <w:sz w:val="22"/>
          <w:szCs w:val="22"/>
          <w:lang w:val="es-CO"/>
        </w:rPr>
        <w:t>/María Alejandra Escobar</w:t>
      </w:r>
    </w:p>
    <w:p w14:paraId="23CB949D" w14:textId="77777777" w:rsidR="007B424D" w:rsidRPr="00DC06E2" w:rsidRDefault="007B424D" w:rsidP="00DC06E2">
      <w:pPr>
        <w:jc w:val="both"/>
        <w:rPr>
          <w:color w:val="auto"/>
          <w:sz w:val="22"/>
          <w:szCs w:val="22"/>
          <w:lang w:val="es-CO"/>
        </w:rPr>
      </w:pPr>
    </w:p>
    <w:p w14:paraId="5411239A" w14:textId="3BFEE1F3" w:rsidR="007B424D" w:rsidRPr="00DC06E2" w:rsidRDefault="007B424D" w:rsidP="00DC06E2">
      <w:pPr>
        <w:jc w:val="both"/>
        <w:rPr>
          <w:color w:val="auto"/>
          <w:sz w:val="22"/>
          <w:szCs w:val="22"/>
          <w:lang w:val="en-US"/>
        </w:rPr>
      </w:pPr>
      <w:r w:rsidRPr="00DC06E2">
        <w:rPr>
          <w:color w:val="auto"/>
          <w:sz w:val="22"/>
          <w:szCs w:val="22"/>
          <w:lang w:val="en-US"/>
        </w:rPr>
        <w:t>1300 New York Avenue, NW, Washington, DC</w:t>
      </w:r>
      <w:r w:rsidR="00CF0940">
        <w:rPr>
          <w:color w:val="auto"/>
          <w:sz w:val="22"/>
          <w:szCs w:val="22"/>
          <w:lang w:val="en-US"/>
        </w:rPr>
        <w:t>,</w:t>
      </w:r>
      <w:r w:rsidRPr="00DC06E2">
        <w:rPr>
          <w:color w:val="auto"/>
          <w:sz w:val="22"/>
          <w:szCs w:val="22"/>
          <w:lang w:val="en-US"/>
        </w:rPr>
        <w:t xml:space="preserve"> 20577, </w:t>
      </w:r>
      <w:r w:rsidR="00FD54F5" w:rsidRPr="00DC06E2">
        <w:rPr>
          <w:color w:val="auto"/>
          <w:sz w:val="22"/>
          <w:szCs w:val="22"/>
          <w:lang w:val="en-US"/>
        </w:rPr>
        <w:t>EE.UU.</w:t>
      </w:r>
    </w:p>
    <w:p w14:paraId="308FB040" w14:textId="1FE07D60" w:rsidR="007B424D" w:rsidRPr="00DC06E2" w:rsidRDefault="004D684B" w:rsidP="00DC06E2">
      <w:pPr>
        <w:suppressAutoHyphens/>
        <w:jc w:val="both"/>
        <w:rPr>
          <w:color w:val="0070C0"/>
          <w:sz w:val="22"/>
          <w:szCs w:val="22"/>
          <w:lang w:val="fr-FR"/>
        </w:rPr>
      </w:pPr>
      <w:r w:rsidRPr="00DC06E2">
        <w:rPr>
          <w:sz w:val="22"/>
          <w:szCs w:val="22"/>
          <w:lang w:val="fr-FR"/>
        </w:rPr>
        <w:t>Email:</w:t>
      </w:r>
      <w:r w:rsidR="007B424D" w:rsidRPr="00DC06E2">
        <w:rPr>
          <w:i/>
          <w:iCs/>
          <w:color w:val="0070C0"/>
          <w:sz w:val="22"/>
          <w:szCs w:val="22"/>
          <w:lang w:val="fr-FR"/>
        </w:rPr>
        <w:t xml:space="preserve"> </w:t>
      </w:r>
      <w:hyperlink r:id="rId15" w:history="1">
        <w:r w:rsidR="00D459D3" w:rsidRPr="00DC06E2">
          <w:rPr>
            <w:rStyle w:val="Hyperlink"/>
            <w:i/>
            <w:iCs/>
            <w:sz w:val="22"/>
            <w:szCs w:val="22"/>
            <w:lang w:val="fr-FR"/>
          </w:rPr>
          <w:t>rosago@iadb.org</w:t>
        </w:r>
      </w:hyperlink>
      <w:r w:rsidR="00D459D3" w:rsidRPr="00DC06E2">
        <w:rPr>
          <w:rStyle w:val="Hyperlink"/>
          <w:i/>
          <w:iCs/>
          <w:sz w:val="22"/>
          <w:szCs w:val="22"/>
          <w:lang w:val="fr-FR"/>
        </w:rPr>
        <w:t>,</w:t>
      </w:r>
      <w:r w:rsidR="00D459D3" w:rsidRPr="00DC06E2">
        <w:rPr>
          <w:sz w:val="22"/>
          <w:szCs w:val="22"/>
          <w:lang w:val="fr-FR"/>
        </w:rPr>
        <w:t xml:space="preserve"> </w:t>
      </w:r>
      <w:r w:rsidR="00D459D3" w:rsidRPr="00DC06E2">
        <w:rPr>
          <w:rStyle w:val="Hyperlink"/>
          <w:i/>
          <w:iCs/>
          <w:sz w:val="22"/>
          <w:szCs w:val="22"/>
          <w:lang w:val="fr-FR"/>
        </w:rPr>
        <w:t>mariaesc@iadb.org</w:t>
      </w:r>
    </w:p>
    <w:p w14:paraId="2509C789" w14:textId="0515474B" w:rsidR="00CE0491" w:rsidRPr="00DC06E2" w:rsidRDefault="007B424D" w:rsidP="00DC06E2">
      <w:pPr>
        <w:jc w:val="both"/>
        <w:rPr>
          <w:color w:val="auto"/>
          <w:sz w:val="22"/>
          <w:szCs w:val="22"/>
          <w:lang w:val="en-US"/>
        </w:rPr>
      </w:pPr>
      <w:r w:rsidRPr="00DC06E2">
        <w:rPr>
          <w:color w:val="auto"/>
          <w:sz w:val="22"/>
          <w:szCs w:val="22"/>
          <w:lang w:val="en-US"/>
        </w:rPr>
        <w:t xml:space="preserve">Sitio Web: </w:t>
      </w:r>
      <w:hyperlink r:id="rId16">
        <w:r w:rsidRPr="00DC06E2">
          <w:rPr>
            <w:rStyle w:val="Hyperlink"/>
            <w:sz w:val="22"/>
            <w:szCs w:val="22"/>
            <w:lang w:val="en-US"/>
          </w:rPr>
          <w:t>www.iadb.org</w:t>
        </w:r>
      </w:hyperlink>
      <w:r w:rsidRPr="00DC06E2">
        <w:rPr>
          <w:color w:val="auto"/>
          <w:sz w:val="22"/>
          <w:szCs w:val="22"/>
          <w:lang w:val="en-US"/>
        </w:rPr>
        <w:t xml:space="preserve"> </w:t>
      </w:r>
    </w:p>
    <w:sectPr w:rsidR="00CE0491" w:rsidRPr="00DC06E2" w:rsidSect="008E00EC">
      <w:headerReference w:type="default" r:id="rId17"/>
      <w:footerReference w:type="default" r:id="rId18"/>
      <w:pgSz w:w="11907" w:h="16840"/>
      <w:pgMar w:top="1440" w:right="1800" w:bottom="1440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65C9" w14:textId="77777777" w:rsidR="00391798" w:rsidRDefault="00391798">
      <w:r>
        <w:separator/>
      </w:r>
    </w:p>
  </w:endnote>
  <w:endnote w:type="continuationSeparator" w:id="0">
    <w:p w14:paraId="2109F085" w14:textId="77777777" w:rsidR="00391798" w:rsidRDefault="00391798">
      <w:r>
        <w:continuationSeparator/>
      </w:r>
    </w:p>
  </w:endnote>
  <w:endnote w:type="continuationNotice" w:id="1">
    <w:p w14:paraId="275BCE3A" w14:textId="77777777" w:rsidR="00391798" w:rsidRDefault="003917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8865" w14:textId="77777777" w:rsidR="00EA01C3" w:rsidRDefault="00EA01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27F0" w14:textId="77777777" w:rsidR="00391798" w:rsidRDefault="00391798">
      <w:r>
        <w:separator/>
      </w:r>
    </w:p>
  </w:footnote>
  <w:footnote w:type="continuationSeparator" w:id="0">
    <w:p w14:paraId="625D3029" w14:textId="77777777" w:rsidR="00391798" w:rsidRDefault="00391798">
      <w:r>
        <w:continuationSeparator/>
      </w:r>
    </w:p>
  </w:footnote>
  <w:footnote w:type="continuationNotice" w:id="1">
    <w:p w14:paraId="1FB63669" w14:textId="77777777" w:rsidR="00391798" w:rsidRDefault="003917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A9B3" w14:textId="46D09A03" w:rsidR="00E41843" w:rsidRDefault="00E4184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B134BD" wp14:editId="4B064FFF">
          <wp:simplePos x="0" y="0"/>
          <wp:positionH relativeFrom="margin">
            <wp:align>left</wp:align>
          </wp:positionH>
          <wp:positionV relativeFrom="paragraph">
            <wp:posOffset>-374073</wp:posOffset>
          </wp:positionV>
          <wp:extent cx="1745615" cy="442595"/>
          <wp:effectExtent l="0" t="0" r="6985" b="0"/>
          <wp:wrapSquare wrapText="bothSides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052" cy="445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25705"/>
    <w:multiLevelType w:val="hybridMultilevel"/>
    <w:tmpl w:val="68946DC0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90203"/>
    <w:multiLevelType w:val="multilevel"/>
    <w:tmpl w:val="85742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872B3F"/>
    <w:multiLevelType w:val="hybridMultilevel"/>
    <w:tmpl w:val="83164DB6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6C4"/>
    <w:multiLevelType w:val="hybridMultilevel"/>
    <w:tmpl w:val="9B9ACE2A"/>
    <w:lvl w:ilvl="0" w:tplc="A3E87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65F78"/>
    <w:multiLevelType w:val="multilevel"/>
    <w:tmpl w:val="C9844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2099706">
    <w:abstractNumId w:val="2"/>
  </w:num>
  <w:num w:numId="2" w16cid:durableId="1030765472">
    <w:abstractNumId w:val="0"/>
  </w:num>
  <w:num w:numId="3" w16cid:durableId="1966739373">
    <w:abstractNumId w:val="4"/>
  </w:num>
  <w:num w:numId="4" w16cid:durableId="1857383292">
    <w:abstractNumId w:val="1"/>
  </w:num>
  <w:num w:numId="5" w16cid:durableId="1684865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A7"/>
    <w:rsid w:val="00000DDF"/>
    <w:rsid w:val="00012BC9"/>
    <w:rsid w:val="00024291"/>
    <w:rsid w:val="00030468"/>
    <w:rsid w:val="00032422"/>
    <w:rsid w:val="0003493A"/>
    <w:rsid w:val="00041095"/>
    <w:rsid w:val="000420AD"/>
    <w:rsid w:val="00042B87"/>
    <w:rsid w:val="000435EB"/>
    <w:rsid w:val="00050DB5"/>
    <w:rsid w:val="000655CF"/>
    <w:rsid w:val="00090E04"/>
    <w:rsid w:val="000971F2"/>
    <w:rsid w:val="000A1976"/>
    <w:rsid w:val="000A52EF"/>
    <w:rsid w:val="000C0DD2"/>
    <w:rsid w:val="000C118D"/>
    <w:rsid w:val="000D27BD"/>
    <w:rsid w:val="000E5443"/>
    <w:rsid w:val="000F31DD"/>
    <w:rsid w:val="001051E4"/>
    <w:rsid w:val="00117A15"/>
    <w:rsid w:val="00121C32"/>
    <w:rsid w:val="00147995"/>
    <w:rsid w:val="001603BB"/>
    <w:rsid w:val="001717B5"/>
    <w:rsid w:val="001739BC"/>
    <w:rsid w:val="00180632"/>
    <w:rsid w:val="00186ED4"/>
    <w:rsid w:val="001A0EAD"/>
    <w:rsid w:val="001B3415"/>
    <w:rsid w:val="001C1EA2"/>
    <w:rsid w:val="001C2C15"/>
    <w:rsid w:val="001C5843"/>
    <w:rsid w:val="001D7850"/>
    <w:rsid w:val="001F2366"/>
    <w:rsid w:val="001F3D74"/>
    <w:rsid w:val="001F6137"/>
    <w:rsid w:val="00201995"/>
    <w:rsid w:val="00202AC8"/>
    <w:rsid w:val="00206B79"/>
    <w:rsid w:val="002146DA"/>
    <w:rsid w:val="00217B44"/>
    <w:rsid w:val="00223735"/>
    <w:rsid w:val="002266C5"/>
    <w:rsid w:val="002440E7"/>
    <w:rsid w:val="00264EDA"/>
    <w:rsid w:val="0027205E"/>
    <w:rsid w:val="00291A2B"/>
    <w:rsid w:val="002B12C2"/>
    <w:rsid w:val="002C75EB"/>
    <w:rsid w:val="002D1F1A"/>
    <w:rsid w:val="002E5250"/>
    <w:rsid w:val="002F209A"/>
    <w:rsid w:val="002F2D7F"/>
    <w:rsid w:val="002F34CD"/>
    <w:rsid w:val="002F555A"/>
    <w:rsid w:val="002F6F3F"/>
    <w:rsid w:val="00303296"/>
    <w:rsid w:val="00313F43"/>
    <w:rsid w:val="003163A2"/>
    <w:rsid w:val="00332B86"/>
    <w:rsid w:val="0035234B"/>
    <w:rsid w:val="00353E30"/>
    <w:rsid w:val="00360ACB"/>
    <w:rsid w:val="00362E85"/>
    <w:rsid w:val="003800C7"/>
    <w:rsid w:val="00382CE7"/>
    <w:rsid w:val="00391798"/>
    <w:rsid w:val="003918F1"/>
    <w:rsid w:val="00391B5B"/>
    <w:rsid w:val="00391C77"/>
    <w:rsid w:val="003A6D58"/>
    <w:rsid w:val="003B7102"/>
    <w:rsid w:val="003C64ED"/>
    <w:rsid w:val="003F00A4"/>
    <w:rsid w:val="003F5CA1"/>
    <w:rsid w:val="003F7C56"/>
    <w:rsid w:val="004003E8"/>
    <w:rsid w:val="00416227"/>
    <w:rsid w:val="00423E38"/>
    <w:rsid w:val="00432DA0"/>
    <w:rsid w:val="0045378A"/>
    <w:rsid w:val="00463054"/>
    <w:rsid w:val="00466BA7"/>
    <w:rsid w:val="004831F1"/>
    <w:rsid w:val="00484E41"/>
    <w:rsid w:val="00492FB1"/>
    <w:rsid w:val="00496651"/>
    <w:rsid w:val="004A3654"/>
    <w:rsid w:val="004B1297"/>
    <w:rsid w:val="004B1FBD"/>
    <w:rsid w:val="004B377E"/>
    <w:rsid w:val="004B44E0"/>
    <w:rsid w:val="004C6D22"/>
    <w:rsid w:val="004D3299"/>
    <w:rsid w:val="004D51F3"/>
    <w:rsid w:val="004D684B"/>
    <w:rsid w:val="004F7196"/>
    <w:rsid w:val="0050631E"/>
    <w:rsid w:val="0050717C"/>
    <w:rsid w:val="0051231A"/>
    <w:rsid w:val="00517979"/>
    <w:rsid w:val="0052634A"/>
    <w:rsid w:val="005279E9"/>
    <w:rsid w:val="00530077"/>
    <w:rsid w:val="00537BB7"/>
    <w:rsid w:val="00546C8D"/>
    <w:rsid w:val="0055644F"/>
    <w:rsid w:val="00556C08"/>
    <w:rsid w:val="00556F2B"/>
    <w:rsid w:val="00564057"/>
    <w:rsid w:val="005673D5"/>
    <w:rsid w:val="0056772C"/>
    <w:rsid w:val="005716AC"/>
    <w:rsid w:val="00592815"/>
    <w:rsid w:val="005A1071"/>
    <w:rsid w:val="005B434A"/>
    <w:rsid w:val="005B4E45"/>
    <w:rsid w:val="005C66FF"/>
    <w:rsid w:val="005D1A88"/>
    <w:rsid w:val="005E2A4A"/>
    <w:rsid w:val="005F7B9D"/>
    <w:rsid w:val="006049F9"/>
    <w:rsid w:val="00605629"/>
    <w:rsid w:val="006071D7"/>
    <w:rsid w:val="0061139E"/>
    <w:rsid w:val="00623EA3"/>
    <w:rsid w:val="0062720C"/>
    <w:rsid w:val="00627F1F"/>
    <w:rsid w:val="00635AB7"/>
    <w:rsid w:val="006376DB"/>
    <w:rsid w:val="00637714"/>
    <w:rsid w:val="0064517B"/>
    <w:rsid w:val="00645384"/>
    <w:rsid w:val="00672D3D"/>
    <w:rsid w:val="00681167"/>
    <w:rsid w:val="0068466D"/>
    <w:rsid w:val="00693527"/>
    <w:rsid w:val="006A0F6A"/>
    <w:rsid w:val="006A1BED"/>
    <w:rsid w:val="006B6690"/>
    <w:rsid w:val="006C3B20"/>
    <w:rsid w:val="006C7B25"/>
    <w:rsid w:val="006D203B"/>
    <w:rsid w:val="007001EE"/>
    <w:rsid w:val="00700D3A"/>
    <w:rsid w:val="00716302"/>
    <w:rsid w:val="007163BE"/>
    <w:rsid w:val="00720662"/>
    <w:rsid w:val="0074222F"/>
    <w:rsid w:val="007430C9"/>
    <w:rsid w:val="00765455"/>
    <w:rsid w:val="00771869"/>
    <w:rsid w:val="007804F7"/>
    <w:rsid w:val="00783200"/>
    <w:rsid w:val="0078460F"/>
    <w:rsid w:val="00785778"/>
    <w:rsid w:val="00797169"/>
    <w:rsid w:val="007A3176"/>
    <w:rsid w:val="007B3063"/>
    <w:rsid w:val="007B424D"/>
    <w:rsid w:val="007C71E3"/>
    <w:rsid w:val="007C790A"/>
    <w:rsid w:val="007D06DC"/>
    <w:rsid w:val="007D55B5"/>
    <w:rsid w:val="007E25CC"/>
    <w:rsid w:val="007F4EF9"/>
    <w:rsid w:val="0080222C"/>
    <w:rsid w:val="008171F3"/>
    <w:rsid w:val="008244A2"/>
    <w:rsid w:val="008444F5"/>
    <w:rsid w:val="00853386"/>
    <w:rsid w:val="00862BCD"/>
    <w:rsid w:val="00880B2D"/>
    <w:rsid w:val="00891E3C"/>
    <w:rsid w:val="00897502"/>
    <w:rsid w:val="008A1E88"/>
    <w:rsid w:val="008A64B9"/>
    <w:rsid w:val="008C2D97"/>
    <w:rsid w:val="008C76E9"/>
    <w:rsid w:val="008C7908"/>
    <w:rsid w:val="008D0AD6"/>
    <w:rsid w:val="008D2663"/>
    <w:rsid w:val="008D526D"/>
    <w:rsid w:val="008E00EC"/>
    <w:rsid w:val="008E0951"/>
    <w:rsid w:val="008F16F0"/>
    <w:rsid w:val="00901303"/>
    <w:rsid w:val="00901B70"/>
    <w:rsid w:val="009021DB"/>
    <w:rsid w:val="0090355D"/>
    <w:rsid w:val="0090501E"/>
    <w:rsid w:val="00911777"/>
    <w:rsid w:val="0092024B"/>
    <w:rsid w:val="00924F2D"/>
    <w:rsid w:val="00931AC7"/>
    <w:rsid w:val="0095065B"/>
    <w:rsid w:val="0095408C"/>
    <w:rsid w:val="009622B3"/>
    <w:rsid w:val="009745A1"/>
    <w:rsid w:val="0097603D"/>
    <w:rsid w:val="00993298"/>
    <w:rsid w:val="009A118E"/>
    <w:rsid w:val="009A5C27"/>
    <w:rsid w:val="009A71B1"/>
    <w:rsid w:val="009B34B3"/>
    <w:rsid w:val="009C3877"/>
    <w:rsid w:val="009F0825"/>
    <w:rsid w:val="009F4D7D"/>
    <w:rsid w:val="00A15B62"/>
    <w:rsid w:val="00A1613C"/>
    <w:rsid w:val="00A161C1"/>
    <w:rsid w:val="00A3342C"/>
    <w:rsid w:val="00A344EE"/>
    <w:rsid w:val="00A37BA7"/>
    <w:rsid w:val="00A37CA7"/>
    <w:rsid w:val="00A41B28"/>
    <w:rsid w:val="00A438EB"/>
    <w:rsid w:val="00A5722D"/>
    <w:rsid w:val="00A631FF"/>
    <w:rsid w:val="00A64852"/>
    <w:rsid w:val="00A7228F"/>
    <w:rsid w:val="00A72C4C"/>
    <w:rsid w:val="00A75D73"/>
    <w:rsid w:val="00A838F0"/>
    <w:rsid w:val="00A83D94"/>
    <w:rsid w:val="00AB4FAD"/>
    <w:rsid w:val="00AD5A2C"/>
    <w:rsid w:val="00AD6E3D"/>
    <w:rsid w:val="00AE7268"/>
    <w:rsid w:val="00AF1689"/>
    <w:rsid w:val="00B17BF0"/>
    <w:rsid w:val="00B217EC"/>
    <w:rsid w:val="00B27293"/>
    <w:rsid w:val="00B32E62"/>
    <w:rsid w:val="00B35F35"/>
    <w:rsid w:val="00B45D1B"/>
    <w:rsid w:val="00B747D9"/>
    <w:rsid w:val="00B82239"/>
    <w:rsid w:val="00B97F83"/>
    <w:rsid w:val="00BA205D"/>
    <w:rsid w:val="00BA4C2D"/>
    <w:rsid w:val="00BA5747"/>
    <w:rsid w:val="00BE543D"/>
    <w:rsid w:val="00BF0B50"/>
    <w:rsid w:val="00BF16EA"/>
    <w:rsid w:val="00BF3442"/>
    <w:rsid w:val="00BF5CD3"/>
    <w:rsid w:val="00C02E28"/>
    <w:rsid w:val="00C0735F"/>
    <w:rsid w:val="00C204B3"/>
    <w:rsid w:val="00C23D77"/>
    <w:rsid w:val="00C27587"/>
    <w:rsid w:val="00C34C40"/>
    <w:rsid w:val="00C37850"/>
    <w:rsid w:val="00C42B39"/>
    <w:rsid w:val="00C439C0"/>
    <w:rsid w:val="00C45785"/>
    <w:rsid w:val="00C47E91"/>
    <w:rsid w:val="00C61F66"/>
    <w:rsid w:val="00C62872"/>
    <w:rsid w:val="00C6298A"/>
    <w:rsid w:val="00C655CD"/>
    <w:rsid w:val="00C90263"/>
    <w:rsid w:val="00C94EA8"/>
    <w:rsid w:val="00CA7C9E"/>
    <w:rsid w:val="00CB0662"/>
    <w:rsid w:val="00CB13E3"/>
    <w:rsid w:val="00CC22D7"/>
    <w:rsid w:val="00CC265D"/>
    <w:rsid w:val="00CD1782"/>
    <w:rsid w:val="00CD2A27"/>
    <w:rsid w:val="00CD36BB"/>
    <w:rsid w:val="00CD4904"/>
    <w:rsid w:val="00CD50B4"/>
    <w:rsid w:val="00CD7C9A"/>
    <w:rsid w:val="00CE0491"/>
    <w:rsid w:val="00CF0125"/>
    <w:rsid w:val="00CF0940"/>
    <w:rsid w:val="00CF6042"/>
    <w:rsid w:val="00D008B5"/>
    <w:rsid w:val="00D102B7"/>
    <w:rsid w:val="00D22B5B"/>
    <w:rsid w:val="00D25307"/>
    <w:rsid w:val="00D459D3"/>
    <w:rsid w:val="00D46B8B"/>
    <w:rsid w:val="00D56408"/>
    <w:rsid w:val="00D75560"/>
    <w:rsid w:val="00D761FB"/>
    <w:rsid w:val="00D8196B"/>
    <w:rsid w:val="00D835A0"/>
    <w:rsid w:val="00D94732"/>
    <w:rsid w:val="00DA038B"/>
    <w:rsid w:val="00DB1159"/>
    <w:rsid w:val="00DC06E2"/>
    <w:rsid w:val="00DC3F20"/>
    <w:rsid w:val="00DD35E0"/>
    <w:rsid w:val="00DE3154"/>
    <w:rsid w:val="00DE327F"/>
    <w:rsid w:val="00DF095C"/>
    <w:rsid w:val="00E0406F"/>
    <w:rsid w:val="00E056E8"/>
    <w:rsid w:val="00E17654"/>
    <w:rsid w:val="00E277C5"/>
    <w:rsid w:val="00E27ACB"/>
    <w:rsid w:val="00E41843"/>
    <w:rsid w:val="00E5358D"/>
    <w:rsid w:val="00E57B1A"/>
    <w:rsid w:val="00E627F9"/>
    <w:rsid w:val="00E7384F"/>
    <w:rsid w:val="00E80B2A"/>
    <w:rsid w:val="00E82ED1"/>
    <w:rsid w:val="00E83E41"/>
    <w:rsid w:val="00E87DE8"/>
    <w:rsid w:val="00EA01C3"/>
    <w:rsid w:val="00EA2C42"/>
    <w:rsid w:val="00EA668C"/>
    <w:rsid w:val="00EC0F4F"/>
    <w:rsid w:val="00EC2078"/>
    <w:rsid w:val="00EC4D64"/>
    <w:rsid w:val="00ED4D33"/>
    <w:rsid w:val="00ED507A"/>
    <w:rsid w:val="00EF1F2B"/>
    <w:rsid w:val="00F0387C"/>
    <w:rsid w:val="00F05DEB"/>
    <w:rsid w:val="00F26F07"/>
    <w:rsid w:val="00F45D9C"/>
    <w:rsid w:val="00F4604F"/>
    <w:rsid w:val="00F74266"/>
    <w:rsid w:val="00F823FF"/>
    <w:rsid w:val="00F876B9"/>
    <w:rsid w:val="00F9484F"/>
    <w:rsid w:val="00FA222B"/>
    <w:rsid w:val="00FB1569"/>
    <w:rsid w:val="00FB2D76"/>
    <w:rsid w:val="00FC1997"/>
    <w:rsid w:val="00FC4FD0"/>
    <w:rsid w:val="00FD54F5"/>
    <w:rsid w:val="00FE44D9"/>
    <w:rsid w:val="0506207C"/>
    <w:rsid w:val="08202347"/>
    <w:rsid w:val="19427AB5"/>
    <w:rsid w:val="1ACBE1A0"/>
    <w:rsid w:val="2C944FB1"/>
    <w:rsid w:val="427E340D"/>
    <w:rsid w:val="4C7BC12C"/>
    <w:rsid w:val="672BA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532EBCC"/>
  <w14:defaultImageDpi w14:val="0"/>
  <w15:docId w15:val="{84C41C21-C044-464C-B5FF-03941554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303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4D3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72C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72C"/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4266"/>
    <w:rPr>
      <w:color w:val="800080" w:themeColor="followedHyperlink"/>
      <w:u w:val="single"/>
    </w:rPr>
  </w:style>
  <w:style w:type="paragraph" w:customStyle="1" w:styleId="Heading1a">
    <w:name w:val="Heading 1a"/>
    <w:rsid w:val="006C3B20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es-MX" w:eastAsia="en-US"/>
    </w:rPr>
  </w:style>
  <w:style w:type="paragraph" w:styleId="BodyText">
    <w:name w:val="Body Text"/>
    <w:basedOn w:val="Normal"/>
    <w:link w:val="BodyTextChar"/>
    <w:semiHidden/>
    <w:rsid w:val="006C3B20"/>
    <w:pPr>
      <w:widowControl/>
      <w:suppressAutoHyphens/>
      <w:autoSpaceDE/>
      <w:autoSpaceDN/>
      <w:adjustRightInd/>
    </w:pPr>
    <w:rPr>
      <w:rFonts w:ascii="CG Times" w:eastAsia="Times New Roman" w:hAnsi="CG Times" w:cs="Times New Roman"/>
      <w:color w:val="auto"/>
      <w:spacing w:val="-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6C3B20"/>
    <w:rPr>
      <w:rFonts w:ascii="CG Times" w:eastAsia="Times New Roman" w:hAnsi="CG Times" w:cs="Times New Roman"/>
      <w:spacing w:val="-2"/>
      <w:sz w:val="24"/>
      <w:szCs w:val="20"/>
      <w:lang w:val="es-MX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0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3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3E8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3E8"/>
    <w:rPr>
      <w:rFonts w:ascii="Arial" w:hAnsi="Arial" w:cs="Arial"/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83D9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1F1A"/>
    <w:rPr>
      <w:color w:val="605E5C"/>
      <w:shd w:val="clear" w:color="auto" w:fill="E1DFDD"/>
    </w:rPr>
  </w:style>
  <w:style w:type="paragraph" w:styleId="ListParagraph">
    <w:name w:val="List Paragraph"/>
    <w:aliases w:val="Titulo parrafo,References,Bullets,Title Style 1,Numbered List Paragraph,lp1,Cuadrícula media 1 - Énfasis 21,Numeracion iniciativas,ASPECTOS GENERALES,Cuadro 2-1,Párrafo de lista2,List Paragraph1,Dot pt,P‡rrafo de lista"/>
    <w:basedOn w:val="Normal"/>
    <w:link w:val="ListParagraphChar"/>
    <w:uiPriority w:val="34"/>
    <w:qFormat/>
    <w:rsid w:val="002F6F3F"/>
    <w:pPr>
      <w:ind w:left="720"/>
      <w:contextualSpacing/>
    </w:pPr>
  </w:style>
  <w:style w:type="paragraph" w:customStyle="1" w:styleId="Default">
    <w:name w:val="Default"/>
    <w:rsid w:val="007857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PA"/>
    </w:rPr>
  </w:style>
  <w:style w:type="character" w:customStyle="1" w:styleId="ListParagraphChar">
    <w:name w:val="List Paragraph Char"/>
    <w:aliases w:val="Titulo parrafo Char,References Char,Bullets Char,Title Style 1 Char,Numbered List Paragraph Char,lp1 Char,Cuadrícula media 1 - Énfasis 21 Char,Numeracion iniciativas Char,ASPECTOS GENERALES Char,Cuadro 2-1 Char,Párrafo de lista2 Char"/>
    <w:link w:val="ListParagraph"/>
    <w:uiPriority w:val="34"/>
    <w:qFormat/>
    <w:locked/>
    <w:rsid w:val="005A1071"/>
    <w:rPr>
      <w:rFonts w:ascii="Arial" w:hAnsi="Arial" w:cs="Arial"/>
      <w:color w:val="000000"/>
      <w:sz w:val="24"/>
      <w:szCs w:val="24"/>
      <w:lang w:val="es-MX"/>
    </w:rPr>
  </w:style>
  <w:style w:type="paragraph" w:styleId="Revision">
    <w:name w:val="Revision"/>
    <w:hidden/>
    <w:uiPriority w:val="99"/>
    <w:semiHidden/>
    <w:rsid w:val="007163BE"/>
    <w:pPr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table" w:styleId="TableGrid">
    <w:name w:val="Table Grid"/>
    <w:basedOn w:val="TableNormal"/>
    <w:uiPriority w:val="59"/>
    <w:rsid w:val="00F8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db.org/document.cfm?id=38988613" TargetMode="External"/><Relationship Id="rId18" Type="http://schemas.openxmlformats.org/officeDocument/2006/relationships/footer" Target="footer1.xml"/><Relationship Id="rId26" Type="http://schemas.openxmlformats.org/officeDocument/2006/relationships/customXml" Target="../customXml/item6.xml"/><Relationship Id="rId21" Type="http://schemas.openxmlformats.org/officeDocument/2006/relationships/customXml" Target="../customXml/item1.xml"/><Relationship Id="rId7" Type="http://schemas.openxmlformats.org/officeDocument/2006/relationships/settings" Target="settings.xml"/><Relationship Id="rId12" Type="http://schemas.openxmlformats.org/officeDocument/2006/relationships/hyperlink" Target="https://cdn1.miambiente.gob.pa/informe/" TargetMode="External"/><Relationship Id="rId17" Type="http://schemas.openxmlformats.org/officeDocument/2006/relationships/header" Target="header1.xml"/><Relationship Id="rId25" Type="http://schemas.openxmlformats.org/officeDocument/2006/relationships/customXml" Target="../customXml/item5.xml"/><Relationship Id="rId16" Type="http://schemas.openxmlformats.org/officeDocument/2006/relationships/hyperlink" Target="http://www.iadb.org" TargetMode="External"/><Relationship Id="rId20" Type="http://schemas.openxmlformats.org/officeDocument/2006/relationships/theme" Target="theme/theme1.xml"/><Relationship Id="rId6" Type="http://schemas.openxmlformats.org/officeDocument/2006/relationships/styles" Target="styles.xml"/><Relationship Id="rId11" Type="http://schemas.openxmlformats.org/officeDocument/2006/relationships/hyperlink" Target="https://beo-procurement.iadb.org/home" TargetMode="External"/><Relationship Id="rId24" Type="http://schemas.openxmlformats.org/officeDocument/2006/relationships/customXml" Target="../customXml/item4.xml"/><Relationship Id="rId5" Type="http://schemas.openxmlformats.org/officeDocument/2006/relationships/numbering" Target="numbering.xml"/><Relationship Id="rId15" Type="http://schemas.openxmlformats.org/officeDocument/2006/relationships/hyperlink" Target="mailto:ROSAGO@IADB.ORG" TargetMode="External"/><Relationship Id="rId23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9" Type="http://schemas.openxmlformats.org/officeDocument/2006/relationships/footnotes" Target="footnotes.xml"/><Relationship Id="rId14" Type="http://schemas.openxmlformats.org/officeDocument/2006/relationships/hyperlink" Target="mailto:ROSAGO@IADB.ORG" TargetMode="External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A19074A32F8134E8C90517D3E72A7CA" ma:contentTypeVersion="8204" ma:contentTypeDescription="The base project type from which other project content types inherit their information." ma:contentTypeScope="" ma:versionID="35eb01c536a75fe88f835c60088fce6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1d36b98bd2efd0dae4969897e0c29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657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RG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CSD/CCS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ATN/AC-18143-RG</Approval_x0020_Number>
    <Phase xmlns="cdc7663a-08f0-4737-9e8c-148ce897a09c">PHASE_IMPLEMENTATION</Phase>
    <Document_x0020_Author xmlns="cdc7663a-08f0-4737-9e8c-148ce897a09c">Gomez Juan Carlos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PA-ADA</TermName>
          <TermId xmlns="http://schemas.microsoft.com/office/infopath/2007/PartnerControls">d69113c3-94f3-4894-9c2f-0ab925485eb4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ACL</TermName>
          <TermId xmlns="http://schemas.microsoft.com/office/infopath/2007/PartnerControls">889aa697-df0a-4674-98ae-3686e39a83d1</TermId>
        </TermInfo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560</Value>
      <Value>44</Value>
      <Value>483</Value>
      <Value>6</Value>
      <Value>84</Value>
      <Value>51</Value>
    </TaxCatchAll>
    <Operation_x0020_Type xmlns="cdc7663a-08f0-4737-9e8c-148ce897a09c">TCP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RG-T3657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EZSHARE-141974879-174</_dlc_DocId>
    <_dlc_DocIdUrl xmlns="cdc7663a-08f0-4737-9e8c-148ce897a09c">
      <Url>https://idbg.sharepoint.com/teams/EZ-RG-TCP/RG-T3657/_layouts/15/DocIdRedir.aspx?ID=EZSHARE-141974879-174</Url>
      <Description>EZSHARE-141974879-174</Description>
    </_dlc_DocIdUrl>
  </documentManagement>
</p:properties>
</file>

<file path=customXml/itemProps1.xml><?xml version="1.0" encoding="utf-8"?>
<ds:datastoreItem xmlns:ds="http://schemas.openxmlformats.org/officeDocument/2006/customXml" ds:itemID="{510986F9-70A2-4755-941E-5BCD188649F5}"/>
</file>

<file path=customXml/itemProps2.xml><?xml version="1.0" encoding="utf-8"?>
<ds:datastoreItem xmlns:ds="http://schemas.openxmlformats.org/officeDocument/2006/customXml" ds:itemID="{5FCF881F-824E-4C56-A752-2F23F52F8376}"/>
</file>

<file path=customXml/itemProps3.xml><?xml version="1.0" encoding="utf-8"?>
<ds:datastoreItem xmlns:ds="http://schemas.openxmlformats.org/officeDocument/2006/customXml" ds:itemID="{A246A097-0D3E-42FA-B8F4-A5C3D03B5F14}"/>
</file>

<file path=customXml/itemProps4.xml><?xml version="1.0" encoding="utf-8"?>
<ds:datastoreItem xmlns:ds="http://schemas.openxmlformats.org/officeDocument/2006/customXml" ds:itemID="{9D755CC8-7A10-4D19-8433-2A636754951B}"/>
</file>

<file path=customXml/itemProps5.xml><?xml version="1.0" encoding="utf-8"?>
<ds:datastoreItem xmlns:ds="http://schemas.openxmlformats.org/officeDocument/2006/customXml" ds:itemID="{6555F1A9-4C4D-45A3-88E9-484C31233E13}"/>
</file>

<file path=customXml/itemProps6.xml><?xml version="1.0" encoding="utf-8"?>
<ds:datastoreItem xmlns:ds="http://schemas.openxmlformats.org/officeDocument/2006/customXml" ds:itemID="{D809E4CA-2E52-44FE-8369-A32CD67DE5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keywords/>
  <cp:lastModifiedBy>Gomez, Juan Carlos</cp:lastModifiedBy>
  <cp:revision>2</cp:revision>
  <cp:lastPrinted>2015-01-20T22:56:00Z</cp:lastPrinted>
  <dcterms:created xsi:type="dcterms:W3CDTF">2022-10-06T15:51:00Z</dcterms:created>
  <dcterms:modified xsi:type="dcterms:W3CDTF">2022-10-06T15:51:00Z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0x010100ACF722E9F6B0B149B0CD8BE2560A667200BA19074A32F8134E8C90517D3E72A7CA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44;#RG|2537a5b7-6d8e-482c-94dc-32c3cc44ff65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6;#Goods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84;#PA-ADA|d69113c3-94f3-4894-9c2f-0ab925485eb4</vt:lpwstr>
  </property>
  <property fmtid="{D5CDD505-2E9C-101B-9397-08002B2CF9AE}" pid="13" name="Fund IDB">
    <vt:lpwstr>560;#ACL|889aa697-df0a-4674-98ae-3686e39a83d1;#483;#SUS|a52fbbab-6bb9-4f53-9a43-d35ec8453bb2</vt:lpwstr>
  </property>
  <property fmtid="{D5CDD505-2E9C-101B-9397-08002B2CF9AE}" pid="14" name="Sector IDB">
    <vt:lpwstr>51;#PA|261e2b33-090b-4ab0-8e06-3aa3e7f32d57</vt:lpwstr>
  </property>
  <property fmtid="{D5CDD505-2E9C-101B-9397-08002B2CF9AE}" pid="15" name="_dlc_DocIdItemGuid">
    <vt:lpwstr>6f89257c-b43e-4143-a2f6-3168e19b311a</vt:lpwstr>
  </property>
  <property fmtid="{D5CDD505-2E9C-101B-9397-08002B2CF9AE}" pid="16" name="Disclosure Activity">
    <vt:lpwstr>BEO Procurement</vt:lpwstr>
  </property>
  <property fmtid="{D5CDD505-2E9C-101B-9397-08002B2CF9AE}" pid="17" name="Webtopic">
    <vt:lpwstr/>
  </property>
  <property fmtid="{D5CDD505-2E9C-101B-9397-08002B2CF9AE}" pid="18" name="Series Operations IDB">
    <vt:lpwstr/>
  </property>
</Properties>
</file>