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FCE" w:rsidRDefault="004D7FCE" w:rsidP="00E22A51">
      <w:pPr>
        <w:pStyle w:val="Ttulo1"/>
        <w:jc w:val="both"/>
        <w:rPr>
          <w:lang w:val="es-ES_tradnl"/>
        </w:rPr>
      </w:pPr>
      <w:r>
        <w:rPr>
          <w:lang w:val="es-ES_tradnl"/>
        </w:rPr>
        <w:t>Proyectos analizados</w:t>
      </w:r>
    </w:p>
    <w:p w:rsidR="00E22A51" w:rsidRPr="00E22A51" w:rsidRDefault="00E22A51" w:rsidP="00E22A51">
      <w:pPr>
        <w:rPr>
          <w:lang w:val="es-ES_tradnl"/>
        </w:rPr>
      </w:pPr>
    </w:p>
    <w:p w:rsidR="004D7FCE" w:rsidRDefault="004D7FCE" w:rsidP="00E22A51">
      <w:pPr>
        <w:jc w:val="both"/>
        <w:rPr>
          <w:lang w:val="es-ES_tradnl"/>
        </w:rPr>
      </w:pPr>
      <w:r>
        <w:rPr>
          <w:lang w:val="es-ES_tradnl"/>
        </w:rPr>
        <w:t xml:space="preserve">Se trata de proyectos de caminería rural jurisdicción de los Gobiernos Departamentales. </w:t>
      </w:r>
      <w:r w:rsidR="00B86F10">
        <w:rPr>
          <w:lang w:val="es-ES_tradnl"/>
        </w:rPr>
        <w:t xml:space="preserve">Los proyectos apuntan a mejorar </w:t>
      </w:r>
      <w:r>
        <w:rPr>
          <w:lang w:val="es-ES_tradnl"/>
        </w:rPr>
        <w:t>caminos de material gr</w:t>
      </w:r>
      <w:r w:rsidR="003F5AC7">
        <w:rPr>
          <w:lang w:val="es-ES_tradnl"/>
        </w:rPr>
        <w:t>anular, generalmente denominado</w:t>
      </w:r>
      <w:r>
        <w:rPr>
          <w:lang w:val="es-ES_tradnl"/>
        </w:rPr>
        <w:t xml:space="preserve"> tosca, en muchos casos inundables y que usualmente no están sujetos a un plan de gestión que comprenda rehabilitaciones y mantenimiento</w:t>
      </w:r>
      <w:r w:rsidR="003F5AC7">
        <w:rPr>
          <w:lang w:val="es-ES_tradnl"/>
        </w:rPr>
        <w:t>.</w:t>
      </w:r>
    </w:p>
    <w:p w:rsidR="00E22A51" w:rsidRDefault="00E22A51" w:rsidP="00E22A51">
      <w:pPr>
        <w:jc w:val="both"/>
        <w:rPr>
          <w:lang w:val="es-ES_tradnl"/>
        </w:rPr>
      </w:pPr>
      <w:r>
        <w:rPr>
          <w:lang w:val="es-ES_tradnl"/>
        </w:rPr>
        <w:t>Los tramos analizados, respetando la nomenclatura entregada por OPP, son los siguientes:</w:t>
      </w:r>
    </w:p>
    <w:p w:rsidR="001E311F" w:rsidRPr="001E311F" w:rsidRDefault="00233EBF" w:rsidP="00E22A51">
      <w:pPr>
        <w:pStyle w:val="Prrafodelista"/>
        <w:numPr>
          <w:ilvl w:val="0"/>
          <w:numId w:val="2"/>
        </w:numPr>
        <w:jc w:val="both"/>
        <w:rPr>
          <w:lang w:val="es-ES_tradnl"/>
        </w:rPr>
      </w:pPr>
      <w:r>
        <w:rPr>
          <w:lang w:val="es-ES_tradnl"/>
        </w:rPr>
        <w:t>Tramos</w:t>
      </w:r>
      <w:r w:rsidR="001E311F" w:rsidRPr="001E311F">
        <w:rPr>
          <w:lang w:val="es-ES_tradnl"/>
        </w:rPr>
        <w:t xml:space="preserve"> 5.1 y 7.1</w:t>
      </w:r>
      <w:r>
        <w:rPr>
          <w:lang w:val="es-ES_tradnl"/>
        </w:rPr>
        <w:t xml:space="preserve"> (9km)</w:t>
      </w:r>
    </w:p>
    <w:p w:rsidR="001E311F" w:rsidRPr="001E311F" w:rsidRDefault="00233EBF" w:rsidP="00E22A51">
      <w:pPr>
        <w:pStyle w:val="Prrafodelista"/>
        <w:numPr>
          <w:ilvl w:val="0"/>
          <w:numId w:val="2"/>
        </w:numPr>
        <w:jc w:val="both"/>
        <w:rPr>
          <w:lang w:val="es-ES_tradnl"/>
        </w:rPr>
      </w:pPr>
      <w:r>
        <w:rPr>
          <w:lang w:val="es-ES_tradnl"/>
        </w:rPr>
        <w:t>Tramo</w:t>
      </w:r>
      <w:r w:rsidR="001E311F" w:rsidRPr="001E311F">
        <w:rPr>
          <w:lang w:val="es-ES_tradnl"/>
        </w:rPr>
        <w:t xml:space="preserve"> 8</w:t>
      </w:r>
      <w:r>
        <w:rPr>
          <w:lang w:val="es-ES_tradnl"/>
        </w:rPr>
        <w:t xml:space="preserve"> (4km)</w:t>
      </w:r>
    </w:p>
    <w:p w:rsidR="001E311F" w:rsidRPr="001E311F" w:rsidRDefault="00233EBF" w:rsidP="00E22A51">
      <w:pPr>
        <w:pStyle w:val="Prrafodelista"/>
        <w:numPr>
          <w:ilvl w:val="0"/>
          <w:numId w:val="2"/>
        </w:numPr>
        <w:jc w:val="both"/>
        <w:rPr>
          <w:lang w:val="es-ES_tradnl"/>
        </w:rPr>
      </w:pPr>
      <w:r>
        <w:rPr>
          <w:lang w:val="es-ES_tradnl"/>
        </w:rPr>
        <w:t>Tramo</w:t>
      </w:r>
      <w:r w:rsidR="001E311F" w:rsidRPr="001E311F">
        <w:rPr>
          <w:lang w:val="es-ES_tradnl"/>
        </w:rPr>
        <w:t xml:space="preserve"> 197</w:t>
      </w:r>
      <w:r w:rsidR="00E562B9">
        <w:rPr>
          <w:lang w:val="es-ES_tradnl"/>
        </w:rPr>
        <w:t xml:space="preserve"> (30km)</w:t>
      </w:r>
    </w:p>
    <w:p w:rsidR="001E311F" w:rsidRPr="001E311F" w:rsidRDefault="001E311F" w:rsidP="00E22A51">
      <w:pPr>
        <w:pStyle w:val="Prrafodelista"/>
        <w:numPr>
          <w:ilvl w:val="0"/>
          <w:numId w:val="2"/>
        </w:numPr>
        <w:jc w:val="both"/>
        <w:rPr>
          <w:lang w:val="es-ES_tradnl"/>
        </w:rPr>
      </w:pPr>
      <w:r w:rsidRPr="001E311F">
        <w:rPr>
          <w:lang w:val="es-ES_tradnl"/>
        </w:rPr>
        <w:t>Arco del Sol</w:t>
      </w:r>
      <w:r w:rsidR="00E562B9">
        <w:rPr>
          <w:lang w:val="es-ES_tradnl"/>
        </w:rPr>
        <w:t xml:space="preserve"> (18km)</w:t>
      </w:r>
    </w:p>
    <w:p w:rsidR="001E311F" w:rsidRPr="001E311F" w:rsidRDefault="00233EBF" w:rsidP="00E22A51">
      <w:pPr>
        <w:pStyle w:val="Prrafodelista"/>
        <w:numPr>
          <w:ilvl w:val="0"/>
          <w:numId w:val="2"/>
        </w:numPr>
        <w:jc w:val="both"/>
        <w:rPr>
          <w:lang w:val="es-ES_tradnl"/>
        </w:rPr>
      </w:pPr>
      <w:r>
        <w:rPr>
          <w:lang w:val="es-ES_tradnl"/>
        </w:rPr>
        <w:t>Tramo</w:t>
      </w:r>
      <w:r w:rsidR="001E311F" w:rsidRPr="001E311F">
        <w:rPr>
          <w:lang w:val="es-ES_tradnl"/>
        </w:rPr>
        <w:t xml:space="preserve"> 114</w:t>
      </w:r>
      <w:r w:rsidR="00E562B9">
        <w:rPr>
          <w:lang w:val="es-ES_tradnl"/>
        </w:rPr>
        <w:t xml:space="preserve"> (16km)</w:t>
      </w:r>
    </w:p>
    <w:p w:rsidR="001E311F" w:rsidRPr="001E311F" w:rsidRDefault="00233EBF" w:rsidP="00E22A51">
      <w:pPr>
        <w:pStyle w:val="Prrafodelista"/>
        <w:numPr>
          <w:ilvl w:val="0"/>
          <w:numId w:val="2"/>
        </w:numPr>
        <w:jc w:val="both"/>
        <w:rPr>
          <w:lang w:val="es-ES_tradnl"/>
        </w:rPr>
      </w:pPr>
      <w:r>
        <w:rPr>
          <w:lang w:val="es-ES_tradnl"/>
        </w:rPr>
        <w:t>Tramos</w:t>
      </w:r>
      <w:r w:rsidR="001E311F" w:rsidRPr="001E311F">
        <w:rPr>
          <w:lang w:val="es-ES_tradnl"/>
        </w:rPr>
        <w:t xml:space="preserve"> 161 y 162</w:t>
      </w:r>
      <w:r w:rsidR="00E562B9">
        <w:rPr>
          <w:lang w:val="es-ES_tradnl"/>
        </w:rPr>
        <w:t xml:space="preserve"> (21km)</w:t>
      </w:r>
    </w:p>
    <w:p w:rsidR="001E311F" w:rsidRPr="001E311F" w:rsidRDefault="00233EBF" w:rsidP="00E22A51">
      <w:pPr>
        <w:pStyle w:val="Prrafodelista"/>
        <w:numPr>
          <w:ilvl w:val="0"/>
          <w:numId w:val="2"/>
        </w:numPr>
        <w:jc w:val="both"/>
        <w:rPr>
          <w:lang w:val="es-ES_tradnl"/>
        </w:rPr>
      </w:pPr>
      <w:r>
        <w:rPr>
          <w:lang w:val="es-ES_tradnl"/>
        </w:rPr>
        <w:t>Tramos</w:t>
      </w:r>
      <w:r w:rsidR="001E311F" w:rsidRPr="001E311F">
        <w:rPr>
          <w:lang w:val="es-ES_tradnl"/>
        </w:rPr>
        <w:t xml:space="preserve"> 329 y 335 (</w:t>
      </w:r>
      <w:r w:rsidR="00E562B9">
        <w:rPr>
          <w:lang w:val="es-ES_tradnl"/>
        </w:rPr>
        <w:t>15km</w:t>
      </w:r>
      <w:r w:rsidR="001E311F" w:rsidRPr="001E311F">
        <w:rPr>
          <w:lang w:val="es-ES_tradnl"/>
        </w:rPr>
        <w:t>)</w:t>
      </w:r>
    </w:p>
    <w:p w:rsidR="001E311F" w:rsidRPr="001E311F" w:rsidRDefault="00233EBF" w:rsidP="00E22A51">
      <w:pPr>
        <w:pStyle w:val="Prrafodelista"/>
        <w:numPr>
          <w:ilvl w:val="0"/>
          <w:numId w:val="2"/>
        </w:numPr>
        <w:jc w:val="both"/>
        <w:rPr>
          <w:lang w:val="es-ES_tradnl"/>
        </w:rPr>
      </w:pPr>
      <w:r>
        <w:rPr>
          <w:lang w:val="es-ES_tradnl"/>
        </w:rPr>
        <w:t>Tramos</w:t>
      </w:r>
      <w:r w:rsidR="001E311F" w:rsidRPr="001E311F">
        <w:rPr>
          <w:lang w:val="es-ES_tradnl"/>
        </w:rPr>
        <w:t xml:space="preserve"> 150, 170 y 171</w:t>
      </w:r>
      <w:r w:rsidR="00E562B9">
        <w:rPr>
          <w:lang w:val="es-ES_tradnl"/>
        </w:rPr>
        <w:t xml:space="preserve"> (31km)</w:t>
      </w:r>
    </w:p>
    <w:p w:rsidR="001E311F" w:rsidRPr="001E311F" w:rsidRDefault="00233EBF" w:rsidP="00E22A51">
      <w:pPr>
        <w:pStyle w:val="Prrafodelista"/>
        <w:numPr>
          <w:ilvl w:val="0"/>
          <w:numId w:val="2"/>
        </w:numPr>
        <w:jc w:val="both"/>
        <w:rPr>
          <w:lang w:val="es-ES_tradnl"/>
        </w:rPr>
      </w:pPr>
      <w:r>
        <w:rPr>
          <w:lang w:val="es-ES_tradnl"/>
        </w:rPr>
        <w:t>Tramo</w:t>
      </w:r>
      <w:r w:rsidR="001E311F" w:rsidRPr="001E311F">
        <w:rPr>
          <w:lang w:val="es-ES_tradnl"/>
        </w:rPr>
        <w:t xml:space="preserve"> 194</w:t>
      </w:r>
      <w:r w:rsidR="00E562B9">
        <w:rPr>
          <w:lang w:val="es-ES_tradnl"/>
        </w:rPr>
        <w:t xml:space="preserve"> (21km)</w:t>
      </w:r>
    </w:p>
    <w:p w:rsidR="002A6C05" w:rsidRDefault="004D7FCE" w:rsidP="00E22A51">
      <w:pPr>
        <w:pStyle w:val="Ttulo1"/>
        <w:jc w:val="both"/>
        <w:rPr>
          <w:lang w:val="es-ES_tradnl"/>
        </w:rPr>
      </w:pPr>
      <w:r>
        <w:rPr>
          <w:lang w:val="es-ES_tradnl"/>
        </w:rPr>
        <w:t>Diagnóstico de la situación actual</w:t>
      </w:r>
    </w:p>
    <w:tbl>
      <w:tblPr>
        <w:tblW w:w="10206" w:type="dxa"/>
        <w:jc w:val="center"/>
        <w:tblLayout w:type="fixed"/>
        <w:tblLook w:val="04A0" w:firstRow="1" w:lastRow="0" w:firstColumn="1" w:lastColumn="0" w:noHBand="0" w:noVBand="1"/>
      </w:tblPr>
      <w:tblGrid>
        <w:gridCol w:w="968"/>
        <w:gridCol w:w="649"/>
        <w:gridCol w:w="719"/>
        <w:gridCol w:w="1042"/>
        <w:gridCol w:w="992"/>
        <w:gridCol w:w="583"/>
        <w:gridCol w:w="584"/>
        <w:gridCol w:w="583"/>
        <w:gridCol w:w="584"/>
        <w:gridCol w:w="584"/>
        <w:gridCol w:w="583"/>
        <w:gridCol w:w="584"/>
        <w:gridCol w:w="583"/>
        <w:gridCol w:w="584"/>
        <w:gridCol w:w="584"/>
      </w:tblGrid>
      <w:tr w:rsidR="0056781C" w:rsidRPr="00A502D7" w:rsidTr="0056781C">
        <w:trPr>
          <w:trHeight w:val="288"/>
          <w:jc w:val="center"/>
        </w:trPr>
        <w:tc>
          <w:tcPr>
            <w:tcW w:w="968"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95564C" w:rsidRPr="00A502D7" w:rsidRDefault="0095564C" w:rsidP="0056781C">
            <w:pPr>
              <w:pStyle w:val="Default"/>
              <w:jc w:val="center"/>
              <w:rPr>
                <w:rFonts w:asciiTheme="minorHAnsi" w:hAnsiTheme="minorHAnsi"/>
                <w:b/>
                <w:bCs/>
                <w:sz w:val="18"/>
                <w:szCs w:val="18"/>
                <w:lang w:val="es-ES_tradnl"/>
              </w:rPr>
            </w:pPr>
            <w:proofErr w:type="spellStart"/>
            <w:r w:rsidRPr="00A502D7">
              <w:rPr>
                <w:rFonts w:asciiTheme="minorHAnsi" w:hAnsiTheme="minorHAnsi"/>
                <w:b/>
                <w:bCs/>
                <w:sz w:val="18"/>
                <w:szCs w:val="18"/>
                <w:lang w:val="es-ES_tradnl"/>
              </w:rPr>
              <w:t>Proy</w:t>
            </w:r>
            <w:proofErr w:type="spellEnd"/>
            <w:r w:rsidR="0056781C" w:rsidRPr="00A502D7">
              <w:rPr>
                <w:rFonts w:asciiTheme="minorHAnsi" w:hAnsiTheme="minorHAnsi"/>
                <w:b/>
                <w:bCs/>
                <w:sz w:val="18"/>
                <w:szCs w:val="18"/>
                <w:lang w:val="es-ES_tradnl"/>
              </w:rPr>
              <w:t>.</w:t>
            </w:r>
          </w:p>
        </w:tc>
        <w:tc>
          <w:tcPr>
            <w:tcW w:w="649"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95564C" w:rsidRPr="00A502D7" w:rsidRDefault="0095564C" w:rsidP="0056781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Long</w:t>
            </w:r>
            <w:r w:rsidR="0056781C" w:rsidRPr="00A502D7">
              <w:rPr>
                <w:rFonts w:asciiTheme="minorHAnsi" w:hAnsiTheme="minorHAnsi"/>
                <w:b/>
                <w:bCs/>
                <w:sz w:val="18"/>
                <w:szCs w:val="18"/>
                <w:lang w:val="es-ES_tradnl"/>
              </w:rPr>
              <w:t xml:space="preserve"> </w:t>
            </w:r>
            <w:r w:rsidRPr="00A502D7">
              <w:rPr>
                <w:rFonts w:asciiTheme="minorHAnsi" w:hAnsiTheme="minorHAnsi"/>
                <w:b/>
                <w:bCs/>
                <w:sz w:val="18"/>
                <w:szCs w:val="18"/>
                <w:lang w:val="es-ES_tradnl"/>
              </w:rPr>
              <w:t>(km)</w:t>
            </w:r>
          </w:p>
        </w:tc>
        <w:tc>
          <w:tcPr>
            <w:tcW w:w="719"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95564C" w:rsidRPr="00A502D7" w:rsidRDefault="0095564C" w:rsidP="0095564C">
            <w:pPr>
              <w:pStyle w:val="Default"/>
              <w:jc w:val="center"/>
              <w:rPr>
                <w:rFonts w:asciiTheme="minorHAnsi" w:hAnsiTheme="minorHAnsi"/>
                <w:b/>
                <w:bCs/>
                <w:sz w:val="18"/>
                <w:szCs w:val="18"/>
                <w:lang w:val="es-ES_tradnl"/>
              </w:rPr>
            </w:pPr>
            <w:proofErr w:type="spellStart"/>
            <w:r w:rsidRPr="00A502D7">
              <w:rPr>
                <w:rFonts w:asciiTheme="minorHAnsi" w:hAnsiTheme="minorHAnsi"/>
                <w:b/>
                <w:bCs/>
                <w:sz w:val="18"/>
                <w:szCs w:val="18"/>
                <w:lang w:val="es-ES_tradnl"/>
              </w:rPr>
              <w:t>Pav</w:t>
            </w:r>
            <w:proofErr w:type="spellEnd"/>
            <w:r w:rsidRPr="00A502D7">
              <w:rPr>
                <w:rFonts w:asciiTheme="minorHAnsi" w:hAnsiTheme="minorHAnsi"/>
                <w:b/>
                <w:bCs/>
                <w:sz w:val="18"/>
                <w:szCs w:val="18"/>
                <w:lang w:val="es-ES_tradnl"/>
              </w:rPr>
              <w:t>. actual</w:t>
            </w:r>
          </w:p>
        </w:tc>
        <w:tc>
          <w:tcPr>
            <w:tcW w:w="1042" w:type="dxa"/>
            <w:vMerge w:val="restart"/>
            <w:tcBorders>
              <w:top w:val="single" w:sz="8" w:space="0" w:color="auto"/>
              <w:left w:val="single" w:sz="8" w:space="0" w:color="auto"/>
              <w:right w:val="single" w:sz="8" w:space="0" w:color="auto"/>
            </w:tcBorders>
            <w:shd w:val="clear" w:color="auto" w:fill="BFBFBF" w:themeFill="background1" w:themeFillShade="BF"/>
          </w:tcPr>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Rugosidad actual</w:t>
            </w:r>
          </w:p>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Año 2015</w:t>
            </w:r>
          </w:p>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(mm/m)</w:t>
            </w:r>
          </w:p>
        </w:tc>
        <w:tc>
          <w:tcPr>
            <w:tcW w:w="992" w:type="dxa"/>
            <w:vMerge w:val="restart"/>
            <w:tcBorders>
              <w:top w:val="single" w:sz="8" w:space="0" w:color="auto"/>
              <w:left w:val="single" w:sz="8" w:space="0" w:color="auto"/>
              <w:right w:val="single" w:sz="8" w:space="0" w:color="auto"/>
            </w:tcBorders>
            <w:shd w:val="clear" w:color="auto" w:fill="BFBFBF" w:themeFill="background1" w:themeFillShade="BF"/>
          </w:tcPr>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Tránsito actual</w:t>
            </w:r>
          </w:p>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Año 2015</w:t>
            </w:r>
          </w:p>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w:t>
            </w:r>
            <w:proofErr w:type="spellStart"/>
            <w:r w:rsidRPr="00A502D7">
              <w:rPr>
                <w:rFonts w:asciiTheme="minorHAnsi" w:hAnsiTheme="minorHAnsi"/>
                <w:b/>
                <w:bCs/>
                <w:sz w:val="18"/>
                <w:szCs w:val="18"/>
                <w:lang w:val="es-ES_tradnl"/>
              </w:rPr>
              <w:t>veh</w:t>
            </w:r>
            <w:proofErr w:type="spellEnd"/>
            <w:r w:rsidRPr="00A502D7">
              <w:rPr>
                <w:rFonts w:asciiTheme="minorHAnsi" w:hAnsiTheme="minorHAnsi"/>
                <w:b/>
                <w:bCs/>
                <w:sz w:val="18"/>
                <w:szCs w:val="18"/>
                <w:lang w:val="es-ES_tradnl"/>
              </w:rPr>
              <w:t>/día)</w:t>
            </w:r>
          </w:p>
        </w:tc>
        <w:tc>
          <w:tcPr>
            <w:tcW w:w="2918"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rsidR="0056781C" w:rsidRPr="00A502D7" w:rsidRDefault="0056781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Costos de operación vehicular</w:t>
            </w:r>
          </w:p>
          <w:p w:rsidR="0095564C" w:rsidRPr="00A502D7" w:rsidRDefault="0095564C" w:rsidP="0095564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(USD/veh.km)</w:t>
            </w:r>
          </w:p>
        </w:tc>
        <w:tc>
          <w:tcPr>
            <w:tcW w:w="2918"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rsidR="0056781C" w:rsidRPr="00A502D7" w:rsidRDefault="0095564C" w:rsidP="0056781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Costos de tiempo</w:t>
            </w:r>
          </w:p>
          <w:p w:rsidR="0095564C" w:rsidRPr="00A502D7" w:rsidRDefault="0095564C" w:rsidP="0056781C">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(USD/veh.km)</w:t>
            </w:r>
          </w:p>
        </w:tc>
      </w:tr>
      <w:tr w:rsidR="0056781C" w:rsidRPr="00A502D7" w:rsidTr="0056781C">
        <w:trPr>
          <w:trHeight w:val="288"/>
          <w:jc w:val="center"/>
        </w:trPr>
        <w:tc>
          <w:tcPr>
            <w:tcW w:w="968"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56781C" w:rsidRPr="00A502D7" w:rsidRDefault="0056781C" w:rsidP="0056781C">
            <w:pPr>
              <w:pStyle w:val="Default"/>
              <w:jc w:val="center"/>
              <w:rPr>
                <w:rFonts w:asciiTheme="minorHAnsi" w:hAnsiTheme="minorHAnsi"/>
                <w:b/>
                <w:bCs/>
                <w:sz w:val="18"/>
                <w:szCs w:val="18"/>
                <w:lang w:val="es-ES_tradnl"/>
              </w:rPr>
            </w:pPr>
          </w:p>
        </w:tc>
        <w:tc>
          <w:tcPr>
            <w:tcW w:w="649"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56781C" w:rsidRPr="00A502D7" w:rsidRDefault="0056781C" w:rsidP="0056781C">
            <w:pPr>
              <w:pStyle w:val="Default"/>
              <w:jc w:val="center"/>
              <w:rPr>
                <w:rFonts w:asciiTheme="minorHAnsi" w:hAnsiTheme="minorHAnsi"/>
                <w:b/>
                <w:bCs/>
                <w:sz w:val="18"/>
                <w:szCs w:val="18"/>
                <w:lang w:val="es-ES_tradnl"/>
              </w:rPr>
            </w:pPr>
          </w:p>
        </w:tc>
        <w:tc>
          <w:tcPr>
            <w:tcW w:w="719"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56781C" w:rsidRPr="00A502D7" w:rsidRDefault="0056781C" w:rsidP="0056781C">
            <w:pPr>
              <w:pStyle w:val="Default"/>
              <w:jc w:val="center"/>
              <w:rPr>
                <w:rFonts w:asciiTheme="minorHAnsi" w:hAnsiTheme="minorHAnsi"/>
                <w:b/>
                <w:bCs/>
                <w:sz w:val="18"/>
                <w:szCs w:val="18"/>
                <w:lang w:val="es-ES_tradnl"/>
              </w:rPr>
            </w:pPr>
          </w:p>
        </w:tc>
        <w:tc>
          <w:tcPr>
            <w:tcW w:w="1042" w:type="dxa"/>
            <w:vMerge/>
            <w:tcBorders>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pStyle w:val="Default"/>
              <w:jc w:val="center"/>
              <w:rPr>
                <w:rFonts w:asciiTheme="minorHAnsi" w:hAnsiTheme="minorHAnsi"/>
                <w:b/>
                <w:bCs/>
                <w:sz w:val="18"/>
                <w:szCs w:val="18"/>
                <w:lang w:val="es-ES_tradnl"/>
              </w:rPr>
            </w:pPr>
          </w:p>
        </w:tc>
        <w:tc>
          <w:tcPr>
            <w:tcW w:w="992" w:type="dxa"/>
            <w:vMerge/>
            <w:tcBorders>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pStyle w:val="Default"/>
              <w:jc w:val="center"/>
              <w:rPr>
                <w:rFonts w:asciiTheme="minorHAnsi" w:hAnsiTheme="minorHAnsi"/>
                <w:b/>
                <w:bCs/>
                <w:sz w:val="18"/>
                <w:szCs w:val="18"/>
                <w:lang w:val="es-ES_tradnl"/>
              </w:rPr>
            </w:pPr>
          </w:p>
        </w:tc>
        <w:tc>
          <w:tcPr>
            <w:tcW w:w="583"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rPr>
            </w:pPr>
            <w:r w:rsidRPr="00A502D7">
              <w:rPr>
                <w:b/>
                <w:bCs/>
                <w:sz w:val="18"/>
                <w:szCs w:val="18"/>
              </w:rPr>
              <w:t>Auto</w:t>
            </w:r>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rPr>
            </w:pPr>
            <w:r w:rsidRPr="00A502D7">
              <w:rPr>
                <w:b/>
                <w:bCs/>
                <w:sz w:val="18"/>
                <w:szCs w:val="18"/>
              </w:rPr>
              <w:t>Bus</w:t>
            </w:r>
          </w:p>
        </w:tc>
        <w:tc>
          <w:tcPr>
            <w:tcW w:w="583"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CamMed</w:t>
            </w:r>
            <w:proofErr w:type="spellEnd"/>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CamSemi</w:t>
            </w:r>
            <w:proofErr w:type="spellEnd"/>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CamPes</w:t>
            </w:r>
            <w:proofErr w:type="spellEnd"/>
          </w:p>
        </w:tc>
        <w:tc>
          <w:tcPr>
            <w:tcW w:w="583"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rPr>
            </w:pPr>
            <w:r w:rsidRPr="00A502D7">
              <w:rPr>
                <w:b/>
                <w:bCs/>
                <w:sz w:val="18"/>
                <w:szCs w:val="18"/>
              </w:rPr>
              <w:t>Auto</w:t>
            </w:r>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rPr>
            </w:pPr>
            <w:r w:rsidRPr="00A502D7">
              <w:rPr>
                <w:b/>
                <w:bCs/>
                <w:sz w:val="18"/>
                <w:szCs w:val="18"/>
              </w:rPr>
              <w:t>Bus</w:t>
            </w:r>
          </w:p>
        </w:tc>
        <w:tc>
          <w:tcPr>
            <w:tcW w:w="583"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CamMed</w:t>
            </w:r>
            <w:proofErr w:type="spellEnd"/>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CamSemi</w:t>
            </w:r>
            <w:proofErr w:type="spellEnd"/>
          </w:p>
        </w:tc>
        <w:tc>
          <w:tcPr>
            <w:tcW w:w="584" w:type="dxa"/>
            <w:tcBorders>
              <w:top w:val="single" w:sz="4" w:space="0" w:color="auto"/>
              <w:left w:val="single" w:sz="8" w:space="0" w:color="auto"/>
              <w:bottom w:val="single" w:sz="8" w:space="0" w:color="auto"/>
              <w:right w:val="single" w:sz="8" w:space="0" w:color="auto"/>
            </w:tcBorders>
            <w:shd w:val="clear" w:color="auto" w:fill="BFBFBF" w:themeFill="background1" w:themeFillShade="BF"/>
          </w:tcPr>
          <w:p w:rsidR="0056781C" w:rsidRPr="00A502D7" w:rsidRDefault="0056781C" w:rsidP="0056781C">
            <w:pPr>
              <w:jc w:val="center"/>
              <w:rPr>
                <w:b/>
                <w:bCs/>
                <w:sz w:val="18"/>
                <w:szCs w:val="18"/>
                <w:lang w:val="es-419"/>
              </w:rPr>
            </w:pPr>
            <w:proofErr w:type="spellStart"/>
            <w:r w:rsidRPr="00A502D7">
              <w:rPr>
                <w:b/>
                <w:bCs/>
                <w:sz w:val="18"/>
                <w:szCs w:val="18"/>
                <w:lang w:val="es-419"/>
              </w:rPr>
              <w:t>CamPes</w:t>
            </w:r>
            <w:proofErr w:type="spellEnd"/>
          </w:p>
        </w:tc>
      </w:tr>
      <w:tr w:rsidR="0056781C" w:rsidRPr="00A502D7" w:rsidTr="0056781C">
        <w:trPr>
          <w:trHeight w:val="288"/>
          <w:jc w:val="center"/>
        </w:trPr>
        <w:tc>
          <w:tcPr>
            <w:tcW w:w="968" w:type="dxa"/>
            <w:tcBorders>
              <w:top w:val="single" w:sz="8" w:space="0" w:color="auto"/>
              <w:left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5.1 y 7.1</w:t>
            </w:r>
          </w:p>
        </w:tc>
        <w:tc>
          <w:tcPr>
            <w:tcW w:w="649" w:type="dxa"/>
            <w:tcBorders>
              <w:top w:val="single" w:sz="8" w:space="0" w:color="auto"/>
              <w:left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9,0</w:t>
            </w:r>
          </w:p>
        </w:tc>
        <w:tc>
          <w:tcPr>
            <w:tcW w:w="719" w:type="dxa"/>
            <w:tcBorders>
              <w:top w:val="single" w:sz="8" w:space="0" w:color="auto"/>
              <w:left w:val="single" w:sz="8" w:space="0" w:color="auto"/>
              <w:right w:val="single" w:sz="8" w:space="0" w:color="auto"/>
            </w:tcBorders>
            <w:shd w:val="clear" w:color="auto" w:fill="auto"/>
          </w:tcPr>
          <w:p w:rsidR="0095564C" w:rsidRPr="00A502D7" w:rsidRDefault="0095564C" w:rsidP="0056781C">
            <w:pPr>
              <w:jc w:val="center"/>
              <w:rPr>
                <w:sz w:val="18"/>
                <w:szCs w:val="18"/>
                <w:lang w:val="es-419"/>
              </w:rPr>
            </w:pPr>
            <w:r w:rsidRPr="00A502D7">
              <w:rPr>
                <w:sz w:val="18"/>
                <w:szCs w:val="18"/>
                <w:lang w:val="es-419"/>
              </w:rPr>
              <w:t>Tosca</w:t>
            </w:r>
          </w:p>
        </w:tc>
        <w:tc>
          <w:tcPr>
            <w:tcW w:w="1042"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lang w:val="es-419"/>
              </w:rPr>
            </w:pPr>
            <w:r w:rsidRPr="00A502D7">
              <w:rPr>
                <w:sz w:val="18"/>
                <w:szCs w:val="18"/>
                <w:lang w:val="es-419"/>
              </w:rPr>
              <w:t>15</w:t>
            </w:r>
          </w:p>
        </w:tc>
        <w:tc>
          <w:tcPr>
            <w:tcW w:w="992"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lang w:val="es-419"/>
              </w:rPr>
            </w:pPr>
            <w:r w:rsidRPr="00A502D7">
              <w:rPr>
                <w:sz w:val="18"/>
                <w:szCs w:val="18"/>
                <w:lang w:val="es-419"/>
              </w:rPr>
              <w:t>173</w:t>
            </w:r>
          </w:p>
        </w:tc>
        <w:tc>
          <w:tcPr>
            <w:tcW w:w="583"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lang w:val="es-419"/>
              </w:rPr>
            </w:pPr>
            <w:r w:rsidRPr="00A502D7">
              <w:rPr>
                <w:sz w:val="18"/>
                <w:szCs w:val="18"/>
                <w:lang w:val="es-419"/>
              </w:rPr>
              <w:t>0,31</w:t>
            </w: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lang w:val="es-419"/>
              </w:rPr>
            </w:pPr>
            <w:r w:rsidRPr="00A502D7">
              <w:rPr>
                <w:sz w:val="18"/>
                <w:szCs w:val="18"/>
                <w:lang w:val="es-419"/>
              </w:rPr>
              <w:t>1,75</w:t>
            </w:r>
          </w:p>
        </w:tc>
        <w:tc>
          <w:tcPr>
            <w:tcW w:w="583"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lang w:val="es-419"/>
              </w:rPr>
            </w:pP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1,91</w:t>
            </w: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2,44</w:t>
            </w:r>
          </w:p>
        </w:tc>
        <w:tc>
          <w:tcPr>
            <w:tcW w:w="583"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0,44</w:t>
            </w: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4,08</w:t>
            </w:r>
          </w:p>
        </w:tc>
        <w:tc>
          <w:tcPr>
            <w:tcW w:w="583"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8</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4,0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15</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173</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0,32</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1,77</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1,92</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2,45</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0,44</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4,15</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197</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30,1</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14</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222</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0,29</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1,73</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2,18</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0,38</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r w:rsidRPr="00A502D7">
              <w:rPr>
                <w:rFonts w:asciiTheme="minorHAnsi" w:hAnsiTheme="minorHAnsi"/>
                <w:sz w:val="18"/>
                <w:szCs w:val="18"/>
                <w:lang w:val="es-ES_tradnl"/>
              </w:rPr>
              <w:t>Arco del Sol</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18,0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11</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171</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0,32</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1,42</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0,84</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1,60</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0,32</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3,03</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114</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16,0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15</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189</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0,29</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1,77</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2,22</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0,39</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161 y 162</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21,0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12</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200</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0,27</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1,63</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2,05</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0,34</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329 y 335</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15,0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14</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220</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0,29</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1,74</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2,18</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0,38</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150, 170 y 171</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31,0</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16</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242</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0,30</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1,84</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2,32</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0,42</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r w:rsidR="0056781C" w:rsidRPr="00A502D7" w:rsidTr="0056781C">
        <w:trPr>
          <w:trHeight w:val="288"/>
          <w:jc w:val="center"/>
        </w:trPr>
        <w:tc>
          <w:tcPr>
            <w:tcW w:w="9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95564C">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194</w:t>
            </w:r>
          </w:p>
        </w:tc>
        <w:tc>
          <w:tcPr>
            <w:tcW w:w="64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5564C" w:rsidRPr="00A502D7" w:rsidRDefault="0095564C" w:rsidP="0056781C">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20,6</w:t>
            </w:r>
          </w:p>
        </w:tc>
        <w:tc>
          <w:tcPr>
            <w:tcW w:w="719" w:type="dxa"/>
            <w:tcBorders>
              <w:top w:val="single" w:sz="8" w:space="0" w:color="auto"/>
              <w:left w:val="single" w:sz="8" w:space="0" w:color="auto"/>
              <w:bottom w:val="single" w:sz="8" w:space="0" w:color="auto"/>
              <w:right w:val="single" w:sz="8" w:space="0" w:color="auto"/>
            </w:tcBorders>
            <w:shd w:val="clear" w:color="auto" w:fill="auto"/>
          </w:tcPr>
          <w:p w:rsidR="0095564C" w:rsidRPr="00A502D7" w:rsidRDefault="0095564C" w:rsidP="0056781C">
            <w:pPr>
              <w:jc w:val="center"/>
              <w:rPr>
                <w:sz w:val="18"/>
                <w:szCs w:val="18"/>
              </w:rPr>
            </w:pPr>
            <w:r w:rsidRPr="00A502D7">
              <w:rPr>
                <w:sz w:val="18"/>
                <w:szCs w:val="18"/>
              </w:rPr>
              <w:t>Tosca</w:t>
            </w:r>
          </w:p>
        </w:tc>
        <w:tc>
          <w:tcPr>
            <w:tcW w:w="104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14</w:t>
            </w:r>
          </w:p>
        </w:tc>
        <w:tc>
          <w:tcPr>
            <w:tcW w:w="992"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273</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0,29</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1,75</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2,19</w:t>
            </w: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0,38</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3"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c>
          <w:tcPr>
            <w:tcW w:w="584" w:type="dxa"/>
            <w:tcBorders>
              <w:top w:val="single" w:sz="8" w:space="0" w:color="auto"/>
              <w:left w:val="single" w:sz="8" w:space="0" w:color="auto"/>
              <w:bottom w:val="single" w:sz="8" w:space="0" w:color="auto"/>
              <w:right w:val="single" w:sz="8" w:space="0" w:color="auto"/>
            </w:tcBorders>
            <w:vAlign w:val="center"/>
          </w:tcPr>
          <w:p w:rsidR="0095564C" w:rsidRPr="00A502D7" w:rsidRDefault="0095564C" w:rsidP="0056781C">
            <w:pPr>
              <w:jc w:val="center"/>
              <w:rPr>
                <w:sz w:val="18"/>
                <w:szCs w:val="18"/>
              </w:rPr>
            </w:pPr>
            <w:r w:rsidRPr="00A502D7">
              <w:rPr>
                <w:sz w:val="18"/>
                <w:szCs w:val="18"/>
              </w:rPr>
              <w:t>0,01</w:t>
            </w:r>
          </w:p>
        </w:tc>
      </w:tr>
    </w:tbl>
    <w:p w:rsidR="00AB798A" w:rsidRDefault="00AB798A" w:rsidP="00E22A51">
      <w:pPr>
        <w:jc w:val="both"/>
        <w:rPr>
          <w:lang w:val="es-ES_tradnl"/>
        </w:rPr>
      </w:pPr>
    </w:p>
    <w:p w:rsidR="00AB798A" w:rsidRDefault="00AB798A" w:rsidP="00AB798A">
      <w:pPr>
        <w:pStyle w:val="Ttulo1"/>
        <w:jc w:val="both"/>
        <w:rPr>
          <w:lang w:val="es-ES_tradnl"/>
        </w:rPr>
      </w:pPr>
      <w:r>
        <w:rPr>
          <w:lang w:val="es-ES_tradnl"/>
        </w:rPr>
        <w:lastRenderedPageBreak/>
        <w:t>Alcance de los proyectos</w:t>
      </w:r>
    </w:p>
    <w:p w:rsidR="00831545" w:rsidRDefault="00831545" w:rsidP="00AB798A">
      <w:pPr>
        <w:jc w:val="both"/>
        <w:rPr>
          <w:lang w:val="es-ES_tradnl"/>
        </w:rPr>
      </w:pPr>
      <w:r>
        <w:rPr>
          <w:lang w:val="es-ES_tradnl"/>
        </w:rPr>
        <w:t xml:space="preserve">El plan considera que algunos de estos caminos requieren mejorar su estándar, esto es modificar la rodadura del pavimento, pasando a tratamientos bituminosos o carpetas asfálticas, y otros requieren </w:t>
      </w:r>
      <w:r w:rsidR="00CE1FC8">
        <w:rPr>
          <w:lang w:val="es-ES_tradnl"/>
        </w:rPr>
        <w:t xml:space="preserve">solamente </w:t>
      </w:r>
      <w:r>
        <w:rPr>
          <w:lang w:val="es-ES_tradnl"/>
        </w:rPr>
        <w:t>mejorar la estructura del pavimento utilizando estabilizados granulares.</w:t>
      </w:r>
    </w:p>
    <w:p w:rsidR="0056781C" w:rsidRDefault="0056781C" w:rsidP="00AB798A">
      <w:pPr>
        <w:jc w:val="both"/>
        <w:rPr>
          <w:lang w:val="es-ES_tradnl"/>
        </w:rPr>
      </w:pPr>
      <w:r>
        <w:rPr>
          <w:lang w:val="es-ES_tradnl"/>
        </w:rPr>
        <w:t>Las obras de mantenimiento aplicables se listan en el siguiente cuadro. Se aclara que para calcular los costos económicos mostrados se partió de precios de mercado obtenidos en conjunto con OPP a los que se les aplicó la relación de precio de cuenta (RPC) correspondiente también calculadas por OPP en conjunto con CND.</w:t>
      </w:r>
    </w:p>
    <w:tbl>
      <w:tblPr>
        <w:tblW w:w="10206" w:type="dxa"/>
        <w:jc w:val="center"/>
        <w:tblLayout w:type="fixed"/>
        <w:tblLook w:val="04A0" w:firstRow="1" w:lastRow="0" w:firstColumn="1" w:lastColumn="0" w:noHBand="0" w:noVBand="1"/>
      </w:tblPr>
      <w:tblGrid>
        <w:gridCol w:w="1535"/>
        <w:gridCol w:w="1134"/>
        <w:gridCol w:w="2055"/>
        <w:gridCol w:w="2056"/>
        <w:gridCol w:w="1713"/>
        <w:gridCol w:w="1713"/>
      </w:tblGrid>
      <w:tr w:rsidR="00A502D7" w:rsidRPr="00A502D7" w:rsidTr="00A502D7">
        <w:trPr>
          <w:trHeight w:hRule="exact" w:val="227"/>
          <w:jc w:val="center"/>
        </w:trPr>
        <w:tc>
          <w:tcPr>
            <w:tcW w:w="1535" w:type="dxa"/>
            <w:vMerge w:val="restart"/>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proofErr w:type="spellStart"/>
            <w:r w:rsidRPr="00A502D7">
              <w:rPr>
                <w:rFonts w:asciiTheme="minorHAnsi" w:hAnsiTheme="minorHAnsi"/>
                <w:b/>
                <w:bCs/>
                <w:sz w:val="18"/>
                <w:szCs w:val="18"/>
                <w:lang w:val="es-ES_tradnl"/>
              </w:rPr>
              <w:t>Proy</w:t>
            </w:r>
            <w:proofErr w:type="spellEnd"/>
            <w:r w:rsidRPr="00A502D7">
              <w:rPr>
                <w:rFonts w:asciiTheme="minorHAnsi" w:hAnsiTheme="minorHAnsi"/>
                <w:b/>
                <w:bCs/>
                <w:sz w:val="18"/>
                <w:szCs w:val="18"/>
                <w:lang w:val="es-ES_tradnl"/>
              </w:rPr>
              <w:t>.</w:t>
            </w:r>
          </w:p>
        </w:tc>
        <w:tc>
          <w:tcPr>
            <w:tcW w:w="1134" w:type="dxa"/>
            <w:vMerge w:val="restart"/>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Long (km)</w:t>
            </w:r>
          </w:p>
        </w:tc>
        <w:tc>
          <w:tcPr>
            <w:tcW w:w="2055" w:type="dxa"/>
            <w:vMerge w:val="restart"/>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proofErr w:type="spellStart"/>
            <w:r w:rsidRPr="00A502D7">
              <w:rPr>
                <w:rFonts w:asciiTheme="minorHAnsi" w:hAnsiTheme="minorHAnsi"/>
                <w:b/>
                <w:bCs/>
                <w:sz w:val="18"/>
                <w:szCs w:val="18"/>
                <w:lang w:val="es-ES_tradnl"/>
              </w:rPr>
              <w:t>Pav</w:t>
            </w:r>
            <w:proofErr w:type="spellEnd"/>
            <w:r w:rsidRPr="00A502D7">
              <w:rPr>
                <w:rFonts w:asciiTheme="minorHAnsi" w:hAnsiTheme="minorHAnsi"/>
                <w:b/>
                <w:bCs/>
                <w:sz w:val="18"/>
                <w:szCs w:val="18"/>
                <w:lang w:val="es-ES_tradnl"/>
              </w:rPr>
              <w:t>. actual</w:t>
            </w:r>
          </w:p>
        </w:tc>
        <w:tc>
          <w:tcPr>
            <w:tcW w:w="2056" w:type="dxa"/>
            <w:vMerge w:val="restart"/>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Obra prevista</w:t>
            </w:r>
          </w:p>
        </w:tc>
        <w:tc>
          <w:tcPr>
            <w:tcW w:w="1713" w:type="dxa"/>
            <w:vMerge w:val="restart"/>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Costo financiero</w:t>
            </w:r>
          </w:p>
          <w:p w:rsidR="00A502D7" w:rsidRPr="00A502D7" w:rsidRDefault="00A502D7" w:rsidP="00A502D7">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(USD</w:t>
            </w:r>
          </w:p>
        </w:tc>
        <w:tc>
          <w:tcPr>
            <w:tcW w:w="1713" w:type="dxa"/>
            <w:tcBorders>
              <w:top w:val="single" w:sz="8" w:space="0" w:color="auto"/>
              <w:left w:val="single" w:sz="8" w:space="0" w:color="auto"/>
              <w:right w:val="single" w:sz="8" w:space="0" w:color="auto"/>
            </w:tcBorders>
            <w:shd w:val="clear" w:color="auto" w:fill="BFBFBF" w:themeFill="background1" w:themeFillShade="BF"/>
          </w:tcPr>
          <w:p w:rsidR="00A502D7" w:rsidRPr="00A502D7" w:rsidRDefault="00A502D7" w:rsidP="00A502D7">
            <w:pPr>
              <w:pStyle w:val="Default"/>
              <w:jc w:val="center"/>
              <w:rPr>
                <w:rFonts w:asciiTheme="minorHAnsi" w:hAnsiTheme="minorHAnsi"/>
                <w:b/>
                <w:bCs/>
                <w:sz w:val="18"/>
                <w:szCs w:val="18"/>
                <w:lang w:val="es-ES_tradnl"/>
              </w:rPr>
            </w:pPr>
            <w:r w:rsidRPr="00A502D7">
              <w:rPr>
                <w:rFonts w:asciiTheme="minorHAnsi" w:hAnsiTheme="minorHAnsi"/>
                <w:b/>
                <w:bCs/>
                <w:sz w:val="18"/>
                <w:szCs w:val="18"/>
                <w:lang w:val="es-ES_tradnl"/>
              </w:rPr>
              <w:t>Costo económico (USD)</w:t>
            </w:r>
          </w:p>
        </w:tc>
      </w:tr>
      <w:tr w:rsidR="00A502D7" w:rsidRPr="00A502D7" w:rsidTr="00A502D7">
        <w:trPr>
          <w:trHeight w:hRule="exact" w:val="227"/>
          <w:jc w:val="center"/>
        </w:trPr>
        <w:tc>
          <w:tcPr>
            <w:tcW w:w="1535"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502D7" w:rsidRPr="00A502D7" w:rsidRDefault="00A502D7" w:rsidP="005E5018">
            <w:pPr>
              <w:pStyle w:val="Default"/>
              <w:jc w:val="center"/>
              <w:rPr>
                <w:rFonts w:asciiTheme="minorHAnsi" w:hAnsiTheme="minorHAnsi"/>
                <w:b/>
                <w:bCs/>
                <w:sz w:val="18"/>
                <w:szCs w:val="18"/>
                <w:lang w:val="es-ES_tradnl"/>
              </w:rPr>
            </w:pPr>
          </w:p>
        </w:tc>
        <w:tc>
          <w:tcPr>
            <w:tcW w:w="1134"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502D7" w:rsidRPr="00A502D7" w:rsidRDefault="00A502D7" w:rsidP="005E5018">
            <w:pPr>
              <w:pStyle w:val="Default"/>
              <w:jc w:val="center"/>
              <w:rPr>
                <w:rFonts w:asciiTheme="minorHAnsi" w:hAnsiTheme="minorHAnsi"/>
                <w:b/>
                <w:bCs/>
                <w:sz w:val="18"/>
                <w:szCs w:val="18"/>
                <w:lang w:val="es-ES_tradnl"/>
              </w:rPr>
            </w:pPr>
          </w:p>
        </w:tc>
        <w:tc>
          <w:tcPr>
            <w:tcW w:w="2055"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502D7" w:rsidRPr="00A502D7" w:rsidRDefault="00A502D7" w:rsidP="005E5018">
            <w:pPr>
              <w:pStyle w:val="Default"/>
              <w:jc w:val="center"/>
              <w:rPr>
                <w:rFonts w:asciiTheme="minorHAnsi" w:hAnsiTheme="minorHAnsi"/>
                <w:b/>
                <w:bCs/>
                <w:sz w:val="18"/>
                <w:szCs w:val="18"/>
                <w:lang w:val="es-ES_tradnl"/>
              </w:rPr>
            </w:pPr>
          </w:p>
        </w:tc>
        <w:tc>
          <w:tcPr>
            <w:tcW w:w="2056" w:type="dxa"/>
            <w:vMerge/>
            <w:tcBorders>
              <w:left w:val="single" w:sz="8" w:space="0" w:color="auto"/>
              <w:bottom w:val="single" w:sz="8" w:space="0" w:color="auto"/>
              <w:right w:val="single" w:sz="8" w:space="0" w:color="auto"/>
            </w:tcBorders>
            <w:shd w:val="clear" w:color="auto" w:fill="BFBFBF" w:themeFill="background1" w:themeFillShade="BF"/>
          </w:tcPr>
          <w:p w:rsidR="00A502D7" w:rsidRPr="00A502D7" w:rsidRDefault="00A502D7" w:rsidP="005E5018">
            <w:pPr>
              <w:pStyle w:val="Default"/>
              <w:jc w:val="center"/>
              <w:rPr>
                <w:rFonts w:asciiTheme="minorHAnsi" w:hAnsiTheme="minorHAnsi"/>
                <w:b/>
                <w:bCs/>
                <w:sz w:val="18"/>
                <w:szCs w:val="18"/>
                <w:lang w:val="es-ES_tradnl"/>
              </w:rPr>
            </w:pPr>
          </w:p>
        </w:tc>
        <w:tc>
          <w:tcPr>
            <w:tcW w:w="1713" w:type="dxa"/>
            <w:vMerge/>
            <w:tcBorders>
              <w:left w:val="single" w:sz="8" w:space="0" w:color="auto"/>
              <w:bottom w:val="single" w:sz="8" w:space="0" w:color="auto"/>
              <w:right w:val="single" w:sz="8" w:space="0" w:color="auto"/>
            </w:tcBorders>
            <w:shd w:val="clear" w:color="auto" w:fill="BFBFBF" w:themeFill="background1" w:themeFillShade="BF"/>
          </w:tcPr>
          <w:p w:rsidR="00A502D7" w:rsidRPr="00A502D7" w:rsidRDefault="00A502D7" w:rsidP="005E5018">
            <w:pPr>
              <w:pStyle w:val="Default"/>
              <w:jc w:val="center"/>
              <w:rPr>
                <w:rFonts w:asciiTheme="minorHAnsi" w:hAnsiTheme="minorHAnsi"/>
                <w:b/>
                <w:bCs/>
                <w:sz w:val="18"/>
                <w:szCs w:val="18"/>
                <w:lang w:val="es-ES_tradnl"/>
              </w:rPr>
            </w:pPr>
          </w:p>
        </w:tc>
        <w:tc>
          <w:tcPr>
            <w:tcW w:w="1713" w:type="dxa"/>
            <w:tcBorders>
              <w:left w:val="single" w:sz="8" w:space="0" w:color="auto"/>
              <w:bottom w:val="single" w:sz="8" w:space="0" w:color="auto"/>
              <w:right w:val="single" w:sz="8" w:space="0" w:color="auto"/>
            </w:tcBorders>
            <w:shd w:val="clear" w:color="auto" w:fill="BFBFBF" w:themeFill="background1" w:themeFillShade="BF"/>
          </w:tcPr>
          <w:p w:rsidR="00A502D7" w:rsidRPr="00A502D7" w:rsidRDefault="00A502D7" w:rsidP="005E5018">
            <w:pPr>
              <w:pStyle w:val="Default"/>
              <w:jc w:val="center"/>
              <w:rPr>
                <w:rFonts w:asciiTheme="minorHAnsi" w:hAnsiTheme="minorHAnsi"/>
                <w:b/>
                <w:bCs/>
                <w:sz w:val="18"/>
                <w:szCs w:val="18"/>
                <w:lang w:val="es-ES_tradnl"/>
              </w:rPr>
            </w:pPr>
          </w:p>
        </w:tc>
      </w:tr>
      <w:tr w:rsidR="00A502D7" w:rsidRPr="00A502D7" w:rsidTr="00A502D7">
        <w:trPr>
          <w:trHeight w:hRule="exact" w:val="227"/>
          <w:jc w:val="center"/>
        </w:trPr>
        <w:tc>
          <w:tcPr>
            <w:tcW w:w="1535" w:type="dxa"/>
            <w:tcBorders>
              <w:top w:val="single" w:sz="8" w:space="0" w:color="auto"/>
              <w:left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5.1 y 7.1</w:t>
            </w:r>
          </w:p>
        </w:tc>
        <w:tc>
          <w:tcPr>
            <w:tcW w:w="1134" w:type="dxa"/>
            <w:tcBorders>
              <w:top w:val="single" w:sz="8" w:space="0" w:color="auto"/>
              <w:left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9,0</w:t>
            </w:r>
          </w:p>
        </w:tc>
        <w:tc>
          <w:tcPr>
            <w:tcW w:w="2055" w:type="dxa"/>
            <w:tcBorders>
              <w:top w:val="single" w:sz="8" w:space="0" w:color="auto"/>
              <w:left w:val="single" w:sz="8" w:space="0" w:color="auto"/>
              <w:right w:val="single" w:sz="8" w:space="0" w:color="auto"/>
            </w:tcBorders>
            <w:shd w:val="clear" w:color="auto" w:fill="auto"/>
          </w:tcPr>
          <w:p w:rsidR="00A502D7" w:rsidRPr="00A502D7" w:rsidRDefault="00A502D7" w:rsidP="00A502D7">
            <w:pPr>
              <w:jc w:val="center"/>
              <w:rPr>
                <w:sz w:val="18"/>
                <w:szCs w:val="18"/>
                <w:lang w:val="es-419"/>
              </w:rPr>
            </w:pPr>
            <w:r w:rsidRPr="00A502D7">
              <w:rPr>
                <w:sz w:val="18"/>
                <w:szCs w:val="18"/>
                <w:lang w:val="es-419"/>
              </w:rPr>
              <w:t>Tosca</w:t>
            </w:r>
          </w:p>
        </w:tc>
        <w:tc>
          <w:tcPr>
            <w:tcW w:w="2056" w:type="dxa"/>
            <w:tcBorders>
              <w:top w:val="single" w:sz="8" w:space="0" w:color="auto"/>
              <w:left w:val="single" w:sz="8" w:space="0" w:color="auto"/>
              <w:right w:val="single" w:sz="8" w:space="0" w:color="auto"/>
            </w:tcBorders>
            <w:vAlign w:val="center"/>
          </w:tcPr>
          <w:p w:rsidR="00A502D7" w:rsidRPr="00A502D7" w:rsidRDefault="00A502D7" w:rsidP="00A502D7">
            <w:pPr>
              <w:jc w:val="center"/>
              <w:rPr>
                <w:sz w:val="18"/>
                <w:szCs w:val="18"/>
                <w:lang w:val="es-419"/>
              </w:rPr>
            </w:pPr>
            <w:r w:rsidRPr="00A502D7">
              <w:rPr>
                <w:sz w:val="18"/>
                <w:szCs w:val="18"/>
                <w:lang w:val="es-419"/>
              </w:rPr>
              <w:t>Tosca</w:t>
            </w:r>
          </w:p>
        </w:tc>
        <w:tc>
          <w:tcPr>
            <w:tcW w:w="1713" w:type="dxa"/>
            <w:tcBorders>
              <w:top w:val="single" w:sz="8" w:space="0" w:color="auto"/>
              <w:left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203.939</w:t>
            </w:r>
          </w:p>
        </w:tc>
        <w:tc>
          <w:tcPr>
            <w:tcW w:w="1713" w:type="dxa"/>
            <w:tcBorders>
              <w:top w:val="single" w:sz="8" w:space="0" w:color="auto"/>
              <w:left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181.506</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8</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4,0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r w:rsidRPr="00A502D7">
              <w:rPr>
                <w:sz w:val="18"/>
                <w:szCs w:val="18"/>
              </w:rPr>
              <w:t>Tosca</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108.356</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96.437</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197</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30,1</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Estabilizado</w:t>
            </w:r>
            <w:proofErr w:type="spellEnd"/>
            <w:r w:rsidRPr="00A502D7">
              <w:rPr>
                <w:sz w:val="18"/>
                <w:szCs w:val="18"/>
              </w:rPr>
              <w:t xml:space="preserve"> granular</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716.770</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637.925</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r w:rsidRPr="00A502D7">
              <w:rPr>
                <w:rFonts w:asciiTheme="minorHAnsi" w:hAnsiTheme="minorHAnsi"/>
                <w:sz w:val="18"/>
                <w:szCs w:val="18"/>
                <w:lang w:val="es-ES_tradnl"/>
              </w:rPr>
              <w:t>Arco del Sol</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18,0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Tratamiento</w:t>
            </w:r>
            <w:proofErr w:type="spellEnd"/>
            <w:r w:rsidRPr="00A502D7">
              <w:rPr>
                <w:sz w:val="18"/>
                <w:szCs w:val="18"/>
              </w:rPr>
              <w:t xml:space="preserve"> </w:t>
            </w:r>
            <w:proofErr w:type="spellStart"/>
            <w:r w:rsidRPr="00A502D7">
              <w:rPr>
                <w:sz w:val="18"/>
                <w:szCs w:val="18"/>
              </w:rPr>
              <w:t>bituminoso</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1.738.975</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1.547.688</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114</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16,0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Tratamiento</w:t>
            </w:r>
            <w:proofErr w:type="spellEnd"/>
            <w:r w:rsidRPr="00A502D7">
              <w:rPr>
                <w:sz w:val="18"/>
                <w:szCs w:val="18"/>
              </w:rPr>
              <w:t xml:space="preserve"> </w:t>
            </w:r>
            <w:proofErr w:type="spellStart"/>
            <w:r w:rsidRPr="00A502D7">
              <w:rPr>
                <w:sz w:val="18"/>
                <w:szCs w:val="18"/>
              </w:rPr>
              <w:t>bituminoso</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2.225.400</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1.980.606</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161 y 162</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21,0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Tratamiento</w:t>
            </w:r>
            <w:proofErr w:type="spellEnd"/>
            <w:r w:rsidRPr="00A502D7">
              <w:rPr>
                <w:sz w:val="18"/>
                <w:szCs w:val="18"/>
              </w:rPr>
              <w:t xml:space="preserve"> </w:t>
            </w:r>
            <w:proofErr w:type="spellStart"/>
            <w:r w:rsidRPr="00A502D7">
              <w:rPr>
                <w:sz w:val="18"/>
                <w:szCs w:val="18"/>
              </w:rPr>
              <w:t>bituminoso</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2.951.333</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2.626.687</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329 y 335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15,0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Tratamiento</w:t>
            </w:r>
            <w:proofErr w:type="spellEnd"/>
            <w:r w:rsidRPr="00A502D7">
              <w:rPr>
                <w:sz w:val="18"/>
                <w:szCs w:val="18"/>
              </w:rPr>
              <w:t xml:space="preserve"> </w:t>
            </w:r>
            <w:proofErr w:type="spellStart"/>
            <w:r w:rsidRPr="00A502D7">
              <w:rPr>
                <w:sz w:val="18"/>
                <w:szCs w:val="18"/>
              </w:rPr>
              <w:t>bituminoso</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1.741.310</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1.549.766</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150, 170 y 171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31,0</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Carpeta</w:t>
            </w:r>
            <w:proofErr w:type="spellEnd"/>
            <w:r w:rsidRPr="00A502D7">
              <w:rPr>
                <w:sz w:val="18"/>
                <w:szCs w:val="18"/>
              </w:rPr>
              <w:t xml:space="preserve"> </w:t>
            </w:r>
            <w:proofErr w:type="spellStart"/>
            <w:r w:rsidRPr="00A502D7">
              <w:rPr>
                <w:sz w:val="18"/>
                <w:szCs w:val="18"/>
              </w:rPr>
              <w:t>asfáltica</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7.741.195</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6.734.840</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93"/>
              <w:jc w:val="both"/>
              <w:rPr>
                <w:rFonts w:asciiTheme="minorHAnsi" w:hAnsiTheme="minorHAnsi"/>
                <w:sz w:val="18"/>
                <w:szCs w:val="18"/>
                <w:lang w:val="es-ES_tradnl"/>
              </w:rPr>
            </w:pPr>
            <w:proofErr w:type="spellStart"/>
            <w:r w:rsidRPr="00A502D7">
              <w:rPr>
                <w:rFonts w:asciiTheme="minorHAnsi" w:hAnsiTheme="minorHAnsi"/>
                <w:sz w:val="18"/>
                <w:szCs w:val="18"/>
                <w:lang w:val="es-ES_tradnl"/>
              </w:rPr>
              <w:t>Tr</w:t>
            </w:r>
            <w:proofErr w:type="spellEnd"/>
            <w:r w:rsidRPr="00A502D7">
              <w:rPr>
                <w:rFonts w:asciiTheme="minorHAnsi" w:hAnsiTheme="minorHAnsi"/>
                <w:sz w:val="18"/>
                <w:szCs w:val="18"/>
                <w:lang w:val="es-ES_tradnl"/>
              </w:rPr>
              <w:t>. 194</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20,6</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r w:rsidRPr="00A502D7">
              <w:rPr>
                <w:sz w:val="18"/>
                <w:szCs w:val="18"/>
              </w:rPr>
              <w:t>Tosca</w:t>
            </w: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roofErr w:type="spellStart"/>
            <w:r w:rsidRPr="00A502D7">
              <w:rPr>
                <w:sz w:val="18"/>
                <w:szCs w:val="18"/>
              </w:rPr>
              <w:t>Carpeta</w:t>
            </w:r>
            <w:proofErr w:type="spellEnd"/>
            <w:r w:rsidRPr="00A502D7">
              <w:rPr>
                <w:sz w:val="18"/>
                <w:szCs w:val="18"/>
              </w:rPr>
              <w:t xml:space="preserve"> </w:t>
            </w:r>
            <w:proofErr w:type="spellStart"/>
            <w:r w:rsidRPr="00A502D7">
              <w:rPr>
                <w:sz w:val="18"/>
                <w:szCs w:val="18"/>
              </w:rPr>
              <w:t>asfáltica</w:t>
            </w:r>
            <w:proofErr w:type="spellEnd"/>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5.085.471</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4.424.360</w:t>
            </w:r>
          </w:p>
        </w:tc>
      </w:tr>
      <w:tr w:rsidR="00A502D7" w:rsidRPr="00A502D7" w:rsidTr="00A502D7">
        <w:trPr>
          <w:trHeight w:hRule="exact" w:val="227"/>
          <w:jc w:val="center"/>
        </w:trPr>
        <w:tc>
          <w:tcPr>
            <w:tcW w:w="1535" w:type="dxa"/>
            <w:tcBorders>
              <w:top w:val="single" w:sz="8" w:space="0" w:color="auto"/>
              <w:left w:val="single" w:sz="8" w:space="0" w:color="auto"/>
              <w:bottom w:val="single" w:sz="8" w:space="0" w:color="auto"/>
              <w:right w:val="single" w:sz="8" w:space="0" w:color="auto"/>
            </w:tcBorders>
            <w:shd w:val="clear" w:color="auto" w:fill="auto"/>
            <w:vAlign w:val="center"/>
          </w:tcPr>
          <w:p w:rsidR="00A502D7" w:rsidRPr="00A502D7" w:rsidRDefault="00A502D7" w:rsidP="00A502D7">
            <w:pPr>
              <w:pStyle w:val="Default"/>
              <w:ind w:left="-93"/>
              <w:jc w:val="both"/>
              <w:rPr>
                <w:rFonts w:asciiTheme="minorHAnsi" w:hAnsiTheme="minorHAnsi"/>
                <w:sz w:val="18"/>
                <w:szCs w:val="18"/>
                <w:lang w:val="es-ES_tradnl"/>
              </w:rPr>
            </w:pPr>
            <w:r w:rsidRPr="00A502D7">
              <w:rPr>
                <w:rFonts w:asciiTheme="minorHAnsi" w:hAnsiTheme="minorHAnsi"/>
                <w:sz w:val="18"/>
                <w:szCs w:val="18"/>
                <w:lang w:val="es-ES_tradnl"/>
              </w:rPr>
              <w:t>Total</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A502D7" w:rsidRPr="00A502D7" w:rsidRDefault="00A502D7" w:rsidP="00A502D7">
            <w:pPr>
              <w:pStyle w:val="Default"/>
              <w:ind w:left="-88" w:right="-140"/>
              <w:jc w:val="center"/>
              <w:rPr>
                <w:rFonts w:asciiTheme="minorHAnsi" w:hAnsiTheme="minorHAnsi"/>
                <w:sz w:val="18"/>
                <w:szCs w:val="18"/>
                <w:lang w:val="es-ES_tradnl"/>
              </w:rPr>
            </w:pPr>
            <w:r w:rsidRPr="00A502D7">
              <w:rPr>
                <w:rFonts w:asciiTheme="minorHAnsi" w:hAnsiTheme="minorHAnsi"/>
                <w:sz w:val="18"/>
                <w:szCs w:val="18"/>
                <w:lang w:val="es-ES_tradnl"/>
              </w:rPr>
              <w:t>164,7</w:t>
            </w:r>
          </w:p>
        </w:tc>
        <w:tc>
          <w:tcPr>
            <w:tcW w:w="2055" w:type="dxa"/>
            <w:tcBorders>
              <w:top w:val="single" w:sz="8" w:space="0" w:color="auto"/>
              <w:left w:val="single" w:sz="8" w:space="0" w:color="auto"/>
              <w:bottom w:val="single" w:sz="8" w:space="0" w:color="auto"/>
              <w:right w:val="single" w:sz="8" w:space="0" w:color="auto"/>
            </w:tcBorders>
            <w:shd w:val="clear" w:color="auto" w:fill="auto"/>
          </w:tcPr>
          <w:p w:rsidR="00A502D7" w:rsidRPr="00A502D7" w:rsidRDefault="00A502D7" w:rsidP="00A502D7">
            <w:pPr>
              <w:jc w:val="center"/>
              <w:rPr>
                <w:sz w:val="18"/>
                <w:szCs w:val="18"/>
              </w:rPr>
            </w:pPr>
          </w:p>
        </w:tc>
        <w:tc>
          <w:tcPr>
            <w:tcW w:w="2056"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center"/>
              <w:rPr>
                <w:sz w:val="18"/>
                <w:szCs w:val="18"/>
              </w:rPr>
            </w:pP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22.512.749</w:t>
            </w:r>
          </w:p>
        </w:tc>
        <w:tc>
          <w:tcPr>
            <w:tcW w:w="1713" w:type="dxa"/>
            <w:tcBorders>
              <w:top w:val="single" w:sz="8" w:space="0" w:color="auto"/>
              <w:left w:val="single" w:sz="8" w:space="0" w:color="auto"/>
              <w:bottom w:val="single" w:sz="8" w:space="0" w:color="auto"/>
              <w:right w:val="single" w:sz="8" w:space="0" w:color="auto"/>
            </w:tcBorders>
            <w:vAlign w:val="center"/>
          </w:tcPr>
          <w:p w:rsidR="00A502D7" w:rsidRPr="00A502D7" w:rsidRDefault="00A502D7" w:rsidP="00A502D7">
            <w:pPr>
              <w:jc w:val="right"/>
              <w:rPr>
                <w:sz w:val="20"/>
                <w:szCs w:val="20"/>
              </w:rPr>
            </w:pPr>
            <w:r w:rsidRPr="00A502D7">
              <w:rPr>
                <w:sz w:val="20"/>
                <w:szCs w:val="20"/>
              </w:rPr>
              <w:t>19.779.813</w:t>
            </w:r>
          </w:p>
        </w:tc>
      </w:tr>
    </w:tbl>
    <w:p w:rsidR="00A502D7" w:rsidRDefault="00A502D7" w:rsidP="00AB798A">
      <w:pPr>
        <w:jc w:val="both"/>
        <w:rPr>
          <w:lang w:val="es-ES_tradnl"/>
        </w:rPr>
      </w:pPr>
    </w:p>
    <w:p w:rsidR="004D7FCE" w:rsidRDefault="004D7FCE" w:rsidP="00E22A51">
      <w:pPr>
        <w:pStyle w:val="Ttulo1"/>
        <w:jc w:val="both"/>
        <w:rPr>
          <w:lang w:val="es-ES_tradnl"/>
        </w:rPr>
      </w:pPr>
      <w:r>
        <w:rPr>
          <w:lang w:val="es-ES_tradnl"/>
        </w:rPr>
        <w:t>Consideraciones generales sobre la metodología</w:t>
      </w:r>
    </w:p>
    <w:p w:rsidR="002B4956" w:rsidRDefault="002B4956" w:rsidP="002B4956">
      <w:pPr>
        <w:jc w:val="both"/>
        <w:rPr>
          <w:lang w:val="es-ES_tradnl"/>
        </w:rPr>
      </w:pPr>
      <w:r>
        <w:rPr>
          <w:lang w:val="es-ES_tradnl"/>
        </w:rPr>
        <w:t xml:space="preserve">La evaluación económica que se realiza considera que estos caminos serán de aquí en más gestionados a partir de planes programados de mantenimiento. </w:t>
      </w:r>
    </w:p>
    <w:p w:rsidR="00A46A63" w:rsidRDefault="00A46A63" w:rsidP="00E22A51">
      <w:pPr>
        <w:jc w:val="both"/>
        <w:rPr>
          <w:rFonts w:cs="Arial"/>
          <w:lang w:val="es-419"/>
        </w:rPr>
      </w:pPr>
      <w:r w:rsidRPr="00A46A63">
        <w:rPr>
          <w:rFonts w:cs="Arial"/>
          <w:lang w:val="es-ES_tradnl"/>
        </w:rPr>
        <w:t xml:space="preserve">Se realizó la evaluación económica (análisis costo beneficio) de las obras de la muestra aplicando el </w:t>
      </w:r>
      <w:r w:rsidRPr="00A46A63">
        <w:rPr>
          <w:rFonts w:cs="Arial"/>
          <w:i/>
          <w:lang w:val="es-ES_tradnl"/>
        </w:rPr>
        <w:t>HDM4</w:t>
      </w:r>
      <w:r>
        <w:rPr>
          <w:rStyle w:val="Refdenotaalpie"/>
          <w:rFonts w:cs="Arial"/>
          <w:i/>
        </w:rPr>
        <w:footnoteReference w:id="1"/>
      </w:r>
      <w:r w:rsidRPr="00A46A63">
        <w:rPr>
          <w:rFonts w:cs="Arial"/>
          <w:lang w:val="es-ES_tradnl"/>
        </w:rPr>
        <w:t>, metodología estándar en el sector. Se compara la situación con proyecto</w:t>
      </w:r>
      <w:r w:rsidR="00A0673A">
        <w:rPr>
          <w:rFonts w:cs="Arial"/>
          <w:lang w:val="es-ES_tradnl"/>
        </w:rPr>
        <w:t>,</w:t>
      </w:r>
      <w:r w:rsidRPr="00A46A63">
        <w:rPr>
          <w:rFonts w:cs="Arial"/>
          <w:lang w:val="es-ES_tradnl"/>
        </w:rPr>
        <w:t xml:space="preserve"> en </w:t>
      </w:r>
      <w:r w:rsidR="00A0673A">
        <w:rPr>
          <w:rFonts w:cs="Arial"/>
          <w:lang w:val="es-ES_tradnl"/>
        </w:rPr>
        <w:t xml:space="preserve">la </w:t>
      </w:r>
      <w:r w:rsidRPr="00A46A63">
        <w:rPr>
          <w:rFonts w:cs="Arial"/>
          <w:lang w:val="es-ES_tradnl"/>
        </w:rPr>
        <w:t>que se aplica la estrategia de rehabilitación y mantenimiento propuesta por el proyecto</w:t>
      </w:r>
      <w:r w:rsidR="00A0673A">
        <w:rPr>
          <w:rFonts w:cs="Arial"/>
          <w:lang w:val="es-ES_tradnl"/>
        </w:rPr>
        <w:t>,</w:t>
      </w:r>
      <w:r w:rsidRPr="00A46A63">
        <w:rPr>
          <w:rFonts w:cs="Arial"/>
          <w:lang w:val="es-ES_tradnl"/>
        </w:rPr>
        <w:t xml:space="preserve"> con</w:t>
      </w:r>
      <w:r w:rsidR="00A0673A">
        <w:rPr>
          <w:rFonts w:cs="Arial"/>
          <w:lang w:val="es-ES_tradnl"/>
        </w:rPr>
        <w:t xml:space="preserve"> la situación sin proyecto</w:t>
      </w:r>
      <w:r w:rsidRPr="00A46A63">
        <w:rPr>
          <w:rFonts w:cs="Arial"/>
          <w:lang w:val="es-ES_tradnl"/>
        </w:rPr>
        <w:t>, en que se realizan apenas tareas de mantenimiento muy básicas mientras el camino se mantenga transitable. Se estiman los diferenciales de costo de transporte, que constituyen los beneficios de cada intervención, así como los costos a precios de cuenta. La Tasa Interna de Retorno Económica (TIRE) supera el valor indicativo de 12% en todos los casos, resultando robusto ante posibles aumentos de costos o reducciones de beneficios del 20%</w:t>
      </w:r>
      <w:r w:rsidR="00A0673A">
        <w:rPr>
          <w:rFonts w:cs="Arial"/>
          <w:lang w:val="es-ES_tradnl"/>
        </w:rPr>
        <w:t>, más la combinación de un 10% de ambos</w:t>
      </w:r>
      <w:r w:rsidRPr="002D2D98">
        <w:rPr>
          <w:rStyle w:val="Refdenotaalpie"/>
          <w:rFonts w:cs="Arial"/>
        </w:rPr>
        <w:footnoteReference w:id="2"/>
      </w:r>
      <w:r w:rsidR="00A0673A" w:rsidRPr="003B57E9">
        <w:rPr>
          <w:rFonts w:cs="Arial"/>
          <w:lang w:val="es-419"/>
        </w:rPr>
        <w:t>.</w:t>
      </w:r>
    </w:p>
    <w:p w:rsidR="00A502D7" w:rsidRPr="003B57E9" w:rsidRDefault="00A502D7" w:rsidP="00E22A51">
      <w:pPr>
        <w:jc w:val="both"/>
        <w:rPr>
          <w:lang w:val="es-419"/>
        </w:rPr>
      </w:pPr>
    </w:p>
    <w:p w:rsidR="00A46A63" w:rsidRDefault="00A46A63" w:rsidP="00E22A51">
      <w:pPr>
        <w:pStyle w:val="Ttulo1"/>
        <w:jc w:val="both"/>
        <w:rPr>
          <w:lang w:val="es-ES_tradnl"/>
        </w:rPr>
      </w:pPr>
      <w:r>
        <w:rPr>
          <w:lang w:val="es-ES_tradnl"/>
        </w:rPr>
        <w:lastRenderedPageBreak/>
        <w:t>Estándares de conservación definidos</w:t>
      </w:r>
    </w:p>
    <w:tbl>
      <w:tblPr>
        <w:tblW w:w="10206" w:type="dxa"/>
        <w:tblInd w:w="80" w:type="dxa"/>
        <w:tblCellMar>
          <w:left w:w="70" w:type="dxa"/>
          <w:right w:w="70" w:type="dxa"/>
        </w:tblCellMar>
        <w:tblLook w:val="04A0" w:firstRow="1" w:lastRow="0" w:firstColumn="1" w:lastColumn="0" w:noHBand="0" w:noVBand="1"/>
      </w:tblPr>
      <w:tblGrid>
        <w:gridCol w:w="4234"/>
        <w:gridCol w:w="863"/>
        <w:gridCol w:w="1266"/>
        <w:gridCol w:w="3843"/>
      </w:tblGrid>
      <w:tr w:rsidR="00A502D7" w:rsidRPr="00A502D7" w:rsidTr="00A502D7">
        <w:trPr>
          <w:trHeight w:val="525"/>
        </w:trPr>
        <w:tc>
          <w:tcPr>
            <w:tcW w:w="4234" w:type="dxa"/>
            <w:tcBorders>
              <w:top w:val="single" w:sz="8" w:space="0" w:color="auto"/>
              <w:left w:val="single" w:sz="8" w:space="0" w:color="auto"/>
              <w:bottom w:val="nil"/>
              <w:right w:val="single" w:sz="4" w:space="0" w:color="auto"/>
            </w:tcBorders>
            <w:shd w:val="clear" w:color="auto" w:fill="BFBFBF" w:themeFill="background1" w:themeFillShade="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56781C">
              <w:rPr>
                <w:rFonts w:eastAsia="Times New Roman" w:cs="Times New Roman"/>
                <w:b/>
                <w:bCs/>
                <w:sz w:val="20"/>
                <w:szCs w:val="20"/>
                <w:lang w:val="es-419" w:eastAsia="es-419"/>
              </w:rPr>
              <w:t>OBRA</w:t>
            </w:r>
          </w:p>
        </w:tc>
        <w:tc>
          <w:tcPr>
            <w:tcW w:w="863" w:type="dxa"/>
            <w:tcBorders>
              <w:top w:val="single" w:sz="8" w:space="0" w:color="auto"/>
              <w:left w:val="nil"/>
              <w:bottom w:val="nil"/>
              <w:right w:val="single" w:sz="4" w:space="0" w:color="auto"/>
            </w:tcBorders>
            <w:shd w:val="clear" w:color="auto" w:fill="BFBFBF" w:themeFill="background1" w:themeFillShade="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56781C">
              <w:rPr>
                <w:rFonts w:eastAsia="Times New Roman" w:cs="Times New Roman"/>
                <w:b/>
                <w:bCs/>
                <w:sz w:val="20"/>
                <w:szCs w:val="20"/>
                <w:lang w:val="es-419" w:eastAsia="es-419"/>
              </w:rPr>
              <w:t>UNIDAD</w:t>
            </w:r>
          </w:p>
        </w:tc>
        <w:tc>
          <w:tcPr>
            <w:tcW w:w="1266" w:type="dxa"/>
            <w:tcBorders>
              <w:top w:val="single" w:sz="8" w:space="0" w:color="auto"/>
              <w:left w:val="nil"/>
              <w:bottom w:val="nil"/>
              <w:right w:val="single" w:sz="4" w:space="0" w:color="auto"/>
            </w:tcBorders>
            <w:shd w:val="clear" w:color="auto" w:fill="BFBFBF" w:themeFill="background1" w:themeFillShade="BF"/>
            <w:hideMark/>
          </w:tcPr>
          <w:p w:rsidR="00A502D7" w:rsidRPr="00A502D7" w:rsidRDefault="00A502D7" w:rsidP="005E5018">
            <w:pPr>
              <w:spacing w:after="0" w:line="240" w:lineRule="auto"/>
              <w:jc w:val="center"/>
              <w:rPr>
                <w:rFonts w:eastAsia="Times New Roman" w:cs="Times New Roman"/>
                <w:b/>
                <w:bCs/>
                <w:sz w:val="20"/>
                <w:szCs w:val="20"/>
                <w:lang w:val="es-419" w:eastAsia="es-419"/>
              </w:rPr>
            </w:pPr>
            <w:r w:rsidRPr="0056781C">
              <w:rPr>
                <w:rFonts w:eastAsia="Times New Roman" w:cs="Times New Roman"/>
                <w:b/>
                <w:bCs/>
                <w:sz w:val="20"/>
                <w:szCs w:val="20"/>
                <w:lang w:val="es-419" w:eastAsia="es-419"/>
              </w:rPr>
              <w:t>US$/UNIDAD</w:t>
            </w:r>
          </w:p>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(Económico)</w:t>
            </w:r>
          </w:p>
        </w:tc>
        <w:tc>
          <w:tcPr>
            <w:tcW w:w="3843" w:type="dxa"/>
            <w:tcBorders>
              <w:top w:val="single" w:sz="8" w:space="0" w:color="auto"/>
              <w:left w:val="nil"/>
              <w:bottom w:val="nil"/>
              <w:right w:val="single" w:sz="4" w:space="0" w:color="auto"/>
            </w:tcBorders>
            <w:shd w:val="clear" w:color="auto" w:fill="BFBFBF" w:themeFill="background1" w:themeFillShade="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56781C">
              <w:rPr>
                <w:rFonts w:eastAsia="Times New Roman" w:cs="Times New Roman"/>
                <w:b/>
                <w:bCs/>
                <w:sz w:val="20"/>
                <w:szCs w:val="20"/>
                <w:lang w:val="es-419" w:eastAsia="es-419"/>
              </w:rPr>
              <w:t>MOMENTO DE EJECUCIÓN</w:t>
            </w:r>
          </w:p>
        </w:tc>
      </w:tr>
      <w:tr w:rsidR="00A502D7" w:rsidRPr="00A502D7" w:rsidTr="00A502D7">
        <w:trPr>
          <w:trHeight w:val="360"/>
        </w:trPr>
        <w:tc>
          <w:tcPr>
            <w:tcW w:w="4234" w:type="dxa"/>
            <w:tcBorders>
              <w:top w:val="single" w:sz="8" w:space="0" w:color="auto"/>
              <w:left w:val="single" w:sz="8" w:space="0" w:color="auto"/>
              <w:bottom w:val="single" w:sz="8" w:space="0" w:color="auto"/>
              <w:right w:val="nil"/>
            </w:tcBorders>
            <w:shd w:val="clear" w:color="000000" w:fill="BFBFBF"/>
            <w:noWrap/>
            <w:hideMark/>
          </w:tcPr>
          <w:p w:rsidR="00A502D7" w:rsidRPr="0056781C" w:rsidRDefault="00A502D7" w:rsidP="005E5018">
            <w:pPr>
              <w:spacing w:after="0" w:line="240" w:lineRule="auto"/>
              <w:rPr>
                <w:rFonts w:eastAsia="Times New Roman" w:cs="Times New Roman"/>
                <w:b/>
                <w:bCs/>
                <w:sz w:val="20"/>
                <w:szCs w:val="20"/>
                <w:lang w:val="es-419" w:eastAsia="es-419"/>
              </w:rPr>
            </w:pPr>
            <w:r w:rsidRPr="00A502D7">
              <w:rPr>
                <w:rFonts w:eastAsia="Times New Roman" w:cs="Times New Roman"/>
                <w:b/>
                <w:bCs/>
                <w:sz w:val="20"/>
                <w:szCs w:val="20"/>
                <w:lang w:val="es-419" w:eastAsia="es-419"/>
              </w:rPr>
              <w:t>Tamos en asfalto</w:t>
            </w:r>
          </w:p>
        </w:tc>
        <w:tc>
          <w:tcPr>
            <w:tcW w:w="863" w:type="dxa"/>
            <w:tcBorders>
              <w:top w:val="single" w:sz="8" w:space="0" w:color="auto"/>
              <w:left w:val="single" w:sz="4" w:space="0" w:color="auto"/>
              <w:bottom w:val="single" w:sz="8" w:space="0" w:color="auto"/>
              <w:right w:val="single" w:sz="4" w:space="0" w:color="auto"/>
            </w:tcBorders>
            <w:shd w:val="clear" w:color="000000" w:fill="BFBFBF"/>
            <w:noWrap/>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c>
          <w:tcPr>
            <w:tcW w:w="1266" w:type="dxa"/>
            <w:tcBorders>
              <w:top w:val="single" w:sz="8" w:space="0" w:color="auto"/>
              <w:left w:val="nil"/>
              <w:bottom w:val="single" w:sz="8" w:space="0" w:color="auto"/>
              <w:right w:val="single" w:sz="4" w:space="0" w:color="auto"/>
            </w:tcBorders>
            <w:shd w:val="clear" w:color="000000" w:fill="BFBF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c>
          <w:tcPr>
            <w:tcW w:w="3843" w:type="dxa"/>
            <w:tcBorders>
              <w:top w:val="single" w:sz="8" w:space="0" w:color="auto"/>
              <w:left w:val="nil"/>
              <w:bottom w:val="single" w:sz="8" w:space="0" w:color="auto"/>
              <w:right w:val="single" w:sz="4" w:space="0" w:color="auto"/>
            </w:tcBorders>
            <w:shd w:val="clear" w:color="000000" w:fill="BFBF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r>
      <w:tr w:rsidR="00A502D7" w:rsidRPr="00A502D7"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Mantenimiento rutinario en carretera de 2 carriles</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km</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1.187,87</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Anual</w:t>
            </w:r>
          </w:p>
        </w:tc>
      </w:tr>
      <w:tr w:rsidR="00A502D7" w:rsidRPr="00150E58"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Bacheo</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m2</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25,28</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Más de 10 baches por km</w:t>
            </w:r>
          </w:p>
        </w:tc>
      </w:tr>
      <w:tr w:rsidR="00A502D7" w:rsidRPr="00150E58"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Sellado de fisuras</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m2</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3,94</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Más de 10% del área con fisuras anchas</w:t>
            </w:r>
          </w:p>
        </w:tc>
      </w:tr>
      <w:tr w:rsidR="00A502D7" w:rsidRPr="00150E58"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proofErr w:type="spellStart"/>
            <w:r w:rsidRPr="0056781C">
              <w:rPr>
                <w:rFonts w:eastAsia="Times New Roman" w:cs="Times New Roman"/>
                <w:sz w:val="20"/>
                <w:szCs w:val="20"/>
                <w:lang w:val="es-419" w:eastAsia="es-419"/>
              </w:rPr>
              <w:t>Sobrecapa</w:t>
            </w:r>
            <w:proofErr w:type="spellEnd"/>
            <w:r w:rsidRPr="0056781C">
              <w:rPr>
                <w:rFonts w:eastAsia="Times New Roman" w:cs="Times New Roman"/>
                <w:sz w:val="20"/>
                <w:szCs w:val="20"/>
                <w:lang w:val="es-419" w:eastAsia="es-419"/>
              </w:rPr>
              <w:t xml:space="preserve"> Concreto Asfáltico   5,0 cm</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m2</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25,28</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Más de 4mm/m de IRI</w:t>
            </w:r>
          </w:p>
        </w:tc>
      </w:tr>
      <w:tr w:rsidR="00A502D7" w:rsidRPr="00A502D7" w:rsidTr="00A502D7">
        <w:trPr>
          <w:trHeight w:val="360"/>
        </w:trPr>
        <w:tc>
          <w:tcPr>
            <w:tcW w:w="4234" w:type="dxa"/>
            <w:tcBorders>
              <w:top w:val="single" w:sz="8" w:space="0" w:color="auto"/>
              <w:left w:val="single" w:sz="8" w:space="0" w:color="auto"/>
              <w:bottom w:val="single" w:sz="8" w:space="0" w:color="auto"/>
              <w:right w:val="nil"/>
            </w:tcBorders>
            <w:shd w:val="clear" w:color="000000" w:fill="BFBFBF"/>
            <w:noWrap/>
            <w:hideMark/>
          </w:tcPr>
          <w:p w:rsidR="00A502D7" w:rsidRPr="0056781C" w:rsidRDefault="00A502D7" w:rsidP="005E5018">
            <w:pPr>
              <w:spacing w:after="0" w:line="240" w:lineRule="auto"/>
              <w:rPr>
                <w:rFonts w:eastAsia="Times New Roman" w:cs="Times New Roman"/>
                <w:b/>
                <w:bCs/>
                <w:sz w:val="20"/>
                <w:szCs w:val="20"/>
                <w:lang w:val="es-419" w:eastAsia="es-419"/>
              </w:rPr>
            </w:pPr>
            <w:r w:rsidRPr="00A502D7">
              <w:rPr>
                <w:rFonts w:eastAsia="Times New Roman" w:cs="Times New Roman"/>
                <w:b/>
                <w:bCs/>
                <w:sz w:val="20"/>
                <w:szCs w:val="20"/>
                <w:lang w:val="es-419" w:eastAsia="es-419"/>
              </w:rPr>
              <w:t>Tramos en tosca</w:t>
            </w:r>
          </w:p>
        </w:tc>
        <w:tc>
          <w:tcPr>
            <w:tcW w:w="863" w:type="dxa"/>
            <w:tcBorders>
              <w:top w:val="single" w:sz="8" w:space="0" w:color="auto"/>
              <w:left w:val="single" w:sz="4" w:space="0" w:color="auto"/>
              <w:bottom w:val="single" w:sz="8" w:space="0" w:color="auto"/>
              <w:right w:val="single" w:sz="4" w:space="0" w:color="auto"/>
            </w:tcBorders>
            <w:shd w:val="clear" w:color="000000" w:fill="BFBFBF"/>
            <w:noWrap/>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c>
          <w:tcPr>
            <w:tcW w:w="1266" w:type="dxa"/>
            <w:tcBorders>
              <w:top w:val="single" w:sz="8" w:space="0" w:color="auto"/>
              <w:left w:val="nil"/>
              <w:bottom w:val="single" w:sz="8" w:space="0" w:color="auto"/>
              <w:right w:val="single" w:sz="4" w:space="0" w:color="auto"/>
            </w:tcBorders>
            <w:shd w:val="clear" w:color="000000" w:fill="BFBF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c>
          <w:tcPr>
            <w:tcW w:w="3843" w:type="dxa"/>
            <w:tcBorders>
              <w:top w:val="single" w:sz="8" w:space="0" w:color="auto"/>
              <w:left w:val="nil"/>
              <w:bottom w:val="single" w:sz="8" w:space="0" w:color="auto"/>
              <w:right w:val="single" w:sz="4" w:space="0" w:color="auto"/>
            </w:tcBorders>
            <w:shd w:val="clear" w:color="000000" w:fill="BFBFBF"/>
            <w:hideMark/>
          </w:tcPr>
          <w:p w:rsidR="00A502D7" w:rsidRPr="0056781C" w:rsidRDefault="00A502D7" w:rsidP="005E5018">
            <w:pPr>
              <w:spacing w:after="0" w:line="240" w:lineRule="auto"/>
              <w:jc w:val="center"/>
              <w:rPr>
                <w:rFonts w:eastAsia="Times New Roman" w:cs="Times New Roman"/>
                <w:b/>
                <w:bCs/>
                <w:sz w:val="20"/>
                <w:szCs w:val="20"/>
                <w:lang w:val="es-419" w:eastAsia="es-419"/>
              </w:rPr>
            </w:pPr>
            <w:r w:rsidRPr="00A502D7">
              <w:rPr>
                <w:rFonts w:eastAsia="Times New Roman" w:cs="Times New Roman"/>
                <w:b/>
                <w:bCs/>
                <w:sz w:val="20"/>
                <w:szCs w:val="20"/>
                <w:lang w:val="es-419" w:eastAsia="es-419"/>
              </w:rPr>
              <w:t> </w:t>
            </w:r>
          </w:p>
        </w:tc>
      </w:tr>
      <w:tr w:rsidR="00A502D7" w:rsidRPr="00150E58" w:rsidTr="00A502D7">
        <w:trPr>
          <w:trHeight w:val="360"/>
        </w:trPr>
        <w:tc>
          <w:tcPr>
            <w:tcW w:w="42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 xml:space="preserve">Recargo </w:t>
            </w:r>
            <w:r w:rsidRPr="00A502D7">
              <w:rPr>
                <w:rFonts w:eastAsia="Times New Roman" w:cs="Times New Roman"/>
                <w:sz w:val="20"/>
                <w:szCs w:val="20"/>
                <w:lang w:val="es-419" w:eastAsia="es-419"/>
              </w:rPr>
              <w:t>en tosca para reconformar 30 cm</w:t>
            </w:r>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m3</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16,86</w:t>
            </w:r>
          </w:p>
        </w:tc>
        <w:tc>
          <w:tcPr>
            <w:tcW w:w="3843" w:type="dxa"/>
            <w:tcBorders>
              <w:top w:val="single" w:sz="4" w:space="0" w:color="auto"/>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Cuando se tienen menos de 20cm de tosca</w:t>
            </w:r>
          </w:p>
        </w:tc>
      </w:tr>
      <w:tr w:rsidR="00A502D7" w:rsidRPr="00A502D7"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Mantenimiento rutinario en carretera de 2 carriles</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km</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1.187,87</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Anual</w:t>
            </w:r>
          </w:p>
        </w:tc>
      </w:tr>
      <w:tr w:rsidR="00A502D7" w:rsidRPr="00A502D7" w:rsidTr="00A502D7">
        <w:trPr>
          <w:trHeight w:val="360"/>
        </w:trPr>
        <w:tc>
          <w:tcPr>
            <w:tcW w:w="4234" w:type="dxa"/>
            <w:tcBorders>
              <w:top w:val="nil"/>
              <w:left w:val="single" w:sz="8" w:space="0" w:color="auto"/>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Reacondicionamiento de la rasante (perfilado)</w:t>
            </w:r>
          </w:p>
        </w:tc>
        <w:tc>
          <w:tcPr>
            <w:tcW w:w="86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center"/>
              <w:rPr>
                <w:rFonts w:eastAsia="Times New Roman" w:cs="Times New Roman"/>
                <w:sz w:val="20"/>
                <w:szCs w:val="20"/>
                <w:lang w:val="es-419" w:eastAsia="es-419"/>
              </w:rPr>
            </w:pPr>
            <w:r w:rsidRPr="0056781C">
              <w:rPr>
                <w:rFonts w:eastAsia="Times New Roman" w:cs="Times New Roman"/>
                <w:sz w:val="20"/>
                <w:szCs w:val="20"/>
                <w:lang w:val="es-419" w:eastAsia="es-419"/>
              </w:rPr>
              <w:t>km</w:t>
            </w:r>
          </w:p>
        </w:tc>
        <w:tc>
          <w:tcPr>
            <w:tcW w:w="1266"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jc w:val="right"/>
              <w:rPr>
                <w:rFonts w:eastAsia="Times New Roman" w:cs="Times New Roman"/>
                <w:sz w:val="20"/>
                <w:szCs w:val="20"/>
                <w:lang w:val="es-419" w:eastAsia="es-419"/>
              </w:rPr>
            </w:pPr>
            <w:r w:rsidRPr="0056781C">
              <w:rPr>
                <w:rFonts w:eastAsia="Times New Roman" w:cs="Times New Roman"/>
                <w:sz w:val="20"/>
                <w:szCs w:val="20"/>
                <w:lang w:val="es-419" w:eastAsia="es-419"/>
              </w:rPr>
              <w:t>350,44</w:t>
            </w:r>
          </w:p>
        </w:tc>
        <w:tc>
          <w:tcPr>
            <w:tcW w:w="3843" w:type="dxa"/>
            <w:tcBorders>
              <w:top w:val="nil"/>
              <w:left w:val="nil"/>
              <w:bottom w:val="single" w:sz="4" w:space="0" w:color="auto"/>
              <w:right w:val="single" w:sz="4" w:space="0" w:color="auto"/>
            </w:tcBorders>
            <w:shd w:val="clear" w:color="auto" w:fill="auto"/>
            <w:noWrap/>
            <w:vAlign w:val="center"/>
            <w:hideMark/>
          </w:tcPr>
          <w:p w:rsidR="00A502D7" w:rsidRPr="0056781C" w:rsidRDefault="00A502D7" w:rsidP="005E5018">
            <w:pPr>
              <w:spacing w:after="0" w:line="240" w:lineRule="auto"/>
              <w:rPr>
                <w:rFonts w:eastAsia="Times New Roman" w:cs="Times New Roman"/>
                <w:sz w:val="20"/>
                <w:szCs w:val="20"/>
                <w:lang w:val="es-419" w:eastAsia="es-419"/>
              </w:rPr>
            </w:pPr>
            <w:r w:rsidRPr="0056781C">
              <w:rPr>
                <w:rFonts w:eastAsia="Times New Roman" w:cs="Times New Roman"/>
                <w:sz w:val="20"/>
                <w:szCs w:val="20"/>
                <w:lang w:val="es-419" w:eastAsia="es-419"/>
              </w:rPr>
              <w:t>Cada 4 meses</w:t>
            </w:r>
          </w:p>
        </w:tc>
      </w:tr>
    </w:tbl>
    <w:p w:rsidR="00162E8B" w:rsidRPr="00A46A63" w:rsidRDefault="00162E8B" w:rsidP="00162E8B">
      <w:pPr>
        <w:jc w:val="both"/>
        <w:rPr>
          <w:lang w:val="es-ES_tradnl"/>
        </w:rPr>
      </w:pPr>
    </w:p>
    <w:p w:rsidR="00A46A63" w:rsidRDefault="00A46A63" w:rsidP="00E22A51">
      <w:pPr>
        <w:pStyle w:val="Ttulo1"/>
        <w:jc w:val="both"/>
        <w:rPr>
          <w:lang w:val="es-ES_tradnl"/>
        </w:rPr>
      </w:pPr>
      <w:bookmarkStart w:id="0" w:name="_GoBack"/>
      <w:bookmarkEnd w:id="0"/>
      <w:r>
        <w:rPr>
          <w:lang w:val="es-ES_tradnl"/>
        </w:rPr>
        <w:t>Resultados</w:t>
      </w:r>
    </w:p>
    <w:p w:rsidR="00A46A63" w:rsidRDefault="00A46A63" w:rsidP="00E22A51">
      <w:pPr>
        <w:pStyle w:val="Descripcin"/>
        <w:ind w:left="0"/>
        <w:jc w:val="both"/>
      </w:pPr>
      <w:r>
        <w:t xml:space="preserve">Cuadro </w:t>
      </w:r>
      <w:r>
        <w:fldChar w:fldCharType="begin"/>
      </w:r>
      <w:r>
        <w:instrText xml:space="preserve"> SEQ Cuadro \* ARABIC </w:instrText>
      </w:r>
      <w:r>
        <w:fldChar w:fldCharType="separate"/>
      </w:r>
      <w:r>
        <w:rPr>
          <w:noProof/>
        </w:rPr>
        <w:t>3</w:t>
      </w:r>
      <w:r>
        <w:fldChar w:fldCharType="end"/>
      </w:r>
      <w:r>
        <w:t xml:space="preserve"> – Resultados de costo beneficio y análisis de sensibilidad</w:t>
      </w:r>
    </w:p>
    <w:tbl>
      <w:tblPr>
        <w:tblW w:w="8631" w:type="dxa"/>
        <w:tblInd w:w="117" w:type="dxa"/>
        <w:tblLayout w:type="fixed"/>
        <w:tblLook w:val="04A0" w:firstRow="1" w:lastRow="0" w:firstColumn="1" w:lastColumn="0" w:noHBand="0" w:noVBand="1"/>
      </w:tblPr>
      <w:tblGrid>
        <w:gridCol w:w="2781"/>
        <w:gridCol w:w="810"/>
        <w:gridCol w:w="1260"/>
        <w:gridCol w:w="900"/>
        <w:gridCol w:w="990"/>
        <w:gridCol w:w="900"/>
        <w:gridCol w:w="990"/>
      </w:tblGrid>
      <w:tr w:rsidR="00A46A63" w:rsidRPr="00A502D7" w:rsidTr="0079272D">
        <w:trPr>
          <w:trHeight w:val="288"/>
        </w:trPr>
        <w:tc>
          <w:tcPr>
            <w:tcW w:w="2781"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Cs w:val="20"/>
                <w:lang w:val="es-ES_tradnl"/>
              </w:rPr>
            </w:pPr>
            <w:r w:rsidRPr="00A502D7">
              <w:rPr>
                <w:rFonts w:asciiTheme="minorHAnsi" w:hAnsiTheme="minorHAnsi"/>
                <w:b/>
                <w:bCs/>
                <w:szCs w:val="20"/>
                <w:lang w:val="es-ES_tradnl"/>
              </w:rPr>
              <w:t>Proyecto</w:t>
            </w:r>
          </w:p>
          <w:p w:rsidR="00A46A63" w:rsidRPr="00A502D7" w:rsidRDefault="00A46A63" w:rsidP="00E22A51">
            <w:pPr>
              <w:pStyle w:val="Default"/>
              <w:jc w:val="both"/>
              <w:rPr>
                <w:rFonts w:asciiTheme="minorHAnsi" w:hAnsiTheme="minorHAnsi"/>
                <w:b/>
                <w:bCs/>
                <w:szCs w:val="20"/>
                <w:lang w:val="es-ES_tradnl"/>
              </w:rPr>
            </w:pPr>
            <w:r w:rsidRPr="00A502D7">
              <w:rPr>
                <w:rFonts w:asciiTheme="minorHAnsi" w:hAnsiTheme="minorHAnsi"/>
                <w:b/>
                <w:bCs/>
                <w:szCs w:val="20"/>
                <w:lang w:val="es-ES_tradnl"/>
              </w:rPr>
              <w:t>Nombre o identificación</w:t>
            </w:r>
            <w:r w:rsidRPr="00A502D7">
              <w:rPr>
                <w:rFonts w:asciiTheme="minorHAnsi" w:hAnsiTheme="minorHAnsi"/>
                <w:b/>
                <w:bCs/>
                <w:szCs w:val="20"/>
                <w:lang w:val="es-ES_tradnl"/>
              </w:rPr>
              <w:br/>
              <w:t>de tramo</w:t>
            </w:r>
          </w:p>
        </w:tc>
        <w:tc>
          <w:tcPr>
            <w:tcW w:w="810"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Cs w:val="20"/>
                <w:lang w:val="es-ES_tradnl"/>
              </w:rPr>
            </w:pPr>
            <w:r w:rsidRPr="00A502D7">
              <w:rPr>
                <w:rFonts w:asciiTheme="minorHAnsi" w:hAnsiTheme="minorHAnsi"/>
                <w:b/>
                <w:bCs/>
                <w:szCs w:val="20"/>
                <w:lang w:val="es-ES_tradnl"/>
              </w:rPr>
              <w:t>Long</w:t>
            </w:r>
            <w:r w:rsidRPr="00A502D7">
              <w:rPr>
                <w:rFonts w:asciiTheme="minorHAnsi" w:hAnsiTheme="minorHAnsi"/>
                <w:b/>
                <w:bCs/>
                <w:szCs w:val="20"/>
                <w:lang w:val="es-ES_tradnl"/>
              </w:rPr>
              <w:br/>
              <w:t>(km)</w:t>
            </w:r>
          </w:p>
        </w:tc>
        <w:tc>
          <w:tcPr>
            <w:tcW w:w="1260" w:type="dxa"/>
            <w:vMerge w:val="restart"/>
            <w:tcBorders>
              <w:top w:val="single" w:sz="8" w:space="0" w:color="auto"/>
              <w:left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Cs w:val="20"/>
                <w:lang w:val="es-ES_tradnl"/>
              </w:rPr>
            </w:pPr>
            <w:r w:rsidRPr="00A502D7">
              <w:rPr>
                <w:rFonts w:asciiTheme="minorHAnsi" w:hAnsiTheme="minorHAnsi"/>
                <w:b/>
                <w:bCs/>
                <w:szCs w:val="20"/>
                <w:lang w:val="es-ES_tradnl"/>
              </w:rPr>
              <w:t>Costo financiero</w:t>
            </w:r>
            <w:r w:rsidRPr="00A502D7">
              <w:rPr>
                <w:rFonts w:asciiTheme="minorHAnsi" w:hAnsiTheme="minorHAnsi"/>
                <w:b/>
                <w:bCs/>
                <w:szCs w:val="20"/>
                <w:lang w:val="es-ES_tradnl"/>
              </w:rPr>
              <w:br/>
              <w:t>(US$)</w:t>
            </w:r>
          </w:p>
        </w:tc>
        <w:tc>
          <w:tcPr>
            <w:tcW w:w="3780"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Cs w:val="20"/>
                <w:lang w:val="es-ES_tradnl"/>
              </w:rPr>
            </w:pPr>
            <w:r w:rsidRPr="00A502D7">
              <w:rPr>
                <w:rFonts w:asciiTheme="minorHAnsi" w:hAnsiTheme="minorHAnsi"/>
                <w:b/>
                <w:bCs/>
                <w:szCs w:val="20"/>
                <w:lang w:val="es-ES_tradnl"/>
              </w:rPr>
              <w:t>TIRE</w:t>
            </w:r>
          </w:p>
        </w:tc>
      </w:tr>
      <w:tr w:rsidR="00A46A63" w:rsidRPr="00A502D7" w:rsidTr="0079272D">
        <w:trPr>
          <w:trHeight w:val="288"/>
        </w:trPr>
        <w:tc>
          <w:tcPr>
            <w:tcW w:w="2781"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46A63" w:rsidRPr="00A502D7" w:rsidRDefault="00A46A63" w:rsidP="00E22A51">
            <w:pPr>
              <w:pStyle w:val="Default"/>
              <w:jc w:val="both"/>
              <w:rPr>
                <w:rFonts w:asciiTheme="minorHAnsi" w:hAnsiTheme="minorHAnsi"/>
                <w:b/>
                <w:bCs/>
                <w:szCs w:val="20"/>
                <w:lang w:val="es-ES_tradnl"/>
              </w:rPr>
            </w:pPr>
          </w:p>
        </w:tc>
        <w:tc>
          <w:tcPr>
            <w:tcW w:w="810"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46A63" w:rsidRPr="00A502D7" w:rsidRDefault="00A46A63" w:rsidP="00E22A51">
            <w:pPr>
              <w:pStyle w:val="Default"/>
              <w:jc w:val="both"/>
              <w:rPr>
                <w:rFonts w:asciiTheme="minorHAnsi" w:hAnsiTheme="minorHAnsi"/>
                <w:b/>
                <w:bCs/>
                <w:szCs w:val="20"/>
                <w:lang w:val="es-ES_tradnl"/>
              </w:rPr>
            </w:pPr>
          </w:p>
        </w:tc>
        <w:tc>
          <w:tcPr>
            <w:tcW w:w="1260" w:type="dxa"/>
            <w:vMerge/>
            <w:tcBorders>
              <w:left w:val="single" w:sz="8" w:space="0" w:color="auto"/>
              <w:bottom w:val="single" w:sz="8" w:space="0" w:color="auto"/>
              <w:right w:val="single" w:sz="8" w:space="0" w:color="auto"/>
            </w:tcBorders>
            <w:shd w:val="clear" w:color="auto" w:fill="BFBFBF" w:themeFill="background1" w:themeFillShade="BF"/>
            <w:vAlign w:val="center"/>
            <w:hideMark/>
          </w:tcPr>
          <w:p w:rsidR="00A46A63" w:rsidRPr="00A502D7" w:rsidRDefault="00A46A63" w:rsidP="00E22A51">
            <w:pPr>
              <w:pStyle w:val="Default"/>
              <w:jc w:val="both"/>
              <w:rPr>
                <w:rFonts w:asciiTheme="minorHAnsi" w:hAnsiTheme="minorHAnsi"/>
                <w:b/>
                <w:bCs/>
                <w:szCs w:val="20"/>
                <w:lang w:val="es-ES_tradnl"/>
              </w:rPr>
            </w:pPr>
          </w:p>
        </w:tc>
        <w:tc>
          <w:tcPr>
            <w:tcW w:w="90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Base</w:t>
            </w:r>
          </w:p>
        </w:tc>
        <w:tc>
          <w:tcPr>
            <w:tcW w:w="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Costo</w:t>
            </w:r>
            <w:r w:rsidRPr="00A502D7">
              <w:rPr>
                <w:rFonts w:asciiTheme="minorHAnsi" w:hAnsiTheme="minorHAnsi"/>
                <w:b/>
                <w:bCs/>
                <w:sz w:val="18"/>
                <w:szCs w:val="18"/>
                <w:lang w:val="es-ES_tradnl"/>
              </w:rPr>
              <w:br/>
              <w:t>+20%</w:t>
            </w:r>
          </w:p>
        </w:tc>
        <w:tc>
          <w:tcPr>
            <w:tcW w:w="90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VMDA</w:t>
            </w:r>
            <w:r w:rsidRPr="00A502D7">
              <w:rPr>
                <w:rFonts w:asciiTheme="minorHAnsi" w:hAnsiTheme="minorHAnsi"/>
                <w:b/>
                <w:bCs/>
                <w:sz w:val="18"/>
                <w:szCs w:val="18"/>
                <w:lang w:val="es-ES_tradnl"/>
              </w:rPr>
              <w:br/>
              <w:t>-20%</w:t>
            </w:r>
          </w:p>
        </w:tc>
        <w:tc>
          <w:tcPr>
            <w:tcW w:w="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Costo</w:t>
            </w:r>
            <w:r w:rsidRPr="00A502D7">
              <w:rPr>
                <w:rFonts w:asciiTheme="minorHAnsi" w:hAnsiTheme="minorHAnsi"/>
                <w:b/>
                <w:bCs/>
                <w:sz w:val="18"/>
                <w:szCs w:val="18"/>
                <w:lang w:val="es-ES_tradnl"/>
              </w:rPr>
              <w:br/>
              <w:t>+10%</w:t>
            </w:r>
          </w:p>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VMDA</w:t>
            </w:r>
          </w:p>
          <w:p w:rsidR="00A46A63" w:rsidRPr="00A502D7" w:rsidRDefault="00A46A63" w:rsidP="00E22A51">
            <w:pPr>
              <w:pStyle w:val="Default"/>
              <w:jc w:val="both"/>
              <w:rPr>
                <w:rFonts w:asciiTheme="minorHAnsi" w:hAnsiTheme="minorHAnsi"/>
                <w:b/>
                <w:bCs/>
                <w:sz w:val="18"/>
                <w:szCs w:val="18"/>
                <w:lang w:val="es-ES_tradnl"/>
              </w:rPr>
            </w:pPr>
            <w:r w:rsidRPr="00A502D7">
              <w:rPr>
                <w:rFonts w:asciiTheme="minorHAnsi" w:hAnsiTheme="minorHAnsi"/>
                <w:b/>
                <w:bCs/>
                <w:sz w:val="18"/>
                <w:szCs w:val="18"/>
                <w:lang w:val="es-ES_tradnl"/>
              </w:rPr>
              <w:t>-10%</w:t>
            </w:r>
          </w:p>
        </w:tc>
      </w:tr>
      <w:tr w:rsidR="00A46A63" w:rsidRPr="00A502D7" w:rsidTr="0079272D">
        <w:trPr>
          <w:trHeight w:val="288"/>
        </w:trPr>
        <w:tc>
          <w:tcPr>
            <w:tcW w:w="8631" w:type="dxa"/>
            <w:gridSpan w:val="7"/>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46A63" w:rsidRPr="00A502D7" w:rsidRDefault="00A46A63" w:rsidP="00E22A51">
            <w:pPr>
              <w:pStyle w:val="Default"/>
              <w:jc w:val="both"/>
              <w:rPr>
                <w:rFonts w:asciiTheme="minorHAnsi" w:hAnsiTheme="minorHAnsi"/>
                <w:szCs w:val="20"/>
                <w:lang w:val="es-ES_tradnl"/>
              </w:rPr>
            </w:pPr>
            <w:r w:rsidRPr="00A502D7">
              <w:rPr>
                <w:rFonts w:asciiTheme="minorHAnsi" w:hAnsiTheme="minorHAnsi"/>
                <w:szCs w:val="20"/>
                <w:lang w:val="es-ES_tradnl"/>
              </w:rPr>
              <w:t>Pavimento granular</w:t>
            </w:r>
          </w:p>
        </w:tc>
      </w:tr>
      <w:tr w:rsidR="00A46A63" w:rsidRPr="00A502D7" w:rsidTr="0079272D">
        <w:trPr>
          <w:trHeight w:val="288"/>
        </w:trPr>
        <w:tc>
          <w:tcPr>
            <w:tcW w:w="2781" w:type="dxa"/>
            <w:tcBorders>
              <w:top w:val="single" w:sz="8" w:space="0" w:color="auto"/>
              <w:left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5.1 y 7.1</w:t>
            </w:r>
          </w:p>
        </w:tc>
        <w:tc>
          <w:tcPr>
            <w:tcW w:w="810" w:type="dxa"/>
            <w:tcBorders>
              <w:top w:val="single" w:sz="8" w:space="0" w:color="auto"/>
              <w:left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9,0</w:t>
            </w:r>
          </w:p>
        </w:tc>
        <w:tc>
          <w:tcPr>
            <w:tcW w:w="1260" w:type="dxa"/>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szCs w:val="20"/>
                <w:lang w:val="es-ES_tradnl"/>
              </w:rPr>
            </w:pPr>
            <w:r w:rsidRPr="00A502D7">
              <w:rPr>
                <w:rFonts w:asciiTheme="minorHAnsi" w:hAnsiTheme="minorHAnsi"/>
                <w:szCs w:val="20"/>
                <w:lang w:val="es-ES_tradnl"/>
              </w:rPr>
              <w:t>203.939</w:t>
            </w:r>
          </w:p>
        </w:tc>
        <w:tc>
          <w:tcPr>
            <w:tcW w:w="900" w:type="dxa"/>
            <w:vMerge w:val="restart"/>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szCs w:val="20"/>
                <w:lang w:val="es-ES_tradnl"/>
              </w:rPr>
            </w:pPr>
            <w:r w:rsidRPr="00A502D7">
              <w:rPr>
                <w:rFonts w:asciiTheme="minorHAnsi" w:hAnsiTheme="minorHAnsi"/>
                <w:szCs w:val="20"/>
                <w:lang w:val="es-ES_tradnl"/>
              </w:rPr>
              <w:t>17,7%</w:t>
            </w:r>
          </w:p>
        </w:tc>
        <w:tc>
          <w:tcPr>
            <w:tcW w:w="990" w:type="dxa"/>
            <w:vMerge w:val="restart"/>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szCs w:val="20"/>
                <w:lang w:val="es-ES_tradnl"/>
              </w:rPr>
            </w:pPr>
            <w:r w:rsidRPr="00A502D7">
              <w:rPr>
                <w:rFonts w:asciiTheme="minorHAnsi" w:hAnsiTheme="minorHAnsi"/>
                <w:szCs w:val="20"/>
                <w:lang w:val="es-ES_tradnl"/>
              </w:rPr>
              <w:t>12,5%</w:t>
            </w:r>
          </w:p>
        </w:tc>
        <w:tc>
          <w:tcPr>
            <w:tcW w:w="900" w:type="dxa"/>
            <w:vMerge w:val="restart"/>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szCs w:val="20"/>
                <w:lang w:val="es-ES_tradnl"/>
              </w:rPr>
            </w:pPr>
            <w:r w:rsidRPr="00A502D7">
              <w:rPr>
                <w:rFonts w:asciiTheme="minorHAnsi" w:hAnsiTheme="minorHAnsi"/>
                <w:szCs w:val="20"/>
                <w:lang w:val="es-ES_tradnl"/>
              </w:rPr>
              <w:t>14,6%</w:t>
            </w:r>
          </w:p>
        </w:tc>
        <w:tc>
          <w:tcPr>
            <w:tcW w:w="990" w:type="dxa"/>
            <w:vMerge w:val="restart"/>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szCs w:val="20"/>
                <w:lang w:val="es-ES_tradnl"/>
              </w:rPr>
            </w:pPr>
            <w:r w:rsidRPr="00A502D7">
              <w:rPr>
                <w:rFonts w:asciiTheme="minorHAnsi" w:hAnsiTheme="minorHAnsi"/>
                <w:szCs w:val="20"/>
                <w:lang w:val="es-ES_tradnl"/>
              </w:rPr>
              <w:t>13,2%</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8</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4,0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108.356</w:t>
            </w:r>
          </w:p>
        </w:tc>
        <w:tc>
          <w:tcPr>
            <w:tcW w:w="900" w:type="dxa"/>
            <w:vMerge/>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p>
        </w:tc>
        <w:tc>
          <w:tcPr>
            <w:tcW w:w="990" w:type="dxa"/>
            <w:vMerge/>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p>
        </w:tc>
        <w:tc>
          <w:tcPr>
            <w:tcW w:w="900" w:type="dxa"/>
            <w:vMerge/>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p>
        </w:tc>
        <w:tc>
          <w:tcPr>
            <w:tcW w:w="990" w:type="dxa"/>
            <w:vMerge/>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p>
        </w:tc>
      </w:tr>
      <w:tr w:rsidR="00A46A63" w:rsidRPr="00A502D7" w:rsidTr="0079272D">
        <w:trPr>
          <w:trHeight w:val="288"/>
        </w:trPr>
        <w:tc>
          <w:tcPr>
            <w:tcW w:w="8631" w:type="dxa"/>
            <w:gridSpan w:val="7"/>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Estabilizados granulares</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197</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30,1</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716.770</w:t>
            </w:r>
          </w:p>
        </w:tc>
        <w:tc>
          <w:tcPr>
            <w:tcW w:w="900" w:type="dxa"/>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22,9%</w:t>
            </w:r>
          </w:p>
        </w:tc>
        <w:tc>
          <w:tcPr>
            <w:tcW w:w="990" w:type="dxa"/>
            <w:tcBorders>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16,5%</w:t>
            </w:r>
          </w:p>
        </w:tc>
        <w:tc>
          <w:tcPr>
            <w:tcW w:w="900" w:type="dxa"/>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17,9%</w:t>
            </w:r>
          </w:p>
        </w:tc>
        <w:tc>
          <w:tcPr>
            <w:tcW w:w="990" w:type="dxa"/>
            <w:tcBorders>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18,8%</w:t>
            </w:r>
          </w:p>
        </w:tc>
      </w:tr>
      <w:tr w:rsidR="00A46A63" w:rsidRPr="00A502D7" w:rsidTr="0079272D">
        <w:trPr>
          <w:trHeight w:val="288"/>
        </w:trPr>
        <w:tc>
          <w:tcPr>
            <w:tcW w:w="8631" w:type="dxa"/>
            <w:gridSpan w:val="7"/>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Tratamientos bituminosos</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r w:rsidRPr="00A502D7">
              <w:rPr>
                <w:rFonts w:asciiTheme="minorHAnsi" w:hAnsiTheme="minorHAnsi"/>
                <w:szCs w:val="20"/>
                <w:lang w:val="es-ES_tradnl"/>
              </w:rPr>
              <w:t>Arco del Sol</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18,0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1.738.975</w:t>
            </w: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17,7%</w:t>
            </w:r>
          </w:p>
        </w:tc>
        <w:tc>
          <w:tcPr>
            <w:tcW w:w="990" w:type="dxa"/>
            <w:tcBorders>
              <w:top w:val="single" w:sz="8" w:space="0" w:color="auto"/>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15,2%</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12,8%</w:t>
            </w:r>
          </w:p>
        </w:tc>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14,2%</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114</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16,0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2.225.400</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21,7%</w:t>
            </w:r>
          </w:p>
        </w:tc>
        <w:tc>
          <w:tcPr>
            <w:tcW w:w="990" w:type="dxa"/>
            <w:tcBorders>
              <w:top w:val="single" w:sz="8" w:space="0" w:color="auto"/>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18.1%</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15.7%</w:t>
            </w:r>
          </w:p>
        </w:tc>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17.0%</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161 y 162</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21,0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2.951.333</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22.2%</w:t>
            </w:r>
          </w:p>
        </w:tc>
        <w:tc>
          <w:tcPr>
            <w:tcW w:w="990" w:type="dxa"/>
            <w:tcBorders>
              <w:top w:val="single" w:sz="8" w:space="0" w:color="auto"/>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18.7%</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16.5%</w:t>
            </w:r>
          </w:p>
        </w:tc>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17.6%</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329 y 335 (San José)</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15,0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1.471.310</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28.7%</w:t>
            </w:r>
          </w:p>
        </w:tc>
        <w:tc>
          <w:tcPr>
            <w:tcW w:w="990" w:type="dxa"/>
            <w:tcBorders>
              <w:top w:val="single" w:sz="8" w:space="0" w:color="auto"/>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24.3%</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21.6%</w:t>
            </w:r>
          </w:p>
        </w:tc>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23.0%</w:t>
            </w:r>
          </w:p>
        </w:tc>
      </w:tr>
      <w:tr w:rsidR="00A46A63" w:rsidRPr="00A502D7" w:rsidTr="0079272D">
        <w:trPr>
          <w:trHeight w:val="288"/>
        </w:trPr>
        <w:tc>
          <w:tcPr>
            <w:tcW w:w="8631" w:type="dxa"/>
            <w:gridSpan w:val="7"/>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Carpeta asfáltica</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150, 170 y 171</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31,0</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7.741.195</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17.4%</w:t>
            </w:r>
          </w:p>
        </w:tc>
        <w:tc>
          <w:tcPr>
            <w:tcW w:w="990" w:type="dxa"/>
            <w:tcBorders>
              <w:top w:val="single" w:sz="8" w:space="0" w:color="auto"/>
              <w:left w:val="single" w:sz="8" w:space="0" w:color="auto"/>
              <w:bottom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14.6%</w:t>
            </w:r>
          </w:p>
        </w:tc>
        <w:tc>
          <w:tcPr>
            <w:tcW w:w="90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12.6%</w:t>
            </w:r>
          </w:p>
        </w:tc>
        <w:tc>
          <w:tcPr>
            <w:tcW w:w="99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13.6%</w:t>
            </w:r>
          </w:p>
        </w:tc>
      </w:tr>
      <w:tr w:rsidR="00A46A63" w:rsidRPr="00A502D7" w:rsidTr="0079272D">
        <w:trPr>
          <w:trHeight w:val="288"/>
        </w:trPr>
        <w:tc>
          <w:tcPr>
            <w:tcW w:w="278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93"/>
              <w:jc w:val="both"/>
              <w:rPr>
                <w:rFonts w:asciiTheme="minorHAnsi" w:hAnsiTheme="minorHAnsi"/>
                <w:szCs w:val="20"/>
                <w:lang w:val="es-ES_tradnl"/>
              </w:rPr>
            </w:pPr>
            <w:proofErr w:type="spellStart"/>
            <w:r w:rsidRPr="00A502D7">
              <w:rPr>
                <w:rFonts w:asciiTheme="minorHAnsi" w:hAnsiTheme="minorHAnsi"/>
                <w:szCs w:val="20"/>
                <w:lang w:val="es-ES_tradnl"/>
              </w:rPr>
              <w:t>Tr</w:t>
            </w:r>
            <w:proofErr w:type="spellEnd"/>
            <w:r w:rsidRPr="00A502D7">
              <w:rPr>
                <w:rFonts w:asciiTheme="minorHAnsi" w:hAnsiTheme="minorHAnsi"/>
                <w:szCs w:val="20"/>
                <w:lang w:val="es-ES_tradnl"/>
              </w:rPr>
              <w:t>. 194</w:t>
            </w:r>
          </w:p>
        </w:tc>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6A63" w:rsidRPr="00A502D7" w:rsidRDefault="00A46A63" w:rsidP="00E22A51">
            <w:pPr>
              <w:pStyle w:val="Default"/>
              <w:ind w:left="-88" w:right="-140"/>
              <w:jc w:val="both"/>
              <w:rPr>
                <w:rFonts w:asciiTheme="minorHAnsi" w:hAnsiTheme="minorHAnsi"/>
                <w:szCs w:val="20"/>
                <w:lang w:val="es-ES_tradnl"/>
              </w:rPr>
            </w:pPr>
            <w:r w:rsidRPr="00A502D7">
              <w:rPr>
                <w:rFonts w:asciiTheme="minorHAnsi" w:hAnsiTheme="minorHAnsi"/>
                <w:szCs w:val="20"/>
                <w:lang w:val="es-ES_tradnl"/>
              </w:rPr>
              <w:t>20,6</w:t>
            </w: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tcPr>
          <w:p w:rsidR="00A46A63" w:rsidRPr="00A502D7" w:rsidRDefault="00A46A63" w:rsidP="00E22A51">
            <w:pPr>
              <w:pStyle w:val="Default"/>
              <w:tabs>
                <w:tab w:val="right" w:pos="-10008"/>
              </w:tabs>
              <w:ind w:right="93"/>
              <w:jc w:val="both"/>
              <w:rPr>
                <w:rFonts w:asciiTheme="minorHAnsi" w:hAnsiTheme="minorHAnsi"/>
                <w:color w:val="auto"/>
                <w:szCs w:val="20"/>
                <w:lang w:val="es-ES_tradnl"/>
              </w:rPr>
            </w:pPr>
            <w:r w:rsidRPr="00A502D7">
              <w:rPr>
                <w:rFonts w:asciiTheme="minorHAnsi" w:hAnsiTheme="minorHAnsi"/>
                <w:color w:val="auto"/>
                <w:szCs w:val="20"/>
                <w:lang w:val="es-ES_tradnl"/>
              </w:rPr>
              <w:t>5.085.471</w:t>
            </w:r>
          </w:p>
        </w:tc>
        <w:tc>
          <w:tcPr>
            <w:tcW w:w="900" w:type="dxa"/>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20.7%</w:t>
            </w:r>
          </w:p>
        </w:tc>
        <w:tc>
          <w:tcPr>
            <w:tcW w:w="990" w:type="dxa"/>
            <w:tcBorders>
              <w:top w:val="single" w:sz="8" w:space="0" w:color="auto"/>
              <w:left w:val="single" w:sz="8" w:space="0" w:color="auto"/>
              <w:right w:val="single" w:sz="8" w:space="0" w:color="auto"/>
            </w:tcBorders>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17.5%</w:t>
            </w:r>
          </w:p>
        </w:tc>
        <w:tc>
          <w:tcPr>
            <w:tcW w:w="900" w:type="dxa"/>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15.4%</w:t>
            </w:r>
          </w:p>
        </w:tc>
        <w:tc>
          <w:tcPr>
            <w:tcW w:w="990" w:type="dxa"/>
            <w:tcBorders>
              <w:top w:val="single" w:sz="8" w:space="0" w:color="auto"/>
              <w:left w:val="single" w:sz="8" w:space="0" w:color="auto"/>
              <w:right w:val="single" w:sz="8" w:space="0" w:color="auto"/>
            </w:tcBorders>
            <w:shd w:val="clear" w:color="auto" w:fill="auto"/>
            <w:vAlign w:val="center"/>
          </w:tcPr>
          <w:p w:rsidR="00A46A63" w:rsidRPr="00A502D7" w:rsidRDefault="00A46A63" w:rsidP="00E22A51">
            <w:pPr>
              <w:pStyle w:val="Default"/>
              <w:jc w:val="both"/>
              <w:rPr>
                <w:rFonts w:asciiTheme="minorHAnsi" w:hAnsiTheme="minorHAnsi"/>
                <w:color w:val="auto"/>
                <w:szCs w:val="20"/>
                <w:lang w:val="es-ES_tradnl"/>
              </w:rPr>
            </w:pPr>
            <w:r w:rsidRPr="00A502D7">
              <w:rPr>
                <w:rFonts w:asciiTheme="minorHAnsi" w:hAnsiTheme="minorHAnsi"/>
                <w:color w:val="auto"/>
                <w:szCs w:val="20"/>
                <w:lang w:val="es-ES_tradnl"/>
              </w:rPr>
              <w:t>16.6%</w:t>
            </w:r>
          </w:p>
        </w:tc>
      </w:tr>
      <w:tr w:rsidR="00A46A63" w:rsidRPr="00A502D7" w:rsidTr="00792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4"/>
        </w:trPr>
        <w:tc>
          <w:tcPr>
            <w:tcW w:w="4851" w:type="dxa"/>
            <w:gridSpan w:val="3"/>
            <w:tcBorders>
              <w:left w:val="nil"/>
              <w:bottom w:val="nil"/>
              <w:right w:val="nil"/>
            </w:tcBorders>
            <w:vAlign w:val="center"/>
          </w:tcPr>
          <w:p w:rsidR="00A46A63" w:rsidRPr="00A502D7" w:rsidRDefault="00A46A63" w:rsidP="00E22A51">
            <w:pPr>
              <w:pStyle w:val="Default"/>
              <w:jc w:val="both"/>
              <w:rPr>
                <w:rFonts w:asciiTheme="minorHAnsi" w:hAnsiTheme="minorHAnsi"/>
                <w:b/>
                <w:sz w:val="12"/>
                <w:szCs w:val="12"/>
              </w:rPr>
            </w:pPr>
          </w:p>
        </w:tc>
        <w:tc>
          <w:tcPr>
            <w:tcW w:w="900" w:type="dxa"/>
            <w:tcBorders>
              <w:left w:val="nil"/>
              <w:bottom w:val="nil"/>
              <w:right w:val="nil"/>
            </w:tcBorders>
            <w:vAlign w:val="center"/>
          </w:tcPr>
          <w:p w:rsidR="00A46A63" w:rsidRPr="00A502D7" w:rsidRDefault="00A46A63" w:rsidP="00E22A51">
            <w:pPr>
              <w:pStyle w:val="Default"/>
              <w:jc w:val="both"/>
              <w:rPr>
                <w:rFonts w:asciiTheme="minorHAnsi" w:hAnsiTheme="minorHAnsi"/>
                <w:sz w:val="12"/>
                <w:szCs w:val="12"/>
                <w:lang w:val="es-ES_tradnl"/>
              </w:rPr>
            </w:pPr>
          </w:p>
        </w:tc>
        <w:tc>
          <w:tcPr>
            <w:tcW w:w="990" w:type="dxa"/>
            <w:tcBorders>
              <w:left w:val="nil"/>
              <w:bottom w:val="nil"/>
              <w:right w:val="nil"/>
            </w:tcBorders>
          </w:tcPr>
          <w:p w:rsidR="00A46A63" w:rsidRPr="00A502D7" w:rsidRDefault="00A46A63" w:rsidP="00E22A51">
            <w:pPr>
              <w:pStyle w:val="Default"/>
              <w:jc w:val="both"/>
              <w:rPr>
                <w:rFonts w:asciiTheme="minorHAnsi" w:hAnsiTheme="minorHAnsi"/>
                <w:sz w:val="12"/>
                <w:szCs w:val="12"/>
                <w:lang w:val="es-ES_tradnl"/>
              </w:rPr>
            </w:pPr>
          </w:p>
        </w:tc>
        <w:tc>
          <w:tcPr>
            <w:tcW w:w="900" w:type="dxa"/>
            <w:tcBorders>
              <w:left w:val="nil"/>
              <w:bottom w:val="nil"/>
              <w:right w:val="nil"/>
            </w:tcBorders>
            <w:vAlign w:val="center"/>
          </w:tcPr>
          <w:p w:rsidR="00A46A63" w:rsidRPr="00A502D7" w:rsidRDefault="00A46A63" w:rsidP="00E22A51">
            <w:pPr>
              <w:pStyle w:val="Default"/>
              <w:jc w:val="both"/>
              <w:rPr>
                <w:rFonts w:asciiTheme="minorHAnsi" w:hAnsiTheme="minorHAnsi"/>
                <w:sz w:val="12"/>
                <w:szCs w:val="12"/>
                <w:lang w:val="es-ES_tradnl"/>
              </w:rPr>
            </w:pPr>
          </w:p>
        </w:tc>
        <w:tc>
          <w:tcPr>
            <w:tcW w:w="990" w:type="dxa"/>
            <w:tcBorders>
              <w:left w:val="nil"/>
              <w:bottom w:val="nil"/>
              <w:right w:val="nil"/>
            </w:tcBorders>
            <w:vAlign w:val="center"/>
          </w:tcPr>
          <w:p w:rsidR="00A46A63" w:rsidRPr="00A502D7" w:rsidRDefault="00A46A63" w:rsidP="00E22A51">
            <w:pPr>
              <w:pStyle w:val="Default"/>
              <w:jc w:val="both"/>
              <w:rPr>
                <w:rFonts w:asciiTheme="minorHAnsi" w:hAnsiTheme="minorHAnsi"/>
                <w:sz w:val="12"/>
                <w:szCs w:val="12"/>
                <w:lang w:val="es-ES_tradnl"/>
              </w:rPr>
            </w:pPr>
          </w:p>
        </w:tc>
      </w:tr>
    </w:tbl>
    <w:p w:rsidR="00A46A63" w:rsidRPr="00A46A63" w:rsidRDefault="00A46A63" w:rsidP="00E22A51">
      <w:pPr>
        <w:jc w:val="both"/>
        <w:rPr>
          <w:lang w:val="es-ES_tradnl"/>
        </w:rPr>
      </w:pPr>
    </w:p>
    <w:sectPr w:rsidR="00A46A63" w:rsidRPr="00A46A63" w:rsidSect="00A502D7">
      <w:pgSz w:w="12240" w:h="15840" w:code="1"/>
      <w:pgMar w:top="1135"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95" w:rsidRDefault="00CC3495" w:rsidP="00A46A63">
      <w:pPr>
        <w:spacing w:after="0" w:line="240" w:lineRule="auto"/>
      </w:pPr>
      <w:r>
        <w:separator/>
      </w:r>
    </w:p>
  </w:endnote>
  <w:endnote w:type="continuationSeparator" w:id="0">
    <w:p w:rsidR="00CC3495" w:rsidRDefault="00CC3495" w:rsidP="00A46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95" w:rsidRDefault="00CC3495" w:rsidP="00A46A63">
      <w:pPr>
        <w:spacing w:after="0" w:line="240" w:lineRule="auto"/>
      </w:pPr>
      <w:r>
        <w:separator/>
      </w:r>
    </w:p>
  </w:footnote>
  <w:footnote w:type="continuationSeparator" w:id="0">
    <w:p w:rsidR="00CC3495" w:rsidRDefault="00CC3495" w:rsidP="00A46A63">
      <w:pPr>
        <w:spacing w:after="0" w:line="240" w:lineRule="auto"/>
      </w:pPr>
      <w:r>
        <w:continuationSeparator/>
      </w:r>
    </w:p>
  </w:footnote>
  <w:footnote w:id="1">
    <w:p w:rsidR="00A46A63" w:rsidRPr="00A12A58" w:rsidRDefault="00A46A63" w:rsidP="00A46A63">
      <w:pPr>
        <w:pStyle w:val="Textonotapie"/>
      </w:pPr>
      <w:r>
        <w:rPr>
          <w:rStyle w:val="Refdenotaalpie"/>
        </w:rPr>
        <w:footnoteRef/>
      </w:r>
      <w:r w:rsidRPr="00E9522B">
        <w:tab/>
      </w:r>
      <w:r w:rsidRPr="00E9522B">
        <w:rPr>
          <w:rFonts w:cs="Arial"/>
          <w:szCs w:val="18"/>
          <w:lang w:val="es-ES"/>
        </w:rPr>
        <w:t>La herramienta de análisis de proyectos de HDM4 permite estudiar la viabilidad de ingeniería</w:t>
      </w:r>
      <w:r>
        <w:rPr>
          <w:rFonts w:cs="Arial"/>
          <w:szCs w:val="18"/>
          <w:lang w:val="es-ES"/>
        </w:rPr>
        <w:t xml:space="preserve"> </w:t>
      </w:r>
      <w:r w:rsidRPr="00E9522B">
        <w:rPr>
          <w:rFonts w:cs="Arial"/>
          <w:szCs w:val="18"/>
          <w:lang w:val="es-ES"/>
        </w:rPr>
        <w:t xml:space="preserve">y estimar el valor económico </w:t>
      </w:r>
      <w:r>
        <w:rPr>
          <w:rFonts w:cs="Arial"/>
          <w:szCs w:val="18"/>
          <w:lang w:val="es-ES"/>
        </w:rPr>
        <w:t>de la inversión en un proyecto vial considerando el ciclo completo de desempeño de un pavimento, incluyendo su estrategia y costos de mantenimiento e identificando los beneficios en los costos de los usuarios y los efectos ambientales por las mejoras introducidas por el proyecto. El modelo permite realizar el análisis de sensibilidad de las variables clave para investigar el impacto de estas sobre los resultados del análisis.</w:t>
      </w:r>
    </w:p>
  </w:footnote>
  <w:footnote w:id="2">
    <w:p w:rsidR="00A46A63" w:rsidRDefault="00A46A63" w:rsidP="00A46A63">
      <w:pPr>
        <w:pStyle w:val="Textonotapie"/>
      </w:pPr>
      <w:r>
        <w:rPr>
          <w:rStyle w:val="Refdenotaalpie"/>
        </w:rPr>
        <w:footnoteRef/>
      </w:r>
      <w:r>
        <w:tab/>
        <w:t>Según la experiencia recabada por la Corporación Nacional para el Desarrollo (CND) en la estructuración de proyectos de Participación Público Privada, el costo final de las obras viales se estima 17% superior al costo de oficina inicialmente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548239C2"/>
    <w:multiLevelType w:val="hybridMultilevel"/>
    <w:tmpl w:val="177A101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FCE"/>
    <w:rsid w:val="0003270E"/>
    <w:rsid w:val="000770E3"/>
    <w:rsid w:val="00097D65"/>
    <w:rsid w:val="00150E58"/>
    <w:rsid w:val="00162E8B"/>
    <w:rsid w:val="00193C7C"/>
    <w:rsid w:val="001E311F"/>
    <w:rsid w:val="00233EBF"/>
    <w:rsid w:val="002A6C05"/>
    <w:rsid w:val="002B4956"/>
    <w:rsid w:val="00397E1D"/>
    <w:rsid w:val="003B57E9"/>
    <w:rsid w:val="003F5AC7"/>
    <w:rsid w:val="004D7FCE"/>
    <w:rsid w:val="0052555D"/>
    <w:rsid w:val="00532405"/>
    <w:rsid w:val="0055170B"/>
    <w:rsid w:val="0056781C"/>
    <w:rsid w:val="005D42AF"/>
    <w:rsid w:val="00752AFD"/>
    <w:rsid w:val="00814AAF"/>
    <w:rsid w:val="00831545"/>
    <w:rsid w:val="00841911"/>
    <w:rsid w:val="00882915"/>
    <w:rsid w:val="0095564C"/>
    <w:rsid w:val="00955A64"/>
    <w:rsid w:val="0095620A"/>
    <w:rsid w:val="00A0673A"/>
    <w:rsid w:val="00A46A63"/>
    <w:rsid w:val="00A502D7"/>
    <w:rsid w:val="00AB798A"/>
    <w:rsid w:val="00B161E5"/>
    <w:rsid w:val="00B86F10"/>
    <w:rsid w:val="00C45BDD"/>
    <w:rsid w:val="00CC3495"/>
    <w:rsid w:val="00CE1FC8"/>
    <w:rsid w:val="00E22A51"/>
    <w:rsid w:val="00E562B9"/>
    <w:rsid w:val="00F830AE"/>
    <w:rsid w:val="00FE2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42628B-8626-47B7-8BF9-ADEAF38E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D7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D7FCE"/>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A46A63"/>
    <w:pPr>
      <w:autoSpaceDE w:val="0"/>
      <w:autoSpaceDN w:val="0"/>
      <w:adjustRightInd w:val="0"/>
      <w:spacing w:after="0" w:line="240" w:lineRule="auto"/>
    </w:pPr>
    <w:rPr>
      <w:rFonts w:ascii="Arial" w:hAnsi="Arial" w:cs="Arial"/>
      <w:color w:val="000000"/>
      <w:sz w:val="20"/>
      <w:szCs w:val="24"/>
    </w:rPr>
  </w:style>
  <w:style w:type="paragraph" w:styleId="Descripcin">
    <w:name w:val="caption"/>
    <w:basedOn w:val="Normal"/>
    <w:next w:val="Normal"/>
    <w:uiPriority w:val="35"/>
    <w:unhideWhenUsed/>
    <w:qFormat/>
    <w:rsid w:val="00A46A63"/>
    <w:pPr>
      <w:spacing w:before="120" w:after="60" w:line="240" w:lineRule="auto"/>
      <w:ind w:left="86"/>
      <w:jc w:val="center"/>
    </w:pPr>
    <w:rPr>
      <w:rFonts w:ascii="Arial" w:eastAsia="Times New Roman" w:hAnsi="Arial" w:cs="Times New Roman"/>
      <w:b/>
      <w:bCs/>
      <w:sz w:val="20"/>
      <w:szCs w:val="18"/>
      <w:lang w:val="es-ES_tradnl"/>
    </w:rPr>
  </w:style>
  <w:style w:type="paragraph" w:customStyle="1" w:styleId="Chapter">
    <w:name w:val="Chapter"/>
    <w:basedOn w:val="Normal"/>
    <w:next w:val="Normal"/>
    <w:rsid w:val="00A46A63"/>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styleId="Textonotapie">
    <w:name w:val="footnote text"/>
    <w:aliases w:val="fn,FOOTNOTES,single space,footnote text,Footnote Text Char Char,footnote,Texto nota pie IIRSA,Texto de rodapé,nota_rodapé,nota de rodapé,texto de nota al pie,Texto nota pie Car Car Car Car Car Car Car Car,foottextfra,F"/>
    <w:basedOn w:val="Normal"/>
    <w:link w:val="TextonotapieCar"/>
    <w:rsid w:val="00A46A63"/>
    <w:pPr>
      <w:keepNext/>
      <w:keepLines/>
      <w:spacing w:after="60" w:line="240" w:lineRule="auto"/>
      <w:ind w:left="216" w:hanging="216"/>
      <w:jc w:val="both"/>
    </w:pPr>
    <w:rPr>
      <w:rFonts w:ascii="Arial" w:eastAsia="Times New Roman" w:hAnsi="Arial" w:cs="Times New Roman"/>
      <w:spacing w:val="-3"/>
      <w:sz w:val="18"/>
      <w:szCs w:val="20"/>
      <w:lang w:val="es-ES_tradnl"/>
    </w:rPr>
  </w:style>
  <w:style w:type="character" w:customStyle="1" w:styleId="TextonotapieCar">
    <w:name w:val="Texto nota pie Car"/>
    <w:aliases w:val="fn Car,FOOTNOTES Car,single space Car,footnote text Car,Footnote Text Char Char Car,footnote Car,Texto nota pie IIRSA Car,Texto de rodapé Car,nota_rodapé Car,nota de rodapé Car,texto de nota al pie Car,foottextfra Car,F Car"/>
    <w:basedOn w:val="Fuentedeprrafopredeter"/>
    <w:link w:val="Textonotapie"/>
    <w:rsid w:val="00A46A63"/>
    <w:rPr>
      <w:rFonts w:ascii="Arial" w:eastAsia="Times New Roman" w:hAnsi="Arial" w:cs="Times New Roman"/>
      <w:spacing w:val="-3"/>
      <w:sz w:val="18"/>
      <w:szCs w:val="20"/>
      <w:lang w:val="es-ES_tradnl"/>
    </w:rPr>
  </w:style>
  <w:style w:type="paragraph" w:customStyle="1" w:styleId="Paragraph">
    <w:name w:val="Paragraph"/>
    <w:aliases w:val="paragraph,p,PARAGRAPH,PG,pa,at"/>
    <w:basedOn w:val="Sangradetextonormal"/>
    <w:link w:val="ParagraphCar"/>
    <w:qFormat/>
    <w:rsid w:val="00A46A63"/>
    <w:pPr>
      <w:numPr>
        <w:ilvl w:val="1"/>
        <w:numId w:val="1"/>
      </w:numPr>
      <w:spacing w:before="120" w:line="240" w:lineRule="auto"/>
      <w:jc w:val="both"/>
      <w:outlineLvl w:val="1"/>
    </w:pPr>
    <w:rPr>
      <w:rFonts w:ascii="Arial" w:eastAsia="Times New Roman" w:hAnsi="Arial" w:cs="Times New Roman"/>
      <w:szCs w:val="20"/>
      <w:lang w:val="es-ES"/>
    </w:rPr>
  </w:style>
  <w:style w:type="paragraph" w:customStyle="1" w:styleId="subpar">
    <w:name w:val="subpar"/>
    <w:basedOn w:val="Sangra3detindependiente"/>
    <w:rsid w:val="00A46A63"/>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46A63"/>
    <w:pPr>
      <w:numPr>
        <w:ilvl w:val="3"/>
      </w:numPr>
      <w:tabs>
        <w:tab w:val="clear" w:pos="2736"/>
        <w:tab w:val="left" w:pos="0"/>
        <w:tab w:val="num" w:pos="360"/>
        <w:tab w:val="num" w:pos="1152"/>
        <w:tab w:val="num" w:pos="1296"/>
      </w:tabs>
      <w:ind w:left="1296"/>
    </w:pPr>
  </w:style>
  <w:style w:type="character" w:styleId="Refdenotaalpie">
    <w:name w:val="footnote reference"/>
    <w:aliases w:val="titulo 2,Style 24,pie pddes,referencia nota al pie,Fußnotenzeichen DISS,16 Point,Superscript 6 Point,ftref,FC"/>
    <w:basedOn w:val="Fuentedeprrafopredeter"/>
    <w:uiPriority w:val="99"/>
    <w:rsid w:val="00A46A63"/>
    <w:rPr>
      <w:rFonts w:ascii="Arial" w:hAnsi="Arial"/>
      <w:sz w:val="18"/>
      <w:vertAlign w:val="superscript"/>
    </w:rPr>
  </w:style>
  <w:style w:type="character" w:customStyle="1" w:styleId="ParagraphCar">
    <w:name w:val="Paragraph Car"/>
    <w:link w:val="Paragraph"/>
    <w:rsid w:val="00A46A63"/>
    <w:rPr>
      <w:rFonts w:ascii="Arial" w:eastAsia="Times New Roman" w:hAnsi="Arial" w:cs="Times New Roman"/>
      <w:szCs w:val="20"/>
      <w:lang w:val="es-ES"/>
    </w:rPr>
  </w:style>
  <w:style w:type="paragraph" w:styleId="Sangradetextonormal">
    <w:name w:val="Body Text Indent"/>
    <w:basedOn w:val="Normal"/>
    <w:link w:val="SangradetextonormalCar"/>
    <w:uiPriority w:val="99"/>
    <w:semiHidden/>
    <w:unhideWhenUsed/>
    <w:rsid w:val="00A46A63"/>
    <w:pPr>
      <w:spacing w:after="120"/>
      <w:ind w:left="360"/>
    </w:pPr>
  </w:style>
  <w:style w:type="character" w:customStyle="1" w:styleId="SangradetextonormalCar">
    <w:name w:val="Sangría de texto normal Car"/>
    <w:basedOn w:val="Fuentedeprrafopredeter"/>
    <w:link w:val="Sangradetextonormal"/>
    <w:uiPriority w:val="99"/>
    <w:semiHidden/>
    <w:rsid w:val="00A46A63"/>
  </w:style>
  <w:style w:type="paragraph" w:styleId="Sangra3detindependiente">
    <w:name w:val="Body Text Indent 3"/>
    <w:basedOn w:val="Normal"/>
    <w:link w:val="Sangra3detindependienteCar"/>
    <w:uiPriority w:val="99"/>
    <w:semiHidden/>
    <w:unhideWhenUsed/>
    <w:rsid w:val="00A46A63"/>
    <w:pPr>
      <w:spacing w:after="120"/>
      <w:ind w:left="360"/>
    </w:pPr>
    <w:rPr>
      <w:sz w:val="16"/>
      <w:szCs w:val="16"/>
    </w:rPr>
  </w:style>
  <w:style w:type="character" w:customStyle="1" w:styleId="Sangra3detindependienteCar">
    <w:name w:val="Sangría 3 de t. independiente Car"/>
    <w:basedOn w:val="Fuentedeprrafopredeter"/>
    <w:link w:val="Sangra3detindependiente"/>
    <w:uiPriority w:val="99"/>
    <w:semiHidden/>
    <w:rsid w:val="00A46A63"/>
    <w:rPr>
      <w:sz w:val="16"/>
      <w:szCs w:val="16"/>
    </w:rPr>
  </w:style>
  <w:style w:type="paragraph" w:styleId="Prrafodelista">
    <w:name w:val="List Paragraph"/>
    <w:basedOn w:val="Normal"/>
    <w:uiPriority w:val="34"/>
    <w:qFormat/>
    <w:rsid w:val="001E31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12153">
      <w:bodyDiv w:val="1"/>
      <w:marLeft w:val="0"/>
      <w:marRight w:val="0"/>
      <w:marTop w:val="0"/>
      <w:marBottom w:val="0"/>
      <w:divBdr>
        <w:top w:val="none" w:sz="0" w:space="0" w:color="auto"/>
        <w:left w:val="none" w:sz="0" w:space="0" w:color="auto"/>
        <w:bottom w:val="none" w:sz="0" w:space="0" w:color="auto"/>
        <w:right w:val="none" w:sz="0" w:space="0" w:color="auto"/>
      </w:divBdr>
    </w:div>
    <w:div w:id="1085347213">
      <w:bodyDiv w:val="1"/>
      <w:marLeft w:val="0"/>
      <w:marRight w:val="0"/>
      <w:marTop w:val="0"/>
      <w:marBottom w:val="0"/>
      <w:divBdr>
        <w:top w:val="none" w:sz="0" w:space="0" w:color="auto"/>
        <w:left w:val="none" w:sz="0" w:space="0" w:color="auto"/>
        <w:bottom w:val="none" w:sz="0" w:space="0" w:color="auto"/>
        <w:right w:val="none" w:sz="0" w:space="0" w:color="auto"/>
      </w:divBdr>
    </w:div>
    <w:div w:id="1440028739">
      <w:bodyDiv w:val="1"/>
      <w:marLeft w:val="0"/>
      <w:marRight w:val="0"/>
      <w:marTop w:val="0"/>
      <w:marBottom w:val="0"/>
      <w:divBdr>
        <w:top w:val="none" w:sz="0" w:space="0" w:color="auto"/>
        <w:left w:val="none" w:sz="0" w:space="0" w:color="auto"/>
        <w:bottom w:val="none" w:sz="0" w:space="0" w:color="auto"/>
        <w:right w:val="none" w:sz="0" w:space="0" w:color="auto"/>
      </w:divBdr>
    </w:div>
    <w:div w:id="1840467010">
      <w:bodyDiv w:val="1"/>
      <w:marLeft w:val="0"/>
      <w:marRight w:val="0"/>
      <w:marTop w:val="0"/>
      <w:marBottom w:val="0"/>
      <w:divBdr>
        <w:top w:val="none" w:sz="0" w:space="0" w:color="auto"/>
        <w:left w:val="none" w:sz="0" w:space="0" w:color="auto"/>
        <w:bottom w:val="none" w:sz="0" w:space="0" w:color="auto"/>
        <w:right w:val="none" w:sz="0" w:space="0" w:color="auto"/>
      </w:divBdr>
    </w:div>
    <w:div w:id="186752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BDCF9B1D85CD4AB33620613F0A8505" ma:contentTypeVersion="1635" ma:contentTypeDescription="A content type to manage public (operations) IDB documents" ma:contentTypeScope="" ma:versionID="af3e173bc3e82b3b415f321e0afed3e9">
  <xsd:schema xmlns:xsd="http://www.w3.org/2001/XMLSchema" xmlns:xs="http://www.w3.org/2001/XMLSchema" xmlns:p="http://schemas.microsoft.com/office/2006/metadata/properties" xmlns:ns2="cdc7663a-08f0-4737-9e8c-148ce897a09c" targetNamespace="http://schemas.microsoft.com/office/2006/metadata/properties" ma:root="true" ma:fieldsID="967127dab7c874c8c90ada6f1a5f30e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40472218</IDBDocs_x0020_Number>
    <TaxCatchAll xmlns="cdc7663a-08f0-4737-9e8c-148ce897a09c">
      <Value>32</Value>
      <Value>13</Value>
    </TaxCatchAll>
    <Issue_x0020_Date xmlns="cdc7663a-08f0-4737-9e8c-148ce897a09c" xsi:nil="true"/>
    <Phase xmlns="cdc7663a-08f0-4737-9e8c-148ce897a09c" xsi:nil="true"/>
    <SISCOR_x0020_Number xmlns="cdc7663a-08f0-4737-9e8c-148ce897a09c" xsi:nil="true"/>
    <Disclosed xmlns="cdc7663a-08f0-4737-9e8c-148ce897a09c">true</Disclosed>
    <Publication_x0020_Type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Pereyra Da Luz, Andres</Document_x0020_Author>
    <Disclosure_x0020_Activity xmlns="cdc7663a-08f0-4737-9e8c-148ce897a09c">Loan Proposal</Disclosure_x0020_Activity>
    <Fiscal_x0020_Year_x0020_IDB xmlns="cdc7663a-08f0-4737-9e8c-148ce897a09c">2016</Fiscal_x0020_Year_x0020_IDB>
    <Webtopic xmlns="cdc7663a-08f0-4737-9e8c-148ce897a09c">Transportation</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&lt;div class="ExternalClass90157132F2454FFEBDA69219C698CC7F"&gt;MS WORDLPLoan Proposal0N&lt;/div&gt;</Migration_x0020_Info>
    <Operation_x0020_Type xmlns="cdc7663a-08f0-4737-9e8c-148ce897a09c" xsi:nil="true"/>
    <KP_x0020_Topics xmlns="cdc7663a-08f0-4737-9e8c-148ce897a09c" xsi:nil="true"/>
    <Record_x0020_Number xmlns="cdc7663a-08f0-4737-9e8c-148ce897a09c" xsi:nil="true"/>
    <Editor1 xmlns="cdc7663a-08f0-4737-9e8c-148ce897a09c" xsi:nil="true"/>
    <Region xmlns="cdc7663a-08f0-4737-9e8c-148ce897a09c" xsi:nil="true"/>
    <Document_x0020_Language_x0020_IDB xmlns="cdc7663a-08f0-4737-9e8c-148ce897a09c">Spanish</Document_x0020_Language_x0020_IDB>
    <Identifier xmlns="cdc7663a-08f0-4737-9e8c-148ce897a09c">Virginia Navas #2457 TECFILE</Identifier>
    <Publishing_x0020_Hou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EZSHARE-1428367753-43191</_dlc_DocId>
    <_dlc_DocIdUrl xmlns="cdc7663a-08f0-4737-9e8c-148ce897a09c">
      <Url>https://idbg.sharepoint.com/teams/EZ-UR-LON/UR-L1114/_layouts/15/DocIdRedir.aspx?ID=EZSHARE-1428367753-43191</Url>
      <Description>EZSHARE-1428367753-43191</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9DC9ACE-982B-4AE9-86BA-EF5C71A09BD4}"/>
</file>

<file path=customXml/itemProps2.xml><?xml version="1.0" encoding="utf-8"?>
<ds:datastoreItem xmlns:ds="http://schemas.openxmlformats.org/officeDocument/2006/customXml" ds:itemID="{FBE76C57-F6B1-4414-956C-7DB5690974FA}"/>
</file>

<file path=customXml/itemProps3.xml><?xml version="1.0" encoding="utf-8"?>
<ds:datastoreItem xmlns:ds="http://schemas.openxmlformats.org/officeDocument/2006/customXml" ds:itemID="{C10F1DE3-445D-48B8-99D1-D73FC436D44C}"/>
</file>

<file path=customXml/itemProps4.xml><?xml version="1.0" encoding="utf-8"?>
<ds:datastoreItem xmlns:ds="http://schemas.openxmlformats.org/officeDocument/2006/customXml" ds:itemID="{9C30E4EE-5A1E-480E-BBA2-A653A9F42E3A}"/>
</file>

<file path=customXml/itemProps5.xml><?xml version="1.0" encoding="utf-8"?>
<ds:datastoreItem xmlns:ds="http://schemas.openxmlformats.org/officeDocument/2006/customXml" ds:itemID="{41C39309-9055-4279-9238-6DDEF76921D7}"/>
</file>

<file path=customXml/itemProps6.xml><?xml version="1.0" encoding="utf-8"?>
<ds:datastoreItem xmlns:ds="http://schemas.openxmlformats.org/officeDocument/2006/customXml" ds:itemID="{E6AC5B04-1018-4726-92FB-956FF4C15D3D}"/>
</file>

<file path=docProps/app.xml><?xml version="1.0" encoding="utf-8"?>
<Properties xmlns="http://schemas.openxmlformats.org/officeDocument/2006/extended-properties" xmlns:vt="http://schemas.openxmlformats.org/officeDocument/2006/docPropsVTypes">
  <Template>Normal</Template>
  <TotalTime>113</TotalTime>
  <Pages>3</Pages>
  <Words>794</Words>
  <Characters>4373</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EEO1_ Evaluacion Economica</dc:title>
  <dc:subject/>
  <dc:creator>eliasr</dc:creator>
  <cp:keywords/>
  <dc:description/>
  <cp:lastModifiedBy>Diego Gagliardi</cp:lastModifiedBy>
  <cp:revision>30</cp:revision>
  <dcterms:created xsi:type="dcterms:W3CDTF">2016-08-15T14:54:00Z</dcterms:created>
  <dcterms:modified xsi:type="dcterms:W3CDTF">2016-08-15T16:59:00Z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0x0101001A458A224826124E8B45B1D613300CFC00DCBDCF9B1D85CD4AB33620613F0A8505</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32;#Uruguay|5d9b6fdd-d595-4446-a0eb-c14b465f6d0e</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13;#IDBDocs|cca77002-e150-4b2d-ab1f-1d7a7cdcae16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y fmtid="{D5CDD505-2E9C-101B-9397-08002B2CF9AE}" pid="18" name="TaxKeywordTaxHTField">
    <vt:lpwstr/>
  </property>
  <property fmtid="{D5CDD505-2E9C-101B-9397-08002B2CF9AE}" pid="19" name="_dlc_DocIdItemGuid">
    <vt:lpwstr>f3e7d8e0-3953-4d54-bcf0-57b78a3e80e7</vt:lpwstr>
  </property>
</Properties>
</file>