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numbering.xml" ContentType="application/vnd.openxmlformats-officedocument.wordprocessingml.numbering+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glossary/styles.xml" ContentType="application/vnd.openxmlformats-officedocument.wordprocessingml.styles+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3568A" w:rsidP="0043568A" w:rsidRDefault="0043568A" w14:paraId="7C977C40" w14:textId="77777777">
      <w:pPr>
        <w:spacing w:before="120" w:after="120" w:line="240" w:lineRule="auto"/>
        <w:jc w:val="center"/>
        <w:rPr>
          <w:rFonts w:ascii="Arial" w:hAnsi="Arial" w:eastAsia="Arial" w:cs="Arial"/>
          <w:b/>
          <w:bCs/>
          <w:sz w:val="24"/>
          <w:szCs w:val="24"/>
          <w:lang w:val="es-ES"/>
        </w:rPr>
      </w:pPr>
      <w:r>
        <w:rPr>
          <w:rFonts w:ascii="Arial" w:hAnsi="Arial" w:eastAsia="Arial" w:cs="Arial"/>
          <w:b/>
          <w:bCs/>
          <w:sz w:val="24"/>
          <w:szCs w:val="24"/>
          <w:lang w:val="es-ES"/>
        </w:rPr>
        <w:t>Documento de Cooperación Técnica</w:t>
      </w:r>
    </w:p>
    <w:p w:rsidRPr="00D97FAD" w:rsidR="0095711B" w:rsidP="3553B541" w:rsidRDefault="3553B541" w14:paraId="19EE7A51" w14:textId="77777777">
      <w:pPr>
        <w:pStyle w:val="ListParagraph"/>
        <w:numPr>
          <w:ilvl w:val="0"/>
          <w:numId w:val="5"/>
        </w:numPr>
        <w:spacing w:before="120" w:after="120" w:line="240" w:lineRule="auto"/>
        <w:contextualSpacing w:val="0"/>
        <w:jc w:val="both"/>
        <w:rPr>
          <w:rFonts w:ascii="Arial" w:hAnsi="Arial" w:cs="Arial"/>
          <w:b/>
          <w:bCs/>
          <w:lang w:val="es-ES"/>
        </w:rPr>
      </w:pPr>
      <w:r w:rsidRPr="3553B541">
        <w:rPr>
          <w:rFonts w:ascii="Arial" w:hAnsi="Arial" w:cs="Arial"/>
          <w:b/>
          <w:bCs/>
          <w:lang w:val="es-ES"/>
        </w:rPr>
        <w:t>Información Básica de la CT</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768"/>
        <w:gridCol w:w="5772"/>
      </w:tblGrid>
      <w:tr w:rsidRPr="003820CC" w:rsidR="00D30AE3" w:rsidTr="4EF2AA49" w14:paraId="19EE7A54" w14:textId="77777777">
        <w:tc>
          <w:tcPr>
            <w:tcW w:w="3768" w:type="dxa"/>
            <w:tcMar/>
          </w:tcPr>
          <w:p w:rsidRPr="00D97FAD" w:rsidR="009F33FF" w:rsidP="6640F5AC" w:rsidRDefault="6640F5AC" w14:paraId="19EE7A5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País/Región:</w:t>
            </w:r>
          </w:p>
        </w:tc>
        <w:sdt>
          <w:sdtPr>
            <w:rPr>
              <w:rFonts w:ascii="Arial" w:hAnsi="Arial" w:eastAsia="Arial" w:cs="Arial"/>
              <w:sz w:val="18"/>
              <w:szCs w:val="18"/>
            </w:rPr>
            <w:alias w:val="COUNTRY"/>
            <w:tag w:val="COUNTRY"/>
            <w:id w:val="-33273071"/>
            <w:lock w:val="sdtContentLocked"/>
            <w:placeholder>
              <w:docPart w:val="5CC11EF8719B434E932AC90593361180"/>
            </w:placeholder>
            <w:showingPlcHdr/>
          </w:sdtPr>
          <w:sdtEndPr>
            <w:rPr>
              <w:rFonts w:eastAsiaTheme="minorEastAsia"/>
            </w:rPr>
          </w:sdtEndPr>
          <w:sdtContent>
            <w:tc>
              <w:tcPr>
                <w:tcW w:w="5772" w:type="dxa"/>
              </w:tcPr>
              <w:p w:rsidRPr="00D97FAD" w:rsidR="009F33FF" w:rsidP="004A7024" w:rsidRDefault="004A7024" w14:paraId="19EE7A53" w14:textId="6D57368F">
                <w:pPr>
                  <w:spacing w:after="60"/>
                  <w:rPr>
                    <w:rFonts w:ascii="Arial" w:hAnsi="Arial" w:cs="Arial"/>
                    <w:sz w:val="18"/>
                    <w:szCs w:val="18"/>
                    <w:lang w:val="es-ES"/>
                  </w:rPr>
                </w:pPr>
                <w:r>
                  <w:rPr>
                    <w:rFonts w:ascii="Arial" w:hAnsi="Arial" w:eastAsia="Arial" w:cs="Arial"/>
                    <w:sz w:val="18"/>
                    <w:szCs w:val="18"/>
                  </w:rPr>
                  <w:t>REGIONAL</w:t>
                </w:r>
              </w:p>
            </w:tc>
          </w:sdtContent>
        </w:sdt>
      </w:tr>
      <w:tr w:rsidRPr="004A7D07" w:rsidR="00D30AE3" w:rsidTr="4EF2AA49" w14:paraId="19EE7A57" w14:textId="77777777">
        <w:tc>
          <w:tcPr>
            <w:tcW w:w="3768" w:type="dxa"/>
            <w:tcMar/>
          </w:tcPr>
          <w:p w:rsidRPr="00D97FAD" w:rsidR="009F33FF" w:rsidP="3553B541" w:rsidRDefault="3553B541" w14:paraId="19EE7A55"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Nombre de la CT:</w:t>
            </w:r>
          </w:p>
        </w:tc>
        <w:sdt>
          <w:sdtPr>
            <w:rPr>
              <w:rFonts w:ascii="Arial" w:hAnsi="Arial" w:eastAsia="Arial" w:cs="Arial"/>
              <w:sz w:val="18"/>
              <w:szCs w:val="18"/>
            </w:rPr>
            <w:alias w:val="TC_NAME"/>
            <w:tag w:val="TC_NAME"/>
            <w:id w:val="-1458253692"/>
            <w:lock w:val="sdtContentLocked"/>
            <w:placeholder>
              <w:docPart w:val="217EA345EFD4439BBF7BB61D0244D59E"/>
            </w:placeholder>
            <w:showingPlcHdr/>
          </w:sdtPr>
          <w:sdtEndPr>
            <w:rPr>
              <w:rFonts w:eastAsiaTheme="minorEastAsia"/>
            </w:rPr>
          </w:sdtEndPr>
          <w:sdtContent>
            <w:tc>
              <w:tcPr>
                <w:tcW w:w="5772" w:type="dxa"/>
              </w:tcPr>
              <w:p w:rsidRPr="00D97FAD" w:rsidR="009F33FF" w:rsidP="004A7024" w:rsidRDefault="004A7024" w14:paraId="19EE7A56" w14:textId="0D4363C5">
                <w:pPr>
                  <w:tabs>
                    <w:tab w:val="center" w:pos="2997"/>
                    <w:tab w:val="left" w:pos="3417"/>
                  </w:tabs>
                  <w:spacing w:after="60"/>
                  <w:rPr>
                    <w:rFonts w:ascii="Arial" w:hAnsi="Arial" w:cs="Arial"/>
                    <w:sz w:val="18"/>
                    <w:szCs w:val="18"/>
                    <w:lang w:val="es-ES"/>
                  </w:rPr>
                </w:pPr>
                <w:r>
                  <w:rPr>
                    <w:rFonts w:ascii="Arial" w:hAnsi="Arial" w:eastAsia="Arial" w:cs="Arial"/>
                    <w:sz w:val="18"/>
                    <w:szCs w:val="18"/>
                  </w:rPr>
                  <w:t>Acompañamiento Técnico al Sector Transporte en Argentina y Brasil</w:t>
                </w:r>
              </w:p>
            </w:tc>
          </w:sdtContent>
        </w:sdt>
      </w:tr>
      <w:tr w:rsidRPr="003820CC" w:rsidR="00D30AE3" w:rsidTr="4EF2AA49" w14:paraId="19EE7A5A" w14:textId="77777777">
        <w:tc>
          <w:tcPr>
            <w:tcW w:w="3768" w:type="dxa"/>
            <w:tcMar/>
          </w:tcPr>
          <w:p w:rsidRPr="00D97FAD" w:rsidR="009F33FF" w:rsidP="3553B541" w:rsidRDefault="3553B541" w14:paraId="19EE7A58"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Número de CT:</w:t>
            </w:r>
          </w:p>
        </w:tc>
        <w:sdt>
          <w:sdtPr>
            <w:rPr>
              <w:rFonts w:ascii="Arial" w:hAnsi="Arial" w:eastAsia="Arial" w:cs="Arial"/>
              <w:sz w:val="18"/>
              <w:szCs w:val="18"/>
            </w:rPr>
            <w:alias w:val="TC_NUMBER"/>
            <w:tag w:val="TC_NUMBER"/>
            <w:id w:val="868574379"/>
            <w:lock w:val="sdtContentLocked"/>
            <w:placeholder>
              <w:docPart w:val="05AE4C8040D14C628FB8FF54406E8093"/>
            </w:placeholder>
            <w:showingPlcHdr/>
          </w:sdtPr>
          <w:sdtEndPr/>
          <w:sdtContent>
            <w:tc>
              <w:tcPr>
                <w:tcW w:w="5772" w:type="dxa"/>
              </w:tcPr>
              <w:p w:rsidRPr="00D97FAD" w:rsidR="009F33FF" w:rsidP="004A7024" w:rsidRDefault="00E90852" w14:paraId="19EE7A59" w14:textId="0F4ED658">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RG-T3856</w:t>
                </w:r>
              </w:p>
            </w:tc>
          </w:sdtContent>
        </w:sdt>
      </w:tr>
      <w:tr w:rsidRPr="004A7D07" w:rsidR="00D30AE3" w:rsidTr="4EF2AA49" w14:paraId="19EE7A5D" w14:textId="77777777">
        <w:trPr>
          <w:trHeight w:val="288"/>
        </w:trPr>
        <w:tc>
          <w:tcPr>
            <w:tcW w:w="3768" w:type="dxa"/>
            <w:tcMar/>
          </w:tcPr>
          <w:p w:rsidRPr="00D97FAD" w:rsidR="009F33FF" w:rsidP="3553B541" w:rsidRDefault="3553B541" w14:paraId="19EE7A5B"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Jefe de Equipo/Miembros:</w:t>
            </w:r>
          </w:p>
        </w:tc>
        <w:sdt>
          <w:sdtPr>
            <w:rPr>
              <w:rFonts w:ascii="Arial" w:hAnsi="Arial" w:eastAsia="Arial" w:cs="Arial"/>
              <w:sz w:val="18"/>
              <w:szCs w:val="18"/>
            </w:rPr>
            <w:alias w:val="TEAM_MEM"/>
            <w:tag w:val="TEAM_MEM"/>
            <w:id w:val="2115623193"/>
            <w:lock w:val="sdtLocked"/>
            <w:placeholder>
              <w:docPart w:val="CCD660B516A04E8B88E3C7A5081A1BEB"/>
            </w:placeholder>
            <w:showingPlcHdr/>
          </w:sdtPr>
          <w:sdtEndPr/>
          <w:sdtContent>
            <w:tc>
              <w:tcPr>
                <w:tcW w:w="5772" w:type="dxa"/>
              </w:tcPr>
              <w:p w:rsidRPr="00EB2B73" w:rsidR="00EB2B73" w:rsidP="007A6147" w:rsidRDefault="007A6147" w14:paraId="01376BDF" w14:textId="26226C7D">
                <w:pPr>
                  <w:tabs>
                    <w:tab w:val="center" w:pos="2997"/>
                    <w:tab w:val="left" w:pos="3417"/>
                  </w:tabs>
                  <w:spacing w:after="60"/>
                  <w:rPr>
                    <w:rFonts w:ascii="Arial" w:hAnsi="Arial" w:eastAsia="Arial" w:cs="Arial"/>
                    <w:sz w:val="18"/>
                    <w:szCs w:val="18"/>
                    <w:lang w:val="es-ES"/>
                  </w:rPr>
                </w:pPr>
                <w:r w:rsidRPr="004A7D07">
                  <w:rPr>
                    <w:rFonts w:ascii="Arial" w:hAnsi="Arial" w:eastAsia="Arial" w:cs="Arial"/>
                    <w:sz w:val="18"/>
                    <w:szCs w:val="18"/>
                    <w:lang w:val="es-ES"/>
                  </w:rPr>
                  <w:t xml:space="preserve">Munoz Garcia, Paloma (INE/TSP) Líder del Equipo; Abad, Julieta (INE/TSP) Jefe Alterno del Equipo de Proyecto; Avila, Krysia A (LEG/SGO); Figueiredo De Castro M, Ana Beatriz (INE/TSP); Noboa Lopez, Nathaly Sofia (INE/TSP); Sanchez, Sebastian (INE/TSP); Urquijo Vanegas, Lee Harvey (ITE/IPS) </w:t>
                </w:r>
              </w:p>
            </w:tc>
          </w:sdtContent>
        </w:sdt>
      </w:tr>
      <w:tr w:rsidRPr="003820CC" w:rsidR="00D30AE3" w:rsidTr="4EF2AA49" w14:paraId="19EE7A60" w14:textId="77777777">
        <w:tc>
          <w:tcPr>
            <w:tcW w:w="3768" w:type="dxa"/>
            <w:tcMar/>
          </w:tcPr>
          <w:p w:rsidRPr="00D97FAD" w:rsidR="00CC716E" w:rsidP="3553B541" w:rsidRDefault="3553B541" w14:paraId="19EE7A5E"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 xml:space="preserve">Taxonomía:  </w:t>
            </w:r>
          </w:p>
        </w:tc>
        <w:sdt>
          <w:sdtPr>
            <w:rPr>
              <w:rFonts w:ascii="Arial" w:hAnsi="Arial" w:eastAsia="Arial" w:cs="Arial"/>
              <w:sz w:val="18"/>
              <w:szCs w:val="18"/>
            </w:rPr>
            <w:alias w:val="OP_ATTRIBUTE"/>
            <w:tag w:val="OP_ATTRIBUTE"/>
            <w:id w:val="-721363842"/>
            <w:lock w:val="sdtContentLocked"/>
            <w:placeholder>
              <w:docPart w:val="7ED39F670CB64934A3A49D4CC3D49A9F"/>
            </w:placeholder>
            <w:showingPlcHdr/>
          </w:sdtPr>
          <w:sdtEndPr/>
          <w:sdtContent>
            <w:tc>
              <w:tcPr>
                <w:tcW w:w="5772" w:type="dxa"/>
              </w:tcPr>
              <w:p w:rsidRPr="00D97FAD" w:rsidR="00CC716E" w:rsidP="004A7024" w:rsidRDefault="004A7024" w14:paraId="19EE7A5F" w14:textId="6DCDD3AC">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Operativo</w:t>
                </w:r>
              </w:p>
            </w:tc>
          </w:sdtContent>
        </w:sdt>
      </w:tr>
      <w:tr w:rsidRPr="003820CC" w:rsidR="00D30AE3" w:rsidTr="4EF2AA49" w14:paraId="19EE7A63" w14:textId="77777777">
        <w:tc>
          <w:tcPr>
            <w:tcW w:w="3768" w:type="dxa"/>
            <w:tcMar/>
          </w:tcPr>
          <w:p w:rsidRPr="00D97FAD" w:rsidR="00CC716E" w:rsidP="6640F5AC" w:rsidRDefault="00B909B3" w14:paraId="19EE7A61" w14:textId="152E9960">
            <w:pPr>
              <w:pStyle w:val="ListParagraph"/>
              <w:numPr>
                <w:ilvl w:val="0"/>
                <w:numId w:val="2"/>
              </w:numPr>
              <w:spacing w:after="60"/>
              <w:ind w:left="180" w:hanging="180"/>
              <w:contextualSpacing w:val="0"/>
              <w:jc w:val="both"/>
              <w:rPr>
                <w:rFonts w:ascii="Arial" w:hAnsi="Arial" w:eastAsia="Arial" w:cs="Arial"/>
                <w:sz w:val="18"/>
                <w:szCs w:val="18"/>
                <w:lang w:val="es-ES"/>
              </w:rPr>
            </w:pPr>
            <w:r>
              <w:rPr>
                <w:rFonts w:ascii="Arial" w:hAnsi="Arial" w:eastAsia="Arial" w:cs="Arial"/>
                <w:sz w:val="18"/>
                <w:szCs w:val="18"/>
                <w:lang w:val="es-ES"/>
              </w:rPr>
              <w:t>O</w:t>
            </w:r>
            <w:r w:rsidRPr="6640F5AC" w:rsidR="6640F5AC">
              <w:rPr>
                <w:rFonts w:ascii="Arial" w:hAnsi="Arial" w:eastAsia="Arial" w:cs="Arial"/>
                <w:sz w:val="18"/>
                <w:szCs w:val="18"/>
                <w:lang w:val="es-ES"/>
              </w:rPr>
              <w:t xml:space="preserve">peración </w:t>
            </w:r>
            <w:r>
              <w:rPr>
                <w:rFonts w:ascii="Arial" w:hAnsi="Arial" w:eastAsia="Arial" w:cs="Arial"/>
                <w:sz w:val="18"/>
                <w:szCs w:val="18"/>
                <w:lang w:val="es-ES"/>
              </w:rPr>
              <w:t>a la que la CT</w:t>
            </w:r>
            <w:r w:rsidRPr="6640F5AC" w:rsidR="6640F5AC">
              <w:rPr>
                <w:rFonts w:ascii="Arial" w:hAnsi="Arial" w:eastAsia="Arial" w:cs="Arial"/>
                <w:sz w:val="18"/>
                <w:szCs w:val="18"/>
                <w:lang w:val="es-ES"/>
              </w:rPr>
              <w:t xml:space="preserve"> apoyará:</w:t>
            </w:r>
          </w:p>
        </w:tc>
        <w:tc>
          <w:tcPr>
            <w:tcW w:w="5772" w:type="dxa"/>
            <w:tcMar/>
          </w:tcPr>
          <w:p w:rsidRPr="00D97FAD" w:rsidR="00CC716E" w:rsidP="004A7024" w:rsidRDefault="007367B8" w14:paraId="19EE7A62" w14:textId="09967CBD">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OP_SUPPORT"/>
                <w:tag w:val="OP_SUPPORT"/>
                <w:id w:val="2123416125"/>
                <w:lock w:val="sdtContentLocked"/>
                <w:placeholder>
                  <w:docPart w:val="3DA359B328714F5CAC01CFD08AEBD898"/>
                </w:placeholder>
                <w:showingPlcHdr/>
              </w:sdtPr>
              <w:sdtEndPr/>
              <w:sdtContent>
                <w:r w:rsidR="004A7024">
                  <w:rPr>
                    <w:rFonts w:ascii="Arial" w:hAnsi="Arial" w:eastAsia="Arial" w:cs="Arial"/>
                    <w:sz w:val="18"/>
                    <w:szCs w:val="18"/>
                  </w:rPr>
                  <w:t>AR-L1338, AR-L1339, BR-L1402, BR-L1434</w:t>
                </w:r>
              </w:sdtContent>
            </w:sdt>
            <w:r w:rsidRPr="004A7024" w:rsidR="00370FB9">
              <w:rPr>
                <w:rFonts w:ascii="Arial" w:hAnsi="Arial" w:eastAsia="Arial" w:cs="Arial"/>
                <w:sz w:val="18"/>
                <w:szCs w:val="18"/>
              </w:rPr>
              <w:t>.</w:t>
            </w:r>
          </w:p>
        </w:tc>
      </w:tr>
      <w:tr w:rsidRPr="003820CC" w:rsidR="00D30AE3" w:rsidTr="4EF2AA49" w14:paraId="19EE7A66" w14:textId="77777777">
        <w:tc>
          <w:tcPr>
            <w:tcW w:w="3768" w:type="dxa"/>
            <w:tcMar/>
          </w:tcPr>
          <w:p w:rsidRPr="00D97FAD" w:rsidR="009F33FF" w:rsidP="6640F5AC" w:rsidRDefault="6640F5AC" w14:paraId="19EE7A64"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Fecha de Autorización del Abstracto de CT:</w:t>
            </w:r>
          </w:p>
        </w:tc>
        <w:tc>
          <w:tcPr>
            <w:tcW w:w="5772" w:type="dxa"/>
            <w:tcMar/>
          </w:tcPr>
          <w:p w:rsidRPr="00D97FAD" w:rsidR="009F33FF" w:rsidP="004A7024" w:rsidRDefault="007367B8" w14:paraId="19EE7A65" w14:textId="52B7CA34">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DATE_TC"/>
                <w:tag w:val="DATE_TC"/>
                <w:id w:val="1006092493"/>
                <w:lock w:val="sdtContentLocked"/>
                <w:placeholder>
                  <w:docPart w:val="09059ABF4FD64E58B6D53544F81B8994"/>
                </w:placeholder>
                <w:showingPlcHdr/>
              </w:sdtPr>
              <w:sdtEndPr/>
              <w:sdtContent>
                <w:r w:rsidR="004A7024">
                  <w:rPr>
                    <w:rFonts w:ascii="Arial" w:hAnsi="Arial" w:eastAsia="Arial" w:cs="Arial"/>
                    <w:sz w:val="18"/>
                    <w:szCs w:val="18"/>
                  </w:rPr>
                  <w:t>1 Mar 2021</w:t>
                </w:r>
              </w:sdtContent>
            </w:sdt>
            <w:r w:rsidRPr="004A7024" w:rsidR="00370FB9">
              <w:rPr>
                <w:rFonts w:ascii="Arial" w:hAnsi="Arial" w:eastAsia="Arial" w:cs="Arial"/>
                <w:sz w:val="18"/>
                <w:szCs w:val="18"/>
              </w:rPr>
              <w:t>.</w:t>
            </w:r>
          </w:p>
        </w:tc>
      </w:tr>
      <w:tr w:rsidRPr="003820CC" w:rsidR="00D30AE3" w:rsidTr="4EF2AA49" w14:paraId="19EE7A69" w14:textId="77777777">
        <w:trPr>
          <w:trHeight w:val="390"/>
        </w:trPr>
        <w:tc>
          <w:tcPr>
            <w:tcW w:w="3768" w:type="dxa"/>
            <w:tcMar/>
          </w:tcPr>
          <w:p w:rsidRPr="00D97FAD" w:rsidR="009F33FF" w:rsidP="6640F5AC" w:rsidRDefault="6640F5AC" w14:paraId="19EE7A67"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Beneficiario:</w:t>
            </w:r>
          </w:p>
        </w:tc>
        <w:tc>
          <w:tcPr>
            <w:tcW w:w="5772" w:type="dxa"/>
            <w:tcMar/>
          </w:tcPr>
          <w:p w:rsidRPr="00D97FAD" w:rsidR="009F33FF" w:rsidP="00634BF5" w:rsidRDefault="008B6DAB" w14:paraId="19EE7A68" w14:textId="7EE05623">
            <w:pPr>
              <w:tabs>
                <w:tab w:val="left" w:pos="3546"/>
              </w:tabs>
              <w:spacing w:after="60"/>
              <w:rPr>
                <w:rFonts w:ascii="Arial" w:hAnsi="Arial" w:cs="Arial"/>
                <w:sz w:val="18"/>
                <w:szCs w:val="18"/>
                <w:lang w:val="es-ES"/>
              </w:rPr>
            </w:pPr>
            <w:r>
              <w:rPr>
                <w:rFonts w:ascii="Arial" w:hAnsi="Arial" w:cs="Arial"/>
                <w:sz w:val="18"/>
                <w:szCs w:val="18"/>
                <w:lang w:val="es-ES"/>
              </w:rPr>
              <w:t>Argentina y Brasil</w:t>
            </w:r>
          </w:p>
        </w:tc>
      </w:tr>
      <w:tr w:rsidRPr="003820CC" w:rsidR="00D30AE3" w:rsidTr="4EF2AA49" w14:paraId="19EE7A6C" w14:textId="77777777">
        <w:tc>
          <w:tcPr>
            <w:tcW w:w="3768" w:type="dxa"/>
            <w:tcMar/>
          </w:tcPr>
          <w:p w:rsidRPr="00D97FAD" w:rsidR="009F33FF" w:rsidP="6640F5AC" w:rsidRDefault="6640F5AC" w14:paraId="19EE7A6A"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Agencia Ejecutora y nombre de contacto: </w:t>
            </w:r>
          </w:p>
        </w:tc>
        <w:tc>
          <w:tcPr>
            <w:tcW w:w="5772" w:type="dxa"/>
            <w:tcMar/>
          </w:tcPr>
          <w:p w:rsidRPr="00D97FAD" w:rsidR="009F33FF" w:rsidP="00C53D00" w:rsidRDefault="007367B8" w14:paraId="19EE7A6B" w14:textId="0D2110DD">
            <w:pPr>
              <w:spacing w:after="60"/>
              <w:rPr>
                <w:rFonts w:ascii="Arial" w:hAnsi="Arial" w:cs="Arial"/>
                <w:sz w:val="18"/>
                <w:szCs w:val="18"/>
                <w:lang w:val="es-ES"/>
              </w:rPr>
            </w:pPr>
            <w:sdt>
              <w:sdtPr>
                <w:rPr>
                  <w:rFonts w:ascii="Arial" w:hAnsi="Arial" w:eastAsia="Arial" w:cs="Arial"/>
                  <w:sz w:val="18"/>
                  <w:szCs w:val="18"/>
                </w:rPr>
                <w:alias w:val="AGENCY"/>
                <w:tag w:val="AGENCY"/>
                <w:id w:val="496075702"/>
                <w:lock w:val="sdtContentLocked"/>
                <w:placeholder>
                  <w:docPart w:val="B8DFCBC715A44C24AB6CD72AA5C890DE"/>
                </w:placeholder>
                <w:showingPlcHdr/>
              </w:sdtPr>
              <w:sdtEndPr/>
              <w:sdtContent>
                <w:r w:rsidR="004A7024">
                  <w:rPr>
                    <w:rFonts w:ascii="Arial" w:hAnsi="Arial" w:eastAsia="Arial" w:cs="Arial"/>
                    <w:sz w:val="18"/>
                    <w:szCs w:val="18"/>
                  </w:rPr>
                  <w:t>Inter-American Development Bank</w:t>
                </w:r>
              </w:sdtContent>
            </w:sdt>
            <w:r w:rsidR="00370FB9">
              <w:rPr>
                <w:rFonts w:ascii="Arial" w:hAnsi="Arial" w:eastAsia="Arial" w:cs="Arial"/>
                <w:color w:val="808080" w:themeColor="background1" w:themeShade="80"/>
                <w:sz w:val="18"/>
                <w:szCs w:val="18"/>
                <w:lang w:val="es-ES"/>
              </w:rPr>
              <w:t xml:space="preserve"> </w:t>
            </w:r>
          </w:p>
        </w:tc>
      </w:tr>
      <w:tr w:rsidRPr="004A7D07" w:rsidR="000571B9" w:rsidTr="4EF2AA49" w14:paraId="19EE7A6F" w14:textId="77777777">
        <w:tc>
          <w:tcPr>
            <w:tcW w:w="3768" w:type="dxa"/>
            <w:tcMar/>
          </w:tcPr>
          <w:p w:rsidRPr="00D97FAD" w:rsidR="000571B9" w:rsidP="000571B9" w:rsidRDefault="000571B9" w14:paraId="19EE7A6D" w14:textId="68B95074">
            <w:pPr>
              <w:pStyle w:val="ListParagraph"/>
              <w:numPr>
                <w:ilvl w:val="0"/>
                <w:numId w:val="2"/>
              </w:numPr>
              <w:spacing w:after="60"/>
              <w:ind w:left="180" w:hanging="180"/>
              <w:contextualSpacing w:val="0"/>
              <w:rPr>
                <w:rFonts w:ascii="Arial" w:hAnsi="Arial" w:eastAsia="Arial" w:cs="Arial"/>
                <w:sz w:val="18"/>
                <w:szCs w:val="18"/>
                <w:lang w:val="es-ES"/>
              </w:rPr>
            </w:pPr>
            <w:r w:rsidRPr="6640F5AC">
              <w:rPr>
                <w:rFonts w:ascii="Arial" w:hAnsi="Arial" w:eastAsia="Arial" w:cs="Arial"/>
                <w:sz w:val="18"/>
                <w:szCs w:val="18"/>
                <w:lang w:val="es-ES"/>
              </w:rPr>
              <w:t>Donantes que proveerán financiamiento:</w:t>
            </w:r>
          </w:p>
        </w:tc>
        <w:sdt>
          <w:sdtPr>
            <w:rPr>
              <w:rFonts w:ascii="Arial" w:hAnsi="Arial" w:eastAsia="Arial" w:cs="Arial"/>
              <w:sz w:val="18"/>
              <w:szCs w:val="18"/>
            </w:rPr>
            <w:alias w:val="DONOR"/>
            <w:tag w:val="DONOR"/>
            <w:id w:val="1610931664"/>
            <w:lock w:val="sdtContentLocked"/>
            <w:placeholder>
              <w:docPart w:val="4A5053447681412896717C8296C9AEB6"/>
            </w:placeholder>
            <w:showingPlcHdr/>
          </w:sdtPr>
          <w:sdtEndPr/>
          <w:sdtContent>
            <w:tc>
              <w:tcPr>
                <w:tcW w:w="5772" w:type="dxa"/>
              </w:tcPr>
              <w:p w:rsidRPr="00D97FAD" w:rsidR="000571B9" w:rsidP="004A7024" w:rsidRDefault="004A7024" w14:paraId="19EE7A6E" w14:textId="05FEF36B">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Programa Estratégico para el Desarrollo de Infraestructura(INF)</w:t>
                </w:r>
              </w:p>
            </w:tc>
          </w:sdtContent>
        </w:sdt>
      </w:tr>
      <w:tr w:rsidRPr="003820CC" w:rsidR="00D30AE3" w:rsidTr="4EF2AA49" w14:paraId="19EE7A72" w14:textId="77777777">
        <w:tc>
          <w:tcPr>
            <w:tcW w:w="3768" w:type="dxa"/>
            <w:tcMar/>
          </w:tcPr>
          <w:p w:rsidRPr="00D97FAD" w:rsidR="009F33FF" w:rsidP="6640F5AC" w:rsidRDefault="6640F5AC" w14:paraId="19EE7A70" w14:textId="1E7F5A9A">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Financiamiento </w:t>
            </w:r>
            <w:r w:rsidR="00D30AE3">
              <w:rPr>
                <w:rFonts w:ascii="Arial" w:hAnsi="Arial" w:eastAsia="Arial" w:cs="Arial"/>
                <w:sz w:val="18"/>
                <w:szCs w:val="18"/>
                <w:lang w:val="es-ES"/>
              </w:rPr>
              <w:t>s</w:t>
            </w:r>
            <w:r w:rsidRPr="6640F5AC">
              <w:rPr>
                <w:rFonts w:ascii="Arial" w:hAnsi="Arial" w:eastAsia="Arial" w:cs="Arial"/>
                <w:sz w:val="18"/>
                <w:szCs w:val="18"/>
                <w:lang w:val="es-ES"/>
              </w:rPr>
              <w:t>olicitado del BID:</w:t>
            </w:r>
          </w:p>
        </w:tc>
        <w:sdt>
          <w:sdtPr>
            <w:rPr>
              <w:rFonts w:ascii="Arial" w:hAnsi="Arial" w:eastAsia="Arial" w:cs="Arial"/>
              <w:sz w:val="18"/>
              <w:szCs w:val="18"/>
            </w:rPr>
            <w:alias w:val="FUNDING_REQ"/>
            <w:tag w:val="FUNDING_REQ"/>
            <w:id w:val="-1634480168"/>
            <w:lock w:val="sdtContentLocked"/>
            <w:placeholder>
              <w:docPart w:val="A561EEE99F6944F79831E0C90388AF61"/>
            </w:placeholder>
            <w:showingPlcHdr/>
          </w:sdtPr>
          <w:sdtEndPr/>
          <w:sdtContent>
            <w:tc>
              <w:tcPr>
                <w:tcW w:w="5772" w:type="dxa"/>
              </w:tcPr>
              <w:p w:rsidRPr="00D97FAD" w:rsidR="009F33FF" w:rsidP="004A7024" w:rsidRDefault="004A7024" w14:paraId="19EE7A71" w14:textId="0608EA68">
                <w:pPr>
                  <w:tabs>
                    <w:tab w:val="center" w:pos="2997"/>
                    <w:tab w:val="left" w:pos="3417"/>
                  </w:tabs>
                  <w:spacing w:after="60"/>
                  <w:rPr>
                    <w:rFonts w:ascii="Arial" w:hAnsi="Arial" w:cs="Arial"/>
                    <w:sz w:val="18"/>
                    <w:szCs w:val="18"/>
                    <w:lang w:val="es-ES"/>
                  </w:rPr>
                </w:pPr>
                <w:r>
                  <w:rPr>
                    <w:rFonts w:ascii="Arial"/>
                    <w:sz w:val="18"/>
                  </w:rPr>
                  <w:t>US$315,000.00</w:t>
                  <w:br/>
                  <w:t/>
                </w:r>
              </w:p>
            </w:tc>
          </w:sdtContent>
        </w:sdt>
      </w:tr>
      <w:tr w:rsidRPr="003820CC" w:rsidR="00D30AE3" w:rsidTr="4EF2AA49" w14:paraId="19EE7A75" w14:textId="77777777">
        <w:tc>
          <w:tcPr>
            <w:tcW w:w="3768" w:type="dxa"/>
            <w:tcMar/>
          </w:tcPr>
          <w:p w:rsidRPr="00D97FAD" w:rsidR="009F33FF" w:rsidP="6640F5AC" w:rsidRDefault="6640F5AC" w14:paraId="19EE7A73"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Contrapartida Local, si hay:</w:t>
            </w:r>
          </w:p>
        </w:tc>
        <w:sdt>
          <w:sdtPr>
            <w:rPr>
              <w:rFonts w:ascii="Arial" w:hAnsi="Arial" w:eastAsia="Arial" w:cs="Arial"/>
              <w:sz w:val="18"/>
              <w:szCs w:val="18"/>
            </w:rPr>
            <w:alias w:val="COUNTER_PART"/>
            <w:tag w:val="COUNTER_PART"/>
            <w:id w:val="2116251204"/>
            <w:lock w:val="sdtContentLocked"/>
            <w:placeholder>
              <w:docPart w:val="DC7B2A4294B842B5B2F1164D3A9A7BA3"/>
            </w:placeholder>
            <w:showingPlcHdr/>
            <w:text w:multiLine="1"/>
          </w:sdtPr>
          <w:sdtEndPr/>
          <w:sdtContent>
            <w:tc>
              <w:tcPr>
                <w:tcW w:w="5772" w:type="dxa"/>
              </w:tcPr>
              <w:p w:rsidRPr="00D97FAD" w:rsidR="009F33FF" w:rsidP="004A7024" w:rsidRDefault="004A7024" w14:paraId="19EE7A74" w14:textId="270D0253">
                <w:pPr>
                  <w:tabs>
                    <w:tab w:val="center" w:pos="2997"/>
                    <w:tab w:val="left" w:pos="3417"/>
                  </w:tabs>
                  <w:spacing w:after="60"/>
                  <w:rPr>
                    <w:rFonts w:ascii="Arial" w:hAnsi="Arial" w:cs="Arial"/>
                    <w:sz w:val="18"/>
                    <w:szCs w:val="18"/>
                    <w:lang w:val="es-ES"/>
                  </w:rPr>
                </w:pPr>
                <w:r>
                  <w:rPr>
                    <w:rFonts w:ascii="Arial" w:hAnsi="Arial" w:eastAsia="Arial" w:cs="Arial"/>
                    <w:sz w:val="18"/>
                    <w:szCs w:val="18"/>
                  </w:rPr>
                  <w:t>US$0</w:t>
                </w:r>
              </w:p>
            </w:tc>
          </w:sdtContent>
        </w:sdt>
      </w:tr>
      <w:tr w:rsidRPr="0043568A" w:rsidR="00634BF5" w:rsidTr="4EF2AA49" w14:paraId="19EE7A78" w14:textId="77777777">
        <w:tc>
          <w:tcPr>
            <w:tcW w:w="3768" w:type="dxa"/>
            <w:tcMar/>
          </w:tcPr>
          <w:p w:rsidRPr="00D97FAD" w:rsidR="00634BF5" w:rsidP="00634BF5" w:rsidRDefault="00634BF5" w14:paraId="19EE7A76"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Periodo de Desembolso (incluye periodo de ejecución):</w:t>
            </w:r>
          </w:p>
        </w:tc>
        <w:tc>
          <w:tcPr>
            <w:tcW w:w="5772" w:type="dxa"/>
            <w:tcMar/>
          </w:tcPr>
          <w:p w:rsidRPr="00D97FAD" w:rsidR="00634BF5" w:rsidP="00634BF5" w:rsidRDefault="0063444F" w14:paraId="19EE7A77" w14:textId="7D7E5AAA">
            <w:pPr>
              <w:tabs>
                <w:tab w:val="left" w:pos="3491"/>
              </w:tabs>
              <w:spacing w:after="60"/>
              <w:rPr>
                <w:rFonts w:ascii="Arial" w:hAnsi="Arial" w:eastAsia="Arial" w:cs="Arial"/>
                <w:sz w:val="18"/>
                <w:szCs w:val="18"/>
                <w:lang w:val="es-ES"/>
              </w:rPr>
            </w:pPr>
            <w:r>
              <w:rPr>
                <w:rFonts w:ascii="Arial" w:hAnsi="Arial" w:eastAsia="Arial" w:cs="Arial"/>
                <w:sz w:val="18"/>
                <w:szCs w:val="18"/>
                <w:lang w:val="es-ES"/>
              </w:rPr>
              <w:t>36 meses</w:t>
            </w:r>
          </w:p>
        </w:tc>
      </w:tr>
      <w:tr w:rsidRPr="003820CC" w:rsidR="00634BF5" w:rsidTr="4EF2AA49" w14:paraId="19EE7A7B" w14:textId="77777777">
        <w:tc>
          <w:tcPr>
            <w:tcW w:w="3768" w:type="dxa"/>
            <w:tcMar/>
          </w:tcPr>
          <w:p w:rsidRPr="00D97FAD" w:rsidR="00634BF5" w:rsidP="00634BF5" w:rsidRDefault="00634BF5" w14:paraId="19EE7A79" w14:textId="660FDF25">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Fecha de </w:t>
            </w:r>
            <w:r>
              <w:rPr>
                <w:rFonts w:ascii="Arial" w:hAnsi="Arial" w:eastAsia="Arial" w:cs="Arial"/>
                <w:sz w:val="18"/>
                <w:szCs w:val="18"/>
                <w:lang w:val="es-ES"/>
              </w:rPr>
              <w:t>i</w:t>
            </w:r>
            <w:r w:rsidRPr="6640F5AC">
              <w:rPr>
                <w:rFonts w:ascii="Arial" w:hAnsi="Arial" w:eastAsia="Arial" w:cs="Arial"/>
                <w:sz w:val="18"/>
                <w:szCs w:val="18"/>
                <w:lang w:val="es-ES"/>
              </w:rPr>
              <w:t>nicio requerido:</w:t>
            </w:r>
          </w:p>
        </w:tc>
        <w:tc>
          <w:tcPr>
            <w:tcW w:w="5772" w:type="dxa"/>
            <w:tcMar/>
          </w:tcPr>
          <w:p w:rsidRPr="00D97FAD" w:rsidR="00634BF5" w:rsidP="00634BF5" w:rsidRDefault="00ED37F5" w14:paraId="19EE7A7A" w14:textId="1B7E8EA1">
            <w:pPr>
              <w:tabs>
                <w:tab w:val="left" w:pos="3793"/>
              </w:tabs>
              <w:spacing w:after="60"/>
              <w:rPr>
                <w:rFonts w:ascii="Arial" w:hAnsi="Arial" w:cs="Arial"/>
                <w:sz w:val="18"/>
                <w:szCs w:val="18"/>
                <w:lang w:val="es-ES"/>
              </w:rPr>
            </w:pPr>
            <w:r>
              <w:rPr>
                <w:rFonts w:ascii="Arial" w:hAnsi="Arial" w:cs="Arial"/>
                <w:sz w:val="18"/>
                <w:szCs w:val="18"/>
                <w:lang w:val="es-ES"/>
              </w:rPr>
              <w:t>11/15/2021</w:t>
            </w:r>
          </w:p>
        </w:tc>
      </w:tr>
      <w:tr w:rsidRPr="003820CC" w:rsidR="0063444F" w:rsidTr="4EF2AA49" w14:paraId="19EE7A7E" w14:textId="77777777">
        <w:tc>
          <w:tcPr>
            <w:tcW w:w="3768" w:type="dxa"/>
            <w:tcMar/>
          </w:tcPr>
          <w:p w:rsidRPr="00D97FAD" w:rsidR="0063444F" w:rsidP="00634BF5" w:rsidRDefault="0063444F" w14:paraId="19EE7A7C"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Tipos de consultores:</w:t>
            </w:r>
          </w:p>
        </w:tc>
        <w:tc>
          <w:tcPr>
            <w:tcW w:w="5772" w:type="dxa"/>
            <w:tcMar/>
          </w:tcPr>
          <w:p w:rsidRPr="00D97FAD" w:rsidR="0063444F" w:rsidP="00634BF5" w:rsidRDefault="0063444F" w14:paraId="19EE7A7D" w14:textId="42136E44">
            <w:pPr>
              <w:tabs>
                <w:tab w:val="left" w:pos="3664"/>
              </w:tabs>
              <w:spacing w:after="60"/>
              <w:rPr>
                <w:rFonts w:ascii="Arial" w:hAnsi="Arial" w:eastAsia="Arial" w:cs="Arial"/>
                <w:sz w:val="18"/>
                <w:szCs w:val="18"/>
                <w:lang w:val="es-ES"/>
              </w:rPr>
            </w:pPr>
            <w:r>
              <w:rPr>
                <w:rFonts w:ascii="Arial" w:hAnsi="Arial" w:eastAsia="Arial" w:cs="Arial"/>
                <w:sz w:val="18"/>
                <w:szCs w:val="18"/>
                <w:lang w:val="es-ES"/>
              </w:rPr>
              <w:t>Individual y Firmas consultoras</w:t>
            </w:r>
          </w:p>
        </w:tc>
      </w:tr>
      <w:tr w:rsidRPr="003820CC" w:rsidR="0063444F" w:rsidTr="4EF2AA49" w14:paraId="19EE7A81" w14:textId="77777777">
        <w:tc>
          <w:tcPr>
            <w:tcW w:w="3768" w:type="dxa"/>
            <w:tcMar/>
          </w:tcPr>
          <w:p w:rsidRPr="00D97FAD" w:rsidR="0063444F" w:rsidP="00634BF5" w:rsidRDefault="0063444F" w14:paraId="19EE7A7F"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de Preparación:</w:t>
            </w:r>
          </w:p>
        </w:tc>
        <w:tc>
          <w:tcPr>
            <w:tcW w:w="5772" w:type="dxa"/>
            <w:tcMar/>
          </w:tcPr>
          <w:p w:rsidRPr="00D97FAD" w:rsidR="0063444F" w:rsidP="004A7024" w:rsidRDefault="007367B8" w14:paraId="19EE7A80" w14:textId="52C17A61">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UNIT"/>
                <w:tag w:val="UNIT"/>
                <w:id w:val="1675455106"/>
                <w:lock w:val="sdtContentLocked"/>
                <w:placeholder>
                  <w:docPart w:val="55D38144C1FE46F5B59FB49C56F8E24F"/>
                </w:placeholder>
                <w:showingPlcHdr/>
              </w:sdtPr>
              <w:sdtEndPr/>
              <w:sdtContent>
                <w:r w:rsidR="0063444F">
                  <w:rPr>
                    <w:rFonts w:ascii="Arial" w:hAnsi="Arial" w:eastAsia="Arial" w:cs="Arial"/>
                    <w:sz w:val="18"/>
                    <w:szCs w:val="18"/>
                  </w:rPr>
                  <w:t>INE/TSP-Transporte</w:t>
                </w:r>
              </w:sdtContent>
            </w:sdt>
            <w:r w:rsidR="0063444F">
              <w:rPr>
                <w:rFonts w:ascii="Arial" w:hAnsi="Arial" w:eastAsia="Arial" w:cs="Arial"/>
                <w:sz w:val="18"/>
                <w:szCs w:val="18"/>
              </w:rPr>
              <w:t xml:space="preserve"> </w:t>
            </w:r>
          </w:p>
        </w:tc>
      </w:tr>
      <w:tr w:rsidRPr="004A7D07" w:rsidR="0063444F" w:rsidTr="4EF2AA49" w14:paraId="19EE7A84" w14:textId="77777777">
        <w:tc>
          <w:tcPr>
            <w:tcW w:w="3768" w:type="dxa"/>
            <w:tcMar/>
          </w:tcPr>
          <w:p w:rsidRPr="00D97FAD" w:rsidR="0063444F" w:rsidP="00634BF5" w:rsidRDefault="0063444F" w14:paraId="19EE7A8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Responsable de Desembolso:</w:t>
            </w:r>
          </w:p>
        </w:tc>
        <w:sdt>
          <w:sdtPr>
            <w:rPr>
              <w:rFonts w:ascii="Arial" w:hAnsi="Arial" w:eastAsia="Arial" w:cs="Arial"/>
              <w:sz w:val="18"/>
              <w:szCs w:val="18"/>
            </w:rPr>
            <w:alias w:val="UNIT_DISBUR"/>
            <w:tag w:val="UNIT_DISBUR"/>
            <w:id w:val="1666504500"/>
            <w:lock w:val="sdtContentLocked"/>
            <w:placeholder>
              <w:docPart w:val="8B66A08724A34AF98568A0CB687D7FB9"/>
            </w:placeholder>
            <w:showingPlcHdr/>
          </w:sdtPr>
          <w:sdtEndPr/>
          <w:sdtContent>
            <w:tc>
              <w:tcPr>
                <w:tcW w:w="5772" w:type="dxa"/>
              </w:tcPr>
              <w:p w:rsidRPr="00D97FAD" w:rsidR="0063444F" w:rsidP="004A7024" w:rsidRDefault="0063444F" w14:paraId="19EE7A83" w14:textId="00584ED1">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INE/INE-Sector de Infraestructura y Energía</w:t>
                </w:r>
              </w:p>
            </w:tc>
          </w:sdtContent>
        </w:sdt>
      </w:tr>
      <w:tr w:rsidRPr="00306DD4" w:rsidR="00916BEA" w:rsidTr="4EF2AA49" w14:paraId="19EE7A87" w14:textId="77777777">
        <w:tc>
          <w:tcPr>
            <w:tcW w:w="3768" w:type="dxa"/>
            <w:tcMar/>
          </w:tcPr>
          <w:p w:rsidRPr="00D97FAD" w:rsidR="00916BEA" w:rsidP="00916BEA" w:rsidRDefault="00916BEA" w14:paraId="19EE7A85" w14:textId="77777777">
            <w:pPr>
              <w:pStyle w:val="ListParagraph"/>
              <w:numPr>
                <w:ilvl w:val="0"/>
                <w:numId w:val="2"/>
              </w:numPr>
              <w:spacing w:after="60"/>
              <w:ind w:left="180" w:hanging="180"/>
              <w:contextualSpacing w:val="0"/>
              <w:jc w:val="both"/>
              <w:rPr>
                <w:rFonts w:ascii="Arial" w:hAnsi="Arial" w:eastAsia="Arial" w:cs="Arial"/>
                <w:sz w:val="18"/>
                <w:szCs w:val="18"/>
                <w:lang w:val="pt-BR"/>
              </w:rPr>
            </w:pPr>
            <w:r w:rsidRPr="6640F5AC">
              <w:rPr>
                <w:rFonts w:ascii="Arial" w:hAnsi="Arial" w:eastAsia="Arial" w:cs="Arial"/>
                <w:sz w:val="18"/>
                <w:szCs w:val="18"/>
                <w:lang w:val="es-ES"/>
              </w:rPr>
              <w:t xml:space="preserve">CT incluida en la Estrategia de País (s/n): </w:t>
            </w:r>
          </w:p>
        </w:tc>
        <w:tc>
          <w:tcPr>
            <w:tcW w:w="5772" w:type="dxa"/>
            <w:tcMar/>
          </w:tcPr>
          <w:p w:rsidRPr="003820CC" w:rsidR="00916BEA" w:rsidP="00916BEA" w:rsidRDefault="00916BEA" w14:paraId="19EE7A86" w14:textId="6880FA5E">
            <w:pPr>
              <w:tabs>
                <w:tab w:val="left" w:pos="3493"/>
              </w:tabs>
              <w:spacing w:after="60"/>
              <w:rPr>
                <w:rFonts w:ascii="Arial" w:hAnsi="Arial" w:eastAsia="Arial" w:cs="Arial"/>
                <w:sz w:val="18"/>
                <w:szCs w:val="18"/>
                <w:lang w:val="es-ES"/>
              </w:rPr>
            </w:pPr>
            <w:r>
              <w:rPr>
                <w:rFonts w:ascii="Arial" w:hAnsi="Arial" w:eastAsia="Arial" w:cs="Arial"/>
                <w:sz w:val="18"/>
                <w:szCs w:val="18"/>
                <w:lang w:val="es-ES"/>
              </w:rPr>
              <w:t>No</w:t>
            </w:r>
          </w:p>
        </w:tc>
      </w:tr>
      <w:tr w:rsidRPr="000531AE" w:rsidR="00916BEA" w:rsidTr="4EF2AA49" w14:paraId="19EE7A8A" w14:textId="77777777">
        <w:tc>
          <w:tcPr>
            <w:tcW w:w="3768" w:type="dxa"/>
            <w:tcMar/>
          </w:tcPr>
          <w:p w:rsidRPr="00D97FAD" w:rsidR="00916BEA" w:rsidP="00916BEA" w:rsidRDefault="00916BEA" w14:paraId="19EE7A88" w14:textId="6DD8F4CF">
            <w:pPr>
              <w:pStyle w:val="ListParagraph"/>
              <w:numPr>
                <w:ilvl w:val="0"/>
                <w:numId w:val="2"/>
              </w:numPr>
              <w:spacing w:after="60"/>
              <w:ind w:left="180" w:hanging="180"/>
              <w:contextualSpacing w:val="0"/>
              <w:jc w:val="both"/>
              <w:rPr>
                <w:rFonts w:ascii="Arial" w:hAnsi="Arial" w:eastAsia="Arial" w:cs="Arial"/>
                <w:sz w:val="18"/>
                <w:szCs w:val="18"/>
                <w:lang w:val="pt-BR"/>
              </w:rPr>
            </w:pPr>
            <w:r>
              <w:rPr>
                <w:rFonts w:ascii="Arial" w:hAnsi="Arial" w:eastAsia="Arial" w:cs="Arial"/>
                <w:sz w:val="18"/>
                <w:szCs w:val="18"/>
                <w:lang w:val="pt-BR"/>
              </w:rPr>
              <w:t>CT inclui</w:t>
            </w:r>
            <w:r w:rsidRPr="6640F5AC">
              <w:rPr>
                <w:rFonts w:ascii="Arial" w:hAnsi="Arial" w:eastAsia="Arial" w:cs="Arial"/>
                <w:sz w:val="18"/>
                <w:szCs w:val="18"/>
                <w:lang w:val="pt-BR"/>
              </w:rPr>
              <w:t>da en CPD (s/n):</w:t>
            </w:r>
          </w:p>
        </w:tc>
        <w:tc>
          <w:tcPr>
            <w:tcW w:w="5772" w:type="dxa"/>
            <w:tcMar/>
          </w:tcPr>
          <w:p w:rsidRPr="0043568A" w:rsidR="00916BEA" w:rsidP="00916BEA" w:rsidRDefault="00916BEA" w14:paraId="19EE7A89" w14:textId="3711CBCE">
            <w:pPr>
              <w:tabs>
                <w:tab w:val="left" w:pos="3697"/>
              </w:tabs>
              <w:spacing w:after="60"/>
              <w:rPr>
                <w:rFonts w:ascii="Arial" w:hAnsi="Arial" w:eastAsia="Arial" w:cs="Arial"/>
                <w:sz w:val="18"/>
                <w:szCs w:val="18"/>
                <w:lang w:val="pt-BR"/>
              </w:rPr>
            </w:pPr>
            <w:r>
              <w:rPr>
                <w:rFonts w:ascii="Arial" w:hAnsi="Arial" w:eastAsia="Arial" w:cs="Arial"/>
                <w:sz w:val="18"/>
                <w:szCs w:val="18"/>
                <w:lang w:val="pt-BR"/>
              </w:rPr>
              <w:t>No</w:t>
            </w:r>
          </w:p>
        </w:tc>
      </w:tr>
      <w:tr w:rsidRPr="004A7D07" w:rsidR="0063444F" w:rsidTr="4EF2AA49" w14:paraId="19EE7A8D" w14:textId="77777777">
        <w:tc>
          <w:tcPr>
            <w:tcW w:w="3768" w:type="dxa"/>
            <w:tcMar/>
          </w:tcPr>
          <w:p w:rsidRPr="00B94294" w:rsidR="0063444F" w:rsidP="00A42037" w:rsidRDefault="0063444F" w14:paraId="19EE7A8B" w14:textId="4B9ACA04">
            <w:pPr>
              <w:pStyle w:val="ListParagraph"/>
              <w:numPr>
                <w:ilvl w:val="0"/>
                <w:numId w:val="2"/>
              </w:numPr>
              <w:spacing w:after="60"/>
              <w:ind w:left="180" w:hanging="180"/>
              <w:contextualSpacing w:val="0"/>
              <w:jc w:val="both"/>
              <w:rPr>
                <w:rFonts w:ascii="Arial" w:hAnsi="Arial" w:eastAsia="Arial" w:cs="Arial"/>
                <w:sz w:val="18"/>
                <w:szCs w:val="18"/>
                <w:lang w:val="es-CL"/>
              </w:rPr>
            </w:pPr>
            <w:proofErr w:type="spellStart"/>
            <w:r w:rsidRPr="4EF2AA49" w:rsidR="0063444F">
              <w:rPr>
                <w:rFonts w:ascii="Arial" w:hAnsi="Arial" w:eastAsia="Arial" w:cs="Arial"/>
                <w:sz w:val="18"/>
                <w:szCs w:val="18"/>
                <w:lang w:val="es-CL"/>
              </w:rPr>
              <w:t>Alineaci</w:t>
            </w:r>
            <w:r w:rsidRPr="4EF2AA49" w:rsidR="0063444F">
              <w:rPr>
                <w:rFonts w:ascii="Arial" w:hAnsi="Arial" w:eastAsia="Arial" w:cs="Arial"/>
                <w:sz w:val="18"/>
                <w:szCs w:val="18"/>
                <w:lang w:val="es-ES"/>
              </w:rPr>
              <w:t>ó</w:t>
            </w:r>
            <w:proofErr w:type="spellEnd"/>
            <w:r w:rsidRPr="4EF2AA49" w:rsidR="0063444F">
              <w:rPr>
                <w:rFonts w:ascii="Arial" w:hAnsi="Arial" w:eastAsia="Arial" w:cs="Arial"/>
                <w:sz w:val="18"/>
                <w:szCs w:val="18"/>
                <w:lang w:val="es-CL"/>
              </w:rPr>
              <w:t>n a la</w:t>
            </w:r>
            <w:r w:rsidRPr="4EF2AA49" w:rsidR="0F111CDF">
              <w:rPr>
                <w:rFonts w:ascii="Arial" w:hAnsi="Arial" w:eastAsia="Arial" w:cs="Arial"/>
                <w:sz w:val="18"/>
                <w:szCs w:val="18"/>
                <w:lang w:val="es-CL"/>
              </w:rPr>
              <w:t xml:space="preserve"> Segunda</w:t>
            </w:r>
            <w:r w:rsidRPr="4EF2AA49" w:rsidR="0063444F">
              <w:rPr>
                <w:rFonts w:ascii="Arial" w:hAnsi="Arial" w:eastAsia="Arial" w:cs="Arial"/>
                <w:sz w:val="18"/>
                <w:szCs w:val="18"/>
                <w:lang w:val="es-CL"/>
              </w:rPr>
              <w:t xml:space="preserve"> </w:t>
            </w:r>
            <w:proofErr w:type="spellStart"/>
            <w:r w:rsidRPr="4EF2AA49" w:rsidR="0063444F">
              <w:rPr>
                <w:rFonts w:ascii="Arial" w:hAnsi="Arial" w:eastAsia="Arial" w:cs="Arial"/>
                <w:sz w:val="18"/>
                <w:szCs w:val="18"/>
                <w:lang w:val="es-CL"/>
              </w:rPr>
              <w:t>Actualizaci</w:t>
            </w:r>
            <w:r w:rsidRPr="4EF2AA49" w:rsidR="0063444F">
              <w:rPr>
                <w:rFonts w:ascii="Arial" w:hAnsi="Arial" w:eastAsia="Arial" w:cs="Arial"/>
                <w:sz w:val="18"/>
                <w:szCs w:val="18"/>
                <w:lang w:val="es-ES"/>
              </w:rPr>
              <w:t>ó</w:t>
            </w:r>
            <w:proofErr w:type="spellEnd"/>
            <w:r w:rsidRPr="4EF2AA49" w:rsidR="0063444F">
              <w:rPr>
                <w:rFonts w:ascii="Arial" w:hAnsi="Arial" w:eastAsia="Arial" w:cs="Arial"/>
                <w:sz w:val="18"/>
                <w:szCs w:val="18"/>
                <w:lang w:val="es-CL"/>
              </w:rPr>
              <w:t>n de la Estrategia Institucional</w:t>
            </w:r>
            <w:r w:rsidRPr="4EF2AA49" w:rsidR="59E0ECF8">
              <w:rPr>
                <w:rFonts w:ascii="Arial" w:hAnsi="Arial" w:eastAsia="Arial" w:cs="Arial"/>
                <w:sz w:val="18"/>
                <w:szCs w:val="18"/>
                <w:lang w:val="es-CL"/>
              </w:rPr>
              <w:t xml:space="preserve"> (UIS)</w:t>
            </w:r>
            <w:r w:rsidRPr="4EF2AA49" w:rsidR="0063444F">
              <w:rPr>
                <w:rFonts w:ascii="Arial" w:hAnsi="Arial" w:eastAsia="Arial" w:cs="Arial"/>
                <w:sz w:val="18"/>
                <w:szCs w:val="18"/>
                <w:lang w:val="es-CL"/>
              </w:rPr>
              <w:t xml:space="preserve"> 20</w:t>
            </w:r>
            <w:r w:rsidRPr="4EF2AA49" w:rsidR="1CF44829">
              <w:rPr>
                <w:rFonts w:ascii="Arial" w:hAnsi="Arial" w:eastAsia="Arial" w:cs="Arial"/>
                <w:sz w:val="18"/>
                <w:szCs w:val="18"/>
                <w:lang w:val="es-CL"/>
              </w:rPr>
              <w:t>20</w:t>
            </w:r>
            <w:r w:rsidRPr="4EF2AA49" w:rsidR="0063444F">
              <w:rPr>
                <w:rFonts w:ascii="Arial" w:hAnsi="Arial" w:eastAsia="Arial" w:cs="Arial"/>
                <w:sz w:val="18"/>
                <w:szCs w:val="18"/>
                <w:lang w:val="es-CL"/>
              </w:rPr>
              <w:t>-202</w:t>
            </w:r>
            <w:r w:rsidRPr="4EF2AA49" w:rsidR="0D9B4E0A">
              <w:rPr>
                <w:rFonts w:ascii="Arial" w:hAnsi="Arial" w:eastAsia="Arial" w:cs="Arial"/>
                <w:sz w:val="18"/>
                <w:szCs w:val="18"/>
                <w:lang w:val="es-CL"/>
              </w:rPr>
              <w:t>3</w:t>
            </w:r>
            <w:r w:rsidRPr="4EF2AA49" w:rsidR="25CB4D67">
              <w:rPr>
                <w:rFonts w:ascii="Arial" w:hAnsi="Arial" w:eastAsia="Arial" w:cs="Arial"/>
                <w:sz w:val="18"/>
                <w:szCs w:val="18"/>
                <w:lang w:val="es-CL"/>
              </w:rPr>
              <w:t xml:space="preserve"> (AB-3190-2)</w:t>
            </w:r>
            <w:r w:rsidRPr="4EF2AA49" w:rsidR="0063444F">
              <w:rPr>
                <w:rFonts w:ascii="Arial" w:hAnsi="Arial" w:eastAsia="Arial" w:cs="Arial"/>
                <w:sz w:val="18"/>
                <w:szCs w:val="18"/>
                <w:lang w:val="es-CL"/>
              </w:rPr>
              <w:t>:</w:t>
            </w:r>
          </w:p>
        </w:tc>
        <w:sdt>
          <w:sdtPr>
            <w:rPr>
              <w:rFonts w:ascii="Arial" w:hAnsi="Arial" w:eastAsia="Arial" w:cs="Arial"/>
              <w:sz w:val="18"/>
              <w:szCs w:val="18"/>
            </w:rPr>
            <w:alias w:val="ALIGNMENT"/>
            <w:tag w:val="ALIGNMENT"/>
            <w:id w:val="268984685"/>
            <w:lock w:val="sdtContentLocked"/>
            <w:placeholder>
              <w:docPart w:val="7892632F922046618500C5AC619A103F"/>
            </w:placeholder>
            <w:showingPlcHdr/>
          </w:sdtPr>
          <w:sdtEndPr/>
          <w:sdtContent>
            <w:tc>
              <w:tcPr>
                <w:tcW w:w="5772" w:type="dxa"/>
              </w:tcPr>
              <w:p w:rsidRPr="00D97FAD" w:rsidR="0063444F" w:rsidP="004A7024" w:rsidRDefault="0063444F" w14:paraId="19EE7A8C" w14:textId="167C3B38">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Productividad e innovación; Igualdad de género</w:t>
                </w:r>
              </w:p>
            </w:tc>
          </w:sdtContent>
        </w:sdt>
      </w:tr>
    </w:tbl>
    <w:p w:rsidRPr="00D97FAD" w:rsidR="0095711B" w:rsidP="27396B44" w:rsidRDefault="27396B44" w14:paraId="19EE7A90" w14:textId="54B18DA0">
      <w:pPr>
        <w:pStyle w:val="ListParagraph"/>
        <w:numPr>
          <w:ilvl w:val="0"/>
          <w:numId w:val="5"/>
        </w:numPr>
        <w:spacing w:before="120" w:after="120" w:line="240" w:lineRule="auto"/>
        <w:contextualSpacing w:val="0"/>
        <w:rPr>
          <w:rFonts w:ascii="Arial" w:hAnsi="Arial" w:eastAsia="Arial" w:cs="Arial"/>
          <w:b/>
          <w:bCs/>
          <w:lang w:val="es-ES"/>
        </w:rPr>
      </w:pPr>
      <w:r w:rsidRPr="27396B44">
        <w:rPr>
          <w:rFonts w:ascii="Arial" w:hAnsi="Arial" w:eastAsia="Arial" w:cs="Arial"/>
          <w:b/>
          <w:bCs/>
          <w:lang w:val="es-ES"/>
        </w:rPr>
        <w:t>Objetivos y Justificación de la CT</w:t>
      </w:r>
    </w:p>
    <w:p w:rsidRPr="004A7D07" w:rsidR="00D4729A" w:rsidP="00D4729A" w:rsidRDefault="00D4729A" w14:paraId="68E8E424" w14:textId="051AD2A0">
      <w:pPr>
        <w:pStyle w:val="ListParagraph"/>
        <w:numPr>
          <w:ilvl w:val="1"/>
          <w:numId w:val="5"/>
        </w:numPr>
        <w:spacing w:before="120" w:after="120" w:line="240" w:lineRule="auto"/>
        <w:ind w:hanging="540"/>
        <w:contextualSpacing w:val="0"/>
        <w:jc w:val="both"/>
        <w:rPr>
          <w:rFonts w:ascii="Arial" w:hAnsi="Arial" w:eastAsia="Arial" w:cs="Arial"/>
          <w:lang w:val="es-ES"/>
        </w:rPr>
      </w:pPr>
      <w:r w:rsidRPr="000512CE">
        <w:rPr>
          <w:rFonts w:ascii="Arial" w:hAnsi="Arial" w:cs="Arial"/>
          <w:lang w:val="es-419"/>
        </w:rPr>
        <w:t xml:space="preserve">Esta Cooperación Técnica (CT) tiene como objetivo principal apoyar a los clientes de Argentina y Brasil en la preparación y ejecución de operaciones del sector </w:t>
      </w:r>
      <w:r>
        <w:rPr>
          <w:rFonts w:ascii="Arial" w:hAnsi="Arial" w:cs="Arial"/>
          <w:lang w:val="es-419"/>
        </w:rPr>
        <w:t>t</w:t>
      </w:r>
      <w:r w:rsidRPr="000512CE">
        <w:rPr>
          <w:rFonts w:ascii="Arial" w:hAnsi="Arial" w:cs="Arial"/>
          <w:lang w:val="es-419"/>
        </w:rPr>
        <w:t xml:space="preserve">ransporte. Esto se llevará a cabo </w:t>
      </w:r>
      <w:r w:rsidR="007B2F78">
        <w:rPr>
          <w:rFonts w:ascii="Arial" w:hAnsi="Arial" w:cs="Arial"/>
          <w:lang w:val="es-419"/>
        </w:rPr>
        <w:t>apoyando</w:t>
      </w:r>
      <w:r w:rsidRPr="000512CE">
        <w:rPr>
          <w:rFonts w:ascii="Arial" w:hAnsi="Arial" w:cs="Arial"/>
          <w:lang w:val="es-419"/>
        </w:rPr>
        <w:t xml:space="preserve"> a diferentes actividades</w:t>
      </w:r>
      <w:r w:rsidR="009A1FDE">
        <w:rPr>
          <w:rFonts w:ascii="Arial" w:hAnsi="Arial" w:cs="Arial"/>
          <w:lang w:val="es-419"/>
        </w:rPr>
        <w:t xml:space="preserve"> durante el ciclo de vida</w:t>
      </w:r>
      <w:r w:rsidRPr="000512CE">
        <w:rPr>
          <w:rFonts w:ascii="Arial" w:hAnsi="Arial" w:cs="Arial"/>
          <w:lang w:val="es-419"/>
        </w:rPr>
        <w:t xml:space="preserve"> de los programas</w:t>
      </w:r>
      <w:r w:rsidR="007B2F78">
        <w:rPr>
          <w:rFonts w:ascii="Arial" w:hAnsi="Arial" w:cs="Arial"/>
          <w:lang w:val="es-419"/>
        </w:rPr>
        <w:t xml:space="preserve"> mediante</w:t>
      </w:r>
      <w:r w:rsidRPr="000512CE">
        <w:rPr>
          <w:rFonts w:ascii="Arial" w:hAnsi="Arial" w:cs="Arial"/>
          <w:lang w:val="es-419"/>
        </w:rPr>
        <w:t xml:space="preserve">: (i) </w:t>
      </w:r>
      <w:r w:rsidR="007B2F78">
        <w:rPr>
          <w:rFonts w:ascii="Arial" w:hAnsi="Arial" w:cs="Arial"/>
          <w:lang w:val="es-419"/>
        </w:rPr>
        <w:t xml:space="preserve">el </w:t>
      </w:r>
      <w:r w:rsidRPr="000512CE">
        <w:rPr>
          <w:rFonts w:ascii="Arial" w:hAnsi="Arial" w:cs="Arial"/>
          <w:lang w:val="es-419"/>
        </w:rPr>
        <w:t>apoy</w:t>
      </w:r>
      <w:r w:rsidR="007B2F78">
        <w:rPr>
          <w:rFonts w:ascii="Arial" w:hAnsi="Arial" w:cs="Arial"/>
          <w:lang w:val="es-419"/>
        </w:rPr>
        <w:t>o</w:t>
      </w:r>
      <w:r w:rsidRPr="000512CE">
        <w:rPr>
          <w:rFonts w:ascii="Arial" w:hAnsi="Arial" w:cs="Arial"/>
          <w:lang w:val="es-419"/>
        </w:rPr>
        <w:t xml:space="preserve"> con consultorías técnicas que respondan a las necesidades específicas de cada proyecto como los estudios técnicos de ingeniería, especificaciones técnicas especiales, plan</w:t>
      </w:r>
      <w:r>
        <w:rPr>
          <w:rFonts w:ascii="Arial" w:hAnsi="Arial" w:cs="Arial"/>
          <w:lang w:val="es-419"/>
        </w:rPr>
        <w:t>es</w:t>
      </w:r>
      <w:r w:rsidRPr="000512CE">
        <w:rPr>
          <w:rFonts w:ascii="Arial" w:hAnsi="Arial" w:cs="Arial"/>
          <w:lang w:val="es-419"/>
        </w:rPr>
        <w:t xml:space="preserve"> de gestión ambiental y social y otros documentos conexos que forman parte del proyecto, necesarios para la formulación, diseño y ejecución de las obras previstas en los programas; y (ii) estudios técnicos y de innovación que permitan ofrecer a nuestros clientes herramientas tecnológicas para mejorar la gestión de los activos viales.</w:t>
      </w:r>
    </w:p>
    <w:p w:rsidRPr="004A7D07" w:rsidR="004A7D07" w:rsidP="004A7D07" w:rsidRDefault="004A7D07" w14:paraId="710EE996" w14:textId="4EFBD334">
      <w:pPr>
        <w:pStyle w:val="ListParagraph"/>
        <w:numPr>
          <w:ilvl w:val="1"/>
          <w:numId w:val="5"/>
        </w:numPr>
        <w:spacing w:before="120" w:after="120" w:line="240" w:lineRule="auto"/>
        <w:ind w:hanging="540"/>
        <w:contextualSpacing w:val="0"/>
        <w:jc w:val="both"/>
        <w:rPr>
          <w:rFonts w:ascii="Arial" w:hAnsi="Arial" w:eastAsia="Arial" w:cs="Arial"/>
          <w:lang w:val="es-ES"/>
        </w:rPr>
      </w:pPr>
      <w:r w:rsidRPr="000512CE">
        <w:rPr>
          <w:rFonts w:ascii="Arial" w:hAnsi="Arial" w:cs="Arial"/>
          <w:lang w:val="es-419"/>
        </w:rPr>
        <w:t>Los p</w:t>
      </w:r>
      <w:r>
        <w:rPr>
          <w:rFonts w:ascii="Arial" w:hAnsi="Arial" w:cs="Arial"/>
          <w:lang w:val="es-419"/>
        </w:rPr>
        <w:t>royectos</w:t>
      </w:r>
      <w:r w:rsidRPr="000512CE">
        <w:rPr>
          <w:rFonts w:ascii="Arial" w:hAnsi="Arial" w:cs="Arial"/>
          <w:lang w:val="es-419"/>
        </w:rPr>
        <w:t xml:space="preserve"> donde se han identificado retos de mejoras y serán beneficiados con esta CT son: (i) en preparación: </w:t>
      </w:r>
      <w:r>
        <w:rPr>
          <w:rFonts w:ascii="Arial" w:hAnsi="Arial" w:cs="Arial"/>
          <w:lang w:val="es-419"/>
        </w:rPr>
        <w:t>P</w:t>
      </w:r>
      <w:r w:rsidRPr="00E21835">
        <w:rPr>
          <w:rFonts w:ascii="Arial" w:hAnsi="Arial" w:cs="Arial"/>
          <w:lang w:val="es-419"/>
        </w:rPr>
        <w:t xml:space="preserve">rograma de </w:t>
      </w:r>
      <w:r>
        <w:rPr>
          <w:rFonts w:ascii="Arial" w:hAnsi="Arial" w:cs="Arial"/>
          <w:lang w:val="es-419"/>
        </w:rPr>
        <w:t>S</w:t>
      </w:r>
      <w:r w:rsidRPr="00E21835">
        <w:rPr>
          <w:rFonts w:ascii="Arial" w:hAnsi="Arial" w:cs="Arial"/>
          <w:lang w:val="es-419"/>
        </w:rPr>
        <w:t xml:space="preserve">eguridad </w:t>
      </w:r>
      <w:r>
        <w:rPr>
          <w:rFonts w:ascii="Arial" w:hAnsi="Arial" w:cs="Arial"/>
          <w:lang w:val="es-419"/>
        </w:rPr>
        <w:t>V</w:t>
      </w:r>
      <w:r w:rsidRPr="00E21835">
        <w:rPr>
          <w:rFonts w:ascii="Arial" w:hAnsi="Arial" w:cs="Arial"/>
          <w:lang w:val="es-419"/>
        </w:rPr>
        <w:t>ial en el área Metropolitana de Buenos Aires</w:t>
      </w:r>
      <w:r>
        <w:rPr>
          <w:rFonts w:ascii="Arial" w:hAnsi="Arial" w:cs="Arial"/>
          <w:lang w:val="es-419"/>
        </w:rPr>
        <w:t xml:space="preserve"> (AR-L1338, </w:t>
      </w:r>
      <w:r>
        <w:rPr>
          <w:rFonts w:ascii="Arial" w:hAnsi="Arial" w:cs="Arial"/>
          <w:lang w:val="es-ES"/>
        </w:rPr>
        <w:t>por un monto de US$</w:t>
      </w:r>
      <w:r w:rsidRPr="0001531C">
        <w:rPr>
          <w:rFonts w:ascii="Arial" w:hAnsi="Arial" w:cs="Arial"/>
          <w:lang w:val="es-ES"/>
        </w:rPr>
        <w:t>2</w:t>
      </w:r>
      <w:r>
        <w:rPr>
          <w:rFonts w:ascii="Arial" w:hAnsi="Arial" w:cs="Arial"/>
          <w:lang w:val="es-ES"/>
        </w:rPr>
        <w:t>00.</w:t>
      </w:r>
      <w:r w:rsidRPr="0001531C">
        <w:rPr>
          <w:rFonts w:ascii="Arial" w:hAnsi="Arial" w:cs="Arial"/>
          <w:lang w:val="es-ES"/>
        </w:rPr>
        <w:t>000</w:t>
      </w:r>
      <w:r>
        <w:rPr>
          <w:rFonts w:ascii="Arial" w:hAnsi="Arial" w:cs="Arial"/>
          <w:lang w:val="es-ES"/>
        </w:rPr>
        <w:t>.</w:t>
      </w:r>
      <w:r w:rsidRPr="0001531C">
        <w:rPr>
          <w:rFonts w:ascii="Arial" w:hAnsi="Arial" w:cs="Arial"/>
          <w:lang w:val="es-ES"/>
        </w:rPr>
        <w:t>000</w:t>
      </w:r>
      <w:r>
        <w:rPr>
          <w:rFonts w:ascii="Arial" w:hAnsi="Arial" w:cs="Arial"/>
          <w:lang w:val="es-ES"/>
        </w:rPr>
        <w:t>,</w:t>
      </w:r>
      <w:r w:rsidRPr="0001531C">
        <w:rPr>
          <w:rFonts w:ascii="Arial" w:hAnsi="Arial" w:cs="Arial"/>
          <w:lang w:val="es-ES"/>
        </w:rPr>
        <w:t>00</w:t>
      </w:r>
      <w:r>
        <w:rPr>
          <w:rFonts w:ascii="Arial" w:hAnsi="Arial" w:cs="Arial"/>
          <w:lang w:val="es-419"/>
        </w:rPr>
        <w:t>) que se encuentra en preparación del POD</w:t>
      </w:r>
      <w:r w:rsidRPr="000512CE">
        <w:rPr>
          <w:rFonts w:ascii="Arial" w:hAnsi="Arial" w:cs="Arial"/>
          <w:lang w:val="es-419"/>
        </w:rPr>
        <w:t xml:space="preserve">, </w:t>
      </w:r>
      <w:r>
        <w:rPr>
          <w:rFonts w:ascii="Arial" w:hAnsi="Arial" w:cs="Arial"/>
          <w:lang w:val="es-419"/>
        </w:rPr>
        <w:t>P</w:t>
      </w:r>
      <w:r w:rsidRPr="00E21835">
        <w:rPr>
          <w:rFonts w:ascii="Arial" w:hAnsi="Arial" w:cs="Arial"/>
          <w:lang w:val="es-419"/>
        </w:rPr>
        <w:t xml:space="preserve">rograma de infraestructura vial para apoyar la producción </w:t>
      </w:r>
      <w:r>
        <w:rPr>
          <w:rFonts w:ascii="Arial" w:hAnsi="Arial" w:cs="Arial"/>
          <w:lang w:val="es-419"/>
        </w:rPr>
        <w:t>F</w:t>
      </w:r>
      <w:r w:rsidRPr="00E21835">
        <w:rPr>
          <w:rFonts w:ascii="Arial" w:hAnsi="Arial" w:cs="Arial"/>
          <w:lang w:val="es-419"/>
        </w:rPr>
        <w:t>ase III</w:t>
      </w:r>
      <w:r>
        <w:rPr>
          <w:rFonts w:ascii="Arial" w:hAnsi="Arial" w:cs="Arial"/>
          <w:lang w:val="es-419"/>
        </w:rPr>
        <w:t xml:space="preserve"> (AR-L1339, </w:t>
      </w:r>
      <w:r>
        <w:rPr>
          <w:rFonts w:ascii="Arial" w:hAnsi="Arial" w:cs="Arial"/>
          <w:lang w:val="es-ES"/>
        </w:rPr>
        <w:t>por un monto de US$1</w:t>
      </w:r>
      <w:r w:rsidRPr="0001531C">
        <w:rPr>
          <w:rFonts w:ascii="Arial" w:hAnsi="Arial" w:cs="Arial"/>
          <w:lang w:val="es-ES"/>
        </w:rPr>
        <w:t>5</w:t>
      </w:r>
      <w:r>
        <w:rPr>
          <w:rFonts w:ascii="Arial" w:hAnsi="Arial" w:cs="Arial"/>
          <w:lang w:val="es-ES"/>
        </w:rPr>
        <w:t>0.</w:t>
      </w:r>
      <w:r w:rsidRPr="0001531C">
        <w:rPr>
          <w:rFonts w:ascii="Arial" w:hAnsi="Arial" w:cs="Arial"/>
          <w:lang w:val="es-ES"/>
        </w:rPr>
        <w:t>000</w:t>
      </w:r>
      <w:r>
        <w:rPr>
          <w:rFonts w:ascii="Arial" w:hAnsi="Arial" w:cs="Arial"/>
          <w:lang w:val="es-ES"/>
        </w:rPr>
        <w:t>.</w:t>
      </w:r>
      <w:r w:rsidRPr="0001531C">
        <w:rPr>
          <w:rFonts w:ascii="Arial" w:hAnsi="Arial" w:cs="Arial"/>
          <w:lang w:val="es-ES"/>
        </w:rPr>
        <w:t>000</w:t>
      </w:r>
      <w:r>
        <w:rPr>
          <w:rFonts w:ascii="Arial" w:hAnsi="Arial" w:cs="Arial"/>
          <w:lang w:val="es-ES"/>
        </w:rPr>
        <w:t>,</w:t>
      </w:r>
      <w:r w:rsidRPr="0001531C">
        <w:rPr>
          <w:rFonts w:ascii="Arial" w:hAnsi="Arial" w:cs="Arial"/>
          <w:lang w:val="es-ES"/>
        </w:rPr>
        <w:t>00</w:t>
      </w:r>
      <w:r w:rsidRPr="00E21835">
        <w:rPr>
          <w:rFonts w:ascii="Arial" w:hAnsi="Arial" w:cs="Arial"/>
          <w:lang w:val="es-419"/>
        </w:rPr>
        <w:t>)</w:t>
      </w:r>
      <w:r>
        <w:rPr>
          <w:rFonts w:ascii="Arial" w:hAnsi="Arial" w:cs="Arial"/>
          <w:lang w:val="es-419"/>
        </w:rPr>
        <w:t xml:space="preserve"> que se encuentra en negociación</w:t>
      </w:r>
      <w:r w:rsidRPr="000512CE">
        <w:rPr>
          <w:rFonts w:ascii="Arial" w:hAnsi="Arial" w:cs="Arial"/>
          <w:lang w:val="es-419"/>
        </w:rPr>
        <w:t xml:space="preserve">, y </w:t>
      </w:r>
      <w:r>
        <w:rPr>
          <w:rFonts w:ascii="Arial" w:hAnsi="Arial" w:cs="Arial"/>
          <w:lang w:val="es-419"/>
        </w:rPr>
        <w:t xml:space="preserve">el </w:t>
      </w:r>
      <w:r w:rsidRPr="000512CE">
        <w:rPr>
          <w:rFonts w:ascii="Arial" w:hAnsi="Arial" w:cs="Arial"/>
          <w:lang w:val="es-419"/>
        </w:rPr>
        <w:t xml:space="preserve">proyecto en preparación en el estado de Paraná (Brasil); y (ii) en ejecución: </w:t>
      </w:r>
      <w:r>
        <w:rPr>
          <w:rFonts w:ascii="Arial" w:hAnsi="Arial" w:cs="Arial"/>
          <w:lang w:val="es-ES"/>
        </w:rPr>
        <w:t>P</w:t>
      </w:r>
      <w:r w:rsidRPr="004F4524">
        <w:rPr>
          <w:rFonts w:ascii="Arial" w:hAnsi="Arial" w:cs="Arial"/>
          <w:lang w:val="es-ES"/>
        </w:rPr>
        <w:t>rograma de movilidad urbana sustentable de Santo André</w:t>
      </w:r>
      <w:r>
        <w:rPr>
          <w:rFonts w:ascii="Arial" w:hAnsi="Arial" w:cs="Arial"/>
          <w:lang w:val="es-ES"/>
        </w:rPr>
        <w:t xml:space="preserve"> </w:t>
      </w:r>
      <w:r w:rsidRPr="004F4524">
        <w:rPr>
          <w:rFonts w:ascii="Arial" w:hAnsi="Arial" w:cs="Arial"/>
          <w:lang w:val="es-ES"/>
        </w:rPr>
        <w:t xml:space="preserve">(BR-L1402, por </w:t>
      </w:r>
      <w:r w:rsidRPr="004F4524">
        <w:rPr>
          <w:rFonts w:ascii="Arial" w:hAnsi="Arial" w:cs="Arial"/>
          <w:lang w:val="es-ES"/>
        </w:rPr>
        <w:lastRenderedPageBreak/>
        <w:t>un monto de US$25</w:t>
      </w:r>
      <w:r>
        <w:rPr>
          <w:rFonts w:ascii="Arial" w:hAnsi="Arial" w:cs="Arial"/>
          <w:lang w:val="es-ES"/>
        </w:rPr>
        <w:t>.</w:t>
      </w:r>
      <w:r w:rsidRPr="004F4524">
        <w:rPr>
          <w:rFonts w:ascii="Arial" w:hAnsi="Arial" w:cs="Arial"/>
          <w:lang w:val="es-ES"/>
        </w:rPr>
        <w:t>000</w:t>
      </w:r>
      <w:r>
        <w:rPr>
          <w:rFonts w:ascii="Arial" w:hAnsi="Arial" w:cs="Arial"/>
          <w:lang w:val="es-ES"/>
        </w:rPr>
        <w:t>.</w:t>
      </w:r>
      <w:r w:rsidRPr="004F4524">
        <w:rPr>
          <w:rFonts w:ascii="Arial" w:hAnsi="Arial" w:cs="Arial"/>
          <w:lang w:val="es-ES"/>
        </w:rPr>
        <w:t>000</w:t>
      </w:r>
      <w:r>
        <w:rPr>
          <w:rFonts w:ascii="Arial" w:hAnsi="Arial" w:cs="Arial"/>
          <w:lang w:val="es-ES"/>
        </w:rPr>
        <w:t>,</w:t>
      </w:r>
      <w:r w:rsidRPr="004F4524">
        <w:rPr>
          <w:rFonts w:ascii="Arial" w:hAnsi="Arial" w:cs="Arial"/>
          <w:lang w:val="es-ES"/>
        </w:rPr>
        <w:t>00)</w:t>
      </w:r>
      <w:r>
        <w:rPr>
          <w:rFonts w:ascii="Arial" w:hAnsi="Arial" w:cs="Arial"/>
          <w:lang w:val="es-ES"/>
        </w:rPr>
        <w:t xml:space="preserve"> </w:t>
      </w:r>
      <w:r w:rsidRPr="000512CE">
        <w:rPr>
          <w:rFonts w:ascii="Arial" w:hAnsi="Arial" w:cs="Arial"/>
          <w:lang w:val="es-419"/>
        </w:rPr>
        <w:t xml:space="preserve">y </w:t>
      </w:r>
      <w:r>
        <w:rPr>
          <w:rFonts w:ascii="Arial" w:hAnsi="Arial" w:cs="Arial"/>
          <w:lang w:val="es-ES"/>
        </w:rPr>
        <w:t>P</w:t>
      </w:r>
      <w:r w:rsidRPr="004F4524">
        <w:rPr>
          <w:rFonts w:ascii="Arial" w:hAnsi="Arial" w:cs="Arial"/>
          <w:lang w:val="es-ES"/>
        </w:rPr>
        <w:t>rograma estratégico de infraestructura y logística de transportes en Paraná (BR-L1434; por un monto de US$235</w:t>
      </w:r>
      <w:r>
        <w:rPr>
          <w:rFonts w:ascii="Arial" w:hAnsi="Arial" w:cs="Arial"/>
          <w:lang w:val="es-ES"/>
        </w:rPr>
        <w:t>.</w:t>
      </w:r>
      <w:r w:rsidRPr="004F4524">
        <w:rPr>
          <w:rFonts w:ascii="Arial" w:hAnsi="Arial" w:cs="Arial"/>
          <w:lang w:val="es-ES"/>
        </w:rPr>
        <w:t>000</w:t>
      </w:r>
      <w:r>
        <w:rPr>
          <w:rFonts w:ascii="Arial" w:hAnsi="Arial" w:cs="Arial"/>
          <w:lang w:val="es-ES"/>
        </w:rPr>
        <w:t>.</w:t>
      </w:r>
      <w:r w:rsidRPr="004F4524">
        <w:rPr>
          <w:rFonts w:ascii="Arial" w:hAnsi="Arial" w:cs="Arial"/>
          <w:lang w:val="es-ES"/>
        </w:rPr>
        <w:t>000</w:t>
      </w:r>
      <w:r>
        <w:rPr>
          <w:rFonts w:ascii="Arial" w:hAnsi="Arial" w:cs="Arial"/>
          <w:lang w:val="es-ES"/>
        </w:rPr>
        <w:t>,</w:t>
      </w:r>
      <w:r w:rsidRPr="004F4524">
        <w:rPr>
          <w:rFonts w:ascii="Arial" w:hAnsi="Arial" w:cs="Arial"/>
          <w:lang w:val="es-ES"/>
        </w:rPr>
        <w:t>00)</w:t>
      </w:r>
      <w:r w:rsidRPr="000512CE">
        <w:rPr>
          <w:rFonts w:ascii="Arial" w:hAnsi="Arial" w:cs="Arial"/>
          <w:lang w:val="es-419"/>
        </w:rPr>
        <w:t>. Durante la ejecución de la CT se podrá incluir proyectos adicionales a los mencionados que muestren necesidades relevantes en</w:t>
      </w:r>
      <w:r>
        <w:rPr>
          <w:rFonts w:ascii="Arial" w:hAnsi="Arial" w:cs="Arial"/>
          <w:lang w:val="es-419"/>
        </w:rPr>
        <w:t xml:space="preserve"> preparación y</w:t>
      </w:r>
      <w:r w:rsidRPr="000512CE">
        <w:rPr>
          <w:rFonts w:ascii="Arial" w:hAnsi="Arial" w:cs="Arial"/>
          <w:lang w:val="es-419"/>
        </w:rPr>
        <w:t xml:space="preserve"> ejecución</w:t>
      </w:r>
      <w:r>
        <w:rPr>
          <w:rFonts w:ascii="Arial" w:hAnsi="Arial" w:cs="Arial"/>
          <w:lang w:val="es-419"/>
        </w:rPr>
        <w:t xml:space="preserve"> en estos dos países</w:t>
      </w:r>
      <w:r w:rsidRPr="000512CE">
        <w:rPr>
          <w:rFonts w:ascii="Arial" w:hAnsi="Arial" w:cs="Arial"/>
          <w:lang w:val="es-419"/>
        </w:rPr>
        <w:t>.</w:t>
      </w:r>
    </w:p>
    <w:p w:rsidRPr="00D15F56" w:rsidR="00D4729A" w:rsidP="00D4729A" w:rsidRDefault="00D4729A" w14:paraId="49852D84" w14:textId="5DB3B873">
      <w:pPr>
        <w:pStyle w:val="ListParagraph"/>
        <w:numPr>
          <w:ilvl w:val="1"/>
          <w:numId w:val="5"/>
        </w:numPr>
        <w:spacing w:before="120" w:after="120" w:line="240" w:lineRule="auto"/>
        <w:ind w:hanging="540"/>
        <w:contextualSpacing w:val="0"/>
        <w:jc w:val="both"/>
        <w:rPr>
          <w:rFonts w:ascii="Arial" w:hAnsi="Arial" w:eastAsia="Arial" w:cs="Arial"/>
          <w:lang w:val="es-ES"/>
        </w:rPr>
      </w:pPr>
      <w:r w:rsidRPr="00D15F56">
        <w:rPr>
          <w:rFonts w:ascii="Arial" w:hAnsi="Arial" w:cs="Arial"/>
          <w:b/>
          <w:bCs/>
          <w:lang w:val="es-419"/>
        </w:rPr>
        <w:t>Justificación.</w:t>
      </w:r>
      <w:r w:rsidRPr="00D15F56">
        <w:rPr>
          <w:rFonts w:ascii="Arial" w:hAnsi="Arial" w:cs="Arial"/>
          <w:lang w:val="es-419"/>
        </w:rPr>
        <w:t xml:space="preserve"> En América Latina y el Caribe (ALC), los sobrecostos representan el 48% del presupuesto inicial duplicando el promedio mundial de 28</w:t>
      </w:r>
      <w:r w:rsidRPr="00A428D3">
        <w:rPr>
          <w:rFonts w:ascii="Arial" w:hAnsi="Arial" w:cs="Arial"/>
          <w:lang w:val="es-419"/>
        </w:rPr>
        <w:t>%</w:t>
      </w:r>
      <w:r w:rsidRPr="00A428D3">
        <w:rPr>
          <w:rFonts w:ascii="Arial" w:hAnsi="Arial" w:cs="Arial"/>
          <w:vertAlign w:val="superscript"/>
        </w:rPr>
        <w:footnoteReference w:id="2"/>
      </w:r>
      <w:r w:rsidRPr="00A428D3">
        <w:rPr>
          <w:rFonts w:ascii="Arial" w:hAnsi="Arial" w:cs="Arial"/>
          <w:lang w:val="es-419"/>
        </w:rPr>
        <w:t>, complicando aún más el panorama al conocer que estos sobrecostos han ido aumentando a lo largo del tiempo comparando con Europa y Asia donde han disminuido</w:t>
      </w:r>
      <w:r w:rsidRPr="00A428D3">
        <w:rPr>
          <w:rFonts w:ascii="Arial" w:hAnsi="Arial" w:cs="Arial"/>
          <w:vertAlign w:val="superscript"/>
        </w:rPr>
        <w:footnoteReference w:id="3"/>
      </w:r>
      <w:r w:rsidRPr="00A428D3">
        <w:rPr>
          <w:rFonts w:ascii="Arial" w:hAnsi="Arial" w:cs="Arial"/>
          <w:lang w:val="es-419"/>
        </w:rPr>
        <w:t>.</w:t>
      </w:r>
      <w:r w:rsidRPr="00D15F56">
        <w:rPr>
          <w:rFonts w:ascii="Arial" w:hAnsi="Arial" w:cs="Arial"/>
          <w:lang w:val="es-419"/>
        </w:rPr>
        <w:t xml:space="preserve"> La mayor diferencia en sobrecostos se encuentra en la construcción de caminos con un </w:t>
      </w:r>
      <w:r w:rsidR="00957857">
        <w:rPr>
          <w:rFonts w:ascii="Arial" w:hAnsi="Arial" w:cs="Arial"/>
          <w:lang w:val="es-419"/>
        </w:rPr>
        <w:br/>
      </w:r>
      <w:r w:rsidRPr="00D15F56">
        <w:rPr>
          <w:rFonts w:ascii="Arial" w:hAnsi="Arial" w:cs="Arial"/>
          <w:lang w:val="es-419"/>
        </w:rPr>
        <w:t>23% en todo el mundo comparado con un 53% de A</w:t>
      </w:r>
      <w:r w:rsidR="00957857">
        <w:rPr>
          <w:rFonts w:ascii="Arial" w:hAnsi="Arial" w:cs="Arial"/>
          <w:lang w:val="es-419"/>
        </w:rPr>
        <w:t>L</w:t>
      </w:r>
      <w:r w:rsidRPr="00D15F56">
        <w:rPr>
          <w:rFonts w:ascii="Arial" w:hAnsi="Arial" w:cs="Arial"/>
          <w:lang w:val="es-419"/>
        </w:rPr>
        <w:t xml:space="preserve">C. </w:t>
      </w:r>
    </w:p>
    <w:p w:rsidRPr="00D15F56" w:rsidR="00D4729A" w:rsidP="00D4729A" w:rsidRDefault="00D4729A" w14:paraId="15300523" w14:textId="464D5769">
      <w:pPr>
        <w:pStyle w:val="ListParagraph"/>
        <w:numPr>
          <w:ilvl w:val="1"/>
          <w:numId w:val="5"/>
        </w:numPr>
        <w:spacing w:before="120" w:after="120" w:line="240" w:lineRule="auto"/>
        <w:ind w:hanging="540"/>
        <w:contextualSpacing w:val="0"/>
        <w:jc w:val="both"/>
        <w:rPr>
          <w:rFonts w:ascii="Arial" w:hAnsi="Arial" w:eastAsia="Arial" w:cs="Arial"/>
          <w:lang w:val="es-ES"/>
        </w:rPr>
      </w:pPr>
      <w:r w:rsidRPr="00D15F56">
        <w:rPr>
          <w:rFonts w:ascii="Arial" w:hAnsi="Arial" w:cs="Arial"/>
          <w:lang w:val="es-419"/>
        </w:rPr>
        <w:t>Los sobrecostos en obras se presentan por diversos factores</w:t>
      </w:r>
      <w:r>
        <w:rPr>
          <w:rFonts w:ascii="Arial" w:hAnsi="Arial" w:cs="Arial"/>
          <w:lang w:val="es-419"/>
        </w:rPr>
        <w:t>,</w:t>
      </w:r>
      <w:r w:rsidRPr="00D15F56">
        <w:rPr>
          <w:rFonts w:ascii="Arial" w:hAnsi="Arial" w:cs="Arial"/>
          <w:lang w:val="es-419"/>
        </w:rPr>
        <w:t xml:space="preserve"> entre ellos casos fortuitos que no se pudieron planificar</w:t>
      </w:r>
      <w:r>
        <w:rPr>
          <w:rFonts w:ascii="Arial" w:hAnsi="Arial" w:cs="Arial"/>
          <w:lang w:val="es-419"/>
        </w:rPr>
        <w:t>,</w:t>
      </w:r>
      <w:r w:rsidRPr="00D15F56">
        <w:rPr>
          <w:rFonts w:ascii="Arial" w:hAnsi="Arial" w:cs="Arial"/>
          <w:lang w:val="es-419"/>
        </w:rPr>
        <w:t xml:space="preserve"> como hallar yacimientos arqueológicos en zonas inesperadas; sin embargo, una adecuada gestión y planificación desde etapas tempranas de los ciclos de un proyecto</w:t>
      </w:r>
      <w:r w:rsidR="00FA5E20">
        <w:rPr>
          <w:rFonts w:ascii="Arial" w:hAnsi="Arial" w:cs="Arial"/>
          <w:lang w:val="es-419"/>
        </w:rPr>
        <w:t xml:space="preserve"> ayudan a</w:t>
      </w:r>
      <w:r>
        <w:rPr>
          <w:rFonts w:ascii="Arial" w:hAnsi="Arial" w:cs="Arial"/>
          <w:lang w:val="es-419"/>
        </w:rPr>
        <w:t xml:space="preserve"> anticipa</w:t>
      </w:r>
      <w:r w:rsidR="00FA5E20">
        <w:rPr>
          <w:rFonts w:ascii="Arial" w:hAnsi="Arial" w:cs="Arial"/>
          <w:lang w:val="es-419"/>
        </w:rPr>
        <w:t>r</w:t>
      </w:r>
      <w:r>
        <w:rPr>
          <w:rFonts w:ascii="Arial" w:hAnsi="Arial" w:cs="Arial"/>
          <w:lang w:val="es-419"/>
        </w:rPr>
        <w:t xml:space="preserve"> los riesgos</w:t>
      </w:r>
      <w:r w:rsidR="00FA5E20">
        <w:rPr>
          <w:rFonts w:ascii="Arial" w:hAnsi="Arial" w:cs="Arial"/>
          <w:lang w:val="es-419"/>
        </w:rPr>
        <w:t xml:space="preserve"> de sobrecosto</w:t>
      </w:r>
      <w:r w:rsidRPr="00D15F56">
        <w:rPr>
          <w:rFonts w:ascii="Arial" w:hAnsi="Arial" w:cs="Arial"/>
          <w:lang w:val="es-419"/>
        </w:rPr>
        <w:t xml:space="preserve"> reduc</w:t>
      </w:r>
      <w:r>
        <w:rPr>
          <w:rFonts w:ascii="Arial" w:hAnsi="Arial" w:cs="Arial"/>
          <w:lang w:val="es-419"/>
        </w:rPr>
        <w:t>iendo</w:t>
      </w:r>
      <w:r w:rsidRPr="00D15F56">
        <w:rPr>
          <w:rFonts w:ascii="Arial" w:hAnsi="Arial" w:cs="Arial"/>
          <w:lang w:val="es-419"/>
        </w:rPr>
        <w:t xml:space="preserve"> el porcentaje de </w:t>
      </w:r>
      <w:r w:rsidR="00FA5E20">
        <w:rPr>
          <w:rFonts w:ascii="Arial" w:hAnsi="Arial" w:cs="Arial"/>
          <w:lang w:val="es-419"/>
        </w:rPr>
        <w:t>modificaciones</w:t>
      </w:r>
      <w:r w:rsidRPr="00D15F56">
        <w:rPr>
          <w:rFonts w:ascii="Arial" w:hAnsi="Arial" w:cs="Arial"/>
          <w:lang w:val="es-419"/>
        </w:rPr>
        <w:t xml:space="preserve"> que normalmente afectan</w:t>
      </w:r>
      <w:r>
        <w:rPr>
          <w:rFonts w:ascii="Arial" w:hAnsi="Arial" w:cs="Arial"/>
          <w:lang w:val="es-419"/>
        </w:rPr>
        <w:t xml:space="preserve"> a</w:t>
      </w:r>
      <w:r w:rsidRPr="00D15F56">
        <w:rPr>
          <w:rFonts w:ascii="Arial" w:hAnsi="Arial" w:cs="Arial"/>
          <w:lang w:val="es-419"/>
        </w:rPr>
        <w:t xml:space="preserve"> los plazos de las obras directamente.</w:t>
      </w:r>
    </w:p>
    <w:p w:rsidRPr="00B43934" w:rsidR="00D4729A" w:rsidP="00D4729A" w:rsidRDefault="00D4729A" w14:paraId="6E41BD92"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cs="Arial"/>
          <w:lang w:val="es-419"/>
        </w:rPr>
        <w:t xml:space="preserve">La </w:t>
      </w:r>
      <w:r w:rsidRPr="000512CE">
        <w:rPr>
          <w:rFonts w:ascii="Arial" w:hAnsi="Arial" w:cs="Arial"/>
          <w:lang w:val="es-419"/>
        </w:rPr>
        <w:t>División de Transporte (INE/TSP)</w:t>
      </w:r>
      <w:r w:rsidRPr="00D15F56">
        <w:rPr>
          <w:rFonts w:ascii="Arial" w:hAnsi="Arial" w:cs="Arial"/>
          <w:lang w:val="es-419"/>
        </w:rPr>
        <w:t xml:space="preserve"> ha adoptado estrategias gerenciales que no solo apuntan al escalamiento en la toma de decisiones técnicas y sectoriales en proyectos, sino también en la mejora del desempeño de los proyectos y el manejo cada vez más eficiente de los recursos. La estrategia ha sido mejorar la eficiencia y el impacto de la inversión en infraestructura de transporte, fundamentada en tres pilares: (i) mejorar los tiempos de ejecución de los proyectos; (ii) anticipar y gestionar el riesgo de sobrecostos; y (iii) comunicar el valor agregado en ejecución.</w:t>
      </w:r>
    </w:p>
    <w:p w:rsidRPr="006F31ED" w:rsidR="00D4729A" w:rsidP="00D4729A" w:rsidRDefault="00D4729A" w14:paraId="6B126A2B" w14:textId="6A30F2DB">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cs="Arial"/>
          <w:lang w:val="es-419"/>
        </w:rPr>
        <w:t>La</w:t>
      </w:r>
      <w:r w:rsidRPr="000F1264">
        <w:rPr>
          <w:rFonts w:ascii="Arial" w:hAnsi="Arial" w:cs="Arial"/>
          <w:lang w:val="es-419"/>
        </w:rPr>
        <w:t xml:space="preserve"> pandemia de COVID-19 ha mostrad</w:t>
      </w:r>
      <w:r>
        <w:rPr>
          <w:rFonts w:ascii="Arial" w:hAnsi="Arial" w:cs="Arial"/>
          <w:lang w:val="es-419"/>
        </w:rPr>
        <w:t>o</w:t>
      </w:r>
      <w:r w:rsidRPr="000F1264">
        <w:rPr>
          <w:rFonts w:ascii="Arial" w:hAnsi="Arial" w:cs="Arial"/>
          <w:lang w:val="es-419"/>
        </w:rPr>
        <w:t xml:space="preserve"> la necesidad de la implementación de herramientas tecnológicas en la gestión de proyectos facilitando el trabajo a distancia </w:t>
      </w:r>
      <w:r w:rsidR="004809D9">
        <w:rPr>
          <w:rFonts w:ascii="Arial" w:hAnsi="Arial" w:cs="Arial"/>
          <w:lang w:val="es-419"/>
        </w:rPr>
        <w:t>de los</w:t>
      </w:r>
      <w:r w:rsidRPr="000F1264">
        <w:rPr>
          <w:rFonts w:ascii="Arial" w:hAnsi="Arial" w:cs="Arial"/>
          <w:lang w:val="es-419"/>
        </w:rPr>
        <w:t xml:space="preserve"> equipos</w:t>
      </w:r>
      <w:r>
        <w:rPr>
          <w:rFonts w:ascii="Arial" w:hAnsi="Arial" w:cs="Arial"/>
          <w:lang w:val="es-419"/>
        </w:rPr>
        <w:t xml:space="preserve"> para supervisar proyectos</w:t>
      </w:r>
      <w:r w:rsidR="007C14F9">
        <w:rPr>
          <w:rFonts w:ascii="Arial" w:hAnsi="Arial" w:cs="Arial"/>
          <w:lang w:val="es-419"/>
        </w:rPr>
        <w:t xml:space="preserve"> remotamente</w:t>
      </w:r>
      <w:r>
        <w:rPr>
          <w:rFonts w:ascii="Arial" w:hAnsi="Arial" w:cs="Arial"/>
          <w:lang w:val="es-419"/>
        </w:rPr>
        <w:t xml:space="preserve"> y mejorar su eficiencia y control en las diferentes etapas</w:t>
      </w:r>
      <w:r w:rsidRPr="000F1264">
        <w:rPr>
          <w:rFonts w:ascii="Arial" w:hAnsi="Arial" w:cs="Arial"/>
          <w:lang w:val="es-419"/>
        </w:rPr>
        <w:t>.</w:t>
      </w:r>
      <w:r w:rsidRPr="006D540C">
        <w:rPr>
          <w:rFonts w:ascii="Arial" w:hAnsi="Arial" w:cs="Arial"/>
          <w:lang w:val="es-419"/>
        </w:rPr>
        <w:t xml:space="preserve"> Acompañando transversalmente a </w:t>
      </w:r>
      <w:r>
        <w:rPr>
          <w:rFonts w:ascii="Arial" w:hAnsi="Arial" w:cs="Arial"/>
          <w:lang w:val="es-419"/>
        </w:rPr>
        <w:t>estos</w:t>
      </w:r>
      <w:r w:rsidRPr="006D540C">
        <w:rPr>
          <w:rFonts w:ascii="Arial" w:hAnsi="Arial" w:cs="Arial"/>
          <w:lang w:val="es-419"/>
        </w:rPr>
        <w:t xml:space="preserve"> tres pilares y a la innovación tecnológica, </w:t>
      </w:r>
      <w:r w:rsidRPr="000512CE">
        <w:rPr>
          <w:rFonts w:ascii="Arial" w:hAnsi="Arial" w:cs="Arial"/>
          <w:lang w:val="es-419"/>
        </w:rPr>
        <w:t>INE/TSP</w:t>
      </w:r>
      <w:r>
        <w:rPr>
          <w:rFonts w:ascii="Arial" w:hAnsi="Arial" w:cs="Arial"/>
          <w:lang w:val="es-419"/>
        </w:rPr>
        <w:t xml:space="preserve"> se encuentra desarrollando varias iniciativas para una mejor gestión de los proyectos de infraestructura; como también, implementando proyectos innovadores que eleven los estándares de la región mostrando conceptos que son implementados en países más desarrollados. Algunos ejemplos de estas iniciativas es el proyecto Pavimenta2, que es una herramienta que sirve para conocer el estado del pavimento por medio de cámaras e inteligencia artificial la cual ahorraría grandes valores en el levantamiento de información de la</w:t>
      </w:r>
      <w:r w:rsidR="00313422">
        <w:rPr>
          <w:rFonts w:ascii="Arial" w:hAnsi="Arial" w:cs="Arial"/>
          <w:lang w:val="es-419"/>
        </w:rPr>
        <w:t>s</w:t>
      </w:r>
      <w:r>
        <w:rPr>
          <w:rFonts w:ascii="Arial" w:hAnsi="Arial" w:cs="Arial"/>
          <w:lang w:val="es-419"/>
        </w:rPr>
        <w:t xml:space="preserve"> red</w:t>
      </w:r>
      <w:r w:rsidR="00313422">
        <w:rPr>
          <w:rFonts w:ascii="Arial" w:hAnsi="Arial" w:cs="Arial"/>
          <w:lang w:val="es-419"/>
        </w:rPr>
        <w:t>es</w:t>
      </w:r>
      <w:r>
        <w:rPr>
          <w:rFonts w:ascii="Arial" w:hAnsi="Arial" w:cs="Arial"/>
          <w:lang w:val="es-419"/>
        </w:rPr>
        <w:t xml:space="preserve"> vial</w:t>
      </w:r>
      <w:r w:rsidR="00313422">
        <w:rPr>
          <w:rFonts w:ascii="Arial" w:hAnsi="Arial" w:cs="Arial"/>
          <w:lang w:val="es-419"/>
        </w:rPr>
        <w:t>es</w:t>
      </w:r>
      <w:r>
        <w:rPr>
          <w:rFonts w:ascii="Arial" w:hAnsi="Arial" w:cs="Arial"/>
          <w:lang w:val="es-419"/>
        </w:rPr>
        <w:t xml:space="preserve">. También se están desarrollando </w:t>
      </w:r>
      <w:r w:rsidRPr="008C7B96">
        <w:rPr>
          <w:rFonts w:ascii="Arial" w:hAnsi="Arial" w:cs="Arial"/>
          <w:lang w:val="es-419"/>
        </w:rPr>
        <w:t xml:space="preserve">iniciativas de Seguridad Vial, junto con International Road Assessment Programme (iRAP) </w:t>
      </w:r>
      <w:r>
        <w:rPr>
          <w:rFonts w:ascii="Arial" w:hAnsi="Arial" w:cs="Arial"/>
          <w:lang w:val="es-419"/>
        </w:rPr>
        <w:t>que consiste en</w:t>
      </w:r>
      <w:r w:rsidRPr="008C7B96">
        <w:rPr>
          <w:rFonts w:ascii="Arial" w:hAnsi="Arial" w:cs="Arial"/>
          <w:lang w:val="es-419"/>
        </w:rPr>
        <w:t xml:space="preserve"> la implementación de un proceso digital de identificación y </w:t>
      </w:r>
      <w:r w:rsidRPr="00FD103C">
        <w:rPr>
          <w:rFonts w:ascii="Arial" w:hAnsi="Arial" w:cs="Arial"/>
          <w:lang w:val="es-419"/>
        </w:rPr>
        <w:t xml:space="preserve">priorización de inversiones. Por otro lado, se ha desarrollado la promoción de Asociaciones Público-Privadas (APP) en Brasil lo cual se ha demostrado que mejora la eficiencia de la gestión de activos viales e incrementa </w:t>
      </w:r>
      <w:r>
        <w:rPr>
          <w:rFonts w:ascii="Arial" w:hAnsi="Arial" w:cs="Arial"/>
          <w:lang w:val="es-419"/>
        </w:rPr>
        <w:t xml:space="preserve">las </w:t>
      </w:r>
      <w:r w:rsidRPr="00FD103C">
        <w:rPr>
          <w:rFonts w:ascii="Arial" w:hAnsi="Arial" w:cs="Arial"/>
          <w:lang w:val="es-419"/>
        </w:rPr>
        <w:t>inversiones para el desarrollo de infraestructuras y servicios de logística y transportes de personas y cargas.</w:t>
      </w:r>
    </w:p>
    <w:p w:rsidRPr="000512CE" w:rsidR="006C4159" w:rsidP="006C4159" w:rsidRDefault="006C4159" w14:paraId="3486F543"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0512CE">
        <w:rPr>
          <w:rFonts w:ascii="Arial" w:hAnsi="Arial" w:cs="Arial"/>
          <w:lang w:val="es-419"/>
        </w:rPr>
        <w:t>Históricamente Argentina y Brasil han sido las carteras financieramente más significativas para INE/TSP del Banco. Además de su importancia en volumen</w:t>
      </w:r>
      <w:r>
        <w:rPr>
          <w:rFonts w:ascii="Arial" w:hAnsi="Arial" w:cs="Arial"/>
          <w:lang w:val="es-419"/>
        </w:rPr>
        <w:t>,</w:t>
      </w:r>
      <w:r w:rsidRPr="000512CE">
        <w:rPr>
          <w:rFonts w:ascii="Arial" w:hAnsi="Arial" w:cs="Arial"/>
          <w:lang w:val="es-419"/>
        </w:rPr>
        <w:t xml:space="preserve"> también se trata de países grandes y con gobernanza compleja lo que implica algunos retos para la preparación y ejecución de los proyectos. El acompañamiento técnico del Banco ha sido fundamental para la eficiente preparación y ejecución de los </w:t>
      </w:r>
      <w:r w:rsidRPr="000512CE">
        <w:rPr>
          <w:rFonts w:ascii="Arial" w:hAnsi="Arial" w:cs="Arial"/>
          <w:lang w:val="es-419"/>
        </w:rPr>
        <w:lastRenderedPageBreak/>
        <w:t xml:space="preserve">programas, así como relevante para los </w:t>
      </w:r>
      <w:r>
        <w:rPr>
          <w:rFonts w:ascii="Arial" w:hAnsi="Arial" w:cs="Arial"/>
          <w:lang w:val="es-419"/>
        </w:rPr>
        <w:t>Organismos E</w:t>
      </w:r>
      <w:r w:rsidRPr="000512CE">
        <w:rPr>
          <w:rFonts w:ascii="Arial" w:hAnsi="Arial" w:cs="Arial"/>
          <w:lang w:val="es-419"/>
        </w:rPr>
        <w:t>jecutores</w:t>
      </w:r>
      <w:r>
        <w:rPr>
          <w:rFonts w:ascii="Arial" w:hAnsi="Arial" w:cs="Arial"/>
          <w:lang w:val="es-419"/>
        </w:rPr>
        <w:t xml:space="preserve"> (OE)</w:t>
      </w:r>
      <w:r w:rsidRPr="000512CE">
        <w:rPr>
          <w:rFonts w:ascii="Arial" w:hAnsi="Arial" w:cs="Arial"/>
          <w:lang w:val="es-419"/>
        </w:rPr>
        <w:t>, quienes recurren al Banco como asesor técnico, lo que ha generado un valor agregado importante a los proyectos financiados.</w:t>
      </w:r>
    </w:p>
    <w:p w:rsidRPr="00A3575E" w:rsidR="0070087B" w:rsidP="0070087B" w:rsidRDefault="0070087B" w14:paraId="50818FF9"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0512CE">
        <w:rPr>
          <w:rFonts w:ascii="Arial" w:hAnsi="Arial" w:cs="Arial"/>
          <w:lang w:val="es-419"/>
        </w:rPr>
        <w:t>Las características de las carteras son similares. Argentina con 1</w:t>
      </w:r>
      <w:r>
        <w:rPr>
          <w:rFonts w:ascii="Arial" w:hAnsi="Arial" w:cs="Arial"/>
          <w:lang w:val="es-419"/>
        </w:rPr>
        <w:t>1</w:t>
      </w:r>
      <w:r w:rsidRPr="000512CE">
        <w:rPr>
          <w:rFonts w:ascii="Arial" w:hAnsi="Arial" w:cs="Arial"/>
          <w:lang w:val="es-419"/>
        </w:rPr>
        <w:t xml:space="preserve"> programas activos por un monto total de más de US$2</w:t>
      </w:r>
      <w:r>
        <w:rPr>
          <w:rFonts w:ascii="Arial" w:hAnsi="Arial" w:cs="Arial"/>
          <w:lang w:val="es-419"/>
        </w:rPr>
        <w:t>.</w:t>
      </w:r>
      <w:r w:rsidRPr="000512CE">
        <w:rPr>
          <w:rFonts w:ascii="Arial" w:hAnsi="Arial" w:cs="Arial"/>
          <w:lang w:val="es-419"/>
        </w:rPr>
        <w:t>800 millones, un desembolso a la fecha de 4</w:t>
      </w:r>
      <w:r>
        <w:rPr>
          <w:rFonts w:ascii="Arial" w:hAnsi="Arial" w:cs="Arial"/>
          <w:lang w:val="es-419"/>
        </w:rPr>
        <w:t>7</w:t>
      </w:r>
      <w:r w:rsidRPr="000512CE">
        <w:rPr>
          <w:rFonts w:ascii="Arial" w:hAnsi="Arial" w:cs="Arial"/>
          <w:lang w:val="es-419"/>
        </w:rPr>
        <w:t xml:space="preserve">% y </w:t>
      </w:r>
      <w:r>
        <w:rPr>
          <w:rFonts w:ascii="Arial" w:hAnsi="Arial" w:cs="Arial"/>
          <w:lang w:val="es-419"/>
        </w:rPr>
        <w:t>6</w:t>
      </w:r>
      <w:r w:rsidRPr="000512CE">
        <w:rPr>
          <w:rFonts w:ascii="Arial" w:hAnsi="Arial" w:cs="Arial"/>
          <w:lang w:val="es-419"/>
        </w:rPr>
        <w:t>,</w:t>
      </w:r>
      <w:r>
        <w:rPr>
          <w:rFonts w:ascii="Arial" w:hAnsi="Arial" w:cs="Arial"/>
          <w:lang w:val="es-419"/>
        </w:rPr>
        <w:t>3</w:t>
      </w:r>
      <w:r w:rsidRPr="000512CE">
        <w:rPr>
          <w:rFonts w:ascii="Arial" w:hAnsi="Arial" w:cs="Arial"/>
          <w:lang w:val="es-419"/>
        </w:rPr>
        <w:t xml:space="preserve"> años promedio de</w:t>
      </w:r>
      <w:r>
        <w:rPr>
          <w:rFonts w:ascii="Arial" w:hAnsi="Arial" w:cs="Arial"/>
          <w:lang w:val="es-419"/>
        </w:rPr>
        <w:t xml:space="preserve"> duración de préstamos</w:t>
      </w:r>
      <w:r w:rsidRPr="000512CE">
        <w:rPr>
          <w:rFonts w:ascii="Arial" w:hAnsi="Arial" w:cs="Arial"/>
          <w:lang w:val="es-419"/>
        </w:rPr>
        <w:t xml:space="preserve">. Por otro lado, Brasil con </w:t>
      </w:r>
      <w:r w:rsidRPr="000512CE">
        <w:rPr>
          <w:rFonts w:ascii="Arial" w:hAnsi="Arial" w:cs="Arial"/>
          <w:lang w:val="es-419"/>
        </w:rPr>
        <w:br/>
      </w:r>
      <w:r>
        <w:rPr>
          <w:rFonts w:ascii="Arial" w:hAnsi="Arial" w:cs="Arial"/>
          <w:lang w:val="es-419"/>
        </w:rPr>
        <w:t>9</w:t>
      </w:r>
      <w:r w:rsidRPr="000512CE">
        <w:rPr>
          <w:rFonts w:ascii="Arial" w:hAnsi="Arial" w:cs="Arial"/>
          <w:lang w:val="es-419"/>
        </w:rPr>
        <w:t xml:space="preserve"> programas activos por un monto total de más de US$</w:t>
      </w:r>
      <w:r>
        <w:rPr>
          <w:rFonts w:ascii="Arial" w:hAnsi="Arial" w:cs="Arial"/>
          <w:lang w:val="es-419"/>
        </w:rPr>
        <w:t>2.375</w:t>
      </w:r>
      <w:r w:rsidRPr="000512CE">
        <w:rPr>
          <w:rFonts w:ascii="Arial" w:hAnsi="Arial" w:cs="Arial"/>
          <w:lang w:val="es-419"/>
        </w:rPr>
        <w:t xml:space="preserve"> millones, un desembolso a la fecha de un 5</w:t>
      </w:r>
      <w:r>
        <w:rPr>
          <w:rFonts w:ascii="Arial" w:hAnsi="Arial" w:cs="Arial"/>
          <w:lang w:val="es-419"/>
        </w:rPr>
        <w:t>0</w:t>
      </w:r>
      <w:r w:rsidRPr="000512CE">
        <w:rPr>
          <w:rFonts w:ascii="Arial" w:hAnsi="Arial" w:cs="Arial"/>
          <w:lang w:val="es-419"/>
        </w:rPr>
        <w:t xml:space="preserve">% y </w:t>
      </w:r>
      <w:r>
        <w:rPr>
          <w:rFonts w:ascii="Arial" w:hAnsi="Arial" w:cs="Arial"/>
          <w:lang w:val="es-419"/>
        </w:rPr>
        <w:t>5</w:t>
      </w:r>
      <w:r w:rsidRPr="000512CE">
        <w:rPr>
          <w:rFonts w:ascii="Arial" w:hAnsi="Arial" w:cs="Arial"/>
          <w:lang w:val="es-419"/>
        </w:rPr>
        <w:t>,</w:t>
      </w:r>
      <w:r>
        <w:rPr>
          <w:rFonts w:ascii="Arial" w:hAnsi="Arial" w:cs="Arial"/>
          <w:lang w:val="es-419"/>
        </w:rPr>
        <w:t>0</w:t>
      </w:r>
      <w:r w:rsidRPr="000512CE">
        <w:rPr>
          <w:rFonts w:ascii="Arial" w:hAnsi="Arial" w:cs="Arial"/>
          <w:lang w:val="es-419"/>
        </w:rPr>
        <w:t xml:space="preserve"> años promedio de la cartera. En ambos países</w:t>
      </w:r>
      <w:r>
        <w:rPr>
          <w:rFonts w:ascii="Arial" w:hAnsi="Arial" w:cs="Arial"/>
          <w:lang w:val="es-419"/>
        </w:rPr>
        <w:t>,</w:t>
      </w:r>
      <w:r w:rsidRPr="000512CE">
        <w:rPr>
          <w:rFonts w:ascii="Arial" w:hAnsi="Arial" w:cs="Arial"/>
          <w:lang w:val="es-419"/>
        </w:rPr>
        <w:t xml:space="preserve"> </w:t>
      </w:r>
      <w:r>
        <w:rPr>
          <w:rFonts w:ascii="Arial" w:hAnsi="Arial" w:cs="Arial"/>
          <w:lang w:val="es-419"/>
        </w:rPr>
        <w:t>que</w:t>
      </w:r>
      <w:r w:rsidRPr="000512CE">
        <w:rPr>
          <w:rFonts w:ascii="Arial" w:hAnsi="Arial" w:cs="Arial"/>
          <w:lang w:val="es-419"/>
        </w:rPr>
        <w:t xml:space="preserve"> presentan carteras similares y cercanía física, se han identificado necesidades semejantes </w:t>
      </w:r>
      <w:r>
        <w:rPr>
          <w:rFonts w:ascii="Arial" w:hAnsi="Arial" w:cs="Arial"/>
          <w:lang w:val="es-419"/>
        </w:rPr>
        <w:t>de</w:t>
      </w:r>
      <w:r w:rsidRPr="000512CE">
        <w:rPr>
          <w:rFonts w:ascii="Arial" w:hAnsi="Arial" w:cs="Arial"/>
          <w:lang w:val="es-419"/>
        </w:rPr>
        <w:t xml:space="preserve"> mejoras de la eficiencia de la preparación y ejecución de los programas.</w:t>
      </w:r>
    </w:p>
    <w:p w:rsidRPr="004F4524" w:rsidR="0070087B" w:rsidP="0070087B" w:rsidRDefault="0070087B" w14:paraId="157D3414"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E21835">
        <w:rPr>
          <w:rFonts w:ascii="Arial" w:hAnsi="Arial" w:cs="Arial"/>
          <w:lang w:val="es-419"/>
        </w:rPr>
        <w:t>Los dos préstamos en preparación en Argentina que serán apoyados con esta CT</w:t>
      </w:r>
      <w:r>
        <w:rPr>
          <w:rFonts w:ascii="Arial" w:hAnsi="Arial" w:cs="Arial"/>
          <w:lang w:val="es-419"/>
        </w:rPr>
        <w:t xml:space="preserve"> se encuentran en preparación</w:t>
      </w:r>
      <w:r w:rsidRPr="00E21835">
        <w:rPr>
          <w:rFonts w:ascii="Arial" w:hAnsi="Arial" w:cs="Arial"/>
          <w:lang w:val="es-419"/>
        </w:rPr>
        <w:t xml:space="preserve">. </w:t>
      </w:r>
      <w:r>
        <w:rPr>
          <w:rFonts w:ascii="Arial" w:hAnsi="Arial" w:cs="Arial"/>
          <w:lang w:val="es-419"/>
        </w:rPr>
        <w:t>P</w:t>
      </w:r>
      <w:r w:rsidRPr="00E21835">
        <w:rPr>
          <w:rFonts w:ascii="Arial" w:hAnsi="Arial" w:cs="Arial"/>
          <w:lang w:val="es-419"/>
        </w:rPr>
        <w:t xml:space="preserve">réstamos anteriores que se encuentran activos en la cartera de TSP con este país, se ha identificado retos relacionas a la capacidad institucional del </w:t>
      </w:r>
      <w:r>
        <w:rPr>
          <w:rFonts w:ascii="Arial" w:hAnsi="Arial" w:cs="Arial"/>
          <w:lang w:val="es-419"/>
        </w:rPr>
        <w:t>OE</w:t>
      </w:r>
      <w:r w:rsidRPr="00E21835">
        <w:rPr>
          <w:rFonts w:ascii="Arial" w:hAnsi="Arial" w:cs="Arial"/>
          <w:lang w:val="es-419"/>
        </w:rPr>
        <w:t xml:space="preserve"> lo cual se ha traducido en demoras en las contrataciones y licitaciones produciendo extensiones</w:t>
      </w:r>
      <w:r>
        <w:rPr>
          <w:rFonts w:ascii="Arial" w:hAnsi="Arial" w:cs="Arial"/>
          <w:lang w:val="es-419"/>
        </w:rPr>
        <w:t xml:space="preserve"> de</w:t>
      </w:r>
      <w:r w:rsidRPr="00E21835">
        <w:rPr>
          <w:rFonts w:ascii="Arial" w:hAnsi="Arial" w:cs="Arial"/>
          <w:lang w:val="es-419"/>
        </w:rPr>
        <w:t xml:space="preserve"> los préstamos con el Banco</w:t>
      </w:r>
      <w:r>
        <w:rPr>
          <w:rFonts w:ascii="Arial" w:hAnsi="Arial" w:cs="Arial"/>
          <w:lang w:val="es-419"/>
        </w:rPr>
        <w:t>.</w:t>
      </w:r>
      <w:r w:rsidRPr="00E21835">
        <w:rPr>
          <w:rFonts w:ascii="Arial" w:hAnsi="Arial" w:cs="Arial"/>
          <w:lang w:val="es-419"/>
        </w:rPr>
        <w:t xml:space="preserve"> </w:t>
      </w:r>
      <w:r>
        <w:rPr>
          <w:rFonts w:ascii="Arial" w:hAnsi="Arial" w:cs="Arial"/>
          <w:lang w:val="es-419"/>
        </w:rPr>
        <w:t>P</w:t>
      </w:r>
      <w:r w:rsidRPr="00E21835">
        <w:rPr>
          <w:rFonts w:ascii="Arial" w:hAnsi="Arial" w:cs="Arial"/>
          <w:lang w:val="es-419"/>
        </w:rPr>
        <w:t>or lo cual, es necesario realizar una aplicación de las estrategias gerencias con el fin de anticipar</w:t>
      </w:r>
      <w:r>
        <w:rPr>
          <w:rFonts w:ascii="Arial" w:hAnsi="Arial" w:cs="Arial"/>
          <w:lang w:val="es-419"/>
        </w:rPr>
        <w:t>se</w:t>
      </w:r>
      <w:r w:rsidRPr="00E21835">
        <w:rPr>
          <w:rFonts w:ascii="Arial" w:hAnsi="Arial" w:cs="Arial"/>
          <w:lang w:val="es-419"/>
        </w:rPr>
        <w:t xml:space="preserve"> </w:t>
      </w:r>
      <w:r>
        <w:rPr>
          <w:rFonts w:ascii="Arial" w:hAnsi="Arial" w:cs="Arial"/>
          <w:lang w:val="es-419"/>
        </w:rPr>
        <w:t>a</w:t>
      </w:r>
      <w:r w:rsidRPr="00E21835">
        <w:rPr>
          <w:rFonts w:ascii="Arial" w:hAnsi="Arial" w:cs="Arial"/>
          <w:lang w:val="es-419"/>
        </w:rPr>
        <w:t>l riesgo presentado en otros proyectos en etapa</w:t>
      </w:r>
      <w:r>
        <w:rPr>
          <w:rFonts w:ascii="Arial" w:hAnsi="Arial" w:cs="Arial"/>
          <w:lang w:val="es-419"/>
        </w:rPr>
        <w:t>s</w:t>
      </w:r>
      <w:r w:rsidRPr="00E21835">
        <w:rPr>
          <w:rFonts w:ascii="Arial" w:hAnsi="Arial" w:cs="Arial"/>
          <w:lang w:val="es-419"/>
        </w:rPr>
        <w:t xml:space="preserve"> temprana</w:t>
      </w:r>
      <w:r>
        <w:rPr>
          <w:rFonts w:ascii="Arial" w:hAnsi="Arial" w:cs="Arial"/>
          <w:lang w:val="es-419"/>
        </w:rPr>
        <w:t>s</w:t>
      </w:r>
      <w:r w:rsidRPr="00E21835">
        <w:rPr>
          <w:rFonts w:ascii="Arial" w:hAnsi="Arial" w:cs="Arial"/>
          <w:lang w:val="es-419"/>
        </w:rPr>
        <w:t xml:space="preserve"> de los nuevos</w:t>
      </w:r>
      <w:r>
        <w:rPr>
          <w:rFonts w:ascii="Arial" w:hAnsi="Arial" w:cs="Arial"/>
          <w:lang w:val="es-419"/>
        </w:rPr>
        <w:t xml:space="preserve"> préstamos</w:t>
      </w:r>
      <w:r w:rsidRPr="00E21835">
        <w:rPr>
          <w:rFonts w:ascii="Arial" w:hAnsi="Arial" w:cs="Arial"/>
          <w:lang w:val="es-419"/>
        </w:rPr>
        <w:t xml:space="preserve"> a aprobarse. Por otro lado, para el </w:t>
      </w:r>
      <w:r>
        <w:rPr>
          <w:rFonts w:ascii="Arial" w:hAnsi="Arial" w:cs="Arial"/>
          <w:lang w:val="es-419"/>
        </w:rPr>
        <w:t xml:space="preserve">programa en </w:t>
      </w:r>
      <w:r w:rsidRPr="00E21835">
        <w:rPr>
          <w:rFonts w:ascii="Arial" w:hAnsi="Arial" w:cs="Arial"/>
          <w:lang w:val="es-419"/>
        </w:rPr>
        <w:t>preparación en el estado de Paraná (Brasil)</w:t>
      </w:r>
      <w:r>
        <w:rPr>
          <w:rFonts w:ascii="Arial" w:hAnsi="Arial" w:cs="Arial"/>
          <w:lang w:val="es-419"/>
        </w:rPr>
        <w:t xml:space="preserve"> se implementará desde su planificación herramientas de</w:t>
      </w:r>
      <w:r w:rsidRPr="000512CE">
        <w:rPr>
          <w:rFonts w:ascii="Arial" w:hAnsi="Arial" w:cs="Arial"/>
          <w:lang w:val="es-419"/>
        </w:rPr>
        <w:t xml:space="preserve"> </w:t>
      </w:r>
      <w:r>
        <w:rPr>
          <w:rFonts w:ascii="Arial" w:hAnsi="Arial" w:cs="Arial"/>
          <w:lang w:val="es-419"/>
        </w:rPr>
        <w:t>tecnológicas innovadoras</w:t>
      </w:r>
      <w:r w:rsidRPr="000512CE">
        <w:rPr>
          <w:rFonts w:ascii="Arial" w:hAnsi="Arial" w:cs="Arial"/>
          <w:lang w:val="es-419"/>
        </w:rPr>
        <w:t xml:space="preserve"> que permitan </w:t>
      </w:r>
      <w:r>
        <w:rPr>
          <w:rFonts w:ascii="Arial" w:hAnsi="Arial" w:cs="Arial"/>
          <w:lang w:val="es-419"/>
        </w:rPr>
        <w:t xml:space="preserve">al OE tener una mejor </w:t>
      </w:r>
      <w:r w:rsidRPr="000512CE">
        <w:rPr>
          <w:rFonts w:ascii="Arial" w:hAnsi="Arial" w:cs="Arial"/>
          <w:lang w:val="es-419"/>
        </w:rPr>
        <w:t>gestión de los activos viales</w:t>
      </w:r>
      <w:r>
        <w:rPr>
          <w:rFonts w:ascii="Arial" w:hAnsi="Arial" w:cs="Arial"/>
          <w:lang w:val="es-419"/>
        </w:rPr>
        <w:t xml:space="preserve"> incrementando su capacidad administrativa, ya que se conoce por experiencias previas que los programas de este estado superan las 120 obras por préstamo, lo que facilitaría el seguimiento tanto para el OE como para el Banco.</w:t>
      </w:r>
    </w:p>
    <w:p w:rsidRPr="00A3575E" w:rsidR="0070087B" w:rsidP="0070087B" w:rsidRDefault="0070087B" w14:paraId="7F4396F6"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4F4524">
        <w:rPr>
          <w:rFonts w:ascii="Arial" w:hAnsi="Arial" w:cs="Arial"/>
          <w:lang w:val="es-ES"/>
        </w:rPr>
        <w:t>Con respecto a los proyectos en ejecución se apoyará a dos préstamos en Brasil</w:t>
      </w:r>
      <w:r>
        <w:rPr>
          <w:rFonts w:ascii="Arial" w:hAnsi="Arial" w:cs="Arial"/>
          <w:lang w:val="es-ES"/>
        </w:rPr>
        <w:t xml:space="preserve">, estos préstamos tienen aproximadamente el 60% de monto vigente por desembolsar y tienen dos años hasta su fecha de último desembolso, lo cual da un amplio margen de actuación para poder aplicar planes definidos para </w:t>
      </w:r>
      <w:r w:rsidRPr="000512CE">
        <w:rPr>
          <w:rFonts w:ascii="Arial" w:hAnsi="Arial" w:cs="Arial"/>
          <w:lang w:val="es-419"/>
        </w:rPr>
        <w:t>mejorar los tiempos de ejecución de los proyectos</w:t>
      </w:r>
      <w:r>
        <w:rPr>
          <w:rFonts w:ascii="Arial" w:hAnsi="Arial" w:cs="Arial"/>
          <w:lang w:val="es-419"/>
        </w:rPr>
        <w:t xml:space="preserve">, y estudiar </w:t>
      </w:r>
      <w:r w:rsidRPr="000512CE">
        <w:rPr>
          <w:rFonts w:ascii="Arial" w:hAnsi="Arial" w:cs="Arial"/>
          <w:lang w:val="es-419"/>
        </w:rPr>
        <w:t xml:space="preserve">y gestionar </w:t>
      </w:r>
      <w:r>
        <w:rPr>
          <w:rFonts w:ascii="Arial" w:hAnsi="Arial" w:cs="Arial"/>
          <w:lang w:val="es-419"/>
        </w:rPr>
        <w:t xml:space="preserve">posibles cambios de presupuesto en las obras. Esto contribuirá a la </w:t>
      </w:r>
      <w:r w:rsidRPr="000512CE">
        <w:rPr>
          <w:rFonts w:ascii="Arial" w:hAnsi="Arial" w:cs="Arial"/>
          <w:lang w:val="es-419"/>
        </w:rPr>
        <w:t xml:space="preserve">eficiencia y </w:t>
      </w:r>
      <w:r>
        <w:rPr>
          <w:rFonts w:ascii="Arial" w:hAnsi="Arial" w:cs="Arial"/>
          <w:lang w:val="es-419"/>
        </w:rPr>
        <w:t>a</w:t>
      </w:r>
      <w:r w:rsidRPr="000512CE">
        <w:rPr>
          <w:rFonts w:ascii="Arial" w:hAnsi="Arial" w:cs="Arial"/>
          <w:lang w:val="es-419"/>
        </w:rPr>
        <w:t xml:space="preserve">l impacto de la inversión </w:t>
      </w:r>
      <w:r>
        <w:rPr>
          <w:rFonts w:ascii="Arial" w:hAnsi="Arial" w:cs="Arial"/>
          <w:lang w:val="es-419"/>
        </w:rPr>
        <w:t xml:space="preserve">de los recursos en infraestructura. Al aplicar los planes de acción que se desarrollarán estudiando los casos específicos de cada préstamo se podrá implementar soluciones en proyectos reales que se tomarían como pilotos para destacar lecciones aprendidas y poder aplicar a otros préstamos y obras en la cartera de INE/TSP </w:t>
      </w:r>
      <w:r w:rsidRPr="000512CE">
        <w:rPr>
          <w:rFonts w:ascii="Arial" w:hAnsi="Arial" w:cs="Arial"/>
          <w:lang w:val="es-419"/>
        </w:rPr>
        <w:t>comunica</w:t>
      </w:r>
      <w:r>
        <w:rPr>
          <w:rFonts w:ascii="Arial" w:hAnsi="Arial" w:cs="Arial"/>
          <w:lang w:val="es-419"/>
        </w:rPr>
        <w:t>ndo</w:t>
      </w:r>
      <w:r w:rsidRPr="000512CE">
        <w:rPr>
          <w:rFonts w:ascii="Arial" w:hAnsi="Arial" w:cs="Arial"/>
          <w:lang w:val="es-419"/>
        </w:rPr>
        <w:t xml:space="preserve"> el valor agregado </w:t>
      </w:r>
      <w:r>
        <w:rPr>
          <w:rFonts w:ascii="Arial" w:hAnsi="Arial" w:cs="Arial"/>
          <w:lang w:val="es-419"/>
        </w:rPr>
        <w:t>de las mejoras en</w:t>
      </w:r>
      <w:r w:rsidRPr="000512CE">
        <w:rPr>
          <w:rFonts w:ascii="Arial" w:hAnsi="Arial" w:cs="Arial"/>
          <w:lang w:val="es-419"/>
        </w:rPr>
        <w:t xml:space="preserve"> ejecución.</w:t>
      </w:r>
    </w:p>
    <w:p w:rsidRPr="002E7005" w:rsidR="0070087B" w:rsidP="0070087B" w:rsidRDefault="0070087B" w14:paraId="5F03684E" w14:textId="77777777">
      <w:pPr>
        <w:pStyle w:val="ListParagraph"/>
        <w:numPr>
          <w:ilvl w:val="1"/>
          <w:numId w:val="5"/>
        </w:numPr>
        <w:spacing w:before="120" w:after="120" w:line="240" w:lineRule="auto"/>
        <w:ind w:hanging="547"/>
        <w:contextualSpacing w:val="0"/>
        <w:jc w:val="both"/>
        <w:rPr>
          <w:rFonts w:ascii="Arial" w:hAnsi="Arial" w:eastAsia="Arial" w:cs="Arial"/>
          <w:lang w:val="es-ES"/>
        </w:rPr>
      </w:pPr>
      <w:r w:rsidRPr="009011F7">
        <w:rPr>
          <w:rFonts w:ascii="Arial" w:hAnsi="Arial" w:eastAsia="Arial" w:cs="Arial"/>
          <w:lang w:val="es-ES"/>
        </w:rPr>
        <w:t xml:space="preserve">Para asegurar la sostenibilidad </w:t>
      </w:r>
      <w:r>
        <w:rPr>
          <w:rFonts w:ascii="Arial" w:hAnsi="Arial" w:eastAsia="Arial" w:cs="Arial"/>
          <w:lang w:val="es-ES"/>
        </w:rPr>
        <w:t xml:space="preserve">de las actividades se capacitará a los OE en la utilización de las herramientas tecnológicas desarrolladas para que puedan ser implementadas antes del cierre de esta CT y su posterior mantenimiento, asegurando de esta manera el entendimiento del producto junto con la confirmación de los beneficios que esto traerá para la ejecución de los proyectos. A su vez, las actividades a realizar en esta CT contribuyen al objetivo de </w:t>
      </w:r>
      <w:r w:rsidRPr="00530868">
        <w:rPr>
          <w:rFonts w:ascii="Arial" w:hAnsi="Arial" w:eastAsia="Arial" w:cs="Arial"/>
          <w:lang w:val="es-ES"/>
        </w:rPr>
        <w:t>optimizar la calidad del diseño y la eficiencia en la ejecución de los proyectos de infraestructura de los Programas Estratégicos para el Desarrollo Financiados con Capital Ordinario (GN-2819-1) a través del apoyo técnico a la preparación y ejecución de programas junto con la optimización de procesos por medio de herramientas tecnológicas para la gestión de obras y servicios de mantenimiento</w:t>
      </w:r>
      <w:r w:rsidRPr="00A153ED">
        <w:rPr>
          <w:rFonts w:ascii="Arial" w:hAnsi="Arial" w:cs="Arial"/>
          <w:lang w:val="es-419"/>
        </w:rPr>
        <w:t xml:space="preserve"> de infraestructura</w:t>
      </w:r>
      <w:r>
        <w:rPr>
          <w:rFonts w:ascii="Arial" w:hAnsi="Arial" w:cs="Arial"/>
          <w:lang w:val="es-419"/>
        </w:rPr>
        <w:t>.</w:t>
      </w:r>
    </w:p>
    <w:p w:rsidRPr="005E5956" w:rsidR="0070087B" w:rsidP="0070087B" w:rsidRDefault="0070087B" w14:paraId="20C56BCD" w14:textId="18396996">
      <w:pPr>
        <w:pStyle w:val="ListParagraph"/>
        <w:numPr>
          <w:ilvl w:val="1"/>
          <w:numId w:val="5"/>
        </w:numPr>
        <w:spacing w:before="120" w:after="120" w:line="240" w:lineRule="auto"/>
        <w:ind w:hanging="540"/>
        <w:contextualSpacing w:val="0"/>
        <w:jc w:val="both"/>
        <w:rPr>
          <w:rFonts w:ascii="Arial" w:hAnsi="Arial" w:eastAsia="Arial" w:cs="Arial"/>
          <w:lang w:val="es-ES"/>
        </w:rPr>
      </w:pPr>
      <w:r w:rsidRPr="006F31ED">
        <w:rPr>
          <w:rFonts w:ascii="Arial" w:hAnsi="Arial" w:eastAsia="Arial" w:cs="Arial"/>
          <w:b/>
          <w:bCs/>
          <w:lang w:val="es-ES"/>
        </w:rPr>
        <w:t xml:space="preserve">Alineación </w:t>
      </w:r>
      <w:r>
        <w:rPr>
          <w:rFonts w:ascii="Arial" w:hAnsi="Arial" w:eastAsia="Arial" w:cs="Arial"/>
          <w:b/>
          <w:bCs/>
          <w:lang w:val="es-ES"/>
        </w:rPr>
        <w:t>e</w:t>
      </w:r>
      <w:r w:rsidRPr="006F31ED">
        <w:rPr>
          <w:rFonts w:ascii="Arial" w:hAnsi="Arial" w:eastAsia="Arial" w:cs="Arial"/>
          <w:b/>
          <w:bCs/>
          <w:lang w:val="es-ES"/>
        </w:rPr>
        <w:t>stratégica.</w:t>
      </w:r>
      <w:r w:rsidRPr="006F31ED">
        <w:rPr>
          <w:rFonts w:ascii="Arial" w:hAnsi="Arial" w:eastAsia="Arial" w:cs="Arial"/>
          <w:lang w:val="es-ES"/>
        </w:rPr>
        <w:t xml:space="preserve"> </w:t>
      </w:r>
      <w:r w:rsidRPr="006F31ED">
        <w:rPr>
          <w:rFonts w:ascii="Arial" w:hAnsi="Arial" w:eastAsia="Arial" w:cs="Arial"/>
          <w:lang w:val="es-AR"/>
        </w:rPr>
        <w:t>Esta CT es consistente con la Actualización de la Estrategia Institucional (UIS) 2020-2023 (AB-3190-2) y se alinea con el desafío de</w:t>
      </w:r>
      <w:r w:rsidRPr="006F31ED">
        <w:rPr>
          <w:rFonts w:ascii="Arial" w:hAnsi="Arial" w:cs="Arial"/>
          <w:lang w:val="es-419"/>
        </w:rPr>
        <w:t xml:space="preserve"> Productividad </w:t>
      </w:r>
      <w:r w:rsidRPr="006F31ED">
        <w:rPr>
          <w:rFonts w:ascii="Arial" w:hAnsi="Arial" w:cs="Arial"/>
          <w:lang w:val="es-419"/>
        </w:rPr>
        <w:lastRenderedPageBreak/>
        <w:t xml:space="preserve">Innovación, bajo el criterio de promover inversiones en servicios de infraestructura y servicios de transporte </w:t>
      </w:r>
      <w:r w:rsidRPr="006C7764">
        <w:rPr>
          <w:rFonts w:ascii="Arial" w:hAnsi="Arial" w:eastAsia="Arial" w:cs="Arial"/>
          <w:lang w:val="es-AR"/>
        </w:rPr>
        <w:t xml:space="preserve">que mejoren la productividad. </w:t>
      </w:r>
      <w:r w:rsidRPr="006F31ED">
        <w:rPr>
          <w:rFonts w:ascii="Arial" w:hAnsi="Arial" w:cs="Arial"/>
          <w:lang w:val="es-419"/>
        </w:rPr>
        <w:t xml:space="preserve">A su vez, </w:t>
      </w:r>
      <w:r w:rsidRPr="006F31ED">
        <w:rPr>
          <w:rFonts w:ascii="Arial" w:hAnsi="Arial" w:eastAsia="Arial" w:cs="Arial"/>
          <w:lang w:val="es-CO"/>
        </w:rPr>
        <w:t>se alinea con el área transversal de: (i) género y diversidad, al impulsar que las actividades de esta CT sean realizadas o lideradas por mujeres</w:t>
      </w:r>
      <w:r w:rsidRPr="006F31ED">
        <w:rPr>
          <w:rFonts w:ascii="Arial" w:hAnsi="Arial" w:eastAsia="Arial" w:cs="Arial"/>
          <w:lang w:val="es-ES"/>
        </w:rPr>
        <w:t>.</w:t>
      </w:r>
      <w:r w:rsidRPr="006C7764">
        <w:rPr>
          <w:rFonts w:ascii="Arial" w:hAnsi="Arial" w:eastAsia="Arial" w:cs="Arial"/>
          <w:lang w:val="es-AR"/>
        </w:rPr>
        <w:t>También se encuentra alineada con la Estrategia de País con Argentina 2021-2023 (GN-305</w:t>
      </w:r>
      <w:r>
        <w:rPr>
          <w:rFonts w:ascii="Arial" w:hAnsi="Arial" w:eastAsia="Arial" w:cs="Arial"/>
          <w:lang w:val="es-AR"/>
        </w:rPr>
        <w:t>1</w:t>
      </w:r>
      <w:r w:rsidRPr="006C7764">
        <w:rPr>
          <w:rFonts w:ascii="Arial" w:hAnsi="Arial" w:eastAsia="Arial" w:cs="Arial"/>
          <w:lang w:val="es-AR"/>
        </w:rPr>
        <w:t>)</w:t>
      </w:r>
      <w:r>
        <w:rPr>
          <w:rFonts w:ascii="Arial" w:hAnsi="Arial" w:eastAsia="Arial" w:cs="Arial"/>
          <w:lang w:val="es-AR"/>
        </w:rPr>
        <w:t xml:space="preserve"> en su área prioritaria</w:t>
      </w:r>
      <w:r w:rsidRPr="006C7764">
        <w:rPr>
          <w:rFonts w:ascii="Arial" w:hAnsi="Arial" w:eastAsia="Arial" w:cs="Arial"/>
          <w:lang w:val="es-AR"/>
        </w:rPr>
        <w:t xml:space="preserve"> </w:t>
      </w:r>
      <w:r>
        <w:rPr>
          <w:rFonts w:ascii="Arial" w:hAnsi="Arial" w:eastAsia="Arial" w:cs="Arial"/>
          <w:lang w:val="es-AR"/>
        </w:rPr>
        <w:t>de</w:t>
      </w:r>
      <w:r w:rsidRPr="006C7764">
        <w:rPr>
          <w:rFonts w:ascii="Arial" w:hAnsi="Arial" w:eastAsia="Arial" w:cs="Arial"/>
          <w:lang w:val="es-AR"/>
        </w:rPr>
        <w:t xml:space="preserve"> </w:t>
      </w:r>
      <w:r>
        <w:rPr>
          <w:rFonts w:ascii="Arial" w:hAnsi="Arial" w:eastAsia="Arial" w:cs="Arial"/>
          <w:lang w:val="es-AR"/>
        </w:rPr>
        <w:t>T</w:t>
      </w:r>
      <w:r w:rsidRPr="006C7764">
        <w:rPr>
          <w:rFonts w:ascii="Arial" w:hAnsi="Arial" w:eastAsia="Arial" w:cs="Arial"/>
          <w:lang w:val="es-AR"/>
        </w:rPr>
        <w:t xml:space="preserve">ransformación </w:t>
      </w:r>
      <w:r>
        <w:rPr>
          <w:rFonts w:ascii="Arial" w:hAnsi="Arial" w:eastAsia="Arial" w:cs="Arial"/>
          <w:lang w:val="es-AR"/>
        </w:rPr>
        <w:t>D</w:t>
      </w:r>
      <w:r w:rsidRPr="006C7764">
        <w:rPr>
          <w:rFonts w:ascii="Arial" w:hAnsi="Arial" w:eastAsia="Arial" w:cs="Arial"/>
          <w:lang w:val="es-AR"/>
        </w:rPr>
        <w:t xml:space="preserve">igital </w:t>
      </w:r>
      <w:r w:rsidRPr="006F31ED">
        <w:rPr>
          <w:rFonts w:ascii="Arial" w:hAnsi="Arial" w:cs="Arial"/>
          <w:lang w:val="es-419"/>
        </w:rPr>
        <w:t>encaminado a la digitalización de las agencias viales de los países</w:t>
      </w:r>
      <w:r w:rsidRPr="006C7764">
        <w:rPr>
          <w:rFonts w:ascii="Arial" w:hAnsi="Arial" w:eastAsia="Arial" w:cs="Arial"/>
          <w:lang w:val="es-AR"/>
        </w:rPr>
        <w:t>; y con la Estrategia de País con Brasil para el período 2019-2022 (GN-2973), contribuyendo a reducir</w:t>
      </w:r>
      <w:r w:rsidRPr="006F31ED">
        <w:rPr>
          <w:rFonts w:ascii="Arial" w:hAnsi="Arial" w:cs="Arial"/>
          <w:lang w:val="es-419"/>
        </w:rPr>
        <w:t xml:space="preserve"> las brechas de infraestructura para mejorar la competitividad. </w:t>
      </w:r>
      <w:r w:rsidRPr="006F31ED">
        <w:rPr>
          <w:rFonts w:ascii="Arial" w:hAnsi="Arial" w:eastAsia="Arial" w:cs="Arial"/>
          <w:lang w:val="es-ES"/>
        </w:rPr>
        <w:t>Por último, la CT es consistente con el Marco Sectorial de Transporte (GN-2740-</w:t>
      </w:r>
      <w:r>
        <w:rPr>
          <w:rFonts w:ascii="Arial" w:hAnsi="Arial" w:eastAsia="Arial" w:cs="Arial"/>
          <w:lang w:val="es-ES"/>
        </w:rPr>
        <w:t>12</w:t>
      </w:r>
      <w:r w:rsidRPr="006F31ED">
        <w:rPr>
          <w:rFonts w:ascii="Arial" w:hAnsi="Arial" w:eastAsia="Arial" w:cs="Arial"/>
          <w:lang w:val="es-ES"/>
        </w:rPr>
        <w:t xml:space="preserve">), </w:t>
      </w:r>
      <w:r w:rsidRPr="006F31ED">
        <w:rPr>
          <w:rFonts w:ascii="Arial" w:hAnsi="Arial" w:cs="Arial"/>
          <w:lang w:val="es-419"/>
        </w:rPr>
        <w:t>contribuyendo a la dimensión de la cobertura amplia de infraestructura y servicios de transporte de calidad</w:t>
      </w:r>
      <w:r>
        <w:rPr>
          <w:rFonts w:ascii="Arial" w:hAnsi="Arial" w:cs="Arial"/>
          <w:lang w:val="es-419"/>
        </w:rPr>
        <w:t xml:space="preserve">. </w:t>
      </w:r>
      <w:r w:rsidRPr="00AD3806">
        <w:rPr>
          <w:rFonts w:ascii="Arial" w:hAnsi="Arial" w:cs="Arial"/>
          <w:lang w:val="es-CO"/>
        </w:rPr>
        <w:t xml:space="preserve">Asimismo, la CT es consistente Marco de Resultados Corporativos 2020-2023 (GN-2727-12), al aumentar el desempeño del Banco mediante la mejora de la eficiencia en ejecución de las </w:t>
      </w:r>
      <w:r>
        <w:rPr>
          <w:rFonts w:ascii="Arial" w:hAnsi="Arial" w:cs="Arial"/>
          <w:lang w:val="es-CO"/>
        </w:rPr>
        <w:t>o</w:t>
      </w:r>
      <w:r w:rsidRPr="00AD3806">
        <w:rPr>
          <w:rFonts w:ascii="Arial" w:hAnsi="Arial" w:cs="Arial"/>
          <w:lang w:val="es-CO"/>
        </w:rPr>
        <w:t>peraciones</w:t>
      </w:r>
      <w:r>
        <w:rPr>
          <w:rFonts w:ascii="Arial" w:hAnsi="Arial" w:cs="Arial"/>
          <w:lang w:val="es-CO"/>
        </w:rPr>
        <w:t xml:space="preserve">; como también, el aumente de productividad en la </w:t>
      </w:r>
      <w:r w:rsidRPr="00AD3806">
        <w:rPr>
          <w:rFonts w:ascii="Arial" w:hAnsi="Arial" w:cs="Arial"/>
          <w:lang w:val="es-CO"/>
        </w:rPr>
        <w:t>gestión y eficacia organizacional</w:t>
      </w:r>
      <w:r>
        <w:rPr>
          <w:rFonts w:ascii="Arial" w:hAnsi="Arial" w:cs="Arial"/>
          <w:lang w:val="es-CO"/>
        </w:rPr>
        <w:t>. A su vez, se alinea con Marco Sectorial de Género y Diversidad (</w:t>
      </w:r>
      <w:r w:rsidRPr="00FE15B6">
        <w:rPr>
          <w:rFonts w:ascii="Arial" w:hAnsi="Arial" w:cs="Arial"/>
          <w:lang w:val="es-CO"/>
        </w:rPr>
        <w:t>GN-2800-3)</w:t>
      </w:r>
      <w:r>
        <w:rPr>
          <w:rFonts w:ascii="Arial" w:hAnsi="Arial" w:cs="Arial"/>
          <w:lang w:val="es-CO"/>
        </w:rPr>
        <w:t xml:space="preserve"> al promover la inclusión de las mujeres </w:t>
      </w:r>
      <w:r w:rsidRPr="00A153ED">
        <w:rPr>
          <w:rFonts w:ascii="Arial" w:hAnsi="Arial" w:cs="Arial"/>
          <w:lang w:val="es-419"/>
        </w:rPr>
        <w:t>en la fuerza laboral de la industria de la construcción</w:t>
      </w:r>
      <w:r>
        <w:rPr>
          <w:rFonts w:ascii="Arial" w:hAnsi="Arial" w:cs="Arial"/>
          <w:lang w:val="es-CO"/>
        </w:rPr>
        <w:t>.</w:t>
      </w:r>
    </w:p>
    <w:p w:rsidRPr="00D97FAD" w:rsidR="0095711B" w:rsidP="6640F5AC" w:rsidRDefault="6640F5AC" w14:paraId="19EE7A95" w14:textId="4D0A81CF">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Descripción de las actividades/componentes y presupuesto</w:t>
      </w:r>
    </w:p>
    <w:p w:rsidRPr="00A153ED" w:rsidR="00A153ED" w:rsidP="00A153ED" w:rsidRDefault="00A153ED" w14:paraId="51B55DEC"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4B050A">
        <w:rPr>
          <w:rFonts w:ascii="Arial" w:hAnsi="Arial" w:cs="Arial"/>
          <w:lang w:val="es-419"/>
        </w:rPr>
        <w:t>Las principales actividades de las que participarán los países beneficiarios</w:t>
      </w:r>
      <w:r w:rsidRPr="004B050A">
        <w:rPr>
          <w:rFonts w:ascii="Arial" w:hAnsi="Arial" w:cs="Arial"/>
          <w:sz w:val="14"/>
          <w:szCs w:val="14"/>
          <w:lang w:val="es-419"/>
        </w:rPr>
        <w:t xml:space="preserve"> </w:t>
      </w:r>
      <w:r w:rsidRPr="004B050A">
        <w:rPr>
          <w:rFonts w:ascii="Arial" w:hAnsi="Arial" w:cs="Arial"/>
          <w:lang w:val="es-419"/>
        </w:rPr>
        <w:t>esta CT se agrupan en los siguientes componentes</w:t>
      </w:r>
      <w:r>
        <w:rPr>
          <w:rFonts w:ascii="Arial" w:hAnsi="Arial" w:cs="Arial"/>
          <w:lang w:val="es-419"/>
        </w:rPr>
        <w:t>.</w:t>
      </w:r>
    </w:p>
    <w:p w:rsidRPr="00A153ED" w:rsidR="00314AC8" w:rsidP="00314AC8" w:rsidRDefault="00A153ED" w14:paraId="0C89F9D7"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314AC8">
        <w:rPr>
          <w:rFonts w:ascii="Arial" w:hAnsi="Arial" w:cs="Arial"/>
          <w:b/>
          <w:lang w:val="es-419"/>
        </w:rPr>
        <w:t xml:space="preserve">Componente I: </w:t>
      </w:r>
      <w:r w:rsidRPr="00A153ED" w:rsidR="00314AC8">
        <w:rPr>
          <w:rFonts w:ascii="Arial" w:hAnsi="Arial" w:cs="Arial"/>
          <w:b/>
          <w:lang w:val="es-419"/>
        </w:rPr>
        <w:t>Apoyo técnico a la preparación y ejecución de programas (US$215</w:t>
      </w:r>
      <w:r w:rsidR="00314AC8">
        <w:rPr>
          <w:rFonts w:ascii="Arial" w:hAnsi="Arial" w:cs="Arial"/>
          <w:b/>
          <w:lang w:val="es-419"/>
        </w:rPr>
        <w:t>.</w:t>
      </w:r>
      <w:r w:rsidRPr="00A153ED" w:rsidR="00314AC8">
        <w:rPr>
          <w:rFonts w:ascii="Arial" w:hAnsi="Arial" w:cs="Arial"/>
          <w:b/>
          <w:lang w:val="es-419"/>
        </w:rPr>
        <w:t>000</w:t>
      </w:r>
      <w:r w:rsidR="00314AC8">
        <w:rPr>
          <w:rFonts w:ascii="Arial" w:hAnsi="Arial" w:cs="Arial"/>
          <w:b/>
          <w:lang w:val="es-419"/>
        </w:rPr>
        <w:t>,</w:t>
      </w:r>
      <w:r w:rsidRPr="00A153ED" w:rsidR="00314AC8">
        <w:rPr>
          <w:rFonts w:ascii="Arial" w:hAnsi="Arial" w:cs="Arial"/>
          <w:b/>
          <w:lang w:val="es-419"/>
        </w:rPr>
        <w:t xml:space="preserve">00). </w:t>
      </w:r>
      <w:r w:rsidRPr="00A153ED" w:rsidR="00314AC8">
        <w:rPr>
          <w:rFonts w:ascii="Arial" w:hAnsi="Arial" w:cs="Arial"/>
          <w:lang w:val="es-419"/>
        </w:rPr>
        <w:t>Este componente contempla el financiamiento de las siguientes actividades: (i) realizar consultorías técnicas que respondan a las necesidades específicas de cada proyecto como estudios técnicos de ingeniería, especificaciones técnicas especiales, planes de gestión ambiental y social y otros documentos conexos que forman parte del proyecto, necesarios para la formulación, diseño y ejecución de las obras; (ii) desarrollar e implementar pilotos de herramientas tecnológicas para la gestión de obras y servicios de mantenimiento de infraestructura; (iii) realizar un informe con las conclusiones, recomendaciones y lecciones aprendidas de la aplicación de estas acciones para que puedan ser aplicadas a otro proyectos de la cartera de TSP; y (iv) realización de talleres, capacitaciones y eventos (intercambio de experiencias en la ejecución de proyectos, identificación y mitigación de riesgos, y resolución de problemas</w:t>
      </w:r>
      <w:r w:rsidR="00314AC8">
        <w:rPr>
          <w:rFonts w:ascii="Arial" w:hAnsi="Arial" w:cs="Arial"/>
          <w:lang w:val="es-419"/>
        </w:rPr>
        <w:t xml:space="preserve"> que será documentado para promoción u sociabilización de lecciones aprendidas), </w:t>
      </w:r>
      <w:r w:rsidRPr="00A153ED" w:rsidR="00314AC8">
        <w:rPr>
          <w:rFonts w:ascii="Arial" w:hAnsi="Arial" w:cs="Arial"/>
          <w:lang w:val="es-419"/>
        </w:rPr>
        <w:t>complementando con talleres de inclusión de las mujeres en la fuerza laboral de la industria de la construcción.</w:t>
      </w:r>
    </w:p>
    <w:p w:rsidRPr="00314AC8" w:rsidR="00A153ED" w:rsidP="00CE4FD7" w:rsidRDefault="00A153ED" w14:paraId="23B1E837" w14:textId="24426C7F">
      <w:pPr>
        <w:pStyle w:val="ListParagraph"/>
        <w:numPr>
          <w:ilvl w:val="1"/>
          <w:numId w:val="5"/>
        </w:numPr>
        <w:spacing w:before="120" w:after="120" w:line="240" w:lineRule="auto"/>
        <w:ind w:hanging="540"/>
        <w:contextualSpacing w:val="0"/>
        <w:jc w:val="both"/>
        <w:rPr>
          <w:rFonts w:ascii="Arial" w:hAnsi="Arial" w:eastAsia="Arial" w:cs="Arial"/>
          <w:lang w:val="es-ES"/>
        </w:rPr>
      </w:pPr>
      <w:r w:rsidRPr="00314AC8">
        <w:rPr>
          <w:rFonts w:ascii="Arial" w:hAnsi="Arial" w:cs="Arial"/>
          <w:b/>
          <w:lang w:val="es-419"/>
        </w:rPr>
        <w:t xml:space="preserve">Componente II: Fortalecimiento </w:t>
      </w:r>
      <w:r w:rsidRPr="00314AC8" w:rsidR="001B2592">
        <w:rPr>
          <w:rFonts w:ascii="Arial" w:hAnsi="Arial" w:cs="Arial"/>
          <w:b/>
          <w:lang w:val="es-419"/>
        </w:rPr>
        <w:t>i</w:t>
      </w:r>
      <w:r w:rsidRPr="00314AC8">
        <w:rPr>
          <w:rFonts w:ascii="Arial" w:hAnsi="Arial" w:cs="Arial"/>
          <w:b/>
          <w:lang w:val="es-419"/>
        </w:rPr>
        <w:t>nstitucional (US$100</w:t>
      </w:r>
      <w:r w:rsidRPr="00314AC8" w:rsidR="001B2592">
        <w:rPr>
          <w:rFonts w:ascii="Arial" w:hAnsi="Arial" w:cs="Arial"/>
          <w:b/>
          <w:lang w:val="es-419"/>
        </w:rPr>
        <w:t>.</w:t>
      </w:r>
      <w:r w:rsidRPr="00314AC8">
        <w:rPr>
          <w:rFonts w:ascii="Arial" w:hAnsi="Arial" w:cs="Arial"/>
          <w:b/>
          <w:lang w:val="es-419"/>
        </w:rPr>
        <w:t>000</w:t>
      </w:r>
      <w:r w:rsidRPr="00314AC8" w:rsidR="001B2592">
        <w:rPr>
          <w:rFonts w:ascii="Arial" w:hAnsi="Arial" w:cs="Arial"/>
          <w:b/>
          <w:lang w:val="es-419"/>
        </w:rPr>
        <w:t>,</w:t>
      </w:r>
      <w:r w:rsidRPr="00314AC8">
        <w:rPr>
          <w:rFonts w:ascii="Arial" w:hAnsi="Arial" w:cs="Arial"/>
          <w:b/>
          <w:lang w:val="es-419"/>
        </w:rPr>
        <w:t xml:space="preserve">00). </w:t>
      </w:r>
      <w:r w:rsidRPr="00314AC8">
        <w:rPr>
          <w:rFonts w:ascii="Arial" w:hAnsi="Arial" w:cs="Arial"/>
          <w:lang w:val="es-419"/>
        </w:rPr>
        <w:t>Se apoyará el desarrollo de herramientas de gestión integral de activos viales que permita analizar la estructura del pavimento y la seguridad vial de las vías de manera automatizada realizando una evaluación más exhaustiva, encaminada a la digitalización de las agencias viales; por lo tanto, usando menos recursos que permita la generación de listas de priorización para las inversiones de gestión y mantenimiento basadas en la ingeniería vial.</w:t>
      </w:r>
    </w:p>
    <w:p w:rsidRPr="004726CC" w:rsidR="004726CC" w:rsidP="004726CC" w:rsidRDefault="00A153ED" w14:paraId="24ED33F3" w14:textId="0995C8F3">
      <w:pPr>
        <w:pStyle w:val="ListParagraph"/>
        <w:numPr>
          <w:ilvl w:val="1"/>
          <w:numId w:val="5"/>
        </w:numPr>
        <w:spacing w:before="120" w:after="120" w:line="240" w:lineRule="auto"/>
        <w:ind w:hanging="540"/>
        <w:contextualSpacing w:val="0"/>
        <w:jc w:val="both"/>
        <w:rPr>
          <w:rFonts w:ascii="Arial" w:hAnsi="Arial" w:eastAsia="Arial" w:cs="Arial"/>
          <w:lang w:val="es-ES"/>
        </w:rPr>
      </w:pPr>
      <w:r w:rsidRPr="004726CC">
        <w:rPr>
          <w:rFonts w:ascii="Arial" w:hAnsi="Arial" w:cs="Arial"/>
          <w:b/>
          <w:bCs/>
          <w:lang w:val="es-419"/>
        </w:rPr>
        <w:t xml:space="preserve">Presupuesto indicativo. </w:t>
      </w:r>
      <w:r w:rsidRPr="004B050A" w:rsidR="004726CC">
        <w:rPr>
          <w:rFonts w:ascii="Arial" w:hAnsi="Arial" w:cs="Arial"/>
          <w:lang w:val="es-419"/>
        </w:rPr>
        <w:t>El costo total de la CT es de US$315.000, que serán</w:t>
      </w:r>
      <w:r w:rsidR="004726CC">
        <w:rPr>
          <w:rFonts w:ascii="Arial" w:hAnsi="Arial" w:cs="Arial"/>
          <w:lang w:val="es-419"/>
        </w:rPr>
        <w:t xml:space="preserve"> </w:t>
      </w:r>
      <w:r w:rsidRPr="004B050A" w:rsidR="004726CC">
        <w:rPr>
          <w:rFonts w:ascii="Arial" w:hAnsi="Arial" w:cs="Arial"/>
          <w:lang w:val="es-419"/>
        </w:rPr>
        <w:t>financiados por el Programa Estratégico para el Desarrollo de Infraestructura</w:t>
      </w:r>
      <w:r w:rsidR="004726CC">
        <w:rPr>
          <w:rFonts w:ascii="Arial" w:hAnsi="Arial" w:cs="Arial"/>
          <w:lang w:val="es-419"/>
        </w:rPr>
        <w:t xml:space="preserve"> </w:t>
      </w:r>
      <w:r w:rsidRPr="00320E60" w:rsidR="004726CC">
        <w:rPr>
          <w:rFonts w:ascii="Arial" w:hAnsi="Arial" w:cs="Arial"/>
          <w:lang w:val="es-419"/>
        </w:rPr>
        <w:t> Financiado con Capital Ordinario (INF)</w:t>
      </w:r>
      <w:r w:rsidRPr="004B050A" w:rsidR="004726CC">
        <w:rPr>
          <w:rFonts w:ascii="Arial" w:hAnsi="Arial" w:cs="Arial"/>
          <w:lang w:val="es-419"/>
        </w:rPr>
        <w:t>. Los componentes serán financiados según la siguiente tabla:</w:t>
      </w:r>
    </w:p>
    <w:p w:rsidR="004726CC" w:rsidP="004726CC" w:rsidRDefault="004726CC" w14:paraId="524AD8B6" w14:textId="1C688E11">
      <w:pPr>
        <w:pStyle w:val="ListParagraph"/>
        <w:spacing w:before="120" w:after="120" w:line="240" w:lineRule="auto"/>
        <w:ind w:left="360"/>
        <w:contextualSpacing w:val="0"/>
        <w:jc w:val="both"/>
        <w:rPr>
          <w:rFonts w:ascii="Arial" w:hAnsi="Arial" w:cs="Arial"/>
          <w:b/>
          <w:bCs/>
          <w:lang w:val="es-419"/>
        </w:rPr>
      </w:pPr>
    </w:p>
    <w:p w:rsidRPr="004B050A" w:rsidR="004726CC" w:rsidP="004726CC" w:rsidRDefault="004726CC" w14:paraId="721EF4BE" w14:textId="77777777">
      <w:pPr>
        <w:pStyle w:val="ListParagraph"/>
        <w:spacing w:before="120" w:after="120" w:line="240" w:lineRule="auto"/>
        <w:ind w:left="360"/>
        <w:contextualSpacing w:val="0"/>
        <w:jc w:val="both"/>
        <w:rPr>
          <w:rFonts w:ascii="Arial" w:hAnsi="Arial" w:eastAsia="Arial" w:cs="Arial"/>
          <w:lang w:val="es-ES"/>
        </w:rPr>
      </w:pPr>
    </w:p>
    <w:p w:rsidRPr="004726CC" w:rsidR="0023302F" w:rsidP="004726CC" w:rsidRDefault="6640F5AC" w14:paraId="19EE7A98" w14:textId="2080D5C6">
      <w:pPr>
        <w:pStyle w:val="ListParagraph"/>
        <w:spacing w:before="120" w:after="0" w:line="240" w:lineRule="auto"/>
        <w:ind w:left="360"/>
        <w:contextualSpacing w:val="0"/>
        <w:jc w:val="center"/>
        <w:rPr>
          <w:rFonts w:ascii="Arial" w:hAnsi="Arial" w:eastAsia="Arial" w:cs="Arial"/>
          <w:b/>
          <w:bCs/>
          <w:lang w:val="es-ES"/>
        </w:rPr>
      </w:pPr>
      <w:r w:rsidRPr="004726CC">
        <w:rPr>
          <w:rFonts w:ascii="Arial" w:hAnsi="Arial" w:eastAsia="Arial" w:cs="Arial"/>
          <w:b/>
          <w:bCs/>
          <w:lang w:val="es-ES"/>
        </w:rPr>
        <w:lastRenderedPageBreak/>
        <w:t>Presupuesto Indicativo</w:t>
      </w:r>
    </w:p>
    <w:tbl>
      <w:tblPr>
        <w:tblStyle w:val="TableGrid"/>
        <w:tblW w:w="9067" w:type="dxa"/>
        <w:jc w:val="center"/>
        <w:tblLayout w:type="fixed"/>
        <w:tblLook w:val="04A0" w:firstRow="1" w:lastRow="0" w:firstColumn="1" w:lastColumn="0" w:noHBand="0" w:noVBand="1"/>
      </w:tblPr>
      <w:tblGrid>
        <w:gridCol w:w="1838"/>
        <w:gridCol w:w="2268"/>
        <w:gridCol w:w="1985"/>
        <w:gridCol w:w="1417"/>
        <w:gridCol w:w="1559"/>
      </w:tblGrid>
      <w:tr w:rsidRPr="00D97FAD" w:rsidR="000C16F9" w:rsidTr="00926871" w14:paraId="19EE7AA1" w14:textId="77777777">
        <w:trPr>
          <w:jc w:val="center"/>
        </w:trPr>
        <w:tc>
          <w:tcPr>
            <w:tcW w:w="1838" w:type="dxa"/>
          </w:tcPr>
          <w:p w:rsidRPr="00D97FAD" w:rsidR="00F6363D" w:rsidP="6640F5AC" w:rsidRDefault="6640F5AC" w14:paraId="19EE7A9A"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Actividad / Componente</w:t>
            </w:r>
          </w:p>
        </w:tc>
        <w:tc>
          <w:tcPr>
            <w:tcW w:w="2268" w:type="dxa"/>
          </w:tcPr>
          <w:p w:rsidRPr="00D97FAD" w:rsidR="00F6363D" w:rsidP="6640F5AC" w:rsidRDefault="6640F5AC" w14:paraId="19EE7A9B"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Descripción</w:t>
            </w:r>
          </w:p>
        </w:tc>
        <w:tc>
          <w:tcPr>
            <w:tcW w:w="1985" w:type="dxa"/>
          </w:tcPr>
          <w:p w:rsidRPr="00D97FAD" w:rsidR="00F6363D" w:rsidP="6640F5AC" w:rsidRDefault="6640F5AC" w14:paraId="19EE7A9C"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BID/Financiamiento por Fondo</w:t>
            </w:r>
          </w:p>
        </w:tc>
        <w:tc>
          <w:tcPr>
            <w:tcW w:w="1417" w:type="dxa"/>
          </w:tcPr>
          <w:p w:rsidRPr="00D97FAD" w:rsidR="00F6363D" w:rsidP="6640F5AC" w:rsidRDefault="6640F5AC" w14:paraId="19EE7A9D"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Contrapartida</w:t>
            </w:r>
          </w:p>
          <w:p w:rsidRPr="00D97FAD" w:rsidR="00F00960" w:rsidP="6640F5AC" w:rsidRDefault="6640F5AC" w14:paraId="19EE7A9E"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Local</w:t>
            </w:r>
          </w:p>
        </w:tc>
        <w:tc>
          <w:tcPr>
            <w:tcW w:w="1559" w:type="dxa"/>
          </w:tcPr>
          <w:p w:rsidRPr="00D97FAD" w:rsidR="00F00960" w:rsidP="6640F5AC" w:rsidRDefault="6640F5AC" w14:paraId="19EE7A9F"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Financiamiento</w:t>
            </w:r>
          </w:p>
          <w:p w:rsidRPr="00D97FAD" w:rsidR="00F6363D" w:rsidP="6640F5AC" w:rsidRDefault="6640F5AC" w14:paraId="19EE7AA0"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 xml:space="preserve">Total </w:t>
            </w:r>
          </w:p>
        </w:tc>
      </w:tr>
      <w:tr w:rsidRPr="00D97FAD" w:rsidR="00926871" w:rsidTr="00926871" w14:paraId="19EE7AA7" w14:textId="77777777">
        <w:trPr>
          <w:jc w:val="center"/>
        </w:trPr>
        <w:tc>
          <w:tcPr>
            <w:tcW w:w="1838" w:type="dxa"/>
            <w:vAlign w:val="center"/>
          </w:tcPr>
          <w:p w:rsidRPr="00D97FAD" w:rsidR="00926871" w:rsidP="00926871" w:rsidRDefault="00926871" w14:paraId="19EE7AA2" w14:textId="603C969A">
            <w:pPr>
              <w:pStyle w:val="ListParagraph"/>
              <w:spacing w:before="60" w:after="60"/>
              <w:ind w:left="0"/>
              <w:contextualSpacing w:val="0"/>
              <w:jc w:val="center"/>
              <w:rPr>
                <w:rFonts w:ascii="Arial" w:hAnsi="Arial" w:cs="Arial"/>
                <w:b/>
                <w:sz w:val="18"/>
                <w:szCs w:val="18"/>
                <w:lang w:val="es-ES"/>
              </w:rPr>
            </w:pPr>
            <w:r>
              <w:rPr>
                <w:rFonts w:ascii="Arial" w:hAnsi="Arial" w:cs="Arial"/>
                <w:sz w:val="18"/>
                <w:szCs w:val="18"/>
                <w:lang w:val="es-419"/>
              </w:rPr>
              <w:t>Apoyo técnico a la preparación de programas</w:t>
            </w:r>
          </w:p>
        </w:tc>
        <w:tc>
          <w:tcPr>
            <w:tcW w:w="2268" w:type="dxa"/>
          </w:tcPr>
          <w:p w:rsidR="002708C0" w:rsidP="002708C0" w:rsidRDefault="002708C0" w14:paraId="5EDC3602" w14:textId="77777777">
            <w:pPr>
              <w:pStyle w:val="ListParagraph"/>
              <w:numPr>
                <w:ilvl w:val="0"/>
                <w:numId w:val="20"/>
              </w:numPr>
              <w:autoSpaceDE w:val="0"/>
              <w:autoSpaceDN w:val="0"/>
              <w:adjustRightInd w:val="0"/>
              <w:ind w:left="315" w:hanging="315"/>
              <w:jc w:val="both"/>
              <w:rPr>
                <w:rFonts w:ascii="Arial" w:hAnsi="Arial" w:cs="Arial"/>
                <w:sz w:val="18"/>
                <w:szCs w:val="18"/>
                <w:lang w:val="es-419"/>
              </w:rPr>
            </w:pPr>
            <w:r w:rsidRPr="00AF273A">
              <w:rPr>
                <w:rFonts w:ascii="Arial" w:hAnsi="Arial" w:cs="Arial"/>
                <w:sz w:val="18"/>
                <w:szCs w:val="18"/>
                <w:lang w:val="es-419"/>
              </w:rPr>
              <w:t>Consultorías técnicas relacionadas con estudios de ingeniería, especificaciones técnicas especiales, planes de gestión ambiental y social y otros documentos conexos que forman parte del proyecto.</w:t>
            </w:r>
          </w:p>
          <w:p w:rsidRPr="00AF273A" w:rsidR="002708C0" w:rsidP="002708C0" w:rsidRDefault="002708C0" w14:paraId="4110D55A" w14:textId="77777777">
            <w:pPr>
              <w:pStyle w:val="ListParagraph"/>
              <w:numPr>
                <w:ilvl w:val="0"/>
                <w:numId w:val="20"/>
              </w:numPr>
              <w:autoSpaceDE w:val="0"/>
              <w:autoSpaceDN w:val="0"/>
              <w:adjustRightInd w:val="0"/>
              <w:ind w:left="315" w:hanging="315"/>
              <w:jc w:val="both"/>
              <w:rPr>
                <w:rFonts w:ascii="Arial" w:hAnsi="Arial" w:cs="Arial"/>
                <w:sz w:val="18"/>
                <w:szCs w:val="18"/>
                <w:lang w:val="es-419"/>
              </w:rPr>
            </w:pPr>
            <w:r w:rsidRPr="00AF273A">
              <w:rPr>
                <w:rFonts w:ascii="Arial" w:hAnsi="Arial" w:cs="Arial"/>
                <w:sz w:val="18"/>
                <w:szCs w:val="18"/>
                <w:lang w:val="es-419"/>
              </w:rPr>
              <w:t>Desarrollo y pilotaje de herramientas tecnológicas para la gestión de obras y servicios de mantenimiento de infraestructura.</w:t>
            </w:r>
          </w:p>
          <w:p w:rsidR="002708C0" w:rsidP="002708C0" w:rsidRDefault="002708C0" w14:paraId="6E5E31CB" w14:textId="77777777">
            <w:pPr>
              <w:pStyle w:val="ListParagraph"/>
              <w:numPr>
                <w:ilvl w:val="0"/>
                <w:numId w:val="20"/>
              </w:numPr>
              <w:autoSpaceDE w:val="0"/>
              <w:autoSpaceDN w:val="0"/>
              <w:adjustRightInd w:val="0"/>
              <w:ind w:left="315" w:hanging="315"/>
              <w:jc w:val="both"/>
              <w:rPr>
                <w:rFonts w:ascii="Arial" w:hAnsi="Arial" w:cs="Arial"/>
                <w:sz w:val="18"/>
                <w:szCs w:val="18"/>
                <w:lang w:val="es-419"/>
              </w:rPr>
            </w:pPr>
            <w:r w:rsidRPr="00AF273A">
              <w:rPr>
                <w:rFonts w:ascii="Arial" w:hAnsi="Arial" w:cs="Arial"/>
                <w:sz w:val="18"/>
                <w:szCs w:val="18"/>
                <w:lang w:val="es-419"/>
              </w:rPr>
              <w:t>Productos de conocimiento y difusión de los resultados.</w:t>
            </w:r>
          </w:p>
          <w:p w:rsidRPr="002708C0" w:rsidR="00926871" w:rsidP="002708C0" w:rsidRDefault="002708C0" w14:paraId="19EE7AA3" w14:textId="331CAE79">
            <w:pPr>
              <w:pStyle w:val="ListParagraph"/>
              <w:numPr>
                <w:ilvl w:val="0"/>
                <w:numId w:val="20"/>
              </w:numPr>
              <w:autoSpaceDE w:val="0"/>
              <w:autoSpaceDN w:val="0"/>
              <w:adjustRightInd w:val="0"/>
              <w:ind w:left="315" w:hanging="315"/>
              <w:jc w:val="both"/>
              <w:rPr>
                <w:rFonts w:ascii="Arial" w:hAnsi="Arial" w:cs="Arial"/>
                <w:sz w:val="18"/>
                <w:szCs w:val="18"/>
                <w:lang w:val="es-419"/>
              </w:rPr>
            </w:pPr>
            <w:r w:rsidRPr="002708C0">
              <w:rPr>
                <w:rFonts w:ascii="Arial" w:hAnsi="Arial" w:cs="Arial"/>
                <w:sz w:val="18"/>
                <w:szCs w:val="18"/>
                <w:lang w:val="es-419"/>
              </w:rPr>
              <w:t>Talleres, capacitaciones y eventos.</w:t>
            </w:r>
          </w:p>
        </w:tc>
        <w:tc>
          <w:tcPr>
            <w:tcW w:w="1985" w:type="dxa"/>
            <w:vAlign w:val="center"/>
          </w:tcPr>
          <w:p w:rsidRPr="00D97FAD" w:rsidR="00926871" w:rsidP="00926871" w:rsidRDefault="00926871" w14:paraId="19EE7AA4" w14:textId="41E119DD">
            <w:pPr>
              <w:pStyle w:val="ListParagraph"/>
              <w:spacing w:before="60" w:after="60"/>
              <w:ind w:left="0"/>
              <w:contextualSpacing w:val="0"/>
              <w:jc w:val="center"/>
              <w:rPr>
                <w:rFonts w:ascii="Arial" w:hAnsi="Arial" w:cs="Arial"/>
                <w:b/>
                <w:sz w:val="18"/>
                <w:szCs w:val="18"/>
                <w:lang w:val="es-ES"/>
              </w:rPr>
            </w:pPr>
            <w:r>
              <w:rPr>
                <w:rFonts w:ascii="Arial" w:hAnsi="Arial" w:cs="Arial"/>
                <w:sz w:val="18"/>
                <w:szCs w:val="18"/>
              </w:rPr>
              <w:t>US$215</w:t>
            </w:r>
            <w:r w:rsidR="00787220">
              <w:rPr>
                <w:rFonts w:ascii="Arial" w:hAnsi="Arial" w:cs="Arial"/>
                <w:sz w:val="18"/>
                <w:szCs w:val="18"/>
              </w:rPr>
              <w:t>.</w:t>
            </w:r>
            <w:r>
              <w:rPr>
                <w:rFonts w:ascii="Arial" w:hAnsi="Arial" w:cs="Arial"/>
                <w:sz w:val="18"/>
                <w:szCs w:val="18"/>
              </w:rPr>
              <w:t>000</w:t>
            </w:r>
            <w:r w:rsidR="00787220">
              <w:rPr>
                <w:rFonts w:ascii="Arial" w:hAnsi="Arial" w:cs="Arial"/>
                <w:sz w:val="18"/>
                <w:szCs w:val="18"/>
              </w:rPr>
              <w:t>,</w:t>
            </w:r>
            <w:r>
              <w:rPr>
                <w:rFonts w:ascii="Arial" w:hAnsi="Arial" w:cs="Arial"/>
                <w:sz w:val="18"/>
                <w:szCs w:val="18"/>
              </w:rPr>
              <w:t>00</w:t>
            </w:r>
          </w:p>
        </w:tc>
        <w:tc>
          <w:tcPr>
            <w:tcW w:w="1417" w:type="dxa"/>
            <w:vAlign w:val="center"/>
          </w:tcPr>
          <w:p w:rsidRPr="00D97FAD" w:rsidR="00926871" w:rsidP="00926871" w:rsidRDefault="00926871" w14:paraId="19EE7AA5" w14:textId="5BE92BC3">
            <w:pPr>
              <w:pStyle w:val="ListParagraph"/>
              <w:spacing w:before="60" w:after="60"/>
              <w:ind w:left="0"/>
              <w:contextualSpacing w:val="0"/>
              <w:jc w:val="center"/>
              <w:rPr>
                <w:rFonts w:ascii="Arial" w:hAnsi="Arial" w:cs="Arial"/>
                <w:b/>
                <w:sz w:val="18"/>
                <w:szCs w:val="18"/>
                <w:lang w:val="es-ES"/>
              </w:rPr>
            </w:pPr>
            <w:r>
              <w:rPr>
                <w:rFonts w:ascii="Arial" w:hAnsi="Arial" w:cs="Arial"/>
                <w:sz w:val="18"/>
                <w:szCs w:val="18"/>
              </w:rPr>
              <w:t>US$0</w:t>
            </w:r>
            <w:r w:rsidR="00787220">
              <w:rPr>
                <w:rFonts w:ascii="Arial" w:hAnsi="Arial" w:cs="Arial"/>
                <w:sz w:val="18"/>
                <w:szCs w:val="18"/>
              </w:rPr>
              <w:t>,</w:t>
            </w:r>
            <w:r>
              <w:rPr>
                <w:rFonts w:ascii="Arial" w:hAnsi="Arial" w:cs="Arial"/>
                <w:sz w:val="18"/>
                <w:szCs w:val="18"/>
              </w:rPr>
              <w:t>00</w:t>
            </w:r>
          </w:p>
        </w:tc>
        <w:tc>
          <w:tcPr>
            <w:tcW w:w="1559" w:type="dxa"/>
            <w:vAlign w:val="center"/>
          </w:tcPr>
          <w:p w:rsidRPr="00D97FAD" w:rsidR="00926871" w:rsidP="00926871" w:rsidRDefault="00926871" w14:paraId="19EE7AA6" w14:textId="6CDE3928">
            <w:pPr>
              <w:pStyle w:val="ListParagraph"/>
              <w:spacing w:before="60" w:after="60"/>
              <w:ind w:left="0"/>
              <w:contextualSpacing w:val="0"/>
              <w:jc w:val="center"/>
              <w:rPr>
                <w:rFonts w:ascii="Arial" w:hAnsi="Arial" w:cs="Arial"/>
                <w:b/>
                <w:sz w:val="18"/>
                <w:szCs w:val="18"/>
                <w:lang w:val="es-ES"/>
              </w:rPr>
            </w:pPr>
            <w:r>
              <w:rPr>
                <w:rFonts w:ascii="Arial" w:hAnsi="Arial" w:cs="Arial"/>
                <w:sz w:val="18"/>
                <w:szCs w:val="18"/>
              </w:rPr>
              <w:t>US$215</w:t>
            </w:r>
            <w:r w:rsidR="00787220">
              <w:rPr>
                <w:rFonts w:ascii="Arial" w:hAnsi="Arial" w:cs="Arial"/>
                <w:sz w:val="18"/>
                <w:szCs w:val="18"/>
              </w:rPr>
              <w:t>.</w:t>
            </w:r>
            <w:r>
              <w:rPr>
                <w:rFonts w:ascii="Arial" w:hAnsi="Arial" w:cs="Arial"/>
                <w:sz w:val="18"/>
                <w:szCs w:val="18"/>
              </w:rPr>
              <w:t>000</w:t>
            </w:r>
            <w:r w:rsidR="00787220">
              <w:rPr>
                <w:rFonts w:ascii="Arial" w:hAnsi="Arial" w:cs="Arial"/>
                <w:sz w:val="18"/>
                <w:szCs w:val="18"/>
              </w:rPr>
              <w:t>,</w:t>
            </w:r>
            <w:r>
              <w:rPr>
                <w:rFonts w:ascii="Arial" w:hAnsi="Arial" w:cs="Arial"/>
                <w:sz w:val="18"/>
                <w:szCs w:val="18"/>
              </w:rPr>
              <w:t>00</w:t>
            </w:r>
          </w:p>
        </w:tc>
      </w:tr>
      <w:tr w:rsidRPr="00D97FAD" w:rsidR="00926871" w:rsidTr="00926871" w14:paraId="19EE7AAD" w14:textId="77777777">
        <w:trPr>
          <w:jc w:val="center"/>
        </w:trPr>
        <w:tc>
          <w:tcPr>
            <w:tcW w:w="1838" w:type="dxa"/>
            <w:vAlign w:val="center"/>
          </w:tcPr>
          <w:p w:rsidRPr="00D97FAD" w:rsidR="00926871" w:rsidP="00926871" w:rsidRDefault="00926871" w14:paraId="19EE7AA8" w14:textId="40433FF7">
            <w:pPr>
              <w:pStyle w:val="ListParagraph"/>
              <w:spacing w:before="60" w:after="60"/>
              <w:ind w:left="0"/>
              <w:contextualSpacing w:val="0"/>
              <w:jc w:val="center"/>
              <w:rPr>
                <w:rFonts w:ascii="Arial" w:hAnsi="Arial" w:cs="Arial"/>
                <w:b/>
                <w:sz w:val="18"/>
                <w:szCs w:val="18"/>
                <w:lang w:val="es-ES"/>
              </w:rPr>
            </w:pPr>
            <w:r>
              <w:rPr>
                <w:rFonts w:ascii="Arial" w:hAnsi="Arial" w:cs="Arial"/>
                <w:sz w:val="18"/>
                <w:szCs w:val="18"/>
                <w:lang w:val="es-419"/>
              </w:rPr>
              <w:t xml:space="preserve">Fortalecimiento </w:t>
            </w:r>
            <w:r w:rsidR="005A37A6">
              <w:rPr>
                <w:rFonts w:ascii="Arial" w:hAnsi="Arial" w:cs="Arial"/>
                <w:sz w:val="18"/>
                <w:szCs w:val="18"/>
                <w:lang w:val="es-419"/>
              </w:rPr>
              <w:t>i</w:t>
            </w:r>
            <w:r>
              <w:rPr>
                <w:rFonts w:ascii="Arial" w:hAnsi="Arial" w:cs="Arial"/>
                <w:sz w:val="18"/>
                <w:szCs w:val="18"/>
                <w:lang w:val="es-419"/>
              </w:rPr>
              <w:t>nstitucional</w:t>
            </w:r>
          </w:p>
        </w:tc>
        <w:tc>
          <w:tcPr>
            <w:tcW w:w="2268" w:type="dxa"/>
            <w:vAlign w:val="center"/>
          </w:tcPr>
          <w:p w:rsidRPr="00D97FAD" w:rsidR="00926871" w:rsidP="00926871" w:rsidRDefault="00926871" w14:paraId="19EE7AA9" w14:textId="64A88D9C">
            <w:pPr>
              <w:pStyle w:val="ListParagraph"/>
              <w:spacing w:before="60" w:after="60"/>
              <w:ind w:left="0"/>
              <w:contextualSpacing w:val="0"/>
              <w:jc w:val="both"/>
              <w:rPr>
                <w:rFonts w:ascii="Arial" w:hAnsi="Arial" w:cs="Arial"/>
                <w:b/>
                <w:sz w:val="18"/>
                <w:szCs w:val="18"/>
                <w:lang w:val="es-ES"/>
              </w:rPr>
            </w:pPr>
            <w:r w:rsidRPr="00FD5FF9">
              <w:rPr>
                <w:rFonts w:ascii="Arial" w:hAnsi="Arial" w:cs="Arial"/>
                <w:sz w:val="18"/>
                <w:szCs w:val="18"/>
                <w:lang w:val="es-419"/>
              </w:rPr>
              <w:t xml:space="preserve">Consultoría </w:t>
            </w:r>
            <w:r>
              <w:rPr>
                <w:rFonts w:ascii="Arial" w:hAnsi="Arial" w:cs="Arial"/>
                <w:sz w:val="18"/>
                <w:szCs w:val="18"/>
                <w:lang w:val="es-419"/>
              </w:rPr>
              <w:t>para el</w:t>
            </w:r>
            <w:r w:rsidRPr="00FD5FF9">
              <w:rPr>
                <w:rFonts w:ascii="Arial" w:hAnsi="Arial" w:cs="Arial"/>
                <w:sz w:val="18"/>
                <w:szCs w:val="18"/>
                <w:lang w:val="es-419"/>
              </w:rPr>
              <w:t xml:space="preserve"> desarrollo de herramienta</w:t>
            </w:r>
            <w:r>
              <w:rPr>
                <w:rFonts w:ascii="Arial" w:hAnsi="Arial" w:cs="Arial"/>
                <w:sz w:val="18"/>
                <w:szCs w:val="18"/>
                <w:lang w:val="es-419"/>
              </w:rPr>
              <w:t>s</w:t>
            </w:r>
            <w:r w:rsidRPr="00FD5FF9">
              <w:rPr>
                <w:rFonts w:ascii="Arial" w:hAnsi="Arial" w:cs="Arial"/>
                <w:sz w:val="18"/>
                <w:szCs w:val="18"/>
                <w:lang w:val="es-419"/>
              </w:rPr>
              <w:t xml:space="preserve"> digitales para</w:t>
            </w:r>
            <w:r>
              <w:rPr>
                <w:rFonts w:ascii="Arial" w:hAnsi="Arial" w:cs="Arial"/>
                <w:sz w:val="18"/>
                <w:szCs w:val="18"/>
                <w:lang w:val="es-419"/>
              </w:rPr>
              <w:t xml:space="preserve"> </w:t>
            </w:r>
            <w:r w:rsidRPr="00FD5FF9">
              <w:rPr>
                <w:rFonts w:ascii="Arial" w:hAnsi="Arial" w:cs="Arial"/>
                <w:sz w:val="18"/>
                <w:szCs w:val="18"/>
                <w:lang w:val="es-419"/>
              </w:rPr>
              <w:t>mejorar la ejecución en los proyectos de transporte</w:t>
            </w:r>
            <w:r>
              <w:rPr>
                <w:rFonts w:ascii="Arial" w:hAnsi="Arial" w:cs="Arial"/>
                <w:sz w:val="18"/>
                <w:szCs w:val="18"/>
                <w:lang w:val="es-419"/>
              </w:rPr>
              <w:t>.</w:t>
            </w:r>
          </w:p>
        </w:tc>
        <w:tc>
          <w:tcPr>
            <w:tcW w:w="1985" w:type="dxa"/>
            <w:vAlign w:val="center"/>
          </w:tcPr>
          <w:p w:rsidRPr="00D97FAD" w:rsidR="00926871" w:rsidP="00926871" w:rsidRDefault="00926871" w14:paraId="19EE7AAA" w14:textId="56119046">
            <w:pPr>
              <w:pStyle w:val="ListParagraph"/>
              <w:spacing w:before="60" w:after="60"/>
              <w:ind w:left="0"/>
              <w:contextualSpacing w:val="0"/>
              <w:jc w:val="center"/>
              <w:rPr>
                <w:rFonts w:ascii="Arial" w:hAnsi="Arial" w:cs="Arial"/>
                <w:b/>
                <w:sz w:val="18"/>
                <w:szCs w:val="18"/>
                <w:lang w:val="es-ES"/>
              </w:rPr>
            </w:pPr>
            <w:r>
              <w:rPr>
                <w:rFonts w:ascii="Arial" w:hAnsi="Arial" w:cs="Arial"/>
                <w:sz w:val="18"/>
                <w:szCs w:val="18"/>
              </w:rPr>
              <w:t>US$100</w:t>
            </w:r>
            <w:r w:rsidR="00787220">
              <w:rPr>
                <w:rFonts w:ascii="Arial" w:hAnsi="Arial" w:cs="Arial"/>
                <w:sz w:val="18"/>
                <w:szCs w:val="18"/>
              </w:rPr>
              <w:t>.</w:t>
            </w:r>
            <w:r>
              <w:rPr>
                <w:rFonts w:ascii="Arial" w:hAnsi="Arial" w:cs="Arial"/>
                <w:sz w:val="18"/>
                <w:szCs w:val="18"/>
              </w:rPr>
              <w:t>000</w:t>
            </w:r>
            <w:r w:rsidR="00787220">
              <w:rPr>
                <w:rFonts w:ascii="Arial" w:hAnsi="Arial" w:cs="Arial"/>
                <w:sz w:val="18"/>
                <w:szCs w:val="18"/>
              </w:rPr>
              <w:t>,</w:t>
            </w:r>
            <w:r>
              <w:rPr>
                <w:rFonts w:ascii="Arial" w:hAnsi="Arial" w:cs="Arial"/>
                <w:sz w:val="18"/>
                <w:szCs w:val="18"/>
              </w:rPr>
              <w:t>00</w:t>
            </w:r>
          </w:p>
        </w:tc>
        <w:tc>
          <w:tcPr>
            <w:tcW w:w="1417" w:type="dxa"/>
            <w:vAlign w:val="center"/>
          </w:tcPr>
          <w:p w:rsidRPr="00D97FAD" w:rsidR="00926871" w:rsidP="00926871" w:rsidRDefault="00926871" w14:paraId="19EE7AAB" w14:textId="2DFFA03C">
            <w:pPr>
              <w:pStyle w:val="ListParagraph"/>
              <w:spacing w:before="60" w:after="60"/>
              <w:ind w:left="0"/>
              <w:contextualSpacing w:val="0"/>
              <w:jc w:val="center"/>
              <w:rPr>
                <w:rFonts w:ascii="Arial" w:hAnsi="Arial" w:cs="Arial"/>
                <w:b/>
                <w:sz w:val="18"/>
                <w:szCs w:val="18"/>
                <w:lang w:val="es-ES"/>
              </w:rPr>
            </w:pPr>
            <w:r>
              <w:rPr>
                <w:rFonts w:ascii="Arial" w:hAnsi="Arial" w:cs="Arial"/>
                <w:sz w:val="18"/>
                <w:szCs w:val="18"/>
              </w:rPr>
              <w:t>US$0</w:t>
            </w:r>
            <w:r w:rsidR="00787220">
              <w:rPr>
                <w:rFonts w:ascii="Arial" w:hAnsi="Arial" w:cs="Arial"/>
                <w:sz w:val="18"/>
                <w:szCs w:val="18"/>
              </w:rPr>
              <w:t>,</w:t>
            </w:r>
            <w:r>
              <w:rPr>
                <w:rFonts w:ascii="Arial" w:hAnsi="Arial" w:cs="Arial"/>
                <w:sz w:val="18"/>
                <w:szCs w:val="18"/>
              </w:rPr>
              <w:t>00</w:t>
            </w:r>
          </w:p>
        </w:tc>
        <w:tc>
          <w:tcPr>
            <w:tcW w:w="1559" w:type="dxa"/>
            <w:vAlign w:val="center"/>
          </w:tcPr>
          <w:p w:rsidRPr="00D97FAD" w:rsidR="00926871" w:rsidP="00926871" w:rsidRDefault="00926871" w14:paraId="19EE7AAC" w14:textId="5FBA71E2">
            <w:pPr>
              <w:pStyle w:val="ListParagraph"/>
              <w:spacing w:before="60" w:after="60"/>
              <w:ind w:left="0"/>
              <w:contextualSpacing w:val="0"/>
              <w:jc w:val="center"/>
              <w:rPr>
                <w:rFonts w:ascii="Arial" w:hAnsi="Arial" w:cs="Arial"/>
                <w:b/>
                <w:sz w:val="18"/>
                <w:szCs w:val="18"/>
                <w:lang w:val="es-ES"/>
              </w:rPr>
            </w:pPr>
            <w:r>
              <w:rPr>
                <w:rFonts w:ascii="Arial" w:hAnsi="Arial" w:cs="Arial"/>
                <w:sz w:val="18"/>
                <w:szCs w:val="18"/>
              </w:rPr>
              <w:t>US$100</w:t>
            </w:r>
            <w:r w:rsidR="00787220">
              <w:rPr>
                <w:rFonts w:ascii="Arial" w:hAnsi="Arial" w:cs="Arial"/>
                <w:sz w:val="18"/>
                <w:szCs w:val="18"/>
              </w:rPr>
              <w:t>.</w:t>
            </w:r>
            <w:r>
              <w:rPr>
                <w:rFonts w:ascii="Arial" w:hAnsi="Arial" w:cs="Arial"/>
                <w:sz w:val="18"/>
                <w:szCs w:val="18"/>
              </w:rPr>
              <w:t>000</w:t>
            </w:r>
            <w:r w:rsidR="00787220">
              <w:rPr>
                <w:rFonts w:ascii="Arial" w:hAnsi="Arial" w:cs="Arial"/>
                <w:sz w:val="18"/>
                <w:szCs w:val="18"/>
              </w:rPr>
              <w:t>,</w:t>
            </w:r>
            <w:r>
              <w:rPr>
                <w:rFonts w:ascii="Arial" w:hAnsi="Arial" w:cs="Arial"/>
                <w:sz w:val="18"/>
                <w:szCs w:val="18"/>
              </w:rPr>
              <w:t>00</w:t>
            </w:r>
          </w:p>
        </w:tc>
      </w:tr>
      <w:tr w:rsidRPr="00D97FAD" w:rsidR="00926871" w:rsidTr="00926871" w14:paraId="19EE7AB3" w14:textId="77777777">
        <w:trPr>
          <w:jc w:val="center"/>
        </w:trPr>
        <w:tc>
          <w:tcPr>
            <w:tcW w:w="1838" w:type="dxa"/>
            <w:vAlign w:val="center"/>
          </w:tcPr>
          <w:p w:rsidRPr="00D97FAD" w:rsidR="00926871" w:rsidP="00926871" w:rsidRDefault="00926871" w14:paraId="19EE7AAE" w14:textId="6C33C02E">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419"/>
              </w:rPr>
              <w:t>Total</w:t>
            </w:r>
          </w:p>
        </w:tc>
        <w:tc>
          <w:tcPr>
            <w:tcW w:w="2268" w:type="dxa"/>
          </w:tcPr>
          <w:p w:rsidRPr="00D97FAD" w:rsidR="00926871" w:rsidP="00926871" w:rsidRDefault="00926871" w14:paraId="19EE7AAF" w14:textId="77777777">
            <w:pPr>
              <w:pStyle w:val="ListParagraph"/>
              <w:spacing w:before="60" w:after="60"/>
              <w:ind w:left="0"/>
              <w:contextualSpacing w:val="0"/>
              <w:jc w:val="center"/>
              <w:rPr>
                <w:rFonts w:ascii="Arial" w:hAnsi="Arial" w:cs="Arial"/>
                <w:b/>
                <w:sz w:val="18"/>
                <w:szCs w:val="18"/>
                <w:lang w:val="es-ES"/>
              </w:rPr>
            </w:pPr>
          </w:p>
        </w:tc>
        <w:tc>
          <w:tcPr>
            <w:tcW w:w="1985" w:type="dxa"/>
            <w:vAlign w:val="center"/>
          </w:tcPr>
          <w:p w:rsidRPr="00D97FAD" w:rsidR="00926871" w:rsidP="00926871" w:rsidRDefault="00926871" w14:paraId="19EE7AB0" w14:textId="677F94C6">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rPr>
              <w:t>US$315</w:t>
            </w:r>
            <w:r w:rsidR="00787220">
              <w:rPr>
                <w:rFonts w:ascii="Arial" w:hAnsi="Arial" w:cs="Arial"/>
                <w:b/>
                <w:sz w:val="18"/>
                <w:szCs w:val="18"/>
              </w:rPr>
              <w:t>.</w:t>
            </w:r>
            <w:r>
              <w:rPr>
                <w:rFonts w:ascii="Arial" w:hAnsi="Arial" w:cs="Arial"/>
                <w:b/>
                <w:sz w:val="18"/>
                <w:szCs w:val="18"/>
              </w:rPr>
              <w:t>000</w:t>
            </w:r>
            <w:r w:rsidR="00787220">
              <w:rPr>
                <w:rFonts w:ascii="Arial" w:hAnsi="Arial" w:cs="Arial"/>
                <w:b/>
                <w:sz w:val="18"/>
                <w:szCs w:val="18"/>
              </w:rPr>
              <w:t>,</w:t>
            </w:r>
            <w:r>
              <w:rPr>
                <w:rFonts w:ascii="Arial" w:hAnsi="Arial" w:cs="Arial"/>
                <w:b/>
                <w:sz w:val="18"/>
                <w:szCs w:val="18"/>
              </w:rPr>
              <w:t>00</w:t>
            </w:r>
          </w:p>
        </w:tc>
        <w:tc>
          <w:tcPr>
            <w:tcW w:w="1417" w:type="dxa"/>
            <w:vAlign w:val="center"/>
          </w:tcPr>
          <w:p w:rsidRPr="00D97FAD" w:rsidR="00926871" w:rsidP="00926871" w:rsidRDefault="00926871" w14:paraId="19EE7AB1" w14:textId="61E7F288">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rPr>
              <w:t>US$0</w:t>
            </w:r>
            <w:r w:rsidR="00787220">
              <w:rPr>
                <w:rFonts w:ascii="Arial" w:hAnsi="Arial" w:cs="Arial"/>
                <w:b/>
                <w:sz w:val="18"/>
                <w:szCs w:val="18"/>
              </w:rPr>
              <w:t>,</w:t>
            </w:r>
            <w:r>
              <w:rPr>
                <w:rFonts w:ascii="Arial" w:hAnsi="Arial" w:cs="Arial"/>
                <w:b/>
                <w:sz w:val="18"/>
                <w:szCs w:val="18"/>
              </w:rPr>
              <w:t>00</w:t>
            </w:r>
          </w:p>
        </w:tc>
        <w:tc>
          <w:tcPr>
            <w:tcW w:w="1559" w:type="dxa"/>
            <w:vAlign w:val="center"/>
          </w:tcPr>
          <w:p w:rsidRPr="00D97FAD" w:rsidR="00926871" w:rsidP="00926871" w:rsidRDefault="00926871" w14:paraId="19EE7AB2" w14:textId="51BB2F09">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rPr>
              <w:t>US$315</w:t>
            </w:r>
            <w:r w:rsidR="00787220">
              <w:rPr>
                <w:rFonts w:ascii="Arial" w:hAnsi="Arial" w:cs="Arial"/>
                <w:b/>
                <w:sz w:val="18"/>
                <w:szCs w:val="18"/>
              </w:rPr>
              <w:t>.</w:t>
            </w:r>
            <w:r>
              <w:rPr>
                <w:rFonts w:ascii="Arial" w:hAnsi="Arial" w:cs="Arial"/>
                <w:b/>
                <w:sz w:val="18"/>
                <w:szCs w:val="18"/>
              </w:rPr>
              <w:t>000</w:t>
            </w:r>
            <w:r w:rsidR="00787220">
              <w:rPr>
                <w:rFonts w:ascii="Arial" w:hAnsi="Arial" w:cs="Arial"/>
                <w:b/>
                <w:sz w:val="18"/>
                <w:szCs w:val="18"/>
              </w:rPr>
              <w:t>,</w:t>
            </w:r>
            <w:r>
              <w:rPr>
                <w:rFonts w:ascii="Arial" w:hAnsi="Arial" w:cs="Arial"/>
                <w:b/>
                <w:sz w:val="18"/>
                <w:szCs w:val="18"/>
              </w:rPr>
              <w:t>00</w:t>
            </w:r>
          </w:p>
        </w:tc>
      </w:tr>
    </w:tbl>
    <w:p w:rsidR="00404B66" w:rsidP="00404B66" w:rsidRDefault="00404B66" w14:paraId="038A02C5" w14:textId="77777777">
      <w:pPr>
        <w:pStyle w:val="ListParagraph"/>
        <w:numPr>
          <w:ilvl w:val="1"/>
          <w:numId w:val="5"/>
        </w:numPr>
        <w:spacing w:before="120" w:after="120" w:line="240" w:lineRule="auto"/>
        <w:ind w:hanging="540"/>
        <w:contextualSpacing w:val="0"/>
        <w:jc w:val="both"/>
        <w:rPr>
          <w:rFonts w:ascii="Arial" w:hAnsi="Arial" w:cs="Arial"/>
          <w:lang w:val="es-419"/>
        </w:rPr>
      </w:pPr>
      <w:r>
        <w:rPr>
          <w:rFonts w:ascii="Arial" w:hAnsi="Arial" w:cs="Arial"/>
          <w:lang w:val="es-419"/>
        </w:rPr>
        <w:t xml:space="preserve">La CT se alinea el objetivo del fondo al </w:t>
      </w:r>
      <w:r w:rsidRPr="00EB1853">
        <w:rPr>
          <w:rFonts w:ascii="Arial" w:hAnsi="Arial" w:cs="Arial"/>
          <w:lang w:val="es-419"/>
        </w:rPr>
        <w:t>optimizar la calidad del diseño y la eficiencia en la ejecución de los proyectos de infraestructura</w:t>
      </w:r>
      <w:r>
        <w:rPr>
          <w:rFonts w:ascii="Arial" w:hAnsi="Arial" w:cs="Arial"/>
          <w:lang w:val="es-419"/>
        </w:rPr>
        <w:t xml:space="preserve"> y cumple con las actividades elegibles del mismo mencionados en el documento de </w:t>
      </w:r>
      <w:r w:rsidRPr="004C4BD4">
        <w:rPr>
          <w:rFonts w:ascii="Arial" w:hAnsi="Arial" w:cs="Arial"/>
          <w:lang w:val="es-419"/>
        </w:rPr>
        <w:t>Programas Estratégicos para el Desarrollo Financiados con Capital Ordinario</w:t>
      </w:r>
      <w:r>
        <w:rPr>
          <w:rFonts w:ascii="Arial" w:hAnsi="Arial" w:cs="Arial"/>
          <w:lang w:val="es-419"/>
        </w:rPr>
        <w:t xml:space="preserve"> (GN-2819-1). No se prevé contrapartida local.</w:t>
      </w:r>
    </w:p>
    <w:p w:rsidRPr="007F00CC" w:rsidR="00404B66" w:rsidP="00404B66" w:rsidRDefault="00404B66" w14:paraId="6098E913"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7F00CC">
        <w:rPr>
          <w:rFonts w:ascii="Arial" w:hAnsi="Arial" w:cs="Arial"/>
          <w:lang w:val="es-419"/>
        </w:rPr>
        <w:t xml:space="preserve">La </w:t>
      </w:r>
      <w:r>
        <w:rPr>
          <w:rFonts w:ascii="Arial" w:hAnsi="Arial" w:cs="Arial"/>
          <w:lang w:val="es-419"/>
        </w:rPr>
        <w:t>jefe de equipo</w:t>
      </w:r>
      <w:r w:rsidRPr="007F00CC">
        <w:rPr>
          <w:rFonts w:ascii="Arial" w:hAnsi="Arial" w:cs="Arial"/>
          <w:lang w:val="es-419"/>
        </w:rPr>
        <w:t xml:space="preserve"> de la CT será </w:t>
      </w:r>
      <w:r>
        <w:rPr>
          <w:rFonts w:ascii="Arial" w:hAnsi="Arial" w:cs="Arial"/>
          <w:lang w:val="es-419"/>
        </w:rPr>
        <w:t>la</w:t>
      </w:r>
      <w:r w:rsidRPr="007F00CC">
        <w:rPr>
          <w:rFonts w:ascii="Arial" w:hAnsi="Arial" w:cs="Arial"/>
          <w:lang w:val="es-419"/>
        </w:rPr>
        <w:t xml:space="preserve"> principal encargad</w:t>
      </w:r>
      <w:r>
        <w:rPr>
          <w:rFonts w:ascii="Arial" w:hAnsi="Arial" w:cs="Arial"/>
          <w:lang w:val="es-419"/>
        </w:rPr>
        <w:t>a</w:t>
      </w:r>
      <w:r w:rsidRPr="007F00CC">
        <w:rPr>
          <w:rFonts w:ascii="Arial" w:hAnsi="Arial" w:cs="Arial"/>
          <w:lang w:val="es-419"/>
        </w:rPr>
        <w:t xml:space="preserve"> de la supervisión, </w:t>
      </w:r>
      <w:r>
        <w:rPr>
          <w:rFonts w:ascii="Arial" w:hAnsi="Arial" w:cs="Arial"/>
          <w:lang w:val="es-419"/>
        </w:rPr>
        <w:t>apoyándose de</w:t>
      </w:r>
      <w:r w:rsidRPr="007F00CC">
        <w:rPr>
          <w:rFonts w:ascii="Arial" w:hAnsi="Arial" w:cs="Arial"/>
          <w:lang w:val="es-419"/>
        </w:rPr>
        <w:t xml:space="preserve"> los especialistas de </w:t>
      </w:r>
      <w:r>
        <w:rPr>
          <w:rFonts w:ascii="Arial" w:hAnsi="Arial" w:cs="Arial"/>
          <w:lang w:val="es-419"/>
        </w:rPr>
        <w:t>INE/</w:t>
      </w:r>
      <w:r w:rsidRPr="007F00CC">
        <w:rPr>
          <w:rFonts w:ascii="Arial" w:hAnsi="Arial" w:cs="Arial"/>
          <w:lang w:val="es-419"/>
        </w:rPr>
        <w:t>TSP en Argentina y Brasil.</w:t>
      </w:r>
    </w:p>
    <w:p w:rsidRPr="00D97FAD" w:rsidR="0095711B" w:rsidP="6640F5AC" w:rsidRDefault="6640F5AC" w14:paraId="19EE7AB7" w14:textId="76CA0D58">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Agencia </w:t>
      </w:r>
      <w:r w:rsidR="00E94297">
        <w:rPr>
          <w:rFonts w:ascii="Arial" w:hAnsi="Arial" w:eastAsia="Arial" w:cs="Arial"/>
          <w:b/>
          <w:bCs/>
          <w:lang w:val="es-ES"/>
        </w:rPr>
        <w:t>e</w:t>
      </w:r>
      <w:r w:rsidRPr="6640F5AC">
        <w:rPr>
          <w:rFonts w:ascii="Arial" w:hAnsi="Arial" w:eastAsia="Arial" w:cs="Arial"/>
          <w:b/>
          <w:bCs/>
          <w:lang w:val="es-ES"/>
        </w:rPr>
        <w:t>jecutora y estructura de ejecución</w:t>
      </w:r>
    </w:p>
    <w:p w:rsidRPr="00FE03B1" w:rsidR="005753BA" w:rsidP="005753BA" w:rsidRDefault="005753BA" w14:paraId="127CE54D"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FE03B1">
        <w:rPr>
          <w:rFonts w:ascii="Arial" w:hAnsi="Arial" w:cs="Arial"/>
          <w:b/>
          <w:bCs/>
          <w:lang w:val="es-AR"/>
        </w:rPr>
        <w:t xml:space="preserve">Agencia ejecutora. </w:t>
      </w:r>
      <w:r w:rsidRPr="00FE03B1">
        <w:rPr>
          <w:rFonts w:ascii="Arial" w:hAnsi="Arial" w:eastAsia="Arial" w:cs="Arial"/>
          <w:lang w:val="es-ES"/>
        </w:rPr>
        <w:t>De conformidad con el B</w:t>
      </w:r>
      <w:r>
        <w:rPr>
          <w:rFonts w:ascii="Arial" w:hAnsi="Arial" w:eastAsia="Arial" w:cs="Arial"/>
          <w:lang w:val="es-ES"/>
        </w:rPr>
        <w:t>anco</w:t>
      </w:r>
      <w:r w:rsidRPr="00FE03B1">
        <w:rPr>
          <w:rFonts w:ascii="Arial" w:hAnsi="Arial" w:eastAsia="Arial" w:cs="Arial"/>
          <w:lang w:val="es-ES"/>
        </w:rPr>
        <w:t xml:space="preserve"> y la solicitud de los países beneficiarios (Anexo I), el </w:t>
      </w:r>
      <w:r>
        <w:rPr>
          <w:rFonts w:ascii="Arial" w:hAnsi="Arial" w:eastAsia="Arial" w:cs="Arial"/>
          <w:lang w:val="es-ES"/>
        </w:rPr>
        <w:t>Banco</w:t>
      </w:r>
      <w:r w:rsidRPr="00FE03B1">
        <w:rPr>
          <w:rFonts w:ascii="Arial" w:hAnsi="Arial" w:eastAsia="Arial" w:cs="Arial"/>
          <w:lang w:val="es-ES"/>
        </w:rPr>
        <w:t xml:space="preserve"> será el Organismo Ejecutor (OE)</w:t>
      </w:r>
      <w:r w:rsidRPr="00FE03B1">
        <w:rPr>
          <w:rFonts w:ascii="Arial" w:hAnsi="Arial" w:cs="Arial"/>
          <w:lang w:val="es-419"/>
        </w:rPr>
        <w:t>, a través de la División de Transporte (INE/TSP). INE/TSP tiene el conocimiento especializado en la prestación de asistencia técnica en los temas de interés relacionados con el objeto de esta CT.</w:t>
      </w:r>
    </w:p>
    <w:p w:rsidRPr="00727274" w:rsidR="005753BA" w:rsidP="005753BA" w:rsidRDefault="005753BA" w14:paraId="5C757B8F" w14:textId="77777777">
      <w:pPr>
        <w:pStyle w:val="ListParagraph"/>
        <w:numPr>
          <w:ilvl w:val="1"/>
          <w:numId w:val="5"/>
        </w:numPr>
        <w:spacing w:before="120" w:after="120" w:line="240" w:lineRule="auto"/>
        <w:ind w:hanging="630"/>
        <w:contextualSpacing w:val="0"/>
        <w:jc w:val="both"/>
        <w:rPr>
          <w:rFonts w:ascii="Arial" w:hAnsi="Arial" w:eastAsia="Arial" w:cs="Arial"/>
          <w:lang w:val="es-ES"/>
        </w:rPr>
      </w:pPr>
      <w:r w:rsidRPr="00F7052F">
        <w:rPr>
          <w:rFonts w:ascii="Arial" w:hAnsi="Arial" w:cs="Arial"/>
          <w:lang w:val="es-419"/>
        </w:rPr>
        <w:t>El período de ejecución y desembolso será de 36 meses y el UDR será INE/TSP.</w:t>
      </w:r>
      <w:r w:rsidRPr="00B4102F">
        <w:rPr>
          <w:rFonts w:ascii="Arial" w:hAnsi="Arial" w:eastAsia="Arial" w:cs="Arial"/>
          <w:lang w:val="es-ES"/>
        </w:rPr>
        <w:t xml:space="preserve"> </w:t>
      </w:r>
      <w:r w:rsidRPr="0026455E">
        <w:rPr>
          <w:rFonts w:ascii="Arial" w:hAnsi="Arial" w:eastAsia="Arial" w:cs="Arial"/>
          <w:lang w:val="es-ES"/>
        </w:rPr>
        <w:t>Las actividades a ejecutar bajo esta operación se han incluido en el Plan de Adquisiciones (Anexo) y serán ejecutadas de acuerdo con los métodos de adquisiciones establecidos del Banco, a saber: (a) Contratación de consultores individuales, según lo establecido en la</w:t>
      </w:r>
      <w:r>
        <w:rPr>
          <w:rFonts w:ascii="Arial" w:hAnsi="Arial" w:eastAsia="Arial" w:cs="Arial"/>
          <w:lang w:val="es-ES"/>
        </w:rPr>
        <w:t xml:space="preserve"> </w:t>
      </w:r>
      <w:r w:rsidRPr="00A22CAF">
        <w:rPr>
          <w:rFonts w:ascii="Arial" w:hAnsi="Arial" w:eastAsia="Arial" w:cs="Arial"/>
          <w:lang w:val="es-ES"/>
        </w:rPr>
        <w:t>sección AM-650 del Manual Administrativo</w:t>
      </w:r>
      <w:r>
        <w:rPr>
          <w:rFonts w:ascii="Arial" w:hAnsi="Arial" w:eastAsia="Arial" w:cs="Arial"/>
          <w:lang w:val="es-ES"/>
        </w:rPr>
        <w:t xml:space="preserve"> </w:t>
      </w:r>
      <w:r w:rsidRPr="00A22CAF">
        <w:rPr>
          <w:rFonts w:ascii="Arial" w:hAnsi="Arial" w:eastAsia="Arial" w:cs="Arial"/>
          <w:lang w:val="es-ES"/>
        </w:rPr>
        <w:t xml:space="preserve">Fuerza de Trabajo </w:t>
      </w:r>
      <w:r w:rsidRPr="00A22CAF">
        <w:rPr>
          <w:rFonts w:ascii="Arial" w:hAnsi="Arial" w:eastAsia="Arial" w:cs="Arial"/>
          <w:lang w:val="es-ES"/>
        </w:rPr>
        <w:lastRenderedPageBreak/>
        <w:t>Complementaria</w:t>
      </w:r>
      <w:r w:rsidRPr="0026455E">
        <w:rPr>
          <w:rFonts w:ascii="Arial" w:hAnsi="Arial" w:eastAsia="Arial" w:cs="Arial"/>
          <w:lang w:val="es-ES"/>
        </w:rPr>
        <w:t xml:space="preserve">; (b) Contratación de firmas consultoras para servicios de naturaleza intelectual según la </w:t>
      </w:r>
      <w:r w:rsidRPr="004B08C6">
        <w:rPr>
          <w:rFonts w:ascii="Arial" w:hAnsi="Arial" w:eastAsia="Arial" w:cs="Arial"/>
          <w:lang w:val="es-ES"/>
        </w:rPr>
        <w:t> Política para la Selección y Contratación de Empresas Consultoras para Trabajo Operativo Ejecutado por el Banco (GN-2765-4</w:t>
      </w:r>
      <w:r>
        <w:rPr>
          <w:rFonts w:ascii="Arial" w:hAnsi="Arial" w:eastAsia="Arial" w:cs="Arial"/>
          <w:lang w:val="es-ES"/>
        </w:rPr>
        <w:t>)</w:t>
      </w:r>
      <w:r w:rsidRPr="0026455E">
        <w:rPr>
          <w:rFonts w:ascii="Arial" w:hAnsi="Arial" w:eastAsia="Arial" w:cs="Arial"/>
          <w:lang w:val="es-ES"/>
        </w:rPr>
        <w:t xml:space="preserve"> y sus guías operativas asociadas (OP-1155-4)</w:t>
      </w:r>
      <w:r>
        <w:rPr>
          <w:rFonts w:ascii="Arial" w:hAnsi="Arial" w:eastAsia="Arial" w:cs="Arial"/>
          <w:lang w:val="es-ES"/>
        </w:rPr>
        <w:t>;</w:t>
      </w:r>
      <w:r w:rsidRPr="0026455E">
        <w:rPr>
          <w:rFonts w:ascii="Arial" w:hAnsi="Arial" w:eastAsia="Arial" w:cs="Arial"/>
          <w:lang w:val="es-ES"/>
        </w:rPr>
        <w:t xml:space="preserve"> y (c) Contratación de servicios logísticos y otros servicios distintos a consultoría, de acuerdo a la</w:t>
      </w:r>
      <w:r w:rsidRPr="00A0614A">
        <w:rPr>
          <w:rFonts w:ascii="Arial" w:hAnsi="Arial" w:eastAsia="Arial" w:cs="Arial"/>
          <w:lang w:val="es-ES"/>
        </w:rPr>
        <w:t xml:space="preserve"> Política de Adquisiciones Institucionales (GN-2303-28).</w:t>
      </w:r>
    </w:p>
    <w:p w:rsidRPr="00191FC9" w:rsidR="005753BA" w:rsidP="005753BA" w:rsidRDefault="005753BA" w14:paraId="22120CD2" w14:textId="77777777">
      <w:pPr>
        <w:pStyle w:val="ListParagraph"/>
        <w:numPr>
          <w:ilvl w:val="1"/>
          <w:numId w:val="5"/>
        </w:numPr>
        <w:spacing w:before="120" w:after="120" w:line="240" w:lineRule="auto"/>
        <w:ind w:hanging="540"/>
        <w:contextualSpacing w:val="0"/>
        <w:jc w:val="both"/>
        <w:rPr>
          <w:rFonts w:ascii="Arial" w:hAnsi="Arial" w:eastAsia="Arial" w:cs="Arial"/>
          <w:lang w:val="es-ES"/>
        </w:rPr>
      </w:pPr>
      <w:r w:rsidRPr="00D237A5">
        <w:rPr>
          <w:rFonts w:ascii="Arial" w:hAnsi="Arial" w:cs="Arial"/>
          <w:lang w:val="es-419"/>
        </w:rPr>
        <w:t xml:space="preserve">La ejecución por parte del Banco se justifica dado el carácter altamente técnico de las actividades y el hecho de que necesita un alto nivel de coordinación e interdependencia para la correcta implementación. Asimismo, el Banco cuenta con la experiencia técnica y la capacidad para asegurar una alta calidad de los productos y actividades que se llevarán a cabo para este proyecto y su impacto positivo en la ejecución de los programas de préstamo de la </w:t>
      </w:r>
      <w:r>
        <w:rPr>
          <w:rFonts w:ascii="Arial" w:hAnsi="Arial" w:cs="Arial"/>
          <w:lang w:val="es-419"/>
        </w:rPr>
        <w:t>INE/TSP.</w:t>
      </w:r>
    </w:p>
    <w:p w:rsidRPr="005753BA" w:rsidR="00E87CA5" w:rsidP="005753BA" w:rsidRDefault="005753BA" w14:paraId="3BF9EDFA" w14:textId="29E230C1">
      <w:pPr>
        <w:pStyle w:val="ListParagraph"/>
        <w:numPr>
          <w:ilvl w:val="1"/>
          <w:numId w:val="5"/>
        </w:numPr>
        <w:autoSpaceDE w:val="0"/>
        <w:autoSpaceDN w:val="0"/>
        <w:adjustRightInd w:val="0"/>
        <w:spacing w:before="120" w:after="120" w:line="240" w:lineRule="auto"/>
        <w:ind w:hanging="540"/>
        <w:contextualSpacing w:val="0"/>
        <w:jc w:val="both"/>
        <w:rPr>
          <w:rFonts w:ascii="Arial" w:hAnsi="Arial" w:eastAsia="Arial" w:cs="Arial"/>
          <w:lang w:val="es-ES"/>
        </w:rPr>
      </w:pPr>
      <w:r w:rsidRPr="00191FC9">
        <w:rPr>
          <w:rFonts w:ascii="Arial" w:hAnsi="Arial" w:cs="Arial"/>
          <w:lang w:val="es-419"/>
        </w:rPr>
        <w:t>INE/TSP se encargará de la preparación y publicación de solicitudes de expresiones de interés, elaboración de listas cortas, preparación y distribución de solicitudes de propuestas, evaluación y selección de los consultores según los criterios establecidos</w:t>
      </w:r>
      <w:r>
        <w:rPr>
          <w:rFonts w:ascii="Arial" w:hAnsi="Arial" w:cs="Arial"/>
          <w:lang w:val="es-419"/>
        </w:rPr>
        <w:t xml:space="preserve"> </w:t>
      </w:r>
      <w:r w:rsidRPr="00191FC9">
        <w:rPr>
          <w:rFonts w:ascii="Arial" w:hAnsi="Arial" w:cs="Arial"/>
          <w:lang w:val="es-419"/>
        </w:rPr>
        <w:t>en las solicitudes de propuestas, y negociación de los contratos respectivos.</w:t>
      </w:r>
      <w:r>
        <w:rPr>
          <w:rFonts w:ascii="Arial" w:hAnsi="Arial" w:cs="Arial"/>
          <w:lang w:val="es-419"/>
        </w:rPr>
        <w:t xml:space="preserve"> A su vez, el equipo del proyecto se encargará de la obtención de las cartas de solicitud de no objeción </w:t>
      </w:r>
      <w:r>
        <w:rPr>
          <w:rFonts w:ascii="Arial" w:hAnsi="Arial" w:cs="Arial"/>
          <w:lang w:val="es-419"/>
        </w:rPr>
        <w:t>específicas</w:t>
      </w:r>
      <w:r>
        <w:rPr>
          <w:rFonts w:ascii="Arial" w:hAnsi="Arial" w:cs="Arial"/>
          <w:lang w:val="es-419"/>
        </w:rPr>
        <w:t xml:space="preserve"> para cada país al momento de ejecutar las actividades de esta CT.</w:t>
      </w:r>
    </w:p>
    <w:p w:rsidRPr="00D97FAD" w:rsidR="0095711B" w:rsidP="6640F5AC" w:rsidRDefault="6640F5AC" w14:paraId="19EE7AC5" w14:textId="56BCCA88">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Riesgos importantes </w:t>
      </w:r>
    </w:p>
    <w:p w:rsidRPr="00D26B16" w:rsidR="0078597E" w:rsidP="0078597E" w:rsidRDefault="0078597E" w14:paraId="6D7EF688" w14:textId="6995DF0D">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cs="Arial"/>
          <w:lang w:val="es-419"/>
        </w:rPr>
        <w:t>Potenciales retrasos en la implementación de las medidas como consecuencia de la situación generada por la pandemia de COVID-19, especialmente en aquellas situaciones donde el grado de digitalización de las agencias es menor. Este riesgo será mitigado analizando previamente la capacidad de la agencia para implementar las acciones planteadas como también su sostenibilidad en el tiempo para una mejora de la gestión de proyectos de forma integral.</w:t>
      </w:r>
    </w:p>
    <w:p w:rsidRPr="00D26B16" w:rsidR="00D26B16" w:rsidP="00D26B16" w:rsidRDefault="00D26B16" w14:paraId="359AD5C8" w14:textId="4075784A">
      <w:pPr>
        <w:pStyle w:val="ListParagraph"/>
        <w:numPr>
          <w:ilvl w:val="1"/>
          <w:numId w:val="5"/>
        </w:numPr>
        <w:spacing w:before="120" w:after="120" w:line="240" w:lineRule="auto"/>
        <w:ind w:hanging="540"/>
        <w:contextualSpacing w:val="0"/>
        <w:jc w:val="both"/>
        <w:rPr>
          <w:rFonts w:ascii="Arial" w:hAnsi="Arial" w:eastAsia="Arial" w:cs="Arial"/>
          <w:lang w:val="es-ES"/>
        </w:rPr>
      </w:pPr>
      <w:r>
        <w:rPr>
          <w:rFonts w:ascii="Arial" w:hAnsi="Arial" w:cs="Arial"/>
          <w:lang w:val="es-419"/>
        </w:rPr>
        <w:t>A su vez, existe el riesgo político vinculado con el cambio de prioridades de los gobiernos debido a los procesos electores de los próximos años que puede afectar a los proyectos actuales y futuros. Este riesgo será mitigado con la continua comunicación con los gobiernos para mantener prioridades de proyectos continuando con las líneas de planificación de la estrategia en cada país, junto con un seguimiento y monitoreo a los procesos tanto de ejecución como de preparación.</w:t>
      </w:r>
    </w:p>
    <w:p w:rsidRPr="00D97FAD" w:rsidR="00F72899" w:rsidP="6640F5AC" w:rsidRDefault="6640F5AC" w14:paraId="19EE7AC8" w14:textId="77777777">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Excepciones a las políticas del Banco </w:t>
      </w:r>
    </w:p>
    <w:p w:rsidRPr="00D97FAD" w:rsidR="008C101D" w:rsidP="008C101D" w:rsidRDefault="008C101D" w14:paraId="167F9BAA" w14:textId="5F39EFD4">
      <w:pPr>
        <w:pStyle w:val="ListParagraph"/>
        <w:numPr>
          <w:ilvl w:val="1"/>
          <w:numId w:val="5"/>
        </w:numPr>
        <w:spacing w:before="120" w:after="120" w:line="240" w:lineRule="auto"/>
        <w:ind w:hanging="540"/>
        <w:contextualSpacing w:val="0"/>
        <w:jc w:val="both"/>
        <w:rPr>
          <w:rFonts w:ascii="Arial" w:hAnsi="Arial" w:eastAsia="Arial" w:cs="Arial"/>
          <w:lang w:val="es-ES"/>
        </w:rPr>
      </w:pPr>
      <w:r w:rsidRPr="51A16178">
        <w:rPr>
          <w:rFonts w:ascii="Arial" w:hAnsi="Arial" w:eastAsia="Arial" w:cs="Arial"/>
          <w:lang w:val="es-ES"/>
        </w:rPr>
        <w:t>No se prevén excepciones a políticas del Banco para esta C</w:t>
      </w:r>
      <w:r w:rsidR="00E87CA5">
        <w:rPr>
          <w:rFonts w:ascii="Arial" w:hAnsi="Arial" w:eastAsia="Arial" w:cs="Arial"/>
          <w:lang w:val="es-ES"/>
        </w:rPr>
        <w:t>T</w:t>
      </w:r>
      <w:r w:rsidRPr="51A16178">
        <w:rPr>
          <w:rFonts w:ascii="Arial" w:hAnsi="Arial" w:eastAsia="Arial" w:cs="Arial"/>
          <w:lang w:val="es-ES"/>
        </w:rPr>
        <w:t>.</w:t>
      </w:r>
    </w:p>
    <w:p w:rsidRPr="00D97FAD" w:rsidR="0095711B" w:rsidP="6640F5AC" w:rsidRDefault="6640F5AC" w14:paraId="19EE7ACA" w14:textId="032626F3">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Salvaguardias </w:t>
      </w:r>
      <w:r w:rsidR="005A37A6">
        <w:rPr>
          <w:rFonts w:ascii="Arial" w:hAnsi="Arial" w:eastAsia="Arial" w:cs="Arial"/>
          <w:b/>
          <w:bCs/>
          <w:lang w:val="es-ES"/>
        </w:rPr>
        <w:t>a</w:t>
      </w:r>
      <w:r w:rsidRPr="6640F5AC">
        <w:rPr>
          <w:rFonts w:ascii="Arial" w:hAnsi="Arial" w:eastAsia="Arial" w:cs="Arial"/>
          <w:b/>
          <w:bCs/>
          <w:lang w:val="es-ES"/>
        </w:rPr>
        <w:t xml:space="preserve">mbientales </w:t>
      </w:r>
    </w:p>
    <w:p w:rsidRPr="007367B8" w:rsidR="00C12D01" w:rsidP="00C12D01" w:rsidRDefault="00C12D01" w14:paraId="13F95448" w14:textId="486E1768">
      <w:pPr>
        <w:pStyle w:val="ListParagraph"/>
        <w:numPr>
          <w:ilvl w:val="1"/>
          <w:numId w:val="5"/>
        </w:numPr>
        <w:spacing w:before="120" w:after="120" w:line="240" w:lineRule="auto"/>
        <w:ind w:hanging="540"/>
        <w:contextualSpacing w:val="0"/>
        <w:jc w:val="both"/>
        <w:rPr>
          <w:rFonts w:ascii="Arial" w:hAnsi="Arial" w:eastAsia="Arial" w:cs="Arial"/>
          <w:lang w:val="es-ES"/>
        </w:rPr>
      </w:pPr>
      <w:r w:rsidRPr="007A311D">
        <w:rPr>
          <w:rFonts w:ascii="Arial" w:hAnsi="Arial" w:cs="Arial"/>
          <w:lang w:val="es-ES"/>
        </w:rPr>
        <w:t xml:space="preserve">La presente CT no tiene implicaciones ambientales ni sociales por tratarse de un BPR de servicios de consultoría diseñados para generar conocimiento sobre el estado de la desigualdad en la región. Teniendo en cuenta la naturaleza de la CT en temas de impactos, riesgos ambientales y socioculturales, esta operación es considerada por el equipo de proyecto como Categoría C, de acuerdo a los filtros ambientales (ver </w:t>
      </w:r>
      <w:hyperlink w:history="1" r:id="rId12">
        <w:r w:rsidRPr="007A311D">
          <w:rPr>
            <w:rStyle w:val="Hyperlink"/>
            <w:rFonts w:ascii="Arial" w:hAnsi="Arial" w:cs="Arial"/>
            <w:lang w:val="es-ES"/>
          </w:rPr>
          <w:t>SSF</w:t>
        </w:r>
      </w:hyperlink>
      <w:r w:rsidRPr="007A311D">
        <w:rPr>
          <w:rFonts w:ascii="Arial" w:hAnsi="Arial" w:cs="Arial"/>
          <w:lang w:val="es-ES"/>
        </w:rPr>
        <w:t xml:space="preserve"> y </w:t>
      </w:r>
      <w:hyperlink w:history="1" r:id="rId13">
        <w:r w:rsidRPr="007A311D">
          <w:rPr>
            <w:rStyle w:val="Hyperlink"/>
            <w:rFonts w:ascii="Arial" w:hAnsi="Arial" w:cs="Arial"/>
            <w:lang w:val="es-ES"/>
          </w:rPr>
          <w:t>SPF</w:t>
        </w:r>
      </w:hyperlink>
      <w:r w:rsidRPr="007A311D">
        <w:rPr>
          <w:rFonts w:ascii="Arial" w:hAnsi="Arial" w:cs="Arial"/>
          <w:lang w:val="es-ES"/>
        </w:rPr>
        <w:t>).</w:t>
      </w:r>
    </w:p>
    <w:p w:rsidR="007367B8" w:rsidP="007367B8" w:rsidRDefault="007367B8" w14:paraId="4284BAE3" w14:textId="579087E6">
      <w:pPr>
        <w:spacing w:before="120" w:after="120" w:line="240" w:lineRule="auto"/>
        <w:jc w:val="both"/>
        <w:rPr>
          <w:rFonts w:ascii="Arial" w:hAnsi="Arial" w:eastAsia="Arial" w:cs="Arial"/>
          <w:lang w:val="es-ES"/>
        </w:rPr>
      </w:pPr>
    </w:p>
    <w:p w:rsidR="007367B8" w:rsidP="007367B8" w:rsidRDefault="007367B8" w14:paraId="5EBA6888" w14:textId="30490B6A">
      <w:pPr>
        <w:spacing w:before="120" w:after="120" w:line="240" w:lineRule="auto"/>
        <w:jc w:val="both"/>
        <w:rPr>
          <w:rFonts w:ascii="Arial" w:hAnsi="Arial" w:eastAsia="Arial" w:cs="Arial"/>
          <w:lang w:val="es-ES"/>
        </w:rPr>
      </w:pPr>
    </w:p>
    <w:p w:rsidR="007367B8" w:rsidP="007367B8" w:rsidRDefault="007367B8" w14:paraId="7D47AB75" w14:textId="4189B26C">
      <w:pPr>
        <w:spacing w:before="120" w:after="120" w:line="240" w:lineRule="auto"/>
        <w:jc w:val="both"/>
        <w:rPr>
          <w:rFonts w:ascii="Arial" w:hAnsi="Arial" w:eastAsia="Arial" w:cs="Arial"/>
          <w:lang w:val="es-ES"/>
        </w:rPr>
      </w:pPr>
    </w:p>
    <w:p w:rsidRPr="007367B8" w:rsidR="007367B8" w:rsidP="007367B8" w:rsidRDefault="007367B8" w14:paraId="5A8EAA15" w14:textId="77777777">
      <w:pPr>
        <w:spacing w:before="120" w:after="120" w:line="240" w:lineRule="auto"/>
        <w:jc w:val="both"/>
        <w:rPr>
          <w:rFonts w:ascii="Arial" w:hAnsi="Arial" w:eastAsia="Arial" w:cs="Arial"/>
          <w:lang w:val="es-ES"/>
        </w:rPr>
      </w:pPr>
    </w:p>
    <w:p w:rsidRPr="00D97FAD" w:rsidR="00F72899" w:rsidP="0041610F" w:rsidRDefault="6640F5AC" w14:paraId="19EE7ACC" w14:textId="77777777">
      <w:pPr>
        <w:spacing w:before="120" w:after="120" w:line="240" w:lineRule="auto"/>
        <w:ind w:hanging="180"/>
        <w:jc w:val="both"/>
        <w:rPr>
          <w:rFonts w:ascii="Arial" w:hAnsi="Arial" w:eastAsia="Arial" w:cs="Arial"/>
          <w:b/>
          <w:bCs/>
          <w:lang w:val="es-ES"/>
        </w:rPr>
      </w:pPr>
      <w:r w:rsidRPr="6640F5AC">
        <w:rPr>
          <w:rFonts w:ascii="Arial" w:hAnsi="Arial" w:eastAsia="Arial" w:cs="Arial"/>
          <w:b/>
          <w:bCs/>
          <w:lang w:val="es-ES"/>
        </w:rPr>
        <w:lastRenderedPageBreak/>
        <w:t>Anexos Requeridos:</w:t>
      </w:r>
    </w:p>
    <w:sdt>
      <w:sdtPr>
        <w:rPr>
          <w:lang w:val="es-ES"/>
        </w:rPr>
        <w:alias w:val="ANNEXES"/>
        <w:tag w:val="ANNEXES"/>
        <w:id w:val="-1347013865"/>
        <w:lock w:val="sdtLocked"/>
        <w:placeholder>
          <w:docPart w:val="DefaultPlaceholder_1081868574"/>
        </w:placeholder>
      </w:sdtPr>
      <w:sdtEndPr>
        <w:rPr>
          <w:rFonts w:ascii="Arial" w:hAnsi="Arial" w:cs="Arial"/>
        </w:rPr>
      </w:sdtEndPr>
      <w:sdtContent>
        <w:p>
          <w:hyperlink w:history="true" r:id="R42182357b24345eb">
            <w:proofErr w:type="gramStart"/>
            <w:r>
              <w:rPr>
                <w:u w:val="single"/>
                <w:color w:themeColor="hyperlink"/>
              </w:rPr>
              <w:t>Solicitud del Cliente - RG-T3856</w:t>
            </w:r>
          </w:hyperlink>
        </w:p>
        <w:p>
          <w:hyperlink w:history="true" r:id="R1dc0cabf2f124e59">
            <w:proofErr w:type="gramStart"/>
            <w:r>
              <w:rPr>
                <w:u w:val="single"/>
                <w:color w:themeColor="hyperlink"/>
              </w:rPr>
              <w:t>Matriz de Resultados - RG-T3856</w:t>
            </w:r>
          </w:hyperlink>
        </w:p>
        <w:p>
          <w:hyperlink w:history="true" r:id="R5311e093ff46409a">
            <w:proofErr w:type="gramStart"/>
            <w:r>
              <w:rPr>
                <w:u w:val="single"/>
                <w:color w:themeColor="hyperlink"/>
              </w:rPr>
              <w:t>Términos de Referencia - RG-T3856</w:t>
            </w:r>
          </w:hyperlink>
        </w:p>
        <w:p>
          <w:hyperlink w:history="true" r:id="Rcc48db408ee6495c">
            <w:proofErr w:type="gramStart"/>
            <w:r>
              <w:rPr>
                <w:u w:val="single"/>
                <w:color w:themeColor="hyperlink"/>
              </w:rPr>
              <w:t>Plan de Adquisiciones - RG-T3856</w:t>
            </w:r>
          </w:hyperlink>
        </w:p>
      </w:sdtContent>
    </w:sdt>
    <w:sectPr w:rsidRPr="004E0B9F" w:rsidR="00466C7E" w:rsidSect="0041610F">
      <w:headerReference w:type="default" r:id="rId18"/>
      <w:footerReference w:type="default" r:id="rId19"/>
      <w:pgSz w:w="12240" w:h="15840" w:orient="portrait"/>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957C8" w:rsidP="0095711B" w:rsidRDefault="006957C8" w14:paraId="5F5FC479" w14:textId="77777777">
      <w:pPr>
        <w:spacing w:after="0" w:line="240" w:lineRule="auto"/>
      </w:pPr>
      <w:r>
        <w:separator/>
      </w:r>
    </w:p>
  </w:endnote>
  <w:endnote w:type="continuationSeparator" w:id="0">
    <w:p w:rsidR="006957C8" w:rsidP="0095711B" w:rsidRDefault="006957C8" w14:paraId="626AE192" w14:textId="77777777">
      <w:pPr>
        <w:spacing w:after="0" w:line="240" w:lineRule="auto"/>
      </w:pPr>
      <w:r>
        <w:continuationSeparator/>
      </w:r>
    </w:p>
  </w:endnote>
  <w:endnote w:type="continuationNotice" w:id="1">
    <w:p w:rsidR="0046777A" w:rsidRDefault="0046777A" w14:paraId="2D97AB9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3CA2" w:rsidRDefault="009F3CA2" w14:paraId="19EE7AD7" w14:textId="77777777">
    <w:pPr>
      <w:pStyle w:val="Footer"/>
      <w:jc w:val="center"/>
    </w:pPr>
  </w:p>
  <w:p w:rsidR="009F3CA2" w:rsidRDefault="009F3CA2" w14:paraId="19EE7AD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957C8" w:rsidP="0095711B" w:rsidRDefault="006957C8" w14:paraId="3C2A839F" w14:textId="77777777">
      <w:pPr>
        <w:spacing w:after="0" w:line="240" w:lineRule="auto"/>
      </w:pPr>
      <w:r>
        <w:separator/>
      </w:r>
    </w:p>
  </w:footnote>
  <w:footnote w:type="continuationSeparator" w:id="0">
    <w:p w:rsidR="006957C8" w:rsidP="0095711B" w:rsidRDefault="006957C8" w14:paraId="43F7F3BE" w14:textId="77777777">
      <w:pPr>
        <w:spacing w:after="0" w:line="240" w:lineRule="auto"/>
      </w:pPr>
      <w:r>
        <w:continuationSeparator/>
      </w:r>
    </w:p>
  </w:footnote>
  <w:footnote w:type="continuationNotice" w:id="1">
    <w:p w:rsidR="0046777A" w:rsidRDefault="0046777A" w14:paraId="52A599A6" w14:textId="77777777">
      <w:pPr>
        <w:spacing w:after="0" w:line="240" w:lineRule="auto"/>
      </w:pPr>
    </w:p>
  </w:footnote>
  <w:footnote w:id="2">
    <w:p w:rsidRPr="006103B2" w:rsidR="00D4729A" w:rsidP="004E0B9F" w:rsidRDefault="00D4729A" w14:paraId="2D648E77" w14:textId="77777777">
      <w:pPr>
        <w:pStyle w:val="FootnoteText"/>
        <w:ind w:left="284" w:hanging="284"/>
        <w:rPr>
          <w:rFonts w:ascii="Arial" w:hAnsi="Arial" w:cs="Arial"/>
          <w:sz w:val="18"/>
          <w:szCs w:val="18"/>
          <w:lang w:val="es-419"/>
        </w:rPr>
      </w:pPr>
      <w:r w:rsidRPr="006103B2">
        <w:rPr>
          <w:rStyle w:val="FootnoteReference"/>
          <w:rFonts w:ascii="Arial" w:hAnsi="Arial" w:cs="Arial"/>
          <w:sz w:val="18"/>
          <w:szCs w:val="18"/>
        </w:rPr>
        <w:footnoteRef/>
      </w:r>
      <w:r w:rsidRPr="006103B2">
        <w:rPr>
          <w:rFonts w:ascii="Arial" w:hAnsi="Arial" w:cs="Arial"/>
          <w:sz w:val="18"/>
          <w:szCs w:val="18"/>
        </w:rPr>
        <w:t xml:space="preserve"> </w:t>
      </w:r>
      <w:r>
        <w:rPr>
          <w:rFonts w:ascii="Arial" w:hAnsi="Arial" w:cs="Arial"/>
          <w:sz w:val="18"/>
          <w:szCs w:val="18"/>
        </w:rPr>
        <w:tab/>
      </w:r>
      <w:proofErr w:type="spellStart"/>
      <w:r w:rsidRPr="006103B2">
        <w:rPr>
          <w:rFonts w:ascii="Arial" w:hAnsi="Arial" w:cs="Arial"/>
          <w:sz w:val="18"/>
          <w:szCs w:val="18"/>
          <w:lang w:val="es-419"/>
        </w:rPr>
        <w:t>Flyvbjerg</w:t>
      </w:r>
      <w:proofErr w:type="spellEnd"/>
      <w:r w:rsidRPr="006103B2">
        <w:rPr>
          <w:rFonts w:ascii="Arial" w:hAnsi="Arial" w:cs="Arial"/>
          <w:sz w:val="18"/>
          <w:szCs w:val="18"/>
          <w:lang w:val="es-419"/>
        </w:rPr>
        <w:t>, 2016</w:t>
      </w:r>
      <w:r>
        <w:rPr>
          <w:rFonts w:ascii="Arial" w:hAnsi="Arial" w:cs="Arial"/>
          <w:sz w:val="18"/>
          <w:szCs w:val="18"/>
          <w:lang w:val="es-419"/>
        </w:rPr>
        <w:t>.</w:t>
      </w:r>
    </w:p>
  </w:footnote>
  <w:footnote w:id="3">
    <w:p w:rsidRPr="006103B2" w:rsidR="00D4729A" w:rsidP="004E0B9F" w:rsidRDefault="00D4729A" w14:paraId="05BA412D" w14:textId="77777777">
      <w:pPr>
        <w:pStyle w:val="FootnoteText"/>
        <w:ind w:left="284" w:hanging="284"/>
        <w:rPr>
          <w:rFonts w:ascii="Arial" w:hAnsi="Arial" w:cs="Arial"/>
          <w:sz w:val="18"/>
          <w:szCs w:val="18"/>
          <w:lang w:val="es-419"/>
        </w:rPr>
      </w:pPr>
      <w:r w:rsidRPr="006103B2">
        <w:rPr>
          <w:rStyle w:val="FootnoteReference"/>
          <w:rFonts w:ascii="Arial" w:hAnsi="Arial" w:cs="Arial"/>
          <w:sz w:val="18"/>
          <w:szCs w:val="18"/>
        </w:rPr>
        <w:footnoteRef/>
      </w:r>
      <w:r w:rsidRPr="006103B2">
        <w:rPr>
          <w:rFonts w:ascii="Arial" w:hAnsi="Arial" w:cs="Arial"/>
          <w:sz w:val="18"/>
          <w:szCs w:val="18"/>
        </w:rPr>
        <w:t xml:space="preserve"> </w:t>
      </w:r>
      <w:r>
        <w:rPr>
          <w:rFonts w:ascii="Arial" w:hAnsi="Arial" w:cs="Arial"/>
          <w:sz w:val="18"/>
          <w:szCs w:val="18"/>
        </w:rPr>
        <w:tab/>
      </w:r>
      <w:proofErr w:type="spellStart"/>
      <w:r w:rsidRPr="006103B2">
        <w:rPr>
          <w:rFonts w:ascii="Arial" w:hAnsi="Arial" w:cs="Arial"/>
          <w:sz w:val="18"/>
          <w:szCs w:val="18"/>
          <w:lang w:val="es-419"/>
        </w:rPr>
        <w:t>Flyvbjerg</w:t>
      </w:r>
      <w:proofErr w:type="spellEnd"/>
      <w:r w:rsidRPr="006103B2">
        <w:rPr>
          <w:rFonts w:ascii="Arial" w:hAnsi="Arial" w:cs="Arial"/>
          <w:sz w:val="18"/>
          <w:szCs w:val="18"/>
          <w:lang w:val="es-419"/>
        </w:rPr>
        <w:t xml:space="preserve"> y Sunstein, 2016</w:t>
      </w:r>
      <w:r>
        <w:rPr>
          <w:rFonts w:ascii="Arial" w:hAnsi="Arial" w:cs="Arial"/>
          <w:sz w:val="18"/>
          <w:szCs w:val="18"/>
          <w:lang w:val="es-41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664664737"/>
      <w:docPartObj>
        <w:docPartGallery w:val="Page Numbers (Top of Page)"/>
        <w:docPartUnique/>
      </w:docPartObj>
    </w:sdtPr>
    <w:sdtEndPr>
      <w:rPr>
        <w:noProof/>
      </w:rPr>
    </w:sdtEndPr>
    <w:sdtContent>
      <w:p w:rsidRPr="0041610F" w:rsidR="007C6B4B" w:rsidP="3553B541" w:rsidRDefault="3553B541" w14:paraId="19EE7AD5" w14:textId="77BD21C1">
        <w:pPr>
          <w:pStyle w:val="Header"/>
          <w:jc w:val="center"/>
          <w:rPr>
            <w:rFonts w:ascii="Arial" w:hAnsi="Arial" w:cs="Arial"/>
            <w:sz w:val="18"/>
            <w:szCs w:val="18"/>
          </w:rPr>
        </w:pPr>
        <w:r w:rsidRPr="0041610F">
          <w:rPr>
            <w:rFonts w:ascii="Arial" w:hAnsi="Arial" w:cs="Arial"/>
            <w:sz w:val="18"/>
            <w:szCs w:val="18"/>
          </w:rPr>
          <w:t>- </w:t>
        </w:r>
        <w:r w:rsidRPr="0041610F" w:rsidR="7AF0EB47">
          <w:rPr>
            <w:rFonts w:ascii="Arial" w:hAnsi="Arial" w:cs="Arial"/>
            <w:noProof/>
            <w:sz w:val="18"/>
            <w:szCs w:val="18"/>
          </w:rPr>
          <w:fldChar w:fldCharType="begin"/>
        </w:r>
        <w:r w:rsidRPr="0041610F" w:rsidR="7AF0EB47">
          <w:rPr>
            <w:rFonts w:ascii="Arial" w:hAnsi="Arial" w:cs="Arial"/>
            <w:noProof/>
            <w:sz w:val="18"/>
            <w:szCs w:val="18"/>
          </w:rPr>
          <w:instrText xml:space="preserve"> PAGE   \* MERGEFORMAT </w:instrText>
        </w:r>
        <w:r w:rsidRPr="0041610F" w:rsidR="7AF0EB47">
          <w:rPr>
            <w:rFonts w:ascii="Arial" w:hAnsi="Arial" w:cs="Arial"/>
            <w:noProof/>
            <w:sz w:val="18"/>
            <w:szCs w:val="18"/>
          </w:rPr>
          <w:fldChar w:fldCharType="separate"/>
        </w:r>
        <w:r w:rsidR="00306DD4">
          <w:rPr>
            <w:rFonts w:ascii="Arial" w:hAnsi="Arial" w:cs="Arial"/>
            <w:noProof/>
            <w:sz w:val="18"/>
            <w:szCs w:val="18"/>
          </w:rPr>
          <w:t>5</w:t>
        </w:r>
        <w:r w:rsidRPr="0041610F" w:rsidR="7AF0EB47">
          <w:rPr>
            <w:rFonts w:ascii="Arial" w:hAnsi="Arial" w:cs="Arial"/>
            <w:noProof/>
            <w:sz w:val="18"/>
            <w:szCs w:val="18"/>
          </w:rPr>
          <w:fldChar w:fldCharType="end"/>
        </w:r>
        <w:r w:rsidRPr="0041610F">
          <w:rPr>
            <w:rFonts w:ascii="Arial" w:hAnsi="Arial" w:cs="Arial"/>
            <w:noProof/>
            <w:sz w:val="18"/>
            <w:szCs w:val="18"/>
          </w:rPr>
          <w:t> -</w:t>
        </w:r>
      </w:p>
    </w:sdtContent>
  </w:sdt>
  <w:p w:rsidR="007C6B4B" w:rsidRDefault="007C6B4B" w14:paraId="19EE7AD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nsid w:val="0999583C"/>
    <w:multiLevelType w:val="hybridMultilevel"/>
    <w:tmpl w:val="6DEA26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C665631"/>
    <w:multiLevelType w:val="hybridMultilevel"/>
    <w:tmpl w:val="BC78F4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6">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7">
    <w:nsid w:val="29A13A0B"/>
    <w:multiLevelType w:val="hybridMultilevel"/>
    <w:tmpl w:val="624A50F6"/>
    <w:lvl w:ilvl="0" w:tplc="5FFCAD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E154B4"/>
    <w:multiLevelType w:val="hybridMultilevel"/>
    <w:tmpl w:val="FAA08F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6F6F4C8E"/>
    <w:multiLevelType w:val="hybridMultilevel"/>
    <w:tmpl w:val="741838BC"/>
    <w:lvl w:ilvl="0" w:tplc="D062F368">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nsid w:val="73DA472B"/>
    <w:multiLevelType w:val="multilevel"/>
    <w:tmpl w:val="096A6CE2"/>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12"/>
  </w:num>
  <w:num w:numId="4">
    <w:abstractNumId w:val="19"/>
  </w:num>
  <w:num w:numId="5">
    <w:abstractNumId w:val="18"/>
  </w:num>
  <w:num w:numId="6">
    <w:abstractNumId w:val="5"/>
  </w:num>
  <w:num w:numId="7">
    <w:abstractNumId w:val="6"/>
  </w:num>
  <w:num w:numId="8">
    <w:abstractNumId w:val="9"/>
  </w:num>
  <w:num w:numId="9">
    <w:abstractNumId w:val="14"/>
  </w:num>
  <w:num w:numId="10">
    <w:abstractNumId w:val="15"/>
  </w:num>
  <w:num w:numId="11">
    <w:abstractNumId w:val="3"/>
  </w:num>
  <w:num w:numId="12">
    <w:abstractNumId w:val="8"/>
  </w:num>
  <w:num w:numId="13">
    <w:abstractNumId w:val="13"/>
  </w:num>
  <w:num w:numId="14">
    <w:abstractNumId w:val="2"/>
  </w:num>
  <w:num w:numId="15">
    <w:abstractNumId w:val="1"/>
  </w:num>
  <w:num w:numId="16">
    <w:abstractNumId w:val="4"/>
  </w:num>
  <w:num w:numId="17">
    <w:abstractNumId w:val="17"/>
  </w:num>
  <w:num w:numId="18">
    <w:abstractNumId w:val="16"/>
  </w:num>
  <w:num w:numId="19">
    <w:abstractNumId w:val="0"/>
  </w:num>
  <w:num w:numId="20">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80"/>
  <w:activeWritingStyle w:lang="es-419" w:vendorID="64" w:dllVersion="0" w:nlCheck="1" w:checkStyle="0" w:appName="MSWord"/>
  <w:trackRevisions w:val="false"/>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c3MTUyMDc0tjBT0lEKTi0uzszPAykwqQUAgA9CHywAAAA="/>
  </w:docVars>
  <w:rsids>
    <w:rsidRoot w:val="0095711B"/>
    <w:rsid w:val="00006106"/>
    <w:rsid w:val="00015CA7"/>
    <w:rsid w:val="00017B41"/>
    <w:rsid w:val="000269F9"/>
    <w:rsid w:val="000366C0"/>
    <w:rsid w:val="00044C5B"/>
    <w:rsid w:val="000531AE"/>
    <w:rsid w:val="00053DDF"/>
    <w:rsid w:val="000571B9"/>
    <w:rsid w:val="00075F42"/>
    <w:rsid w:val="00086CFF"/>
    <w:rsid w:val="0008789C"/>
    <w:rsid w:val="000962BA"/>
    <w:rsid w:val="0009759A"/>
    <w:rsid w:val="000B4B72"/>
    <w:rsid w:val="000C16F9"/>
    <w:rsid w:val="000D15D5"/>
    <w:rsid w:val="000F2091"/>
    <w:rsid w:val="000F39D2"/>
    <w:rsid w:val="000F4979"/>
    <w:rsid w:val="00102DAE"/>
    <w:rsid w:val="00115676"/>
    <w:rsid w:val="00124040"/>
    <w:rsid w:val="001262B4"/>
    <w:rsid w:val="001316E2"/>
    <w:rsid w:val="00143233"/>
    <w:rsid w:val="00157789"/>
    <w:rsid w:val="0017216B"/>
    <w:rsid w:val="001A2C3E"/>
    <w:rsid w:val="001B2592"/>
    <w:rsid w:val="001B4FB6"/>
    <w:rsid w:val="001C1143"/>
    <w:rsid w:val="001C18FD"/>
    <w:rsid w:val="001D3ECA"/>
    <w:rsid w:val="001D4915"/>
    <w:rsid w:val="001E7981"/>
    <w:rsid w:val="001F41E2"/>
    <w:rsid w:val="001F7559"/>
    <w:rsid w:val="00205405"/>
    <w:rsid w:val="00210317"/>
    <w:rsid w:val="00212E65"/>
    <w:rsid w:val="002150E9"/>
    <w:rsid w:val="00225B5A"/>
    <w:rsid w:val="00231773"/>
    <w:rsid w:val="0023182E"/>
    <w:rsid w:val="0023302F"/>
    <w:rsid w:val="00236249"/>
    <w:rsid w:val="00244A9D"/>
    <w:rsid w:val="0025221E"/>
    <w:rsid w:val="00254BCB"/>
    <w:rsid w:val="00257CAA"/>
    <w:rsid w:val="002708C0"/>
    <w:rsid w:val="00270B62"/>
    <w:rsid w:val="0028127C"/>
    <w:rsid w:val="00283316"/>
    <w:rsid w:val="002B0F93"/>
    <w:rsid w:val="002B1513"/>
    <w:rsid w:val="002D4B50"/>
    <w:rsid w:val="002E0AA5"/>
    <w:rsid w:val="002F46F2"/>
    <w:rsid w:val="00302426"/>
    <w:rsid w:val="00306DD4"/>
    <w:rsid w:val="00313422"/>
    <w:rsid w:val="00314AC8"/>
    <w:rsid w:val="00320713"/>
    <w:rsid w:val="003222D6"/>
    <w:rsid w:val="00335B4C"/>
    <w:rsid w:val="00340BC1"/>
    <w:rsid w:val="0034679F"/>
    <w:rsid w:val="00346E79"/>
    <w:rsid w:val="00355449"/>
    <w:rsid w:val="003622D9"/>
    <w:rsid w:val="00370FB9"/>
    <w:rsid w:val="00371F74"/>
    <w:rsid w:val="003820CC"/>
    <w:rsid w:val="003835F0"/>
    <w:rsid w:val="003941D0"/>
    <w:rsid w:val="00395A99"/>
    <w:rsid w:val="003D2892"/>
    <w:rsid w:val="003D609D"/>
    <w:rsid w:val="003E27E2"/>
    <w:rsid w:val="003E44AA"/>
    <w:rsid w:val="003F5F31"/>
    <w:rsid w:val="00401DB5"/>
    <w:rsid w:val="00404B66"/>
    <w:rsid w:val="0041610F"/>
    <w:rsid w:val="00416432"/>
    <w:rsid w:val="00417FB9"/>
    <w:rsid w:val="00426123"/>
    <w:rsid w:val="004311D4"/>
    <w:rsid w:val="00433246"/>
    <w:rsid w:val="00433E81"/>
    <w:rsid w:val="0043568A"/>
    <w:rsid w:val="00435E0E"/>
    <w:rsid w:val="00452151"/>
    <w:rsid w:val="0045509F"/>
    <w:rsid w:val="00465035"/>
    <w:rsid w:val="004659F0"/>
    <w:rsid w:val="00466C7E"/>
    <w:rsid w:val="0046777A"/>
    <w:rsid w:val="004726CC"/>
    <w:rsid w:val="00480388"/>
    <w:rsid w:val="004809D9"/>
    <w:rsid w:val="00482240"/>
    <w:rsid w:val="00484F74"/>
    <w:rsid w:val="00492EC4"/>
    <w:rsid w:val="00493B2C"/>
    <w:rsid w:val="004979FF"/>
    <w:rsid w:val="004A7024"/>
    <w:rsid w:val="004A7D07"/>
    <w:rsid w:val="004C17C7"/>
    <w:rsid w:val="004C4292"/>
    <w:rsid w:val="004D5823"/>
    <w:rsid w:val="004D7049"/>
    <w:rsid w:val="004E0B9F"/>
    <w:rsid w:val="004E0EED"/>
    <w:rsid w:val="004F386F"/>
    <w:rsid w:val="004F53A2"/>
    <w:rsid w:val="004F7978"/>
    <w:rsid w:val="0050104A"/>
    <w:rsid w:val="0050683A"/>
    <w:rsid w:val="00512024"/>
    <w:rsid w:val="005140D4"/>
    <w:rsid w:val="00515C71"/>
    <w:rsid w:val="00520F58"/>
    <w:rsid w:val="00531E51"/>
    <w:rsid w:val="00534511"/>
    <w:rsid w:val="005364CE"/>
    <w:rsid w:val="00544613"/>
    <w:rsid w:val="00557029"/>
    <w:rsid w:val="00573D3B"/>
    <w:rsid w:val="005753BA"/>
    <w:rsid w:val="0058137A"/>
    <w:rsid w:val="005833C9"/>
    <w:rsid w:val="00590599"/>
    <w:rsid w:val="005A0521"/>
    <w:rsid w:val="005A1056"/>
    <w:rsid w:val="005A37A6"/>
    <w:rsid w:val="005C43F4"/>
    <w:rsid w:val="005D188E"/>
    <w:rsid w:val="005D330B"/>
    <w:rsid w:val="00607CF3"/>
    <w:rsid w:val="0062725A"/>
    <w:rsid w:val="00633759"/>
    <w:rsid w:val="0063444F"/>
    <w:rsid w:val="00634BF5"/>
    <w:rsid w:val="00641ED4"/>
    <w:rsid w:val="00651A13"/>
    <w:rsid w:val="00653058"/>
    <w:rsid w:val="00670741"/>
    <w:rsid w:val="00675E7A"/>
    <w:rsid w:val="00682571"/>
    <w:rsid w:val="006855FD"/>
    <w:rsid w:val="00685CF5"/>
    <w:rsid w:val="0069101A"/>
    <w:rsid w:val="006957C8"/>
    <w:rsid w:val="006A1798"/>
    <w:rsid w:val="006A34C3"/>
    <w:rsid w:val="006A5521"/>
    <w:rsid w:val="006C4159"/>
    <w:rsid w:val="006C6059"/>
    <w:rsid w:val="006C7764"/>
    <w:rsid w:val="006D2C44"/>
    <w:rsid w:val="006E17A7"/>
    <w:rsid w:val="006F0176"/>
    <w:rsid w:val="0070087B"/>
    <w:rsid w:val="00702A56"/>
    <w:rsid w:val="00706560"/>
    <w:rsid w:val="007074E0"/>
    <w:rsid w:val="007152CC"/>
    <w:rsid w:val="00725899"/>
    <w:rsid w:val="00727274"/>
    <w:rsid w:val="007367B8"/>
    <w:rsid w:val="00746260"/>
    <w:rsid w:val="00782D33"/>
    <w:rsid w:val="0078597E"/>
    <w:rsid w:val="00787220"/>
    <w:rsid w:val="00790A3F"/>
    <w:rsid w:val="007974CD"/>
    <w:rsid w:val="007A1FC9"/>
    <w:rsid w:val="007A47FC"/>
    <w:rsid w:val="007A6147"/>
    <w:rsid w:val="007B0420"/>
    <w:rsid w:val="007B2F78"/>
    <w:rsid w:val="007B500B"/>
    <w:rsid w:val="007B6B61"/>
    <w:rsid w:val="007C14F9"/>
    <w:rsid w:val="007C3374"/>
    <w:rsid w:val="007C6B4B"/>
    <w:rsid w:val="007F53C0"/>
    <w:rsid w:val="00801D9C"/>
    <w:rsid w:val="008052A0"/>
    <w:rsid w:val="00807C07"/>
    <w:rsid w:val="00822671"/>
    <w:rsid w:val="00830D70"/>
    <w:rsid w:val="00841608"/>
    <w:rsid w:val="00854C60"/>
    <w:rsid w:val="00865A6F"/>
    <w:rsid w:val="0087190C"/>
    <w:rsid w:val="008739E3"/>
    <w:rsid w:val="008813B9"/>
    <w:rsid w:val="0088216D"/>
    <w:rsid w:val="008902BA"/>
    <w:rsid w:val="008A05EB"/>
    <w:rsid w:val="008A1E6C"/>
    <w:rsid w:val="008B6DAB"/>
    <w:rsid w:val="008C101D"/>
    <w:rsid w:val="008E0EA3"/>
    <w:rsid w:val="008F4286"/>
    <w:rsid w:val="00910476"/>
    <w:rsid w:val="0091508A"/>
    <w:rsid w:val="00915206"/>
    <w:rsid w:val="00916BEA"/>
    <w:rsid w:val="00922FFC"/>
    <w:rsid w:val="00925C27"/>
    <w:rsid w:val="00926871"/>
    <w:rsid w:val="00933A84"/>
    <w:rsid w:val="009404AD"/>
    <w:rsid w:val="00944D7A"/>
    <w:rsid w:val="0095122E"/>
    <w:rsid w:val="00953879"/>
    <w:rsid w:val="00955395"/>
    <w:rsid w:val="0095711B"/>
    <w:rsid w:val="00957857"/>
    <w:rsid w:val="00977A90"/>
    <w:rsid w:val="00996158"/>
    <w:rsid w:val="009A1FDE"/>
    <w:rsid w:val="009B45D1"/>
    <w:rsid w:val="009C4066"/>
    <w:rsid w:val="009C5C06"/>
    <w:rsid w:val="009F33FF"/>
    <w:rsid w:val="009F3CA2"/>
    <w:rsid w:val="00A0231C"/>
    <w:rsid w:val="00A067E6"/>
    <w:rsid w:val="00A10CD5"/>
    <w:rsid w:val="00A12C27"/>
    <w:rsid w:val="00A139E6"/>
    <w:rsid w:val="00A13EE1"/>
    <w:rsid w:val="00A153ED"/>
    <w:rsid w:val="00A20379"/>
    <w:rsid w:val="00A2474F"/>
    <w:rsid w:val="00A357F7"/>
    <w:rsid w:val="00A35CC8"/>
    <w:rsid w:val="00A37C9C"/>
    <w:rsid w:val="00A42037"/>
    <w:rsid w:val="00A428D3"/>
    <w:rsid w:val="00A50C02"/>
    <w:rsid w:val="00A54404"/>
    <w:rsid w:val="00A57185"/>
    <w:rsid w:val="00A60A2A"/>
    <w:rsid w:val="00A876E7"/>
    <w:rsid w:val="00A91807"/>
    <w:rsid w:val="00A9761C"/>
    <w:rsid w:val="00AA7455"/>
    <w:rsid w:val="00AC081B"/>
    <w:rsid w:val="00AD3653"/>
    <w:rsid w:val="00AF2F55"/>
    <w:rsid w:val="00AF3738"/>
    <w:rsid w:val="00AF5C75"/>
    <w:rsid w:val="00B13125"/>
    <w:rsid w:val="00B27F7D"/>
    <w:rsid w:val="00B307EC"/>
    <w:rsid w:val="00B31379"/>
    <w:rsid w:val="00B33130"/>
    <w:rsid w:val="00B347ED"/>
    <w:rsid w:val="00B50AC9"/>
    <w:rsid w:val="00B527CE"/>
    <w:rsid w:val="00B5524B"/>
    <w:rsid w:val="00B56CDC"/>
    <w:rsid w:val="00B7753F"/>
    <w:rsid w:val="00B909B3"/>
    <w:rsid w:val="00B94294"/>
    <w:rsid w:val="00BB2778"/>
    <w:rsid w:val="00BB612A"/>
    <w:rsid w:val="00BC00C4"/>
    <w:rsid w:val="00BE0249"/>
    <w:rsid w:val="00C12D01"/>
    <w:rsid w:val="00C3492D"/>
    <w:rsid w:val="00C43E24"/>
    <w:rsid w:val="00C5184A"/>
    <w:rsid w:val="00C53D00"/>
    <w:rsid w:val="00C5730B"/>
    <w:rsid w:val="00C70294"/>
    <w:rsid w:val="00C70B2E"/>
    <w:rsid w:val="00C86C51"/>
    <w:rsid w:val="00CB4374"/>
    <w:rsid w:val="00CB4911"/>
    <w:rsid w:val="00CC716E"/>
    <w:rsid w:val="00CD109E"/>
    <w:rsid w:val="00CE0643"/>
    <w:rsid w:val="00CE5066"/>
    <w:rsid w:val="00CE7736"/>
    <w:rsid w:val="00CF10D2"/>
    <w:rsid w:val="00D06787"/>
    <w:rsid w:val="00D07EB4"/>
    <w:rsid w:val="00D2491C"/>
    <w:rsid w:val="00D2505F"/>
    <w:rsid w:val="00D26B16"/>
    <w:rsid w:val="00D30AE3"/>
    <w:rsid w:val="00D4703E"/>
    <w:rsid w:val="00D4729A"/>
    <w:rsid w:val="00D55EA9"/>
    <w:rsid w:val="00D60DCC"/>
    <w:rsid w:val="00D707BB"/>
    <w:rsid w:val="00D864C5"/>
    <w:rsid w:val="00D93016"/>
    <w:rsid w:val="00D95606"/>
    <w:rsid w:val="00D959F8"/>
    <w:rsid w:val="00D9644B"/>
    <w:rsid w:val="00D97FAD"/>
    <w:rsid w:val="00DA0911"/>
    <w:rsid w:val="00DA3D2A"/>
    <w:rsid w:val="00DA454C"/>
    <w:rsid w:val="00DA79A1"/>
    <w:rsid w:val="00DC16F5"/>
    <w:rsid w:val="00DC1E68"/>
    <w:rsid w:val="00DF05C2"/>
    <w:rsid w:val="00DF31F3"/>
    <w:rsid w:val="00DF475D"/>
    <w:rsid w:val="00E20EBD"/>
    <w:rsid w:val="00E2541C"/>
    <w:rsid w:val="00E30E4D"/>
    <w:rsid w:val="00E33333"/>
    <w:rsid w:val="00E34811"/>
    <w:rsid w:val="00E52408"/>
    <w:rsid w:val="00E5259A"/>
    <w:rsid w:val="00E57C04"/>
    <w:rsid w:val="00E63E33"/>
    <w:rsid w:val="00E65098"/>
    <w:rsid w:val="00E6675A"/>
    <w:rsid w:val="00E75CB3"/>
    <w:rsid w:val="00E80F38"/>
    <w:rsid w:val="00E86623"/>
    <w:rsid w:val="00E86DE0"/>
    <w:rsid w:val="00E87CA5"/>
    <w:rsid w:val="00E90852"/>
    <w:rsid w:val="00E94297"/>
    <w:rsid w:val="00EA3919"/>
    <w:rsid w:val="00EB2B73"/>
    <w:rsid w:val="00EB435F"/>
    <w:rsid w:val="00EC4075"/>
    <w:rsid w:val="00ED37F5"/>
    <w:rsid w:val="00ED70D1"/>
    <w:rsid w:val="00EE0122"/>
    <w:rsid w:val="00EF41CE"/>
    <w:rsid w:val="00F00960"/>
    <w:rsid w:val="00F16677"/>
    <w:rsid w:val="00F257D6"/>
    <w:rsid w:val="00F32759"/>
    <w:rsid w:val="00F373D0"/>
    <w:rsid w:val="00F455F8"/>
    <w:rsid w:val="00F50742"/>
    <w:rsid w:val="00F51683"/>
    <w:rsid w:val="00F52168"/>
    <w:rsid w:val="00F577BE"/>
    <w:rsid w:val="00F6363D"/>
    <w:rsid w:val="00F72899"/>
    <w:rsid w:val="00FA2618"/>
    <w:rsid w:val="00FA2DF8"/>
    <w:rsid w:val="00FA5E20"/>
    <w:rsid w:val="00FA640C"/>
    <w:rsid w:val="00FB1E22"/>
    <w:rsid w:val="00FC3F76"/>
    <w:rsid w:val="00FD0903"/>
    <w:rsid w:val="00FE1499"/>
    <w:rsid w:val="00FF128A"/>
    <w:rsid w:val="00FF7FC3"/>
    <w:rsid w:val="0D9B4E0A"/>
    <w:rsid w:val="0F111CDF"/>
    <w:rsid w:val="1CF44829"/>
    <w:rsid w:val="25CB4D67"/>
    <w:rsid w:val="27396B44"/>
    <w:rsid w:val="327B6AF5"/>
    <w:rsid w:val="3553B541"/>
    <w:rsid w:val="40E121BB"/>
    <w:rsid w:val="4726365F"/>
    <w:rsid w:val="4EF2AA49"/>
    <w:rsid w:val="59E0ECF8"/>
    <w:rsid w:val="641F523A"/>
    <w:rsid w:val="6640F5AC"/>
    <w:rsid w:val="71A53F22"/>
    <w:rsid w:val="7AF0EB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7A4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aliases w:val="titulo 3,Bullets,Fluvial1,Bolita,BOLADEF,BOLA,Guión,Titulo 8,Párrafo de lista4,Párrafo de lista5,Párrafo de lista21,Párrafo de lista1,MIBEX B,TITULO 2"/>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ps" w:customStyle="1">
    <w:name w:val="hps"/>
    <w:basedOn w:val="DefaultParagraphFont"/>
    <w:rsid w:val="0023182E"/>
  </w:style>
  <w:style w:type="character" w:styleId="PlaceholderText">
    <w:name w:val="Placeholder Text"/>
    <w:basedOn w:val="DefaultParagraphFont"/>
    <w:uiPriority w:val="99"/>
    <w:semiHidden/>
    <w:rsid w:val="006855FD"/>
    <w:rPr>
      <w:color w:val="808080"/>
    </w:rPr>
  </w:style>
  <w:style w:type="character" w:styleId="ListParagraphChar" w:customStyle="1">
    <w:name w:val="List Paragraph Char"/>
    <w:aliases w:val="titulo 3 Char,Bullets Char,Fluvial1 Char,Bolita Char,BOLADEF Char,BOLA Char,Guión Char,Titulo 8 Char,Párrafo de lista4 Char,Párrafo de lista5 Char,Párrafo de lista21 Char,Párrafo de lista1 Char,MIBEX B Char,TITULO 2 Char"/>
    <w:basedOn w:val="DefaultParagraphFont"/>
    <w:link w:val="ListParagraph"/>
    <w:uiPriority w:val="34"/>
    <w:locked/>
    <w:rsid w:val="003941D0"/>
  </w:style>
  <w:style w:type="paragraph" w:styleId="FootnoteText">
    <w:name w:val="footnote text"/>
    <w:basedOn w:val="Normal"/>
    <w:link w:val="FootnoteTextChar"/>
    <w:uiPriority w:val="99"/>
    <w:semiHidden/>
    <w:unhideWhenUsed/>
    <w:rsid w:val="00D4729A"/>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D4729A"/>
    <w:rPr>
      <w:sz w:val="20"/>
      <w:szCs w:val="20"/>
    </w:rPr>
  </w:style>
  <w:style w:type="character" w:styleId="FootnoteReference">
    <w:name w:val="footnote reference"/>
    <w:basedOn w:val="DefaultParagraphFont"/>
    <w:uiPriority w:val="99"/>
    <w:semiHidden/>
    <w:unhideWhenUsed/>
    <w:rsid w:val="00D4729A"/>
    <w:rPr>
      <w:vertAlign w:val="superscript"/>
    </w:rPr>
  </w:style>
  <w:style w:type="character" w:styleId="Hyperlink">
    <w:name w:val="Hyperlink"/>
    <w:basedOn w:val="DefaultParagraphFont"/>
    <w:uiPriority w:val="99"/>
    <w:unhideWhenUsed/>
    <w:rsid w:val="00C12D01"/>
    <w:rPr>
      <w:color w:val="0000FF"/>
      <w:u w:val="single"/>
    </w:rPr>
  </w:style>
  <w:style w:type="character" w:styleId="FollowedHyperlink">
    <w:name w:val="FollowedHyperlink"/>
    <w:basedOn w:val="DefaultParagraphFont"/>
    <w:uiPriority w:val="99"/>
    <w:semiHidden/>
    <w:unhideWhenUsed/>
    <w:rsid w:val="00DA3D2A"/>
    <w:rPr>
      <w:color w:val="800080" w:themeColor="followedHyperlink"/>
      <w:u w:val="single"/>
    </w:rPr>
  </w:style>
  <w:style w:type="character" w:styleId="UnresolvedMention">
    <w:name w:val="Unresolved Mention"/>
    <w:basedOn w:val="DefaultParagraphFont"/>
    <w:uiPriority w:val="99"/>
    <w:semiHidden/>
    <w:unhideWhenUsed/>
    <w:rsid w:val="009104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 w:id="1560167570">
      <w:bodyDiv w:val="1"/>
      <w:marLeft w:val="0"/>
      <w:marRight w:val="0"/>
      <w:marTop w:val="0"/>
      <w:marBottom w:val="0"/>
      <w:divBdr>
        <w:top w:val="none" w:color="auto" w:sz="0" w:space="0"/>
        <w:left w:val="none" w:color="auto" w:sz="0" w:space="0"/>
        <w:bottom w:val="none" w:color="auto" w:sz="0" w:space="0"/>
        <w:right w:val="none" w:color="auto" w:sz="0" w:space="0"/>
      </w:divBdr>
      <w:divsChild>
        <w:div w:id="1104231864">
          <w:marLeft w:val="0"/>
          <w:marRight w:val="0"/>
          <w:marTop w:val="0"/>
          <w:marBottom w:val="0"/>
          <w:divBdr>
            <w:top w:val="none" w:color="auto" w:sz="0" w:space="0"/>
            <w:left w:val="none" w:color="auto" w:sz="0" w:space="0"/>
            <w:bottom w:val="none" w:color="auto" w:sz="0" w:space="0"/>
            <w:right w:val="none" w:color="auto" w:sz="0" w:space="0"/>
          </w:divBdr>
          <w:divsChild>
            <w:div w:id="1858615185">
              <w:marLeft w:val="0"/>
              <w:marRight w:val="0"/>
              <w:marTop w:val="0"/>
              <w:marBottom w:val="0"/>
              <w:divBdr>
                <w:top w:val="none" w:color="auto" w:sz="0" w:space="0"/>
                <w:left w:val="none" w:color="auto" w:sz="0" w:space="0"/>
                <w:bottom w:val="none" w:color="auto" w:sz="0" w:space="0"/>
                <w:right w:val="none" w:color="auto" w:sz="0" w:space="0"/>
              </w:divBdr>
              <w:divsChild>
                <w:div w:id="1709796132">
                  <w:marLeft w:val="0"/>
                  <w:marRight w:val="0"/>
                  <w:marTop w:val="0"/>
                  <w:marBottom w:val="0"/>
                  <w:divBdr>
                    <w:top w:val="none" w:color="auto" w:sz="0" w:space="0"/>
                    <w:left w:val="none" w:color="auto" w:sz="0" w:space="0"/>
                    <w:bottom w:val="none" w:color="auto" w:sz="0" w:space="0"/>
                    <w:right w:val="none" w:color="auto" w:sz="0" w:space="0"/>
                  </w:divBdr>
                  <w:divsChild>
                    <w:div w:id="655840778">
                      <w:marLeft w:val="0"/>
                      <w:marRight w:val="0"/>
                      <w:marTop w:val="0"/>
                      <w:marBottom w:val="0"/>
                      <w:divBdr>
                        <w:top w:val="none" w:color="auto" w:sz="0" w:space="0"/>
                        <w:left w:val="none" w:color="auto" w:sz="0" w:space="0"/>
                        <w:bottom w:val="none" w:color="auto" w:sz="0" w:space="0"/>
                        <w:right w:val="none" w:color="auto" w:sz="0" w:space="0"/>
                      </w:divBdr>
                      <w:divsChild>
                        <w:div w:id="173350038">
                          <w:marLeft w:val="0"/>
                          <w:marRight w:val="0"/>
                          <w:marTop w:val="0"/>
                          <w:marBottom w:val="0"/>
                          <w:divBdr>
                            <w:top w:val="none" w:color="auto" w:sz="0" w:space="0"/>
                            <w:left w:val="none" w:color="auto" w:sz="0" w:space="0"/>
                            <w:bottom w:val="none" w:color="auto" w:sz="0" w:space="0"/>
                            <w:right w:val="none" w:color="auto" w:sz="0" w:space="0"/>
                          </w:divBdr>
                          <w:divsChild>
                            <w:div w:id="556092188">
                              <w:marLeft w:val="0"/>
                              <w:marRight w:val="0"/>
                              <w:marTop w:val="0"/>
                              <w:marBottom w:val="0"/>
                              <w:divBdr>
                                <w:top w:val="none" w:color="auto" w:sz="0" w:space="0"/>
                                <w:left w:val="none" w:color="auto" w:sz="0" w:space="0"/>
                                <w:bottom w:val="none" w:color="auto" w:sz="0" w:space="0"/>
                                <w:right w:val="none" w:color="auto" w:sz="0" w:space="0"/>
                              </w:divBdr>
                              <w:divsChild>
                                <w:div w:id="1455520701">
                                  <w:marLeft w:val="0"/>
                                  <w:marRight w:val="0"/>
                                  <w:marTop w:val="0"/>
                                  <w:marBottom w:val="0"/>
                                  <w:divBdr>
                                    <w:top w:val="none" w:color="auto" w:sz="0" w:space="0"/>
                                    <w:left w:val="none" w:color="auto" w:sz="0" w:space="0"/>
                                    <w:bottom w:val="none" w:color="auto" w:sz="0" w:space="0"/>
                                    <w:right w:val="none" w:color="auto" w:sz="0" w:space="0"/>
                                  </w:divBdr>
                                  <w:divsChild>
                                    <w:div w:id="1685747993">
                                      <w:marLeft w:val="0"/>
                                      <w:marRight w:val="0"/>
                                      <w:marTop w:val="0"/>
                                      <w:marBottom w:val="0"/>
                                      <w:divBdr>
                                        <w:top w:val="single" w:color="F5F5F5" w:sz="6" w:space="0"/>
                                        <w:left w:val="single" w:color="F5F5F5" w:sz="6" w:space="0"/>
                                        <w:bottom w:val="single" w:color="F5F5F5" w:sz="6" w:space="0"/>
                                        <w:right w:val="single" w:color="F5F5F5" w:sz="6" w:space="0"/>
                                      </w:divBdr>
                                      <w:divsChild>
                                        <w:div w:id="1503815793">
                                          <w:marLeft w:val="0"/>
                                          <w:marRight w:val="0"/>
                                          <w:marTop w:val="0"/>
                                          <w:marBottom w:val="0"/>
                                          <w:divBdr>
                                            <w:top w:val="none" w:color="auto" w:sz="0" w:space="0"/>
                                            <w:left w:val="none" w:color="auto" w:sz="0" w:space="0"/>
                                            <w:bottom w:val="none" w:color="auto" w:sz="0" w:space="0"/>
                                            <w:right w:val="none" w:color="auto" w:sz="0" w:space="0"/>
                                          </w:divBdr>
                                          <w:divsChild>
                                            <w:div w:id="12250666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color="auto" w:sz="0" w:space="0"/>
        <w:left w:val="none" w:color="auto" w:sz="0" w:space="0"/>
        <w:bottom w:val="none" w:color="auto" w:sz="0" w:space="0"/>
        <w:right w:val="none" w:color="auto" w:sz="0" w:space="0"/>
      </w:divBdr>
      <w:divsChild>
        <w:div w:id="50230663">
          <w:marLeft w:val="0"/>
          <w:marRight w:val="0"/>
          <w:marTop w:val="0"/>
          <w:marBottom w:val="0"/>
          <w:divBdr>
            <w:top w:val="none" w:color="auto" w:sz="0" w:space="0"/>
            <w:left w:val="none" w:color="auto" w:sz="0" w:space="0"/>
            <w:bottom w:val="none" w:color="auto" w:sz="0" w:space="0"/>
            <w:right w:val="none" w:color="auto" w:sz="0" w:space="0"/>
          </w:divBdr>
          <w:divsChild>
            <w:div w:id="35860597">
              <w:marLeft w:val="0"/>
              <w:marRight w:val="0"/>
              <w:marTop w:val="0"/>
              <w:marBottom w:val="0"/>
              <w:divBdr>
                <w:top w:val="none" w:color="auto" w:sz="0" w:space="0"/>
                <w:left w:val="none" w:color="auto" w:sz="0" w:space="0"/>
                <w:bottom w:val="none" w:color="auto" w:sz="0" w:space="0"/>
                <w:right w:val="none" w:color="auto" w:sz="0" w:space="0"/>
              </w:divBdr>
              <w:divsChild>
                <w:div w:id="33240882">
                  <w:marLeft w:val="0"/>
                  <w:marRight w:val="0"/>
                  <w:marTop w:val="0"/>
                  <w:marBottom w:val="0"/>
                  <w:divBdr>
                    <w:top w:val="none" w:color="auto" w:sz="0" w:space="0"/>
                    <w:left w:val="none" w:color="auto" w:sz="0" w:space="0"/>
                    <w:bottom w:val="none" w:color="auto" w:sz="0" w:space="0"/>
                    <w:right w:val="none" w:color="auto" w:sz="0" w:space="0"/>
                  </w:divBdr>
                  <w:divsChild>
                    <w:div w:id="1862938260">
                      <w:marLeft w:val="0"/>
                      <w:marRight w:val="0"/>
                      <w:marTop w:val="0"/>
                      <w:marBottom w:val="0"/>
                      <w:divBdr>
                        <w:top w:val="none" w:color="auto" w:sz="0" w:space="0"/>
                        <w:left w:val="none" w:color="auto" w:sz="0" w:space="0"/>
                        <w:bottom w:val="none" w:color="auto" w:sz="0" w:space="0"/>
                        <w:right w:val="none" w:color="auto" w:sz="0" w:space="0"/>
                      </w:divBdr>
                      <w:divsChild>
                        <w:div w:id="223373652">
                          <w:marLeft w:val="0"/>
                          <w:marRight w:val="0"/>
                          <w:marTop w:val="0"/>
                          <w:marBottom w:val="0"/>
                          <w:divBdr>
                            <w:top w:val="none" w:color="auto" w:sz="0" w:space="0"/>
                            <w:left w:val="none" w:color="auto" w:sz="0" w:space="0"/>
                            <w:bottom w:val="none" w:color="auto" w:sz="0" w:space="0"/>
                            <w:right w:val="none" w:color="auto" w:sz="0" w:space="0"/>
                          </w:divBdr>
                          <w:divsChild>
                            <w:div w:id="2139445057">
                              <w:marLeft w:val="0"/>
                              <w:marRight w:val="0"/>
                              <w:marTop w:val="0"/>
                              <w:marBottom w:val="0"/>
                              <w:divBdr>
                                <w:top w:val="none" w:color="auto" w:sz="0" w:space="0"/>
                                <w:left w:val="none" w:color="auto" w:sz="0" w:space="0"/>
                                <w:bottom w:val="none" w:color="auto" w:sz="0" w:space="0"/>
                                <w:right w:val="none" w:color="auto" w:sz="0" w:space="0"/>
                              </w:divBdr>
                              <w:divsChild>
                                <w:div w:id="2048329628">
                                  <w:marLeft w:val="0"/>
                                  <w:marRight w:val="0"/>
                                  <w:marTop w:val="0"/>
                                  <w:marBottom w:val="0"/>
                                  <w:divBdr>
                                    <w:top w:val="none" w:color="auto" w:sz="0" w:space="0"/>
                                    <w:left w:val="none" w:color="auto" w:sz="0" w:space="0"/>
                                    <w:bottom w:val="none" w:color="auto" w:sz="0" w:space="0"/>
                                    <w:right w:val="none" w:color="auto" w:sz="0" w:space="0"/>
                                  </w:divBdr>
                                  <w:divsChild>
                                    <w:div w:id="1491797356">
                                      <w:marLeft w:val="0"/>
                                      <w:marRight w:val="0"/>
                                      <w:marTop w:val="0"/>
                                      <w:marBottom w:val="0"/>
                                      <w:divBdr>
                                        <w:top w:val="single" w:color="F5F5F5" w:sz="6" w:space="0"/>
                                        <w:left w:val="single" w:color="F5F5F5" w:sz="6" w:space="0"/>
                                        <w:bottom w:val="single" w:color="F5F5F5" w:sz="6" w:space="0"/>
                                        <w:right w:val="single" w:color="F5F5F5" w:sz="6" w:space="0"/>
                                      </w:divBdr>
                                      <w:divsChild>
                                        <w:div w:id="642463900">
                                          <w:marLeft w:val="0"/>
                                          <w:marRight w:val="0"/>
                                          <w:marTop w:val="0"/>
                                          <w:marBottom w:val="0"/>
                                          <w:divBdr>
                                            <w:top w:val="none" w:color="auto" w:sz="0" w:space="0"/>
                                            <w:left w:val="none" w:color="auto" w:sz="0" w:space="0"/>
                                            <w:bottom w:val="none" w:color="auto" w:sz="0" w:space="0"/>
                                            <w:right w:val="none" w:color="auto" w:sz="0" w:space="0"/>
                                          </w:divBdr>
                                          <w:divsChild>
                                            <w:div w:id="11085430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color="auto" w:sz="0" w:space="0"/>
        <w:left w:val="none" w:color="auto" w:sz="0" w:space="0"/>
        <w:bottom w:val="none" w:color="auto" w:sz="0" w:space="0"/>
        <w:right w:val="none" w:color="auto" w:sz="0" w:space="0"/>
      </w:divBdr>
      <w:divsChild>
        <w:div w:id="1339429995">
          <w:marLeft w:val="0"/>
          <w:marRight w:val="0"/>
          <w:marTop w:val="0"/>
          <w:marBottom w:val="0"/>
          <w:divBdr>
            <w:top w:val="none" w:color="auto" w:sz="0" w:space="0"/>
            <w:left w:val="none" w:color="auto" w:sz="0" w:space="0"/>
            <w:bottom w:val="none" w:color="auto" w:sz="0" w:space="0"/>
            <w:right w:val="none" w:color="auto" w:sz="0" w:space="0"/>
          </w:divBdr>
          <w:divsChild>
            <w:div w:id="526069355">
              <w:marLeft w:val="0"/>
              <w:marRight w:val="0"/>
              <w:marTop w:val="0"/>
              <w:marBottom w:val="0"/>
              <w:divBdr>
                <w:top w:val="none" w:color="auto" w:sz="0" w:space="0"/>
                <w:left w:val="none" w:color="auto" w:sz="0" w:space="0"/>
                <w:bottom w:val="none" w:color="auto" w:sz="0" w:space="0"/>
                <w:right w:val="none" w:color="auto" w:sz="0" w:space="0"/>
              </w:divBdr>
              <w:divsChild>
                <w:div w:id="1417284453">
                  <w:marLeft w:val="0"/>
                  <w:marRight w:val="0"/>
                  <w:marTop w:val="0"/>
                  <w:marBottom w:val="0"/>
                  <w:divBdr>
                    <w:top w:val="none" w:color="auto" w:sz="0" w:space="0"/>
                    <w:left w:val="none" w:color="auto" w:sz="0" w:space="0"/>
                    <w:bottom w:val="none" w:color="auto" w:sz="0" w:space="0"/>
                    <w:right w:val="none" w:color="auto" w:sz="0" w:space="0"/>
                  </w:divBdr>
                  <w:divsChild>
                    <w:div w:id="2001880685">
                      <w:marLeft w:val="0"/>
                      <w:marRight w:val="0"/>
                      <w:marTop w:val="0"/>
                      <w:marBottom w:val="0"/>
                      <w:divBdr>
                        <w:top w:val="none" w:color="auto" w:sz="0" w:space="0"/>
                        <w:left w:val="none" w:color="auto" w:sz="0" w:space="0"/>
                        <w:bottom w:val="none" w:color="auto" w:sz="0" w:space="0"/>
                        <w:right w:val="none" w:color="auto" w:sz="0" w:space="0"/>
                      </w:divBdr>
                      <w:divsChild>
                        <w:div w:id="1186485974">
                          <w:marLeft w:val="0"/>
                          <w:marRight w:val="0"/>
                          <w:marTop w:val="0"/>
                          <w:marBottom w:val="0"/>
                          <w:divBdr>
                            <w:top w:val="none" w:color="auto" w:sz="0" w:space="0"/>
                            <w:left w:val="none" w:color="auto" w:sz="0" w:space="0"/>
                            <w:bottom w:val="none" w:color="auto" w:sz="0" w:space="0"/>
                            <w:right w:val="none" w:color="auto" w:sz="0" w:space="0"/>
                          </w:divBdr>
                          <w:divsChild>
                            <w:div w:id="1841002369">
                              <w:marLeft w:val="0"/>
                              <w:marRight w:val="0"/>
                              <w:marTop w:val="0"/>
                              <w:marBottom w:val="0"/>
                              <w:divBdr>
                                <w:top w:val="none" w:color="auto" w:sz="0" w:space="0"/>
                                <w:left w:val="none" w:color="auto" w:sz="0" w:space="0"/>
                                <w:bottom w:val="none" w:color="auto" w:sz="0" w:space="0"/>
                                <w:right w:val="none" w:color="auto" w:sz="0" w:space="0"/>
                              </w:divBdr>
                              <w:divsChild>
                                <w:div w:id="1761171668">
                                  <w:marLeft w:val="0"/>
                                  <w:marRight w:val="0"/>
                                  <w:marTop w:val="0"/>
                                  <w:marBottom w:val="0"/>
                                  <w:divBdr>
                                    <w:top w:val="none" w:color="auto" w:sz="0" w:space="0"/>
                                    <w:left w:val="none" w:color="auto" w:sz="0" w:space="0"/>
                                    <w:bottom w:val="none" w:color="auto" w:sz="0" w:space="0"/>
                                    <w:right w:val="none" w:color="auto" w:sz="0" w:space="0"/>
                                  </w:divBdr>
                                  <w:divsChild>
                                    <w:div w:id="1250237194">
                                      <w:marLeft w:val="0"/>
                                      <w:marRight w:val="0"/>
                                      <w:marTop w:val="0"/>
                                      <w:marBottom w:val="0"/>
                                      <w:divBdr>
                                        <w:top w:val="single" w:color="F5F5F5" w:sz="6" w:space="0"/>
                                        <w:left w:val="single" w:color="F5F5F5" w:sz="6" w:space="0"/>
                                        <w:bottom w:val="single" w:color="F5F5F5" w:sz="6" w:space="0"/>
                                        <w:right w:val="single" w:color="F5F5F5" w:sz="6" w:space="0"/>
                                      </w:divBdr>
                                      <w:divsChild>
                                        <w:div w:id="1520971885">
                                          <w:marLeft w:val="0"/>
                                          <w:marRight w:val="0"/>
                                          <w:marTop w:val="0"/>
                                          <w:marBottom w:val="0"/>
                                          <w:divBdr>
                                            <w:top w:val="none" w:color="auto" w:sz="0" w:space="0"/>
                                            <w:left w:val="none" w:color="auto" w:sz="0" w:space="0"/>
                                            <w:bottom w:val="none" w:color="auto" w:sz="0" w:space="0"/>
                                            <w:right w:val="none" w:color="auto" w:sz="0" w:space="0"/>
                                          </w:divBdr>
                                          <w:divsChild>
                                            <w:div w:id="185991254">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idbdocs.iadb.org/wsdocs/getDocument.aspx?DOCNUM=EZSHARE-1022001424-2" TargetMode="External"/><Relationship Id="rId18" Type="http://schemas.openxmlformats.org/officeDocument/2006/relationships/header" Target="header1.xml"/><Relationship Id="rId26" Type="http://schemas.openxmlformats.org/officeDocument/2006/relationships/customXml" Target="../customXml/item4.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idbdocs.iadb.org/wsdocs/getDocument.aspx?DOCNUM=EZSHARE-1022001424-3" TargetMode="External"/><Relationship Id="rId17" Type="http://schemas.openxmlformats.org/officeDocument/2006/relationships/hyperlink" Target="http://idbdocs.iadb.org/wsdocs/getDocument.aspx?DOCNUM=EZSHARE-1430567726-4" TargetMode="External"/><Relationship Id="R5311e093ff46409a" Type="http://schemas.openxmlformats.org/officeDocument/2006/relationships/hyperlink" Target="https://idbdocs.iadb.org/wsdocs/getDocument.aspx?DOCNUM=EZSHARE-1430567726-9" TargetMode="External"/><Relationship Id="rId25" Type="http://schemas.openxmlformats.org/officeDocument/2006/relationships/customXml" Target="../customXml/item3.xml"/><Relationship Id="rId16" Type="http://schemas.openxmlformats.org/officeDocument/2006/relationships/hyperlink" Target="http://idbdocs.iadb.org/wsdocs/getDocument.aspx?DOCNUM=EZSHARE-1430567726-9" TargetMode="External"/><Relationship Id="rId20" Type="http://schemas.openxmlformats.org/officeDocument/2006/relationships/fontTable" Target="fontTable.xml"/><Relationship Id="R1dc0cabf2f124e59" Type="http://schemas.openxmlformats.org/officeDocument/2006/relationships/hyperlink" Target="https://idbdocs.iadb.org/wsdocs/getDocument.aspx?DOCNUM=EZSHARE-1430567726-5" TargetMode="Externa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2.xml"/><Relationship Id="rId15" Type="http://schemas.openxmlformats.org/officeDocument/2006/relationships/hyperlink" Target="http://idbdocs.iadb.org/wsdocs/getDocument.aspx?DOCNUM=EZSHARE-1430567726-5" TargetMode="External"/><Relationship Id="rId23" Type="http://schemas.openxmlformats.org/officeDocument/2006/relationships/customXml" Target="../customXml/item1.xml"/><Relationship Id="rId28"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footer" Target="footer1.xml"/><Relationship Id="R42182357b24345eb" Type="http://schemas.openxmlformats.org/officeDocument/2006/relationships/hyperlink" Target="https://idbdocs.iadb.org/wsdocs/getDocument.aspx?DOCNUM=EZSHARE-1430567726-10" TargetMode="External"/><Relationship Id="Rcc48db408ee6495c" Type="http://schemas.openxmlformats.org/officeDocument/2006/relationships/hyperlink" Target="https://idbdocs.iadb.org/wsdocs/getDocument.aspx?DOCNUM=EZSHARE-1430567726-4" TargetMode="External"/><Relationship Id="rId9" Type="http://schemas.openxmlformats.org/officeDocument/2006/relationships/webSettings" Target="webSettings.xml"/><Relationship Id="rId14" Type="http://schemas.openxmlformats.org/officeDocument/2006/relationships/hyperlink" Target="http://idbdocs.iadb.org/wsdocs/getDocument.aspx?DOCNUM=EZSHARE-1430567726-10" TargetMode="External"/><Relationship Id="rId22" Type="http://schemas.openxmlformats.org/officeDocument/2006/relationships/theme" Target="theme/theme1.xml"/><Relationship Id="rId27" Type="http://schemas.openxmlformats.org/officeDocument/2006/relationships/customXml" Target="../customXml/item5.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C11EF8719B434E932AC90593361180"/>
        <w:category>
          <w:name w:val="General"/>
          <w:gallery w:val="placeholder"/>
        </w:category>
        <w:types>
          <w:type w:val="bbPlcHdr"/>
        </w:types>
        <w:behaviors>
          <w:behavior w:val="content"/>
        </w:behaviors>
        <w:guid w:val="{A3B45D76-A799-48AB-9DC0-FE9F9068B545}"/>
      </w:docPartPr>
      <w:docPartBody>
        <w:p w:rsidR="004D3896" w:rsidP="000B4B72" w:rsidRDefault="000B4B72">
          <w:pPr>
            <w:pStyle w:val="5CC11EF8719B434E932AC9059336118050"/>
          </w:pPr>
          <w:r>
            <w:rPr>
              <w:rFonts w:ascii="Arial" w:hAnsi="Arial" w:eastAsia="Arial" w:cs="Arial"/>
              <w:sz w:val="18"/>
              <w:szCs w:val="18"/>
            </w:rPr>
            <w:t>REGIONAL</w:t>
          </w:r>
        </w:p>
      </w:docPartBody>
    </w:docPart>
    <w:docPart>
      <w:docPartPr>
        <w:name w:val="217EA345EFD4439BBF7BB61D0244D59E"/>
        <w:category>
          <w:name w:val="General"/>
          <w:gallery w:val="placeholder"/>
        </w:category>
        <w:types>
          <w:type w:val="bbPlcHdr"/>
        </w:types>
        <w:behaviors>
          <w:behavior w:val="content"/>
        </w:behaviors>
        <w:guid w:val="{FF068607-4BC9-46E2-BF9A-0DB7F4721FEC}"/>
      </w:docPartPr>
      <w:docPartBody>
        <w:p w:rsidR="004D3896" w:rsidP="000B4B72" w:rsidRDefault="000B4B72">
          <w:pPr>
            <w:pStyle w:val="217EA345EFD4439BBF7BB61D0244D59E50"/>
          </w:pPr>
          <w:r>
            <w:rPr>
              <w:rFonts w:ascii="Arial" w:hAnsi="Arial" w:eastAsia="Arial" w:cs="Arial"/>
              <w:sz w:val="18"/>
              <w:szCs w:val="18"/>
            </w:rPr>
            <w:t>Acompañamiento Tecnico al Sector Transporte en Argentina y Brasil</w:t>
          </w:r>
        </w:p>
      </w:docPartBody>
    </w:docPart>
    <w:docPart>
      <w:docPartPr>
        <w:name w:val="05AE4C8040D14C628FB8FF54406E8093"/>
        <w:category>
          <w:name w:val="General"/>
          <w:gallery w:val="placeholder"/>
        </w:category>
        <w:types>
          <w:type w:val="bbPlcHdr"/>
        </w:types>
        <w:behaviors>
          <w:behavior w:val="content"/>
        </w:behaviors>
        <w:guid w:val="{5ED674F4-7B01-479E-A03C-72D85E0D5BC5}"/>
      </w:docPartPr>
      <w:docPartBody>
        <w:p w:rsidR="004D3896" w:rsidP="000B4B72" w:rsidRDefault="000B4B72">
          <w:pPr>
            <w:pStyle w:val="05AE4C8040D14C628FB8FF54406E809350"/>
          </w:pPr>
          <w:r w:rsidRPr="004A7024">
            <w:rPr>
              <w:rFonts w:ascii="Arial" w:hAnsi="Arial" w:eastAsia="Arial" w:cs="Arial"/>
              <w:sz w:val="18"/>
              <w:szCs w:val="18"/>
            </w:rPr>
            <w:t>RG-T3856</w:t>
          </w:r>
        </w:p>
      </w:docPartBody>
    </w:docPart>
    <w:docPart>
      <w:docPartPr>
        <w:name w:val="7ED39F670CB64934A3A49D4CC3D49A9F"/>
        <w:category>
          <w:name w:val="General"/>
          <w:gallery w:val="placeholder"/>
        </w:category>
        <w:types>
          <w:type w:val="bbPlcHdr"/>
        </w:types>
        <w:behaviors>
          <w:behavior w:val="content"/>
        </w:behaviors>
        <w:guid w:val="{29208B9B-E8E3-4F4E-A688-61FC94EDA4DA}"/>
      </w:docPartPr>
      <w:docPartBody>
        <w:p w:rsidR="004D3896" w:rsidP="000B4B72" w:rsidRDefault="000B4B72">
          <w:pPr>
            <w:pStyle w:val="7ED39F670CB64934A3A49D4CC3D49A9F50"/>
          </w:pPr>
          <w:r>
            <w:rPr>
              <w:rFonts w:ascii="Arial" w:hAnsi="Arial" w:eastAsia="Arial" w:cs="Arial"/>
              <w:sz w:val="18"/>
              <w:szCs w:val="18"/>
            </w:rPr>
            <w:t>Apoyo Operativo</w:t>
          </w:r>
        </w:p>
      </w:docPartBody>
    </w:docPart>
    <w:docPart>
      <w:docPartPr>
        <w:name w:val="A561EEE99F6944F79831E0C90388AF61"/>
        <w:category>
          <w:name w:val="General"/>
          <w:gallery w:val="placeholder"/>
        </w:category>
        <w:types>
          <w:type w:val="bbPlcHdr"/>
        </w:types>
        <w:behaviors>
          <w:behavior w:val="content"/>
        </w:behaviors>
        <w:guid w:val="{603A7ADA-B177-40B5-B955-18E96BF0CD3C}"/>
      </w:docPartPr>
      <w:docPartBody>
        <w:p w:rsidR="004D3896" w:rsidP="000B4B72" w:rsidRDefault="000B4B72">
          <w:pPr>
            <w:pStyle w:val="A561EEE99F6944F79831E0C90388AF6150"/>
          </w:pPr>
          <w:r>
            <w:rPr>
              <w:rFonts w:ascii="Arial"/>
              <w:sz w:val="18"/>
            </w:rPr>
            <w:t>US$315,000.00</w:t>
          </w:r>
          <w:r>
            <w:rPr>
              <w:rFonts w:ascii="Arial"/>
              <w:sz w:val="18"/>
            </w:rPr>
            <w:br/>
          </w:r>
        </w:p>
      </w:docPartBody>
    </w:docPart>
    <w:docPart>
      <w:docPartPr>
        <w:name w:val="DefaultPlaceholder_1081868574"/>
        <w:category>
          <w:name w:val="General"/>
          <w:gallery w:val="placeholder"/>
        </w:category>
        <w:types>
          <w:type w:val="bbPlcHdr"/>
        </w:types>
        <w:behaviors>
          <w:behavior w:val="content"/>
        </w:behaviors>
        <w:guid w:val="{BF40E53B-50DA-4ABF-897B-222BABEEA5C5}"/>
      </w:docPartPr>
      <w:docPartBody>
        <w:p w:rsidR="00342EB6" w:rsidRDefault="00B31379">
          <w:r w:rsidRPr="009C1259">
            <w:rPr>
              <w:rStyle w:val="PlaceholderText"/>
            </w:rPr>
            <w:t>Haga clic aquí para escribir texto.</w:t>
          </w:r>
        </w:p>
      </w:docPartBody>
    </w:docPart>
    <w:docPart>
      <w:docPartPr>
        <w:name w:val="3DA359B328714F5CAC01CFD08AEBD898"/>
        <w:category>
          <w:name w:val="General"/>
          <w:gallery w:val="placeholder"/>
        </w:category>
        <w:types>
          <w:type w:val="bbPlcHdr"/>
        </w:types>
        <w:behaviors>
          <w:behavior w:val="content"/>
        </w:behaviors>
        <w:guid w:val="{5B43DF32-DE68-4509-96AF-B3784A9D47A9}"/>
      </w:docPartPr>
      <w:docPartBody>
        <w:p w:rsidR="00A83540" w:rsidP="000B4B72" w:rsidRDefault="000B4B72">
          <w:pPr>
            <w:pStyle w:val="3DA359B328714F5CAC01CFD08AEBD89818"/>
          </w:pPr>
          <w:r>
            <w:rPr>
              <w:rFonts w:ascii="Arial" w:hAnsi="Arial" w:eastAsia="Arial" w:cs="Arial"/>
              <w:sz w:val="18"/>
              <w:szCs w:val="18"/>
            </w:rPr>
            <w:t>AR-L1338, AR-L1339</w:t>
          </w:r>
        </w:p>
      </w:docPartBody>
    </w:docPart>
    <w:docPart>
      <w:docPartPr>
        <w:name w:val="09059ABF4FD64E58B6D53544F81B8994"/>
        <w:category>
          <w:name w:val="General"/>
          <w:gallery w:val="placeholder"/>
        </w:category>
        <w:types>
          <w:type w:val="bbPlcHdr"/>
        </w:types>
        <w:behaviors>
          <w:behavior w:val="content"/>
        </w:behaviors>
        <w:guid w:val="{44F76CEA-48C9-480B-B02D-FB2B64552A98}"/>
      </w:docPartPr>
      <w:docPartBody>
        <w:p w:rsidR="00A83540" w:rsidP="000B4B72" w:rsidRDefault="000B4B72">
          <w:pPr>
            <w:pStyle w:val="09059ABF4FD64E58B6D53544F81B899418"/>
          </w:pPr>
          <w:r>
            <w:rPr>
              <w:rFonts w:ascii="Arial" w:hAnsi="Arial" w:eastAsia="Arial" w:cs="Arial"/>
              <w:sz w:val="18"/>
              <w:szCs w:val="18"/>
            </w:rPr>
            <w:t>1 Mar 2021</w:t>
          </w:r>
        </w:p>
      </w:docPartBody>
    </w:docPart>
    <w:docPart>
      <w:docPartPr>
        <w:name w:val="B8DFCBC715A44C24AB6CD72AA5C890DE"/>
        <w:category>
          <w:name w:val="General"/>
          <w:gallery w:val="placeholder"/>
        </w:category>
        <w:types>
          <w:type w:val="bbPlcHdr"/>
        </w:types>
        <w:behaviors>
          <w:behavior w:val="content"/>
        </w:behaviors>
        <w:guid w:val="{7A4B4A0E-E3CF-4A48-A00A-6A60D509D44B}"/>
      </w:docPartPr>
      <w:docPartBody>
        <w:p w:rsidR="00A83540" w:rsidP="000B4B72" w:rsidRDefault="000B4B72">
          <w:pPr>
            <w:pStyle w:val="B8DFCBC715A44C24AB6CD72AA5C890DE18"/>
          </w:pPr>
          <w:r>
            <w:rPr>
              <w:rFonts w:ascii="Arial" w:hAnsi="Arial" w:eastAsia="Arial" w:cs="Arial"/>
              <w:sz w:val="18"/>
              <w:szCs w:val="18"/>
            </w:rPr>
            <w:t>Inter-American Development Bank</w:t>
          </w:r>
        </w:p>
      </w:docPartBody>
    </w:docPart>
    <w:docPart>
      <w:docPartPr>
        <w:name w:val="CCD660B516A04E8B88E3C7A5081A1BEB"/>
        <w:category>
          <w:name w:val="General"/>
          <w:gallery w:val="placeholder"/>
        </w:category>
        <w:types>
          <w:type w:val="bbPlcHdr"/>
        </w:types>
        <w:behaviors>
          <w:behavior w:val="content"/>
        </w:behaviors>
        <w:guid w:val="{B313D8A2-FE46-48B3-9898-102970EAFC0C}"/>
      </w:docPartPr>
      <w:docPartBody>
        <w:p w:rsidR="009F6E93" w:rsidP="000B4B72" w:rsidRDefault="000B4B72">
          <w:pPr>
            <w:pStyle w:val="CCD660B516A04E8B88E3C7A5081A1BEB9"/>
          </w:pPr>
          <w:r>
            <w:rPr>
              <w:rFonts w:ascii="Arial" w:hAnsi="Arial" w:eastAsia="Arial" w:cs="Arial"/>
              <w:sz w:val="18"/>
              <w:szCs w:val="18"/>
            </w:rPr>
            <w:t xml:space="preserve">Munoz Garcia, Paloma (INE/TSP) Líder del Equipo; Abad, Julieta (INE/TSP) Jefe Alterno del Equipo de Proyecto; Avila, Krysia A (LEG/SGO); Baladi Rodriguez, Aziz (INE/TSP); Barrantes Quiros, Silvia (INE/TSP); Figueiredo De Castro M, Ana Beatriz (INE/TSP); Noboa Lopez, Nathaly Sofia (INE/TSP); Sanchez, Sebastian (INE/TSP) </w:t>
          </w:r>
        </w:p>
      </w:docPartBody>
    </w:docPart>
    <w:docPart>
      <w:docPartPr>
        <w:name w:val="4A5053447681412896717C8296C9AEB6"/>
        <w:category>
          <w:name w:val="General"/>
          <w:gallery w:val="placeholder"/>
        </w:category>
        <w:types>
          <w:type w:val="bbPlcHdr"/>
        </w:types>
        <w:behaviors>
          <w:behavior w:val="content"/>
        </w:behaviors>
        <w:guid w:val="{630743F9-D065-46FC-ADE7-5A3DAFB0AD9D}"/>
      </w:docPartPr>
      <w:docPartBody>
        <w:p w:rsidR="007A78D4" w:rsidP="000B4B72" w:rsidRDefault="000B4B72">
          <w:pPr>
            <w:pStyle w:val="4A5053447681412896717C8296C9AEB67"/>
          </w:pPr>
          <w:r w:rsidRPr="004A7024">
            <w:rPr>
              <w:rFonts w:ascii="Arial" w:hAnsi="Arial" w:eastAsia="Arial" w:cs="Arial"/>
              <w:sz w:val="18"/>
              <w:szCs w:val="18"/>
            </w:rPr>
            <w:t xml:space="preserve"> Programa Estratégico para el Desarrollo de Infraestructura(INF)</w:t>
          </w:r>
        </w:p>
      </w:docPartBody>
    </w:docPart>
    <w:docPart>
      <w:docPartPr>
        <w:name w:val="DC7B2A4294B842B5B2F1164D3A9A7BA3"/>
        <w:category>
          <w:name w:val="General"/>
          <w:gallery w:val="placeholder"/>
        </w:category>
        <w:types>
          <w:type w:val="bbPlcHdr"/>
        </w:types>
        <w:behaviors>
          <w:behavior w:val="content"/>
        </w:behaviors>
        <w:guid w:val="{C0F6F387-28C5-4A02-816C-147B0BD5136E}"/>
      </w:docPartPr>
      <w:docPartBody>
        <w:p w:rsidR="007941BA" w:rsidP="000B4B72" w:rsidRDefault="000B4B72">
          <w:pPr>
            <w:pStyle w:val="DC7B2A4294B842B5B2F1164D3A9A7BA34"/>
          </w:pPr>
          <w:r>
            <w:rPr>
              <w:rFonts w:ascii="Arial" w:hAnsi="Arial" w:eastAsia="Arial" w:cs="Arial"/>
              <w:sz w:val="18"/>
              <w:szCs w:val="18"/>
            </w:rPr>
            <w:t>US$0</w:t>
          </w:r>
        </w:p>
      </w:docPartBody>
    </w:docPart>
    <w:docPart>
      <w:docPartPr>
        <w:name w:val="55D38144C1FE46F5B59FB49C56F8E24F"/>
        <w:category>
          <w:name w:val="General"/>
          <w:gallery w:val="placeholder"/>
        </w:category>
        <w:types>
          <w:type w:val="bbPlcHdr"/>
        </w:types>
        <w:behaviors>
          <w:behavior w:val="content"/>
        </w:behaviors>
        <w:guid w:val="{0D14A878-BF56-4768-98E8-F2904550A3EC}"/>
      </w:docPartPr>
      <w:docPartBody>
        <w:p w:rsidR="000B4B72" w:rsidP="000B4B72" w:rsidRDefault="000B4B72">
          <w:pPr>
            <w:pStyle w:val="55D38144C1FE46F5B59FB49C56F8E24F"/>
          </w:pPr>
          <w:r>
            <w:rPr>
              <w:rFonts w:ascii="Arial" w:hAnsi="Arial" w:eastAsia="Arial" w:cs="Arial"/>
              <w:sz w:val="18"/>
              <w:szCs w:val="18"/>
            </w:rPr>
            <w:t>INE/TSP-Transporte</w:t>
          </w:r>
        </w:p>
      </w:docPartBody>
    </w:docPart>
    <w:docPart>
      <w:docPartPr>
        <w:name w:val="8B66A08724A34AF98568A0CB687D7FB9"/>
        <w:category>
          <w:name w:val="General"/>
          <w:gallery w:val="placeholder"/>
        </w:category>
        <w:types>
          <w:type w:val="bbPlcHdr"/>
        </w:types>
        <w:behaviors>
          <w:behavior w:val="content"/>
        </w:behaviors>
        <w:guid w:val="{DE31DFC0-6691-4564-8F6E-4F32E9EE5DEA}"/>
      </w:docPartPr>
      <w:docPartBody>
        <w:p w:rsidR="000B4B72" w:rsidP="000B4B72" w:rsidRDefault="000B4B72">
          <w:pPr>
            <w:pStyle w:val="8B66A08724A34AF98568A0CB687D7FB9"/>
          </w:pPr>
          <w:r w:rsidRPr="004A7024">
            <w:rPr>
              <w:rFonts w:ascii="Arial" w:hAnsi="Arial" w:eastAsia="Arial" w:cs="Arial"/>
              <w:sz w:val="18"/>
              <w:szCs w:val="18"/>
            </w:rPr>
            <w:t>INE/INE-Sector de Infraestructura y Energía</w:t>
          </w:r>
        </w:p>
      </w:docPartBody>
    </w:docPart>
    <w:docPart>
      <w:docPartPr>
        <w:name w:val="7892632F922046618500C5AC619A103F"/>
        <w:category>
          <w:name w:val="General"/>
          <w:gallery w:val="placeholder"/>
        </w:category>
        <w:types>
          <w:type w:val="bbPlcHdr"/>
        </w:types>
        <w:behaviors>
          <w:behavior w:val="content"/>
        </w:behaviors>
        <w:guid w:val="{E1CB2FB5-6519-49D5-8DD4-F8997A187719}"/>
      </w:docPartPr>
      <w:docPartBody>
        <w:p w:rsidR="000B4B72" w:rsidP="000B4B72" w:rsidRDefault="000B4B72">
          <w:pPr>
            <w:pStyle w:val="7892632F922046618500C5AC619A103F"/>
          </w:pPr>
          <w:r w:rsidRPr="004A7024">
            <w:rPr>
              <w:rFonts w:ascii="Arial" w:hAnsi="Arial" w:eastAsia="Arial" w:cs="Arial"/>
              <w:sz w:val="18"/>
              <w:szCs w:val="18"/>
            </w:rPr>
            <w:t xml:space="preserve"> Productividad e innovación; Capacidad institucional y estado de derecho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EA4"/>
    <w:rsid w:val="00000908"/>
    <w:rsid w:val="0003726D"/>
    <w:rsid w:val="00040CA8"/>
    <w:rsid w:val="00074AF8"/>
    <w:rsid w:val="000B4879"/>
    <w:rsid w:val="000B4B72"/>
    <w:rsid w:val="0010463D"/>
    <w:rsid w:val="00181AE1"/>
    <w:rsid w:val="001D4648"/>
    <w:rsid w:val="00223B32"/>
    <w:rsid w:val="00227104"/>
    <w:rsid w:val="002303E3"/>
    <w:rsid w:val="002A23C0"/>
    <w:rsid w:val="002D146C"/>
    <w:rsid w:val="002F4869"/>
    <w:rsid w:val="00326606"/>
    <w:rsid w:val="00342EB6"/>
    <w:rsid w:val="003434AB"/>
    <w:rsid w:val="003521AF"/>
    <w:rsid w:val="003E6CAD"/>
    <w:rsid w:val="00443C38"/>
    <w:rsid w:val="00490646"/>
    <w:rsid w:val="004A1FFE"/>
    <w:rsid w:val="004D3896"/>
    <w:rsid w:val="00530888"/>
    <w:rsid w:val="00543320"/>
    <w:rsid w:val="00551044"/>
    <w:rsid w:val="00580C97"/>
    <w:rsid w:val="0064336D"/>
    <w:rsid w:val="00667045"/>
    <w:rsid w:val="006D0A62"/>
    <w:rsid w:val="0077600D"/>
    <w:rsid w:val="007941BA"/>
    <w:rsid w:val="007A78D4"/>
    <w:rsid w:val="007F005E"/>
    <w:rsid w:val="00824A47"/>
    <w:rsid w:val="00934578"/>
    <w:rsid w:val="0096270C"/>
    <w:rsid w:val="009E50D5"/>
    <w:rsid w:val="009F6E93"/>
    <w:rsid w:val="00A02524"/>
    <w:rsid w:val="00A0698B"/>
    <w:rsid w:val="00A33067"/>
    <w:rsid w:val="00A541A3"/>
    <w:rsid w:val="00A83540"/>
    <w:rsid w:val="00B07709"/>
    <w:rsid w:val="00B31379"/>
    <w:rsid w:val="00B5555D"/>
    <w:rsid w:val="00BE6FF9"/>
    <w:rsid w:val="00C262DB"/>
    <w:rsid w:val="00C572E2"/>
    <w:rsid w:val="00C90AA9"/>
    <w:rsid w:val="00C979D4"/>
    <w:rsid w:val="00CC7780"/>
    <w:rsid w:val="00D9221B"/>
    <w:rsid w:val="00D928A7"/>
    <w:rsid w:val="00DC7FA7"/>
    <w:rsid w:val="00DD3AC1"/>
    <w:rsid w:val="00DD7636"/>
    <w:rsid w:val="00DE010B"/>
    <w:rsid w:val="00E07EA4"/>
    <w:rsid w:val="00E15C6D"/>
    <w:rsid w:val="00E83425"/>
    <w:rsid w:val="00E97AFB"/>
    <w:rsid w:val="00EE7C7C"/>
    <w:rsid w:val="00F47F3C"/>
    <w:rsid w:val="00F51524"/>
    <w:rsid w:val="00FE7BAB"/>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0B4B72"/>
    <w:rPr>
      <w:color w:val="808080"/>
    </w:rPr>
  </w:style>
  <w:style w:type="paragraph" w:styleId="55D38144C1FE46F5B59FB49C56F8E24F" w:customStyle="1">
    <w:name w:val="55D38144C1FE46F5B59FB49C56F8E24F"/>
    <w:rsid w:val="000B4B72"/>
    <w:pPr>
      <w:spacing w:after="160" w:line="259" w:lineRule="auto"/>
    </w:pPr>
    <w:rPr>
      <w:lang w:val="en-US" w:eastAsia="en-US"/>
    </w:rPr>
  </w:style>
  <w:style w:type="paragraph" w:styleId="8B66A08724A34AF98568A0CB687D7FB9" w:customStyle="1">
    <w:name w:val="8B66A08724A34AF98568A0CB687D7FB9"/>
    <w:rsid w:val="000B4B72"/>
    <w:pPr>
      <w:spacing w:after="160" w:line="259" w:lineRule="auto"/>
    </w:pPr>
    <w:rPr>
      <w:lang w:val="en-US" w:eastAsia="en-US"/>
    </w:rPr>
  </w:style>
  <w:style w:type="paragraph" w:styleId="7892632F922046618500C5AC619A103F" w:customStyle="1">
    <w:name w:val="7892632F922046618500C5AC619A103F"/>
    <w:rsid w:val="000B4B72"/>
    <w:pPr>
      <w:spacing w:after="160" w:line="259" w:lineRule="auto"/>
    </w:pPr>
    <w:rPr>
      <w:lang w:val="en-US" w:eastAsia="en-US"/>
    </w:rPr>
  </w:style>
  <w:style w:type="paragraph" w:styleId="5CC11EF8719B434E932AC9059336118050" w:customStyle="1">
    <w:name w:val="5CC11EF8719B434E932AC9059336118050"/>
    <w:rsid w:val="000B4B72"/>
    <w:rPr>
      <w:lang w:val="en-US" w:eastAsia="en-US"/>
    </w:rPr>
  </w:style>
  <w:style w:type="paragraph" w:styleId="217EA345EFD4439BBF7BB61D0244D59E50" w:customStyle="1">
    <w:name w:val="217EA345EFD4439BBF7BB61D0244D59E50"/>
    <w:rsid w:val="000B4B72"/>
    <w:rPr>
      <w:lang w:val="en-US" w:eastAsia="en-US"/>
    </w:rPr>
  </w:style>
  <w:style w:type="paragraph" w:styleId="05AE4C8040D14C628FB8FF54406E809350" w:customStyle="1">
    <w:name w:val="05AE4C8040D14C628FB8FF54406E809350"/>
    <w:rsid w:val="000B4B72"/>
    <w:rPr>
      <w:lang w:val="en-US" w:eastAsia="en-US"/>
    </w:rPr>
  </w:style>
  <w:style w:type="paragraph" w:styleId="CCD660B516A04E8B88E3C7A5081A1BEB9" w:customStyle="1">
    <w:name w:val="CCD660B516A04E8B88E3C7A5081A1BEB9"/>
    <w:rsid w:val="000B4B72"/>
    <w:rPr>
      <w:lang w:val="en-US" w:eastAsia="en-US"/>
    </w:rPr>
  </w:style>
  <w:style w:type="paragraph" w:styleId="7ED39F670CB64934A3A49D4CC3D49A9F50" w:customStyle="1">
    <w:name w:val="7ED39F670CB64934A3A49D4CC3D49A9F50"/>
    <w:rsid w:val="000B4B72"/>
    <w:rPr>
      <w:lang w:val="en-US" w:eastAsia="en-US"/>
    </w:rPr>
  </w:style>
  <w:style w:type="paragraph" w:styleId="3DA359B328714F5CAC01CFD08AEBD89818" w:customStyle="1">
    <w:name w:val="3DA359B328714F5CAC01CFD08AEBD89818"/>
    <w:rsid w:val="000B4B72"/>
    <w:rPr>
      <w:lang w:val="en-US" w:eastAsia="en-US"/>
    </w:rPr>
  </w:style>
  <w:style w:type="paragraph" w:styleId="09059ABF4FD64E58B6D53544F81B899418" w:customStyle="1">
    <w:name w:val="09059ABF4FD64E58B6D53544F81B899418"/>
    <w:rsid w:val="000B4B72"/>
    <w:rPr>
      <w:lang w:val="en-US" w:eastAsia="en-US"/>
    </w:rPr>
  </w:style>
  <w:style w:type="paragraph" w:styleId="B8DFCBC715A44C24AB6CD72AA5C890DE18" w:customStyle="1">
    <w:name w:val="B8DFCBC715A44C24AB6CD72AA5C890DE18"/>
    <w:rsid w:val="000B4B72"/>
    <w:rPr>
      <w:lang w:val="en-US" w:eastAsia="en-US"/>
    </w:rPr>
  </w:style>
  <w:style w:type="paragraph" w:styleId="4A5053447681412896717C8296C9AEB67" w:customStyle="1">
    <w:name w:val="4A5053447681412896717C8296C9AEB67"/>
    <w:rsid w:val="000B4B72"/>
    <w:rPr>
      <w:lang w:val="en-US" w:eastAsia="en-US"/>
    </w:rPr>
  </w:style>
  <w:style w:type="paragraph" w:styleId="A561EEE99F6944F79831E0C90388AF6150" w:customStyle="1">
    <w:name w:val="A561EEE99F6944F79831E0C90388AF6150"/>
    <w:rsid w:val="000B4B72"/>
    <w:rPr>
      <w:lang w:val="en-US" w:eastAsia="en-US"/>
    </w:rPr>
  </w:style>
  <w:style w:type="paragraph" w:styleId="DC7B2A4294B842B5B2F1164D3A9A7BA34" w:customStyle="1">
    <w:name w:val="DC7B2A4294B842B5B2F1164D3A9A7BA34"/>
    <w:rsid w:val="000B4B72"/>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A01FF80A75D10438A4849EFA9730B70" ma:contentTypeVersion="2941" ma:contentTypeDescription="A content type to manage public (operations) IDB documents" ma:contentTypeScope="" ma:versionID="7e9ba6ba9c6dbeedf6c988599062827f">
  <xsd:schema xmlns:xsd="http://www.w3.org/2001/XMLSchema" xmlns:xs="http://www.w3.org/2001/XMLSchema" xmlns:p="http://schemas.microsoft.com/office/2006/metadata/properties" xmlns:ns2="cdc7663a-08f0-4737-9e8c-148ce897a09c" targetNamespace="http://schemas.microsoft.com/office/2006/metadata/properties" ma:root="true" ma:fieldsID="2fb619a0a6e4ce37e20f4e578fc98d9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85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PHASE_IMPLEMENTATION</Phase>
    <Document_x0020_Author xmlns="cdc7663a-08f0-4737-9e8c-148ce897a09c">Noboa LopezNathaly Sofia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MAJOR HIGHWAYS</TermName>
          <TermId xmlns="http://schemas.microsoft.com/office/infopath/2007/PartnerControls">59b49cf2-c4cd-4316-ac14-b3a0ffc7d51d</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215</Value>
      <Value>46</Value>
      <Value>44</Value>
      <Value>1</Value>
      <Value>127</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RG-T3856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Extracted_x0020_Keywords xmlns="cdc7663a-08f0-4737-9e8c-148ce897a09c" xsi:nil="true"/>
    <_dlc_DocId xmlns="cdc7663a-08f0-4737-9e8c-148ce897a09c">EZSHARE-1430567726-18</_dlc_DocId>
    <_dlc_DocIdUrl xmlns="cdc7663a-08f0-4737-9e8c-148ce897a09c">
      <Url>https://idbg.sharepoint.com/teams/EZ-RG-TCP/RG-T3856/_layouts/15/DocIdRedir.aspx?ID=EZSHARE-1430567726-18</Url>
      <Description>EZSHARE-1430567726-18</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3EFBCFCC-DDFE-428E-ABD1-A3C15C9B0874}"/>
</file>

<file path=customXml/itemProps2.xml><?xml version="1.0" encoding="utf-8"?>
<ds:datastoreItem xmlns:ds="http://schemas.openxmlformats.org/officeDocument/2006/customXml" ds:itemID="{EC41C769-9E0B-4ECA-AD1D-670B2BD11874}"/>
</file>

<file path=customXml/itemProps3.xml><?xml version="1.0" encoding="utf-8"?>
<ds:datastoreItem xmlns:ds="http://schemas.openxmlformats.org/officeDocument/2006/customXml" ds:itemID="{1D6E51CA-0120-483A-8CC2-F9F26F421A6D}"/>
</file>

<file path=customXml/itemProps4.xml><?xml version="1.0" encoding="utf-8"?>
<ds:datastoreItem xmlns:ds="http://schemas.openxmlformats.org/officeDocument/2006/customXml" ds:itemID="{F0FC25B8-37A8-4C3F-A8AB-60D02CF7C086}"/>
</file>

<file path=customXml/itemProps5.xml><?xml version="1.0" encoding="utf-8"?>
<ds:datastoreItem xmlns:ds="http://schemas.openxmlformats.org/officeDocument/2006/customXml" ds:itemID="{034799AF-C893-4160-9EAA-FB65DD13122F}"/>
</file>

<file path=customXml/itemProps6.xml><?xml version="1.0" encoding="utf-8"?>
<ds:datastoreItem xmlns:ds="http://schemas.openxmlformats.org/officeDocument/2006/customXml" ds:itemID="{4B0CAD38-7D0C-44D7-BF4E-739F06569CA7}"/>
</file>

<file path=docProps/app.xml><?xml version="1.0" encoding="utf-8"?>
<ap: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Inter-American Development Bank</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dc:creator>
  <cp:keywords/>
  <cp:lastModifiedBy>Noboa Lopez, Nathaly Sofia</cp:lastModifiedBy>
  <cp:revision>96</cp:revision>
  <cp:lastPrinted>2012-08-24T20:26:00Z</cp:lastPrinted>
  <dcterms:created xsi:type="dcterms:W3CDTF">2019-05-21T21:03:00Z</dcterms:created>
  <dcterms:modified xsi:type="dcterms:W3CDTF">2021-10-06T16:16:27Z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215;#MAJOR HIGHWAYS|59b49cf2-c4cd-4316-ac14-b3a0ffc7d51d</vt:lpwstr>
  </property>
  <property fmtid="{D5CDD505-2E9C-101B-9397-08002B2CF9AE}" pid="13" name="Fund IDB">
    <vt:lpwstr>46;#INF|474aab72-0205-4196-bca7-4b288939fcb3</vt:lpwstr>
  </property>
  <property fmtid="{D5CDD505-2E9C-101B-9397-08002B2CF9AE}" pid="14" name="Sector IDB">
    <vt:lpwstr>127;#TRANSPORT|5a25d1a8-4baf-41a8-9e3b-e167accda6ea</vt:lpwstr>
  </property>
  <property fmtid="{D5CDD505-2E9C-101B-9397-08002B2CF9AE}" pid="15" name="_dlc_DocIdItemGuid">
    <vt:lpwstr>db6325aa-7307-47e4-a8d3-8e51820666f8</vt:lpwstr>
  </property>
  <property fmtid="{D5CDD505-2E9C-101B-9397-08002B2CF9AE}" pid="18" name="ContentTypeId">
    <vt:lpwstr>0x0101001A458A224826124E8B45B1D613300CFC009A01FF80A75D10438A4849EFA9730B70</vt:lpwstr>
  </property>
  <property fmtid="{D5CDD505-2E9C-101B-9397-08002B2CF9AE}" pid="19" name="Series Operations IDB">
    <vt:lpwstr/>
  </property>
</Properties>
</file>