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02121" w14:textId="6153ECEE" w:rsidR="00953778" w:rsidRPr="00425FEE" w:rsidRDefault="00953778" w:rsidP="00953778">
      <w:pPr>
        <w:pStyle w:val="SubSubPar"/>
        <w:numPr>
          <w:ilvl w:val="3"/>
          <w:numId w:val="0"/>
        </w:numPr>
        <w:spacing w:after="0"/>
        <w:jc w:val="center"/>
        <w:rPr>
          <w:rFonts w:ascii="Arial" w:hAnsi="Arial" w:cs="Arial"/>
          <w:smallCaps/>
          <w:sz w:val="22"/>
          <w:szCs w:val="22"/>
          <w:lang w:val="es-ES"/>
        </w:rPr>
      </w:pPr>
      <w:r w:rsidRPr="00425FEE">
        <w:rPr>
          <w:rFonts w:ascii="Arial" w:hAnsi="Arial" w:cs="Arial"/>
          <w:smallCaps/>
          <w:sz w:val="22"/>
          <w:szCs w:val="22"/>
          <w:lang w:val="es-ES"/>
        </w:rPr>
        <w:t>Documento del Banco Interamericano de Desarrollo</w:t>
      </w:r>
    </w:p>
    <w:p w14:paraId="039AB79F" w14:textId="77777777" w:rsidR="00953778" w:rsidRPr="00425FEE" w:rsidRDefault="00953778" w:rsidP="00953778">
      <w:pPr>
        <w:tabs>
          <w:tab w:val="left" w:pos="1440"/>
          <w:tab w:val="left" w:pos="3060"/>
        </w:tabs>
        <w:jc w:val="center"/>
        <w:rPr>
          <w:rFonts w:ascii="Arial" w:hAnsi="Arial" w:cs="Arial"/>
          <w:smallCaps/>
          <w:lang w:val="es-ES"/>
        </w:rPr>
      </w:pPr>
    </w:p>
    <w:p w14:paraId="6182F4C0" w14:textId="178FDE28" w:rsidR="00953778" w:rsidRPr="00425FEE" w:rsidRDefault="00953778" w:rsidP="00953778">
      <w:pPr>
        <w:tabs>
          <w:tab w:val="left" w:pos="1440"/>
          <w:tab w:val="left" w:pos="3060"/>
        </w:tabs>
        <w:jc w:val="center"/>
        <w:rPr>
          <w:rFonts w:ascii="Arial" w:hAnsi="Arial" w:cs="Arial"/>
          <w:smallCaps/>
          <w:lang w:val="es-ES"/>
        </w:rPr>
      </w:pPr>
    </w:p>
    <w:p w14:paraId="054A5577" w14:textId="77777777" w:rsidR="00BA4BB5" w:rsidRPr="00425FEE" w:rsidRDefault="00BA4BB5" w:rsidP="00953778">
      <w:pPr>
        <w:tabs>
          <w:tab w:val="left" w:pos="1440"/>
          <w:tab w:val="left" w:pos="3060"/>
        </w:tabs>
        <w:jc w:val="center"/>
        <w:rPr>
          <w:rFonts w:ascii="Arial" w:hAnsi="Arial" w:cs="Arial"/>
          <w:smallCaps/>
          <w:lang w:val="es-ES"/>
        </w:rPr>
      </w:pPr>
    </w:p>
    <w:p w14:paraId="7B8E6654" w14:textId="0FBD5ACC" w:rsidR="005E506E" w:rsidRPr="00425FEE" w:rsidRDefault="005E506E" w:rsidP="00953778">
      <w:pPr>
        <w:tabs>
          <w:tab w:val="left" w:pos="1440"/>
          <w:tab w:val="left" w:pos="3060"/>
        </w:tabs>
        <w:jc w:val="center"/>
        <w:rPr>
          <w:rFonts w:ascii="Arial" w:hAnsi="Arial" w:cs="Arial"/>
          <w:smallCaps/>
          <w:lang w:val="es-ES"/>
        </w:rPr>
      </w:pPr>
    </w:p>
    <w:p w14:paraId="6E511029" w14:textId="77777777" w:rsidR="00BA4BB5" w:rsidRPr="00425FEE" w:rsidRDefault="00BA4BB5" w:rsidP="00953778">
      <w:pPr>
        <w:tabs>
          <w:tab w:val="left" w:pos="1440"/>
          <w:tab w:val="left" w:pos="3060"/>
        </w:tabs>
        <w:jc w:val="center"/>
        <w:rPr>
          <w:rFonts w:ascii="Arial" w:hAnsi="Arial" w:cs="Arial"/>
          <w:smallCaps/>
          <w:lang w:val="es-ES"/>
        </w:rPr>
      </w:pPr>
    </w:p>
    <w:p w14:paraId="7D8D8BCB" w14:textId="77777777" w:rsidR="005E506E" w:rsidRPr="00425FEE" w:rsidRDefault="005E506E" w:rsidP="00953778">
      <w:pPr>
        <w:tabs>
          <w:tab w:val="left" w:pos="1440"/>
          <w:tab w:val="left" w:pos="3060"/>
        </w:tabs>
        <w:jc w:val="center"/>
        <w:rPr>
          <w:rFonts w:ascii="Arial" w:hAnsi="Arial" w:cs="Arial"/>
          <w:smallCaps/>
          <w:lang w:val="es-ES"/>
        </w:rPr>
      </w:pPr>
    </w:p>
    <w:p w14:paraId="77F4471C" w14:textId="7A460F4A" w:rsidR="00953778" w:rsidRPr="00425FEE" w:rsidRDefault="0099011F" w:rsidP="00953778">
      <w:pPr>
        <w:tabs>
          <w:tab w:val="left" w:pos="1440"/>
          <w:tab w:val="left" w:pos="3060"/>
        </w:tabs>
        <w:jc w:val="center"/>
        <w:rPr>
          <w:rFonts w:ascii="Arial" w:hAnsi="Arial" w:cs="Arial"/>
          <w:b/>
          <w:smallCaps/>
          <w:sz w:val="28"/>
          <w:szCs w:val="28"/>
          <w:lang w:val="es-ES"/>
        </w:rPr>
      </w:pPr>
      <w:r w:rsidRPr="00425FEE">
        <w:rPr>
          <w:rFonts w:ascii="Arial" w:hAnsi="Arial" w:cs="Arial"/>
          <w:b/>
          <w:smallCaps/>
          <w:sz w:val="28"/>
          <w:szCs w:val="28"/>
          <w:lang w:val="es-ES"/>
        </w:rPr>
        <w:t>PANAMÁ</w:t>
      </w:r>
    </w:p>
    <w:p w14:paraId="501F4E5D" w14:textId="3F88F527" w:rsidR="00953778" w:rsidRPr="00425FEE" w:rsidRDefault="00953778" w:rsidP="00953778">
      <w:pPr>
        <w:tabs>
          <w:tab w:val="left" w:pos="1440"/>
          <w:tab w:val="left" w:pos="3060"/>
        </w:tabs>
        <w:jc w:val="center"/>
        <w:rPr>
          <w:rFonts w:ascii="Arial" w:hAnsi="Arial" w:cs="Arial"/>
          <w:smallCaps/>
          <w:lang w:val="es-ES"/>
        </w:rPr>
      </w:pPr>
    </w:p>
    <w:p w14:paraId="0431BF13" w14:textId="77777777" w:rsidR="002A7369" w:rsidRPr="00425FEE" w:rsidRDefault="002A7369" w:rsidP="00953778">
      <w:pPr>
        <w:tabs>
          <w:tab w:val="left" w:pos="1440"/>
          <w:tab w:val="left" w:pos="3060"/>
        </w:tabs>
        <w:jc w:val="center"/>
        <w:rPr>
          <w:rFonts w:ascii="Arial" w:hAnsi="Arial" w:cs="Arial"/>
          <w:smallCaps/>
          <w:lang w:val="es-ES"/>
        </w:rPr>
      </w:pPr>
    </w:p>
    <w:p w14:paraId="08A28835" w14:textId="5E500FF3" w:rsidR="002A7369" w:rsidRPr="00425FEE" w:rsidRDefault="002A7369" w:rsidP="00953778">
      <w:pPr>
        <w:tabs>
          <w:tab w:val="left" w:pos="1440"/>
          <w:tab w:val="left" w:pos="3060"/>
        </w:tabs>
        <w:jc w:val="center"/>
        <w:rPr>
          <w:rFonts w:ascii="Arial" w:hAnsi="Arial" w:cs="Arial"/>
          <w:smallCaps/>
          <w:lang w:val="es-ES"/>
        </w:rPr>
      </w:pPr>
    </w:p>
    <w:p w14:paraId="4080CE0B" w14:textId="77777777" w:rsidR="002A7369" w:rsidRPr="00425FEE" w:rsidRDefault="002A7369" w:rsidP="00953778">
      <w:pPr>
        <w:tabs>
          <w:tab w:val="left" w:pos="1440"/>
          <w:tab w:val="left" w:pos="3060"/>
        </w:tabs>
        <w:jc w:val="center"/>
        <w:rPr>
          <w:rFonts w:ascii="Arial" w:hAnsi="Arial" w:cs="Arial"/>
          <w:smallCaps/>
          <w:lang w:val="es-ES"/>
        </w:rPr>
      </w:pPr>
    </w:p>
    <w:p w14:paraId="5C0E2AB6" w14:textId="77777777" w:rsidR="00953778" w:rsidRPr="00425FEE" w:rsidRDefault="00953778" w:rsidP="00953778">
      <w:pPr>
        <w:tabs>
          <w:tab w:val="left" w:pos="1440"/>
          <w:tab w:val="left" w:pos="3060"/>
        </w:tabs>
        <w:jc w:val="center"/>
        <w:rPr>
          <w:rFonts w:ascii="Arial" w:hAnsi="Arial" w:cs="Arial"/>
          <w:smallCaps/>
          <w:lang w:val="es-ES"/>
        </w:rPr>
      </w:pPr>
    </w:p>
    <w:p w14:paraId="0359B952" w14:textId="126D9655" w:rsidR="00953778" w:rsidRPr="00425FEE" w:rsidRDefault="00953778" w:rsidP="00953778">
      <w:pPr>
        <w:pStyle w:val="Newpage"/>
        <w:rPr>
          <w:rFonts w:ascii="Arial" w:hAnsi="Arial"/>
          <w:b w:val="0"/>
          <w:caps/>
          <w:smallCaps w:val="0"/>
          <w:sz w:val="22"/>
          <w:szCs w:val="22"/>
          <w:lang w:val="es-ES"/>
        </w:rPr>
      </w:pPr>
      <w:r w:rsidRPr="00425FEE">
        <w:rPr>
          <w:rFonts w:ascii="Arial" w:hAnsi="Arial"/>
          <w:sz w:val="28"/>
          <w:szCs w:val="28"/>
          <w:lang w:val="es-ES"/>
        </w:rPr>
        <w:t>A</w:t>
      </w:r>
      <w:r w:rsidR="002A7369" w:rsidRPr="00425FEE">
        <w:rPr>
          <w:rFonts w:ascii="Arial" w:hAnsi="Arial"/>
          <w:sz w:val="28"/>
          <w:szCs w:val="28"/>
          <w:lang w:val="es-ES"/>
        </w:rPr>
        <w:t xml:space="preserve">poyo a Poblaciones Vulnerables Afectadas por </w:t>
      </w:r>
      <w:r w:rsidR="001D7371" w:rsidRPr="00425FEE">
        <w:rPr>
          <w:rFonts w:ascii="Arial" w:hAnsi="Arial"/>
          <w:sz w:val="28"/>
          <w:szCs w:val="28"/>
          <w:lang w:val="es-ES"/>
        </w:rPr>
        <w:t>Coronavirus en Panamá</w:t>
      </w:r>
    </w:p>
    <w:p w14:paraId="242737BD" w14:textId="77777777" w:rsidR="00953778" w:rsidRPr="00425FEE" w:rsidRDefault="00953778" w:rsidP="00953778">
      <w:pPr>
        <w:pStyle w:val="Newpage"/>
        <w:rPr>
          <w:rFonts w:ascii="Arial" w:hAnsi="Arial"/>
          <w:b w:val="0"/>
          <w:caps/>
          <w:smallCaps w:val="0"/>
          <w:sz w:val="22"/>
          <w:szCs w:val="22"/>
          <w:lang w:val="es-ES"/>
        </w:rPr>
      </w:pPr>
    </w:p>
    <w:p w14:paraId="0F9202F0" w14:textId="3B74AD65" w:rsidR="00953778" w:rsidRPr="00425FEE" w:rsidRDefault="00953778" w:rsidP="00953778">
      <w:pPr>
        <w:tabs>
          <w:tab w:val="left" w:pos="1440"/>
          <w:tab w:val="left" w:pos="3060"/>
        </w:tabs>
        <w:jc w:val="center"/>
        <w:rPr>
          <w:rFonts w:ascii="Arial" w:hAnsi="Arial" w:cs="Arial"/>
          <w:b/>
          <w:smallCaps/>
          <w:lang w:val="es-ES"/>
        </w:rPr>
      </w:pPr>
      <w:r w:rsidRPr="00425FEE">
        <w:rPr>
          <w:rFonts w:ascii="Arial" w:hAnsi="Arial" w:cs="Arial"/>
          <w:b/>
          <w:smallCaps/>
          <w:lang w:val="es-ES"/>
        </w:rPr>
        <w:t>(</w:t>
      </w:r>
      <w:r w:rsidR="0099011F" w:rsidRPr="00425FEE">
        <w:rPr>
          <w:rFonts w:ascii="Arial" w:hAnsi="Arial" w:cs="Arial"/>
          <w:b/>
          <w:smallCaps/>
          <w:lang w:val="es-ES"/>
        </w:rPr>
        <w:t>PN-L1121</w:t>
      </w:r>
      <w:r w:rsidRPr="00425FEE">
        <w:rPr>
          <w:rFonts w:ascii="Arial" w:hAnsi="Arial" w:cs="Arial"/>
          <w:b/>
          <w:smallCaps/>
          <w:lang w:val="es-ES"/>
        </w:rPr>
        <w:t>)</w:t>
      </w:r>
    </w:p>
    <w:p w14:paraId="31F36200" w14:textId="77777777" w:rsidR="00953778" w:rsidRPr="00425FEE" w:rsidRDefault="00953778" w:rsidP="00953778">
      <w:pPr>
        <w:tabs>
          <w:tab w:val="left" w:pos="1440"/>
          <w:tab w:val="left" w:pos="3060"/>
        </w:tabs>
        <w:jc w:val="center"/>
        <w:rPr>
          <w:rFonts w:ascii="Arial" w:hAnsi="Arial" w:cs="Arial"/>
          <w:smallCaps/>
          <w:lang w:val="es-ES"/>
        </w:rPr>
      </w:pPr>
    </w:p>
    <w:p w14:paraId="6103660D" w14:textId="77777777" w:rsidR="00953778" w:rsidRPr="00425FEE" w:rsidRDefault="00953778" w:rsidP="00953778">
      <w:pPr>
        <w:tabs>
          <w:tab w:val="left" w:pos="1440"/>
          <w:tab w:val="left" w:pos="3060"/>
        </w:tabs>
        <w:jc w:val="center"/>
        <w:outlineLvl w:val="0"/>
        <w:rPr>
          <w:rFonts w:ascii="Arial" w:hAnsi="Arial" w:cs="Arial"/>
          <w:b/>
          <w:szCs w:val="24"/>
          <w:lang w:val="es-ES"/>
        </w:rPr>
      </w:pPr>
      <w:r w:rsidRPr="00425FEE">
        <w:rPr>
          <w:rFonts w:ascii="Arial" w:hAnsi="Arial" w:cs="Arial"/>
          <w:b/>
          <w:smallCaps/>
          <w:szCs w:val="24"/>
          <w:lang w:val="es-ES"/>
        </w:rPr>
        <w:t>Plan de Monitoreo y Evaluación</w:t>
      </w:r>
    </w:p>
    <w:p w14:paraId="5A6EE892" w14:textId="77777777" w:rsidR="00953778" w:rsidRPr="00425FEE" w:rsidRDefault="00953778" w:rsidP="00953778">
      <w:pPr>
        <w:tabs>
          <w:tab w:val="left" w:pos="1440"/>
          <w:tab w:val="left" w:pos="3060"/>
        </w:tabs>
        <w:jc w:val="center"/>
        <w:rPr>
          <w:rFonts w:ascii="Arial" w:hAnsi="Arial" w:cs="Arial"/>
          <w:lang w:val="es-ES"/>
        </w:rPr>
      </w:pPr>
    </w:p>
    <w:p w14:paraId="7F10EBD2" w14:textId="77777777" w:rsidR="00953778" w:rsidRPr="00425FEE" w:rsidRDefault="00953778" w:rsidP="00953778">
      <w:pPr>
        <w:tabs>
          <w:tab w:val="left" w:pos="1440"/>
          <w:tab w:val="left" w:pos="3060"/>
        </w:tabs>
        <w:jc w:val="center"/>
        <w:rPr>
          <w:rFonts w:ascii="Arial" w:hAnsi="Arial" w:cs="Arial"/>
          <w:lang w:val="es-ES"/>
        </w:rPr>
      </w:pPr>
    </w:p>
    <w:p w14:paraId="4733D430" w14:textId="77777777" w:rsidR="00953778" w:rsidRPr="00425FEE" w:rsidRDefault="00953778" w:rsidP="00953778">
      <w:pPr>
        <w:tabs>
          <w:tab w:val="left" w:pos="1440"/>
          <w:tab w:val="left" w:pos="3060"/>
        </w:tabs>
        <w:jc w:val="center"/>
        <w:rPr>
          <w:rFonts w:ascii="Arial" w:hAnsi="Arial" w:cs="Arial"/>
          <w:lang w:val="es-ES"/>
        </w:rPr>
      </w:pPr>
    </w:p>
    <w:p w14:paraId="2A601DAA" w14:textId="77777777" w:rsidR="00953778" w:rsidRPr="00425FEE" w:rsidRDefault="00953778" w:rsidP="00953778">
      <w:pPr>
        <w:tabs>
          <w:tab w:val="left" w:pos="1440"/>
          <w:tab w:val="left" w:pos="3060"/>
        </w:tabs>
        <w:jc w:val="center"/>
        <w:rPr>
          <w:rFonts w:ascii="Arial" w:hAnsi="Arial" w:cs="Arial"/>
          <w:lang w:val="es-ES"/>
        </w:rPr>
      </w:pPr>
    </w:p>
    <w:p w14:paraId="045061A2" w14:textId="77777777" w:rsidR="00953778" w:rsidRPr="00425FEE" w:rsidRDefault="00953778" w:rsidP="00953778">
      <w:pPr>
        <w:tabs>
          <w:tab w:val="left" w:pos="1440"/>
          <w:tab w:val="left" w:pos="3060"/>
        </w:tabs>
        <w:jc w:val="center"/>
        <w:rPr>
          <w:rFonts w:ascii="Arial" w:hAnsi="Arial" w:cs="Arial"/>
          <w:lang w:val="es-ES"/>
        </w:rPr>
      </w:pPr>
    </w:p>
    <w:p w14:paraId="1ABE26EC" w14:textId="77777777" w:rsidR="00953778" w:rsidRPr="00425FEE" w:rsidRDefault="00953778" w:rsidP="00953778">
      <w:pPr>
        <w:tabs>
          <w:tab w:val="left" w:pos="1440"/>
          <w:tab w:val="left" w:pos="3060"/>
        </w:tabs>
        <w:jc w:val="center"/>
        <w:rPr>
          <w:rFonts w:ascii="Arial" w:hAnsi="Arial" w:cs="Arial"/>
          <w:lang w:val="es-ES"/>
        </w:rPr>
      </w:pPr>
    </w:p>
    <w:p w14:paraId="59766BC5" w14:textId="77777777" w:rsidR="00953778" w:rsidRPr="00425FEE" w:rsidRDefault="00953778" w:rsidP="00953778">
      <w:pPr>
        <w:tabs>
          <w:tab w:val="left" w:pos="1440"/>
          <w:tab w:val="left" w:pos="3060"/>
        </w:tabs>
        <w:jc w:val="center"/>
        <w:rPr>
          <w:rFonts w:ascii="Arial" w:hAnsi="Arial" w:cs="Arial"/>
          <w:lang w:val="es-ES"/>
        </w:rPr>
      </w:pPr>
    </w:p>
    <w:p w14:paraId="0D1F0FA4" w14:textId="5647E751" w:rsidR="00F90897" w:rsidRPr="00425FEE" w:rsidRDefault="00F90897" w:rsidP="00F90897">
      <w:pPr>
        <w:pBdr>
          <w:top w:val="single" w:sz="4" w:space="1" w:color="auto"/>
          <w:left w:val="single" w:sz="4" w:space="4" w:color="auto"/>
          <w:bottom w:val="single" w:sz="4" w:space="1" w:color="auto"/>
          <w:right w:val="single" w:sz="4" w:space="4" w:color="auto"/>
        </w:pBdr>
        <w:jc w:val="both"/>
        <w:rPr>
          <w:rFonts w:ascii="Arial" w:hAnsi="Arial" w:cs="Arial"/>
          <w:lang w:val="es-ES"/>
        </w:rPr>
      </w:pPr>
      <w:r w:rsidRPr="00425FEE">
        <w:rPr>
          <w:rFonts w:ascii="Arial" w:hAnsi="Arial" w:cs="Arial"/>
          <w:sz w:val="20"/>
          <w:lang w:val="es-ES"/>
        </w:rPr>
        <w:t>Este documento fue preparado por</w:t>
      </w:r>
      <w:r w:rsidR="00304BBD" w:rsidRPr="00425FEE">
        <w:rPr>
          <w:rFonts w:ascii="Arial" w:hAnsi="Arial" w:cs="Arial"/>
          <w:sz w:val="20"/>
          <w:lang w:val="es-ES"/>
        </w:rPr>
        <w:t>:</w:t>
      </w:r>
      <w:r w:rsidRPr="00425FEE">
        <w:rPr>
          <w:rFonts w:ascii="Arial" w:hAnsi="Arial" w:cs="Arial"/>
          <w:sz w:val="20"/>
          <w:lang w:val="es-ES"/>
        </w:rPr>
        <w:t xml:space="preserve"> </w:t>
      </w:r>
      <w:r w:rsidR="001D7371" w:rsidRPr="00425FEE">
        <w:rPr>
          <w:rFonts w:ascii="Arial" w:hAnsi="Arial" w:cs="Arial"/>
          <w:sz w:val="20"/>
          <w:lang w:val="es-ES"/>
        </w:rPr>
        <w:t>Ana Pérez Expósito (consultora)</w:t>
      </w:r>
      <w:r w:rsidR="003A6B23">
        <w:rPr>
          <w:rFonts w:ascii="Arial" w:hAnsi="Arial" w:cs="Arial"/>
          <w:sz w:val="20"/>
          <w:lang w:val="es-ES"/>
        </w:rPr>
        <w:t>.</w:t>
      </w:r>
      <w:r w:rsidR="001D7371" w:rsidRPr="00425FEE">
        <w:rPr>
          <w:rFonts w:ascii="Arial" w:hAnsi="Arial" w:cs="Arial"/>
          <w:sz w:val="20"/>
          <w:lang w:val="es-ES"/>
        </w:rPr>
        <w:t xml:space="preserve"> </w:t>
      </w:r>
    </w:p>
    <w:p w14:paraId="4417372E" w14:textId="74A3BB48" w:rsidR="002A7369" w:rsidRPr="00425FEE" w:rsidRDefault="002A7369">
      <w:pPr>
        <w:spacing w:after="0" w:line="240" w:lineRule="auto"/>
        <w:rPr>
          <w:rFonts w:ascii="Arial" w:hAnsi="Arial" w:cs="Arial"/>
          <w:sz w:val="16"/>
          <w:szCs w:val="16"/>
          <w:lang w:val="es-ES"/>
        </w:rPr>
      </w:pPr>
      <w:r w:rsidRPr="00425FEE">
        <w:rPr>
          <w:rFonts w:ascii="Arial" w:hAnsi="Arial" w:cs="Arial"/>
          <w:sz w:val="20"/>
          <w:lang w:val="es-ES"/>
        </w:rPr>
        <w:br w:type="page"/>
      </w:r>
    </w:p>
    <w:p w14:paraId="16F4328E" w14:textId="09295DBB" w:rsidR="00625904" w:rsidRPr="00425FEE" w:rsidRDefault="001B5186" w:rsidP="00625904">
      <w:pPr>
        <w:pStyle w:val="ColorfulList-Accent11"/>
        <w:spacing w:after="0" w:line="288" w:lineRule="auto"/>
        <w:ind w:left="1080"/>
        <w:jc w:val="center"/>
        <w:rPr>
          <w:rFonts w:ascii="Arial" w:hAnsi="Arial" w:cs="Arial"/>
          <w:b/>
          <w:bCs/>
          <w:smallCaps/>
          <w:lang w:val="es-ES"/>
        </w:rPr>
      </w:pPr>
      <w:r w:rsidRPr="00425FEE">
        <w:rPr>
          <w:rFonts w:ascii="Arial" w:hAnsi="Arial" w:cs="Arial"/>
          <w:b/>
          <w:bCs/>
          <w:smallCaps/>
          <w:lang w:val="es-ES"/>
        </w:rPr>
        <w:lastRenderedPageBreak/>
        <w:t>Cont</w:t>
      </w:r>
      <w:r w:rsidR="00625904" w:rsidRPr="00425FEE">
        <w:rPr>
          <w:rFonts w:ascii="Arial" w:hAnsi="Arial" w:cs="Arial"/>
          <w:b/>
          <w:bCs/>
          <w:smallCaps/>
          <w:lang w:val="es-ES"/>
        </w:rPr>
        <w:t>enido</w:t>
      </w:r>
    </w:p>
    <w:p w14:paraId="31443BB1" w14:textId="77777777" w:rsidR="00625904" w:rsidRPr="00425FEE" w:rsidRDefault="00625904" w:rsidP="00625904">
      <w:pPr>
        <w:pStyle w:val="ColorfulList-Accent11"/>
        <w:spacing w:after="0" w:line="288" w:lineRule="auto"/>
        <w:jc w:val="both"/>
        <w:rPr>
          <w:rFonts w:ascii="Arial" w:hAnsi="Arial" w:cs="Arial"/>
          <w:lang w:val="es-ES"/>
        </w:rPr>
      </w:pPr>
    </w:p>
    <w:p w14:paraId="21B2C16E" w14:textId="77777777" w:rsidR="00625904" w:rsidRPr="00425FEE" w:rsidRDefault="00625904" w:rsidP="00625904">
      <w:pPr>
        <w:pStyle w:val="ColorfulList-Accent11"/>
        <w:spacing w:after="0" w:line="288" w:lineRule="auto"/>
        <w:jc w:val="both"/>
        <w:rPr>
          <w:rFonts w:ascii="Arial" w:hAnsi="Arial" w:cs="Arial"/>
          <w:lang w:val="es-ES"/>
        </w:rPr>
      </w:pPr>
    </w:p>
    <w:p w14:paraId="61B3616A"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Resumen del plan de monitoreo y evaluación</w:t>
      </w:r>
    </w:p>
    <w:p w14:paraId="39AD1226" w14:textId="77777777" w:rsidR="00625904" w:rsidRPr="00425FEE" w:rsidRDefault="00625904" w:rsidP="00625904">
      <w:pPr>
        <w:pStyle w:val="ColorfulList-Accent11"/>
        <w:spacing w:after="0" w:line="288" w:lineRule="auto"/>
        <w:jc w:val="both"/>
        <w:rPr>
          <w:rFonts w:ascii="Arial" w:hAnsi="Arial" w:cs="Arial"/>
          <w:lang w:val="es-ES"/>
        </w:rPr>
      </w:pPr>
    </w:p>
    <w:p w14:paraId="3F9E1233"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I. Introducción</w:t>
      </w:r>
    </w:p>
    <w:p w14:paraId="2E2CF290" w14:textId="77777777" w:rsidR="00625904" w:rsidRPr="00425FEE" w:rsidRDefault="00625904" w:rsidP="00625904">
      <w:pPr>
        <w:pStyle w:val="ColorfulList-Accent11"/>
        <w:spacing w:after="0" w:line="288" w:lineRule="auto"/>
        <w:jc w:val="both"/>
        <w:rPr>
          <w:rFonts w:ascii="Arial" w:hAnsi="Arial" w:cs="Arial"/>
          <w:lang w:val="es-ES"/>
        </w:rPr>
      </w:pPr>
    </w:p>
    <w:p w14:paraId="0D625575" w14:textId="34A09AED"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II. Monitoreo</w:t>
      </w:r>
    </w:p>
    <w:p w14:paraId="10752680"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a. Indicadores</w:t>
      </w:r>
    </w:p>
    <w:p w14:paraId="7952AA6E" w14:textId="15866209"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b. Recolección de datos e instrumentos</w:t>
      </w:r>
    </w:p>
    <w:p w14:paraId="7361250F" w14:textId="22BBF80F"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c. Reporte de resultados de monitoreo</w:t>
      </w:r>
    </w:p>
    <w:p w14:paraId="70D7AE40" w14:textId="58AED408"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d. Coordinación de seguimiento, plan de trabajo y presupuesto</w:t>
      </w:r>
    </w:p>
    <w:p w14:paraId="1D44CC8E" w14:textId="77777777" w:rsidR="00625904" w:rsidRPr="00425FEE" w:rsidRDefault="00625904" w:rsidP="00625904">
      <w:pPr>
        <w:pStyle w:val="ColorfulList-Accent11"/>
        <w:spacing w:after="0" w:line="288" w:lineRule="auto"/>
        <w:jc w:val="both"/>
        <w:rPr>
          <w:rFonts w:ascii="Arial" w:hAnsi="Arial" w:cs="Arial"/>
          <w:lang w:val="es-ES"/>
        </w:rPr>
      </w:pPr>
    </w:p>
    <w:p w14:paraId="73682E70"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III. Evaluación</w:t>
      </w:r>
    </w:p>
    <w:p w14:paraId="7ECA6A22" w14:textId="2381DB4A"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 xml:space="preserve">a. Pregunta(s) de evaluación </w:t>
      </w:r>
    </w:p>
    <w:p w14:paraId="36568679" w14:textId="5CB0A20D"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b. Conocimiento existente (evaluaciones previas, análisis económico ex ante)</w:t>
      </w:r>
    </w:p>
    <w:p w14:paraId="3071ADFE" w14:textId="32F05BFD"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c. Indicadores clave de resultados</w:t>
      </w:r>
    </w:p>
    <w:p w14:paraId="142CC18B" w14:textId="4C87EAED"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d. Metodología de evaluación</w:t>
      </w:r>
    </w:p>
    <w:p w14:paraId="1409A3ED" w14:textId="5EF705D4"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e. Aspectos técnicos de la metodología seleccionada</w:t>
      </w:r>
    </w:p>
    <w:p w14:paraId="50E277F0" w14:textId="440AAFC4"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f. Evaluaciones complementarias</w:t>
      </w:r>
    </w:p>
    <w:p w14:paraId="1B201EE9" w14:textId="15566813"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g. Informe de resultados de evaluación</w:t>
      </w:r>
    </w:p>
    <w:p w14:paraId="3A4E99A0"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h. Coordinación de evaluación, plan de trabajo y presupuesto</w:t>
      </w:r>
    </w:p>
    <w:p w14:paraId="746865D0" w14:textId="77777777" w:rsidR="00625904" w:rsidRPr="00425FEE" w:rsidRDefault="00625904" w:rsidP="00625904">
      <w:pPr>
        <w:pStyle w:val="ColorfulList-Accent11"/>
        <w:spacing w:after="0" w:line="288" w:lineRule="auto"/>
        <w:jc w:val="both"/>
        <w:rPr>
          <w:rFonts w:ascii="Arial" w:hAnsi="Arial" w:cs="Arial"/>
          <w:lang w:val="es-ES"/>
        </w:rPr>
      </w:pPr>
    </w:p>
    <w:p w14:paraId="6416E2D5" w14:textId="77777777" w:rsidR="00625904" w:rsidRPr="00425FEE" w:rsidRDefault="00625904" w:rsidP="00625904">
      <w:pPr>
        <w:pStyle w:val="ColorfulList-Accent11"/>
        <w:spacing w:after="0" w:line="288" w:lineRule="auto"/>
        <w:jc w:val="both"/>
        <w:rPr>
          <w:rFonts w:ascii="Arial" w:hAnsi="Arial" w:cs="Arial"/>
          <w:lang w:val="es-ES"/>
        </w:rPr>
      </w:pPr>
    </w:p>
    <w:p w14:paraId="5D08F266"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Anexos</w:t>
      </w:r>
    </w:p>
    <w:p w14:paraId="3B4817E9" w14:textId="77777777" w:rsidR="00625904" w:rsidRPr="00425FEE" w:rsidRDefault="00625904" w:rsidP="00625904">
      <w:pPr>
        <w:pStyle w:val="ColorfulList-Accent11"/>
        <w:spacing w:after="0" w:line="288" w:lineRule="auto"/>
        <w:jc w:val="both"/>
        <w:rPr>
          <w:rFonts w:ascii="Arial" w:hAnsi="Arial" w:cs="Arial"/>
          <w:lang w:val="es-ES"/>
        </w:rPr>
      </w:pPr>
    </w:p>
    <w:p w14:paraId="57CA0BDA" w14:textId="77777777" w:rsidR="00625904" w:rsidRPr="00425FEE" w:rsidRDefault="00625904" w:rsidP="00625904">
      <w:pPr>
        <w:pStyle w:val="ColorfulList-Accent11"/>
        <w:spacing w:after="0" w:line="288" w:lineRule="auto"/>
        <w:jc w:val="both"/>
        <w:rPr>
          <w:rFonts w:ascii="Arial" w:hAnsi="Arial" w:cs="Arial"/>
          <w:lang w:val="es-ES"/>
        </w:rPr>
      </w:pPr>
      <w:r w:rsidRPr="00425FEE">
        <w:rPr>
          <w:rFonts w:ascii="Arial" w:hAnsi="Arial" w:cs="Arial"/>
          <w:lang w:val="es-ES"/>
        </w:rPr>
        <w:t>Glosario de términos</w:t>
      </w:r>
    </w:p>
    <w:p w14:paraId="7D358B99" w14:textId="77777777" w:rsidR="00625904" w:rsidRPr="00425FEE" w:rsidRDefault="00625904" w:rsidP="00625904">
      <w:pPr>
        <w:pStyle w:val="ColorfulList-Accent11"/>
        <w:spacing w:after="0" w:line="288" w:lineRule="auto"/>
        <w:jc w:val="both"/>
        <w:rPr>
          <w:rFonts w:ascii="Arial" w:hAnsi="Arial" w:cs="Arial"/>
          <w:lang w:val="es-ES"/>
        </w:rPr>
      </w:pPr>
    </w:p>
    <w:p w14:paraId="65C0B586" w14:textId="77777777" w:rsidR="00625904" w:rsidRPr="00425FEE" w:rsidRDefault="00625904" w:rsidP="002A7369">
      <w:pPr>
        <w:pStyle w:val="ColorfulList-Accent11"/>
        <w:spacing w:after="0" w:line="288" w:lineRule="auto"/>
        <w:jc w:val="both"/>
        <w:rPr>
          <w:rFonts w:ascii="Arial" w:hAnsi="Arial" w:cs="Arial"/>
          <w:lang w:val="es-ES"/>
        </w:rPr>
      </w:pPr>
      <w:r w:rsidRPr="00425FEE">
        <w:rPr>
          <w:rFonts w:ascii="Arial" w:hAnsi="Arial" w:cs="Arial"/>
          <w:lang w:val="es-ES"/>
        </w:rPr>
        <w:t>Referencias</w:t>
      </w:r>
    </w:p>
    <w:p w14:paraId="11E0EA62" w14:textId="77777777" w:rsidR="00625904" w:rsidRPr="00425FEE" w:rsidRDefault="00625904" w:rsidP="00625904">
      <w:pPr>
        <w:pStyle w:val="ColorfulList-Accent11"/>
        <w:spacing w:after="0" w:line="288" w:lineRule="auto"/>
        <w:ind w:left="0"/>
        <w:jc w:val="both"/>
        <w:rPr>
          <w:rFonts w:ascii="Arial" w:hAnsi="Arial" w:cs="Arial"/>
          <w:lang w:val="es-ES"/>
        </w:rPr>
      </w:pPr>
    </w:p>
    <w:p w14:paraId="1D940E83" w14:textId="77777777" w:rsidR="004964DC" w:rsidRPr="00425FEE" w:rsidRDefault="004964DC">
      <w:pPr>
        <w:spacing w:after="0" w:line="240" w:lineRule="auto"/>
        <w:rPr>
          <w:rFonts w:ascii="Arial" w:eastAsia="Arial Unicode MS" w:hAnsi="Arial" w:cs="Arial"/>
          <w:bCs/>
          <w:smallCaps/>
          <w:lang w:val="es-ES"/>
        </w:rPr>
      </w:pPr>
      <w:r w:rsidRPr="00425FEE">
        <w:rPr>
          <w:rFonts w:ascii="Arial" w:eastAsia="Arial Unicode MS" w:hAnsi="Arial" w:cs="Arial"/>
          <w:bCs/>
          <w:smallCaps/>
          <w:lang w:val="es-ES"/>
        </w:rPr>
        <w:br w:type="page"/>
      </w:r>
    </w:p>
    <w:p w14:paraId="1927FF4C" w14:textId="7A97812A" w:rsidR="001B5186" w:rsidRPr="00425FEE" w:rsidRDefault="00953778" w:rsidP="00C57C49">
      <w:pPr>
        <w:pStyle w:val="ColorfulList-Accent11"/>
        <w:numPr>
          <w:ilvl w:val="0"/>
          <w:numId w:val="3"/>
        </w:numPr>
        <w:spacing w:before="120" w:after="240" w:line="240" w:lineRule="auto"/>
        <w:ind w:left="547" w:hanging="547"/>
        <w:contextualSpacing w:val="0"/>
        <w:jc w:val="both"/>
        <w:rPr>
          <w:rFonts w:ascii="Arial" w:hAnsi="Arial" w:cs="Arial"/>
          <w:b/>
          <w:lang w:val="es-ES"/>
        </w:rPr>
      </w:pPr>
      <w:r w:rsidRPr="00425FEE">
        <w:rPr>
          <w:rFonts w:ascii="Arial" w:hAnsi="Arial" w:cs="Arial"/>
          <w:b/>
          <w:lang w:val="es-ES"/>
        </w:rPr>
        <w:lastRenderedPageBreak/>
        <w:t>Introducción</w:t>
      </w:r>
    </w:p>
    <w:p w14:paraId="6D31CA85" w14:textId="6DB44FFB" w:rsidR="00093FE5" w:rsidRPr="00425FEE" w:rsidRDefault="0062226F" w:rsidP="00C57C49">
      <w:pPr>
        <w:pStyle w:val="ColorfulList-Accent11"/>
        <w:numPr>
          <w:ilvl w:val="1"/>
          <w:numId w:val="3"/>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Antecedentes, o</w:t>
      </w:r>
      <w:r w:rsidR="00953778" w:rsidRPr="00425FEE">
        <w:rPr>
          <w:rFonts w:ascii="Arial" w:hAnsi="Arial" w:cs="Arial"/>
          <w:b/>
          <w:lang w:val="es-ES"/>
        </w:rPr>
        <w:t>bjetivos y component</w:t>
      </w:r>
      <w:r w:rsidR="00830672" w:rsidRPr="00425FEE">
        <w:rPr>
          <w:rFonts w:ascii="Arial" w:hAnsi="Arial" w:cs="Arial"/>
          <w:b/>
          <w:lang w:val="es-ES"/>
        </w:rPr>
        <w:t>e</w:t>
      </w:r>
      <w:r w:rsidR="00953778" w:rsidRPr="00425FEE">
        <w:rPr>
          <w:rFonts w:ascii="Arial" w:hAnsi="Arial" w:cs="Arial"/>
          <w:b/>
          <w:lang w:val="es-ES"/>
        </w:rPr>
        <w:t xml:space="preserve">s del </w:t>
      </w:r>
      <w:r w:rsidR="00534106" w:rsidRPr="00425FEE">
        <w:rPr>
          <w:rFonts w:ascii="Arial" w:hAnsi="Arial" w:cs="Arial"/>
          <w:b/>
          <w:lang w:val="es-ES"/>
        </w:rPr>
        <w:t>programa</w:t>
      </w:r>
      <w:r w:rsidR="00452A58" w:rsidRPr="00425FEE">
        <w:rPr>
          <w:rStyle w:val="FootnoteReference"/>
          <w:rFonts w:ascii="Arial" w:hAnsi="Arial" w:cs="Arial"/>
          <w:b/>
          <w:lang w:val="es-ES"/>
        </w:rPr>
        <w:footnoteReference w:id="2"/>
      </w:r>
    </w:p>
    <w:p w14:paraId="6BE91C2B" w14:textId="2CDC8044" w:rsidR="00456FE4" w:rsidRDefault="00456FE4" w:rsidP="00A27DB0">
      <w:pPr>
        <w:pStyle w:val="Paragraph"/>
        <w:tabs>
          <w:tab w:val="left" w:pos="720"/>
        </w:tabs>
        <w:ind w:left="0" w:firstLine="0"/>
        <w:rPr>
          <w:rFonts w:ascii="Arial" w:hAnsi="Arial" w:cs="Arial"/>
          <w:sz w:val="22"/>
          <w:lang w:val="es-ES"/>
        </w:rPr>
      </w:pPr>
      <w:r w:rsidRPr="00FB3701">
        <w:rPr>
          <w:rFonts w:ascii="Arial" w:hAnsi="Arial" w:cs="Arial"/>
          <w:sz w:val="22"/>
          <w:lang w:val="es-CO"/>
        </w:rPr>
        <w:t xml:space="preserve">El 11 de marzo de 2020, la Organización Mundial de la Salud (OMS) caracterizó la enfermedad COVID-19, causada por el </w:t>
      </w:r>
      <w:r>
        <w:rPr>
          <w:rFonts w:ascii="Arial" w:hAnsi="Arial" w:cs="Arial"/>
          <w:sz w:val="22"/>
          <w:lang w:val="es-CO"/>
        </w:rPr>
        <w:t>corona</w:t>
      </w:r>
      <w:r w:rsidRPr="00FB3701">
        <w:rPr>
          <w:rFonts w:ascii="Arial" w:hAnsi="Arial" w:cs="Arial"/>
          <w:sz w:val="22"/>
          <w:lang w:val="es-CO"/>
        </w:rPr>
        <w:t>virus, como una pandemia. A</w:t>
      </w:r>
      <w:r>
        <w:rPr>
          <w:rFonts w:ascii="Arial" w:hAnsi="Arial" w:cs="Arial"/>
          <w:sz w:val="22"/>
          <w:lang w:val="es-CO"/>
        </w:rPr>
        <w:t xml:space="preserve"> la fecha (</w:t>
      </w:r>
      <w:r w:rsidR="001A1DF9">
        <w:rPr>
          <w:rFonts w:ascii="Arial" w:hAnsi="Arial" w:cs="Arial"/>
          <w:sz w:val="22"/>
          <w:lang w:val="es-CO"/>
        </w:rPr>
        <w:t>25 de noviembre</w:t>
      </w:r>
      <w:r>
        <w:rPr>
          <w:rFonts w:ascii="Arial" w:hAnsi="Arial" w:cs="Arial"/>
          <w:sz w:val="22"/>
          <w:lang w:val="es-CO"/>
        </w:rPr>
        <w:t xml:space="preserve">), se registran </w:t>
      </w:r>
      <w:r w:rsidR="001A1DF9">
        <w:rPr>
          <w:rFonts w:ascii="Arial" w:hAnsi="Arial" w:cs="Arial"/>
          <w:sz w:val="22"/>
          <w:lang w:val="es-CO"/>
        </w:rPr>
        <w:t>59.915.529</w:t>
      </w:r>
      <w:r>
        <w:rPr>
          <w:rFonts w:ascii="Arial" w:hAnsi="Arial" w:cs="Arial"/>
          <w:sz w:val="22"/>
          <w:lang w:val="es-CO"/>
        </w:rPr>
        <w:t xml:space="preserve"> </w:t>
      </w:r>
      <w:r w:rsidRPr="00FB3701">
        <w:rPr>
          <w:rFonts w:ascii="Arial" w:hAnsi="Arial" w:cs="Arial"/>
          <w:sz w:val="22"/>
          <w:lang w:val="es-CO"/>
        </w:rPr>
        <w:t xml:space="preserve">casos </w:t>
      </w:r>
      <w:r>
        <w:rPr>
          <w:rFonts w:ascii="Arial" w:hAnsi="Arial" w:cs="Arial"/>
          <w:sz w:val="22"/>
          <w:lang w:val="es-CO"/>
        </w:rPr>
        <w:t>confirmados</w:t>
      </w:r>
      <w:r w:rsidRPr="00FB3701">
        <w:rPr>
          <w:rFonts w:ascii="Arial" w:hAnsi="Arial" w:cs="Arial"/>
          <w:sz w:val="22"/>
          <w:lang w:val="es-CO"/>
        </w:rPr>
        <w:t xml:space="preserve"> en </w:t>
      </w:r>
      <w:r>
        <w:rPr>
          <w:rFonts w:ascii="Arial" w:hAnsi="Arial" w:cs="Arial"/>
          <w:sz w:val="22"/>
          <w:lang w:val="es-CO"/>
        </w:rPr>
        <w:t>el mundo</w:t>
      </w:r>
      <w:r w:rsidRPr="00FB3701">
        <w:rPr>
          <w:rFonts w:ascii="Arial" w:hAnsi="Arial" w:cs="Arial"/>
          <w:sz w:val="22"/>
          <w:lang w:val="es-CO"/>
        </w:rPr>
        <w:t xml:space="preserve">, que han resultado en </w:t>
      </w:r>
      <w:r w:rsidR="001A1DF9">
        <w:rPr>
          <w:rFonts w:ascii="Arial" w:hAnsi="Arial" w:cs="Arial"/>
          <w:sz w:val="22"/>
          <w:lang w:val="es-CO"/>
        </w:rPr>
        <w:t>1.412.556</w:t>
      </w:r>
      <w:r w:rsidRPr="00FB3701">
        <w:rPr>
          <w:rFonts w:ascii="Arial" w:hAnsi="Arial" w:cs="Arial"/>
          <w:sz w:val="22"/>
          <w:lang w:val="es-CO"/>
        </w:rPr>
        <w:t xml:space="preserve"> fallecimientos</w:t>
      </w:r>
      <w:r w:rsidRPr="00FB3701">
        <w:rPr>
          <w:rFonts w:ascii="Arial" w:hAnsi="Arial" w:cs="Arial"/>
          <w:sz w:val="22"/>
          <w:vertAlign w:val="superscript"/>
        </w:rPr>
        <w:footnoteReference w:id="3"/>
      </w:r>
      <w:r w:rsidRPr="00FB3701">
        <w:rPr>
          <w:rFonts w:ascii="Arial" w:hAnsi="Arial" w:cs="Arial"/>
          <w:sz w:val="22"/>
          <w:lang w:val="es-CO"/>
        </w:rPr>
        <w:t>. Los</w:t>
      </w:r>
      <w:r>
        <w:rPr>
          <w:rFonts w:ascii="Arial" w:hAnsi="Arial" w:cs="Arial"/>
          <w:sz w:val="22"/>
          <w:lang w:val="es-CO"/>
        </w:rPr>
        <w:t xml:space="preserve"> primeros casos en América Latina </w:t>
      </w:r>
      <w:r w:rsidRPr="00FB3701">
        <w:rPr>
          <w:rFonts w:ascii="Arial" w:hAnsi="Arial" w:cs="Arial"/>
          <w:sz w:val="22"/>
          <w:lang w:val="es-CO"/>
        </w:rPr>
        <w:t xml:space="preserve">y el Caribe (ALC) </w:t>
      </w:r>
      <w:r>
        <w:rPr>
          <w:rFonts w:ascii="Arial" w:hAnsi="Arial" w:cs="Arial"/>
          <w:sz w:val="22"/>
          <w:lang w:val="es-CO"/>
        </w:rPr>
        <w:t xml:space="preserve">se reportaron a finales de febrero y desde entonces </w:t>
      </w:r>
      <w:r w:rsidRPr="00FB3701">
        <w:rPr>
          <w:rFonts w:ascii="Arial" w:hAnsi="Arial" w:cs="Arial"/>
          <w:sz w:val="22"/>
          <w:lang w:val="es-CO"/>
        </w:rPr>
        <w:t>han crecido aceleradamente</w:t>
      </w:r>
      <w:r>
        <w:rPr>
          <w:rFonts w:ascii="Arial" w:hAnsi="Arial" w:cs="Arial"/>
          <w:sz w:val="22"/>
          <w:lang w:val="es-CO"/>
        </w:rPr>
        <w:t xml:space="preserve"> </w:t>
      </w:r>
      <w:r w:rsidRPr="00FB3701">
        <w:rPr>
          <w:rFonts w:ascii="Arial" w:hAnsi="Arial" w:cs="Arial"/>
          <w:sz w:val="22"/>
          <w:lang w:val="es-CO"/>
        </w:rPr>
        <w:t xml:space="preserve">reportándose </w:t>
      </w:r>
      <w:r w:rsidR="001A1DF9">
        <w:rPr>
          <w:rFonts w:ascii="Arial" w:hAnsi="Arial" w:cs="Arial"/>
          <w:sz w:val="22"/>
          <w:lang w:val="es-CO"/>
        </w:rPr>
        <w:t>12.607.035</w:t>
      </w:r>
      <w:r>
        <w:rPr>
          <w:rFonts w:ascii="Arial" w:hAnsi="Arial" w:cs="Arial"/>
          <w:sz w:val="22"/>
          <w:lang w:val="es-CO"/>
        </w:rPr>
        <w:t> </w:t>
      </w:r>
      <w:r w:rsidRPr="00FB3701">
        <w:rPr>
          <w:rFonts w:ascii="Arial" w:hAnsi="Arial" w:cs="Arial"/>
          <w:sz w:val="22"/>
          <w:lang w:val="es-CO"/>
        </w:rPr>
        <w:t xml:space="preserve">casos confirmados y </w:t>
      </w:r>
      <w:r w:rsidR="001A1DF9">
        <w:rPr>
          <w:rFonts w:ascii="Arial" w:hAnsi="Arial" w:cs="Arial"/>
          <w:sz w:val="22"/>
          <w:lang w:val="es-CO"/>
        </w:rPr>
        <w:t>437.979</w:t>
      </w:r>
      <w:r w:rsidRPr="00FB3701">
        <w:rPr>
          <w:rFonts w:ascii="Arial" w:hAnsi="Arial" w:cs="Arial"/>
          <w:sz w:val="22"/>
          <w:lang w:val="es-CO"/>
        </w:rPr>
        <w:t xml:space="preserve"> falleci</w:t>
      </w:r>
      <w:r>
        <w:rPr>
          <w:rFonts w:ascii="Arial" w:hAnsi="Arial" w:cs="Arial"/>
          <w:sz w:val="22"/>
          <w:lang w:val="es-CO"/>
        </w:rPr>
        <w:t>mientos</w:t>
      </w:r>
      <w:r w:rsidRPr="00FB3701">
        <w:rPr>
          <w:rFonts w:ascii="Arial" w:hAnsi="Arial" w:cs="Arial"/>
          <w:sz w:val="22"/>
          <w:vertAlign w:val="superscript"/>
        </w:rPr>
        <w:footnoteReference w:id="4"/>
      </w:r>
      <w:r w:rsidRPr="00FB3701">
        <w:rPr>
          <w:rFonts w:ascii="Arial" w:hAnsi="Arial" w:cs="Arial"/>
          <w:sz w:val="22"/>
          <w:lang w:val="es-CO"/>
        </w:rPr>
        <w:t xml:space="preserve">. En Panamá, el primer caso y muerte confirmada </w:t>
      </w:r>
      <w:r>
        <w:rPr>
          <w:rFonts w:ascii="Arial" w:hAnsi="Arial" w:cs="Arial"/>
          <w:sz w:val="22"/>
          <w:lang w:val="es-CO"/>
        </w:rPr>
        <w:t xml:space="preserve">de COVID-19 </w:t>
      </w:r>
      <w:r w:rsidRPr="00FB3701">
        <w:rPr>
          <w:rFonts w:ascii="Arial" w:hAnsi="Arial" w:cs="Arial"/>
          <w:sz w:val="22"/>
          <w:lang w:val="es-CO"/>
        </w:rPr>
        <w:t>se registr</w:t>
      </w:r>
      <w:r>
        <w:rPr>
          <w:rFonts w:ascii="Arial" w:hAnsi="Arial" w:cs="Arial"/>
          <w:sz w:val="22"/>
          <w:lang w:val="es-CO"/>
        </w:rPr>
        <w:t>ó</w:t>
      </w:r>
      <w:r w:rsidRPr="00FB3701">
        <w:rPr>
          <w:rFonts w:ascii="Arial" w:hAnsi="Arial" w:cs="Arial"/>
          <w:sz w:val="22"/>
          <w:lang w:val="es-CO"/>
        </w:rPr>
        <w:t xml:space="preserve"> el 9 de marzo</w:t>
      </w:r>
      <w:r w:rsidRPr="00FB3701">
        <w:rPr>
          <w:rFonts w:ascii="Arial" w:hAnsi="Arial" w:cs="Arial"/>
          <w:sz w:val="22"/>
          <w:vertAlign w:val="superscript"/>
        </w:rPr>
        <w:footnoteReference w:id="5"/>
      </w:r>
      <w:r>
        <w:rPr>
          <w:rFonts w:ascii="Arial" w:hAnsi="Arial" w:cs="Arial"/>
          <w:sz w:val="22"/>
          <w:lang w:val="es-CO"/>
        </w:rPr>
        <w:t>. A</w:t>
      </w:r>
      <w:r w:rsidRPr="00FB3701">
        <w:rPr>
          <w:rFonts w:ascii="Arial" w:hAnsi="Arial" w:cs="Arial"/>
          <w:sz w:val="22"/>
          <w:lang w:val="es-CO"/>
        </w:rPr>
        <w:t xml:space="preserve">l </w:t>
      </w:r>
      <w:r>
        <w:rPr>
          <w:rFonts w:ascii="Arial" w:hAnsi="Arial" w:cs="Arial"/>
          <w:sz w:val="22"/>
          <w:lang w:val="es-CO"/>
        </w:rPr>
        <w:t>2</w:t>
      </w:r>
      <w:r w:rsidR="001A1DF9">
        <w:rPr>
          <w:rFonts w:ascii="Arial" w:hAnsi="Arial" w:cs="Arial"/>
          <w:sz w:val="22"/>
          <w:lang w:val="es-CO"/>
        </w:rPr>
        <w:t>5</w:t>
      </w:r>
      <w:r w:rsidRPr="00FB3701">
        <w:rPr>
          <w:rFonts w:ascii="Arial" w:hAnsi="Arial" w:cs="Arial"/>
          <w:sz w:val="22"/>
          <w:lang w:val="es-CO"/>
        </w:rPr>
        <w:t xml:space="preserve"> de </w:t>
      </w:r>
      <w:r w:rsidR="001A1DF9">
        <w:rPr>
          <w:rFonts w:ascii="Arial" w:hAnsi="Arial" w:cs="Arial"/>
          <w:sz w:val="22"/>
          <w:lang w:val="es-CO"/>
        </w:rPr>
        <w:t>noviembre</w:t>
      </w:r>
      <w:r w:rsidRPr="00FB3701">
        <w:rPr>
          <w:rFonts w:ascii="Arial" w:hAnsi="Arial" w:cs="Arial"/>
          <w:sz w:val="22"/>
          <w:lang w:val="es-CO"/>
        </w:rPr>
        <w:t xml:space="preserve">, había </w:t>
      </w:r>
      <w:r w:rsidR="001A1DF9">
        <w:rPr>
          <w:rFonts w:ascii="Arial" w:hAnsi="Arial" w:cs="Arial"/>
          <w:sz w:val="22"/>
          <w:lang w:val="es-CO"/>
        </w:rPr>
        <w:t>156.930</w:t>
      </w:r>
      <w:r w:rsidRPr="00FB3701">
        <w:rPr>
          <w:rFonts w:ascii="Arial" w:hAnsi="Arial" w:cs="Arial"/>
          <w:sz w:val="22"/>
          <w:lang w:val="es-CO"/>
        </w:rPr>
        <w:t xml:space="preserve"> casos confirmados y un total de </w:t>
      </w:r>
      <w:r>
        <w:rPr>
          <w:rFonts w:ascii="Arial" w:hAnsi="Arial" w:cs="Arial"/>
          <w:sz w:val="22"/>
          <w:lang w:val="es-CO"/>
        </w:rPr>
        <w:t>2.</w:t>
      </w:r>
      <w:r w:rsidR="001A1DF9">
        <w:rPr>
          <w:rFonts w:ascii="Arial" w:hAnsi="Arial" w:cs="Arial"/>
          <w:sz w:val="22"/>
          <w:lang w:val="es-CO"/>
        </w:rPr>
        <w:t>986</w:t>
      </w:r>
      <w:r w:rsidRPr="00FB3701">
        <w:rPr>
          <w:rFonts w:ascii="Arial" w:hAnsi="Arial" w:cs="Arial"/>
          <w:sz w:val="22"/>
          <w:lang w:val="es-CO"/>
        </w:rPr>
        <w:t xml:space="preserve"> defunciones</w:t>
      </w:r>
      <w:r w:rsidRPr="00FB3701">
        <w:rPr>
          <w:rFonts w:ascii="Arial" w:hAnsi="Arial" w:cs="Arial"/>
          <w:sz w:val="22"/>
          <w:vertAlign w:val="superscript"/>
        </w:rPr>
        <w:footnoteReference w:id="6"/>
      </w:r>
      <w:r w:rsidRPr="00FB3701">
        <w:rPr>
          <w:rFonts w:ascii="Arial" w:hAnsi="Arial" w:cs="Arial"/>
          <w:sz w:val="22"/>
          <w:lang w:val="es-CO"/>
        </w:rPr>
        <w:t>.</w:t>
      </w:r>
      <w:r>
        <w:rPr>
          <w:rFonts w:ascii="Arial" w:hAnsi="Arial" w:cs="Arial"/>
          <w:sz w:val="22"/>
          <w:lang w:val="es-CO"/>
        </w:rPr>
        <w:t xml:space="preserve"> </w:t>
      </w:r>
      <w:r w:rsidRPr="00456FE4">
        <w:rPr>
          <w:rFonts w:ascii="Arial" w:hAnsi="Arial" w:cs="Arial"/>
          <w:sz w:val="22"/>
          <w:lang w:val="es-ES"/>
        </w:rPr>
        <w:t xml:space="preserve"> </w:t>
      </w:r>
    </w:p>
    <w:p w14:paraId="181C7F5C" w14:textId="17DC4456" w:rsidR="00B461C3" w:rsidRPr="00B461C3" w:rsidRDefault="00B461C3" w:rsidP="00FE62C5">
      <w:pPr>
        <w:pStyle w:val="Paragraph"/>
        <w:tabs>
          <w:tab w:val="left" w:pos="720"/>
        </w:tabs>
        <w:ind w:left="0" w:firstLine="0"/>
        <w:rPr>
          <w:rFonts w:ascii="Arial" w:hAnsi="Arial" w:cs="Arial"/>
          <w:sz w:val="22"/>
          <w:highlight w:val="yellow"/>
          <w:lang w:val="es-ES"/>
        </w:rPr>
      </w:pPr>
      <w:r w:rsidRPr="00A405B7">
        <w:rPr>
          <w:rFonts w:ascii="Arial" w:eastAsia="Arial" w:hAnsi="Arial"/>
          <w:sz w:val="22"/>
          <w:lang w:val="es-CO"/>
        </w:rPr>
        <w:t>La incidencia y mortalidad por</w:t>
      </w:r>
      <w:r w:rsidRPr="00A405B7">
        <w:rPr>
          <w:rFonts w:ascii="Arial" w:hAnsi="Arial" w:cs="Arial"/>
          <w:sz w:val="22"/>
          <w:lang w:val="es-CO"/>
        </w:rPr>
        <w:t xml:space="preserve"> COVID-19</w:t>
      </w:r>
      <w:r w:rsidRPr="00A405B7">
        <w:rPr>
          <w:rFonts w:ascii="Arial" w:eastAsia="Arial" w:hAnsi="Arial"/>
          <w:sz w:val="22"/>
          <w:lang w:val="es-CO"/>
        </w:rPr>
        <w:t xml:space="preserve"> </w:t>
      </w:r>
      <w:r w:rsidRPr="00A405B7">
        <w:rPr>
          <w:rFonts w:ascii="Arial" w:hAnsi="Arial" w:cs="Arial"/>
          <w:sz w:val="22"/>
          <w:lang w:val="es-CO"/>
        </w:rPr>
        <w:t>aumentaron aceleradamente en Panamá hasta alcanzar un pico en el mes de julio, con un promedio de 1.023 casos y 25 fallecimientos diarios</w:t>
      </w:r>
      <w:r w:rsidRPr="00A405B7">
        <w:rPr>
          <w:rStyle w:val="FootnoteReference"/>
          <w:rFonts w:ascii="Arial" w:hAnsi="Arial" w:cs="Arial"/>
          <w:sz w:val="22"/>
          <w:lang w:val="es-CO"/>
        </w:rPr>
        <w:footnoteReference w:id="7"/>
      </w:r>
      <w:r w:rsidRPr="00A405B7">
        <w:rPr>
          <w:rFonts w:ascii="Arial" w:hAnsi="Arial" w:cs="Arial"/>
          <w:sz w:val="22"/>
          <w:lang w:val="es-CO"/>
        </w:rPr>
        <w:t>. A pesar de una disminución progresiva de casos a partir de agosto</w:t>
      </w:r>
      <w:r w:rsidRPr="00A405B7">
        <w:rPr>
          <w:rStyle w:val="FootnoteReference"/>
          <w:rFonts w:ascii="Arial" w:hAnsi="Arial" w:cs="Arial"/>
          <w:sz w:val="22"/>
          <w:lang w:val="es-CO"/>
        </w:rPr>
        <w:footnoteReference w:id="8"/>
      </w:r>
      <w:r w:rsidRPr="00A405B7">
        <w:rPr>
          <w:rFonts w:ascii="Arial" w:hAnsi="Arial" w:cs="Arial"/>
          <w:sz w:val="22"/>
          <w:lang w:val="es-CO"/>
        </w:rPr>
        <w:t xml:space="preserve">, el país mantiene la mayor tasa de infección por COVID-19 en ALC con </w:t>
      </w:r>
      <w:r w:rsidR="00DD7EE0">
        <w:rPr>
          <w:rFonts w:ascii="Arial" w:hAnsi="Arial" w:cs="Arial"/>
          <w:sz w:val="22"/>
          <w:lang w:val="es-CO"/>
        </w:rPr>
        <w:t>3.695</w:t>
      </w:r>
      <w:r w:rsidRPr="00A405B7">
        <w:rPr>
          <w:rFonts w:ascii="Arial" w:hAnsi="Arial" w:cs="Arial"/>
          <w:sz w:val="22"/>
          <w:lang w:val="es-CO"/>
        </w:rPr>
        <w:t xml:space="preserve"> casos por cada 100 mil habitantes y la tasa más</w:t>
      </w:r>
      <w:r w:rsidRPr="00E07E65">
        <w:rPr>
          <w:rFonts w:ascii="Arial" w:hAnsi="Arial" w:cs="Arial"/>
          <w:sz w:val="22"/>
          <w:lang w:val="es-CO"/>
        </w:rPr>
        <w:t xml:space="preserve"> alta de mortalidad en Centroamérica (60,9 por 100 mil habitantes)</w:t>
      </w:r>
      <w:r>
        <w:rPr>
          <w:rStyle w:val="FootnoteReference"/>
          <w:rFonts w:ascii="Arial" w:hAnsi="Arial" w:cs="Arial"/>
          <w:sz w:val="22"/>
          <w:lang w:val="es-CO"/>
        </w:rPr>
        <w:footnoteReference w:id="9"/>
      </w:r>
      <w:r w:rsidRPr="00E07E65">
        <w:rPr>
          <w:rFonts w:ascii="Arial" w:hAnsi="Arial" w:cs="Arial"/>
          <w:sz w:val="22"/>
          <w:lang w:val="es-CO"/>
        </w:rPr>
        <w:t xml:space="preserve">. </w:t>
      </w:r>
      <w:r>
        <w:rPr>
          <w:rFonts w:ascii="Arial" w:hAnsi="Arial" w:cs="Arial"/>
          <w:sz w:val="22"/>
          <w:lang w:val="es-CO"/>
        </w:rPr>
        <w:t>El</w:t>
      </w:r>
      <w:r w:rsidRPr="00E32418">
        <w:rPr>
          <w:rFonts w:ascii="Arial" w:hAnsi="Arial" w:cs="Arial"/>
          <w:sz w:val="22"/>
          <w:lang w:val="es-CO"/>
        </w:rPr>
        <w:t xml:space="preserve"> GP </w:t>
      </w:r>
      <w:r>
        <w:rPr>
          <w:rFonts w:ascii="Arial" w:hAnsi="Arial" w:cs="Arial"/>
          <w:sz w:val="22"/>
          <w:lang w:val="es-CO"/>
        </w:rPr>
        <w:t xml:space="preserve">implementó una rigurosa respuesta de salud pública para enfrentar la pandemia, que incluyó la </w:t>
      </w:r>
      <w:r w:rsidRPr="00E32418">
        <w:rPr>
          <w:rFonts w:ascii="Arial" w:hAnsi="Arial" w:cs="Arial"/>
          <w:sz w:val="22"/>
          <w:lang w:val="es-CO"/>
        </w:rPr>
        <w:t>declar</w:t>
      </w:r>
      <w:r>
        <w:rPr>
          <w:rFonts w:ascii="Arial" w:hAnsi="Arial" w:cs="Arial"/>
          <w:sz w:val="22"/>
          <w:lang w:val="es-CO"/>
        </w:rPr>
        <w:t xml:space="preserve">ación de un </w:t>
      </w:r>
      <w:r w:rsidRPr="00E32418">
        <w:rPr>
          <w:rFonts w:ascii="Arial" w:hAnsi="Arial" w:cs="Arial"/>
          <w:sz w:val="22"/>
          <w:lang w:val="es-CO"/>
        </w:rPr>
        <w:t>estado de emergencia nacional</w:t>
      </w:r>
      <w:r w:rsidRPr="00FB3701">
        <w:rPr>
          <w:rFonts w:ascii="Arial" w:hAnsi="Arial" w:cs="Arial"/>
          <w:sz w:val="22"/>
          <w:vertAlign w:val="superscript"/>
        </w:rPr>
        <w:footnoteReference w:id="10"/>
      </w:r>
      <w:r>
        <w:rPr>
          <w:rFonts w:ascii="Arial" w:hAnsi="Arial" w:cs="Arial"/>
          <w:sz w:val="22"/>
          <w:lang w:val="es-CO"/>
        </w:rPr>
        <w:t>,</w:t>
      </w:r>
      <w:r w:rsidRPr="00E32418">
        <w:rPr>
          <w:rFonts w:ascii="Arial" w:hAnsi="Arial" w:cs="Arial"/>
          <w:sz w:val="22"/>
          <w:lang w:val="es-CO"/>
        </w:rPr>
        <w:t xml:space="preserve"> </w:t>
      </w:r>
      <w:r>
        <w:rPr>
          <w:rFonts w:ascii="Arial" w:hAnsi="Arial" w:cs="Arial"/>
          <w:sz w:val="22"/>
          <w:lang w:val="es-CO"/>
        </w:rPr>
        <w:t xml:space="preserve">medidas de restricción a la movilidad, y el cierre temporal de escuelas, establecimientos comerciales y </w:t>
      </w:r>
      <w:r w:rsidRPr="00E32418">
        <w:rPr>
          <w:rFonts w:ascii="Arial" w:hAnsi="Arial" w:cs="Arial"/>
          <w:sz w:val="22"/>
          <w:lang w:val="es-CO"/>
        </w:rPr>
        <w:t>empresas no esenciales</w:t>
      </w:r>
      <w:r>
        <w:rPr>
          <w:rStyle w:val="FootnoteReference"/>
          <w:rFonts w:ascii="Arial" w:hAnsi="Arial" w:cs="Arial"/>
          <w:sz w:val="22"/>
          <w:lang w:val="es-CO"/>
        </w:rPr>
        <w:footnoteReference w:id="11"/>
      </w:r>
      <w:r>
        <w:rPr>
          <w:rFonts w:ascii="Arial" w:hAnsi="Arial" w:cs="Arial"/>
          <w:sz w:val="22"/>
          <w:lang w:val="es-CO"/>
        </w:rPr>
        <w:t xml:space="preserve">. </w:t>
      </w:r>
    </w:p>
    <w:p w14:paraId="184EA5E5" w14:textId="225C3238" w:rsidR="00B461C3" w:rsidRPr="00B461C3" w:rsidRDefault="00B461C3" w:rsidP="004F77A0">
      <w:pPr>
        <w:pStyle w:val="Paragraph"/>
        <w:tabs>
          <w:tab w:val="left" w:pos="720"/>
        </w:tabs>
        <w:ind w:left="0" w:firstLine="0"/>
        <w:rPr>
          <w:rFonts w:ascii="Arial" w:hAnsi="Arial" w:cs="Arial"/>
          <w:sz w:val="22"/>
          <w:lang w:val="es-ES"/>
        </w:rPr>
      </w:pPr>
      <w:r w:rsidRPr="00B461C3">
        <w:rPr>
          <w:rFonts w:ascii="Arial" w:hAnsi="Arial" w:cs="Arial"/>
          <w:sz w:val="22"/>
          <w:lang w:val="es-ES"/>
        </w:rPr>
        <w:t xml:space="preserve">Aunque a partir de mayo inició la restauración gradual de la movilidad ciudadana y la </w:t>
      </w:r>
      <w:r w:rsidRPr="006D124B">
        <w:rPr>
          <w:rFonts w:ascii="Arial" w:hAnsi="Arial" w:cs="Arial"/>
          <w:sz w:val="22"/>
          <w:lang w:val="es-CO"/>
        </w:rPr>
        <w:t>apertura económica</w:t>
      </w:r>
      <w:r>
        <w:rPr>
          <w:rFonts w:ascii="Arial" w:hAnsi="Arial" w:cs="Arial"/>
          <w:sz w:val="22"/>
          <w:lang w:val="es-CO"/>
        </w:rPr>
        <w:t>, l</w:t>
      </w:r>
      <w:r w:rsidRPr="006D124B">
        <w:rPr>
          <w:rFonts w:ascii="Arial" w:hAnsi="Arial" w:cs="Arial"/>
          <w:sz w:val="22"/>
          <w:lang w:val="es-CO"/>
        </w:rPr>
        <w:t>a</w:t>
      </w:r>
      <w:r>
        <w:rPr>
          <w:rFonts w:ascii="Arial" w:hAnsi="Arial" w:cs="Arial"/>
          <w:sz w:val="22"/>
          <w:lang w:val="es-CO"/>
        </w:rPr>
        <w:t>s medidas para contener la propagación del COVID-19 generaron una reducción drástica de la actividad económica. Los ingresos corrientes del GP cayeron</w:t>
      </w:r>
      <w:r w:rsidRPr="00B461C3">
        <w:rPr>
          <w:rFonts w:ascii="Arial" w:hAnsi="Arial" w:cs="Arial"/>
          <w:sz w:val="22"/>
          <w:lang w:val="es-ES"/>
        </w:rPr>
        <w:t xml:space="preserve"> 34% en los primeros nueve meses del año respecto de la recaudación programada</w:t>
      </w:r>
      <w:r>
        <w:rPr>
          <w:rStyle w:val="FootnoteReference"/>
          <w:rFonts w:ascii="Arial" w:hAnsi="Arial" w:cs="Arial"/>
          <w:sz w:val="22"/>
        </w:rPr>
        <w:footnoteReference w:id="12"/>
      </w:r>
      <w:r w:rsidRPr="00B461C3">
        <w:rPr>
          <w:rFonts w:ascii="Arial" w:hAnsi="Arial" w:cs="Arial"/>
          <w:sz w:val="22"/>
          <w:lang w:val="es-ES"/>
        </w:rPr>
        <w:t>. Según proyecciones del Fondo Monetario Internacional (FMI), la reducción del Producto Interno Bruto (PIB) será de 9%,</w:t>
      </w:r>
      <w:r>
        <w:rPr>
          <w:rStyle w:val="FootnoteReference"/>
          <w:rFonts w:ascii="Arial" w:hAnsi="Arial" w:cs="Arial"/>
          <w:sz w:val="22"/>
        </w:rPr>
        <w:footnoteReference w:id="13"/>
      </w:r>
      <w:r w:rsidRPr="00B461C3">
        <w:rPr>
          <w:rFonts w:ascii="Arial" w:hAnsi="Arial" w:cs="Arial"/>
          <w:sz w:val="22"/>
          <w:lang w:val="es-ES"/>
        </w:rPr>
        <w:t xml:space="preserve"> </w:t>
      </w:r>
      <w:r w:rsidRPr="00B461C3">
        <w:rPr>
          <w:rFonts w:ascii="Arial" w:eastAsia="Arial" w:hAnsi="Arial" w:cs="Arial"/>
          <w:sz w:val="22"/>
          <w:lang w:val="es-ES"/>
        </w:rPr>
        <w:t xml:space="preserve">afectando negativamente los ingresos de la población, particularmente </w:t>
      </w:r>
      <w:r w:rsidR="000E7137">
        <w:rPr>
          <w:rFonts w:ascii="Arial" w:eastAsia="Arial" w:hAnsi="Arial" w:cs="Arial"/>
          <w:sz w:val="22"/>
          <w:lang w:val="es-ES"/>
        </w:rPr>
        <w:t>los de</w:t>
      </w:r>
      <w:r w:rsidRPr="00B461C3">
        <w:rPr>
          <w:rFonts w:ascii="Arial" w:eastAsia="Arial" w:hAnsi="Arial" w:cs="Arial"/>
          <w:sz w:val="22"/>
          <w:lang w:val="es-ES"/>
        </w:rPr>
        <w:t xml:space="preserve"> los grupos más pobres, que dependen de sus actividades laborales, en gran parte informales, para sustentar su consumo. Los trabajadores del sector formal y no formal enfrentan dificultades para mantener los niveles de empleo o ingresos previos a la crisis. </w:t>
      </w:r>
      <w:r w:rsidRPr="00B461C3">
        <w:rPr>
          <w:rFonts w:ascii="Arial" w:hAnsi="Arial" w:cs="Arial"/>
          <w:sz w:val="22"/>
          <w:lang w:val="es-ES"/>
        </w:rPr>
        <w:t xml:space="preserve">Al 8 de octubre, </w:t>
      </w:r>
      <w:r w:rsidR="00A25355" w:rsidRPr="00B461C3">
        <w:rPr>
          <w:rFonts w:ascii="Arial" w:hAnsi="Arial" w:cs="Arial"/>
          <w:sz w:val="22"/>
          <w:lang w:val="es-ES"/>
        </w:rPr>
        <w:t>20.220 empresas habían</w:t>
      </w:r>
      <w:r w:rsidRPr="00B461C3">
        <w:rPr>
          <w:rFonts w:ascii="Arial" w:hAnsi="Arial" w:cs="Arial"/>
          <w:sz w:val="22"/>
          <w:lang w:val="es-ES"/>
        </w:rPr>
        <w:t xml:space="preserve"> suspendido los contratos y la remuneración de 282.184 trabajadores formales al declararse su cierre temporal</w:t>
      </w:r>
      <w:r w:rsidRPr="00FA6EA3">
        <w:rPr>
          <w:rFonts w:ascii="Arial" w:hAnsi="Arial" w:cs="Arial"/>
          <w:sz w:val="22"/>
          <w:vertAlign w:val="superscript"/>
          <w:lang w:val="es-CO"/>
        </w:rPr>
        <w:footnoteReference w:id="14"/>
      </w:r>
      <w:r w:rsidRPr="00B461C3">
        <w:rPr>
          <w:rFonts w:ascii="Arial" w:hAnsi="Arial" w:cs="Arial"/>
          <w:sz w:val="22"/>
          <w:lang w:val="es-ES"/>
        </w:rPr>
        <w:t xml:space="preserve">. </w:t>
      </w:r>
      <w:r w:rsidRPr="00BC32B1">
        <w:rPr>
          <w:rFonts w:ascii="Arial" w:hAnsi="Arial" w:cs="Arial"/>
          <w:sz w:val="22"/>
          <w:lang w:val="es-CO"/>
        </w:rPr>
        <w:t xml:space="preserve">De acuerdo con el Ministerio de Trabajo y </w:t>
      </w:r>
      <w:r w:rsidRPr="00BC32B1">
        <w:rPr>
          <w:rFonts w:ascii="Arial" w:hAnsi="Arial" w:cs="Arial"/>
          <w:sz w:val="22"/>
          <w:lang w:val="es-CO"/>
        </w:rPr>
        <w:lastRenderedPageBreak/>
        <w:t xml:space="preserve">Desarrollo Laboral (MITRADEL), </w:t>
      </w:r>
      <w:r w:rsidRPr="00B461C3">
        <w:rPr>
          <w:rFonts w:ascii="Arial" w:hAnsi="Arial" w:cs="Arial"/>
          <w:sz w:val="22"/>
          <w:lang w:val="es-ES"/>
        </w:rPr>
        <w:t>la tasa de desempleo podría aumentar este año 17,9 puntos porcentuales (de 7,1% a 25% de 2019 a 2020).</w:t>
      </w:r>
      <w:r>
        <w:rPr>
          <w:rStyle w:val="FootnoteReference"/>
          <w:rFonts w:ascii="Arial" w:hAnsi="Arial" w:cs="Arial"/>
          <w:sz w:val="22"/>
          <w:lang w:val="es-CO"/>
        </w:rPr>
        <w:footnoteReference w:id="15"/>
      </w:r>
      <w:r w:rsidRPr="00B461C3">
        <w:rPr>
          <w:rFonts w:ascii="Arial" w:hAnsi="Arial" w:cs="Arial"/>
          <w:sz w:val="22"/>
          <w:lang w:val="es-ES"/>
        </w:rPr>
        <w:t xml:space="preserve"> </w:t>
      </w:r>
      <w:r w:rsidRPr="00E76C24">
        <w:rPr>
          <w:rFonts w:ascii="Arial" w:hAnsi="Arial" w:cs="Arial"/>
          <w:sz w:val="22"/>
          <w:lang w:val="es-CO"/>
        </w:rPr>
        <w:t>A su vez, los trabajadores del sector no formal</w:t>
      </w:r>
      <w:r>
        <w:rPr>
          <w:rFonts w:ascii="Arial" w:hAnsi="Arial" w:cs="Arial"/>
          <w:sz w:val="22"/>
          <w:lang w:val="es-CO"/>
        </w:rPr>
        <w:t>, que</w:t>
      </w:r>
      <w:r w:rsidRPr="00E76C24">
        <w:rPr>
          <w:rFonts w:ascii="Arial" w:hAnsi="Arial" w:cs="Arial"/>
          <w:sz w:val="22"/>
          <w:lang w:val="es-CO"/>
        </w:rPr>
        <w:t xml:space="preserve"> representan </w:t>
      </w:r>
      <w:r>
        <w:rPr>
          <w:rFonts w:ascii="Arial" w:hAnsi="Arial" w:cs="Arial"/>
          <w:sz w:val="22"/>
          <w:lang w:val="es-CO"/>
        </w:rPr>
        <w:t>el</w:t>
      </w:r>
      <w:r w:rsidRPr="00E76C24">
        <w:rPr>
          <w:rFonts w:ascii="Arial" w:hAnsi="Arial" w:cs="Arial"/>
          <w:sz w:val="22"/>
          <w:lang w:val="es-CO"/>
        </w:rPr>
        <w:t xml:space="preserve"> </w:t>
      </w:r>
      <w:r w:rsidRPr="00B461C3">
        <w:rPr>
          <w:rFonts w:ascii="Arial" w:hAnsi="Arial" w:cs="Arial"/>
          <w:sz w:val="22"/>
          <w:lang w:val="es-ES"/>
        </w:rPr>
        <w:t xml:space="preserve">44,9% </w:t>
      </w:r>
      <w:r w:rsidRPr="00971E02">
        <w:rPr>
          <w:rFonts w:ascii="Arial" w:hAnsi="Arial" w:cs="Arial"/>
          <w:sz w:val="22"/>
          <w:lang w:val="es-CO"/>
        </w:rPr>
        <w:t xml:space="preserve">de la población </w:t>
      </w:r>
      <w:r>
        <w:rPr>
          <w:rFonts w:ascii="Arial" w:hAnsi="Arial" w:cs="Arial"/>
          <w:sz w:val="22"/>
          <w:lang w:val="es-CO"/>
        </w:rPr>
        <w:t>económicamente activa</w:t>
      </w:r>
      <w:r>
        <w:rPr>
          <w:rStyle w:val="FootnoteReference"/>
          <w:rFonts w:ascii="Arial" w:hAnsi="Arial" w:cs="Arial"/>
          <w:sz w:val="22"/>
          <w:lang w:val="es-CO"/>
        </w:rPr>
        <w:footnoteReference w:id="16"/>
      </w:r>
      <w:r>
        <w:rPr>
          <w:rFonts w:ascii="Arial" w:hAnsi="Arial" w:cs="Arial"/>
          <w:sz w:val="22"/>
          <w:lang w:val="es-CO"/>
        </w:rPr>
        <w:t>,</w:t>
      </w:r>
      <w:r w:rsidRPr="00E76C24">
        <w:rPr>
          <w:rFonts w:ascii="Arial" w:hAnsi="Arial" w:cs="Arial"/>
          <w:sz w:val="22"/>
          <w:lang w:val="es-CO"/>
        </w:rPr>
        <w:t xml:space="preserve"> </w:t>
      </w:r>
      <w:r>
        <w:rPr>
          <w:rFonts w:ascii="Arial" w:hAnsi="Arial" w:cs="Arial"/>
          <w:sz w:val="22"/>
          <w:lang w:val="es-CO"/>
        </w:rPr>
        <w:t xml:space="preserve">se encuentran en situación de alta vulnerabilidad frente a </w:t>
      </w:r>
      <w:r w:rsidRPr="00E76C24">
        <w:rPr>
          <w:rFonts w:ascii="Arial" w:hAnsi="Arial" w:cs="Arial"/>
          <w:sz w:val="22"/>
          <w:lang w:val="es-CO"/>
        </w:rPr>
        <w:t>choques económicos.</w:t>
      </w:r>
      <w:bookmarkStart w:id="0" w:name="_Hlk54605216"/>
      <w:r w:rsidRPr="00B461C3">
        <w:rPr>
          <w:rFonts w:ascii="Arial" w:eastAsia="Arial" w:hAnsi="Arial" w:cs="Arial"/>
          <w:sz w:val="22"/>
          <w:lang w:val="es-ES"/>
        </w:rPr>
        <w:t xml:space="preserve"> Debido a la situación actual, el BID</w:t>
      </w:r>
      <w:r w:rsidRPr="00BC32B1">
        <w:rPr>
          <w:rFonts w:ascii="Arial" w:hAnsi="Arial" w:cs="Arial"/>
          <w:sz w:val="22"/>
          <w:lang w:val="es-CO"/>
        </w:rPr>
        <w:t xml:space="preserve"> prevé que el número de personas que viven en condición de pobreza (extrema y moderada) en Panamá se incremente hasta en 311,300 personas (7,7 puntos porcentuales)</w:t>
      </w:r>
      <w:r>
        <w:rPr>
          <w:rStyle w:val="FootnoteReference"/>
          <w:rFonts w:ascii="Arial" w:hAnsi="Arial" w:cs="Arial"/>
          <w:sz w:val="22"/>
          <w:lang w:val="es-CO"/>
        </w:rPr>
        <w:footnoteReference w:id="17"/>
      </w:r>
      <w:r w:rsidRPr="00BC32B1">
        <w:rPr>
          <w:rFonts w:ascii="Arial" w:hAnsi="Arial" w:cs="Arial"/>
          <w:sz w:val="22"/>
          <w:lang w:val="es-CO"/>
        </w:rPr>
        <w:t>.</w:t>
      </w:r>
      <w:bookmarkEnd w:id="0"/>
    </w:p>
    <w:p w14:paraId="1C3F01E2" w14:textId="77777777" w:rsidR="00B461C3" w:rsidRPr="00B461C3" w:rsidRDefault="00B461C3" w:rsidP="00216251">
      <w:pPr>
        <w:pStyle w:val="Paragraph"/>
        <w:tabs>
          <w:tab w:val="left" w:pos="720"/>
        </w:tabs>
        <w:ind w:left="0" w:firstLine="0"/>
        <w:rPr>
          <w:rFonts w:ascii="Arial" w:hAnsi="Arial" w:cs="Arial"/>
          <w:sz w:val="22"/>
          <w:lang w:val="es-ES"/>
        </w:rPr>
      </w:pPr>
      <w:r w:rsidRPr="00B461C3">
        <w:rPr>
          <w:rFonts w:ascii="Arial" w:eastAsia="Arial" w:hAnsi="Arial" w:cs="Arial"/>
          <w:sz w:val="22"/>
          <w:lang w:val="es-ES"/>
        </w:rPr>
        <w:t>Las mujeres, personas con discapacidad y los pueblos indígenas son más vulnerables a los impactos adversos de la pandemia anteriormente mencionados, ya que, aun antes de la crisis, enfrentaban mayores dificultades en el mercado laboral. Por un lado, las mujeres presentan una tasa de participación laboral inferior a la de los hombres (51% y 72%, respectivamente) lo que se traduce en 750 mil mujeres en edad de trabajar que se encuentran ausentes del mercado laboral</w:t>
      </w:r>
      <w:r>
        <w:rPr>
          <w:rStyle w:val="FootnoteReference"/>
          <w:rFonts w:ascii="Arial" w:eastAsia="Arial" w:hAnsi="Arial" w:cs="Arial"/>
          <w:sz w:val="22"/>
        </w:rPr>
        <w:footnoteReference w:id="18"/>
      </w:r>
      <w:r w:rsidRPr="00B461C3">
        <w:rPr>
          <w:rFonts w:ascii="Arial" w:eastAsia="Arial" w:hAnsi="Arial" w:cs="Arial"/>
          <w:sz w:val="22"/>
          <w:lang w:val="es-ES"/>
        </w:rPr>
        <w:t>. Por otro lado, antes de la pandemia, la tasa de desempleo de las mujeres en Panamá (8,8%) ya era superior respecto a la de los hombres (5,8%) y al promedio nacional</w:t>
      </w:r>
      <w:r w:rsidRPr="00FF1BA7">
        <w:rPr>
          <w:rStyle w:val="FootnoteReference"/>
          <w:rFonts w:ascii="Arial" w:eastAsia="Arial" w:hAnsi="Arial" w:cs="Arial"/>
          <w:sz w:val="22"/>
        </w:rPr>
        <w:footnoteReference w:id="19"/>
      </w:r>
      <w:r w:rsidRPr="00B461C3">
        <w:rPr>
          <w:rFonts w:ascii="Arial" w:eastAsia="Arial" w:hAnsi="Arial" w:cs="Arial"/>
          <w:sz w:val="22"/>
          <w:lang w:val="es-ES"/>
        </w:rPr>
        <w:t>.</w:t>
      </w:r>
      <w:r w:rsidRPr="005853E3">
        <w:rPr>
          <w:rFonts w:ascii="Arial" w:hAnsi="Arial" w:cs="Arial"/>
          <w:sz w:val="22"/>
          <w:lang w:val="es-CO"/>
        </w:rPr>
        <w:t xml:space="preserve"> </w:t>
      </w:r>
      <w:r>
        <w:rPr>
          <w:rFonts w:ascii="Arial" w:hAnsi="Arial" w:cs="Arial"/>
          <w:sz w:val="22"/>
          <w:lang w:val="es-CO"/>
        </w:rPr>
        <w:t>Finalmente, la brecha salarial de género se encuentra en torno al 11%</w:t>
      </w:r>
      <w:r>
        <w:rPr>
          <w:rStyle w:val="FootnoteReference"/>
          <w:rFonts w:ascii="Arial" w:hAnsi="Arial" w:cs="Arial"/>
          <w:sz w:val="22"/>
          <w:lang w:val="es-CO"/>
        </w:rPr>
        <w:footnoteReference w:id="20"/>
      </w:r>
      <w:r>
        <w:rPr>
          <w:rFonts w:ascii="Arial" w:hAnsi="Arial" w:cs="Arial"/>
          <w:sz w:val="22"/>
          <w:lang w:val="es-CO"/>
        </w:rPr>
        <w:t>.</w:t>
      </w:r>
      <w:r w:rsidRPr="005853E3">
        <w:rPr>
          <w:rFonts w:ascii="Arial" w:hAnsi="Arial" w:cs="Arial"/>
          <w:sz w:val="22"/>
          <w:lang w:val="es-CO"/>
        </w:rPr>
        <w:t> </w:t>
      </w:r>
      <w:r w:rsidRPr="00B461C3">
        <w:rPr>
          <w:rFonts w:ascii="Arial" w:hAnsi="Arial" w:cs="Arial"/>
          <w:sz w:val="22"/>
          <w:lang w:val="es-ES"/>
        </w:rPr>
        <w:t>Las personas con discapacidad tienen mayor riesgo de desarrollar complicaciones por condiciones subyacentes de salud</w:t>
      </w:r>
      <w:r w:rsidRPr="00E72B03">
        <w:rPr>
          <w:rStyle w:val="FootnoteReference"/>
          <w:rFonts w:ascii="Arial" w:hAnsi="Arial" w:cs="Arial"/>
          <w:sz w:val="22"/>
        </w:rPr>
        <w:footnoteReference w:id="21"/>
      </w:r>
      <w:r w:rsidRPr="00B461C3">
        <w:rPr>
          <w:rFonts w:ascii="Arial" w:hAnsi="Arial" w:cs="Arial"/>
          <w:sz w:val="22"/>
          <w:lang w:val="es-ES"/>
        </w:rPr>
        <w:t xml:space="preserve"> y pueden ser mayormente afectados económicamente por su sobre representación entre la población en situación de pobreza</w:t>
      </w:r>
      <w:r>
        <w:rPr>
          <w:rStyle w:val="FootnoteReference"/>
          <w:rFonts w:ascii="Arial" w:hAnsi="Arial" w:cs="Arial"/>
          <w:sz w:val="22"/>
        </w:rPr>
        <w:footnoteReference w:id="22"/>
      </w:r>
      <w:r w:rsidRPr="00B461C3">
        <w:rPr>
          <w:rFonts w:ascii="Arial" w:hAnsi="Arial" w:cs="Arial"/>
          <w:sz w:val="22"/>
          <w:lang w:val="es-ES"/>
        </w:rPr>
        <w:t xml:space="preserve">. </w:t>
      </w:r>
      <w:r>
        <w:rPr>
          <w:rStyle w:val="normaltextrun"/>
          <w:rFonts w:ascii="Arial" w:hAnsi="Arial" w:cs="Arial"/>
          <w:color w:val="000000"/>
          <w:sz w:val="22"/>
          <w:shd w:val="clear" w:color="auto" w:fill="FFFFFF"/>
          <w:lang w:val="es-CO"/>
        </w:rPr>
        <w:t>En las comarcas </w:t>
      </w:r>
      <w:r>
        <w:rPr>
          <w:rStyle w:val="findhit"/>
          <w:sz w:val="22"/>
          <w:shd w:val="clear" w:color="auto" w:fill="FFFFFF"/>
          <w:lang w:val="es-CO"/>
        </w:rPr>
        <w:t>indígena</w:t>
      </w:r>
      <w:r>
        <w:rPr>
          <w:rStyle w:val="normaltextrun"/>
          <w:rFonts w:ascii="Arial" w:hAnsi="Arial" w:cs="Arial"/>
          <w:color w:val="000000"/>
          <w:sz w:val="22"/>
          <w:shd w:val="clear" w:color="auto" w:fill="FFFFFF"/>
          <w:lang w:val="es-CO"/>
        </w:rPr>
        <w:t>s, la informalidad alcanza el 84,9%, en comparación al 44,9% a nivel nacional.</w:t>
      </w:r>
      <w:r>
        <w:rPr>
          <w:rStyle w:val="superscript"/>
          <w:rFonts w:ascii="Arial" w:hAnsi="Arial" w:cs="Arial"/>
          <w:color w:val="000000"/>
          <w:sz w:val="17"/>
          <w:szCs w:val="17"/>
          <w:shd w:val="clear" w:color="auto" w:fill="FFFFFF"/>
          <w:vertAlign w:val="superscript"/>
          <w:lang w:val="es-CO"/>
        </w:rPr>
        <w:t>35</w:t>
      </w:r>
    </w:p>
    <w:p w14:paraId="3837FDB7" w14:textId="233DDE3D" w:rsidR="00B461C3" w:rsidRPr="005853E3" w:rsidRDefault="00B461C3" w:rsidP="00C0476C">
      <w:pPr>
        <w:pStyle w:val="Paragraph"/>
        <w:tabs>
          <w:tab w:val="left" w:pos="720"/>
        </w:tabs>
        <w:ind w:left="0" w:firstLine="0"/>
        <w:rPr>
          <w:rFonts w:ascii="Arial" w:eastAsiaTheme="minorEastAsia" w:hAnsi="Arial" w:cs="Arial"/>
          <w:sz w:val="22"/>
          <w:lang w:val="es-CO"/>
        </w:rPr>
      </w:pPr>
      <w:r w:rsidRPr="00CB2666">
        <w:rPr>
          <w:rFonts w:ascii="Arial" w:hAnsi="Arial" w:cs="Arial"/>
          <w:sz w:val="22"/>
          <w:lang w:val="es-CO"/>
        </w:rPr>
        <w:t>A fin de mitigar el impacto socioeconómico de la pandemia</w:t>
      </w:r>
      <w:r w:rsidRPr="00CB2666">
        <w:rPr>
          <w:rFonts w:ascii="Arial" w:hAnsi="Arial" w:cs="Arial"/>
          <w:sz w:val="22"/>
          <w:highlight w:val="white"/>
          <w:lang w:val="es-CO"/>
        </w:rPr>
        <w:t xml:space="preserve"> y apoyar el consumo de los grupos de mayor vulnerabilidad, </w:t>
      </w:r>
      <w:r w:rsidRPr="00CB2666">
        <w:rPr>
          <w:rFonts w:ascii="Arial" w:hAnsi="Arial" w:cs="Arial"/>
          <w:sz w:val="22"/>
          <w:lang w:val="es-CO"/>
        </w:rPr>
        <w:t xml:space="preserve">el GP </w:t>
      </w:r>
      <w:r w:rsidRPr="00CB2666">
        <w:rPr>
          <w:rFonts w:ascii="Arial" w:hAnsi="Arial" w:cs="Arial"/>
          <w:sz w:val="22"/>
          <w:highlight w:val="white"/>
          <w:lang w:val="es-CO"/>
        </w:rPr>
        <w:t xml:space="preserve">ha sostenido la implementación de los Programas de Transferencia </w:t>
      </w:r>
      <w:r w:rsidRPr="75792B89">
        <w:rPr>
          <w:rFonts w:ascii="Arial" w:hAnsi="Arial" w:cs="Arial"/>
          <w:sz w:val="22"/>
          <w:highlight w:val="white"/>
          <w:lang w:val="es-CO"/>
        </w:rPr>
        <w:t>Monetarias</w:t>
      </w:r>
      <w:r w:rsidRPr="00CB2666">
        <w:rPr>
          <w:rFonts w:ascii="Arial" w:hAnsi="Arial" w:cs="Arial"/>
          <w:sz w:val="22"/>
          <w:highlight w:val="white"/>
          <w:lang w:val="es-CO"/>
        </w:rPr>
        <w:t xml:space="preserve"> </w:t>
      </w:r>
      <w:r w:rsidRPr="52F112DA">
        <w:rPr>
          <w:rFonts w:ascii="Arial" w:hAnsi="Arial" w:cs="Arial"/>
          <w:sz w:val="22"/>
          <w:highlight w:val="white"/>
          <w:lang w:val="es-CO"/>
        </w:rPr>
        <w:t>Condicionadas</w:t>
      </w:r>
      <w:r w:rsidRPr="00CB2666">
        <w:rPr>
          <w:rFonts w:ascii="Arial" w:hAnsi="Arial" w:cs="Arial"/>
          <w:sz w:val="22"/>
          <w:highlight w:val="white"/>
          <w:lang w:val="es-CO"/>
        </w:rPr>
        <w:t xml:space="preserve"> (PTMC) existentes y </w:t>
      </w:r>
      <w:r>
        <w:rPr>
          <w:rFonts w:ascii="Arial" w:hAnsi="Arial" w:cs="Arial"/>
          <w:sz w:val="22"/>
          <w:lang w:val="es-CO"/>
        </w:rPr>
        <w:t xml:space="preserve">ha puesto en marcha el plan temporal de asistencia social Panamá Solidario. </w:t>
      </w:r>
    </w:p>
    <w:p w14:paraId="570D1B50" w14:textId="77777777" w:rsidR="00B461C3" w:rsidRPr="00CB2666" w:rsidRDefault="00B461C3" w:rsidP="00240498">
      <w:pPr>
        <w:pStyle w:val="Paragraph"/>
        <w:tabs>
          <w:tab w:val="left" w:pos="720"/>
        </w:tabs>
        <w:ind w:left="0" w:firstLine="0"/>
        <w:rPr>
          <w:rFonts w:ascii="Arial" w:eastAsiaTheme="minorEastAsia" w:hAnsi="Arial" w:cs="Arial"/>
          <w:sz w:val="22"/>
          <w:lang w:val="es-CO"/>
        </w:rPr>
      </w:pPr>
      <w:r>
        <w:rPr>
          <w:rFonts w:ascii="Arial" w:hAnsi="Arial" w:cs="Arial"/>
          <w:sz w:val="22"/>
          <w:highlight w:val="white"/>
          <w:lang w:val="es-CO"/>
        </w:rPr>
        <w:t>Los PTMC administrados por el Ministerio de Desarrollo Social (MIDES) y que conjuntamente llegan a alrededor de 315.000 personas en situación de pobreza y pobreza extrema son</w:t>
      </w:r>
      <w:r w:rsidRPr="50B833AB">
        <w:rPr>
          <w:rFonts w:ascii="Arial" w:hAnsi="Arial" w:cs="Arial"/>
          <w:sz w:val="22"/>
          <w:highlight w:val="white"/>
          <w:lang w:val="es-CO"/>
        </w:rPr>
        <w:t>: (i)</w:t>
      </w:r>
      <w:r>
        <w:rPr>
          <w:rFonts w:ascii="Arial" w:hAnsi="Arial" w:cs="Arial"/>
          <w:sz w:val="22"/>
          <w:highlight w:val="white"/>
          <w:lang w:val="es-CO"/>
        </w:rPr>
        <w:t> </w:t>
      </w:r>
      <w:r w:rsidRPr="50B833AB">
        <w:rPr>
          <w:rFonts w:ascii="Arial" w:hAnsi="Arial" w:cs="Arial"/>
          <w:sz w:val="22"/>
          <w:highlight w:val="white"/>
          <w:lang w:val="es-CO"/>
        </w:rPr>
        <w:t>Red de Oportunidades (</w:t>
      </w:r>
      <w:proofErr w:type="spellStart"/>
      <w:r w:rsidRPr="50B833AB">
        <w:rPr>
          <w:rFonts w:ascii="Arial" w:hAnsi="Arial" w:cs="Arial"/>
          <w:sz w:val="22"/>
          <w:highlight w:val="white"/>
          <w:lang w:val="es-CO"/>
        </w:rPr>
        <w:t>RdO</w:t>
      </w:r>
      <w:proofErr w:type="spellEnd"/>
      <w:r w:rsidRPr="50B833AB">
        <w:rPr>
          <w:rFonts w:ascii="Arial" w:hAnsi="Arial" w:cs="Arial"/>
          <w:sz w:val="22"/>
          <w:highlight w:val="white"/>
          <w:lang w:val="es-CO"/>
        </w:rPr>
        <w:t>); (</w:t>
      </w:r>
      <w:proofErr w:type="spellStart"/>
      <w:r w:rsidRPr="50B833AB">
        <w:rPr>
          <w:rFonts w:ascii="Arial" w:hAnsi="Arial" w:cs="Arial"/>
          <w:sz w:val="22"/>
          <w:highlight w:val="white"/>
          <w:lang w:val="es-CO"/>
        </w:rPr>
        <w:t>ii</w:t>
      </w:r>
      <w:proofErr w:type="spellEnd"/>
      <w:r w:rsidRPr="50B833AB">
        <w:rPr>
          <w:rFonts w:ascii="Arial" w:hAnsi="Arial" w:cs="Arial"/>
          <w:sz w:val="22"/>
          <w:highlight w:val="white"/>
          <w:lang w:val="es-CO"/>
        </w:rPr>
        <w:t>)</w:t>
      </w:r>
      <w:r>
        <w:rPr>
          <w:rFonts w:ascii="Arial" w:hAnsi="Arial" w:cs="Arial"/>
          <w:sz w:val="22"/>
          <w:highlight w:val="white"/>
          <w:lang w:val="es-CO"/>
        </w:rPr>
        <w:t> </w:t>
      </w:r>
      <w:r w:rsidRPr="50B833AB">
        <w:rPr>
          <w:rFonts w:ascii="Arial" w:hAnsi="Arial" w:cs="Arial"/>
          <w:sz w:val="22"/>
          <w:highlight w:val="white"/>
          <w:lang w:val="es-CO"/>
        </w:rPr>
        <w:t xml:space="preserve">Bono Alimentario (BA); </w:t>
      </w:r>
      <w:r>
        <w:rPr>
          <w:rFonts w:ascii="Arial" w:hAnsi="Arial" w:cs="Arial"/>
          <w:sz w:val="22"/>
          <w:highlight w:val="white"/>
          <w:lang w:val="es-CO"/>
        </w:rPr>
        <w:t xml:space="preserve">y </w:t>
      </w:r>
      <w:r w:rsidRPr="50B833AB">
        <w:rPr>
          <w:rFonts w:ascii="Arial" w:hAnsi="Arial" w:cs="Arial"/>
          <w:sz w:val="22"/>
          <w:highlight w:val="white"/>
          <w:lang w:val="es-CO"/>
        </w:rPr>
        <w:t>(</w:t>
      </w:r>
      <w:proofErr w:type="spellStart"/>
      <w:r w:rsidRPr="50B833AB">
        <w:rPr>
          <w:rFonts w:ascii="Arial" w:hAnsi="Arial" w:cs="Arial"/>
          <w:sz w:val="22"/>
          <w:highlight w:val="white"/>
          <w:lang w:val="es-CO"/>
        </w:rPr>
        <w:t>iii</w:t>
      </w:r>
      <w:proofErr w:type="spellEnd"/>
      <w:r w:rsidRPr="50B833AB">
        <w:rPr>
          <w:rFonts w:ascii="Arial" w:hAnsi="Arial" w:cs="Arial"/>
          <w:sz w:val="22"/>
          <w:highlight w:val="white"/>
          <w:lang w:val="es-CO"/>
        </w:rPr>
        <w:t>)</w:t>
      </w:r>
      <w:r>
        <w:rPr>
          <w:rFonts w:ascii="Arial" w:hAnsi="Arial" w:cs="Arial"/>
          <w:sz w:val="22"/>
          <w:highlight w:val="white"/>
          <w:lang w:val="es-CO"/>
        </w:rPr>
        <w:t> </w:t>
      </w:r>
      <w:r w:rsidRPr="50B833AB">
        <w:rPr>
          <w:rFonts w:ascii="Arial" w:hAnsi="Arial" w:cs="Arial"/>
          <w:sz w:val="22"/>
          <w:highlight w:val="white"/>
          <w:lang w:val="es-CO"/>
        </w:rPr>
        <w:t xml:space="preserve">120 a los 65; y Ángel Guardián (AG). </w:t>
      </w:r>
      <w:r>
        <w:rPr>
          <w:rFonts w:ascii="Arial" w:hAnsi="Arial" w:cs="Arial"/>
          <w:sz w:val="22"/>
          <w:highlight w:val="white"/>
          <w:lang w:val="es-CO"/>
        </w:rPr>
        <w:t xml:space="preserve">Durante el estado de emergencia, </w:t>
      </w:r>
      <w:r>
        <w:rPr>
          <w:rFonts w:ascii="Arial" w:hAnsi="Arial" w:cs="Arial"/>
          <w:sz w:val="22"/>
          <w:lang w:val="es-CO"/>
        </w:rPr>
        <w:t>e</w:t>
      </w:r>
      <w:r>
        <w:rPr>
          <w:rFonts w:ascii="Arial" w:eastAsia="Arial" w:hAnsi="Arial" w:cs="Arial"/>
          <w:sz w:val="22"/>
          <w:lang w:val="es-CO"/>
        </w:rPr>
        <w:t>l</w:t>
      </w:r>
      <w:r>
        <w:rPr>
          <w:rFonts w:ascii="Arial" w:hAnsi="Arial" w:cs="Arial"/>
          <w:sz w:val="22"/>
          <w:highlight w:val="white"/>
          <w:lang w:val="es-CO"/>
        </w:rPr>
        <w:t xml:space="preserve"> GP </w:t>
      </w:r>
      <w:r w:rsidRPr="0005625C">
        <w:rPr>
          <w:rFonts w:ascii="Arial" w:hAnsi="Arial" w:cs="Arial"/>
          <w:sz w:val="22"/>
          <w:highlight w:val="white"/>
          <w:lang w:val="es-CO"/>
        </w:rPr>
        <w:t>ha desembolsado un total de US$114 millones en dos ciclos de pago</w:t>
      </w:r>
      <w:r>
        <w:rPr>
          <w:rFonts w:ascii="Arial" w:hAnsi="Arial" w:cs="Arial"/>
          <w:sz w:val="22"/>
          <w:highlight w:val="white"/>
          <w:lang w:val="es-CO"/>
        </w:rPr>
        <w:t xml:space="preserve"> para mantener los PTMC</w:t>
      </w:r>
      <w:r w:rsidRPr="00FB3701">
        <w:rPr>
          <w:rStyle w:val="FootnoteReference"/>
          <w:rFonts w:ascii="Arial" w:eastAsiaTheme="majorEastAsia" w:hAnsi="Arial" w:cs="Arial"/>
          <w:sz w:val="22"/>
          <w:highlight w:val="white"/>
          <w:lang w:val="es-CO"/>
        </w:rPr>
        <w:footnoteReference w:id="23"/>
      </w:r>
      <w:r>
        <w:rPr>
          <w:rFonts w:ascii="Arial" w:hAnsi="Arial" w:cs="Arial"/>
          <w:sz w:val="22"/>
          <w:lang w:val="es-CO"/>
        </w:rPr>
        <w:t xml:space="preserve">. </w:t>
      </w:r>
      <w:r w:rsidRPr="00967164">
        <w:rPr>
          <w:rFonts w:ascii="Arial" w:hAnsi="Arial" w:cs="Arial"/>
          <w:sz w:val="22"/>
          <w:lang w:val="es-ES"/>
        </w:rPr>
        <w:t>El 82% de los beneficiarios recibe las transferencias por medio de la Tarjeta Clave Social, mientras que el 18%, correspondiente a áreas de difícil acceso, las recibe en efectivo debido a las limitaciones de conectividad y aislamiento geográfico</w:t>
      </w:r>
      <w:r>
        <w:rPr>
          <w:rStyle w:val="FootnoteReference"/>
          <w:rFonts w:ascii="Arial" w:hAnsi="Arial" w:cs="Arial"/>
          <w:sz w:val="22"/>
        </w:rPr>
        <w:footnoteReference w:id="24"/>
      </w:r>
      <w:r w:rsidRPr="00967164">
        <w:rPr>
          <w:rFonts w:ascii="Arial" w:hAnsi="Arial" w:cs="Arial"/>
          <w:sz w:val="22"/>
          <w:lang w:val="es-ES"/>
        </w:rPr>
        <w:t xml:space="preserve">. </w:t>
      </w:r>
    </w:p>
    <w:p w14:paraId="2CDDB0FE" w14:textId="77777777" w:rsidR="00B461C3" w:rsidRPr="00FB3701" w:rsidRDefault="00B461C3" w:rsidP="00240498">
      <w:pPr>
        <w:pStyle w:val="Paragraph"/>
        <w:tabs>
          <w:tab w:val="left" w:pos="720"/>
        </w:tabs>
        <w:ind w:left="0" w:firstLine="0"/>
        <w:rPr>
          <w:rFonts w:ascii="Arial" w:eastAsiaTheme="minorEastAsia" w:hAnsi="Arial" w:cs="Arial"/>
          <w:sz w:val="22"/>
          <w:lang w:val="es-CO"/>
        </w:rPr>
      </w:pPr>
      <w:r w:rsidRPr="00FB3701">
        <w:rPr>
          <w:rFonts w:ascii="Arial" w:hAnsi="Arial" w:cs="Arial"/>
          <w:sz w:val="22"/>
          <w:lang w:val="es-CO"/>
        </w:rPr>
        <w:t>La</w:t>
      </w:r>
      <w:r>
        <w:rPr>
          <w:rFonts w:ascii="Arial" w:hAnsi="Arial" w:cs="Arial"/>
          <w:sz w:val="22"/>
          <w:lang w:val="es-CO"/>
        </w:rPr>
        <w:t xml:space="preserve"> </w:t>
      </w:r>
      <w:proofErr w:type="spellStart"/>
      <w:r>
        <w:rPr>
          <w:rFonts w:ascii="Arial" w:hAnsi="Arial" w:cs="Arial"/>
          <w:sz w:val="22"/>
          <w:lang w:val="es-CO"/>
        </w:rPr>
        <w:t>RdO</w:t>
      </w:r>
      <w:proofErr w:type="spellEnd"/>
      <w:r w:rsidRPr="00FB3701">
        <w:rPr>
          <w:rFonts w:ascii="Arial" w:hAnsi="Arial" w:cs="Arial"/>
          <w:sz w:val="22"/>
          <w:lang w:val="es-CO"/>
        </w:rPr>
        <w:t xml:space="preserve"> </w:t>
      </w:r>
      <w:r>
        <w:rPr>
          <w:rFonts w:ascii="Arial" w:hAnsi="Arial" w:cs="Arial"/>
          <w:sz w:val="22"/>
          <w:lang w:val="es-CO"/>
        </w:rPr>
        <w:t xml:space="preserve">es una transferencia mensual de US$50 a </w:t>
      </w:r>
      <w:r w:rsidRPr="00FB3701">
        <w:rPr>
          <w:rFonts w:ascii="Arial" w:hAnsi="Arial" w:cs="Arial"/>
          <w:sz w:val="22"/>
          <w:lang w:val="es-CO"/>
        </w:rPr>
        <w:t xml:space="preserve">hogares en pobreza extrema, independientemente de </w:t>
      </w:r>
      <w:r>
        <w:rPr>
          <w:rFonts w:ascii="Arial" w:hAnsi="Arial" w:cs="Arial"/>
          <w:sz w:val="22"/>
          <w:lang w:val="es-CO"/>
        </w:rPr>
        <w:t>su</w:t>
      </w:r>
      <w:r w:rsidRPr="00FB3701">
        <w:rPr>
          <w:rFonts w:ascii="Arial" w:hAnsi="Arial" w:cs="Arial"/>
          <w:sz w:val="22"/>
          <w:lang w:val="es-CO"/>
        </w:rPr>
        <w:t xml:space="preserve"> composición</w:t>
      </w:r>
      <w:r>
        <w:rPr>
          <w:rFonts w:ascii="Arial" w:hAnsi="Arial" w:cs="Arial"/>
          <w:sz w:val="22"/>
          <w:lang w:val="es-CO"/>
        </w:rPr>
        <w:t xml:space="preserve">. </w:t>
      </w:r>
      <w:r w:rsidRPr="00FB3701">
        <w:rPr>
          <w:rFonts w:ascii="Arial" w:hAnsi="Arial" w:cs="Arial"/>
          <w:sz w:val="22"/>
          <w:lang w:val="es-CO"/>
        </w:rPr>
        <w:t>Los pagos</w:t>
      </w:r>
      <w:r>
        <w:rPr>
          <w:rFonts w:ascii="Arial" w:hAnsi="Arial" w:cs="Arial"/>
          <w:sz w:val="22"/>
          <w:lang w:val="es-CO"/>
        </w:rPr>
        <w:t xml:space="preserve"> trimestrales</w:t>
      </w:r>
      <w:r w:rsidRPr="00FB3701">
        <w:rPr>
          <w:rFonts w:ascii="Arial" w:hAnsi="Arial" w:cs="Arial"/>
          <w:sz w:val="22"/>
          <w:lang w:val="es-CO"/>
        </w:rPr>
        <w:t xml:space="preserve"> son</w:t>
      </w:r>
      <w:r>
        <w:rPr>
          <w:rFonts w:ascii="Arial" w:hAnsi="Arial" w:cs="Arial"/>
          <w:sz w:val="22"/>
          <w:lang w:val="es-CO"/>
        </w:rPr>
        <w:t xml:space="preserve"> entregados, en su mayoría (97%), a las madres de familia </w:t>
      </w:r>
      <w:r w:rsidRPr="00FB3701">
        <w:rPr>
          <w:rFonts w:ascii="Arial" w:hAnsi="Arial" w:cs="Arial"/>
          <w:sz w:val="22"/>
          <w:lang w:val="es-CO"/>
        </w:rPr>
        <w:t>y están condicionados al cumplimiento de corresponsabilidades en educación y salud</w:t>
      </w:r>
      <w:r>
        <w:rPr>
          <w:rStyle w:val="FootnoteReference"/>
          <w:rFonts w:ascii="Arial" w:hAnsi="Arial" w:cs="Arial"/>
          <w:sz w:val="22"/>
          <w:lang w:val="es-CO"/>
        </w:rPr>
        <w:footnoteReference w:id="25"/>
      </w:r>
      <w:r w:rsidRPr="00FB3701">
        <w:rPr>
          <w:rFonts w:ascii="Arial" w:hAnsi="Arial" w:cs="Arial"/>
          <w:sz w:val="22"/>
          <w:lang w:val="es-CO"/>
        </w:rPr>
        <w:t>.</w:t>
      </w:r>
      <w:r w:rsidRPr="00FB3701">
        <w:rPr>
          <w:rFonts w:ascii="Arial" w:hAnsi="Arial" w:cs="Arial"/>
          <w:sz w:val="22"/>
          <w:highlight w:val="white"/>
          <w:lang w:val="es-CO"/>
        </w:rPr>
        <w:t xml:space="preserve"> </w:t>
      </w:r>
      <w:r>
        <w:rPr>
          <w:rFonts w:ascii="Arial" w:hAnsi="Arial" w:cs="Arial"/>
          <w:sz w:val="22"/>
          <w:highlight w:val="white"/>
          <w:lang w:val="es-CO"/>
        </w:rPr>
        <w:t>L</w:t>
      </w:r>
      <w:r w:rsidRPr="00FB3701">
        <w:rPr>
          <w:rFonts w:ascii="Arial" w:hAnsi="Arial" w:cs="Arial"/>
          <w:sz w:val="22"/>
          <w:highlight w:val="white"/>
          <w:lang w:val="es-CO"/>
        </w:rPr>
        <w:t xml:space="preserve">a verificación de las corresponsabilidades </w:t>
      </w:r>
      <w:r>
        <w:rPr>
          <w:rFonts w:ascii="Arial" w:hAnsi="Arial" w:cs="Arial"/>
          <w:sz w:val="22"/>
          <w:highlight w:val="white"/>
          <w:lang w:val="es-CO"/>
        </w:rPr>
        <w:t xml:space="preserve">para todos los PTMC fue </w:t>
      </w:r>
      <w:r>
        <w:rPr>
          <w:rFonts w:ascii="Arial" w:hAnsi="Arial" w:cs="Arial"/>
          <w:sz w:val="22"/>
          <w:highlight w:val="white"/>
          <w:lang w:val="es-CO"/>
        </w:rPr>
        <w:lastRenderedPageBreak/>
        <w:t xml:space="preserve">suspendida por el MIDES </w:t>
      </w:r>
      <w:r w:rsidRPr="00FB3701">
        <w:rPr>
          <w:rFonts w:ascii="Arial" w:hAnsi="Arial" w:cs="Arial"/>
          <w:sz w:val="22"/>
          <w:highlight w:val="white"/>
          <w:lang w:val="es-CO"/>
        </w:rPr>
        <w:t>mientras esté vigente el estado de emergencia</w:t>
      </w:r>
      <w:r w:rsidRPr="00FB3701">
        <w:rPr>
          <w:rFonts w:ascii="Arial" w:hAnsi="Arial" w:cs="Arial"/>
          <w:sz w:val="22"/>
          <w:highlight w:val="white"/>
          <w:vertAlign w:val="superscript"/>
        </w:rPr>
        <w:footnoteReference w:id="26"/>
      </w:r>
      <w:r w:rsidRPr="00FB3701">
        <w:rPr>
          <w:rFonts w:ascii="Arial" w:hAnsi="Arial" w:cs="Arial"/>
          <w:sz w:val="22"/>
          <w:highlight w:val="white"/>
          <w:lang w:val="es-CO"/>
        </w:rPr>
        <w:t xml:space="preserve">. </w:t>
      </w:r>
      <w:r>
        <w:rPr>
          <w:rFonts w:ascii="Arial" w:hAnsi="Arial" w:cs="Arial"/>
          <w:sz w:val="22"/>
          <w:highlight w:val="white"/>
          <w:lang w:val="es-CO"/>
        </w:rPr>
        <w:t xml:space="preserve">En algunas áreas de las comarcas indígenas, como alternativa a la </w:t>
      </w:r>
      <w:proofErr w:type="spellStart"/>
      <w:r>
        <w:rPr>
          <w:rFonts w:ascii="Arial" w:hAnsi="Arial" w:cs="Arial"/>
          <w:sz w:val="22"/>
          <w:highlight w:val="white"/>
          <w:lang w:val="es-CO"/>
        </w:rPr>
        <w:t>RdO</w:t>
      </w:r>
      <w:proofErr w:type="spellEnd"/>
      <w:r>
        <w:rPr>
          <w:rFonts w:ascii="Arial" w:hAnsi="Arial" w:cs="Arial"/>
          <w:sz w:val="22"/>
          <w:highlight w:val="white"/>
          <w:lang w:val="es-CO"/>
        </w:rPr>
        <w:t xml:space="preserve">, opera el </w:t>
      </w:r>
      <w:r w:rsidRPr="00FB3701">
        <w:rPr>
          <w:rFonts w:ascii="Arial" w:hAnsi="Arial" w:cs="Arial"/>
          <w:sz w:val="22"/>
          <w:lang w:val="es-CO"/>
        </w:rPr>
        <w:t>B</w:t>
      </w:r>
      <w:r>
        <w:rPr>
          <w:rFonts w:ascii="Arial" w:hAnsi="Arial" w:cs="Arial"/>
          <w:sz w:val="22"/>
          <w:lang w:val="es-CO"/>
        </w:rPr>
        <w:t xml:space="preserve">ono Alimentario que es un cupón de </w:t>
      </w:r>
      <w:r w:rsidRPr="00FB3701">
        <w:rPr>
          <w:rFonts w:ascii="Arial" w:hAnsi="Arial" w:cs="Arial"/>
          <w:sz w:val="22"/>
          <w:lang w:val="es-CO"/>
        </w:rPr>
        <w:t xml:space="preserve">US$50 mensuales que puede </w:t>
      </w:r>
      <w:r>
        <w:rPr>
          <w:rFonts w:ascii="Arial" w:hAnsi="Arial" w:cs="Arial"/>
          <w:sz w:val="22"/>
          <w:lang w:val="es-CO"/>
        </w:rPr>
        <w:t>ser utilizado</w:t>
      </w:r>
      <w:r w:rsidRPr="00FB3701">
        <w:rPr>
          <w:rFonts w:ascii="Arial" w:hAnsi="Arial" w:cs="Arial"/>
          <w:sz w:val="22"/>
          <w:lang w:val="es-CO"/>
        </w:rPr>
        <w:t xml:space="preserve"> sólo para la compra de alimentos en tiendas autorizadas. En 2019, la </w:t>
      </w:r>
      <w:proofErr w:type="spellStart"/>
      <w:r w:rsidRPr="00FB3701">
        <w:rPr>
          <w:rFonts w:ascii="Arial" w:hAnsi="Arial" w:cs="Arial"/>
          <w:sz w:val="22"/>
          <w:lang w:val="es-CO"/>
        </w:rPr>
        <w:t>RdO</w:t>
      </w:r>
      <w:proofErr w:type="spellEnd"/>
      <w:r w:rsidRPr="00FB3701">
        <w:rPr>
          <w:rFonts w:ascii="Arial" w:hAnsi="Arial" w:cs="Arial"/>
          <w:sz w:val="22"/>
          <w:lang w:val="es-CO"/>
        </w:rPr>
        <w:t xml:space="preserve"> y el BA contaban con </w:t>
      </w:r>
      <w:r>
        <w:rPr>
          <w:rFonts w:ascii="Arial" w:hAnsi="Arial" w:cs="Arial"/>
          <w:sz w:val="22"/>
          <w:lang w:val="es-CO"/>
        </w:rPr>
        <w:t>40.814</w:t>
      </w:r>
      <w:r w:rsidRPr="00FB3701">
        <w:rPr>
          <w:rFonts w:ascii="Arial" w:hAnsi="Arial" w:cs="Arial"/>
          <w:sz w:val="22"/>
          <w:lang w:val="es-CO"/>
        </w:rPr>
        <w:t xml:space="preserve"> y </w:t>
      </w:r>
      <w:r>
        <w:rPr>
          <w:rFonts w:ascii="Arial" w:hAnsi="Arial" w:cs="Arial"/>
          <w:sz w:val="22"/>
          <w:lang w:val="es-CO"/>
        </w:rPr>
        <w:t>8.495</w:t>
      </w:r>
      <w:r w:rsidRPr="00FB3701">
        <w:rPr>
          <w:rFonts w:ascii="Arial" w:hAnsi="Arial" w:cs="Arial"/>
          <w:sz w:val="22"/>
          <w:lang w:val="es-CO"/>
        </w:rPr>
        <w:t xml:space="preserve"> </w:t>
      </w:r>
      <w:r>
        <w:rPr>
          <w:rFonts w:ascii="Arial" w:hAnsi="Arial" w:cs="Arial"/>
          <w:sz w:val="22"/>
          <w:lang w:val="es-CO"/>
        </w:rPr>
        <w:t xml:space="preserve">hogares </w:t>
      </w:r>
      <w:r w:rsidRPr="00FB3701">
        <w:rPr>
          <w:rFonts w:ascii="Arial" w:hAnsi="Arial" w:cs="Arial"/>
          <w:sz w:val="22"/>
          <w:lang w:val="es-CO"/>
        </w:rPr>
        <w:t>beneficiarios</w:t>
      </w:r>
      <w:r>
        <w:rPr>
          <w:rFonts w:ascii="Arial" w:hAnsi="Arial" w:cs="Arial"/>
          <w:sz w:val="22"/>
          <w:lang w:val="es-CO"/>
        </w:rPr>
        <w:t xml:space="preserve">, </w:t>
      </w:r>
      <w:r w:rsidRPr="00FB3701">
        <w:rPr>
          <w:rFonts w:ascii="Arial" w:hAnsi="Arial" w:cs="Arial"/>
          <w:sz w:val="22"/>
          <w:lang w:val="es-CO"/>
        </w:rPr>
        <w:t>respectivamente. La focalización e</w:t>
      </w:r>
      <w:r>
        <w:rPr>
          <w:rFonts w:ascii="Arial" w:hAnsi="Arial" w:cs="Arial"/>
          <w:sz w:val="22"/>
          <w:lang w:val="es-CO"/>
        </w:rPr>
        <w:t>s geográfica e</w:t>
      </w:r>
      <w:r w:rsidRPr="00FB3701">
        <w:rPr>
          <w:rFonts w:ascii="Arial" w:hAnsi="Arial" w:cs="Arial"/>
          <w:sz w:val="22"/>
          <w:lang w:val="es-CO"/>
        </w:rPr>
        <w:t>n l</w:t>
      </w:r>
      <w:r>
        <w:rPr>
          <w:rFonts w:ascii="Arial" w:hAnsi="Arial" w:cs="Arial"/>
          <w:sz w:val="22"/>
          <w:lang w:val="es-CO"/>
        </w:rPr>
        <w:t>o</w:t>
      </w:r>
      <w:r w:rsidRPr="00FB3701">
        <w:rPr>
          <w:rFonts w:ascii="Arial" w:hAnsi="Arial" w:cs="Arial"/>
          <w:sz w:val="22"/>
          <w:lang w:val="es-CO"/>
        </w:rPr>
        <w:t xml:space="preserve">s </w:t>
      </w:r>
      <w:r>
        <w:rPr>
          <w:rFonts w:ascii="Arial" w:hAnsi="Arial" w:cs="Arial"/>
          <w:sz w:val="22"/>
          <w:lang w:val="es-CO"/>
        </w:rPr>
        <w:t>corregimientos con incidencia de pobreza extrema arriba de 70%</w:t>
      </w:r>
      <w:r w:rsidRPr="00FB3701">
        <w:rPr>
          <w:rFonts w:ascii="Arial" w:hAnsi="Arial" w:cs="Arial"/>
          <w:sz w:val="22"/>
          <w:lang w:val="es-CO"/>
        </w:rPr>
        <w:t>, lo que sign</w:t>
      </w:r>
      <w:r>
        <w:rPr>
          <w:rFonts w:ascii="Arial" w:hAnsi="Arial" w:cs="Arial"/>
          <w:sz w:val="22"/>
          <w:lang w:val="es-CO"/>
        </w:rPr>
        <w:t>i</w:t>
      </w:r>
      <w:r w:rsidRPr="00FB3701">
        <w:rPr>
          <w:rFonts w:ascii="Arial" w:hAnsi="Arial" w:cs="Arial"/>
          <w:sz w:val="22"/>
          <w:lang w:val="es-CO"/>
        </w:rPr>
        <w:t>fica que todos los hogares residente</w:t>
      </w:r>
      <w:r>
        <w:rPr>
          <w:rFonts w:ascii="Arial" w:hAnsi="Arial" w:cs="Arial"/>
          <w:sz w:val="22"/>
          <w:lang w:val="es-CO"/>
        </w:rPr>
        <w:t>s</w:t>
      </w:r>
      <w:r w:rsidRPr="00FB3701">
        <w:rPr>
          <w:rFonts w:ascii="Arial" w:hAnsi="Arial" w:cs="Arial"/>
          <w:sz w:val="22"/>
          <w:lang w:val="es-CO"/>
        </w:rPr>
        <w:t xml:space="preserve"> en </w:t>
      </w:r>
      <w:r>
        <w:rPr>
          <w:rFonts w:ascii="Arial" w:hAnsi="Arial" w:cs="Arial"/>
          <w:sz w:val="22"/>
          <w:lang w:val="es-CO"/>
        </w:rPr>
        <w:t xml:space="preserve">estos corregimientos </w:t>
      </w:r>
      <w:r w:rsidRPr="00FB3701">
        <w:rPr>
          <w:rFonts w:ascii="Arial" w:hAnsi="Arial" w:cs="Arial"/>
          <w:sz w:val="22"/>
          <w:lang w:val="es-CO"/>
        </w:rPr>
        <w:t>son elegibles p</w:t>
      </w:r>
      <w:r>
        <w:rPr>
          <w:rFonts w:ascii="Arial" w:hAnsi="Arial" w:cs="Arial"/>
          <w:sz w:val="22"/>
          <w:lang w:val="es-CO"/>
        </w:rPr>
        <w:t>ara ser beneficiarios de los programas</w:t>
      </w:r>
      <w:r w:rsidRPr="00FB3701">
        <w:rPr>
          <w:rFonts w:ascii="Arial" w:hAnsi="Arial" w:cs="Arial"/>
          <w:sz w:val="22"/>
          <w:lang w:val="es-CO"/>
        </w:rPr>
        <w:t>. En el resto del país, la selección de los beneficiar</w:t>
      </w:r>
      <w:r>
        <w:rPr>
          <w:rFonts w:ascii="Arial" w:hAnsi="Arial" w:cs="Arial"/>
          <w:sz w:val="22"/>
          <w:lang w:val="es-CO"/>
        </w:rPr>
        <w:t>ios</w:t>
      </w:r>
      <w:r w:rsidRPr="00FB3701">
        <w:rPr>
          <w:rFonts w:ascii="Arial" w:hAnsi="Arial" w:cs="Arial"/>
          <w:sz w:val="22"/>
          <w:lang w:val="es-CO"/>
        </w:rPr>
        <w:t xml:space="preserve"> se realiza mediante la estimación del nivel de consumo familiar per cápita, por medio de la aplicación de un </w:t>
      </w:r>
      <w:r w:rsidRPr="00FB3701">
        <w:rPr>
          <w:rFonts w:ascii="Arial" w:hAnsi="Arial" w:cs="Arial"/>
          <w:i/>
          <w:iCs/>
          <w:sz w:val="22"/>
          <w:lang w:val="es-CO"/>
        </w:rPr>
        <w:t xml:space="preserve">Proxy </w:t>
      </w:r>
      <w:proofErr w:type="spellStart"/>
      <w:r w:rsidRPr="00FB3701">
        <w:rPr>
          <w:rFonts w:ascii="Arial" w:hAnsi="Arial" w:cs="Arial"/>
          <w:i/>
          <w:iCs/>
          <w:sz w:val="22"/>
          <w:lang w:val="es-CO"/>
        </w:rPr>
        <w:t>Means</w:t>
      </w:r>
      <w:proofErr w:type="spellEnd"/>
      <w:r w:rsidRPr="00FB3701">
        <w:rPr>
          <w:rFonts w:ascii="Arial" w:hAnsi="Arial" w:cs="Arial"/>
          <w:i/>
          <w:iCs/>
          <w:sz w:val="22"/>
          <w:lang w:val="es-CO"/>
        </w:rPr>
        <w:t xml:space="preserve"> Test</w:t>
      </w:r>
      <w:r>
        <w:rPr>
          <w:rStyle w:val="FootnoteReference"/>
          <w:rFonts w:ascii="Arial" w:hAnsi="Arial" w:cs="Arial"/>
          <w:sz w:val="22"/>
          <w:lang w:val="es-CO"/>
        </w:rPr>
        <w:footnoteReference w:id="27"/>
      </w:r>
      <w:r w:rsidRPr="00FB3701">
        <w:rPr>
          <w:rFonts w:ascii="Arial" w:hAnsi="Arial" w:cs="Arial"/>
          <w:i/>
          <w:iCs/>
          <w:sz w:val="22"/>
          <w:lang w:val="es-CO"/>
        </w:rPr>
        <w:t xml:space="preserve">. </w:t>
      </w:r>
    </w:p>
    <w:p w14:paraId="4FDBCD73" w14:textId="77777777" w:rsidR="00B461C3" w:rsidRPr="00D93BFC" w:rsidRDefault="00B461C3" w:rsidP="00240498">
      <w:pPr>
        <w:pStyle w:val="Paragraph"/>
        <w:tabs>
          <w:tab w:val="left" w:pos="720"/>
        </w:tabs>
        <w:ind w:left="0" w:firstLine="0"/>
        <w:rPr>
          <w:rFonts w:ascii="Arial" w:hAnsi="Arial" w:cs="Arial"/>
          <w:sz w:val="22"/>
          <w:lang w:val="es-CO"/>
        </w:rPr>
      </w:pPr>
      <w:r w:rsidRPr="50B833AB">
        <w:rPr>
          <w:rFonts w:ascii="Arial" w:hAnsi="Arial" w:cs="Arial"/>
          <w:sz w:val="22"/>
          <w:highlight w:val="white"/>
          <w:lang w:val="es-CO"/>
        </w:rPr>
        <w:t xml:space="preserve">El Programa 120 a los 65 </w:t>
      </w:r>
      <w:r>
        <w:rPr>
          <w:rFonts w:ascii="Arial" w:hAnsi="Arial" w:cs="Arial"/>
          <w:sz w:val="22"/>
          <w:highlight w:val="white"/>
          <w:lang w:val="es-CO"/>
        </w:rPr>
        <w:t xml:space="preserve">es una transferencia mensual de US$120 </w:t>
      </w:r>
      <w:r w:rsidRPr="50B833AB">
        <w:rPr>
          <w:rFonts w:ascii="Arial" w:hAnsi="Arial" w:cs="Arial"/>
          <w:sz w:val="22"/>
          <w:highlight w:val="white"/>
          <w:lang w:val="es-CO"/>
        </w:rPr>
        <w:t xml:space="preserve">a individuos mayores de 65 </w:t>
      </w:r>
      <w:proofErr w:type="gramStart"/>
      <w:r w:rsidRPr="50B833AB">
        <w:rPr>
          <w:rFonts w:ascii="Arial" w:hAnsi="Arial" w:cs="Arial"/>
          <w:sz w:val="22"/>
          <w:highlight w:val="white"/>
          <w:lang w:val="es-CO"/>
        </w:rPr>
        <w:t>años de edad</w:t>
      </w:r>
      <w:proofErr w:type="gramEnd"/>
      <w:r w:rsidRPr="50B833AB">
        <w:rPr>
          <w:rFonts w:ascii="Arial" w:hAnsi="Arial" w:cs="Arial"/>
          <w:sz w:val="22"/>
          <w:highlight w:val="white"/>
          <w:lang w:val="es-CO"/>
        </w:rPr>
        <w:t xml:space="preserve"> que no reciben una pensión contributiva y se encuentran en situación de pobreza</w:t>
      </w:r>
      <w:r w:rsidRPr="005853E3">
        <w:rPr>
          <w:rFonts w:ascii="Arial" w:hAnsi="Arial" w:cs="Arial"/>
          <w:sz w:val="22"/>
          <w:highlight w:val="white"/>
          <w:vertAlign w:val="superscript"/>
          <w:lang w:val="es-CO"/>
        </w:rPr>
        <w:footnoteReference w:id="28"/>
      </w:r>
      <w:r w:rsidRPr="50B833AB">
        <w:rPr>
          <w:rFonts w:ascii="Arial" w:hAnsi="Arial" w:cs="Arial"/>
          <w:sz w:val="22"/>
          <w:highlight w:val="white"/>
          <w:lang w:val="es-CO"/>
        </w:rPr>
        <w:t xml:space="preserve">. El </w:t>
      </w:r>
      <w:r>
        <w:rPr>
          <w:rFonts w:ascii="Arial" w:hAnsi="Arial" w:cs="Arial"/>
          <w:sz w:val="22"/>
          <w:highlight w:val="white"/>
          <w:lang w:val="es-CO"/>
        </w:rPr>
        <w:t xml:space="preserve">pago es trimestral y </w:t>
      </w:r>
      <w:r w:rsidRPr="50B833AB">
        <w:rPr>
          <w:rFonts w:ascii="Arial" w:hAnsi="Arial" w:cs="Arial"/>
          <w:sz w:val="22"/>
          <w:highlight w:val="white"/>
          <w:lang w:val="es-CO"/>
        </w:rPr>
        <w:t>está condicionado a la asistencia a un control anual de salud. Al 2019, el número de beneficiarios del programa era de 125</w:t>
      </w:r>
      <w:r>
        <w:rPr>
          <w:rFonts w:ascii="Arial" w:hAnsi="Arial" w:cs="Arial"/>
          <w:sz w:val="22"/>
          <w:highlight w:val="white"/>
          <w:lang w:val="es-CO"/>
        </w:rPr>
        <w:t>.</w:t>
      </w:r>
      <w:r w:rsidRPr="50B833AB">
        <w:rPr>
          <w:rFonts w:ascii="Arial" w:hAnsi="Arial" w:cs="Arial"/>
          <w:sz w:val="22"/>
          <w:highlight w:val="white"/>
          <w:lang w:val="es-CO"/>
        </w:rPr>
        <w:t xml:space="preserve">569 personas. </w:t>
      </w:r>
      <w:r>
        <w:rPr>
          <w:rFonts w:ascii="Arial" w:hAnsi="Arial" w:cs="Arial"/>
          <w:sz w:val="22"/>
          <w:lang w:val="es-CO"/>
        </w:rPr>
        <w:t>Entretanto, e</w:t>
      </w:r>
      <w:r w:rsidRPr="50B833AB">
        <w:rPr>
          <w:rFonts w:ascii="Arial" w:hAnsi="Arial" w:cs="Arial"/>
          <w:sz w:val="22"/>
          <w:lang w:val="es-CO"/>
        </w:rPr>
        <w:t xml:space="preserve">l </w:t>
      </w:r>
      <w:r>
        <w:rPr>
          <w:rFonts w:ascii="Arial" w:hAnsi="Arial" w:cs="Arial"/>
          <w:sz w:val="22"/>
          <w:lang w:val="es-CO"/>
        </w:rPr>
        <w:t>AG</w:t>
      </w:r>
      <w:r w:rsidRPr="50B833AB">
        <w:rPr>
          <w:rFonts w:ascii="Arial" w:hAnsi="Arial" w:cs="Arial"/>
          <w:sz w:val="22"/>
          <w:lang w:val="es-CO"/>
        </w:rPr>
        <w:t xml:space="preserve"> está dirigido a personas con discapacidad severa en condición de dependencia y pobreza extrema</w:t>
      </w:r>
      <w:r w:rsidRPr="005853E3">
        <w:rPr>
          <w:rFonts w:ascii="Arial" w:hAnsi="Arial" w:cs="Arial"/>
          <w:sz w:val="22"/>
          <w:vertAlign w:val="superscript"/>
          <w:lang w:val="es-CO"/>
        </w:rPr>
        <w:footnoteReference w:id="29"/>
      </w:r>
      <w:r w:rsidRPr="50B833AB">
        <w:rPr>
          <w:rFonts w:ascii="Arial" w:hAnsi="Arial" w:cs="Arial"/>
          <w:sz w:val="22"/>
          <w:lang w:val="es-CO"/>
        </w:rPr>
        <w:t>. El monto de la transferencia es de US$80 mensuales y llega al beneficiario a través de su representante legal. Es condicionada a la asistencia anual a los servicios de salud y al 2019 beneficiaba a un total de 19</w:t>
      </w:r>
      <w:r>
        <w:rPr>
          <w:rFonts w:ascii="Arial" w:hAnsi="Arial" w:cs="Arial"/>
          <w:sz w:val="22"/>
          <w:lang w:val="es-CO"/>
        </w:rPr>
        <w:t>.</w:t>
      </w:r>
      <w:r w:rsidRPr="50B833AB">
        <w:rPr>
          <w:rFonts w:ascii="Arial" w:hAnsi="Arial" w:cs="Arial"/>
          <w:sz w:val="22"/>
          <w:lang w:val="es-CO"/>
        </w:rPr>
        <w:t xml:space="preserve">254 personas. </w:t>
      </w:r>
    </w:p>
    <w:p w14:paraId="3E659210" w14:textId="77777777" w:rsidR="00B461C3" w:rsidRPr="005853E3" w:rsidRDefault="00B461C3" w:rsidP="00240498">
      <w:pPr>
        <w:pStyle w:val="Paragraph"/>
        <w:tabs>
          <w:tab w:val="left" w:pos="720"/>
        </w:tabs>
        <w:ind w:left="0" w:firstLine="0"/>
        <w:rPr>
          <w:rFonts w:ascii="Arial" w:hAnsi="Arial" w:cs="Arial"/>
          <w:sz w:val="22"/>
          <w:highlight w:val="white"/>
          <w:vertAlign w:val="superscript"/>
          <w:lang w:val="es-CO"/>
        </w:rPr>
      </w:pPr>
      <w:r>
        <w:rPr>
          <w:rFonts w:ascii="Arial" w:hAnsi="Arial" w:cs="Arial"/>
          <w:sz w:val="22"/>
          <w:lang w:val="es-CO"/>
        </w:rPr>
        <w:t xml:space="preserve">Panamá Solidario, </w:t>
      </w:r>
      <w:r w:rsidRPr="00BC5754">
        <w:rPr>
          <w:rFonts w:ascii="Arial" w:hAnsi="Arial" w:cs="Arial"/>
          <w:sz w:val="22"/>
          <w:lang w:val="es-CO"/>
        </w:rPr>
        <w:t>cre</w:t>
      </w:r>
      <w:r>
        <w:rPr>
          <w:rFonts w:ascii="Arial" w:hAnsi="Arial" w:cs="Arial"/>
          <w:sz w:val="22"/>
          <w:lang w:val="es-CO"/>
        </w:rPr>
        <w:t xml:space="preserve">ado </w:t>
      </w:r>
      <w:r w:rsidRPr="00BC5754">
        <w:rPr>
          <w:rFonts w:ascii="Arial" w:hAnsi="Arial" w:cs="Arial"/>
          <w:sz w:val="22"/>
          <w:lang w:val="es-CO"/>
        </w:rPr>
        <w:t xml:space="preserve">por el </w:t>
      </w:r>
      <w:hyperlink r:id="rId14" w:history="1">
        <w:r w:rsidRPr="00BC5754">
          <w:rPr>
            <w:rStyle w:val="Hyperlink"/>
            <w:rFonts w:ascii="Arial" w:hAnsi="Arial" w:cs="Arial"/>
            <w:sz w:val="22"/>
            <w:lang w:val="es-CO"/>
          </w:rPr>
          <w:t>Decreto No. 400 del 27 de marzo</w:t>
        </w:r>
      </w:hyperlink>
      <w:r w:rsidRPr="00BC5754">
        <w:rPr>
          <w:rFonts w:ascii="Arial" w:hAnsi="Arial" w:cs="Arial"/>
          <w:sz w:val="22"/>
          <w:lang w:val="es-CO"/>
        </w:rPr>
        <w:t xml:space="preserve">, </w:t>
      </w:r>
      <w:r>
        <w:rPr>
          <w:rFonts w:ascii="Arial" w:hAnsi="Arial" w:cs="Arial"/>
          <w:sz w:val="22"/>
          <w:lang w:val="es-CO"/>
        </w:rPr>
        <w:t xml:space="preserve">es un </w:t>
      </w:r>
      <w:r w:rsidRPr="00BC5754">
        <w:rPr>
          <w:rFonts w:ascii="Arial" w:hAnsi="Arial" w:cs="Arial"/>
          <w:sz w:val="22"/>
          <w:lang w:val="es-CO"/>
        </w:rPr>
        <w:t xml:space="preserve">plan de asistencia social </w:t>
      </w:r>
      <w:r>
        <w:rPr>
          <w:rFonts w:ascii="Arial" w:hAnsi="Arial" w:cs="Arial"/>
          <w:sz w:val="22"/>
          <w:lang w:val="es-CO"/>
        </w:rPr>
        <w:t xml:space="preserve">temporal a gran escala </w:t>
      </w:r>
      <w:r w:rsidRPr="00BC5754">
        <w:rPr>
          <w:rFonts w:ascii="Arial" w:hAnsi="Arial" w:cs="Arial"/>
          <w:sz w:val="22"/>
          <w:lang w:val="es-CO"/>
        </w:rPr>
        <w:t xml:space="preserve">cuyo objetivo es cubrir las necesidades básicas de los ciudadanos afectados por </w:t>
      </w:r>
      <w:r>
        <w:rPr>
          <w:rFonts w:ascii="Arial" w:hAnsi="Arial" w:cs="Arial"/>
          <w:sz w:val="22"/>
          <w:lang w:val="es-CO"/>
        </w:rPr>
        <w:t>la crisis económica generada por la pandemia de COVID-19</w:t>
      </w:r>
      <w:r w:rsidRPr="00BC5754">
        <w:rPr>
          <w:rFonts w:ascii="Arial" w:hAnsi="Arial" w:cs="Arial"/>
          <w:sz w:val="22"/>
          <w:lang w:val="es-CO"/>
        </w:rPr>
        <w:t xml:space="preserve"> </w:t>
      </w:r>
      <w:r>
        <w:rPr>
          <w:rFonts w:ascii="Arial" w:hAnsi="Arial" w:cs="Arial"/>
          <w:sz w:val="22"/>
          <w:lang w:val="es-CO"/>
        </w:rPr>
        <w:t xml:space="preserve">mientras dure </w:t>
      </w:r>
      <w:r w:rsidRPr="00BC5754">
        <w:rPr>
          <w:rFonts w:ascii="Arial" w:hAnsi="Arial" w:cs="Arial"/>
          <w:sz w:val="22"/>
          <w:lang w:val="es-CO"/>
        </w:rPr>
        <w:t>el estado de emergencia</w:t>
      </w:r>
      <w:r w:rsidRPr="00FB3701">
        <w:rPr>
          <w:rFonts w:ascii="Arial" w:hAnsi="Arial" w:cs="Arial"/>
          <w:sz w:val="22"/>
          <w:vertAlign w:val="superscript"/>
        </w:rPr>
        <w:footnoteReference w:id="30"/>
      </w:r>
      <w:r w:rsidRPr="00BC5754">
        <w:rPr>
          <w:rFonts w:ascii="Arial" w:hAnsi="Arial" w:cs="Arial"/>
          <w:sz w:val="22"/>
          <w:lang w:val="es-CO"/>
        </w:rPr>
        <w:t xml:space="preserve">. La ejecución del Plan </w:t>
      </w:r>
      <w:r>
        <w:rPr>
          <w:rFonts w:ascii="Arial" w:hAnsi="Arial" w:cs="Arial"/>
          <w:sz w:val="22"/>
          <w:lang w:val="es-CO"/>
        </w:rPr>
        <w:t>es responsabilidad d</w:t>
      </w:r>
      <w:r w:rsidRPr="00BC5754">
        <w:rPr>
          <w:rFonts w:ascii="Arial" w:hAnsi="Arial" w:cs="Arial"/>
          <w:sz w:val="22"/>
          <w:lang w:val="es-CO"/>
        </w:rPr>
        <w:t xml:space="preserve">e una Comisión Interministerial presidida por el Ministerio de la Presidencia y compuesta por los Ministerios de Salud, Economía y Finanzas, Desarrollo Agropecuario, Desarrollo Social, Trabajo y Desarrollo Laboral, y los gobiernos locales. </w:t>
      </w:r>
      <w:r>
        <w:rPr>
          <w:rFonts w:ascii="Arial" w:hAnsi="Arial" w:cs="Arial"/>
          <w:sz w:val="22"/>
          <w:lang w:val="es-CO"/>
        </w:rPr>
        <w:t>Las personas elegibles deben pertenecer a uno de los siguientes grupos: (i)</w:t>
      </w:r>
      <w:r w:rsidRPr="00BC5754">
        <w:rPr>
          <w:rFonts w:ascii="Arial" w:hAnsi="Arial" w:cs="Arial"/>
          <w:sz w:val="22"/>
          <w:lang w:val="es-CO"/>
        </w:rPr>
        <w:t xml:space="preserve"> personas en</w:t>
      </w:r>
      <w:r w:rsidRPr="00BC5754">
        <w:rPr>
          <w:rFonts w:ascii="Arial" w:hAnsi="Arial" w:cs="Arial"/>
          <w:sz w:val="22"/>
          <w:highlight w:val="white"/>
          <w:lang w:val="es-CO"/>
        </w:rPr>
        <w:t xml:space="preserve"> pobreza multidimensional</w:t>
      </w:r>
      <w:r>
        <w:rPr>
          <w:rFonts w:ascii="Arial" w:hAnsi="Arial" w:cs="Arial"/>
          <w:sz w:val="22"/>
          <w:highlight w:val="white"/>
          <w:lang w:val="es-CO"/>
        </w:rPr>
        <w:t>; (</w:t>
      </w:r>
      <w:proofErr w:type="spellStart"/>
      <w:r>
        <w:rPr>
          <w:rFonts w:ascii="Arial" w:hAnsi="Arial" w:cs="Arial"/>
          <w:sz w:val="22"/>
          <w:highlight w:val="white"/>
          <w:lang w:val="es-CO"/>
        </w:rPr>
        <w:t>ii</w:t>
      </w:r>
      <w:proofErr w:type="spellEnd"/>
      <w:r>
        <w:rPr>
          <w:rFonts w:ascii="Arial" w:hAnsi="Arial" w:cs="Arial"/>
          <w:sz w:val="22"/>
          <w:highlight w:val="white"/>
          <w:lang w:val="es-CO"/>
        </w:rPr>
        <w:t xml:space="preserve">) personas que </w:t>
      </w:r>
      <w:r w:rsidRPr="00BC5754">
        <w:rPr>
          <w:rFonts w:ascii="Arial" w:hAnsi="Arial" w:cs="Arial"/>
          <w:sz w:val="22"/>
          <w:highlight w:val="white"/>
          <w:lang w:val="es-CO"/>
        </w:rPr>
        <w:t>viven en áreas de difícil acceso</w:t>
      </w:r>
      <w:r>
        <w:rPr>
          <w:rFonts w:ascii="Arial" w:hAnsi="Arial" w:cs="Arial"/>
          <w:sz w:val="22"/>
          <w:highlight w:val="white"/>
          <w:lang w:val="es-CO"/>
        </w:rPr>
        <w:t>; (</w:t>
      </w:r>
      <w:proofErr w:type="spellStart"/>
      <w:r>
        <w:rPr>
          <w:rFonts w:ascii="Arial" w:hAnsi="Arial" w:cs="Arial"/>
          <w:sz w:val="22"/>
          <w:highlight w:val="white"/>
          <w:lang w:val="es-CO"/>
        </w:rPr>
        <w:t>iii</w:t>
      </w:r>
      <w:proofErr w:type="spellEnd"/>
      <w:r>
        <w:rPr>
          <w:rFonts w:ascii="Arial" w:hAnsi="Arial" w:cs="Arial"/>
          <w:sz w:val="22"/>
          <w:highlight w:val="white"/>
          <w:lang w:val="es-CO"/>
        </w:rPr>
        <w:t xml:space="preserve">) </w:t>
      </w:r>
      <w:r w:rsidRPr="00BC5754">
        <w:rPr>
          <w:rFonts w:ascii="Arial" w:hAnsi="Arial" w:cs="Arial"/>
          <w:sz w:val="22"/>
          <w:highlight w:val="white"/>
          <w:lang w:val="es-CO"/>
        </w:rPr>
        <w:t>familias vulnerables</w:t>
      </w:r>
      <w:r>
        <w:rPr>
          <w:rFonts w:ascii="Arial" w:hAnsi="Arial" w:cs="Arial"/>
          <w:sz w:val="22"/>
          <w:highlight w:val="white"/>
          <w:lang w:val="es-CO"/>
        </w:rPr>
        <w:t>; y (</w:t>
      </w:r>
      <w:proofErr w:type="spellStart"/>
      <w:r>
        <w:rPr>
          <w:rFonts w:ascii="Arial" w:hAnsi="Arial" w:cs="Arial"/>
          <w:sz w:val="22"/>
          <w:highlight w:val="white"/>
          <w:lang w:val="es-CO"/>
        </w:rPr>
        <w:t>iv</w:t>
      </w:r>
      <w:proofErr w:type="spellEnd"/>
      <w:r>
        <w:rPr>
          <w:rFonts w:ascii="Arial" w:hAnsi="Arial" w:cs="Arial"/>
          <w:sz w:val="22"/>
          <w:highlight w:val="white"/>
          <w:lang w:val="es-CO"/>
        </w:rPr>
        <w:t>) </w:t>
      </w:r>
      <w:r w:rsidRPr="00BC5754">
        <w:rPr>
          <w:rFonts w:ascii="Arial" w:hAnsi="Arial" w:cs="Arial"/>
          <w:sz w:val="22"/>
          <w:highlight w:val="white"/>
          <w:lang w:val="es-CO"/>
        </w:rPr>
        <w:t>personas dedicadas a actividades económicas por cuenta propia</w:t>
      </w:r>
      <w:r w:rsidRPr="00FB3701">
        <w:rPr>
          <w:rStyle w:val="FootnoteReference"/>
          <w:rFonts w:ascii="Arial" w:eastAsiaTheme="majorEastAsia" w:hAnsi="Arial" w:cs="Arial"/>
          <w:sz w:val="22"/>
          <w:highlight w:val="white"/>
          <w:lang w:val="es-CO"/>
        </w:rPr>
        <w:footnoteReference w:id="31"/>
      </w:r>
      <w:r w:rsidRPr="00BC5754">
        <w:rPr>
          <w:rFonts w:ascii="Arial" w:hAnsi="Arial" w:cs="Arial"/>
          <w:sz w:val="22"/>
          <w:highlight w:val="white"/>
          <w:lang w:val="es-CO"/>
        </w:rPr>
        <w:t>.</w:t>
      </w:r>
      <w:r w:rsidRPr="00BC5754">
        <w:rPr>
          <w:rFonts w:ascii="Arial" w:hAnsi="Arial" w:cs="Arial"/>
          <w:sz w:val="22"/>
          <w:lang w:val="es-CO"/>
        </w:rPr>
        <w:t xml:space="preserve">  </w:t>
      </w:r>
    </w:p>
    <w:p w14:paraId="59A14F1F" w14:textId="2C38A25D" w:rsidR="00B461C3" w:rsidRPr="005853E3" w:rsidRDefault="00B461C3" w:rsidP="0035253C">
      <w:pPr>
        <w:pStyle w:val="Paragraph"/>
        <w:tabs>
          <w:tab w:val="left" w:pos="720"/>
        </w:tabs>
        <w:ind w:left="0" w:firstLine="0"/>
        <w:rPr>
          <w:rFonts w:ascii="Arial" w:hAnsi="Arial" w:cs="Arial"/>
          <w:sz w:val="22"/>
          <w:highlight w:val="white"/>
          <w:vertAlign w:val="superscript"/>
          <w:lang w:val="es-CO"/>
        </w:rPr>
      </w:pPr>
      <w:r>
        <w:rPr>
          <w:rFonts w:ascii="Arial" w:hAnsi="Arial" w:cs="Arial"/>
          <w:sz w:val="22"/>
          <w:lang w:val="es-CO"/>
        </w:rPr>
        <w:t>Panamá Solidario</w:t>
      </w:r>
      <w:r w:rsidRPr="00BC5754">
        <w:rPr>
          <w:rFonts w:ascii="Arial" w:hAnsi="Arial" w:cs="Arial"/>
          <w:sz w:val="22"/>
          <w:lang w:val="es-CO"/>
        </w:rPr>
        <w:t xml:space="preserve"> </w:t>
      </w:r>
      <w:r>
        <w:rPr>
          <w:rFonts w:ascii="Arial" w:hAnsi="Arial" w:cs="Arial"/>
          <w:sz w:val="22"/>
          <w:lang w:val="es-CO"/>
        </w:rPr>
        <w:t>mantiene</w:t>
      </w:r>
      <w:r w:rsidRPr="00BC5754">
        <w:rPr>
          <w:rFonts w:ascii="Arial" w:hAnsi="Arial" w:cs="Arial"/>
          <w:sz w:val="22"/>
          <w:lang w:val="es-CO"/>
        </w:rPr>
        <w:t xml:space="preserve"> las siguientes modalidades</w:t>
      </w:r>
      <w:r>
        <w:rPr>
          <w:rFonts w:ascii="Arial" w:hAnsi="Arial" w:cs="Arial"/>
          <w:sz w:val="22"/>
          <w:lang w:val="es-CO"/>
        </w:rPr>
        <w:t xml:space="preserve"> de alivio</w:t>
      </w:r>
      <w:r w:rsidRPr="00BC5754">
        <w:rPr>
          <w:rFonts w:ascii="Arial" w:hAnsi="Arial" w:cs="Arial"/>
          <w:sz w:val="22"/>
          <w:lang w:val="es-CO"/>
        </w:rPr>
        <w:t>: (i)</w:t>
      </w:r>
      <w:r>
        <w:rPr>
          <w:rFonts w:ascii="Arial" w:hAnsi="Arial" w:cs="Arial"/>
          <w:sz w:val="22"/>
          <w:lang w:val="es-CO"/>
        </w:rPr>
        <w:t> </w:t>
      </w:r>
      <w:r w:rsidRPr="00814724">
        <w:rPr>
          <w:rFonts w:ascii="Arial" w:hAnsi="Arial" w:cs="Arial"/>
          <w:sz w:val="22"/>
          <w:lang w:val="es-CO"/>
        </w:rPr>
        <w:t xml:space="preserve">bolsas de comida entregadas </w:t>
      </w:r>
      <w:r>
        <w:rPr>
          <w:rFonts w:ascii="Arial" w:hAnsi="Arial" w:cs="Arial"/>
          <w:sz w:val="22"/>
          <w:lang w:val="es-CO"/>
        </w:rPr>
        <w:t xml:space="preserve">quincenal o mensualmente </w:t>
      </w:r>
      <w:r w:rsidRPr="00814724">
        <w:rPr>
          <w:rFonts w:ascii="Arial" w:hAnsi="Arial" w:cs="Arial"/>
          <w:sz w:val="22"/>
          <w:lang w:val="es-CO"/>
        </w:rPr>
        <w:t>a hogares en áreas rurales y de difícil acceso; (</w:t>
      </w:r>
      <w:proofErr w:type="spellStart"/>
      <w:r w:rsidRPr="00814724">
        <w:rPr>
          <w:rFonts w:ascii="Arial" w:hAnsi="Arial" w:cs="Arial"/>
          <w:sz w:val="22"/>
          <w:lang w:val="es-CO"/>
        </w:rPr>
        <w:t>ii</w:t>
      </w:r>
      <w:proofErr w:type="spellEnd"/>
      <w:r w:rsidRPr="00814724">
        <w:rPr>
          <w:rFonts w:ascii="Arial" w:hAnsi="Arial" w:cs="Arial"/>
          <w:sz w:val="22"/>
          <w:lang w:val="es-CO"/>
        </w:rPr>
        <w:t>)</w:t>
      </w:r>
      <w:r>
        <w:rPr>
          <w:rFonts w:ascii="Arial" w:hAnsi="Arial" w:cs="Arial"/>
          <w:sz w:val="22"/>
          <w:lang w:val="es-CO"/>
        </w:rPr>
        <w:t> </w:t>
      </w:r>
      <w:r w:rsidRPr="00814724">
        <w:rPr>
          <w:rFonts w:ascii="Arial" w:hAnsi="Arial" w:cs="Arial"/>
          <w:sz w:val="22"/>
          <w:lang w:val="es-CO"/>
        </w:rPr>
        <w:t>el bono solidario</w:t>
      </w:r>
      <w:r>
        <w:rPr>
          <w:rFonts w:ascii="Arial" w:hAnsi="Arial" w:cs="Arial"/>
          <w:sz w:val="22"/>
          <w:lang w:val="es-CO"/>
        </w:rPr>
        <w:t xml:space="preserve"> que </w:t>
      </w:r>
      <w:r w:rsidRPr="00BC5754">
        <w:rPr>
          <w:rFonts w:ascii="Arial" w:hAnsi="Arial" w:cs="Arial"/>
          <w:sz w:val="22"/>
          <w:lang w:val="es-CO"/>
        </w:rPr>
        <w:t>es</w:t>
      </w:r>
      <w:r w:rsidRPr="00BC5754">
        <w:rPr>
          <w:rFonts w:ascii="Arial" w:hAnsi="Arial" w:cs="Arial"/>
          <w:sz w:val="22"/>
          <w:highlight w:val="white"/>
          <w:lang w:val="es-CO"/>
        </w:rPr>
        <w:t xml:space="preserve"> entregado a los hogares por medio de una libreta de cheques </w:t>
      </w:r>
      <w:r>
        <w:rPr>
          <w:rFonts w:ascii="Arial" w:hAnsi="Arial" w:cs="Arial"/>
          <w:sz w:val="22"/>
          <w:highlight w:val="white"/>
          <w:lang w:val="es-CO"/>
        </w:rPr>
        <w:t xml:space="preserve">equivalente a </w:t>
      </w:r>
      <w:r w:rsidRPr="00BC5754">
        <w:rPr>
          <w:rFonts w:ascii="Arial" w:hAnsi="Arial" w:cs="Arial"/>
          <w:sz w:val="22"/>
          <w:highlight w:val="white"/>
          <w:lang w:val="es-CO"/>
        </w:rPr>
        <w:t>US$80 para la compra de artículos de primera necesidad; y (</w:t>
      </w:r>
      <w:proofErr w:type="spellStart"/>
      <w:r w:rsidRPr="00BC5754">
        <w:rPr>
          <w:rFonts w:ascii="Arial" w:hAnsi="Arial" w:cs="Arial"/>
          <w:sz w:val="22"/>
          <w:highlight w:val="white"/>
          <w:lang w:val="es-CO"/>
        </w:rPr>
        <w:t>iii</w:t>
      </w:r>
      <w:proofErr w:type="spellEnd"/>
      <w:r w:rsidRPr="00BC5754">
        <w:rPr>
          <w:rFonts w:ascii="Arial" w:hAnsi="Arial" w:cs="Arial"/>
          <w:sz w:val="22"/>
          <w:highlight w:val="white"/>
          <w:lang w:val="es-CO"/>
        </w:rPr>
        <w:t>)</w:t>
      </w:r>
      <w:r>
        <w:rPr>
          <w:rFonts w:ascii="Arial" w:hAnsi="Arial" w:cs="Arial"/>
          <w:sz w:val="22"/>
          <w:highlight w:val="white"/>
          <w:lang w:val="es-CO"/>
        </w:rPr>
        <w:t> </w:t>
      </w:r>
      <w:r w:rsidRPr="00BC5754">
        <w:rPr>
          <w:rFonts w:ascii="Arial" w:hAnsi="Arial" w:cs="Arial"/>
          <w:sz w:val="22"/>
          <w:highlight w:val="white"/>
          <w:lang w:val="es-CO"/>
        </w:rPr>
        <w:t>el</w:t>
      </w:r>
      <w:r>
        <w:rPr>
          <w:rFonts w:ascii="Arial" w:hAnsi="Arial" w:cs="Arial"/>
          <w:sz w:val="22"/>
          <w:highlight w:val="white"/>
          <w:lang w:val="es-CO"/>
        </w:rPr>
        <w:t xml:space="preserve"> </w:t>
      </w:r>
      <w:r>
        <w:rPr>
          <w:rFonts w:ascii="Arial" w:hAnsi="Arial" w:cs="Arial"/>
          <w:sz w:val="22"/>
          <w:lang w:val="es-CO"/>
        </w:rPr>
        <w:t>V</w:t>
      </w:r>
      <w:r w:rsidRPr="007939A4">
        <w:rPr>
          <w:rFonts w:ascii="Arial" w:hAnsi="Arial" w:cs="Arial"/>
          <w:sz w:val="22"/>
          <w:lang w:val="es-CO"/>
        </w:rPr>
        <w:t xml:space="preserve">ale </w:t>
      </w:r>
      <w:r>
        <w:rPr>
          <w:rFonts w:ascii="Arial" w:hAnsi="Arial" w:cs="Arial"/>
          <w:sz w:val="22"/>
          <w:lang w:val="es-CO"/>
        </w:rPr>
        <w:t>D</w:t>
      </w:r>
      <w:r w:rsidRPr="007939A4">
        <w:rPr>
          <w:rFonts w:ascii="Arial" w:hAnsi="Arial" w:cs="Arial"/>
          <w:sz w:val="22"/>
          <w:lang w:val="es-CO"/>
        </w:rPr>
        <w:t>igital</w:t>
      </w:r>
      <w:r>
        <w:rPr>
          <w:rFonts w:ascii="Arial" w:hAnsi="Arial" w:cs="Arial"/>
          <w:sz w:val="22"/>
          <w:lang w:val="es-CO"/>
        </w:rPr>
        <w:t xml:space="preserve"> (VD) que mensualmente acredita a sus beneficiarios un monto total de </w:t>
      </w:r>
      <w:r w:rsidRPr="00BC5754">
        <w:rPr>
          <w:rFonts w:ascii="Arial" w:hAnsi="Arial" w:cs="Arial"/>
          <w:sz w:val="22"/>
          <w:lang w:val="es-CO"/>
        </w:rPr>
        <w:t>US$100</w:t>
      </w:r>
      <w:r>
        <w:rPr>
          <w:rFonts w:ascii="Arial" w:hAnsi="Arial" w:cs="Arial"/>
          <w:sz w:val="22"/>
          <w:lang w:val="es-CO"/>
        </w:rPr>
        <w:t xml:space="preserve"> para</w:t>
      </w:r>
      <w:r w:rsidRPr="00BC5754">
        <w:rPr>
          <w:rFonts w:ascii="Arial" w:hAnsi="Arial" w:cs="Arial"/>
          <w:sz w:val="22"/>
          <w:lang w:val="es-CO"/>
        </w:rPr>
        <w:t xml:space="preserve"> </w:t>
      </w:r>
      <w:r>
        <w:rPr>
          <w:rFonts w:ascii="Arial" w:hAnsi="Arial" w:cs="Arial"/>
          <w:sz w:val="22"/>
          <w:lang w:val="es-CO"/>
        </w:rPr>
        <w:t>la compra de</w:t>
      </w:r>
      <w:r w:rsidRPr="00BC5754">
        <w:rPr>
          <w:rFonts w:ascii="Arial" w:hAnsi="Arial" w:cs="Arial"/>
          <w:sz w:val="22"/>
          <w:lang w:val="es-CO"/>
        </w:rPr>
        <w:t xml:space="preserve"> alimentos y medicamentos</w:t>
      </w:r>
      <w:r>
        <w:rPr>
          <w:rFonts w:ascii="Arial" w:hAnsi="Arial" w:cs="Arial"/>
          <w:sz w:val="22"/>
          <w:lang w:val="es-CO"/>
        </w:rPr>
        <w:t xml:space="preserve"> en comercios autorizados</w:t>
      </w:r>
      <w:r w:rsidRPr="00905954">
        <w:rPr>
          <w:rFonts w:ascii="Arial" w:hAnsi="Arial" w:cs="Arial"/>
          <w:sz w:val="22"/>
          <w:vertAlign w:val="superscript"/>
          <w:lang w:val="es-CO"/>
        </w:rPr>
        <w:footnoteReference w:id="32"/>
      </w:r>
      <w:r w:rsidRPr="00BC5754">
        <w:rPr>
          <w:rFonts w:ascii="Arial" w:hAnsi="Arial" w:cs="Arial"/>
          <w:sz w:val="22"/>
          <w:lang w:val="es-CO"/>
        </w:rPr>
        <w:t>.</w:t>
      </w:r>
      <w:r w:rsidRPr="00BC5754">
        <w:rPr>
          <w:rFonts w:ascii="Arial" w:hAnsi="Arial" w:cs="Arial"/>
          <w:sz w:val="22"/>
          <w:highlight w:val="white"/>
          <w:lang w:val="es-CO"/>
        </w:rPr>
        <w:t xml:space="preserve"> </w:t>
      </w:r>
    </w:p>
    <w:p w14:paraId="1C6533E7" w14:textId="249D7AEA" w:rsidR="00B461C3" w:rsidRPr="006F31EF" w:rsidRDefault="00B461C3" w:rsidP="0035253C">
      <w:pPr>
        <w:pStyle w:val="Paragraph"/>
        <w:tabs>
          <w:tab w:val="left" w:pos="720"/>
        </w:tabs>
        <w:ind w:left="0" w:firstLine="0"/>
        <w:rPr>
          <w:rFonts w:ascii="Arial" w:hAnsi="Arial" w:cs="Arial"/>
          <w:sz w:val="22"/>
          <w:highlight w:val="white"/>
          <w:vertAlign w:val="superscript"/>
          <w:lang w:val="es-CO"/>
        </w:rPr>
      </w:pPr>
      <w:r w:rsidRPr="00E76C24">
        <w:rPr>
          <w:rFonts w:ascii="Arial" w:hAnsi="Arial" w:cs="Arial"/>
          <w:sz w:val="22"/>
          <w:highlight w:val="white"/>
          <w:lang w:val="es-CO"/>
        </w:rPr>
        <w:t xml:space="preserve">El VD es una medida temporal de apoyo al consumo que, además de los grupos poblacionales </w:t>
      </w:r>
      <w:r w:rsidRPr="006F31EF">
        <w:rPr>
          <w:rFonts w:ascii="Arial" w:hAnsi="Arial" w:cs="Arial"/>
          <w:sz w:val="22"/>
          <w:highlight w:val="white"/>
          <w:lang w:val="es-CO"/>
        </w:rPr>
        <w:t>definidos en el Decreto No. 400</w:t>
      </w:r>
      <w:r>
        <w:rPr>
          <w:rFonts w:ascii="Arial" w:hAnsi="Arial" w:cs="Arial"/>
          <w:sz w:val="22"/>
          <w:highlight w:val="white"/>
          <w:lang w:val="es-CO"/>
        </w:rPr>
        <w:t>,</w:t>
      </w:r>
      <w:r w:rsidRPr="006F31EF">
        <w:rPr>
          <w:rFonts w:ascii="Arial" w:hAnsi="Arial" w:cs="Arial"/>
          <w:sz w:val="22"/>
          <w:highlight w:val="white"/>
          <w:lang w:val="es-CO"/>
        </w:rPr>
        <w:t xml:space="preserve"> incluye entre sus beneficiarios a los trabajadores formales cuyos contratos son suspendidos provisionalmente</w:t>
      </w:r>
      <w:r>
        <w:rPr>
          <w:rFonts w:ascii="Arial" w:hAnsi="Arial" w:cs="Arial"/>
          <w:sz w:val="22"/>
          <w:highlight w:val="white"/>
          <w:lang w:val="es-CO"/>
        </w:rPr>
        <w:t>,</w:t>
      </w:r>
      <w:r w:rsidRPr="006F31EF">
        <w:rPr>
          <w:rFonts w:ascii="Arial" w:hAnsi="Arial" w:cs="Arial"/>
          <w:sz w:val="22"/>
          <w:highlight w:val="white"/>
          <w:lang w:val="es-CO"/>
        </w:rPr>
        <w:t xml:space="preserve"> producto del cierre temporal de las </w:t>
      </w:r>
      <w:r w:rsidRPr="006F31EF">
        <w:rPr>
          <w:rFonts w:ascii="Arial" w:hAnsi="Arial" w:cs="Arial"/>
          <w:sz w:val="22"/>
          <w:highlight w:val="white"/>
          <w:lang w:val="es-CO"/>
        </w:rPr>
        <w:lastRenderedPageBreak/>
        <w:t>empresas</w:t>
      </w:r>
      <w:r>
        <w:rPr>
          <w:rStyle w:val="FootnoteReference"/>
          <w:rFonts w:ascii="Arial" w:hAnsi="Arial" w:cs="Arial"/>
          <w:sz w:val="22"/>
          <w:highlight w:val="white"/>
          <w:lang w:val="es-CO"/>
        </w:rPr>
        <w:footnoteReference w:id="33"/>
      </w:r>
      <w:r w:rsidRPr="00E76C24">
        <w:rPr>
          <w:rFonts w:ascii="Arial" w:hAnsi="Arial" w:cs="Arial"/>
          <w:sz w:val="22"/>
          <w:highlight w:val="white"/>
          <w:lang w:val="es-CO"/>
        </w:rPr>
        <w:t>. De los 871</w:t>
      </w:r>
      <w:r>
        <w:rPr>
          <w:rFonts w:ascii="Arial" w:hAnsi="Arial" w:cs="Arial"/>
          <w:sz w:val="22"/>
          <w:highlight w:val="white"/>
          <w:lang w:val="es-CO"/>
        </w:rPr>
        <w:t>.</w:t>
      </w:r>
      <w:r w:rsidRPr="00E76C24">
        <w:rPr>
          <w:rFonts w:ascii="Arial" w:hAnsi="Arial" w:cs="Arial"/>
          <w:sz w:val="22"/>
          <w:highlight w:val="white"/>
          <w:lang w:val="es-CO"/>
        </w:rPr>
        <w:t>347 beneficiarios activos</w:t>
      </w:r>
      <w:r>
        <w:rPr>
          <w:rFonts w:ascii="Arial" w:hAnsi="Arial" w:cs="Arial"/>
          <w:sz w:val="22"/>
          <w:highlight w:val="white"/>
          <w:lang w:val="es-CO"/>
        </w:rPr>
        <w:t xml:space="preserve"> en octubre</w:t>
      </w:r>
      <w:r w:rsidRPr="00E76C24">
        <w:rPr>
          <w:rFonts w:ascii="Arial" w:hAnsi="Arial" w:cs="Arial"/>
          <w:sz w:val="22"/>
          <w:highlight w:val="white"/>
          <w:lang w:val="es-CO"/>
        </w:rPr>
        <w:t xml:space="preserve">, </w:t>
      </w:r>
      <w:r w:rsidRPr="006F31EF">
        <w:rPr>
          <w:rFonts w:ascii="Arial" w:hAnsi="Arial" w:cs="Arial"/>
          <w:sz w:val="22"/>
          <w:highlight w:val="white"/>
          <w:lang w:val="es-CO"/>
        </w:rPr>
        <w:t xml:space="preserve">el 20% </w:t>
      </w:r>
      <w:r>
        <w:rPr>
          <w:rFonts w:ascii="Arial" w:hAnsi="Arial" w:cs="Arial"/>
          <w:sz w:val="22"/>
          <w:highlight w:val="white"/>
          <w:lang w:val="es-CO"/>
        </w:rPr>
        <w:t>son personas que trabajaban en el</w:t>
      </w:r>
      <w:r w:rsidRPr="006F31EF">
        <w:rPr>
          <w:rFonts w:ascii="Arial" w:hAnsi="Arial" w:cs="Arial"/>
          <w:sz w:val="22"/>
          <w:highlight w:val="white"/>
          <w:lang w:val="es-CO"/>
        </w:rPr>
        <w:t xml:space="preserve"> sector formal</w:t>
      </w:r>
      <w:r>
        <w:rPr>
          <w:rStyle w:val="FootnoteReference"/>
          <w:rFonts w:ascii="Arial" w:hAnsi="Arial" w:cs="Arial"/>
          <w:sz w:val="22"/>
          <w:highlight w:val="white"/>
          <w:lang w:val="es-CO"/>
        </w:rPr>
        <w:footnoteReference w:id="34"/>
      </w:r>
      <w:r w:rsidRPr="00E76C24">
        <w:rPr>
          <w:rFonts w:ascii="Arial" w:hAnsi="Arial" w:cs="Arial"/>
          <w:sz w:val="22"/>
          <w:highlight w:val="white"/>
          <w:lang w:val="es-CO"/>
        </w:rPr>
        <w:t>. El padrón de beneficiarios del VD es consolidado</w:t>
      </w:r>
      <w:r w:rsidRPr="006F31EF">
        <w:rPr>
          <w:rFonts w:ascii="Arial" w:hAnsi="Arial" w:cs="Arial"/>
          <w:sz w:val="22"/>
          <w:highlight w:val="white"/>
          <w:lang w:val="es-CO"/>
        </w:rPr>
        <w:t xml:space="preserve"> y administrado por la Autoridad de Innovación Gubernamental (AIG)</w:t>
      </w:r>
      <w:r>
        <w:rPr>
          <w:rFonts w:ascii="Arial" w:hAnsi="Arial" w:cs="Arial"/>
          <w:sz w:val="22"/>
          <w:highlight w:val="white"/>
          <w:lang w:val="es-CO"/>
        </w:rPr>
        <w:t>,</w:t>
      </w:r>
      <w:r w:rsidRPr="006F31EF">
        <w:rPr>
          <w:rFonts w:ascii="Arial" w:hAnsi="Arial" w:cs="Arial"/>
          <w:sz w:val="22"/>
          <w:highlight w:val="white"/>
          <w:lang w:val="es-CO"/>
        </w:rPr>
        <w:t xml:space="preserve"> que realiza cruces de información con las bases de datos estatales a fin de asegurar que solamente quienes son elegibles al programa sean incluidos y evitar duplicaciones en la entrega del beneficio. Por ejemplo, para asegurar la exclusión de funcionarios públicos, jubilados y pensionados,</w:t>
      </w:r>
      <w:r>
        <w:rPr>
          <w:rFonts w:ascii="Arial" w:hAnsi="Arial" w:cs="Arial"/>
          <w:sz w:val="22"/>
          <w:highlight w:val="white"/>
          <w:lang w:val="es-CO"/>
        </w:rPr>
        <w:t xml:space="preserve"> y personas con ingresos anuales superiores a US$11.000</w:t>
      </w:r>
      <w:r w:rsidRPr="006F31EF">
        <w:rPr>
          <w:rFonts w:ascii="Arial" w:hAnsi="Arial" w:cs="Arial"/>
          <w:sz w:val="22"/>
          <w:highlight w:val="white"/>
          <w:lang w:val="es-CO"/>
        </w:rPr>
        <w:t xml:space="preserve"> la AIG cruza la base de datos del VD con los datos de la Caja de Seguro Social</w:t>
      </w:r>
      <w:r>
        <w:rPr>
          <w:rFonts w:ascii="Arial" w:hAnsi="Arial" w:cs="Arial"/>
          <w:sz w:val="22"/>
          <w:highlight w:val="white"/>
          <w:lang w:val="es-CO"/>
        </w:rPr>
        <w:t xml:space="preserve"> y la </w:t>
      </w:r>
      <w:r w:rsidRPr="006F31EF">
        <w:rPr>
          <w:rFonts w:ascii="Arial" w:hAnsi="Arial" w:cs="Arial"/>
          <w:sz w:val="22"/>
          <w:highlight w:val="white"/>
          <w:lang w:val="es-CO"/>
        </w:rPr>
        <w:t xml:space="preserve">Dirección General de Ingresos. </w:t>
      </w:r>
      <w:r>
        <w:rPr>
          <w:rFonts w:ascii="Arial" w:hAnsi="Arial" w:cs="Arial"/>
          <w:sz w:val="22"/>
          <w:highlight w:val="white"/>
          <w:lang w:val="es-CO"/>
        </w:rPr>
        <w:t xml:space="preserve">La AIG también se encarga de excluir a los </w:t>
      </w:r>
      <w:r w:rsidRPr="00E76C24">
        <w:rPr>
          <w:rFonts w:ascii="Arial" w:hAnsi="Arial" w:cs="Arial"/>
          <w:sz w:val="22"/>
          <w:highlight w:val="white"/>
          <w:lang w:val="es-CO"/>
        </w:rPr>
        <w:t xml:space="preserve">trabajadores </w:t>
      </w:r>
      <w:r>
        <w:rPr>
          <w:rFonts w:ascii="Arial" w:hAnsi="Arial" w:cs="Arial"/>
          <w:sz w:val="22"/>
          <w:highlight w:val="white"/>
          <w:lang w:val="es-CO"/>
        </w:rPr>
        <w:t xml:space="preserve">al momento de </w:t>
      </w:r>
      <w:r w:rsidRPr="00E76C24">
        <w:rPr>
          <w:rFonts w:ascii="Arial" w:hAnsi="Arial" w:cs="Arial"/>
          <w:sz w:val="22"/>
          <w:highlight w:val="white"/>
          <w:lang w:val="es-CO"/>
        </w:rPr>
        <w:t>reactivarse sus contratos laborales</w:t>
      </w:r>
      <w:r>
        <w:rPr>
          <w:rFonts w:ascii="Arial" w:hAnsi="Arial" w:cs="Arial"/>
          <w:sz w:val="22"/>
          <w:highlight w:val="white"/>
          <w:lang w:val="es-CO"/>
        </w:rPr>
        <w:t xml:space="preserve"> o reactivarse su sector económico. De hecho, </w:t>
      </w:r>
      <w:r w:rsidRPr="007A5CDC">
        <w:rPr>
          <w:rFonts w:ascii="Arial" w:hAnsi="Arial" w:cs="Arial"/>
          <w:color w:val="000000" w:themeColor="text1"/>
          <w:sz w:val="22"/>
          <w:highlight w:val="white"/>
          <w:lang w:val="es-CO"/>
        </w:rPr>
        <w:t xml:space="preserve">al 8 de octubre, </w:t>
      </w:r>
      <w:r w:rsidRPr="007A5CDC">
        <w:rPr>
          <w:rFonts w:ascii="Arial" w:hAnsi="Arial" w:cs="Arial"/>
          <w:color w:val="000000" w:themeColor="text1"/>
          <w:sz w:val="22"/>
          <w:lang w:val="es-CO"/>
        </w:rPr>
        <w:t xml:space="preserve">un total de </w:t>
      </w:r>
      <w:r w:rsidRPr="007A5CDC">
        <w:rPr>
          <w:rFonts w:ascii="Arial" w:hAnsi="Arial" w:cs="Arial"/>
          <w:color w:val="000000" w:themeColor="text1"/>
          <w:sz w:val="22"/>
          <w:highlight w:val="white"/>
          <w:lang w:val="es-CO"/>
        </w:rPr>
        <w:t>75.525 trabajadores formales reactivados (26% del total de contratos suspendidos desde el 20 de marzo)</w:t>
      </w:r>
      <w:r w:rsidRPr="007A5CDC">
        <w:rPr>
          <w:rStyle w:val="FootnoteReference"/>
          <w:rFonts w:ascii="Arial" w:hAnsi="Arial" w:cs="Arial"/>
          <w:color w:val="000000" w:themeColor="text1"/>
          <w:sz w:val="22"/>
          <w:highlight w:val="white"/>
          <w:lang w:val="es-CO"/>
        </w:rPr>
        <w:footnoteReference w:id="35"/>
      </w:r>
      <w:r w:rsidRPr="007A5CDC">
        <w:rPr>
          <w:rFonts w:ascii="Arial" w:hAnsi="Arial" w:cs="Arial"/>
          <w:color w:val="000000" w:themeColor="text1"/>
          <w:sz w:val="22"/>
          <w:highlight w:val="white"/>
          <w:lang w:val="es-CO"/>
        </w:rPr>
        <w:t xml:space="preserve"> ya no reciben beneficios del programa. En el caso de los trabajadores del sector no formal que están identificados en bases de datos del GP, como las de la Autoridad de Turismo de Panamá, </w:t>
      </w:r>
      <w:r>
        <w:rPr>
          <w:rFonts w:ascii="Arial" w:hAnsi="Arial" w:cs="Arial"/>
          <w:color w:val="000000" w:themeColor="text1"/>
          <w:sz w:val="22"/>
          <w:highlight w:val="white"/>
          <w:lang w:val="es-CO"/>
        </w:rPr>
        <w:t>los municipios</w:t>
      </w:r>
      <w:r w:rsidRPr="007A5CDC">
        <w:rPr>
          <w:rFonts w:ascii="Arial" w:hAnsi="Arial" w:cs="Arial"/>
          <w:color w:val="000000" w:themeColor="text1"/>
          <w:sz w:val="22"/>
          <w:highlight w:val="white"/>
          <w:lang w:val="es-CO"/>
        </w:rPr>
        <w:t>, o el Ministerio de Comercio</w:t>
      </w:r>
      <w:r>
        <w:rPr>
          <w:rFonts w:ascii="Arial" w:hAnsi="Arial" w:cs="Arial"/>
          <w:color w:val="000000" w:themeColor="text1"/>
          <w:sz w:val="22"/>
          <w:highlight w:val="white"/>
          <w:lang w:val="es-CO"/>
        </w:rPr>
        <w:t xml:space="preserve"> e Industrias</w:t>
      </w:r>
      <w:r w:rsidRPr="007A5CDC">
        <w:rPr>
          <w:rFonts w:ascii="Arial" w:hAnsi="Arial" w:cs="Arial"/>
          <w:color w:val="000000" w:themeColor="text1"/>
          <w:sz w:val="22"/>
          <w:highlight w:val="white"/>
          <w:lang w:val="es-CO"/>
        </w:rPr>
        <w:t xml:space="preserve">, éstos son excluidos del programa en la medida en que se activan los bloques del sector económico al que pertenecen. Para el resto de los beneficiarios, su participación </w:t>
      </w:r>
      <w:r w:rsidR="00BD5BE6">
        <w:rPr>
          <w:rFonts w:ascii="Arial" w:hAnsi="Arial" w:cs="Arial"/>
          <w:color w:val="000000" w:themeColor="text1"/>
          <w:sz w:val="22"/>
          <w:highlight w:val="white"/>
          <w:lang w:val="es-CO"/>
        </w:rPr>
        <w:t>en el</w:t>
      </w:r>
      <w:r w:rsidRPr="007A5CDC">
        <w:rPr>
          <w:rFonts w:ascii="Arial" w:hAnsi="Arial" w:cs="Arial"/>
          <w:color w:val="000000" w:themeColor="text1"/>
          <w:sz w:val="22"/>
          <w:highlight w:val="white"/>
          <w:lang w:val="es-CO"/>
        </w:rPr>
        <w:t xml:space="preserve"> programa culmina con la suspensión del estado de emergencia. La duración fija del </w:t>
      </w:r>
      <w:r>
        <w:rPr>
          <w:rFonts w:ascii="Arial" w:hAnsi="Arial" w:cs="Arial"/>
          <w:color w:val="000000" w:themeColor="text1"/>
          <w:sz w:val="22"/>
          <w:highlight w:val="white"/>
          <w:lang w:val="es-CO"/>
        </w:rPr>
        <w:t>VD</w:t>
      </w:r>
      <w:r w:rsidRPr="007A5CDC">
        <w:rPr>
          <w:rFonts w:ascii="Arial" w:hAnsi="Arial" w:cs="Arial"/>
          <w:color w:val="000000" w:themeColor="text1"/>
          <w:sz w:val="22"/>
          <w:highlight w:val="white"/>
          <w:lang w:val="es-CO"/>
        </w:rPr>
        <w:t xml:space="preserve">, el valor bajo </w:t>
      </w:r>
      <w:proofErr w:type="gramStart"/>
      <w:r>
        <w:rPr>
          <w:rFonts w:ascii="Arial" w:hAnsi="Arial" w:cs="Arial"/>
          <w:color w:val="000000" w:themeColor="text1"/>
          <w:sz w:val="22"/>
          <w:highlight w:val="white"/>
          <w:lang w:val="es-CO"/>
        </w:rPr>
        <w:t>en relación al</w:t>
      </w:r>
      <w:proofErr w:type="gramEnd"/>
      <w:r>
        <w:rPr>
          <w:rFonts w:ascii="Arial" w:hAnsi="Arial" w:cs="Arial"/>
          <w:color w:val="000000" w:themeColor="text1"/>
          <w:sz w:val="22"/>
          <w:highlight w:val="white"/>
          <w:lang w:val="es-CO"/>
        </w:rPr>
        <w:t xml:space="preserve"> </w:t>
      </w:r>
      <w:r w:rsidRPr="007A5CDC">
        <w:rPr>
          <w:rFonts w:ascii="Arial" w:hAnsi="Arial" w:cs="Arial"/>
          <w:color w:val="000000" w:themeColor="text1"/>
          <w:sz w:val="22"/>
          <w:highlight w:val="white"/>
          <w:lang w:val="es-CO"/>
        </w:rPr>
        <w:t>salario mínimo</w:t>
      </w:r>
      <w:r>
        <w:rPr>
          <w:rFonts w:ascii="Arial" w:hAnsi="Arial" w:cs="Arial"/>
          <w:color w:val="000000" w:themeColor="text1"/>
          <w:sz w:val="22"/>
          <w:highlight w:val="white"/>
          <w:lang w:val="es-CO"/>
        </w:rPr>
        <w:t>,</w:t>
      </w:r>
      <w:r>
        <w:rPr>
          <w:rStyle w:val="FootnoteReference"/>
          <w:rFonts w:ascii="Arial" w:hAnsi="Arial" w:cs="Arial"/>
          <w:color w:val="000000" w:themeColor="text1"/>
          <w:sz w:val="22"/>
          <w:highlight w:val="white"/>
          <w:lang w:val="es-CO"/>
        </w:rPr>
        <w:footnoteReference w:id="36"/>
      </w:r>
      <w:r w:rsidRPr="007A5CDC">
        <w:rPr>
          <w:rFonts w:ascii="Arial" w:hAnsi="Arial" w:cs="Arial"/>
          <w:color w:val="000000" w:themeColor="text1"/>
          <w:sz w:val="22"/>
          <w:highlight w:val="white"/>
          <w:lang w:val="es-CO"/>
        </w:rPr>
        <w:t xml:space="preserve"> y los rigurosos controles por medio de cruce de datos aseguran que se minimicen </w:t>
      </w:r>
      <w:r>
        <w:rPr>
          <w:rFonts w:ascii="Arial" w:hAnsi="Arial" w:cs="Arial"/>
          <w:color w:val="000000" w:themeColor="text1"/>
          <w:sz w:val="22"/>
          <w:highlight w:val="white"/>
          <w:lang w:val="es-CO"/>
        </w:rPr>
        <w:t>los</w:t>
      </w:r>
      <w:r w:rsidRPr="007A5CDC">
        <w:rPr>
          <w:rFonts w:ascii="Arial" w:hAnsi="Arial" w:cs="Arial"/>
          <w:color w:val="000000" w:themeColor="text1"/>
          <w:sz w:val="22"/>
          <w:highlight w:val="white"/>
          <w:lang w:val="es-CO"/>
        </w:rPr>
        <w:t xml:space="preserve"> incentivos a la recuperación del empleo y a su formalidad.</w:t>
      </w:r>
    </w:p>
    <w:p w14:paraId="7184DE03" w14:textId="77777777" w:rsidR="00B461C3" w:rsidRPr="005853E3" w:rsidRDefault="00B461C3" w:rsidP="00287B00">
      <w:pPr>
        <w:pStyle w:val="Paragraph"/>
        <w:tabs>
          <w:tab w:val="left" w:pos="720"/>
        </w:tabs>
        <w:ind w:left="0" w:firstLine="0"/>
        <w:rPr>
          <w:rFonts w:ascii="Arial" w:hAnsi="Arial" w:cs="Arial"/>
          <w:sz w:val="22"/>
          <w:highlight w:val="white"/>
          <w:vertAlign w:val="superscript"/>
          <w:lang w:val="es-CO"/>
        </w:rPr>
      </w:pPr>
      <w:r w:rsidRPr="00CD5695">
        <w:rPr>
          <w:rFonts w:ascii="Arial" w:hAnsi="Arial" w:cs="Arial"/>
          <w:sz w:val="22"/>
          <w:highlight w:val="white"/>
          <w:lang w:val="es-CO"/>
        </w:rPr>
        <w:t xml:space="preserve">El VD </w:t>
      </w:r>
      <w:r>
        <w:rPr>
          <w:rFonts w:ascii="Arial" w:hAnsi="Arial" w:cs="Arial"/>
          <w:sz w:val="22"/>
          <w:highlight w:val="white"/>
          <w:lang w:val="es-CO"/>
        </w:rPr>
        <w:t xml:space="preserve">se ejecuta por medio de la </w:t>
      </w:r>
      <w:r w:rsidRPr="00CD5695">
        <w:rPr>
          <w:rFonts w:ascii="Arial" w:hAnsi="Arial" w:cs="Arial"/>
          <w:sz w:val="22"/>
          <w:highlight w:val="white"/>
          <w:lang w:val="es-CO"/>
        </w:rPr>
        <w:t xml:space="preserve">cédula de identidad </w:t>
      </w:r>
      <w:r>
        <w:rPr>
          <w:rFonts w:ascii="Arial" w:hAnsi="Arial" w:cs="Arial"/>
          <w:sz w:val="22"/>
          <w:highlight w:val="white"/>
          <w:lang w:val="es-CO"/>
        </w:rPr>
        <w:t xml:space="preserve">del beneficiario, cuyo número opera como medio de pago electrónico que puede ser usado </w:t>
      </w:r>
      <w:r w:rsidRPr="00CD5695">
        <w:rPr>
          <w:rFonts w:ascii="Arial" w:hAnsi="Arial" w:cs="Arial"/>
          <w:sz w:val="22"/>
          <w:highlight w:val="white"/>
          <w:lang w:val="es-CO"/>
        </w:rPr>
        <w:t>en comercios autorizados</w:t>
      </w:r>
      <w:r>
        <w:rPr>
          <w:rFonts w:ascii="Arial" w:hAnsi="Arial" w:cs="Arial"/>
          <w:sz w:val="22"/>
          <w:highlight w:val="white"/>
          <w:lang w:val="es-CO"/>
        </w:rPr>
        <w:t xml:space="preserve"> para </w:t>
      </w:r>
      <w:r w:rsidRPr="00CD5695">
        <w:rPr>
          <w:rFonts w:ascii="Arial" w:hAnsi="Arial" w:cs="Arial"/>
          <w:sz w:val="22"/>
          <w:highlight w:val="white"/>
          <w:lang w:val="es-CO"/>
        </w:rPr>
        <w:t xml:space="preserve">adquirir alimentos y medicamentos de manera similar a cuando se usa una tarjeta de débito. Las fechas para la acreditación del VD son anunciadas por la Comisión Interministerial </w:t>
      </w:r>
      <w:r>
        <w:rPr>
          <w:rFonts w:ascii="Arial" w:hAnsi="Arial" w:cs="Arial"/>
          <w:sz w:val="22"/>
          <w:highlight w:val="white"/>
          <w:lang w:val="es-CO"/>
        </w:rPr>
        <w:t xml:space="preserve">mensualmente en los medios de comunicación, momento en el cual los beneficiarios </w:t>
      </w:r>
      <w:r w:rsidRPr="50B833AB">
        <w:rPr>
          <w:rFonts w:ascii="Arial" w:hAnsi="Arial" w:cs="Arial"/>
          <w:sz w:val="22"/>
          <w:highlight w:val="white"/>
          <w:lang w:val="es-CO"/>
        </w:rPr>
        <w:t>verifica</w:t>
      </w:r>
      <w:r>
        <w:rPr>
          <w:rFonts w:ascii="Arial" w:hAnsi="Arial" w:cs="Arial"/>
          <w:sz w:val="22"/>
          <w:highlight w:val="white"/>
          <w:lang w:val="es-CO"/>
        </w:rPr>
        <w:t>n</w:t>
      </w:r>
      <w:r w:rsidRPr="50B833AB">
        <w:rPr>
          <w:rFonts w:ascii="Arial" w:hAnsi="Arial" w:cs="Arial"/>
          <w:sz w:val="22"/>
          <w:highlight w:val="white"/>
          <w:lang w:val="es-CO"/>
        </w:rPr>
        <w:t xml:space="preserve"> </w:t>
      </w:r>
      <w:r>
        <w:rPr>
          <w:rFonts w:ascii="Arial" w:hAnsi="Arial" w:cs="Arial"/>
          <w:sz w:val="22"/>
          <w:highlight w:val="white"/>
          <w:lang w:val="es-CO"/>
        </w:rPr>
        <w:t xml:space="preserve">su estatus en el </w:t>
      </w:r>
      <w:r w:rsidRPr="50B833AB">
        <w:rPr>
          <w:rFonts w:ascii="Arial" w:hAnsi="Arial" w:cs="Arial"/>
          <w:sz w:val="22"/>
          <w:highlight w:val="white"/>
          <w:lang w:val="es-CO"/>
        </w:rPr>
        <w:t>programa y saldo</w:t>
      </w:r>
      <w:r>
        <w:rPr>
          <w:rFonts w:ascii="Arial" w:hAnsi="Arial" w:cs="Arial"/>
          <w:sz w:val="22"/>
          <w:highlight w:val="white"/>
          <w:lang w:val="es-CO"/>
        </w:rPr>
        <w:t xml:space="preserve"> en el sitio web del programa. </w:t>
      </w:r>
    </w:p>
    <w:p w14:paraId="063F9E09" w14:textId="361D987E" w:rsidR="00E93AA3" w:rsidRPr="00425FEE" w:rsidRDefault="00E93AA3" w:rsidP="00E93AA3">
      <w:pPr>
        <w:spacing w:before="120" w:after="120" w:line="240" w:lineRule="auto"/>
        <w:jc w:val="both"/>
        <w:rPr>
          <w:rFonts w:ascii="Arial" w:hAnsi="Arial" w:cs="Arial"/>
          <w:lang w:val="es-ES"/>
        </w:rPr>
      </w:pPr>
      <w:r w:rsidRPr="00425FEE">
        <w:rPr>
          <w:rFonts w:ascii="Arial" w:hAnsi="Arial" w:cs="Arial"/>
          <w:b/>
          <w:bCs/>
          <w:lang w:val="es-ES"/>
        </w:rPr>
        <w:t>Objetivos.</w:t>
      </w:r>
      <w:r w:rsidRPr="0026097E">
        <w:rPr>
          <w:rFonts w:ascii="Arial" w:hAnsi="Arial" w:cs="Arial"/>
          <w:b/>
          <w:bCs/>
          <w:lang w:val="es-ES"/>
        </w:rPr>
        <w:t xml:space="preserve"> </w:t>
      </w:r>
      <w:r w:rsidR="0026097E" w:rsidRPr="0026097E">
        <w:rPr>
          <w:rStyle w:val="normaltextrun"/>
          <w:rFonts w:ascii="Arial" w:hAnsi="Arial" w:cs="Arial"/>
          <w:color w:val="000000"/>
          <w:shd w:val="clear" w:color="auto" w:fill="FFFFFF"/>
          <w:lang w:val="es-CO"/>
        </w:rPr>
        <w:t xml:space="preserve">El objetivo general de este programa es </w:t>
      </w:r>
      <w:r w:rsidR="0026097E" w:rsidRPr="0026097E">
        <w:rPr>
          <w:rStyle w:val="normaltextrun"/>
          <w:rFonts w:ascii="Arial" w:hAnsi="Arial" w:cs="Arial"/>
          <w:color w:val="000000"/>
          <w:shd w:val="clear" w:color="auto" w:fill="FFFFFF"/>
          <w:lang w:val="es-ES"/>
        </w:rPr>
        <w:t>contribuir a apoyar niveles mínimos de consumo de las personas en pobreza, pobreza extrema y en situación de vulnerabilidad frente a la crisis causada por el COVID-19 en Panamá. El objetivo específico es apoyar niveles mínimos de ingreso de las personas afectadas por el COVID-19 en el período inmediato y durante la recuperación</w:t>
      </w:r>
      <w:r w:rsidR="0026097E" w:rsidRPr="0026097E">
        <w:rPr>
          <w:rStyle w:val="normaltextrun"/>
          <w:rFonts w:ascii="Arial" w:hAnsi="Arial" w:cs="Arial"/>
          <w:color w:val="000000"/>
          <w:shd w:val="clear" w:color="auto" w:fill="FFFFFF"/>
          <w:lang w:val="es-CO"/>
        </w:rPr>
        <w:t>. </w:t>
      </w:r>
      <w:r w:rsidRPr="00425FEE">
        <w:rPr>
          <w:rFonts w:ascii="Arial" w:hAnsi="Arial" w:cs="Arial"/>
          <w:lang w:val="es-ES"/>
        </w:rPr>
        <w:t xml:space="preserve">La operación está estructurada en </w:t>
      </w:r>
      <w:r w:rsidR="00C67F58">
        <w:rPr>
          <w:rFonts w:ascii="Arial" w:hAnsi="Arial" w:cs="Arial"/>
          <w:lang w:val="es-ES"/>
        </w:rPr>
        <w:t>tres</w:t>
      </w:r>
      <w:r w:rsidR="0014799F" w:rsidRPr="00425FEE">
        <w:rPr>
          <w:rFonts w:ascii="Arial" w:hAnsi="Arial" w:cs="Arial"/>
          <w:lang w:val="es-ES"/>
        </w:rPr>
        <w:t xml:space="preserve"> componentes</w:t>
      </w:r>
      <w:r w:rsidRPr="00425FEE">
        <w:rPr>
          <w:rFonts w:ascii="Arial" w:hAnsi="Arial" w:cs="Arial"/>
          <w:lang w:val="es-ES"/>
        </w:rPr>
        <w:t>:</w:t>
      </w:r>
    </w:p>
    <w:p w14:paraId="27A33483" w14:textId="0EF00FAA" w:rsidR="00967164" w:rsidRPr="00AD42FB" w:rsidRDefault="00967164" w:rsidP="00AD42FB">
      <w:pPr>
        <w:spacing w:before="120" w:after="120" w:line="240" w:lineRule="auto"/>
        <w:jc w:val="both"/>
        <w:rPr>
          <w:rFonts w:ascii="Arial" w:hAnsi="Arial" w:cs="Arial"/>
          <w:lang w:val="es-ES"/>
        </w:rPr>
      </w:pPr>
      <w:r w:rsidRPr="395FCE3A">
        <w:rPr>
          <w:rFonts w:ascii="Arial" w:eastAsia="Arial" w:hAnsi="Arial" w:cs="Arial"/>
          <w:b/>
          <w:bCs/>
          <w:lang w:val="es-CO"/>
        </w:rPr>
        <w:t>Componente 1.</w:t>
      </w:r>
      <w:r w:rsidRPr="395FCE3A">
        <w:rPr>
          <w:rFonts w:ascii="Arial" w:eastAsia="Arial" w:hAnsi="Arial" w:cs="Arial"/>
          <w:lang w:val="es-CO"/>
        </w:rPr>
        <w:t xml:space="preserve"> </w:t>
      </w:r>
      <w:r w:rsidRPr="395FCE3A">
        <w:rPr>
          <w:rFonts w:ascii="Arial" w:hAnsi="Arial" w:cs="Arial"/>
          <w:b/>
          <w:bCs/>
          <w:lang w:val="es-CO"/>
        </w:rPr>
        <w:t xml:space="preserve">Protección mediante el uso de programas de transferencias monetarias existentes. </w:t>
      </w:r>
      <w:r w:rsidRPr="395FCE3A">
        <w:rPr>
          <w:rFonts w:ascii="Arial" w:eastAsia="Arial" w:hAnsi="Arial" w:cs="Arial"/>
          <w:b/>
          <w:bCs/>
          <w:lang w:val="es-CO"/>
        </w:rPr>
        <w:t>(US$</w:t>
      </w:r>
      <w:r w:rsidRPr="395FCE3A">
        <w:rPr>
          <w:rFonts w:ascii="Arial" w:eastAsia="Arial" w:hAnsi="Arial" w:cs="Arial"/>
          <w:b/>
          <w:bCs/>
          <w:noProof/>
          <w:lang w:val="es-CO"/>
        </w:rPr>
        <w:t>5</w:t>
      </w:r>
      <w:r w:rsidR="244B99AB" w:rsidRPr="395FCE3A">
        <w:rPr>
          <w:rFonts w:ascii="Arial" w:eastAsia="Arial" w:hAnsi="Arial" w:cs="Arial"/>
          <w:b/>
          <w:bCs/>
          <w:noProof/>
          <w:lang w:val="es-CO"/>
        </w:rPr>
        <w:t>4</w:t>
      </w:r>
      <w:r w:rsidRPr="395FCE3A">
        <w:rPr>
          <w:rFonts w:ascii="Arial" w:eastAsia="Arial" w:hAnsi="Arial" w:cs="Arial"/>
          <w:b/>
          <w:bCs/>
          <w:noProof/>
          <w:lang w:val="es-CO"/>
        </w:rPr>
        <w:t>.</w:t>
      </w:r>
      <w:r w:rsidR="7151B527" w:rsidRPr="395FCE3A">
        <w:rPr>
          <w:rFonts w:ascii="Arial" w:eastAsia="Arial" w:hAnsi="Arial" w:cs="Arial"/>
          <w:b/>
          <w:bCs/>
          <w:noProof/>
          <w:lang w:val="es-CO"/>
        </w:rPr>
        <w:t>746</w:t>
      </w:r>
      <w:r w:rsidRPr="395FCE3A">
        <w:rPr>
          <w:rFonts w:ascii="Arial" w:eastAsia="Arial" w:hAnsi="Arial" w:cs="Arial"/>
          <w:b/>
          <w:bCs/>
          <w:noProof/>
          <w:lang w:val="es-CO"/>
        </w:rPr>
        <w:t>.</w:t>
      </w:r>
      <w:r w:rsidR="23450FAA" w:rsidRPr="395FCE3A">
        <w:rPr>
          <w:rFonts w:ascii="Arial" w:eastAsia="Arial" w:hAnsi="Arial" w:cs="Arial"/>
          <w:b/>
          <w:bCs/>
          <w:noProof/>
          <w:lang w:val="es-CO"/>
        </w:rPr>
        <w:t>020</w:t>
      </w:r>
      <w:r w:rsidRPr="395FCE3A">
        <w:rPr>
          <w:rFonts w:ascii="Arial" w:eastAsia="Arial" w:hAnsi="Arial" w:cs="Arial"/>
          <w:b/>
          <w:bCs/>
          <w:lang w:val="es-CO"/>
        </w:rPr>
        <w:t>).</w:t>
      </w:r>
      <w:r w:rsidRPr="395FCE3A">
        <w:rPr>
          <w:rFonts w:ascii="Arial" w:eastAsia="Arial" w:hAnsi="Arial" w:cs="Arial"/>
          <w:lang w:val="es-CO"/>
        </w:rPr>
        <w:t xml:space="preserve"> </w:t>
      </w:r>
      <w:r w:rsidRPr="395FCE3A">
        <w:rPr>
          <w:rFonts w:ascii="Arial" w:hAnsi="Arial" w:cs="Arial"/>
          <w:lang w:val="es-ES"/>
        </w:rPr>
        <w:t>Este componente financiará transferencias monetarias por medio de los programas de transferencias existentes</w:t>
      </w:r>
      <w:r w:rsidRPr="395FCE3A">
        <w:rPr>
          <w:rFonts w:ascii="Arial" w:eastAsia="Arial" w:hAnsi="Arial" w:cs="Arial"/>
          <w:lang w:val="es-ES"/>
        </w:rPr>
        <w:t xml:space="preserve"> </w:t>
      </w:r>
      <w:r w:rsidRPr="395FCE3A">
        <w:rPr>
          <w:rFonts w:ascii="Arial" w:hAnsi="Arial" w:cs="Arial"/>
          <w:lang w:val="es-ES"/>
        </w:rPr>
        <w:t>de la red de protección social de país:</w:t>
      </w:r>
      <w:r w:rsidRPr="395FCE3A">
        <w:rPr>
          <w:rFonts w:ascii="Arial" w:eastAsia="Arial" w:hAnsi="Arial" w:cs="Arial"/>
          <w:lang w:val="es-CO"/>
        </w:rPr>
        <w:t xml:space="preserve"> (i)</w:t>
      </w:r>
      <w:r w:rsidR="00BB721B" w:rsidRPr="395FCE3A">
        <w:rPr>
          <w:rFonts w:ascii="Arial" w:eastAsia="Arial" w:hAnsi="Arial" w:cs="Arial"/>
          <w:lang w:val="es-CO"/>
        </w:rPr>
        <w:t> </w:t>
      </w:r>
      <w:proofErr w:type="spellStart"/>
      <w:r w:rsidRPr="395FCE3A">
        <w:rPr>
          <w:rFonts w:ascii="Arial" w:eastAsia="Arial" w:hAnsi="Arial" w:cs="Arial"/>
          <w:lang w:val="es-CO"/>
        </w:rPr>
        <w:t>RdO</w:t>
      </w:r>
      <w:proofErr w:type="spellEnd"/>
      <w:r w:rsidRPr="395FCE3A">
        <w:rPr>
          <w:rFonts w:ascii="Arial" w:eastAsia="Arial" w:hAnsi="Arial" w:cs="Arial"/>
          <w:lang w:val="es-CO"/>
        </w:rPr>
        <w:t>; (</w:t>
      </w:r>
      <w:proofErr w:type="spellStart"/>
      <w:r w:rsidRPr="395FCE3A">
        <w:rPr>
          <w:rFonts w:ascii="Arial" w:eastAsia="Arial" w:hAnsi="Arial" w:cs="Arial"/>
          <w:lang w:val="es-CO"/>
        </w:rPr>
        <w:t>ii</w:t>
      </w:r>
      <w:proofErr w:type="spellEnd"/>
      <w:r w:rsidRPr="395FCE3A">
        <w:rPr>
          <w:rFonts w:ascii="Arial" w:eastAsia="Arial" w:hAnsi="Arial" w:cs="Arial"/>
          <w:lang w:val="es-CO"/>
        </w:rPr>
        <w:t>) 120 a los 65; (</w:t>
      </w:r>
      <w:proofErr w:type="spellStart"/>
      <w:r w:rsidRPr="395FCE3A">
        <w:rPr>
          <w:rFonts w:ascii="Arial" w:eastAsia="Arial" w:hAnsi="Arial" w:cs="Arial"/>
          <w:lang w:val="es-CO"/>
        </w:rPr>
        <w:t>iii</w:t>
      </w:r>
      <w:proofErr w:type="spellEnd"/>
      <w:r w:rsidRPr="395FCE3A">
        <w:rPr>
          <w:rFonts w:ascii="Arial" w:eastAsia="Arial" w:hAnsi="Arial" w:cs="Arial"/>
          <w:lang w:val="es-CO"/>
        </w:rPr>
        <w:t>) AG; y (</w:t>
      </w:r>
      <w:proofErr w:type="spellStart"/>
      <w:r w:rsidRPr="395FCE3A">
        <w:rPr>
          <w:rFonts w:ascii="Arial" w:eastAsia="Arial" w:hAnsi="Arial" w:cs="Arial"/>
          <w:lang w:val="es-CO"/>
        </w:rPr>
        <w:t>iv</w:t>
      </w:r>
      <w:proofErr w:type="spellEnd"/>
      <w:r w:rsidRPr="395FCE3A">
        <w:rPr>
          <w:rFonts w:ascii="Arial" w:eastAsia="Arial" w:hAnsi="Arial" w:cs="Arial"/>
          <w:lang w:val="es-CO"/>
        </w:rPr>
        <w:t xml:space="preserve">) BA. Los beneficiarios son los actuales hogares e individuos participantes de los programas. </w:t>
      </w:r>
      <w:r w:rsidRPr="395FCE3A">
        <w:rPr>
          <w:rFonts w:ascii="Arial" w:hAnsi="Arial" w:cs="Arial"/>
          <w:lang w:val="es-ES"/>
        </w:rPr>
        <w:t>La entrega de las transferencias se realizará por medio de los canales existentes. El MIDES promoverá el uso de protocolos de distanciamiento social durante los pagos en áreas de difícil acceso, que incluyen, entre otros: (i) implementación de un calendario claro de pagos; (</w:t>
      </w:r>
      <w:proofErr w:type="spellStart"/>
      <w:r w:rsidRPr="395FCE3A">
        <w:rPr>
          <w:rFonts w:ascii="Arial" w:hAnsi="Arial" w:cs="Arial"/>
          <w:lang w:val="es-ES"/>
        </w:rPr>
        <w:t>ii</w:t>
      </w:r>
      <w:proofErr w:type="spellEnd"/>
      <w:r w:rsidRPr="395FCE3A">
        <w:rPr>
          <w:rFonts w:ascii="Arial" w:hAnsi="Arial" w:cs="Arial"/>
          <w:lang w:val="es-ES"/>
        </w:rPr>
        <w:t>) estrategia de comunicación; y (</w:t>
      </w:r>
      <w:proofErr w:type="spellStart"/>
      <w:r w:rsidRPr="395FCE3A">
        <w:rPr>
          <w:rFonts w:ascii="Arial" w:hAnsi="Arial" w:cs="Arial"/>
          <w:lang w:val="es-ES"/>
        </w:rPr>
        <w:t>iii</w:t>
      </w:r>
      <w:proofErr w:type="spellEnd"/>
      <w:r w:rsidRPr="395FCE3A">
        <w:rPr>
          <w:rFonts w:ascii="Arial" w:hAnsi="Arial" w:cs="Arial"/>
          <w:lang w:val="es-ES"/>
        </w:rPr>
        <w:t xml:space="preserve">) distribución de equipo de protección personal al personal del </w:t>
      </w:r>
      <w:proofErr w:type="gramStart"/>
      <w:r w:rsidRPr="395FCE3A">
        <w:rPr>
          <w:rFonts w:ascii="Arial" w:hAnsi="Arial" w:cs="Arial"/>
          <w:lang w:val="es-ES"/>
        </w:rPr>
        <w:t>MIDES</w:t>
      </w:r>
      <w:proofErr w:type="gramEnd"/>
      <w:r w:rsidRPr="395FCE3A">
        <w:rPr>
          <w:rFonts w:ascii="Arial" w:hAnsi="Arial" w:cs="Arial"/>
          <w:lang w:val="es-ES"/>
        </w:rPr>
        <w:t xml:space="preserve"> así como mascarillas a los beneficiarios.</w:t>
      </w:r>
    </w:p>
    <w:p w14:paraId="3B22541E" w14:textId="6A86A500" w:rsidR="00967164" w:rsidRPr="00AD42FB" w:rsidRDefault="00967164" w:rsidP="395FCE3A">
      <w:pPr>
        <w:spacing w:before="120" w:after="120" w:line="240" w:lineRule="auto"/>
        <w:jc w:val="both"/>
        <w:rPr>
          <w:rFonts w:ascii="Arial" w:eastAsiaTheme="minorEastAsia" w:hAnsi="Arial" w:cs="Arial"/>
          <w:lang w:val="es-ES"/>
        </w:rPr>
      </w:pPr>
      <w:r w:rsidRPr="00AD42FB">
        <w:rPr>
          <w:rFonts w:ascii="Arial" w:eastAsia="Arial" w:hAnsi="Arial" w:cs="Arial"/>
          <w:b/>
          <w:bCs/>
          <w:color w:val="000000" w:themeColor="text1"/>
          <w:lang w:val="es-CO"/>
        </w:rPr>
        <w:t xml:space="preserve">Componente 2. </w:t>
      </w:r>
      <w:r w:rsidRPr="00AD42FB">
        <w:rPr>
          <w:rFonts w:ascii="Arial" w:hAnsi="Arial" w:cs="Arial"/>
          <w:b/>
          <w:bCs/>
          <w:lang w:val="es-CO"/>
        </w:rPr>
        <w:t xml:space="preserve">Protección para población </w:t>
      </w:r>
      <w:r w:rsidRPr="395FCE3A">
        <w:rPr>
          <w:rFonts w:ascii="Arial" w:hAnsi="Arial" w:cs="Arial"/>
          <w:b/>
          <w:bCs/>
          <w:lang w:val="es-CO"/>
        </w:rPr>
        <w:t xml:space="preserve">vulnerable </w:t>
      </w:r>
      <w:r w:rsidRPr="395FCE3A">
        <w:rPr>
          <w:rFonts w:ascii="Arial" w:eastAsia="Arial" w:hAnsi="Arial" w:cs="Arial"/>
          <w:b/>
          <w:bCs/>
          <w:lang w:val="es-CO"/>
        </w:rPr>
        <w:t>que no se encuentra en los padrones de programas de transferencias, y</w:t>
      </w:r>
      <w:r w:rsidRPr="00AD42FB">
        <w:rPr>
          <w:rFonts w:ascii="Arial" w:eastAsia="Arial" w:hAnsi="Arial" w:cs="Arial"/>
          <w:b/>
          <w:bCs/>
          <w:lang w:val="es-CO"/>
        </w:rPr>
        <w:t xml:space="preserve"> </w:t>
      </w:r>
      <w:r w:rsidRPr="00AD42FB">
        <w:rPr>
          <w:rFonts w:ascii="Arial" w:hAnsi="Arial" w:cs="Arial"/>
          <w:b/>
          <w:bCs/>
          <w:lang w:val="es-CO"/>
        </w:rPr>
        <w:t xml:space="preserve">que trabajaba en el sector </w:t>
      </w:r>
      <w:r w:rsidRPr="395FCE3A">
        <w:rPr>
          <w:rFonts w:ascii="Arial" w:hAnsi="Arial" w:cs="Arial"/>
          <w:b/>
          <w:bCs/>
          <w:lang w:val="es-CO"/>
        </w:rPr>
        <w:t>informal</w:t>
      </w:r>
      <w:r w:rsidRPr="395FCE3A">
        <w:rPr>
          <w:rFonts w:ascii="Arial" w:eastAsia="Arial" w:hAnsi="Arial" w:cs="Arial"/>
          <w:b/>
          <w:bCs/>
          <w:color w:val="000000" w:themeColor="text1"/>
          <w:lang w:val="es-CO"/>
        </w:rPr>
        <w:t xml:space="preserve"> (US$5</w:t>
      </w:r>
      <w:r w:rsidR="57ACD685" w:rsidRPr="395FCE3A">
        <w:rPr>
          <w:rFonts w:ascii="Arial" w:eastAsia="Arial" w:hAnsi="Arial" w:cs="Arial"/>
          <w:b/>
          <w:bCs/>
          <w:color w:val="000000" w:themeColor="text1"/>
          <w:lang w:val="es-CO"/>
        </w:rPr>
        <w:t>4</w:t>
      </w:r>
      <w:r w:rsidRPr="395FCE3A">
        <w:rPr>
          <w:rFonts w:ascii="Arial" w:eastAsia="Arial" w:hAnsi="Arial" w:cs="Arial"/>
          <w:b/>
          <w:bCs/>
          <w:color w:val="000000" w:themeColor="text1"/>
          <w:lang w:val="es-CO"/>
        </w:rPr>
        <w:t>.9</w:t>
      </w:r>
      <w:r w:rsidR="316696E9" w:rsidRPr="395FCE3A">
        <w:rPr>
          <w:rFonts w:ascii="Arial" w:eastAsia="Arial" w:hAnsi="Arial" w:cs="Arial"/>
          <w:b/>
          <w:bCs/>
          <w:color w:val="000000" w:themeColor="text1"/>
          <w:lang w:val="es-CO"/>
        </w:rPr>
        <w:t>42</w:t>
      </w:r>
      <w:r w:rsidRPr="395FCE3A">
        <w:rPr>
          <w:rFonts w:ascii="Arial" w:eastAsia="Arial" w:hAnsi="Arial" w:cs="Arial"/>
          <w:b/>
          <w:bCs/>
          <w:color w:val="000000" w:themeColor="text1"/>
          <w:lang w:val="es-CO"/>
        </w:rPr>
        <w:t>.</w:t>
      </w:r>
      <w:r w:rsidR="03742292" w:rsidRPr="395FCE3A">
        <w:rPr>
          <w:rFonts w:ascii="Arial" w:eastAsia="Arial" w:hAnsi="Arial" w:cs="Arial"/>
          <w:b/>
          <w:bCs/>
          <w:color w:val="000000" w:themeColor="text1"/>
          <w:lang w:val="es-CO"/>
        </w:rPr>
        <w:t>410</w:t>
      </w:r>
      <w:r w:rsidRPr="395FCE3A">
        <w:rPr>
          <w:rFonts w:ascii="Arial" w:eastAsia="Arial" w:hAnsi="Arial" w:cs="Arial"/>
          <w:b/>
          <w:bCs/>
          <w:color w:val="000000" w:themeColor="text1"/>
          <w:lang w:val="es-CO"/>
        </w:rPr>
        <w:t>).</w:t>
      </w:r>
      <w:r w:rsidRPr="00AD42FB">
        <w:rPr>
          <w:rFonts w:ascii="Arial" w:eastAsia="Arial" w:hAnsi="Arial" w:cs="Arial"/>
          <w:color w:val="000000" w:themeColor="text1"/>
          <w:lang w:val="es-CO"/>
        </w:rPr>
        <w:t xml:space="preserve"> </w:t>
      </w:r>
      <w:r w:rsidRPr="00AD42FB">
        <w:rPr>
          <w:rFonts w:ascii="Arial" w:hAnsi="Arial" w:cs="Arial"/>
          <w:lang w:val="es-ES"/>
        </w:rPr>
        <w:t xml:space="preserve">En este componente, se financiará el programa Vale Digital dirigido a población vulnerable, incluyendo a aquellos previamente ocupados como trabajadores </w:t>
      </w:r>
      <w:r w:rsidRPr="00AD42FB">
        <w:rPr>
          <w:rFonts w:ascii="Arial" w:hAnsi="Arial" w:cs="Arial"/>
          <w:lang w:val="es-ES"/>
        </w:rPr>
        <w:lastRenderedPageBreak/>
        <w:t>informales o independientes</w:t>
      </w:r>
      <w:r w:rsidRPr="00AD42FB">
        <w:rPr>
          <w:rFonts w:ascii="Arial" w:eastAsia="Arial" w:hAnsi="Arial" w:cs="Arial"/>
          <w:color w:val="000000" w:themeColor="text1"/>
          <w:lang w:val="es-CO"/>
        </w:rPr>
        <w:t>. En la focalización de las transferencias se aplicarán los criterios de inclusión establecidos por el Plan Panamá Solidario para el Vale Digital. El sistema virtual y escalonado de pago del programa contribuye a evitar las aglomeraciones</w:t>
      </w:r>
      <w:r>
        <w:rPr>
          <w:rStyle w:val="FootnoteReference"/>
          <w:rFonts w:ascii="Arial" w:eastAsia="Arial" w:hAnsi="Arial" w:cs="Arial"/>
          <w:color w:val="000000" w:themeColor="text1"/>
          <w:lang w:val="es-CO"/>
        </w:rPr>
        <w:footnoteReference w:id="37"/>
      </w:r>
      <w:r w:rsidRPr="00AD42FB">
        <w:rPr>
          <w:rFonts w:ascii="Arial" w:eastAsia="Arial" w:hAnsi="Arial" w:cs="Arial"/>
          <w:color w:val="000000" w:themeColor="text1"/>
          <w:lang w:val="es-CO"/>
        </w:rPr>
        <w:t xml:space="preserve">.  </w:t>
      </w:r>
    </w:p>
    <w:p w14:paraId="2F01C42A" w14:textId="42DD2F16" w:rsidR="00967164" w:rsidRPr="00AD42FB" w:rsidRDefault="00967164" w:rsidP="395FCE3A">
      <w:pPr>
        <w:spacing w:before="120" w:after="120" w:line="240" w:lineRule="auto"/>
        <w:jc w:val="both"/>
        <w:rPr>
          <w:rFonts w:asciiTheme="minorHAnsi" w:eastAsiaTheme="minorEastAsia" w:hAnsiTheme="minorHAnsi" w:cstheme="minorBidi"/>
          <w:b/>
          <w:bCs/>
          <w:color w:val="000000" w:themeColor="text1"/>
          <w:lang w:val="es-ES"/>
        </w:rPr>
      </w:pPr>
      <w:r w:rsidRPr="395FCE3A">
        <w:rPr>
          <w:rFonts w:ascii="Arial" w:eastAsia="Arial" w:hAnsi="Arial" w:cs="Arial"/>
          <w:b/>
          <w:bCs/>
          <w:color w:val="000000" w:themeColor="text1"/>
          <w:lang w:val="es-CO"/>
        </w:rPr>
        <w:t xml:space="preserve">Componente 3. </w:t>
      </w:r>
      <w:r w:rsidRPr="395FCE3A">
        <w:rPr>
          <w:rFonts w:ascii="Arial" w:hAnsi="Arial" w:cs="Arial"/>
          <w:b/>
          <w:bCs/>
          <w:lang w:val="es-CO"/>
        </w:rPr>
        <w:t xml:space="preserve">Protección para población vulnerable </w:t>
      </w:r>
      <w:r w:rsidRPr="395FCE3A">
        <w:rPr>
          <w:rFonts w:ascii="Arial" w:eastAsia="Arial" w:hAnsi="Arial" w:cs="Arial"/>
          <w:b/>
          <w:bCs/>
          <w:lang w:val="es-CO"/>
        </w:rPr>
        <w:t>que no se encuentra en los padrones de programas de transferencias, y</w:t>
      </w:r>
      <w:r w:rsidRPr="395FCE3A">
        <w:rPr>
          <w:rFonts w:ascii="Arial" w:hAnsi="Arial" w:cs="Arial"/>
          <w:b/>
          <w:bCs/>
          <w:lang w:val="es-CO"/>
        </w:rPr>
        <w:t xml:space="preserve"> que ya no trabajan en el sector formal</w:t>
      </w:r>
      <w:r w:rsidRPr="395FCE3A">
        <w:rPr>
          <w:rFonts w:ascii="Arial" w:eastAsia="Arial" w:hAnsi="Arial" w:cs="Arial"/>
          <w:b/>
          <w:bCs/>
          <w:color w:val="000000" w:themeColor="text1"/>
          <w:lang w:val="es-CO"/>
        </w:rPr>
        <w:t xml:space="preserve"> (US$1</w:t>
      </w:r>
      <w:r w:rsidR="5480BEA3" w:rsidRPr="395FCE3A">
        <w:rPr>
          <w:rFonts w:ascii="Arial" w:eastAsia="Arial" w:hAnsi="Arial" w:cs="Arial"/>
          <w:b/>
          <w:bCs/>
          <w:color w:val="000000" w:themeColor="text1"/>
          <w:lang w:val="es-CO"/>
        </w:rPr>
        <w:t>3</w:t>
      </w:r>
      <w:r w:rsidRPr="395FCE3A">
        <w:rPr>
          <w:rFonts w:ascii="Arial" w:eastAsia="Arial" w:hAnsi="Arial" w:cs="Arial"/>
          <w:b/>
          <w:bCs/>
          <w:color w:val="000000" w:themeColor="text1"/>
          <w:lang w:val="es-CO"/>
        </w:rPr>
        <w:t>.</w:t>
      </w:r>
      <w:r w:rsidR="610F1D43" w:rsidRPr="395FCE3A">
        <w:rPr>
          <w:rFonts w:ascii="Arial" w:eastAsia="Arial" w:hAnsi="Arial" w:cs="Arial"/>
          <w:b/>
          <w:bCs/>
          <w:color w:val="000000" w:themeColor="text1"/>
          <w:lang w:val="es-CO"/>
        </w:rPr>
        <w:t>735</w:t>
      </w:r>
      <w:r w:rsidRPr="395FCE3A">
        <w:rPr>
          <w:rFonts w:ascii="Arial" w:eastAsia="Arial" w:hAnsi="Arial" w:cs="Arial"/>
          <w:b/>
          <w:bCs/>
          <w:color w:val="000000" w:themeColor="text1"/>
          <w:lang w:val="es-CO"/>
        </w:rPr>
        <w:t>.6</w:t>
      </w:r>
      <w:r w:rsidR="3A066126" w:rsidRPr="395FCE3A">
        <w:rPr>
          <w:rFonts w:ascii="Arial" w:eastAsia="Arial" w:hAnsi="Arial" w:cs="Arial"/>
          <w:b/>
          <w:bCs/>
          <w:color w:val="000000" w:themeColor="text1"/>
          <w:lang w:val="es-CO"/>
        </w:rPr>
        <w:t>02</w:t>
      </w:r>
      <w:r w:rsidRPr="395FCE3A">
        <w:rPr>
          <w:rFonts w:ascii="Arial" w:eastAsia="Arial" w:hAnsi="Arial" w:cs="Arial"/>
          <w:b/>
          <w:bCs/>
          <w:color w:val="000000" w:themeColor="text1"/>
          <w:lang w:val="es-CO"/>
        </w:rPr>
        <w:t>).</w:t>
      </w:r>
      <w:r w:rsidRPr="395FCE3A">
        <w:rPr>
          <w:rFonts w:ascii="Arial" w:eastAsia="Arial" w:hAnsi="Arial" w:cs="Arial"/>
          <w:color w:val="000000" w:themeColor="text1"/>
          <w:lang w:val="es-CO"/>
        </w:rPr>
        <w:t xml:space="preserve"> En este componente se financiará el programa Vale Digital dirigido a población vulnerable previamente ocupada en el sector formal, cuyos contratos han sido suspendidos temporalmente. Los beneficiarios son identificados por medio de los registros del MITRADEL. El método de pago se mantiene igual que en el Componente 2. </w:t>
      </w:r>
    </w:p>
    <w:p w14:paraId="71CF3AC0" w14:textId="77777777" w:rsidR="00967164" w:rsidRPr="00AD42FB" w:rsidRDefault="00967164" w:rsidP="00AD42FB">
      <w:pPr>
        <w:spacing w:before="120" w:after="120" w:line="240" w:lineRule="auto"/>
        <w:jc w:val="both"/>
        <w:rPr>
          <w:rFonts w:ascii="Arial" w:hAnsi="Arial" w:cs="Arial"/>
          <w:lang w:val="es-ES"/>
        </w:rPr>
      </w:pPr>
      <w:r w:rsidRPr="00AD42FB">
        <w:rPr>
          <w:rFonts w:ascii="Arial" w:eastAsia="Arial" w:hAnsi="Arial" w:cs="Arial"/>
          <w:b/>
          <w:bCs/>
          <w:lang w:val="es-CO"/>
        </w:rPr>
        <w:t xml:space="preserve">Auditoría y evaluación (US$50.000). </w:t>
      </w:r>
      <w:r w:rsidRPr="00AD42FB">
        <w:rPr>
          <w:rFonts w:ascii="Arial" w:eastAsia="Arial" w:hAnsi="Arial" w:cs="Arial"/>
          <w:lang w:val="es-CO"/>
        </w:rPr>
        <w:t>Adicionalmente</w:t>
      </w:r>
      <w:r w:rsidRPr="00AD42FB">
        <w:rPr>
          <w:rFonts w:ascii="Arial" w:eastAsia="Arial" w:hAnsi="Arial" w:cs="Arial"/>
          <w:b/>
          <w:bCs/>
          <w:lang w:val="es-CO"/>
        </w:rPr>
        <w:t xml:space="preserve"> </w:t>
      </w:r>
      <w:r w:rsidRPr="00AD42FB">
        <w:rPr>
          <w:rFonts w:ascii="Arial" w:eastAsia="Arial" w:hAnsi="Arial" w:cs="Arial"/>
          <w:lang w:val="es-CO"/>
        </w:rPr>
        <w:t xml:space="preserve">se financiará la auditoría financiera del programa, así como la evaluación. </w:t>
      </w:r>
    </w:p>
    <w:p w14:paraId="05581D0E" w14:textId="44DCBCFF" w:rsidR="00BB28A5" w:rsidRPr="00425FEE" w:rsidRDefault="00BB28A5" w:rsidP="0037407B">
      <w:pPr>
        <w:pStyle w:val="ColorfulList-Accent11"/>
        <w:spacing w:after="120" w:line="288" w:lineRule="auto"/>
        <w:ind w:left="0"/>
        <w:contextualSpacing w:val="0"/>
        <w:jc w:val="both"/>
        <w:rPr>
          <w:rFonts w:ascii="Arial" w:hAnsi="Arial" w:cs="Arial"/>
          <w:b/>
          <w:bCs/>
          <w:lang w:val="es-ES"/>
        </w:rPr>
      </w:pPr>
      <w:r w:rsidRPr="00425FEE">
        <w:rPr>
          <w:rFonts w:ascii="Arial" w:hAnsi="Arial" w:cs="Arial"/>
          <w:b/>
          <w:bCs/>
          <w:lang w:val="es-ES"/>
        </w:rPr>
        <w:t>Arreglos de Ejecución</w:t>
      </w:r>
    </w:p>
    <w:p w14:paraId="207BBF4F" w14:textId="77777777" w:rsidR="00E352C9" w:rsidRPr="0037407B" w:rsidRDefault="00E352C9" w:rsidP="0037407B">
      <w:pPr>
        <w:spacing w:before="120" w:after="120" w:line="240" w:lineRule="auto"/>
        <w:jc w:val="both"/>
        <w:rPr>
          <w:rFonts w:ascii="Arial" w:hAnsi="Arial" w:cs="Arial"/>
          <w:lang w:val="es-ES"/>
        </w:rPr>
      </w:pPr>
      <w:r w:rsidRPr="0037407B">
        <w:rPr>
          <w:rFonts w:ascii="Arial" w:eastAsia="Arial" w:hAnsi="Arial" w:cs="Arial"/>
          <w:b/>
          <w:bCs/>
          <w:lang w:val="es-CO"/>
        </w:rPr>
        <w:t xml:space="preserve">Prestatario y organismo ejecutor. </w:t>
      </w:r>
      <w:r w:rsidRPr="0037407B">
        <w:rPr>
          <w:rFonts w:ascii="Arial" w:eastAsia="Arial" w:hAnsi="Arial" w:cs="Arial"/>
          <w:lang w:val="es-CO"/>
        </w:rPr>
        <w:t xml:space="preserve">El prestatario se mantiene como la República de Panamá. El MIDES será el organismo ejecutor de los recursos reorientados. El MIDES actuará por intermedio de la Unidad de Enlace Administrativo y Financiero (UEAF). La UEAF mantiene un Coordinador y Especialistas Financieros, de Adquisiciones y de Monitoreo y Evaluación que coordinarán y supervisarán la intervención. La UCPSP seguirá a cargo de la ejecución de los recursos remanentes del PSACH. </w:t>
      </w:r>
    </w:p>
    <w:p w14:paraId="4666EC33" w14:textId="77777777" w:rsidR="00E352C9" w:rsidRPr="0037407B" w:rsidRDefault="00E352C9" w:rsidP="0037407B">
      <w:pPr>
        <w:spacing w:before="120" w:after="120" w:line="240" w:lineRule="auto"/>
        <w:jc w:val="both"/>
        <w:rPr>
          <w:rFonts w:ascii="Arial" w:hAnsi="Arial" w:cs="Arial"/>
          <w:lang w:val="es-CO"/>
        </w:rPr>
      </w:pPr>
      <w:r w:rsidRPr="0037407B">
        <w:rPr>
          <w:rFonts w:ascii="Arial" w:eastAsia="Arial" w:hAnsi="Arial" w:cs="Arial"/>
          <w:b/>
          <w:bCs/>
          <w:lang w:val="es-CO"/>
        </w:rPr>
        <w:t xml:space="preserve">Ejecución y administración. </w:t>
      </w:r>
      <w:r w:rsidRPr="0037407B">
        <w:rPr>
          <w:rFonts w:ascii="Arial" w:eastAsia="Arial" w:hAnsi="Arial" w:cs="Arial"/>
          <w:lang w:val="es-CO"/>
        </w:rPr>
        <w:t>Las responsabilidades de la UEAF incluyen: (i) preparación del plan de implementación; (</w:t>
      </w:r>
      <w:proofErr w:type="spellStart"/>
      <w:r w:rsidRPr="0037407B">
        <w:rPr>
          <w:rFonts w:ascii="Arial" w:eastAsia="Arial" w:hAnsi="Arial" w:cs="Arial"/>
          <w:lang w:val="es-CO"/>
        </w:rPr>
        <w:t>ii</w:t>
      </w:r>
      <w:proofErr w:type="spellEnd"/>
      <w:r w:rsidRPr="0037407B">
        <w:rPr>
          <w:rFonts w:ascii="Arial" w:eastAsia="Arial" w:hAnsi="Arial" w:cs="Arial"/>
          <w:lang w:val="es-CO"/>
        </w:rPr>
        <w:t>) administración financiera, contabilidad, y la preparación de presupuestos y solicitudes de desembolso; (</w:t>
      </w:r>
      <w:proofErr w:type="spellStart"/>
      <w:r w:rsidRPr="0037407B">
        <w:rPr>
          <w:rFonts w:ascii="Arial" w:eastAsia="Arial" w:hAnsi="Arial" w:cs="Arial"/>
          <w:lang w:val="es-CO"/>
        </w:rPr>
        <w:t>iii</w:t>
      </w:r>
      <w:proofErr w:type="spellEnd"/>
      <w:r w:rsidRPr="0037407B">
        <w:rPr>
          <w:rFonts w:ascii="Arial" w:eastAsia="Arial" w:hAnsi="Arial" w:cs="Arial"/>
          <w:lang w:val="es-CO"/>
        </w:rPr>
        <w:t>) preparación de plan de adquisiciones, incluyendo la selección y contratación de una firma auditoria; (</w:t>
      </w:r>
      <w:proofErr w:type="spellStart"/>
      <w:r w:rsidRPr="0037407B">
        <w:rPr>
          <w:rFonts w:ascii="Arial" w:eastAsia="Arial" w:hAnsi="Arial" w:cs="Arial"/>
          <w:lang w:val="es-CO"/>
        </w:rPr>
        <w:t>iv</w:t>
      </w:r>
      <w:proofErr w:type="spellEnd"/>
      <w:r w:rsidRPr="0037407B">
        <w:rPr>
          <w:rFonts w:ascii="Arial" w:eastAsia="Arial" w:hAnsi="Arial" w:cs="Arial"/>
          <w:lang w:val="es-CO"/>
        </w:rPr>
        <w:t xml:space="preserve">) preparación de informes técnicos y financieros; y (v) preparación de informes de monitoreo.  </w:t>
      </w:r>
    </w:p>
    <w:p w14:paraId="75804AB3" w14:textId="49DA3788" w:rsidR="00E352C9" w:rsidRDefault="00E352C9" w:rsidP="0037407B">
      <w:pPr>
        <w:spacing w:before="120" w:after="120" w:line="240" w:lineRule="auto"/>
        <w:jc w:val="both"/>
        <w:rPr>
          <w:rFonts w:ascii="Arial" w:hAnsi="Arial" w:cs="Arial"/>
          <w:lang w:val="es-ES"/>
        </w:rPr>
      </w:pPr>
      <w:r w:rsidRPr="0037407B">
        <w:rPr>
          <w:rFonts w:ascii="Arial" w:eastAsia="Arial" w:hAnsi="Arial" w:cs="Arial"/>
          <w:b/>
          <w:bCs/>
          <w:lang w:val="es-CO"/>
        </w:rPr>
        <w:t xml:space="preserve">Coordinación interinstitucional. </w:t>
      </w:r>
      <w:r w:rsidRPr="0037407B">
        <w:rPr>
          <w:rFonts w:ascii="Arial" w:hAnsi="Arial" w:cs="Arial"/>
          <w:lang w:val="es-ES"/>
        </w:rPr>
        <w:t>Para lograr una eficiente implementación de la operación, la intervención se apalancará en la Comisión Interministerial de Plan Panamá Solidario como mecanismo de coordinación entre las instituciones que identifican a la población vulnerable y ejecutan las transferencias. Para la población que participa en los PTM existentes, la identificación y pago recae sobre el MIDES. Para la población beneficiaria del Vale Digital es necesaria la coordinación entre el MIDES y los ministerios de la Presidencia y Trabajo y Desarrollo Laboral, así como la AIG.</w:t>
      </w:r>
    </w:p>
    <w:p w14:paraId="1CC05D83" w14:textId="1D2F56B6" w:rsidR="008B0F0A" w:rsidRPr="00425FEE" w:rsidRDefault="006F2EFC" w:rsidP="00E63053">
      <w:pPr>
        <w:pStyle w:val="ColorfulList-Accent11"/>
        <w:numPr>
          <w:ilvl w:val="1"/>
          <w:numId w:val="3"/>
        </w:numPr>
        <w:spacing w:before="120" w:after="120" w:line="240" w:lineRule="auto"/>
        <w:ind w:left="540" w:hanging="540"/>
        <w:contextualSpacing w:val="0"/>
        <w:jc w:val="both"/>
        <w:rPr>
          <w:rFonts w:ascii="Arial" w:hAnsi="Arial" w:cs="Arial"/>
          <w:b/>
          <w:bCs/>
          <w:lang w:val="es-ES"/>
        </w:rPr>
      </w:pPr>
      <w:r w:rsidRPr="00425FEE">
        <w:rPr>
          <w:rFonts w:ascii="Arial" w:eastAsia="Times New Roman" w:hAnsi="Arial" w:cs="Arial"/>
          <w:b/>
          <w:bCs/>
          <w:color w:val="000000"/>
          <w:lang w:val="es-ES"/>
        </w:rPr>
        <w:t>Resumen de monitoreo y evaluación</w:t>
      </w:r>
    </w:p>
    <w:p w14:paraId="483B9E25" w14:textId="76670044" w:rsidR="00983588" w:rsidRPr="00425FEE" w:rsidRDefault="006F2EFC" w:rsidP="00E63053">
      <w:pPr>
        <w:spacing w:before="120" w:after="120" w:line="240" w:lineRule="auto"/>
        <w:jc w:val="both"/>
        <w:textAlignment w:val="top"/>
        <w:rPr>
          <w:rFonts w:ascii="Arial" w:hAnsi="Arial" w:cs="Arial"/>
          <w:lang w:val="es-ES"/>
        </w:rPr>
      </w:pPr>
      <w:r w:rsidRPr="00425FEE">
        <w:rPr>
          <w:rFonts w:ascii="Arial" w:hAnsi="Arial" w:cs="Arial"/>
          <w:lang w:val="es-ES"/>
        </w:rPr>
        <w:t xml:space="preserve">Este documento describe los elementos principales arreglos de monitoreo y evaluación para la operación, incluyendo herramientas clave de monitoreo, estrategias de evaluación y responsabilidades. La operación utilizará los mecanismos de monitoreo existentes para las operaciones </w:t>
      </w:r>
      <w:r w:rsidR="00F13A35" w:rsidRPr="00425FEE">
        <w:rPr>
          <w:rFonts w:ascii="Arial" w:hAnsi="Arial" w:cs="Arial"/>
          <w:lang w:val="es-ES"/>
        </w:rPr>
        <w:t>con garantía soberana del Banco (SG)</w:t>
      </w:r>
      <w:r w:rsidRPr="00425FEE">
        <w:rPr>
          <w:rFonts w:ascii="Arial" w:hAnsi="Arial" w:cs="Arial"/>
          <w:lang w:val="es-ES"/>
        </w:rPr>
        <w:t xml:space="preserve">. </w:t>
      </w:r>
    </w:p>
    <w:p w14:paraId="6F1AB5E3" w14:textId="480CFC48" w:rsidR="0034177D" w:rsidRDefault="00B368E3" w:rsidP="00B368E3">
      <w:pPr>
        <w:spacing w:before="120" w:after="120" w:line="240" w:lineRule="auto"/>
        <w:jc w:val="both"/>
        <w:rPr>
          <w:rFonts w:ascii="Arial" w:hAnsi="Arial" w:cs="Arial"/>
          <w:lang w:val="es-CO"/>
        </w:rPr>
      </w:pPr>
      <w:r w:rsidRPr="00B368E3">
        <w:rPr>
          <w:rFonts w:ascii="Arial" w:hAnsi="Arial" w:cs="Arial"/>
          <w:lang w:val="es-CO"/>
        </w:rPr>
        <w:t>El MIDES</w:t>
      </w:r>
      <w:r w:rsidR="002518F0">
        <w:rPr>
          <w:rFonts w:ascii="Arial" w:hAnsi="Arial" w:cs="Arial"/>
          <w:lang w:val="es-CO"/>
        </w:rPr>
        <w:t>, como organismo ejecutor (OE)</w:t>
      </w:r>
      <w:r w:rsidRPr="00B368E3">
        <w:rPr>
          <w:rFonts w:ascii="Arial" w:hAnsi="Arial" w:cs="Arial"/>
          <w:lang w:val="es-CO"/>
        </w:rPr>
        <w:t xml:space="preserve">, a través de la UEAF, será responsable de implementar el plan de monitoreo. Dado el contexto de emergencia, el instrumento principal del seguimiento será la matriz de resultados del proyecto y el plan de adquisiciones. La fuente principal para el seguimiento a los indicadores de impacto, resultados y productos será la </w:t>
      </w:r>
      <w:r w:rsidR="007E2B2F">
        <w:rPr>
          <w:rFonts w:ascii="Arial" w:hAnsi="Arial" w:cs="Arial"/>
          <w:lang w:val="es-CO"/>
        </w:rPr>
        <w:t>Plataforma Informática Integrada de Beneficiarios (</w:t>
      </w:r>
      <w:r w:rsidRPr="00B368E3">
        <w:rPr>
          <w:rFonts w:ascii="Arial" w:eastAsia="Arial" w:hAnsi="Arial" w:cs="Arial"/>
          <w:lang w:val="es-419"/>
        </w:rPr>
        <w:t>PIIB</w:t>
      </w:r>
      <w:r w:rsidR="007E2B2F">
        <w:rPr>
          <w:rFonts w:ascii="Arial" w:eastAsia="Arial" w:hAnsi="Arial" w:cs="Arial"/>
          <w:lang w:val="es-419"/>
        </w:rPr>
        <w:t>)</w:t>
      </w:r>
      <w:r w:rsidR="00D269CF">
        <w:rPr>
          <w:rFonts w:ascii="Arial" w:hAnsi="Arial" w:cs="Arial"/>
          <w:lang w:val="es-CO"/>
        </w:rPr>
        <w:t xml:space="preserve">, </w:t>
      </w:r>
      <w:r w:rsidRPr="00B368E3">
        <w:rPr>
          <w:rFonts w:ascii="Arial" w:hAnsi="Arial" w:cs="Arial"/>
          <w:lang w:val="es-CO"/>
        </w:rPr>
        <w:t>administrada por el MIDES</w:t>
      </w:r>
      <w:r w:rsidR="00D269CF">
        <w:rPr>
          <w:rFonts w:ascii="Arial" w:hAnsi="Arial" w:cs="Arial"/>
          <w:lang w:val="es-CO"/>
        </w:rPr>
        <w:t>,</w:t>
      </w:r>
      <w:r w:rsidRPr="00B368E3">
        <w:rPr>
          <w:rFonts w:ascii="Arial" w:hAnsi="Arial" w:cs="Arial"/>
          <w:lang w:val="es-CO"/>
        </w:rPr>
        <w:t xml:space="preserve"> y la Plataforma Electrónica del programa Vale Digital administrada por la AIG particularmente los módulos de Gestión de Pagos. También se utilizará la Encuesta de Propósitos Múltiples que se levanta dos veces al año (marzo y agosto) en una muestra de hogares del país. El MIDES preparará un plan de ejecución plurianual (PEP) y un plan operativo anual (POA). El </w:t>
      </w:r>
      <w:r w:rsidRPr="00B368E3">
        <w:rPr>
          <w:rFonts w:ascii="Arial" w:hAnsi="Arial" w:cs="Arial"/>
          <w:lang w:val="es-CO"/>
        </w:rPr>
        <w:lastRenderedPageBreak/>
        <w:t>instrumento principal de reporte será el informe de monitoreo de progreso (PMR</w:t>
      </w:r>
      <w:r w:rsidR="002518F0">
        <w:rPr>
          <w:rFonts w:ascii="Arial" w:hAnsi="Arial" w:cs="Arial"/>
          <w:lang w:val="es-CO"/>
        </w:rPr>
        <w:t>,</w:t>
      </w:r>
      <w:r w:rsidRPr="00B368E3">
        <w:rPr>
          <w:rFonts w:ascii="Arial" w:hAnsi="Arial" w:cs="Arial"/>
          <w:lang w:val="es-CO"/>
        </w:rPr>
        <w:t xml:space="preserve"> por sus siglas en inglés) cuya fuente de información serán los informes semestrales de progreso. </w:t>
      </w:r>
    </w:p>
    <w:p w14:paraId="181B4B95" w14:textId="18BB6D1E" w:rsidR="00B368E3" w:rsidRPr="00B368E3" w:rsidRDefault="00B368E3" w:rsidP="00B368E3">
      <w:pPr>
        <w:spacing w:before="120" w:after="120" w:line="240" w:lineRule="auto"/>
        <w:jc w:val="both"/>
        <w:rPr>
          <w:rFonts w:asciiTheme="minorHAnsi" w:eastAsiaTheme="minorEastAsia" w:hAnsiTheme="minorHAnsi" w:cstheme="minorBidi"/>
          <w:lang w:val="es-ES"/>
        </w:rPr>
      </w:pPr>
      <w:r w:rsidRPr="00B368E3">
        <w:rPr>
          <w:rFonts w:ascii="Arial" w:hAnsi="Arial" w:cs="Arial"/>
          <w:lang w:val="es-CO"/>
        </w:rPr>
        <w:t xml:space="preserve">Los arreglos de monitoreo de los recursos remanentes del </w:t>
      </w:r>
      <w:r w:rsidR="002518F0">
        <w:rPr>
          <w:rFonts w:ascii="Arial" w:hAnsi="Arial" w:cs="Arial"/>
          <w:lang w:val="es-CO"/>
        </w:rPr>
        <w:t xml:space="preserve">Programa de Saneamiento de los Distritos de </w:t>
      </w:r>
      <w:proofErr w:type="gramStart"/>
      <w:r w:rsidR="002518F0">
        <w:rPr>
          <w:rFonts w:ascii="Arial" w:hAnsi="Arial" w:cs="Arial"/>
          <w:lang w:val="es-CO"/>
        </w:rPr>
        <w:t>Arraiján</w:t>
      </w:r>
      <w:proofErr w:type="gramEnd"/>
      <w:r w:rsidR="002518F0">
        <w:rPr>
          <w:rFonts w:ascii="Arial" w:hAnsi="Arial" w:cs="Arial"/>
          <w:lang w:val="es-CO"/>
        </w:rPr>
        <w:t xml:space="preserve"> y La Chorrera (</w:t>
      </w:r>
      <w:r w:rsidRPr="00B368E3">
        <w:rPr>
          <w:rFonts w:ascii="Arial" w:hAnsi="Arial" w:cs="Arial"/>
          <w:lang w:val="es-CO"/>
        </w:rPr>
        <w:t>PSACH</w:t>
      </w:r>
      <w:r w:rsidR="002518F0">
        <w:rPr>
          <w:rFonts w:ascii="Arial" w:hAnsi="Arial" w:cs="Arial"/>
          <w:lang w:val="es-CO"/>
        </w:rPr>
        <w:t>)</w:t>
      </w:r>
      <w:r w:rsidRPr="00B368E3">
        <w:rPr>
          <w:rFonts w:ascii="Arial" w:hAnsi="Arial" w:cs="Arial"/>
          <w:lang w:val="es-CO"/>
        </w:rPr>
        <w:t xml:space="preserve"> se mantendrán como en el contrato original</w:t>
      </w:r>
      <w:r w:rsidR="0034177D">
        <w:rPr>
          <w:rFonts w:ascii="Arial" w:hAnsi="Arial" w:cs="Arial"/>
          <w:lang w:val="es-CO"/>
        </w:rPr>
        <w:t>.</w:t>
      </w:r>
    </w:p>
    <w:p w14:paraId="24B40797" w14:textId="2F4C7F5D" w:rsidR="00957711" w:rsidRPr="00425FEE" w:rsidRDefault="006F2EFC" w:rsidP="00E63053">
      <w:pPr>
        <w:spacing w:before="120" w:after="120" w:line="240" w:lineRule="auto"/>
        <w:jc w:val="both"/>
        <w:textAlignment w:val="top"/>
        <w:rPr>
          <w:rFonts w:ascii="Arial" w:hAnsi="Arial" w:cs="Arial"/>
          <w:lang w:val="es-ES"/>
        </w:rPr>
      </w:pPr>
      <w:r w:rsidRPr="00425FEE">
        <w:rPr>
          <w:rFonts w:ascii="Arial" w:hAnsi="Arial" w:cs="Arial"/>
          <w:lang w:val="es-ES"/>
        </w:rPr>
        <w:t xml:space="preserve">La evaluación evaluará la contribución del programa </w:t>
      </w:r>
      <w:r w:rsidR="00AC6C7A" w:rsidRPr="00425FEE">
        <w:rPr>
          <w:rFonts w:ascii="Arial" w:hAnsi="Arial" w:cs="Arial"/>
          <w:lang w:val="es-ES"/>
        </w:rPr>
        <w:t>a</w:t>
      </w:r>
      <w:r w:rsidR="00352380" w:rsidRPr="00425FEE">
        <w:rPr>
          <w:rFonts w:ascii="Arial" w:hAnsi="Arial" w:cs="Arial"/>
          <w:lang w:val="es-ES"/>
        </w:rPr>
        <w:t xml:space="preserve">l </w:t>
      </w:r>
      <w:r w:rsidR="00AC6C7A" w:rsidRPr="00425FEE">
        <w:rPr>
          <w:rFonts w:ascii="Arial" w:hAnsi="Arial" w:cs="Arial"/>
          <w:lang w:val="es-ES"/>
        </w:rPr>
        <w:t>objetivo específico</w:t>
      </w:r>
      <w:r w:rsidR="00FC49BE" w:rsidRPr="00425FEE">
        <w:rPr>
          <w:rFonts w:ascii="Arial" w:hAnsi="Arial" w:cs="Arial"/>
          <w:lang w:val="es-ES"/>
        </w:rPr>
        <w:t xml:space="preserve"> de </w:t>
      </w:r>
      <w:r w:rsidR="00352380" w:rsidRPr="00425FEE">
        <w:rPr>
          <w:rFonts w:ascii="Arial" w:hAnsi="Arial" w:cs="Arial"/>
          <w:lang w:val="es-ES"/>
        </w:rPr>
        <w:t xml:space="preserve">apoyar niveles mínimos de ingreso de las personas afectadas por las medidas de </w:t>
      </w:r>
      <w:r w:rsidR="00352380" w:rsidRPr="00F63CFC">
        <w:rPr>
          <w:rFonts w:ascii="Arial" w:hAnsi="Arial" w:cs="Arial"/>
          <w:lang w:val="es-ES"/>
        </w:rPr>
        <w:t>emergencia derivadas de la pandemia COVID-19, en el periodo inmediato y durante la recuperación, a través del apoyo a</w:t>
      </w:r>
      <w:r w:rsidR="00F63CFC" w:rsidRPr="00F63CFC">
        <w:rPr>
          <w:rFonts w:ascii="Arial" w:hAnsi="Arial" w:cs="Arial"/>
          <w:lang w:val="es-ES"/>
        </w:rPr>
        <w:t xml:space="preserve"> </w:t>
      </w:r>
      <w:r w:rsidR="00352380" w:rsidRPr="00F63CFC">
        <w:rPr>
          <w:rFonts w:ascii="Arial" w:hAnsi="Arial" w:cs="Arial"/>
          <w:lang w:val="es-ES"/>
        </w:rPr>
        <w:t>l</w:t>
      </w:r>
      <w:r w:rsidR="00F63CFC" w:rsidRPr="00F63CFC">
        <w:rPr>
          <w:rFonts w:ascii="Arial" w:hAnsi="Arial" w:cs="Arial"/>
          <w:lang w:val="es-ES"/>
        </w:rPr>
        <w:t>os programas de transferencias de la red de protección social del país y el Vale Digital</w:t>
      </w:r>
      <w:r w:rsidR="00352380" w:rsidRPr="00F63CFC">
        <w:rPr>
          <w:rFonts w:ascii="Arial" w:hAnsi="Arial" w:cs="Arial"/>
          <w:lang w:val="es-ES"/>
        </w:rPr>
        <w:t xml:space="preserve">. </w:t>
      </w:r>
      <w:r w:rsidR="008F5CF8" w:rsidRPr="00F63CFC">
        <w:rPr>
          <w:rFonts w:ascii="Arial" w:hAnsi="Arial" w:cs="Arial"/>
          <w:lang w:val="es-ES"/>
        </w:rPr>
        <w:t xml:space="preserve">Se prevé también evaluar </w:t>
      </w:r>
      <w:r w:rsidRPr="00F63CFC">
        <w:rPr>
          <w:rFonts w:ascii="Arial" w:hAnsi="Arial" w:cs="Arial"/>
          <w:lang w:val="es-ES"/>
        </w:rPr>
        <w:t>las contribuciones a</w:t>
      </w:r>
      <w:r w:rsidR="00352380" w:rsidRPr="00F63CFC">
        <w:rPr>
          <w:rFonts w:ascii="Arial" w:hAnsi="Arial" w:cs="Arial"/>
          <w:lang w:val="es-ES"/>
        </w:rPr>
        <w:t>l</w:t>
      </w:r>
      <w:r w:rsidRPr="00F63CFC">
        <w:rPr>
          <w:rFonts w:ascii="Arial" w:hAnsi="Arial" w:cs="Arial"/>
          <w:lang w:val="es-ES"/>
        </w:rPr>
        <w:t xml:space="preserve"> objetivo final de </w:t>
      </w:r>
      <w:r w:rsidR="00352380" w:rsidRPr="00F63CFC">
        <w:rPr>
          <w:rFonts w:ascii="Arial" w:hAnsi="Arial" w:cs="Arial"/>
          <w:lang w:val="es-ES"/>
        </w:rPr>
        <w:t>contribuir a asegurar niveles</w:t>
      </w:r>
      <w:r w:rsidR="00352380" w:rsidRPr="00425FEE">
        <w:rPr>
          <w:rFonts w:ascii="Arial" w:hAnsi="Arial" w:cs="Arial"/>
          <w:lang w:val="es-ES"/>
        </w:rPr>
        <w:t xml:space="preserve"> mínimos de calidad de vida de las personas vulnerables frente a la crisis causada por el COVID</w:t>
      </w:r>
      <w:r w:rsidR="0096417C" w:rsidRPr="007E0B4B">
        <w:rPr>
          <w:rFonts w:ascii="Arial" w:hAnsi="Arial" w:cs="Arial"/>
          <w:lang w:val="es-ES_tradnl"/>
        </w:rPr>
        <w:noBreakHyphen/>
      </w:r>
      <w:r w:rsidR="00352380" w:rsidRPr="00F63CFC">
        <w:rPr>
          <w:rFonts w:ascii="Arial" w:hAnsi="Arial" w:cs="Arial"/>
          <w:lang w:val="es-ES"/>
        </w:rPr>
        <w:t xml:space="preserve">19 en </w:t>
      </w:r>
      <w:r w:rsidR="00F63CFC" w:rsidRPr="00F63CFC">
        <w:rPr>
          <w:rFonts w:ascii="Arial" w:hAnsi="Arial" w:cs="Arial"/>
          <w:lang w:val="es-ES"/>
        </w:rPr>
        <w:t>Panamá</w:t>
      </w:r>
      <w:r w:rsidR="00352380" w:rsidRPr="00425FEE" w:rsidDel="00352380">
        <w:rPr>
          <w:rFonts w:ascii="Arial" w:hAnsi="Arial" w:cs="Arial"/>
          <w:lang w:val="es-ES"/>
        </w:rPr>
        <w:t xml:space="preserve"> </w:t>
      </w:r>
      <w:r w:rsidR="00970C86" w:rsidRPr="00425FEE">
        <w:rPr>
          <w:rFonts w:ascii="Arial" w:hAnsi="Arial" w:cs="Arial"/>
          <w:lang w:val="es-ES"/>
        </w:rPr>
        <w:t xml:space="preserve">y mitigar sus </w:t>
      </w:r>
      <w:r w:rsidRPr="00425FEE">
        <w:rPr>
          <w:rFonts w:ascii="Arial" w:hAnsi="Arial" w:cs="Arial"/>
          <w:lang w:val="es-ES"/>
        </w:rPr>
        <w:t xml:space="preserve">consecuencias sociales y económicas. </w:t>
      </w:r>
      <w:r w:rsidR="0051125D" w:rsidRPr="00425FEE">
        <w:rPr>
          <w:rFonts w:ascii="Arial" w:hAnsi="Arial" w:cs="Arial"/>
          <w:lang w:val="es-ES"/>
        </w:rPr>
        <w:t>La metodología principal para evaluar el efecto de la intervención sobre los indicadores de interés será un análisis antes y después (pre / post)</w:t>
      </w:r>
      <w:r w:rsidR="00AC2F03">
        <w:rPr>
          <w:rFonts w:ascii="Arial" w:hAnsi="Arial" w:cs="Arial"/>
          <w:lang w:val="es-ES"/>
        </w:rPr>
        <w:t xml:space="preserve"> </w:t>
      </w:r>
      <w:r w:rsidR="00AC2F03" w:rsidRPr="00425FEE">
        <w:rPr>
          <w:rFonts w:ascii="Arial" w:hAnsi="Arial" w:cs="Arial"/>
          <w:lang w:val="es-ES"/>
        </w:rPr>
        <w:t>utilizando la información de series de tiempo disponibles sobre los indicadores de resultados</w:t>
      </w:r>
      <w:r w:rsidR="00D4624C">
        <w:rPr>
          <w:rFonts w:ascii="Arial" w:hAnsi="Arial" w:cs="Arial"/>
          <w:lang w:val="es-ES"/>
        </w:rPr>
        <w:t xml:space="preserve">, </w:t>
      </w:r>
      <w:r w:rsidR="00D4624C">
        <w:rPr>
          <w:rStyle w:val="normaltextrun"/>
          <w:rFonts w:ascii="Arial" w:hAnsi="Arial" w:cs="Arial"/>
          <w:color w:val="000000"/>
          <w:shd w:val="clear" w:color="auto" w:fill="FFFFFF"/>
          <w:lang w:val="es-CO"/>
        </w:rPr>
        <w:t>en particular la cobertura de las transferencias y los registros de consumo de las personas que utilicen el Vale Digital para adquirir productos en los comercios</w:t>
      </w:r>
      <w:r w:rsidR="0051125D" w:rsidRPr="00425FEE">
        <w:rPr>
          <w:rFonts w:ascii="Arial" w:hAnsi="Arial" w:cs="Arial"/>
          <w:lang w:val="es-ES"/>
        </w:rPr>
        <w:t xml:space="preserve">. En esencia, los estudios antes y después miden el rendimiento de los resultados antes y después de la introducción de la intervención en la misma área o unidades afectadas por la intervención. Se supone que los cambios en el rendimiento se deben a la intervención. </w:t>
      </w:r>
    </w:p>
    <w:p w14:paraId="0F2D112A" w14:textId="651F719D" w:rsidR="006F2EFC" w:rsidRDefault="006F2EFC" w:rsidP="00E63053">
      <w:pPr>
        <w:spacing w:before="120" w:after="120" w:line="240" w:lineRule="auto"/>
        <w:jc w:val="both"/>
        <w:textAlignment w:val="top"/>
        <w:rPr>
          <w:rFonts w:ascii="Arial" w:hAnsi="Arial" w:cs="Arial"/>
          <w:lang w:val="es-ES"/>
        </w:rPr>
      </w:pPr>
      <w:r w:rsidRPr="00425FEE">
        <w:rPr>
          <w:rFonts w:ascii="Arial" w:hAnsi="Arial" w:cs="Arial"/>
          <w:lang w:val="es-ES"/>
        </w:rPr>
        <w:t>Para establecer la atribución de los resultados observados a la intervención del programa, el análisis cuantitativo se complementará con evidencia cualitativa y una revisión de la teoría del cambio respaldada con evidencia relevante de la efectividad de intervenciones similares en contextos comparables.</w:t>
      </w:r>
    </w:p>
    <w:p w14:paraId="4BEF7772" w14:textId="77777777" w:rsidR="006D6530" w:rsidRPr="00B368E3" w:rsidRDefault="006D6530" w:rsidP="006D6530">
      <w:pPr>
        <w:spacing w:before="120" w:after="120" w:line="240" w:lineRule="auto"/>
        <w:jc w:val="both"/>
        <w:rPr>
          <w:rFonts w:asciiTheme="minorHAnsi" w:eastAsiaTheme="minorEastAsia" w:hAnsiTheme="minorHAnsi" w:cstheme="minorBidi"/>
          <w:b/>
          <w:bCs/>
          <w:lang w:val="es-CO"/>
        </w:rPr>
      </w:pPr>
      <w:r w:rsidRPr="00B368E3">
        <w:rPr>
          <w:rFonts w:ascii="Arial" w:eastAsia="Arial" w:hAnsi="Arial" w:cs="Arial"/>
          <w:lang w:val="es-CO"/>
        </w:rPr>
        <w:t xml:space="preserve">Dado que el producto remanente de PSACH está asociado a la elaboración de estudios y diseños, la evaluación planteada en el contrato original se elimina. </w:t>
      </w:r>
    </w:p>
    <w:p w14:paraId="707FD438" w14:textId="3172DA98" w:rsidR="001B5186" w:rsidRPr="00425FEE" w:rsidRDefault="00AE6519" w:rsidP="0074232B">
      <w:pPr>
        <w:pStyle w:val="ColorfulList-Accent11"/>
        <w:numPr>
          <w:ilvl w:val="0"/>
          <w:numId w:val="3"/>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Monitoreo</w:t>
      </w:r>
    </w:p>
    <w:p w14:paraId="3CA9641B" w14:textId="77777777" w:rsidR="0034177D" w:rsidRPr="00B368E3" w:rsidRDefault="00247C54" w:rsidP="0034177D">
      <w:pPr>
        <w:spacing w:before="120" w:after="120" w:line="240" w:lineRule="auto"/>
        <w:jc w:val="both"/>
        <w:rPr>
          <w:rFonts w:asciiTheme="minorHAnsi" w:eastAsiaTheme="minorEastAsia" w:hAnsiTheme="minorHAnsi" w:cstheme="minorBidi"/>
          <w:lang w:val="es-ES"/>
        </w:rPr>
      </w:pPr>
      <w:r w:rsidRPr="00425FEE">
        <w:rPr>
          <w:rFonts w:ascii="Arial" w:eastAsia="Times New Roman" w:hAnsi="Arial" w:cs="Arial"/>
          <w:color w:val="000000"/>
          <w:lang w:val="es-ES"/>
        </w:rPr>
        <w:t>Esta sección describe el proceso de monitoreo, incluida la descripción de indicadores clave de monitoreo, identificación de fuentes de datos, informes y monitoreo del plan de trabajo y presupuesto.</w:t>
      </w:r>
      <w:r w:rsidR="0034177D">
        <w:rPr>
          <w:rFonts w:ascii="Arial" w:eastAsia="Times New Roman" w:hAnsi="Arial" w:cs="Arial"/>
          <w:color w:val="000000"/>
          <w:lang w:val="es-ES"/>
        </w:rPr>
        <w:t xml:space="preserve"> </w:t>
      </w:r>
      <w:r w:rsidR="0034177D" w:rsidRPr="00B368E3">
        <w:rPr>
          <w:rFonts w:ascii="Arial" w:hAnsi="Arial" w:cs="Arial"/>
          <w:lang w:val="es-CO"/>
        </w:rPr>
        <w:t>Los arreglos de monitoreo de los recursos remanentes del PSACH se mantendrán como en el contrato original</w:t>
      </w:r>
      <w:r w:rsidR="0034177D">
        <w:rPr>
          <w:rFonts w:ascii="Arial" w:hAnsi="Arial" w:cs="Arial"/>
          <w:lang w:val="es-CO"/>
        </w:rPr>
        <w:t>.</w:t>
      </w:r>
    </w:p>
    <w:p w14:paraId="55B4C2C0" w14:textId="68E60F62" w:rsidR="001B5186" w:rsidRPr="00425FEE" w:rsidRDefault="001B5186" w:rsidP="0074232B">
      <w:pPr>
        <w:pStyle w:val="ColorfulList-Accent11"/>
        <w:numPr>
          <w:ilvl w:val="1"/>
          <w:numId w:val="3"/>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In</w:t>
      </w:r>
      <w:r w:rsidR="00F51C49" w:rsidRPr="00425FEE">
        <w:rPr>
          <w:rFonts w:ascii="Arial" w:hAnsi="Arial" w:cs="Arial"/>
          <w:b/>
          <w:lang w:val="es-ES"/>
        </w:rPr>
        <w:t>dicadores</w:t>
      </w:r>
    </w:p>
    <w:p w14:paraId="3DD6B457" w14:textId="03AFCBDA" w:rsidR="00E2331C" w:rsidRPr="00425FEE" w:rsidRDefault="007D4A59" w:rsidP="0074232B">
      <w:pPr>
        <w:spacing w:before="120" w:after="120" w:line="240" w:lineRule="auto"/>
        <w:jc w:val="both"/>
        <w:textAlignment w:val="top"/>
        <w:rPr>
          <w:rFonts w:ascii="Arial" w:eastAsia="Times New Roman" w:hAnsi="Arial" w:cs="Arial"/>
          <w:color w:val="000000"/>
          <w:lang w:val="es-ES"/>
        </w:rPr>
      </w:pPr>
      <w:r w:rsidRPr="00425FEE">
        <w:rPr>
          <w:rFonts w:ascii="Arial" w:eastAsia="Times New Roman" w:hAnsi="Arial" w:cs="Arial"/>
          <w:color w:val="000000"/>
          <w:lang w:val="es-ES"/>
        </w:rPr>
        <w:t xml:space="preserve">Las tablas 1 y 2 presentan indicadores clave que serán monitoreados y registrados en el Informe de Monitoreo de Progreso (PMR). La Tabla 1 presenta indicadores clave de impacto y resultados, mientras que la Tabla 2 presenta indicadores de </w:t>
      </w:r>
      <w:r w:rsidR="0089432D" w:rsidRPr="00425FEE">
        <w:rPr>
          <w:rFonts w:ascii="Arial" w:eastAsia="Times New Roman" w:hAnsi="Arial" w:cs="Arial"/>
          <w:color w:val="000000"/>
          <w:lang w:val="es-ES"/>
        </w:rPr>
        <w:t>producto</w:t>
      </w:r>
      <w:r w:rsidRPr="00425FEE">
        <w:rPr>
          <w:rFonts w:ascii="Arial" w:eastAsia="Times New Roman" w:hAnsi="Arial" w:cs="Arial"/>
          <w:color w:val="000000"/>
          <w:lang w:val="es-ES"/>
        </w:rPr>
        <w:t xml:space="preserve"> que se utilizarán para monitorear regularmente la ejecución de la operación y son efecto directo de las actividades del </w:t>
      </w:r>
      <w:r w:rsidR="00534106" w:rsidRPr="00425FEE">
        <w:rPr>
          <w:rFonts w:ascii="Arial" w:eastAsia="Times New Roman" w:hAnsi="Arial" w:cs="Arial"/>
          <w:color w:val="000000"/>
          <w:lang w:val="es-ES"/>
        </w:rPr>
        <w:t>programa</w:t>
      </w:r>
      <w:r w:rsidR="0063176F">
        <w:rPr>
          <w:rFonts w:ascii="Arial" w:eastAsia="Times New Roman" w:hAnsi="Arial" w:cs="Arial"/>
          <w:color w:val="000000"/>
          <w:lang w:val="es-ES"/>
        </w:rPr>
        <w:t xml:space="preserve"> (transferencias</w:t>
      </w:r>
      <w:r w:rsidR="00FF7431">
        <w:rPr>
          <w:rFonts w:ascii="Arial" w:eastAsia="Times New Roman" w:hAnsi="Arial" w:cs="Arial"/>
          <w:color w:val="000000"/>
          <w:lang w:val="es-ES"/>
        </w:rPr>
        <w:t>)</w:t>
      </w:r>
      <w:r w:rsidR="001E2CB9" w:rsidRPr="00425FEE">
        <w:rPr>
          <w:rFonts w:ascii="Arial" w:eastAsia="Times New Roman" w:hAnsi="Arial" w:cs="Arial"/>
          <w:color w:val="000000"/>
          <w:lang w:val="es-ES"/>
        </w:rPr>
        <w:t>.</w:t>
      </w:r>
      <w:r w:rsidR="00CF09EF">
        <w:rPr>
          <w:rFonts w:ascii="Arial" w:eastAsia="Times New Roman" w:hAnsi="Arial" w:cs="Arial"/>
          <w:color w:val="000000"/>
          <w:lang w:val="es-ES"/>
        </w:rPr>
        <w:t xml:space="preserve"> Asimism</w:t>
      </w:r>
      <w:r w:rsidR="004612EC">
        <w:rPr>
          <w:rFonts w:ascii="Arial" w:eastAsia="Times New Roman" w:hAnsi="Arial" w:cs="Arial"/>
          <w:color w:val="000000"/>
          <w:lang w:val="es-ES"/>
        </w:rPr>
        <w:t>o,</w:t>
      </w:r>
      <w:r w:rsidR="00CF09EF">
        <w:rPr>
          <w:rFonts w:ascii="Arial" w:eastAsia="Times New Roman" w:hAnsi="Arial" w:cs="Arial"/>
          <w:color w:val="000000"/>
          <w:lang w:val="es-ES"/>
        </w:rPr>
        <w:t xml:space="preserve"> se in</w:t>
      </w:r>
      <w:r w:rsidR="004612EC">
        <w:rPr>
          <w:rFonts w:ascii="Arial" w:eastAsia="Times New Roman" w:hAnsi="Arial" w:cs="Arial"/>
          <w:color w:val="000000"/>
          <w:lang w:val="es-ES"/>
        </w:rPr>
        <w:t>c</w:t>
      </w:r>
      <w:r w:rsidR="00CF09EF">
        <w:rPr>
          <w:rFonts w:ascii="Arial" w:eastAsia="Times New Roman" w:hAnsi="Arial" w:cs="Arial"/>
          <w:color w:val="000000"/>
          <w:lang w:val="es-ES"/>
        </w:rPr>
        <w:t>luye el producto remanente del PSACH.</w:t>
      </w:r>
    </w:p>
    <w:p w14:paraId="322847A5" w14:textId="77777777" w:rsidR="001E2CB9" w:rsidRPr="00425FEE" w:rsidRDefault="001E2CB9" w:rsidP="002A7369">
      <w:pPr>
        <w:spacing w:before="120" w:after="120" w:line="288" w:lineRule="auto"/>
        <w:jc w:val="both"/>
        <w:textAlignment w:val="top"/>
        <w:rPr>
          <w:rFonts w:ascii="Arial" w:eastAsia="Times New Roman" w:hAnsi="Arial" w:cs="Arial"/>
          <w:color w:val="000000"/>
          <w:lang w:val="es-ES"/>
        </w:rPr>
      </w:pPr>
    </w:p>
    <w:p w14:paraId="3390E069" w14:textId="77777777" w:rsidR="00190876" w:rsidRPr="00425FEE" w:rsidRDefault="00190876">
      <w:pPr>
        <w:spacing w:after="0" w:line="240" w:lineRule="auto"/>
        <w:rPr>
          <w:rFonts w:ascii="Arial" w:hAnsi="Arial" w:cs="Arial"/>
          <w:sz w:val="20"/>
          <w:szCs w:val="20"/>
          <w:lang w:val="es-ES"/>
        </w:rPr>
      </w:pPr>
      <w:r w:rsidRPr="00425FEE">
        <w:rPr>
          <w:rFonts w:ascii="Arial" w:hAnsi="Arial" w:cs="Arial"/>
          <w:sz w:val="20"/>
          <w:szCs w:val="20"/>
          <w:lang w:val="es-ES"/>
        </w:rPr>
        <w:br w:type="page"/>
      </w:r>
    </w:p>
    <w:p w14:paraId="038DA46E" w14:textId="77777777" w:rsidR="00190876" w:rsidRPr="00425FEE" w:rsidRDefault="00190876" w:rsidP="00765D47">
      <w:pPr>
        <w:autoSpaceDE w:val="0"/>
        <w:autoSpaceDN w:val="0"/>
        <w:adjustRightInd w:val="0"/>
        <w:spacing w:after="120" w:line="240" w:lineRule="auto"/>
        <w:jc w:val="center"/>
        <w:rPr>
          <w:rFonts w:ascii="Arial" w:hAnsi="Arial" w:cs="Arial"/>
          <w:sz w:val="20"/>
          <w:szCs w:val="20"/>
          <w:lang w:val="es-ES"/>
        </w:rPr>
        <w:sectPr w:rsidR="00190876" w:rsidRPr="00425FEE" w:rsidSect="004462A9">
          <w:headerReference w:type="default" r:id="rId15"/>
          <w:footerReference w:type="default" r:id="rId16"/>
          <w:type w:val="continuous"/>
          <w:pgSz w:w="12240" w:h="15840"/>
          <w:pgMar w:top="1440" w:right="1627" w:bottom="1440" w:left="1440" w:header="720" w:footer="720" w:gutter="0"/>
          <w:pgNumType w:start="1"/>
          <w:cols w:space="720"/>
          <w:titlePg/>
          <w:docGrid w:linePitch="360"/>
        </w:sectPr>
      </w:pPr>
    </w:p>
    <w:p w14:paraId="3A76808C" w14:textId="0F648929" w:rsidR="00765D47" w:rsidRPr="00425FEE" w:rsidRDefault="00073CC4" w:rsidP="00765D47">
      <w:pPr>
        <w:autoSpaceDE w:val="0"/>
        <w:autoSpaceDN w:val="0"/>
        <w:adjustRightInd w:val="0"/>
        <w:spacing w:after="120" w:line="240" w:lineRule="auto"/>
        <w:jc w:val="center"/>
        <w:rPr>
          <w:rFonts w:ascii="Arial" w:hAnsi="Arial" w:cs="Arial"/>
          <w:b/>
          <w:smallCaps/>
          <w:lang w:val="es-ES"/>
        </w:rPr>
      </w:pPr>
      <w:r w:rsidRPr="00425FEE">
        <w:rPr>
          <w:rFonts w:ascii="Arial" w:hAnsi="Arial" w:cs="Arial"/>
          <w:b/>
          <w:bCs/>
          <w:lang w:val="es-ES"/>
        </w:rPr>
        <w:lastRenderedPageBreak/>
        <w:t>Tabla 1</w:t>
      </w:r>
      <w:r w:rsidR="005E506E" w:rsidRPr="00425FEE">
        <w:rPr>
          <w:rFonts w:ascii="Arial" w:hAnsi="Arial" w:cs="Arial"/>
          <w:b/>
          <w:smallCaps/>
          <w:lang w:val="es-ES"/>
        </w:rPr>
        <w:t>.</w:t>
      </w:r>
      <w:r w:rsidR="00765D47" w:rsidRPr="00425FEE">
        <w:rPr>
          <w:rFonts w:ascii="Arial" w:hAnsi="Arial" w:cs="Arial"/>
          <w:b/>
          <w:smallCaps/>
          <w:lang w:val="es-ES"/>
        </w:rPr>
        <w:t xml:space="preserve"> Indicadores de </w:t>
      </w:r>
      <w:r w:rsidR="007653D8" w:rsidRPr="00425FEE">
        <w:rPr>
          <w:rFonts w:ascii="Arial" w:hAnsi="Arial" w:cs="Arial"/>
          <w:b/>
          <w:smallCaps/>
          <w:lang w:val="es-ES"/>
        </w:rPr>
        <w:t>I</w:t>
      </w:r>
      <w:r w:rsidR="00765D47" w:rsidRPr="00425FEE">
        <w:rPr>
          <w:rFonts w:ascii="Arial" w:hAnsi="Arial" w:cs="Arial"/>
          <w:b/>
          <w:smallCaps/>
          <w:lang w:val="es-ES"/>
        </w:rPr>
        <w:t xml:space="preserve">mpacto y </w:t>
      </w:r>
      <w:r w:rsidR="007653D8" w:rsidRPr="00425FEE">
        <w:rPr>
          <w:rFonts w:ascii="Arial" w:hAnsi="Arial" w:cs="Arial"/>
          <w:b/>
          <w:smallCaps/>
          <w:lang w:val="es-ES"/>
        </w:rPr>
        <w:t>R</w:t>
      </w:r>
      <w:r w:rsidR="00765D47" w:rsidRPr="00425FEE">
        <w:rPr>
          <w:rFonts w:ascii="Arial" w:hAnsi="Arial" w:cs="Arial"/>
          <w:b/>
          <w:smallCaps/>
          <w:lang w:val="es-ES"/>
        </w:rPr>
        <w:t>esultado</w:t>
      </w:r>
    </w:p>
    <w:p w14:paraId="18A694CE" w14:textId="77777777" w:rsidR="008B70FF" w:rsidRPr="008B70FF" w:rsidRDefault="008B70FF" w:rsidP="008B70FF">
      <w:pPr>
        <w:autoSpaceDE w:val="0"/>
        <w:autoSpaceDN w:val="0"/>
        <w:adjustRightInd w:val="0"/>
        <w:spacing w:before="120" w:after="60" w:line="240" w:lineRule="auto"/>
        <w:jc w:val="center"/>
        <w:rPr>
          <w:rFonts w:ascii="Arial" w:hAnsi="Arial" w:cs="Arial"/>
          <w:b/>
          <w:bCs/>
          <w:smallCaps/>
          <w:lang w:val="es-419"/>
        </w:rPr>
      </w:pPr>
      <w:r w:rsidRPr="008B70FF">
        <w:rPr>
          <w:rFonts w:ascii="Arial" w:hAnsi="Arial" w:cs="Arial"/>
          <w:b/>
          <w:bCs/>
          <w:smallCaps/>
          <w:lang w:val="es-419"/>
        </w:rPr>
        <w:t>Objetivo General de Desarrollo</w:t>
      </w:r>
    </w:p>
    <w:tbl>
      <w:tblPr>
        <w:tblW w:w="13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5"/>
        <w:gridCol w:w="1350"/>
        <w:gridCol w:w="810"/>
        <w:gridCol w:w="1080"/>
        <w:gridCol w:w="1260"/>
        <w:gridCol w:w="900"/>
        <w:gridCol w:w="1260"/>
        <w:gridCol w:w="3461"/>
      </w:tblGrid>
      <w:tr w:rsidR="008B70FF" w:rsidRPr="008B70FF" w14:paraId="38A066D1" w14:textId="77777777" w:rsidTr="005B4465">
        <w:trPr>
          <w:trHeight w:val="703"/>
          <w:tblHeader/>
          <w:jc w:val="center"/>
        </w:trPr>
        <w:tc>
          <w:tcPr>
            <w:tcW w:w="3325"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49A76167"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Indicadores</w:t>
            </w:r>
          </w:p>
        </w:tc>
        <w:tc>
          <w:tcPr>
            <w:tcW w:w="135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35507998"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Unidad de Medida</w:t>
            </w:r>
          </w:p>
        </w:tc>
        <w:tc>
          <w:tcPr>
            <w:tcW w:w="81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6B559981"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Línea de Base</w:t>
            </w:r>
          </w:p>
        </w:tc>
        <w:tc>
          <w:tcPr>
            <w:tcW w:w="108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4DEEC92C"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Año Línea de Base</w:t>
            </w:r>
          </w:p>
        </w:tc>
        <w:tc>
          <w:tcPr>
            <w:tcW w:w="1260" w:type="dxa"/>
            <w:tcBorders>
              <w:top w:val="single" w:sz="4" w:space="0" w:color="auto"/>
              <w:left w:val="single" w:sz="4" w:space="0" w:color="auto"/>
              <w:bottom w:val="single" w:sz="4" w:space="0" w:color="auto"/>
              <w:right w:val="single" w:sz="4" w:space="0" w:color="auto"/>
            </w:tcBorders>
            <w:shd w:val="clear" w:color="auto" w:fill="8DB3E2"/>
            <w:vAlign w:val="center"/>
          </w:tcPr>
          <w:p w14:paraId="5CA8789F" w14:textId="77777777" w:rsidR="008B70FF" w:rsidRPr="008B70FF" w:rsidRDefault="008B70FF" w:rsidP="008B70FF">
            <w:pPr>
              <w:spacing w:after="160" w:line="240" w:lineRule="auto"/>
              <w:jc w:val="center"/>
              <w:rPr>
                <w:rFonts w:ascii="Arial" w:hAnsi="Arial" w:cs="Arial"/>
                <w:b/>
                <w:bCs/>
                <w:sz w:val="18"/>
                <w:szCs w:val="18"/>
                <w:lang w:val="es-419" w:eastAsia="zh-CN"/>
              </w:rPr>
            </w:pPr>
            <w:r w:rsidRPr="008B70FF">
              <w:rPr>
                <w:rFonts w:ascii="Arial" w:hAnsi="Arial" w:cs="Arial"/>
                <w:b/>
                <w:bCs/>
                <w:sz w:val="18"/>
                <w:szCs w:val="18"/>
                <w:lang w:val="es-419" w:eastAsia="zh-CN"/>
              </w:rPr>
              <w:t>Año esperado para el Logro</w:t>
            </w:r>
          </w:p>
        </w:tc>
        <w:tc>
          <w:tcPr>
            <w:tcW w:w="90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46284B38" w14:textId="77777777" w:rsidR="008B70FF" w:rsidRPr="008B70FF" w:rsidRDefault="008B70FF" w:rsidP="008B70FF">
            <w:pPr>
              <w:spacing w:after="0" w:line="240" w:lineRule="auto"/>
              <w:jc w:val="center"/>
              <w:rPr>
                <w:rFonts w:ascii="Arial" w:hAnsi="Arial" w:cs="Arial"/>
                <w:b/>
                <w:bCs/>
                <w:sz w:val="18"/>
                <w:szCs w:val="18"/>
                <w:lang w:val="es-419" w:eastAsia="zh-CN"/>
              </w:rPr>
            </w:pPr>
            <w:r w:rsidRPr="008B70FF">
              <w:rPr>
                <w:rFonts w:ascii="Arial" w:hAnsi="Arial" w:cs="Arial"/>
                <w:b/>
                <w:bCs/>
                <w:sz w:val="18"/>
                <w:szCs w:val="18"/>
                <w:lang w:val="es-419" w:eastAsia="zh-CN"/>
              </w:rPr>
              <w:t>Meta</w:t>
            </w:r>
            <w:r w:rsidRPr="008B70FF">
              <w:rPr>
                <w:rFonts w:ascii="Arial" w:hAnsi="Arial" w:cs="Arial"/>
                <w:b/>
                <w:bCs/>
                <w:sz w:val="18"/>
                <w:szCs w:val="18"/>
                <w:vertAlign w:val="superscript"/>
                <w:lang w:val="es-419" w:eastAsia="zh-CN"/>
              </w:rPr>
              <w:footnoteReference w:id="38"/>
            </w:r>
            <w:r w:rsidRPr="008B70FF">
              <w:rPr>
                <w:rFonts w:ascii="Arial" w:hAnsi="Arial" w:cs="Arial"/>
                <w:b/>
                <w:bCs/>
                <w:sz w:val="18"/>
                <w:szCs w:val="18"/>
                <w:lang w:val="es-419" w:eastAsia="zh-CN"/>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12DA8CEC"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Medios de Verificación</w:t>
            </w:r>
          </w:p>
        </w:tc>
        <w:tc>
          <w:tcPr>
            <w:tcW w:w="3461" w:type="dxa"/>
            <w:tcBorders>
              <w:top w:val="single" w:sz="4" w:space="0" w:color="auto"/>
              <w:left w:val="single" w:sz="4" w:space="0" w:color="auto"/>
              <w:bottom w:val="single" w:sz="4" w:space="0" w:color="auto"/>
              <w:right w:val="single" w:sz="4" w:space="0" w:color="auto"/>
            </w:tcBorders>
            <w:shd w:val="clear" w:color="auto" w:fill="8DB3E2"/>
            <w:vAlign w:val="center"/>
            <w:hideMark/>
          </w:tcPr>
          <w:p w14:paraId="655CEA96"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Comentarios</w:t>
            </w:r>
          </w:p>
        </w:tc>
      </w:tr>
      <w:tr w:rsidR="008B70FF" w:rsidRPr="001A1DF9" w14:paraId="02631690" w14:textId="77777777" w:rsidTr="005B4465">
        <w:trPr>
          <w:trHeight w:val="575"/>
          <w:jc w:val="center"/>
        </w:trPr>
        <w:tc>
          <w:tcPr>
            <w:tcW w:w="13446" w:type="dxa"/>
            <w:gridSpan w:val="8"/>
            <w:tcBorders>
              <w:top w:val="single" w:sz="4" w:space="0" w:color="auto"/>
              <w:left w:val="single" w:sz="4" w:space="0" w:color="auto"/>
              <w:bottom w:val="single" w:sz="4" w:space="0" w:color="auto"/>
              <w:right w:val="single" w:sz="4" w:space="0" w:color="auto"/>
            </w:tcBorders>
            <w:vAlign w:val="center"/>
          </w:tcPr>
          <w:p w14:paraId="7C953018" w14:textId="77777777" w:rsidR="008B70FF" w:rsidRPr="008B70FF" w:rsidRDefault="008B70FF" w:rsidP="008B70FF">
            <w:pPr>
              <w:spacing w:before="120" w:after="120" w:line="240" w:lineRule="auto"/>
              <w:rPr>
                <w:rFonts w:ascii="Arial" w:hAnsi="Arial" w:cs="Arial"/>
                <w:sz w:val="18"/>
                <w:szCs w:val="18"/>
                <w:lang w:val="es-419" w:eastAsia="zh-CN"/>
              </w:rPr>
            </w:pPr>
            <w:r w:rsidRPr="008B70FF">
              <w:rPr>
                <w:rFonts w:ascii="Arial" w:hAnsi="Arial" w:cs="Arial"/>
                <w:b/>
                <w:bCs/>
                <w:sz w:val="18"/>
                <w:szCs w:val="18"/>
                <w:lang w:val="es-419" w:eastAsia="zh-CN"/>
              </w:rPr>
              <w:t>Objetivo general de desarrollo</w:t>
            </w:r>
            <w:r w:rsidRPr="008B70FF">
              <w:rPr>
                <w:rFonts w:ascii="Arial" w:hAnsi="Arial" w:cs="Arial"/>
                <w:sz w:val="18"/>
                <w:szCs w:val="18"/>
                <w:lang w:val="es-419" w:eastAsia="zh-CN"/>
              </w:rPr>
              <w:t xml:space="preserve">: </w:t>
            </w:r>
            <w:r w:rsidRPr="008B70FF">
              <w:rPr>
                <w:rFonts w:ascii="Arial" w:hAnsi="Arial" w:cs="Arial"/>
                <w:color w:val="000000"/>
                <w:sz w:val="18"/>
                <w:szCs w:val="18"/>
                <w:lang w:val="es-ES"/>
              </w:rPr>
              <w:t>contribuir a apoyar niveles mínimos de consumo de las personas en pobreza, pobreza extrema y en situación de vulnerabilidad frente a la crisis causada por el COVID-19 en Panamá.</w:t>
            </w:r>
          </w:p>
        </w:tc>
      </w:tr>
      <w:tr w:rsidR="008B70FF" w:rsidRPr="001A1DF9" w14:paraId="0CD9E0D6" w14:textId="77777777" w:rsidTr="005B4465">
        <w:trPr>
          <w:trHeight w:val="1268"/>
          <w:jc w:val="center"/>
        </w:trPr>
        <w:tc>
          <w:tcPr>
            <w:tcW w:w="3325" w:type="dxa"/>
            <w:tcBorders>
              <w:top w:val="single" w:sz="4" w:space="0" w:color="auto"/>
              <w:left w:val="single" w:sz="4" w:space="0" w:color="auto"/>
              <w:bottom w:val="single" w:sz="4" w:space="0" w:color="auto"/>
              <w:right w:val="single" w:sz="4" w:space="0" w:color="auto"/>
            </w:tcBorders>
            <w:vAlign w:val="center"/>
          </w:tcPr>
          <w:p w14:paraId="2E653FF2" w14:textId="77777777" w:rsidR="008B70FF" w:rsidRPr="008B70FF" w:rsidRDefault="008B70FF" w:rsidP="008B70FF">
            <w:pPr>
              <w:spacing w:before="60" w:after="60" w:line="240" w:lineRule="auto"/>
              <w:rPr>
                <w:rFonts w:ascii="Arial" w:hAnsi="Arial" w:cs="Arial"/>
                <w:sz w:val="18"/>
                <w:szCs w:val="18"/>
                <w:lang w:val="es-419"/>
              </w:rPr>
            </w:pPr>
            <w:r w:rsidRPr="008B70FF">
              <w:rPr>
                <w:rFonts w:ascii="Arial" w:hAnsi="Arial" w:cs="Arial"/>
                <w:sz w:val="18"/>
                <w:szCs w:val="18"/>
                <w:lang w:val="es-419"/>
              </w:rPr>
              <w:t>Nivel de ingreso de familias vulnerables (seis deciles más bajos de ingreso por hogar) respecto a nivel de ingreso de familias no vulnerables (cuatro deciles más altos) 12 meses después de inicio de la crisis</w:t>
            </w:r>
          </w:p>
        </w:tc>
        <w:tc>
          <w:tcPr>
            <w:tcW w:w="1350" w:type="dxa"/>
            <w:tcBorders>
              <w:top w:val="single" w:sz="4" w:space="0" w:color="auto"/>
              <w:left w:val="single" w:sz="4" w:space="0" w:color="auto"/>
              <w:bottom w:val="single" w:sz="4" w:space="0" w:color="auto"/>
              <w:right w:val="single" w:sz="4" w:space="0" w:color="auto"/>
            </w:tcBorders>
            <w:vAlign w:val="center"/>
          </w:tcPr>
          <w:p w14:paraId="7D52F224" w14:textId="77777777" w:rsidR="008B70FF" w:rsidRPr="008B70FF" w:rsidRDefault="008B70FF" w:rsidP="008B70FF">
            <w:pPr>
              <w:spacing w:before="60" w:after="60" w:line="240" w:lineRule="auto"/>
              <w:jc w:val="center"/>
              <w:rPr>
                <w:rFonts w:ascii="Arial" w:hAnsi="Arial" w:cs="Arial"/>
                <w:sz w:val="18"/>
                <w:szCs w:val="18"/>
                <w:lang w:val="es-ES_tradnl" w:eastAsia="zh-CN"/>
              </w:rPr>
            </w:pPr>
            <w:r w:rsidRPr="008B70FF">
              <w:rPr>
                <w:rFonts w:ascii="Arial" w:hAnsi="Arial" w:cs="Arial"/>
                <w:sz w:val="18"/>
                <w:szCs w:val="18"/>
                <w:lang w:val="es-419" w:eastAsia="zh-CN"/>
              </w:rPr>
              <w:t>Porcentaje</w:t>
            </w:r>
          </w:p>
        </w:tc>
        <w:tc>
          <w:tcPr>
            <w:tcW w:w="810" w:type="dxa"/>
            <w:tcBorders>
              <w:top w:val="single" w:sz="4" w:space="0" w:color="auto"/>
              <w:left w:val="single" w:sz="4" w:space="0" w:color="auto"/>
              <w:bottom w:val="single" w:sz="4" w:space="0" w:color="auto"/>
              <w:right w:val="single" w:sz="4" w:space="0" w:color="auto"/>
            </w:tcBorders>
            <w:vAlign w:val="center"/>
          </w:tcPr>
          <w:p w14:paraId="72204E01" w14:textId="77777777" w:rsidR="008B70FF" w:rsidRPr="008B70FF" w:rsidRDefault="008B70FF" w:rsidP="008B70FF">
            <w:pPr>
              <w:spacing w:before="60" w:after="60" w:line="240" w:lineRule="auto"/>
              <w:jc w:val="center"/>
              <w:rPr>
                <w:rFonts w:ascii="Arial" w:hAnsi="Arial" w:cs="Arial"/>
                <w:sz w:val="18"/>
                <w:szCs w:val="18"/>
                <w:lang w:val="es-419" w:eastAsia="zh-CN"/>
              </w:rPr>
            </w:pPr>
            <w:r w:rsidRPr="008B70FF">
              <w:rPr>
                <w:rFonts w:ascii="Arial" w:hAnsi="Arial" w:cs="Arial"/>
                <w:sz w:val="18"/>
                <w:szCs w:val="18"/>
                <w:lang w:val="es-419" w:eastAsia="zh-CN"/>
              </w:rPr>
              <w:t>23</w:t>
            </w:r>
          </w:p>
        </w:tc>
        <w:tc>
          <w:tcPr>
            <w:tcW w:w="1080" w:type="dxa"/>
            <w:tcBorders>
              <w:top w:val="single" w:sz="4" w:space="0" w:color="auto"/>
              <w:left w:val="single" w:sz="4" w:space="0" w:color="auto"/>
              <w:bottom w:val="single" w:sz="4" w:space="0" w:color="auto"/>
              <w:right w:val="single" w:sz="4" w:space="0" w:color="auto"/>
            </w:tcBorders>
            <w:vAlign w:val="center"/>
          </w:tcPr>
          <w:p w14:paraId="5C5D712D" w14:textId="77777777" w:rsidR="008B70FF" w:rsidRPr="008B70FF" w:rsidRDefault="008B70FF" w:rsidP="008B70FF">
            <w:pPr>
              <w:spacing w:before="60" w:after="60" w:line="240" w:lineRule="auto"/>
              <w:jc w:val="center"/>
              <w:rPr>
                <w:rFonts w:ascii="Arial" w:hAnsi="Arial" w:cs="Arial"/>
                <w:sz w:val="18"/>
                <w:szCs w:val="18"/>
                <w:lang w:val="es-ES_tradnl" w:eastAsia="zh-CN"/>
              </w:rPr>
            </w:pPr>
            <w:r w:rsidRPr="008B70FF">
              <w:rPr>
                <w:rFonts w:ascii="Arial" w:hAnsi="Arial" w:cs="Arial"/>
                <w:sz w:val="18"/>
                <w:szCs w:val="18"/>
                <w:lang w:val="es-419" w:eastAsia="zh-CN"/>
              </w:rPr>
              <w:t>2017</w:t>
            </w:r>
          </w:p>
        </w:tc>
        <w:tc>
          <w:tcPr>
            <w:tcW w:w="1260" w:type="dxa"/>
            <w:tcBorders>
              <w:top w:val="single" w:sz="4" w:space="0" w:color="auto"/>
              <w:left w:val="single" w:sz="4" w:space="0" w:color="auto"/>
              <w:bottom w:val="single" w:sz="4" w:space="0" w:color="auto"/>
              <w:right w:val="single" w:sz="4" w:space="0" w:color="auto"/>
            </w:tcBorders>
            <w:vAlign w:val="center"/>
          </w:tcPr>
          <w:p w14:paraId="07CBAC15" w14:textId="77777777" w:rsidR="008B70FF" w:rsidRPr="008B70FF" w:rsidRDefault="008B70FF" w:rsidP="008B70FF">
            <w:pPr>
              <w:spacing w:after="160" w:line="240" w:lineRule="auto"/>
              <w:jc w:val="center"/>
              <w:rPr>
                <w:rFonts w:ascii="Arial" w:hAnsi="Arial" w:cs="Arial"/>
                <w:sz w:val="18"/>
                <w:szCs w:val="18"/>
                <w:lang w:val="es-419" w:eastAsia="zh-CN"/>
              </w:rPr>
            </w:pPr>
            <w:r w:rsidRPr="008B70FF">
              <w:rPr>
                <w:rFonts w:ascii="Arial" w:hAnsi="Arial" w:cs="Arial"/>
                <w:sz w:val="18"/>
                <w:szCs w:val="18"/>
                <w:lang w:val="es-419" w:eastAsia="zh-CN"/>
              </w:rPr>
              <w:t>2021</w:t>
            </w:r>
          </w:p>
        </w:tc>
        <w:tc>
          <w:tcPr>
            <w:tcW w:w="900" w:type="dxa"/>
            <w:tcBorders>
              <w:top w:val="single" w:sz="4" w:space="0" w:color="auto"/>
              <w:left w:val="single" w:sz="4" w:space="0" w:color="auto"/>
              <w:bottom w:val="single" w:sz="4" w:space="0" w:color="auto"/>
              <w:right w:val="single" w:sz="4" w:space="0" w:color="auto"/>
            </w:tcBorders>
            <w:vAlign w:val="center"/>
          </w:tcPr>
          <w:p w14:paraId="2B956837" w14:textId="77777777" w:rsidR="008B70FF" w:rsidRPr="008B70FF" w:rsidRDefault="008B70FF" w:rsidP="008B70FF">
            <w:pPr>
              <w:spacing w:before="60" w:after="60" w:line="240" w:lineRule="auto"/>
              <w:jc w:val="center"/>
              <w:rPr>
                <w:rFonts w:ascii="Arial" w:hAnsi="Arial" w:cs="Arial"/>
                <w:sz w:val="18"/>
                <w:szCs w:val="18"/>
                <w:lang w:val="es-419" w:eastAsia="zh-CN"/>
              </w:rPr>
            </w:pPr>
            <w:r w:rsidRPr="008B70FF">
              <w:rPr>
                <w:rFonts w:ascii="Arial" w:hAnsi="Arial" w:cs="Arial"/>
                <w:sz w:val="18"/>
                <w:szCs w:val="18"/>
                <w:lang w:val="es-419" w:eastAsia="zh-CN"/>
              </w:rPr>
              <w:t>23</w:t>
            </w:r>
          </w:p>
        </w:tc>
        <w:tc>
          <w:tcPr>
            <w:tcW w:w="1260" w:type="dxa"/>
            <w:tcBorders>
              <w:top w:val="single" w:sz="4" w:space="0" w:color="auto"/>
              <w:left w:val="single" w:sz="4" w:space="0" w:color="auto"/>
              <w:bottom w:val="single" w:sz="4" w:space="0" w:color="auto"/>
              <w:right w:val="single" w:sz="4" w:space="0" w:color="auto"/>
            </w:tcBorders>
            <w:vAlign w:val="center"/>
          </w:tcPr>
          <w:p w14:paraId="1DCBBD81" w14:textId="77777777" w:rsidR="008B70FF" w:rsidRPr="008B70FF" w:rsidRDefault="008B70FF" w:rsidP="008B70FF">
            <w:pPr>
              <w:spacing w:before="60" w:after="60" w:line="240" w:lineRule="auto"/>
              <w:rPr>
                <w:rFonts w:ascii="Arial" w:hAnsi="Arial" w:cs="Arial"/>
                <w:sz w:val="18"/>
                <w:szCs w:val="18"/>
                <w:lang w:val="es-419" w:eastAsia="zh-CN"/>
              </w:rPr>
            </w:pPr>
            <w:r w:rsidRPr="008B70FF">
              <w:rPr>
                <w:rFonts w:ascii="Arial" w:hAnsi="Arial" w:cs="Arial"/>
                <w:sz w:val="18"/>
                <w:szCs w:val="18"/>
                <w:lang w:val="es-419" w:eastAsia="zh-CN"/>
              </w:rPr>
              <w:t xml:space="preserve">Encuesta de Propósitos Múltiples </w:t>
            </w:r>
          </w:p>
        </w:tc>
        <w:tc>
          <w:tcPr>
            <w:tcW w:w="3461" w:type="dxa"/>
            <w:tcBorders>
              <w:top w:val="single" w:sz="4" w:space="0" w:color="auto"/>
              <w:left w:val="single" w:sz="4" w:space="0" w:color="auto"/>
              <w:bottom w:val="single" w:sz="4" w:space="0" w:color="auto"/>
              <w:right w:val="single" w:sz="4" w:space="0" w:color="auto"/>
            </w:tcBorders>
            <w:vAlign w:val="center"/>
          </w:tcPr>
          <w:p w14:paraId="2C31C832" w14:textId="77777777" w:rsidR="008B70FF" w:rsidRPr="008B70FF" w:rsidRDefault="008B70FF" w:rsidP="008B70FF">
            <w:pPr>
              <w:spacing w:before="60" w:after="60" w:line="240" w:lineRule="auto"/>
              <w:rPr>
                <w:rFonts w:ascii="Arial" w:hAnsi="Arial" w:cs="Arial"/>
                <w:sz w:val="18"/>
                <w:szCs w:val="18"/>
                <w:lang w:val="es-ES_tradnl" w:eastAsia="zh-CN"/>
              </w:rPr>
            </w:pPr>
            <w:r w:rsidRPr="008B70FF">
              <w:rPr>
                <w:rFonts w:ascii="Arial" w:hAnsi="Arial" w:cs="Arial"/>
                <w:sz w:val="18"/>
                <w:szCs w:val="18"/>
                <w:lang w:val="es-419" w:eastAsia="zh-CN"/>
              </w:rPr>
              <w:t>Se considerará población vulnerable a los seis deciles más bajos de la variable de ingreso total por hogar, y población no vulnerable los cuatro deciles más altos. Se divide el ingreso promedio de los seis deciles más bajos entre el ingreso promedio de los cuatro deciles más altos.</w:t>
            </w:r>
          </w:p>
        </w:tc>
      </w:tr>
    </w:tbl>
    <w:p w14:paraId="245231C8" w14:textId="77777777" w:rsidR="008B70FF" w:rsidRPr="008B70FF" w:rsidRDefault="008B70FF" w:rsidP="008B70FF">
      <w:pPr>
        <w:autoSpaceDE w:val="0"/>
        <w:autoSpaceDN w:val="0"/>
        <w:adjustRightInd w:val="0"/>
        <w:spacing w:after="0" w:line="240" w:lineRule="auto"/>
        <w:jc w:val="center"/>
        <w:rPr>
          <w:rFonts w:ascii="Arial" w:eastAsia="Times New Roman" w:hAnsi="Arial" w:cs="Arial"/>
          <w:b/>
          <w:bCs/>
          <w:smallCaps/>
          <w:color w:val="000000"/>
          <w:lang w:val="es-419"/>
        </w:rPr>
      </w:pPr>
    </w:p>
    <w:p w14:paraId="004C9708" w14:textId="5EA7AE70" w:rsidR="008B70FF" w:rsidRPr="008B70FF" w:rsidRDefault="008B70FF" w:rsidP="008B70FF">
      <w:pPr>
        <w:autoSpaceDE w:val="0"/>
        <w:autoSpaceDN w:val="0"/>
        <w:adjustRightInd w:val="0"/>
        <w:spacing w:after="120" w:line="240" w:lineRule="auto"/>
        <w:jc w:val="center"/>
        <w:rPr>
          <w:rFonts w:ascii="Arial" w:hAnsi="Arial" w:cs="Arial"/>
          <w:b/>
          <w:smallCaps/>
          <w:color w:val="000000"/>
          <w:sz w:val="20"/>
          <w:szCs w:val="20"/>
          <w:lang w:val="es-419"/>
        </w:rPr>
      </w:pPr>
      <w:r w:rsidRPr="008B70FF">
        <w:rPr>
          <w:rFonts w:ascii="Arial" w:eastAsia="Times New Roman" w:hAnsi="Arial" w:cs="Arial"/>
          <w:b/>
          <w:bCs/>
          <w:smallCaps/>
          <w:color w:val="000000"/>
          <w:lang w:val="es-419"/>
        </w:rPr>
        <w:t>Objetivos de Desarrollo Específicos</w:t>
      </w:r>
    </w:p>
    <w:tbl>
      <w:tblPr>
        <w:tblW w:w="134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5"/>
        <w:gridCol w:w="1350"/>
        <w:gridCol w:w="900"/>
        <w:gridCol w:w="990"/>
        <w:gridCol w:w="1260"/>
        <w:gridCol w:w="900"/>
        <w:gridCol w:w="1350"/>
        <w:gridCol w:w="3420"/>
      </w:tblGrid>
      <w:tr w:rsidR="008B70FF" w:rsidRPr="008B70FF" w14:paraId="6E4669C0" w14:textId="77777777" w:rsidTr="008B70FF">
        <w:trPr>
          <w:trHeight w:val="791"/>
          <w:tblHeader/>
          <w:jc w:val="center"/>
        </w:trPr>
        <w:tc>
          <w:tcPr>
            <w:tcW w:w="3235"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1740AF46"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Indicadores</w:t>
            </w:r>
          </w:p>
        </w:tc>
        <w:tc>
          <w:tcPr>
            <w:tcW w:w="135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2790BD04"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Unidad de Medida</w:t>
            </w:r>
          </w:p>
        </w:tc>
        <w:tc>
          <w:tcPr>
            <w:tcW w:w="90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76AFF8D9"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57EA9817"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Año Línea de Base</w:t>
            </w:r>
          </w:p>
        </w:tc>
        <w:tc>
          <w:tcPr>
            <w:tcW w:w="126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5DD97C8D"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Meta final</w:t>
            </w:r>
          </w:p>
        </w:tc>
        <w:tc>
          <w:tcPr>
            <w:tcW w:w="90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7B8C1106" w14:textId="77777777" w:rsidR="008B70FF" w:rsidRPr="008B70FF" w:rsidRDefault="008B70FF" w:rsidP="008B70FF">
            <w:pPr>
              <w:spacing w:after="0" w:line="240" w:lineRule="auto"/>
              <w:jc w:val="center"/>
              <w:rPr>
                <w:rFonts w:ascii="Arial" w:hAnsi="Arial" w:cs="Arial"/>
                <w:b/>
                <w:bCs/>
                <w:sz w:val="18"/>
                <w:szCs w:val="18"/>
                <w:lang w:val="es-419" w:eastAsia="zh-CN"/>
              </w:rPr>
            </w:pPr>
            <w:r w:rsidRPr="008B70FF">
              <w:rPr>
                <w:rFonts w:ascii="Arial" w:hAnsi="Arial" w:cs="Arial"/>
                <w:b/>
                <w:bCs/>
                <w:sz w:val="18"/>
                <w:szCs w:val="18"/>
                <w:lang w:val="es-419" w:eastAsia="zh-CN"/>
              </w:rPr>
              <w:t>Fin del Proyecto</w:t>
            </w:r>
          </w:p>
        </w:tc>
        <w:tc>
          <w:tcPr>
            <w:tcW w:w="135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47761149"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Medios de Verificación</w:t>
            </w:r>
          </w:p>
        </w:tc>
        <w:tc>
          <w:tcPr>
            <w:tcW w:w="3420" w:type="dxa"/>
            <w:tcBorders>
              <w:top w:val="single" w:sz="4" w:space="0" w:color="000000"/>
              <w:left w:val="single" w:sz="4" w:space="0" w:color="000000"/>
              <w:bottom w:val="single" w:sz="4" w:space="0" w:color="000000"/>
              <w:right w:val="single" w:sz="4" w:space="0" w:color="000000"/>
            </w:tcBorders>
            <w:shd w:val="clear" w:color="auto" w:fill="8DB3E2"/>
            <w:vAlign w:val="center"/>
            <w:hideMark/>
          </w:tcPr>
          <w:p w14:paraId="1781EBF9" w14:textId="77777777" w:rsidR="008B70FF" w:rsidRPr="008B70FF" w:rsidRDefault="008B70FF" w:rsidP="008B70FF">
            <w:pPr>
              <w:spacing w:after="0" w:line="240" w:lineRule="auto"/>
              <w:jc w:val="center"/>
              <w:rPr>
                <w:rFonts w:ascii="Arial" w:hAnsi="Arial" w:cs="Arial"/>
                <w:b/>
                <w:sz w:val="18"/>
                <w:szCs w:val="18"/>
                <w:lang w:val="es-419" w:eastAsia="zh-CN"/>
              </w:rPr>
            </w:pPr>
            <w:r w:rsidRPr="008B70FF">
              <w:rPr>
                <w:rFonts w:ascii="Arial" w:hAnsi="Arial" w:cs="Arial"/>
                <w:b/>
                <w:sz w:val="18"/>
                <w:szCs w:val="18"/>
                <w:lang w:val="es-419" w:eastAsia="zh-CN"/>
              </w:rPr>
              <w:t>Comentarios</w:t>
            </w:r>
          </w:p>
        </w:tc>
      </w:tr>
      <w:tr w:rsidR="008B70FF" w:rsidRPr="001A1DF9" w14:paraId="107B51A8" w14:textId="77777777" w:rsidTr="008B70FF">
        <w:trPr>
          <w:trHeight w:val="368"/>
          <w:jc w:val="center"/>
        </w:trPr>
        <w:tc>
          <w:tcPr>
            <w:tcW w:w="13405" w:type="dxa"/>
            <w:gridSpan w:val="8"/>
            <w:tcBorders>
              <w:top w:val="single" w:sz="4" w:space="0" w:color="000000"/>
              <w:left w:val="single" w:sz="4" w:space="0" w:color="000000"/>
              <w:bottom w:val="single" w:sz="4" w:space="0" w:color="000000"/>
              <w:right w:val="single" w:sz="4" w:space="0" w:color="000000"/>
            </w:tcBorders>
            <w:vAlign w:val="center"/>
          </w:tcPr>
          <w:p w14:paraId="1E53D0BB" w14:textId="77777777" w:rsidR="008B70FF" w:rsidRPr="008B70FF" w:rsidRDefault="008B70FF" w:rsidP="008B70FF">
            <w:pPr>
              <w:spacing w:before="60" w:after="60" w:line="240" w:lineRule="auto"/>
              <w:jc w:val="both"/>
              <w:rPr>
                <w:rFonts w:ascii="Arial" w:hAnsi="Arial" w:cs="Arial"/>
                <w:sz w:val="18"/>
                <w:szCs w:val="18"/>
                <w:lang w:val="es-419" w:eastAsia="zh-CN"/>
              </w:rPr>
            </w:pPr>
            <w:r w:rsidRPr="008B70FF">
              <w:rPr>
                <w:rFonts w:ascii="Arial" w:hAnsi="Arial" w:cs="Arial"/>
                <w:b/>
                <w:bCs/>
                <w:sz w:val="18"/>
                <w:szCs w:val="18"/>
                <w:lang w:val="es-ES"/>
              </w:rPr>
              <w:t>Objetivo</w:t>
            </w:r>
            <w:r w:rsidRPr="008B70FF">
              <w:rPr>
                <w:rFonts w:ascii="Arial" w:hAnsi="Arial" w:cs="Arial"/>
                <w:b/>
                <w:bCs/>
                <w:sz w:val="18"/>
                <w:szCs w:val="18"/>
                <w:lang w:val="es-419"/>
              </w:rPr>
              <w:t xml:space="preserve"> específico de desarrollo:</w:t>
            </w:r>
            <w:r w:rsidRPr="008B70FF">
              <w:rPr>
                <w:rFonts w:ascii="Arial" w:hAnsi="Arial" w:cs="Arial"/>
                <w:sz w:val="18"/>
                <w:szCs w:val="18"/>
                <w:lang w:val="es-419"/>
              </w:rPr>
              <w:t xml:space="preserve"> </w:t>
            </w:r>
            <w:r w:rsidRPr="008B70FF">
              <w:rPr>
                <w:rFonts w:ascii="Arial" w:hAnsi="Arial" w:cs="Arial"/>
                <w:color w:val="000000"/>
                <w:sz w:val="18"/>
                <w:szCs w:val="18"/>
                <w:shd w:val="clear" w:color="auto" w:fill="FFFFFF"/>
                <w:lang w:val="es-ES"/>
              </w:rPr>
              <w:t>apoyar niveles mínimos de ingreso de las personas afectadas por el COVID-19 en el período inmediato y durante la recuperación</w:t>
            </w:r>
            <w:r w:rsidRPr="008B70FF">
              <w:rPr>
                <w:rFonts w:ascii="Arial" w:hAnsi="Arial" w:cs="Arial"/>
                <w:color w:val="000000"/>
                <w:sz w:val="18"/>
                <w:szCs w:val="18"/>
                <w:shd w:val="clear" w:color="auto" w:fill="FFFFFF"/>
                <w:lang w:val="es-CO"/>
              </w:rPr>
              <w:t>.  </w:t>
            </w:r>
          </w:p>
        </w:tc>
      </w:tr>
      <w:tr w:rsidR="008B70FF" w:rsidRPr="001A1DF9" w14:paraId="7BE963EA" w14:textId="77777777" w:rsidTr="008B70FF">
        <w:trPr>
          <w:trHeight w:val="64"/>
          <w:jc w:val="center"/>
        </w:trPr>
        <w:tc>
          <w:tcPr>
            <w:tcW w:w="3235" w:type="dxa"/>
            <w:tcBorders>
              <w:top w:val="single" w:sz="4" w:space="0" w:color="000000"/>
              <w:left w:val="single" w:sz="4" w:space="0" w:color="000000"/>
              <w:bottom w:val="single" w:sz="4" w:space="0" w:color="000000"/>
              <w:right w:val="single" w:sz="4" w:space="0" w:color="000000"/>
            </w:tcBorders>
            <w:vAlign w:val="center"/>
          </w:tcPr>
          <w:p w14:paraId="65F84497" w14:textId="77777777" w:rsidR="008B70FF" w:rsidRPr="008B70FF" w:rsidRDefault="008B70FF" w:rsidP="008B70FF">
            <w:pPr>
              <w:spacing w:after="0" w:line="240" w:lineRule="auto"/>
              <w:rPr>
                <w:rFonts w:ascii="Arial" w:hAnsi="Arial" w:cs="Arial"/>
                <w:sz w:val="18"/>
                <w:szCs w:val="18"/>
                <w:lang w:val="es-ES" w:eastAsia="zh-CN"/>
              </w:rPr>
            </w:pPr>
            <w:r w:rsidRPr="008B70FF">
              <w:rPr>
                <w:rFonts w:ascii="Arial" w:hAnsi="Arial" w:cs="Arial"/>
                <w:sz w:val="18"/>
                <w:szCs w:val="18"/>
                <w:lang w:val="es-ES_tradnl" w:eastAsia="zh-CN"/>
              </w:rPr>
              <w:t xml:space="preserve">Población en pobreza y pobreza extrema que recibe transferencias monetarias financiadas por el proyecto a través de los programas de la red de protección social del país </w:t>
            </w:r>
            <w:r w:rsidRPr="008B70FF">
              <w:rPr>
                <w:rFonts w:ascii="Arial" w:hAnsi="Arial" w:cs="Arial"/>
                <w:sz w:val="18"/>
                <w:szCs w:val="18"/>
                <w:lang w:val="es-ES" w:eastAsia="zh-CN"/>
              </w:rPr>
              <w:t xml:space="preserve">(Red de Oportunidades, 120 a </w:t>
            </w:r>
            <w:r w:rsidRPr="008B70FF">
              <w:rPr>
                <w:rFonts w:ascii="Arial" w:hAnsi="Arial" w:cs="Arial"/>
                <w:sz w:val="18"/>
                <w:szCs w:val="18"/>
                <w:lang w:val="es-ES" w:eastAsia="zh-CN"/>
              </w:rPr>
              <w:lastRenderedPageBreak/>
              <w:t xml:space="preserve">los 65, Ángel Guardián y Bono Alimentario). </w:t>
            </w:r>
            <w:r w:rsidRPr="008B70FF">
              <w:rPr>
                <w:rFonts w:ascii="Arial" w:hAnsi="Arial" w:cs="Arial"/>
                <w:sz w:val="18"/>
                <w:szCs w:val="18"/>
                <w:lang w:val="es-ES_tradnl" w:eastAsia="zh-CN"/>
              </w:rPr>
              <w:t xml:space="preserve">                                                                                                                                                                                                                                                                                                                              </w:t>
            </w:r>
          </w:p>
        </w:tc>
        <w:tc>
          <w:tcPr>
            <w:tcW w:w="1350" w:type="dxa"/>
            <w:tcBorders>
              <w:top w:val="single" w:sz="4" w:space="0" w:color="000000"/>
              <w:left w:val="single" w:sz="4" w:space="0" w:color="000000"/>
              <w:bottom w:val="single" w:sz="4" w:space="0" w:color="000000"/>
              <w:right w:val="single" w:sz="4" w:space="0" w:color="000000"/>
            </w:tcBorders>
            <w:vAlign w:val="center"/>
          </w:tcPr>
          <w:p w14:paraId="006C354B" w14:textId="77777777" w:rsidR="008B70FF" w:rsidRPr="008B70FF" w:rsidRDefault="008B70FF" w:rsidP="008B70FF">
            <w:pPr>
              <w:spacing w:after="0" w:line="240" w:lineRule="auto"/>
              <w:ind w:left="-104" w:right="-195"/>
              <w:jc w:val="center"/>
              <w:rPr>
                <w:rFonts w:ascii="Arial" w:hAnsi="Arial" w:cs="Arial"/>
                <w:sz w:val="18"/>
                <w:szCs w:val="18"/>
                <w:lang w:val="es-419" w:eastAsia="zh-CN"/>
              </w:rPr>
            </w:pPr>
            <w:r w:rsidRPr="008B70FF">
              <w:rPr>
                <w:rFonts w:ascii="Arial" w:hAnsi="Arial" w:cs="Arial"/>
                <w:sz w:val="18"/>
                <w:szCs w:val="18"/>
                <w:lang w:val="es-419" w:eastAsia="zh-CN"/>
              </w:rPr>
              <w:lastRenderedPageBreak/>
              <w:t>Porcentaje</w:t>
            </w:r>
          </w:p>
        </w:tc>
        <w:tc>
          <w:tcPr>
            <w:tcW w:w="900" w:type="dxa"/>
            <w:tcBorders>
              <w:top w:val="single" w:sz="4" w:space="0" w:color="000000"/>
              <w:left w:val="single" w:sz="4" w:space="0" w:color="000000"/>
              <w:bottom w:val="single" w:sz="4" w:space="0" w:color="000000"/>
              <w:right w:val="single" w:sz="4" w:space="0" w:color="000000"/>
            </w:tcBorders>
            <w:vAlign w:val="center"/>
          </w:tcPr>
          <w:p w14:paraId="524528F4" w14:textId="77777777" w:rsidR="008B70FF" w:rsidRPr="008B70FF" w:rsidRDefault="008B70FF" w:rsidP="008B70FF">
            <w:pPr>
              <w:spacing w:after="0" w:line="240" w:lineRule="auto"/>
              <w:jc w:val="center"/>
              <w:rPr>
                <w:rFonts w:ascii="Arial" w:eastAsia="Arial" w:hAnsi="Arial" w:cs="Arial"/>
                <w:sz w:val="18"/>
                <w:szCs w:val="18"/>
                <w:lang w:val="es-419"/>
              </w:rPr>
            </w:pPr>
            <w:r w:rsidRPr="008B70FF">
              <w:rPr>
                <w:rFonts w:ascii="Arial" w:hAnsi="Arial" w:cs="Arial"/>
                <w:sz w:val="18"/>
                <w:szCs w:val="18"/>
                <w:lang w:val="es-419" w:eastAsia="zh-CN"/>
              </w:rPr>
              <w:t>20</w:t>
            </w:r>
          </w:p>
        </w:tc>
        <w:tc>
          <w:tcPr>
            <w:tcW w:w="990" w:type="dxa"/>
            <w:tcBorders>
              <w:top w:val="single" w:sz="4" w:space="0" w:color="000000"/>
              <w:left w:val="single" w:sz="4" w:space="0" w:color="000000"/>
              <w:bottom w:val="single" w:sz="4" w:space="0" w:color="000000"/>
              <w:right w:val="single" w:sz="4" w:space="0" w:color="000000"/>
            </w:tcBorders>
            <w:vAlign w:val="center"/>
          </w:tcPr>
          <w:p w14:paraId="42410703" w14:textId="77777777" w:rsidR="008B70FF" w:rsidRPr="008B70FF" w:rsidRDefault="008B70FF" w:rsidP="008B70FF">
            <w:pPr>
              <w:spacing w:after="0" w:line="240" w:lineRule="auto"/>
              <w:jc w:val="center"/>
              <w:rPr>
                <w:rFonts w:ascii="Arial" w:hAnsi="Arial" w:cs="Arial"/>
                <w:sz w:val="18"/>
                <w:szCs w:val="18"/>
                <w:lang w:val="es-419" w:eastAsia="zh-CN"/>
              </w:rPr>
            </w:pPr>
            <w:r w:rsidRPr="008B70FF">
              <w:rPr>
                <w:rFonts w:ascii="Arial" w:hAnsi="Arial" w:cs="Arial"/>
                <w:sz w:val="18"/>
                <w:szCs w:val="18"/>
                <w:lang w:val="es-419" w:eastAsia="zh-CN"/>
              </w:rPr>
              <w:t>2020</w:t>
            </w:r>
          </w:p>
        </w:tc>
        <w:tc>
          <w:tcPr>
            <w:tcW w:w="1260" w:type="dxa"/>
            <w:tcBorders>
              <w:top w:val="single" w:sz="4" w:space="0" w:color="000000"/>
              <w:left w:val="single" w:sz="4" w:space="0" w:color="000000"/>
              <w:bottom w:val="single" w:sz="4" w:space="0" w:color="000000"/>
              <w:right w:val="single" w:sz="4" w:space="0" w:color="000000"/>
            </w:tcBorders>
            <w:vAlign w:val="center"/>
          </w:tcPr>
          <w:p w14:paraId="53B6D262" w14:textId="77777777" w:rsidR="008B70FF" w:rsidRPr="008B70FF" w:rsidRDefault="008B70FF" w:rsidP="008B70FF">
            <w:pPr>
              <w:spacing w:after="0"/>
              <w:jc w:val="center"/>
              <w:rPr>
                <w:rFonts w:ascii="Arial" w:hAnsi="Arial" w:cs="Arial"/>
                <w:sz w:val="18"/>
                <w:szCs w:val="18"/>
                <w:lang w:val="es-419" w:eastAsia="zh-CN"/>
              </w:rPr>
            </w:pPr>
            <w:r w:rsidRPr="008B70FF">
              <w:rPr>
                <w:rFonts w:ascii="Arial" w:hAnsi="Arial" w:cs="Arial"/>
                <w:sz w:val="18"/>
                <w:szCs w:val="18"/>
                <w:lang w:val="es-419" w:eastAsia="zh-CN"/>
              </w:rPr>
              <w:t>15</w:t>
            </w:r>
          </w:p>
        </w:tc>
        <w:tc>
          <w:tcPr>
            <w:tcW w:w="900" w:type="dxa"/>
            <w:tcBorders>
              <w:top w:val="single" w:sz="4" w:space="0" w:color="000000"/>
              <w:left w:val="single" w:sz="4" w:space="0" w:color="000000"/>
              <w:bottom w:val="single" w:sz="4" w:space="0" w:color="000000"/>
              <w:right w:val="single" w:sz="4" w:space="0" w:color="000000"/>
            </w:tcBorders>
            <w:vAlign w:val="center"/>
          </w:tcPr>
          <w:p w14:paraId="27B1E0B4" w14:textId="77777777" w:rsidR="008B70FF" w:rsidRPr="008B70FF" w:rsidRDefault="008B70FF" w:rsidP="008B70FF">
            <w:pPr>
              <w:spacing w:after="0"/>
              <w:jc w:val="center"/>
              <w:rPr>
                <w:rFonts w:ascii="Arial" w:hAnsi="Arial" w:cs="Arial"/>
                <w:sz w:val="18"/>
                <w:szCs w:val="18"/>
                <w:lang w:val="es-419" w:eastAsia="zh-CN"/>
              </w:rPr>
            </w:pPr>
            <w:r w:rsidRPr="008B70FF">
              <w:rPr>
                <w:rFonts w:ascii="Arial" w:hAnsi="Arial" w:cs="Arial"/>
                <w:sz w:val="18"/>
                <w:szCs w:val="18"/>
                <w:lang w:val="es-419" w:eastAsia="zh-CN"/>
              </w:rPr>
              <w:t>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6E0630D4" w14:textId="77777777" w:rsidR="008B70FF" w:rsidRPr="008B70FF" w:rsidRDefault="008B70FF" w:rsidP="008B70FF">
            <w:pPr>
              <w:spacing w:after="0" w:line="240" w:lineRule="auto"/>
              <w:rPr>
                <w:rFonts w:ascii="Arial" w:hAnsi="Arial" w:cs="Arial"/>
                <w:sz w:val="18"/>
                <w:szCs w:val="18"/>
                <w:lang w:val="es-419" w:eastAsia="zh-CN"/>
              </w:rPr>
            </w:pPr>
            <w:r w:rsidRPr="008B70FF">
              <w:rPr>
                <w:rFonts w:ascii="Arial" w:hAnsi="Arial" w:cs="Arial"/>
                <w:sz w:val="18"/>
                <w:szCs w:val="18"/>
                <w:lang w:val="es-419" w:eastAsia="zh-CN"/>
              </w:rPr>
              <w:t xml:space="preserve">Plataforma Informática Integrada de Beneficiarios (PIIB) y datos de pobreza </w:t>
            </w:r>
            <w:r w:rsidRPr="008B70FF">
              <w:rPr>
                <w:rFonts w:ascii="Arial" w:hAnsi="Arial" w:cs="Arial"/>
                <w:sz w:val="18"/>
                <w:szCs w:val="18"/>
                <w:lang w:val="es-419" w:eastAsia="zh-CN"/>
              </w:rPr>
              <w:lastRenderedPageBreak/>
              <w:t>reportados en la Encuesta de Propósitos Múltiples (EPM) 2017</w:t>
            </w:r>
          </w:p>
        </w:tc>
        <w:tc>
          <w:tcPr>
            <w:tcW w:w="3420" w:type="dxa"/>
            <w:tcBorders>
              <w:top w:val="single" w:sz="4" w:space="0" w:color="000000"/>
              <w:left w:val="single" w:sz="4" w:space="0" w:color="000000"/>
              <w:bottom w:val="single" w:sz="4" w:space="0" w:color="000000"/>
              <w:right w:val="single" w:sz="4" w:space="0" w:color="000000"/>
            </w:tcBorders>
            <w:vAlign w:val="center"/>
          </w:tcPr>
          <w:p w14:paraId="7E8C343E" w14:textId="77777777" w:rsidR="008B70FF" w:rsidRPr="008B70FF" w:rsidRDefault="008B70FF" w:rsidP="008B70FF">
            <w:pPr>
              <w:spacing w:after="0" w:line="240" w:lineRule="auto"/>
              <w:rPr>
                <w:rFonts w:ascii="Arial" w:hAnsi="Arial" w:cs="Arial"/>
                <w:sz w:val="18"/>
                <w:szCs w:val="18"/>
                <w:lang w:val="es-ES" w:eastAsia="zh-CN"/>
              </w:rPr>
            </w:pPr>
            <w:r w:rsidRPr="008B70FF">
              <w:rPr>
                <w:rFonts w:ascii="Arial" w:hAnsi="Arial" w:cs="Arial"/>
                <w:sz w:val="18"/>
                <w:szCs w:val="18"/>
                <w:lang w:val="es-419" w:eastAsia="zh-CN"/>
              </w:rPr>
              <w:lastRenderedPageBreak/>
              <w:t xml:space="preserve">Numerador: Número de beneficiarios </w:t>
            </w:r>
            <w:r w:rsidRPr="008B70FF">
              <w:rPr>
                <w:rFonts w:ascii="Arial" w:hAnsi="Arial" w:cs="Arial"/>
                <w:sz w:val="18"/>
                <w:szCs w:val="18"/>
                <w:lang w:val="es-ES" w:eastAsia="zh-CN"/>
              </w:rPr>
              <w:t xml:space="preserve">de los programas de transferencias monetarias de los programas de la red de protección social del país (Red de Oportunidades, 120 a los 65, Ángel Guardián y Bono Alimentario) que </w:t>
            </w:r>
            <w:r w:rsidRPr="008B70FF">
              <w:rPr>
                <w:rFonts w:ascii="Arial" w:hAnsi="Arial" w:cs="Arial"/>
                <w:sz w:val="18"/>
                <w:szCs w:val="18"/>
                <w:lang w:val="es-ES" w:eastAsia="zh-CN"/>
              </w:rPr>
              <w:lastRenderedPageBreak/>
              <w:t>reciben transferencias durante el periodo en que se apoya el programa con recursos de la operación (169.285 beneficiarios).</w:t>
            </w:r>
          </w:p>
          <w:p w14:paraId="63BD18D8" w14:textId="77777777" w:rsidR="008B70FF" w:rsidRPr="008B70FF" w:rsidRDefault="008B70FF" w:rsidP="008B70FF">
            <w:pPr>
              <w:spacing w:after="40" w:line="240" w:lineRule="auto"/>
              <w:rPr>
                <w:rFonts w:ascii="Arial" w:hAnsi="Arial" w:cs="Arial"/>
                <w:color w:val="000000"/>
                <w:sz w:val="18"/>
                <w:szCs w:val="18"/>
                <w:lang w:val="es-ES"/>
              </w:rPr>
            </w:pPr>
            <w:r w:rsidRPr="008B70FF">
              <w:rPr>
                <w:rFonts w:ascii="Arial" w:hAnsi="Arial" w:cs="Arial"/>
                <w:sz w:val="18"/>
                <w:szCs w:val="18"/>
                <w:lang w:val="es-ES" w:eastAsia="zh-CN"/>
              </w:rPr>
              <w:t>Denominador: Número de personas en pobreza o pobreza extrema. D</w:t>
            </w:r>
            <w:proofErr w:type="spellStart"/>
            <w:r w:rsidRPr="008B70FF">
              <w:rPr>
                <w:rFonts w:ascii="Arial" w:hAnsi="Arial" w:cs="Arial"/>
                <w:sz w:val="18"/>
                <w:szCs w:val="18"/>
                <w:lang w:val="es-419" w:eastAsia="zh-CN"/>
              </w:rPr>
              <w:t>atos</w:t>
            </w:r>
            <w:proofErr w:type="spellEnd"/>
            <w:r w:rsidRPr="008B70FF">
              <w:rPr>
                <w:rFonts w:ascii="Arial" w:hAnsi="Arial" w:cs="Arial"/>
                <w:sz w:val="18"/>
                <w:szCs w:val="18"/>
                <w:lang w:val="es-419" w:eastAsia="zh-CN"/>
              </w:rPr>
              <w:t xml:space="preserve"> de pobreza reportados en la EPM 2017</w:t>
            </w:r>
            <w:r w:rsidRPr="008B70FF">
              <w:rPr>
                <w:rFonts w:ascii="Arial" w:hAnsi="Arial" w:cs="Arial"/>
                <w:sz w:val="18"/>
                <w:szCs w:val="18"/>
                <w:lang w:val="es-ES" w:eastAsia="zh-CN"/>
              </w:rPr>
              <w:t>. Para la meta final se calcula un aumento de la pobreza debido a la pandemia del COVID-19 en 7.6 puntos porcentuales.</w:t>
            </w:r>
            <w:r w:rsidRPr="008B70FF">
              <w:rPr>
                <w:rFonts w:ascii="Arial" w:hAnsi="Arial" w:cs="Arial"/>
                <w:sz w:val="18"/>
                <w:szCs w:val="18"/>
                <w:vertAlign w:val="superscript"/>
                <w:lang w:val="es-ES" w:eastAsia="zh-CN"/>
              </w:rPr>
              <w:footnoteReference w:id="39"/>
            </w:r>
            <w:r w:rsidRPr="008B70FF">
              <w:rPr>
                <w:rFonts w:ascii="Arial" w:hAnsi="Arial" w:cs="Arial"/>
                <w:sz w:val="18"/>
                <w:szCs w:val="18"/>
                <w:lang w:val="es-ES" w:eastAsia="zh-CN"/>
              </w:rPr>
              <w:t xml:space="preserve"> Total de personas en pobreza o pobreza extrema para línea de base = 848.314. </w:t>
            </w:r>
            <w:proofErr w:type="gramStart"/>
            <w:r w:rsidRPr="008B70FF">
              <w:rPr>
                <w:rFonts w:ascii="Arial" w:hAnsi="Arial" w:cs="Arial"/>
                <w:sz w:val="18"/>
                <w:szCs w:val="18"/>
                <w:lang w:val="es-ES" w:eastAsia="zh-CN"/>
              </w:rPr>
              <w:t>Total</w:t>
            </w:r>
            <w:proofErr w:type="gramEnd"/>
            <w:r w:rsidRPr="008B70FF">
              <w:rPr>
                <w:rFonts w:ascii="Arial" w:hAnsi="Arial" w:cs="Arial"/>
                <w:sz w:val="18"/>
                <w:szCs w:val="18"/>
                <w:lang w:val="es-ES" w:eastAsia="zh-CN"/>
              </w:rPr>
              <w:t xml:space="preserve"> de personas en pobreza o pobreza extrema para meta final = 848.314 + 311.300 = 1.159.614.</w:t>
            </w:r>
          </w:p>
          <w:p w14:paraId="686F0D14" w14:textId="77777777" w:rsidR="008B70FF" w:rsidRPr="008B70FF" w:rsidRDefault="008B70FF" w:rsidP="008B70FF">
            <w:pPr>
              <w:spacing w:after="0" w:line="240" w:lineRule="auto"/>
              <w:rPr>
                <w:rFonts w:ascii="Arial" w:hAnsi="Arial" w:cs="Arial"/>
                <w:color w:val="000000"/>
                <w:sz w:val="18"/>
                <w:szCs w:val="18"/>
                <w:lang w:val="es-ES"/>
              </w:rPr>
            </w:pPr>
          </w:p>
          <w:p w14:paraId="0755A6B7" w14:textId="77777777" w:rsidR="008B70FF" w:rsidRPr="008B70FF" w:rsidRDefault="008B70FF" w:rsidP="008B70FF">
            <w:pPr>
              <w:spacing w:after="0" w:line="240" w:lineRule="auto"/>
              <w:rPr>
                <w:rFonts w:ascii="Arial" w:hAnsi="Arial" w:cs="Arial"/>
                <w:color w:val="000000"/>
                <w:sz w:val="18"/>
                <w:szCs w:val="18"/>
                <w:lang w:val="es-ES_tradnl"/>
              </w:rPr>
            </w:pPr>
            <w:r w:rsidRPr="008B70FF">
              <w:rPr>
                <w:rFonts w:ascii="Arial" w:hAnsi="Arial" w:cs="Arial"/>
                <w:color w:val="000000"/>
                <w:sz w:val="18"/>
                <w:szCs w:val="18"/>
                <w:lang w:val="es-ES_tradnl"/>
              </w:rPr>
              <w:t>Se hará desagregación por sexo.</w:t>
            </w:r>
          </w:p>
        </w:tc>
      </w:tr>
      <w:tr w:rsidR="008B70FF" w:rsidRPr="008B70FF" w14:paraId="24306F53" w14:textId="77777777" w:rsidTr="008B70FF">
        <w:trPr>
          <w:trHeight w:val="64"/>
          <w:jc w:val="center"/>
        </w:trPr>
        <w:tc>
          <w:tcPr>
            <w:tcW w:w="3235" w:type="dxa"/>
            <w:tcBorders>
              <w:top w:val="single" w:sz="4" w:space="0" w:color="000000"/>
              <w:left w:val="single" w:sz="4" w:space="0" w:color="000000"/>
              <w:bottom w:val="single" w:sz="4" w:space="0" w:color="000000"/>
              <w:right w:val="single" w:sz="4" w:space="0" w:color="000000"/>
            </w:tcBorders>
            <w:vAlign w:val="center"/>
          </w:tcPr>
          <w:p w14:paraId="43AAF301" w14:textId="77777777" w:rsidR="008B70FF" w:rsidRPr="008B70FF" w:rsidRDefault="008B70FF" w:rsidP="008B70FF">
            <w:pPr>
              <w:spacing w:after="0" w:line="240" w:lineRule="auto"/>
              <w:contextualSpacing/>
              <w:rPr>
                <w:rFonts w:ascii="Arial" w:hAnsi="Arial" w:cs="Arial"/>
                <w:sz w:val="18"/>
                <w:szCs w:val="18"/>
                <w:lang w:val="es-ES" w:eastAsia="zh-CN"/>
              </w:rPr>
            </w:pPr>
            <w:r w:rsidRPr="008B70FF">
              <w:rPr>
                <w:rFonts w:ascii="Arial" w:hAnsi="Arial" w:cs="Arial"/>
                <w:sz w:val="18"/>
                <w:szCs w:val="18"/>
                <w:lang w:val="es-ES" w:eastAsia="zh-CN"/>
              </w:rPr>
              <w:lastRenderedPageBreak/>
              <w:t xml:space="preserve">Población beneficiaria del programa Vale Digital que realiza al menos una compra </w:t>
            </w:r>
            <w:r w:rsidRPr="008B70FF">
              <w:rPr>
                <w:rFonts w:ascii="Arial" w:hAnsi="Arial" w:cs="Arial"/>
                <w:sz w:val="18"/>
                <w:szCs w:val="18"/>
                <w:lang w:val="es-ES_tradnl" w:eastAsia="zh-CN"/>
              </w:rPr>
              <w:t>durante el periodo en que se apoya el programa con recursos de la operación (beneficiarios activos).</w:t>
            </w:r>
          </w:p>
        </w:tc>
        <w:tc>
          <w:tcPr>
            <w:tcW w:w="1350" w:type="dxa"/>
            <w:tcBorders>
              <w:top w:val="single" w:sz="4" w:space="0" w:color="000000"/>
              <w:left w:val="single" w:sz="4" w:space="0" w:color="000000"/>
              <w:bottom w:val="single" w:sz="4" w:space="0" w:color="000000"/>
              <w:right w:val="single" w:sz="4" w:space="0" w:color="000000"/>
            </w:tcBorders>
            <w:vAlign w:val="center"/>
          </w:tcPr>
          <w:p w14:paraId="103955E4" w14:textId="77777777" w:rsidR="008B70FF" w:rsidRPr="008B70FF" w:rsidRDefault="008B70FF" w:rsidP="008B70FF">
            <w:pPr>
              <w:spacing w:after="0" w:line="240" w:lineRule="auto"/>
              <w:ind w:left="-104" w:right="-195"/>
              <w:jc w:val="center"/>
              <w:rPr>
                <w:rFonts w:ascii="Arial" w:hAnsi="Arial" w:cs="Arial"/>
                <w:sz w:val="18"/>
                <w:szCs w:val="18"/>
                <w:lang w:val="es-419" w:eastAsia="zh-CN"/>
              </w:rPr>
            </w:pPr>
            <w:r w:rsidRPr="008B70FF">
              <w:rPr>
                <w:rFonts w:ascii="Arial" w:hAnsi="Arial" w:cs="Arial"/>
                <w:sz w:val="18"/>
                <w:szCs w:val="18"/>
                <w:lang w:val="es-419" w:eastAsia="zh-CN"/>
              </w:rPr>
              <w:t>Porcentaje</w:t>
            </w:r>
          </w:p>
        </w:tc>
        <w:tc>
          <w:tcPr>
            <w:tcW w:w="900" w:type="dxa"/>
            <w:tcBorders>
              <w:top w:val="single" w:sz="4" w:space="0" w:color="000000"/>
              <w:left w:val="single" w:sz="4" w:space="0" w:color="000000"/>
              <w:bottom w:val="single" w:sz="4" w:space="0" w:color="000000"/>
              <w:right w:val="single" w:sz="4" w:space="0" w:color="000000"/>
            </w:tcBorders>
            <w:vAlign w:val="center"/>
          </w:tcPr>
          <w:p w14:paraId="02A0CE38" w14:textId="77777777" w:rsidR="008B70FF" w:rsidRPr="008B70FF" w:rsidRDefault="008B70FF" w:rsidP="008B70FF">
            <w:pPr>
              <w:spacing w:after="0" w:line="240" w:lineRule="auto"/>
              <w:jc w:val="center"/>
              <w:rPr>
                <w:rFonts w:ascii="Arial" w:hAnsi="Arial" w:cs="Arial"/>
                <w:sz w:val="18"/>
                <w:szCs w:val="18"/>
                <w:lang w:val="es-419" w:eastAsia="zh-CN"/>
              </w:rPr>
            </w:pPr>
            <w:r w:rsidRPr="008B70FF">
              <w:rPr>
                <w:rFonts w:ascii="Arial" w:hAnsi="Arial" w:cs="Arial"/>
                <w:sz w:val="18"/>
                <w:szCs w:val="18"/>
                <w:lang w:val="es-419" w:eastAsia="zh-CN"/>
              </w:rPr>
              <w:t>79</w:t>
            </w:r>
          </w:p>
        </w:tc>
        <w:tc>
          <w:tcPr>
            <w:tcW w:w="990" w:type="dxa"/>
            <w:tcBorders>
              <w:top w:val="single" w:sz="4" w:space="0" w:color="000000"/>
              <w:left w:val="single" w:sz="4" w:space="0" w:color="000000"/>
              <w:bottom w:val="single" w:sz="4" w:space="0" w:color="000000"/>
              <w:right w:val="single" w:sz="4" w:space="0" w:color="000000"/>
            </w:tcBorders>
            <w:vAlign w:val="center"/>
          </w:tcPr>
          <w:p w14:paraId="6E13EB45" w14:textId="77777777" w:rsidR="008B70FF" w:rsidRPr="008B70FF" w:rsidRDefault="008B70FF" w:rsidP="008B70FF">
            <w:pPr>
              <w:spacing w:after="0" w:line="240" w:lineRule="auto"/>
              <w:jc w:val="center"/>
              <w:rPr>
                <w:rFonts w:ascii="Arial" w:hAnsi="Arial" w:cs="Arial"/>
                <w:sz w:val="18"/>
                <w:szCs w:val="18"/>
                <w:lang w:val="es-419" w:eastAsia="zh-CN"/>
              </w:rPr>
            </w:pPr>
            <w:r w:rsidRPr="008B70FF">
              <w:rPr>
                <w:rFonts w:ascii="Arial" w:hAnsi="Arial" w:cs="Arial"/>
                <w:sz w:val="18"/>
                <w:szCs w:val="18"/>
                <w:lang w:val="es-419" w:eastAsia="zh-CN"/>
              </w:rPr>
              <w:t>Septiembre 2020</w:t>
            </w:r>
          </w:p>
        </w:tc>
        <w:tc>
          <w:tcPr>
            <w:tcW w:w="1260" w:type="dxa"/>
            <w:tcBorders>
              <w:top w:val="single" w:sz="4" w:space="0" w:color="000000"/>
              <w:left w:val="single" w:sz="4" w:space="0" w:color="000000"/>
              <w:bottom w:val="single" w:sz="4" w:space="0" w:color="000000"/>
              <w:right w:val="single" w:sz="4" w:space="0" w:color="000000"/>
            </w:tcBorders>
            <w:vAlign w:val="center"/>
          </w:tcPr>
          <w:p w14:paraId="0D35A75D" w14:textId="77777777" w:rsidR="008B70FF" w:rsidRPr="008B70FF" w:rsidRDefault="008B70FF" w:rsidP="008B70FF">
            <w:pPr>
              <w:spacing w:after="0"/>
              <w:jc w:val="center"/>
              <w:rPr>
                <w:rFonts w:ascii="Arial" w:hAnsi="Arial" w:cs="Arial"/>
                <w:sz w:val="18"/>
                <w:szCs w:val="18"/>
                <w:lang w:val="es-419" w:eastAsia="zh-CN"/>
              </w:rPr>
            </w:pPr>
            <w:r w:rsidRPr="008B70FF">
              <w:rPr>
                <w:rFonts w:ascii="Arial" w:hAnsi="Arial" w:cs="Arial"/>
                <w:sz w:val="18"/>
                <w:szCs w:val="18"/>
                <w:lang w:val="es-419" w:eastAsia="zh-CN"/>
              </w:rPr>
              <w:t>79</w:t>
            </w:r>
          </w:p>
        </w:tc>
        <w:tc>
          <w:tcPr>
            <w:tcW w:w="900" w:type="dxa"/>
            <w:tcBorders>
              <w:top w:val="single" w:sz="4" w:space="0" w:color="000000"/>
              <w:left w:val="single" w:sz="4" w:space="0" w:color="000000"/>
              <w:bottom w:val="single" w:sz="4" w:space="0" w:color="000000"/>
              <w:right w:val="single" w:sz="4" w:space="0" w:color="000000"/>
            </w:tcBorders>
            <w:vAlign w:val="center"/>
          </w:tcPr>
          <w:p w14:paraId="5E62578D" w14:textId="77777777" w:rsidR="008B70FF" w:rsidRPr="008B70FF" w:rsidRDefault="008B70FF" w:rsidP="008B70FF">
            <w:pPr>
              <w:spacing w:after="0"/>
              <w:jc w:val="center"/>
              <w:rPr>
                <w:rFonts w:ascii="Arial" w:hAnsi="Arial" w:cs="Arial"/>
                <w:sz w:val="18"/>
                <w:szCs w:val="18"/>
                <w:lang w:val="es-419" w:eastAsia="zh-CN"/>
              </w:rPr>
            </w:pPr>
            <w:r w:rsidRPr="008B70FF">
              <w:rPr>
                <w:rFonts w:ascii="Arial" w:hAnsi="Arial" w:cs="Arial"/>
                <w:sz w:val="18"/>
                <w:szCs w:val="18"/>
                <w:lang w:val="es-419" w:eastAsia="zh-CN"/>
              </w:rPr>
              <w:t>2021</w:t>
            </w:r>
          </w:p>
        </w:tc>
        <w:tc>
          <w:tcPr>
            <w:tcW w:w="1350" w:type="dxa"/>
            <w:tcBorders>
              <w:top w:val="single" w:sz="4" w:space="0" w:color="000000"/>
              <w:left w:val="single" w:sz="4" w:space="0" w:color="000000"/>
              <w:bottom w:val="single" w:sz="4" w:space="0" w:color="000000"/>
              <w:right w:val="single" w:sz="4" w:space="0" w:color="000000"/>
            </w:tcBorders>
            <w:vAlign w:val="center"/>
          </w:tcPr>
          <w:p w14:paraId="7DC5A1F9" w14:textId="77777777" w:rsidR="008B70FF" w:rsidRPr="008B70FF" w:rsidRDefault="008B70FF" w:rsidP="008B70FF">
            <w:pPr>
              <w:spacing w:before="120" w:after="120" w:line="240" w:lineRule="auto"/>
              <w:rPr>
                <w:rFonts w:ascii="Arial" w:hAnsi="Arial" w:cs="Arial"/>
                <w:sz w:val="18"/>
                <w:szCs w:val="18"/>
                <w:lang w:val="es-419" w:eastAsia="zh-CN"/>
              </w:rPr>
            </w:pPr>
            <w:r w:rsidRPr="008B70FF">
              <w:rPr>
                <w:rFonts w:ascii="Arial" w:hAnsi="Arial" w:cs="Arial"/>
                <w:sz w:val="18"/>
                <w:szCs w:val="18"/>
                <w:lang w:val="es-419" w:eastAsia="zh-CN"/>
              </w:rPr>
              <w:t>Plataforma electrónica del Vale Digital</w:t>
            </w:r>
          </w:p>
        </w:tc>
        <w:tc>
          <w:tcPr>
            <w:tcW w:w="3420" w:type="dxa"/>
            <w:tcBorders>
              <w:top w:val="single" w:sz="4" w:space="0" w:color="000000"/>
              <w:left w:val="single" w:sz="4" w:space="0" w:color="000000"/>
              <w:bottom w:val="single" w:sz="4" w:space="0" w:color="000000"/>
              <w:right w:val="single" w:sz="4" w:space="0" w:color="000000"/>
            </w:tcBorders>
          </w:tcPr>
          <w:p w14:paraId="21E3C0EC" w14:textId="77777777" w:rsidR="008B70FF" w:rsidRPr="008B70FF" w:rsidRDefault="008B70FF" w:rsidP="008B70FF">
            <w:pPr>
              <w:spacing w:before="120" w:after="120" w:line="240" w:lineRule="auto"/>
              <w:rPr>
                <w:rFonts w:ascii="Arial" w:hAnsi="Arial" w:cs="Arial"/>
                <w:sz w:val="18"/>
                <w:szCs w:val="18"/>
                <w:lang w:val="es-419" w:eastAsia="zh-CN"/>
              </w:rPr>
            </w:pPr>
            <w:r w:rsidRPr="008B70FF">
              <w:rPr>
                <w:rFonts w:ascii="Arial" w:hAnsi="Arial" w:cs="Arial"/>
                <w:sz w:val="18"/>
                <w:szCs w:val="18"/>
                <w:lang w:val="es-419" w:eastAsia="zh-CN"/>
              </w:rPr>
              <w:t xml:space="preserve">Numerador: Número de beneficiarios </w:t>
            </w:r>
            <w:r w:rsidRPr="008B70FF">
              <w:rPr>
                <w:rFonts w:ascii="Arial" w:hAnsi="Arial" w:cs="Arial"/>
                <w:sz w:val="18"/>
                <w:szCs w:val="18"/>
                <w:lang w:val="es-ES" w:eastAsia="zh-CN"/>
              </w:rPr>
              <w:t xml:space="preserve">del programa Vale Digital que realiza al menos una compra </w:t>
            </w:r>
            <w:r w:rsidRPr="008B70FF">
              <w:rPr>
                <w:rFonts w:ascii="Arial" w:hAnsi="Arial" w:cs="Arial"/>
                <w:sz w:val="18"/>
                <w:szCs w:val="18"/>
                <w:lang w:val="es-ES_tradnl" w:eastAsia="zh-CN"/>
              </w:rPr>
              <w:t>durante el periodo en que se apoya el programa con recursos de la operación (beneficiarios activos). (Total línea de base = 871.347).</w:t>
            </w:r>
          </w:p>
          <w:p w14:paraId="396CF421" w14:textId="77777777" w:rsidR="008B70FF" w:rsidRPr="008B70FF" w:rsidRDefault="008B70FF" w:rsidP="008B70FF">
            <w:pPr>
              <w:spacing w:before="120" w:after="120" w:line="240" w:lineRule="auto"/>
              <w:rPr>
                <w:rFonts w:ascii="Arial" w:hAnsi="Arial" w:cs="Arial"/>
                <w:sz w:val="18"/>
                <w:szCs w:val="18"/>
                <w:lang w:val="es-419" w:eastAsia="zh-CN"/>
              </w:rPr>
            </w:pPr>
            <w:r w:rsidRPr="008B70FF">
              <w:rPr>
                <w:rFonts w:ascii="Arial" w:hAnsi="Arial" w:cs="Arial"/>
                <w:sz w:val="18"/>
                <w:szCs w:val="18"/>
                <w:lang w:val="es-ES_tradnl" w:eastAsia="zh-CN"/>
              </w:rPr>
              <w:t xml:space="preserve">Denominador: </w:t>
            </w:r>
            <w:r w:rsidRPr="008B70FF">
              <w:rPr>
                <w:rFonts w:ascii="Arial" w:hAnsi="Arial" w:cs="Arial"/>
                <w:sz w:val="18"/>
                <w:szCs w:val="18"/>
                <w:lang w:val="es-419" w:eastAsia="zh-CN"/>
              </w:rPr>
              <w:t xml:space="preserve">Número de beneficiarios </w:t>
            </w:r>
            <w:r w:rsidRPr="008B70FF">
              <w:rPr>
                <w:rFonts w:ascii="Arial" w:hAnsi="Arial" w:cs="Arial"/>
                <w:sz w:val="18"/>
                <w:szCs w:val="18"/>
                <w:lang w:val="es-ES" w:eastAsia="zh-CN"/>
              </w:rPr>
              <w:t xml:space="preserve">del programa Vale Digital acreditados </w:t>
            </w:r>
            <w:r w:rsidRPr="008B70FF">
              <w:rPr>
                <w:rFonts w:ascii="Arial" w:hAnsi="Arial" w:cs="Arial"/>
                <w:sz w:val="18"/>
                <w:szCs w:val="18"/>
                <w:lang w:val="es-ES_tradnl" w:eastAsia="zh-CN"/>
              </w:rPr>
              <w:t xml:space="preserve">durante el periodo en que se apoya el </w:t>
            </w:r>
            <w:r w:rsidRPr="008B70FF">
              <w:rPr>
                <w:rFonts w:ascii="Arial" w:hAnsi="Arial" w:cs="Arial"/>
                <w:sz w:val="18"/>
                <w:szCs w:val="18"/>
                <w:lang w:val="es-ES_tradnl" w:eastAsia="zh-CN"/>
              </w:rPr>
              <w:lastRenderedPageBreak/>
              <w:t>programa con recursos de la operación. (Total línea de base = 1.106.642).</w:t>
            </w:r>
          </w:p>
          <w:p w14:paraId="23DE5A06" w14:textId="77777777" w:rsidR="008B70FF" w:rsidRPr="008B70FF" w:rsidRDefault="008B70FF" w:rsidP="008B70FF">
            <w:pPr>
              <w:spacing w:after="120" w:line="240" w:lineRule="auto"/>
              <w:rPr>
                <w:rFonts w:ascii="Arial" w:hAnsi="Arial" w:cs="Arial"/>
                <w:color w:val="000000"/>
                <w:sz w:val="18"/>
                <w:szCs w:val="18"/>
                <w:lang w:val="es-ES_tradnl"/>
              </w:rPr>
            </w:pPr>
            <w:r w:rsidRPr="008B70FF">
              <w:rPr>
                <w:rFonts w:ascii="Arial" w:hAnsi="Arial" w:cs="Arial"/>
                <w:color w:val="000000"/>
                <w:sz w:val="18"/>
                <w:szCs w:val="18"/>
                <w:lang w:val="es-ES_tradnl"/>
              </w:rPr>
              <w:t>Se hará desagregación por sexo.</w:t>
            </w:r>
          </w:p>
        </w:tc>
      </w:tr>
    </w:tbl>
    <w:p w14:paraId="11AE1A53" w14:textId="77777777" w:rsidR="004612EC" w:rsidRPr="00425FEE" w:rsidRDefault="004612EC" w:rsidP="0043505E">
      <w:pPr>
        <w:spacing w:before="120" w:after="120" w:line="288" w:lineRule="auto"/>
        <w:ind w:left="1080" w:hanging="1166"/>
        <w:jc w:val="center"/>
        <w:rPr>
          <w:rFonts w:ascii="Arial" w:hAnsi="Arial" w:cs="Arial"/>
          <w:b/>
          <w:bCs/>
          <w:lang w:val="es-ES"/>
        </w:rPr>
      </w:pPr>
      <w:r w:rsidRPr="00425FEE">
        <w:rPr>
          <w:rFonts w:ascii="Arial" w:hAnsi="Arial" w:cs="Arial"/>
          <w:b/>
          <w:bCs/>
          <w:lang w:val="es-ES"/>
        </w:rPr>
        <w:lastRenderedPageBreak/>
        <w:t>Tabla 2. Indicadores de Producto</w:t>
      </w:r>
    </w:p>
    <w:p w14:paraId="7DAAD597" w14:textId="7C6ABA79" w:rsidR="003B55C9" w:rsidRDefault="003B55C9" w:rsidP="285FD415">
      <w:pPr>
        <w:keepNext/>
        <w:spacing w:after="0" w:line="240" w:lineRule="auto"/>
        <w:jc w:val="center"/>
        <w:rPr>
          <w:rFonts w:ascii="Arial" w:hAnsi="Arial" w:cs="Arial"/>
          <w:b/>
          <w:bCs/>
          <w:smallCaps/>
          <w:color w:val="000000"/>
          <w:sz w:val="20"/>
          <w:szCs w:val="20"/>
          <w:lang w:val="es-419"/>
        </w:rPr>
      </w:pPr>
      <w:r w:rsidRPr="285FD415">
        <w:rPr>
          <w:rFonts w:ascii="Arial" w:hAnsi="Arial" w:cs="Arial"/>
          <w:b/>
          <w:bCs/>
          <w:smallCaps/>
          <w:color w:val="000000" w:themeColor="text1"/>
          <w:sz w:val="20"/>
          <w:szCs w:val="20"/>
          <w:lang w:val="es-419"/>
        </w:rPr>
        <w:t xml:space="preserve">Productos  </w:t>
      </w:r>
    </w:p>
    <w:tbl>
      <w:tblPr>
        <w:tblW w:w="134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5"/>
        <w:gridCol w:w="1170"/>
        <w:gridCol w:w="900"/>
        <w:gridCol w:w="900"/>
        <w:gridCol w:w="910"/>
        <w:gridCol w:w="910"/>
        <w:gridCol w:w="1240"/>
        <w:gridCol w:w="1360"/>
        <w:gridCol w:w="2730"/>
      </w:tblGrid>
      <w:tr w:rsidR="0043505E" w:rsidRPr="0043505E" w14:paraId="4BA1F988" w14:textId="77777777" w:rsidTr="0043505E">
        <w:trPr>
          <w:trHeight w:val="836"/>
          <w:tblHeader/>
          <w:jc w:val="center"/>
        </w:trPr>
        <w:tc>
          <w:tcPr>
            <w:tcW w:w="3335" w:type="dxa"/>
            <w:tcBorders>
              <w:bottom w:val="single" w:sz="4" w:space="0" w:color="auto"/>
            </w:tcBorders>
            <w:shd w:val="clear" w:color="auto" w:fill="8DB3E2"/>
            <w:vAlign w:val="center"/>
            <w:hideMark/>
          </w:tcPr>
          <w:p w14:paraId="62D350D7" w14:textId="77777777" w:rsidR="0043505E" w:rsidRPr="0043505E" w:rsidRDefault="0043505E" w:rsidP="0043505E">
            <w:pPr>
              <w:spacing w:after="0" w:line="240" w:lineRule="auto"/>
              <w:jc w:val="center"/>
              <w:rPr>
                <w:rFonts w:ascii="Arial" w:hAnsi="Arial" w:cs="Arial"/>
                <w:b/>
                <w:sz w:val="18"/>
                <w:szCs w:val="18"/>
                <w:lang w:val="es-419" w:eastAsia="zh-CN"/>
              </w:rPr>
            </w:pPr>
            <w:bookmarkStart w:id="1" w:name="_Hlk53782371"/>
            <w:r w:rsidRPr="0043505E">
              <w:rPr>
                <w:rFonts w:ascii="Arial" w:hAnsi="Arial" w:cs="Arial"/>
                <w:b/>
                <w:sz w:val="18"/>
                <w:szCs w:val="18"/>
                <w:lang w:val="es-419" w:eastAsia="zh-CN"/>
              </w:rPr>
              <w:t>Productos</w:t>
            </w:r>
          </w:p>
        </w:tc>
        <w:tc>
          <w:tcPr>
            <w:tcW w:w="1170" w:type="dxa"/>
            <w:tcBorders>
              <w:bottom w:val="single" w:sz="4" w:space="0" w:color="auto"/>
            </w:tcBorders>
            <w:shd w:val="clear" w:color="auto" w:fill="8DB3E2"/>
            <w:vAlign w:val="center"/>
            <w:hideMark/>
          </w:tcPr>
          <w:p w14:paraId="5FD13340" w14:textId="77777777" w:rsidR="0043505E" w:rsidRPr="0043505E" w:rsidRDefault="0043505E" w:rsidP="0043505E">
            <w:pPr>
              <w:spacing w:after="0" w:line="240" w:lineRule="auto"/>
              <w:jc w:val="center"/>
              <w:rPr>
                <w:rFonts w:ascii="Arial" w:hAnsi="Arial" w:cs="Arial"/>
                <w:b/>
                <w:sz w:val="18"/>
                <w:szCs w:val="18"/>
                <w:lang w:val="es-419" w:eastAsia="zh-CN"/>
              </w:rPr>
            </w:pPr>
            <w:r w:rsidRPr="0043505E">
              <w:rPr>
                <w:rFonts w:ascii="Arial" w:hAnsi="Arial" w:cs="Arial"/>
                <w:b/>
                <w:sz w:val="18"/>
                <w:szCs w:val="18"/>
                <w:lang w:val="es-419" w:eastAsia="zh-CN"/>
              </w:rPr>
              <w:t>Unidad de Medida</w:t>
            </w:r>
          </w:p>
        </w:tc>
        <w:tc>
          <w:tcPr>
            <w:tcW w:w="900" w:type="dxa"/>
            <w:tcBorders>
              <w:bottom w:val="single" w:sz="4" w:space="0" w:color="auto"/>
            </w:tcBorders>
            <w:shd w:val="clear" w:color="auto" w:fill="8DB3E2"/>
            <w:vAlign w:val="center"/>
            <w:hideMark/>
          </w:tcPr>
          <w:p w14:paraId="77A814B5" w14:textId="77777777" w:rsidR="0043505E" w:rsidRPr="0043505E" w:rsidRDefault="0043505E" w:rsidP="0043505E">
            <w:pPr>
              <w:spacing w:after="0" w:line="240" w:lineRule="auto"/>
              <w:jc w:val="center"/>
              <w:rPr>
                <w:rFonts w:ascii="Arial" w:hAnsi="Arial" w:cs="Arial"/>
                <w:b/>
                <w:sz w:val="18"/>
                <w:szCs w:val="18"/>
                <w:lang w:val="es-419" w:eastAsia="zh-CN"/>
              </w:rPr>
            </w:pPr>
            <w:r w:rsidRPr="0043505E">
              <w:rPr>
                <w:rFonts w:ascii="Arial" w:hAnsi="Arial" w:cs="Arial"/>
                <w:b/>
                <w:sz w:val="18"/>
                <w:szCs w:val="18"/>
                <w:lang w:val="es-419" w:eastAsia="zh-CN"/>
              </w:rPr>
              <w:t>Línea de Base</w:t>
            </w:r>
          </w:p>
        </w:tc>
        <w:tc>
          <w:tcPr>
            <w:tcW w:w="900" w:type="dxa"/>
            <w:tcBorders>
              <w:bottom w:val="single" w:sz="4" w:space="0" w:color="auto"/>
            </w:tcBorders>
            <w:shd w:val="clear" w:color="auto" w:fill="8DB3E2"/>
            <w:vAlign w:val="center"/>
            <w:hideMark/>
          </w:tcPr>
          <w:p w14:paraId="062F6AA1" w14:textId="77777777" w:rsidR="0043505E" w:rsidRPr="0043505E" w:rsidRDefault="0043505E" w:rsidP="0043505E">
            <w:pPr>
              <w:spacing w:after="0" w:line="240" w:lineRule="auto"/>
              <w:jc w:val="center"/>
              <w:rPr>
                <w:rFonts w:ascii="Arial" w:hAnsi="Arial" w:cs="Arial"/>
                <w:b/>
                <w:sz w:val="18"/>
                <w:szCs w:val="18"/>
                <w:lang w:val="es-419" w:eastAsia="zh-CN"/>
              </w:rPr>
            </w:pPr>
            <w:r w:rsidRPr="0043505E">
              <w:rPr>
                <w:rFonts w:ascii="Arial" w:hAnsi="Arial" w:cs="Arial"/>
                <w:b/>
                <w:sz w:val="18"/>
                <w:szCs w:val="18"/>
                <w:lang w:val="es-419" w:eastAsia="zh-CN"/>
              </w:rPr>
              <w:t>Año Línea de Base</w:t>
            </w:r>
          </w:p>
        </w:tc>
        <w:tc>
          <w:tcPr>
            <w:tcW w:w="910" w:type="dxa"/>
            <w:tcBorders>
              <w:bottom w:val="single" w:sz="4" w:space="0" w:color="auto"/>
            </w:tcBorders>
            <w:shd w:val="clear" w:color="auto" w:fill="8DB3E2"/>
            <w:vAlign w:val="center"/>
          </w:tcPr>
          <w:p w14:paraId="641A542A" w14:textId="77777777" w:rsidR="0043505E" w:rsidRPr="0043505E" w:rsidRDefault="0043505E" w:rsidP="0043505E">
            <w:pPr>
              <w:spacing w:after="0" w:line="240" w:lineRule="auto"/>
              <w:jc w:val="center"/>
              <w:rPr>
                <w:rFonts w:ascii="Arial" w:hAnsi="Arial" w:cs="Arial"/>
                <w:b/>
                <w:sz w:val="18"/>
                <w:szCs w:val="18"/>
                <w:lang w:val="es-419" w:eastAsia="zh-CN"/>
              </w:rPr>
            </w:pPr>
            <w:r w:rsidRPr="0043505E">
              <w:rPr>
                <w:rFonts w:ascii="Arial" w:hAnsi="Arial" w:cs="Arial"/>
                <w:b/>
                <w:sz w:val="18"/>
                <w:szCs w:val="18"/>
                <w:lang w:val="es-419" w:eastAsia="zh-CN"/>
              </w:rPr>
              <w:t>2020</w:t>
            </w:r>
          </w:p>
        </w:tc>
        <w:tc>
          <w:tcPr>
            <w:tcW w:w="910" w:type="dxa"/>
            <w:tcBorders>
              <w:bottom w:val="single" w:sz="4" w:space="0" w:color="auto"/>
            </w:tcBorders>
            <w:shd w:val="clear" w:color="auto" w:fill="8DB3E2"/>
            <w:vAlign w:val="center"/>
          </w:tcPr>
          <w:p w14:paraId="611BB981" w14:textId="77777777" w:rsidR="0043505E" w:rsidRPr="0043505E" w:rsidRDefault="0043505E" w:rsidP="0043505E">
            <w:pPr>
              <w:spacing w:after="0" w:line="240" w:lineRule="auto"/>
              <w:jc w:val="center"/>
              <w:rPr>
                <w:rFonts w:ascii="Arial" w:hAnsi="Arial" w:cs="Arial"/>
                <w:b/>
                <w:sz w:val="18"/>
                <w:szCs w:val="18"/>
                <w:lang w:val="es-419" w:eastAsia="zh-CN"/>
              </w:rPr>
            </w:pPr>
            <w:r w:rsidRPr="0043505E">
              <w:rPr>
                <w:rFonts w:ascii="Arial" w:hAnsi="Arial" w:cs="Arial"/>
                <w:b/>
                <w:sz w:val="18"/>
                <w:szCs w:val="18"/>
                <w:lang w:val="es-419" w:eastAsia="zh-CN"/>
              </w:rPr>
              <w:t>2021</w:t>
            </w:r>
          </w:p>
        </w:tc>
        <w:tc>
          <w:tcPr>
            <w:tcW w:w="1240" w:type="dxa"/>
            <w:tcBorders>
              <w:bottom w:val="single" w:sz="4" w:space="0" w:color="auto"/>
            </w:tcBorders>
            <w:shd w:val="clear" w:color="auto" w:fill="8DB3E2"/>
            <w:vAlign w:val="center"/>
            <w:hideMark/>
          </w:tcPr>
          <w:p w14:paraId="7FA8796E" w14:textId="77777777" w:rsidR="0043505E" w:rsidRPr="0043505E" w:rsidRDefault="0043505E" w:rsidP="0043505E">
            <w:pPr>
              <w:spacing w:after="0" w:line="240" w:lineRule="auto"/>
              <w:ind w:left="-104"/>
              <w:jc w:val="center"/>
              <w:rPr>
                <w:rFonts w:ascii="Arial" w:hAnsi="Arial" w:cs="Arial"/>
                <w:b/>
                <w:sz w:val="18"/>
                <w:szCs w:val="18"/>
                <w:lang w:val="es-419" w:eastAsia="zh-CN"/>
              </w:rPr>
            </w:pPr>
            <w:r w:rsidRPr="0043505E">
              <w:rPr>
                <w:rFonts w:ascii="Arial" w:hAnsi="Arial" w:cs="Arial"/>
                <w:b/>
                <w:sz w:val="18"/>
                <w:szCs w:val="18"/>
                <w:lang w:val="es-419" w:eastAsia="zh-CN"/>
              </w:rPr>
              <w:t>Meta Final</w:t>
            </w:r>
          </w:p>
          <w:p w14:paraId="7D475C8E" w14:textId="77777777" w:rsidR="0043505E" w:rsidRPr="0043505E" w:rsidRDefault="0043505E" w:rsidP="0043505E">
            <w:pPr>
              <w:spacing w:after="0" w:line="240" w:lineRule="auto"/>
              <w:ind w:left="-104"/>
              <w:jc w:val="center"/>
              <w:rPr>
                <w:rFonts w:ascii="Arial" w:hAnsi="Arial" w:cs="Arial"/>
                <w:b/>
                <w:sz w:val="18"/>
                <w:szCs w:val="18"/>
                <w:lang w:val="es-419" w:eastAsia="zh-CN"/>
              </w:rPr>
            </w:pPr>
            <w:r w:rsidRPr="0043505E">
              <w:rPr>
                <w:rFonts w:ascii="Arial" w:hAnsi="Arial" w:cs="Arial"/>
                <w:b/>
                <w:sz w:val="18"/>
                <w:szCs w:val="18"/>
                <w:lang w:val="es-419" w:eastAsia="zh-CN"/>
              </w:rPr>
              <w:t>(Acumulada)</w:t>
            </w:r>
          </w:p>
        </w:tc>
        <w:tc>
          <w:tcPr>
            <w:tcW w:w="1360" w:type="dxa"/>
            <w:tcBorders>
              <w:bottom w:val="single" w:sz="4" w:space="0" w:color="auto"/>
            </w:tcBorders>
            <w:shd w:val="clear" w:color="auto" w:fill="8DB3E2"/>
            <w:vAlign w:val="center"/>
            <w:hideMark/>
          </w:tcPr>
          <w:p w14:paraId="35B6AD7F" w14:textId="77777777" w:rsidR="0043505E" w:rsidRPr="0043505E" w:rsidRDefault="0043505E" w:rsidP="0043505E">
            <w:pPr>
              <w:spacing w:after="0" w:line="240" w:lineRule="auto"/>
              <w:ind w:left="-194"/>
              <w:jc w:val="center"/>
              <w:rPr>
                <w:rFonts w:ascii="Arial" w:hAnsi="Arial" w:cs="Arial"/>
                <w:b/>
                <w:sz w:val="18"/>
                <w:szCs w:val="18"/>
                <w:lang w:val="es-419" w:eastAsia="zh-CN"/>
              </w:rPr>
            </w:pPr>
            <w:r w:rsidRPr="0043505E">
              <w:rPr>
                <w:rFonts w:ascii="Arial" w:hAnsi="Arial" w:cs="Arial"/>
                <w:b/>
                <w:sz w:val="18"/>
                <w:szCs w:val="18"/>
                <w:lang w:val="es-419" w:eastAsia="zh-CN"/>
              </w:rPr>
              <w:t>Medios de Verificación</w:t>
            </w:r>
          </w:p>
        </w:tc>
        <w:tc>
          <w:tcPr>
            <w:tcW w:w="2730" w:type="dxa"/>
            <w:tcBorders>
              <w:bottom w:val="single" w:sz="4" w:space="0" w:color="auto"/>
            </w:tcBorders>
            <w:shd w:val="clear" w:color="auto" w:fill="8DB3E2"/>
            <w:vAlign w:val="center"/>
            <w:hideMark/>
          </w:tcPr>
          <w:p w14:paraId="3C2AA8FE" w14:textId="77777777" w:rsidR="0043505E" w:rsidRPr="0043505E" w:rsidRDefault="0043505E" w:rsidP="0043505E">
            <w:pPr>
              <w:spacing w:after="0" w:line="240" w:lineRule="auto"/>
              <w:jc w:val="center"/>
              <w:rPr>
                <w:rFonts w:ascii="Arial" w:hAnsi="Arial" w:cs="Arial"/>
                <w:b/>
                <w:sz w:val="18"/>
                <w:szCs w:val="18"/>
                <w:lang w:val="es-419" w:eastAsia="zh-CN"/>
              </w:rPr>
            </w:pPr>
            <w:r w:rsidRPr="0043505E">
              <w:rPr>
                <w:rFonts w:ascii="Arial" w:hAnsi="Arial" w:cs="Arial"/>
                <w:b/>
                <w:sz w:val="18"/>
                <w:szCs w:val="18"/>
                <w:lang w:val="es-419" w:eastAsia="zh-CN"/>
              </w:rPr>
              <w:t>Comentarios</w:t>
            </w:r>
          </w:p>
        </w:tc>
      </w:tr>
      <w:tr w:rsidR="0043505E" w:rsidRPr="0043505E" w14:paraId="219901D2" w14:textId="77777777" w:rsidTr="0043505E">
        <w:trPr>
          <w:trHeight w:val="296"/>
          <w:jc w:val="center"/>
        </w:trPr>
        <w:tc>
          <w:tcPr>
            <w:tcW w:w="13455" w:type="dxa"/>
            <w:gridSpan w:val="9"/>
            <w:tcBorders>
              <w:top w:val="single" w:sz="4" w:space="0" w:color="auto"/>
              <w:left w:val="single" w:sz="4" w:space="0" w:color="auto"/>
              <w:bottom w:val="single" w:sz="4" w:space="0" w:color="auto"/>
              <w:right w:val="single" w:sz="4" w:space="0" w:color="auto"/>
            </w:tcBorders>
            <w:shd w:val="clear" w:color="auto" w:fill="F2F2F2"/>
          </w:tcPr>
          <w:p w14:paraId="1FEEA768" w14:textId="77777777" w:rsidR="0043505E" w:rsidRPr="0043505E" w:rsidRDefault="0043505E" w:rsidP="0043505E">
            <w:pPr>
              <w:spacing w:before="120" w:after="120" w:line="240" w:lineRule="auto"/>
              <w:rPr>
                <w:rFonts w:ascii="Arial" w:hAnsi="Arial" w:cs="Arial"/>
                <w:b/>
                <w:bCs/>
                <w:sz w:val="18"/>
                <w:szCs w:val="18"/>
                <w:lang w:val="es-419" w:eastAsia="zh-CN"/>
              </w:rPr>
            </w:pPr>
            <w:r w:rsidRPr="0043505E">
              <w:rPr>
                <w:rFonts w:ascii="Arial" w:hAnsi="Arial" w:cs="Arial"/>
                <w:b/>
                <w:bCs/>
                <w:sz w:val="18"/>
                <w:szCs w:val="18"/>
                <w:lang w:val="es-419" w:eastAsia="zh-CN"/>
              </w:rPr>
              <w:t>Componente 1. Protección mediante el uso de programas de transferencias monetarias existentes</w:t>
            </w:r>
          </w:p>
        </w:tc>
      </w:tr>
      <w:tr w:rsidR="0043505E" w:rsidRPr="001A1DF9" w14:paraId="6FFEA550" w14:textId="77777777" w:rsidTr="0043505E">
        <w:trPr>
          <w:trHeight w:val="1871"/>
          <w:jc w:val="center"/>
        </w:trPr>
        <w:tc>
          <w:tcPr>
            <w:tcW w:w="3335" w:type="dxa"/>
            <w:tcBorders>
              <w:top w:val="single" w:sz="4" w:space="0" w:color="auto"/>
              <w:bottom w:val="single" w:sz="4" w:space="0" w:color="000000"/>
            </w:tcBorders>
            <w:vAlign w:val="center"/>
            <w:hideMark/>
          </w:tcPr>
          <w:p w14:paraId="05E7A23F" w14:textId="77777777" w:rsidR="0043505E" w:rsidRPr="0043505E" w:rsidRDefault="0043505E" w:rsidP="0043505E">
            <w:pPr>
              <w:spacing w:after="60" w:line="240" w:lineRule="auto"/>
              <w:rPr>
                <w:rFonts w:ascii="Arial" w:hAnsi="Arial" w:cs="Arial"/>
                <w:sz w:val="18"/>
                <w:szCs w:val="18"/>
                <w:lang w:val="es-ES" w:eastAsia="zh-CN"/>
              </w:rPr>
            </w:pPr>
            <w:bookmarkStart w:id="2" w:name="_Hlk54025297"/>
            <w:r w:rsidRPr="0043505E">
              <w:rPr>
                <w:rFonts w:ascii="Arial" w:hAnsi="Arial" w:cs="Arial"/>
                <w:sz w:val="18"/>
                <w:szCs w:val="18"/>
                <w:lang w:val="es-419" w:eastAsia="zh-CN"/>
              </w:rPr>
              <w:t xml:space="preserve">Mujeres beneficiarias de </w:t>
            </w:r>
            <w:r w:rsidRPr="0043505E">
              <w:rPr>
                <w:rFonts w:ascii="Arial" w:hAnsi="Arial" w:cs="Arial"/>
                <w:sz w:val="18"/>
                <w:szCs w:val="18"/>
                <w:lang w:val="es-ES" w:eastAsia="zh-CN"/>
              </w:rPr>
              <w:t xml:space="preserve">programas de transferencias monetarias existentes (Red de Oportunidades, 120 a los 65 y Bono Alimentario) </w:t>
            </w:r>
            <w:bookmarkEnd w:id="2"/>
            <w:r w:rsidRPr="0043505E">
              <w:rPr>
                <w:rFonts w:ascii="Arial" w:hAnsi="Arial" w:cs="Arial"/>
                <w:sz w:val="18"/>
                <w:szCs w:val="18"/>
                <w:lang w:val="es-419" w:eastAsia="zh-CN"/>
              </w:rPr>
              <w:t xml:space="preserve">que reciben transferencias regulares </w:t>
            </w:r>
            <w:r w:rsidRPr="0043505E">
              <w:rPr>
                <w:rFonts w:ascii="Arial" w:hAnsi="Arial" w:cs="Arial"/>
                <w:sz w:val="18"/>
                <w:szCs w:val="18"/>
                <w:lang w:val="es-ES_tradnl" w:eastAsia="zh-CN"/>
              </w:rPr>
              <w:t>durante el periodo inmediato y durante la recuperación de la crisis causada por el coronavirus.</w:t>
            </w:r>
          </w:p>
        </w:tc>
        <w:tc>
          <w:tcPr>
            <w:tcW w:w="1170" w:type="dxa"/>
            <w:tcBorders>
              <w:top w:val="single" w:sz="4" w:space="0" w:color="auto"/>
              <w:bottom w:val="single" w:sz="4" w:space="0" w:color="000000"/>
            </w:tcBorders>
            <w:vAlign w:val="center"/>
          </w:tcPr>
          <w:p w14:paraId="2247ECE8" w14:textId="77777777" w:rsidR="0043505E" w:rsidRPr="0043505E" w:rsidRDefault="0043505E" w:rsidP="0043505E">
            <w:pPr>
              <w:spacing w:after="60" w:line="240" w:lineRule="auto"/>
              <w:ind w:left="-119"/>
              <w:jc w:val="center"/>
              <w:rPr>
                <w:rFonts w:ascii="Arial" w:hAnsi="Arial" w:cs="Arial"/>
                <w:sz w:val="18"/>
                <w:szCs w:val="18"/>
                <w:lang w:val="pt-PT" w:eastAsia="zh-CN"/>
              </w:rPr>
            </w:pPr>
            <w:r w:rsidRPr="0043505E">
              <w:rPr>
                <w:rFonts w:ascii="Arial" w:hAnsi="Arial" w:cs="Arial"/>
                <w:sz w:val="18"/>
                <w:szCs w:val="18"/>
                <w:lang w:val="pt-PT" w:eastAsia="zh-CN"/>
              </w:rPr>
              <w:t>Mujeres</w:t>
            </w:r>
          </w:p>
        </w:tc>
        <w:tc>
          <w:tcPr>
            <w:tcW w:w="900" w:type="dxa"/>
            <w:tcBorders>
              <w:top w:val="single" w:sz="4" w:space="0" w:color="auto"/>
              <w:bottom w:val="single" w:sz="4" w:space="0" w:color="000000"/>
            </w:tcBorders>
            <w:vAlign w:val="center"/>
          </w:tcPr>
          <w:p w14:paraId="3C584597"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107,270</w:t>
            </w:r>
          </w:p>
        </w:tc>
        <w:tc>
          <w:tcPr>
            <w:tcW w:w="900" w:type="dxa"/>
            <w:tcBorders>
              <w:top w:val="single" w:sz="4" w:space="0" w:color="auto"/>
              <w:bottom w:val="single" w:sz="4" w:space="0" w:color="000000"/>
            </w:tcBorders>
            <w:vAlign w:val="center"/>
          </w:tcPr>
          <w:p w14:paraId="21728C5F" w14:textId="77777777" w:rsidR="0043505E" w:rsidRPr="0043505E" w:rsidRDefault="0043505E" w:rsidP="0043505E">
            <w:pPr>
              <w:spacing w:after="60" w:line="240" w:lineRule="auto"/>
              <w:jc w:val="center"/>
              <w:rPr>
                <w:rFonts w:ascii="Arial" w:hAnsi="Arial" w:cs="Arial"/>
                <w:sz w:val="18"/>
                <w:szCs w:val="18"/>
                <w:highlight w:val="yellow"/>
                <w:lang w:val="es-419" w:eastAsia="zh-CN"/>
              </w:rPr>
            </w:pPr>
            <w:r w:rsidRPr="0043505E">
              <w:rPr>
                <w:rFonts w:ascii="Arial" w:hAnsi="Arial" w:cs="Arial"/>
                <w:sz w:val="18"/>
                <w:szCs w:val="18"/>
                <w:lang w:val="es-419" w:eastAsia="zh-CN"/>
              </w:rPr>
              <w:t>2020</w:t>
            </w:r>
          </w:p>
        </w:tc>
        <w:tc>
          <w:tcPr>
            <w:tcW w:w="910" w:type="dxa"/>
            <w:tcBorders>
              <w:top w:val="single" w:sz="4" w:space="0" w:color="auto"/>
              <w:bottom w:val="single" w:sz="4" w:space="0" w:color="000000"/>
            </w:tcBorders>
            <w:vAlign w:val="center"/>
          </w:tcPr>
          <w:p w14:paraId="427FDC2C"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107,270</w:t>
            </w:r>
          </w:p>
        </w:tc>
        <w:tc>
          <w:tcPr>
            <w:tcW w:w="910" w:type="dxa"/>
            <w:tcBorders>
              <w:top w:val="single" w:sz="4" w:space="0" w:color="auto"/>
              <w:bottom w:val="single" w:sz="4" w:space="0" w:color="000000"/>
            </w:tcBorders>
            <w:vAlign w:val="center"/>
          </w:tcPr>
          <w:p w14:paraId="3E2E5EA6"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0</w:t>
            </w:r>
          </w:p>
        </w:tc>
        <w:tc>
          <w:tcPr>
            <w:tcW w:w="1240" w:type="dxa"/>
            <w:tcBorders>
              <w:top w:val="single" w:sz="4" w:space="0" w:color="auto"/>
              <w:bottom w:val="single" w:sz="4" w:space="0" w:color="000000"/>
            </w:tcBorders>
            <w:vAlign w:val="center"/>
          </w:tcPr>
          <w:p w14:paraId="13F1D7E8" w14:textId="77777777" w:rsidR="0043505E" w:rsidRPr="0043505E" w:rsidRDefault="0043505E" w:rsidP="0043505E">
            <w:pPr>
              <w:spacing w:after="60" w:line="240" w:lineRule="auto"/>
              <w:ind w:left="-104"/>
              <w:jc w:val="center"/>
              <w:rPr>
                <w:rFonts w:ascii="Arial" w:eastAsia="Arial" w:hAnsi="Arial" w:cs="Arial"/>
                <w:sz w:val="18"/>
                <w:szCs w:val="18"/>
                <w:lang w:val="es-419"/>
              </w:rPr>
            </w:pPr>
            <w:r w:rsidRPr="0043505E">
              <w:rPr>
                <w:rFonts w:ascii="Arial" w:hAnsi="Arial" w:cs="Arial"/>
                <w:sz w:val="18"/>
                <w:szCs w:val="18"/>
                <w:lang w:val="es-419" w:eastAsia="zh-CN"/>
              </w:rPr>
              <w:t>107,270</w:t>
            </w:r>
          </w:p>
        </w:tc>
        <w:tc>
          <w:tcPr>
            <w:tcW w:w="1360" w:type="dxa"/>
            <w:tcBorders>
              <w:top w:val="single" w:sz="4" w:space="0" w:color="auto"/>
              <w:bottom w:val="single" w:sz="4" w:space="0" w:color="000000"/>
            </w:tcBorders>
            <w:vAlign w:val="center"/>
          </w:tcPr>
          <w:p w14:paraId="3FF48B57" w14:textId="77777777" w:rsidR="0043505E" w:rsidRPr="0043505E" w:rsidRDefault="0043505E" w:rsidP="0043505E">
            <w:pPr>
              <w:spacing w:after="60" w:line="240" w:lineRule="auto"/>
              <w:ind w:left="-14"/>
              <w:rPr>
                <w:rFonts w:ascii="Arial" w:hAnsi="Arial" w:cs="Arial"/>
                <w:sz w:val="18"/>
                <w:szCs w:val="18"/>
                <w:lang w:val="es-419" w:eastAsia="zh-CN"/>
              </w:rPr>
            </w:pPr>
            <w:r w:rsidRPr="0043505E">
              <w:rPr>
                <w:rFonts w:ascii="Arial" w:hAnsi="Arial" w:cs="Arial"/>
                <w:sz w:val="18"/>
                <w:szCs w:val="18"/>
                <w:lang w:val="es-419" w:eastAsia="zh-CN"/>
              </w:rPr>
              <w:t>Plataforma Informática Integrada de Beneficiarios (PIIB)</w:t>
            </w:r>
          </w:p>
        </w:tc>
        <w:tc>
          <w:tcPr>
            <w:tcW w:w="2730" w:type="dxa"/>
            <w:tcBorders>
              <w:top w:val="single" w:sz="4" w:space="0" w:color="auto"/>
              <w:bottom w:val="single" w:sz="4" w:space="0" w:color="000000"/>
            </w:tcBorders>
            <w:vAlign w:val="center"/>
          </w:tcPr>
          <w:p w14:paraId="23925AF4"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 xml:space="preserve">Se refiere a transferencias pagadas a hogares e individuos elegibles para recibir transferencias monetarias según el Manual Operativo vigente de cada programa (Red de Oportunidades, 120 a los 65, Angel Guardián y Bono Alimentario). </w:t>
            </w:r>
          </w:p>
          <w:p w14:paraId="40B80E05"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Se toma como línea de base el número de beneficiarios reportados para el tercer pago de 2020.</w:t>
            </w:r>
          </w:p>
        </w:tc>
      </w:tr>
      <w:tr w:rsidR="0043505E" w:rsidRPr="001A1DF9" w14:paraId="2EB8D8ED" w14:textId="77777777" w:rsidTr="0043505E">
        <w:trPr>
          <w:trHeight w:val="1916"/>
          <w:jc w:val="center"/>
        </w:trPr>
        <w:tc>
          <w:tcPr>
            <w:tcW w:w="3335" w:type="dxa"/>
            <w:tcBorders>
              <w:top w:val="single" w:sz="4" w:space="0" w:color="BFBFBF"/>
              <w:bottom w:val="single" w:sz="4" w:space="0" w:color="000000"/>
            </w:tcBorders>
            <w:vAlign w:val="center"/>
          </w:tcPr>
          <w:p w14:paraId="1718E38E"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 xml:space="preserve">Hombres beneficiarios de </w:t>
            </w:r>
            <w:r w:rsidRPr="0043505E">
              <w:rPr>
                <w:rFonts w:ascii="Arial" w:hAnsi="Arial" w:cs="Arial"/>
                <w:sz w:val="18"/>
                <w:szCs w:val="18"/>
                <w:lang w:val="es-ES" w:eastAsia="zh-CN"/>
              </w:rPr>
              <w:t xml:space="preserve">programas de transferencias monetarias existentes (Red de Oportunidades, 120 a los 65 y Bono Alimentario) </w:t>
            </w:r>
            <w:r w:rsidRPr="0043505E">
              <w:rPr>
                <w:rFonts w:ascii="Arial" w:hAnsi="Arial" w:cs="Arial"/>
                <w:sz w:val="18"/>
                <w:szCs w:val="18"/>
                <w:lang w:val="es-419" w:eastAsia="zh-CN"/>
              </w:rPr>
              <w:t xml:space="preserve">que reciben transferencias regulares </w:t>
            </w:r>
            <w:r w:rsidRPr="0043505E">
              <w:rPr>
                <w:rFonts w:ascii="Arial" w:hAnsi="Arial" w:cs="Arial"/>
                <w:sz w:val="18"/>
                <w:szCs w:val="18"/>
                <w:lang w:val="es-ES_tradnl" w:eastAsia="zh-CN"/>
              </w:rPr>
              <w:t>durante el periodo inmediato y durante la recuperación de la crisis causada por el coronavirus.</w:t>
            </w:r>
          </w:p>
        </w:tc>
        <w:tc>
          <w:tcPr>
            <w:tcW w:w="1170" w:type="dxa"/>
            <w:tcBorders>
              <w:top w:val="single" w:sz="4" w:space="0" w:color="BFBFBF"/>
              <w:bottom w:val="single" w:sz="4" w:space="0" w:color="000000"/>
            </w:tcBorders>
            <w:vAlign w:val="center"/>
          </w:tcPr>
          <w:p w14:paraId="30DE6ADF" w14:textId="77777777" w:rsidR="0043505E" w:rsidRPr="0043505E" w:rsidRDefault="0043505E" w:rsidP="0043505E">
            <w:pPr>
              <w:spacing w:after="60" w:line="240" w:lineRule="auto"/>
              <w:ind w:left="-119"/>
              <w:jc w:val="center"/>
              <w:rPr>
                <w:rFonts w:ascii="Arial" w:hAnsi="Arial" w:cs="Arial"/>
                <w:sz w:val="18"/>
                <w:szCs w:val="18"/>
                <w:lang w:val="pt-PT" w:eastAsia="zh-CN"/>
              </w:rPr>
            </w:pPr>
            <w:r w:rsidRPr="0043505E">
              <w:rPr>
                <w:rFonts w:ascii="Arial" w:hAnsi="Arial" w:cs="Arial"/>
                <w:sz w:val="18"/>
                <w:szCs w:val="18"/>
                <w:lang w:val="pt-PT" w:eastAsia="zh-CN"/>
              </w:rPr>
              <w:t>Hombres</w:t>
            </w:r>
          </w:p>
        </w:tc>
        <w:tc>
          <w:tcPr>
            <w:tcW w:w="900" w:type="dxa"/>
            <w:tcBorders>
              <w:top w:val="single" w:sz="4" w:space="0" w:color="BFBFBF"/>
              <w:bottom w:val="single" w:sz="4" w:space="0" w:color="000000"/>
            </w:tcBorders>
            <w:vAlign w:val="center"/>
          </w:tcPr>
          <w:p w14:paraId="5FB6ADE6" w14:textId="77777777" w:rsidR="0043505E" w:rsidRPr="0043505E" w:rsidRDefault="0043505E" w:rsidP="0043505E">
            <w:pPr>
              <w:spacing w:after="60" w:line="240" w:lineRule="auto"/>
              <w:jc w:val="center"/>
              <w:rPr>
                <w:rFonts w:ascii="Arial" w:eastAsia="Arial" w:hAnsi="Arial" w:cs="Arial"/>
                <w:sz w:val="18"/>
                <w:szCs w:val="18"/>
                <w:lang w:val="es-419"/>
              </w:rPr>
            </w:pPr>
            <w:r w:rsidRPr="0043505E">
              <w:rPr>
                <w:rFonts w:ascii="Arial" w:hAnsi="Arial" w:cs="Arial"/>
                <w:sz w:val="18"/>
                <w:szCs w:val="18"/>
                <w:lang w:val="es-419" w:eastAsia="zh-CN"/>
              </w:rPr>
              <w:t>62.015</w:t>
            </w:r>
          </w:p>
        </w:tc>
        <w:tc>
          <w:tcPr>
            <w:tcW w:w="900" w:type="dxa"/>
            <w:tcBorders>
              <w:top w:val="single" w:sz="4" w:space="0" w:color="BFBFBF"/>
              <w:bottom w:val="single" w:sz="4" w:space="0" w:color="000000"/>
            </w:tcBorders>
            <w:vAlign w:val="center"/>
          </w:tcPr>
          <w:p w14:paraId="7E3A35EE"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2020</w:t>
            </w:r>
          </w:p>
        </w:tc>
        <w:tc>
          <w:tcPr>
            <w:tcW w:w="910" w:type="dxa"/>
            <w:tcBorders>
              <w:top w:val="single" w:sz="4" w:space="0" w:color="BFBFBF"/>
              <w:bottom w:val="single" w:sz="4" w:space="0" w:color="000000"/>
            </w:tcBorders>
            <w:vAlign w:val="center"/>
          </w:tcPr>
          <w:p w14:paraId="1A33E273" w14:textId="77777777" w:rsidR="0043505E" w:rsidRPr="0043505E" w:rsidRDefault="0043505E" w:rsidP="0043505E">
            <w:pPr>
              <w:spacing w:after="60" w:line="240" w:lineRule="auto"/>
              <w:jc w:val="center"/>
              <w:rPr>
                <w:rFonts w:ascii="Arial" w:eastAsia="Arial" w:hAnsi="Arial" w:cs="Arial"/>
                <w:sz w:val="18"/>
                <w:szCs w:val="18"/>
                <w:lang w:val="es-419"/>
              </w:rPr>
            </w:pPr>
            <w:r w:rsidRPr="0043505E">
              <w:rPr>
                <w:rFonts w:ascii="Arial" w:hAnsi="Arial" w:cs="Arial"/>
                <w:sz w:val="18"/>
                <w:szCs w:val="18"/>
                <w:lang w:val="es-419" w:eastAsia="zh-CN"/>
              </w:rPr>
              <w:t>62.015</w:t>
            </w:r>
          </w:p>
        </w:tc>
        <w:tc>
          <w:tcPr>
            <w:tcW w:w="910" w:type="dxa"/>
            <w:tcBorders>
              <w:top w:val="single" w:sz="4" w:space="0" w:color="BFBFBF"/>
              <w:bottom w:val="single" w:sz="4" w:space="0" w:color="000000"/>
            </w:tcBorders>
            <w:vAlign w:val="center"/>
          </w:tcPr>
          <w:p w14:paraId="53831A56"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0</w:t>
            </w:r>
          </w:p>
        </w:tc>
        <w:tc>
          <w:tcPr>
            <w:tcW w:w="1240" w:type="dxa"/>
            <w:tcBorders>
              <w:top w:val="single" w:sz="4" w:space="0" w:color="BFBFBF"/>
              <w:bottom w:val="single" w:sz="4" w:space="0" w:color="000000"/>
            </w:tcBorders>
            <w:vAlign w:val="center"/>
          </w:tcPr>
          <w:p w14:paraId="679636CC" w14:textId="77777777" w:rsidR="0043505E" w:rsidRPr="0043505E" w:rsidRDefault="0043505E" w:rsidP="0043505E">
            <w:pPr>
              <w:spacing w:after="60" w:line="240" w:lineRule="auto"/>
              <w:ind w:left="-104"/>
              <w:jc w:val="center"/>
              <w:rPr>
                <w:rFonts w:ascii="Arial" w:eastAsia="Arial" w:hAnsi="Arial" w:cs="Arial"/>
                <w:sz w:val="18"/>
                <w:szCs w:val="18"/>
                <w:lang w:val="es-419"/>
              </w:rPr>
            </w:pPr>
            <w:r w:rsidRPr="0043505E">
              <w:rPr>
                <w:rFonts w:ascii="Arial" w:hAnsi="Arial" w:cs="Arial"/>
                <w:sz w:val="18"/>
                <w:szCs w:val="18"/>
                <w:lang w:val="es-419" w:eastAsia="zh-CN"/>
              </w:rPr>
              <w:t>62.015</w:t>
            </w:r>
          </w:p>
        </w:tc>
        <w:tc>
          <w:tcPr>
            <w:tcW w:w="1360" w:type="dxa"/>
            <w:tcBorders>
              <w:top w:val="single" w:sz="4" w:space="0" w:color="BFBFBF"/>
              <w:bottom w:val="single" w:sz="4" w:space="0" w:color="000000"/>
            </w:tcBorders>
            <w:vAlign w:val="center"/>
          </w:tcPr>
          <w:p w14:paraId="08C11CFC" w14:textId="77777777" w:rsidR="0043505E" w:rsidRPr="0043505E" w:rsidRDefault="0043505E" w:rsidP="0043505E">
            <w:pPr>
              <w:spacing w:after="60" w:line="240" w:lineRule="auto"/>
              <w:ind w:left="-14"/>
              <w:rPr>
                <w:rFonts w:ascii="Arial" w:hAnsi="Arial" w:cs="Arial"/>
                <w:sz w:val="18"/>
                <w:szCs w:val="18"/>
                <w:lang w:val="es-419" w:eastAsia="zh-CN"/>
              </w:rPr>
            </w:pPr>
            <w:r w:rsidRPr="0043505E">
              <w:rPr>
                <w:rFonts w:ascii="Arial" w:hAnsi="Arial" w:cs="Arial"/>
                <w:sz w:val="18"/>
                <w:szCs w:val="18"/>
                <w:lang w:val="es-419" w:eastAsia="zh-CN"/>
              </w:rPr>
              <w:t>Plataforma Informática Integrada de Beneficiarios (PIIB)</w:t>
            </w:r>
          </w:p>
        </w:tc>
        <w:tc>
          <w:tcPr>
            <w:tcW w:w="2730" w:type="dxa"/>
            <w:tcBorders>
              <w:top w:val="single" w:sz="4" w:space="0" w:color="BFBFBF"/>
              <w:bottom w:val="single" w:sz="4" w:space="0" w:color="000000"/>
            </w:tcBorders>
            <w:vAlign w:val="center"/>
          </w:tcPr>
          <w:p w14:paraId="7381A019"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 xml:space="preserve">Se refiere a transferencias pagadas a hogares e individuos elegibles para recibir transferencias monetarias según el Manual Operativo vigente de cada programa. </w:t>
            </w:r>
          </w:p>
          <w:p w14:paraId="4EE7D3E5"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Se toma como línea de base el número de beneficiarios reportados para el tercer pago de 2020.</w:t>
            </w:r>
          </w:p>
        </w:tc>
      </w:tr>
      <w:tr w:rsidR="0043505E" w:rsidRPr="001A1DF9" w14:paraId="6EE04689" w14:textId="77777777" w:rsidTr="0043505E">
        <w:trPr>
          <w:trHeight w:val="512"/>
          <w:jc w:val="center"/>
        </w:trPr>
        <w:tc>
          <w:tcPr>
            <w:tcW w:w="3335" w:type="dxa"/>
            <w:tcBorders>
              <w:top w:val="single" w:sz="4" w:space="0" w:color="BFBFBF"/>
              <w:bottom w:val="single" w:sz="4" w:space="0" w:color="000000"/>
            </w:tcBorders>
            <w:vAlign w:val="center"/>
          </w:tcPr>
          <w:p w14:paraId="0466C2AF"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lastRenderedPageBreak/>
              <w:t>Personas con discapacidad beneficiarias del programa Ángel Guardián que reciben transferencias regulares durante los meses de emergencia sanitaria o recuperación.</w:t>
            </w:r>
          </w:p>
        </w:tc>
        <w:tc>
          <w:tcPr>
            <w:tcW w:w="1170" w:type="dxa"/>
            <w:tcBorders>
              <w:top w:val="single" w:sz="4" w:space="0" w:color="BFBFBF"/>
              <w:bottom w:val="single" w:sz="4" w:space="0" w:color="000000"/>
            </w:tcBorders>
            <w:vAlign w:val="center"/>
          </w:tcPr>
          <w:p w14:paraId="75476B18" w14:textId="77777777" w:rsidR="0043505E" w:rsidRPr="0043505E" w:rsidRDefault="0043505E" w:rsidP="0043505E">
            <w:pPr>
              <w:spacing w:after="60" w:line="240" w:lineRule="auto"/>
              <w:ind w:left="-119"/>
              <w:jc w:val="center"/>
              <w:rPr>
                <w:rFonts w:ascii="Arial" w:hAnsi="Arial" w:cs="Arial"/>
                <w:sz w:val="18"/>
                <w:szCs w:val="18"/>
                <w:lang w:val="pt-PT" w:eastAsia="zh-CN"/>
              </w:rPr>
            </w:pPr>
            <w:r w:rsidRPr="0043505E">
              <w:rPr>
                <w:rFonts w:ascii="Arial" w:hAnsi="Arial" w:cs="Arial"/>
                <w:sz w:val="18"/>
                <w:szCs w:val="18"/>
                <w:lang w:val="es-ES" w:eastAsia="zh-CN"/>
              </w:rPr>
              <w:t>Personas</w:t>
            </w:r>
          </w:p>
        </w:tc>
        <w:tc>
          <w:tcPr>
            <w:tcW w:w="900" w:type="dxa"/>
            <w:tcBorders>
              <w:top w:val="single" w:sz="4" w:space="0" w:color="BFBFBF"/>
              <w:bottom w:val="single" w:sz="4" w:space="0" w:color="000000"/>
            </w:tcBorders>
            <w:vAlign w:val="center"/>
          </w:tcPr>
          <w:p w14:paraId="4FE46869"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19.107</w:t>
            </w:r>
          </w:p>
        </w:tc>
        <w:tc>
          <w:tcPr>
            <w:tcW w:w="900" w:type="dxa"/>
            <w:tcBorders>
              <w:top w:val="single" w:sz="4" w:space="0" w:color="BFBFBF"/>
              <w:bottom w:val="single" w:sz="4" w:space="0" w:color="000000"/>
            </w:tcBorders>
            <w:vAlign w:val="center"/>
          </w:tcPr>
          <w:p w14:paraId="0886652E"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2020</w:t>
            </w:r>
          </w:p>
        </w:tc>
        <w:tc>
          <w:tcPr>
            <w:tcW w:w="910" w:type="dxa"/>
            <w:tcBorders>
              <w:top w:val="single" w:sz="4" w:space="0" w:color="BFBFBF"/>
              <w:bottom w:val="single" w:sz="4" w:space="0" w:color="000000"/>
            </w:tcBorders>
            <w:vAlign w:val="center"/>
          </w:tcPr>
          <w:p w14:paraId="26E451CE"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19.107</w:t>
            </w:r>
          </w:p>
        </w:tc>
        <w:tc>
          <w:tcPr>
            <w:tcW w:w="910" w:type="dxa"/>
            <w:tcBorders>
              <w:top w:val="single" w:sz="4" w:space="0" w:color="BFBFBF"/>
              <w:bottom w:val="single" w:sz="4" w:space="0" w:color="000000"/>
            </w:tcBorders>
            <w:vAlign w:val="center"/>
          </w:tcPr>
          <w:p w14:paraId="2023193D"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0</w:t>
            </w:r>
          </w:p>
        </w:tc>
        <w:tc>
          <w:tcPr>
            <w:tcW w:w="1240" w:type="dxa"/>
            <w:tcBorders>
              <w:top w:val="single" w:sz="4" w:space="0" w:color="BFBFBF"/>
              <w:bottom w:val="single" w:sz="4" w:space="0" w:color="000000"/>
            </w:tcBorders>
            <w:vAlign w:val="center"/>
          </w:tcPr>
          <w:p w14:paraId="7D8C04FC" w14:textId="77777777" w:rsidR="0043505E" w:rsidRPr="0043505E" w:rsidRDefault="0043505E" w:rsidP="0043505E">
            <w:pPr>
              <w:tabs>
                <w:tab w:val="left" w:pos="871"/>
              </w:tabs>
              <w:spacing w:after="60" w:line="240" w:lineRule="auto"/>
              <w:ind w:left="-104"/>
              <w:jc w:val="center"/>
              <w:rPr>
                <w:rFonts w:ascii="Arial" w:hAnsi="Arial" w:cs="Arial"/>
                <w:sz w:val="18"/>
                <w:szCs w:val="18"/>
                <w:lang w:val="es-419" w:eastAsia="zh-CN"/>
              </w:rPr>
            </w:pPr>
            <w:r w:rsidRPr="0043505E">
              <w:rPr>
                <w:rFonts w:ascii="Arial" w:hAnsi="Arial" w:cs="Arial"/>
                <w:sz w:val="18"/>
                <w:szCs w:val="18"/>
                <w:lang w:val="es-419" w:eastAsia="zh-CN"/>
              </w:rPr>
              <w:t>19.107</w:t>
            </w:r>
          </w:p>
        </w:tc>
        <w:tc>
          <w:tcPr>
            <w:tcW w:w="1360" w:type="dxa"/>
            <w:tcBorders>
              <w:top w:val="single" w:sz="4" w:space="0" w:color="BFBFBF"/>
              <w:bottom w:val="single" w:sz="4" w:space="0" w:color="000000"/>
            </w:tcBorders>
            <w:vAlign w:val="center"/>
          </w:tcPr>
          <w:p w14:paraId="7FA830DA" w14:textId="77777777" w:rsidR="0043505E" w:rsidRPr="0043505E" w:rsidRDefault="0043505E" w:rsidP="0043505E">
            <w:pPr>
              <w:spacing w:after="60" w:line="240" w:lineRule="auto"/>
              <w:ind w:left="-14"/>
              <w:rPr>
                <w:rFonts w:ascii="Arial" w:hAnsi="Arial" w:cs="Arial"/>
                <w:sz w:val="18"/>
                <w:szCs w:val="18"/>
                <w:lang w:val="es-419" w:eastAsia="zh-CN"/>
              </w:rPr>
            </w:pPr>
            <w:r w:rsidRPr="0043505E">
              <w:rPr>
                <w:rFonts w:ascii="Arial" w:hAnsi="Arial" w:cs="Arial"/>
                <w:sz w:val="18"/>
                <w:szCs w:val="18"/>
                <w:lang w:val="es-419" w:eastAsia="zh-CN"/>
              </w:rPr>
              <w:t>Plataforma Informática Integrada de Beneficiarios (PIIB)</w:t>
            </w:r>
          </w:p>
        </w:tc>
        <w:tc>
          <w:tcPr>
            <w:tcW w:w="2730" w:type="dxa"/>
            <w:tcBorders>
              <w:top w:val="single" w:sz="4" w:space="0" w:color="BFBFBF"/>
              <w:bottom w:val="single" w:sz="4" w:space="0" w:color="000000"/>
            </w:tcBorders>
            <w:vAlign w:val="center"/>
          </w:tcPr>
          <w:p w14:paraId="72671E64"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 xml:space="preserve">Se refiere a transferencias pagadas a hogares e individuos elegibles para recibir transferencias monetarias según el Manual Operativo vigente para el programa. </w:t>
            </w:r>
          </w:p>
          <w:p w14:paraId="7905E4A0"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Se toma como línea de base el número de beneficiarios reportados para el tercer pago de 2020.</w:t>
            </w:r>
          </w:p>
          <w:p w14:paraId="7220C987"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Se hará desagregación por sexo.</w:t>
            </w:r>
          </w:p>
        </w:tc>
      </w:tr>
      <w:tr w:rsidR="0043505E" w:rsidRPr="001A1DF9" w14:paraId="4C742019" w14:textId="77777777" w:rsidTr="0043505E">
        <w:trPr>
          <w:trHeight w:val="458"/>
          <w:jc w:val="center"/>
        </w:trPr>
        <w:tc>
          <w:tcPr>
            <w:tcW w:w="13455" w:type="dxa"/>
            <w:gridSpan w:val="9"/>
            <w:shd w:val="clear" w:color="auto" w:fill="F2F2F2"/>
          </w:tcPr>
          <w:p w14:paraId="2CFEF7C6" w14:textId="77777777" w:rsidR="0043505E" w:rsidRPr="0043505E" w:rsidRDefault="0043505E" w:rsidP="0043505E">
            <w:pPr>
              <w:spacing w:before="60" w:after="60" w:line="240" w:lineRule="auto"/>
              <w:rPr>
                <w:rFonts w:ascii="Arial" w:hAnsi="Arial" w:cs="Arial"/>
                <w:b/>
                <w:bCs/>
                <w:sz w:val="18"/>
                <w:szCs w:val="18"/>
                <w:lang w:val="es-419" w:eastAsia="zh-CN"/>
              </w:rPr>
            </w:pPr>
            <w:r w:rsidRPr="0043505E">
              <w:rPr>
                <w:rFonts w:ascii="Arial" w:hAnsi="Arial" w:cs="Arial"/>
                <w:b/>
                <w:bCs/>
                <w:sz w:val="18"/>
                <w:szCs w:val="18"/>
                <w:lang w:val="es-419" w:eastAsia="zh-CN"/>
              </w:rPr>
              <w:t>Componente 2.</w:t>
            </w:r>
            <w:r w:rsidRPr="0043505E">
              <w:rPr>
                <w:rFonts w:ascii="Arial" w:hAnsi="Arial" w:cs="Arial"/>
                <w:b/>
                <w:bCs/>
                <w:sz w:val="18"/>
                <w:szCs w:val="18"/>
                <w:lang w:val="es-CO"/>
              </w:rPr>
              <w:t xml:space="preserve"> Protección para población </w:t>
            </w:r>
            <w:r w:rsidRPr="0043505E">
              <w:rPr>
                <w:rFonts w:ascii="Arial" w:hAnsi="Arial" w:cs="Arial"/>
                <w:b/>
                <w:sz w:val="18"/>
                <w:szCs w:val="18"/>
                <w:lang w:val="es-CO"/>
              </w:rPr>
              <w:t xml:space="preserve">vulnerable </w:t>
            </w:r>
            <w:r w:rsidRPr="0043505E">
              <w:rPr>
                <w:rFonts w:ascii="Arial" w:eastAsia="Arial" w:hAnsi="Arial" w:cs="Arial"/>
                <w:b/>
                <w:sz w:val="18"/>
                <w:szCs w:val="18"/>
                <w:lang w:val="es-CO"/>
              </w:rPr>
              <w:t>que no se encuentra en los padrones de programas de transferencias, y</w:t>
            </w:r>
            <w:r w:rsidRPr="0043505E">
              <w:rPr>
                <w:rFonts w:ascii="Arial" w:eastAsia="Arial" w:hAnsi="Arial" w:cs="Arial"/>
                <w:b/>
                <w:bCs/>
                <w:sz w:val="18"/>
                <w:szCs w:val="18"/>
                <w:lang w:val="es-CO"/>
              </w:rPr>
              <w:t xml:space="preserve"> </w:t>
            </w:r>
            <w:r w:rsidRPr="0043505E">
              <w:rPr>
                <w:rFonts w:ascii="Arial" w:hAnsi="Arial" w:cs="Arial"/>
                <w:b/>
                <w:bCs/>
                <w:sz w:val="18"/>
                <w:szCs w:val="18"/>
                <w:lang w:val="es-CO"/>
              </w:rPr>
              <w:t xml:space="preserve">que trabajaba en el sector </w:t>
            </w:r>
            <w:r w:rsidRPr="0043505E">
              <w:rPr>
                <w:rFonts w:ascii="Arial" w:hAnsi="Arial" w:cs="Arial"/>
                <w:b/>
                <w:sz w:val="18"/>
                <w:szCs w:val="18"/>
                <w:lang w:val="es-CO"/>
              </w:rPr>
              <w:t>informal</w:t>
            </w:r>
          </w:p>
        </w:tc>
      </w:tr>
      <w:tr w:rsidR="0043505E" w:rsidRPr="001A1DF9" w14:paraId="5775864E" w14:textId="77777777" w:rsidTr="0043505E">
        <w:trPr>
          <w:trHeight w:val="476"/>
          <w:jc w:val="center"/>
        </w:trPr>
        <w:tc>
          <w:tcPr>
            <w:tcW w:w="3335" w:type="dxa"/>
            <w:tcBorders>
              <w:bottom w:val="single" w:sz="4" w:space="0" w:color="000000"/>
            </w:tcBorders>
            <w:vAlign w:val="center"/>
          </w:tcPr>
          <w:p w14:paraId="1E004FA0" w14:textId="77777777" w:rsidR="0043505E" w:rsidRPr="0043505E" w:rsidRDefault="0043505E" w:rsidP="0043505E">
            <w:pPr>
              <w:spacing w:after="60" w:line="240" w:lineRule="auto"/>
              <w:rPr>
                <w:rFonts w:ascii="Arial" w:hAnsi="Arial" w:cs="Arial"/>
                <w:b/>
                <w:bCs/>
                <w:sz w:val="18"/>
                <w:szCs w:val="18"/>
                <w:lang w:val="es-419" w:eastAsia="zh-CN"/>
              </w:rPr>
            </w:pPr>
            <w:r w:rsidRPr="0043505E">
              <w:rPr>
                <w:rFonts w:ascii="Arial" w:hAnsi="Arial" w:cs="Arial"/>
                <w:sz w:val="18"/>
                <w:szCs w:val="18"/>
                <w:lang w:val="es-ES" w:eastAsia="zh-CN"/>
              </w:rPr>
              <w:t xml:space="preserve">Personas del sector informal o trabajadores independientes acreditadas en el programa Vale Digital que realiza al menos una compra financiada con el proyecto </w:t>
            </w:r>
            <w:r w:rsidRPr="0043505E">
              <w:rPr>
                <w:rFonts w:ascii="Arial" w:hAnsi="Arial" w:cs="Arial"/>
                <w:sz w:val="18"/>
                <w:szCs w:val="18"/>
                <w:lang w:val="es-ES_tradnl" w:eastAsia="zh-CN"/>
              </w:rPr>
              <w:t>durante el periodo inmediato y durante la recuperación de la crisis causada por el coronavirus.</w:t>
            </w:r>
          </w:p>
        </w:tc>
        <w:tc>
          <w:tcPr>
            <w:tcW w:w="1170" w:type="dxa"/>
            <w:tcBorders>
              <w:bottom w:val="single" w:sz="4" w:space="0" w:color="000000"/>
            </w:tcBorders>
            <w:vAlign w:val="center"/>
          </w:tcPr>
          <w:p w14:paraId="0CFB8039"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Personas</w:t>
            </w:r>
          </w:p>
        </w:tc>
        <w:tc>
          <w:tcPr>
            <w:tcW w:w="900" w:type="dxa"/>
            <w:tcBorders>
              <w:bottom w:val="single" w:sz="4" w:space="0" w:color="000000"/>
            </w:tcBorders>
            <w:vAlign w:val="center"/>
          </w:tcPr>
          <w:p w14:paraId="2772CF0B"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549.424</w:t>
            </w:r>
          </w:p>
        </w:tc>
        <w:tc>
          <w:tcPr>
            <w:tcW w:w="900" w:type="dxa"/>
            <w:tcBorders>
              <w:bottom w:val="single" w:sz="4" w:space="0" w:color="000000"/>
            </w:tcBorders>
            <w:vAlign w:val="center"/>
          </w:tcPr>
          <w:p w14:paraId="7A7DA5A5"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2020</w:t>
            </w:r>
          </w:p>
        </w:tc>
        <w:tc>
          <w:tcPr>
            <w:tcW w:w="910" w:type="dxa"/>
            <w:tcBorders>
              <w:bottom w:val="single" w:sz="4" w:space="0" w:color="000000"/>
            </w:tcBorders>
            <w:vAlign w:val="center"/>
          </w:tcPr>
          <w:p w14:paraId="4148A42D"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0</w:t>
            </w:r>
          </w:p>
        </w:tc>
        <w:tc>
          <w:tcPr>
            <w:tcW w:w="910" w:type="dxa"/>
            <w:tcBorders>
              <w:bottom w:val="single" w:sz="4" w:space="0" w:color="000000"/>
            </w:tcBorders>
            <w:vAlign w:val="center"/>
          </w:tcPr>
          <w:p w14:paraId="1ACF284B"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549.424</w:t>
            </w:r>
          </w:p>
        </w:tc>
        <w:tc>
          <w:tcPr>
            <w:tcW w:w="1240" w:type="dxa"/>
            <w:tcBorders>
              <w:bottom w:val="single" w:sz="4" w:space="0" w:color="000000"/>
            </w:tcBorders>
            <w:vAlign w:val="center"/>
          </w:tcPr>
          <w:p w14:paraId="184985D6" w14:textId="77777777" w:rsidR="0043505E" w:rsidRPr="0043505E" w:rsidRDefault="0043505E" w:rsidP="0043505E">
            <w:pPr>
              <w:tabs>
                <w:tab w:val="left" w:pos="871"/>
              </w:tabs>
              <w:spacing w:after="60" w:line="240" w:lineRule="auto"/>
              <w:ind w:left="-104"/>
              <w:jc w:val="center"/>
              <w:rPr>
                <w:rFonts w:ascii="Arial" w:hAnsi="Arial" w:cs="Arial"/>
                <w:sz w:val="18"/>
                <w:szCs w:val="18"/>
                <w:lang w:val="es-419" w:eastAsia="zh-CN"/>
              </w:rPr>
            </w:pPr>
            <w:r w:rsidRPr="0043505E">
              <w:rPr>
                <w:rFonts w:ascii="Arial" w:hAnsi="Arial" w:cs="Arial"/>
                <w:sz w:val="18"/>
                <w:szCs w:val="18"/>
                <w:lang w:val="es-419" w:eastAsia="zh-CN"/>
              </w:rPr>
              <w:t>549.424</w:t>
            </w:r>
          </w:p>
        </w:tc>
        <w:tc>
          <w:tcPr>
            <w:tcW w:w="1360" w:type="dxa"/>
            <w:tcBorders>
              <w:bottom w:val="single" w:sz="4" w:space="0" w:color="000000"/>
            </w:tcBorders>
            <w:vAlign w:val="center"/>
          </w:tcPr>
          <w:p w14:paraId="57A02C3F" w14:textId="77777777" w:rsidR="0043505E" w:rsidRPr="0043505E" w:rsidRDefault="0043505E" w:rsidP="0043505E">
            <w:pPr>
              <w:spacing w:after="60" w:line="240" w:lineRule="auto"/>
              <w:ind w:left="-14"/>
              <w:rPr>
                <w:rFonts w:ascii="Arial" w:hAnsi="Arial" w:cs="Arial"/>
                <w:sz w:val="18"/>
                <w:szCs w:val="18"/>
                <w:lang w:val="es-419" w:eastAsia="zh-CN"/>
              </w:rPr>
            </w:pPr>
            <w:r w:rsidRPr="0043505E">
              <w:rPr>
                <w:rFonts w:ascii="Arial" w:hAnsi="Arial" w:cs="Arial"/>
                <w:sz w:val="18"/>
                <w:szCs w:val="18"/>
                <w:lang w:val="es-419" w:eastAsia="zh-CN"/>
              </w:rPr>
              <w:t>Plataforma Electrónica del Vale Digital</w:t>
            </w:r>
          </w:p>
        </w:tc>
        <w:tc>
          <w:tcPr>
            <w:tcW w:w="2730" w:type="dxa"/>
            <w:tcBorders>
              <w:bottom w:val="single" w:sz="4" w:space="0" w:color="000000"/>
            </w:tcBorders>
            <w:vAlign w:val="center"/>
          </w:tcPr>
          <w:p w14:paraId="36CE4DFF"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 xml:space="preserve">Se refiere a compras realizadas por individuos del sector informal acreditados que realizan compras en comercios participantes según el Manual Operativo vigente para el programa. Los beneficiarios pueden realizar más de una compra hasta alcanzar el monto asignado al beneficio. </w:t>
            </w:r>
          </w:p>
          <w:p w14:paraId="2392F2B3"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Se hará desagregación por sexo.</w:t>
            </w:r>
          </w:p>
        </w:tc>
      </w:tr>
      <w:tr w:rsidR="0043505E" w:rsidRPr="001A1DF9" w14:paraId="04627D59" w14:textId="77777777" w:rsidTr="0043505E">
        <w:trPr>
          <w:trHeight w:val="404"/>
          <w:jc w:val="center"/>
        </w:trPr>
        <w:tc>
          <w:tcPr>
            <w:tcW w:w="13455" w:type="dxa"/>
            <w:gridSpan w:val="9"/>
            <w:shd w:val="clear" w:color="auto" w:fill="F2F2F2"/>
          </w:tcPr>
          <w:p w14:paraId="52AE50E7" w14:textId="77777777" w:rsidR="0043505E" w:rsidRPr="0043505E" w:rsidRDefault="0043505E" w:rsidP="0043505E">
            <w:pPr>
              <w:spacing w:before="60" w:after="60" w:line="240" w:lineRule="auto"/>
              <w:rPr>
                <w:rFonts w:ascii="Arial" w:hAnsi="Arial" w:cs="Arial"/>
                <w:sz w:val="18"/>
                <w:szCs w:val="18"/>
                <w:lang w:val="es-419" w:eastAsia="zh-CN"/>
              </w:rPr>
            </w:pPr>
            <w:r w:rsidRPr="0043505E">
              <w:rPr>
                <w:rFonts w:ascii="Arial" w:hAnsi="Arial" w:cs="Arial"/>
                <w:b/>
                <w:bCs/>
                <w:sz w:val="18"/>
                <w:szCs w:val="18"/>
                <w:lang w:val="es-419" w:eastAsia="zh-CN"/>
              </w:rPr>
              <w:t xml:space="preserve">Componente 3. </w:t>
            </w:r>
            <w:r w:rsidRPr="0043505E">
              <w:rPr>
                <w:rFonts w:ascii="Arial" w:hAnsi="Arial" w:cs="Arial"/>
                <w:b/>
                <w:bCs/>
                <w:sz w:val="18"/>
                <w:szCs w:val="18"/>
                <w:lang w:val="es-CO"/>
              </w:rPr>
              <w:t xml:space="preserve">Protección para población vulnerable </w:t>
            </w:r>
            <w:r w:rsidRPr="0043505E">
              <w:rPr>
                <w:rFonts w:ascii="Arial" w:eastAsia="Arial" w:hAnsi="Arial" w:cs="Arial"/>
                <w:b/>
                <w:sz w:val="18"/>
                <w:szCs w:val="18"/>
                <w:lang w:val="es-CO"/>
              </w:rPr>
              <w:t>que no se encuentra en los padrones de programas de transferencias,</w:t>
            </w:r>
            <w:r w:rsidRPr="0043505E">
              <w:rPr>
                <w:rFonts w:ascii="Arial" w:eastAsia="Arial" w:hAnsi="Arial" w:cs="Arial"/>
                <w:b/>
                <w:bCs/>
                <w:sz w:val="18"/>
                <w:szCs w:val="18"/>
                <w:lang w:val="es-CO"/>
              </w:rPr>
              <w:t xml:space="preserve"> y</w:t>
            </w:r>
            <w:r w:rsidRPr="0043505E">
              <w:rPr>
                <w:rFonts w:ascii="Arial" w:hAnsi="Arial" w:cs="Arial"/>
                <w:b/>
                <w:bCs/>
                <w:sz w:val="18"/>
                <w:szCs w:val="18"/>
                <w:lang w:val="es-CO"/>
              </w:rPr>
              <w:t xml:space="preserve"> que ya no trabajan en el sector formal</w:t>
            </w:r>
          </w:p>
        </w:tc>
      </w:tr>
      <w:tr w:rsidR="0043505E" w:rsidRPr="001A1DF9" w14:paraId="0D1A60B9" w14:textId="77777777" w:rsidTr="0043505E">
        <w:trPr>
          <w:trHeight w:val="1043"/>
          <w:jc w:val="center"/>
        </w:trPr>
        <w:tc>
          <w:tcPr>
            <w:tcW w:w="3335" w:type="dxa"/>
            <w:tcBorders>
              <w:bottom w:val="single" w:sz="4" w:space="0" w:color="000000"/>
            </w:tcBorders>
            <w:vAlign w:val="center"/>
          </w:tcPr>
          <w:p w14:paraId="516F6120" w14:textId="77777777" w:rsidR="0043505E" w:rsidRPr="0043505E" w:rsidRDefault="0043505E" w:rsidP="0043505E">
            <w:pPr>
              <w:spacing w:after="60" w:line="240" w:lineRule="auto"/>
              <w:rPr>
                <w:rFonts w:ascii="Arial" w:hAnsi="Arial" w:cs="Arial"/>
                <w:sz w:val="18"/>
                <w:szCs w:val="18"/>
                <w:lang w:val="es-ES" w:eastAsia="zh-CN"/>
              </w:rPr>
            </w:pPr>
            <w:r w:rsidRPr="0043505E">
              <w:rPr>
                <w:rFonts w:ascii="Arial" w:hAnsi="Arial" w:cs="Arial"/>
                <w:sz w:val="18"/>
                <w:szCs w:val="18"/>
                <w:lang w:val="es-ES" w:eastAsia="zh-CN"/>
              </w:rPr>
              <w:t xml:space="preserve">Personas del sector formal acreditadas en el programa Vale Digital que realiza al menos una compra financiada con el proyecto </w:t>
            </w:r>
            <w:r w:rsidRPr="0043505E">
              <w:rPr>
                <w:rFonts w:ascii="Arial" w:hAnsi="Arial" w:cs="Arial"/>
                <w:sz w:val="18"/>
                <w:szCs w:val="18"/>
                <w:lang w:val="es-ES_tradnl" w:eastAsia="zh-CN"/>
              </w:rPr>
              <w:t>durante el periodo inmediato y durante la recuperación de la crisis causada por el coronavirus.</w:t>
            </w:r>
          </w:p>
        </w:tc>
        <w:tc>
          <w:tcPr>
            <w:tcW w:w="1170" w:type="dxa"/>
            <w:tcBorders>
              <w:bottom w:val="single" w:sz="4" w:space="0" w:color="000000"/>
            </w:tcBorders>
            <w:vAlign w:val="center"/>
          </w:tcPr>
          <w:p w14:paraId="38EDDF65" w14:textId="77777777" w:rsidR="0043505E" w:rsidRPr="0043505E" w:rsidRDefault="0043505E" w:rsidP="0043505E">
            <w:pPr>
              <w:spacing w:after="60" w:line="240" w:lineRule="auto"/>
              <w:ind w:left="-119"/>
              <w:jc w:val="center"/>
              <w:rPr>
                <w:rFonts w:ascii="Arial" w:hAnsi="Arial" w:cs="Arial"/>
                <w:sz w:val="18"/>
                <w:szCs w:val="18"/>
                <w:lang w:val="es-ES" w:eastAsia="zh-CN"/>
              </w:rPr>
            </w:pPr>
            <w:r w:rsidRPr="0043505E">
              <w:rPr>
                <w:rFonts w:ascii="Arial" w:hAnsi="Arial" w:cs="Arial"/>
                <w:sz w:val="18"/>
                <w:szCs w:val="18"/>
                <w:lang w:val="es-ES" w:eastAsia="zh-CN"/>
              </w:rPr>
              <w:t>Personas</w:t>
            </w:r>
          </w:p>
        </w:tc>
        <w:tc>
          <w:tcPr>
            <w:tcW w:w="900" w:type="dxa"/>
            <w:tcBorders>
              <w:bottom w:val="single" w:sz="4" w:space="0" w:color="000000"/>
            </w:tcBorders>
            <w:vAlign w:val="center"/>
          </w:tcPr>
          <w:p w14:paraId="189FE635"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137.356</w:t>
            </w:r>
          </w:p>
        </w:tc>
        <w:tc>
          <w:tcPr>
            <w:tcW w:w="900" w:type="dxa"/>
            <w:tcBorders>
              <w:bottom w:val="single" w:sz="4" w:space="0" w:color="000000"/>
            </w:tcBorders>
            <w:vAlign w:val="center"/>
          </w:tcPr>
          <w:p w14:paraId="494F41CA"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2020</w:t>
            </w:r>
          </w:p>
        </w:tc>
        <w:tc>
          <w:tcPr>
            <w:tcW w:w="910" w:type="dxa"/>
            <w:tcBorders>
              <w:bottom w:val="single" w:sz="4" w:space="0" w:color="000000"/>
            </w:tcBorders>
            <w:vAlign w:val="center"/>
          </w:tcPr>
          <w:p w14:paraId="009BC79D"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0</w:t>
            </w:r>
          </w:p>
        </w:tc>
        <w:tc>
          <w:tcPr>
            <w:tcW w:w="910" w:type="dxa"/>
            <w:tcBorders>
              <w:bottom w:val="single" w:sz="4" w:space="0" w:color="000000"/>
            </w:tcBorders>
            <w:vAlign w:val="center"/>
          </w:tcPr>
          <w:p w14:paraId="734594B8" w14:textId="77777777" w:rsidR="0043505E" w:rsidRPr="0043505E" w:rsidRDefault="0043505E" w:rsidP="0043505E">
            <w:pPr>
              <w:spacing w:after="60" w:line="240" w:lineRule="auto"/>
              <w:jc w:val="center"/>
              <w:rPr>
                <w:rFonts w:ascii="Arial" w:hAnsi="Arial" w:cs="Arial"/>
                <w:sz w:val="18"/>
                <w:szCs w:val="18"/>
                <w:lang w:val="es-419" w:eastAsia="zh-CN"/>
              </w:rPr>
            </w:pPr>
            <w:r w:rsidRPr="0043505E">
              <w:rPr>
                <w:rFonts w:ascii="Arial" w:hAnsi="Arial" w:cs="Arial"/>
                <w:sz w:val="18"/>
                <w:szCs w:val="18"/>
                <w:lang w:val="es-419" w:eastAsia="zh-CN"/>
              </w:rPr>
              <w:t>137.356</w:t>
            </w:r>
          </w:p>
        </w:tc>
        <w:tc>
          <w:tcPr>
            <w:tcW w:w="1240" w:type="dxa"/>
            <w:tcBorders>
              <w:bottom w:val="single" w:sz="4" w:space="0" w:color="000000"/>
            </w:tcBorders>
            <w:vAlign w:val="center"/>
          </w:tcPr>
          <w:p w14:paraId="4F674A02" w14:textId="77777777" w:rsidR="0043505E" w:rsidRPr="0043505E" w:rsidRDefault="0043505E" w:rsidP="0043505E">
            <w:pPr>
              <w:tabs>
                <w:tab w:val="left" w:pos="871"/>
              </w:tabs>
              <w:spacing w:after="60" w:line="240" w:lineRule="auto"/>
              <w:ind w:left="-104"/>
              <w:jc w:val="center"/>
              <w:rPr>
                <w:rFonts w:ascii="Arial" w:hAnsi="Arial" w:cs="Arial"/>
                <w:sz w:val="18"/>
                <w:szCs w:val="18"/>
                <w:lang w:val="es-419" w:eastAsia="zh-CN"/>
              </w:rPr>
            </w:pPr>
            <w:r w:rsidRPr="0043505E">
              <w:rPr>
                <w:rFonts w:ascii="Arial" w:hAnsi="Arial" w:cs="Arial"/>
                <w:sz w:val="18"/>
                <w:szCs w:val="18"/>
                <w:lang w:val="es-419" w:eastAsia="zh-CN"/>
              </w:rPr>
              <w:t>137.356</w:t>
            </w:r>
          </w:p>
        </w:tc>
        <w:tc>
          <w:tcPr>
            <w:tcW w:w="1360" w:type="dxa"/>
            <w:tcBorders>
              <w:bottom w:val="single" w:sz="4" w:space="0" w:color="000000"/>
            </w:tcBorders>
            <w:vAlign w:val="center"/>
          </w:tcPr>
          <w:p w14:paraId="488F1B26" w14:textId="77777777" w:rsidR="0043505E" w:rsidRPr="0043505E" w:rsidRDefault="0043505E" w:rsidP="0043505E">
            <w:pPr>
              <w:spacing w:after="60" w:line="240" w:lineRule="auto"/>
              <w:ind w:left="-14"/>
              <w:rPr>
                <w:rFonts w:ascii="Arial" w:hAnsi="Arial" w:cs="Arial"/>
                <w:sz w:val="18"/>
                <w:szCs w:val="18"/>
                <w:lang w:val="es-419" w:eastAsia="zh-CN"/>
              </w:rPr>
            </w:pPr>
            <w:r w:rsidRPr="0043505E">
              <w:rPr>
                <w:rFonts w:ascii="Arial" w:hAnsi="Arial" w:cs="Arial"/>
                <w:sz w:val="18"/>
                <w:szCs w:val="18"/>
                <w:lang w:val="es-419" w:eastAsia="zh-CN"/>
              </w:rPr>
              <w:t>Plataforma Electrónica del Vale Digital</w:t>
            </w:r>
          </w:p>
        </w:tc>
        <w:tc>
          <w:tcPr>
            <w:tcW w:w="2730" w:type="dxa"/>
            <w:tcBorders>
              <w:bottom w:val="single" w:sz="4" w:space="0" w:color="000000"/>
            </w:tcBorders>
            <w:vAlign w:val="center"/>
          </w:tcPr>
          <w:p w14:paraId="35115447"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 xml:space="preserve">Se refiere a compras realizadas por individuos del sector formal acreditados que realizan compras en comercios participantes según el Manual Operativo vigente para el programa. Los beneficiarios pueden realizar más de una </w:t>
            </w:r>
            <w:r w:rsidRPr="0043505E">
              <w:rPr>
                <w:rFonts w:ascii="Arial" w:hAnsi="Arial" w:cs="Arial"/>
                <w:sz w:val="18"/>
                <w:szCs w:val="18"/>
                <w:lang w:val="es-419" w:eastAsia="zh-CN"/>
              </w:rPr>
              <w:lastRenderedPageBreak/>
              <w:t xml:space="preserve">compra hasta alcanzar el monto asignado al beneficio. </w:t>
            </w:r>
          </w:p>
          <w:p w14:paraId="74DAE89A" w14:textId="77777777" w:rsidR="0043505E" w:rsidRPr="0043505E" w:rsidRDefault="0043505E" w:rsidP="0043505E">
            <w:pPr>
              <w:spacing w:after="60" w:line="240" w:lineRule="auto"/>
              <w:rPr>
                <w:rFonts w:ascii="Arial" w:hAnsi="Arial" w:cs="Arial"/>
                <w:sz w:val="18"/>
                <w:szCs w:val="18"/>
                <w:lang w:val="es-419" w:eastAsia="zh-CN"/>
              </w:rPr>
            </w:pPr>
            <w:r w:rsidRPr="0043505E">
              <w:rPr>
                <w:rFonts w:ascii="Arial" w:hAnsi="Arial" w:cs="Arial"/>
                <w:sz w:val="18"/>
                <w:szCs w:val="18"/>
                <w:lang w:val="es-419" w:eastAsia="zh-CN"/>
              </w:rPr>
              <w:t>Se hará desagregación por sexo.</w:t>
            </w:r>
          </w:p>
        </w:tc>
      </w:tr>
    </w:tbl>
    <w:p w14:paraId="57066E02" w14:textId="77777777" w:rsidR="00845A53" w:rsidRPr="0043505E" w:rsidRDefault="00845A53" w:rsidP="00845A53">
      <w:pPr>
        <w:spacing w:after="0" w:line="240" w:lineRule="auto"/>
        <w:rPr>
          <w:rFonts w:ascii="Arial" w:hAnsi="Arial" w:cs="Arial"/>
          <w:sz w:val="16"/>
          <w:szCs w:val="16"/>
          <w:lang w:val="es-ES_tradnl"/>
        </w:rPr>
      </w:pPr>
    </w:p>
    <w:p w14:paraId="465A3C9B" w14:textId="77777777" w:rsidR="008B70FF" w:rsidRDefault="008B70FF" w:rsidP="00845A53">
      <w:pPr>
        <w:spacing w:after="0" w:line="240" w:lineRule="auto"/>
        <w:rPr>
          <w:rFonts w:ascii="Arial" w:hAnsi="Arial" w:cs="Arial"/>
          <w:sz w:val="16"/>
          <w:szCs w:val="16"/>
          <w:lang w:val="es-419"/>
        </w:rPr>
      </w:pPr>
    </w:p>
    <w:p w14:paraId="72283984" w14:textId="77777777" w:rsidR="008B70FF" w:rsidRPr="00845A53" w:rsidRDefault="008B70FF" w:rsidP="00845A53">
      <w:pPr>
        <w:spacing w:after="0" w:line="240" w:lineRule="auto"/>
        <w:rPr>
          <w:rFonts w:ascii="Arial" w:hAnsi="Arial" w:cs="Arial"/>
          <w:sz w:val="16"/>
          <w:szCs w:val="16"/>
          <w:lang w:val="es-419"/>
        </w:rPr>
      </w:pPr>
    </w:p>
    <w:bookmarkEnd w:id="1"/>
    <w:p w14:paraId="0BCE5534" w14:textId="77777777" w:rsidR="00845A53" w:rsidRPr="00845A53" w:rsidRDefault="00845A53" w:rsidP="00845A53">
      <w:pPr>
        <w:spacing w:after="0" w:line="240" w:lineRule="auto"/>
        <w:rPr>
          <w:rFonts w:ascii="Arial" w:hAnsi="Arial" w:cs="Arial"/>
          <w:sz w:val="16"/>
          <w:szCs w:val="16"/>
          <w:lang w:val="es-419"/>
        </w:rPr>
      </w:pPr>
    </w:p>
    <w:p w14:paraId="747EDC9F" w14:textId="18E40595" w:rsidR="00E2331C" w:rsidRPr="003B55C9" w:rsidRDefault="00E2331C" w:rsidP="004964DC">
      <w:pPr>
        <w:spacing w:after="0" w:line="288" w:lineRule="auto"/>
        <w:rPr>
          <w:rFonts w:ascii="Arial" w:hAnsi="Arial" w:cs="Arial"/>
          <w:b/>
          <w:lang w:val="es-419"/>
        </w:rPr>
        <w:sectPr w:rsidR="00E2331C" w:rsidRPr="003B55C9" w:rsidSect="00190876">
          <w:pgSz w:w="15840" w:h="12240" w:orient="landscape"/>
          <w:pgMar w:top="1440" w:right="1440" w:bottom="1627" w:left="1440" w:header="720" w:footer="720" w:gutter="0"/>
          <w:cols w:space="720"/>
          <w:docGrid w:linePitch="360"/>
        </w:sectPr>
      </w:pPr>
    </w:p>
    <w:p w14:paraId="23C4E6C1" w14:textId="39AD689A" w:rsidR="001B5186" w:rsidRPr="00425FEE" w:rsidRDefault="005E6B91" w:rsidP="00584AF5">
      <w:pPr>
        <w:pStyle w:val="ColorfulList-Accent11"/>
        <w:numPr>
          <w:ilvl w:val="1"/>
          <w:numId w:val="3"/>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lastRenderedPageBreak/>
        <w:t>Recolección de datos e instrumentos</w:t>
      </w:r>
    </w:p>
    <w:p w14:paraId="53202850" w14:textId="4AC14BFB" w:rsidR="003605CE" w:rsidRPr="00425FEE" w:rsidRDefault="00D10DDB" w:rsidP="00584AF5">
      <w:pPr>
        <w:spacing w:before="120" w:after="120" w:line="240" w:lineRule="auto"/>
        <w:jc w:val="both"/>
        <w:rPr>
          <w:rFonts w:ascii="Arial" w:hAnsi="Arial" w:cs="Arial"/>
          <w:color w:val="000000"/>
          <w:lang w:val="es-ES"/>
        </w:rPr>
      </w:pPr>
      <w:r w:rsidRPr="00425FEE">
        <w:rPr>
          <w:rFonts w:ascii="Arial" w:hAnsi="Arial" w:cs="Arial"/>
          <w:color w:val="000000"/>
          <w:lang w:val="es-ES"/>
        </w:rPr>
        <w:t xml:space="preserve">Las fuentes de datos para </w:t>
      </w:r>
      <w:r w:rsidRPr="002518F0">
        <w:rPr>
          <w:rFonts w:ascii="Arial" w:hAnsi="Arial" w:cs="Arial"/>
          <w:color w:val="000000"/>
          <w:lang w:val="es-ES"/>
        </w:rPr>
        <w:t xml:space="preserve">monitorear el progreso en los indicadores de producto, resultado e impacto provendrán </w:t>
      </w:r>
      <w:r w:rsidR="0078644C" w:rsidRPr="002518F0">
        <w:rPr>
          <w:rFonts w:ascii="Arial" w:hAnsi="Arial" w:cs="Arial"/>
          <w:color w:val="000000"/>
          <w:lang w:val="es-ES"/>
        </w:rPr>
        <w:t>principalmente de</w:t>
      </w:r>
      <w:r w:rsidR="002518F0" w:rsidRPr="002518F0">
        <w:rPr>
          <w:rFonts w:ascii="Arial" w:hAnsi="Arial" w:cs="Arial"/>
          <w:color w:val="000000"/>
          <w:lang w:val="es-ES"/>
        </w:rPr>
        <w:t xml:space="preserve"> </w:t>
      </w:r>
      <w:r w:rsidR="0078644C" w:rsidRPr="002518F0">
        <w:rPr>
          <w:rFonts w:ascii="Arial" w:hAnsi="Arial" w:cs="Arial"/>
          <w:color w:val="000000"/>
          <w:lang w:val="es-ES"/>
        </w:rPr>
        <w:t>l</w:t>
      </w:r>
      <w:r w:rsidR="002518F0" w:rsidRPr="002518F0">
        <w:rPr>
          <w:rFonts w:ascii="Arial" w:hAnsi="Arial" w:cs="Arial"/>
          <w:color w:val="000000"/>
          <w:lang w:val="es-ES"/>
        </w:rPr>
        <w:t>os</w:t>
      </w:r>
      <w:r w:rsidR="0078644C" w:rsidRPr="002518F0">
        <w:rPr>
          <w:rFonts w:ascii="Arial" w:hAnsi="Arial" w:cs="Arial"/>
          <w:color w:val="000000"/>
          <w:lang w:val="es-ES"/>
        </w:rPr>
        <w:t xml:space="preserve"> s</w:t>
      </w:r>
      <w:r w:rsidR="005D1D74" w:rsidRPr="002518F0">
        <w:rPr>
          <w:rFonts w:ascii="Arial" w:hAnsi="Arial" w:cs="Arial"/>
          <w:color w:val="000000"/>
          <w:lang w:val="es-ES"/>
        </w:rPr>
        <w:t>istemas de información de</w:t>
      </w:r>
      <w:r w:rsidR="002518F0" w:rsidRPr="002518F0">
        <w:rPr>
          <w:rFonts w:ascii="Arial" w:hAnsi="Arial" w:cs="Arial"/>
          <w:color w:val="000000"/>
          <w:lang w:val="es-ES"/>
        </w:rPr>
        <w:t xml:space="preserve"> </w:t>
      </w:r>
      <w:r w:rsidR="00602423" w:rsidRPr="002518F0">
        <w:rPr>
          <w:rFonts w:ascii="Arial" w:hAnsi="Arial" w:cs="Arial"/>
          <w:color w:val="000000"/>
          <w:lang w:val="es-ES"/>
        </w:rPr>
        <w:t>l</w:t>
      </w:r>
      <w:r w:rsidR="002518F0" w:rsidRPr="002518F0">
        <w:rPr>
          <w:rFonts w:ascii="Arial" w:hAnsi="Arial" w:cs="Arial"/>
          <w:color w:val="000000"/>
          <w:lang w:val="es-ES"/>
        </w:rPr>
        <w:t>os programas de transferencias de la red de protección del país y del Vale Digital</w:t>
      </w:r>
      <w:r w:rsidR="00A42DAE" w:rsidRPr="002518F0">
        <w:rPr>
          <w:rFonts w:ascii="Arial" w:hAnsi="Arial" w:cs="Arial"/>
          <w:color w:val="000000"/>
          <w:lang w:val="es-ES"/>
        </w:rPr>
        <w:t>, incluyendo</w:t>
      </w:r>
      <w:r w:rsidR="002518F0" w:rsidRPr="002518F0">
        <w:rPr>
          <w:rFonts w:ascii="Arial" w:hAnsi="Arial" w:cs="Arial"/>
          <w:color w:val="000000"/>
          <w:lang w:val="es-ES"/>
        </w:rPr>
        <w:t xml:space="preserve"> la PIIB y la plataforma electrónica del Vale Digital</w:t>
      </w:r>
      <w:r w:rsidR="00075FAC" w:rsidRPr="002518F0">
        <w:rPr>
          <w:rFonts w:ascii="Arial" w:hAnsi="Arial" w:cs="Arial"/>
          <w:color w:val="000000"/>
          <w:lang w:val="es-ES"/>
        </w:rPr>
        <w:t>.</w:t>
      </w:r>
      <w:r w:rsidR="008466F1" w:rsidRPr="002518F0">
        <w:rPr>
          <w:rFonts w:ascii="Arial" w:hAnsi="Arial" w:cs="Arial"/>
          <w:color w:val="000000"/>
          <w:lang w:val="es-ES"/>
        </w:rPr>
        <w:t xml:space="preserve"> También serán utilizados los reportes de auditoría </w:t>
      </w:r>
      <w:r w:rsidR="002F3B72" w:rsidRPr="002518F0">
        <w:rPr>
          <w:rFonts w:ascii="Arial" w:hAnsi="Arial" w:cs="Arial"/>
          <w:color w:val="000000"/>
          <w:lang w:val="es-ES"/>
        </w:rPr>
        <w:t>sobre el cumplimiento de los criterios acordados para la realización de las transferencias asociadas a</w:t>
      </w:r>
      <w:r w:rsidR="002518F0" w:rsidRPr="002518F0">
        <w:rPr>
          <w:rFonts w:ascii="Arial" w:hAnsi="Arial" w:cs="Arial"/>
          <w:color w:val="000000"/>
          <w:lang w:val="es-ES"/>
        </w:rPr>
        <w:t xml:space="preserve"> </w:t>
      </w:r>
      <w:r w:rsidR="002F3B72" w:rsidRPr="002518F0">
        <w:rPr>
          <w:rFonts w:ascii="Arial" w:hAnsi="Arial" w:cs="Arial"/>
          <w:color w:val="000000"/>
          <w:lang w:val="es-ES"/>
        </w:rPr>
        <w:t>l</w:t>
      </w:r>
      <w:r w:rsidR="002518F0" w:rsidRPr="002518F0">
        <w:rPr>
          <w:rFonts w:ascii="Arial" w:hAnsi="Arial" w:cs="Arial"/>
          <w:color w:val="000000"/>
          <w:lang w:val="es-ES"/>
        </w:rPr>
        <w:t>os programas de tran</w:t>
      </w:r>
      <w:r w:rsidR="002518F0">
        <w:rPr>
          <w:rFonts w:ascii="Arial" w:hAnsi="Arial" w:cs="Arial"/>
          <w:color w:val="000000"/>
          <w:lang w:val="es-ES"/>
        </w:rPr>
        <w:t>s</w:t>
      </w:r>
      <w:r w:rsidR="002518F0" w:rsidRPr="002518F0">
        <w:rPr>
          <w:rFonts w:ascii="Arial" w:hAnsi="Arial" w:cs="Arial"/>
          <w:color w:val="000000"/>
          <w:lang w:val="es-ES"/>
        </w:rPr>
        <w:t>ferencias de la red de protección social y el Vale Digital.</w:t>
      </w:r>
    </w:p>
    <w:p w14:paraId="37BB7593" w14:textId="7A02AC85" w:rsidR="00075FAC" w:rsidRPr="00425FEE" w:rsidRDefault="00B270FB" w:rsidP="00584AF5">
      <w:pPr>
        <w:spacing w:before="120" w:after="120" w:line="240" w:lineRule="auto"/>
        <w:jc w:val="both"/>
        <w:rPr>
          <w:rFonts w:ascii="Arial" w:hAnsi="Arial" w:cs="Arial"/>
          <w:color w:val="000000"/>
          <w:lang w:val="es-ES"/>
        </w:rPr>
      </w:pPr>
      <w:r w:rsidRPr="00425FEE">
        <w:rPr>
          <w:rFonts w:ascii="Arial" w:hAnsi="Arial" w:cs="Arial"/>
          <w:lang w:val="es-ES"/>
        </w:rPr>
        <w:t xml:space="preserve">El </w:t>
      </w:r>
      <w:r w:rsidR="002518F0">
        <w:rPr>
          <w:rFonts w:ascii="Arial" w:hAnsi="Arial" w:cs="Arial"/>
          <w:lang w:val="es-ES"/>
        </w:rPr>
        <w:t>MIDES</w:t>
      </w:r>
      <w:r w:rsidRPr="00425FEE">
        <w:rPr>
          <w:rFonts w:ascii="Arial" w:hAnsi="Arial" w:cs="Arial"/>
          <w:lang w:val="es-ES"/>
        </w:rPr>
        <w:t xml:space="preserve"> será responsable </w:t>
      </w:r>
      <w:r w:rsidR="002518F0">
        <w:rPr>
          <w:rFonts w:ascii="Arial" w:hAnsi="Arial" w:cs="Arial"/>
          <w:lang w:val="es-ES"/>
        </w:rPr>
        <w:t>de</w:t>
      </w:r>
      <w:r w:rsidRPr="00425FEE">
        <w:rPr>
          <w:rFonts w:ascii="Arial" w:hAnsi="Arial" w:cs="Arial"/>
          <w:lang w:val="es-ES"/>
        </w:rPr>
        <w:t xml:space="preserve"> implementar el plan de monitoreo y evaluación. El instrumento principal del seguimiento de este programa será la matriz de resultado</w:t>
      </w:r>
      <w:r w:rsidR="009F3240" w:rsidRPr="00425FEE">
        <w:rPr>
          <w:rFonts w:ascii="Arial" w:hAnsi="Arial" w:cs="Arial"/>
          <w:lang w:val="es-ES"/>
        </w:rPr>
        <w:t>s</w:t>
      </w:r>
      <w:r w:rsidRPr="00425FEE">
        <w:rPr>
          <w:rFonts w:ascii="Arial" w:hAnsi="Arial" w:cs="Arial"/>
          <w:lang w:val="es-ES"/>
        </w:rPr>
        <w:t xml:space="preserve"> del </w:t>
      </w:r>
      <w:r w:rsidR="00534106" w:rsidRPr="00425FEE">
        <w:rPr>
          <w:rFonts w:ascii="Arial" w:hAnsi="Arial" w:cs="Arial"/>
          <w:lang w:val="es-ES"/>
        </w:rPr>
        <w:t>programa</w:t>
      </w:r>
      <w:r w:rsidRPr="00425FEE">
        <w:rPr>
          <w:rFonts w:ascii="Arial" w:hAnsi="Arial" w:cs="Arial"/>
          <w:lang w:val="es-ES"/>
        </w:rPr>
        <w:t xml:space="preserve"> y el plan de adquisiciones. </w:t>
      </w:r>
      <w:r w:rsidR="00D10DDB" w:rsidRPr="00425FEE">
        <w:rPr>
          <w:rFonts w:ascii="Arial" w:hAnsi="Arial" w:cs="Arial"/>
          <w:color w:val="000000"/>
          <w:lang w:val="es-ES"/>
        </w:rPr>
        <w:t>Las fuentes de información descritas están bajo la responsabilidad directa de</w:t>
      </w:r>
      <w:r w:rsidRPr="00425FEE">
        <w:rPr>
          <w:rFonts w:ascii="Arial" w:hAnsi="Arial" w:cs="Arial"/>
          <w:color w:val="000000"/>
          <w:lang w:val="es-ES"/>
        </w:rPr>
        <w:t>l OE</w:t>
      </w:r>
      <w:r w:rsidR="00D10DDB" w:rsidRPr="00425FEE">
        <w:rPr>
          <w:rFonts w:ascii="Arial" w:hAnsi="Arial" w:cs="Arial"/>
          <w:color w:val="000000"/>
          <w:lang w:val="es-ES"/>
        </w:rPr>
        <w:t xml:space="preserve">, que informará periódicamente sobre el progreso </w:t>
      </w:r>
      <w:r w:rsidR="001946DE" w:rsidRPr="00425FEE">
        <w:rPr>
          <w:rFonts w:ascii="Arial" w:hAnsi="Arial" w:cs="Arial"/>
          <w:color w:val="000000"/>
          <w:lang w:val="es-ES"/>
        </w:rPr>
        <w:t>en la implementación</w:t>
      </w:r>
      <w:r w:rsidR="00D10DDB" w:rsidRPr="00425FEE">
        <w:rPr>
          <w:rFonts w:ascii="Arial" w:hAnsi="Arial" w:cs="Arial"/>
          <w:color w:val="000000"/>
          <w:lang w:val="es-ES"/>
        </w:rPr>
        <w:t xml:space="preserve">. </w:t>
      </w:r>
    </w:p>
    <w:p w14:paraId="20DF2B04" w14:textId="04F38109" w:rsidR="001B5186" w:rsidRPr="00425FEE" w:rsidRDefault="001B5186" w:rsidP="000D11CA">
      <w:pPr>
        <w:pStyle w:val="ColorfulList-Accent11"/>
        <w:numPr>
          <w:ilvl w:val="1"/>
          <w:numId w:val="3"/>
        </w:numPr>
        <w:spacing w:before="240" w:after="120" w:line="240" w:lineRule="auto"/>
        <w:ind w:left="547" w:hanging="547"/>
        <w:contextualSpacing w:val="0"/>
        <w:jc w:val="both"/>
        <w:rPr>
          <w:rFonts w:ascii="Arial" w:hAnsi="Arial" w:cs="Arial"/>
          <w:b/>
          <w:lang w:val="es-ES"/>
        </w:rPr>
      </w:pPr>
      <w:r w:rsidRPr="00425FEE">
        <w:rPr>
          <w:rFonts w:ascii="Arial" w:hAnsi="Arial" w:cs="Arial"/>
          <w:b/>
          <w:lang w:val="es-ES"/>
        </w:rPr>
        <w:t>Repor</w:t>
      </w:r>
      <w:r w:rsidR="003F6917" w:rsidRPr="00425FEE">
        <w:rPr>
          <w:rFonts w:ascii="Arial" w:hAnsi="Arial" w:cs="Arial"/>
          <w:b/>
          <w:lang w:val="es-ES"/>
        </w:rPr>
        <w:t>t</w:t>
      </w:r>
      <w:r w:rsidR="00B20EE9" w:rsidRPr="00425FEE">
        <w:rPr>
          <w:rFonts w:ascii="Arial" w:hAnsi="Arial" w:cs="Arial"/>
          <w:b/>
          <w:lang w:val="es-ES"/>
        </w:rPr>
        <w:t>e</w:t>
      </w:r>
      <w:r w:rsidR="00F041BE" w:rsidRPr="00425FEE">
        <w:rPr>
          <w:rFonts w:ascii="Arial" w:hAnsi="Arial" w:cs="Arial"/>
          <w:b/>
          <w:lang w:val="es-ES"/>
        </w:rPr>
        <w:t xml:space="preserve"> de resultados de monitoreo</w:t>
      </w:r>
    </w:p>
    <w:p w14:paraId="12E5A5EE" w14:textId="26DD2A9E" w:rsidR="004F2B03" w:rsidRPr="00425FEE" w:rsidRDefault="00734D97" w:rsidP="00584AF5">
      <w:pPr>
        <w:spacing w:before="120" w:after="120" w:line="240" w:lineRule="auto"/>
        <w:jc w:val="both"/>
        <w:textAlignment w:val="top"/>
        <w:rPr>
          <w:rFonts w:ascii="Arial" w:eastAsia="Times New Roman" w:hAnsi="Arial" w:cs="Arial"/>
          <w:color w:val="000000"/>
          <w:lang w:val="es-ES"/>
        </w:rPr>
      </w:pPr>
      <w:r w:rsidRPr="00425FEE">
        <w:rPr>
          <w:rFonts w:ascii="Arial" w:eastAsia="Times New Roman" w:hAnsi="Arial" w:cs="Arial"/>
          <w:color w:val="000000"/>
          <w:lang w:val="es-ES"/>
        </w:rPr>
        <w:t xml:space="preserve">El principal mecanismo de monitoreo para informar los resultados de monitoreo del </w:t>
      </w:r>
      <w:r w:rsidR="00534106" w:rsidRPr="00425FEE">
        <w:rPr>
          <w:rFonts w:ascii="Arial" w:eastAsia="Times New Roman" w:hAnsi="Arial" w:cs="Arial"/>
          <w:color w:val="000000"/>
          <w:lang w:val="es-ES"/>
        </w:rPr>
        <w:t>programa</w:t>
      </w:r>
      <w:r w:rsidRPr="00425FEE">
        <w:rPr>
          <w:rFonts w:ascii="Arial" w:eastAsia="Times New Roman" w:hAnsi="Arial" w:cs="Arial"/>
          <w:color w:val="000000"/>
          <w:lang w:val="es-ES"/>
        </w:rPr>
        <w:t xml:space="preserve"> es el Informe de Monitoreo de Progreso (PMR). Las principales fuentes de información para el PMR incluirán los siguientes instrumentos y herramientas:</w:t>
      </w:r>
    </w:p>
    <w:p w14:paraId="3EE6DC66" w14:textId="5238E710" w:rsidR="00952925" w:rsidRPr="00425FEE" w:rsidRDefault="00734D97"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425FEE">
        <w:rPr>
          <w:rFonts w:ascii="Arial" w:eastAsia="Times New Roman" w:hAnsi="Arial" w:cs="Arial"/>
          <w:b/>
          <w:bCs/>
          <w:color w:val="000000"/>
          <w:lang w:val="es-ES"/>
        </w:rPr>
        <w:t>Ma</w:t>
      </w:r>
      <w:r w:rsidR="00EA5F69" w:rsidRPr="00425FEE">
        <w:rPr>
          <w:rFonts w:ascii="Arial" w:eastAsia="Times New Roman" w:hAnsi="Arial" w:cs="Arial"/>
          <w:b/>
          <w:bCs/>
          <w:color w:val="000000"/>
          <w:lang w:val="es-ES"/>
        </w:rPr>
        <w:t>triz de Resultados</w:t>
      </w:r>
      <w:r w:rsidR="004F2B03" w:rsidRPr="00425FEE">
        <w:rPr>
          <w:rFonts w:ascii="Arial" w:eastAsia="Times New Roman" w:hAnsi="Arial" w:cs="Arial"/>
          <w:b/>
          <w:bCs/>
          <w:color w:val="000000"/>
          <w:lang w:val="es-ES"/>
        </w:rPr>
        <w:t>.</w:t>
      </w:r>
      <w:r w:rsidR="002B766C" w:rsidRPr="00425FEE">
        <w:rPr>
          <w:rFonts w:ascii="Arial" w:eastAsia="Times New Roman" w:hAnsi="Arial" w:cs="Arial"/>
          <w:color w:val="000000"/>
          <w:lang w:val="es-ES"/>
        </w:rPr>
        <w:t xml:space="preserve"> </w:t>
      </w:r>
      <w:r w:rsidR="000538A3" w:rsidRPr="00425FEE">
        <w:rPr>
          <w:rFonts w:ascii="Arial" w:eastAsia="Times New Roman" w:hAnsi="Arial" w:cs="Arial"/>
          <w:color w:val="000000"/>
          <w:lang w:val="es-ES"/>
        </w:rPr>
        <w:t>La MR</w:t>
      </w:r>
      <w:r w:rsidR="00D942D8" w:rsidRPr="00425FEE">
        <w:rPr>
          <w:rFonts w:ascii="Arial" w:eastAsia="Times New Roman" w:hAnsi="Arial" w:cs="Arial"/>
          <w:color w:val="000000"/>
          <w:lang w:val="es-ES"/>
        </w:rPr>
        <w:t xml:space="preserve"> establece los objetivos del </w:t>
      </w:r>
      <w:r w:rsidR="00534106" w:rsidRPr="00425FEE">
        <w:rPr>
          <w:rFonts w:ascii="Arial" w:eastAsia="Times New Roman" w:hAnsi="Arial" w:cs="Arial"/>
          <w:color w:val="000000"/>
          <w:lang w:val="es-ES"/>
        </w:rPr>
        <w:t>programa</w:t>
      </w:r>
      <w:r w:rsidR="00D942D8" w:rsidRPr="00425FEE">
        <w:rPr>
          <w:rFonts w:ascii="Arial" w:eastAsia="Times New Roman" w:hAnsi="Arial" w:cs="Arial"/>
          <w:color w:val="000000"/>
          <w:lang w:val="es-ES"/>
        </w:rPr>
        <w:t xml:space="preserve"> y presenta los resultados clave y los indicadores de impacto (línea de base y </w:t>
      </w:r>
      <w:r w:rsidR="001947CA" w:rsidRPr="00425FEE">
        <w:rPr>
          <w:rFonts w:ascii="Arial" w:eastAsia="Times New Roman" w:hAnsi="Arial" w:cs="Arial"/>
          <w:color w:val="000000"/>
          <w:lang w:val="es-ES"/>
        </w:rPr>
        <w:t>metas</w:t>
      </w:r>
      <w:r w:rsidR="00D942D8" w:rsidRPr="00425FEE">
        <w:rPr>
          <w:rFonts w:ascii="Arial" w:eastAsia="Times New Roman" w:hAnsi="Arial" w:cs="Arial"/>
          <w:color w:val="000000"/>
          <w:lang w:val="es-ES"/>
        </w:rPr>
        <w:t xml:space="preserve">) que medirán el logro de los objetivos específicos, así como los indicadores de resultados para monitorear la implementación del programa. Refleja la teoría del cambio del </w:t>
      </w:r>
      <w:r w:rsidR="00534106" w:rsidRPr="00425FEE">
        <w:rPr>
          <w:rFonts w:ascii="Arial" w:eastAsia="Times New Roman" w:hAnsi="Arial" w:cs="Arial"/>
          <w:color w:val="000000"/>
          <w:lang w:val="es-ES"/>
        </w:rPr>
        <w:t>programa</w:t>
      </w:r>
      <w:r w:rsidR="00D942D8" w:rsidRPr="00425FEE">
        <w:rPr>
          <w:rFonts w:ascii="Arial" w:eastAsia="Times New Roman" w:hAnsi="Arial" w:cs="Arial"/>
          <w:color w:val="000000"/>
          <w:lang w:val="es-ES"/>
        </w:rPr>
        <w:t xml:space="preserve"> para lograr los resultados esperados y es una herramienta fundamental para guiar la planificación, el monitoreo y la evaluación del </w:t>
      </w:r>
      <w:r w:rsidR="00534106" w:rsidRPr="00425FEE">
        <w:rPr>
          <w:rFonts w:ascii="Arial" w:eastAsia="Times New Roman" w:hAnsi="Arial" w:cs="Arial"/>
          <w:color w:val="000000"/>
          <w:lang w:val="es-ES"/>
        </w:rPr>
        <w:t>programa</w:t>
      </w:r>
      <w:r w:rsidR="00D942D8" w:rsidRPr="00425FEE">
        <w:rPr>
          <w:rFonts w:ascii="Arial" w:eastAsia="Times New Roman" w:hAnsi="Arial" w:cs="Arial"/>
          <w:color w:val="000000"/>
          <w:lang w:val="es-ES"/>
        </w:rPr>
        <w:t>.</w:t>
      </w:r>
    </w:p>
    <w:p w14:paraId="559A842D" w14:textId="6C053D88" w:rsidR="00056911" w:rsidRPr="00425FEE" w:rsidRDefault="004C0C27"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425FEE">
        <w:rPr>
          <w:rFonts w:ascii="Arial" w:eastAsia="Times New Roman" w:hAnsi="Arial" w:cs="Arial"/>
          <w:b/>
          <w:bCs/>
          <w:color w:val="000000"/>
          <w:lang w:val="es-ES"/>
        </w:rPr>
        <w:t>Informes semestrales de progreso.</w:t>
      </w:r>
      <w:r w:rsidR="00787A70" w:rsidRPr="00425FEE">
        <w:rPr>
          <w:rFonts w:ascii="Arial" w:eastAsia="Times New Roman" w:hAnsi="Arial" w:cs="Arial"/>
          <w:color w:val="000000"/>
          <w:lang w:val="es-ES"/>
        </w:rPr>
        <w:t xml:space="preserve"> </w:t>
      </w:r>
      <w:r w:rsidR="00056911" w:rsidRPr="00425FEE">
        <w:rPr>
          <w:rFonts w:ascii="Arial" w:eastAsia="Times New Roman" w:hAnsi="Arial" w:cs="Arial"/>
          <w:color w:val="000000"/>
          <w:lang w:val="es-ES"/>
        </w:rPr>
        <w:t xml:space="preserve">El organismo ejecutor es responsable de presentar al Banco informes de progreso semestrales dentro de los [60] días posteriores al final de cada semestre. Estos informes detallarán los avances en la implementación del </w:t>
      </w:r>
      <w:r w:rsidR="00534106" w:rsidRPr="00425FEE">
        <w:rPr>
          <w:rFonts w:ascii="Arial" w:eastAsia="Times New Roman" w:hAnsi="Arial" w:cs="Arial"/>
          <w:color w:val="000000"/>
          <w:lang w:val="es-ES"/>
        </w:rPr>
        <w:t>programa</w:t>
      </w:r>
      <w:r w:rsidR="00056911" w:rsidRPr="00425FEE">
        <w:rPr>
          <w:rFonts w:ascii="Arial" w:eastAsia="Times New Roman" w:hAnsi="Arial" w:cs="Arial"/>
          <w:color w:val="000000"/>
          <w:lang w:val="es-ES"/>
        </w:rPr>
        <w:t xml:space="preserve"> e incluirán: progreso físico y financiero de los productos; progreso de las actividades contempladas en el Plan Operativo Anual (POA); estado de los procesos de adquisición y contratación; cumplimiento de salvaguardas ambientales y sociales; evaluación de riesgos; y actualización de las herramientas de planificación y monitoreo, incluida la matriz de resultados.</w:t>
      </w:r>
    </w:p>
    <w:p w14:paraId="5D7A49AE" w14:textId="201679C1" w:rsidR="00A1369F" w:rsidRPr="00425FEE" w:rsidRDefault="00AF3E9E"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425FEE">
        <w:rPr>
          <w:rFonts w:ascii="Arial" w:eastAsia="Times New Roman" w:hAnsi="Arial" w:cs="Arial"/>
          <w:b/>
          <w:bCs/>
          <w:color w:val="000000"/>
          <w:lang w:val="es-ES"/>
        </w:rPr>
        <w:t>Plan de ejecución plurianual (PEP).</w:t>
      </w:r>
      <w:r w:rsidRPr="00425FEE">
        <w:rPr>
          <w:rFonts w:ascii="Arial" w:eastAsia="Times New Roman" w:hAnsi="Arial" w:cs="Arial"/>
          <w:color w:val="000000"/>
          <w:lang w:val="es-ES"/>
        </w:rPr>
        <w:t xml:space="preserve"> Es una herramienta de planificación dinámica que enumera las acciones que se llevarán a cabo durante todo el período de ejecución de la operación. </w:t>
      </w:r>
      <w:r w:rsidR="002540B8" w:rsidRPr="00425FEE">
        <w:rPr>
          <w:rFonts w:ascii="Arial" w:eastAsia="Times New Roman" w:hAnsi="Arial" w:cs="Arial"/>
          <w:color w:val="000000"/>
          <w:lang w:val="es-ES"/>
        </w:rPr>
        <w:t xml:space="preserve">El primer PEP se construirá después de la aprobación del </w:t>
      </w:r>
      <w:r w:rsidR="00534106" w:rsidRPr="00425FEE">
        <w:rPr>
          <w:rFonts w:ascii="Arial" w:eastAsia="Times New Roman" w:hAnsi="Arial" w:cs="Arial"/>
          <w:color w:val="000000"/>
          <w:lang w:val="es-ES"/>
        </w:rPr>
        <w:t>programa</w:t>
      </w:r>
      <w:r w:rsidR="002540B8" w:rsidRPr="00425FEE">
        <w:rPr>
          <w:rFonts w:ascii="Arial" w:eastAsia="Times New Roman" w:hAnsi="Arial" w:cs="Arial"/>
          <w:color w:val="000000"/>
          <w:lang w:val="es-ES"/>
        </w:rPr>
        <w:t xml:space="preserve">. </w:t>
      </w:r>
      <w:r w:rsidRPr="00425FEE">
        <w:rPr>
          <w:rFonts w:ascii="Arial" w:eastAsia="Times New Roman" w:hAnsi="Arial" w:cs="Arial"/>
          <w:color w:val="000000"/>
          <w:lang w:val="es-ES"/>
        </w:rPr>
        <w:t>El PEP especifica los recursos disponibles y el marco de tiempo para la implementación de las actividades de cada proyecto y los productos asociados e identifica los hitos críticos que se deben monitorear para el logro de los productos. Un PEP actualizado será parte de cada informe de progreso semestral.</w:t>
      </w:r>
      <w:r w:rsidR="00A1369F" w:rsidRPr="00425FEE">
        <w:rPr>
          <w:rFonts w:ascii="Arial" w:eastAsia="Times New Roman" w:hAnsi="Arial" w:cs="Arial"/>
          <w:color w:val="000000"/>
          <w:lang w:val="es-ES"/>
        </w:rPr>
        <w:t xml:space="preserve"> </w:t>
      </w:r>
    </w:p>
    <w:p w14:paraId="273D5706" w14:textId="19499198" w:rsidR="0006684C" w:rsidRPr="00425FEE" w:rsidRDefault="0090476B"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425FEE">
        <w:rPr>
          <w:rFonts w:ascii="Arial" w:eastAsia="Times New Roman" w:hAnsi="Arial" w:cs="Arial"/>
          <w:b/>
          <w:bCs/>
          <w:color w:val="000000"/>
          <w:lang w:val="es-ES"/>
        </w:rPr>
        <w:t>Plan Operativo Anual</w:t>
      </w:r>
      <w:r w:rsidR="0006684C" w:rsidRPr="00425FEE">
        <w:rPr>
          <w:rFonts w:ascii="Arial" w:eastAsia="Times New Roman" w:hAnsi="Arial" w:cs="Arial"/>
          <w:b/>
          <w:bCs/>
          <w:color w:val="000000"/>
          <w:lang w:val="es-ES"/>
        </w:rPr>
        <w:t xml:space="preserve"> (</w:t>
      </w:r>
      <w:r w:rsidR="009E4742" w:rsidRPr="00425FEE">
        <w:rPr>
          <w:rFonts w:ascii="Arial" w:eastAsia="Times New Roman" w:hAnsi="Arial" w:cs="Arial"/>
          <w:b/>
          <w:bCs/>
          <w:color w:val="000000"/>
          <w:lang w:val="es-ES"/>
        </w:rPr>
        <w:t>POA</w:t>
      </w:r>
      <w:r w:rsidR="0006684C" w:rsidRPr="00425FEE">
        <w:rPr>
          <w:rFonts w:ascii="Arial" w:eastAsia="Times New Roman" w:hAnsi="Arial" w:cs="Arial"/>
          <w:b/>
          <w:bCs/>
          <w:color w:val="000000"/>
          <w:lang w:val="es-ES"/>
        </w:rPr>
        <w:t>).</w:t>
      </w:r>
      <w:r w:rsidR="009E4742" w:rsidRPr="00425FEE">
        <w:rPr>
          <w:rFonts w:ascii="Arial" w:eastAsia="Times New Roman" w:hAnsi="Arial" w:cs="Arial"/>
          <w:color w:val="000000"/>
          <w:lang w:val="es-ES"/>
        </w:rPr>
        <w:t xml:space="preserve"> </w:t>
      </w:r>
      <w:r w:rsidR="00417465" w:rsidRPr="00425FEE">
        <w:rPr>
          <w:rFonts w:ascii="Arial" w:eastAsia="Times New Roman" w:hAnsi="Arial" w:cs="Arial"/>
          <w:color w:val="000000"/>
          <w:lang w:val="es-ES"/>
        </w:rPr>
        <w:t xml:space="preserve">Constituye el instrumento de planificación de actividades del </w:t>
      </w:r>
      <w:r w:rsidR="00534106" w:rsidRPr="00425FEE">
        <w:rPr>
          <w:rFonts w:ascii="Arial" w:eastAsia="Times New Roman" w:hAnsi="Arial" w:cs="Arial"/>
          <w:color w:val="000000"/>
          <w:lang w:val="es-ES"/>
        </w:rPr>
        <w:t>programa</w:t>
      </w:r>
      <w:r w:rsidR="00417465" w:rsidRPr="00425FEE">
        <w:rPr>
          <w:rFonts w:ascii="Arial" w:eastAsia="Times New Roman" w:hAnsi="Arial" w:cs="Arial"/>
          <w:color w:val="000000"/>
          <w:lang w:val="es-ES"/>
        </w:rPr>
        <w:t xml:space="preserve"> para cada año. El POA incluye el progreso físico y financiero del período anterior, la Matriz de Resultados actualizada, la planificación para el próximo período, las proyecciones de desembolsos, la Matriz de Riesgos actualizada, entre otros. El POA actualizado será parte de cada informe de progreso semestral.</w:t>
      </w:r>
      <w:r w:rsidR="007C3C25" w:rsidRPr="00425FEE">
        <w:rPr>
          <w:rFonts w:ascii="Arial" w:eastAsia="Times New Roman" w:hAnsi="Arial" w:cs="Arial"/>
          <w:color w:val="000000"/>
          <w:lang w:val="es-ES"/>
        </w:rPr>
        <w:t xml:space="preserve"> </w:t>
      </w:r>
    </w:p>
    <w:p w14:paraId="3331E0C3" w14:textId="1CCBC114" w:rsidR="00114B1C" w:rsidRDefault="00D55192" w:rsidP="000D11CA">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FF2A6D">
        <w:rPr>
          <w:rFonts w:ascii="Arial" w:eastAsia="Times New Roman" w:hAnsi="Arial" w:cs="Arial"/>
          <w:b/>
          <w:bCs/>
          <w:color w:val="000000"/>
          <w:lang w:val="es-ES"/>
        </w:rPr>
        <w:t>Informes periódicos de situación.</w:t>
      </w:r>
      <w:r w:rsidRPr="00FF2A6D">
        <w:rPr>
          <w:rFonts w:ascii="Arial" w:eastAsia="Times New Roman" w:hAnsi="Arial" w:cs="Arial"/>
          <w:color w:val="000000"/>
          <w:lang w:val="es-ES"/>
        </w:rPr>
        <w:t xml:space="preserve"> El </w:t>
      </w:r>
      <w:r w:rsidR="00416B5C" w:rsidRPr="00FF2A6D">
        <w:rPr>
          <w:rFonts w:ascii="Arial" w:eastAsia="Times New Roman" w:hAnsi="Arial" w:cs="Arial"/>
          <w:color w:val="000000"/>
          <w:lang w:val="es-ES"/>
        </w:rPr>
        <w:t>MIDES</w:t>
      </w:r>
      <w:r w:rsidRPr="00FF2A6D">
        <w:rPr>
          <w:rFonts w:ascii="Arial" w:eastAsia="Times New Roman" w:hAnsi="Arial" w:cs="Arial"/>
          <w:color w:val="000000"/>
          <w:lang w:val="es-ES"/>
        </w:rPr>
        <w:t xml:space="preserve"> producirá informes sobre el </w:t>
      </w:r>
      <w:r w:rsidR="00C304B3" w:rsidRPr="00FF2A6D">
        <w:rPr>
          <w:rFonts w:ascii="Arial" w:eastAsia="Times New Roman" w:hAnsi="Arial" w:cs="Arial"/>
          <w:color w:val="000000"/>
          <w:lang w:val="es-ES"/>
        </w:rPr>
        <w:t>avance</w:t>
      </w:r>
      <w:r w:rsidRPr="00FF2A6D">
        <w:rPr>
          <w:rFonts w:ascii="Arial" w:eastAsia="Times New Roman" w:hAnsi="Arial" w:cs="Arial"/>
          <w:color w:val="000000"/>
          <w:lang w:val="es-ES"/>
        </w:rPr>
        <w:t xml:space="preserve"> de las transferencias. Estos informes serán una fuente de información para los informes de progreso semestrales, RM y PMR.</w:t>
      </w:r>
      <w:r w:rsidR="00A1369F" w:rsidRPr="00FF2A6D">
        <w:rPr>
          <w:rFonts w:ascii="Arial" w:eastAsia="Times New Roman" w:hAnsi="Arial" w:cs="Arial"/>
          <w:color w:val="000000"/>
          <w:lang w:val="es-ES"/>
        </w:rPr>
        <w:t xml:space="preserve"> </w:t>
      </w:r>
    </w:p>
    <w:p w14:paraId="4FBAEDB6" w14:textId="77777777" w:rsidR="00B5428B" w:rsidRPr="00FF2A6D" w:rsidRDefault="00B5428B" w:rsidP="00B5428B">
      <w:pPr>
        <w:pStyle w:val="ListParagraph"/>
        <w:spacing w:before="120" w:after="120" w:line="240" w:lineRule="auto"/>
        <w:ind w:left="360"/>
        <w:jc w:val="both"/>
        <w:textAlignment w:val="top"/>
        <w:rPr>
          <w:rFonts w:ascii="Arial" w:eastAsia="Times New Roman" w:hAnsi="Arial" w:cs="Arial"/>
          <w:color w:val="000000"/>
          <w:lang w:val="es-ES"/>
        </w:rPr>
      </w:pPr>
    </w:p>
    <w:p w14:paraId="054BB08E" w14:textId="77777777" w:rsidR="004E0F3F" w:rsidRPr="00FF2A6D" w:rsidRDefault="004E0F3F" w:rsidP="00584AF5">
      <w:pPr>
        <w:spacing w:before="120" w:after="120" w:line="240" w:lineRule="auto"/>
        <w:jc w:val="both"/>
        <w:rPr>
          <w:rFonts w:ascii="Arial" w:hAnsi="Arial" w:cs="Arial"/>
          <w:color w:val="000000"/>
          <w:lang w:val="es-ES"/>
        </w:rPr>
      </w:pPr>
      <w:r w:rsidRPr="00FF2A6D">
        <w:rPr>
          <w:rFonts w:ascii="Arial" w:hAnsi="Arial" w:cs="Arial"/>
          <w:color w:val="000000"/>
          <w:lang w:val="es-ES"/>
        </w:rPr>
        <w:lastRenderedPageBreak/>
        <w:t>Otras fuentes de información para el PMR son:</w:t>
      </w:r>
    </w:p>
    <w:p w14:paraId="5C682693" w14:textId="3CA07F14" w:rsidR="004E0F3F" w:rsidRPr="00FF2A6D" w:rsidRDefault="004E0F3F" w:rsidP="00584AF5">
      <w:pPr>
        <w:pStyle w:val="ListParagraph"/>
        <w:numPr>
          <w:ilvl w:val="0"/>
          <w:numId w:val="16"/>
        </w:numPr>
        <w:spacing w:before="120" w:after="120" w:line="240" w:lineRule="auto"/>
        <w:jc w:val="both"/>
        <w:rPr>
          <w:rFonts w:ascii="Arial" w:hAnsi="Arial" w:cs="Arial"/>
          <w:color w:val="000000"/>
          <w:lang w:val="es-ES"/>
        </w:rPr>
      </w:pPr>
      <w:r w:rsidRPr="00FF2A6D">
        <w:rPr>
          <w:rFonts w:ascii="Arial" w:hAnsi="Arial" w:cs="Arial"/>
          <w:color w:val="000000"/>
          <w:lang w:val="es-ES"/>
        </w:rPr>
        <w:t xml:space="preserve">Plan de </w:t>
      </w:r>
      <w:r w:rsidR="005241CD" w:rsidRPr="00FF2A6D">
        <w:rPr>
          <w:rFonts w:ascii="Arial" w:hAnsi="Arial" w:cs="Arial"/>
          <w:color w:val="000000"/>
          <w:lang w:val="es-ES"/>
        </w:rPr>
        <w:t>adquisiciones</w:t>
      </w:r>
    </w:p>
    <w:p w14:paraId="229CCCFD" w14:textId="76DE5622" w:rsidR="004E0F3F" w:rsidRPr="00FF2A6D" w:rsidRDefault="00756FFA" w:rsidP="00584AF5">
      <w:pPr>
        <w:pStyle w:val="ListParagraph"/>
        <w:numPr>
          <w:ilvl w:val="0"/>
          <w:numId w:val="16"/>
        </w:numPr>
        <w:spacing w:before="120" w:after="120" w:line="240" w:lineRule="auto"/>
        <w:jc w:val="both"/>
        <w:rPr>
          <w:rFonts w:ascii="Arial" w:hAnsi="Arial" w:cs="Arial"/>
          <w:color w:val="000000"/>
          <w:lang w:val="es-ES"/>
        </w:rPr>
      </w:pPr>
      <w:r w:rsidRPr="00FF2A6D">
        <w:rPr>
          <w:rFonts w:ascii="Arial" w:hAnsi="Arial" w:cs="Arial"/>
          <w:color w:val="000000"/>
          <w:lang w:val="es-ES"/>
        </w:rPr>
        <w:t xml:space="preserve">Seguimiento a los riesgos identificados </w:t>
      </w:r>
      <w:r w:rsidR="00C3596A" w:rsidRPr="00FF2A6D">
        <w:rPr>
          <w:rFonts w:ascii="Arial" w:hAnsi="Arial" w:cs="Arial"/>
          <w:color w:val="000000"/>
          <w:lang w:val="es-ES"/>
        </w:rPr>
        <w:t>en el documento de proyecto</w:t>
      </w:r>
    </w:p>
    <w:p w14:paraId="7470DBDA" w14:textId="3C23DC30" w:rsidR="004E0F3F" w:rsidRPr="00FF2A6D" w:rsidRDefault="004E0F3F" w:rsidP="00584AF5">
      <w:pPr>
        <w:pStyle w:val="ListParagraph"/>
        <w:numPr>
          <w:ilvl w:val="0"/>
          <w:numId w:val="16"/>
        </w:numPr>
        <w:spacing w:before="120" w:after="120" w:line="240" w:lineRule="auto"/>
        <w:jc w:val="both"/>
        <w:rPr>
          <w:rFonts w:ascii="Arial" w:hAnsi="Arial" w:cs="Arial"/>
          <w:color w:val="000000"/>
          <w:lang w:val="es-ES"/>
        </w:rPr>
      </w:pPr>
      <w:r w:rsidRPr="00FF2A6D">
        <w:rPr>
          <w:rFonts w:ascii="Arial" w:hAnsi="Arial" w:cs="Arial"/>
          <w:color w:val="000000"/>
          <w:lang w:val="es-ES"/>
        </w:rPr>
        <w:t>Informes financieros auditados</w:t>
      </w:r>
    </w:p>
    <w:p w14:paraId="3ACC84DA" w14:textId="540325C4" w:rsidR="003870BC" w:rsidRPr="00FF2A6D" w:rsidRDefault="004E0F3F" w:rsidP="00584AF5">
      <w:pPr>
        <w:pStyle w:val="ListParagraph"/>
        <w:numPr>
          <w:ilvl w:val="0"/>
          <w:numId w:val="16"/>
        </w:numPr>
        <w:spacing w:before="120" w:after="120" w:line="240" w:lineRule="auto"/>
        <w:jc w:val="both"/>
        <w:rPr>
          <w:rFonts w:ascii="Arial" w:hAnsi="Arial" w:cs="Arial"/>
          <w:color w:val="000000"/>
          <w:lang w:val="es-ES"/>
        </w:rPr>
      </w:pPr>
      <w:r w:rsidRPr="00FF2A6D">
        <w:rPr>
          <w:rFonts w:ascii="Arial" w:hAnsi="Arial" w:cs="Arial"/>
          <w:color w:val="000000"/>
          <w:lang w:val="es-ES"/>
        </w:rPr>
        <w:t>Proyecciones de desembolsos anuales</w:t>
      </w:r>
    </w:p>
    <w:p w14:paraId="1379F09F" w14:textId="6AF812E5" w:rsidR="001B5186" w:rsidRPr="00425FEE" w:rsidRDefault="00F041BE" w:rsidP="000D11CA">
      <w:pPr>
        <w:pStyle w:val="ColorfulList-Accent11"/>
        <w:numPr>
          <w:ilvl w:val="1"/>
          <w:numId w:val="3"/>
        </w:numPr>
        <w:spacing w:before="240" w:after="120" w:line="240" w:lineRule="auto"/>
        <w:ind w:left="547" w:hanging="547"/>
        <w:contextualSpacing w:val="0"/>
        <w:jc w:val="both"/>
        <w:rPr>
          <w:rFonts w:ascii="Arial" w:hAnsi="Arial" w:cs="Arial"/>
          <w:b/>
          <w:bCs/>
          <w:lang w:val="es-ES"/>
        </w:rPr>
      </w:pPr>
      <w:r w:rsidRPr="00425FEE">
        <w:rPr>
          <w:rFonts w:ascii="Arial" w:hAnsi="Arial" w:cs="Arial"/>
          <w:b/>
          <w:bCs/>
          <w:lang w:val="es-ES"/>
        </w:rPr>
        <w:t>Coordinación de seguimiento, plan de trabajo y presupuesto</w:t>
      </w:r>
    </w:p>
    <w:p w14:paraId="32791CC3" w14:textId="769C097A" w:rsidR="00A80F94" w:rsidRPr="00425FEE" w:rsidRDefault="00A80F94" w:rsidP="00584AF5">
      <w:pPr>
        <w:spacing w:before="120" w:after="120" w:line="240" w:lineRule="auto"/>
        <w:jc w:val="both"/>
        <w:textAlignment w:val="top"/>
        <w:rPr>
          <w:rFonts w:ascii="Arial" w:eastAsia="Times New Roman" w:hAnsi="Arial" w:cs="Arial"/>
          <w:color w:val="000000"/>
          <w:lang w:val="es-ES"/>
        </w:rPr>
      </w:pPr>
      <w:r w:rsidRPr="00425FEE">
        <w:rPr>
          <w:rFonts w:ascii="Arial" w:eastAsia="Times New Roman" w:hAnsi="Arial" w:cs="Arial"/>
          <w:color w:val="000000"/>
          <w:lang w:val="es-ES"/>
        </w:rPr>
        <w:t>El propósito de esta sección es detallar a los responsables de la implementación del plan de monitoreo, incluidas las actividades relacionadas con la presentación de informes sobre los resultados del programa. Además, esta sección incluye el presupuesto asignado a cada actividad y un plan de trabajo detallado (Tabla 3).</w:t>
      </w:r>
    </w:p>
    <w:p w14:paraId="247FE62C" w14:textId="25BB59CE" w:rsidR="00A80F94" w:rsidRPr="00425FEE" w:rsidRDefault="00240D81" w:rsidP="00584AF5">
      <w:pPr>
        <w:spacing w:before="120" w:after="120" w:line="240" w:lineRule="auto"/>
        <w:jc w:val="both"/>
        <w:textAlignment w:val="top"/>
        <w:rPr>
          <w:rFonts w:ascii="Arial" w:eastAsia="Times New Roman" w:hAnsi="Arial" w:cs="Arial"/>
          <w:color w:val="000000"/>
          <w:lang w:val="es-ES"/>
        </w:rPr>
      </w:pPr>
      <w:r w:rsidRPr="00425FEE">
        <w:rPr>
          <w:rFonts w:ascii="Arial" w:eastAsia="Times New Roman" w:hAnsi="Arial" w:cs="Arial"/>
          <w:color w:val="000000"/>
          <w:lang w:val="es-ES"/>
        </w:rPr>
        <w:t>El OE</w:t>
      </w:r>
      <w:r w:rsidR="00A80F94" w:rsidRPr="00425FEE">
        <w:rPr>
          <w:rFonts w:ascii="Arial" w:eastAsia="Times New Roman" w:hAnsi="Arial" w:cs="Arial"/>
          <w:color w:val="000000"/>
          <w:lang w:val="es-ES"/>
        </w:rPr>
        <w:t xml:space="preserve"> y el BID serán responsables de llevar a cabo actividades de monitoreo y presentar información oportuna sobre la implementación del programa y el progreso de los indicadores, mediante la preparación de los informes descritos en la sección c. El equipo </w:t>
      </w:r>
      <w:r w:rsidR="00487E28" w:rsidRPr="00425FEE">
        <w:rPr>
          <w:rFonts w:ascii="Arial" w:eastAsia="Times New Roman" w:hAnsi="Arial" w:cs="Arial"/>
          <w:color w:val="000000"/>
          <w:lang w:val="es-ES"/>
        </w:rPr>
        <w:t>del OE</w:t>
      </w:r>
      <w:r w:rsidR="00A80F94" w:rsidRPr="00425FEE">
        <w:rPr>
          <w:rFonts w:ascii="Arial" w:eastAsia="Times New Roman" w:hAnsi="Arial" w:cs="Arial"/>
          <w:color w:val="000000"/>
          <w:lang w:val="es-ES"/>
        </w:rPr>
        <w:t xml:space="preserve"> coordinará la producción de informes de monitoreo oportunos para asegurar la implementación adecuada del plan de monitoreo.</w:t>
      </w:r>
      <w:r w:rsidR="00D34831" w:rsidRPr="00425FEE">
        <w:rPr>
          <w:rFonts w:ascii="Arial" w:eastAsia="Times New Roman" w:hAnsi="Arial" w:cs="Arial"/>
          <w:color w:val="000000"/>
          <w:lang w:val="es-ES"/>
        </w:rPr>
        <w:t xml:space="preserve"> </w:t>
      </w:r>
    </w:p>
    <w:p w14:paraId="49447089" w14:textId="41C31891" w:rsidR="008D673A" w:rsidRPr="00425FEE" w:rsidRDefault="00A80F94" w:rsidP="007E6192">
      <w:pPr>
        <w:spacing w:before="120" w:after="120" w:line="240" w:lineRule="auto"/>
        <w:jc w:val="both"/>
        <w:textAlignment w:val="top"/>
        <w:rPr>
          <w:lang w:val="es-ES"/>
        </w:rPr>
        <w:sectPr w:rsidR="008D673A" w:rsidRPr="00425FEE" w:rsidSect="007E6192">
          <w:type w:val="continuous"/>
          <w:pgSz w:w="12240" w:h="15840"/>
          <w:pgMar w:top="1440" w:right="1627" w:bottom="1440" w:left="1440" w:header="720" w:footer="720" w:gutter="0"/>
          <w:cols w:space="720"/>
          <w:docGrid w:linePitch="360"/>
        </w:sectPr>
      </w:pPr>
      <w:r w:rsidRPr="00425FEE">
        <w:rPr>
          <w:rFonts w:ascii="Arial" w:eastAsia="Times New Roman" w:hAnsi="Arial" w:cs="Arial"/>
          <w:color w:val="000000"/>
          <w:lang w:val="es-ES"/>
        </w:rPr>
        <w:t>La Tabla 3 presenta el plan de trabajo de monitoreo, incluyendo el cronograma de monitoreo, el presupuesto asignado para cada actividad principal o el producto de monitoreo y la fuente de financiamiento.</w:t>
      </w:r>
      <w:r w:rsidR="007E6192" w:rsidRPr="00425FEE">
        <w:rPr>
          <w:lang w:val="es-ES"/>
        </w:rPr>
        <w:t xml:space="preserve"> </w:t>
      </w:r>
    </w:p>
    <w:p w14:paraId="619E06D1" w14:textId="4E8C705C" w:rsidR="001B5186" w:rsidRPr="00FF1F14" w:rsidRDefault="001B5186" w:rsidP="007E6192">
      <w:pPr>
        <w:spacing w:after="0" w:line="288" w:lineRule="auto"/>
        <w:jc w:val="center"/>
        <w:rPr>
          <w:rFonts w:ascii="Arial" w:hAnsi="Arial" w:cs="Arial"/>
          <w:b/>
          <w:bCs/>
          <w:sz w:val="18"/>
          <w:szCs w:val="18"/>
          <w:lang w:val="es-ES"/>
        </w:rPr>
      </w:pPr>
      <w:r w:rsidRPr="00FF1F14">
        <w:rPr>
          <w:rFonts w:ascii="Arial" w:hAnsi="Arial" w:cs="Arial"/>
          <w:b/>
          <w:bCs/>
          <w:sz w:val="18"/>
          <w:szCs w:val="18"/>
          <w:lang w:val="es-ES"/>
        </w:rPr>
        <w:t>Tabl</w:t>
      </w:r>
      <w:r w:rsidR="0015541E" w:rsidRPr="00FF1F14">
        <w:rPr>
          <w:rFonts w:ascii="Arial" w:hAnsi="Arial" w:cs="Arial"/>
          <w:b/>
          <w:bCs/>
          <w:sz w:val="18"/>
          <w:szCs w:val="18"/>
          <w:lang w:val="es-ES"/>
        </w:rPr>
        <w:t>a 3</w:t>
      </w:r>
    </w:p>
    <w:p w14:paraId="067871F8" w14:textId="7F561276" w:rsidR="001B5186" w:rsidRPr="00FF1F14" w:rsidRDefault="000C3B5E" w:rsidP="007E6192">
      <w:pPr>
        <w:spacing w:after="0" w:line="288" w:lineRule="auto"/>
        <w:jc w:val="center"/>
        <w:rPr>
          <w:rFonts w:ascii="Arial" w:hAnsi="Arial" w:cs="Arial"/>
          <w:b/>
          <w:bCs/>
          <w:sz w:val="18"/>
          <w:szCs w:val="18"/>
          <w:lang w:val="es-ES"/>
        </w:rPr>
      </w:pPr>
      <w:r w:rsidRPr="00FF1F14">
        <w:rPr>
          <w:rFonts w:ascii="Arial" w:hAnsi="Arial" w:cs="Arial"/>
          <w:b/>
          <w:bCs/>
          <w:sz w:val="18"/>
          <w:szCs w:val="18"/>
          <w:lang w:val="es-ES"/>
        </w:rPr>
        <w:t xml:space="preserve">Plan de trabajo de </w:t>
      </w:r>
      <w:r w:rsidR="000D11CA" w:rsidRPr="00FF1F14">
        <w:rPr>
          <w:rFonts w:ascii="Arial" w:hAnsi="Arial" w:cs="Arial"/>
          <w:b/>
          <w:bCs/>
          <w:sz w:val="18"/>
          <w:szCs w:val="18"/>
          <w:lang w:val="es-ES"/>
        </w:rPr>
        <w:t>Monitoreo</w:t>
      </w:r>
    </w:p>
    <w:tbl>
      <w:tblPr>
        <w:tblW w:w="96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2"/>
        <w:gridCol w:w="360"/>
        <w:gridCol w:w="360"/>
        <w:gridCol w:w="360"/>
        <w:gridCol w:w="360"/>
        <w:gridCol w:w="450"/>
        <w:gridCol w:w="450"/>
        <w:gridCol w:w="450"/>
        <w:gridCol w:w="450"/>
        <w:gridCol w:w="1800"/>
        <w:gridCol w:w="1440"/>
      </w:tblGrid>
      <w:tr w:rsidR="007A1D93" w:rsidRPr="00425FEE" w14:paraId="1F5E8399" w14:textId="77777777" w:rsidTr="007E6192">
        <w:trPr>
          <w:trHeight w:val="341"/>
        </w:trPr>
        <w:tc>
          <w:tcPr>
            <w:tcW w:w="3122" w:type="dxa"/>
            <w:vMerge w:val="restart"/>
            <w:shd w:val="clear" w:color="auto" w:fill="8DB3E2" w:themeFill="text2" w:themeFillTint="66"/>
            <w:vAlign w:val="center"/>
          </w:tcPr>
          <w:p w14:paraId="34AC5673" w14:textId="6BB2EF8C" w:rsidR="007A1D93" w:rsidRPr="00425FEE" w:rsidRDefault="007A1D93" w:rsidP="007E6192">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Actividades / productos clave de monitoreo por actividad</w:t>
            </w:r>
          </w:p>
        </w:tc>
        <w:tc>
          <w:tcPr>
            <w:tcW w:w="1440" w:type="dxa"/>
            <w:gridSpan w:val="4"/>
            <w:shd w:val="clear" w:color="auto" w:fill="8DB3E2" w:themeFill="text2" w:themeFillTint="66"/>
            <w:vAlign w:val="center"/>
          </w:tcPr>
          <w:p w14:paraId="527D4DEC" w14:textId="31507A9F" w:rsidR="007A1D93" w:rsidRPr="00425FEE" w:rsidRDefault="007A1D93" w:rsidP="007E6192">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Año 1</w:t>
            </w:r>
          </w:p>
        </w:tc>
        <w:tc>
          <w:tcPr>
            <w:tcW w:w="1800" w:type="dxa"/>
            <w:gridSpan w:val="4"/>
            <w:shd w:val="clear" w:color="auto" w:fill="8DB3E2" w:themeFill="text2" w:themeFillTint="66"/>
            <w:vAlign w:val="center"/>
          </w:tcPr>
          <w:p w14:paraId="2ED983B7" w14:textId="3D5094CC" w:rsidR="007A1D93" w:rsidRPr="00425FEE" w:rsidRDefault="007A1D93" w:rsidP="007E6192">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Año 2</w:t>
            </w:r>
          </w:p>
        </w:tc>
        <w:tc>
          <w:tcPr>
            <w:tcW w:w="1800" w:type="dxa"/>
            <w:vMerge w:val="restart"/>
            <w:shd w:val="clear" w:color="auto" w:fill="8DB3E2" w:themeFill="text2" w:themeFillTint="66"/>
            <w:vAlign w:val="center"/>
          </w:tcPr>
          <w:p w14:paraId="34857E47" w14:textId="10A897F0" w:rsidR="007A1D93" w:rsidRPr="00425FEE" w:rsidRDefault="007A1D93" w:rsidP="007E6192">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Responsable</w:t>
            </w:r>
          </w:p>
        </w:tc>
        <w:tc>
          <w:tcPr>
            <w:tcW w:w="1440" w:type="dxa"/>
            <w:vMerge w:val="restart"/>
            <w:shd w:val="clear" w:color="auto" w:fill="8DB3E2" w:themeFill="text2" w:themeFillTint="66"/>
            <w:vAlign w:val="center"/>
          </w:tcPr>
          <w:p w14:paraId="39D28964" w14:textId="38959DBE" w:rsidR="007A1D93" w:rsidRPr="00425FEE" w:rsidRDefault="007A1D93" w:rsidP="007E6192">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Costo</w:t>
            </w:r>
            <w:r w:rsidR="00746113">
              <w:rPr>
                <w:rFonts w:ascii="Arial" w:hAnsi="Arial" w:cs="Arial"/>
                <w:b/>
                <w:bCs/>
                <w:sz w:val="18"/>
                <w:szCs w:val="18"/>
                <w:lang w:val="es-ES"/>
              </w:rPr>
              <w:t xml:space="preserve"> (US$)</w:t>
            </w:r>
          </w:p>
        </w:tc>
      </w:tr>
      <w:tr w:rsidR="00F313FA" w:rsidRPr="00425FEE" w14:paraId="2736DE04" w14:textId="77777777" w:rsidTr="007E6192">
        <w:trPr>
          <w:trHeight w:val="440"/>
        </w:trPr>
        <w:tc>
          <w:tcPr>
            <w:tcW w:w="3122" w:type="dxa"/>
            <w:vMerge/>
            <w:vAlign w:val="center"/>
          </w:tcPr>
          <w:p w14:paraId="07EB5954"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8DB3E2" w:themeFill="text2" w:themeFillTint="66"/>
            <w:vAlign w:val="center"/>
          </w:tcPr>
          <w:p w14:paraId="6ACEAFB3" w14:textId="7777777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1</w:t>
            </w:r>
          </w:p>
        </w:tc>
        <w:tc>
          <w:tcPr>
            <w:tcW w:w="360" w:type="dxa"/>
            <w:shd w:val="clear" w:color="auto" w:fill="8DB3E2" w:themeFill="text2" w:themeFillTint="66"/>
            <w:vAlign w:val="center"/>
          </w:tcPr>
          <w:p w14:paraId="16374B1C" w14:textId="444463CA"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2</w:t>
            </w:r>
          </w:p>
        </w:tc>
        <w:tc>
          <w:tcPr>
            <w:tcW w:w="360" w:type="dxa"/>
            <w:shd w:val="clear" w:color="auto" w:fill="8DB3E2" w:themeFill="text2" w:themeFillTint="66"/>
            <w:vAlign w:val="center"/>
          </w:tcPr>
          <w:p w14:paraId="624925FF" w14:textId="7777777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3</w:t>
            </w:r>
          </w:p>
        </w:tc>
        <w:tc>
          <w:tcPr>
            <w:tcW w:w="360" w:type="dxa"/>
            <w:shd w:val="clear" w:color="auto" w:fill="8DB3E2" w:themeFill="text2" w:themeFillTint="66"/>
            <w:vAlign w:val="center"/>
          </w:tcPr>
          <w:p w14:paraId="2B4383A6" w14:textId="7777777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4</w:t>
            </w:r>
          </w:p>
        </w:tc>
        <w:tc>
          <w:tcPr>
            <w:tcW w:w="450" w:type="dxa"/>
            <w:shd w:val="clear" w:color="auto" w:fill="8DB3E2" w:themeFill="text2" w:themeFillTint="66"/>
            <w:vAlign w:val="center"/>
          </w:tcPr>
          <w:p w14:paraId="3E779C93" w14:textId="62ADE276"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1</w:t>
            </w:r>
          </w:p>
        </w:tc>
        <w:tc>
          <w:tcPr>
            <w:tcW w:w="450" w:type="dxa"/>
            <w:shd w:val="clear" w:color="auto" w:fill="8DB3E2" w:themeFill="text2" w:themeFillTint="66"/>
            <w:vAlign w:val="center"/>
          </w:tcPr>
          <w:p w14:paraId="0DBE9364" w14:textId="420F8F49"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2</w:t>
            </w:r>
          </w:p>
        </w:tc>
        <w:tc>
          <w:tcPr>
            <w:tcW w:w="450" w:type="dxa"/>
            <w:shd w:val="clear" w:color="auto" w:fill="8DB3E2" w:themeFill="text2" w:themeFillTint="66"/>
            <w:vAlign w:val="center"/>
          </w:tcPr>
          <w:p w14:paraId="63290A97" w14:textId="77EC331C"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3</w:t>
            </w:r>
          </w:p>
        </w:tc>
        <w:tc>
          <w:tcPr>
            <w:tcW w:w="450" w:type="dxa"/>
            <w:shd w:val="clear" w:color="auto" w:fill="8DB3E2" w:themeFill="text2" w:themeFillTint="66"/>
            <w:vAlign w:val="center"/>
          </w:tcPr>
          <w:p w14:paraId="4960E30A" w14:textId="3B71B16F"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4</w:t>
            </w:r>
          </w:p>
        </w:tc>
        <w:tc>
          <w:tcPr>
            <w:tcW w:w="1800" w:type="dxa"/>
            <w:vMerge/>
            <w:vAlign w:val="center"/>
          </w:tcPr>
          <w:p w14:paraId="48992709" w14:textId="66864DBB" w:rsidR="007A1D93" w:rsidRPr="00425FEE" w:rsidRDefault="007A1D93" w:rsidP="007E6192">
            <w:pPr>
              <w:spacing w:after="0" w:line="288" w:lineRule="auto"/>
              <w:jc w:val="center"/>
              <w:rPr>
                <w:rFonts w:ascii="Arial" w:hAnsi="Arial" w:cs="Arial"/>
                <w:sz w:val="18"/>
                <w:szCs w:val="18"/>
                <w:lang w:val="es-ES"/>
              </w:rPr>
            </w:pPr>
          </w:p>
        </w:tc>
        <w:tc>
          <w:tcPr>
            <w:tcW w:w="1440" w:type="dxa"/>
            <w:vMerge/>
            <w:vAlign w:val="center"/>
          </w:tcPr>
          <w:p w14:paraId="367B600F" w14:textId="77777777" w:rsidR="007A1D93" w:rsidRPr="00425FEE" w:rsidRDefault="007A1D93" w:rsidP="007E6192">
            <w:pPr>
              <w:spacing w:after="0" w:line="288" w:lineRule="auto"/>
              <w:jc w:val="center"/>
              <w:rPr>
                <w:rFonts w:ascii="Arial" w:hAnsi="Arial" w:cs="Arial"/>
                <w:sz w:val="18"/>
                <w:szCs w:val="18"/>
                <w:lang w:val="es-ES"/>
              </w:rPr>
            </w:pPr>
          </w:p>
        </w:tc>
      </w:tr>
      <w:tr w:rsidR="007A1D93" w:rsidRPr="00425FEE" w14:paraId="3937786B" w14:textId="77777777" w:rsidTr="007E6192">
        <w:trPr>
          <w:trHeight w:val="458"/>
        </w:trPr>
        <w:tc>
          <w:tcPr>
            <w:tcW w:w="3122" w:type="dxa"/>
            <w:vAlign w:val="center"/>
          </w:tcPr>
          <w:p w14:paraId="7EF0176A" w14:textId="644C4313"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 xml:space="preserve">Plan de </w:t>
            </w:r>
            <w:r w:rsidR="00746113">
              <w:rPr>
                <w:rFonts w:ascii="Arial" w:hAnsi="Arial" w:cs="Arial"/>
                <w:sz w:val="18"/>
                <w:szCs w:val="18"/>
                <w:lang w:val="es-ES"/>
              </w:rPr>
              <w:t>arranque</w:t>
            </w:r>
            <w:r w:rsidR="00746113">
              <w:rPr>
                <w:rStyle w:val="FootnoteReference"/>
                <w:rFonts w:ascii="Arial" w:hAnsi="Arial" w:cs="Arial"/>
                <w:sz w:val="18"/>
                <w:szCs w:val="18"/>
                <w:lang w:val="es-ES"/>
              </w:rPr>
              <w:footnoteReference w:id="40"/>
            </w:r>
          </w:p>
        </w:tc>
        <w:tc>
          <w:tcPr>
            <w:tcW w:w="360" w:type="dxa"/>
            <w:shd w:val="clear" w:color="auto" w:fill="auto"/>
            <w:vAlign w:val="center"/>
          </w:tcPr>
          <w:p w14:paraId="5BBF4726" w14:textId="26E41E3D"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54197091" w14:textId="2028E8B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6F005CDD"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7BF78397"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528B3D56"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42BCE794"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640D02B6"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177033E7" w14:textId="6C715308" w:rsidR="007A1D93" w:rsidRPr="00425FEE" w:rsidRDefault="007A1D93" w:rsidP="007E6192">
            <w:pPr>
              <w:spacing w:after="0" w:line="288" w:lineRule="auto"/>
              <w:jc w:val="center"/>
              <w:rPr>
                <w:rFonts w:ascii="Arial" w:hAnsi="Arial" w:cs="Arial"/>
                <w:sz w:val="18"/>
                <w:szCs w:val="18"/>
                <w:lang w:val="es-ES"/>
              </w:rPr>
            </w:pPr>
          </w:p>
        </w:tc>
        <w:tc>
          <w:tcPr>
            <w:tcW w:w="1800" w:type="dxa"/>
            <w:vAlign w:val="center"/>
          </w:tcPr>
          <w:p w14:paraId="56C542C5" w14:textId="25751340"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BID</w:t>
            </w:r>
          </w:p>
        </w:tc>
        <w:tc>
          <w:tcPr>
            <w:tcW w:w="1440" w:type="dxa"/>
            <w:vAlign w:val="center"/>
          </w:tcPr>
          <w:p w14:paraId="689F54AF" w14:textId="3F65CDB3" w:rsidR="007A1D93" w:rsidRPr="00425FEE" w:rsidRDefault="00746113" w:rsidP="007E6192">
            <w:pPr>
              <w:spacing w:after="0" w:line="288" w:lineRule="auto"/>
              <w:jc w:val="center"/>
              <w:rPr>
                <w:rFonts w:ascii="Arial" w:hAnsi="Arial" w:cs="Arial"/>
                <w:sz w:val="18"/>
                <w:szCs w:val="18"/>
                <w:lang w:val="es-ES"/>
              </w:rPr>
            </w:pPr>
            <w:r>
              <w:rPr>
                <w:rFonts w:ascii="Arial" w:hAnsi="Arial" w:cs="Arial"/>
                <w:sz w:val="18"/>
                <w:szCs w:val="18"/>
                <w:lang w:val="es-ES"/>
              </w:rPr>
              <w:t>0</w:t>
            </w:r>
          </w:p>
        </w:tc>
      </w:tr>
      <w:tr w:rsidR="007A1D93" w:rsidRPr="00425FEE" w14:paraId="13B49EEC" w14:textId="77777777" w:rsidTr="007E6192">
        <w:tc>
          <w:tcPr>
            <w:tcW w:w="3122" w:type="dxa"/>
            <w:vAlign w:val="center"/>
          </w:tcPr>
          <w:p w14:paraId="20137DDC" w14:textId="6A3698F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Reuniones para actualizar herramientas de gestión y revisiones de cartera</w:t>
            </w:r>
            <w:r w:rsidR="00746113">
              <w:rPr>
                <w:rStyle w:val="FootnoteReference"/>
                <w:rFonts w:ascii="Arial" w:hAnsi="Arial" w:cs="Arial"/>
                <w:sz w:val="18"/>
                <w:szCs w:val="18"/>
                <w:lang w:val="es-ES"/>
              </w:rPr>
              <w:footnoteReference w:id="41"/>
            </w:r>
          </w:p>
        </w:tc>
        <w:tc>
          <w:tcPr>
            <w:tcW w:w="360" w:type="dxa"/>
            <w:shd w:val="clear" w:color="auto" w:fill="auto"/>
            <w:vAlign w:val="center"/>
          </w:tcPr>
          <w:p w14:paraId="26D0245C" w14:textId="334FF7AB"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1A0FA32F" w14:textId="7C00CE6D"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64F3F9AB" w14:textId="74EF536C"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7EBE0CC7" w14:textId="1C6047C1"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04C9C153" w14:textId="5E3589CA"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4B0A4067" w14:textId="46F3F82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6355928C" w14:textId="1883CDFB"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2B672340" w14:textId="1381D98C"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1800" w:type="dxa"/>
            <w:vAlign w:val="center"/>
          </w:tcPr>
          <w:p w14:paraId="5987F814" w14:textId="062A9A1E"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BID, OE</w:t>
            </w:r>
          </w:p>
        </w:tc>
        <w:tc>
          <w:tcPr>
            <w:tcW w:w="1440" w:type="dxa"/>
            <w:vAlign w:val="center"/>
          </w:tcPr>
          <w:p w14:paraId="5045100D" w14:textId="4BEAD4CD"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0</w:t>
            </w:r>
          </w:p>
        </w:tc>
      </w:tr>
      <w:tr w:rsidR="007A1D93" w:rsidRPr="00425FEE" w14:paraId="1F6E4604" w14:textId="77777777" w:rsidTr="007E6192">
        <w:trPr>
          <w:trHeight w:val="386"/>
        </w:trPr>
        <w:tc>
          <w:tcPr>
            <w:tcW w:w="3122" w:type="dxa"/>
            <w:vAlign w:val="center"/>
          </w:tcPr>
          <w:p w14:paraId="13416CE0" w14:textId="09B69C8D"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Gestión de riesgos</w:t>
            </w:r>
          </w:p>
        </w:tc>
        <w:tc>
          <w:tcPr>
            <w:tcW w:w="360" w:type="dxa"/>
            <w:shd w:val="clear" w:color="auto" w:fill="auto"/>
            <w:vAlign w:val="center"/>
          </w:tcPr>
          <w:p w14:paraId="4FFA7623" w14:textId="67AB811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5692EF5C" w14:textId="7673E5DB"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5DF583AC" w14:textId="277669E3"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2EC942DD" w14:textId="04C8E2B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48D162A8" w14:textId="7E75A1E9"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23C2A9CA"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7DF86D4A" w14:textId="01D1610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67BF0289" w14:textId="4B3EF1DC" w:rsidR="007A1D93" w:rsidRPr="00425FEE" w:rsidRDefault="007A1D93" w:rsidP="007E6192">
            <w:pPr>
              <w:spacing w:after="0" w:line="288" w:lineRule="auto"/>
              <w:jc w:val="center"/>
              <w:rPr>
                <w:rFonts w:ascii="Arial" w:hAnsi="Arial" w:cs="Arial"/>
                <w:sz w:val="18"/>
                <w:szCs w:val="18"/>
                <w:lang w:val="es-ES"/>
              </w:rPr>
            </w:pPr>
          </w:p>
        </w:tc>
        <w:tc>
          <w:tcPr>
            <w:tcW w:w="1800" w:type="dxa"/>
            <w:vAlign w:val="center"/>
          </w:tcPr>
          <w:p w14:paraId="7398104E" w14:textId="0D433E70"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OE</w:t>
            </w:r>
          </w:p>
        </w:tc>
        <w:tc>
          <w:tcPr>
            <w:tcW w:w="1440" w:type="dxa"/>
            <w:vAlign w:val="center"/>
          </w:tcPr>
          <w:p w14:paraId="2BB68290" w14:textId="3D88EE2A"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0</w:t>
            </w:r>
          </w:p>
        </w:tc>
      </w:tr>
      <w:tr w:rsidR="007A1D93" w:rsidRPr="00425FEE" w14:paraId="2B2E4763" w14:textId="77777777" w:rsidTr="007E6192">
        <w:trPr>
          <w:trHeight w:val="350"/>
        </w:trPr>
        <w:tc>
          <w:tcPr>
            <w:tcW w:w="3122" w:type="dxa"/>
            <w:vAlign w:val="center"/>
          </w:tcPr>
          <w:p w14:paraId="6480D78D" w14:textId="45499EB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PEP / POA</w:t>
            </w:r>
            <w:r w:rsidR="00746113">
              <w:rPr>
                <w:rStyle w:val="FootnoteReference"/>
                <w:rFonts w:ascii="Arial" w:hAnsi="Arial" w:cs="Arial"/>
                <w:sz w:val="18"/>
                <w:szCs w:val="18"/>
                <w:lang w:val="es-ES"/>
              </w:rPr>
              <w:footnoteReference w:id="42"/>
            </w:r>
          </w:p>
        </w:tc>
        <w:tc>
          <w:tcPr>
            <w:tcW w:w="360" w:type="dxa"/>
            <w:shd w:val="clear" w:color="auto" w:fill="auto"/>
            <w:vAlign w:val="center"/>
          </w:tcPr>
          <w:p w14:paraId="3DDA1CBB" w14:textId="1E12988C"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738D09F9" w14:textId="57922E99"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04C47FB6" w14:textId="2288D14D"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01640C1D" w14:textId="4A0FB61E"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2503E1D4" w14:textId="0B703C97"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20FB399D"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60DE0D55" w14:textId="6BD13263"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18882DD6" w14:textId="0AA98945" w:rsidR="007A1D93" w:rsidRPr="00425FEE" w:rsidRDefault="007A1D93" w:rsidP="007E6192">
            <w:pPr>
              <w:spacing w:after="0" w:line="288" w:lineRule="auto"/>
              <w:jc w:val="center"/>
              <w:rPr>
                <w:rFonts w:ascii="Arial" w:hAnsi="Arial" w:cs="Arial"/>
                <w:sz w:val="18"/>
                <w:szCs w:val="18"/>
                <w:lang w:val="es-ES"/>
              </w:rPr>
            </w:pPr>
          </w:p>
        </w:tc>
        <w:tc>
          <w:tcPr>
            <w:tcW w:w="1800" w:type="dxa"/>
            <w:vAlign w:val="center"/>
          </w:tcPr>
          <w:p w14:paraId="16BD2930" w14:textId="67B4A76F"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OE</w:t>
            </w:r>
          </w:p>
        </w:tc>
        <w:tc>
          <w:tcPr>
            <w:tcW w:w="1440" w:type="dxa"/>
            <w:vAlign w:val="center"/>
          </w:tcPr>
          <w:p w14:paraId="71E1E017" w14:textId="18C372F3"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0</w:t>
            </w:r>
          </w:p>
        </w:tc>
      </w:tr>
      <w:tr w:rsidR="007A1D93" w:rsidRPr="00425FEE" w14:paraId="39419543" w14:textId="77777777" w:rsidTr="007E6192">
        <w:trPr>
          <w:trHeight w:val="341"/>
        </w:trPr>
        <w:tc>
          <w:tcPr>
            <w:tcW w:w="3122" w:type="dxa"/>
            <w:vAlign w:val="center"/>
          </w:tcPr>
          <w:p w14:paraId="297578EF" w14:textId="12DAD4F0"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Informe de seguimiento de progreso</w:t>
            </w:r>
          </w:p>
        </w:tc>
        <w:tc>
          <w:tcPr>
            <w:tcW w:w="360" w:type="dxa"/>
            <w:shd w:val="clear" w:color="auto" w:fill="auto"/>
            <w:vAlign w:val="center"/>
          </w:tcPr>
          <w:p w14:paraId="1AAD313F" w14:textId="383C1F8B"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0146F381" w14:textId="5745EADC"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19F83AC6" w14:textId="1EAEFF8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62F381C7" w14:textId="6266A205"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5D998732" w14:textId="0E6149CB"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65E45E48" w14:textId="45589B01"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0501D730" w14:textId="733F604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27690DE7" w14:textId="51CDC208" w:rsidR="007A1D93" w:rsidRPr="00425FEE" w:rsidRDefault="007A1D93" w:rsidP="007E6192">
            <w:pPr>
              <w:spacing w:after="0" w:line="288" w:lineRule="auto"/>
              <w:jc w:val="center"/>
              <w:rPr>
                <w:rFonts w:ascii="Arial" w:hAnsi="Arial" w:cs="Arial"/>
                <w:sz w:val="18"/>
                <w:szCs w:val="18"/>
                <w:lang w:val="es-ES"/>
              </w:rPr>
            </w:pPr>
          </w:p>
        </w:tc>
        <w:tc>
          <w:tcPr>
            <w:tcW w:w="1800" w:type="dxa"/>
            <w:vAlign w:val="center"/>
          </w:tcPr>
          <w:p w14:paraId="1EF0E7E3" w14:textId="1494B17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BID, OE</w:t>
            </w:r>
          </w:p>
        </w:tc>
        <w:tc>
          <w:tcPr>
            <w:tcW w:w="1440" w:type="dxa"/>
            <w:vAlign w:val="center"/>
          </w:tcPr>
          <w:p w14:paraId="1AFCB347" w14:textId="1D1DA115"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0</w:t>
            </w:r>
          </w:p>
        </w:tc>
      </w:tr>
      <w:tr w:rsidR="007A1D93" w:rsidRPr="00425FEE" w14:paraId="08A12074" w14:textId="77777777" w:rsidTr="007E6192">
        <w:trPr>
          <w:trHeight w:val="368"/>
        </w:trPr>
        <w:tc>
          <w:tcPr>
            <w:tcW w:w="3122" w:type="dxa"/>
            <w:vAlign w:val="center"/>
          </w:tcPr>
          <w:p w14:paraId="2407FE96" w14:textId="3C256FC9"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Informes semestrales de progreso</w:t>
            </w:r>
          </w:p>
        </w:tc>
        <w:tc>
          <w:tcPr>
            <w:tcW w:w="360" w:type="dxa"/>
            <w:shd w:val="clear" w:color="auto" w:fill="auto"/>
            <w:vAlign w:val="center"/>
          </w:tcPr>
          <w:p w14:paraId="61BE92C3" w14:textId="34FB856E"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67112D9C" w14:textId="304FCDC5"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190FB3A8"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0A6C02C9" w14:textId="4941C2D2"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2E54DC85"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089CB510" w14:textId="0C240626"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7EDAC9A7"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6F3D9136" w14:textId="5D0CA8B5"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1800" w:type="dxa"/>
            <w:vAlign w:val="center"/>
          </w:tcPr>
          <w:p w14:paraId="3081E024" w14:textId="4BF0C836"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OE</w:t>
            </w:r>
          </w:p>
        </w:tc>
        <w:tc>
          <w:tcPr>
            <w:tcW w:w="1440" w:type="dxa"/>
            <w:vAlign w:val="center"/>
          </w:tcPr>
          <w:p w14:paraId="018080BA" w14:textId="14B95D13"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0</w:t>
            </w:r>
          </w:p>
        </w:tc>
      </w:tr>
      <w:tr w:rsidR="007A1D93" w:rsidRPr="00425FEE" w14:paraId="64E5D77F" w14:textId="77777777" w:rsidTr="007E6192">
        <w:trPr>
          <w:trHeight w:val="341"/>
        </w:trPr>
        <w:tc>
          <w:tcPr>
            <w:tcW w:w="3122" w:type="dxa"/>
            <w:vAlign w:val="center"/>
          </w:tcPr>
          <w:p w14:paraId="15ECABDD" w14:textId="6E4B6D09"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Misiones o visitas de monitoreo</w:t>
            </w:r>
            <w:r w:rsidR="00746113" w:rsidRPr="00746113">
              <w:rPr>
                <w:rFonts w:ascii="Arial" w:hAnsi="Arial" w:cs="Arial"/>
                <w:sz w:val="18"/>
                <w:szCs w:val="18"/>
                <w:vertAlign w:val="superscript"/>
                <w:lang w:val="es-ES"/>
              </w:rPr>
              <w:t>26</w:t>
            </w:r>
          </w:p>
        </w:tc>
        <w:tc>
          <w:tcPr>
            <w:tcW w:w="360" w:type="dxa"/>
            <w:shd w:val="clear" w:color="auto" w:fill="auto"/>
            <w:vAlign w:val="center"/>
          </w:tcPr>
          <w:p w14:paraId="338A08AA"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517B3142" w14:textId="15A689D3"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7E1D8019"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4CC83817" w14:textId="310224C4"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7534B37E"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01D6D726" w14:textId="3A494720"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450" w:type="dxa"/>
            <w:vAlign w:val="center"/>
          </w:tcPr>
          <w:p w14:paraId="2A086F59"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42601FA1" w14:textId="283A5AE3"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X</w:t>
            </w:r>
          </w:p>
        </w:tc>
        <w:tc>
          <w:tcPr>
            <w:tcW w:w="1800" w:type="dxa"/>
            <w:vAlign w:val="center"/>
          </w:tcPr>
          <w:p w14:paraId="03D89F44" w14:textId="2EE92C95"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BID, OE</w:t>
            </w:r>
          </w:p>
        </w:tc>
        <w:tc>
          <w:tcPr>
            <w:tcW w:w="1440" w:type="dxa"/>
            <w:vAlign w:val="center"/>
          </w:tcPr>
          <w:p w14:paraId="28629712" w14:textId="20ACBFBC" w:rsidR="007A1D93" w:rsidRPr="00425FEE" w:rsidRDefault="00746113" w:rsidP="007E6192">
            <w:pPr>
              <w:spacing w:after="0" w:line="288" w:lineRule="auto"/>
              <w:jc w:val="center"/>
              <w:rPr>
                <w:rFonts w:ascii="Arial" w:hAnsi="Arial" w:cs="Arial"/>
                <w:sz w:val="18"/>
                <w:szCs w:val="18"/>
                <w:lang w:val="es-ES"/>
              </w:rPr>
            </w:pPr>
            <w:r>
              <w:rPr>
                <w:rFonts w:ascii="Arial" w:hAnsi="Arial" w:cs="Arial"/>
                <w:sz w:val="18"/>
                <w:szCs w:val="18"/>
                <w:lang w:val="es-ES"/>
              </w:rPr>
              <w:t>0</w:t>
            </w:r>
          </w:p>
        </w:tc>
      </w:tr>
      <w:tr w:rsidR="007A1D93" w:rsidRPr="00425FEE" w14:paraId="36AB4AC4" w14:textId="77777777" w:rsidTr="007E6192">
        <w:trPr>
          <w:trHeight w:val="350"/>
        </w:trPr>
        <w:tc>
          <w:tcPr>
            <w:tcW w:w="3122" w:type="dxa"/>
            <w:vAlign w:val="center"/>
          </w:tcPr>
          <w:p w14:paraId="608913E7" w14:textId="56DEE4F8"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Auditoría financiera</w:t>
            </w:r>
          </w:p>
        </w:tc>
        <w:tc>
          <w:tcPr>
            <w:tcW w:w="360" w:type="dxa"/>
            <w:shd w:val="clear" w:color="auto" w:fill="auto"/>
            <w:vAlign w:val="center"/>
          </w:tcPr>
          <w:p w14:paraId="05CD6CEC"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34D851B5"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69C35A87"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0674DBB7" w14:textId="0209DAD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42ED1E37"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1DAD065D"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11D9E439"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6A08211D" w14:textId="1E91300D" w:rsidR="007A1D93" w:rsidRPr="00425FEE" w:rsidRDefault="007A1D93" w:rsidP="007E6192">
            <w:pPr>
              <w:spacing w:after="0" w:line="288" w:lineRule="auto"/>
              <w:jc w:val="center"/>
              <w:rPr>
                <w:rFonts w:ascii="Arial" w:hAnsi="Arial" w:cs="Arial"/>
                <w:sz w:val="18"/>
                <w:szCs w:val="18"/>
                <w:lang w:val="es-ES"/>
              </w:rPr>
            </w:pPr>
          </w:p>
        </w:tc>
        <w:tc>
          <w:tcPr>
            <w:tcW w:w="1800" w:type="dxa"/>
            <w:vAlign w:val="center"/>
          </w:tcPr>
          <w:p w14:paraId="231FAD32" w14:textId="331C918A"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OE</w:t>
            </w:r>
          </w:p>
        </w:tc>
        <w:tc>
          <w:tcPr>
            <w:tcW w:w="1440" w:type="dxa"/>
            <w:vAlign w:val="center"/>
          </w:tcPr>
          <w:p w14:paraId="11440B3E" w14:textId="2FE3FFE4" w:rsidR="007A1D93" w:rsidRPr="00425FEE" w:rsidRDefault="00A05076" w:rsidP="007E6192">
            <w:pPr>
              <w:spacing w:after="0" w:line="288" w:lineRule="auto"/>
              <w:jc w:val="center"/>
              <w:rPr>
                <w:rFonts w:ascii="Arial" w:hAnsi="Arial" w:cs="Arial"/>
                <w:sz w:val="18"/>
                <w:szCs w:val="18"/>
                <w:lang w:val="es-ES"/>
              </w:rPr>
            </w:pPr>
            <w:r>
              <w:rPr>
                <w:rFonts w:ascii="Arial" w:hAnsi="Arial" w:cs="Arial"/>
                <w:sz w:val="18"/>
                <w:szCs w:val="18"/>
                <w:lang w:val="es-ES"/>
              </w:rPr>
              <w:t>47</w:t>
            </w:r>
            <w:r w:rsidR="00E141CE">
              <w:rPr>
                <w:rFonts w:ascii="Arial" w:hAnsi="Arial" w:cs="Arial"/>
                <w:sz w:val="18"/>
                <w:szCs w:val="18"/>
                <w:lang w:val="es-ES"/>
              </w:rPr>
              <w:t>.</w:t>
            </w:r>
            <w:r>
              <w:rPr>
                <w:rFonts w:ascii="Arial" w:hAnsi="Arial" w:cs="Arial"/>
                <w:sz w:val="18"/>
                <w:szCs w:val="18"/>
                <w:lang w:val="es-ES"/>
              </w:rPr>
              <w:t>500</w:t>
            </w:r>
            <w:r w:rsidR="00746113">
              <w:rPr>
                <w:rStyle w:val="FootnoteReference"/>
                <w:rFonts w:ascii="Arial" w:hAnsi="Arial" w:cs="Arial"/>
                <w:sz w:val="18"/>
                <w:szCs w:val="18"/>
                <w:lang w:val="es-ES"/>
              </w:rPr>
              <w:footnoteReference w:id="43"/>
            </w:r>
          </w:p>
        </w:tc>
      </w:tr>
      <w:tr w:rsidR="007A1D93" w:rsidRPr="00425FEE" w14:paraId="7D27329D" w14:textId="77777777" w:rsidTr="007E6192">
        <w:trPr>
          <w:trHeight w:val="296"/>
        </w:trPr>
        <w:tc>
          <w:tcPr>
            <w:tcW w:w="3122" w:type="dxa"/>
            <w:vAlign w:val="center"/>
          </w:tcPr>
          <w:p w14:paraId="5890391B" w14:textId="76DB3015"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Taller de cierre de proyecto</w:t>
            </w:r>
          </w:p>
        </w:tc>
        <w:tc>
          <w:tcPr>
            <w:tcW w:w="360" w:type="dxa"/>
            <w:shd w:val="clear" w:color="auto" w:fill="auto"/>
            <w:vAlign w:val="center"/>
          </w:tcPr>
          <w:p w14:paraId="2FEBA956"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7ECC0AA0"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74C099C7" w14:textId="77777777" w:rsidR="007A1D93" w:rsidRPr="00425FEE" w:rsidRDefault="007A1D93" w:rsidP="007E6192">
            <w:pPr>
              <w:spacing w:after="0" w:line="288" w:lineRule="auto"/>
              <w:jc w:val="center"/>
              <w:rPr>
                <w:rFonts w:ascii="Arial" w:hAnsi="Arial" w:cs="Arial"/>
                <w:sz w:val="18"/>
                <w:szCs w:val="18"/>
                <w:lang w:val="es-ES"/>
              </w:rPr>
            </w:pPr>
          </w:p>
        </w:tc>
        <w:tc>
          <w:tcPr>
            <w:tcW w:w="360" w:type="dxa"/>
            <w:shd w:val="clear" w:color="auto" w:fill="auto"/>
            <w:vAlign w:val="center"/>
          </w:tcPr>
          <w:p w14:paraId="1BD858A9"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20F06766"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41BB6CC7"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4E48D506" w14:textId="77777777" w:rsidR="007A1D93" w:rsidRPr="00425FEE" w:rsidRDefault="007A1D93" w:rsidP="007E6192">
            <w:pPr>
              <w:spacing w:after="0" w:line="288" w:lineRule="auto"/>
              <w:jc w:val="center"/>
              <w:rPr>
                <w:rFonts w:ascii="Arial" w:hAnsi="Arial" w:cs="Arial"/>
                <w:sz w:val="18"/>
                <w:szCs w:val="18"/>
                <w:lang w:val="es-ES"/>
              </w:rPr>
            </w:pPr>
          </w:p>
        </w:tc>
        <w:tc>
          <w:tcPr>
            <w:tcW w:w="450" w:type="dxa"/>
            <w:vAlign w:val="center"/>
          </w:tcPr>
          <w:p w14:paraId="634D4C98" w14:textId="7AF1950F" w:rsidR="007A1D93" w:rsidRPr="00425FEE" w:rsidRDefault="007A1D93" w:rsidP="007E6192">
            <w:pPr>
              <w:spacing w:after="0" w:line="288" w:lineRule="auto"/>
              <w:jc w:val="center"/>
              <w:rPr>
                <w:rFonts w:ascii="Arial" w:hAnsi="Arial" w:cs="Arial"/>
                <w:sz w:val="18"/>
                <w:szCs w:val="18"/>
                <w:lang w:val="es-ES"/>
              </w:rPr>
            </w:pPr>
          </w:p>
        </w:tc>
        <w:tc>
          <w:tcPr>
            <w:tcW w:w="1800" w:type="dxa"/>
            <w:vAlign w:val="center"/>
          </w:tcPr>
          <w:p w14:paraId="794E0580" w14:textId="3F3B5C36"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BID</w:t>
            </w:r>
          </w:p>
        </w:tc>
        <w:tc>
          <w:tcPr>
            <w:tcW w:w="1440" w:type="dxa"/>
            <w:vAlign w:val="center"/>
          </w:tcPr>
          <w:p w14:paraId="4135FFED" w14:textId="22AEFB7A" w:rsidR="007A1D93" w:rsidRPr="00425FEE" w:rsidRDefault="007A1D93" w:rsidP="007E6192">
            <w:pPr>
              <w:spacing w:after="0" w:line="288" w:lineRule="auto"/>
              <w:jc w:val="center"/>
              <w:rPr>
                <w:rFonts w:ascii="Arial" w:hAnsi="Arial" w:cs="Arial"/>
                <w:sz w:val="18"/>
                <w:szCs w:val="18"/>
                <w:lang w:val="es-ES"/>
              </w:rPr>
            </w:pPr>
            <w:r w:rsidRPr="00425FEE">
              <w:rPr>
                <w:rFonts w:ascii="Arial" w:hAnsi="Arial" w:cs="Arial"/>
                <w:sz w:val="18"/>
                <w:szCs w:val="18"/>
                <w:lang w:val="es-ES"/>
              </w:rPr>
              <w:t>2</w:t>
            </w:r>
            <w:r w:rsidR="00E141CE">
              <w:rPr>
                <w:rFonts w:ascii="Arial" w:hAnsi="Arial" w:cs="Arial"/>
                <w:sz w:val="18"/>
                <w:szCs w:val="18"/>
                <w:lang w:val="es-ES"/>
              </w:rPr>
              <w:t>.</w:t>
            </w:r>
            <w:r w:rsidRPr="00425FEE">
              <w:rPr>
                <w:rFonts w:ascii="Arial" w:hAnsi="Arial" w:cs="Arial"/>
                <w:sz w:val="18"/>
                <w:szCs w:val="18"/>
                <w:lang w:val="es-ES"/>
              </w:rPr>
              <w:t>000</w:t>
            </w:r>
            <w:r w:rsidR="00746113">
              <w:rPr>
                <w:rStyle w:val="FootnoteReference"/>
                <w:rFonts w:ascii="Arial" w:hAnsi="Arial" w:cs="Arial"/>
                <w:sz w:val="18"/>
                <w:szCs w:val="18"/>
                <w:lang w:val="es-ES"/>
              </w:rPr>
              <w:footnoteReference w:id="44"/>
            </w:r>
          </w:p>
        </w:tc>
      </w:tr>
    </w:tbl>
    <w:p w14:paraId="68FDEFF3" w14:textId="0E238B0D" w:rsidR="00746113" w:rsidRDefault="00746113" w:rsidP="007E6192">
      <w:pPr>
        <w:spacing w:before="120" w:after="0" w:line="288" w:lineRule="auto"/>
        <w:ind w:left="-259" w:hanging="187"/>
        <w:jc w:val="center"/>
        <w:rPr>
          <w:rFonts w:ascii="Arial" w:hAnsi="Arial" w:cs="Arial"/>
          <w:sz w:val="18"/>
          <w:szCs w:val="18"/>
          <w:lang w:val="es-ES"/>
        </w:rPr>
      </w:pPr>
    </w:p>
    <w:p w14:paraId="049A22BB" w14:textId="77777777" w:rsidR="00FF1F14" w:rsidRPr="00425FEE" w:rsidRDefault="00FF1F14" w:rsidP="007E6192">
      <w:pPr>
        <w:spacing w:before="120" w:after="0" w:line="288" w:lineRule="auto"/>
        <w:ind w:left="-259" w:hanging="187"/>
        <w:jc w:val="center"/>
        <w:rPr>
          <w:rFonts w:ascii="Arial" w:hAnsi="Arial" w:cs="Arial"/>
          <w:sz w:val="18"/>
          <w:szCs w:val="18"/>
          <w:lang w:val="es-ES"/>
        </w:rPr>
      </w:pPr>
    </w:p>
    <w:p w14:paraId="452BE6B1" w14:textId="749244DF" w:rsidR="0079661E" w:rsidRPr="00425FEE" w:rsidRDefault="0079661E" w:rsidP="005E7FFB">
      <w:pPr>
        <w:spacing w:after="0" w:line="288" w:lineRule="auto"/>
        <w:jc w:val="center"/>
        <w:rPr>
          <w:rFonts w:ascii="Arial" w:hAnsi="Arial" w:cs="Arial"/>
          <w:lang w:val="es-ES"/>
        </w:rPr>
        <w:sectPr w:rsidR="0079661E" w:rsidRPr="00425FEE" w:rsidSect="007E6192">
          <w:type w:val="continuous"/>
          <w:pgSz w:w="12240" w:h="15840"/>
          <w:pgMar w:top="1440" w:right="1627" w:bottom="1440" w:left="1440" w:header="720" w:footer="720" w:gutter="0"/>
          <w:cols w:space="720"/>
          <w:docGrid w:linePitch="360"/>
        </w:sectPr>
      </w:pPr>
    </w:p>
    <w:p w14:paraId="6A3C5E9D" w14:textId="77777777" w:rsidR="00A06AEB" w:rsidRPr="00F313FA" w:rsidRDefault="00A06AEB" w:rsidP="00A06AEB">
      <w:pPr>
        <w:spacing w:after="0" w:line="288" w:lineRule="auto"/>
        <w:rPr>
          <w:rFonts w:ascii="Arial" w:hAnsi="Arial" w:cs="Arial"/>
          <w:b/>
          <w:bCs/>
          <w:sz w:val="18"/>
          <w:szCs w:val="18"/>
          <w:lang w:val="es-ES"/>
        </w:rPr>
      </w:pPr>
      <w:r w:rsidRPr="00F313FA">
        <w:rPr>
          <w:rStyle w:val="normaltextrun"/>
          <w:rFonts w:ascii="Arial" w:hAnsi="Arial" w:cs="Arial"/>
          <w:sz w:val="18"/>
          <w:szCs w:val="18"/>
          <w:u w:val="single"/>
          <w:shd w:val="clear" w:color="auto" w:fill="FFFFFF"/>
          <w:lang w:val="es-ES"/>
        </w:rPr>
        <w:lastRenderedPageBreak/>
        <w:t>La tabla 4 presenta los costos anuales por producto.</w:t>
      </w:r>
      <w:r w:rsidRPr="00F313FA">
        <w:rPr>
          <w:rStyle w:val="eop"/>
          <w:rFonts w:ascii="Arial" w:hAnsi="Arial" w:cs="Arial"/>
          <w:sz w:val="18"/>
          <w:szCs w:val="18"/>
          <w:shd w:val="clear" w:color="auto" w:fill="FFFFFF"/>
          <w:lang w:val="es-ES"/>
        </w:rPr>
        <w:t> </w:t>
      </w:r>
    </w:p>
    <w:p w14:paraId="290696FC" w14:textId="77777777" w:rsidR="00A06AEB" w:rsidRPr="00F313FA" w:rsidRDefault="00A06AEB" w:rsidP="00A06AEB">
      <w:pPr>
        <w:spacing w:after="0" w:line="288" w:lineRule="auto"/>
        <w:jc w:val="center"/>
        <w:rPr>
          <w:rFonts w:ascii="Arial" w:hAnsi="Arial" w:cs="Arial"/>
          <w:b/>
          <w:bCs/>
          <w:sz w:val="18"/>
          <w:szCs w:val="18"/>
          <w:lang w:val="es-ES"/>
        </w:rPr>
      </w:pPr>
    </w:p>
    <w:p w14:paraId="7CDB153D" w14:textId="77777777" w:rsidR="00A06AEB" w:rsidRPr="00F313FA" w:rsidRDefault="00A06AEB" w:rsidP="00A06AEB">
      <w:pPr>
        <w:spacing w:after="0" w:line="288" w:lineRule="auto"/>
        <w:jc w:val="center"/>
        <w:rPr>
          <w:rFonts w:ascii="Segoe UI" w:eastAsia="Times New Roman" w:hAnsi="Segoe UI" w:cs="Segoe UI"/>
          <w:b/>
          <w:bCs/>
          <w:sz w:val="18"/>
          <w:szCs w:val="18"/>
          <w:lang w:val="es-ES"/>
        </w:rPr>
      </w:pPr>
      <w:r w:rsidRPr="00F313FA">
        <w:rPr>
          <w:rFonts w:ascii="Arial" w:hAnsi="Arial" w:cs="Arial"/>
          <w:b/>
          <w:bCs/>
          <w:sz w:val="18"/>
          <w:szCs w:val="18"/>
          <w:lang w:val="es-ES"/>
        </w:rPr>
        <w:t xml:space="preserve">Tabla 4. </w:t>
      </w:r>
      <w:r w:rsidRPr="00F313FA">
        <w:rPr>
          <w:rStyle w:val="normaltextrun"/>
          <w:rFonts w:ascii="Arial" w:hAnsi="Arial" w:cs="Arial"/>
          <w:b/>
          <w:bCs/>
          <w:sz w:val="18"/>
          <w:szCs w:val="18"/>
          <w:u w:val="single"/>
          <w:shd w:val="clear" w:color="auto" w:fill="FFFFFF"/>
          <w:lang w:val="es-ES"/>
        </w:rPr>
        <w:t>Costos anuales por producto (US$)</w:t>
      </w:r>
      <w:r w:rsidRPr="00F313FA">
        <w:rPr>
          <w:rStyle w:val="eop"/>
          <w:rFonts w:ascii="Arial" w:hAnsi="Arial" w:cs="Arial"/>
          <w:sz w:val="18"/>
          <w:szCs w:val="18"/>
          <w:shd w:val="clear" w:color="auto" w:fill="FFFFFF"/>
          <w:lang w:val="es-ES"/>
        </w:rPr>
        <w:t> </w:t>
      </w:r>
    </w:p>
    <w:tbl>
      <w:tblPr>
        <w:tblW w:w="9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65"/>
        <w:gridCol w:w="1305"/>
        <w:gridCol w:w="1261"/>
        <w:gridCol w:w="1332"/>
      </w:tblGrid>
      <w:tr w:rsidR="00A06AEB" w:rsidRPr="00FF1F14" w14:paraId="5A1FFF38" w14:textId="77777777" w:rsidTr="005B4465">
        <w:trPr>
          <w:trHeight w:val="435"/>
        </w:trPr>
        <w:tc>
          <w:tcPr>
            <w:tcW w:w="5265" w:type="dxa"/>
            <w:shd w:val="clear" w:color="auto" w:fill="8DB3E2" w:themeFill="text2" w:themeFillTint="66"/>
            <w:vAlign w:val="center"/>
          </w:tcPr>
          <w:p w14:paraId="7BCAC13D" w14:textId="77777777" w:rsidR="00A06AEB" w:rsidRPr="00FF1F14" w:rsidRDefault="00A06AEB" w:rsidP="005B4465">
            <w:pPr>
              <w:spacing w:before="40" w:after="40" w:line="240" w:lineRule="auto"/>
              <w:jc w:val="center"/>
              <w:textAlignment w:val="baseline"/>
              <w:rPr>
                <w:rFonts w:ascii="Arial" w:hAnsi="Arial" w:cs="Arial"/>
                <w:b/>
                <w:bCs/>
                <w:sz w:val="18"/>
                <w:szCs w:val="18"/>
                <w:lang w:val="es-ES"/>
              </w:rPr>
            </w:pPr>
            <w:r w:rsidRPr="00FF1F14">
              <w:rPr>
                <w:rFonts w:ascii="Arial" w:hAnsi="Arial" w:cs="Arial"/>
                <w:b/>
                <w:bCs/>
                <w:sz w:val="18"/>
                <w:szCs w:val="18"/>
                <w:lang w:val="es-ES"/>
              </w:rPr>
              <w:t>Descripción</w:t>
            </w:r>
          </w:p>
        </w:tc>
        <w:tc>
          <w:tcPr>
            <w:tcW w:w="1305" w:type="dxa"/>
            <w:shd w:val="clear" w:color="auto" w:fill="8DB3E2" w:themeFill="text2" w:themeFillTint="66"/>
          </w:tcPr>
          <w:p w14:paraId="2C643992" w14:textId="77777777" w:rsidR="00A06AEB" w:rsidRPr="00FF1F14" w:rsidRDefault="00A06AEB" w:rsidP="005B4465">
            <w:pPr>
              <w:spacing w:before="40" w:after="40" w:line="240" w:lineRule="auto"/>
              <w:jc w:val="center"/>
              <w:textAlignment w:val="baseline"/>
              <w:rPr>
                <w:rFonts w:ascii="Arial" w:hAnsi="Arial" w:cs="Arial"/>
                <w:b/>
                <w:bCs/>
                <w:sz w:val="18"/>
                <w:szCs w:val="18"/>
                <w:lang w:val="es-ES"/>
              </w:rPr>
            </w:pPr>
            <w:r>
              <w:rPr>
                <w:rFonts w:ascii="Arial" w:hAnsi="Arial" w:cs="Arial"/>
                <w:b/>
                <w:bCs/>
                <w:sz w:val="18"/>
                <w:szCs w:val="18"/>
                <w:lang w:val="es-ES"/>
              </w:rPr>
              <w:t>Costo Año 1</w:t>
            </w:r>
          </w:p>
        </w:tc>
        <w:tc>
          <w:tcPr>
            <w:tcW w:w="1261" w:type="dxa"/>
            <w:shd w:val="clear" w:color="auto" w:fill="8DB3E2" w:themeFill="text2" w:themeFillTint="66"/>
          </w:tcPr>
          <w:p w14:paraId="1C016BFC" w14:textId="77777777" w:rsidR="00A06AEB" w:rsidRPr="00FF1F14" w:rsidRDefault="00A06AEB" w:rsidP="005B4465">
            <w:pPr>
              <w:spacing w:before="40" w:after="40" w:line="240" w:lineRule="auto"/>
              <w:jc w:val="center"/>
              <w:textAlignment w:val="baseline"/>
              <w:rPr>
                <w:rFonts w:ascii="Arial" w:hAnsi="Arial" w:cs="Arial"/>
                <w:b/>
                <w:bCs/>
                <w:sz w:val="18"/>
                <w:szCs w:val="18"/>
                <w:lang w:val="es-ES"/>
              </w:rPr>
            </w:pPr>
            <w:r>
              <w:rPr>
                <w:rFonts w:ascii="Arial" w:hAnsi="Arial" w:cs="Arial"/>
                <w:b/>
                <w:bCs/>
                <w:sz w:val="18"/>
                <w:szCs w:val="18"/>
                <w:lang w:val="es-ES"/>
              </w:rPr>
              <w:t>Costo Año 2</w:t>
            </w:r>
          </w:p>
        </w:tc>
        <w:tc>
          <w:tcPr>
            <w:tcW w:w="1332" w:type="dxa"/>
            <w:shd w:val="clear" w:color="auto" w:fill="8DB3E2" w:themeFill="text2" w:themeFillTint="66"/>
            <w:vAlign w:val="center"/>
          </w:tcPr>
          <w:p w14:paraId="7D986322" w14:textId="77777777" w:rsidR="00A06AEB" w:rsidRPr="00FF1F14" w:rsidRDefault="00A06AEB" w:rsidP="005B4465">
            <w:pPr>
              <w:spacing w:before="40" w:after="40" w:line="240" w:lineRule="auto"/>
              <w:jc w:val="center"/>
              <w:textAlignment w:val="baseline"/>
              <w:rPr>
                <w:rFonts w:ascii="Arial" w:hAnsi="Arial" w:cs="Arial"/>
                <w:b/>
                <w:bCs/>
                <w:sz w:val="18"/>
                <w:szCs w:val="18"/>
                <w:lang w:val="es-ES"/>
              </w:rPr>
            </w:pPr>
            <w:r>
              <w:rPr>
                <w:rFonts w:ascii="Arial" w:hAnsi="Arial" w:cs="Arial"/>
                <w:b/>
                <w:bCs/>
                <w:sz w:val="18"/>
                <w:szCs w:val="18"/>
                <w:lang w:val="es-ES"/>
              </w:rPr>
              <w:t>Costo Total</w:t>
            </w:r>
          </w:p>
        </w:tc>
      </w:tr>
      <w:tr w:rsidR="00A06AEB" w:rsidRPr="00FF1F14" w14:paraId="3D7B4D13" w14:textId="77777777" w:rsidTr="00F313FA">
        <w:trPr>
          <w:trHeight w:val="435"/>
        </w:trPr>
        <w:tc>
          <w:tcPr>
            <w:tcW w:w="9163" w:type="dxa"/>
            <w:gridSpan w:val="4"/>
            <w:shd w:val="clear" w:color="auto" w:fill="D9D9D9" w:themeFill="background1" w:themeFillShade="D9"/>
            <w:vAlign w:val="center"/>
            <w:hideMark/>
          </w:tcPr>
          <w:p w14:paraId="188EE887" w14:textId="77777777" w:rsidR="00A06AEB" w:rsidRPr="00FF1F14" w:rsidRDefault="00A06AEB" w:rsidP="005B4465">
            <w:pPr>
              <w:spacing w:before="40" w:after="40" w:line="240" w:lineRule="auto"/>
              <w:textAlignment w:val="baseline"/>
              <w:rPr>
                <w:rStyle w:val="normaltextrun"/>
                <w:rFonts w:ascii="Arial" w:hAnsi="Arial" w:cs="Arial"/>
                <w:sz w:val="18"/>
                <w:szCs w:val="18"/>
              </w:rPr>
            </w:pPr>
            <w:r w:rsidRPr="00FF1F14">
              <w:rPr>
                <w:rFonts w:ascii="Arial" w:hAnsi="Arial" w:cs="Arial"/>
                <w:b/>
                <w:bCs/>
                <w:sz w:val="18"/>
                <w:szCs w:val="18"/>
                <w:lang w:val="es-419" w:eastAsia="zh-CN"/>
              </w:rPr>
              <w:t>Component</w:t>
            </w:r>
            <w:r w:rsidRPr="00DA4A0B">
              <w:rPr>
                <w:rFonts w:ascii="Arial" w:hAnsi="Arial" w:cs="Arial"/>
                <w:b/>
                <w:bCs/>
                <w:sz w:val="18"/>
                <w:szCs w:val="18"/>
                <w:lang w:val="es-419" w:eastAsia="zh-CN"/>
              </w:rPr>
              <w:t>e 1: Protección mediante el uso de programas de transferencias monetarias existentes</w:t>
            </w:r>
          </w:p>
        </w:tc>
      </w:tr>
      <w:tr w:rsidR="00A06AEB" w:rsidRPr="00DA4A0B" w14:paraId="3819DBFA" w14:textId="77777777" w:rsidTr="005B4465">
        <w:trPr>
          <w:trHeight w:val="435"/>
        </w:trPr>
        <w:tc>
          <w:tcPr>
            <w:tcW w:w="5265" w:type="dxa"/>
            <w:vAlign w:val="center"/>
          </w:tcPr>
          <w:p w14:paraId="3E489710" w14:textId="77777777" w:rsidR="00A06AEB" w:rsidRPr="00DA4A0B" w:rsidRDefault="00A06AEB" w:rsidP="005B4465">
            <w:pPr>
              <w:spacing w:before="40" w:after="40" w:line="240" w:lineRule="auto"/>
              <w:ind w:left="165"/>
              <w:textAlignment w:val="baseline"/>
              <w:rPr>
                <w:rFonts w:ascii="Arial" w:hAnsi="Arial" w:cs="Arial"/>
                <w:b/>
                <w:bCs/>
                <w:sz w:val="18"/>
                <w:szCs w:val="18"/>
                <w:lang w:val="es-ES" w:eastAsia="zh-CN"/>
              </w:rPr>
            </w:pPr>
            <w:r>
              <w:rPr>
                <w:rStyle w:val="normaltextrun"/>
                <w:rFonts w:ascii="Arial" w:hAnsi="Arial" w:cs="Arial"/>
                <w:color w:val="000000"/>
                <w:sz w:val="18"/>
                <w:szCs w:val="18"/>
                <w:lang w:val="es-419"/>
              </w:rPr>
              <w:t>Mujeres beneficiarias de </w:t>
            </w:r>
            <w:r>
              <w:rPr>
                <w:rStyle w:val="normaltextrun"/>
                <w:rFonts w:ascii="Arial" w:hAnsi="Arial" w:cs="Arial"/>
                <w:color w:val="000000"/>
                <w:sz w:val="18"/>
                <w:szCs w:val="18"/>
                <w:lang w:val="es-ES"/>
              </w:rPr>
              <w:t>programas de transferencias monetarias existentes (Red de Oportunidades, 120 a los 65 y Bono Alimentario) </w:t>
            </w:r>
            <w:r>
              <w:rPr>
                <w:rStyle w:val="normaltextrun"/>
                <w:rFonts w:ascii="Arial" w:hAnsi="Arial" w:cs="Arial"/>
                <w:color w:val="000000"/>
                <w:sz w:val="18"/>
                <w:szCs w:val="18"/>
                <w:lang w:val="es-419"/>
              </w:rPr>
              <w:t>que reciben transferencias regulares </w:t>
            </w:r>
            <w:r>
              <w:rPr>
                <w:rStyle w:val="normaltextrun"/>
                <w:rFonts w:ascii="Arial" w:hAnsi="Arial" w:cs="Arial"/>
                <w:color w:val="000000"/>
                <w:sz w:val="18"/>
                <w:szCs w:val="18"/>
                <w:lang w:val="es-ES"/>
              </w:rPr>
              <w:t>durante el periodo inmediato y durante la recuperación de la crisis causada por el coronavirus.</w:t>
            </w:r>
            <w:r w:rsidRPr="00DA4A0B">
              <w:rPr>
                <w:rStyle w:val="eop"/>
                <w:rFonts w:ascii="Arial" w:hAnsi="Arial" w:cs="Arial"/>
                <w:color w:val="000000"/>
                <w:sz w:val="18"/>
                <w:szCs w:val="18"/>
                <w:lang w:val="es-ES"/>
              </w:rPr>
              <w:t> </w:t>
            </w:r>
          </w:p>
        </w:tc>
        <w:tc>
          <w:tcPr>
            <w:tcW w:w="1305" w:type="dxa"/>
            <w:vAlign w:val="center"/>
          </w:tcPr>
          <w:p w14:paraId="01D80D65"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32.976.986</w:t>
            </w:r>
          </w:p>
        </w:tc>
        <w:tc>
          <w:tcPr>
            <w:tcW w:w="1261" w:type="dxa"/>
            <w:vAlign w:val="center"/>
          </w:tcPr>
          <w:p w14:paraId="5886813B"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332" w:type="dxa"/>
            <w:vAlign w:val="center"/>
          </w:tcPr>
          <w:p w14:paraId="3B188E5A"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32.976.986</w:t>
            </w:r>
          </w:p>
        </w:tc>
      </w:tr>
      <w:tr w:rsidR="00A06AEB" w:rsidRPr="00DA4A0B" w14:paraId="64E9A962" w14:textId="77777777" w:rsidTr="005B4465">
        <w:trPr>
          <w:trHeight w:val="435"/>
        </w:trPr>
        <w:tc>
          <w:tcPr>
            <w:tcW w:w="5265" w:type="dxa"/>
            <w:vAlign w:val="center"/>
          </w:tcPr>
          <w:p w14:paraId="5318D206" w14:textId="77777777" w:rsidR="00A06AEB" w:rsidRPr="00DA4A0B" w:rsidRDefault="00A06AEB" w:rsidP="005B4465">
            <w:pPr>
              <w:spacing w:before="40" w:after="40" w:line="240" w:lineRule="auto"/>
              <w:ind w:left="165"/>
              <w:textAlignment w:val="baseline"/>
              <w:rPr>
                <w:rFonts w:ascii="Arial" w:hAnsi="Arial" w:cs="Arial"/>
                <w:b/>
                <w:bCs/>
                <w:sz w:val="18"/>
                <w:szCs w:val="18"/>
                <w:lang w:val="es-ES" w:eastAsia="zh-CN"/>
              </w:rPr>
            </w:pPr>
            <w:r>
              <w:rPr>
                <w:rStyle w:val="normaltextrun"/>
                <w:rFonts w:ascii="Arial" w:hAnsi="Arial" w:cs="Arial"/>
                <w:color w:val="000000"/>
                <w:sz w:val="18"/>
                <w:szCs w:val="18"/>
                <w:lang w:val="es-419"/>
              </w:rPr>
              <w:t>Hombres beneficiarios de </w:t>
            </w:r>
            <w:r>
              <w:rPr>
                <w:rStyle w:val="normaltextrun"/>
                <w:rFonts w:ascii="Arial" w:hAnsi="Arial" w:cs="Arial"/>
                <w:color w:val="000000"/>
                <w:sz w:val="18"/>
                <w:szCs w:val="18"/>
                <w:lang w:val="es-ES"/>
              </w:rPr>
              <w:t>programas de transferencias monetarias existentes (Red de Oportunidades, 120 a los 65 y Bono Alimentario) </w:t>
            </w:r>
            <w:r>
              <w:rPr>
                <w:rStyle w:val="normaltextrun"/>
                <w:rFonts w:ascii="Arial" w:hAnsi="Arial" w:cs="Arial"/>
                <w:color w:val="000000"/>
                <w:sz w:val="18"/>
                <w:szCs w:val="18"/>
                <w:lang w:val="es-419"/>
              </w:rPr>
              <w:t>que reciben transferencias regulares </w:t>
            </w:r>
            <w:r>
              <w:rPr>
                <w:rStyle w:val="normaltextrun"/>
                <w:rFonts w:ascii="Arial" w:hAnsi="Arial" w:cs="Arial"/>
                <w:color w:val="000000"/>
                <w:sz w:val="18"/>
                <w:szCs w:val="18"/>
                <w:lang w:val="es-ES"/>
              </w:rPr>
              <w:t>durante el periodo inmediato y durante la recuperación de la crisis causada por el coronavirus.</w:t>
            </w:r>
            <w:r w:rsidRPr="00DA4A0B">
              <w:rPr>
                <w:rStyle w:val="eop"/>
                <w:rFonts w:ascii="Arial" w:hAnsi="Arial" w:cs="Arial"/>
                <w:color w:val="000000"/>
                <w:sz w:val="18"/>
                <w:szCs w:val="18"/>
                <w:lang w:val="es-ES"/>
              </w:rPr>
              <w:t> </w:t>
            </w:r>
          </w:p>
        </w:tc>
        <w:tc>
          <w:tcPr>
            <w:tcW w:w="1305" w:type="dxa"/>
            <w:vAlign w:val="center"/>
          </w:tcPr>
          <w:p w14:paraId="7A3DFF9A"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17.183.354</w:t>
            </w:r>
          </w:p>
        </w:tc>
        <w:tc>
          <w:tcPr>
            <w:tcW w:w="1261" w:type="dxa"/>
            <w:vAlign w:val="center"/>
          </w:tcPr>
          <w:p w14:paraId="3783A577"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332" w:type="dxa"/>
            <w:vAlign w:val="center"/>
          </w:tcPr>
          <w:p w14:paraId="506F9D12"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17.183.354</w:t>
            </w:r>
          </w:p>
        </w:tc>
      </w:tr>
      <w:tr w:rsidR="00A06AEB" w:rsidRPr="00DA4A0B" w14:paraId="7EE443D2" w14:textId="77777777" w:rsidTr="005B4465">
        <w:trPr>
          <w:trHeight w:val="435"/>
        </w:trPr>
        <w:tc>
          <w:tcPr>
            <w:tcW w:w="5265" w:type="dxa"/>
            <w:vAlign w:val="center"/>
          </w:tcPr>
          <w:p w14:paraId="7313F961" w14:textId="77777777" w:rsidR="00A06AEB" w:rsidRPr="00FF1F14" w:rsidRDefault="00A06AEB" w:rsidP="005B4465">
            <w:pPr>
              <w:spacing w:before="40" w:after="40" w:line="240" w:lineRule="auto"/>
              <w:ind w:left="165"/>
              <w:textAlignment w:val="baseline"/>
              <w:rPr>
                <w:rFonts w:ascii="Arial" w:hAnsi="Arial" w:cs="Arial"/>
                <w:b/>
                <w:bCs/>
                <w:sz w:val="18"/>
                <w:szCs w:val="18"/>
                <w:lang w:val="es-419" w:eastAsia="zh-CN"/>
              </w:rPr>
            </w:pPr>
            <w:r>
              <w:rPr>
                <w:rStyle w:val="normaltextrun"/>
                <w:rFonts w:ascii="Arial" w:hAnsi="Arial" w:cs="Arial"/>
                <w:color w:val="000000"/>
                <w:sz w:val="18"/>
                <w:szCs w:val="18"/>
                <w:bdr w:val="none" w:sz="0" w:space="0" w:color="auto" w:frame="1"/>
                <w:lang w:val="es-419"/>
              </w:rPr>
              <w:t>Personas con discapacidad beneficiarias del programa Ángel Guardián que reciben transferencias regulares durante los meses de emergencia sanitaria o recuperación</w:t>
            </w:r>
          </w:p>
        </w:tc>
        <w:tc>
          <w:tcPr>
            <w:tcW w:w="1305" w:type="dxa"/>
            <w:vAlign w:val="center"/>
          </w:tcPr>
          <w:p w14:paraId="6052E3D7"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sidRPr="00DA4A0B">
              <w:rPr>
                <w:rStyle w:val="normaltextrun"/>
                <w:rFonts w:ascii="Arial" w:hAnsi="Arial" w:cs="Arial"/>
                <w:sz w:val="18"/>
                <w:szCs w:val="18"/>
                <w:lang w:val="es-ES"/>
              </w:rPr>
              <w:t>4</w:t>
            </w:r>
            <w:r>
              <w:rPr>
                <w:rStyle w:val="normaltextrun"/>
                <w:rFonts w:ascii="Arial" w:hAnsi="Arial" w:cs="Arial"/>
                <w:sz w:val="18"/>
                <w:szCs w:val="18"/>
                <w:lang w:val="es-ES"/>
              </w:rPr>
              <w:t>.</w:t>
            </w:r>
            <w:r w:rsidRPr="00DA4A0B">
              <w:rPr>
                <w:rStyle w:val="normaltextrun"/>
                <w:rFonts w:ascii="Arial" w:hAnsi="Arial" w:cs="Arial"/>
                <w:sz w:val="18"/>
                <w:szCs w:val="18"/>
                <w:lang w:val="es-ES"/>
              </w:rPr>
              <w:t>585</w:t>
            </w:r>
            <w:r>
              <w:rPr>
                <w:rStyle w:val="normaltextrun"/>
                <w:rFonts w:ascii="Arial" w:hAnsi="Arial" w:cs="Arial"/>
                <w:sz w:val="18"/>
                <w:szCs w:val="18"/>
                <w:lang w:val="es-ES"/>
              </w:rPr>
              <w:t>.</w:t>
            </w:r>
            <w:r w:rsidRPr="00DA4A0B">
              <w:rPr>
                <w:rStyle w:val="normaltextrun"/>
                <w:rFonts w:ascii="Arial" w:hAnsi="Arial" w:cs="Arial"/>
                <w:sz w:val="18"/>
                <w:szCs w:val="18"/>
                <w:lang w:val="es-ES"/>
              </w:rPr>
              <w:t>680</w:t>
            </w:r>
          </w:p>
        </w:tc>
        <w:tc>
          <w:tcPr>
            <w:tcW w:w="1261" w:type="dxa"/>
            <w:vAlign w:val="center"/>
          </w:tcPr>
          <w:p w14:paraId="66FB94A2"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332" w:type="dxa"/>
            <w:vAlign w:val="center"/>
          </w:tcPr>
          <w:p w14:paraId="5C81E969" w14:textId="77777777" w:rsidR="00A06AEB" w:rsidRPr="00DA4A0B" w:rsidRDefault="00A06AEB" w:rsidP="005B4465">
            <w:pPr>
              <w:spacing w:before="40" w:after="40" w:line="240" w:lineRule="auto"/>
              <w:jc w:val="center"/>
              <w:textAlignment w:val="baseline"/>
              <w:rPr>
                <w:rStyle w:val="normaltextrun"/>
                <w:rFonts w:ascii="Arial" w:hAnsi="Arial" w:cs="Arial"/>
                <w:sz w:val="18"/>
                <w:szCs w:val="18"/>
                <w:lang w:val="es-ES"/>
              </w:rPr>
            </w:pPr>
            <w:r w:rsidRPr="00DA4A0B">
              <w:rPr>
                <w:rStyle w:val="normaltextrun"/>
                <w:rFonts w:ascii="Arial" w:hAnsi="Arial" w:cs="Arial"/>
                <w:sz w:val="18"/>
                <w:szCs w:val="18"/>
                <w:lang w:val="es-ES"/>
              </w:rPr>
              <w:t>4</w:t>
            </w:r>
            <w:r>
              <w:rPr>
                <w:rStyle w:val="normaltextrun"/>
                <w:rFonts w:ascii="Arial" w:hAnsi="Arial" w:cs="Arial"/>
                <w:sz w:val="18"/>
                <w:szCs w:val="18"/>
                <w:lang w:val="es-ES"/>
              </w:rPr>
              <w:t>.</w:t>
            </w:r>
            <w:r w:rsidRPr="00DA4A0B">
              <w:rPr>
                <w:rStyle w:val="normaltextrun"/>
                <w:rFonts w:ascii="Arial" w:hAnsi="Arial" w:cs="Arial"/>
                <w:sz w:val="18"/>
                <w:szCs w:val="18"/>
                <w:lang w:val="es-ES"/>
              </w:rPr>
              <w:t>585</w:t>
            </w:r>
            <w:r>
              <w:rPr>
                <w:rStyle w:val="normaltextrun"/>
                <w:rFonts w:ascii="Arial" w:hAnsi="Arial" w:cs="Arial"/>
                <w:sz w:val="18"/>
                <w:szCs w:val="18"/>
                <w:lang w:val="es-ES"/>
              </w:rPr>
              <w:t>.</w:t>
            </w:r>
            <w:r w:rsidRPr="00DA4A0B">
              <w:rPr>
                <w:rStyle w:val="normaltextrun"/>
                <w:rFonts w:ascii="Arial" w:hAnsi="Arial" w:cs="Arial"/>
                <w:sz w:val="18"/>
                <w:szCs w:val="18"/>
                <w:lang w:val="es-ES"/>
              </w:rPr>
              <w:t>680</w:t>
            </w:r>
          </w:p>
        </w:tc>
      </w:tr>
      <w:tr w:rsidR="00A06AEB" w:rsidRPr="00FF1F14" w14:paraId="64627742" w14:textId="77777777" w:rsidTr="005B4465">
        <w:trPr>
          <w:trHeight w:val="525"/>
        </w:trPr>
        <w:tc>
          <w:tcPr>
            <w:tcW w:w="5265" w:type="dxa"/>
            <w:vAlign w:val="center"/>
          </w:tcPr>
          <w:p w14:paraId="160AD7F6" w14:textId="77777777" w:rsidR="00A06AEB" w:rsidRPr="00FF1F14" w:rsidRDefault="00A06AEB" w:rsidP="005B4465">
            <w:pPr>
              <w:spacing w:before="40" w:after="40" w:line="240" w:lineRule="auto"/>
              <w:ind w:left="165"/>
              <w:textAlignment w:val="baseline"/>
              <w:rPr>
                <w:rFonts w:ascii="Arial" w:hAnsi="Arial" w:cs="Arial"/>
                <w:b/>
                <w:bCs/>
                <w:sz w:val="18"/>
                <w:szCs w:val="18"/>
                <w:lang w:val="es-419" w:eastAsia="zh-CN"/>
              </w:rPr>
            </w:pPr>
            <w:r>
              <w:rPr>
                <w:rFonts w:ascii="Arial" w:hAnsi="Arial" w:cs="Arial"/>
                <w:b/>
                <w:bCs/>
                <w:sz w:val="18"/>
                <w:szCs w:val="18"/>
                <w:lang w:val="es-419" w:eastAsia="zh-CN"/>
              </w:rPr>
              <w:t>Subtotal</w:t>
            </w:r>
          </w:p>
        </w:tc>
        <w:tc>
          <w:tcPr>
            <w:tcW w:w="1305" w:type="dxa"/>
            <w:vAlign w:val="center"/>
          </w:tcPr>
          <w:p w14:paraId="390BB7D5"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rPr>
            </w:pPr>
            <w:r w:rsidRPr="00D167CB">
              <w:rPr>
                <w:rStyle w:val="normaltextrun"/>
                <w:rFonts w:ascii="Arial" w:hAnsi="Arial" w:cs="Arial"/>
                <w:b/>
                <w:bCs/>
                <w:sz w:val="18"/>
                <w:szCs w:val="18"/>
              </w:rPr>
              <w:t>54.746.020</w:t>
            </w:r>
          </w:p>
        </w:tc>
        <w:tc>
          <w:tcPr>
            <w:tcW w:w="1261" w:type="dxa"/>
            <w:vAlign w:val="center"/>
          </w:tcPr>
          <w:p w14:paraId="11983A74"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rPr>
            </w:pPr>
            <w:r w:rsidRPr="00D167CB">
              <w:rPr>
                <w:rStyle w:val="normaltextrun"/>
                <w:rFonts w:ascii="Arial" w:hAnsi="Arial" w:cs="Arial"/>
                <w:b/>
                <w:bCs/>
                <w:sz w:val="18"/>
                <w:szCs w:val="18"/>
              </w:rPr>
              <w:t>0</w:t>
            </w:r>
          </w:p>
        </w:tc>
        <w:tc>
          <w:tcPr>
            <w:tcW w:w="1332" w:type="dxa"/>
            <w:vAlign w:val="center"/>
          </w:tcPr>
          <w:p w14:paraId="18071FFA"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rPr>
            </w:pPr>
            <w:r w:rsidRPr="00D167CB">
              <w:rPr>
                <w:rStyle w:val="normaltextrun"/>
                <w:rFonts w:ascii="Arial" w:hAnsi="Arial" w:cs="Arial"/>
                <w:b/>
                <w:bCs/>
                <w:sz w:val="18"/>
                <w:szCs w:val="18"/>
              </w:rPr>
              <w:t>54.746.020</w:t>
            </w:r>
          </w:p>
        </w:tc>
      </w:tr>
      <w:tr w:rsidR="00A06AEB" w:rsidRPr="001A1DF9" w14:paraId="24167D02" w14:textId="77777777" w:rsidTr="00F313FA">
        <w:trPr>
          <w:trHeight w:val="525"/>
        </w:trPr>
        <w:tc>
          <w:tcPr>
            <w:tcW w:w="9163" w:type="dxa"/>
            <w:gridSpan w:val="4"/>
            <w:shd w:val="clear" w:color="auto" w:fill="D9D9D9" w:themeFill="background1" w:themeFillShade="D9"/>
            <w:vAlign w:val="center"/>
            <w:hideMark/>
          </w:tcPr>
          <w:p w14:paraId="30861D15" w14:textId="77777777" w:rsidR="00A06AEB" w:rsidRPr="0087570C" w:rsidRDefault="00A06AEB" w:rsidP="005B4465">
            <w:pPr>
              <w:spacing w:before="40" w:after="40" w:line="240" w:lineRule="auto"/>
              <w:textAlignment w:val="baseline"/>
              <w:rPr>
                <w:rStyle w:val="normaltextrun"/>
                <w:rFonts w:ascii="Arial" w:hAnsi="Arial" w:cs="Arial"/>
                <w:sz w:val="18"/>
                <w:szCs w:val="18"/>
                <w:lang w:val="es-ES_tradnl"/>
              </w:rPr>
            </w:pPr>
            <w:r w:rsidRPr="00FF1F14">
              <w:rPr>
                <w:rFonts w:ascii="Arial" w:hAnsi="Arial" w:cs="Arial"/>
                <w:b/>
                <w:bCs/>
                <w:sz w:val="18"/>
                <w:szCs w:val="18"/>
                <w:lang w:val="es-419" w:eastAsia="zh-CN"/>
              </w:rPr>
              <w:t xml:space="preserve">Componente 2. </w:t>
            </w:r>
            <w:r w:rsidRPr="00FF1F14">
              <w:rPr>
                <w:rFonts w:ascii="Arial" w:hAnsi="Arial" w:cs="Arial"/>
                <w:sz w:val="18"/>
                <w:szCs w:val="18"/>
                <w:lang w:val="es-CO"/>
              </w:rPr>
              <w:t xml:space="preserve">Protección para población vulnerable </w:t>
            </w:r>
            <w:r w:rsidRPr="00FF1F14">
              <w:rPr>
                <w:rFonts w:ascii="Arial" w:eastAsia="Arial" w:hAnsi="Arial" w:cs="Arial"/>
                <w:sz w:val="18"/>
                <w:szCs w:val="18"/>
                <w:lang w:val="es-CO"/>
              </w:rPr>
              <w:t xml:space="preserve">que no se encuentra en los padrones de programas de transferencias, y </w:t>
            </w:r>
            <w:r w:rsidRPr="00FF1F14">
              <w:rPr>
                <w:rFonts w:ascii="Arial" w:hAnsi="Arial" w:cs="Arial"/>
                <w:sz w:val="18"/>
                <w:szCs w:val="18"/>
                <w:lang w:val="es-CO"/>
              </w:rPr>
              <w:t>que trabajaba en el sector informal</w:t>
            </w:r>
          </w:p>
        </w:tc>
      </w:tr>
      <w:tr w:rsidR="00A06AEB" w:rsidRPr="00D167CB" w14:paraId="46E26F6A" w14:textId="77777777" w:rsidTr="005B4465">
        <w:trPr>
          <w:trHeight w:val="525"/>
        </w:trPr>
        <w:tc>
          <w:tcPr>
            <w:tcW w:w="5265" w:type="dxa"/>
            <w:vAlign w:val="center"/>
          </w:tcPr>
          <w:p w14:paraId="0DC6690E" w14:textId="77777777" w:rsidR="00A06AEB" w:rsidRPr="00D167CB" w:rsidRDefault="00A06AEB" w:rsidP="005B4465">
            <w:pPr>
              <w:spacing w:before="40" w:after="40" w:line="240" w:lineRule="auto"/>
              <w:ind w:left="165"/>
              <w:textAlignment w:val="baseline"/>
              <w:rPr>
                <w:rFonts w:ascii="Arial" w:hAnsi="Arial" w:cs="Arial"/>
                <w:b/>
                <w:bCs/>
                <w:sz w:val="18"/>
                <w:szCs w:val="18"/>
                <w:lang w:val="es-ES" w:eastAsia="zh-CN"/>
              </w:rPr>
            </w:pPr>
            <w:r>
              <w:rPr>
                <w:rStyle w:val="normaltextrun"/>
                <w:rFonts w:ascii="Arial" w:hAnsi="Arial" w:cs="Arial"/>
                <w:color w:val="000000"/>
                <w:sz w:val="18"/>
                <w:szCs w:val="18"/>
                <w:lang w:val="es-ES"/>
              </w:rPr>
              <w:t>Personas del sector informal o trabajadores independientes acreditadas en el programa Vale Digital que realiza al menos una compra financiada con el proyecto durante el periodo inmediato y durante la recuperación de la crisis causada por el coronavirus.</w:t>
            </w:r>
            <w:r w:rsidRPr="00D167CB">
              <w:rPr>
                <w:rStyle w:val="eop"/>
                <w:rFonts w:ascii="Arial" w:hAnsi="Arial" w:cs="Arial"/>
                <w:color w:val="000000"/>
                <w:sz w:val="18"/>
                <w:szCs w:val="18"/>
                <w:lang w:val="es-ES"/>
              </w:rPr>
              <w:t> </w:t>
            </w:r>
          </w:p>
        </w:tc>
        <w:tc>
          <w:tcPr>
            <w:tcW w:w="1305" w:type="dxa"/>
            <w:vAlign w:val="center"/>
          </w:tcPr>
          <w:p w14:paraId="0FB901D3" w14:textId="77777777" w:rsidR="00A06AEB" w:rsidRPr="00D167C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261" w:type="dxa"/>
            <w:vAlign w:val="center"/>
          </w:tcPr>
          <w:p w14:paraId="4787B6EC" w14:textId="77777777" w:rsidR="00A06AEB" w:rsidRPr="00D167C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54.942.410</w:t>
            </w:r>
          </w:p>
        </w:tc>
        <w:tc>
          <w:tcPr>
            <w:tcW w:w="1332" w:type="dxa"/>
            <w:vAlign w:val="center"/>
          </w:tcPr>
          <w:p w14:paraId="3C814936" w14:textId="77777777" w:rsidR="00A06AEB" w:rsidRPr="00D167C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54.942.410</w:t>
            </w:r>
          </w:p>
        </w:tc>
      </w:tr>
      <w:tr w:rsidR="00A06AEB" w:rsidRPr="00730456" w14:paraId="5D416401" w14:textId="77777777" w:rsidTr="005B4465">
        <w:trPr>
          <w:trHeight w:val="525"/>
        </w:trPr>
        <w:tc>
          <w:tcPr>
            <w:tcW w:w="5265" w:type="dxa"/>
            <w:vAlign w:val="center"/>
          </w:tcPr>
          <w:p w14:paraId="77D90454" w14:textId="77777777" w:rsidR="00A06AEB" w:rsidRPr="00FF1F14" w:rsidRDefault="00A06AEB" w:rsidP="005B4465">
            <w:pPr>
              <w:spacing w:before="40" w:after="40" w:line="240" w:lineRule="auto"/>
              <w:ind w:left="165"/>
              <w:textAlignment w:val="baseline"/>
              <w:rPr>
                <w:rFonts w:ascii="Arial" w:hAnsi="Arial" w:cs="Arial"/>
                <w:b/>
                <w:bCs/>
                <w:sz w:val="18"/>
                <w:szCs w:val="18"/>
                <w:lang w:val="es-419" w:eastAsia="zh-CN"/>
              </w:rPr>
            </w:pPr>
            <w:r>
              <w:rPr>
                <w:rFonts w:ascii="Arial" w:hAnsi="Arial" w:cs="Arial"/>
                <w:b/>
                <w:bCs/>
                <w:sz w:val="18"/>
                <w:szCs w:val="18"/>
                <w:lang w:val="es-419" w:eastAsia="zh-CN"/>
              </w:rPr>
              <w:t>Subtotal</w:t>
            </w:r>
          </w:p>
        </w:tc>
        <w:tc>
          <w:tcPr>
            <w:tcW w:w="1305" w:type="dxa"/>
            <w:vAlign w:val="center"/>
          </w:tcPr>
          <w:p w14:paraId="5B880E03"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lang w:val="es-ES"/>
              </w:rPr>
            </w:pPr>
            <w:r w:rsidRPr="00D167CB">
              <w:rPr>
                <w:rStyle w:val="normaltextrun"/>
                <w:rFonts w:ascii="Arial" w:hAnsi="Arial" w:cs="Arial"/>
                <w:b/>
                <w:bCs/>
                <w:sz w:val="18"/>
                <w:szCs w:val="18"/>
                <w:lang w:val="es-ES"/>
              </w:rPr>
              <w:t>0</w:t>
            </w:r>
          </w:p>
        </w:tc>
        <w:tc>
          <w:tcPr>
            <w:tcW w:w="1261" w:type="dxa"/>
            <w:vAlign w:val="center"/>
          </w:tcPr>
          <w:p w14:paraId="0D8E80E7"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lang w:val="es-ES"/>
              </w:rPr>
            </w:pPr>
            <w:r w:rsidRPr="00D167CB">
              <w:rPr>
                <w:rStyle w:val="normaltextrun"/>
                <w:rFonts w:ascii="Arial" w:hAnsi="Arial" w:cs="Arial"/>
                <w:b/>
                <w:bCs/>
                <w:sz w:val="18"/>
                <w:szCs w:val="18"/>
                <w:lang w:val="es-ES"/>
              </w:rPr>
              <w:t>54.942.410</w:t>
            </w:r>
          </w:p>
        </w:tc>
        <w:tc>
          <w:tcPr>
            <w:tcW w:w="1332" w:type="dxa"/>
            <w:vAlign w:val="center"/>
          </w:tcPr>
          <w:p w14:paraId="2EF3E267"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lang w:val="es-ES"/>
              </w:rPr>
            </w:pPr>
            <w:r w:rsidRPr="00D167CB">
              <w:rPr>
                <w:rStyle w:val="normaltextrun"/>
                <w:rFonts w:ascii="Arial" w:hAnsi="Arial" w:cs="Arial"/>
                <w:b/>
                <w:bCs/>
                <w:sz w:val="18"/>
                <w:szCs w:val="18"/>
                <w:lang w:val="es-ES"/>
              </w:rPr>
              <w:t>54.942.410</w:t>
            </w:r>
          </w:p>
        </w:tc>
      </w:tr>
      <w:tr w:rsidR="00A06AEB" w:rsidRPr="001A1DF9" w14:paraId="7B715899" w14:textId="77777777" w:rsidTr="00F313FA">
        <w:trPr>
          <w:trHeight w:val="525"/>
        </w:trPr>
        <w:tc>
          <w:tcPr>
            <w:tcW w:w="9163" w:type="dxa"/>
            <w:gridSpan w:val="4"/>
            <w:shd w:val="clear" w:color="auto" w:fill="D9D9D9" w:themeFill="background1" w:themeFillShade="D9"/>
            <w:vAlign w:val="center"/>
          </w:tcPr>
          <w:p w14:paraId="30A66B5B" w14:textId="77777777" w:rsidR="00A06AEB" w:rsidRPr="0087570C" w:rsidRDefault="00A06AEB" w:rsidP="005B4465">
            <w:pPr>
              <w:spacing w:before="40" w:after="40" w:line="240" w:lineRule="auto"/>
              <w:textAlignment w:val="baseline"/>
              <w:rPr>
                <w:rStyle w:val="normaltextrun"/>
                <w:rFonts w:ascii="Arial" w:hAnsi="Arial" w:cs="Arial"/>
                <w:sz w:val="18"/>
                <w:szCs w:val="18"/>
                <w:lang w:val="es-ES_tradnl"/>
              </w:rPr>
            </w:pPr>
            <w:r w:rsidRPr="00FF1F14">
              <w:rPr>
                <w:rFonts w:ascii="Arial" w:hAnsi="Arial" w:cs="Arial"/>
                <w:b/>
                <w:bCs/>
                <w:sz w:val="18"/>
                <w:szCs w:val="18"/>
                <w:lang w:val="es-419" w:eastAsia="zh-CN"/>
              </w:rPr>
              <w:t xml:space="preserve">Componente 3. </w:t>
            </w:r>
            <w:r w:rsidRPr="00FF1F14">
              <w:rPr>
                <w:rFonts w:ascii="Arial" w:hAnsi="Arial" w:cs="Arial"/>
                <w:sz w:val="18"/>
                <w:szCs w:val="18"/>
                <w:lang w:val="es-CO"/>
              </w:rPr>
              <w:t xml:space="preserve">Protección para población vulnerable </w:t>
            </w:r>
            <w:r w:rsidRPr="00FF1F14">
              <w:rPr>
                <w:rFonts w:ascii="Arial" w:eastAsia="Arial" w:hAnsi="Arial" w:cs="Arial"/>
                <w:sz w:val="18"/>
                <w:szCs w:val="18"/>
                <w:lang w:val="es-CO"/>
              </w:rPr>
              <w:t>que no se encuentra en los padrones de programas de transferencias, y</w:t>
            </w:r>
            <w:r w:rsidRPr="00FF1F14">
              <w:rPr>
                <w:rFonts w:ascii="Arial" w:hAnsi="Arial" w:cs="Arial"/>
                <w:sz w:val="18"/>
                <w:szCs w:val="18"/>
                <w:lang w:val="es-CO"/>
              </w:rPr>
              <w:t xml:space="preserve"> que ya no trabajan en el sector formal</w:t>
            </w:r>
          </w:p>
        </w:tc>
      </w:tr>
      <w:tr w:rsidR="00A06AEB" w:rsidRPr="00D167CB" w14:paraId="56241175" w14:textId="77777777" w:rsidTr="005B4465">
        <w:trPr>
          <w:trHeight w:val="525"/>
        </w:trPr>
        <w:tc>
          <w:tcPr>
            <w:tcW w:w="5265" w:type="dxa"/>
            <w:vAlign w:val="center"/>
          </w:tcPr>
          <w:p w14:paraId="4660DDEB" w14:textId="77777777" w:rsidR="00A06AEB" w:rsidRPr="00D167CB" w:rsidRDefault="00A06AEB" w:rsidP="005B4465">
            <w:pPr>
              <w:spacing w:before="40" w:after="40" w:line="240" w:lineRule="auto"/>
              <w:ind w:left="165"/>
              <w:textAlignment w:val="baseline"/>
              <w:rPr>
                <w:rFonts w:ascii="Arial" w:hAnsi="Arial" w:cs="Arial"/>
                <w:b/>
                <w:bCs/>
                <w:sz w:val="18"/>
                <w:szCs w:val="18"/>
                <w:lang w:val="es-ES" w:eastAsia="zh-CN"/>
              </w:rPr>
            </w:pPr>
            <w:r>
              <w:rPr>
                <w:rStyle w:val="normaltextrun"/>
                <w:rFonts w:ascii="Arial" w:hAnsi="Arial" w:cs="Arial"/>
                <w:color w:val="000000"/>
                <w:sz w:val="18"/>
                <w:szCs w:val="18"/>
                <w:lang w:val="es-ES"/>
              </w:rPr>
              <w:t>Personas del sector formal acreditadas en el programa Vale Digital que realiza al menos una compra financiada con el proyecto durante el periodo inmediato y durante la recuperación de la crisis causada por el coronavirus.</w:t>
            </w:r>
            <w:r w:rsidRPr="00D167CB">
              <w:rPr>
                <w:rStyle w:val="eop"/>
                <w:rFonts w:ascii="Arial" w:hAnsi="Arial" w:cs="Arial"/>
                <w:color w:val="000000"/>
                <w:sz w:val="18"/>
                <w:szCs w:val="18"/>
                <w:lang w:val="es-ES"/>
              </w:rPr>
              <w:t> </w:t>
            </w:r>
          </w:p>
        </w:tc>
        <w:tc>
          <w:tcPr>
            <w:tcW w:w="1305" w:type="dxa"/>
            <w:vAlign w:val="center"/>
          </w:tcPr>
          <w:p w14:paraId="0D2E4F6D" w14:textId="77777777" w:rsidR="00A06AEB" w:rsidRPr="00D167C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261" w:type="dxa"/>
            <w:vAlign w:val="center"/>
          </w:tcPr>
          <w:p w14:paraId="44A9ADE9" w14:textId="77777777" w:rsidR="00A06AEB" w:rsidRPr="00D167C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13.735.602</w:t>
            </w:r>
          </w:p>
        </w:tc>
        <w:tc>
          <w:tcPr>
            <w:tcW w:w="1332" w:type="dxa"/>
            <w:vAlign w:val="center"/>
          </w:tcPr>
          <w:p w14:paraId="3C81AF04" w14:textId="77777777" w:rsidR="00A06AEB" w:rsidRPr="00D167CB"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13.735.602</w:t>
            </w:r>
          </w:p>
        </w:tc>
      </w:tr>
      <w:tr w:rsidR="00A06AEB" w:rsidRPr="00730456" w14:paraId="06D3CD80" w14:textId="77777777" w:rsidTr="005B4465">
        <w:trPr>
          <w:trHeight w:val="525"/>
        </w:trPr>
        <w:tc>
          <w:tcPr>
            <w:tcW w:w="5265" w:type="dxa"/>
            <w:vAlign w:val="center"/>
          </w:tcPr>
          <w:p w14:paraId="40BE89A6" w14:textId="77777777" w:rsidR="00A06AEB" w:rsidRPr="00FF1F14" w:rsidRDefault="00A06AEB" w:rsidP="005B4465">
            <w:pPr>
              <w:spacing w:before="40" w:after="40" w:line="240" w:lineRule="auto"/>
              <w:ind w:left="165"/>
              <w:textAlignment w:val="baseline"/>
              <w:rPr>
                <w:rFonts w:ascii="Arial" w:hAnsi="Arial" w:cs="Arial"/>
                <w:b/>
                <w:bCs/>
                <w:sz w:val="18"/>
                <w:szCs w:val="18"/>
                <w:lang w:val="es-419" w:eastAsia="zh-CN"/>
              </w:rPr>
            </w:pPr>
            <w:r>
              <w:rPr>
                <w:rFonts w:ascii="Arial" w:hAnsi="Arial" w:cs="Arial"/>
                <w:b/>
                <w:bCs/>
                <w:sz w:val="18"/>
                <w:szCs w:val="18"/>
                <w:lang w:val="es-419" w:eastAsia="zh-CN"/>
              </w:rPr>
              <w:t>Subtotal</w:t>
            </w:r>
          </w:p>
        </w:tc>
        <w:tc>
          <w:tcPr>
            <w:tcW w:w="1305" w:type="dxa"/>
            <w:vAlign w:val="center"/>
          </w:tcPr>
          <w:p w14:paraId="68B37E78"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lang w:val="es-ES"/>
              </w:rPr>
            </w:pPr>
            <w:r w:rsidRPr="00D167CB">
              <w:rPr>
                <w:rStyle w:val="normaltextrun"/>
                <w:rFonts w:ascii="Arial" w:hAnsi="Arial" w:cs="Arial"/>
                <w:b/>
                <w:bCs/>
                <w:sz w:val="18"/>
                <w:szCs w:val="18"/>
                <w:lang w:val="es-ES"/>
              </w:rPr>
              <w:t>0</w:t>
            </w:r>
          </w:p>
        </w:tc>
        <w:tc>
          <w:tcPr>
            <w:tcW w:w="1261" w:type="dxa"/>
            <w:vAlign w:val="center"/>
          </w:tcPr>
          <w:p w14:paraId="4907A147"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lang w:val="es-ES"/>
              </w:rPr>
            </w:pPr>
            <w:r w:rsidRPr="00D167CB">
              <w:rPr>
                <w:rStyle w:val="normaltextrun"/>
                <w:rFonts w:ascii="Arial" w:hAnsi="Arial" w:cs="Arial"/>
                <w:b/>
                <w:bCs/>
                <w:sz w:val="18"/>
                <w:szCs w:val="18"/>
                <w:lang w:val="es-ES"/>
              </w:rPr>
              <w:t>13.735.602</w:t>
            </w:r>
          </w:p>
        </w:tc>
        <w:tc>
          <w:tcPr>
            <w:tcW w:w="1332" w:type="dxa"/>
            <w:vAlign w:val="center"/>
          </w:tcPr>
          <w:p w14:paraId="44C2F8E9" w14:textId="77777777" w:rsidR="00A06AEB" w:rsidRPr="00D167CB" w:rsidRDefault="00A06AEB" w:rsidP="005B4465">
            <w:pPr>
              <w:spacing w:before="40" w:after="40" w:line="240" w:lineRule="auto"/>
              <w:jc w:val="center"/>
              <w:textAlignment w:val="baseline"/>
              <w:rPr>
                <w:rStyle w:val="normaltextrun"/>
                <w:rFonts w:ascii="Arial" w:hAnsi="Arial" w:cs="Arial"/>
                <w:b/>
                <w:bCs/>
                <w:sz w:val="18"/>
                <w:szCs w:val="18"/>
                <w:lang w:val="es-ES"/>
              </w:rPr>
            </w:pPr>
            <w:r w:rsidRPr="00D167CB">
              <w:rPr>
                <w:rStyle w:val="normaltextrun"/>
                <w:rFonts w:ascii="Arial" w:hAnsi="Arial" w:cs="Arial"/>
                <w:b/>
                <w:bCs/>
                <w:sz w:val="18"/>
                <w:szCs w:val="18"/>
                <w:lang w:val="es-ES"/>
              </w:rPr>
              <w:t>13.735.602</w:t>
            </w:r>
          </w:p>
        </w:tc>
      </w:tr>
      <w:tr w:rsidR="00A06AEB" w:rsidRPr="00FF1F14" w14:paraId="0DCDDE97" w14:textId="77777777" w:rsidTr="005B4465">
        <w:trPr>
          <w:trHeight w:val="385"/>
        </w:trPr>
        <w:tc>
          <w:tcPr>
            <w:tcW w:w="5265" w:type="dxa"/>
            <w:vAlign w:val="center"/>
            <w:hideMark/>
          </w:tcPr>
          <w:p w14:paraId="067F6C96" w14:textId="77777777" w:rsidR="00A06AEB" w:rsidRPr="00FF1F14" w:rsidRDefault="00A06AEB" w:rsidP="005B4465">
            <w:pPr>
              <w:spacing w:before="40" w:after="40" w:line="240" w:lineRule="auto"/>
              <w:ind w:left="165"/>
              <w:jc w:val="both"/>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t>Auditoría y evaluación</w:t>
            </w:r>
          </w:p>
        </w:tc>
        <w:tc>
          <w:tcPr>
            <w:tcW w:w="1305" w:type="dxa"/>
            <w:vAlign w:val="center"/>
          </w:tcPr>
          <w:p w14:paraId="61757C19" w14:textId="77777777" w:rsidR="00A06AEB" w:rsidRPr="00FF1F14"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261" w:type="dxa"/>
            <w:vAlign w:val="center"/>
          </w:tcPr>
          <w:p w14:paraId="7326C177" w14:textId="77777777" w:rsidR="00A06AEB" w:rsidRPr="00FF1F14" w:rsidRDefault="00A06AEB" w:rsidP="005B4465">
            <w:pPr>
              <w:spacing w:before="40" w:after="40" w:line="240" w:lineRule="auto"/>
              <w:jc w:val="center"/>
              <w:textAlignment w:val="baseline"/>
              <w:rPr>
                <w:rStyle w:val="normaltextrun"/>
                <w:rFonts w:ascii="Arial" w:hAnsi="Arial" w:cs="Arial"/>
                <w:sz w:val="18"/>
                <w:szCs w:val="18"/>
                <w:lang w:val="es-ES"/>
              </w:rPr>
            </w:pPr>
            <w:r>
              <w:rPr>
                <w:rStyle w:val="normaltextrun"/>
                <w:rFonts w:ascii="Arial" w:hAnsi="Arial" w:cs="Arial"/>
                <w:sz w:val="18"/>
                <w:szCs w:val="18"/>
                <w:lang w:val="es-ES"/>
              </w:rPr>
              <w:t>0</w:t>
            </w:r>
          </w:p>
        </w:tc>
        <w:tc>
          <w:tcPr>
            <w:tcW w:w="1332" w:type="dxa"/>
            <w:vAlign w:val="center"/>
            <w:hideMark/>
          </w:tcPr>
          <w:p w14:paraId="30D8F222" w14:textId="77777777" w:rsidR="00A06AEB" w:rsidRPr="00FF1F14" w:rsidRDefault="00A06AEB" w:rsidP="005B4465">
            <w:pPr>
              <w:spacing w:before="40" w:after="40" w:line="240" w:lineRule="auto"/>
              <w:jc w:val="center"/>
              <w:textAlignment w:val="baseline"/>
              <w:rPr>
                <w:rFonts w:ascii="Arial" w:hAnsi="Arial" w:cs="Arial"/>
                <w:sz w:val="18"/>
                <w:szCs w:val="18"/>
                <w:lang w:val="es-ES"/>
              </w:rPr>
            </w:pPr>
            <w:r w:rsidRPr="00FF1F14">
              <w:rPr>
                <w:rStyle w:val="normaltextrun"/>
                <w:rFonts w:ascii="Arial" w:hAnsi="Arial" w:cs="Arial"/>
                <w:sz w:val="18"/>
                <w:szCs w:val="18"/>
                <w:lang w:val="es-ES"/>
              </w:rPr>
              <w:t>50</w:t>
            </w:r>
            <w:r>
              <w:rPr>
                <w:rStyle w:val="normaltextrun"/>
                <w:rFonts w:ascii="Arial" w:hAnsi="Arial" w:cs="Arial"/>
                <w:sz w:val="18"/>
                <w:szCs w:val="18"/>
                <w:lang w:val="es-ES"/>
              </w:rPr>
              <w:t>.</w:t>
            </w:r>
            <w:r w:rsidRPr="00FF1F14">
              <w:rPr>
                <w:rStyle w:val="normaltextrun"/>
                <w:rFonts w:ascii="Arial" w:hAnsi="Arial" w:cs="Arial"/>
                <w:sz w:val="18"/>
                <w:szCs w:val="18"/>
                <w:lang w:val="es-ES"/>
              </w:rPr>
              <w:t>000</w:t>
            </w:r>
          </w:p>
        </w:tc>
      </w:tr>
      <w:tr w:rsidR="00A06AEB" w:rsidRPr="00FF1F14" w14:paraId="79BB275F" w14:textId="77777777" w:rsidTr="005B4465">
        <w:trPr>
          <w:trHeight w:val="420"/>
        </w:trPr>
        <w:tc>
          <w:tcPr>
            <w:tcW w:w="5265" w:type="dxa"/>
            <w:shd w:val="clear" w:color="auto" w:fill="D9D9D9" w:themeFill="background1" w:themeFillShade="D9"/>
            <w:vAlign w:val="center"/>
            <w:hideMark/>
          </w:tcPr>
          <w:p w14:paraId="2DE11156" w14:textId="77777777" w:rsidR="00A06AEB" w:rsidRPr="00FF1F14" w:rsidRDefault="00A06AEB" w:rsidP="005B4465">
            <w:pPr>
              <w:spacing w:before="40" w:after="40" w:line="240" w:lineRule="auto"/>
              <w:ind w:left="165"/>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t>Total </w:t>
            </w:r>
          </w:p>
        </w:tc>
        <w:tc>
          <w:tcPr>
            <w:tcW w:w="1305" w:type="dxa"/>
            <w:shd w:val="clear" w:color="auto" w:fill="D9D9D9" w:themeFill="background1" w:themeFillShade="D9"/>
            <w:vAlign w:val="center"/>
          </w:tcPr>
          <w:p w14:paraId="2E62D8D9" w14:textId="77777777" w:rsidR="00A06AEB" w:rsidRPr="00FF1F14" w:rsidRDefault="00A06AEB" w:rsidP="005B4465">
            <w:pPr>
              <w:spacing w:before="40" w:after="40" w:line="240" w:lineRule="auto"/>
              <w:ind w:left="165"/>
              <w:jc w:val="center"/>
              <w:textAlignment w:val="baseline"/>
              <w:rPr>
                <w:rFonts w:ascii="Arial" w:hAnsi="Arial" w:cs="Arial"/>
                <w:b/>
                <w:bCs/>
                <w:sz w:val="18"/>
                <w:szCs w:val="18"/>
                <w:lang w:val="es-419" w:eastAsia="zh-CN"/>
              </w:rPr>
            </w:pPr>
            <w:r w:rsidRPr="00D167CB">
              <w:rPr>
                <w:rStyle w:val="normaltextrun"/>
                <w:rFonts w:ascii="Arial" w:hAnsi="Arial" w:cs="Arial"/>
                <w:b/>
                <w:bCs/>
                <w:sz w:val="18"/>
                <w:szCs w:val="18"/>
              </w:rPr>
              <w:t>54.746.020</w:t>
            </w:r>
          </w:p>
        </w:tc>
        <w:tc>
          <w:tcPr>
            <w:tcW w:w="1261" w:type="dxa"/>
            <w:shd w:val="clear" w:color="auto" w:fill="D9D9D9" w:themeFill="background1" w:themeFillShade="D9"/>
            <w:vAlign w:val="center"/>
          </w:tcPr>
          <w:p w14:paraId="2125D70C" w14:textId="77777777" w:rsidR="00A06AEB" w:rsidRPr="0087570C" w:rsidRDefault="00A06AEB" w:rsidP="005B4465">
            <w:pPr>
              <w:spacing w:before="40" w:after="40" w:line="240" w:lineRule="auto"/>
              <w:ind w:left="165"/>
              <w:jc w:val="center"/>
              <w:textAlignment w:val="baseline"/>
              <w:rPr>
                <w:rFonts w:ascii="Arial" w:eastAsia="Arial" w:hAnsi="Arial" w:cs="Arial"/>
                <w:b/>
                <w:bCs/>
                <w:sz w:val="18"/>
                <w:szCs w:val="18"/>
                <w:lang w:val="es-419" w:eastAsia="zh-CN"/>
              </w:rPr>
            </w:pPr>
            <w:r w:rsidRPr="0087570C">
              <w:rPr>
                <w:rFonts w:ascii="Arial" w:eastAsia="Arial" w:hAnsi="Arial" w:cs="Arial"/>
                <w:b/>
                <w:bCs/>
                <w:sz w:val="18"/>
                <w:szCs w:val="18"/>
                <w:lang w:val="es-419" w:eastAsia="zh-CN"/>
              </w:rPr>
              <w:t>68</w:t>
            </w:r>
            <w:r w:rsidRPr="707ADAB7">
              <w:rPr>
                <w:rFonts w:ascii="Arial" w:eastAsia="Arial" w:hAnsi="Arial" w:cs="Arial"/>
                <w:b/>
                <w:bCs/>
                <w:sz w:val="18"/>
                <w:szCs w:val="18"/>
                <w:lang w:val="es-419" w:eastAsia="zh-CN"/>
              </w:rPr>
              <w:t>.</w:t>
            </w:r>
            <w:r w:rsidRPr="0087570C">
              <w:rPr>
                <w:rFonts w:ascii="Arial" w:eastAsia="Arial" w:hAnsi="Arial" w:cs="Arial"/>
                <w:b/>
                <w:bCs/>
                <w:sz w:val="18"/>
                <w:szCs w:val="18"/>
                <w:lang w:val="es-419" w:eastAsia="zh-CN"/>
              </w:rPr>
              <w:t>728</w:t>
            </w:r>
            <w:r w:rsidRPr="707ADAB7">
              <w:rPr>
                <w:rFonts w:ascii="Arial" w:eastAsia="Arial" w:hAnsi="Arial" w:cs="Arial"/>
                <w:b/>
                <w:bCs/>
                <w:sz w:val="18"/>
                <w:szCs w:val="18"/>
                <w:lang w:val="es-419" w:eastAsia="zh-CN"/>
              </w:rPr>
              <w:t>.</w:t>
            </w:r>
            <w:r w:rsidRPr="0087570C">
              <w:rPr>
                <w:rFonts w:ascii="Arial" w:eastAsia="Arial" w:hAnsi="Arial" w:cs="Arial"/>
                <w:b/>
                <w:bCs/>
                <w:sz w:val="18"/>
                <w:szCs w:val="18"/>
                <w:lang w:val="es-419" w:eastAsia="zh-CN"/>
              </w:rPr>
              <w:t>012</w:t>
            </w:r>
          </w:p>
        </w:tc>
        <w:tc>
          <w:tcPr>
            <w:tcW w:w="1332" w:type="dxa"/>
            <w:shd w:val="clear" w:color="auto" w:fill="D9D9D9" w:themeFill="background1" w:themeFillShade="D9"/>
            <w:vAlign w:val="center"/>
            <w:hideMark/>
          </w:tcPr>
          <w:p w14:paraId="43B7B582" w14:textId="77777777" w:rsidR="00A06AEB" w:rsidRPr="00FF1F14" w:rsidRDefault="00A06AEB" w:rsidP="005B4465">
            <w:pPr>
              <w:spacing w:before="40" w:after="40" w:line="240" w:lineRule="auto"/>
              <w:ind w:left="165"/>
              <w:jc w:val="center"/>
              <w:textAlignment w:val="baseline"/>
              <w:rPr>
                <w:rFonts w:ascii="Arial" w:hAnsi="Arial" w:cs="Arial"/>
                <w:b/>
                <w:bCs/>
                <w:sz w:val="18"/>
                <w:szCs w:val="18"/>
                <w:lang w:val="es-ES"/>
              </w:rPr>
            </w:pPr>
            <w:r w:rsidRPr="00FF1F14">
              <w:rPr>
                <w:rFonts w:ascii="Arial" w:hAnsi="Arial" w:cs="Arial"/>
                <w:b/>
                <w:bCs/>
                <w:sz w:val="18"/>
                <w:szCs w:val="18"/>
                <w:lang w:val="es-419" w:eastAsia="zh-CN"/>
              </w:rPr>
              <w:t>123</w:t>
            </w:r>
            <w:r>
              <w:rPr>
                <w:rFonts w:ascii="Arial" w:hAnsi="Arial" w:cs="Arial"/>
                <w:b/>
                <w:bCs/>
                <w:sz w:val="18"/>
                <w:szCs w:val="18"/>
                <w:lang w:val="es-419" w:eastAsia="zh-CN"/>
              </w:rPr>
              <w:t>.</w:t>
            </w:r>
            <w:r w:rsidRPr="00FF1F14">
              <w:rPr>
                <w:rFonts w:ascii="Arial" w:hAnsi="Arial" w:cs="Arial"/>
                <w:b/>
                <w:bCs/>
                <w:sz w:val="18"/>
                <w:szCs w:val="18"/>
                <w:lang w:val="es-419" w:eastAsia="zh-CN"/>
              </w:rPr>
              <w:t>474</w:t>
            </w:r>
            <w:r>
              <w:rPr>
                <w:rFonts w:ascii="Arial" w:hAnsi="Arial" w:cs="Arial"/>
                <w:b/>
                <w:bCs/>
                <w:sz w:val="18"/>
                <w:szCs w:val="18"/>
                <w:lang w:val="es-419" w:eastAsia="zh-CN"/>
              </w:rPr>
              <w:t>.</w:t>
            </w:r>
            <w:r w:rsidRPr="00FF1F14">
              <w:rPr>
                <w:rFonts w:ascii="Arial" w:hAnsi="Arial" w:cs="Arial"/>
                <w:b/>
                <w:bCs/>
                <w:sz w:val="18"/>
                <w:szCs w:val="18"/>
                <w:lang w:val="es-419" w:eastAsia="zh-CN"/>
              </w:rPr>
              <w:t>032</w:t>
            </w:r>
          </w:p>
        </w:tc>
      </w:tr>
    </w:tbl>
    <w:p w14:paraId="338CA0AC" w14:textId="77777777" w:rsidR="00A06AEB" w:rsidRDefault="00A06AEB" w:rsidP="005E506E">
      <w:pPr>
        <w:spacing w:after="0" w:line="288" w:lineRule="auto"/>
        <w:jc w:val="center"/>
        <w:rPr>
          <w:rFonts w:ascii="Arial" w:hAnsi="Arial" w:cs="Arial"/>
          <w:b/>
          <w:bCs/>
          <w:sz w:val="18"/>
          <w:szCs w:val="18"/>
          <w:lang w:val="es-ES"/>
        </w:rPr>
      </w:pPr>
    </w:p>
    <w:p w14:paraId="5C8E19CE" w14:textId="77777777" w:rsidR="00A06AEB" w:rsidRDefault="00A06AEB" w:rsidP="005E506E">
      <w:pPr>
        <w:spacing w:after="0" w:line="288" w:lineRule="auto"/>
        <w:jc w:val="center"/>
        <w:rPr>
          <w:rFonts w:ascii="Arial" w:hAnsi="Arial" w:cs="Arial"/>
          <w:b/>
          <w:bCs/>
          <w:sz w:val="18"/>
          <w:szCs w:val="18"/>
          <w:lang w:val="es-ES"/>
        </w:rPr>
      </w:pPr>
    </w:p>
    <w:p w14:paraId="3333EDF3" w14:textId="77777777" w:rsidR="00A06AEB" w:rsidRDefault="00A06AEB" w:rsidP="005E506E">
      <w:pPr>
        <w:spacing w:after="0" w:line="288" w:lineRule="auto"/>
        <w:jc w:val="center"/>
        <w:rPr>
          <w:rFonts w:ascii="Arial" w:hAnsi="Arial" w:cs="Arial"/>
          <w:b/>
          <w:bCs/>
          <w:sz w:val="18"/>
          <w:szCs w:val="18"/>
          <w:lang w:val="es-ES"/>
        </w:rPr>
      </w:pPr>
    </w:p>
    <w:p w14:paraId="02EF3125" w14:textId="5280D338" w:rsidR="004078EC" w:rsidRPr="00FF1F14" w:rsidRDefault="00D919E2" w:rsidP="005E506E">
      <w:pPr>
        <w:spacing w:after="0" w:line="288" w:lineRule="auto"/>
        <w:jc w:val="center"/>
        <w:rPr>
          <w:rFonts w:ascii="Segoe UI" w:eastAsia="Times New Roman" w:hAnsi="Segoe UI" w:cs="Segoe UI"/>
          <w:b/>
          <w:bCs/>
          <w:sz w:val="18"/>
          <w:szCs w:val="18"/>
          <w:lang w:val="es-ES"/>
        </w:rPr>
      </w:pPr>
      <w:r w:rsidRPr="00FF1F14">
        <w:rPr>
          <w:rFonts w:ascii="Arial" w:hAnsi="Arial" w:cs="Arial"/>
          <w:b/>
          <w:bCs/>
          <w:sz w:val="18"/>
          <w:szCs w:val="18"/>
          <w:lang w:val="es-ES"/>
        </w:rPr>
        <w:t>Tabl</w:t>
      </w:r>
      <w:r w:rsidR="00B102DD" w:rsidRPr="00FF1F14">
        <w:rPr>
          <w:rFonts w:ascii="Arial" w:hAnsi="Arial" w:cs="Arial"/>
          <w:b/>
          <w:bCs/>
          <w:sz w:val="18"/>
          <w:szCs w:val="18"/>
          <w:lang w:val="es-ES"/>
        </w:rPr>
        <w:t>a</w:t>
      </w:r>
      <w:r w:rsidRPr="00FF1F14">
        <w:rPr>
          <w:rFonts w:ascii="Arial" w:hAnsi="Arial" w:cs="Arial"/>
          <w:b/>
          <w:bCs/>
          <w:sz w:val="18"/>
          <w:szCs w:val="18"/>
          <w:lang w:val="es-ES"/>
        </w:rPr>
        <w:t xml:space="preserve"> </w:t>
      </w:r>
      <w:r w:rsidR="0015541E" w:rsidRPr="00FF1F14">
        <w:rPr>
          <w:rFonts w:ascii="Arial" w:hAnsi="Arial" w:cs="Arial"/>
          <w:b/>
          <w:bCs/>
          <w:sz w:val="18"/>
          <w:szCs w:val="18"/>
          <w:lang w:val="es-ES"/>
        </w:rPr>
        <w:t>4</w:t>
      </w:r>
      <w:r w:rsidR="005E506E" w:rsidRPr="00FF1F14">
        <w:rPr>
          <w:rFonts w:ascii="Arial" w:hAnsi="Arial" w:cs="Arial"/>
          <w:b/>
          <w:bCs/>
          <w:sz w:val="18"/>
          <w:szCs w:val="18"/>
          <w:lang w:val="es-ES"/>
        </w:rPr>
        <w:t xml:space="preserve">. </w:t>
      </w:r>
      <w:r w:rsidR="001F6C6F" w:rsidRPr="00FF1F14">
        <w:rPr>
          <w:rFonts w:ascii="Arial" w:eastAsia="Times New Roman" w:hAnsi="Arial" w:cs="Arial"/>
          <w:b/>
          <w:bCs/>
          <w:sz w:val="18"/>
          <w:szCs w:val="18"/>
          <w:lang w:val="es-ES"/>
        </w:rPr>
        <w:t>Indicadores de producto</w:t>
      </w:r>
    </w:p>
    <w:tbl>
      <w:tblPr>
        <w:tblW w:w="8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0"/>
        <w:gridCol w:w="1530"/>
      </w:tblGrid>
      <w:tr w:rsidR="006C1331" w:rsidRPr="00FF1F14" w14:paraId="20058022" w14:textId="77777777" w:rsidTr="00FF1F14">
        <w:trPr>
          <w:trHeight w:val="435"/>
        </w:trPr>
        <w:tc>
          <w:tcPr>
            <w:tcW w:w="7460" w:type="dxa"/>
            <w:shd w:val="clear" w:color="auto" w:fill="8DB3E2" w:themeFill="text2" w:themeFillTint="66"/>
            <w:vAlign w:val="center"/>
          </w:tcPr>
          <w:p w14:paraId="63B4B239" w14:textId="08DC52F2" w:rsidR="006C1331" w:rsidRPr="00FF1F14" w:rsidRDefault="006C1331" w:rsidP="006C1331">
            <w:pPr>
              <w:spacing w:before="40" w:after="40" w:line="240" w:lineRule="auto"/>
              <w:jc w:val="center"/>
              <w:textAlignment w:val="baseline"/>
              <w:rPr>
                <w:rFonts w:ascii="Arial" w:hAnsi="Arial" w:cs="Arial"/>
                <w:b/>
                <w:bCs/>
                <w:sz w:val="18"/>
                <w:szCs w:val="18"/>
                <w:lang w:val="es-ES"/>
              </w:rPr>
            </w:pPr>
            <w:r w:rsidRPr="00FF1F14">
              <w:rPr>
                <w:rFonts w:ascii="Arial" w:hAnsi="Arial" w:cs="Arial"/>
                <w:b/>
                <w:bCs/>
                <w:sz w:val="18"/>
                <w:szCs w:val="18"/>
                <w:lang w:val="es-ES"/>
              </w:rPr>
              <w:t>Descripción</w:t>
            </w:r>
          </w:p>
        </w:tc>
        <w:tc>
          <w:tcPr>
            <w:tcW w:w="1530" w:type="dxa"/>
            <w:shd w:val="clear" w:color="auto" w:fill="8DB3E2" w:themeFill="text2" w:themeFillTint="66"/>
            <w:vAlign w:val="center"/>
          </w:tcPr>
          <w:p w14:paraId="2626227B" w14:textId="088A05C6" w:rsidR="006C1331" w:rsidRPr="00FF1F14" w:rsidRDefault="006C1331" w:rsidP="006C1331">
            <w:pPr>
              <w:spacing w:before="40" w:after="40" w:line="240" w:lineRule="auto"/>
              <w:jc w:val="center"/>
              <w:textAlignment w:val="baseline"/>
              <w:rPr>
                <w:rFonts w:ascii="Arial" w:hAnsi="Arial" w:cs="Arial"/>
                <w:b/>
                <w:bCs/>
                <w:sz w:val="18"/>
                <w:szCs w:val="18"/>
                <w:lang w:val="es-ES"/>
              </w:rPr>
            </w:pPr>
            <w:r w:rsidRPr="00FF1F14">
              <w:rPr>
                <w:rFonts w:ascii="Arial" w:hAnsi="Arial" w:cs="Arial"/>
                <w:b/>
                <w:bCs/>
                <w:sz w:val="18"/>
                <w:szCs w:val="18"/>
                <w:lang w:val="es-ES"/>
              </w:rPr>
              <w:t>Monto US$</w:t>
            </w:r>
          </w:p>
        </w:tc>
      </w:tr>
      <w:tr w:rsidR="009609E8" w:rsidRPr="00FF1F14" w14:paraId="1FA3E951" w14:textId="77777777" w:rsidTr="00FF1F14">
        <w:trPr>
          <w:trHeight w:val="435"/>
        </w:trPr>
        <w:tc>
          <w:tcPr>
            <w:tcW w:w="7460" w:type="dxa"/>
            <w:vAlign w:val="center"/>
            <w:hideMark/>
          </w:tcPr>
          <w:p w14:paraId="396E2923" w14:textId="247C56A3" w:rsidR="009609E8" w:rsidRPr="00FF1F14" w:rsidRDefault="009609E8" w:rsidP="009609E8">
            <w:pPr>
              <w:spacing w:before="40" w:after="40" w:line="240" w:lineRule="auto"/>
              <w:ind w:left="165"/>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t xml:space="preserve">Componente 1: </w:t>
            </w:r>
            <w:r w:rsidRPr="00FF1F14">
              <w:rPr>
                <w:rFonts w:ascii="Arial" w:hAnsi="Arial" w:cs="Arial"/>
                <w:sz w:val="18"/>
                <w:szCs w:val="18"/>
                <w:lang w:val="es-419" w:eastAsia="zh-CN"/>
              </w:rPr>
              <w:t>Protección mediante el uso de programas de transferencias monetarias existentes</w:t>
            </w:r>
          </w:p>
        </w:tc>
        <w:tc>
          <w:tcPr>
            <w:tcW w:w="1530" w:type="dxa"/>
            <w:vAlign w:val="center"/>
          </w:tcPr>
          <w:p w14:paraId="522CE6ED" w14:textId="010A31D1" w:rsidR="009609E8" w:rsidRPr="00FF1F14" w:rsidRDefault="00B01EFD" w:rsidP="009609E8">
            <w:pPr>
              <w:spacing w:before="40" w:after="40" w:line="240" w:lineRule="auto"/>
              <w:jc w:val="right"/>
              <w:textAlignment w:val="baseline"/>
              <w:rPr>
                <w:rStyle w:val="normaltextrun"/>
                <w:rFonts w:ascii="Arial" w:hAnsi="Arial" w:cs="Arial"/>
                <w:sz w:val="18"/>
                <w:szCs w:val="18"/>
              </w:rPr>
            </w:pPr>
            <w:r w:rsidRPr="00FF1F14">
              <w:rPr>
                <w:rStyle w:val="normaltextrun"/>
                <w:rFonts w:ascii="Arial" w:hAnsi="Arial" w:cs="Arial"/>
                <w:sz w:val="18"/>
                <w:szCs w:val="18"/>
              </w:rPr>
              <w:t>58</w:t>
            </w:r>
            <w:r w:rsidR="00E141CE">
              <w:rPr>
                <w:rStyle w:val="normaltextrun"/>
                <w:rFonts w:ascii="Arial" w:hAnsi="Arial" w:cs="Arial"/>
                <w:sz w:val="18"/>
                <w:szCs w:val="18"/>
              </w:rPr>
              <w:t>.</w:t>
            </w:r>
            <w:r w:rsidRPr="00FF1F14">
              <w:rPr>
                <w:rStyle w:val="normaltextrun"/>
                <w:rFonts w:ascii="Arial" w:hAnsi="Arial" w:cs="Arial"/>
                <w:sz w:val="18"/>
                <w:szCs w:val="18"/>
              </w:rPr>
              <w:t>470</w:t>
            </w:r>
            <w:r w:rsidR="00E141CE">
              <w:rPr>
                <w:rStyle w:val="normaltextrun"/>
                <w:rFonts w:ascii="Arial" w:hAnsi="Arial" w:cs="Arial"/>
                <w:sz w:val="18"/>
                <w:szCs w:val="18"/>
              </w:rPr>
              <w:t>.</w:t>
            </w:r>
            <w:r w:rsidRPr="00FF1F14">
              <w:rPr>
                <w:rStyle w:val="normaltextrun"/>
                <w:rFonts w:ascii="Arial" w:hAnsi="Arial" w:cs="Arial"/>
                <w:sz w:val="18"/>
                <w:szCs w:val="18"/>
              </w:rPr>
              <w:t>870</w:t>
            </w:r>
          </w:p>
        </w:tc>
      </w:tr>
      <w:tr w:rsidR="009609E8" w:rsidRPr="00FF1F14" w14:paraId="48156057" w14:textId="77777777" w:rsidTr="00FF1F14">
        <w:trPr>
          <w:trHeight w:val="525"/>
        </w:trPr>
        <w:tc>
          <w:tcPr>
            <w:tcW w:w="7460" w:type="dxa"/>
            <w:vAlign w:val="center"/>
            <w:hideMark/>
          </w:tcPr>
          <w:p w14:paraId="6E3A8C62" w14:textId="3C9CDFC3" w:rsidR="009609E8" w:rsidRPr="00FF1F14" w:rsidRDefault="009609E8" w:rsidP="009609E8">
            <w:pPr>
              <w:spacing w:before="40" w:after="40" w:line="240" w:lineRule="auto"/>
              <w:ind w:left="165"/>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t xml:space="preserve">Componente 2. </w:t>
            </w:r>
            <w:r w:rsidR="00E0757C" w:rsidRPr="00FF1F14">
              <w:rPr>
                <w:rFonts w:ascii="Arial" w:hAnsi="Arial" w:cs="Arial"/>
                <w:sz w:val="18"/>
                <w:szCs w:val="18"/>
                <w:lang w:val="es-CO"/>
              </w:rPr>
              <w:t xml:space="preserve">Protección para población vulnerable </w:t>
            </w:r>
            <w:r w:rsidR="00E0757C" w:rsidRPr="00FF1F14">
              <w:rPr>
                <w:rFonts w:ascii="Arial" w:eastAsia="Arial" w:hAnsi="Arial" w:cs="Arial"/>
                <w:sz w:val="18"/>
                <w:szCs w:val="18"/>
                <w:lang w:val="es-CO"/>
              </w:rPr>
              <w:t xml:space="preserve">que no se encuentra en los padrones de programas de transferencias, y </w:t>
            </w:r>
            <w:r w:rsidR="00E0757C" w:rsidRPr="00FF1F14">
              <w:rPr>
                <w:rFonts w:ascii="Arial" w:hAnsi="Arial" w:cs="Arial"/>
                <w:sz w:val="18"/>
                <w:szCs w:val="18"/>
                <w:lang w:val="es-CO"/>
              </w:rPr>
              <w:t>que trabajaba en el sector informal</w:t>
            </w:r>
          </w:p>
        </w:tc>
        <w:tc>
          <w:tcPr>
            <w:tcW w:w="1530" w:type="dxa"/>
            <w:vAlign w:val="center"/>
          </w:tcPr>
          <w:p w14:paraId="57288223" w14:textId="65C6D0F7" w:rsidR="009609E8" w:rsidRPr="00FF1F14" w:rsidRDefault="00246383" w:rsidP="009609E8">
            <w:pPr>
              <w:spacing w:before="40" w:after="40" w:line="240" w:lineRule="auto"/>
              <w:jc w:val="right"/>
              <w:textAlignment w:val="baseline"/>
              <w:rPr>
                <w:rStyle w:val="normaltextrun"/>
                <w:rFonts w:ascii="Arial" w:hAnsi="Arial" w:cs="Arial"/>
                <w:sz w:val="18"/>
                <w:szCs w:val="18"/>
              </w:rPr>
            </w:pPr>
            <w:r w:rsidRPr="00FF1F14">
              <w:rPr>
                <w:rStyle w:val="normaltextrun"/>
                <w:rFonts w:ascii="Arial" w:hAnsi="Arial" w:cs="Arial"/>
                <w:sz w:val="18"/>
                <w:szCs w:val="18"/>
              </w:rPr>
              <w:t>51</w:t>
            </w:r>
            <w:r w:rsidR="00E141CE">
              <w:rPr>
                <w:rStyle w:val="normaltextrun"/>
                <w:rFonts w:ascii="Arial" w:hAnsi="Arial" w:cs="Arial"/>
                <w:sz w:val="18"/>
                <w:szCs w:val="18"/>
              </w:rPr>
              <w:t>.</w:t>
            </w:r>
            <w:r w:rsidRPr="00FF1F14">
              <w:rPr>
                <w:rStyle w:val="normaltextrun"/>
                <w:rFonts w:ascii="Arial" w:hAnsi="Arial" w:cs="Arial"/>
                <w:sz w:val="18"/>
                <w:szCs w:val="18"/>
              </w:rPr>
              <w:t>962</w:t>
            </w:r>
            <w:r w:rsidR="00E141CE">
              <w:rPr>
                <w:rStyle w:val="normaltextrun"/>
                <w:rFonts w:ascii="Arial" w:hAnsi="Arial" w:cs="Arial"/>
                <w:sz w:val="18"/>
                <w:szCs w:val="18"/>
              </w:rPr>
              <w:t>.</w:t>
            </w:r>
            <w:r w:rsidR="00301FF2" w:rsidRPr="00FF1F14">
              <w:rPr>
                <w:rStyle w:val="normaltextrun"/>
                <w:rFonts w:ascii="Arial" w:hAnsi="Arial" w:cs="Arial"/>
                <w:sz w:val="18"/>
                <w:szCs w:val="18"/>
              </w:rPr>
              <w:t>530</w:t>
            </w:r>
          </w:p>
        </w:tc>
      </w:tr>
      <w:tr w:rsidR="009609E8" w:rsidRPr="00FF1F14" w14:paraId="5DF883DC" w14:textId="77777777" w:rsidTr="00FF1F14">
        <w:trPr>
          <w:trHeight w:val="525"/>
        </w:trPr>
        <w:tc>
          <w:tcPr>
            <w:tcW w:w="7460" w:type="dxa"/>
            <w:vAlign w:val="center"/>
          </w:tcPr>
          <w:p w14:paraId="3900471B" w14:textId="16304866" w:rsidR="009609E8" w:rsidRPr="00FF1F14" w:rsidRDefault="009609E8" w:rsidP="009609E8">
            <w:pPr>
              <w:spacing w:before="40" w:after="40" w:line="240" w:lineRule="auto"/>
              <w:ind w:left="165"/>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lastRenderedPageBreak/>
              <w:t xml:space="preserve">Componente 3. </w:t>
            </w:r>
            <w:r w:rsidR="001D6049" w:rsidRPr="00FF1F14">
              <w:rPr>
                <w:rFonts w:ascii="Arial" w:hAnsi="Arial" w:cs="Arial"/>
                <w:sz w:val="18"/>
                <w:szCs w:val="18"/>
                <w:lang w:val="es-CO"/>
              </w:rPr>
              <w:t xml:space="preserve">Protección para población vulnerable </w:t>
            </w:r>
            <w:r w:rsidR="001D6049" w:rsidRPr="00FF1F14">
              <w:rPr>
                <w:rFonts w:ascii="Arial" w:eastAsia="Arial" w:hAnsi="Arial" w:cs="Arial"/>
                <w:sz w:val="18"/>
                <w:szCs w:val="18"/>
                <w:lang w:val="es-CO"/>
              </w:rPr>
              <w:t>que no se encuentra en los padrones de programas de transferencias, y</w:t>
            </w:r>
            <w:r w:rsidR="001D6049" w:rsidRPr="00FF1F14">
              <w:rPr>
                <w:rFonts w:ascii="Arial" w:hAnsi="Arial" w:cs="Arial"/>
                <w:sz w:val="18"/>
                <w:szCs w:val="18"/>
                <w:lang w:val="es-CO"/>
              </w:rPr>
              <w:t xml:space="preserve"> que ya no trabajan en el sector formal</w:t>
            </w:r>
          </w:p>
        </w:tc>
        <w:tc>
          <w:tcPr>
            <w:tcW w:w="1530" w:type="dxa"/>
            <w:vAlign w:val="center"/>
          </w:tcPr>
          <w:p w14:paraId="5AB49D04" w14:textId="3FB08494" w:rsidR="009609E8" w:rsidRPr="00FF1F14" w:rsidRDefault="00301FF2" w:rsidP="009609E8">
            <w:pPr>
              <w:spacing w:before="40" w:after="40" w:line="240" w:lineRule="auto"/>
              <w:jc w:val="right"/>
              <w:textAlignment w:val="baseline"/>
              <w:rPr>
                <w:rStyle w:val="normaltextrun"/>
                <w:rFonts w:ascii="Arial" w:hAnsi="Arial" w:cs="Arial"/>
                <w:sz w:val="18"/>
                <w:szCs w:val="18"/>
              </w:rPr>
            </w:pPr>
            <w:r w:rsidRPr="00FF1F14">
              <w:rPr>
                <w:rStyle w:val="normaltextrun"/>
                <w:rFonts w:ascii="Arial" w:hAnsi="Arial" w:cs="Arial"/>
                <w:sz w:val="18"/>
                <w:szCs w:val="18"/>
              </w:rPr>
              <w:t>12</w:t>
            </w:r>
            <w:r w:rsidR="00E141CE">
              <w:rPr>
                <w:rStyle w:val="normaltextrun"/>
                <w:rFonts w:ascii="Arial" w:hAnsi="Arial" w:cs="Arial"/>
                <w:sz w:val="18"/>
                <w:szCs w:val="18"/>
              </w:rPr>
              <w:t>.</w:t>
            </w:r>
            <w:r w:rsidRPr="00FF1F14">
              <w:rPr>
                <w:rStyle w:val="normaltextrun"/>
                <w:rFonts w:ascii="Arial" w:hAnsi="Arial" w:cs="Arial"/>
                <w:sz w:val="18"/>
                <w:szCs w:val="18"/>
              </w:rPr>
              <w:t>990</w:t>
            </w:r>
            <w:r w:rsidR="00E141CE">
              <w:rPr>
                <w:rStyle w:val="normaltextrun"/>
                <w:rFonts w:ascii="Arial" w:hAnsi="Arial" w:cs="Arial"/>
                <w:sz w:val="18"/>
                <w:szCs w:val="18"/>
              </w:rPr>
              <w:t>.</w:t>
            </w:r>
            <w:r w:rsidRPr="00FF1F14">
              <w:rPr>
                <w:rStyle w:val="normaltextrun"/>
                <w:rFonts w:ascii="Arial" w:hAnsi="Arial" w:cs="Arial"/>
                <w:sz w:val="18"/>
                <w:szCs w:val="18"/>
              </w:rPr>
              <w:t>632</w:t>
            </w:r>
          </w:p>
        </w:tc>
      </w:tr>
      <w:tr w:rsidR="009609E8" w:rsidRPr="00FF1F14" w14:paraId="32629B2C" w14:textId="77777777" w:rsidTr="00FF1F14">
        <w:trPr>
          <w:trHeight w:val="385"/>
        </w:trPr>
        <w:tc>
          <w:tcPr>
            <w:tcW w:w="7460" w:type="dxa"/>
            <w:vAlign w:val="center"/>
            <w:hideMark/>
          </w:tcPr>
          <w:p w14:paraId="758B1509" w14:textId="43B67C13" w:rsidR="009609E8" w:rsidRPr="00FF1F14" w:rsidRDefault="009609E8" w:rsidP="009609E8">
            <w:pPr>
              <w:spacing w:before="40" w:after="40" w:line="240" w:lineRule="auto"/>
              <w:ind w:left="165"/>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t>Auditoría</w:t>
            </w:r>
            <w:r w:rsidR="009D08B3" w:rsidRPr="00FF1F14">
              <w:rPr>
                <w:rFonts w:ascii="Arial" w:hAnsi="Arial" w:cs="Arial"/>
                <w:b/>
                <w:bCs/>
                <w:sz w:val="18"/>
                <w:szCs w:val="18"/>
                <w:lang w:val="es-419" w:eastAsia="zh-CN"/>
              </w:rPr>
              <w:t xml:space="preserve"> y evaluación</w:t>
            </w:r>
          </w:p>
        </w:tc>
        <w:tc>
          <w:tcPr>
            <w:tcW w:w="1530" w:type="dxa"/>
            <w:vAlign w:val="center"/>
            <w:hideMark/>
          </w:tcPr>
          <w:p w14:paraId="73B2EE08" w14:textId="768C16A7" w:rsidR="009609E8" w:rsidRPr="00FF1F14" w:rsidRDefault="009609E8" w:rsidP="009609E8">
            <w:pPr>
              <w:spacing w:before="40" w:after="40" w:line="240" w:lineRule="auto"/>
              <w:jc w:val="right"/>
              <w:textAlignment w:val="baseline"/>
              <w:rPr>
                <w:rFonts w:ascii="Arial" w:hAnsi="Arial" w:cs="Arial"/>
                <w:sz w:val="18"/>
                <w:szCs w:val="18"/>
                <w:lang w:val="es-ES"/>
              </w:rPr>
            </w:pPr>
            <w:r w:rsidRPr="00FF1F14">
              <w:rPr>
                <w:rStyle w:val="normaltextrun"/>
                <w:rFonts w:ascii="Arial" w:hAnsi="Arial" w:cs="Arial"/>
                <w:sz w:val="18"/>
                <w:szCs w:val="18"/>
                <w:lang w:val="es-ES"/>
              </w:rPr>
              <w:t>50</w:t>
            </w:r>
            <w:r w:rsidR="00E141CE">
              <w:rPr>
                <w:rStyle w:val="normaltextrun"/>
                <w:rFonts w:ascii="Arial" w:hAnsi="Arial" w:cs="Arial"/>
                <w:sz w:val="18"/>
                <w:szCs w:val="18"/>
                <w:lang w:val="es-ES"/>
              </w:rPr>
              <w:t>.</w:t>
            </w:r>
            <w:r w:rsidRPr="00FF1F14">
              <w:rPr>
                <w:rStyle w:val="normaltextrun"/>
                <w:rFonts w:ascii="Arial" w:hAnsi="Arial" w:cs="Arial"/>
                <w:sz w:val="18"/>
                <w:szCs w:val="18"/>
                <w:lang w:val="es-ES"/>
              </w:rPr>
              <w:t>000</w:t>
            </w:r>
            <w:r w:rsidRPr="00FF1F14">
              <w:rPr>
                <w:rStyle w:val="eop"/>
                <w:rFonts w:ascii="Arial" w:hAnsi="Arial" w:cs="Arial"/>
                <w:sz w:val="18"/>
                <w:szCs w:val="18"/>
              </w:rPr>
              <w:t> </w:t>
            </w:r>
          </w:p>
        </w:tc>
      </w:tr>
      <w:tr w:rsidR="0099224C" w:rsidRPr="00FF1F14" w14:paraId="1128508C" w14:textId="77777777" w:rsidTr="00FF1F14">
        <w:trPr>
          <w:trHeight w:val="420"/>
        </w:trPr>
        <w:tc>
          <w:tcPr>
            <w:tcW w:w="7460" w:type="dxa"/>
            <w:shd w:val="clear" w:color="auto" w:fill="D9D9D9" w:themeFill="background1" w:themeFillShade="D9"/>
            <w:vAlign w:val="center"/>
            <w:hideMark/>
          </w:tcPr>
          <w:p w14:paraId="4CBA843A" w14:textId="77777777" w:rsidR="0099224C" w:rsidRPr="00FF1F14" w:rsidRDefault="0099224C" w:rsidP="002A5EA2">
            <w:pPr>
              <w:spacing w:before="40" w:after="40" w:line="240" w:lineRule="auto"/>
              <w:ind w:left="165"/>
              <w:textAlignment w:val="baseline"/>
              <w:rPr>
                <w:rFonts w:ascii="Arial" w:hAnsi="Arial" w:cs="Arial"/>
                <w:b/>
                <w:bCs/>
                <w:sz w:val="18"/>
                <w:szCs w:val="18"/>
                <w:lang w:val="es-419" w:eastAsia="zh-CN"/>
              </w:rPr>
            </w:pPr>
            <w:r w:rsidRPr="00FF1F14">
              <w:rPr>
                <w:rFonts w:ascii="Arial" w:hAnsi="Arial" w:cs="Arial"/>
                <w:b/>
                <w:bCs/>
                <w:sz w:val="18"/>
                <w:szCs w:val="18"/>
                <w:lang w:val="es-419" w:eastAsia="zh-CN"/>
              </w:rPr>
              <w:t>Total </w:t>
            </w:r>
          </w:p>
        </w:tc>
        <w:tc>
          <w:tcPr>
            <w:tcW w:w="1530" w:type="dxa"/>
            <w:shd w:val="clear" w:color="auto" w:fill="D9D9D9" w:themeFill="background1" w:themeFillShade="D9"/>
            <w:vAlign w:val="center"/>
            <w:hideMark/>
          </w:tcPr>
          <w:p w14:paraId="2A6F76AB" w14:textId="5D041348" w:rsidR="0099224C" w:rsidRPr="00FF1F14" w:rsidRDefault="009609E8" w:rsidP="009D08B3">
            <w:pPr>
              <w:spacing w:before="40" w:after="40" w:line="240" w:lineRule="auto"/>
              <w:ind w:left="165"/>
              <w:jc w:val="right"/>
              <w:textAlignment w:val="baseline"/>
              <w:rPr>
                <w:rFonts w:ascii="Arial" w:hAnsi="Arial" w:cs="Arial"/>
                <w:b/>
                <w:bCs/>
                <w:sz w:val="18"/>
                <w:szCs w:val="18"/>
                <w:lang w:val="es-ES"/>
              </w:rPr>
            </w:pPr>
            <w:r w:rsidRPr="00FF1F14">
              <w:rPr>
                <w:rFonts w:ascii="Arial" w:hAnsi="Arial" w:cs="Arial"/>
                <w:b/>
                <w:bCs/>
                <w:sz w:val="18"/>
                <w:szCs w:val="18"/>
                <w:lang w:val="es-419" w:eastAsia="zh-CN"/>
              </w:rPr>
              <w:t>123</w:t>
            </w:r>
            <w:r w:rsidR="00E141CE">
              <w:rPr>
                <w:rFonts w:ascii="Arial" w:hAnsi="Arial" w:cs="Arial"/>
                <w:b/>
                <w:bCs/>
                <w:sz w:val="18"/>
                <w:szCs w:val="18"/>
                <w:lang w:val="es-419" w:eastAsia="zh-CN"/>
              </w:rPr>
              <w:t>.</w:t>
            </w:r>
            <w:r w:rsidRPr="00FF1F14">
              <w:rPr>
                <w:rFonts w:ascii="Arial" w:hAnsi="Arial" w:cs="Arial"/>
                <w:b/>
                <w:bCs/>
                <w:sz w:val="18"/>
                <w:szCs w:val="18"/>
                <w:lang w:val="es-419" w:eastAsia="zh-CN"/>
              </w:rPr>
              <w:t>474</w:t>
            </w:r>
            <w:r w:rsidR="00E141CE">
              <w:rPr>
                <w:rFonts w:ascii="Arial" w:hAnsi="Arial" w:cs="Arial"/>
                <w:b/>
                <w:bCs/>
                <w:sz w:val="18"/>
                <w:szCs w:val="18"/>
                <w:lang w:val="es-419" w:eastAsia="zh-CN"/>
              </w:rPr>
              <w:t>.</w:t>
            </w:r>
            <w:r w:rsidRPr="00FF1F14">
              <w:rPr>
                <w:rFonts w:ascii="Arial" w:hAnsi="Arial" w:cs="Arial"/>
                <w:b/>
                <w:bCs/>
                <w:sz w:val="18"/>
                <w:szCs w:val="18"/>
                <w:lang w:val="es-419" w:eastAsia="zh-CN"/>
              </w:rPr>
              <w:t>032</w:t>
            </w:r>
            <w:r w:rsidRPr="00FF1F14">
              <w:rPr>
                <w:rFonts w:ascii="Arial" w:hAnsi="Arial" w:cs="Arial"/>
                <w:b/>
                <w:bCs/>
                <w:sz w:val="18"/>
                <w:szCs w:val="18"/>
                <w:lang w:val="es-ES"/>
              </w:rPr>
              <w:t> </w:t>
            </w:r>
          </w:p>
        </w:tc>
      </w:tr>
    </w:tbl>
    <w:p w14:paraId="0D54071A" w14:textId="77777777" w:rsidR="004078EC" w:rsidRPr="00425FEE" w:rsidRDefault="004078EC" w:rsidP="004078EC">
      <w:pPr>
        <w:rPr>
          <w:lang w:val="es-ES"/>
        </w:rPr>
      </w:pPr>
    </w:p>
    <w:p w14:paraId="7A89E456" w14:textId="3BE55EE2" w:rsidR="001B5186" w:rsidRPr="00425FEE" w:rsidRDefault="001B5186" w:rsidP="003130AD">
      <w:pPr>
        <w:pStyle w:val="ColorfulList-Accent11"/>
        <w:numPr>
          <w:ilvl w:val="1"/>
          <w:numId w:val="4"/>
        </w:numPr>
        <w:spacing w:after="0" w:line="288" w:lineRule="auto"/>
        <w:ind w:left="540" w:hanging="540"/>
        <w:jc w:val="both"/>
        <w:rPr>
          <w:rFonts w:ascii="Arial" w:hAnsi="Arial" w:cs="Arial"/>
          <w:b/>
          <w:lang w:val="es-ES"/>
        </w:rPr>
      </w:pPr>
      <w:r w:rsidRPr="00425FEE">
        <w:rPr>
          <w:rFonts w:ascii="Arial" w:hAnsi="Arial" w:cs="Arial"/>
          <w:b/>
          <w:lang w:val="es-ES"/>
        </w:rPr>
        <w:t>Evalua</w:t>
      </w:r>
      <w:r w:rsidR="00D64401" w:rsidRPr="00425FEE">
        <w:rPr>
          <w:rFonts w:ascii="Arial" w:hAnsi="Arial" w:cs="Arial"/>
          <w:b/>
          <w:lang w:val="es-ES"/>
        </w:rPr>
        <w:t>ción</w:t>
      </w:r>
    </w:p>
    <w:p w14:paraId="0A96E7AC" w14:textId="60439244" w:rsidR="00071C8C" w:rsidRPr="00425FEE" w:rsidRDefault="00AC7335" w:rsidP="006C1331">
      <w:pPr>
        <w:pStyle w:val="ColorfulList-Accent11"/>
        <w:spacing w:before="120" w:after="120" w:line="240" w:lineRule="auto"/>
        <w:ind w:left="0"/>
        <w:contextualSpacing w:val="0"/>
        <w:jc w:val="both"/>
        <w:rPr>
          <w:rFonts w:ascii="Arial" w:hAnsi="Arial" w:cs="Arial"/>
          <w:color w:val="000000"/>
          <w:lang w:val="es-ES"/>
        </w:rPr>
      </w:pPr>
      <w:r w:rsidRPr="00425FEE">
        <w:rPr>
          <w:rFonts w:ascii="Arial" w:hAnsi="Arial" w:cs="Arial"/>
          <w:color w:val="000000"/>
          <w:lang w:val="es-ES"/>
        </w:rPr>
        <w:t>E</w:t>
      </w:r>
      <w:r w:rsidR="00071C8C" w:rsidRPr="00425FEE">
        <w:rPr>
          <w:rFonts w:ascii="Arial" w:hAnsi="Arial" w:cs="Arial"/>
          <w:color w:val="000000"/>
          <w:lang w:val="es-ES"/>
        </w:rPr>
        <w:t xml:space="preserve">sta sección presenta el plan de evaluación, incluidas las principales preguntas de evaluación, </w:t>
      </w:r>
      <w:r w:rsidR="00535EBE" w:rsidRPr="00425FEE">
        <w:rPr>
          <w:rFonts w:ascii="Arial" w:hAnsi="Arial" w:cs="Arial"/>
          <w:color w:val="000000"/>
          <w:lang w:val="es-ES"/>
        </w:rPr>
        <w:t>el conocimiento existente sobre la evidencia de las intervenciones</w:t>
      </w:r>
      <w:r w:rsidR="00071C8C" w:rsidRPr="00425FEE">
        <w:rPr>
          <w:rFonts w:ascii="Arial" w:hAnsi="Arial" w:cs="Arial"/>
          <w:color w:val="000000"/>
          <w:lang w:val="es-ES"/>
        </w:rPr>
        <w:t>, los indicadores de evaluación y la metodología. Dada la novedad de la enfermedad</w:t>
      </w:r>
      <w:r w:rsidR="001C30B9" w:rsidRPr="00425FEE">
        <w:rPr>
          <w:rFonts w:ascii="Arial" w:hAnsi="Arial" w:cs="Arial"/>
          <w:color w:val="000000"/>
          <w:lang w:val="es-ES"/>
        </w:rPr>
        <w:t xml:space="preserve"> y la magnitud de la crisis económica que se </w:t>
      </w:r>
      <w:r w:rsidR="00993A82" w:rsidRPr="00425FEE">
        <w:rPr>
          <w:rFonts w:ascii="Arial" w:hAnsi="Arial" w:cs="Arial"/>
          <w:color w:val="000000"/>
          <w:lang w:val="es-ES"/>
        </w:rPr>
        <w:t>está documentando</w:t>
      </w:r>
      <w:r w:rsidR="00071C8C" w:rsidRPr="00425FEE">
        <w:rPr>
          <w:rFonts w:ascii="Arial" w:hAnsi="Arial" w:cs="Arial"/>
          <w:color w:val="000000"/>
          <w:lang w:val="es-ES"/>
        </w:rPr>
        <w:t xml:space="preserve">, el plan de evaluación </w:t>
      </w:r>
      <w:r w:rsidR="003E26E9" w:rsidRPr="00425FEE">
        <w:rPr>
          <w:rFonts w:ascii="Arial" w:hAnsi="Arial" w:cs="Arial"/>
          <w:color w:val="000000"/>
          <w:lang w:val="es-ES"/>
        </w:rPr>
        <w:t>busca</w:t>
      </w:r>
      <w:r w:rsidR="00071C8C" w:rsidRPr="00425FEE">
        <w:rPr>
          <w:rFonts w:ascii="Arial" w:hAnsi="Arial" w:cs="Arial"/>
          <w:color w:val="000000"/>
          <w:lang w:val="es-ES"/>
        </w:rPr>
        <w:t xml:space="preserve"> </w:t>
      </w:r>
      <w:r w:rsidR="00D4084A" w:rsidRPr="00425FEE">
        <w:rPr>
          <w:rFonts w:ascii="Arial" w:hAnsi="Arial" w:cs="Arial"/>
          <w:color w:val="000000"/>
          <w:lang w:val="es-ES"/>
        </w:rPr>
        <w:t>aportar para llenar</w:t>
      </w:r>
      <w:r w:rsidR="00071C8C" w:rsidRPr="00425FEE">
        <w:rPr>
          <w:rFonts w:ascii="Arial" w:hAnsi="Arial" w:cs="Arial"/>
          <w:color w:val="000000"/>
          <w:lang w:val="es-ES"/>
        </w:rPr>
        <w:t xml:space="preserve"> los vacíos de conocimiento relacionados con la determinación de si la intervención fue efectiva para lograr sus objetivos específicos. La evaluación de la operación contribuirá a reunir lecciones sobre la idoneidad de la respuesta de</w:t>
      </w:r>
      <w:r w:rsidR="007221CD" w:rsidRPr="00425FEE">
        <w:rPr>
          <w:rFonts w:ascii="Arial" w:hAnsi="Arial" w:cs="Arial"/>
          <w:color w:val="000000"/>
          <w:lang w:val="es-ES"/>
        </w:rPr>
        <w:t xml:space="preserve"> los países de la región y de</w:t>
      </w:r>
      <w:r w:rsidR="00071C8C" w:rsidRPr="00425FEE">
        <w:rPr>
          <w:rFonts w:ascii="Arial" w:hAnsi="Arial" w:cs="Arial"/>
          <w:color w:val="000000"/>
          <w:lang w:val="es-ES"/>
        </w:rPr>
        <w:t xml:space="preserve">l Banco </w:t>
      </w:r>
      <w:r w:rsidR="00AE6187" w:rsidRPr="00425FEE">
        <w:rPr>
          <w:rFonts w:ascii="Arial" w:hAnsi="Arial" w:cs="Arial"/>
          <w:color w:val="000000"/>
          <w:lang w:val="es-ES"/>
        </w:rPr>
        <w:t xml:space="preserve">y de los instrumentos de protección a poblaciones vulnerables en la región para responder </w:t>
      </w:r>
      <w:r w:rsidR="00071C8C" w:rsidRPr="00425FEE">
        <w:rPr>
          <w:rFonts w:ascii="Arial" w:hAnsi="Arial" w:cs="Arial"/>
          <w:color w:val="000000"/>
          <w:lang w:val="es-ES"/>
        </w:rPr>
        <w:t>a la pandemia de COVID-19.</w:t>
      </w:r>
    </w:p>
    <w:p w14:paraId="33DAE43B" w14:textId="278A970D" w:rsidR="00D81897" w:rsidRPr="00425FEE" w:rsidRDefault="00071C8C" w:rsidP="006C1331">
      <w:pPr>
        <w:pStyle w:val="ColorfulList-Accent11"/>
        <w:spacing w:before="120" w:after="120" w:line="240" w:lineRule="auto"/>
        <w:ind w:left="0"/>
        <w:contextualSpacing w:val="0"/>
        <w:jc w:val="both"/>
        <w:rPr>
          <w:rFonts w:ascii="Arial" w:hAnsi="Arial" w:cs="Arial"/>
          <w:color w:val="000000"/>
          <w:lang w:val="es-ES"/>
        </w:rPr>
      </w:pPr>
      <w:r w:rsidRPr="00425FEE">
        <w:rPr>
          <w:rFonts w:ascii="Arial" w:hAnsi="Arial" w:cs="Arial"/>
          <w:color w:val="000000"/>
          <w:lang w:val="es-ES"/>
        </w:rPr>
        <w:t xml:space="preserve">El plan de evaluación del </w:t>
      </w:r>
      <w:r w:rsidR="00534106" w:rsidRPr="00425FEE">
        <w:rPr>
          <w:rFonts w:ascii="Arial" w:hAnsi="Arial" w:cs="Arial"/>
          <w:color w:val="000000"/>
          <w:lang w:val="es-ES"/>
        </w:rPr>
        <w:t>programa</w:t>
      </w:r>
      <w:r w:rsidRPr="00425FEE">
        <w:rPr>
          <w:rFonts w:ascii="Arial" w:hAnsi="Arial" w:cs="Arial"/>
          <w:color w:val="000000"/>
          <w:lang w:val="es-ES"/>
        </w:rPr>
        <w:t xml:space="preserve"> consiste en: (i) una evaluación </w:t>
      </w:r>
      <w:r w:rsidR="005C4839" w:rsidRPr="00425FEE">
        <w:rPr>
          <w:rFonts w:ascii="Arial" w:hAnsi="Arial" w:cs="Arial"/>
          <w:color w:val="000000"/>
          <w:lang w:val="es-ES"/>
        </w:rPr>
        <w:t>antes y después</w:t>
      </w:r>
      <w:r w:rsidRPr="00425FEE">
        <w:rPr>
          <w:rFonts w:ascii="Arial" w:hAnsi="Arial" w:cs="Arial"/>
          <w:color w:val="000000"/>
          <w:lang w:val="es-ES"/>
        </w:rPr>
        <w:t xml:space="preserve"> que utiliza información de series de tiempo </w:t>
      </w:r>
      <w:r w:rsidR="005C4839" w:rsidRPr="00425FEE">
        <w:rPr>
          <w:rFonts w:ascii="Arial" w:hAnsi="Arial" w:cs="Arial"/>
          <w:color w:val="000000"/>
          <w:lang w:val="es-ES"/>
        </w:rPr>
        <w:t xml:space="preserve">que estén </w:t>
      </w:r>
      <w:r w:rsidRPr="00425FEE">
        <w:rPr>
          <w:rFonts w:ascii="Arial" w:hAnsi="Arial" w:cs="Arial"/>
          <w:color w:val="000000"/>
          <w:lang w:val="es-ES"/>
        </w:rPr>
        <w:t>disponibles sobre los resultados e indicadores de impacto</w:t>
      </w:r>
      <w:r w:rsidR="005C4839" w:rsidRPr="00425FEE">
        <w:rPr>
          <w:rFonts w:ascii="Arial" w:hAnsi="Arial" w:cs="Arial"/>
          <w:color w:val="000000"/>
          <w:lang w:val="es-ES"/>
        </w:rPr>
        <w:t xml:space="preserve"> incluidos en la matriz de resultados</w:t>
      </w:r>
      <w:r w:rsidR="00EA5E34">
        <w:rPr>
          <w:rFonts w:ascii="Arial" w:hAnsi="Arial" w:cs="Arial"/>
          <w:color w:val="000000"/>
          <w:lang w:val="es-ES"/>
        </w:rPr>
        <w:t xml:space="preserve">, </w:t>
      </w:r>
      <w:r w:rsidR="00EA5E34">
        <w:rPr>
          <w:rStyle w:val="normaltextrun"/>
          <w:rFonts w:ascii="Arial" w:hAnsi="Arial" w:cs="Arial"/>
          <w:color w:val="000000"/>
          <w:shd w:val="clear" w:color="auto" w:fill="FFFFFF"/>
          <w:lang w:val="es-CO"/>
        </w:rPr>
        <w:t>en particular la cobertura de las transferencias y los registros de consumo de las personas que utilicen el Vale Digital para adquirir productos en los comercios</w:t>
      </w:r>
      <w:r w:rsidR="008D673A" w:rsidRPr="00425FEE">
        <w:rPr>
          <w:rFonts w:ascii="Arial" w:hAnsi="Arial" w:cs="Arial"/>
          <w:color w:val="000000"/>
          <w:lang w:val="es-ES"/>
        </w:rPr>
        <w:t>;</w:t>
      </w:r>
      <w:r w:rsidR="00FB4C19" w:rsidRPr="00425FEE">
        <w:rPr>
          <w:rFonts w:ascii="Arial" w:hAnsi="Arial" w:cs="Arial"/>
          <w:color w:val="000000"/>
          <w:lang w:val="es-ES"/>
        </w:rPr>
        <w:t xml:space="preserve"> y</w:t>
      </w:r>
      <w:r w:rsidRPr="00425FEE">
        <w:rPr>
          <w:rFonts w:ascii="Arial" w:hAnsi="Arial" w:cs="Arial"/>
          <w:color w:val="000000"/>
          <w:lang w:val="es-ES"/>
        </w:rPr>
        <w:t xml:space="preserve"> (</w:t>
      </w:r>
      <w:proofErr w:type="spellStart"/>
      <w:r w:rsidRPr="00425FEE">
        <w:rPr>
          <w:rFonts w:ascii="Arial" w:hAnsi="Arial" w:cs="Arial"/>
          <w:color w:val="000000"/>
          <w:lang w:val="es-ES"/>
        </w:rPr>
        <w:t>ii</w:t>
      </w:r>
      <w:proofErr w:type="spellEnd"/>
      <w:r w:rsidRPr="00425FEE">
        <w:rPr>
          <w:rFonts w:ascii="Arial" w:hAnsi="Arial" w:cs="Arial"/>
          <w:color w:val="000000"/>
          <w:lang w:val="es-ES"/>
        </w:rPr>
        <w:t>) una revisión de la teoría del cambio de la intervención, respaldada por evidencia relevante de la efectividad de intervenciones similares en contextos comparables</w:t>
      </w:r>
      <w:r w:rsidR="00FB4C19" w:rsidRPr="00425FEE">
        <w:rPr>
          <w:rFonts w:ascii="Arial" w:hAnsi="Arial" w:cs="Arial"/>
          <w:color w:val="000000"/>
          <w:lang w:val="es-ES"/>
        </w:rPr>
        <w:t xml:space="preserve">. </w:t>
      </w:r>
    </w:p>
    <w:p w14:paraId="3A842D1F" w14:textId="04BD2566" w:rsidR="006E5E0A" w:rsidRPr="006E5E0A" w:rsidRDefault="006E5E0A" w:rsidP="00ED0466">
      <w:pPr>
        <w:spacing w:before="120" w:after="120" w:line="240" w:lineRule="auto"/>
        <w:jc w:val="both"/>
        <w:rPr>
          <w:rFonts w:ascii="Arial" w:hAnsi="Arial" w:cs="Arial"/>
          <w:color w:val="000000"/>
          <w:lang w:val="es-CO"/>
        </w:rPr>
      </w:pPr>
      <w:r w:rsidRPr="00B368E3">
        <w:rPr>
          <w:rFonts w:ascii="Arial" w:eastAsia="Arial" w:hAnsi="Arial" w:cs="Arial"/>
          <w:lang w:val="es-CO"/>
        </w:rPr>
        <w:t xml:space="preserve">Dado que el producto remanente de PSACH está asociado a la elaboración de estudios y diseños, la evaluación planteada en el contrato original se elimina. </w:t>
      </w:r>
    </w:p>
    <w:p w14:paraId="6470733B" w14:textId="35CFF5BC" w:rsidR="001B5186" w:rsidRPr="00425FEE" w:rsidRDefault="003E2741" w:rsidP="006C1331">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Pregunta(s) principal(es) de la evaluación.</w:t>
      </w:r>
    </w:p>
    <w:p w14:paraId="106CB39C" w14:textId="71131312" w:rsidR="001958A2" w:rsidRPr="007F0807" w:rsidRDefault="00BA4613" w:rsidP="006C1331">
      <w:pPr>
        <w:spacing w:before="120" w:after="120" w:line="240" w:lineRule="auto"/>
        <w:jc w:val="both"/>
        <w:textAlignment w:val="top"/>
        <w:rPr>
          <w:rStyle w:val="normaltextrun"/>
          <w:rFonts w:ascii="Arial" w:hAnsi="Arial" w:cs="Arial"/>
          <w:shd w:val="clear" w:color="auto" w:fill="FFFFFF"/>
          <w:lang w:val="es-ES"/>
        </w:rPr>
      </w:pPr>
      <w:r w:rsidRPr="007F0807">
        <w:rPr>
          <w:rStyle w:val="normaltextrun"/>
          <w:rFonts w:ascii="Arial" w:hAnsi="Arial" w:cs="Arial"/>
          <w:shd w:val="clear" w:color="auto" w:fill="FFFFFF"/>
          <w:lang w:val="es-ES"/>
        </w:rPr>
        <w:t>Se</w:t>
      </w:r>
      <w:r w:rsidR="001958A2" w:rsidRPr="007F0807">
        <w:rPr>
          <w:rStyle w:val="normaltextrun"/>
          <w:rFonts w:ascii="Arial" w:hAnsi="Arial" w:cs="Arial"/>
          <w:shd w:val="clear" w:color="auto" w:fill="FFFFFF"/>
          <w:lang w:val="es-ES"/>
        </w:rPr>
        <w:t xml:space="preserve"> evaluará la contribución del programa a</w:t>
      </w:r>
      <w:r w:rsidR="005E0E22" w:rsidRPr="007F0807">
        <w:rPr>
          <w:rStyle w:val="normaltextrun"/>
          <w:rFonts w:ascii="Arial" w:hAnsi="Arial" w:cs="Arial"/>
          <w:shd w:val="clear" w:color="auto" w:fill="FFFFFF"/>
          <w:lang w:val="es-ES"/>
        </w:rPr>
        <w:t xml:space="preserve">l objetivo específico de </w:t>
      </w:r>
      <w:r w:rsidR="00656127" w:rsidRPr="008065A3">
        <w:rPr>
          <w:rStyle w:val="normaltextrun"/>
          <w:rFonts w:ascii="Arial" w:hAnsi="Arial" w:cs="Arial"/>
          <w:shd w:val="clear" w:color="auto" w:fill="FFFFFF"/>
          <w:lang w:val="es-ES"/>
        </w:rPr>
        <w:t>apoyar niveles mínimos de ingreso de las personas afectadas por el COVID-19 en el período inmediato y durante la recuperación</w:t>
      </w:r>
      <w:r w:rsidR="008F472C" w:rsidRPr="008065A3">
        <w:rPr>
          <w:rStyle w:val="normaltextrun"/>
          <w:rFonts w:ascii="Arial" w:hAnsi="Arial" w:cs="Arial"/>
          <w:shd w:val="clear" w:color="auto" w:fill="FFFFFF"/>
          <w:lang w:val="es-ES"/>
        </w:rPr>
        <w:t>.</w:t>
      </w:r>
      <w:r w:rsidR="001958A2" w:rsidRPr="007F0807">
        <w:rPr>
          <w:rStyle w:val="normaltextrun"/>
          <w:rFonts w:ascii="Arial" w:hAnsi="Arial" w:cs="Arial"/>
          <w:shd w:val="clear" w:color="auto" w:fill="FFFFFF"/>
          <w:lang w:val="es-ES"/>
        </w:rPr>
        <w:t xml:space="preserve"> La</w:t>
      </w:r>
      <w:r w:rsidR="008F472C" w:rsidRPr="007F0807">
        <w:rPr>
          <w:rStyle w:val="normaltextrun"/>
          <w:rFonts w:ascii="Arial" w:hAnsi="Arial" w:cs="Arial"/>
          <w:shd w:val="clear" w:color="auto" w:fill="FFFFFF"/>
          <w:lang w:val="es-ES"/>
        </w:rPr>
        <w:t>s</w:t>
      </w:r>
      <w:r w:rsidR="001958A2" w:rsidRPr="007F0807">
        <w:rPr>
          <w:rStyle w:val="normaltextrun"/>
          <w:rFonts w:ascii="Arial" w:hAnsi="Arial" w:cs="Arial"/>
          <w:shd w:val="clear" w:color="auto" w:fill="FFFFFF"/>
          <w:lang w:val="es-ES"/>
        </w:rPr>
        <w:t xml:space="preserve"> principal</w:t>
      </w:r>
      <w:r w:rsidR="008F472C" w:rsidRPr="007F0807">
        <w:rPr>
          <w:rStyle w:val="normaltextrun"/>
          <w:rFonts w:ascii="Arial" w:hAnsi="Arial" w:cs="Arial"/>
          <w:shd w:val="clear" w:color="auto" w:fill="FFFFFF"/>
          <w:lang w:val="es-ES"/>
        </w:rPr>
        <w:t>es</w:t>
      </w:r>
      <w:r w:rsidR="001958A2" w:rsidRPr="007F0807">
        <w:rPr>
          <w:rStyle w:val="normaltextrun"/>
          <w:rFonts w:ascii="Arial" w:hAnsi="Arial" w:cs="Arial"/>
          <w:shd w:val="clear" w:color="auto" w:fill="FFFFFF"/>
          <w:lang w:val="es-ES"/>
        </w:rPr>
        <w:t xml:space="preserve"> pregunta</w:t>
      </w:r>
      <w:r w:rsidR="007F0807" w:rsidRPr="007F0807">
        <w:rPr>
          <w:rStyle w:val="normaltextrun"/>
          <w:rFonts w:ascii="Arial" w:hAnsi="Arial" w:cs="Arial"/>
          <w:shd w:val="clear" w:color="auto" w:fill="FFFFFF"/>
          <w:lang w:val="es-ES"/>
        </w:rPr>
        <w:t>s</w:t>
      </w:r>
      <w:r w:rsidR="001958A2" w:rsidRPr="007F0807">
        <w:rPr>
          <w:rStyle w:val="normaltextrun"/>
          <w:rFonts w:ascii="Arial" w:hAnsi="Arial" w:cs="Arial"/>
          <w:shd w:val="clear" w:color="auto" w:fill="FFFFFF"/>
          <w:lang w:val="es-ES"/>
        </w:rPr>
        <w:t xml:space="preserve"> de evaluación s</w:t>
      </w:r>
      <w:r w:rsidR="007F0807">
        <w:rPr>
          <w:rStyle w:val="normaltextrun"/>
          <w:rFonts w:ascii="Arial" w:hAnsi="Arial" w:cs="Arial"/>
          <w:shd w:val="clear" w:color="auto" w:fill="FFFFFF"/>
          <w:lang w:val="es-ES"/>
        </w:rPr>
        <w:t>on</w:t>
      </w:r>
      <w:r w:rsidR="001958A2" w:rsidRPr="007F0807">
        <w:rPr>
          <w:rStyle w:val="normaltextrun"/>
          <w:rFonts w:ascii="Arial" w:hAnsi="Arial" w:cs="Arial"/>
          <w:shd w:val="clear" w:color="auto" w:fill="FFFFFF"/>
          <w:lang w:val="es-ES"/>
        </w:rPr>
        <w:t>:</w:t>
      </w:r>
    </w:p>
    <w:p w14:paraId="05E743FF" w14:textId="2C02736E" w:rsidR="001958A2" w:rsidRPr="00425FEE" w:rsidRDefault="001958A2" w:rsidP="00C23646">
      <w:pPr>
        <w:pStyle w:val="ListParagraph"/>
        <w:numPr>
          <w:ilvl w:val="0"/>
          <w:numId w:val="23"/>
        </w:numPr>
        <w:spacing w:before="120" w:after="120" w:line="240" w:lineRule="auto"/>
        <w:jc w:val="both"/>
        <w:textAlignment w:val="top"/>
        <w:rPr>
          <w:rStyle w:val="normaltextrun"/>
          <w:rFonts w:ascii="Arial" w:hAnsi="Arial" w:cs="Arial"/>
          <w:color w:val="000000"/>
          <w:shd w:val="clear" w:color="auto" w:fill="FFFFFF"/>
          <w:lang w:val="es-ES"/>
        </w:rPr>
      </w:pPr>
      <w:r w:rsidRPr="00425FEE">
        <w:rPr>
          <w:rStyle w:val="normaltextrun"/>
          <w:rFonts w:ascii="Arial" w:hAnsi="Arial" w:cs="Arial"/>
          <w:color w:val="000000"/>
          <w:shd w:val="clear" w:color="auto" w:fill="FFFFFF"/>
          <w:lang w:val="es-ES"/>
        </w:rPr>
        <w:t>¿</w:t>
      </w:r>
      <w:r w:rsidR="00007F0A" w:rsidRPr="00425FEE">
        <w:rPr>
          <w:rStyle w:val="normaltextrun"/>
          <w:rFonts w:ascii="Arial" w:hAnsi="Arial" w:cs="Arial"/>
          <w:color w:val="000000"/>
          <w:shd w:val="clear" w:color="auto" w:fill="FFFFFF"/>
          <w:lang w:val="es-ES"/>
        </w:rPr>
        <w:t>Se alcanzaron</w:t>
      </w:r>
      <w:r w:rsidR="00025A0F" w:rsidRPr="00425FEE">
        <w:rPr>
          <w:rStyle w:val="normaltextrun"/>
          <w:rFonts w:ascii="Arial" w:hAnsi="Arial" w:cs="Arial"/>
          <w:color w:val="000000"/>
          <w:shd w:val="clear" w:color="auto" w:fill="FFFFFF"/>
          <w:lang w:val="es-ES"/>
        </w:rPr>
        <w:t xml:space="preserve"> las metas de cobertura de las transferencias y apoyos asociados con la respuesta al COVID-19?</w:t>
      </w:r>
      <w:r w:rsidR="00E64E1E" w:rsidRPr="00425FEE">
        <w:rPr>
          <w:rStyle w:val="normaltextrun"/>
          <w:rFonts w:ascii="Arial" w:hAnsi="Arial" w:cs="Arial"/>
          <w:color w:val="000000"/>
          <w:shd w:val="clear" w:color="auto" w:fill="FFFFFF"/>
          <w:lang w:val="es-ES"/>
        </w:rPr>
        <w:t xml:space="preserve"> E</w:t>
      </w:r>
      <w:r w:rsidR="00AC092C" w:rsidRPr="00425FEE">
        <w:rPr>
          <w:rStyle w:val="normaltextrun"/>
          <w:rFonts w:ascii="Arial" w:hAnsi="Arial" w:cs="Arial"/>
          <w:color w:val="000000"/>
          <w:shd w:val="clear" w:color="auto" w:fill="FFFFFF"/>
          <w:lang w:val="es-ES"/>
        </w:rPr>
        <w:t>n par</w:t>
      </w:r>
      <w:r w:rsidR="00FB1BEF" w:rsidRPr="00425FEE">
        <w:rPr>
          <w:rStyle w:val="normaltextrun"/>
          <w:rFonts w:ascii="Arial" w:hAnsi="Arial" w:cs="Arial"/>
          <w:color w:val="000000"/>
          <w:shd w:val="clear" w:color="auto" w:fill="FFFFFF"/>
          <w:lang w:val="es-ES"/>
        </w:rPr>
        <w:t>t</w:t>
      </w:r>
      <w:r w:rsidR="00AC092C" w:rsidRPr="00425FEE">
        <w:rPr>
          <w:rStyle w:val="normaltextrun"/>
          <w:rFonts w:ascii="Arial" w:hAnsi="Arial" w:cs="Arial"/>
          <w:color w:val="000000"/>
          <w:shd w:val="clear" w:color="auto" w:fill="FFFFFF"/>
          <w:lang w:val="es-ES"/>
        </w:rPr>
        <w:t>icular</w:t>
      </w:r>
      <w:r w:rsidR="00FB1BEF" w:rsidRPr="00425FEE">
        <w:rPr>
          <w:rStyle w:val="normaltextrun"/>
          <w:rFonts w:ascii="Arial" w:hAnsi="Arial" w:cs="Arial"/>
          <w:color w:val="000000"/>
          <w:shd w:val="clear" w:color="auto" w:fill="FFFFFF"/>
          <w:lang w:val="es-ES"/>
        </w:rPr>
        <w:t>:</w:t>
      </w:r>
    </w:p>
    <w:p w14:paraId="50A227E2" w14:textId="7F0A066F" w:rsidR="00AC092C" w:rsidRPr="00F7590C" w:rsidRDefault="001577A3" w:rsidP="00AC092C">
      <w:pPr>
        <w:pStyle w:val="ListParagraph"/>
        <w:numPr>
          <w:ilvl w:val="1"/>
          <w:numId w:val="23"/>
        </w:numPr>
        <w:spacing w:before="120" w:after="120" w:line="240" w:lineRule="auto"/>
        <w:jc w:val="both"/>
        <w:textAlignment w:val="top"/>
        <w:rPr>
          <w:rStyle w:val="normaltextrun"/>
          <w:rFonts w:ascii="Arial" w:hAnsi="Arial" w:cs="Arial"/>
          <w:color w:val="000000"/>
          <w:shd w:val="clear" w:color="auto" w:fill="FFFFFF"/>
          <w:lang w:val="es-ES"/>
        </w:rPr>
      </w:pPr>
      <w:r w:rsidRPr="00F7590C">
        <w:rPr>
          <w:rStyle w:val="normaltextrun"/>
          <w:rFonts w:ascii="Arial" w:hAnsi="Arial" w:cs="Arial"/>
          <w:color w:val="000000"/>
          <w:shd w:val="clear" w:color="auto" w:fill="FFFFFF"/>
          <w:lang w:val="es-ES"/>
        </w:rPr>
        <w:t xml:space="preserve">% </w:t>
      </w:r>
      <w:r w:rsidR="00666185" w:rsidRPr="00F7590C">
        <w:rPr>
          <w:rStyle w:val="normaltextrun"/>
          <w:rFonts w:ascii="Arial" w:hAnsi="Arial" w:cs="Arial"/>
          <w:color w:val="000000"/>
          <w:shd w:val="clear" w:color="auto" w:fill="FFFFFF"/>
          <w:lang w:val="es-ES"/>
        </w:rPr>
        <w:t>de la población en pobreza y pobreza extrema que recibe transferencias monetarias financiadas por el proyecto a través de los programas de la red de protección social del país (Red de Oportunidades, 120 a los 65, Ángel Guardián y Bono Alimentario)</w:t>
      </w:r>
      <w:r w:rsidR="00F7590C" w:rsidRPr="00F7590C">
        <w:rPr>
          <w:rStyle w:val="normaltextrun"/>
          <w:rFonts w:ascii="Arial" w:hAnsi="Arial" w:cs="Arial"/>
          <w:color w:val="000000"/>
          <w:shd w:val="clear" w:color="auto" w:fill="FFFFFF"/>
          <w:lang w:val="es-ES"/>
        </w:rPr>
        <w:t>.</w:t>
      </w:r>
      <w:r w:rsidR="00666185" w:rsidRPr="00F7590C">
        <w:rPr>
          <w:rStyle w:val="normaltextrun"/>
          <w:rFonts w:ascii="Arial" w:hAnsi="Arial" w:cs="Arial"/>
          <w:color w:val="000000"/>
          <w:shd w:val="clear" w:color="auto" w:fill="FFFFFF"/>
          <w:lang w:val="es-ES"/>
        </w:rPr>
        <w:t xml:space="preserve">    </w:t>
      </w:r>
    </w:p>
    <w:p w14:paraId="6167D329" w14:textId="0E001612" w:rsidR="001577A3" w:rsidRPr="00F7590C" w:rsidRDefault="00FB7A38" w:rsidP="00550897">
      <w:pPr>
        <w:pStyle w:val="ListParagraph"/>
        <w:numPr>
          <w:ilvl w:val="1"/>
          <w:numId w:val="23"/>
        </w:numPr>
        <w:spacing w:before="120" w:after="120" w:line="240" w:lineRule="auto"/>
        <w:jc w:val="both"/>
        <w:textAlignment w:val="top"/>
        <w:rPr>
          <w:rStyle w:val="normaltextrun"/>
          <w:rFonts w:ascii="Arial" w:hAnsi="Arial" w:cs="Arial"/>
          <w:color w:val="000000"/>
          <w:shd w:val="clear" w:color="auto" w:fill="FFFFFF"/>
          <w:lang w:val="es-ES"/>
        </w:rPr>
      </w:pPr>
      <w:r w:rsidRPr="00F7590C">
        <w:rPr>
          <w:rStyle w:val="normaltextrun"/>
          <w:rFonts w:ascii="Arial" w:hAnsi="Arial" w:cs="Arial"/>
          <w:color w:val="000000"/>
          <w:shd w:val="clear" w:color="auto" w:fill="FFFFFF"/>
          <w:lang w:val="es-ES"/>
        </w:rPr>
        <w:t>%</w:t>
      </w:r>
      <w:r w:rsidR="00151145" w:rsidRPr="00F7590C">
        <w:rPr>
          <w:rStyle w:val="normaltextrun"/>
          <w:rFonts w:ascii="Arial" w:hAnsi="Arial" w:cs="Arial"/>
          <w:color w:val="000000"/>
          <w:shd w:val="clear" w:color="auto" w:fill="FFFFFF"/>
          <w:lang w:val="es-ES"/>
        </w:rPr>
        <w:t xml:space="preserve"> </w:t>
      </w:r>
      <w:r w:rsidR="0065677C" w:rsidRPr="0065677C">
        <w:rPr>
          <w:rStyle w:val="normaltextrun"/>
          <w:rFonts w:ascii="Arial" w:hAnsi="Arial" w:cs="Arial"/>
          <w:color w:val="000000"/>
          <w:shd w:val="clear" w:color="auto" w:fill="FFFFFF"/>
          <w:lang w:val="es-ES"/>
        </w:rPr>
        <w:t>de</w:t>
      </w:r>
      <w:r w:rsidR="0065677C">
        <w:rPr>
          <w:rStyle w:val="normaltextrun"/>
          <w:rFonts w:ascii="Arial" w:hAnsi="Arial" w:cs="Arial"/>
          <w:color w:val="000000"/>
          <w:shd w:val="clear" w:color="auto" w:fill="FFFFFF"/>
          <w:lang w:val="es-ES"/>
        </w:rPr>
        <w:t xml:space="preserve"> la población</w:t>
      </w:r>
      <w:r w:rsidR="00D575AA" w:rsidRPr="0065677C">
        <w:rPr>
          <w:rStyle w:val="normaltextrun"/>
          <w:rFonts w:ascii="Arial" w:hAnsi="Arial" w:cs="Arial"/>
          <w:color w:val="000000"/>
          <w:shd w:val="clear" w:color="auto" w:fill="FFFFFF"/>
          <w:lang w:val="es-ES"/>
        </w:rPr>
        <w:t xml:space="preserve"> beneficiaria del programa Vale Digital que realiza al menos una compra </w:t>
      </w:r>
      <w:r w:rsidR="00D575AA" w:rsidRPr="00F7590C">
        <w:rPr>
          <w:rStyle w:val="normaltextrun"/>
          <w:rFonts w:ascii="Arial" w:hAnsi="Arial" w:cs="Arial"/>
          <w:color w:val="000000"/>
          <w:shd w:val="clear" w:color="auto" w:fill="FFFFFF"/>
          <w:lang w:val="es-ES"/>
        </w:rPr>
        <w:t>durante el periodo en que se apoya el programa con recursos de la operación (beneficiarios activos).</w:t>
      </w:r>
    </w:p>
    <w:p w14:paraId="14283F78" w14:textId="505D0F74" w:rsidR="001958A2" w:rsidRPr="00151145" w:rsidRDefault="001958A2" w:rsidP="00C23646">
      <w:pPr>
        <w:pStyle w:val="ListParagraph"/>
        <w:numPr>
          <w:ilvl w:val="0"/>
          <w:numId w:val="23"/>
        </w:numPr>
        <w:spacing w:before="120" w:after="120" w:line="240" w:lineRule="auto"/>
        <w:jc w:val="both"/>
        <w:textAlignment w:val="top"/>
        <w:rPr>
          <w:rStyle w:val="normaltextrun"/>
          <w:rFonts w:ascii="Arial" w:hAnsi="Arial" w:cs="Arial"/>
          <w:color w:val="000000"/>
          <w:shd w:val="clear" w:color="auto" w:fill="FFFFFF"/>
          <w:lang w:val="es-ES"/>
        </w:rPr>
      </w:pPr>
      <w:r w:rsidRPr="00151145">
        <w:rPr>
          <w:rStyle w:val="normaltextrun"/>
          <w:rFonts w:ascii="Arial" w:hAnsi="Arial" w:cs="Arial"/>
          <w:color w:val="000000"/>
          <w:shd w:val="clear" w:color="auto" w:fill="FFFFFF"/>
          <w:lang w:val="es-ES"/>
        </w:rPr>
        <w:t xml:space="preserve">¿Cuál es </w:t>
      </w:r>
      <w:r w:rsidR="00007F0A" w:rsidRPr="00151145">
        <w:rPr>
          <w:rStyle w:val="normaltextrun"/>
          <w:rFonts w:ascii="Arial" w:hAnsi="Arial" w:cs="Arial"/>
          <w:color w:val="000000"/>
          <w:shd w:val="clear" w:color="auto" w:fill="FFFFFF"/>
          <w:lang w:val="es-ES"/>
        </w:rPr>
        <w:t>la contribución del programa para alcanzar estas metas</w:t>
      </w:r>
      <w:r w:rsidRPr="00151145">
        <w:rPr>
          <w:rStyle w:val="normaltextrun"/>
          <w:rFonts w:ascii="Arial" w:hAnsi="Arial" w:cs="Arial"/>
          <w:color w:val="000000"/>
          <w:shd w:val="clear" w:color="auto" w:fill="FFFFFF"/>
          <w:lang w:val="es-ES"/>
        </w:rPr>
        <w:t>?</w:t>
      </w:r>
    </w:p>
    <w:p w14:paraId="069DE8FB" w14:textId="3E7B659A" w:rsidR="001B5186" w:rsidRPr="00425FEE" w:rsidRDefault="00584512" w:rsidP="006C1331">
      <w:pPr>
        <w:pStyle w:val="ColorfulList-Accent11"/>
        <w:numPr>
          <w:ilvl w:val="0"/>
          <w:numId w:val="7"/>
        </w:numPr>
        <w:spacing w:before="120" w:after="120" w:line="240" w:lineRule="auto"/>
        <w:ind w:left="540" w:hanging="540"/>
        <w:contextualSpacing w:val="0"/>
        <w:jc w:val="both"/>
        <w:rPr>
          <w:rFonts w:ascii="Arial" w:hAnsi="Arial" w:cs="Arial"/>
          <w:b/>
          <w:bCs/>
          <w:lang w:val="es-ES"/>
        </w:rPr>
      </w:pPr>
      <w:r w:rsidRPr="00425FEE">
        <w:rPr>
          <w:rFonts w:ascii="Arial" w:hAnsi="Arial" w:cs="Arial"/>
          <w:b/>
          <w:bCs/>
          <w:lang w:val="es-ES"/>
        </w:rPr>
        <w:t xml:space="preserve">Conocimiento existente (evaluaciones previas, análisis económico </w:t>
      </w:r>
      <w:r w:rsidR="00623888" w:rsidRPr="00425FEE">
        <w:rPr>
          <w:rFonts w:ascii="Arial" w:hAnsi="Arial" w:cs="Arial"/>
          <w:b/>
          <w:bCs/>
          <w:lang w:val="es-ES"/>
        </w:rPr>
        <w:t xml:space="preserve">ex </w:t>
      </w:r>
      <w:r w:rsidRPr="00425FEE">
        <w:rPr>
          <w:rFonts w:ascii="Arial" w:hAnsi="Arial" w:cs="Arial"/>
          <w:b/>
          <w:bCs/>
          <w:lang w:val="es-ES"/>
        </w:rPr>
        <w:t>ante)</w:t>
      </w:r>
    </w:p>
    <w:p w14:paraId="498A61D0" w14:textId="394B6FBE" w:rsidR="00240A56" w:rsidRPr="00425FEE" w:rsidRDefault="00240A56" w:rsidP="006C1331">
      <w:pPr>
        <w:pStyle w:val="ColorfulList-Accent11"/>
        <w:spacing w:before="120" w:after="120" w:line="240" w:lineRule="auto"/>
        <w:ind w:left="0"/>
        <w:contextualSpacing w:val="0"/>
        <w:jc w:val="both"/>
        <w:rPr>
          <w:rFonts w:ascii="Arial" w:eastAsia="Times New Roman" w:hAnsi="Arial" w:cs="Arial"/>
          <w:bCs/>
          <w:color w:val="000000"/>
          <w:lang w:val="es-ES"/>
        </w:rPr>
      </w:pPr>
      <w:r w:rsidRPr="00425FEE">
        <w:rPr>
          <w:rFonts w:ascii="Arial" w:eastAsia="Times New Roman" w:hAnsi="Arial" w:cs="Arial"/>
          <w:bCs/>
          <w:color w:val="000000"/>
          <w:lang w:val="es-ES"/>
        </w:rPr>
        <w:t xml:space="preserve">En esta sección se presenta información sobre la evidencia de intervenciones de protección social para apoyar a las poblaciones vulnerables. </w:t>
      </w:r>
    </w:p>
    <w:p w14:paraId="12D7DBD4" w14:textId="3939CBD0" w:rsidR="004909FD" w:rsidRPr="00425FEE" w:rsidRDefault="004909FD" w:rsidP="006C1331">
      <w:pPr>
        <w:spacing w:before="120" w:after="120" w:line="240" w:lineRule="auto"/>
        <w:jc w:val="both"/>
        <w:textAlignment w:val="top"/>
        <w:rPr>
          <w:rFonts w:ascii="Arial" w:eastAsia="Times New Roman" w:hAnsi="Arial" w:cs="Arial"/>
          <w:color w:val="000000"/>
          <w:u w:val="single"/>
          <w:lang w:val="es-ES"/>
        </w:rPr>
      </w:pPr>
      <w:r w:rsidRPr="00425FEE">
        <w:rPr>
          <w:rFonts w:ascii="Arial" w:eastAsia="Times New Roman" w:hAnsi="Arial" w:cs="Arial"/>
          <w:color w:val="000000"/>
          <w:u w:val="single"/>
          <w:lang w:val="es-ES"/>
        </w:rPr>
        <w:t>Evidencia intervenciones de protección social para poblaciones vulnerables</w:t>
      </w:r>
    </w:p>
    <w:p w14:paraId="64219952" w14:textId="1917AA5A" w:rsidR="00855EB7" w:rsidRPr="00425FEE" w:rsidRDefault="00855EB7" w:rsidP="006C1331">
      <w:pPr>
        <w:autoSpaceDE w:val="0"/>
        <w:autoSpaceDN w:val="0"/>
        <w:adjustRightInd w:val="0"/>
        <w:spacing w:before="120" w:after="120" w:line="240" w:lineRule="auto"/>
        <w:jc w:val="both"/>
        <w:rPr>
          <w:rFonts w:ascii="Arial" w:hAnsi="Arial" w:cs="Arial"/>
          <w:lang w:val="es-ES"/>
        </w:rPr>
      </w:pPr>
      <w:r w:rsidRPr="00425FEE">
        <w:rPr>
          <w:rFonts w:ascii="Arial" w:hAnsi="Arial" w:cs="Arial"/>
          <w:lang w:val="es-ES"/>
        </w:rPr>
        <w:lastRenderedPageBreak/>
        <w:t>Existe amplio consenso que, para responder a la emergencia impuesta por el coronavirus, serán necesarias políticas compensatorias de gran escala, con mecanismos de focalización y ejecución acordes de la mano de medidas de distanciamiento social para reducir el riesgo de contagio. Se ha demostrado en estudios previos que las medidas de distanciamiento social en escuelas y lugar de trabajo reduce o disminuye la transmisión de virus</w:t>
      </w:r>
      <w:r w:rsidRPr="00425FEE">
        <w:rPr>
          <w:rStyle w:val="FootnoteReference"/>
          <w:rFonts w:ascii="Arial" w:hAnsi="Arial" w:cs="Arial"/>
          <w:lang w:val="es-ES"/>
        </w:rPr>
        <w:footnoteReference w:id="45"/>
      </w:r>
      <w:r w:rsidRPr="00425FEE">
        <w:rPr>
          <w:rFonts w:ascii="Arial" w:hAnsi="Arial" w:cs="Arial"/>
          <w:lang w:val="es-ES"/>
        </w:rPr>
        <w:t>. A esto se suma la recomendación de medidas de higiene preventivas</w:t>
      </w:r>
      <w:r w:rsidRPr="00425FEE">
        <w:rPr>
          <w:rStyle w:val="FootnoteReference"/>
          <w:rFonts w:ascii="Arial" w:hAnsi="Arial" w:cs="Arial"/>
          <w:lang w:val="es-ES"/>
        </w:rPr>
        <w:footnoteReference w:id="46"/>
      </w:r>
      <w:r w:rsidRPr="00425FEE">
        <w:rPr>
          <w:rFonts w:ascii="Arial" w:hAnsi="Arial" w:cs="Arial"/>
          <w:lang w:val="es-ES"/>
        </w:rPr>
        <w:t>. Un documento elaborado por Chang et al (2020)</w:t>
      </w:r>
      <w:r w:rsidRPr="00425FEE">
        <w:rPr>
          <w:rFonts w:ascii="Arial" w:hAnsi="Arial" w:cs="Arial"/>
          <w:lang w:val="es-ES"/>
        </w:rPr>
        <w:footnoteReference w:id="47"/>
      </w:r>
      <w:r w:rsidRPr="00425FEE">
        <w:rPr>
          <w:rFonts w:ascii="Arial" w:hAnsi="Arial" w:cs="Arial"/>
          <w:lang w:val="es-ES"/>
        </w:rPr>
        <w:t xml:space="preserve"> sobre evidencia en Australia sugiere que las medidas de distanciamiento social no son efectivas cuando el acatamiento es del 70% o menos ya que no contribuye al control de la epidemia. Pero si el acatamiento supera el 80% se observa una reducción en la incidencia y prevalencia del virus. Más allá de estas medias se necesita una respuesta amplia desde el área de protección social con el objetivo </w:t>
      </w:r>
      <w:r w:rsidR="00977D45" w:rsidRPr="00425FEE">
        <w:rPr>
          <w:rFonts w:ascii="Arial" w:hAnsi="Arial" w:cs="Arial"/>
          <w:lang w:val="es-ES"/>
        </w:rPr>
        <w:t>de</w:t>
      </w:r>
      <w:r w:rsidRPr="00425FEE">
        <w:rPr>
          <w:rFonts w:ascii="Arial" w:hAnsi="Arial" w:cs="Arial"/>
          <w:lang w:val="es-ES"/>
        </w:rPr>
        <w:t xml:space="preserve"> mantener la capacidad de consumo de personas cuyo ingreso se ve disminuido, directa o indirectamente, por contraer el COVID-19, por las medidas</w:t>
      </w:r>
      <w:r w:rsidR="006813D5" w:rsidRPr="00425FEE">
        <w:rPr>
          <w:rFonts w:ascii="Arial" w:hAnsi="Arial" w:cs="Arial"/>
          <w:lang w:val="es-ES"/>
        </w:rPr>
        <w:t> </w:t>
      </w:r>
      <w:r w:rsidRPr="00425FEE">
        <w:rPr>
          <w:rFonts w:ascii="Arial" w:hAnsi="Arial" w:cs="Arial"/>
          <w:lang w:val="es-ES"/>
        </w:rPr>
        <w:t>de distanciamiento social (etapa de emergencia) y por la contracción de la economía (etapa de crisis y recuperación), considerando la necesidad de realizar ajustes razonables</w:t>
      </w:r>
      <w:r w:rsidR="006813D5" w:rsidRPr="00425FEE">
        <w:rPr>
          <w:rFonts w:ascii="Arial" w:hAnsi="Arial" w:cs="Arial"/>
          <w:lang w:val="es-ES"/>
        </w:rPr>
        <w:t> </w:t>
      </w:r>
      <w:r w:rsidRPr="00425FEE">
        <w:rPr>
          <w:rFonts w:ascii="Arial" w:hAnsi="Arial" w:cs="Arial"/>
          <w:lang w:val="es-ES"/>
        </w:rPr>
        <w:t>pertinentes grupos más vulnerables como los adultos mayores, discapacitados y</w:t>
      </w:r>
      <w:r w:rsidR="006813D5" w:rsidRPr="00425FEE">
        <w:rPr>
          <w:rFonts w:ascii="Arial" w:hAnsi="Arial" w:cs="Arial"/>
          <w:lang w:val="es-ES"/>
        </w:rPr>
        <w:t> </w:t>
      </w:r>
      <w:r w:rsidRPr="00425FEE">
        <w:rPr>
          <w:rFonts w:ascii="Arial" w:hAnsi="Arial" w:cs="Arial"/>
          <w:lang w:val="es-ES"/>
        </w:rPr>
        <w:t xml:space="preserve">seguir un enfoque diferencial para pueblos indígenas y afrodescendientes. </w:t>
      </w:r>
    </w:p>
    <w:p w14:paraId="45722EA5" w14:textId="4624AD27" w:rsidR="00855EB7" w:rsidRPr="00425FEE" w:rsidRDefault="00855EB7" w:rsidP="006C1331">
      <w:pPr>
        <w:autoSpaceDE w:val="0"/>
        <w:autoSpaceDN w:val="0"/>
        <w:adjustRightInd w:val="0"/>
        <w:spacing w:before="120" w:after="120" w:line="240" w:lineRule="auto"/>
        <w:jc w:val="both"/>
        <w:rPr>
          <w:rFonts w:ascii="Arial" w:hAnsi="Arial" w:cs="Arial"/>
          <w:lang w:val="es-ES"/>
        </w:rPr>
      </w:pPr>
      <w:r w:rsidRPr="00425FEE">
        <w:rPr>
          <w:rFonts w:ascii="Arial" w:hAnsi="Arial" w:cs="Arial"/>
          <w:lang w:val="es-ES"/>
        </w:rPr>
        <w:t>El instrumento más directo son las transferencias económicas extraordinarias, pero hay otras medidas complementarias como la distribución directa de productos básicos o la moratoria en el pago de hipotecas o del pago de servicios domiciliarios como agua, luz, gas y teléfono. Para</w:t>
      </w:r>
      <w:r w:rsidR="006813D5" w:rsidRPr="00425FEE">
        <w:rPr>
          <w:rFonts w:ascii="Arial" w:hAnsi="Arial" w:cs="Arial"/>
          <w:lang w:val="es-ES"/>
        </w:rPr>
        <w:t> </w:t>
      </w:r>
      <w:r w:rsidRPr="00425FEE">
        <w:rPr>
          <w:rFonts w:ascii="Arial" w:hAnsi="Arial" w:cs="Arial"/>
          <w:lang w:val="es-ES"/>
        </w:rPr>
        <w:t>la respuesta inmediata, se propone expandir las transferencias monetarias de forma extraordinaria mediante la expansión de programas existentes o la creación de programas nuevos de emergencia con pagos excepcionales debido a la pandemia. Se han identificado los siguientes grupos: 1) las personas directamente afectadas por el COVID-19 y sus familias, 2)</w:t>
      </w:r>
      <w:r w:rsidR="00851953" w:rsidRPr="00425FEE">
        <w:rPr>
          <w:rFonts w:ascii="Arial" w:hAnsi="Arial" w:cs="Arial"/>
          <w:lang w:val="es-ES"/>
        </w:rPr>
        <w:t> </w:t>
      </w:r>
      <w:r w:rsidRPr="00425FEE">
        <w:rPr>
          <w:rFonts w:ascii="Arial" w:hAnsi="Arial" w:cs="Arial"/>
          <w:lang w:val="es-ES"/>
        </w:rPr>
        <w:t>a</w:t>
      </w:r>
      <w:r w:rsidR="006813D5" w:rsidRPr="00425FEE">
        <w:rPr>
          <w:rFonts w:ascii="Arial" w:hAnsi="Arial" w:cs="Arial"/>
          <w:lang w:val="es-ES"/>
        </w:rPr>
        <w:t> </w:t>
      </w:r>
      <w:r w:rsidRPr="00425FEE">
        <w:rPr>
          <w:rFonts w:ascii="Arial" w:hAnsi="Arial" w:cs="Arial"/>
          <w:lang w:val="es-ES"/>
        </w:rPr>
        <w:t xml:space="preserve">pobres y grupos vulnerables que pueden ser alcanzados a través de transferencias monetarias existentes; 3) a población vulnerable del sector informal o de bajos ingresos que no se encuentra en los padrones de la protección social. </w:t>
      </w:r>
    </w:p>
    <w:p w14:paraId="309B4B31" w14:textId="75839F6F" w:rsidR="00855EB7" w:rsidRPr="00425FEE" w:rsidRDefault="00855EB7" w:rsidP="006C1331">
      <w:pPr>
        <w:spacing w:before="120" w:after="120" w:line="240" w:lineRule="auto"/>
        <w:jc w:val="both"/>
        <w:rPr>
          <w:rFonts w:ascii="Arial" w:hAnsi="Arial" w:cs="Arial"/>
          <w:lang w:val="es-ES"/>
        </w:rPr>
      </w:pPr>
      <w:r w:rsidRPr="00425FEE">
        <w:rPr>
          <w:rFonts w:ascii="Arial" w:hAnsi="Arial" w:cs="Arial"/>
          <w:lang w:val="es-ES"/>
        </w:rPr>
        <w:t>Los sistemas de protección social no han sido concebidos para gestionar los riesgos asociados a una pandemia como la de COVID-19 pero han desempeñado un rol importante en respuesta a emergencias y crisis que impactan de manera simultánea a una amplia parte de la población. Una revisión sistemática de experiencias dentro y fuera de la región encuentra que los programas de protección social no contributiva (como, transferencias monetarias y programas de empleo público) y contributiva (como seguro de desempleo y pensiones) (O’Brien, Holmes, Scott y Barca 2018</w:t>
      </w:r>
      <w:r w:rsidRPr="00425FEE">
        <w:rPr>
          <w:rFonts w:ascii="Arial" w:hAnsi="Arial" w:cs="Arial"/>
          <w:vertAlign w:val="superscript"/>
          <w:lang w:val="es-ES"/>
        </w:rPr>
        <w:footnoteReference w:id="48"/>
      </w:r>
      <w:r w:rsidRPr="00425FEE">
        <w:rPr>
          <w:rFonts w:ascii="Arial" w:hAnsi="Arial" w:cs="Arial"/>
          <w:lang w:val="es-ES"/>
        </w:rPr>
        <w:t>; </w:t>
      </w:r>
      <w:proofErr w:type="spellStart"/>
      <w:r w:rsidRPr="00425FEE">
        <w:rPr>
          <w:rFonts w:ascii="Arial" w:hAnsi="Arial" w:cs="Arial"/>
          <w:lang w:val="es-ES"/>
        </w:rPr>
        <w:t>Grosh</w:t>
      </w:r>
      <w:proofErr w:type="spellEnd"/>
      <w:r w:rsidRPr="00425FEE">
        <w:rPr>
          <w:rFonts w:ascii="Arial" w:hAnsi="Arial" w:cs="Arial"/>
          <w:lang w:val="es-ES"/>
        </w:rPr>
        <w:t xml:space="preserve"> et al 2014</w:t>
      </w:r>
      <w:r w:rsidRPr="00425FEE">
        <w:rPr>
          <w:rFonts w:ascii="Arial" w:hAnsi="Arial" w:cs="Arial"/>
          <w:vertAlign w:val="superscript"/>
          <w:lang w:val="es-ES"/>
        </w:rPr>
        <w:footnoteReference w:id="49"/>
      </w:r>
      <w:r w:rsidRPr="00425FEE">
        <w:rPr>
          <w:rFonts w:ascii="Arial" w:hAnsi="Arial" w:cs="Arial"/>
          <w:lang w:val="es-ES"/>
        </w:rPr>
        <w:t xml:space="preserve">) han sido utilizadas para dar respuesta a emergencias. Dichas respuestas incluyen: </w:t>
      </w:r>
      <w:r w:rsidR="03263CDA" w:rsidRPr="00425FEE">
        <w:rPr>
          <w:rFonts w:ascii="Arial" w:hAnsi="Arial" w:cs="Arial"/>
          <w:lang w:val="es-ES"/>
        </w:rPr>
        <w:t>(</w:t>
      </w:r>
      <w:r w:rsidRPr="00425FEE">
        <w:rPr>
          <w:rFonts w:ascii="Arial" w:hAnsi="Arial" w:cs="Arial"/>
          <w:lang w:val="es-ES"/>
        </w:rPr>
        <w:t>i) modificar el diseño para adaptarse a la situación de emergencia (por ejemplo, simplificando procedimientos)</w:t>
      </w:r>
      <w:r w:rsidR="2C437452" w:rsidRPr="00425FEE">
        <w:rPr>
          <w:rFonts w:ascii="Arial" w:hAnsi="Arial" w:cs="Arial"/>
          <w:lang w:val="es-ES"/>
        </w:rPr>
        <w:t>;</w:t>
      </w:r>
      <w:r w:rsidRPr="00425FEE">
        <w:rPr>
          <w:rFonts w:ascii="Arial" w:hAnsi="Arial" w:cs="Arial"/>
          <w:lang w:val="es-ES"/>
        </w:rPr>
        <w:t xml:space="preserve"> </w:t>
      </w:r>
      <w:r w:rsidR="24CEE22C" w:rsidRPr="00425FEE">
        <w:rPr>
          <w:rFonts w:ascii="Arial" w:hAnsi="Arial" w:cs="Arial"/>
          <w:lang w:val="es-ES"/>
        </w:rPr>
        <w:t>(</w:t>
      </w:r>
      <w:proofErr w:type="spellStart"/>
      <w:r w:rsidRPr="00425FEE">
        <w:rPr>
          <w:rFonts w:ascii="Arial" w:hAnsi="Arial" w:cs="Arial"/>
          <w:lang w:val="es-ES"/>
        </w:rPr>
        <w:t>ii</w:t>
      </w:r>
      <w:proofErr w:type="spellEnd"/>
      <w:r w:rsidRPr="00425FEE">
        <w:rPr>
          <w:rFonts w:ascii="Arial" w:hAnsi="Arial" w:cs="Arial"/>
          <w:lang w:val="es-ES"/>
        </w:rPr>
        <w:t xml:space="preserve">) </w:t>
      </w:r>
      <w:r w:rsidR="00EC1FB4" w:rsidRPr="00425FEE">
        <w:rPr>
          <w:rFonts w:ascii="Arial" w:hAnsi="Arial" w:cs="Arial"/>
          <w:lang w:val="es-ES"/>
        </w:rPr>
        <w:t>u</w:t>
      </w:r>
      <w:r w:rsidRPr="00425FEE">
        <w:rPr>
          <w:rFonts w:ascii="Arial" w:hAnsi="Arial" w:cs="Arial"/>
          <w:lang w:val="es-ES"/>
        </w:rPr>
        <w:t>tilizando la infraestructura como padrones de beneficiarios, mecanismos de focalización y medios de pago</w:t>
      </w:r>
      <w:r w:rsidR="33627002" w:rsidRPr="00425FEE">
        <w:rPr>
          <w:rFonts w:ascii="Arial" w:hAnsi="Arial" w:cs="Arial"/>
          <w:lang w:val="es-ES"/>
        </w:rPr>
        <w:t>;</w:t>
      </w:r>
      <w:r w:rsidRPr="00425FEE">
        <w:rPr>
          <w:rFonts w:ascii="Arial" w:hAnsi="Arial" w:cs="Arial"/>
          <w:lang w:val="es-ES"/>
        </w:rPr>
        <w:t xml:space="preserve"> y </w:t>
      </w:r>
      <w:r w:rsidR="1CA225F6" w:rsidRPr="00425FEE">
        <w:rPr>
          <w:rFonts w:ascii="Arial" w:hAnsi="Arial" w:cs="Arial"/>
          <w:lang w:val="es-ES"/>
        </w:rPr>
        <w:t>(</w:t>
      </w:r>
      <w:proofErr w:type="spellStart"/>
      <w:r w:rsidRPr="00425FEE">
        <w:rPr>
          <w:rFonts w:ascii="Arial" w:hAnsi="Arial" w:cs="Arial"/>
          <w:lang w:val="es-ES"/>
        </w:rPr>
        <w:t>iii</w:t>
      </w:r>
      <w:proofErr w:type="spellEnd"/>
      <w:r w:rsidRPr="00425FEE">
        <w:rPr>
          <w:rFonts w:ascii="Arial" w:hAnsi="Arial" w:cs="Arial"/>
          <w:lang w:val="es-ES"/>
        </w:rPr>
        <w:t>) expandir los apoyos a través de diversas estrategias incluyendo aumentar los montos o adelantar pagos de programas existentes, así como incrementar la cobertura y crear nuevos programas temporales. Por</w:t>
      </w:r>
      <w:r w:rsidR="002A5EA2" w:rsidRPr="00425FEE">
        <w:rPr>
          <w:rFonts w:ascii="Arial" w:hAnsi="Arial" w:cs="Arial"/>
          <w:lang w:val="es-ES"/>
        </w:rPr>
        <w:t> </w:t>
      </w:r>
      <w:r w:rsidRPr="00425FEE">
        <w:rPr>
          <w:rFonts w:ascii="Arial" w:hAnsi="Arial" w:cs="Arial"/>
          <w:lang w:val="es-ES"/>
        </w:rPr>
        <w:t xml:space="preserve">ejemplo, en el caso de la crisis económica de 2008, la región de ALC entró bien dotada de programas de transferencias condicionadas y otros programas dirigidos a los pobres crónicos </w:t>
      </w:r>
      <w:r w:rsidRPr="00425FEE">
        <w:rPr>
          <w:rFonts w:ascii="Arial" w:hAnsi="Arial" w:cs="Arial"/>
          <w:lang w:val="es-ES"/>
        </w:rPr>
        <w:lastRenderedPageBreak/>
        <w:t>lo que le permitió dar respuesta de una manera rápida aumentando los montos de los beneficios; aunque no necesariamente estaban en condiciones de llegar a las personas que cayeron en pobreza como resultado de la crisis (</w:t>
      </w:r>
      <w:proofErr w:type="spellStart"/>
      <w:r w:rsidRPr="00425FEE">
        <w:rPr>
          <w:rFonts w:ascii="Arial" w:hAnsi="Arial" w:cs="Arial"/>
          <w:lang w:val="es-ES"/>
        </w:rPr>
        <w:t>Grosh</w:t>
      </w:r>
      <w:proofErr w:type="spellEnd"/>
      <w:r w:rsidRPr="00425FEE">
        <w:rPr>
          <w:rFonts w:ascii="Arial" w:hAnsi="Arial" w:cs="Arial"/>
          <w:lang w:val="es-ES"/>
        </w:rPr>
        <w:t xml:space="preserve"> et al 2014). Además, se ha documentado el uso de programas de protección social como transferencias condicionadas y pensiones no contributivas para situaciones de desastres que requieres respuestas inmediatas como a sismos, sequías y huracanes utilizando las estrategias de aumentar las transferencias, aprovechar los medios de pago existentes para canalizar apoyos extraordinarios, adelantando pagos y utilizando los padrones para identificar personas vulnerables (Beazley et al 2019</w:t>
      </w:r>
      <w:r w:rsidRPr="00425FEE">
        <w:rPr>
          <w:rFonts w:ascii="Arial" w:hAnsi="Arial" w:cs="Arial"/>
          <w:vertAlign w:val="superscript"/>
          <w:lang w:val="es-ES"/>
        </w:rPr>
        <w:footnoteReference w:id="50"/>
      </w:r>
      <w:r w:rsidRPr="00425FEE">
        <w:rPr>
          <w:rFonts w:ascii="Arial" w:hAnsi="Arial" w:cs="Arial"/>
          <w:lang w:val="es-ES"/>
        </w:rPr>
        <w:t>).</w:t>
      </w:r>
    </w:p>
    <w:p w14:paraId="3378F2FF" w14:textId="399A458C" w:rsidR="00855EB7" w:rsidRPr="00425FEE" w:rsidRDefault="00855EB7" w:rsidP="006C1331">
      <w:pPr>
        <w:spacing w:before="120" w:after="120" w:line="240" w:lineRule="auto"/>
        <w:jc w:val="both"/>
        <w:rPr>
          <w:rFonts w:ascii="Arial" w:hAnsi="Arial" w:cs="Arial"/>
          <w:lang w:val="es-ES"/>
        </w:rPr>
      </w:pPr>
      <w:r w:rsidRPr="00425FEE">
        <w:rPr>
          <w:rFonts w:ascii="Arial" w:hAnsi="Arial" w:cs="Arial"/>
          <w:lang w:val="es-ES"/>
        </w:rPr>
        <w:t xml:space="preserve">A nivel mundial </w:t>
      </w:r>
      <w:proofErr w:type="spellStart"/>
      <w:r w:rsidRPr="00425FEE">
        <w:rPr>
          <w:rFonts w:ascii="Arial" w:hAnsi="Arial" w:cs="Arial"/>
          <w:lang w:val="es-ES"/>
        </w:rPr>
        <w:t>Gentilini</w:t>
      </w:r>
      <w:proofErr w:type="spellEnd"/>
      <w:r w:rsidRPr="00425FEE">
        <w:rPr>
          <w:rFonts w:ascii="Arial" w:hAnsi="Arial" w:cs="Arial"/>
          <w:lang w:val="es-ES"/>
        </w:rPr>
        <w:t xml:space="preserve">, </w:t>
      </w:r>
      <w:proofErr w:type="spellStart"/>
      <w:r w:rsidRPr="00425FEE">
        <w:rPr>
          <w:rFonts w:ascii="Arial" w:hAnsi="Arial" w:cs="Arial"/>
          <w:lang w:val="es-ES"/>
        </w:rPr>
        <w:t>Almenfi</w:t>
      </w:r>
      <w:proofErr w:type="spellEnd"/>
      <w:r w:rsidRPr="00425FEE">
        <w:rPr>
          <w:rFonts w:ascii="Arial" w:hAnsi="Arial" w:cs="Arial"/>
          <w:lang w:val="es-ES"/>
        </w:rPr>
        <w:t xml:space="preserve"> y Orton (2020)</w:t>
      </w:r>
      <w:r w:rsidRPr="00425FEE">
        <w:rPr>
          <w:rFonts w:ascii="Arial" w:hAnsi="Arial" w:cs="Arial"/>
          <w:lang w:val="es-ES"/>
        </w:rPr>
        <w:footnoteReference w:id="51"/>
      </w:r>
      <w:r w:rsidRPr="00425FEE">
        <w:rPr>
          <w:rFonts w:ascii="Arial" w:hAnsi="Arial" w:cs="Arial"/>
          <w:lang w:val="es-ES"/>
        </w:rPr>
        <w:t xml:space="preserve"> realizaron una revisión de lo que están haciendo los países para enfrentar el coronavirus. Se observa que hasta el momento 84 países han introducido o adaptado programas de protección social y empleo en respuesta a COVID</w:t>
      </w:r>
      <w:r w:rsidR="002A5EA2" w:rsidRPr="00425FEE">
        <w:rPr>
          <w:rFonts w:ascii="Arial" w:hAnsi="Arial" w:cs="Arial"/>
          <w:lang w:val="es-ES"/>
        </w:rPr>
        <w:noBreakHyphen/>
      </w:r>
      <w:r w:rsidRPr="00425FEE">
        <w:rPr>
          <w:rFonts w:ascii="Arial" w:hAnsi="Arial" w:cs="Arial"/>
          <w:lang w:val="es-ES"/>
        </w:rPr>
        <w:t>19. Entre las clases de intervenciones, la asistencia social (transferencias no contributivas) es la más utilizada (150 programas), seguida de acciones de seguridad social (91) e intervenciones en el mercado laboral del lado de la oferta (42). Dentro de la asistencia social, los programas de transferencia de efectivo son claramente la intervención más utilizada por los gobiernos (más de un tercio del total de programas). Un total de 58 países cuentan con esos programas, y 35 de ellos representan nuevas iniciativas introducidas específicamente como respuesta COVID-19. En los países que no han introducido nuevos programas, sino que han modificado las intervenciones preexistentes, tales modificaciones se llevan a cabo a través de seis estrategias básicas, a saber</w:t>
      </w:r>
      <w:r w:rsidR="002A5EA2" w:rsidRPr="00425FEE">
        <w:rPr>
          <w:rFonts w:ascii="Arial" w:hAnsi="Arial" w:cs="Arial"/>
          <w:lang w:val="es-ES"/>
        </w:rPr>
        <w:t>:</w:t>
      </w:r>
      <w:r w:rsidRPr="00425FEE">
        <w:rPr>
          <w:rFonts w:ascii="Arial" w:hAnsi="Arial" w:cs="Arial"/>
          <w:lang w:val="es-ES"/>
        </w:rPr>
        <w:t xml:space="preserve"> </w:t>
      </w:r>
      <w:r w:rsidR="002A5EA2" w:rsidRPr="00425FEE">
        <w:rPr>
          <w:rFonts w:ascii="Arial" w:hAnsi="Arial" w:cs="Arial"/>
          <w:lang w:val="es-ES"/>
        </w:rPr>
        <w:t>(</w:t>
      </w:r>
      <w:r w:rsidRPr="00425FEE">
        <w:rPr>
          <w:rFonts w:ascii="Arial" w:hAnsi="Arial" w:cs="Arial"/>
          <w:lang w:val="es-ES"/>
        </w:rPr>
        <w:t>i) mayor cobertura (por ejemplo, Brasil)</w:t>
      </w:r>
      <w:r w:rsidR="002A5EA2" w:rsidRPr="00425FEE">
        <w:rPr>
          <w:rFonts w:ascii="Arial" w:hAnsi="Arial" w:cs="Arial"/>
          <w:lang w:val="es-ES"/>
        </w:rPr>
        <w:t>;</w:t>
      </w:r>
      <w:r w:rsidRPr="00425FEE">
        <w:rPr>
          <w:rFonts w:ascii="Arial" w:hAnsi="Arial" w:cs="Arial"/>
          <w:lang w:val="es-ES"/>
        </w:rPr>
        <w:t xml:space="preserve"> </w:t>
      </w:r>
      <w:r w:rsidR="002A5EA2" w:rsidRPr="00425FEE">
        <w:rPr>
          <w:rFonts w:ascii="Arial" w:hAnsi="Arial" w:cs="Arial"/>
          <w:lang w:val="es-ES"/>
        </w:rPr>
        <w:t>(</w:t>
      </w:r>
      <w:proofErr w:type="spellStart"/>
      <w:r w:rsidRPr="00425FEE">
        <w:rPr>
          <w:rFonts w:ascii="Arial" w:hAnsi="Arial" w:cs="Arial"/>
          <w:lang w:val="es-ES"/>
        </w:rPr>
        <w:t>ii</w:t>
      </w:r>
      <w:proofErr w:type="spellEnd"/>
      <w:r w:rsidRPr="00425FEE">
        <w:rPr>
          <w:rFonts w:ascii="Arial" w:hAnsi="Arial" w:cs="Arial"/>
          <w:lang w:val="es-ES"/>
        </w:rPr>
        <w:t>) mayores niveles de beneficios (China)</w:t>
      </w:r>
      <w:r w:rsidR="002A5EA2" w:rsidRPr="00425FEE">
        <w:rPr>
          <w:rFonts w:ascii="Arial" w:hAnsi="Arial" w:cs="Arial"/>
          <w:lang w:val="es-ES"/>
        </w:rPr>
        <w:t>;</w:t>
      </w:r>
      <w:r w:rsidRPr="00425FEE">
        <w:rPr>
          <w:rFonts w:ascii="Arial" w:hAnsi="Arial" w:cs="Arial"/>
          <w:lang w:val="es-ES"/>
        </w:rPr>
        <w:t xml:space="preserve"> </w:t>
      </w:r>
      <w:r w:rsidR="002A5EA2" w:rsidRPr="00425FEE">
        <w:rPr>
          <w:rFonts w:ascii="Arial" w:hAnsi="Arial" w:cs="Arial"/>
          <w:lang w:val="es-ES"/>
        </w:rPr>
        <w:t>(</w:t>
      </w:r>
      <w:proofErr w:type="spellStart"/>
      <w:r w:rsidRPr="00425FEE">
        <w:rPr>
          <w:rFonts w:ascii="Arial" w:hAnsi="Arial" w:cs="Arial"/>
          <w:lang w:val="es-ES"/>
        </w:rPr>
        <w:t>iii</w:t>
      </w:r>
      <w:proofErr w:type="spellEnd"/>
      <w:r w:rsidRPr="00425FEE">
        <w:rPr>
          <w:rFonts w:ascii="Arial" w:hAnsi="Arial" w:cs="Arial"/>
          <w:lang w:val="es-ES"/>
        </w:rPr>
        <w:t>) pagos anticipados (Indonesia)</w:t>
      </w:r>
      <w:r w:rsidR="002A5EA2" w:rsidRPr="00425FEE">
        <w:rPr>
          <w:rFonts w:ascii="Arial" w:hAnsi="Arial" w:cs="Arial"/>
          <w:lang w:val="es-ES"/>
        </w:rPr>
        <w:t>;</w:t>
      </w:r>
      <w:r w:rsidRPr="00425FEE">
        <w:rPr>
          <w:rFonts w:ascii="Arial" w:hAnsi="Arial" w:cs="Arial"/>
          <w:lang w:val="es-ES"/>
        </w:rPr>
        <w:t xml:space="preserve"> </w:t>
      </w:r>
      <w:r w:rsidR="002A5EA2" w:rsidRPr="00425FEE">
        <w:rPr>
          <w:rFonts w:ascii="Arial" w:hAnsi="Arial" w:cs="Arial"/>
          <w:lang w:val="es-ES"/>
        </w:rPr>
        <w:t>(</w:t>
      </w:r>
      <w:proofErr w:type="spellStart"/>
      <w:r w:rsidRPr="00425FEE">
        <w:rPr>
          <w:rFonts w:ascii="Arial" w:hAnsi="Arial" w:cs="Arial"/>
          <w:lang w:val="es-ES"/>
        </w:rPr>
        <w:t>iv</w:t>
      </w:r>
      <w:proofErr w:type="spellEnd"/>
      <w:r w:rsidRPr="00425FEE">
        <w:rPr>
          <w:rFonts w:ascii="Arial" w:hAnsi="Arial" w:cs="Arial"/>
          <w:lang w:val="es-ES"/>
        </w:rPr>
        <w:t>) simplificación de los requisitos administrativos (Reino Unido, Rumania)</w:t>
      </w:r>
      <w:r w:rsidR="002A5EA2" w:rsidRPr="00425FEE">
        <w:rPr>
          <w:rFonts w:ascii="Arial" w:hAnsi="Arial" w:cs="Arial"/>
          <w:lang w:val="es-ES"/>
        </w:rPr>
        <w:t>;</w:t>
      </w:r>
      <w:r w:rsidRPr="00425FEE">
        <w:rPr>
          <w:rFonts w:ascii="Arial" w:hAnsi="Arial" w:cs="Arial"/>
          <w:lang w:val="es-ES"/>
        </w:rPr>
        <w:t xml:space="preserve"> </w:t>
      </w:r>
      <w:r w:rsidR="002A5EA2" w:rsidRPr="00425FEE">
        <w:rPr>
          <w:rFonts w:ascii="Arial" w:hAnsi="Arial" w:cs="Arial"/>
          <w:lang w:val="es-ES"/>
        </w:rPr>
        <w:t>(</w:t>
      </w:r>
      <w:r w:rsidRPr="00425FEE">
        <w:rPr>
          <w:rFonts w:ascii="Arial" w:hAnsi="Arial" w:cs="Arial"/>
          <w:lang w:val="es-ES"/>
        </w:rPr>
        <w:t>v) conectar esquemas de respuesta COVID en plataformas de entrega existentes (Pakistán, Jordania)</w:t>
      </w:r>
      <w:r w:rsidR="002A5EA2" w:rsidRPr="00425FEE">
        <w:rPr>
          <w:rFonts w:ascii="Arial" w:hAnsi="Arial" w:cs="Arial"/>
          <w:lang w:val="es-ES"/>
        </w:rPr>
        <w:t>;</w:t>
      </w:r>
      <w:r w:rsidRPr="00425FEE">
        <w:rPr>
          <w:rFonts w:ascii="Arial" w:hAnsi="Arial" w:cs="Arial"/>
          <w:lang w:val="es-ES"/>
        </w:rPr>
        <w:t xml:space="preserve"> y </w:t>
      </w:r>
      <w:r w:rsidR="002A5EA2" w:rsidRPr="00425FEE">
        <w:rPr>
          <w:rFonts w:ascii="Arial" w:hAnsi="Arial" w:cs="Arial"/>
          <w:lang w:val="es-ES"/>
        </w:rPr>
        <w:t>(</w:t>
      </w:r>
      <w:r w:rsidRPr="00425FEE">
        <w:rPr>
          <w:rFonts w:ascii="Arial" w:hAnsi="Arial" w:cs="Arial"/>
          <w:lang w:val="es-ES"/>
        </w:rPr>
        <w:t>vi) proporcionar innovadores diseñar soluciones, como programas de alimentación escolar que entreguen alimentos directamente a los hogares de niños o puntos de distribución cercanos (Jamaica).</w:t>
      </w:r>
    </w:p>
    <w:p w14:paraId="4BF95A4B" w14:textId="75ACB9FA" w:rsidR="00C06375" w:rsidRPr="00425FEE" w:rsidRDefault="00996956" w:rsidP="006C1331">
      <w:pPr>
        <w:spacing w:before="120" w:after="120" w:line="240" w:lineRule="auto"/>
        <w:jc w:val="both"/>
        <w:textAlignment w:val="top"/>
        <w:rPr>
          <w:rFonts w:ascii="Arial" w:eastAsia="Times New Roman" w:hAnsi="Arial" w:cs="Arial"/>
          <w:color w:val="000000"/>
          <w:u w:val="single"/>
          <w:lang w:val="es-ES"/>
        </w:rPr>
      </w:pPr>
      <w:r w:rsidRPr="00425FEE">
        <w:rPr>
          <w:rFonts w:ascii="Arial" w:eastAsia="Times New Roman" w:hAnsi="Arial" w:cs="Arial"/>
          <w:color w:val="000000"/>
          <w:u w:val="single"/>
          <w:lang w:val="es-ES"/>
        </w:rPr>
        <w:t>Análisis Económic</w:t>
      </w:r>
      <w:r w:rsidR="004666FB" w:rsidRPr="00425FEE">
        <w:rPr>
          <w:rFonts w:ascii="Arial" w:eastAsia="Times New Roman" w:hAnsi="Arial" w:cs="Arial"/>
          <w:color w:val="000000"/>
          <w:u w:val="single"/>
          <w:lang w:val="es-ES"/>
        </w:rPr>
        <w:t>o</w:t>
      </w:r>
      <w:r w:rsidRPr="00425FEE">
        <w:rPr>
          <w:rFonts w:ascii="Arial" w:eastAsia="Times New Roman" w:hAnsi="Arial" w:cs="Arial"/>
          <w:color w:val="000000"/>
          <w:u w:val="single"/>
          <w:lang w:val="es-ES"/>
        </w:rPr>
        <w:t xml:space="preserve"> </w:t>
      </w:r>
      <w:proofErr w:type="spellStart"/>
      <w:r w:rsidR="00C06375" w:rsidRPr="00425FEE">
        <w:rPr>
          <w:rFonts w:ascii="Arial" w:eastAsia="Times New Roman" w:hAnsi="Arial" w:cs="Arial"/>
          <w:color w:val="000000"/>
          <w:u w:val="single"/>
          <w:lang w:val="es-ES"/>
        </w:rPr>
        <w:t>Ex-ante</w:t>
      </w:r>
      <w:proofErr w:type="spellEnd"/>
      <w:r w:rsidR="00C06375" w:rsidRPr="00425FEE">
        <w:rPr>
          <w:rFonts w:ascii="Arial" w:eastAsia="Times New Roman" w:hAnsi="Arial" w:cs="Arial"/>
          <w:color w:val="000000"/>
          <w:u w:val="single"/>
          <w:lang w:val="es-ES"/>
        </w:rPr>
        <w:t xml:space="preserve"> </w:t>
      </w:r>
    </w:p>
    <w:p w14:paraId="56749BD2" w14:textId="6E6AE10D" w:rsidR="00C71509" w:rsidRPr="00CE06B5" w:rsidRDefault="008C42B6" w:rsidP="006C1331">
      <w:pPr>
        <w:spacing w:before="120" w:after="120" w:line="240" w:lineRule="auto"/>
        <w:jc w:val="both"/>
        <w:rPr>
          <w:rFonts w:ascii="Arial" w:eastAsia="Arial" w:hAnsi="Arial" w:cs="Arial"/>
          <w:lang w:val="es-ES"/>
        </w:rPr>
      </w:pPr>
      <w:r w:rsidRPr="00CE06B5">
        <w:rPr>
          <w:rFonts w:ascii="Arial" w:hAnsi="Arial" w:cs="Arial"/>
          <w:lang w:val="es-ES"/>
        </w:rPr>
        <w:t>La justificación económica de las intervenciones aquí planteadas se basa en las vidas salvadas por la disminución de la tasa de contagio del COVID-19 resultado de la implementación de las medidas de distanciamiento social. La compensación de los ingresos de las personas pobres y vulnerables fren</w:t>
      </w:r>
      <w:r w:rsidR="00904B28" w:rsidRPr="00CE06B5">
        <w:rPr>
          <w:rFonts w:ascii="Arial" w:hAnsi="Arial" w:cs="Arial"/>
          <w:lang w:val="es-ES"/>
        </w:rPr>
        <w:t>t</w:t>
      </w:r>
      <w:r w:rsidRPr="00CE06B5">
        <w:rPr>
          <w:rFonts w:ascii="Arial" w:hAnsi="Arial" w:cs="Arial"/>
          <w:lang w:val="es-ES"/>
        </w:rPr>
        <w:t>e al COVID-19 reforzará las medidas sanitarias, y permitirá a las familias mantener niveles mínimos de bienestar</w:t>
      </w:r>
      <w:r w:rsidR="007D0895" w:rsidRPr="00CE06B5">
        <w:rPr>
          <w:rFonts w:ascii="Arial" w:hAnsi="Arial" w:cs="Arial"/>
          <w:lang w:val="es-ES"/>
        </w:rPr>
        <w:t xml:space="preserve">, con un efecto multiplicador en la economía aún en contextos de </w:t>
      </w:r>
      <w:r w:rsidR="00426FE5" w:rsidRPr="00CE06B5">
        <w:rPr>
          <w:rFonts w:ascii="Arial" w:hAnsi="Arial" w:cs="Arial"/>
          <w:lang w:val="es-ES"/>
        </w:rPr>
        <w:t>crisis, permitiendo</w:t>
      </w:r>
      <w:r w:rsidR="007D0895" w:rsidRPr="00CE06B5">
        <w:rPr>
          <w:rFonts w:ascii="Arial" w:hAnsi="Arial" w:cs="Arial"/>
          <w:lang w:val="es-ES"/>
        </w:rPr>
        <w:t xml:space="preserve"> suavizar el consumo de las familias</w:t>
      </w:r>
      <w:r w:rsidRPr="00CE06B5">
        <w:rPr>
          <w:rFonts w:ascii="Arial" w:hAnsi="Arial" w:cs="Arial"/>
          <w:lang w:val="es-ES"/>
        </w:rPr>
        <w:t xml:space="preserve">. </w:t>
      </w:r>
      <w:r w:rsidR="005D2720" w:rsidRPr="00CE06B5">
        <w:rPr>
          <w:rFonts w:ascii="Arial" w:hAnsi="Arial" w:cs="Arial"/>
          <w:lang w:val="es-ES"/>
        </w:rPr>
        <w:t xml:space="preserve">El análisis económico general </w:t>
      </w:r>
      <w:r w:rsidR="00C71509" w:rsidRPr="00CE06B5">
        <w:rPr>
          <w:rFonts w:ascii="Arial" w:eastAsia="Arial" w:hAnsi="Arial" w:cs="Arial"/>
          <w:lang w:val="es-ES"/>
        </w:rPr>
        <w:t xml:space="preserve">cuantifica </w:t>
      </w:r>
      <w:r w:rsidR="007A4A45" w:rsidRPr="00CE06B5">
        <w:rPr>
          <w:rFonts w:ascii="Arial" w:eastAsia="Arial" w:hAnsi="Arial" w:cs="Arial"/>
          <w:lang w:val="es-ES"/>
        </w:rPr>
        <w:t xml:space="preserve">los </w:t>
      </w:r>
      <w:r w:rsidR="00C71509" w:rsidRPr="00CE06B5">
        <w:rPr>
          <w:rFonts w:ascii="Arial" w:eastAsia="Arial" w:hAnsi="Arial" w:cs="Arial"/>
          <w:lang w:val="es-ES"/>
        </w:rPr>
        <w:t>beneficios de dos tipos asociados a las intervenciones contempladas en el prototipo. En primer lugar, y dado que varias de las intervenciones buscan transferir recursos a las familias vulnerables que están viendo afectados sus ingresos de manera significativa, se presentan los beneficios asociados al efecto multiplicador en la economía que tiene el gasto de las familias beneficiarias de transferencias, así como las ventajas de poder suavizar el patrón de consumo de las familias (modelado, siguiendo la literatura, a partir de evitar que los menores deban abandonar la escuela para apoyar a sus familias). En segundo lugar, se presentan los beneficios asociados a la preservación del capital humano ante la crisis.</w:t>
      </w:r>
    </w:p>
    <w:p w14:paraId="7DFC6326" w14:textId="75C27123" w:rsidR="00C71509" w:rsidRPr="00CE06B5" w:rsidRDefault="00C71509" w:rsidP="006C1331">
      <w:pPr>
        <w:spacing w:before="120" w:after="120" w:line="240" w:lineRule="auto"/>
        <w:jc w:val="both"/>
        <w:rPr>
          <w:rFonts w:ascii="Arial" w:hAnsi="Arial" w:cs="Arial"/>
          <w:lang w:val="es-ES"/>
        </w:rPr>
      </w:pPr>
      <w:r w:rsidRPr="00CE06B5">
        <w:rPr>
          <w:rFonts w:ascii="Arial" w:eastAsia="Arial" w:hAnsi="Arial" w:cs="Arial"/>
          <w:lang w:val="es-ES"/>
        </w:rPr>
        <w:t>Para la presente operación únicamente se model</w:t>
      </w:r>
      <w:r w:rsidR="00904B28" w:rsidRPr="00CE06B5">
        <w:rPr>
          <w:rFonts w:ascii="Arial" w:eastAsia="Arial" w:hAnsi="Arial" w:cs="Arial"/>
          <w:lang w:val="es-ES"/>
        </w:rPr>
        <w:t>ó</w:t>
      </w:r>
      <w:r w:rsidRPr="00CE06B5">
        <w:rPr>
          <w:rFonts w:ascii="Arial" w:eastAsia="Arial" w:hAnsi="Arial" w:cs="Arial"/>
          <w:lang w:val="es-ES"/>
        </w:rPr>
        <w:t xml:space="preserve"> el impacto asociado </w:t>
      </w:r>
      <w:r w:rsidR="0079537F" w:rsidRPr="00CE06B5">
        <w:rPr>
          <w:rFonts w:ascii="Arial" w:eastAsia="Arial" w:hAnsi="Arial" w:cs="Arial"/>
          <w:lang w:val="es-ES"/>
        </w:rPr>
        <w:t>con transferencias monetarias direct</w:t>
      </w:r>
      <w:r w:rsidR="00CE06B5" w:rsidRPr="00CE06B5">
        <w:rPr>
          <w:rFonts w:ascii="Arial" w:eastAsia="Arial" w:hAnsi="Arial" w:cs="Arial"/>
          <w:lang w:val="es-ES"/>
        </w:rPr>
        <w:t>a</w:t>
      </w:r>
      <w:r w:rsidR="0079537F" w:rsidRPr="00CE06B5">
        <w:rPr>
          <w:rFonts w:ascii="Arial" w:eastAsia="Arial" w:hAnsi="Arial" w:cs="Arial"/>
          <w:lang w:val="es-ES"/>
        </w:rPr>
        <w:t xml:space="preserve">s mediante </w:t>
      </w:r>
      <w:r w:rsidRPr="00CE06B5">
        <w:rPr>
          <w:rFonts w:ascii="Arial" w:eastAsia="Arial" w:hAnsi="Arial" w:cs="Arial"/>
          <w:lang w:val="es-ES"/>
        </w:rPr>
        <w:t xml:space="preserve">el efecto multiplicador, que se detalla en la sección correspondiente del </w:t>
      </w:r>
      <w:r w:rsidR="00CE06B5" w:rsidRPr="00CE06B5">
        <w:rPr>
          <w:rFonts w:ascii="Arial" w:eastAsia="Arial" w:hAnsi="Arial" w:cs="Arial"/>
          <w:lang w:val="es-ES"/>
        </w:rPr>
        <w:t>enlace opcional</w:t>
      </w:r>
      <w:r w:rsidR="00C55C1F" w:rsidRPr="00CE06B5">
        <w:rPr>
          <w:rFonts w:ascii="Arial" w:eastAsia="Arial" w:hAnsi="Arial" w:cs="Arial"/>
          <w:lang w:val="es-ES"/>
        </w:rPr>
        <w:t xml:space="preserve"> análisis económico</w:t>
      </w:r>
      <w:r w:rsidRPr="00CE06B5">
        <w:rPr>
          <w:rFonts w:ascii="Arial" w:eastAsia="Arial" w:hAnsi="Arial" w:cs="Arial"/>
          <w:lang w:val="es-ES"/>
        </w:rPr>
        <w:t xml:space="preserve">. </w:t>
      </w:r>
      <w:r w:rsidR="0079537F" w:rsidRPr="00CE06B5">
        <w:rPr>
          <w:rFonts w:ascii="Arial" w:eastAsia="Arial" w:hAnsi="Arial" w:cs="Arial"/>
          <w:lang w:val="es-ES"/>
        </w:rPr>
        <w:t xml:space="preserve">Esto es consistente con el objetivo del </w:t>
      </w:r>
      <w:r w:rsidR="0079537F" w:rsidRPr="00CE06B5">
        <w:rPr>
          <w:rFonts w:ascii="Arial" w:eastAsia="Arial" w:hAnsi="Arial" w:cs="Arial"/>
          <w:lang w:val="es-ES"/>
        </w:rPr>
        <w:lastRenderedPageBreak/>
        <w:t xml:space="preserve">programa de apoyar </w:t>
      </w:r>
      <w:r w:rsidR="00CE06B5" w:rsidRPr="00CE06B5">
        <w:rPr>
          <w:rStyle w:val="normaltextrun"/>
          <w:rFonts w:ascii="Arial" w:hAnsi="Arial" w:cs="Arial"/>
          <w:color w:val="000000"/>
          <w:shd w:val="clear" w:color="auto" w:fill="FFFFFF"/>
          <w:lang w:val="es-CO"/>
        </w:rPr>
        <w:t xml:space="preserve">niveles mínimos de ingreso de </w:t>
      </w:r>
      <w:r w:rsidR="00CE06B5" w:rsidRPr="00CE06B5">
        <w:rPr>
          <w:rFonts w:ascii="Arial" w:eastAsia="Arial" w:hAnsi="Arial" w:cs="Arial"/>
          <w:lang w:val="es-ES"/>
        </w:rPr>
        <w:t>las personas afectadas por el coronavirus en el período inmediato y durante la recuperación. Este análisis</w:t>
      </w:r>
      <w:r w:rsidR="00D15595" w:rsidRPr="00CE06B5">
        <w:rPr>
          <w:rFonts w:ascii="Arial" w:eastAsia="Arial" w:hAnsi="Arial" w:cs="Arial"/>
          <w:lang w:val="es-ES"/>
        </w:rPr>
        <w:t xml:space="preserve"> </w:t>
      </w:r>
      <w:r w:rsidRPr="00CE06B5">
        <w:rPr>
          <w:rFonts w:ascii="Arial" w:eastAsia="Arial" w:hAnsi="Arial" w:cs="Arial"/>
          <w:lang w:val="es-ES"/>
        </w:rPr>
        <w:t>debe considerarse como un conservado</w:t>
      </w:r>
      <w:r w:rsidR="00E70275" w:rsidRPr="00CE06B5">
        <w:rPr>
          <w:rFonts w:ascii="Arial" w:eastAsia="Arial" w:hAnsi="Arial" w:cs="Arial"/>
          <w:lang w:val="es-ES"/>
        </w:rPr>
        <w:t>r</w:t>
      </w:r>
      <w:r w:rsidRPr="00CE06B5">
        <w:rPr>
          <w:rFonts w:ascii="Arial" w:eastAsia="Arial" w:hAnsi="Arial" w:cs="Arial"/>
          <w:lang w:val="es-ES"/>
        </w:rPr>
        <w:t xml:space="preserve">, </w:t>
      </w:r>
      <w:r w:rsidR="00CE06B5" w:rsidRPr="00CE06B5">
        <w:rPr>
          <w:rFonts w:ascii="Arial" w:eastAsia="Arial" w:hAnsi="Arial" w:cs="Arial"/>
          <w:lang w:val="es-ES"/>
        </w:rPr>
        <w:t>ya que,</w:t>
      </w:r>
      <w:r w:rsidRPr="00CE06B5">
        <w:rPr>
          <w:rFonts w:ascii="Arial" w:eastAsia="Arial" w:hAnsi="Arial" w:cs="Arial"/>
          <w:lang w:val="es-ES"/>
        </w:rPr>
        <w:t xml:space="preserve"> </w:t>
      </w:r>
      <w:r w:rsidR="00497E6E" w:rsidRPr="00CE06B5">
        <w:rPr>
          <w:rFonts w:ascii="Arial" w:eastAsia="Arial" w:hAnsi="Arial" w:cs="Arial"/>
          <w:lang w:val="es-ES"/>
        </w:rPr>
        <w:t xml:space="preserve">desde un enfoque más general, </w:t>
      </w:r>
      <w:r w:rsidRPr="00CE06B5">
        <w:rPr>
          <w:rFonts w:ascii="Arial" w:eastAsia="Arial" w:hAnsi="Arial" w:cs="Arial"/>
          <w:lang w:val="es-ES"/>
        </w:rPr>
        <w:t xml:space="preserve">el </w:t>
      </w:r>
      <w:r w:rsidR="001E74DA" w:rsidRPr="00CE06B5">
        <w:rPr>
          <w:rFonts w:ascii="Arial" w:eastAsia="Arial" w:hAnsi="Arial" w:cs="Arial"/>
          <w:lang w:val="es-ES"/>
        </w:rPr>
        <w:t>propósito</w:t>
      </w:r>
      <w:r w:rsidRPr="00CE06B5">
        <w:rPr>
          <w:rFonts w:ascii="Arial" w:eastAsia="Arial" w:hAnsi="Arial" w:cs="Arial"/>
          <w:lang w:val="es-ES"/>
        </w:rPr>
        <w:t xml:space="preserve"> </w:t>
      </w:r>
      <w:r w:rsidR="009960B0" w:rsidRPr="00CE06B5">
        <w:rPr>
          <w:rFonts w:ascii="Arial" w:eastAsia="Arial" w:hAnsi="Arial" w:cs="Arial"/>
          <w:lang w:val="es-ES"/>
        </w:rPr>
        <w:t xml:space="preserve">es apoyar a las familias a cumplir con las medidas de distanciamiento social y así </w:t>
      </w:r>
      <w:r w:rsidRPr="00CE06B5">
        <w:rPr>
          <w:rFonts w:ascii="Arial" w:eastAsia="Arial" w:hAnsi="Arial" w:cs="Arial"/>
          <w:lang w:val="es-ES"/>
        </w:rPr>
        <w:t xml:space="preserve">reducir los contagios por </w:t>
      </w:r>
      <w:r w:rsidR="009960B0" w:rsidRPr="00CE06B5">
        <w:rPr>
          <w:rFonts w:ascii="Arial" w:eastAsia="Arial" w:hAnsi="Arial" w:cs="Arial"/>
          <w:lang w:val="es-ES"/>
        </w:rPr>
        <w:t>COVID-19</w:t>
      </w:r>
      <w:r w:rsidRPr="00CE06B5">
        <w:rPr>
          <w:rFonts w:ascii="Arial" w:eastAsia="Arial" w:hAnsi="Arial" w:cs="Arial"/>
          <w:lang w:val="es-ES"/>
        </w:rPr>
        <w:t xml:space="preserve"> </w:t>
      </w:r>
      <w:r w:rsidR="00C55C1F" w:rsidRPr="00CE06B5">
        <w:rPr>
          <w:rFonts w:ascii="Arial" w:eastAsia="Arial" w:hAnsi="Arial" w:cs="Arial"/>
          <w:lang w:val="es-ES"/>
        </w:rPr>
        <w:t xml:space="preserve">y esos beneficias </w:t>
      </w:r>
      <w:r w:rsidRPr="00CE06B5">
        <w:rPr>
          <w:rFonts w:ascii="Arial" w:eastAsia="Arial" w:hAnsi="Arial" w:cs="Arial"/>
          <w:lang w:val="es-ES"/>
        </w:rPr>
        <w:t xml:space="preserve">no </w:t>
      </w:r>
      <w:r w:rsidR="00CE06B5" w:rsidRPr="00CE06B5">
        <w:rPr>
          <w:rFonts w:ascii="Arial" w:eastAsia="Arial" w:hAnsi="Arial" w:cs="Arial"/>
          <w:lang w:val="es-ES"/>
        </w:rPr>
        <w:t>se encuentran cuantificados</w:t>
      </w:r>
      <w:r w:rsidRPr="00CE06B5">
        <w:rPr>
          <w:rFonts w:ascii="Arial" w:eastAsia="Arial" w:hAnsi="Arial" w:cs="Arial"/>
          <w:lang w:val="es-ES"/>
        </w:rPr>
        <w:t xml:space="preserve">. No obstante, en el </w:t>
      </w:r>
      <w:r w:rsidR="00CE06B5" w:rsidRPr="00CE06B5">
        <w:rPr>
          <w:rFonts w:ascii="Arial" w:eastAsia="Arial" w:hAnsi="Arial" w:cs="Arial"/>
          <w:lang w:val="es-ES"/>
        </w:rPr>
        <w:t>enlace opcional de</w:t>
      </w:r>
      <w:r w:rsidR="00174565" w:rsidRPr="00CE06B5">
        <w:rPr>
          <w:rFonts w:ascii="Arial" w:eastAsia="Arial" w:hAnsi="Arial" w:cs="Arial"/>
          <w:lang w:val="es-ES"/>
        </w:rPr>
        <w:t xml:space="preserve"> análisis económico de l</w:t>
      </w:r>
      <w:r w:rsidR="004C55FD" w:rsidRPr="00CE06B5">
        <w:rPr>
          <w:rFonts w:ascii="Arial" w:eastAsia="Arial" w:hAnsi="Arial" w:cs="Arial"/>
          <w:lang w:val="es-ES"/>
        </w:rPr>
        <w:t xml:space="preserve">a operación </w:t>
      </w:r>
      <w:r w:rsidRPr="00CE06B5">
        <w:rPr>
          <w:rFonts w:ascii="Arial" w:eastAsia="Arial" w:hAnsi="Arial" w:cs="Arial"/>
          <w:lang w:val="es-ES"/>
        </w:rPr>
        <w:t xml:space="preserve">se discuten </w:t>
      </w:r>
      <w:r w:rsidR="00CE06B5" w:rsidRPr="00CE06B5">
        <w:rPr>
          <w:rFonts w:ascii="Arial" w:eastAsia="Arial" w:hAnsi="Arial" w:cs="Arial"/>
          <w:lang w:val="es-ES"/>
        </w:rPr>
        <w:t>a detalle los</w:t>
      </w:r>
      <w:r w:rsidRPr="00CE06B5">
        <w:rPr>
          <w:rFonts w:ascii="Arial" w:eastAsia="Arial" w:hAnsi="Arial" w:cs="Arial"/>
          <w:lang w:val="es-ES"/>
        </w:rPr>
        <w:t xml:space="preserve"> beneficios adicionales.</w:t>
      </w:r>
    </w:p>
    <w:p w14:paraId="7A9A4274" w14:textId="486D2B88" w:rsidR="00CE06B5" w:rsidRDefault="00CE06B5" w:rsidP="00CE06B5">
      <w:pPr>
        <w:pStyle w:val="ColorfulList-Accent11"/>
        <w:spacing w:before="120" w:after="120" w:line="240" w:lineRule="auto"/>
        <w:ind w:left="0"/>
        <w:contextualSpacing w:val="0"/>
        <w:jc w:val="both"/>
        <w:rPr>
          <w:rFonts w:ascii="Arial" w:hAnsi="Arial" w:cs="Arial"/>
          <w:bCs/>
          <w:lang w:val="es-ES_tradnl"/>
        </w:rPr>
      </w:pPr>
      <w:r w:rsidRPr="00CE06B5">
        <w:rPr>
          <w:rFonts w:ascii="Arial" w:hAnsi="Arial" w:cs="Arial"/>
          <w:bCs/>
          <w:lang w:val="es-ES_tradnl"/>
        </w:rPr>
        <w:t>Con una tasa de descuento de 5%, el análisis muestra que el VAN de la operación es de US$ 43.</w:t>
      </w:r>
      <w:r w:rsidR="002173F7">
        <w:rPr>
          <w:rFonts w:ascii="Arial" w:hAnsi="Arial" w:cs="Arial"/>
          <w:bCs/>
          <w:lang w:val="es-ES_tradnl"/>
        </w:rPr>
        <w:t>79</w:t>
      </w:r>
      <w:r w:rsidRPr="00CE06B5">
        <w:rPr>
          <w:rFonts w:ascii="Arial" w:hAnsi="Arial" w:cs="Arial"/>
          <w:bCs/>
          <w:lang w:val="es-ES_tradnl"/>
        </w:rPr>
        <w:t xml:space="preserve"> millones, con una razón beneficio-costo de 1.36. Los resultados son robustos análisis de sensibilidad: con una tasa</w:t>
      </w:r>
      <w:r w:rsidRPr="00990A8A">
        <w:rPr>
          <w:rFonts w:ascii="Arial" w:hAnsi="Arial" w:cs="Arial"/>
          <w:bCs/>
          <w:lang w:val="es-ES_tradnl"/>
        </w:rPr>
        <w:t xml:space="preserve"> de descuento de 12% el VAN es de US$ 40.</w:t>
      </w:r>
      <w:r w:rsidR="002173F7">
        <w:rPr>
          <w:rFonts w:ascii="Arial" w:hAnsi="Arial" w:cs="Arial"/>
          <w:bCs/>
          <w:lang w:val="es-ES_tradnl"/>
        </w:rPr>
        <w:t>56</w:t>
      </w:r>
      <w:r w:rsidR="00AC7B58">
        <w:rPr>
          <w:rFonts w:ascii="Arial" w:hAnsi="Arial" w:cs="Arial"/>
          <w:bCs/>
          <w:lang w:val="es-ES_tradnl"/>
        </w:rPr>
        <w:t xml:space="preserve"> </w:t>
      </w:r>
      <w:r w:rsidRPr="00990A8A">
        <w:rPr>
          <w:rFonts w:ascii="Arial" w:hAnsi="Arial" w:cs="Arial"/>
          <w:bCs/>
          <w:lang w:val="es-ES_tradnl"/>
        </w:rPr>
        <w:t xml:space="preserve">millones; aun suponiendo que la efectividad de la intervención es del 75%, se obtiene un VAN de US$ de 33.5 millones. </w:t>
      </w:r>
    </w:p>
    <w:p w14:paraId="7DD6BC34" w14:textId="712A7469" w:rsidR="001B5186" w:rsidRPr="00425FEE" w:rsidRDefault="00FA4CEB" w:rsidP="006C1331">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Indicadores clave de resultados y fuentes de información</w:t>
      </w:r>
    </w:p>
    <w:p w14:paraId="7F79B172" w14:textId="657A6D92" w:rsidR="00D050E8" w:rsidRPr="009D08B3" w:rsidRDefault="00D050E8" w:rsidP="006C1331">
      <w:pPr>
        <w:spacing w:before="120" w:after="120" w:line="240" w:lineRule="auto"/>
        <w:jc w:val="both"/>
        <w:textAlignment w:val="top"/>
        <w:rPr>
          <w:rFonts w:ascii="Arial" w:hAnsi="Arial" w:cs="Arial"/>
          <w:color w:val="000000"/>
          <w:lang w:val="es-ES"/>
        </w:rPr>
      </w:pPr>
      <w:r w:rsidRPr="009D08B3">
        <w:rPr>
          <w:rFonts w:ascii="Arial" w:hAnsi="Arial" w:cs="Arial"/>
          <w:color w:val="000000"/>
          <w:lang w:val="es-ES"/>
        </w:rPr>
        <w:t>Los indicadores clave para el análisis antes y después (pre / post) son los indicadores de resultados presentados en la Tabla 1. Dependiendo de la disponibilidad de datos, la evaluación también evaluará el efecto de la intervención en los indicadores de impacto final</w:t>
      </w:r>
      <w:r w:rsidR="00835D61" w:rsidRPr="009D08B3">
        <w:rPr>
          <w:rFonts w:ascii="Arial" w:hAnsi="Arial" w:cs="Arial"/>
          <w:color w:val="000000"/>
          <w:lang w:val="es-ES"/>
        </w:rPr>
        <w:t xml:space="preserve">. Para el indicador de ingreso de la población vulnerable, se plantea utilizar la </w:t>
      </w:r>
      <w:bookmarkStart w:id="3" w:name="_Hlk44623813"/>
      <w:r w:rsidR="00835D61" w:rsidRPr="009D08B3">
        <w:rPr>
          <w:rFonts w:ascii="Arial" w:hAnsi="Arial" w:cs="Arial"/>
          <w:color w:val="000000"/>
          <w:lang w:val="es-ES"/>
        </w:rPr>
        <w:t xml:space="preserve">Encuesta </w:t>
      </w:r>
      <w:bookmarkEnd w:id="3"/>
      <w:r w:rsidR="009D08B3" w:rsidRPr="009D08B3">
        <w:rPr>
          <w:rFonts w:ascii="Arial" w:hAnsi="Arial" w:cs="Arial"/>
          <w:color w:val="000000"/>
          <w:lang w:val="es-ES"/>
        </w:rPr>
        <w:t>de Propósitos Múltiples (PM) que se realiza dos veces al año (marzo y agosto).</w:t>
      </w:r>
      <w:r w:rsidR="00835D61" w:rsidRPr="009D08B3">
        <w:rPr>
          <w:rFonts w:ascii="Arial" w:hAnsi="Arial" w:cs="Arial"/>
          <w:color w:val="000000"/>
          <w:lang w:val="es-ES"/>
        </w:rPr>
        <w:t xml:space="preserve"> </w:t>
      </w:r>
    </w:p>
    <w:p w14:paraId="0AD7CB61" w14:textId="7A7EC2FE" w:rsidR="007D1DD3" w:rsidRDefault="00D050E8" w:rsidP="006C1331">
      <w:pPr>
        <w:spacing w:before="120" w:after="120" w:line="240" w:lineRule="auto"/>
        <w:jc w:val="both"/>
        <w:rPr>
          <w:rFonts w:ascii="Arial" w:hAnsi="Arial" w:cs="Arial"/>
          <w:color w:val="000000"/>
          <w:lang w:val="es-ES"/>
        </w:rPr>
      </w:pPr>
      <w:r w:rsidRPr="009D08B3">
        <w:rPr>
          <w:rFonts w:ascii="Arial" w:hAnsi="Arial" w:cs="Arial"/>
          <w:color w:val="000000"/>
          <w:lang w:val="es-ES"/>
        </w:rPr>
        <w:t xml:space="preserve">Los datos para el análisis antes y después </w:t>
      </w:r>
      <w:r w:rsidR="00E07A38" w:rsidRPr="009D08B3">
        <w:rPr>
          <w:rFonts w:ascii="Arial" w:hAnsi="Arial" w:cs="Arial"/>
          <w:color w:val="000000"/>
          <w:lang w:val="es-ES"/>
        </w:rPr>
        <w:t xml:space="preserve">para los indicadores de resultado </w:t>
      </w:r>
      <w:r w:rsidRPr="009D08B3">
        <w:rPr>
          <w:rFonts w:ascii="Arial" w:hAnsi="Arial" w:cs="Arial"/>
          <w:color w:val="000000"/>
          <w:lang w:val="es-ES"/>
        </w:rPr>
        <w:t>provendrán principalmente</w:t>
      </w:r>
      <w:r w:rsidR="00E4390A" w:rsidRPr="009D08B3">
        <w:rPr>
          <w:rFonts w:ascii="Arial" w:hAnsi="Arial" w:cs="Arial"/>
          <w:color w:val="000000"/>
          <w:lang w:val="es-ES"/>
        </w:rPr>
        <w:t xml:space="preserve"> de</w:t>
      </w:r>
      <w:r w:rsidR="00C029B6" w:rsidRPr="009D08B3">
        <w:rPr>
          <w:rFonts w:ascii="Arial" w:hAnsi="Arial" w:cs="Arial"/>
          <w:color w:val="000000"/>
          <w:lang w:val="es-ES"/>
        </w:rPr>
        <w:t xml:space="preserve"> la </w:t>
      </w:r>
      <w:r w:rsidR="009D08B3" w:rsidRPr="009D08B3">
        <w:rPr>
          <w:rFonts w:ascii="Arial" w:hAnsi="Arial" w:cs="Arial"/>
          <w:color w:val="000000"/>
          <w:lang w:val="es-ES"/>
        </w:rPr>
        <w:t>PIIB y la plataforma electrónica del Vale Digital</w:t>
      </w:r>
      <w:r w:rsidR="00C029B6" w:rsidRPr="009D08B3">
        <w:rPr>
          <w:rFonts w:ascii="Arial" w:hAnsi="Arial" w:cs="Arial"/>
          <w:color w:val="000000"/>
          <w:lang w:val="es-ES"/>
        </w:rPr>
        <w:t xml:space="preserve">, </w:t>
      </w:r>
      <w:r w:rsidR="007D1DD3" w:rsidRPr="009D08B3">
        <w:rPr>
          <w:rFonts w:ascii="Arial" w:hAnsi="Arial" w:cs="Arial"/>
          <w:color w:val="000000"/>
          <w:lang w:val="es-ES"/>
        </w:rPr>
        <w:t>incluyendo padrón de beneficiarios activos, padrón de familias inscrita</w:t>
      </w:r>
      <w:r w:rsidR="009D08B3" w:rsidRPr="009D08B3">
        <w:rPr>
          <w:rFonts w:ascii="Arial" w:hAnsi="Arial" w:cs="Arial"/>
          <w:color w:val="000000"/>
          <w:lang w:val="es-ES"/>
        </w:rPr>
        <w:t>s</w:t>
      </w:r>
      <w:r w:rsidR="007D1DD3" w:rsidRPr="009D08B3">
        <w:rPr>
          <w:rFonts w:ascii="Arial" w:hAnsi="Arial" w:cs="Arial"/>
          <w:color w:val="000000"/>
          <w:lang w:val="es-ES"/>
        </w:rPr>
        <w:t>,</w:t>
      </w:r>
      <w:r w:rsidR="009D08B3" w:rsidRPr="009D08B3">
        <w:rPr>
          <w:rFonts w:ascii="Arial" w:hAnsi="Arial" w:cs="Arial"/>
          <w:color w:val="000000"/>
          <w:lang w:val="es-ES"/>
        </w:rPr>
        <w:t xml:space="preserve"> beneficiarios acreditados,</w:t>
      </w:r>
      <w:r w:rsidR="007D1DD3" w:rsidRPr="009D08B3">
        <w:rPr>
          <w:rFonts w:ascii="Arial" w:hAnsi="Arial" w:cs="Arial"/>
          <w:color w:val="000000"/>
          <w:lang w:val="es-ES"/>
        </w:rPr>
        <w:t xml:space="preserve"> procesos de pago y verificación de liquidación de transferencias</w:t>
      </w:r>
      <w:r w:rsidR="005F5561" w:rsidRPr="009D08B3">
        <w:rPr>
          <w:rFonts w:ascii="Arial" w:hAnsi="Arial" w:cs="Arial"/>
          <w:color w:val="000000"/>
          <w:lang w:val="es-ES"/>
        </w:rPr>
        <w:t>.</w:t>
      </w:r>
    </w:p>
    <w:p w14:paraId="7E2B6F40" w14:textId="2B60AE68" w:rsidR="001B5186" w:rsidRPr="00425FEE" w:rsidRDefault="003812F7" w:rsidP="008A68F5">
      <w:pPr>
        <w:pStyle w:val="ColorfulList-Accent11"/>
        <w:numPr>
          <w:ilvl w:val="0"/>
          <w:numId w:val="7"/>
        </w:numPr>
        <w:spacing w:before="240" w:after="120" w:line="240" w:lineRule="auto"/>
        <w:ind w:left="547" w:hanging="547"/>
        <w:contextualSpacing w:val="0"/>
        <w:jc w:val="both"/>
        <w:rPr>
          <w:rFonts w:ascii="Arial" w:hAnsi="Arial" w:cs="Arial"/>
          <w:b/>
          <w:lang w:val="es-ES"/>
        </w:rPr>
      </w:pPr>
      <w:r w:rsidRPr="00425FEE">
        <w:rPr>
          <w:rFonts w:ascii="Arial" w:hAnsi="Arial" w:cs="Arial"/>
          <w:b/>
          <w:lang w:val="es-ES"/>
        </w:rPr>
        <w:t>Metodología para la Evaluación</w:t>
      </w:r>
    </w:p>
    <w:p w14:paraId="1D0822E9" w14:textId="3EBACBC2" w:rsidR="0014055A" w:rsidRPr="00425FEE" w:rsidRDefault="0014055A" w:rsidP="006C1331">
      <w:pPr>
        <w:spacing w:before="120" w:after="120" w:line="240" w:lineRule="auto"/>
        <w:jc w:val="both"/>
        <w:textAlignment w:val="top"/>
        <w:rPr>
          <w:rFonts w:ascii="Arial" w:hAnsi="Arial" w:cs="Arial"/>
          <w:color w:val="000000"/>
          <w:lang w:val="es-ES"/>
        </w:rPr>
      </w:pPr>
      <w:r w:rsidRPr="00425FEE">
        <w:rPr>
          <w:rFonts w:ascii="Arial" w:hAnsi="Arial" w:cs="Arial"/>
          <w:color w:val="000000"/>
          <w:lang w:val="es-ES"/>
        </w:rPr>
        <w:t xml:space="preserve">La metodología principal para evaluar el efecto de la intervención sobre los indicadores de interés será un análisis antes y después (pre / post). En esencia, los estudios antes y después miden el rendimiento de los resultados antes y después de la introducción de la intervención en la misma área o unidades afectadas por la intervención. Se supone que los cambios en el rendimiento se deben a la intervención. </w:t>
      </w:r>
    </w:p>
    <w:p w14:paraId="36E9F376" w14:textId="008A69B2" w:rsidR="0014055A" w:rsidRDefault="0014055A" w:rsidP="006C1331">
      <w:pPr>
        <w:spacing w:before="120" w:after="120" w:line="240" w:lineRule="auto"/>
        <w:jc w:val="both"/>
        <w:textAlignment w:val="top"/>
        <w:rPr>
          <w:rFonts w:ascii="Arial" w:hAnsi="Arial" w:cs="Arial"/>
          <w:color w:val="000000"/>
          <w:lang w:val="es-ES"/>
        </w:rPr>
      </w:pPr>
      <w:r w:rsidRPr="00425FEE">
        <w:rPr>
          <w:rFonts w:ascii="Arial" w:hAnsi="Arial" w:cs="Arial"/>
          <w:color w:val="000000"/>
          <w:lang w:val="es-ES"/>
        </w:rPr>
        <w:t>Para establecer la atribución de los resultados observados a la intervención del programa, el análisis cuantitativo se complementará con una revisión de la teoría del cambio respaldada con evidencia relevante de la efectividad de intervenciones similares en contextos comparables</w:t>
      </w:r>
      <w:r w:rsidR="00964EBC" w:rsidRPr="00425FEE">
        <w:rPr>
          <w:rFonts w:ascii="Arial" w:hAnsi="Arial" w:cs="Arial"/>
          <w:color w:val="000000"/>
          <w:lang w:val="es-ES"/>
        </w:rPr>
        <w:t xml:space="preserve">. </w:t>
      </w:r>
      <w:r w:rsidR="004B6722" w:rsidRPr="00425FEE">
        <w:rPr>
          <w:rFonts w:ascii="Arial" w:hAnsi="Arial" w:cs="Arial"/>
          <w:color w:val="000000"/>
          <w:lang w:val="es-ES"/>
        </w:rPr>
        <w:t>Se</w:t>
      </w:r>
      <w:r w:rsidR="002A5EA2" w:rsidRPr="00425FEE">
        <w:rPr>
          <w:rFonts w:ascii="Arial" w:hAnsi="Arial" w:cs="Arial"/>
          <w:color w:val="000000"/>
          <w:lang w:val="es-ES"/>
        </w:rPr>
        <w:t> </w:t>
      </w:r>
      <w:r w:rsidR="004B6722" w:rsidRPr="00425FEE">
        <w:rPr>
          <w:rFonts w:ascii="Arial" w:hAnsi="Arial" w:cs="Arial"/>
          <w:color w:val="000000"/>
          <w:lang w:val="es-ES"/>
        </w:rPr>
        <w:t xml:space="preserve">espera también que existan esfuerzos de evaluación tanto de los impactos del COVID-19 como de los impactos de la respuesta al COVID-19 que se utilizarán </w:t>
      </w:r>
      <w:r w:rsidR="009D6DAB" w:rsidRPr="00425FEE">
        <w:rPr>
          <w:rFonts w:ascii="Arial" w:hAnsi="Arial" w:cs="Arial"/>
          <w:color w:val="000000"/>
          <w:lang w:val="es-ES"/>
        </w:rPr>
        <w:t>para contextualizar el análisis</w:t>
      </w:r>
      <w:r w:rsidR="00A134C4">
        <w:rPr>
          <w:rFonts w:ascii="Arial" w:hAnsi="Arial" w:cs="Arial"/>
          <w:color w:val="000000"/>
          <w:lang w:val="es-ES"/>
        </w:rPr>
        <w:t>.</w:t>
      </w:r>
    </w:p>
    <w:p w14:paraId="017F836F" w14:textId="7F13A20C" w:rsidR="001B5186" w:rsidRPr="00425FEE" w:rsidRDefault="001B5186" w:rsidP="006C1331">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Report</w:t>
      </w:r>
      <w:r w:rsidR="00D91F82" w:rsidRPr="00425FEE">
        <w:rPr>
          <w:rFonts w:ascii="Arial" w:hAnsi="Arial" w:cs="Arial"/>
          <w:b/>
          <w:lang w:val="es-ES"/>
        </w:rPr>
        <w:t>e</w:t>
      </w:r>
      <w:r w:rsidR="007942F6" w:rsidRPr="00425FEE">
        <w:rPr>
          <w:rFonts w:ascii="Arial" w:hAnsi="Arial" w:cs="Arial"/>
          <w:b/>
          <w:lang w:val="es-ES"/>
        </w:rPr>
        <w:t xml:space="preserve"> de Resultados</w:t>
      </w:r>
    </w:p>
    <w:p w14:paraId="41CD1036" w14:textId="5FD8CF57" w:rsidR="00870A0F" w:rsidRDefault="00870A0F" w:rsidP="006C1331">
      <w:pPr>
        <w:spacing w:before="120" w:after="120" w:line="240" w:lineRule="auto"/>
        <w:jc w:val="both"/>
        <w:rPr>
          <w:rFonts w:ascii="Arial" w:hAnsi="Arial" w:cs="Arial"/>
          <w:color w:val="000000"/>
          <w:lang w:val="es-ES"/>
        </w:rPr>
      </w:pPr>
      <w:r w:rsidRPr="00425FEE">
        <w:rPr>
          <w:rFonts w:ascii="Arial" w:hAnsi="Arial" w:cs="Arial"/>
          <w:color w:val="000000"/>
          <w:lang w:val="es-ES"/>
        </w:rPr>
        <w:t xml:space="preserve">Al final de la operación, se preparará un Informe de finalización del proyecto (PCR) para documentar el desempeño y los resultados del </w:t>
      </w:r>
      <w:r w:rsidR="00534106" w:rsidRPr="00425FEE">
        <w:rPr>
          <w:rFonts w:ascii="Arial" w:hAnsi="Arial" w:cs="Arial"/>
          <w:color w:val="000000"/>
          <w:lang w:val="es-ES"/>
        </w:rPr>
        <w:t>programa</w:t>
      </w:r>
      <w:r w:rsidRPr="00425FEE">
        <w:rPr>
          <w:rFonts w:ascii="Arial" w:hAnsi="Arial" w:cs="Arial"/>
          <w:color w:val="000000"/>
          <w:lang w:val="es-ES"/>
        </w:rPr>
        <w:t>.</w:t>
      </w:r>
    </w:p>
    <w:p w14:paraId="63649347" w14:textId="32504E2E" w:rsidR="001B5186" w:rsidRPr="00425FEE" w:rsidRDefault="00CF6833" w:rsidP="006C1331">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425FEE">
        <w:rPr>
          <w:rFonts w:ascii="Arial" w:hAnsi="Arial" w:cs="Arial"/>
          <w:b/>
          <w:lang w:val="es-ES"/>
        </w:rPr>
        <w:t>Coordinación de evaluación, plan de trabajo y presupuesto</w:t>
      </w:r>
    </w:p>
    <w:p w14:paraId="384889D0" w14:textId="1DD8500A" w:rsidR="00CF6833" w:rsidRPr="00425FEE" w:rsidRDefault="002E2CF6" w:rsidP="006C1331">
      <w:pPr>
        <w:spacing w:before="120" w:after="120" w:line="240" w:lineRule="auto"/>
        <w:jc w:val="both"/>
        <w:textAlignment w:val="top"/>
        <w:rPr>
          <w:rFonts w:ascii="Arial" w:eastAsia="Times New Roman" w:hAnsi="Arial" w:cs="Arial"/>
          <w:color w:val="000000"/>
          <w:lang w:val="es-ES"/>
        </w:rPr>
      </w:pPr>
      <w:r w:rsidRPr="00425FEE">
        <w:rPr>
          <w:rFonts w:ascii="Arial" w:eastAsia="Times New Roman" w:hAnsi="Arial" w:cs="Arial"/>
          <w:color w:val="000000"/>
          <w:lang w:val="es-ES"/>
        </w:rPr>
        <w:t>El OE</w:t>
      </w:r>
      <w:r w:rsidR="00CF6833" w:rsidRPr="00425FEE">
        <w:rPr>
          <w:rFonts w:ascii="Arial" w:eastAsia="Times New Roman" w:hAnsi="Arial" w:cs="Arial"/>
          <w:color w:val="000000"/>
          <w:lang w:val="es-ES"/>
        </w:rPr>
        <w:t xml:space="preserve"> y el BID serán responsables de implementar el plan de evaluación del </w:t>
      </w:r>
      <w:r w:rsidR="00534106" w:rsidRPr="00425FEE">
        <w:rPr>
          <w:rFonts w:ascii="Arial" w:eastAsia="Times New Roman" w:hAnsi="Arial" w:cs="Arial"/>
          <w:color w:val="000000"/>
          <w:lang w:val="es-ES"/>
        </w:rPr>
        <w:t>programa</w:t>
      </w:r>
      <w:r w:rsidR="00CF6833" w:rsidRPr="00425FEE">
        <w:rPr>
          <w:rFonts w:ascii="Arial" w:eastAsia="Times New Roman" w:hAnsi="Arial" w:cs="Arial"/>
          <w:color w:val="000000"/>
          <w:lang w:val="es-ES"/>
        </w:rPr>
        <w:t xml:space="preserve">. Para la evaluación antes y después, </w:t>
      </w:r>
      <w:r w:rsidRPr="00425FEE">
        <w:rPr>
          <w:rFonts w:ascii="Arial" w:eastAsia="Times New Roman" w:hAnsi="Arial" w:cs="Arial"/>
          <w:color w:val="000000"/>
          <w:lang w:val="es-ES"/>
        </w:rPr>
        <w:t>el OE</w:t>
      </w:r>
      <w:r w:rsidR="00CF6833" w:rsidRPr="00425FEE">
        <w:rPr>
          <w:rFonts w:ascii="Arial" w:eastAsia="Times New Roman" w:hAnsi="Arial" w:cs="Arial"/>
          <w:color w:val="000000"/>
          <w:lang w:val="es-ES"/>
        </w:rPr>
        <w:t xml:space="preserve"> llevará a cabo la recopilación de datos, mientras que el análisis de datos y la preparación del informe final estarán bajo la responsabilidad del</w:t>
      </w:r>
      <w:r w:rsidRPr="00425FEE">
        <w:rPr>
          <w:rFonts w:ascii="Arial" w:eastAsia="Times New Roman" w:hAnsi="Arial" w:cs="Arial"/>
          <w:color w:val="000000"/>
          <w:lang w:val="es-ES"/>
        </w:rPr>
        <w:t xml:space="preserve"> OE</w:t>
      </w:r>
      <w:r w:rsidR="00CF6833" w:rsidRPr="00425FEE">
        <w:rPr>
          <w:rFonts w:ascii="Arial" w:eastAsia="Times New Roman" w:hAnsi="Arial" w:cs="Arial"/>
          <w:color w:val="000000"/>
          <w:lang w:val="es-ES"/>
        </w:rPr>
        <w:t xml:space="preserve"> y el BID.</w:t>
      </w:r>
    </w:p>
    <w:p w14:paraId="0E672D23" w14:textId="7A51CBE9" w:rsidR="00A235EA" w:rsidRPr="00425FEE" w:rsidRDefault="00CF6833" w:rsidP="00A235EA">
      <w:pPr>
        <w:spacing w:before="120" w:after="120" w:line="240" w:lineRule="auto"/>
        <w:jc w:val="both"/>
        <w:textAlignment w:val="top"/>
        <w:rPr>
          <w:rFonts w:ascii="Arial" w:eastAsia="Times New Roman" w:hAnsi="Arial" w:cs="Arial"/>
          <w:color w:val="000000"/>
          <w:lang w:val="es-ES"/>
        </w:rPr>
      </w:pPr>
      <w:r w:rsidRPr="00425FEE">
        <w:rPr>
          <w:rFonts w:ascii="Arial" w:eastAsia="Times New Roman" w:hAnsi="Arial" w:cs="Arial"/>
          <w:color w:val="000000"/>
          <w:lang w:val="es-ES"/>
        </w:rPr>
        <w:t xml:space="preserve">La Tabla </w:t>
      </w:r>
      <w:r w:rsidR="00A47277" w:rsidRPr="00425FEE">
        <w:rPr>
          <w:rFonts w:ascii="Arial" w:eastAsia="Times New Roman" w:hAnsi="Arial" w:cs="Arial"/>
          <w:color w:val="000000"/>
          <w:lang w:val="es-ES"/>
        </w:rPr>
        <w:t>5</w:t>
      </w:r>
      <w:r w:rsidRPr="00425FEE">
        <w:rPr>
          <w:rFonts w:ascii="Arial" w:eastAsia="Times New Roman" w:hAnsi="Arial" w:cs="Arial"/>
          <w:color w:val="000000"/>
          <w:lang w:val="es-ES"/>
        </w:rPr>
        <w:t xml:space="preserve"> presenta el plan de trabajo de evaluación, incluidas las actividades clave de evaluación, las entidades responsables de llevar a cabo las actividades, los costos y las fuentes de financiamiento.</w:t>
      </w:r>
    </w:p>
    <w:p w14:paraId="7D0C8C80" w14:textId="3D472F5B" w:rsidR="001B5186" w:rsidRPr="0089729B" w:rsidRDefault="0079661E" w:rsidP="005E506E">
      <w:pPr>
        <w:spacing w:before="120" w:after="120" w:line="240" w:lineRule="auto"/>
        <w:jc w:val="center"/>
        <w:textAlignment w:val="top"/>
        <w:rPr>
          <w:rFonts w:ascii="Arial" w:hAnsi="Arial" w:cs="Arial"/>
          <w:b/>
          <w:bCs/>
          <w:sz w:val="18"/>
          <w:szCs w:val="18"/>
          <w:lang w:val="es-ES"/>
        </w:rPr>
      </w:pPr>
      <w:r w:rsidRPr="0089729B">
        <w:rPr>
          <w:rFonts w:ascii="Arial" w:hAnsi="Arial" w:cs="Arial"/>
          <w:b/>
          <w:bCs/>
          <w:sz w:val="18"/>
          <w:szCs w:val="18"/>
          <w:lang w:val="es-ES"/>
        </w:rPr>
        <w:lastRenderedPageBreak/>
        <w:t>Tabla</w:t>
      </w:r>
      <w:r w:rsidR="001B5186" w:rsidRPr="0089729B">
        <w:rPr>
          <w:rFonts w:ascii="Arial" w:hAnsi="Arial" w:cs="Arial"/>
          <w:b/>
          <w:bCs/>
          <w:sz w:val="18"/>
          <w:szCs w:val="18"/>
          <w:lang w:val="es-ES"/>
        </w:rPr>
        <w:t xml:space="preserve"> </w:t>
      </w:r>
      <w:r w:rsidR="00E07A38" w:rsidRPr="0089729B">
        <w:rPr>
          <w:rFonts w:ascii="Arial" w:hAnsi="Arial" w:cs="Arial"/>
          <w:b/>
          <w:bCs/>
          <w:sz w:val="18"/>
          <w:szCs w:val="18"/>
          <w:lang w:val="es-ES"/>
        </w:rPr>
        <w:t>5</w:t>
      </w:r>
      <w:r w:rsidR="005E506E" w:rsidRPr="0089729B">
        <w:rPr>
          <w:rFonts w:ascii="Arial" w:hAnsi="Arial" w:cs="Arial"/>
          <w:b/>
          <w:bCs/>
          <w:sz w:val="18"/>
          <w:szCs w:val="18"/>
          <w:lang w:val="es-ES"/>
        </w:rPr>
        <w:t xml:space="preserve">. </w:t>
      </w:r>
      <w:r w:rsidRPr="0089729B">
        <w:rPr>
          <w:rFonts w:ascii="Arial" w:hAnsi="Arial" w:cs="Arial"/>
          <w:b/>
          <w:bCs/>
          <w:sz w:val="18"/>
          <w:szCs w:val="18"/>
          <w:lang w:val="es-ES"/>
        </w:rPr>
        <w:t>Plan de trabajo de la evaluación</w:t>
      </w:r>
    </w:p>
    <w:tbl>
      <w:tblPr>
        <w:tblW w:w="963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0"/>
        <w:gridCol w:w="270"/>
        <w:gridCol w:w="360"/>
        <w:gridCol w:w="360"/>
        <w:gridCol w:w="270"/>
        <w:gridCol w:w="360"/>
        <w:gridCol w:w="270"/>
        <w:gridCol w:w="270"/>
        <w:gridCol w:w="337"/>
        <w:gridCol w:w="1373"/>
        <w:gridCol w:w="810"/>
        <w:gridCol w:w="1620"/>
      </w:tblGrid>
      <w:tr w:rsidR="00F313FA" w:rsidRPr="00425FEE" w14:paraId="2576A8C2" w14:textId="77777777" w:rsidTr="00355A54">
        <w:trPr>
          <w:trHeight w:val="296"/>
        </w:trPr>
        <w:tc>
          <w:tcPr>
            <w:tcW w:w="3330" w:type="dxa"/>
            <w:vMerge w:val="restart"/>
            <w:shd w:val="clear" w:color="auto" w:fill="8DB3E2" w:themeFill="text2" w:themeFillTint="66"/>
            <w:vAlign w:val="center"/>
          </w:tcPr>
          <w:p w14:paraId="1FF70EC4" w14:textId="76805317" w:rsidR="0007609D" w:rsidRPr="00425FEE" w:rsidRDefault="0007609D" w:rsidP="004964DC">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Actividades / productos clave de evaluación por actividad</w:t>
            </w:r>
          </w:p>
        </w:tc>
        <w:tc>
          <w:tcPr>
            <w:tcW w:w="1260" w:type="dxa"/>
            <w:gridSpan w:val="4"/>
            <w:shd w:val="clear" w:color="auto" w:fill="8DB3E2" w:themeFill="text2" w:themeFillTint="66"/>
            <w:vAlign w:val="center"/>
          </w:tcPr>
          <w:p w14:paraId="63FE2C80" w14:textId="0224EEE0" w:rsidR="0007609D" w:rsidRPr="00425FEE" w:rsidRDefault="0007609D" w:rsidP="004964DC">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Año 1</w:t>
            </w:r>
          </w:p>
        </w:tc>
        <w:tc>
          <w:tcPr>
            <w:tcW w:w="1237" w:type="dxa"/>
            <w:gridSpan w:val="4"/>
            <w:shd w:val="clear" w:color="auto" w:fill="8DB3E2" w:themeFill="text2" w:themeFillTint="66"/>
            <w:vAlign w:val="center"/>
          </w:tcPr>
          <w:p w14:paraId="66DB9A4A" w14:textId="288519B2" w:rsidR="0007609D" w:rsidRPr="00425FEE" w:rsidRDefault="00DB3D94" w:rsidP="004964DC">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Año 2</w:t>
            </w:r>
          </w:p>
        </w:tc>
        <w:tc>
          <w:tcPr>
            <w:tcW w:w="1373" w:type="dxa"/>
            <w:vMerge w:val="restart"/>
            <w:shd w:val="clear" w:color="auto" w:fill="8DB3E2" w:themeFill="text2" w:themeFillTint="66"/>
            <w:vAlign w:val="center"/>
          </w:tcPr>
          <w:p w14:paraId="3189F157" w14:textId="6B98FAD4" w:rsidR="0007609D" w:rsidRPr="00425FEE" w:rsidRDefault="0007609D" w:rsidP="004964DC">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Responsable</w:t>
            </w:r>
          </w:p>
        </w:tc>
        <w:tc>
          <w:tcPr>
            <w:tcW w:w="810" w:type="dxa"/>
            <w:vMerge w:val="restart"/>
            <w:shd w:val="clear" w:color="auto" w:fill="8DB3E2" w:themeFill="text2" w:themeFillTint="66"/>
            <w:vAlign w:val="center"/>
          </w:tcPr>
          <w:p w14:paraId="562ABA51" w14:textId="1E6D10C3" w:rsidR="0007609D" w:rsidRPr="00425FEE" w:rsidRDefault="0007609D" w:rsidP="005E506E">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Costo</w:t>
            </w:r>
            <w:r w:rsidR="009D08B3">
              <w:rPr>
                <w:rFonts w:ascii="Arial" w:hAnsi="Arial" w:cs="Arial"/>
                <w:b/>
                <w:bCs/>
                <w:sz w:val="18"/>
                <w:szCs w:val="18"/>
                <w:lang w:val="es-ES"/>
              </w:rPr>
              <w:t xml:space="preserve"> (US$)</w:t>
            </w:r>
          </w:p>
        </w:tc>
        <w:tc>
          <w:tcPr>
            <w:tcW w:w="1620" w:type="dxa"/>
            <w:vMerge w:val="restart"/>
            <w:shd w:val="clear" w:color="auto" w:fill="8DB3E2" w:themeFill="text2" w:themeFillTint="66"/>
            <w:vAlign w:val="center"/>
          </w:tcPr>
          <w:p w14:paraId="403AA91E" w14:textId="5E2C3548" w:rsidR="0007609D" w:rsidRPr="00425FEE" w:rsidRDefault="0007609D" w:rsidP="004964DC">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Financiamiento</w:t>
            </w:r>
          </w:p>
        </w:tc>
      </w:tr>
      <w:tr w:rsidR="00F313FA" w:rsidRPr="00425FEE" w14:paraId="091B92D2" w14:textId="77777777" w:rsidTr="00355A54">
        <w:trPr>
          <w:trHeight w:val="395"/>
        </w:trPr>
        <w:tc>
          <w:tcPr>
            <w:tcW w:w="3330" w:type="dxa"/>
            <w:vMerge/>
            <w:vAlign w:val="center"/>
          </w:tcPr>
          <w:p w14:paraId="5434F18B" w14:textId="77777777" w:rsidR="0007609D" w:rsidRPr="00425FEE" w:rsidRDefault="0007609D" w:rsidP="0007609D">
            <w:pPr>
              <w:spacing w:after="0" w:line="288" w:lineRule="auto"/>
              <w:jc w:val="center"/>
              <w:rPr>
                <w:rFonts w:ascii="Arial" w:hAnsi="Arial" w:cs="Arial"/>
                <w:sz w:val="18"/>
                <w:szCs w:val="18"/>
                <w:lang w:val="es-ES"/>
              </w:rPr>
            </w:pPr>
          </w:p>
        </w:tc>
        <w:tc>
          <w:tcPr>
            <w:tcW w:w="270" w:type="dxa"/>
            <w:shd w:val="clear" w:color="auto" w:fill="8DB3E2" w:themeFill="text2" w:themeFillTint="66"/>
            <w:vAlign w:val="center"/>
          </w:tcPr>
          <w:p w14:paraId="0E233DE3" w14:textId="3E07FD7B" w:rsidR="0007609D" w:rsidRPr="00425FEE" w:rsidRDefault="0007609D" w:rsidP="0007609D">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1</w:t>
            </w:r>
          </w:p>
        </w:tc>
        <w:tc>
          <w:tcPr>
            <w:tcW w:w="360" w:type="dxa"/>
            <w:shd w:val="clear" w:color="auto" w:fill="8DB3E2" w:themeFill="text2" w:themeFillTint="66"/>
            <w:vAlign w:val="center"/>
          </w:tcPr>
          <w:p w14:paraId="7909DF84" w14:textId="53941F04" w:rsidR="0007609D" w:rsidRPr="00425FEE" w:rsidRDefault="0007609D" w:rsidP="0007609D">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2</w:t>
            </w:r>
          </w:p>
        </w:tc>
        <w:tc>
          <w:tcPr>
            <w:tcW w:w="360" w:type="dxa"/>
            <w:shd w:val="clear" w:color="auto" w:fill="8DB3E2" w:themeFill="text2" w:themeFillTint="66"/>
            <w:vAlign w:val="center"/>
          </w:tcPr>
          <w:p w14:paraId="0AD0B1AF" w14:textId="7476B34B" w:rsidR="0007609D" w:rsidRPr="00425FEE" w:rsidRDefault="0007609D" w:rsidP="0007609D">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3</w:t>
            </w:r>
          </w:p>
        </w:tc>
        <w:tc>
          <w:tcPr>
            <w:tcW w:w="270" w:type="dxa"/>
            <w:shd w:val="clear" w:color="auto" w:fill="8DB3E2" w:themeFill="text2" w:themeFillTint="66"/>
            <w:vAlign w:val="center"/>
          </w:tcPr>
          <w:p w14:paraId="033D3B41" w14:textId="08C93218" w:rsidR="0007609D" w:rsidRPr="00425FEE" w:rsidRDefault="0007609D" w:rsidP="0007609D">
            <w:pPr>
              <w:spacing w:after="0" w:line="288" w:lineRule="auto"/>
              <w:jc w:val="center"/>
              <w:rPr>
                <w:rFonts w:ascii="Arial" w:hAnsi="Arial" w:cs="Arial"/>
                <w:b/>
                <w:bCs/>
                <w:sz w:val="18"/>
                <w:szCs w:val="18"/>
                <w:lang w:val="es-ES"/>
              </w:rPr>
            </w:pPr>
            <w:r w:rsidRPr="00425FEE">
              <w:rPr>
                <w:rFonts w:ascii="Arial" w:hAnsi="Arial" w:cs="Arial"/>
                <w:b/>
                <w:bCs/>
                <w:sz w:val="18"/>
                <w:szCs w:val="18"/>
                <w:lang w:val="es-ES"/>
              </w:rPr>
              <w:t>4</w:t>
            </w:r>
          </w:p>
        </w:tc>
        <w:tc>
          <w:tcPr>
            <w:tcW w:w="360" w:type="dxa"/>
            <w:shd w:val="clear" w:color="auto" w:fill="8DB3E2" w:themeFill="text2" w:themeFillTint="66"/>
            <w:vAlign w:val="center"/>
          </w:tcPr>
          <w:p w14:paraId="05E2F47B" w14:textId="46743AE2" w:rsidR="0007609D" w:rsidRPr="00425FEE" w:rsidRDefault="0007609D" w:rsidP="0007609D">
            <w:pPr>
              <w:spacing w:after="0" w:line="288" w:lineRule="auto"/>
              <w:jc w:val="center"/>
              <w:rPr>
                <w:rFonts w:ascii="Arial" w:hAnsi="Arial" w:cs="Arial"/>
                <w:sz w:val="18"/>
                <w:szCs w:val="18"/>
                <w:lang w:val="es-ES"/>
              </w:rPr>
            </w:pPr>
            <w:r w:rsidRPr="00425FEE">
              <w:rPr>
                <w:rFonts w:ascii="Arial" w:hAnsi="Arial" w:cs="Arial"/>
                <w:b/>
                <w:bCs/>
                <w:sz w:val="18"/>
                <w:szCs w:val="18"/>
                <w:lang w:val="es-ES"/>
              </w:rPr>
              <w:t>1</w:t>
            </w:r>
          </w:p>
        </w:tc>
        <w:tc>
          <w:tcPr>
            <w:tcW w:w="270" w:type="dxa"/>
            <w:shd w:val="clear" w:color="auto" w:fill="8DB3E2" w:themeFill="text2" w:themeFillTint="66"/>
            <w:vAlign w:val="center"/>
          </w:tcPr>
          <w:p w14:paraId="6EC9C9E6" w14:textId="7403DB2C" w:rsidR="0007609D" w:rsidRPr="00425FEE" w:rsidRDefault="0007609D" w:rsidP="0007609D">
            <w:pPr>
              <w:spacing w:after="0" w:line="288" w:lineRule="auto"/>
              <w:jc w:val="center"/>
              <w:rPr>
                <w:rFonts w:ascii="Arial" w:hAnsi="Arial" w:cs="Arial"/>
                <w:sz w:val="18"/>
                <w:szCs w:val="18"/>
                <w:lang w:val="es-ES"/>
              </w:rPr>
            </w:pPr>
            <w:r w:rsidRPr="00425FEE">
              <w:rPr>
                <w:rFonts w:ascii="Arial" w:hAnsi="Arial" w:cs="Arial"/>
                <w:b/>
                <w:bCs/>
                <w:sz w:val="18"/>
                <w:szCs w:val="18"/>
                <w:lang w:val="es-ES"/>
              </w:rPr>
              <w:t>2</w:t>
            </w:r>
          </w:p>
        </w:tc>
        <w:tc>
          <w:tcPr>
            <w:tcW w:w="270" w:type="dxa"/>
            <w:shd w:val="clear" w:color="auto" w:fill="8DB3E2" w:themeFill="text2" w:themeFillTint="66"/>
            <w:vAlign w:val="center"/>
          </w:tcPr>
          <w:p w14:paraId="4E53701C" w14:textId="52FC167A" w:rsidR="0007609D" w:rsidRPr="00425FEE" w:rsidRDefault="0007609D" w:rsidP="0007609D">
            <w:pPr>
              <w:spacing w:after="0" w:line="288" w:lineRule="auto"/>
              <w:jc w:val="center"/>
              <w:rPr>
                <w:rFonts w:ascii="Arial" w:hAnsi="Arial" w:cs="Arial"/>
                <w:sz w:val="18"/>
                <w:szCs w:val="18"/>
                <w:lang w:val="es-ES"/>
              </w:rPr>
            </w:pPr>
            <w:r w:rsidRPr="00425FEE">
              <w:rPr>
                <w:rFonts w:ascii="Arial" w:hAnsi="Arial" w:cs="Arial"/>
                <w:b/>
                <w:bCs/>
                <w:sz w:val="18"/>
                <w:szCs w:val="18"/>
                <w:lang w:val="es-ES"/>
              </w:rPr>
              <w:t>3</w:t>
            </w:r>
          </w:p>
        </w:tc>
        <w:tc>
          <w:tcPr>
            <w:tcW w:w="337" w:type="dxa"/>
            <w:shd w:val="clear" w:color="auto" w:fill="8DB3E2" w:themeFill="text2" w:themeFillTint="66"/>
            <w:vAlign w:val="center"/>
          </w:tcPr>
          <w:p w14:paraId="3E0547FF" w14:textId="2BF72AF3" w:rsidR="0007609D" w:rsidRPr="00425FEE" w:rsidRDefault="0007609D" w:rsidP="0007609D">
            <w:pPr>
              <w:spacing w:after="0" w:line="288" w:lineRule="auto"/>
              <w:jc w:val="center"/>
              <w:rPr>
                <w:rFonts w:ascii="Arial" w:hAnsi="Arial" w:cs="Arial"/>
                <w:sz w:val="18"/>
                <w:szCs w:val="18"/>
                <w:lang w:val="es-ES"/>
              </w:rPr>
            </w:pPr>
            <w:r w:rsidRPr="00425FEE">
              <w:rPr>
                <w:rFonts w:ascii="Arial" w:hAnsi="Arial" w:cs="Arial"/>
                <w:b/>
                <w:bCs/>
                <w:sz w:val="18"/>
                <w:szCs w:val="18"/>
                <w:lang w:val="es-ES"/>
              </w:rPr>
              <w:t>4</w:t>
            </w:r>
          </w:p>
        </w:tc>
        <w:tc>
          <w:tcPr>
            <w:tcW w:w="1373" w:type="dxa"/>
            <w:vMerge/>
            <w:vAlign w:val="center"/>
          </w:tcPr>
          <w:p w14:paraId="62699C0C" w14:textId="5DB32E54" w:rsidR="0007609D" w:rsidRPr="00425FEE" w:rsidRDefault="0007609D" w:rsidP="0007609D">
            <w:pPr>
              <w:spacing w:after="0" w:line="288" w:lineRule="auto"/>
              <w:jc w:val="center"/>
              <w:rPr>
                <w:rFonts w:ascii="Arial" w:hAnsi="Arial" w:cs="Arial"/>
                <w:sz w:val="18"/>
                <w:szCs w:val="18"/>
                <w:lang w:val="es-ES"/>
              </w:rPr>
            </w:pPr>
          </w:p>
        </w:tc>
        <w:tc>
          <w:tcPr>
            <w:tcW w:w="810" w:type="dxa"/>
            <w:vMerge/>
            <w:vAlign w:val="center"/>
          </w:tcPr>
          <w:p w14:paraId="089460AA" w14:textId="77777777" w:rsidR="0007609D" w:rsidRPr="00425FEE" w:rsidRDefault="0007609D" w:rsidP="0007609D">
            <w:pPr>
              <w:spacing w:after="0" w:line="288" w:lineRule="auto"/>
              <w:jc w:val="center"/>
              <w:rPr>
                <w:rFonts w:ascii="Arial" w:hAnsi="Arial" w:cs="Arial"/>
                <w:sz w:val="18"/>
                <w:szCs w:val="18"/>
                <w:lang w:val="es-ES"/>
              </w:rPr>
            </w:pPr>
          </w:p>
        </w:tc>
        <w:tc>
          <w:tcPr>
            <w:tcW w:w="1620" w:type="dxa"/>
            <w:vMerge/>
            <w:vAlign w:val="center"/>
          </w:tcPr>
          <w:p w14:paraId="3F4D073D" w14:textId="77777777" w:rsidR="0007609D" w:rsidRPr="00425FEE" w:rsidRDefault="0007609D" w:rsidP="0007609D">
            <w:pPr>
              <w:spacing w:after="0" w:line="288" w:lineRule="auto"/>
              <w:jc w:val="center"/>
              <w:rPr>
                <w:rFonts w:ascii="Arial" w:hAnsi="Arial" w:cs="Arial"/>
                <w:sz w:val="18"/>
                <w:szCs w:val="18"/>
                <w:lang w:val="es-ES"/>
              </w:rPr>
            </w:pPr>
          </w:p>
        </w:tc>
      </w:tr>
      <w:tr w:rsidR="0007609D" w:rsidRPr="001A1DF9" w14:paraId="2BF046B9" w14:textId="77777777" w:rsidTr="001B65EC">
        <w:tc>
          <w:tcPr>
            <w:tcW w:w="3330" w:type="dxa"/>
            <w:vAlign w:val="center"/>
          </w:tcPr>
          <w:p w14:paraId="01DC25BC" w14:textId="399B79CD" w:rsidR="0007609D" w:rsidRPr="00425FEE" w:rsidRDefault="0007609D" w:rsidP="002A5EA2">
            <w:pPr>
              <w:pStyle w:val="ListParagraph"/>
              <w:numPr>
                <w:ilvl w:val="0"/>
                <w:numId w:val="13"/>
              </w:numPr>
              <w:spacing w:before="20" w:after="20" w:line="288" w:lineRule="auto"/>
              <w:ind w:left="318" w:hanging="318"/>
              <w:rPr>
                <w:rFonts w:ascii="Arial" w:hAnsi="Arial" w:cs="Arial"/>
                <w:sz w:val="18"/>
                <w:szCs w:val="18"/>
                <w:lang w:val="es-ES"/>
              </w:rPr>
            </w:pPr>
            <w:r w:rsidRPr="00425FEE">
              <w:rPr>
                <w:rFonts w:ascii="Arial" w:hAnsi="Arial" w:cs="Arial"/>
                <w:sz w:val="18"/>
                <w:szCs w:val="18"/>
                <w:lang w:val="es-ES"/>
              </w:rPr>
              <w:t>Evaluación antes / después (pre/ post)</w:t>
            </w:r>
          </w:p>
        </w:tc>
        <w:tc>
          <w:tcPr>
            <w:tcW w:w="270" w:type="dxa"/>
            <w:shd w:val="clear" w:color="auto" w:fill="auto"/>
            <w:vAlign w:val="center"/>
          </w:tcPr>
          <w:p w14:paraId="75A04D8C" w14:textId="77777777" w:rsidR="0007609D" w:rsidRPr="00425FEE" w:rsidRDefault="0007609D" w:rsidP="002A5EA2">
            <w:pPr>
              <w:spacing w:before="20" w:after="20" w:line="288" w:lineRule="auto"/>
              <w:rPr>
                <w:rFonts w:ascii="Arial" w:hAnsi="Arial" w:cs="Arial"/>
                <w:sz w:val="18"/>
                <w:szCs w:val="18"/>
                <w:lang w:val="es-ES"/>
              </w:rPr>
            </w:pPr>
          </w:p>
        </w:tc>
        <w:tc>
          <w:tcPr>
            <w:tcW w:w="360" w:type="dxa"/>
            <w:shd w:val="clear" w:color="auto" w:fill="auto"/>
            <w:vAlign w:val="center"/>
          </w:tcPr>
          <w:p w14:paraId="21CBF32B" w14:textId="77777777" w:rsidR="0007609D" w:rsidRPr="00425FEE" w:rsidRDefault="0007609D" w:rsidP="002A5EA2">
            <w:pPr>
              <w:spacing w:before="20" w:after="20" w:line="288" w:lineRule="auto"/>
              <w:rPr>
                <w:rFonts w:ascii="Arial" w:hAnsi="Arial" w:cs="Arial"/>
                <w:sz w:val="18"/>
                <w:szCs w:val="18"/>
                <w:lang w:val="es-ES"/>
              </w:rPr>
            </w:pPr>
          </w:p>
        </w:tc>
        <w:tc>
          <w:tcPr>
            <w:tcW w:w="360" w:type="dxa"/>
            <w:shd w:val="clear" w:color="auto" w:fill="auto"/>
            <w:vAlign w:val="center"/>
          </w:tcPr>
          <w:p w14:paraId="283C740A" w14:textId="77777777" w:rsidR="0007609D" w:rsidRPr="00425FEE" w:rsidRDefault="0007609D" w:rsidP="002A5EA2">
            <w:pPr>
              <w:spacing w:before="20" w:after="20" w:line="288" w:lineRule="auto"/>
              <w:rPr>
                <w:rFonts w:ascii="Arial" w:hAnsi="Arial" w:cs="Arial"/>
                <w:sz w:val="18"/>
                <w:szCs w:val="18"/>
                <w:lang w:val="es-ES"/>
              </w:rPr>
            </w:pPr>
          </w:p>
        </w:tc>
        <w:tc>
          <w:tcPr>
            <w:tcW w:w="270" w:type="dxa"/>
            <w:shd w:val="clear" w:color="auto" w:fill="auto"/>
            <w:vAlign w:val="center"/>
          </w:tcPr>
          <w:p w14:paraId="323C7F0C" w14:textId="77777777" w:rsidR="0007609D" w:rsidRPr="00425FEE" w:rsidRDefault="0007609D" w:rsidP="002A5EA2">
            <w:pPr>
              <w:spacing w:before="20" w:after="20" w:line="288" w:lineRule="auto"/>
              <w:rPr>
                <w:rFonts w:ascii="Arial" w:hAnsi="Arial" w:cs="Arial"/>
                <w:sz w:val="18"/>
                <w:szCs w:val="18"/>
                <w:lang w:val="es-ES"/>
              </w:rPr>
            </w:pPr>
          </w:p>
        </w:tc>
        <w:tc>
          <w:tcPr>
            <w:tcW w:w="360" w:type="dxa"/>
            <w:vAlign w:val="center"/>
          </w:tcPr>
          <w:p w14:paraId="45A19288" w14:textId="77777777" w:rsidR="0007609D" w:rsidRPr="00425FEE" w:rsidRDefault="0007609D" w:rsidP="002A5EA2">
            <w:pPr>
              <w:spacing w:before="20" w:after="20" w:line="288" w:lineRule="auto"/>
              <w:rPr>
                <w:rFonts w:ascii="Arial" w:hAnsi="Arial" w:cs="Arial"/>
                <w:sz w:val="18"/>
                <w:szCs w:val="18"/>
                <w:lang w:val="es-ES"/>
              </w:rPr>
            </w:pPr>
          </w:p>
        </w:tc>
        <w:tc>
          <w:tcPr>
            <w:tcW w:w="270" w:type="dxa"/>
            <w:vAlign w:val="center"/>
          </w:tcPr>
          <w:p w14:paraId="627F411F" w14:textId="77777777" w:rsidR="0007609D" w:rsidRPr="00425FEE" w:rsidRDefault="0007609D" w:rsidP="002A5EA2">
            <w:pPr>
              <w:spacing w:before="20" w:after="20" w:line="288" w:lineRule="auto"/>
              <w:rPr>
                <w:rFonts w:ascii="Arial" w:hAnsi="Arial" w:cs="Arial"/>
                <w:sz w:val="18"/>
                <w:szCs w:val="18"/>
                <w:lang w:val="es-ES"/>
              </w:rPr>
            </w:pPr>
          </w:p>
        </w:tc>
        <w:tc>
          <w:tcPr>
            <w:tcW w:w="270" w:type="dxa"/>
            <w:vAlign w:val="center"/>
          </w:tcPr>
          <w:p w14:paraId="46F23AAC" w14:textId="77777777" w:rsidR="0007609D" w:rsidRPr="00425FEE" w:rsidRDefault="0007609D" w:rsidP="002A5EA2">
            <w:pPr>
              <w:spacing w:before="20" w:after="20" w:line="288" w:lineRule="auto"/>
              <w:rPr>
                <w:rFonts w:ascii="Arial" w:hAnsi="Arial" w:cs="Arial"/>
                <w:sz w:val="18"/>
                <w:szCs w:val="18"/>
                <w:lang w:val="es-ES"/>
              </w:rPr>
            </w:pPr>
          </w:p>
        </w:tc>
        <w:tc>
          <w:tcPr>
            <w:tcW w:w="337" w:type="dxa"/>
            <w:vAlign w:val="center"/>
          </w:tcPr>
          <w:p w14:paraId="75F6B869" w14:textId="452F60CE" w:rsidR="0007609D" w:rsidRPr="00425FEE" w:rsidRDefault="0007609D" w:rsidP="002A5EA2">
            <w:pPr>
              <w:spacing w:before="20" w:after="20" w:line="288" w:lineRule="auto"/>
              <w:rPr>
                <w:rFonts w:ascii="Arial" w:hAnsi="Arial" w:cs="Arial"/>
                <w:sz w:val="18"/>
                <w:szCs w:val="18"/>
                <w:lang w:val="es-ES"/>
              </w:rPr>
            </w:pPr>
          </w:p>
        </w:tc>
        <w:tc>
          <w:tcPr>
            <w:tcW w:w="1373" w:type="dxa"/>
            <w:vAlign w:val="center"/>
          </w:tcPr>
          <w:p w14:paraId="50295104" w14:textId="3C17BE92" w:rsidR="0007609D" w:rsidRPr="00425FEE" w:rsidRDefault="0007609D" w:rsidP="002A5EA2">
            <w:pPr>
              <w:spacing w:before="20" w:after="20" w:line="288" w:lineRule="auto"/>
              <w:rPr>
                <w:rFonts w:ascii="Arial" w:hAnsi="Arial" w:cs="Arial"/>
                <w:sz w:val="18"/>
                <w:szCs w:val="18"/>
                <w:lang w:val="es-ES"/>
              </w:rPr>
            </w:pPr>
          </w:p>
        </w:tc>
        <w:tc>
          <w:tcPr>
            <w:tcW w:w="810" w:type="dxa"/>
            <w:vAlign w:val="center"/>
          </w:tcPr>
          <w:p w14:paraId="5C15ECA7" w14:textId="77777777" w:rsidR="0007609D" w:rsidRPr="00425FEE" w:rsidRDefault="0007609D" w:rsidP="002A5EA2">
            <w:pPr>
              <w:spacing w:before="20" w:after="20" w:line="288" w:lineRule="auto"/>
              <w:jc w:val="right"/>
              <w:rPr>
                <w:rFonts w:ascii="Arial" w:hAnsi="Arial" w:cs="Arial"/>
                <w:sz w:val="18"/>
                <w:szCs w:val="18"/>
                <w:lang w:val="es-ES"/>
              </w:rPr>
            </w:pPr>
          </w:p>
        </w:tc>
        <w:tc>
          <w:tcPr>
            <w:tcW w:w="1620" w:type="dxa"/>
            <w:vAlign w:val="center"/>
          </w:tcPr>
          <w:p w14:paraId="5024B994" w14:textId="77777777" w:rsidR="0007609D" w:rsidRPr="00425FEE" w:rsidRDefault="0007609D" w:rsidP="002A5EA2">
            <w:pPr>
              <w:spacing w:before="20" w:after="20" w:line="288" w:lineRule="auto"/>
              <w:rPr>
                <w:rFonts w:ascii="Arial" w:hAnsi="Arial" w:cs="Arial"/>
                <w:sz w:val="18"/>
                <w:szCs w:val="18"/>
                <w:lang w:val="es-ES"/>
              </w:rPr>
            </w:pPr>
          </w:p>
        </w:tc>
      </w:tr>
      <w:tr w:rsidR="009D08B3" w:rsidRPr="00425FEE" w14:paraId="543D264B" w14:textId="77777777" w:rsidTr="001B65EC">
        <w:tc>
          <w:tcPr>
            <w:tcW w:w="3330" w:type="dxa"/>
            <w:vAlign w:val="center"/>
          </w:tcPr>
          <w:p w14:paraId="3BD5E686" w14:textId="2F30961C" w:rsidR="009D08B3" w:rsidRPr="00425FEE" w:rsidRDefault="009D08B3" w:rsidP="001F2EA6">
            <w:pPr>
              <w:spacing w:before="20" w:after="20" w:line="288" w:lineRule="auto"/>
              <w:ind w:left="720" w:hanging="195"/>
              <w:rPr>
                <w:rFonts w:ascii="Arial" w:hAnsi="Arial" w:cs="Arial"/>
                <w:sz w:val="18"/>
                <w:szCs w:val="18"/>
                <w:lang w:val="es-ES"/>
              </w:rPr>
            </w:pPr>
            <w:r w:rsidRPr="00425FEE">
              <w:rPr>
                <w:rFonts w:ascii="Arial" w:hAnsi="Arial" w:cs="Arial"/>
                <w:sz w:val="18"/>
                <w:szCs w:val="18"/>
                <w:lang w:val="es-ES"/>
              </w:rPr>
              <w:t>Recopilación de datos</w:t>
            </w:r>
          </w:p>
        </w:tc>
        <w:tc>
          <w:tcPr>
            <w:tcW w:w="270" w:type="dxa"/>
            <w:shd w:val="clear" w:color="auto" w:fill="auto"/>
            <w:vAlign w:val="center"/>
          </w:tcPr>
          <w:p w14:paraId="17F968D1" w14:textId="2DD88D20" w:rsidR="009D08B3" w:rsidRPr="00425FEE" w:rsidRDefault="009D08B3" w:rsidP="001F2EA6">
            <w:pPr>
              <w:spacing w:before="20" w:after="20" w:line="288" w:lineRule="auto"/>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5636CE00" w14:textId="3DA08259" w:rsidR="009D08B3" w:rsidRPr="00425FEE" w:rsidRDefault="009D08B3" w:rsidP="001F2EA6">
            <w:pPr>
              <w:spacing w:before="20" w:after="20" w:line="288" w:lineRule="auto"/>
              <w:rPr>
                <w:rFonts w:ascii="Arial" w:hAnsi="Arial" w:cs="Arial"/>
                <w:sz w:val="18"/>
                <w:szCs w:val="18"/>
                <w:lang w:val="es-ES"/>
              </w:rPr>
            </w:pPr>
            <w:r w:rsidRPr="00425FEE">
              <w:rPr>
                <w:rFonts w:ascii="Arial" w:hAnsi="Arial" w:cs="Arial"/>
                <w:sz w:val="18"/>
                <w:szCs w:val="18"/>
                <w:lang w:val="es-ES"/>
              </w:rPr>
              <w:t>x</w:t>
            </w:r>
          </w:p>
        </w:tc>
        <w:tc>
          <w:tcPr>
            <w:tcW w:w="360" w:type="dxa"/>
            <w:shd w:val="clear" w:color="auto" w:fill="auto"/>
            <w:vAlign w:val="center"/>
          </w:tcPr>
          <w:p w14:paraId="0F89B90F" w14:textId="67AAD578" w:rsidR="009D08B3" w:rsidRPr="00425FEE" w:rsidRDefault="009D08B3" w:rsidP="001F2EA6">
            <w:pPr>
              <w:spacing w:before="20" w:after="20" w:line="288" w:lineRule="auto"/>
              <w:rPr>
                <w:rFonts w:ascii="Arial" w:hAnsi="Arial" w:cs="Arial"/>
                <w:sz w:val="18"/>
                <w:szCs w:val="18"/>
                <w:lang w:val="es-ES"/>
              </w:rPr>
            </w:pPr>
            <w:r w:rsidRPr="00425FEE">
              <w:rPr>
                <w:rFonts w:ascii="Arial" w:hAnsi="Arial" w:cs="Arial"/>
                <w:sz w:val="18"/>
                <w:szCs w:val="18"/>
                <w:lang w:val="es-ES"/>
              </w:rPr>
              <w:t>x</w:t>
            </w:r>
          </w:p>
        </w:tc>
        <w:tc>
          <w:tcPr>
            <w:tcW w:w="270" w:type="dxa"/>
            <w:shd w:val="clear" w:color="auto" w:fill="auto"/>
            <w:vAlign w:val="center"/>
          </w:tcPr>
          <w:p w14:paraId="318D2CDF" w14:textId="4C3D5F92" w:rsidR="009D08B3" w:rsidRPr="00425FEE" w:rsidRDefault="009D08B3" w:rsidP="001F2EA6">
            <w:pPr>
              <w:spacing w:before="20" w:after="20" w:line="288" w:lineRule="auto"/>
              <w:rPr>
                <w:rFonts w:ascii="Arial" w:hAnsi="Arial" w:cs="Arial"/>
                <w:sz w:val="18"/>
                <w:szCs w:val="18"/>
                <w:lang w:val="es-ES"/>
              </w:rPr>
            </w:pPr>
            <w:r w:rsidRPr="00425FEE">
              <w:rPr>
                <w:rFonts w:ascii="Arial" w:hAnsi="Arial" w:cs="Arial"/>
                <w:sz w:val="18"/>
                <w:szCs w:val="18"/>
                <w:lang w:val="es-ES"/>
              </w:rPr>
              <w:t>x</w:t>
            </w:r>
          </w:p>
        </w:tc>
        <w:tc>
          <w:tcPr>
            <w:tcW w:w="360" w:type="dxa"/>
            <w:vAlign w:val="center"/>
          </w:tcPr>
          <w:p w14:paraId="50333612" w14:textId="03154D17"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270" w:type="dxa"/>
            <w:vAlign w:val="center"/>
          </w:tcPr>
          <w:p w14:paraId="57AE2D00" w14:textId="6EC43B6C"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270" w:type="dxa"/>
            <w:vAlign w:val="center"/>
          </w:tcPr>
          <w:p w14:paraId="50013862" w14:textId="17859A28"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337" w:type="dxa"/>
            <w:vAlign w:val="center"/>
          </w:tcPr>
          <w:p w14:paraId="5C49A695" w14:textId="09EF1CBE"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1373" w:type="dxa"/>
            <w:vAlign w:val="center"/>
          </w:tcPr>
          <w:p w14:paraId="62FA1A25" w14:textId="7B7540F3"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OE</w:t>
            </w:r>
          </w:p>
        </w:tc>
        <w:tc>
          <w:tcPr>
            <w:tcW w:w="810" w:type="dxa"/>
            <w:vAlign w:val="center"/>
          </w:tcPr>
          <w:p w14:paraId="2FC9D75B" w14:textId="03579B61" w:rsidR="009D08B3" w:rsidRPr="00425FEE" w:rsidRDefault="009D08B3" w:rsidP="001F2EA6">
            <w:pPr>
              <w:spacing w:before="20" w:after="20" w:line="288" w:lineRule="auto"/>
              <w:jc w:val="right"/>
              <w:rPr>
                <w:rFonts w:ascii="Arial" w:hAnsi="Arial" w:cs="Arial"/>
                <w:sz w:val="18"/>
                <w:szCs w:val="18"/>
                <w:lang w:val="es-ES"/>
              </w:rPr>
            </w:pPr>
            <w:r>
              <w:rPr>
                <w:rFonts w:ascii="Arial" w:hAnsi="Arial" w:cs="Arial"/>
                <w:sz w:val="18"/>
                <w:szCs w:val="18"/>
                <w:lang w:val="es-ES"/>
              </w:rPr>
              <w:t>0</w:t>
            </w:r>
            <w:r>
              <w:rPr>
                <w:rStyle w:val="FootnoteReference"/>
                <w:rFonts w:ascii="Arial" w:hAnsi="Arial" w:cs="Arial"/>
                <w:sz w:val="18"/>
                <w:szCs w:val="18"/>
                <w:lang w:val="es-ES"/>
              </w:rPr>
              <w:footnoteReference w:id="52"/>
            </w:r>
          </w:p>
        </w:tc>
        <w:tc>
          <w:tcPr>
            <w:tcW w:w="1620" w:type="dxa"/>
            <w:vAlign w:val="center"/>
          </w:tcPr>
          <w:p w14:paraId="6D5796B2" w14:textId="4E68C36D" w:rsidR="009D08B3" w:rsidRPr="00425FEE" w:rsidRDefault="009D08B3" w:rsidP="001F2EA6">
            <w:pPr>
              <w:spacing w:before="20" w:after="20" w:line="288" w:lineRule="auto"/>
              <w:ind w:right="-15"/>
              <w:rPr>
                <w:rFonts w:ascii="Arial" w:hAnsi="Arial" w:cs="Arial"/>
                <w:sz w:val="18"/>
                <w:szCs w:val="18"/>
                <w:lang w:val="es-ES"/>
              </w:rPr>
            </w:pPr>
          </w:p>
        </w:tc>
      </w:tr>
      <w:tr w:rsidR="009D08B3" w:rsidRPr="001A1DF9" w14:paraId="527E69EE" w14:textId="77777777" w:rsidTr="001B65EC">
        <w:trPr>
          <w:trHeight w:val="278"/>
        </w:trPr>
        <w:tc>
          <w:tcPr>
            <w:tcW w:w="3330" w:type="dxa"/>
            <w:vAlign w:val="center"/>
          </w:tcPr>
          <w:p w14:paraId="48F3005C" w14:textId="538186D8" w:rsidR="009D08B3" w:rsidRPr="00425FEE" w:rsidRDefault="009D08B3" w:rsidP="001F2EA6">
            <w:pPr>
              <w:spacing w:before="20" w:after="20" w:line="288" w:lineRule="auto"/>
              <w:ind w:left="720" w:hanging="195"/>
              <w:rPr>
                <w:rFonts w:ascii="Arial" w:hAnsi="Arial" w:cs="Arial"/>
                <w:sz w:val="18"/>
                <w:szCs w:val="18"/>
                <w:lang w:val="es-ES"/>
              </w:rPr>
            </w:pPr>
            <w:r w:rsidRPr="00425FEE">
              <w:rPr>
                <w:rFonts w:ascii="Arial" w:hAnsi="Arial" w:cs="Arial"/>
                <w:sz w:val="18"/>
                <w:szCs w:val="18"/>
                <w:lang w:val="es-ES"/>
              </w:rPr>
              <w:t>Análisis de datos</w:t>
            </w:r>
          </w:p>
        </w:tc>
        <w:tc>
          <w:tcPr>
            <w:tcW w:w="270" w:type="dxa"/>
            <w:shd w:val="clear" w:color="auto" w:fill="auto"/>
            <w:vAlign w:val="center"/>
          </w:tcPr>
          <w:p w14:paraId="2D619F97" w14:textId="77777777" w:rsidR="009D08B3" w:rsidRPr="00425FEE" w:rsidRDefault="009D08B3" w:rsidP="001F2EA6">
            <w:pPr>
              <w:spacing w:before="20" w:after="20" w:line="288" w:lineRule="auto"/>
              <w:rPr>
                <w:rFonts w:ascii="Arial" w:hAnsi="Arial" w:cs="Arial"/>
                <w:sz w:val="18"/>
                <w:szCs w:val="18"/>
                <w:lang w:val="es-ES"/>
              </w:rPr>
            </w:pPr>
          </w:p>
        </w:tc>
        <w:tc>
          <w:tcPr>
            <w:tcW w:w="360" w:type="dxa"/>
            <w:shd w:val="clear" w:color="auto" w:fill="auto"/>
            <w:vAlign w:val="center"/>
          </w:tcPr>
          <w:p w14:paraId="1534395A" w14:textId="77777777" w:rsidR="009D08B3" w:rsidRPr="00425FEE" w:rsidRDefault="009D08B3" w:rsidP="001F2EA6">
            <w:pPr>
              <w:spacing w:before="20" w:after="20" w:line="288" w:lineRule="auto"/>
              <w:rPr>
                <w:rFonts w:ascii="Arial" w:hAnsi="Arial" w:cs="Arial"/>
                <w:sz w:val="18"/>
                <w:szCs w:val="18"/>
                <w:lang w:val="es-ES"/>
              </w:rPr>
            </w:pPr>
          </w:p>
        </w:tc>
        <w:tc>
          <w:tcPr>
            <w:tcW w:w="360" w:type="dxa"/>
            <w:shd w:val="clear" w:color="auto" w:fill="auto"/>
            <w:vAlign w:val="center"/>
          </w:tcPr>
          <w:p w14:paraId="0F88EED7" w14:textId="75AE3CB3" w:rsidR="009D08B3" w:rsidRPr="00425FEE" w:rsidRDefault="009D08B3" w:rsidP="001F2EA6">
            <w:pPr>
              <w:spacing w:before="20" w:after="20" w:line="288" w:lineRule="auto"/>
              <w:rPr>
                <w:rFonts w:ascii="Arial" w:hAnsi="Arial" w:cs="Arial"/>
                <w:sz w:val="18"/>
                <w:szCs w:val="18"/>
                <w:lang w:val="es-ES"/>
              </w:rPr>
            </w:pPr>
            <w:r w:rsidRPr="00425FEE">
              <w:rPr>
                <w:rFonts w:ascii="Arial" w:hAnsi="Arial" w:cs="Arial"/>
                <w:sz w:val="18"/>
                <w:szCs w:val="18"/>
                <w:lang w:val="es-ES"/>
              </w:rPr>
              <w:t>x</w:t>
            </w:r>
          </w:p>
        </w:tc>
        <w:tc>
          <w:tcPr>
            <w:tcW w:w="270" w:type="dxa"/>
            <w:shd w:val="clear" w:color="auto" w:fill="auto"/>
            <w:vAlign w:val="center"/>
          </w:tcPr>
          <w:p w14:paraId="133F69FA" w14:textId="0FFC2C2E" w:rsidR="009D08B3" w:rsidRPr="00425FEE" w:rsidRDefault="009D08B3" w:rsidP="001F2EA6">
            <w:pPr>
              <w:spacing w:before="20" w:after="20" w:line="288" w:lineRule="auto"/>
              <w:rPr>
                <w:rFonts w:ascii="Arial" w:hAnsi="Arial" w:cs="Arial"/>
                <w:sz w:val="18"/>
                <w:szCs w:val="18"/>
                <w:lang w:val="es-ES"/>
              </w:rPr>
            </w:pPr>
            <w:r w:rsidRPr="00425FEE">
              <w:rPr>
                <w:rFonts w:ascii="Arial" w:hAnsi="Arial" w:cs="Arial"/>
                <w:sz w:val="18"/>
                <w:szCs w:val="18"/>
                <w:lang w:val="es-ES"/>
              </w:rPr>
              <w:t>x</w:t>
            </w:r>
          </w:p>
        </w:tc>
        <w:tc>
          <w:tcPr>
            <w:tcW w:w="360" w:type="dxa"/>
            <w:vAlign w:val="center"/>
          </w:tcPr>
          <w:p w14:paraId="724C344E" w14:textId="792881A9"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270" w:type="dxa"/>
            <w:vAlign w:val="center"/>
          </w:tcPr>
          <w:p w14:paraId="707F7FA1" w14:textId="22033219"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270" w:type="dxa"/>
            <w:vAlign w:val="center"/>
          </w:tcPr>
          <w:p w14:paraId="665047E2" w14:textId="0902B5E4"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337" w:type="dxa"/>
            <w:vAlign w:val="center"/>
          </w:tcPr>
          <w:p w14:paraId="5B908B21" w14:textId="4CDEE5AF"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1373" w:type="dxa"/>
            <w:vAlign w:val="center"/>
          </w:tcPr>
          <w:p w14:paraId="46F4241A" w14:textId="3AF4C75A"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OE, BID</w:t>
            </w:r>
          </w:p>
        </w:tc>
        <w:tc>
          <w:tcPr>
            <w:tcW w:w="810" w:type="dxa"/>
            <w:vAlign w:val="center"/>
          </w:tcPr>
          <w:p w14:paraId="1F19DFCD" w14:textId="71B6B2F8" w:rsidR="009D08B3" w:rsidRPr="00425FEE" w:rsidRDefault="009D08B3" w:rsidP="001F2EA6">
            <w:pPr>
              <w:spacing w:before="20" w:after="20" w:line="288" w:lineRule="auto"/>
              <w:jc w:val="right"/>
              <w:rPr>
                <w:rFonts w:ascii="Arial" w:hAnsi="Arial" w:cs="Arial"/>
                <w:sz w:val="18"/>
                <w:szCs w:val="18"/>
                <w:lang w:val="es-ES"/>
              </w:rPr>
            </w:pPr>
            <w:r w:rsidRPr="00425FEE">
              <w:rPr>
                <w:rFonts w:ascii="Arial" w:hAnsi="Arial" w:cs="Arial"/>
                <w:sz w:val="18"/>
                <w:szCs w:val="18"/>
                <w:lang w:val="es-ES"/>
              </w:rPr>
              <w:t>2,500</w:t>
            </w:r>
          </w:p>
        </w:tc>
        <w:tc>
          <w:tcPr>
            <w:tcW w:w="1620" w:type="dxa"/>
          </w:tcPr>
          <w:p w14:paraId="3EAB7398" w14:textId="5EA55B88" w:rsidR="009D08B3" w:rsidRPr="00425FEE" w:rsidRDefault="005B4465" w:rsidP="001F2EA6">
            <w:pPr>
              <w:spacing w:before="20" w:after="20" w:line="288" w:lineRule="auto"/>
              <w:jc w:val="center"/>
              <w:rPr>
                <w:rFonts w:ascii="Arial" w:hAnsi="Arial" w:cs="Arial"/>
                <w:sz w:val="18"/>
                <w:szCs w:val="18"/>
                <w:lang w:val="es-ES"/>
              </w:rPr>
            </w:pPr>
            <w:r w:rsidRPr="6FF2E6C5">
              <w:rPr>
                <w:rFonts w:ascii="Arial" w:hAnsi="Arial" w:cs="Arial"/>
                <w:sz w:val="18"/>
                <w:szCs w:val="18"/>
                <w:lang w:val="es-ES"/>
              </w:rPr>
              <w:t>Fondos de supervisión adicionales a la operación</w:t>
            </w:r>
          </w:p>
        </w:tc>
      </w:tr>
      <w:tr w:rsidR="009D08B3" w:rsidRPr="00425FEE" w14:paraId="5B037F03" w14:textId="77777777" w:rsidTr="001B65EC">
        <w:tc>
          <w:tcPr>
            <w:tcW w:w="3330" w:type="dxa"/>
            <w:vAlign w:val="center"/>
          </w:tcPr>
          <w:p w14:paraId="56B2B5E3" w14:textId="1502C3F2" w:rsidR="009D08B3" w:rsidRPr="00425FEE" w:rsidRDefault="009D08B3" w:rsidP="001F2EA6">
            <w:pPr>
              <w:spacing w:before="20" w:after="20" w:line="288" w:lineRule="auto"/>
              <w:ind w:left="720" w:hanging="195"/>
              <w:rPr>
                <w:rFonts w:ascii="Arial" w:hAnsi="Arial" w:cs="Arial"/>
                <w:sz w:val="18"/>
                <w:szCs w:val="18"/>
                <w:lang w:val="es-ES"/>
              </w:rPr>
            </w:pPr>
            <w:r w:rsidRPr="00425FEE">
              <w:rPr>
                <w:rFonts w:ascii="Arial" w:hAnsi="Arial" w:cs="Arial"/>
                <w:sz w:val="18"/>
                <w:szCs w:val="18"/>
                <w:lang w:val="es-ES"/>
              </w:rPr>
              <w:t>Preparación del informe final</w:t>
            </w:r>
          </w:p>
        </w:tc>
        <w:tc>
          <w:tcPr>
            <w:tcW w:w="270" w:type="dxa"/>
            <w:shd w:val="clear" w:color="auto" w:fill="auto"/>
            <w:vAlign w:val="center"/>
          </w:tcPr>
          <w:p w14:paraId="20F8AAEC" w14:textId="77777777" w:rsidR="009D08B3" w:rsidRPr="00425FEE" w:rsidRDefault="009D08B3" w:rsidP="001F2EA6">
            <w:pPr>
              <w:spacing w:before="20" w:after="20" w:line="288" w:lineRule="auto"/>
              <w:rPr>
                <w:rFonts w:ascii="Arial" w:hAnsi="Arial" w:cs="Arial"/>
                <w:sz w:val="18"/>
                <w:szCs w:val="18"/>
                <w:lang w:val="es-ES"/>
              </w:rPr>
            </w:pPr>
          </w:p>
        </w:tc>
        <w:tc>
          <w:tcPr>
            <w:tcW w:w="360" w:type="dxa"/>
            <w:shd w:val="clear" w:color="auto" w:fill="auto"/>
            <w:vAlign w:val="center"/>
          </w:tcPr>
          <w:p w14:paraId="7EC1D0F5" w14:textId="77777777" w:rsidR="009D08B3" w:rsidRPr="00425FEE" w:rsidRDefault="009D08B3" w:rsidP="001F2EA6">
            <w:pPr>
              <w:spacing w:before="20" w:after="20" w:line="288" w:lineRule="auto"/>
              <w:rPr>
                <w:rFonts w:ascii="Arial" w:hAnsi="Arial" w:cs="Arial"/>
                <w:sz w:val="18"/>
                <w:szCs w:val="18"/>
                <w:lang w:val="es-ES"/>
              </w:rPr>
            </w:pPr>
          </w:p>
        </w:tc>
        <w:tc>
          <w:tcPr>
            <w:tcW w:w="360" w:type="dxa"/>
            <w:shd w:val="clear" w:color="auto" w:fill="auto"/>
            <w:vAlign w:val="center"/>
          </w:tcPr>
          <w:p w14:paraId="6C7A542B" w14:textId="77777777" w:rsidR="009D08B3" w:rsidRPr="00425FEE" w:rsidRDefault="009D08B3" w:rsidP="001F2EA6">
            <w:pPr>
              <w:spacing w:before="20" w:after="20" w:line="288" w:lineRule="auto"/>
              <w:rPr>
                <w:rFonts w:ascii="Arial" w:hAnsi="Arial" w:cs="Arial"/>
                <w:sz w:val="18"/>
                <w:szCs w:val="18"/>
                <w:lang w:val="es-ES"/>
              </w:rPr>
            </w:pPr>
          </w:p>
        </w:tc>
        <w:tc>
          <w:tcPr>
            <w:tcW w:w="270" w:type="dxa"/>
            <w:shd w:val="clear" w:color="auto" w:fill="auto"/>
            <w:vAlign w:val="center"/>
          </w:tcPr>
          <w:p w14:paraId="2BFBD78E" w14:textId="797D5B0C" w:rsidR="009D08B3" w:rsidRPr="00425FEE" w:rsidRDefault="009D08B3" w:rsidP="001F2EA6">
            <w:pPr>
              <w:spacing w:before="20" w:after="20" w:line="288" w:lineRule="auto"/>
              <w:rPr>
                <w:rFonts w:ascii="Arial" w:hAnsi="Arial" w:cs="Arial"/>
                <w:sz w:val="18"/>
                <w:szCs w:val="18"/>
                <w:lang w:val="es-ES"/>
              </w:rPr>
            </w:pPr>
          </w:p>
        </w:tc>
        <w:tc>
          <w:tcPr>
            <w:tcW w:w="360" w:type="dxa"/>
            <w:vAlign w:val="center"/>
          </w:tcPr>
          <w:p w14:paraId="2311D4BD" w14:textId="77777777" w:rsidR="009D08B3" w:rsidRPr="00425FEE" w:rsidRDefault="009D08B3" w:rsidP="001F2EA6">
            <w:pPr>
              <w:spacing w:before="20" w:after="20" w:line="288" w:lineRule="auto"/>
              <w:jc w:val="center"/>
              <w:rPr>
                <w:rFonts w:ascii="Arial" w:hAnsi="Arial" w:cs="Arial"/>
                <w:sz w:val="18"/>
                <w:szCs w:val="18"/>
                <w:lang w:val="es-ES"/>
              </w:rPr>
            </w:pPr>
          </w:p>
        </w:tc>
        <w:tc>
          <w:tcPr>
            <w:tcW w:w="270" w:type="dxa"/>
            <w:vAlign w:val="center"/>
          </w:tcPr>
          <w:p w14:paraId="7E1B2628" w14:textId="6FA5ACBD"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270" w:type="dxa"/>
            <w:vAlign w:val="center"/>
          </w:tcPr>
          <w:p w14:paraId="7293C204" w14:textId="77777777" w:rsidR="009D08B3" w:rsidRPr="00425FEE" w:rsidRDefault="009D08B3" w:rsidP="001F2EA6">
            <w:pPr>
              <w:spacing w:before="20" w:after="20" w:line="288" w:lineRule="auto"/>
              <w:jc w:val="center"/>
              <w:rPr>
                <w:rFonts w:ascii="Arial" w:hAnsi="Arial" w:cs="Arial"/>
                <w:sz w:val="18"/>
                <w:szCs w:val="18"/>
                <w:lang w:val="es-ES"/>
              </w:rPr>
            </w:pPr>
          </w:p>
        </w:tc>
        <w:tc>
          <w:tcPr>
            <w:tcW w:w="337" w:type="dxa"/>
            <w:vAlign w:val="center"/>
          </w:tcPr>
          <w:p w14:paraId="222AC338" w14:textId="23BBD37D"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1373" w:type="dxa"/>
            <w:vAlign w:val="center"/>
          </w:tcPr>
          <w:p w14:paraId="23135AE5" w14:textId="53FCBEA6" w:rsidR="009D08B3" w:rsidRPr="00425FEE" w:rsidRDefault="009D08B3"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OE, BID</w:t>
            </w:r>
          </w:p>
        </w:tc>
        <w:tc>
          <w:tcPr>
            <w:tcW w:w="810" w:type="dxa"/>
            <w:vAlign w:val="center"/>
          </w:tcPr>
          <w:p w14:paraId="3892D6F6" w14:textId="2932AC4B" w:rsidR="009D08B3" w:rsidRPr="00425FEE" w:rsidRDefault="009D08B3" w:rsidP="001F2EA6">
            <w:pPr>
              <w:spacing w:before="20" w:after="20" w:line="288" w:lineRule="auto"/>
              <w:jc w:val="right"/>
              <w:rPr>
                <w:rFonts w:ascii="Arial" w:hAnsi="Arial" w:cs="Arial"/>
                <w:sz w:val="18"/>
                <w:szCs w:val="18"/>
                <w:lang w:val="es-ES"/>
              </w:rPr>
            </w:pPr>
          </w:p>
        </w:tc>
        <w:tc>
          <w:tcPr>
            <w:tcW w:w="1620" w:type="dxa"/>
          </w:tcPr>
          <w:p w14:paraId="744D780D" w14:textId="059C6A70" w:rsidR="009D08B3" w:rsidRPr="00425FEE" w:rsidRDefault="009D08B3" w:rsidP="001F2EA6">
            <w:pPr>
              <w:spacing w:before="20" w:after="20" w:line="288" w:lineRule="auto"/>
              <w:jc w:val="center"/>
              <w:rPr>
                <w:rFonts w:ascii="Arial" w:hAnsi="Arial" w:cs="Arial"/>
                <w:sz w:val="18"/>
                <w:szCs w:val="18"/>
                <w:lang w:val="es-ES"/>
              </w:rPr>
            </w:pPr>
          </w:p>
        </w:tc>
      </w:tr>
      <w:tr w:rsidR="001F2EA6" w:rsidRPr="001A1DF9" w14:paraId="7F151FBD" w14:textId="77777777" w:rsidTr="001B65EC">
        <w:tc>
          <w:tcPr>
            <w:tcW w:w="3330" w:type="dxa"/>
            <w:vAlign w:val="center"/>
          </w:tcPr>
          <w:p w14:paraId="68368EE6" w14:textId="4ACD3EE5" w:rsidR="001F2EA6" w:rsidRPr="00425FEE" w:rsidRDefault="001F2EA6" w:rsidP="001F2EA6">
            <w:pPr>
              <w:pStyle w:val="ListParagraph"/>
              <w:numPr>
                <w:ilvl w:val="0"/>
                <w:numId w:val="13"/>
              </w:numPr>
              <w:spacing w:before="20" w:after="20" w:line="288" w:lineRule="auto"/>
              <w:ind w:left="318" w:hanging="318"/>
              <w:rPr>
                <w:rFonts w:ascii="Arial" w:hAnsi="Arial" w:cs="Arial"/>
                <w:sz w:val="18"/>
                <w:szCs w:val="18"/>
                <w:lang w:val="es-ES"/>
              </w:rPr>
            </w:pPr>
            <w:r w:rsidRPr="00425FEE">
              <w:rPr>
                <w:rFonts w:ascii="Arial" w:hAnsi="Arial" w:cs="Arial"/>
                <w:sz w:val="18"/>
                <w:szCs w:val="18"/>
                <w:lang w:val="es-ES"/>
              </w:rPr>
              <w:t>Informe de cierre de proyecto</w:t>
            </w:r>
          </w:p>
        </w:tc>
        <w:tc>
          <w:tcPr>
            <w:tcW w:w="270" w:type="dxa"/>
            <w:shd w:val="clear" w:color="auto" w:fill="auto"/>
            <w:vAlign w:val="center"/>
          </w:tcPr>
          <w:p w14:paraId="1014FC27" w14:textId="77777777" w:rsidR="001F2EA6" w:rsidRPr="00425FEE" w:rsidRDefault="001F2EA6" w:rsidP="001F2EA6">
            <w:pPr>
              <w:spacing w:before="20" w:after="20" w:line="288" w:lineRule="auto"/>
              <w:rPr>
                <w:rFonts w:ascii="Arial" w:hAnsi="Arial" w:cs="Arial"/>
                <w:sz w:val="18"/>
                <w:szCs w:val="18"/>
                <w:lang w:val="es-ES"/>
              </w:rPr>
            </w:pPr>
          </w:p>
        </w:tc>
        <w:tc>
          <w:tcPr>
            <w:tcW w:w="360" w:type="dxa"/>
            <w:shd w:val="clear" w:color="auto" w:fill="auto"/>
            <w:vAlign w:val="center"/>
          </w:tcPr>
          <w:p w14:paraId="101A1B8B" w14:textId="77777777" w:rsidR="001F2EA6" w:rsidRPr="00425FEE" w:rsidRDefault="001F2EA6" w:rsidP="001F2EA6">
            <w:pPr>
              <w:spacing w:before="20" w:after="20" w:line="288" w:lineRule="auto"/>
              <w:rPr>
                <w:rFonts w:ascii="Arial" w:hAnsi="Arial" w:cs="Arial"/>
                <w:sz w:val="18"/>
                <w:szCs w:val="18"/>
                <w:lang w:val="es-ES"/>
              </w:rPr>
            </w:pPr>
          </w:p>
        </w:tc>
        <w:tc>
          <w:tcPr>
            <w:tcW w:w="360" w:type="dxa"/>
            <w:shd w:val="clear" w:color="auto" w:fill="auto"/>
            <w:vAlign w:val="center"/>
          </w:tcPr>
          <w:p w14:paraId="549F5FE3" w14:textId="77777777" w:rsidR="001F2EA6" w:rsidRPr="00425FEE" w:rsidRDefault="001F2EA6" w:rsidP="001F2EA6">
            <w:pPr>
              <w:spacing w:before="20" w:after="20" w:line="288" w:lineRule="auto"/>
              <w:rPr>
                <w:rFonts w:ascii="Arial" w:hAnsi="Arial" w:cs="Arial"/>
                <w:sz w:val="18"/>
                <w:szCs w:val="18"/>
                <w:lang w:val="es-ES"/>
              </w:rPr>
            </w:pPr>
          </w:p>
        </w:tc>
        <w:tc>
          <w:tcPr>
            <w:tcW w:w="270" w:type="dxa"/>
            <w:shd w:val="clear" w:color="auto" w:fill="auto"/>
            <w:vAlign w:val="center"/>
          </w:tcPr>
          <w:p w14:paraId="012E70BE" w14:textId="77576A31" w:rsidR="001F2EA6" w:rsidRPr="00425FEE" w:rsidRDefault="001F2EA6" w:rsidP="001F2EA6">
            <w:pPr>
              <w:spacing w:before="20" w:after="20" w:line="288" w:lineRule="auto"/>
              <w:rPr>
                <w:rFonts w:ascii="Arial" w:hAnsi="Arial" w:cs="Arial"/>
                <w:sz w:val="18"/>
                <w:szCs w:val="18"/>
                <w:lang w:val="es-ES"/>
              </w:rPr>
            </w:pPr>
          </w:p>
        </w:tc>
        <w:tc>
          <w:tcPr>
            <w:tcW w:w="360" w:type="dxa"/>
            <w:vAlign w:val="center"/>
          </w:tcPr>
          <w:p w14:paraId="3B96FB1B" w14:textId="77777777" w:rsidR="001F2EA6" w:rsidRPr="00425FEE" w:rsidRDefault="001F2EA6" w:rsidP="001F2EA6">
            <w:pPr>
              <w:spacing w:before="20" w:after="20" w:line="288" w:lineRule="auto"/>
              <w:jc w:val="center"/>
              <w:rPr>
                <w:rFonts w:ascii="Arial" w:hAnsi="Arial" w:cs="Arial"/>
                <w:sz w:val="18"/>
                <w:szCs w:val="18"/>
                <w:lang w:val="es-ES"/>
              </w:rPr>
            </w:pPr>
          </w:p>
        </w:tc>
        <w:tc>
          <w:tcPr>
            <w:tcW w:w="270" w:type="dxa"/>
            <w:vAlign w:val="center"/>
          </w:tcPr>
          <w:p w14:paraId="2A2BFFE5" w14:textId="41E0CFB0" w:rsidR="001F2EA6" w:rsidRPr="00425FEE" w:rsidRDefault="001F2EA6"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270" w:type="dxa"/>
            <w:vAlign w:val="center"/>
          </w:tcPr>
          <w:p w14:paraId="7504B9CC" w14:textId="77777777" w:rsidR="001F2EA6" w:rsidRPr="00425FEE" w:rsidRDefault="001F2EA6" w:rsidP="001F2EA6">
            <w:pPr>
              <w:spacing w:before="20" w:after="20" w:line="288" w:lineRule="auto"/>
              <w:jc w:val="center"/>
              <w:rPr>
                <w:rFonts w:ascii="Arial" w:hAnsi="Arial" w:cs="Arial"/>
                <w:sz w:val="18"/>
                <w:szCs w:val="18"/>
                <w:lang w:val="es-ES"/>
              </w:rPr>
            </w:pPr>
          </w:p>
        </w:tc>
        <w:tc>
          <w:tcPr>
            <w:tcW w:w="337" w:type="dxa"/>
            <w:vAlign w:val="center"/>
          </w:tcPr>
          <w:p w14:paraId="326E58A5" w14:textId="4738CB1C" w:rsidR="001F2EA6" w:rsidRPr="00425FEE" w:rsidRDefault="001F2EA6"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x</w:t>
            </w:r>
          </w:p>
        </w:tc>
        <w:tc>
          <w:tcPr>
            <w:tcW w:w="1373" w:type="dxa"/>
            <w:vAlign w:val="center"/>
          </w:tcPr>
          <w:p w14:paraId="0F5FDD6C" w14:textId="610C5D90" w:rsidR="001F2EA6" w:rsidRPr="00425FEE" w:rsidRDefault="001F2EA6" w:rsidP="001F2EA6">
            <w:pPr>
              <w:spacing w:before="20" w:after="20" w:line="288" w:lineRule="auto"/>
              <w:jc w:val="center"/>
              <w:rPr>
                <w:rFonts w:ascii="Arial" w:hAnsi="Arial" w:cs="Arial"/>
                <w:sz w:val="18"/>
                <w:szCs w:val="18"/>
                <w:lang w:val="es-ES"/>
              </w:rPr>
            </w:pPr>
            <w:r w:rsidRPr="00425FEE">
              <w:rPr>
                <w:rFonts w:ascii="Arial" w:hAnsi="Arial" w:cs="Arial"/>
                <w:sz w:val="18"/>
                <w:szCs w:val="18"/>
                <w:lang w:val="es-ES"/>
              </w:rPr>
              <w:t>BID</w:t>
            </w:r>
          </w:p>
        </w:tc>
        <w:tc>
          <w:tcPr>
            <w:tcW w:w="810" w:type="dxa"/>
            <w:vAlign w:val="center"/>
          </w:tcPr>
          <w:p w14:paraId="6BBE3094" w14:textId="7627D64B" w:rsidR="001F2EA6" w:rsidRPr="00425FEE" w:rsidRDefault="001F2EA6" w:rsidP="001F2EA6">
            <w:pPr>
              <w:spacing w:before="20" w:after="20" w:line="288" w:lineRule="auto"/>
              <w:jc w:val="right"/>
              <w:rPr>
                <w:rFonts w:ascii="Arial" w:hAnsi="Arial" w:cs="Arial"/>
                <w:sz w:val="18"/>
                <w:szCs w:val="18"/>
                <w:lang w:val="es-ES"/>
              </w:rPr>
            </w:pPr>
            <w:r w:rsidRPr="00425FEE">
              <w:rPr>
                <w:rFonts w:ascii="Arial" w:hAnsi="Arial" w:cs="Arial"/>
                <w:sz w:val="18"/>
                <w:szCs w:val="18"/>
                <w:lang w:val="es-ES"/>
              </w:rPr>
              <w:t>5,000</w:t>
            </w:r>
          </w:p>
        </w:tc>
        <w:tc>
          <w:tcPr>
            <w:tcW w:w="1620" w:type="dxa"/>
          </w:tcPr>
          <w:p w14:paraId="7A5A8E61" w14:textId="1F76D7E4" w:rsidR="001F2EA6" w:rsidRPr="00425FEE" w:rsidRDefault="009D08B3" w:rsidP="001F2EA6">
            <w:pPr>
              <w:spacing w:before="20" w:after="20" w:line="288" w:lineRule="auto"/>
              <w:jc w:val="center"/>
              <w:rPr>
                <w:rFonts w:ascii="Arial" w:hAnsi="Arial" w:cs="Arial"/>
                <w:sz w:val="18"/>
                <w:szCs w:val="18"/>
                <w:lang w:val="es-ES"/>
              </w:rPr>
            </w:pPr>
            <w:r>
              <w:rPr>
                <w:rFonts w:ascii="Arial" w:hAnsi="Arial" w:cs="Arial"/>
                <w:sz w:val="18"/>
                <w:szCs w:val="18"/>
                <w:lang w:val="es-ES"/>
              </w:rPr>
              <w:t>Fondo</w:t>
            </w:r>
            <w:r w:rsidR="00312581">
              <w:rPr>
                <w:rFonts w:ascii="Arial" w:hAnsi="Arial" w:cs="Arial"/>
                <w:sz w:val="18"/>
                <w:szCs w:val="18"/>
                <w:lang w:val="es-ES"/>
              </w:rPr>
              <w:t>s</w:t>
            </w:r>
            <w:r>
              <w:rPr>
                <w:rFonts w:ascii="Arial" w:hAnsi="Arial" w:cs="Arial"/>
                <w:sz w:val="18"/>
                <w:szCs w:val="18"/>
                <w:lang w:val="es-ES"/>
              </w:rPr>
              <w:t xml:space="preserve"> de supervisión adicionales a la operación</w:t>
            </w:r>
          </w:p>
        </w:tc>
      </w:tr>
    </w:tbl>
    <w:p w14:paraId="45929D87" w14:textId="77777777" w:rsidR="001B5186" w:rsidRDefault="001B5186" w:rsidP="004964DC">
      <w:pPr>
        <w:spacing w:after="0" w:line="288" w:lineRule="auto"/>
        <w:jc w:val="both"/>
        <w:rPr>
          <w:rFonts w:ascii="Arial" w:hAnsi="Arial" w:cs="Arial"/>
          <w:lang w:val="es-ES"/>
        </w:rPr>
      </w:pPr>
    </w:p>
    <w:p w14:paraId="3E5DDE1C" w14:textId="77777777" w:rsidR="006B5137" w:rsidRDefault="006B5137" w:rsidP="004964DC">
      <w:pPr>
        <w:spacing w:after="0" w:line="288" w:lineRule="auto"/>
        <w:jc w:val="both"/>
        <w:rPr>
          <w:rFonts w:ascii="Arial" w:hAnsi="Arial" w:cs="Arial"/>
          <w:lang w:val="es-ES"/>
        </w:rPr>
        <w:sectPr w:rsidR="006B5137" w:rsidSect="007E6192">
          <w:type w:val="continuous"/>
          <w:pgSz w:w="12240" w:h="15840"/>
          <w:pgMar w:top="1440" w:right="1627" w:bottom="1440" w:left="1440" w:header="720" w:footer="720" w:gutter="0"/>
          <w:cols w:space="720"/>
          <w:docGrid w:linePitch="360"/>
        </w:sectPr>
      </w:pPr>
    </w:p>
    <w:p w14:paraId="340B6EB8" w14:textId="73772F48" w:rsidR="002650CE" w:rsidRPr="00425FEE" w:rsidRDefault="002650CE" w:rsidP="004964DC">
      <w:pPr>
        <w:spacing w:after="0" w:line="288" w:lineRule="auto"/>
        <w:jc w:val="both"/>
        <w:rPr>
          <w:rFonts w:ascii="Arial" w:hAnsi="Arial" w:cs="Arial"/>
          <w:lang w:val="es-ES"/>
        </w:rPr>
        <w:sectPr w:rsidR="002650CE" w:rsidRPr="00425FEE" w:rsidSect="006B5137">
          <w:pgSz w:w="12240" w:h="15840"/>
          <w:pgMar w:top="1440" w:right="1627" w:bottom="1440" w:left="1440" w:header="720" w:footer="720" w:gutter="0"/>
          <w:cols w:space="720"/>
          <w:docGrid w:linePitch="360"/>
        </w:sectPr>
      </w:pPr>
    </w:p>
    <w:p w14:paraId="0CFBBEE0" w14:textId="370EFC5F" w:rsidR="001B5186" w:rsidRPr="006E5E0A" w:rsidRDefault="00A358CC" w:rsidP="00F81259">
      <w:pPr>
        <w:spacing w:before="120" w:after="120" w:line="288" w:lineRule="auto"/>
        <w:jc w:val="center"/>
        <w:rPr>
          <w:rFonts w:ascii="Arial" w:hAnsi="Arial" w:cs="Arial"/>
        </w:rPr>
      </w:pPr>
      <w:proofErr w:type="spellStart"/>
      <w:r w:rsidRPr="006E5E0A">
        <w:rPr>
          <w:rFonts w:ascii="Arial" w:hAnsi="Arial" w:cs="Arial"/>
          <w:b/>
        </w:rPr>
        <w:t>Referenc</w:t>
      </w:r>
      <w:r w:rsidR="00DA4332" w:rsidRPr="006E5E0A">
        <w:rPr>
          <w:rFonts w:ascii="Arial" w:hAnsi="Arial" w:cs="Arial"/>
          <w:b/>
        </w:rPr>
        <w:t>ia</w:t>
      </w:r>
      <w:r w:rsidRPr="006E5E0A">
        <w:rPr>
          <w:rFonts w:ascii="Arial" w:hAnsi="Arial" w:cs="Arial"/>
          <w:b/>
        </w:rPr>
        <w:t>s</w:t>
      </w:r>
      <w:proofErr w:type="spellEnd"/>
    </w:p>
    <w:p w14:paraId="7BCFBDCE" w14:textId="77777777" w:rsidR="00545C08" w:rsidRPr="00425FEE" w:rsidRDefault="00545C08" w:rsidP="00F81259">
      <w:pPr>
        <w:spacing w:before="120" w:after="120" w:line="240" w:lineRule="auto"/>
        <w:jc w:val="both"/>
        <w:rPr>
          <w:rFonts w:ascii="Arial" w:hAnsi="Arial" w:cs="Arial"/>
          <w:lang w:val="es-ES"/>
        </w:rPr>
      </w:pPr>
      <w:r w:rsidRPr="006E5E0A">
        <w:rPr>
          <w:rFonts w:ascii="Arial" w:hAnsi="Arial" w:cs="Arial"/>
        </w:rPr>
        <w:t xml:space="preserve">Ahmed et al. “Effectiveness of workplace social distancing measures in reducing influenza transmission: a systematic review”. </w:t>
      </w:r>
      <w:r w:rsidRPr="00425FEE">
        <w:rPr>
          <w:rFonts w:ascii="Arial" w:hAnsi="Arial" w:cs="Arial"/>
          <w:lang w:val="es-ES"/>
        </w:rPr>
        <w:t xml:space="preserve">BMC Public Health (2018) 18:518. Disponible en: </w:t>
      </w:r>
      <w:hyperlink r:id="rId17" w:history="1">
        <w:r w:rsidRPr="00425FEE">
          <w:rPr>
            <w:rStyle w:val="Hyperlink"/>
            <w:rFonts w:ascii="Arial" w:hAnsi="Arial" w:cs="Arial"/>
            <w:lang w:val="es-ES"/>
          </w:rPr>
          <w:t>https://doi.org/10.1186/s12889-018-5446-1</w:t>
        </w:r>
      </w:hyperlink>
      <w:r w:rsidRPr="00425FEE">
        <w:rPr>
          <w:rFonts w:ascii="Arial" w:hAnsi="Arial" w:cs="Arial"/>
          <w:lang w:val="es-ES"/>
        </w:rPr>
        <w:t xml:space="preserve"> </w:t>
      </w:r>
    </w:p>
    <w:p w14:paraId="13E52302" w14:textId="77777777" w:rsidR="00545C08" w:rsidRPr="006E5E0A" w:rsidRDefault="00545C08" w:rsidP="00F81259">
      <w:pPr>
        <w:spacing w:before="120" w:after="120" w:line="240" w:lineRule="auto"/>
        <w:jc w:val="both"/>
        <w:rPr>
          <w:rFonts w:ascii="Arial" w:hAnsi="Arial" w:cs="Arial"/>
          <w:color w:val="0563C1"/>
          <w:u w:val="single"/>
        </w:rPr>
      </w:pPr>
      <w:r w:rsidRPr="00425FEE">
        <w:rPr>
          <w:rFonts w:ascii="Arial" w:hAnsi="Arial" w:cs="Arial"/>
          <w:lang w:val="es-ES"/>
        </w:rPr>
        <w:t xml:space="preserve">Beazley et al (2019). “Protección social reactiva frente a emergencias en América Latina y el Caribe: Principales hallazgos y recomendaciones”. </w:t>
      </w:r>
      <w:hyperlink r:id="rId18" w:anchor="page70" w:history="1">
        <w:r w:rsidRPr="006E5E0A">
          <w:rPr>
            <w:rStyle w:val="Hyperlink"/>
            <w:rFonts w:ascii="Arial" w:hAnsi="Arial" w:cs="Arial"/>
          </w:rPr>
          <w:t>https://www.opml.co.uk/files/Publications/a1537-shock-responsive-social-protection-latin-america-caribbean/hallazgos-principals-y-recomendaciones.pdf?noredirect=1#page70</w:t>
        </w:r>
      </w:hyperlink>
    </w:p>
    <w:p w14:paraId="587CB900" w14:textId="77777777" w:rsidR="00545C08" w:rsidRPr="006E5E0A" w:rsidRDefault="00545C08" w:rsidP="00F81259">
      <w:pPr>
        <w:spacing w:before="120" w:after="120" w:line="240" w:lineRule="auto"/>
        <w:jc w:val="both"/>
        <w:rPr>
          <w:rFonts w:ascii="Arial" w:hAnsi="Arial" w:cs="Arial"/>
        </w:rPr>
      </w:pPr>
      <w:r w:rsidRPr="006E5E0A">
        <w:rPr>
          <w:rFonts w:ascii="Arial" w:hAnsi="Arial" w:cs="Arial"/>
        </w:rPr>
        <w:t>Chang et al (2020). “Modelling transmission and control of the COVID-19 pandemic in Australia”. Centre for Complex Systems, Faculty of Engineering, University of Sydney, Sydney, NSW 2006, Australia.</w:t>
      </w:r>
    </w:p>
    <w:p w14:paraId="43D21475" w14:textId="77777777" w:rsidR="00545C08" w:rsidRPr="00AF39D1" w:rsidRDefault="00545C08" w:rsidP="00F81259">
      <w:pPr>
        <w:spacing w:before="120" w:after="120" w:line="240" w:lineRule="auto"/>
        <w:jc w:val="both"/>
        <w:rPr>
          <w:rStyle w:val="Hyperlink"/>
          <w:rFonts w:ascii="Arial" w:hAnsi="Arial" w:cs="Arial"/>
        </w:rPr>
      </w:pPr>
      <w:r w:rsidRPr="006E5E0A">
        <w:rPr>
          <w:rFonts w:ascii="Arial" w:hAnsi="Arial" w:cs="Arial"/>
        </w:rPr>
        <w:t xml:space="preserve">Dalton et al (2020). Pre-Emptive </w:t>
      </w:r>
      <w:proofErr w:type="gramStart"/>
      <w:r w:rsidRPr="006E5E0A">
        <w:rPr>
          <w:rFonts w:ascii="Arial" w:hAnsi="Arial" w:cs="Arial"/>
        </w:rPr>
        <w:t>Low Cost</w:t>
      </w:r>
      <w:proofErr w:type="gramEnd"/>
      <w:r w:rsidRPr="006E5E0A">
        <w:rPr>
          <w:rFonts w:ascii="Arial" w:hAnsi="Arial" w:cs="Arial"/>
        </w:rPr>
        <w:t xml:space="preserve"> Social Distancing and Enhanced Hygiene Implemented before Local COVID-19 Transmission Could Decrease the Number and Severity of Cases. </w:t>
      </w:r>
      <w:r w:rsidRPr="00AF39D1">
        <w:rPr>
          <w:rFonts w:ascii="Arial" w:hAnsi="Arial" w:cs="Arial"/>
        </w:rPr>
        <w:t xml:space="preserve">Disponible en:  </w:t>
      </w:r>
      <w:r w:rsidRPr="00AF39D1">
        <w:rPr>
          <w:rStyle w:val="Hyperlink"/>
          <w:rFonts w:ascii="Arial" w:hAnsi="Arial" w:cs="Arial"/>
        </w:rPr>
        <w:t>https://papers.ssrn.com/sol3/papers.cfm?abstract_id=3549276</w:t>
      </w:r>
    </w:p>
    <w:p w14:paraId="6D67B613" w14:textId="50737F22" w:rsidR="00545C08" w:rsidRPr="006E5E0A" w:rsidRDefault="00545C08" w:rsidP="00F81259">
      <w:pPr>
        <w:spacing w:before="120" w:after="120" w:line="240" w:lineRule="auto"/>
        <w:jc w:val="both"/>
        <w:rPr>
          <w:rFonts w:ascii="Arial" w:hAnsi="Arial" w:cs="Arial"/>
        </w:rPr>
      </w:pPr>
      <w:proofErr w:type="spellStart"/>
      <w:r w:rsidRPr="006E5E0A">
        <w:rPr>
          <w:rFonts w:ascii="Arial" w:hAnsi="Arial" w:cs="Arial"/>
        </w:rPr>
        <w:t>Gentilini</w:t>
      </w:r>
      <w:proofErr w:type="spellEnd"/>
      <w:r w:rsidRPr="006E5E0A">
        <w:rPr>
          <w:rFonts w:ascii="Arial" w:hAnsi="Arial" w:cs="Arial"/>
        </w:rPr>
        <w:t xml:space="preserve">, Ugo, Mohamed </w:t>
      </w:r>
      <w:proofErr w:type="spellStart"/>
      <w:r w:rsidRPr="006E5E0A">
        <w:rPr>
          <w:rFonts w:ascii="Arial" w:hAnsi="Arial" w:cs="Arial"/>
        </w:rPr>
        <w:t>Almenfi</w:t>
      </w:r>
      <w:proofErr w:type="spellEnd"/>
      <w:r w:rsidRPr="006E5E0A">
        <w:rPr>
          <w:rFonts w:ascii="Arial" w:hAnsi="Arial" w:cs="Arial"/>
        </w:rPr>
        <w:t xml:space="preserve"> y Ian Orton, Social Protection and Jobs Responses to COVID</w:t>
      </w:r>
      <w:r w:rsidR="00EF5A3F" w:rsidRPr="006E5E0A">
        <w:rPr>
          <w:rFonts w:ascii="Arial" w:hAnsi="Arial" w:cs="Arial"/>
        </w:rPr>
        <w:noBreakHyphen/>
      </w:r>
      <w:r w:rsidRPr="006E5E0A">
        <w:rPr>
          <w:rFonts w:ascii="Arial" w:hAnsi="Arial" w:cs="Arial"/>
        </w:rPr>
        <w:t xml:space="preserve">19: A Real-Time Review of Country Measures: A “living paper”, version </w:t>
      </w:r>
      <w:r w:rsidR="00E26D6F" w:rsidRPr="006E5E0A">
        <w:rPr>
          <w:rFonts w:ascii="Arial" w:hAnsi="Arial" w:cs="Arial"/>
        </w:rPr>
        <w:t>11</w:t>
      </w:r>
      <w:r w:rsidRPr="006E5E0A">
        <w:rPr>
          <w:rFonts w:ascii="Arial" w:hAnsi="Arial" w:cs="Arial"/>
        </w:rPr>
        <w:t xml:space="preserve"> (2020), </w:t>
      </w:r>
      <w:proofErr w:type="spellStart"/>
      <w:r w:rsidRPr="006E5E0A">
        <w:rPr>
          <w:rFonts w:ascii="Arial" w:hAnsi="Arial" w:cs="Arial"/>
        </w:rPr>
        <w:t>Acutalización</w:t>
      </w:r>
      <w:proofErr w:type="spellEnd"/>
      <w:r w:rsidRPr="006E5E0A">
        <w:rPr>
          <w:rFonts w:ascii="Arial" w:hAnsi="Arial" w:cs="Arial"/>
        </w:rPr>
        <w:t xml:space="preserve"> del </w:t>
      </w:r>
      <w:r w:rsidR="00E26D6F" w:rsidRPr="006E5E0A">
        <w:rPr>
          <w:rFonts w:ascii="Arial" w:hAnsi="Arial" w:cs="Arial"/>
        </w:rPr>
        <w:t>1</w:t>
      </w:r>
      <w:r w:rsidRPr="006E5E0A">
        <w:rPr>
          <w:rFonts w:ascii="Arial" w:hAnsi="Arial" w:cs="Arial"/>
        </w:rPr>
        <w:t>2</w:t>
      </w:r>
      <w:r w:rsidR="00E26D6F" w:rsidRPr="006E5E0A">
        <w:rPr>
          <w:rFonts w:ascii="Arial" w:hAnsi="Arial" w:cs="Arial"/>
        </w:rPr>
        <w:t xml:space="preserve"> de </w:t>
      </w:r>
      <w:proofErr w:type="spellStart"/>
      <w:r w:rsidR="00E26D6F" w:rsidRPr="006E5E0A">
        <w:rPr>
          <w:rFonts w:ascii="Arial" w:hAnsi="Arial" w:cs="Arial"/>
        </w:rPr>
        <w:t>junio</w:t>
      </w:r>
      <w:proofErr w:type="spellEnd"/>
      <w:r w:rsidRPr="006E5E0A">
        <w:rPr>
          <w:rFonts w:ascii="Arial" w:hAnsi="Arial" w:cs="Arial"/>
        </w:rPr>
        <w:t xml:space="preserve"> 2020.</w:t>
      </w:r>
      <w:r w:rsidR="00E26D6F" w:rsidRPr="006E5E0A">
        <w:rPr>
          <w:rFonts w:ascii="Arial" w:hAnsi="Arial" w:cs="Arial"/>
        </w:rPr>
        <w:t xml:space="preserve"> Disponible en: </w:t>
      </w:r>
      <w:hyperlink r:id="rId19" w:history="1">
        <w:r w:rsidR="00510033" w:rsidRPr="006E5E0A">
          <w:rPr>
            <w:rStyle w:val="Hyperlink"/>
            <w:rFonts w:ascii="Arial" w:hAnsi="Arial" w:cs="Arial"/>
          </w:rPr>
          <w:t>http://documents1.worldbank.org/curated/en/590531592231143435/pdf/Social-Protection-and-Jobs-Responses-to-COVID-19-A-Real-Time-Review-of-Country-Measures-June-12-2020.pdf</w:t>
        </w:r>
      </w:hyperlink>
      <w:r w:rsidR="006F25B0" w:rsidRPr="006E5E0A">
        <w:rPr>
          <w:rFonts w:ascii="Arial" w:hAnsi="Arial" w:cs="Arial"/>
        </w:rPr>
        <w:t xml:space="preserve"> </w:t>
      </w:r>
    </w:p>
    <w:p w14:paraId="3EC0F47C" w14:textId="77777777" w:rsidR="00545C08" w:rsidRPr="006E5E0A" w:rsidRDefault="00545C08" w:rsidP="00F81259">
      <w:pPr>
        <w:spacing w:before="120" w:after="120" w:line="240" w:lineRule="auto"/>
        <w:jc w:val="both"/>
        <w:rPr>
          <w:rFonts w:ascii="Arial" w:hAnsi="Arial" w:cs="Arial"/>
        </w:rPr>
      </w:pPr>
      <w:proofErr w:type="spellStart"/>
      <w:r w:rsidRPr="006E5E0A">
        <w:rPr>
          <w:rFonts w:ascii="Arial" w:hAnsi="Arial" w:cs="Arial"/>
        </w:rPr>
        <w:t>Grosh</w:t>
      </w:r>
      <w:proofErr w:type="spellEnd"/>
      <w:r w:rsidRPr="006E5E0A">
        <w:rPr>
          <w:rFonts w:ascii="Arial" w:hAnsi="Arial" w:cs="Arial"/>
        </w:rPr>
        <w:t xml:space="preserve"> et al (2014). “Understanding the Poverty Impact of the Global Financial Crisis in Latin America and the Caribbean”. Disponible en: </w:t>
      </w:r>
      <w:hyperlink r:id="rId20" w:history="1">
        <w:r w:rsidRPr="006E5E0A">
          <w:rPr>
            <w:rStyle w:val="Hyperlink"/>
            <w:rFonts w:ascii="Arial" w:hAnsi="Arial" w:cs="Arial"/>
          </w:rPr>
          <w:t>http://documents.worldbank.org/curated/en/456681468045552129/pdf/Understanding-the-poverty-impact-of-the-global-financial-crisis-in-Latin-America-and-the-Caribbean.pdf</w:t>
        </w:r>
      </w:hyperlink>
    </w:p>
    <w:p w14:paraId="14D76747" w14:textId="77777777" w:rsidR="00545C08" w:rsidRPr="006E5E0A" w:rsidRDefault="00545C08" w:rsidP="00F81259">
      <w:pPr>
        <w:spacing w:before="120" w:after="120" w:line="240" w:lineRule="auto"/>
        <w:jc w:val="both"/>
        <w:textAlignment w:val="top"/>
        <w:rPr>
          <w:rStyle w:val="Hyperlink"/>
        </w:rPr>
      </w:pPr>
      <w:r w:rsidRPr="006E5E0A">
        <w:rPr>
          <w:rFonts w:ascii="Arial" w:hAnsi="Arial" w:cs="Arial"/>
          <w:color w:val="000000"/>
        </w:rPr>
        <w:t>O’Brien, C., Holmes, R., Scott, Z., &amp; Barca, V. (2018). </w:t>
      </w:r>
      <w:r w:rsidRPr="006E5E0A">
        <w:rPr>
          <w:rFonts w:ascii="Arial" w:hAnsi="Arial" w:cs="Arial"/>
          <w:i/>
          <w:iCs/>
          <w:color w:val="000000"/>
        </w:rPr>
        <w:t>Shock-Responsive Social Protection Systems Toolkit. Appraising the use of social protection in addressing large-scale shocks</w:t>
      </w:r>
      <w:r w:rsidRPr="006E5E0A">
        <w:rPr>
          <w:rFonts w:ascii="Arial" w:hAnsi="Arial" w:cs="Arial"/>
          <w:color w:val="000000"/>
        </w:rPr>
        <w:t xml:space="preserve">. Oxford, </w:t>
      </w:r>
      <w:proofErr w:type="spellStart"/>
      <w:r w:rsidRPr="006E5E0A">
        <w:rPr>
          <w:rFonts w:ascii="Arial" w:hAnsi="Arial" w:cs="Arial"/>
          <w:color w:val="000000"/>
        </w:rPr>
        <w:t>Inglaterra</w:t>
      </w:r>
      <w:proofErr w:type="spellEnd"/>
      <w:r w:rsidRPr="006E5E0A">
        <w:rPr>
          <w:rFonts w:ascii="Arial" w:hAnsi="Arial" w:cs="Arial"/>
          <w:color w:val="000000"/>
        </w:rPr>
        <w:t xml:space="preserve">. </w:t>
      </w:r>
      <w:hyperlink r:id="rId21" w:history="1">
        <w:r w:rsidRPr="006E5E0A">
          <w:rPr>
            <w:rStyle w:val="Hyperlink"/>
          </w:rPr>
          <w:t>https://www.opml.co.uk/files/Publications/a0408-shock-responsive-social-protection-systems/srsp-toolkit.pdf?noredirect=1</w:t>
        </w:r>
      </w:hyperlink>
    </w:p>
    <w:p w14:paraId="3340EAD5" w14:textId="26A1D47A" w:rsidR="005F68CD" w:rsidRPr="006E5E0A" w:rsidRDefault="005F68CD" w:rsidP="00F81259">
      <w:pPr>
        <w:spacing w:before="120" w:after="120" w:line="240" w:lineRule="auto"/>
        <w:jc w:val="both"/>
        <w:textAlignment w:val="top"/>
        <w:rPr>
          <w:rFonts w:ascii="Arial" w:eastAsia="Times New Roman" w:hAnsi="Arial" w:cs="Arial"/>
          <w:color w:val="000000"/>
        </w:rPr>
      </w:pPr>
      <w:proofErr w:type="spellStart"/>
      <w:r w:rsidRPr="006E5E0A">
        <w:rPr>
          <w:rFonts w:ascii="Arial" w:eastAsia="Times New Roman" w:hAnsi="Arial" w:cs="Arial"/>
          <w:color w:val="000000"/>
        </w:rPr>
        <w:t>Allegranzi</w:t>
      </w:r>
      <w:proofErr w:type="spellEnd"/>
      <w:r w:rsidRPr="006E5E0A">
        <w:rPr>
          <w:rFonts w:ascii="Arial" w:eastAsia="Times New Roman" w:hAnsi="Arial" w:cs="Arial"/>
          <w:color w:val="000000"/>
        </w:rPr>
        <w:t xml:space="preserve"> B, </w:t>
      </w:r>
      <w:proofErr w:type="spellStart"/>
      <w:r w:rsidRPr="006E5E0A">
        <w:rPr>
          <w:rFonts w:ascii="Arial" w:eastAsia="Times New Roman" w:hAnsi="Arial" w:cs="Arial"/>
          <w:color w:val="000000"/>
        </w:rPr>
        <w:t>Pittet</w:t>
      </w:r>
      <w:proofErr w:type="spellEnd"/>
      <w:r w:rsidRPr="006E5E0A">
        <w:rPr>
          <w:rFonts w:ascii="Arial" w:eastAsia="Times New Roman" w:hAnsi="Arial" w:cs="Arial"/>
          <w:color w:val="000000"/>
        </w:rPr>
        <w:t xml:space="preserve"> D. Role of hand hygiene in healthcare-associated infection prevention.</w:t>
      </w:r>
      <w:r w:rsidR="00432DCB" w:rsidRPr="006E5E0A">
        <w:rPr>
          <w:rFonts w:ascii="Arial" w:eastAsia="Times New Roman" w:hAnsi="Arial" w:cs="Arial"/>
          <w:color w:val="000000"/>
        </w:rPr>
        <w:t xml:space="preserve"> </w:t>
      </w:r>
      <w:r w:rsidRPr="006E5E0A">
        <w:rPr>
          <w:rFonts w:ascii="Arial" w:eastAsia="Times New Roman" w:hAnsi="Arial" w:cs="Arial"/>
          <w:color w:val="000000"/>
        </w:rPr>
        <w:t xml:space="preserve">Journal of Hospital Infection. 2009; 73: 305-315. </w:t>
      </w:r>
      <w:proofErr w:type="spellStart"/>
      <w:r w:rsidRPr="006E5E0A">
        <w:rPr>
          <w:rFonts w:ascii="Arial" w:eastAsia="Times New Roman" w:hAnsi="Arial" w:cs="Arial"/>
          <w:color w:val="000000"/>
        </w:rPr>
        <w:t>doi</w:t>
      </w:r>
      <w:proofErr w:type="spellEnd"/>
      <w:r w:rsidRPr="006E5E0A">
        <w:rPr>
          <w:rFonts w:ascii="Arial" w:eastAsia="Times New Roman" w:hAnsi="Arial" w:cs="Arial"/>
          <w:color w:val="000000"/>
        </w:rPr>
        <w:t>: 10.1016/j.jhin.2009.04.019</w:t>
      </w:r>
      <w:r w:rsidR="00125678" w:rsidRPr="006E5E0A">
        <w:rPr>
          <w:rFonts w:ascii="Arial" w:eastAsia="Times New Roman" w:hAnsi="Arial" w:cs="Arial"/>
          <w:color w:val="000000"/>
        </w:rPr>
        <w:t xml:space="preserve">. </w:t>
      </w:r>
    </w:p>
    <w:p w14:paraId="5C7DACB1" w14:textId="61342DC6" w:rsidR="005F68CD" w:rsidRPr="006E5E0A" w:rsidRDefault="005F68CD" w:rsidP="00F81259">
      <w:pPr>
        <w:spacing w:before="120" w:after="120" w:line="240" w:lineRule="auto"/>
        <w:jc w:val="both"/>
        <w:textAlignment w:val="top"/>
        <w:rPr>
          <w:rFonts w:ascii="Arial" w:eastAsia="Times New Roman" w:hAnsi="Arial" w:cs="Arial"/>
        </w:rPr>
      </w:pPr>
      <w:r w:rsidRPr="006E5E0A">
        <w:rPr>
          <w:rFonts w:ascii="Arial" w:eastAsia="Times New Roman" w:hAnsi="Arial" w:cs="Arial"/>
        </w:rPr>
        <w:t xml:space="preserve">Chen L, </w:t>
      </w:r>
      <w:proofErr w:type="spellStart"/>
      <w:r w:rsidRPr="006E5E0A">
        <w:rPr>
          <w:rFonts w:ascii="Arial" w:eastAsia="Times New Roman" w:hAnsi="Arial" w:cs="Arial"/>
        </w:rPr>
        <w:t>Xiong</w:t>
      </w:r>
      <w:proofErr w:type="spellEnd"/>
      <w:r w:rsidRPr="006E5E0A">
        <w:rPr>
          <w:rFonts w:ascii="Arial" w:eastAsia="Times New Roman" w:hAnsi="Arial" w:cs="Arial"/>
        </w:rPr>
        <w:t xml:space="preserve"> J, Bao L, Shi Y. Convalescent plasma as a potential therapy for COVID-19.</w:t>
      </w:r>
      <w:r w:rsidR="00432DCB" w:rsidRPr="006E5E0A">
        <w:rPr>
          <w:rFonts w:ascii="Arial" w:eastAsia="Times New Roman" w:hAnsi="Arial" w:cs="Arial"/>
        </w:rPr>
        <w:t xml:space="preserve"> </w:t>
      </w:r>
      <w:r w:rsidRPr="006E5E0A">
        <w:rPr>
          <w:rFonts w:ascii="Arial" w:eastAsia="Times New Roman" w:hAnsi="Arial" w:cs="Arial"/>
        </w:rPr>
        <w:t xml:space="preserve">Lancet Infectious Diseases. 2020. </w:t>
      </w:r>
      <w:proofErr w:type="spellStart"/>
      <w:r w:rsidRPr="006E5E0A">
        <w:rPr>
          <w:rFonts w:ascii="Arial" w:eastAsia="Times New Roman" w:hAnsi="Arial" w:cs="Arial"/>
        </w:rPr>
        <w:t>doi</w:t>
      </w:r>
      <w:proofErr w:type="spellEnd"/>
      <w:r w:rsidRPr="006E5E0A">
        <w:rPr>
          <w:rFonts w:ascii="Arial" w:eastAsia="Times New Roman" w:hAnsi="Arial" w:cs="Arial"/>
        </w:rPr>
        <w:t>: 10.1016/S1473-3099(20)30141-9</w:t>
      </w:r>
    </w:p>
    <w:p w14:paraId="5C56EECC" w14:textId="33D5B9E0" w:rsidR="005F68CD" w:rsidRPr="00AF39D1" w:rsidRDefault="005F68CD" w:rsidP="00F81259">
      <w:pPr>
        <w:spacing w:before="120" w:after="120" w:line="240" w:lineRule="auto"/>
        <w:jc w:val="both"/>
        <w:textAlignment w:val="top"/>
        <w:rPr>
          <w:rFonts w:ascii="Arial" w:eastAsia="Times New Roman" w:hAnsi="Arial" w:cs="Arial"/>
        </w:rPr>
      </w:pPr>
      <w:r w:rsidRPr="006E5E0A">
        <w:rPr>
          <w:rFonts w:ascii="Arial" w:eastAsia="Times New Roman" w:hAnsi="Arial" w:cs="Arial"/>
        </w:rPr>
        <w:t>Chu CM, Cheng VCC, Hung IFN, Wong MML, Chan KH, Chan KS, et al. Role of</w:t>
      </w:r>
      <w:r w:rsidR="00432DCB" w:rsidRPr="006E5E0A">
        <w:rPr>
          <w:rFonts w:ascii="Arial" w:eastAsia="Times New Roman" w:hAnsi="Arial" w:cs="Arial"/>
        </w:rPr>
        <w:t xml:space="preserve"> </w:t>
      </w:r>
      <w:r w:rsidRPr="006E5E0A">
        <w:rPr>
          <w:rFonts w:ascii="Arial" w:eastAsia="Times New Roman" w:hAnsi="Arial" w:cs="Arial"/>
        </w:rPr>
        <w:t xml:space="preserve">lopinavir/ritonavir in the treatment of SARS: initial virological and clinical findings. </w:t>
      </w:r>
      <w:r w:rsidRPr="00AF39D1">
        <w:rPr>
          <w:rFonts w:ascii="Arial" w:eastAsia="Times New Roman" w:hAnsi="Arial" w:cs="Arial"/>
        </w:rPr>
        <w:t>Thorax. 2004; 59: 252-256.</w:t>
      </w:r>
    </w:p>
    <w:p w14:paraId="0E13E28D" w14:textId="4CC61B8B" w:rsidR="005F68CD" w:rsidRPr="00AF39D1" w:rsidRDefault="005F68CD" w:rsidP="00F81259">
      <w:pPr>
        <w:spacing w:before="120" w:after="120" w:line="240" w:lineRule="auto"/>
        <w:jc w:val="both"/>
        <w:textAlignment w:val="top"/>
        <w:rPr>
          <w:rFonts w:ascii="Arial" w:eastAsia="Times New Roman" w:hAnsi="Arial" w:cs="Arial"/>
        </w:rPr>
      </w:pPr>
      <w:r w:rsidRPr="006E5E0A">
        <w:rPr>
          <w:rFonts w:ascii="Arial" w:eastAsia="Times New Roman" w:hAnsi="Arial" w:cs="Arial"/>
        </w:rPr>
        <w:t>Cinti S. Pandemic Influenza: Are We Ready? </w:t>
      </w:r>
      <w:r w:rsidRPr="00AF39D1">
        <w:rPr>
          <w:rFonts w:ascii="Arial" w:eastAsia="Times New Roman" w:hAnsi="Arial" w:cs="Arial"/>
        </w:rPr>
        <w:t>Disaster Management &amp; Response. 2005; 3(3): 61-67. </w:t>
      </w:r>
      <w:proofErr w:type="spellStart"/>
      <w:r w:rsidRPr="00AF39D1">
        <w:rPr>
          <w:rFonts w:ascii="Arial" w:eastAsia="Times New Roman" w:hAnsi="Arial" w:cs="Arial"/>
        </w:rPr>
        <w:t>doi</w:t>
      </w:r>
      <w:proofErr w:type="spellEnd"/>
      <w:r w:rsidRPr="00AF39D1">
        <w:rPr>
          <w:rFonts w:ascii="Arial" w:eastAsia="Times New Roman" w:hAnsi="Arial" w:cs="Arial"/>
        </w:rPr>
        <w:t>: 10.1016/j.dmr.2005.05.002 </w:t>
      </w:r>
    </w:p>
    <w:p w14:paraId="2BE6F7EB" w14:textId="6356A2B8" w:rsidR="005F68CD" w:rsidRPr="006E5E0A" w:rsidRDefault="005F68CD" w:rsidP="00F81259">
      <w:pPr>
        <w:spacing w:before="120" w:after="120" w:line="240" w:lineRule="auto"/>
        <w:jc w:val="both"/>
        <w:textAlignment w:val="top"/>
        <w:rPr>
          <w:rFonts w:ascii="Arial" w:eastAsia="Times New Roman" w:hAnsi="Arial" w:cs="Arial"/>
          <w:color w:val="000000"/>
        </w:rPr>
      </w:pPr>
      <w:r w:rsidRPr="006E5E0A">
        <w:rPr>
          <w:rFonts w:ascii="Arial" w:eastAsia="Times New Roman" w:hAnsi="Arial" w:cs="Arial"/>
        </w:rPr>
        <w:t>Ho PL, Tang XP, </w:t>
      </w:r>
      <w:proofErr w:type="spellStart"/>
      <w:r w:rsidRPr="006E5E0A">
        <w:rPr>
          <w:rFonts w:ascii="Arial" w:eastAsia="Times New Roman" w:hAnsi="Arial" w:cs="Arial"/>
        </w:rPr>
        <w:t>Seto</w:t>
      </w:r>
      <w:proofErr w:type="spellEnd"/>
      <w:r w:rsidRPr="006E5E0A">
        <w:rPr>
          <w:rFonts w:ascii="Arial" w:eastAsia="Times New Roman" w:hAnsi="Arial" w:cs="Arial"/>
        </w:rPr>
        <w:t> WH. SARS: hospital infection control and admission</w:t>
      </w:r>
      <w:r w:rsidR="00432DCB" w:rsidRPr="006E5E0A">
        <w:rPr>
          <w:rFonts w:ascii="Arial" w:eastAsia="Times New Roman" w:hAnsi="Arial" w:cs="Arial"/>
        </w:rPr>
        <w:t xml:space="preserve"> </w:t>
      </w:r>
      <w:r w:rsidRPr="006E5E0A">
        <w:rPr>
          <w:rFonts w:ascii="Arial" w:eastAsia="Times New Roman" w:hAnsi="Arial" w:cs="Arial"/>
        </w:rPr>
        <w:t>strategies. </w:t>
      </w:r>
      <w:proofErr w:type="spellStart"/>
      <w:r w:rsidRPr="006E5E0A">
        <w:rPr>
          <w:rFonts w:ascii="Arial" w:eastAsia="Times New Roman" w:hAnsi="Arial" w:cs="Arial"/>
        </w:rPr>
        <w:t>Respirology</w:t>
      </w:r>
      <w:proofErr w:type="spellEnd"/>
      <w:r w:rsidRPr="006E5E0A">
        <w:rPr>
          <w:rFonts w:ascii="Arial" w:eastAsia="Times New Roman" w:hAnsi="Arial" w:cs="Arial"/>
        </w:rPr>
        <w:t>. 2003; 8: S41-S45. </w:t>
      </w:r>
      <w:proofErr w:type="spellStart"/>
      <w:r w:rsidRPr="006E5E0A">
        <w:rPr>
          <w:rFonts w:ascii="Arial" w:eastAsia="Times New Roman" w:hAnsi="Arial" w:cs="Arial"/>
        </w:rPr>
        <w:t>doi</w:t>
      </w:r>
      <w:proofErr w:type="spellEnd"/>
      <w:r w:rsidRPr="006E5E0A">
        <w:rPr>
          <w:rFonts w:ascii="Arial" w:eastAsia="Times New Roman" w:hAnsi="Arial" w:cs="Arial"/>
        </w:rPr>
        <w:t>: 10.1046/j.1440-1843.</w:t>
      </w:r>
      <w:proofErr w:type="gramStart"/>
      <w:r w:rsidRPr="006E5E0A">
        <w:rPr>
          <w:rFonts w:ascii="Arial" w:eastAsia="Times New Roman" w:hAnsi="Arial" w:cs="Arial"/>
        </w:rPr>
        <w:t>2003.00523.x</w:t>
      </w:r>
      <w:proofErr w:type="gramEnd"/>
      <w:r w:rsidRPr="006E5E0A">
        <w:rPr>
          <w:rFonts w:ascii="Arial" w:eastAsia="Times New Roman" w:hAnsi="Arial" w:cs="Arial"/>
        </w:rPr>
        <w:t> </w:t>
      </w:r>
    </w:p>
    <w:p w14:paraId="56C1AACB" w14:textId="5D0871B5" w:rsidR="005F68CD" w:rsidRPr="006E5E0A" w:rsidRDefault="005F68CD" w:rsidP="00F81259">
      <w:pPr>
        <w:spacing w:before="120" w:after="120" w:line="240" w:lineRule="auto"/>
        <w:jc w:val="both"/>
        <w:textAlignment w:val="top"/>
        <w:rPr>
          <w:rFonts w:ascii="Arial" w:eastAsia="Times New Roman" w:hAnsi="Arial" w:cs="Arial"/>
          <w:color w:val="000000"/>
        </w:rPr>
      </w:pPr>
      <w:r w:rsidRPr="006E5E0A">
        <w:rPr>
          <w:rFonts w:ascii="Arial" w:eastAsia="Times New Roman" w:hAnsi="Arial" w:cs="Arial"/>
        </w:rPr>
        <w:t>Hsieh Y, King C, Chen CW, et al. Quarantine for SARS, Taiwan. Emerging Infectious Diseases. 2005;11(2):278-282. doi:10.3201/eid1102.040190. </w:t>
      </w:r>
    </w:p>
    <w:p w14:paraId="62FB96F8" w14:textId="3507FA51" w:rsidR="00432DCB" w:rsidRPr="006E5E0A" w:rsidRDefault="005F68CD" w:rsidP="00F81259">
      <w:pPr>
        <w:spacing w:before="120" w:after="120" w:line="240" w:lineRule="auto"/>
        <w:jc w:val="both"/>
        <w:textAlignment w:val="top"/>
        <w:rPr>
          <w:rFonts w:ascii="Arial" w:eastAsia="Times New Roman" w:hAnsi="Arial" w:cs="Arial"/>
          <w:color w:val="000000"/>
        </w:rPr>
      </w:pPr>
      <w:proofErr w:type="spellStart"/>
      <w:r w:rsidRPr="006E5E0A">
        <w:rPr>
          <w:rFonts w:ascii="Arial" w:eastAsia="Times New Roman" w:hAnsi="Arial" w:cs="Arial"/>
        </w:rPr>
        <w:lastRenderedPageBreak/>
        <w:t>Jeong</w:t>
      </w:r>
      <w:proofErr w:type="spellEnd"/>
      <w:r w:rsidRPr="006E5E0A">
        <w:rPr>
          <w:rFonts w:ascii="Arial" w:eastAsia="Times New Roman" w:hAnsi="Arial" w:cs="Arial"/>
        </w:rPr>
        <w:t> EK, Bae JE, Kim IS. Inactivation of influenza A virus H1N1 by disinfection process. American Journal of Infection Control. 2010; 38(5): 354</w:t>
      </w:r>
      <w:r w:rsidR="005E506E" w:rsidRPr="006E5E0A">
        <w:rPr>
          <w:rFonts w:ascii="Arial" w:eastAsia="Times New Roman" w:hAnsi="Arial" w:cs="Arial"/>
        </w:rPr>
        <w:noBreakHyphen/>
      </w:r>
      <w:r w:rsidRPr="006E5E0A">
        <w:rPr>
          <w:rFonts w:ascii="Arial" w:eastAsia="Times New Roman" w:hAnsi="Arial" w:cs="Arial"/>
        </w:rPr>
        <w:t>360. </w:t>
      </w:r>
      <w:proofErr w:type="spellStart"/>
      <w:r w:rsidRPr="006E5E0A">
        <w:rPr>
          <w:rFonts w:ascii="Arial" w:eastAsia="Times New Roman" w:hAnsi="Arial" w:cs="Arial"/>
        </w:rPr>
        <w:t>doi</w:t>
      </w:r>
      <w:proofErr w:type="spellEnd"/>
      <w:r w:rsidRPr="006E5E0A">
        <w:rPr>
          <w:rFonts w:ascii="Arial" w:eastAsia="Times New Roman" w:hAnsi="Arial" w:cs="Arial"/>
        </w:rPr>
        <w:t>: 10.1016/j.ajic.2010.03.003. </w:t>
      </w:r>
    </w:p>
    <w:p w14:paraId="535F4609" w14:textId="5AC56D36" w:rsidR="005F68CD" w:rsidRPr="006E5E0A" w:rsidRDefault="005F68CD" w:rsidP="00F81259">
      <w:pPr>
        <w:spacing w:before="120" w:after="120" w:line="240" w:lineRule="auto"/>
        <w:jc w:val="both"/>
        <w:textAlignment w:val="top"/>
        <w:rPr>
          <w:rFonts w:ascii="Arial" w:eastAsia="Times New Roman" w:hAnsi="Arial" w:cs="Arial"/>
          <w:color w:val="000000"/>
        </w:rPr>
      </w:pPr>
      <w:r w:rsidRPr="006E5E0A">
        <w:rPr>
          <w:rFonts w:ascii="Arial" w:eastAsia="Times New Roman" w:hAnsi="Arial" w:cs="Arial"/>
          <w:color w:val="000000"/>
        </w:rPr>
        <w:t xml:space="preserve">Lai CC, Shih TP, Ko WC, Tang HJ, Hsueh PR. Severe acute respiratory syndrome coronavirus 2 (SARS-CoV-2) and coronavirus disease-2019 (COVID-19): The epidemic and the challenges. International Journal of Antimicrobial Agents. 2020. </w:t>
      </w:r>
      <w:proofErr w:type="spellStart"/>
      <w:r w:rsidRPr="006E5E0A">
        <w:rPr>
          <w:rFonts w:ascii="Arial" w:eastAsia="Times New Roman" w:hAnsi="Arial" w:cs="Arial"/>
          <w:color w:val="000000"/>
        </w:rPr>
        <w:t>doi</w:t>
      </w:r>
      <w:proofErr w:type="spellEnd"/>
      <w:r w:rsidRPr="006E5E0A">
        <w:rPr>
          <w:rFonts w:ascii="Arial" w:eastAsia="Times New Roman" w:hAnsi="Arial" w:cs="Arial"/>
          <w:color w:val="000000"/>
        </w:rPr>
        <w:t xml:space="preserve">: 10.1016/j.ijantimicag.2020.105924 </w:t>
      </w:r>
    </w:p>
    <w:p w14:paraId="090EAE3A" w14:textId="0E131E4E" w:rsidR="005F68CD" w:rsidRPr="00AF39D1" w:rsidRDefault="005F68CD" w:rsidP="00F81259">
      <w:pPr>
        <w:spacing w:before="120" w:after="120" w:line="240" w:lineRule="auto"/>
        <w:jc w:val="both"/>
        <w:textAlignment w:val="top"/>
        <w:rPr>
          <w:rFonts w:ascii="Arial" w:eastAsia="Times New Roman" w:hAnsi="Arial" w:cs="Arial"/>
          <w:color w:val="000000"/>
        </w:rPr>
      </w:pPr>
      <w:r w:rsidRPr="006E5E0A">
        <w:rPr>
          <w:rFonts w:ascii="Arial" w:eastAsia="Times New Roman" w:hAnsi="Arial" w:cs="Arial"/>
          <w:color w:val="000000"/>
        </w:rPr>
        <w:t>Lau JT, </w:t>
      </w:r>
      <w:proofErr w:type="spellStart"/>
      <w:r w:rsidRPr="006E5E0A">
        <w:rPr>
          <w:rFonts w:ascii="Arial" w:eastAsia="Times New Roman" w:hAnsi="Arial" w:cs="Arial"/>
          <w:color w:val="000000"/>
        </w:rPr>
        <w:t>Tsui</w:t>
      </w:r>
      <w:proofErr w:type="spellEnd"/>
      <w:r w:rsidRPr="006E5E0A">
        <w:rPr>
          <w:rFonts w:ascii="Arial" w:eastAsia="Times New Roman" w:hAnsi="Arial" w:cs="Arial"/>
          <w:color w:val="000000"/>
        </w:rPr>
        <w:t> H, Lau M, Yang X. SARS transmission, risk factors, and prevention in Hong Kong. </w:t>
      </w:r>
      <w:proofErr w:type="spellStart"/>
      <w:r w:rsidRPr="00AF39D1">
        <w:rPr>
          <w:rFonts w:ascii="Arial" w:eastAsia="Times New Roman" w:hAnsi="Arial" w:cs="Arial"/>
          <w:color w:val="000000"/>
        </w:rPr>
        <w:t>Emerg</w:t>
      </w:r>
      <w:proofErr w:type="spellEnd"/>
      <w:r w:rsidRPr="00AF39D1">
        <w:rPr>
          <w:rFonts w:ascii="Arial" w:eastAsia="Times New Roman" w:hAnsi="Arial" w:cs="Arial"/>
          <w:color w:val="000000"/>
        </w:rPr>
        <w:t> Infect Dis. 2004;10(4):587–592. doi:10.3201/eid1004.030628  </w:t>
      </w:r>
    </w:p>
    <w:p w14:paraId="61491AB9" w14:textId="77777777" w:rsidR="005F68CD" w:rsidRPr="006E5E0A" w:rsidRDefault="005F68CD" w:rsidP="00F81259">
      <w:pPr>
        <w:spacing w:before="120" w:after="120" w:line="240" w:lineRule="auto"/>
        <w:jc w:val="both"/>
        <w:textAlignment w:val="top"/>
        <w:rPr>
          <w:rFonts w:ascii="Arial" w:eastAsia="Times New Roman" w:hAnsi="Arial" w:cs="Arial"/>
          <w:color w:val="000000"/>
        </w:rPr>
      </w:pPr>
      <w:proofErr w:type="spellStart"/>
      <w:r w:rsidRPr="006E5E0A">
        <w:rPr>
          <w:rFonts w:ascii="Arial" w:eastAsia="Times New Roman" w:hAnsi="Arial" w:cs="Arial"/>
          <w:color w:val="000000"/>
        </w:rPr>
        <w:t>Moncion</w:t>
      </w:r>
      <w:proofErr w:type="spellEnd"/>
      <w:r w:rsidRPr="006E5E0A">
        <w:rPr>
          <w:rFonts w:ascii="Arial" w:eastAsia="Times New Roman" w:hAnsi="Arial" w:cs="Arial"/>
          <w:color w:val="000000"/>
        </w:rPr>
        <w:t xml:space="preserve"> K, Young K, Tunis M, Rempel S, Stirling R, Zhao L. Effectiveness of hand hygiene practices in preventing influenza virus infection in the community setting: A systematic review. Can </w:t>
      </w:r>
      <w:proofErr w:type="spellStart"/>
      <w:r w:rsidRPr="006E5E0A">
        <w:rPr>
          <w:rFonts w:ascii="Arial" w:eastAsia="Times New Roman" w:hAnsi="Arial" w:cs="Arial"/>
          <w:color w:val="000000"/>
        </w:rPr>
        <w:t>Commun</w:t>
      </w:r>
      <w:proofErr w:type="spellEnd"/>
      <w:r w:rsidRPr="006E5E0A">
        <w:rPr>
          <w:rFonts w:ascii="Arial" w:eastAsia="Times New Roman" w:hAnsi="Arial" w:cs="Arial"/>
          <w:color w:val="000000"/>
        </w:rPr>
        <w:t xml:space="preserve"> Dis Rep. 2019;45(1):12–23. Published 2019 Jan 3. doi:10.14745/</w:t>
      </w:r>
      <w:proofErr w:type="gramStart"/>
      <w:r w:rsidRPr="006E5E0A">
        <w:rPr>
          <w:rFonts w:ascii="Arial" w:eastAsia="Times New Roman" w:hAnsi="Arial" w:cs="Arial"/>
          <w:color w:val="000000"/>
        </w:rPr>
        <w:t>ccdr.v</w:t>
      </w:r>
      <w:proofErr w:type="gramEnd"/>
      <w:r w:rsidRPr="006E5E0A">
        <w:rPr>
          <w:rFonts w:ascii="Arial" w:eastAsia="Times New Roman" w:hAnsi="Arial" w:cs="Arial"/>
          <w:color w:val="000000"/>
        </w:rPr>
        <w:t>45i01a02</w:t>
      </w:r>
    </w:p>
    <w:p w14:paraId="4C9314A1" w14:textId="21327C16" w:rsidR="005F68CD" w:rsidRPr="006E5E0A" w:rsidRDefault="005F68CD" w:rsidP="00F81259">
      <w:pPr>
        <w:spacing w:before="120" w:after="120" w:line="240" w:lineRule="auto"/>
        <w:jc w:val="both"/>
        <w:textAlignment w:val="top"/>
        <w:rPr>
          <w:rFonts w:ascii="Arial" w:eastAsia="Times New Roman" w:hAnsi="Arial" w:cs="Arial"/>
        </w:rPr>
      </w:pPr>
      <w:r w:rsidRPr="006E5E0A">
        <w:rPr>
          <w:rFonts w:ascii="Arial" w:eastAsia="Times New Roman" w:hAnsi="Arial" w:cs="Arial"/>
        </w:rPr>
        <w:t xml:space="preserve">Nishiyama A, </w:t>
      </w:r>
      <w:proofErr w:type="spellStart"/>
      <w:r w:rsidRPr="006E5E0A">
        <w:rPr>
          <w:rFonts w:ascii="Arial" w:eastAsia="Times New Roman" w:hAnsi="Arial" w:cs="Arial"/>
        </w:rPr>
        <w:t>Wakasugi</w:t>
      </w:r>
      <w:proofErr w:type="spellEnd"/>
      <w:r w:rsidRPr="006E5E0A">
        <w:rPr>
          <w:rFonts w:ascii="Arial" w:eastAsia="Times New Roman" w:hAnsi="Arial" w:cs="Arial"/>
        </w:rPr>
        <w:t xml:space="preserve"> N, </w:t>
      </w:r>
      <w:proofErr w:type="spellStart"/>
      <w:r w:rsidRPr="006E5E0A">
        <w:rPr>
          <w:rFonts w:ascii="Arial" w:eastAsia="Times New Roman" w:hAnsi="Arial" w:cs="Arial"/>
        </w:rPr>
        <w:t>Kirikae</w:t>
      </w:r>
      <w:proofErr w:type="spellEnd"/>
      <w:r w:rsidRPr="006E5E0A">
        <w:rPr>
          <w:rFonts w:ascii="Arial" w:eastAsia="Times New Roman" w:hAnsi="Arial" w:cs="Arial"/>
        </w:rPr>
        <w:t xml:space="preserve"> T, </w:t>
      </w:r>
      <w:proofErr w:type="spellStart"/>
      <w:r w:rsidRPr="006E5E0A">
        <w:rPr>
          <w:rFonts w:ascii="Arial" w:eastAsia="Times New Roman" w:hAnsi="Arial" w:cs="Arial"/>
        </w:rPr>
        <w:t>Quy</w:t>
      </w:r>
      <w:proofErr w:type="spellEnd"/>
      <w:r w:rsidRPr="006E5E0A">
        <w:rPr>
          <w:rFonts w:ascii="Arial" w:eastAsia="Times New Roman" w:hAnsi="Arial" w:cs="Arial"/>
        </w:rPr>
        <w:t xml:space="preserve"> T, Ha LD, Ban VV, et al. Risk factors for SARS infection within hospitals in Hanoi, Vietnam. </w:t>
      </w:r>
      <w:proofErr w:type="spellStart"/>
      <w:r w:rsidRPr="006E5E0A">
        <w:rPr>
          <w:rFonts w:ascii="Arial" w:eastAsia="Times New Roman" w:hAnsi="Arial" w:cs="Arial"/>
        </w:rPr>
        <w:t>Jpn</w:t>
      </w:r>
      <w:proofErr w:type="spellEnd"/>
      <w:r w:rsidRPr="006E5E0A">
        <w:rPr>
          <w:rFonts w:ascii="Arial" w:eastAsia="Times New Roman" w:hAnsi="Arial" w:cs="Arial"/>
        </w:rPr>
        <w:t xml:space="preserve"> J Infect Dis. 2008; 61(5): 388–390.  </w:t>
      </w:r>
    </w:p>
    <w:p w14:paraId="418B5422" w14:textId="26EF1FB8" w:rsidR="005F68CD" w:rsidRPr="006E5E0A" w:rsidRDefault="005F68CD" w:rsidP="00F81259">
      <w:pPr>
        <w:spacing w:before="120" w:after="120" w:line="240" w:lineRule="auto"/>
        <w:jc w:val="both"/>
        <w:textAlignment w:val="top"/>
        <w:rPr>
          <w:rFonts w:ascii="Arial" w:eastAsia="Times New Roman" w:hAnsi="Arial" w:cs="Arial"/>
        </w:rPr>
      </w:pPr>
      <w:r w:rsidRPr="006E5E0A">
        <w:rPr>
          <w:rFonts w:ascii="Arial" w:eastAsia="Times New Roman" w:hAnsi="Arial" w:cs="Arial"/>
        </w:rPr>
        <w:t>Otter JA, </w:t>
      </w:r>
      <w:proofErr w:type="spellStart"/>
      <w:r w:rsidRPr="006E5E0A">
        <w:rPr>
          <w:rFonts w:ascii="Arial" w:eastAsia="Times New Roman" w:hAnsi="Arial" w:cs="Arial"/>
        </w:rPr>
        <w:t>Donskey</w:t>
      </w:r>
      <w:proofErr w:type="spellEnd"/>
      <w:r w:rsidRPr="006E5E0A">
        <w:rPr>
          <w:rFonts w:ascii="Arial" w:eastAsia="Times New Roman" w:hAnsi="Arial" w:cs="Arial"/>
        </w:rPr>
        <w:t> C, </w:t>
      </w:r>
      <w:proofErr w:type="spellStart"/>
      <w:r w:rsidRPr="006E5E0A">
        <w:rPr>
          <w:rFonts w:ascii="Arial" w:eastAsia="Times New Roman" w:hAnsi="Arial" w:cs="Arial"/>
        </w:rPr>
        <w:t>Yezli</w:t>
      </w:r>
      <w:proofErr w:type="spellEnd"/>
      <w:r w:rsidRPr="006E5E0A">
        <w:rPr>
          <w:rFonts w:ascii="Arial" w:eastAsia="Times New Roman" w:hAnsi="Arial" w:cs="Arial"/>
        </w:rPr>
        <w:t> S, Douthwaite S, Goldenberg SD, Weber DJ. Transmission of SARS and MERS coronaviruses and influenza virus in healthcare settings: the possible role of dry surface contamination. Journal of Hospital Infection. 2016; 92(3): 235-250. </w:t>
      </w:r>
      <w:proofErr w:type="spellStart"/>
      <w:r w:rsidRPr="006E5E0A">
        <w:rPr>
          <w:rFonts w:ascii="Arial" w:eastAsia="Times New Roman" w:hAnsi="Arial" w:cs="Arial"/>
        </w:rPr>
        <w:t>doi</w:t>
      </w:r>
      <w:proofErr w:type="spellEnd"/>
      <w:r w:rsidRPr="006E5E0A">
        <w:rPr>
          <w:rFonts w:ascii="Arial" w:eastAsia="Times New Roman" w:hAnsi="Arial" w:cs="Arial"/>
        </w:rPr>
        <w:t>: 10.1016/j.jhin.2015.08.027. </w:t>
      </w:r>
    </w:p>
    <w:p w14:paraId="1927688E" w14:textId="2BAF987B" w:rsidR="005F68CD" w:rsidRPr="006E5E0A" w:rsidRDefault="005F68CD" w:rsidP="00F81259">
      <w:pPr>
        <w:spacing w:before="120" w:after="120" w:line="240" w:lineRule="auto"/>
        <w:jc w:val="both"/>
        <w:textAlignment w:val="top"/>
        <w:rPr>
          <w:rFonts w:ascii="Arial" w:eastAsia="Times New Roman" w:hAnsi="Arial" w:cs="Arial"/>
        </w:rPr>
      </w:pPr>
      <w:r w:rsidRPr="006E5E0A">
        <w:rPr>
          <w:rFonts w:ascii="Arial" w:eastAsia="Times New Roman" w:hAnsi="Arial" w:cs="Arial"/>
        </w:rPr>
        <w:t xml:space="preserve">Pang X, Zhu Z, Xu F, Guo J, Gong X, Liu D, et al. Evaluation of Control Measures Implemented in the Severe Acute Respiratory Syndrome Outbreak in Beijing, 2003. JAMA. 2003; 290(24): 3215-3221. doi:10.1001/jama.290.24.3215  </w:t>
      </w:r>
    </w:p>
    <w:p w14:paraId="17E2DF03" w14:textId="5955C19C" w:rsidR="005F68CD" w:rsidRPr="006E5E0A" w:rsidRDefault="005F68CD" w:rsidP="00F81259">
      <w:pPr>
        <w:spacing w:before="120" w:after="120" w:line="240" w:lineRule="auto"/>
        <w:jc w:val="both"/>
        <w:textAlignment w:val="top"/>
        <w:rPr>
          <w:rFonts w:ascii="Arial" w:eastAsia="Times New Roman" w:hAnsi="Arial" w:cs="Arial"/>
          <w:color w:val="000000"/>
        </w:rPr>
      </w:pPr>
      <w:proofErr w:type="spellStart"/>
      <w:r w:rsidRPr="006E5E0A">
        <w:rPr>
          <w:rFonts w:ascii="Arial" w:eastAsia="Times New Roman" w:hAnsi="Arial" w:cs="Arial"/>
        </w:rPr>
        <w:t>Seto</w:t>
      </w:r>
      <w:proofErr w:type="spellEnd"/>
      <w:r w:rsidRPr="006E5E0A">
        <w:rPr>
          <w:rFonts w:ascii="Arial" w:eastAsia="Times New Roman" w:hAnsi="Arial" w:cs="Arial"/>
        </w:rPr>
        <w:t> WH, Tsang D, Yung RWH, Ching YW, Ng TK, Ho M, et al. Effectiveness of precautions against droplets and contact in prevention of nosocomial transmission of severe acute respiratory syndrome (SARS). Lancet. 2003; 361(9368):1519-1520.</w:t>
      </w:r>
      <w:r w:rsidR="00510033" w:rsidRPr="006E5E0A">
        <w:rPr>
          <w:rFonts w:ascii="Arial" w:eastAsia="Times New Roman" w:hAnsi="Arial" w:cs="Arial"/>
        </w:rPr>
        <w:t xml:space="preserve"> </w:t>
      </w:r>
      <w:proofErr w:type="spellStart"/>
      <w:r w:rsidRPr="006E5E0A">
        <w:rPr>
          <w:rFonts w:ascii="Arial" w:eastAsia="Times New Roman" w:hAnsi="Arial" w:cs="Arial"/>
        </w:rPr>
        <w:t>doi</w:t>
      </w:r>
      <w:proofErr w:type="spellEnd"/>
      <w:r w:rsidRPr="006E5E0A">
        <w:rPr>
          <w:rFonts w:ascii="Arial" w:eastAsia="Times New Roman" w:hAnsi="Arial" w:cs="Arial"/>
        </w:rPr>
        <w:t>:</w:t>
      </w:r>
      <w:r w:rsidR="00510033" w:rsidRPr="006E5E0A">
        <w:rPr>
          <w:rFonts w:ascii="Arial" w:eastAsia="Times New Roman" w:hAnsi="Arial" w:cs="Arial"/>
        </w:rPr>
        <w:t> </w:t>
      </w:r>
      <w:r w:rsidRPr="006E5E0A">
        <w:rPr>
          <w:rFonts w:ascii="Arial" w:eastAsia="Times New Roman" w:hAnsi="Arial" w:cs="Arial"/>
        </w:rPr>
        <w:t>10.1016/S0140</w:t>
      </w:r>
      <w:r w:rsidR="005E506E" w:rsidRPr="006E5E0A">
        <w:rPr>
          <w:rFonts w:ascii="Arial" w:eastAsia="Times New Roman" w:hAnsi="Arial" w:cs="Arial"/>
        </w:rPr>
        <w:noBreakHyphen/>
      </w:r>
      <w:r w:rsidRPr="006E5E0A">
        <w:rPr>
          <w:rFonts w:ascii="Arial" w:eastAsia="Times New Roman" w:hAnsi="Arial" w:cs="Arial"/>
        </w:rPr>
        <w:t>6736(03)13168-6 </w:t>
      </w:r>
      <w:r w:rsidRPr="006E5E0A">
        <w:rPr>
          <w:rFonts w:ascii="Arial" w:eastAsia="Times New Roman" w:hAnsi="Arial" w:cs="Arial"/>
          <w:color w:val="000000"/>
        </w:rPr>
        <w:t xml:space="preserve"> </w:t>
      </w:r>
    </w:p>
    <w:p w14:paraId="75923E3E" w14:textId="7E75E68F" w:rsidR="005F68CD" w:rsidRPr="006E5E0A" w:rsidRDefault="005F68CD" w:rsidP="00F81259">
      <w:pPr>
        <w:spacing w:before="120" w:after="120" w:line="240" w:lineRule="auto"/>
        <w:jc w:val="both"/>
        <w:textAlignment w:val="top"/>
        <w:rPr>
          <w:rFonts w:ascii="Arial" w:eastAsia="Times New Roman" w:hAnsi="Arial" w:cs="Arial"/>
          <w:color w:val="000000"/>
        </w:rPr>
      </w:pPr>
      <w:r w:rsidRPr="006E5E0A">
        <w:rPr>
          <w:rFonts w:ascii="Arial" w:eastAsia="Times New Roman" w:hAnsi="Arial" w:cs="Arial"/>
          <w:color w:val="000000"/>
        </w:rPr>
        <w:t xml:space="preserve">World Health Organization. Coronavirus disease 2019 (COVID-19): Situation Report – 45. 2020. Available from: </w:t>
      </w:r>
      <w:hyperlink r:id="rId22" w:history="1">
        <w:r w:rsidRPr="006E5E0A">
          <w:rPr>
            <w:rStyle w:val="Hyperlink"/>
            <w:rFonts w:ascii="Arial" w:hAnsi="Arial" w:cs="Arial"/>
          </w:rPr>
          <w:t>https://www.who.int/docs/default-source/coronaviruse/situation-reports/20200305-sitrep-45-covid-19.pdf?sfvrsn=ed2ba78b_2</w:t>
        </w:r>
      </w:hyperlink>
      <w:r w:rsidRPr="006E5E0A">
        <w:rPr>
          <w:rFonts w:ascii="Arial" w:eastAsia="Times New Roman" w:hAnsi="Arial" w:cs="Arial"/>
          <w:color w:val="000000"/>
        </w:rPr>
        <w:t xml:space="preserve">  </w:t>
      </w:r>
    </w:p>
    <w:p w14:paraId="3E99F460" w14:textId="5C31BBD1" w:rsidR="005F68CD" w:rsidRPr="00425FEE" w:rsidRDefault="005F68CD" w:rsidP="00510033">
      <w:pPr>
        <w:spacing w:before="120" w:after="120" w:line="240" w:lineRule="auto"/>
        <w:jc w:val="both"/>
        <w:textAlignment w:val="top"/>
        <w:rPr>
          <w:rFonts w:ascii="Arial" w:eastAsia="Times New Roman" w:hAnsi="Arial" w:cs="Arial"/>
          <w:color w:val="000000"/>
          <w:lang w:val="es-ES"/>
        </w:rPr>
      </w:pPr>
      <w:r w:rsidRPr="006E5E0A">
        <w:rPr>
          <w:rFonts w:ascii="Arial" w:eastAsia="Times New Roman" w:hAnsi="Arial" w:cs="Arial"/>
          <w:color w:val="000000"/>
        </w:rPr>
        <w:t>Yen MY, Lin YE, Lee CH, Ho MS, Huang FY, Chang SC, Liu YC. Taiwan's traffic control bundle and the elimination of nosocomial severe acute respiratory syndrome among healthcare workers,</w:t>
      </w:r>
      <w:r w:rsidR="00CF6ADB" w:rsidRPr="006E5E0A">
        <w:rPr>
          <w:rFonts w:ascii="Arial" w:eastAsia="Times New Roman" w:hAnsi="Arial" w:cs="Arial"/>
          <w:color w:val="000000"/>
        </w:rPr>
        <w:t xml:space="preserve"> </w:t>
      </w:r>
      <w:r w:rsidRPr="006E5E0A">
        <w:rPr>
          <w:rFonts w:ascii="Arial" w:eastAsia="Times New Roman" w:hAnsi="Arial" w:cs="Arial"/>
          <w:color w:val="000000"/>
        </w:rPr>
        <w:t xml:space="preserve">Journal of Hospital Infection. </w:t>
      </w:r>
      <w:r w:rsidRPr="00425FEE">
        <w:rPr>
          <w:rFonts w:ascii="Arial" w:eastAsia="Times New Roman" w:hAnsi="Arial" w:cs="Arial"/>
          <w:color w:val="000000"/>
          <w:lang w:val="es-ES"/>
        </w:rPr>
        <w:t>2011; 77(4): 332-337. </w:t>
      </w:r>
      <w:proofErr w:type="spellStart"/>
      <w:r w:rsidRPr="00425FEE">
        <w:rPr>
          <w:rFonts w:ascii="Arial" w:eastAsia="Times New Roman" w:hAnsi="Arial" w:cs="Arial"/>
          <w:color w:val="000000"/>
          <w:lang w:val="es-ES"/>
        </w:rPr>
        <w:t>doi</w:t>
      </w:r>
      <w:proofErr w:type="spellEnd"/>
      <w:r w:rsidRPr="00425FEE">
        <w:rPr>
          <w:rFonts w:ascii="Arial" w:eastAsia="Times New Roman" w:hAnsi="Arial" w:cs="Arial"/>
          <w:color w:val="000000"/>
          <w:lang w:val="es-ES"/>
        </w:rPr>
        <w:t>: 10.1016/j.jhin.2010.12.002.</w:t>
      </w:r>
    </w:p>
    <w:sectPr w:rsidR="005F68CD" w:rsidRPr="00425FEE" w:rsidSect="007E6192">
      <w:type w:val="continuous"/>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5CAD8" w14:textId="77777777" w:rsidR="008F038A" w:rsidRDefault="008F038A" w:rsidP="001B5186">
      <w:pPr>
        <w:spacing w:after="0" w:line="240" w:lineRule="auto"/>
      </w:pPr>
      <w:r>
        <w:separator/>
      </w:r>
    </w:p>
  </w:endnote>
  <w:endnote w:type="continuationSeparator" w:id="0">
    <w:p w14:paraId="0E941CE8" w14:textId="77777777" w:rsidR="008F038A" w:rsidRDefault="008F038A" w:rsidP="001B5186">
      <w:pPr>
        <w:spacing w:after="0" w:line="240" w:lineRule="auto"/>
      </w:pPr>
      <w:r>
        <w:continuationSeparator/>
      </w:r>
    </w:p>
  </w:endnote>
  <w:endnote w:type="continuationNotice" w:id="1">
    <w:p w14:paraId="34225101" w14:textId="77777777" w:rsidR="008F038A" w:rsidRDefault="008F0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39E15" w14:textId="37219341" w:rsidR="007E2B2F" w:rsidRDefault="007E2B2F">
    <w:pPr>
      <w:pStyle w:val="Footer"/>
      <w:jc w:val="right"/>
    </w:pPr>
  </w:p>
  <w:p w14:paraId="1285546F" w14:textId="77777777" w:rsidR="007E2B2F" w:rsidRDefault="007E2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C58D9" w14:textId="77777777" w:rsidR="008F038A" w:rsidRDefault="008F038A" w:rsidP="001B5186">
      <w:pPr>
        <w:spacing w:after="0" w:line="240" w:lineRule="auto"/>
      </w:pPr>
      <w:r>
        <w:separator/>
      </w:r>
    </w:p>
  </w:footnote>
  <w:footnote w:type="continuationSeparator" w:id="0">
    <w:p w14:paraId="7415F013" w14:textId="77777777" w:rsidR="008F038A" w:rsidRDefault="008F038A" w:rsidP="001B5186">
      <w:pPr>
        <w:spacing w:after="0" w:line="240" w:lineRule="auto"/>
      </w:pPr>
      <w:r>
        <w:continuationSeparator/>
      </w:r>
    </w:p>
  </w:footnote>
  <w:footnote w:type="continuationNotice" w:id="1">
    <w:p w14:paraId="3119067E" w14:textId="77777777" w:rsidR="008F038A" w:rsidRDefault="008F038A">
      <w:pPr>
        <w:spacing w:after="0" w:line="240" w:lineRule="auto"/>
      </w:pPr>
    </w:p>
  </w:footnote>
  <w:footnote w:id="2">
    <w:p w14:paraId="000A69D0" w14:textId="5B21B655" w:rsidR="007E2B2F" w:rsidRPr="00D90A22" w:rsidRDefault="007E2B2F" w:rsidP="00021AFF">
      <w:pPr>
        <w:pStyle w:val="FootnoteText"/>
        <w:spacing w:after="0"/>
        <w:contextualSpacing/>
        <w:rPr>
          <w:rFonts w:ascii="Arial" w:hAnsi="Arial" w:cs="Arial"/>
          <w:sz w:val="16"/>
          <w:szCs w:val="16"/>
          <w:lang w:val="es-ES_tradnl"/>
        </w:rPr>
      </w:pPr>
      <w:r w:rsidRPr="00D90A22">
        <w:rPr>
          <w:rStyle w:val="FootnoteReference"/>
          <w:rFonts w:ascii="Arial" w:hAnsi="Arial" w:cs="Arial"/>
          <w:sz w:val="16"/>
          <w:szCs w:val="16"/>
        </w:rPr>
        <w:footnoteRef/>
      </w:r>
      <w:r w:rsidRPr="00D90A22">
        <w:rPr>
          <w:rFonts w:ascii="Arial" w:hAnsi="Arial" w:cs="Arial"/>
          <w:sz w:val="16"/>
          <w:szCs w:val="16"/>
          <w:lang w:val="es-ES_tradnl"/>
        </w:rPr>
        <w:t xml:space="preserve"> </w:t>
      </w:r>
      <w:r w:rsidR="00D90A22" w:rsidRPr="00D90A22">
        <w:rPr>
          <w:rFonts w:ascii="Arial" w:hAnsi="Arial" w:cs="Arial"/>
          <w:sz w:val="16"/>
          <w:szCs w:val="16"/>
          <w:lang w:val="es-ES_tradnl"/>
        </w:rPr>
        <w:tab/>
        <w:t xml:space="preserve"> </w:t>
      </w:r>
      <w:r w:rsidRPr="00D90A22">
        <w:rPr>
          <w:rFonts w:ascii="Arial" w:hAnsi="Arial" w:cs="Arial"/>
          <w:sz w:val="16"/>
          <w:szCs w:val="16"/>
          <w:lang w:val="es-ES_tradnl"/>
        </w:rPr>
        <w:t>Para mayores detalles, ver el documento de proyecto.</w:t>
      </w:r>
    </w:p>
  </w:footnote>
  <w:footnote w:id="3">
    <w:p w14:paraId="4DB1077D" w14:textId="4A642200" w:rsidR="00456FE4" w:rsidRPr="00D90A22" w:rsidRDefault="00456FE4" w:rsidP="00456FE4">
      <w:pPr>
        <w:pStyle w:val="FootnoteText"/>
        <w:contextualSpacing/>
        <w:rPr>
          <w:rFonts w:ascii="Arial" w:hAnsi="Arial" w:cs="Arial"/>
          <w:sz w:val="16"/>
          <w:szCs w:val="16"/>
          <w:lang w:val="es-ES"/>
        </w:rPr>
      </w:pPr>
      <w:r w:rsidRPr="00D90A22">
        <w:rPr>
          <w:rFonts w:ascii="Arial" w:hAnsi="Arial" w:cs="Arial"/>
          <w:sz w:val="16"/>
          <w:szCs w:val="16"/>
          <w:vertAlign w:val="superscript"/>
        </w:rPr>
        <w:footnoteRef/>
      </w:r>
      <w:r w:rsidRPr="00D90A22">
        <w:rPr>
          <w:rFonts w:ascii="Arial" w:hAnsi="Arial" w:cs="Arial"/>
          <w:sz w:val="16"/>
          <w:szCs w:val="16"/>
          <w:lang w:val="es-ES"/>
        </w:rPr>
        <w:t xml:space="preserve"> </w:t>
      </w:r>
      <w:r w:rsidRPr="00D90A22">
        <w:rPr>
          <w:rFonts w:ascii="Arial" w:hAnsi="Arial" w:cs="Arial"/>
          <w:sz w:val="16"/>
          <w:szCs w:val="16"/>
          <w:lang w:val="es-ES"/>
        </w:rPr>
        <w:tab/>
      </w:r>
      <w:r w:rsidRPr="00D90A22" w:rsidDel="0007202F">
        <w:rPr>
          <w:rFonts w:ascii="Arial" w:hAnsi="Arial" w:cs="Arial"/>
          <w:sz w:val="16"/>
          <w:szCs w:val="16"/>
          <w:lang w:val="es-ES"/>
        </w:rPr>
        <w:t xml:space="preserve"> </w:t>
      </w:r>
      <w:hyperlink r:id="rId1" w:history="1">
        <w:r w:rsidRPr="00D90A22">
          <w:rPr>
            <w:rStyle w:val="Hyperlink"/>
            <w:rFonts w:ascii="Arial" w:hAnsi="Arial" w:cs="Arial"/>
            <w:sz w:val="16"/>
            <w:szCs w:val="16"/>
            <w:lang w:val="es-ES"/>
          </w:rPr>
          <w:t>BID-SPH</w:t>
        </w:r>
      </w:hyperlink>
      <w:r w:rsidRPr="00D90A22">
        <w:rPr>
          <w:rFonts w:ascii="Arial" w:hAnsi="Arial" w:cs="Arial"/>
          <w:sz w:val="16"/>
          <w:szCs w:val="16"/>
          <w:lang w:val="es-ES"/>
        </w:rPr>
        <w:t>. COVID-</w:t>
      </w:r>
      <w:proofErr w:type="gramStart"/>
      <w:r w:rsidRPr="00D90A22">
        <w:rPr>
          <w:rFonts w:ascii="Arial" w:hAnsi="Arial" w:cs="Arial"/>
          <w:sz w:val="16"/>
          <w:szCs w:val="16"/>
          <w:lang w:val="es-ES"/>
        </w:rPr>
        <w:t>19 :</w:t>
      </w:r>
      <w:proofErr w:type="gramEnd"/>
      <w:r w:rsidRPr="00D90A22">
        <w:rPr>
          <w:rFonts w:ascii="Arial" w:hAnsi="Arial" w:cs="Arial"/>
          <w:sz w:val="16"/>
          <w:szCs w:val="16"/>
          <w:lang w:val="es-ES"/>
        </w:rPr>
        <w:t xml:space="preserve"> Reporte Situacional al </w:t>
      </w:r>
      <w:r w:rsidR="001A1DF9">
        <w:rPr>
          <w:rFonts w:ascii="Arial" w:hAnsi="Arial" w:cs="Arial"/>
          <w:sz w:val="16"/>
          <w:szCs w:val="16"/>
          <w:lang w:val="es-ES"/>
        </w:rPr>
        <w:t>25 de noviembre</w:t>
      </w:r>
      <w:r w:rsidRPr="00D90A22">
        <w:rPr>
          <w:rFonts w:ascii="Arial" w:hAnsi="Arial" w:cs="Arial"/>
          <w:sz w:val="16"/>
          <w:szCs w:val="16"/>
          <w:lang w:val="es-ES"/>
        </w:rPr>
        <w:t xml:space="preserve"> de 2020.</w:t>
      </w:r>
    </w:p>
  </w:footnote>
  <w:footnote w:id="4">
    <w:p w14:paraId="1B7931EF" w14:textId="77777777" w:rsidR="00456FE4" w:rsidRPr="00D90A22" w:rsidRDefault="00456FE4" w:rsidP="00456FE4">
      <w:pPr>
        <w:pStyle w:val="FootnoteText"/>
        <w:contextualSpacing/>
        <w:rPr>
          <w:rFonts w:ascii="Arial" w:hAnsi="Arial" w:cs="Arial"/>
          <w:sz w:val="16"/>
          <w:szCs w:val="16"/>
        </w:rPr>
      </w:pPr>
      <w:r w:rsidRPr="00D90A22">
        <w:rPr>
          <w:rFonts w:ascii="Arial" w:hAnsi="Arial" w:cs="Arial"/>
          <w:sz w:val="16"/>
          <w:szCs w:val="16"/>
          <w:vertAlign w:val="superscript"/>
        </w:rPr>
        <w:footnoteRef/>
      </w:r>
      <w:r w:rsidRPr="00D90A22">
        <w:rPr>
          <w:rFonts w:ascii="Arial" w:hAnsi="Arial" w:cs="Arial"/>
          <w:sz w:val="16"/>
          <w:szCs w:val="16"/>
        </w:rPr>
        <w:t xml:space="preserve"> </w:t>
      </w:r>
      <w:r w:rsidRPr="00D90A22">
        <w:rPr>
          <w:rFonts w:ascii="Arial" w:hAnsi="Arial" w:cs="Arial"/>
          <w:sz w:val="16"/>
          <w:szCs w:val="16"/>
        </w:rPr>
        <w:tab/>
        <w:t>Ibid.</w:t>
      </w:r>
    </w:p>
  </w:footnote>
  <w:footnote w:id="5">
    <w:p w14:paraId="137D6A67" w14:textId="77777777" w:rsidR="00456FE4" w:rsidRPr="00D90A22" w:rsidRDefault="00456FE4" w:rsidP="00456FE4">
      <w:pPr>
        <w:pStyle w:val="FootnoteText"/>
        <w:contextualSpacing/>
        <w:rPr>
          <w:rFonts w:ascii="Arial" w:hAnsi="Arial" w:cs="Arial"/>
          <w:sz w:val="16"/>
          <w:szCs w:val="16"/>
        </w:rPr>
      </w:pPr>
      <w:r w:rsidRPr="00D90A22">
        <w:rPr>
          <w:rFonts w:ascii="Arial" w:hAnsi="Arial" w:cs="Arial"/>
          <w:sz w:val="16"/>
          <w:szCs w:val="16"/>
          <w:vertAlign w:val="superscript"/>
        </w:rPr>
        <w:footnoteRef/>
      </w:r>
      <w:r w:rsidRPr="00D90A22">
        <w:rPr>
          <w:rFonts w:ascii="Arial" w:hAnsi="Arial" w:cs="Arial"/>
          <w:sz w:val="16"/>
          <w:szCs w:val="16"/>
        </w:rPr>
        <w:t xml:space="preserve"> </w:t>
      </w:r>
      <w:r w:rsidRPr="00D90A22">
        <w:rPr>
          <w:rFonts w:ascii="Arial" w:hAnsi="Arial" w:cs="Arial"/>
          <w:sz w:val="16"/>
          <w:szCs w:val="16"/>
        </w:rPr>
        <w:tab/>
        <w:t xml:space="preserve">OPS: </w:t>
      </w:r>
      <w:hyperlink r:id="rId2" w:history="1">
        <w:r w:rsidRPr="00D90A22">
          <w:rPr>
            <w:rStyle w:val="Hyperlink"/>
            <w:rFonts w:ascii="Arial" w:hAnsi="Arial" w:cs="Arial"/>
            <w:sz w:val="16"/>
            <w:szCs w:val="16"/>
          </w:rPr>
          <w:t>https://www.paho.org/pan/index.php?option=com_content&amp;view=article&amp;id=1349:panama-confirma-primer-caso-de-covid-19&amp;Itemid=442</w:t>
        </w:r>
      </w:hyperlink>
      <w:r w:rsidRPr="00D90A22">
        <w:rPr>
          <w:rFonts w:ascii="Arial" w:hAnsi="Arial" w:cs="Arial"/>
          <w:sz w:val="16"/>
          <w:szCs w:val="16"/>
        </w:rPr>
        <w:t xml:space="preserve"> </w:t>
      </w:r>
    </w:p>
  </w:footnote>
  <w:footnote w:id="6">
    <w:p w14:paraId="4D67BD52" w14:textId="4B23C5D1" w:rsidR="00456FE4" w:rsidRPr="00D90A22" w:rsidRDefault="00456FE4" w:rsidP="00456FE4">
      <w:pPr>
        <w:pStyle w:val="FootnoteText"/>
        <w:contextualSpacing/>
        <w:rPr>
          <w:rFonts w:ascii="Arial" w:hAnsi="Arial" w:cs="Arial"/>
          <w:sz w:val="16"/>
          <w:szCs w:val="16"/>
          <w:lang w:val="es-ES"/>
        </w:rPr>
      </w:pPr>
      <w:r w:rsidRPr="00D90A22">
        <w:rPr>
          <w:rFonts w:ascii="Arial" w:hAnsi="Arial" w:cs="Arial"/>
          <w:sz w:val="16"/>
          <w:szCs w:val="16"/>
          <w:vertAlign w:val="superscript"/>
        </w:rPr>
        <w:footnoteRef/>
      </w:r>
      <w:r w:rsidRPr="00D90A22">
        <w:rPr>
          <w:rFonts w:ascii="Arial" w:hAnsi="Arial" w:cs="Arial"/>
          <w:sz w:val="16"/>
          <w:szCs w:val="16"/>
          <w:lang w:val="es-ES"/>
        </w:rPr>
        <w:t xml:space="preserve"> </w:t>
      </w:r>
      <w:r w:rsidRPr="00D90A22">
        <w:rPr>
          <w:rFonts w:ascii="Arial" w:hAnsi="Arial" w:cs="Arial"/>
          <w:sz w:val="16"/>
          <w:szCs w:val="16"/>
          <w:lang w:val="es-ES"/>
        </w:rPr>
        <w:tab/>
        <w:t xml:space="preserve"> BID-SPH. COVID-19: Reporte situacional al </w:t>
      </w:r>
      <w:r w:rsidR="001A1DF9">
        <w:rPr>
          <w:rFonts w:ascii="Arial" w:hAnsi="Arial" w:cs="Arial"/>
          <w:sz w:val="16"/>
          <w:szCs w:val="16"/>
          <w:lang w:val="es-ES"/>
        </w:rPr>
        <w:t>25 de noviembre</w:t>
      </w:r>
      <w:r w:rsidRPr="00D90A22">
        <w:rPr>
          <w:rFonts w:ascii="Arial" w:hAnsi="Arial" w:cs="Arial"/>
          <w:sz w:val="16"/>
          <w:szCs w:val="16"/>
          <w:lang w:val="es-ES"/>
        </w:rPr>
        <w:t xml:space="preserve"> de 2020.</w:t>
      </w:r>
    </w:p>
  </w:footnote>
  <w:footnote w:id="7">
    <w:p w14:paraId="7D9806CD" w14:textId="77777777" w:rsidR="00B461C3" w:rsidRPr="00D90A22" w:rsidRDefault="00B461C3" w:rsidP="00B461C3">
      <w:pPr>
        <w:pStyle w:val="FootnoteText"/>
        <w:contextualSpacing/>
        <w:rPr>
          <w:rFonts w:ascii="Arial" w:hAnsi="Arial" w:cs="Arial"/>
          <w:sz w:val="16"/>
          <w:szCs w:val="16"/>
          <w:lang w:val="es-ES"/>
        </w:rPr>
      </w:pPr>
      <w:r w:rsidRPr="00D90A22">
        <w:rPr>
          <w:rStyle w:val="FootnoteReference"/>
          <w:rFonts w:ascii="Arial" w:hAnsi="Arial" w:cs="Arial"/>
          <w:sz w:val="16"/>
          <w:szCs w:val="16"/>
        </w:rPr>
        <w:footnoteRef/>
      </w:r>
      <w:r w:rsidRPr="00D90A22">
        <w:rPr>
          <w:rFonts w:ascii="Arial" w:hAnsi="Arial" w:cs="Arial"/>
          <w:sz w:val="16"/>
          <w:szCs w:val="16"/>
          <w:lang w:val="es-ES"/>
        </w:rPr>
        <w:tab/>
        <w:t xml:space="preserve">Organización Panamericana de la Salud. COVID-19: Informe de Situación de Panamá No 38 del 18 de octubre de 2020. </w:t>
      </w:r>
    </w:p>
  </w:footnote>
  <w:footnote w:id="8">
    <w:p w14:paraId="4C49F476" w14:textId="77777777" w:rsidR="00B461C3" w:rsidRPr="00D90A22" w:rsidRDefault="00B461C3" w:rsidP="00B461C3">
      <w:pPr>
        <w:pStyle w:val="FootnoteText"/>
        <w:contextualSpacing/>
        <w:rPr>
          <w:rFonts w:ascii="Arial" w:hAnsi="Arial" w:cs="Arial"/>
          <w:sz w:val="16"/>
          <w:szCs w:val="16"/>
          <w:lang w:val="es-CO"/>
        </w:rPr>
      </w:pPr>
      <w:r w:rsidRPr="00D90A22">
        <w:rPr>
          <w:rStyle w:val="FootnoteReference"/>
          <w:rFonts w:ascii="Arial" w:hAnsi="Arial" w:cs="Arial"/>
          <w:sz w:val="16"/>
          <w:szCs w:val="16"/>
        </w:rPr>
        <w:footnoteRef/>
      </w:r>
      <w:r w:rsidRPr="00D90A22">
        <w:rPr>
          <w:rFonts w:ascii="Arial" w:hAnsi="Arial" w:cs="Arial"/>
          <w:sz w:val="16"/>
          <w:szCs w:val="16"/>
          <w:lang w:val="es-ES"/>
        </w:rPr>
        <w:tab/>
        <w:t xml:space="preserve">Según el Reporte Situacional del BID-SPH, el </w:t>
      </w:r>
      <w:r w:rsidRPr="00D90A22">
        <w:rPr>
          <w:rFonts w:ascii="Arial" w:hAnsi="Arial" w:cs="Arial"/>
          <w:sz w:val="16"/>
          <w:szCs w:val="16"/>
          <w:lang w:val="es-CO"/>
        </w:rPr>
        <w:t xml:space="preserve">promedio mensual de casos disminuyó de 940 en agosto a 660 en septiembre y a 668 en octubre. </w:t>
      </w:r>
    </w:p>
  </w:footnote>
  <w:footnote w:id="9">
    <w:p w14:paraId="4C3434CC" w14:textId="107FFD2D" w:rsidR="00B461C3" w:rsidRPr="00D90A22" w:rsidRDefault="00B461C3" w:rsidP="00B461C3">
      <w:pPr>
        <w:pStyle w:val="FootnoteText"/>
        <w:contextualSpacing/>
        <w:rPr>
          <w:rFonts w:ascii="Arial" w:hAnsi="Arial" w:cs="Arial"/>
          <w:sz w:val="16"/>
          <w:szCs w:val="16"/>
          <w:lang w:val="es-CO"/>
        </w:rPr>
      </w:pPr>
      <w:r w:rsidRPr="00D90A22">
        <w:rPr>
          <w:rStyle w:val="FootnoteReference"/>
          <w:rFonts w:ascii="Arial" w:hAnsi="Arial" w:cs="Arial"/>
          <w:sz w:val="16"/>
          <w:szCs w:val="16"/>
        </w:rPr>
        <w:footnoteRef/>
      </w:r>
      <w:r w:rsidRPr="00D90A22">
        <w:rPr>
          <w:rFonts w:ascii="Arial" w:hAnsi="Arial" w:cs="Arial"/>
          <w:sz w:val="16"/>
          <w:szCs w:val="16"/>
          <w:lang w:val="es-ES"/>
        </w:rPr>
        <w:t xml:space="preserve"> </w:t>
      </w:r>
      <w:r w:rsidRPr="00D90A22">
        <w:rPr>
          <w:rFonts w:ascii="Arial" w:hAnsi="Arial" w:cs="Arial"/>
          <w:sz w:val="16"/>
          <w:szCs w:val="16"/>
          <w:lang w:val="es-ES"/>
        </w:rPr>
        <w:tab/>
        <w:t xml:space="preserve">BID-SPH. COVID-19: Reporte situacional al </w:t>
      </w:r>
      <w:r w:rsidR="00DD7EE0">
        <w:rPr>
          <w:rFonts w:ascii="Arial" w:hAnsi="Arial" w:cs="Arial"/>
          <w:sz w:val="16"/>
          <w:szCs w:val="16"/>
          <w:lang w:val="es-ES"/>
        </w:rPr>
        <w:t>25 de noviembre</w:t>
      </w:r>
      <w:r w:rsidRPr="00D90A22">
        <w:rPr>
          <w:rFonts w:ascii="Arial" w:hAnsi="Arial" w:cs="Arial"/>
          <w:sz w:val="16"/>
          <w:szCs w:val="16"/>
          <w:lang w:val="es-CO"/>
        </w:rPr>
        <w:t xml:space="preserve"> de 2020.</w:t>
      </w:r>
    </w:p>
  </w:footnote>
  <w:footnote w:id="10">
    <w:p w14:paraId="09DA5F76" w14:textId="77777777" w:rsidR="00B461C3" w:rsidRPr="00D90A22" w:rsidRDefault="00B461C3" w:rsidP="00B461C3">
      <w:pPr>
        <w:pStyle w:val="FootnoteText"/>
        <w:contextualSpacing/>
        <w:rPr>
          <w:rFonts w:ascii="Arial" w:hAnsi="Arial" w:cs="Arial"/>
          <w:sz w:val="16"/>
          <w:szCs w:val="16"/>
          <w:lang w:val="es-CO"/>
        </w:rPr>
      </w:pPr>
      <w:r w:rsidRPr="00D90A22">
        <w:rPr>
          <w:rFonts w:ascii="Arial" w:hAnsi="Arial" w:cs="Arial"/>
          <w:sz w:val="16"/>
          <w:szCs w:val="16"/>
          <w:vertAlign w:val="superscript"/>
        </w:rPr>
        <w:footnoteRef/>
      </w:r>
      <w:r w:rsidRPr="00D90A22">
        <w:rPr>
          <w:rFonts w:ascii="Arial" w:hAnsi="Arial" w:cs="Arial"/>
          <w:sz w:val="16"/>
          <w:szCs w:val="16"/>
          <w:lang w:val="es-CO"/>
        </w:rPr>
        <w:tab/>
      </w:r>
      <w:r w:rsidRPr="00D90A22">
        <w:rPr>
          <w:rFonts w:ascii="Arial" w:hAnsi="Arial" w:cs="Arial"/>
          <w:sz w:val="16"/>
          <w:szCs w:val="16"/>
          <w:lang w:val="es-ES"/>
        </w:rPr>
        <w:t>Resolución de Gabinete No. 11</w:t>
      </w:r>
      <w:r w:rsidRPr="00D90A22">
        <w:rPr>
          <w:rFonts w:ascii="Arial" w:hAnsi="Arial" w:cs="Arial"/>
          <w:sz w:val="16"/>
          <w:szCs w:val="16"/>
          <w:lang w:val="es-CO"/>
        </w:rPr>
        <w:t xml:space="preserve"> del 13 de marzo de 2020:  </w:t>
      </w:r>
      <w:hyperlink r:id="rId3" w:history="1">
        <w:r w:rsidRPr="00D90A22">
          <w:rPr>
            <w:rStyle w:val="Hyperlink"/>
            <w:rFonts w:ascii="Arial" w:hAnsi="Arial" w:cs="Arial"/>
            <w:sz w:val="16"/>
            <w:szCs w:val="16"/>
            <w:lang w:val="es-CO"/>
          </w:rPr>
          <w:t>https://www.gacetaoficial.gob.pa/pdfTemp/28979_B/GacetaNo_28979b_20200313.pdf</w:t>
        </w:r>
      </w:hyperlink>
      <w:r w:rsidRPr="00D90A22">
        <w:rPr>
          <w:rFonts w:ascii="Arial" w:hAnsi="Arial" w:cs="Arial"/>
          <w:sz w:val="16"/>
          <w:szCs w:val="16"/>
          <w:lang w:val="es-CO"/>
        </w:rPr>
        <w:t>.</w:t>
      </w:r>
    </w:p>
  </w:footnote>
  <w:footnote w:id="11">
    <w:p w14:paraId="198CF42E" w14:textId="77777777" w:rsidR="00B461C3" w:rsidRPr="00D90A22" w:rsidRDefault="00B461C3" w:rsidP="00B461C3">
      <w:pPr>
        <w:pStyle w:val="FootnoteText"/>
        <w:contextualSpacing/>
        <w:rPr>
          <w:rFonts w:ascii="Arial" w:hAnsi="Arial" w:cs="Arial"/>
          <w:sz w:val="16"/>
          <w:szCs w:val="16"/>
          <w:lang w:val="es-CO"/>
        </w:rPr>
      </w:pPr>
      <w:r w:rsidRPr="00D90A22">
        <w:rPr>
          <w:rStyle w:val="FootnoteReference"/>
          <w:rFonts w:ascii="Arial" w:hAnsi="Arial" w:cs="Arial"/>
          <w:sz w:val="16"/>
          <w:szCs w:val="16"/>
        </w:rPr>
        <w:footnoteRef/>
      </w:r>
      <w:r w:rsidRPr="00D90A22">
        <w:rPr>
          <w:rFonts w:ascii="Arial" w:hAnsi="Arial" w:cs="Arial"/>
          <w:sz w:val="16"/>
          <w:szCs w:val="16"/>
          <w:lang w:val="es-ES"/>
        </w:rPr>
        <w:tab/>
      </w:r>
      <w:r w:rsidRPr="00D90A22">
        <w:rPr>
          <w:rFonts w:ascii="Arial" w:hAnsi="Arial" w:cs="Arial"/>
          <w:sz w:val="16"/>
          <w:szCs w:val="16"/>
          <w:lang w:val="es-CO"/>
        </w:rPr>
        <w:t xml:space="preserve">Las medidas establecidas incluyeron el cierre de fronteras (Decreto Ejecutivo No. 472 de 2020), toque de queda nacional las 24 horas (Decreto Ejecutivo No. 490 de 17 de marzo y No. 507 de 24 de marzo), restricción de movilidad por género y cédula de identidad durante 6 meses (Decreto Ejecutivo No. 1078 del 11 de septiembre), y cierre temporal de establecimientos comerciales y empresas no esenciales (Decreto Ejecutivo No. 500 de 19 de marzo).  </w:t>
      </w:r>
    </w:p>
  </w:footnote>
  <w:footnote w:id="12">
    <w:p w14:paraId="1DA87E78" w14:textId="77777777" w:rsidR="00B461C3" w:rsidRPr="00D90A22" w:rsidRDefault="00B461C3" w:rsidP="00B461C3">
      <w:pPr>
        <w:pStyle w:val="FootnoteText"/>
        <w:contextualSpacing/>
        <w:rPr>
          <w:rFonts w:ascii="Arial" w:hAnsi="Arial" w:cs="Arial"/>
          <w:sz w:val="16"/>
          <w:szCs w:val="16"/>
          <w:lang w:val="es-CO"/>
        </w:rPr>
      </w:pPr>
      <w:r w:rsidRPr="00D90A22">
        <w:rPr>
          <w:rStyle w:val="FootnoteReference"/>
          <w:rFonts w:ascii="Arial" w:hAnsi="Arial" w:cs="Arial"/>
          <w:sz w:val="16"/>
          <w:szCs w:val="16"/>
        </w:rPr>
        <w:footnoteRef/>
      </w:r>
      <w:r w:rsidRPr="00D90A22">
        <w:rPr>
          <w:rFonts w:ascii="Arial" w:hAnsi="Arial" w:cs="Arial"/>
          <w:sz w:val="16"/>
          <w:szCs w:val="16"/>
          <w:lang w:val="es-ES"/>
        </w:rPr>
        <w:t xml:space="preserve"> </w:t>
      </w:r>
      <w:r w:rsidRPr="00D90A22">
        <w:rPr>
          <w:rFonts w:ascii="Arial" w:hAnsi="Arial" w:cs="Arial"/>
          <w:sz w:val="16"/>
          <w:szCs w:val="16"/>
          <w:lang w:val="es-ES"/>
        </w:rPr>
        <w:tab/>
        <w:t xml:space="preserve">Dirección General de Ingresos: </w:t>
      </w:r>
      <w:hyperlink r:id="rId4" w:history="1">
        <w:r w:rsidRPr="00D90A22">
          <w:rPr>
            <w:rStyle w:val="Hyperlink"/>
            <w:rFonts w:ascii="Arial" w:hAnsi="Arial" w:cs="Arial"/>
            <w:sz w:val="16"/>
            <w:szCs w:val="16"/>
            <w:lang w:val="es-CO"/>
          </w:rPr>
          <w:t>https://www.mef.gob.pa/2020/10/de-enero-a-septiembre-de-2020-los-ingresos-corrientes-del-gobierno-central-cayeron-b-1795-2-millones-respecto-a-lo-presupuestado-y-b-1533-0-millones-respecto-al-2019/</w:t>
        </w:r>
      </w:hyperlink>
      <w:r w:rsidRPr="00D90A22">
        <w:rPr>
          <w:rFonts w:ascii="Arial" w:hAnsi="Arial" w:cs="Arial"/>
          <w:sz w:val="16"/>
          <w:szCs w:val="16"/>
          <w:lang w:val="es-CO"/>
        </w:rPr>
        <w:t xml:space="preserve">.   </w:t>
      </w:r>
    </w:p>
  </w:footnote>
  <w:footnote w:id="13">
    <w:p w14:paraId="6408869A" w14:textId="77777777" w:rsidR="00B461C3" w:rsidRPr="00D90A22" w:rsidRDefault="00B461C3" w:rsidP="00B461C3">
      <w:pPr>
        <w:pStyle w:val="FootnoteText"/>
        <w:contextualSpacing/>
        <w:rPr>
          <w:rFonts w:ascii="Arial" w:hAnsi="Arial" w:cs="Arial"/>
          <w:sz w:val="16"/>
          <w:szCs w:val="16"/>
        </w:rPr>
      </w:pPr>
      <w:r w:rsidRPr="00D90A22">
        <w:rPr>
          <w:rStyle w:val="FootnoteReference"/>
          <w:rFonts w:ascii="Arial" w:hAnsi="Arial" w:cs="Arial"/>
          <w:sz w:val="16"/>
          <w:szCs w:val="16"/>
        </w:rPr>
        <w:footnoteRef/>
      </w:r>
      <w:r w:rsidRPr="00D90A22">
        <w:rPr>
          <w:rFonts w:ascii="Arial" w:hAnsi="Arial" w:cs="Arial"/>
          <w:sz w:val="16"/>
          <w:szCs w:val="16"/>
        </w:rPr>
        <w:t xml:space="preserve"> </w:t>
      </w:r>
      <w:r w:rsidRPr="00D90A22">
        <w:rPr>
          <w:rFonts w:ascii="Arial" w:hAnsi="Arial" w:cs="Arial"/>
          <w:sz w:val="16"/>
          <w:szCs w:val="16"/>
        </w:rPr>
        <w:tab/>
        <w:t xml:space="preserve">FMI. </w:t>
      </w:r>
      <w:r w:rsidRPr="00D90A22">
        <w:rPr>
          <w:rFonts w:ascii="Arial" w:hAnsi="Arial" w:cs="Arial"/>
          <w:i/>
          <w:iCs/>
          <w:sz w:val="16"/>
          <w:szCs w:val="16"/>
        </w:rPr>
        <w:t>World Economic Outlook</w:t>
      </w:r>
      <w:r w:rsidRPr="00D90A22">
        <w:rPr>
          <w:rFonts w:ascii="Arial" w:hAnsi="Arial" w:cs="Arial"/>
          <w:sz w:val="16"/>
          <w:szCs w:val="16"/>
        </w:rPr>
        <w:t xml:space="preserve">, </w:t>
      </w:r>
      <w:proofErr w:type="spellStart"/>
      <w:r w:rsidRPr="00D90A22">
        <w:rPr>
          <w:rFonts w:ascii="Arial" w:hAnsi="Arial" w:cs="Arial"/>
          <w:sz w:val="16"/>
          <w:szCs w:val="16"/>
        </w:rPr>
        <w:t>Octubre</w:t>
      </w:r>
      <w:proofErr w:type="spellEnd"/>
      <w:r w:rsidRPr="00D90A22">
        <w:rPr>
          <w:rFonts w:ascii="Arial" w:hAnsi="Arial" w:cs="Arial"/>
          <w:sz w:val="16"/>
          <w:szCs w:val="16"/>
        </w:rPr>
        <w:t xml:space="preserve"> 2020: </w:t>
      </w:r>
      <w:hyperlink r:id="rId5" w:history="1">
        <w:r w:rsidRPr="00D90A22">
          <w:rPr>
            <w:rStyle w:val="Hyperlink"/>
            <w:rFonts w:ascii="Arial" w:hAnsi="Arial" w:cs="Arial"/>
            <w:sz w:val="16"/>
            <w:szCs w:val="16"/>
          </w:rPr>
          <w:t>https://www.imf.org/es/Publications/WEO/Issues/2020/09/30/world-economic-outlook-october-2020</w:t>
        </w:r>
      </w:hyperlink>
      <w:r w:rsidRPr="00D90A22">
        <w:rPr>
          <w:rFonts w:ascii="Arial" w:hAnsi="Arial" w:cs="Arial"/>
          <w:sz w:val="16"/>
          <w:szCs w:val="16"/>
        </w:rPr>
        <w:t xml:space="preserve">. </w:t>
      </w:r>
    </w:p>
  </w:footnote>
  <w:footnote w:id="14">
    <w:p w14:paraId="3620A6F3" w14:textId="77777777" w:rsidR="00B461C3" w:rsidRPr="00D90A22" w:rsidRDefault="00B461C3" w:rsidP="00B461C3">
      <w:pPr>
        <w:pStyle w:val="FootnoteText"/>
        <w:contextualSpacing/>
        <w:rPr>
          <w:rFonts w:ascii="Arial" w:hAnsi="Arial" w:cs="Arial"/>
          <w:sz w:val="16"/>
          <w:szCs w:val="16"/>
          <w:lang w:val="es-ES"/>
        </w:rPr>
      </w:pPr>
      <w:r w:rsidRPr="00D90A22">
        <w:rPr>
          <w:rFonts w:ascii="Arial" w:hAnsi="Arial" w:cs="Arial"/>
          <w:sz w:val="16"/>
          <w:szCs w:val="16"/>
          <w:vertAlign w:val="superscript"/>
        </w:rPr>
        <w:footnoteRef/>
      </w:r>
      <w:r w:rsidRPr="00D90A22">
        <w:rPr>
          <w:rFonts w:ascii="Arial" w:hAnsi="Arial" w:cs="Arial"/>
          <w:sz w:val="16"/>
          <w:szCs w:val="16"/>
          <w:lang w:val="es-CO"/>
        </w:rPr>
        <w:tab/>
        <w:t xml:space="preserve">Mediante el Decreto Ejecutivo No. 81 del 20 de marzo de 2020, el MITRADEL permite la suspensión de contratos laborales de empresas cuyas operaciones hayan sido cerradas conforme a las medidas adoptadas por el GP. Ver: </w:t>
      </w:r>
      <w:hyperlink r:id="rId6" w:history="1">
        <w:r w:rsidRPr="00D90A22">
          <w:rPr>
            <w:rStyle w:val="Hyperlink"/>
            <w:rFonts w:ascii="Arial" w:hAnsi="Arial" w:cs="Arial"/>
            <w:sz w:val="16"/>
            <w:szCs w:val="16"/>
            <w:lang w:val="es-CO"/>
          </w:rPr>
          <w:t>https://www.gacetaoficial.gob.pa/pdfTemp/28985_C/77962.pdf</w:t>
        </w:r>
      </w:hyperlink>
      <w:r w:rsidRPr="00D90A22">
        <w:rPr>
          <w:rFonts w:ascii="Arial" w:hAnsi="Arial" w:cs="Arial"/>
          <w:sz w:val="16"/>
          <w:szCs w:val="16"/>
          <w:lang w:val="es-CO"/>
        </w:rPr>
        <w:t xml:space="preserve">. Las cifras de contratos suspendidos se encuentran en: </w:t>
      </w:r>
      <w:hyperlink r:id="rId7" w:history="1">
        <w:r w:rsidRPr="00D90A22">
          <w:rPr>
            <w:rStyle w:val="Hyperlink"/>
            <w:rFonts w:ascii="Arial" w:hAnsi="Arial" w:cs="Arial"/>
            <w:sz w:val="16"/>
            <w:szCs w:val="16"/>
            <w:lang w:val="es-ES"/>
          </w:rPr>
          <w:t>www.mitradel.gob.pa/wp-content/uploads/2020/10/INFORME-PARA-LA-WEB-SUSPEN-VS.-REACTIVADOS-8-DE-OCTUBRE.pdf</w:t>
        </w:r>
      </w:hyperlink>
      <w:r w:rsidRPr="00D90A22">
        <w:rPr>
          <w:rStyle w:val="Hyperlink"/>
          <w:rFonts w:ascii="Arial" w:hAnsi="Arial" w:cs="Arial"/>
          <w:sz w:val="16"/>
          <w:szCs w:val="16"/>
          <w:lang w:val="es-ES"/>
        </w:rPr>
        <w:t>.</w:t>
      </w:r>
      <w:r w:rsidRPr="00D90A22">
        <w:rPr>
          <w:rFonts w:ascii="Arial" w:hAnsi="Arial" w:cs="Arial"/>
          <w:sz w:val="16"/>
          <w:szCs w:val="16"/>
          <w:lang w:val="es-ES"/>
        </w:rPr>
        <w:t xml:space="preserve"> </w:t>
      </w:r>
    </w:p>
  </w:footnote>
  <w:footnote w:id="15">
    <w:p w14:paraId="1DB18C6D"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 xml:space="preserve"> </w:t>
      </w:r>
      <w:r w:rsidRPr="00A046F7">
        <w:rPr>
          <w:rFonts w:ascii="Arial" w:hAnsi="Arial" w:cs="Arial"/>
          <w:sz w:val="16"/>
          <w:szCs w:val="16"/>
          <w:lang w:val="es-CO"/>
        </w:rPr>
        <w:tab/>
        <w:t>Ver:</w:t>
      </w:r>
      <w:r w:rsidRPr="00A046F7">
        <w:rPr>
          <w:rFonts w:ascii="Arial" w:hAnsi="Arial" w:cs="Arial"/>
          <w:sz w:val="16"/>
          <w:szCs w:val="16"/>
          <w:lang w:val="es-ES"/>
        </w:rPr>
        <w:t xml:space="preserve"> </w:t>
      </w:r>
      <w:hyperlink r:id="rId8" w:history="1">
        <w:r w:rsidRPr="00A046F7">
          <w:rPr>
            <w:rStyle w:val="Hyperlink"/>
            <w:rFonts w:ascii="Arial" w:hAnsi="Arial" w:cs="Arial"/>
            <w:sz w:val="16"/>
            <w:szCs w:val="16"/>
            <w:lang w:val="es-CO"/>
          </w:rPr>
          <w:t>https://www.prensa.com/impresa/panorama/2020-cerrara-con-mas-de-500-mil-desempleados/</w:t>
        </w:r>
      </w:hyperlink>
      <w:r w:rsidRPr="00A046F7">
        <w:rPr>
          <w:rFonts w:ascii="Arial" w:hAnsi="Arial" w:cs="Arial"/>
          <w:sz w:val="16"/>
          <w:szCs w:val="16"/>
          <w:lang w:val="es-CO"/>
        </w:rPr>
        <w:t xml:space="preserve">. </w:t>
      </w:r>
    </w:p>
  </w:footnote>
  <w:footnote w:id="16">
    <w:p w14:paraId="3F64E466" w14:textId="77777777" w:rsidR="00B461C3" w:rsidRPr="00A046F7" w:rsidRDefault="00B461C3" w:rsidP="00A046F7">
      <w:pPr>
        <w:pStyle w:val="FootnoteText"/>
        <w:contextualSpacing/>
        <w:rPr>
          <w:rFonts w:ascii="Arial" w:hAnsi="Arial" w:cs="Arial"/>
          <w:sz w:val="16"/>
          <w:szCs w:val="16"/>
          <w:lang w:val="es-ES"/>
        </w:rPr>
      </w:pPr>
      <w:r w:rsidRPr="00A046F7">
        <w:rPr>
          <w:rStyle w:val="FootnoteReference"/>
          <w:rFonts w:ascii="Arial" w:hAnsi="Arial" w:cs="Arial"/>
          <w:sz w:val="16"/>
          <w:szCs w:val="16"/>
        </w:rPr>
        <w:footnoteRef/>
      </w:r>
      <w:r w:rsidRPr="00A046F7">
        <w:rPr>
          <w:rFonts w:ascii="Arial" w:hAnsi="Arial" w:cs="Arial"/>
          <w:sz w:val="16"/>
          <w:szCs w:val="16"/>
          <w:lang w:val="es-ES"/>
        </w:rPr>
        <w:t xml:space="preserve"> </w:t>
      </w:r>
      <w:r w:rsidRPr="00A046F7">
        <w:rPr>
          <w:rFonts w:ascii="Arial" w:hAnsi="Arial" w:cs="Arial"/>
          <w:sz w:val="16"/>
          <w:szCs w:val="16"/>
          <w:lang w:val="es-ES"/>
        </w:rPr>
        <w:tab/>
        <w:t>INEC, 2019.</w:t>
      </w:r>
      <w:r w:rsidRPr="00A046F7">
        <w:rPr>
          <w:rFonts w:ascii="Arial" w:hAnsi="Arial" w:cs="Arial"/>
          <w:sz w:val="16"/>
          <w:szCs w:val="16"/>
          <w:lang w:val="es-419"/>
        </w:rPr>
        <w:t xml:space="preserve"> </w:t>
      </w:r>
    </w:p>
  </w:footnote>
  <w:footnote w:id="17">
    <w:p w14:paraId="1C9AFCBE"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ab/>
        <w:t xml:space="preserve">BID. Implicaciones sociales del COVID-19: estimaciones y alternativas para ALC. Nota Técnica No. IDB-DP-820 de octubre 2020. </w:t>
      </w:r>
    </w:p>
  </w:footnote>
  <w:footnote w:id="18">
    <w:p w14:paraId="00DEB6C8"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ab/>
      </w:r>
      <w:r w:rsidRPr="00A046F7">
        <w:rPr>
          <w:rFonts w:ascii="Arial" w:hAnsi="Arial" w:cs="Arial"/>
          <w:sz w:val="16"/>
          <w:szCs w:val="16"/>
          <w:lang w:val="es-CO"/>
        </w:rPr>
        <w:t xml:space="preserve">INEC, 2018. </w:t>
      </w:r>
    </w:p>
  </w:footnote>
  <w:footnote w:id="19">
    <w:p w14:paraId="7B16BB25"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 xml:space="preserve"> </w:t>
      </w:r>
      <w:r w:rsidRPr="00A046F7">
        <w:rPr>
          <w:rFonts w:ascii="Arial" w:hAnsi="Arial" w:cs="Arial"/>
          <w:sz w:val="16"/>
          <w:szCs w:val="16"/>
          <w:lang w:val="es-CO"/>
        </w:rPr>
        <w:tab/>
        <w:t>INEC, 2019. Según Acevedo, et. al, las mujeres están altamente concentradas en ocupaciones y sectores más afectados por la crisis como hotelería, alimentación y comercio minorista. Ver: BID. Implicaciones sociales del COVID-19. Nota Técnica No. IDB-DP-820 de octubre de 2020.</w:t>
      </w:r>
    </w:p>
  </w:footnote>
  <w:footnote w:id="20">
    <w:p w14:paraId="321665E4"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ab/>
        <w:t xml:space="preserve">BID, Foro Económico Mundial y Gobierno Nacional. </w:t>
      </w:r>
      <w:r w:rsidRPr="00A046F7">
        <w:rPr>
          <w:rFonts w:ascii="Arial" w:hAnsi="Arial" w:cs="Arial"/>
          <w:sz w:val="16"/>
          <w:szCs w:val="16"/>
          <w:lang w:val="es-CO"/>
        </w:rPr>
        <w:t xml:space="preserve">Diagnóstico y plan de acción de la Iniciativa de Paridad de Género en Panamá. Julio 2018. </w:t>
      </w:r>
    </w:p>
  </w:footnote>
  <w:footnote w:id="21">
    <w:p w14:paraId="204FACFA" w14:textId="77777777" w:rsidR="00B461C3" w:rsidRPr="00A046F7" w:rsidRDefault="00B461C3" w:rsidP="00A046F7">
      <w:pPr>
        <w:pStyle w:val="FootnoteText"/>
        <w:contextualSpacing/>
        <w:rPr>
          <w:rFonts w:ascii="Arial" w:hAnsi="Arial" w:cs="Arial"/>
          <w:caps/>
          <w:color w:val="000000"/>
          <w:sz w:val="16"/>
          <w:szCs w:val="16"/>
          <w:bdr w:val="none" w:sz="0" w:space="0" w:color="auto" w:frame="1"/>
          <w:lang w:val="es-419"/>
        </w:rPr>
      </w:pPr>
      <w:r w:rsidRPr="00A046F7">
        <w:rPr>
          <w:rStyle w:val="FootnoteReference"/>
          <w:rFonts w:ascii="Arial" w:hAnsi="Arial" w:cs="Arial"/>
          <w:sz w:val="16"/>
          <w:szCs w:val="16"/>
        </w:rPr>
        <w:footnoteRef/>
      </w:r>
      <w:r w:rsidRPr="00A046F7">
        <w:rPr>
          <w:rFonts w:ascii="Arial" w:hAnsi="Arial" w:cs="Arial"/>
          <w:sz w:val="16"/>
          <w:szCs w:val="16"/>
          <w:lang w:val="es-ES"/>
        </w:rPr>
        <w:tab/>
        <w:t xml:space="preserve">Ver </w:t>
      </w:r>
      <w:hyperlink r:id="rId9" w:tgtFrame="_blank" w:history="1">
        <w:r w:rsidRPr="00A046F7">
          <w:rPr>
            <w:rStyle w:val="normaltextrun"/>
            <w:rFonts w:ascii="Arial" w:hAnsi="Arial" w:cs="Arial"/>
            <w:color w:val="0000FF"/>
            <w:sz w:val="16"/>
            <w:szCs w:val="16"/>
            <w:u w:val="single"/>
            <w:shd w:val="clear" w:color="auto" w:fill="FFFFFF"/>
            <w:lang w:val="es-419"/>
          </w:rPr>
          <w:t>https://www.cdc.gov/mmwr/volumes/69/wr/mm6913e2.htm</w:t>
        </w:r>
      </w:hyperlink>
      <w:r w:rsidRPr="00A046F7">
        <w:rPr>
          <w:rStyle w:val="normaltextrun"/>
          <w:rFonts w:ascii="Arial" w:hAnsi="Arial" w:cs="Arial"/>
          <w:color w:val="0000FF"/>
          <w:sz w:val="16"/>
          <w:szCs w:val="16"/>
          <w:u w:val="single"/>
          <w:shd w:val="clear" w:color="auto" w:fill="FFFFFF"/>
          <w:lang w:val="es-419"/>
        </w:rPr>
        <w:t>.</w:t>
      </w:r>
    </w:p>
  </w:footnote>
  <w:footnote w:id="22">
    <w:p w14:paraId="2BABC1CC"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ab/>
      </w:r>
      <w:r w:rsidRPr="00A046F7">
        <w:rPr>
          <w:rStyle w:val="normaltextrun"/>
          <w:rFonts w:ascii="Arial" w:hAnsi="Arial" w:cs="Arial"/>
          <w:color w:val="000000"/>
          <w:sz w:val="16"/>
          <w:szCs w:val="16"/>
          <w:bdr w:val="none" w:sz="0" w:space="0" w:color="auto" w:frame="1"/>
          <w:lang w:val="es-419"/>
        </w:rPr>
        <w:t>BID. “Medidas clave para afrontar los impactos del COVID-19 en las personas con discapacidad: enfoque diferencias en época de pandemia”, 2020. </w:t>
      </w:r>
    </w:p>
  </w:footnote>
  <w:footnote w:id="23">
    <w:p w14:paraId="773673D1" w14:textId="77777777"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eastAsiaTheme="majorEastAsia" w:hAnsi="Arial" w:cs="Arial"/>
          <w:sz w:val="16"/>
          <w:szCs w:val="16"/>
        </w:rPr>
        <w:footnoteRef/>
      </w:r>
      <w:r w:rsidRPr="00A046F7">
        <w:rPr>
          <w:rFonts w:ascii="Arial" w:hAnsi="Arial" w:cs="Arial"/>
          <w:sz w:val="16"/>
          <w:szCs w:val="16"/>
          <w:lang w:val="es-CO"/>
        </w:rPr>
        <w:t xml:space="preserve"> </w:t>
      </w:r>
      <w:r w:rsidRPr="00A046F7">
        <w:rPr>
          <w:rFonts w:ascii="Arial" w:hAnsi="Arial" w:cs="Arial"/>
          <w:sz w:val="16"/>
          <w:szCs w:val="16"/>
          <w:lang w:val="es-CO"/>
        </w:rPr>
        <w:tab/>
        <w:t>MIDES, Registro Nacional de Beneficiarios.</w:t>
      </w:r>
    </w:p>
  </w:footnote>
  <w:footnote w:id="24">
    <w:p w14:paraId="7F06086A" w14:textId="3AABB94F" w:rsidR="00B461C3" w:rsidRPr="00A046F7" w:rsidRDefault="00B461C3" w:rsidP="00A046F7">
      <w:pPr>
        <w:pStyle w:val="FootnoteText"/>
        <w:contextualSpacing/>
        <w:rPr>
          <w:rFonts w:ascii="Arial" w:hAnsi="Arial" w:cs="Arial"/>
          <w:sz w:val="16"/>
          <w:szCs w:val="16"/>
          <w:lang w:val="es-CO"/>
        </w:rPr>
      </w:pPr>
      <w:r w:rsidRPr="00A046F7">
        <w:rPr>
          <w:rStyle w:val="FootnoteReference"/>
          <w:rFonts w:ascii="Arial" w:hAnsi="Arial" w:cs="Arial"/>
          <w:sz w:val="16"/>
          <w:szCs w:val="16"/>
        </w:rPr>
        <w:footnoteRef/>
      </w:r>
      <w:r w:rsidRPr="00A046F7">
        <w:rPr>
          <w:rFonts w:ascii="Arial" w:hAnsi="Arial" w:cs="Arial"/>
          <w:sz w:val="16"/>
          <w:szCs w:val="16"/>
          <w:lang w:val="es-ES"/>
        </w:rPr>
        <w:t xml:space="preserve">  </w:t>
      </w:r>
      <w:r w:rsidR="00A046F7">
        <w:rPr>
          <w:rFonts w:ascii="Arial" w:hAnsi="Arial" w:cs="Arial"/>
          <w:sz w:val="16"/>
          <w:szCs w:val="16"/>
          <w:lang w:val="es-ES"/>
        </w:rPr>
        <w:tab/>
      </w:r>
      <w:r w:rsidRPr="00A046F7">
        <w:rPr>
          <w:rFonts w:ascii="Arial" w:hAnsi="Arial" w:cs="Arial"/>
          <w:sz w:val="16"/>
          <w:szCs w:val="16"/>
          <w:lang w:val="es-ES"/>
        </w:rPr>
        <w:t xml:space="preserve">El depósito de los PTMC se hace a través del Banco Nacional de Panamá a las cuentas bancarias simplificadas de los beneficiarios. Cada beneficiario retira el monto de la transferencia por medio de </w:t>
      </w:r>
      <w:r w:rsidRPr="00A046F7">
        <w:rPr>
          <w:rFonts w:ascii="Arial" w:hAnsi="Arial" w:cs="Arial"/>
          <w:sz w:val="16"/>
          <w:szCs w:val="16"/>
          <w:lang w:val="es-CO"/>
        </w:rPr>
        <w:t xml:space="preserve">Tarjeta Clave Social en cualquier cajero automático de la red nacional. </w:t>
      </w:r>
    </w:p>
  </w:footnote>
  <w:footnote w:id="25">
    <w:p w14:paraId="257DD580" w14:textId="77777777" w:rsidR="00B461C3" w:rsidRPr="00AA7FCC" w:rsidRDefault="00B461C3" w:rsidP="00B461C3">
      <w:pPr>
        <w:pStyle w:val="FootnoteText"/>
        <w:rPr>
          <w:rFonts w:ascii="Arial" w:hAnsi="Arial" w:cs="Arial"/>
          <w:sz w:val="16"/>
          <w:szCs w:val="16"/>
          <w:lang w:val="es-ES"/>
        </w:rPr>
      </w:pPr>
      <w:r w:rsidRPr="00AA7FCC">
        <w:rPr>
          <w:rStyle w:val="FootnoteReference"/>
          <w:rFonts w:ascii="Arial" w:hAnsi="Arial" w:cs="Arial"/>
          <w:sz w:val="16"/>
          <w:szCs w:val="16"/>
        </w:rPr>
        <w:footnoteRef/>
      </w:r>
      <w:r w:rsidRPr="00AA7FCC">
        <w:rPr>
          <w:rFonts w:ascii="Arial" w:hAnsi="Arial" w:cs="Arial"/>
          <w:sz w:val="16"/>
          <w:szCs w:val="16"/>
          <w:lang w:val="es-ES"/>
        </w:rPr>
        <w:t xml:space="preserve"> </w:t>
      </w:r>
      <w:r w:rsidRPr="00AA7FCC">
        <w:rPr>
          <w:rFonts w:ascii="Arial" w:hAnsi="Arial" w:cs="Arial"/>
          <w:sz w:val="16"/>
          <w:szCs w:val="16"/>
          <w:lang w:val="es-ES"/>
        </w:rPr>
        <w:tab/>
      </w:r>
      <w:r w:rsidRPr="00AA7FCC">
        <w:rPr>
          <w:rFonts w:ascii="Arial" w:hAnsi="Arial" w:cs="Arial"/>
          <w:sz w:val="16"/>
          <w:szCs w:val="16"/>
          <w:highlight w:val="white"/>
          <w:lang w:val="es-CO"/>
        </w:rPr>
        <w:t>En salud, los niños menores de cinco años y las mujeres embarazadas deben asistir regularmente a los controles de crecimiento y desarrollo. Los niños de 5 a 17 años deben matricularse en la escuela y asistir al menos al 85% de las clases.</w:t>
      </w:r>
    </w:p>
  </w:footnote>
  <w:footnote w:id="26">
    <w:p w14:paraId="6774673D" w14:textId="77777777" w:rsidR="00B461C3" w:rsidRPr="00AA7FCC" w:rsidRDefault="00B461C3" w:rsidP="00AA7FCC">
      <w:pPr>
        <w:pStyle w:val="FootnoteText"/>
        <w:contextualSpacing/>
        <w:rPr>
          <w:rFonts w:ascii="Arial" w:hAnsi="Arial" w:cs="Arial"/>
          <w:sz w:val="16"/>
          <w:szCs w:val="16"/>
          <w:lang w:val="es-CO"/>
        </w:rPr>
      </w:pPr>
      <w:r w:rsidRPr="00AA7FCC">
        <w:rPr>
          <w:rFonts w:ascii="Arial" w:hAnsi="Arial" w:cs="Arial"/>
          <w:sz w:val="16"/>
          <w:szCs w:val="16"/>
          <w:vertAlign w:val="superscript"/>
        </w:rPr>
        <w:footnoteRef/>
      </w:r>
      <w:r w:rsidRPr="00AA7FCC">
        <w:rPr>
          <w:rFonts w:ascii="Arial" w:hAnsi="Arial" w:cs="Arial"/>
          <w:sz w:val="16"/>
          <w:szCs w:val="16"/>
          <w:lang w:val="es-CO"/>
        </w:rPr>
        <w:t xml:space="preserve"> </w:t>
      </w:r>
      <w:r w:rsidRPr="00AA7FCC">
        <w:rPr>
          <w:rFonts w:ascii="Arial" w:hAnsi="Arial" w:cs="Arial"/>
          <w:sz w:val="16"/>
          <w:szCs w:val="16"/>
          <w:lang w:val="es-CO"/>
        </w:rPr>
        <w:tab/>
        <w:t xml:space="preserve">Resolución Ministerial No. 128 del 29 de julio de 2020 del MIDES. </w:t>
      </w:r>
    </w:p>
  </w:footnote>
  <w:footnote w:id="27">
    <w:p w14:paraId="77A983E5" w14:textId="77777777" w:rsidR="00B461C3" w:rsidRPr="00AA7FCC" w:rsidRDefault="00B461C3" w:rsidP="00AA7FCC">
      <w:pPr>
        <w:pStyle w:val="FootnoteText"/>
        <w:contextualSpacing/>
        <w:rPr>
          <w:rFonts w:ascii="Arial" w:hAnsi="Arial" w:cs="Arial"/>
          <w:sz w:val="16"/>
          <w:szCs w:val="16"/>
          <w:lang w:val="es-ES"/>
        </w:rPr>
      </w:pPr>
      <w:r w:rsidRPr="00AA7FCC">
        <w:rPr>
          <w:rStyle w:val="FootnoteReference"/>
          <w:rFonts w:ascii="Arial" w:hAnsi="Arial" w:cs="Arial"/>
          <w:sz w:val="16"/>
          <w:szCs w:val="16"/>
        </w:rPr>
        <w:footnoteRef/>
      </w:r>
      <w:r w:rsidRPr="00AA7FCC">
        <w:rPr>
          <w:rFonts w:ascii="Arial" w:hAnsi="Arial" w:cs="Arial"/>
          <w:sz w:val="16"/>
          <w:szCs w:val="16"/>
          <w:lang w:val="es-ES"/>
        </w:rPr>
        <w:t xml:space="preserve"> </w:t>
      </w:r>
      <w:r w:rsidRPr="00AA7FCC">
        <w:rPr>
          <w:rFonts w:ascii="Arial" w:hAnsi="Arial" w:cs="Arial"/>
          <w:sz w:val="16"/>
          <w:szCs w:val="16"/>
          <w:lang w:val="es-ES"/>
        </w:rPr>
        <w:tab/>
        <w:t xml:space="preserve">El fortalecimiento de las herramientas de focalización de los PTMC es </w:t>
      </w:r>
      <w:proofErr w:type="gramStart"/>
      <w:r w:rsidRPr="00AA7FCC">
        <w:rPr>
          <w:rFonts w:ascii="Arial" w:hAnsi="Arial" w:cs="Arial"/>
          <w:sz w:val="16"/>
          <w:szCs w:val="16"/>
          <w:lang w:val="es-ES"/>
        </w:rPr>
        <w:t>apoyada</w:t>
      </w:r>
      <w:proofErr w:type="gramEnd"/>
      <w:r w:rsidRPr="00AA7FCC">
        <w:rPr>
          <w:rFonts w:ascii="Arial" w:hAnsi="Arial" w:cs="Arial"/>
          <w:sz w:val="16"/>
          <w:szCs w:val="16"/>
          <w:lang w:val="es-ES"/>
        </w:rPr>
        <w:t xml:space="preserve"> por el BID mediante una serie programática dedicada a mejorar la eficiencia y gestión de los PTMC (PN-L1103, PN-L1118, y PN-L1152) y el Programa de Inclusión y Desarrollo Social (PN-L1105). </w:t>
      </w:r>
    </w:p>
  </w:footnote>
  <w:footnote w:id="28">
    <w:p w14:paraId="3D35E83F" w14:textId="77777777" w:rsidR="00B461C3" w:rsidRPr="00AA7FCC" w:rsidRDefault="00B461C3" w:rsidP="00AA7FCC">
      <w:pPr>
        <w:pStyle w:val="FootnoteText"/>
        <w:contextualSpacing/>
        <w:rPr>
          <w:rFonts w:ascii="Arial" w:hAnsi="Arial" w:cs="Arial"/>
          <w:sz w:val="16"/>
          <w:szCs w:val="16"/>
          <w:lang w:val="es-CO"/>
        </w:rPr>
      </w:pPr>
      <w:r w:rsidRPr="00AA7FCC">
        <w:rPr>
          <w:rFonts w:ascii="Arial" w:hAnsi="Arial" w:cs="Arial"/>
          <w:sz w:val="16"/>
          <w:szCs w:val="16"/>
          <w:vertAlign w:val="superscript"/>
        </w:rPr>
        <w:footnoteRef/>
      </w:r>
      <w:r w:rsidRPr="00AA7FCC">
        <w:rPr>
          <w:rFonts w:ascii="Arial" w:hAnsi="Arial" w:cs="Arial"/>
          <w:sz w:val="16"/>
          <w:szCs w:val="16"/>
          <w:lang w:val="es-CO"/>
        </w:rPr>
        <w:t xml:space="preserve"> </w:t>
      </w:r>
      <w:r w:rsidRPr="00AA7FCC">
        <w:rPr>
          <w:rFonts w:ascii="Arial" w:hAnsi="Arial" w:cs="Arial"/>
          <w:sz w:val="16"/>
          <w:szCs w:val="16"/>
          <w:lang w:val="es-CO"/>
        </w:rPr>
        <w:tab/>
        <w:t>El Programa 120 a los 65 fue creado mediante la Ley 44 de 2009.</w:t>
      </w:r>
    </w:p>
  </w:footnote>
  <w:footnote w:id="29">
    <w:p w14:paraId="581B7CB2" w14:textId="77777777" w:rsidR="00B461C3" w:rsidRPr="00AA7FCC" w:rsidRDefault="00B461C3" w:rsidP="00AA7FCC">
      <w:pPr>
        <w:pStyle w:val="FootnoteText"/>
        <w:contextualSpacing/>
        <w:rPr>
          <w:rFonts w:ascii="Arial" w:hAnsi="Arial" w:cs="Arial"/>
          <w:sz w:val="16"/>
          <w:szCs w:val="16"/>
          <w:lang w:val="es-CO"/>
        </w:rPr>
      </w:pPr>
      <w:r w:rsidRPr="00AA7FCC">
        <w:rPr>
          <w:rFonts w:ascii="Arial" w:hAnsi="Arial" w:cs="Arial"/>
          <w:sz w:val="16"/>
          <w:szCs w:val="16"/>
          <w:vertAlign w:val="superscript"/>
        </w:rPr>
        <w:footnoteRef/>
      </w:r>
      <w:r w:rsidRPr="00AA7FCC">
        <w:rPr>
          <w:rFonts w:ascii="Arial" w:hAnsi="Arial" w:cs="Arial"/>
          <w:sz w:val="16"/>
          <w:szCs w:val="16"/>
          <w:lang w:val="es-CO"/>
        </w:rPr>
        <w:t xml:space="preserve"> </w:t>
      </w:r>
      <w:r w:rsidRPr="00AA7FCC">
        <w:rPr>
          <w:rFonts w:ascii="Arial" w:hAnsi="Arial" w:cs="Arial"/>
          <w:sz w:val="16"/>
          <w:szCs w:val="16"/>
          <w:lang w:val="es-CO"/>
        </w:rPr>
        <w:tab/>
        <w:t xml:space="preserve">El Programa AG Creado mediante la Ley 39 de 2012. </w:t>
      </w:r>
    </w:p>
  </w:footnote>
  <w:footnote w:id="30">
    <w:p w14:paraId="318BA144" w14:textId="77777777" w:rsidR="00B461C3" w:rsidRPr="00AA7FCC" w:rsidRDefault="00B461C3" w:rsidP="00AA7FCC">
      <w:pPr>
        <w:pStyle w:val="FootnoteText"/>
        <w:contextualSpacing/>
        <w:rPr>
          <w:rFonts w:ascii="Arial" w:hAnsi="Arial" w:cs="Arial"/>
          <w:sz w:val="16"/>
          <w:szCs w:val="16"/>
          <w:lang w:val="es-CO"/>
        </w:rPr>
      </w:pPr>
      <w:r w:rsidRPr="00AA7FCC">
        <w:rPr>
          <w:rFonts w:ascii="Arial" w:hAnsi="Arial" w:cs="Arial"/>
          <w:sz w:val="16"/>
          <w:szCs w:val="16"/>
          <w:vertAlign w:val="superscript"/>
        </w:rPr>
        <w:footnoteRef/>
      </w:r>
      <w:r w:rsidRPr="00AA7FCC">
        <w:rPr>
          <w:rFonts w:ascii="Arial" w:hAnsi="Arial" w:cs="Arial"/>
          <w:sz w:val="16"/>
          <w:szCs w:val="16"/>
          <w:lang w:val="es-CO"/>
        </w:rPr>
        <w:t xml:space="preserve"> </w:t>
      </w:r>
      <w:r w:rsidRPr="00AA7FCC">
        <w:rPr>
          <w:rFonts w:ascii="Arial" w:hAnsi="Arial" w:cs="Arial"/>
          <w:sz w:val="16"/>
          <w:szCs w:val="16"/>
          <w:lang w:val="es-CO"/>
        </w:rPr>
        <w:tab/>
        <w:t>El Decreto Ejecutivo No. 400 del 27 de marzo de 2020 crea el Plan Panamá Solidario (</w:t>
      </w:r>
      <w:hyperlink r:id="rId10" w:history="1">
        <w:r w:rsidRPr="00AA7FCC">
          <w:rPr>
            <w:rStyle w:val="Hyperlink"/>
            <w:rFonts w:ascii="Arial" w:hAnsi="Arial" w:cs="Arial"/>
            <w:sz w:val="16"/>
            <w:szCs w:val="16"/>
            <w:lang w:val="es-CO"/>
          </w:rPr>
          <w:t>https://www.gacetaoficial.gob.pa/pdfTemp/28995_A/GacetaNo_28995a_20200403.pdf</w:t>
        </w:r>
      </w:hyperlink>
      <w:r w:rsidRPr="00AA7FCC">
        <w:rPr>
          <w:rFonts w:ascii="Arial" w:hAnsi="Arial" w:cs="Arial"/>
          <w:sz w:val="16"/>
          <w:szCs w:val="16"/>
          <w:lang w:val="es-CO"/>
        </w:rPr>
        <w:t>) y su funcionamiento es regulado por el Reglamento de Funcionamiento de Panamá Solidario adoptado mediante la Resolución 001 del 26 de mayo de 2020.</w:t>
      </w:r>
    </w:p>
  </w:footnote>
  <w:footnote w:id="31">
    <w:p w14:paraId="54B6770F" w14:textId="77777777" w:rsidR="00B461C3" w:rsidRPr="00AA7FCC" w:rsidRDefault="00B461C3" w:rsidP="00AA7FCC">
      <w:pPr>
        <w:pStyle w:val="FootnoteText"/>
        <w:contextualSpacing/>
        <w:rPr>
          <w:rFonts w:ascii="Arial" w:hAnsi="Arial" w:cs="Arial"/>
          <w:sz w:val="16"/>
          <w:szCs w:val="16"/>
          <w:lang w:val="es-ES"/>
        </w:rPr>
      </w:pPr>
      <w:r w:rsidRPr="00AA7FCC">
        <w:rPr>
          <w:rStyle w:val="FootnoteReference"/>
          <w:rFonts w:ascii="Arial" w:eastAsiaTheme="majorEastAsia" w:hAnsi="Arial" w:cs="Arial"/>
          <w:sz w:val="16"/>
          <w:szCs w:val="16"/>
        </w:rPr>
        <w:footnoteRef/>
      </w:r>
      <w:r w:rsidRPr="00AA7FCC">
        <w:rPr>
          <w:rFonts w:ascii="Arial" w:hAnsi="Arial" w:cs="Arial"/>
          <w:sz w:val="16"/>
          <w:szCs w:val="16"/>
          <w:lang w:val="es-ES"/>
        </w:rPr>
        <w:t xml:space="preserve"> </w:t>
      </w:r>
      <w:r w:rsidRPr="00AA7FCC">
        <w:rPr>
          <w:rFonts w:ascii="Arial" w:hAnsi="Arial" w:cs="Arial"/>
          <w:sz w:val="16"/>
          <w:szCs w:val="16"/>
          <w:lang w:val="es-ES"/>
        </w:rPr>
        <w:tab/>
        <w:t xml:space="preserve">El Plan excluye a servidores públicos, trabajadores asalariados activos, jubilados y pensionados, y contribuyentes cuya última declaración de renta sea superior a US$11,000.00. Los beneficiarios deben ser ciudadanos panameños o extranjeros residentes. </w:t>
      </w:r>
    </w:p>
  </w:footnote>
  <w:footnote w:id="32">
    <w:p w14:paraId="77024D9E" w14:textId="77777777" w:rsidR="00B461C3" w:rsidRPr="00AA7FCC" w:rsidRDefault="00B461C3" w:rsidP="00AA7FCC">
      <w:pPr>
        <w:pStyle w:val="FootnoteText"/>
        <w:contextualSpacing/>
        <w:rPr>
          <w:rFonts w:ascii="Arial" w:hAnsi="Arial" w:cs="Arial"/>
          <w:sz w:val="16"/>
          <w:szCs w:val="16"/>
          <w:lang w:val="es-CO"/>
        </w:rPr>
      </w:pPr>
      <w:r w:rsidRPr="00AA7FCC">
        <w:rPr>
          <w:rFonts w:ascii="Arial" w:hAnsi="Arial" w:cs="Arial"/>
          <w:sz w:val="16"/>
          <w:szCs w:val="16"/>
          <w:vertAlign w:val="superscript"/>
        </w:rPr>
        <w:footnoteRef/>
      </w:r>
      <w:r w:rsidRPr="00AA7FCC">
        <w:rPr>
          <w:rFonts w:ascii="Arial" w:hAnsi="Arial" w:cs="Arial"/>
          <w:sz w:val="16"/>
          <w:szCs w:val="16"/>
          <w:lang w:val="es-CO"/>
        </w:rPr>
        <w:t xml:space="preserve"> </w:t>
      </w:r>
      <w:r w:rsidRPr="00AA7FCC">
        <w:rPr>
          <w:rFonts w:ascii="Arial" w:hAnsi="Arial" w:cs="Arial"/>
          <w:sz w:val="16"/>
          <w:szCs w:val="16"/>
          <w:lang w:val="es-CO"/>
        </w:rPr>
        <w:tab/>
        <w:t xml:space="preserve">El monto original del VD era de US$80. A partir de julio aumentó a US $100. El programa se rige por el Manual de Procedimientos para la Modalidad Vale Digital aprobado por la Contraloría General de la República por medio de la Resolución 740-2020 del 3 de junio. </w:t>
      </w:r>
    </w:p>
  </w:footnote>
  <w:footnote w:id="33">
    <w:p w14:paraId="7D9E8CC7" w14:textId="77777777" w:rsidR="00B461C3" w:rsidRPr="00AD42FB" w:rsidRDefault="00B461C3" w:rsidP="00AD42FB">
      <w:pPr>
        <w:pStyle w:val="FootnoteText"/>
        <w:contextualSpacing/>
        <w:rPr>
          <w:rFonts w:ascii="Arial" w:hAnsi="Arial" w:cs="Arial"/>
          <w:sz w:val="16"/>
          <w:szCs w:val="16"/>
          <w:lang w:val="es-CO"/>
        </w:rPr>
      </w:pPr>
      <w:r w:rsidRPr="00AD42FB">
        <w:rPr>
          <w:rStyle w:val="FootnoteReference"/>
          <w:rFonts w:ascii="Arial" w:hAnsi="Arial" w:cs="Arial"/>
          <w:sz w:val="16"/>
          <w:szCs w:val="16"/>
        </w:rPr>
        <w:footnoteRef/>
      </w:r>
      <w:r w:rsidRPr="00AD42FB">
        <w:rPr>
          <w:rFonts w:ascii="Arial" w:hAnsi="Arial" w:cs="Arial"/>
          <w:sz w:val="16"/>
          <w:szCs w:val="16"/>
          <w:lang w:val="es-ES"/>
        </w:rPr>
        <w:t xml:space="preserve"> </w:t>
      </w:r>
      <w:r w:rsidRPr="00AD42FB">
        <w:rPr>
          <w:rFonts w:ascii="Arial" w:hAnsi="Arial" w:cs="Arial"/>
          <w:sz w:val="16"/>
          <w:szCs w:val="16"/>
          <w:lang w:val="es-CO"/>
        </w:rPr>
        <w:tab/>
        <w:t xml:space="preserve">La Ley 152 del 4 de mayo de 2020 establece que  las personas naturales o jurídicas que hayan sido suspendidas provisionalmente de sus empleos deberán recibir un bono solidario:  </w:t>
      </w:r>
      <w:hyperlink r:id="rId11" w:history="1">
        <w:r w:rsidRPr="00AD42FB">
          <w:rPr>
            <w:rStyle w:val="Hyperlink"/>
            <w:rFonts w:ascii="Arial" w:hAnsi="Arial" w:cs="Arial"/>
            <w:sz w:val="16"/>
            <w:szCs w:val="16"/>
            <w:lang w:val="es-CO"/>
          </w:rPr>
          <w:t>https://www.gacetaoficial.gob.pa/pdfTemp/29016_A/78340.pdf</w:t>
        </w:r>
      </w:hyperlink>
      <w:r w:rsidRPr="00AD42FB">
        <w:rPr>
          <w:rFonts w:ascii="Arial" w:hAnsi="Arial" w:cs="Arial"/>
          <w:sz w:val="16"/>
          <w:szCs w:val="16"/>
          <w:lang w:val="es-CO"/>
        </w:rPr>
        <w:t xml:space="preserve">. </w:t>
      </w:r>
    </w:p>
  </w:footnote>
  <w:footnote w:id="34">
    <w:p w14:paraId="468BAEDF" w14:textId="77777777" w:rsidR="00B461C3" w:rsidRPr="00AD42FB" w:rsidRDefault="00B461C3" w:rsidP="00AD42FB">
      <w:pPr>
        <w:pStyle w:val="FootnoteText"/>
        <w:contextualSpacing/>
        <w:rPr>
          <w:rFonts w:ascii="Arial" w:hAnsi="Arial" w:cs="Arial"/>
          <w:sz w:val="16"/>
          <w:szCs w:val="16"/>
          <w:lang w:val="es-ES"/>
        </w:rPr>
      </w:pPr>
      <w:r w:rsidRPr="00AD42FB">
        <w:rPr>
          <w:rStyle w:val="FootnoteReference"/>
          <w:rFonts w:ascii="Arial" w:hAnsi="Arial" w:cs="Arial"/>
          <w:sz w:val="16"/>
          <w:szCs w:val="16"/>
        </w:rPr>
        <w:footnoteRef/>
      </w:r>
      <w:r w:rsidRPr="00AD42FB">
        <w:rPr>
          <w:rFonts w:ascii="Arial" w:hAnsi="Arial" w:cs="Arial"/>
          <w:sz w:val="16"/>
          <w:szCs w:val="16"/>
          <w:lang w:val="es-ES"/>
        </w:rPr>
        <w:tab/>
        <w:t xml:space="preserve">AIG. Reporte de base de datos del Vale Digital al 20 de octubre de 2020. </w:t>
      </w:r>
    </w:p>
  </w:footnote>
  <w:footnote w:id="35">
    <w:p w14:paraId="77C06F29" w14:textId="77777777" w:rsidR="00B461C3" w:rsidRPr="00AD42FB" w:rsidRDefault="00B461C3" w:rsidP="00AD42FB">
      <w:pPr>
        <w:pStyle w:val="FootnoteText"/>
        <w:contextualSpacing/>
        <w:rPr>
          <w:rFonts w:ascii="Arial" w:hAnsi="Arial" w:cs="Arial"/>
          <w:sz w:val="16"/>
          <w:szCs w:val="16"/>
          <w:lang w:val="es-CO"/>
        </w:rPr>
      </w:pPr>
      <w:r w:rsidRPr="00AD42FB">
        <w:rPr>
          <w:rStyle w:val="FootnoteReference"/>
          <w:rFonts w:ascii="Arial" w:hAnsi="Arial" w:cs="Arial"/>
          <w:sz w:val="16"/>
          <w:szCs w:val="16"/>
        </w:rPr>
        <w:footnoteRef/>
      </w:r>
      <w:r w:rsidRPr="00AD42FB">
        <w:rPr>
          <w:rFonts w:ascii="Arial" w:hAnsi="Arial" w:cs="Arial"/>
          <w:sz w:val="16"/>
          <w:szCs w:val="16"/>
          <w:lang w:val="es-ES"/>
        </w:rPr>
        <w:t xml:space="preserve"> </w:t>
      </w:r>
      <w:r w:rsidRPr="00AD42FB">
        <w:rPr>
          <w:rFonts w:ascii="Arial" w:hAnsi="Arial" w:cs="Arial"/>
          <w:sz w:val="16"/>
          <w:szCs w:val="16"/>
          <w:lang w:val="es-ES"/>
        </w:rPr>
        <w:tab/>
        <w:t xml:space="preserve">MITRADEL: </w:t>
      </w:r>
      <w:hyperlink r:id="rId12" w:history="1">
        <w:r w:rsidRPr="00AD42FB">
          <w:rPr>
            <w:rStyle w:val="Hyperlink"/>
            <w:rFonts w:ascii="Arial" w:hAnsi="Arial" w:cs="Arial"/>
            <w:sz w:val="16"/>
            <w:szCs w:val="16"/>
            <w:lang w:val="es-ES"/>
          </w:rPr>
          <w:t>www.mitradel.gob.pa/wp-content/uploads/2020/10/INFORME-PARA-LA-WEB-SUSPEN-VS.-REACTIVADOS-8-DE-OCTUBRE.pdf</w:t>
        </w:r>
      </w:hyperlink>
      <w:r w:rsidRPr="00AD42FB">
        <w:rPr>
          <w:rFonts w:ascii="Arial" w:hAnsi="Arial" w:cs="Arial"/>
          <w:sz w:val="16"/>
          <w:szCs w:val="16"/>
          <w:lang w:val="es-ES"/>
        </w:rPr>
        <w:t xml:space="preserve">. </w:t>
      </w:r>
    </w:p>
  </w:footnote>
  <w:footnote w:id="36">
    <w:p w14:paraId="2C75630B" w14:textId="77777777" w:rsidR="00B461C3" w:rsidRPr="00AD42FB" w:rsidRDefault="00B461C3" w:rsidP="00AD42FB">
      <w:pPr>
        <w:pStyle w:val="FootnoteText"/>
        <w:contextualSpacing/>
        <w:rPr>
          <w:rFonts w:ascii="Arial" w:hAnsi="Arial" w:cs="Arial"/>
          <w:sz w:val="16"/>
          <w:szCs w:val="16"/>
          <w:lang w:val="es-CO"/>
        </w:rPr>
      </w:pPr>
      <w:r w:rsidRPr="00AD42FB">
        <w:rPr>
          <w:rStyle w:val="FootnoteReference"/>
          <w:rFonts w:ascii="Arial" w:hAnsi="Arial" w:cs="Arial"/>
          <w:sz w:val="16"/>
          <w:szCs w:val="16"/>
        </w:rPr>
        <w:footnoteRef/>
      </w:r>
      <w:r w:rsidRPr="00AD42FB">
        <w:rPr>
          <w:rFonts w:ascii="Arial" w:hAnsi="Arial" w:cs="Arial"/>
          <w:sz w:val="16"/>
          <w:szCs w:val="16"/>
          <w:lang w:val="es-ES"/>
        </w:rPr>
        <w:t xml:space="preserve"> </w:t>
      </w:r>
      <w:r w:rsidRPr="00AD42FB">
        <w:rPr>
          <w:rFonts w:ascii="Arial" w:hAnsi="Arial" w:cs="Arial"/>
          <w:sz w:val="16"/>
          <w:szCs w:val="16"/>
          <w:lang w:val="es-CO"/>
        </w:rPr>
        <w:t xml:space="preserve">  El monto del VD equivale a 17% del salario mínimo mensual.  </w:t>
      </w:r>
    </w:p>
  </w:footnote>
  <w:footnote w:id="37">
    <w:p w14:paraId="70E6CC8E" w14:textId="77777777" w:rsidR="00967164" w:rsidRPr="00E352C9" w:rsidRDefault="00967164" w:rsidP="00967164">
      <w:pPr>
        <w:pStyle w:val="FootnoteText"/>
        <w:rPr>
          <w:rFonts w:ascii="Arial" w:hAnsi="Arial" w:cs="Arial"/>
          <w:sz w:val="18"/>
          <w:szCs w:val="18"/>
          <w:lang w:val="es-ES"/>
        </w:rPr>
      </w:pPr>
      <w:r w:rsidRPr="00315203">
        <w:rPr>
          <w:rStyle w:val="FootnoteReference"/>
          <w:rFonts w:ascii="Arial" w:hAnsi="Arial" w:cs="Arial"/>
          <w:sz w:val="18"/>
          <w:szCs w:val="18"/>
        </w:rPr>
        <w:footnoteRef/>
      </w:r>
      <w:r w:rsidRPr="00E352C9">
        <w:rPr>
          <w:rFonts w:ascii="Arial" w:hAnsi="Arial" w:cs="Arial"/>
          <w:sz w:val="18"/>
          <w:szCs w:val="18"/>
          <w:lang w:val="es-ES"/>
        </w:rPr>
        <w:t xml:space="preserve"> </w:t>
      </w:r>
      <w:r w:rsidRPr="00E352C9">
        <w:rPr>
          <w:rFonts w:ascii="Arial" w:hAnsi="Arial" w:cs="Arial"/>
          <w:sz w:val="18"/>
          <w:szCs w:val="18"/>
          <w:lang w:val="es-ES"/>
        </w:rPr>
        <w:tab/>
        <w:t xml:space="preserve">El pago del VD se da de forma escalonada a lo largo de 5 días para evitar aglomeraciones en los comercios. </w:t>
      </w:r>
    </w:p>
  </w:footnote>
  <w:footnote w:id="38">
    <w:p w14:paraId="712B8024" w14:textId="77777777" w:rsidR="008B70FF" w:rsidRDefault="008B70FF" w:rsidP="008B70FF">
      <w:pPr>
        <w:ind w:left="288" w:hanging="288"/>
        <w:jc w:val="both"/>
        <w:rPr>
          <w:rFonts w:ascii="Arial" w:hAnsi="Arial" w:cs="Arial"/>
          <w:lang w:val="es-419"/>
        </w:rPr>
      </w:pPr>
      <w:r w:rsidRPr="00CD3116">
        <w:rPr>
          <w:rStyle w:val="FootnoteReference"/>
          <w:rFonts w:ascii="Arial" w:hAnsi="Arial" w:cs="Arial"/>
          <w:sz w:val="16"/>
          <w:szCs w:val="16"/>
        </w:rPr>
        <w:footnoteRef/>
      </w:r>
      <w:r w:rsidRPr="008B70FF">
        <w:rPr>
          <w:rFonts w:ascii="Arial" w:hAnsi="Arial" w:cs="Arial"/>
          <w:sz w:val="16"/>
          <w:szCs w:val="16"/>
          <w:lang w:val="es-ES_tradnl"/>
        </w:rPr>
        <w:t xml:space="preserve"> </w:t>
      </w:r>
      <w:r w:rsidRPr="008B70FF">
        <w:rPr>
          <w:rFonts w:ascii="Arial" w:hAnsi="Arial" w:cs="Arial"/>
          <w:sz w:val="16"/>
          <w:szCs w:val="16"/>
          <w:lang w:val="es-ES_tradnl"/>
        </w:rPr>
        <w:tab/>
        <w:t>Las metas del</w:t>
      </w:r>
      <w:r w:rsidRPr="008B70FF">
        <w:rPr>
          <w:sz w:val="16"/>
          <w:szCs w:val="16"/>
          <w:lang w:val="es-ES_tradnl"/>
        </w:rPr>
        <w:t xml:space="preserve"> </w:t>
      </w:r>
      <w:r w:rsidRPr="007D1542">
        <w:rPr>
          <w:rFonts w:ascii="Arial" w:hAnsi="Arial" w:cs="Arial"/>
          <w:sz w:val="16"/>
          <w:szCs w:val="16"/>
          <w:lang w:val="es-419"/>
        </w:rPr>
        <w:t>Programa</w:t>
      </w:r>
      <w:r w:rsidRPr="00CD3116">
        <w:rPr>
          <w:rFonts w:ascii="Arial" w:hAnsi="Arial" w:cs="Arial"/>
          <w:sz w:val="16"/>
          <w:szCs w:val="16"/>
          <w:lang w:val="es-419"/>
        </w:rPr>
        <w:t xml:space="preserve"> no son incrementales toda </w:t>
      </w:r>
      <w:r>
        <w:rPr>
          <w:rFonts w:ascii="Arial" w:hAnsi="Arial" w:cs="Arial"/>
          <w:sz w:val="16"/>
          <w:szCs w:val="16"/>
          <w:lang w:val="es-419"/>
        </w:rPr>
        <w:t xml:space="preserve">vez que el financiamiento, </w:t>
      </w:r>
      <w:r>
        <w:rPr>
          <w:rFonts w:ascii="Arial" w:hAnsi="Arial" w:cs="Arial"/>
          <w:sz w:val="18"/>
          <w:szCs w:val="18"/>
          <w:lang w:val="es-419"/>
        </w:rPr>
        <w:t>t</w:t>
      </w:r>
      <w:r w:rsidRPr="00CD3116">
        <w:rPr>
          <w:rFonts w:ascii="Arial" w:hAnsi="Arial" w:cs="Arial"/>
          <w:sz w:val="16"/>
          <w:szCs w:val="16"/>
          <w:lang w:val="es-419"/>
        </w:rPr>
        <w:t xml:space="preserve">anto </w:t>
      </w:r>
      <w:r>
        <w:rPr>
          <w:rFonts w:ascii="Arial" w:hAnsi="Arial" w:cs="Arial"/>
          <w:sz w:val="16"/>
          <w:szCs w:val="16"/>
          <w:lang w:val="es-419"/>
        </w:rPr>
        <w:t xml:space="preserve">de </w:t>
      </w:r>
      <w:r w:rsidRPr="00CD3116">
        <w:rPr>
          <w:rFonts w:ascii="Arial" w:hAnsi="Arial" w:cs="Arial"/>
          <w:sz w:val="16"/>
          <w:szCs w:val="16"/>
          <w:lang w:val="es-419"/>
        </w:rPr>
        <w:t xml:space="preserve">los </w:t>
      </w:r>
      <w:r>
        <w:rPr>
          <w:rFonts w:ascii="Arial" w:hAnsi="Arial" w:cs="Arial"/>
          <w:sz w:val="16"/>
          <w:szCs w:val="16"/>
          <w:lang w:val="es-419"/>
        </w:rPr>
        <w:t>PTMC e</w:t>
      </w:r>
      <w:r w:rsidRPr="00CD3116">
        <w:rPr>
          <w:rFonts w:ascii="Arial" w:hAnsi="Arial" w:cs="Arial"/>
          <w:sz w:val="16"/>
          <w:szCs w:val="16"/>
          <w:lang w:val="es-419"/>
        </w:rPr>
        <w:t>xistentes como el Vale Digital</w:t>
      </w:r>
      <w:r>
        <w:rPr>
          <w:rFonts w:ascii="Arial" w:hAnsi="Arial" w:cs="Arial"/>
          <w:sz w:val="16"/>
          <w:szCs w:val="16"/>
          <w:lang w:val="es-419"/>
        </w:rPr>
        <w:t>,</w:t>
      </w:r>
      <w:r w:rsidRPr="00CD3116">
        <w:rPr>
          <w:rFonts w:ascii="Arial" w:hAnsi="Arial" w:cs="Arial"/>
          <w:sz w:val="16"/>
          <w:szCs w:val="16"/>
          <w:lang w:val="es-419"/>
        </w:rPr>
        <w:t xml:space="preserve"> tienen por objetivo apoyar niveles mínimos de ingresos a las poblaciones vulnerables ante el COVID-19, quienes incluso antes de la pandemia ya eran pobres y pobres extremos, o mantenían ingresos inferiores al resto de la población económicamente activa por su alta participación en el sector no formal de la economía. </w:t>
      </w:r>
      <w:r>
        <w:rPr>
          <w:rFonts w:ascii="Arial" w:hAnsi="Arial" w:cs="Arial"/>
          <w:sz w:val="16"/>
          <w:szCs w:val="16"/>
          <w:lang w:val="es-419"/>
        </w:rPr>
        <w:t xml:space="preserve">En el caso del indicador de impacto, por </w:t>
      </w:r>
      <w:proofErr w:type="gramStart"/>
      <w:r>
        <w:rPr>
          <w:rFonts w:ascii="Arial" w:hAnsi="Arial" w:cs="Arial"/>
          <w:sz w:val="16"/>
          <w:szCs w:val="16"/>
          <w:lang w:val="es-419"/>
        </w:rPr>
        <w:t>tanto</w:t>
      </w:r>
      <w:proofErr w:type="gramEnd"/>
      <w:r>
        <w:rPr>
          <w:rFonts w:ascii="Arial" w:hAnsi="Arial" w:cs="Arial"/>
          <w:sz w:val="16"/>
          <w:szCs w:val="16"/>
          <w:lang w:val="es-419"/>
        </w:rPr>
        <w:t xml:space="preserve"> no se prevé un aumento </w:t>
      </w:r>
      <w:r w:rsidRPr="00CD3116">
        <w:rPr>
          <w:rFonts w:ascii="Arial" w:hAnsi="Arial" w:cs="Arial"/>
          <w:sz w:val="16"/>
          <w:szCs w:val="16"/>
          <w:lang w:val="es-419"/>
        </w:rPr>
        <w:t>en el nivel de ingresos de la población</w:t>
      </w:r>
      <w:r>
        <w:rPr>
          <w:rFonts w:ascii="Arial" w:hAnsi="Arial" w:cs="Arial"/>
          <w:sz w:val="16"/>
          <w:szCs w:val="16"/>
          <w:lang w:val="es-419"/>
        </w:rPr>
        <w:t xml:space="preserve"> sino su sostenimiento</w:t>
      </w:r>
      <w:r w:rsidRPr="00CD3116">
        <w:rPr>
          <w:rFonts w:ascii="Arial" w:hAnsi="Arial" w:cs="Arial"/>
          <w:sz w:val="16"/>
          <w:szCs w:val="16"/>
          <w:lang w:val="es-419"/>
        </w:rPr>
        <w:t xml:space="preserve">. En el caso de los indicadores de resultado y de producto, las metas tampoco son incrementales ya que, debido a las restricciones fiscales actuales, no se prevé una ampliación en la cantidad de beneficiarios de los PTMC existentes, sino más bien </w:t>
      </w:r>
      <w:r>
        <w:rPr>
          <w:rFonts w:ascii="Arial" w:hAnsi="Arial" w:cs="Arial"/>
          <w:sz w:val="16"/>
          <w:szCs w:val="16"/>
          <w:lang w:val="es-419"/>
        </w:rPr>
        <w:t xml:space="preserve">sostener el apoyo al consumo de los beneficiarios existentes. </w:t>
      </w:r>
    </w:p>
    <w:p w14:paraId="2CDFDFBD" w14:textId="77777777" w:rsidR="008B70FF" w:rsidRPr="00CD3116" w:rsidRDefault="008B70FF" w:rsidP="008B70FF">
      <w:pPr>
        <w:pStyle w:val="FootnoteText"/>
        <w:rPr>
          <w:lang w:val="es-419"/>
        </w:rPr>
      </w:pPr>
    </w:p>
  </w:footnote>
  <w:footnote w:id="39">
    <w:p w14:paraId="2397167A" w14:textId="77777777" w:rsidR="008B70FF" w:rsidRPr="00961017" w:rsidRDefault="008B70FF" w:rsidP="008B70FF">
      <w:pPr>
        <w:ind w:left="288" w:hanging="288"/>
        <w:jc w:val="both"/>
        <w:rPr>
          <w:rFonts w:ascii="Arial" w:hAnsi="Arial" w:cs="Arial"/>
          <w:sz w:val="18"/>
          <w:szCs w:val="18"/>
          <w:lang w:val="es-419"/>
        </w:rPr>
      </w:pPr>
      <w:r w:rsidRPr="00961017">
        <w:rPr>
          <w:rStyle w:val="FootnoteReference"/>
          <w:rFonts w:ascii="Arial" w:hAnsi="Arial" w:cs="Arial"/>
          <w:sz w:val="18"/>
          <w:szCs w:val="18"/>
        </w:rPr>
        <w:footnoteRef/>
      </w:r>
      <w:r w:rsidRPr="00961017">
        <w:rPr>
          <w:rFonts w:ascii="Arial" w:hAnsi="Arial" w:cs="Arial"/>
          <w:sz w:val="18"/>
          <w:szCs w:val="18"/>
          <w:lang w:val="es-ES"/>
        </w:rPr>
        <w:t xml:space="preserve"> </w:t>
      </w:r>
      <w:r>
        <w:rPr>
          <w:rFonts w:ascii="Arial" w:hAnsi="Arial" w:cs="Arial"/>
          <w:sz w:val="18"/>
          <w:szCs w:val="18"/>
          <w:lang w:val="es-ES"/>
        </w:rPr>
        <w:tab/>
      </w:r>
      <w:r w:rsidRPr="00961017">
        <w:rPr>
          <w:rFonts w:ascii="Arial" w:hAnsi="Arial" w:cs="Arial"/>
          <w:sz w:val="18"/>
          <w:szCs w:val="18"/>
          <w:lang w:val="es-419"/>
        </w:rPr>
        <w:t xml:space="preserve">Acevedo, I.; </w:t>
      </w:r>
      <w:proofErr w:type="spellStart"/>
      <w:r w:rsidRPr="00961017">
        <w:rPr>
          <w:rFonts w:ascii="Arial" w:hAnsi="Arial" w:cs="Arial"/>
          <w:sz w:val="18"/>
          <w:szCs w:val="18"/>
          <w:lang w:val="es-419"/>
        </w:rPr>
        <w:t>Castellani</w:t>
      </w:r>
      <w:proofErr w:type="spellEnd"/>
      <w:r w:rsidRPr="00961017">
        <w:rPr>
          <w:rFonts w:ascii="Arial" w:hAnsi="Arial" w:cs="Arial"/>
          <w:sz w:val="18"/>
          <w:szCs w:val="18"/>
          <w:lang w:val="es-419"/>
        </w:rPr>
        <w:t xml:space="preserve">, F.; Flores., I.; Lotti., G. y </w:t>
      </w:r>
      <w:proofErr w:type="spellStart"/>
      <w:r w:rsidRPr="00961017">
        <w:rPr>
          <w:rFonts w:ascii="Arial" w:hAnsi="Arial" w:cs="Arial"/>
          <w:sz w:val="18"/>
          <w:szCs w:val="18"/>
          <w:lang w:val="es-419"/>
        </w:rPr>
        <w:t>Székely</w:t>
      </w:r>
      <w:proofErr w:type="spellEnd"/>
      <w:r w:rsidRPr="00961017">
        <w:rPr>
          <w:rFonts w:ascii="Arial" w:hAnsi="Arial" w:cs="Arial"/>
          <w:sz w:val="18"/>
          <w:szCs w:val="18"/>
          <w:lang w:val="es-419"/>
        </w:rPr>
        <w:t xml:space="preserve">, M. 2020. </w:t>
      </w:r>
      <w:r w:rsidRPr="00E74FE6">
        <w:rPr>
          <w:rFonts w:ascii="Arial" w:hAnsi="Arial" w:cs="Arial"/>
          <w:sz w:val="18"/>
          <w:szCs w:val="18"/>
          <w:lang w:val="es-419"/>
        </w:rPr>
        <w:t>Implicaciones sociales del Covid-19: Estimaciones y alternativas para América Latina y El Caribe. BID, Documento para Discusión IDB-DP-820.</w:t>
      </w:r>
      <w:hyperlink r:id="rId13" w:history="1">
        <w:r w:rsidRPr="00E74FE6">
          <w:rPr>
            <w:rStyle w:val="Hyperlink1"/>
            <w:rFonts w:ascii="Arial" w:hAnsi="Arial" w:cs="Arial"/>
            <w:sz w:val="18"/>
            <w:szCs w:val="18"/>
            <w:lang w:val="es-419"/>
          </w:rPr>
          <w:t>https://publications.iadb.org/publications/spanish/document/Implicaciones-sociales-del-Covid-19-Estimaciones-y-alternativas-para-America-Latina-y-El-Caribe.pdf</w:t>
        </w:r>
      </w:hyperlink>
      <w:r>
        <w:rPr>
          <w:rStyle w:val="Hyperlink1"/>
          <w:rFonts w:ascii="Arial" w:hAnsi="Arial" w:cs="Arial"/>
          <w:sz w:val="18"/>
          <w:szCs w:val="18"/>
          <w:lang w:val="es-419"/>
        </w:rPr>
        <w:t>.</w:t>
      </w:r>
    </w:p>
    <w:p w14:paraId="7645FE5D" w14:textId="77777777" w:rsidR="008B70FF" w:rsidRPr="00961017" w:rsidRDefault="008B70FF" w:rsidP="008B70FF">
      <w:pPr>
        <w:ind w:left="288" w:hanging="288"/>
        <w:rPr>
          <w:sz w:val="18"/>
          <w:szCs w:val="18"/>
          <w:lang w:val="es-419"/>
        </w:rPr>
      </w:pPr>
    </w:p>
    <w:p w14:paraId="763C30E4" w14:textId="77777777" w:rsidR="008B70FF" w:rsidRPr="00961017" w:rsidRDefault="008B70FF" w:rsidP="008B70FF">
      <w:pPr>
        <w:pStyle w:val="FootnoteText"/>
        <w:rPr>
          <w:sz w:val="18"/>
          <w:szCs w:val="18"/>
          <w:lang w:val="es-419"/>
        </w:rPr>
      </w:pPr>
    </w:p>
  </w:footnote>
  <w:footnote w:id="40">
    <w:p w14:paraId="5CB618E0" w14:textId="32D32B73" w:rsidR="00746113" w:rsidRPr="00746113" w:rsidRDefault="00746113" w:rsidP="00A134C4">
      <w:pPr>
        <w:pStyle w:val="FootnoteText"/>
        <w:contextualSpacing/>
        <w:rPr>
          <w:rFonts w:ascii="Arial" w:hAnsi="Arial" w:cs="Arial"/>
          <w:sz w:val="16"/>
          <w:szCs w:val="16"/>
          <w:lang w:val="es-ES"/>
        </w:rPr>
      </w:pPr>
      <w:r w:rsidRPr="00746113">
        <w:rPr>
          <w:rStyle w:val="FootnoteReference"/>
          <w:rFonts w:ascii="Arial" w:hAnsi="Arial" w:cs="Arial"/>
          <w:sz w:val="16"/>
          <w:szCs w:val="16"/>
        </w:rPr>
        <w:footnoteRef/>
      </w:r>
      <w:r w:rsidRPr="00746113">
        <w:rPr>
          <w:rFonts w:ascii="Arial" w:hAnsi="Arial" w:cs="Arial"/>
          <w:sz w:val="16"/>
          <w:szCs w:val="16"/>
          <w:lang w:val="es-ES"/>
        </w:rPr>
        <w:t xml:space="preserve"> Debido a la crisis sanitaria este taller lo realizará el equipo del Banco junto con el OE de manera virtual, por lo que no tendrá costos asociados.</w:t>
      </w:r>
    </w:p>
  </w:footnote>
  <w:footnote w:id="41">
    <w:p w14:paraId="4B9732CB" w14:textId="6BF17A87" w:rsidR="00746113" w:rsidRPr="00746113" w:rsidRDefault="00746113" w:rsidP="00A134C4">
      <w:pPr>
        <w:pStyle w:val="FootnoteText"/>
        <w:contextualSpacing/>
        <w:rPr>
          <w:rFonts w:ascii="Arial" w:hAnsi="Arial" w:cs="Arial"/>
          <w:sz w:val="16"/>
          <w:szCs w:val="16"/>
          <w:lang w:val="es-ES"/>
        </w:rPr>
      </w:pPr>
      <w:r w:rsidRPr="00746113">
        <w:rPr>
          <w:rStyle w:val="FootnoteReference"/>
          <w:rFonts w:ascii="Arial" w:hAnsi="Arial" w:cs="Arial"/>
          <w:sz w:val="16"/>
          <w:szCs w:val="16"/>
        </w:rPr>
        <w:footnoteRef/>
      </w:r>
      <w:r w:rsidRPr="00746113">
        <w:rPr>
          <w:rFonts w:ascii="Arial" w:hAnsi="Arial" w:cs="Arial"/>
          <w:sz w:val="16"/>
          <w:szCs w:val="16"/>
          <w:lang w:val="es-ES"/>
        </w:rPr>
        <w:t xml:space="preserve"> Debido a la crisis sanitaria se realizarán misiones y reuniones de seguimiento virtuales, por lo que no habrá costos asociados.</w:t>
      </w:r>
    </w:p>
  </w:footnote>
  <w:footnote w:id="42">
    <w:p w14:paraId="7768535E" w14:textId="5C124E10" w:rsidR="00746113" w:rsidRPr="00746113" w:rsidRDefault="00746113" w:rsidP="00A134C4">
      <w:pPr>
        <w:pStyle w:val="FootnoteText"/>
        <w:contextualSpacing/>
        <w:rPr>
          <w:rFonts w:ascii="Arial" w:hAnsi="Arial" w:cs="Arial"/>
          <w:sz w:val="16"/>
          <w:szCs w:val="16"/>
          <w:lang w:val="es-ES"/>
        </w:rPr>
      </w:pPr>
      <w:r w:rsidRPr="00746113">
        <w:rPr>
          <w:rStyle w:val="FootnoteReference"/>
          <w:rFonts w:ascii="Arial" w:hAnsi="Arial" w:cs="Arial"/>
          <w:sz w:val="16"/>
          <w:szCs w:val="16"/>
        </w:rPr>
        <w:footnoteRef/>
      </w:r>
      <w:r w:rsidRPr="00746113">
        <w:rPr>
          <w:rFonts w:ascii="Arial" w:hAnsi="Arial" w:cs="Arial"/>
          <w:sz w:val="16"/>
          <w:szCs w:val="16"/>
          <w:lang w:val="es-ES"/>
        </w:rPr>
        <w:t xml:space="preserve"> Se determinará con el jefe de equipo el momento oportuno para elaborar el PEP y POA en el primer año de ejecución.</w:t>
      </w:r>
    </w:p>
  </w:footnote>
  <w:footnote w:id="43">
    <w:p w14:paraId="3A2C283F" w14:textId="013834BF" w:rsidR="00746113" w:rsidRPr="00746113" w:rsidRDefault="00746113" w:rsidP="00A134C4">
      <w:pPr>
        <w:pStyle w:val="FootnoteText"/>
        <w:contextualSpacing/>
        <w:rPr>
          <w:rFonts w:ascii="Arial" w:hAnsi="Arial" w:cs="Arial"/>
          <w:sz w:val="16"/>
          <w:szCs w:val="16"/>
          <w:lang w:val="es-ES"/>
        </w:rPr>
      </w:pPr>
      <w:r w:rsidRPr="00746113">
        <w:rPr>
          <w:rStyle w:val="FootnoteReference"/>
          <w:rFonts w:ascii="Arial" w:hAnsi="Arial" w:cs="Arial"/>
          <w:sz w:val="16"/>
          <w:szCs w:val="16"/>
        </w:rPr>
        <w:footnoteRef/>
      </w:r>
      <w:r w:rsidRPr="00746113">
        <w:rPr>
          <w:rFonts w:ascii="Arial" w:hAnsi="Arial" w:cs="Arial"/>
          <w:sz w:val="16"/>
          <w:szCs w:val="16"/>
          <w:lang w:val="es-ES"/>
        </w:rPr>
        <w:t xml:space="preserve"> La Auditoría será financiada con fondos del préstamo, incluidos en la matriz de costos.</w:t>
      </w:r>
    </w:p>
  </w:footnote>
  <w:footnote w:id="44">
    <w:p w14:paraId="27AAF244" w14:textId="6F2791A1" w:rsidR="00746113" w:rsidRPr="00746113" w:rsidRDefault="00746113" w:rsidP="00A134C4">
      <w:pPr>
        <w:pStyle w:val="FootnoteText"/>
        <w:contextualSpacing/>
        <w:rPr>
          <w:rFonts w:ascii="Arial" w:hAnsi="Arial" w:cs="Arial"/>
          <w:sz w:val="16"/>
          <w:szCs w:val="16"/>
          <w:lang w:val="es-ES"/>
        </w:rPr>
      </w:pPr>
      <w:r w:rsidRPr="00746113">
        <w:rPr>
          <w:rStyle w:val="FootnoteReference"/>
          <w:rFonts w:ascii="Arial" w:hAnsi="Arial" w:cs="Arial"/>
          <w:sz w:val="16"/>
          <w:szCs w:val="16"/>
        </w:rPr>
        <w:footnoteRef/>
      </w:r>
      <w:r w:rsidRPr="00746113">
        <w:rPr>
          <w:rFonts w:ascii="Arial" w:hAnsi="Arial" w:cs="Arial"/>
          <w:sz w:val="16"/>
          <w:szCs w:val="16"/>
          <w:lang w:val="es-ES"/>
        </w:rPr>
        <w:t xml:space="preserve"> Este taller será financiado con fondos de supervisión adicionales a la operación.</w:t>
      </w:r>
    </w:p>
  </w:footnote>
  <w:footnote w:id="45">
    <w:p w14:paraId="420EEECA" w14:textId="044E618C" w:rsidR="007E2B2F" w:rsidRPr="00A134C4" w:rsidRDefault="007E2B2F" w:rsidP="006C1331">
      <w:pPr>
        <w:pStyle w:val="FootnoteText"/>
        <w:spacing w:after="0"/>
        <w:rPr>
          <w:rFonts w:ascii="Arial" w:hAnsi="Arial" w:cs="Arial"/>
          <w:sz w:val="16"/>
          <w:szCs w:val="16"/>
        </w:rPr>
      </w:pPr>
      <w:r w:rsidRPr="00A134C4">
        <w:rPr>
          <w:rStyle w:val="FootnoteReference"/>
          <w:rFonts w:ascii="Arial" w:hAnsi="Arial" w:cs="Arial"/>
          <w:sz w:val="16"/>
          <w:szCs w:val="16"/>
        </w:rPr>
        <w:footnoteRef/>
      </w:r>
      <w:r w:rsidRPr="00A134C4">
        <w:rPr>
          <w:rFonts w:ascii="Arial" w:hAnsi="Arial" w:cs="Arial"/>
          <w:sz w:val="16"/>
          <w:szCs w:val="16"/>
          <w:lang w:val="es-AR"/>
        </w:rPr>
        <w:t xml:space="preserve"> </w:t>
      </w:r>
      <w:r w:rsidRPr="00A134C4">
        <w:rPr>
          <w:rFonts w:ascii="Arial" w:hAnsi="Arial" w:cs="Arial"/>
          <w:sz w:val="16"/>
          <w:szCs w:val="16"/>
          <w:lang w:val="es-AR"/>
        </w:rPr>
        <w:tab/>
        <w:t xml:space="preserve">Para una revisión sistemática ver Ahmed et al. </w:t>
      </w:r>
      <w:r w:rsidRPr="00A134C4">
        <w:rPr>
          <w:rFonts w:ascii="Arial" w:hAnsi="Arial" w:cs="Arial"/>
          <w:sz w:val="16"/>
          <w:szCs w:val="16"/>
        </w:rPr>
        <w:t xml:space="preserve">“Effectiveness of workplace social distancing measures in reducing influenza transmission: a systematic review”. BMC Public Health (2018) 18:518. Disponible en: </w:t>
      </w:r>
      <w:hyperlink r:id="rId14" w:history="1">
        <w:r w:rsidRPr="00A134C4">
          <w:rPr>
            <w:rStyle w:val="Hyperlink"/>
            <w:rFonts w:ascii="Arial" w:hAnsi="Arial" w:cs="Arial"/>
            <w:sz w:val="16"/>
            <w:szCs w:val="16"/>
          </w:rPr>
          <w:t>https://doi.org/10.1186/s12889-018-5446-1</w:t>
        </w:r>
      </w:hyperlink>
      <w:r w:rsidRPr="00A134C4">
        <w:rPr>
          <w:rStyle w:val="Hyperlink"/>
          <w:rFonts w:ascii="Arial" w:hAnsi="Arial" w:cs="Arial"/>
          <w:sz w:val="16"/>
          <w:szCs w:val="16"/>
        </w:rPr>
        <w:t>.</w:t>
      </w:r>
      <w:r w:rsidRPr="00A134C4">
        <w:rPr>
          <w:rFonts w:ascii="Arial" w:hAnsi="Arial" w:cs="Arial"/>
          <w:sz w:val="16"/>
          <w:szCs w:val="16"/>
        </w:rPr>
        <w:t xml:space="preserve"> </w:t>
      </w:r>
    </w:p>
  </w:footnote>
  <w:footnote w:id="46">
    <w:p w14:paraId="08E59090" w14:textId="368C5D11" w:rsidR="007E2B2F" w:rsidRPr="00A134C4" w:rsidRDefault="007E2B2F" w:rsidP="006C1331">
      <w:pPr>
        <w:pStyle w:val="FootnoteText"/>
        <w:spacing w:after="0"/>
        <w:rPr>
          <w:rFonts w:ascii="Arial" w:hAnsi="Arial" w:cs="Arial"/>
          <w:sz w:val="16"/>
          <w:szCs w:val="16"/>
          <w:lang w:val="fr-FR"/>
        </w:rPr>
      </w:pPr>
      <w:r w:rsidRPr="00A134C4">
        <w:rPr>
          <w:rStyle w:val="FootnoteReference"/>
          <w:rFonts w:ascii="Arial" w:hAnsi="Arial" w:cs="Arial"/>
          <w:sz w:val="16"/>
          <w:szCs w:val="16"/>
        </w:rPr>
        <w:footnoteRef/>
      </w:r>
      <w:r w:rsidRPr="00A134C4">
        <w:rPr>
          <w:rFonts w:ascii="Arial" w:hAnsi="Arial" w:cs="Arial"/>
          <w:sz w:val="16"/>
          <w:szCs w:val="16"/>
        </w:rPr>
        <w:t xml:space="preserve"> </w:t>
      </w:r>
      <w:r w:rsidRPr="00A134C4">
        <w:rPr>
          <w:rFonts w:ascii="Arial" w:hAnsi="Arial" w:cs="Arial"/>
          <w:sz w:val="16"/>
          <w:szCs w:val="16"/>
        </w:rPr>
        <w:tab/>
        <w:t xml:space="preserve">Dalton et al (2020). Pre-Emptive </w:t>
      </w:r>
      <w:proofErr w:type="gramStart"/>
      <w:r w:rsidRPr="00A134C4">
        <w:rPr>
          <w:rFonts w:ascii="Arial" w:hAnsi="Arial" w:cs="Arial"/>
          <w:sz w:val="16"/>
          <w:szCs w:val="16"/>
        </w:rPr>
        <w:t>Low Cost</w:t>
      </w:r>
      <w:proofErr w:type="gramEnd"/>
      <w:r w:rsidRPr="00A134C4">
        <w:rPr>
          <w:rFonts w:ascii="Arial" w:hAnsi="Arial" w:cs="Arial"/>
          <w:sz w:val="16"/>
          <w:szCs w:val="16"/>
        </w:rPr>
        <w:t xml:space="preserve"> Social Distancing and Enhanced Hygiene Implemented before Local COVID-19 Transmission Could Decrease the Number and Severity of Cases. </w:t>
      </w:r>
      <w:r w:rsidRPr="00A134C4">
        <w:rPr>
          <w:rFonts w:ascii="Arial" w:hAnsi="Arial" w:cs="Arial"/>
          <w:sz w:val="16"/>
          <w:szCs w:val="16"/>
          <w:lang w:val="fr-FR"/>
        </w:rPr>
        <w:t xml:space="preserve">Disponible : </w:t>
      </w:r>
      <w:hyperlink r:id="rId15" w:history="1">
        <w:r w:rsidRPr="00A134C4">
          <w:rPr>
            <w:rStyle w:val="Hyperlink"/>
            <w:rFonts w:ascii="Arial" w:hAnsi="Arial" w:cs="Arial"/>
            <w:sz w:val="16"/>
            <w:szCs w:val="16"/>
            <w:lang w:val="fr-FR"/>
          </w:rPr>
          <w:t>https://papers.ssrn.com/sol3/papers.cfm?abstract_id=3549276</w:t>
        </w:r>
      </w:hyperlink>
      <w:r w:rsidRPr="00A134C4">
        <w:rPr>
          <w:rStyle w:val="Hyperlink"/>
          <w:rFonts w:ascii="Arial" w:hAnsi="Arial" w:cs="Arial"/>
          <w:sz w:val="16"/>
          <w:szCs w:val="16"/>
          <w:lang w:val="fr-FR"/>
        </w:rPr>
        <w:t>.</w:t>
      </w:r>
    </w:p>
  </w:footnote>
  <w:footnote w:id="47">
    <w:p w14:paraId="52A0C1B8" w14:textId="143A14F4" w:rsidR="007E2B2F" w:rsidRPr="00A134C4" w:rsidRDefault="007E2B2F" w:rsidP="006C1331">
      <w:pPr>
        <w:pStyle w:val="FootnoteText"/>
        <w:spacing w:after="0"/>
        <w:rPr>
          <w:rFonts w:ascii="Arial" w:hAnsi="Arial" w:cs="Arial"/>
          <w:sz w:val="16"/>
          <w:szCs w:val="16"/>
        </w:rPr>
      </w:pPr>
      <w:r w:rsidRPr="00A134C4">
        <w:rPr>
          <w:rStyle w:val="FootnoteReference"/>
          <w:rFonts w:ascii="Arial" w:hAnsi="Arial" w:cs="Arial"/>
          <w:sz w:val="16"/>
          <w:szCs w:val="16"/>
        </w:rPr>
        <w:footnoteRef/>
      </w:r>
      <w:r w:rsidRPr="00A134C4">
        <w:rPr>
          <w:rFonts w:ascii="Arial" w:hAnsi="Arial" w:cs="Arial"/>
          <w:sz w:val="16"/>
          <w:szCs w:val="16"/>
          <w:lang w:val="fr-FR"/>
        </w:rPr>
        <w:t xml:space="preserve"> </w:t>
      </w:r>
      <w:r w:rsidRPr="00A134C4">
        <w:rPr>
          <w:rFonts w:ascii="Arial" w:hAnsi="Arial" w:cs="Arial"/>
          <w:sz w:val="16"/>
          <w:szCs w:val="16"/>
          <w:lang w:val="fr-FR"/>
        </w:rPr>
        <w:tab/>
        <w:t xml:space="preserve">Chang et al (2020). </w:t>
      </w:r>
      <w:r w:rsidRPr="00A134C4">
        <w:rPr>
          <w:rFonts w:ascii="Arial" w:hAnsi="Arial" w:cs="Arial"/>
          <w:sz w:val="16"/>
          <w:szCs w:val="16"/>
        </w:rPr>
        <w:t>“Modelling transmission and control of the COVID-19 pandemic in Australia”. Centre for Complex Systems, Faculty of Engineering, University of Sydney, Sydney, NSW 2006, Australia.</w:t>
      </w:r>
    </w:p>
  </w:footnote>
  <w:footnote w:id="48">
    <w:p w14:paraId="7C349059" w14:textId="2B42DAE1" w:rsidR="007E2B2F" w:rsidRPr="00A134C4" w:rsidRDefault="007E2B2F" w:rsidP="006C1331">
      <w:pPr>
        <w:pStyle w:val="FootnoteText"/>
        <w:spacing w:after="0"/>
        <w:rPr>
          <w:rStyle w:val="Hyperlink"/>
          <w:rFonts w:ascii="Arial" w:hAnsi="Arial" w:cs="Arial"/>
          <w:sz w:val="16"/>
          <w:szCs w:val="16"/>
        </w:rPr>
      </w:pPr>
      <w:r w:rsidRPr="00A134C4">
        <w:rPr>
          <w:rStyle w:val="FootnoteReference"/>
          <w:rFonts w:ascii="Arial" w:hAnsi="Arial" w:cs="Arial"/>
          <w:sz w:val="16"/>
          <w:szCs w:val="16"/>
        </w:rPr>
        <w:footnoteRef/>
      </w:r>
      <w:r w:rsidRPr="00A134C4">
        <w:rPr>
          <w:rFonts w:ascii="Arial" w:hAnsi="Arial" w:cs="Arial"/>
          <w:sz w:val="16"/>
          <w:szCs w:val="16"/>
        </w:rPr>
        <w:t xml:space="preserve"> </w:t>
      </w:r>
      <w:r w:rsidRPr="00A134C4">
        <w:rPr>
          <w:rFonts w:ascii="Arial" w:hAnsi="Arial" w:cs="Arial"/>
          <w:sz w:val="16"/>
          <w:szCs w:val="16"/>
        </w:rPr>
        <w:tab/>
      </w:r>
      <w:r w:rsidRPr="00A134C4">
        <w:rPr>
          <w:rFonts w:ascii="Arial" w:hAnsi="Arial" w:cs="Arial"/>
          <w:color w:val="000000"/>
          <w:sz w:val="16"/>
          <w:szCs w:val="16"/>
        </w:rPr>
        <w:t>O’Brien, C., Holmes, R., Scott, Z., &amp; Barca, V. (2018). </w:t>
      </w:r>
      <w:r w:rsidRPr="00A134C4">
        <w:rPr>
          <w:rFonts w:ascii="Arial" w:hAnsi="Arial" w:cs="Arial"/>
          <w:i/>
          <w:iCs/>
          <w:color w:val="000000"/>
          <w:sz w:val="16"/>
          <w:szCs w:val="16"/>
        </w:rPr>
        <w:t>Shock-Responsive Social Protection Systems Toolkit. Appraising the use of social protection in addressing large-scale shocks</w:t>
      </w:r>
      <w:r w:rsidRPr="00A134C4">
        <w:rPr>
          <w:rFonts w:ascii="Arial" w:hAnsi="Arial" w:cs="Arial"/>
          <w:color w:val="000000"/>
          <w:sz w:val="16"/>
          <w:szCs w:val="16"/>
        </w:rPr>
        <w:t xml:space="preserve">. Oxford, </w:t>
      </w:r>
      <w:proofErr w:type="spellStart"/>
      <w:r w:rsidRPr="00A134C4">
        <w:rPr>
          <w:rFonts w:ascii="Arial" w:hAnsi="Arial" w:cs="Arial"/>
          <w:color w:val="000000"/>
          <w:sz w:val="16"/>
          <w:szCs w:val="16"/>
        </w:rPr>
        <w:t>Inglaterra</w:t>
      </w:r>
      <w:proofErr w:type="spellEnd"/>
      <w:r w:rsidRPr="00A134C4">
        <w:rPr>
          <w:rFonts w:ascii="Arial" w:hAnsi="Arial" w:cs="Arial"/>
          <w:color w:val="000000"/>
          <w:sz w:val="16"/>
          <w:szCs w:val="16"/>
        </w:rPr>
        <w:t xml:space="preserve">. </w:t>
      </w:r>
      <w:hyperlink r:id="rId16" w:history="1">
        <w:r w:rsidRPr="00A134C4">
          <w:rPr>
            <w:rStyle w:val="Hyperlink"/>
            <w:rFonts w:ascii="Arial" w:hAnsi="Arial" w:cs="Arial"/>
            <w:sz w:val="16"/>
            <w:szCs w:val="16"/>
          </w:rPr>
          <w:t>https://www.opml.co.uk/files/Publications/a0408-shock-responsive-social-protection-systems/srsp-toolkit.pdf?noredirect=1</w:t>
        </w:r>
      </w:hyperlink>
    </w:p>
  </w:footnote>
  <w:footnote w:id="49">
    <w:p w14:paraId="581CF8F2" w14:textId="613588D9" w:rsidR="007E2B2F" w:rsidRPr="00A134C4" w:rsidRDefault="007E2B2F" w:rsidP="006C1331">
      <w:pPr>
        <w:pStyle w:val="FootnoteText"/>
        <w:spacing w:after="0"/>
        <w:rPr>
          <w:rFonts w:ascii="Arial" w:hAnsi="Arial" w:cs="Arial"/>
          <w:sz w:val="16"/>
          <w:szCs w:val="16"/>
        </w:rPr>
      </w:pPr>
      <w:r w:rsidRPr="00A134C4">
        <w:rPr>
          <w:rStyle w:val="FootnoteReference"/>
          <w:rFonts w:ascii="Arial" w:hAnsi="Arial" w:cs="Arial"/>
          <w:sz w:val="16"/>
          <w:szCs w:val="16"/>
        </w:rPr>
        <w:footnoteRef/>
      </w:r>
      <w:r w:rsidRPr="00A134C4">
        <w:rPr>
          <w:rFonts w:ascii="Arial" w:hAnsi="Arial" w:cs="Arial"/>
          <w:sz w:val="16"/>
          <w:szCs w:val="16"/>
        </w:rPr>
        <w:tab/>
        <w:t xml:space="preserve"> </w:t>
      </w:r>
      <w:hyperlink r:id="rId17" w:history="1">
        <w:r w:rsidRPr="00A134C4">
          <w:rPr>
            <w:rStyle w:val="Hyperlink"/>
            <w:rFonts w:ascii="Arial" w:hAnsi="Arial" w:cs="Arial"/>
            <w:sz w:val="16"/>
            <w:szCs w:val="16"/>
          </w:rPr>
          <w:t>http://documents.worldbank.org/curated/en/456681468045552129/pdf/Understanding-the-poverty-impact-of-the-global-financial-crisis-in-Latin-America-and-the-Caribbean.pdf</w:t>
        </w:r>
      </w:hyperlink>
    </w:p>
  </w:footnote>
  <w:footnote w:id="50">
    <w:p w14:paraId="1FC6AA9F" w14:textId="67C04CA5" w:rsidR="007E2B2F" w:rsidRPr="00A134C4" w:rsidRDefault="007E2B2F" w:rsidP="006C1331">
      <w:pPr>
        <w:pStyle w:val="FootnoteText"/>
        <w:spacing w:after="0"/>
        <w:jc w:val="left"/>
        <w:rPr>
          <w:rFonts w:ascii="Arial" w:hAnsi="Arial" w:cs="Arial"/>
          <w:sz w:val="16"/>
          <w:szCs w:val="16"/>
        </w:rPr>
      </w:pPr>
      <w:r w:rsidRPr="00A134C4">
        <w:rPr>
          <w:rStyle w:val="FootnoteReference"/>
          <w:rFonts w:ascii="Arial" w:hAnsi="Arial" w:cs="Arial"/>
          <w:sz w:val="16"/>
          <w:szCs w:val="16"/>
        </w:rPr>
        <w:footnoteRef/>
      </w:r>
      <w:r w:rsidRPr="00A134C4">
        <w:rPr>
          <w:rFonts w:ascii="Arial" w:hAnsi="Arial" w:cs="Arial"/>
          <w:sz w:val="16"/>
          <w:szCs w:val="16"/>
        </w:rPr>
        <w:t xml:space="preserve"> </w:t>
      </w:r>
      <w:r w:rsidRPr="00A134C4">
        <w:rPr>
          <w:rFonts w:ascii="Arial" w:hAnsi="Arial" w:cs="Arial"/>
          <w:sz w:val="16"/>
          <w:szCs w:val="16"/>
        </w:rPr>
        <w:tab/>
      </w:r>
      <w:hyperlink r:id="rId18" w:anchor="page70" w:history="1">
        <w:r w:rsidRPr="00A134C4">
          <w:rPr>
            <w:rStyle w:val="Hyperlink"/>
            <w:rFonts w:ascii="Arial" w:hAnsi="Arial" w:cs="Arial"/>
            <w:sz w:val="16"/>
            <w:szCs w:val="16"/>
          </w:rPr>
          <w:t>https://www.opml.co.uk/files/Publications/a1537-shock-responsive-social-protection-latin-america-caribbean/hallazgos-principals-y-recomendaciones.pdf?noredirect=1#page70</w:t>
        </w:r>
      </w:hyperlink>
      <w:r w:rsidRPr="00A134C4">
        <w:rPr>
          <w:rStyle w:val="Hyperlink"/>
          <w:rFonts w:ascii="Arial" w:hAnsi="Arial" w:cs="Arial"/>
          <w:sz w:val="16"/>
          <w:szCs w:val="16"/>
        </w:rPr>
        <w:t>.</w:t>
      </w:r>
    </w:p>
  </w:footnote>
  <w:footnote w:id="51">
    <w:p w14:paraId="02058864" w14:textId="313BB4FB" w:rsidR="007E2B2F" w:rsidRPr="00A134C4" w:rsidRDefault="007E2B2F" w:rsidP="006C1331">
      <w:pPr>
        <w:pStyle w:val="FootnoteText"/>
        <w:spacing w:after="0"/>
        <w:rPr>
          <w:rFonts w:ascii="Arial" w:hAnsi="Arial" w:cs="Arial"/>
          <w:sz w:val="16"/>
          <w:szCs w:val="16"/>
        </w:rPr>
      </w:pPr>
      <w:r w:rsidRPr="00A134C4">
        <w:rPr>
          <w:rStyle w:val="FootnoteReference"/>
          <w:rFonts w:ascii="Arial" w:hAnsi="Arial" w:cs="Arial"/>
          <w:sz w:val="16"/>
          <w:szCs w:val="16"/>
        </w:rPr>
        <w:footnoteRef/>
      </w:r>
      <w:r w:rsidRPr="00A134C4">
        <w:rPr>
          <w:rFonts w:ascii="Arial" w:hAnsi="Arial" w:cs="Arial"/>
          <w:sz w:val="16"/>
          <w:szCs w:val="16"/>
        </w:rPr>
        <w:t xml:space="preserve"> </w:t>
      </w:r>
      <w:r w:rsidRPr="00A134C4">
        <w:rPr>
          <w:rFonts w:ascii="Arial" w:hAnsi="Arial" w:cs="Arial"/>
          <w:sz w:val="16"/>
          <w:szCs w:val="16"/>
        </w:rPr>
        <w:tab/>
      </w:r>
      <w:proofErr w:type="spellStart"/>
      <w:r w:rsidRPr="00A134C4">
        <w:rPr>
          <w:rFonts w:ascii="Arial" w:hAnsi="Arial" w:cs="Arial"/>
          <w:sz w:val="16"/>
          <w:szCs w:val="16"/>
        </w:rPr>
        <w:t>Gentilini</w:t>
      </w:r>
      <w:proofErr w:type="spellEnd"/>
      <w:r w:rsidRPr="00A134C4">
        <w:rPr>
          <w:rFonts w:ascii="Arial" w:hAnsi="Arial" w:cs="Arial"/>
          <w:sz w:val="16"/>
          <w:szCs w:val="16"/>
        </w:rPr>
        <w:t xml:space="preserve">, Ugo, Mohamed </w:t>
      </w:r>
      <w:proofErr w:type="spellStart"/>
      <w:r w:rsidRPr="00A134C4">
        <w:rPr>
          <w:rFonts w:ascii="Arial" w:hAnsi="Arial" w:cs="Arial"/>
          <w:sz w:val="16"/>
          <w:szCs w:val="16"/>
        </w:rPr>
        <w:t>Almenfi</w:t>
      </w:r>
      <w:proofErr w:type="spellEnd"/>
      <w:r w:rsidRPr="00A134C4">
        <w:rPr>
          <w:rFonts w:ascii="Arial" w:hAnsi="Arial" w:cs="Arial"/>
          <w:sz w:val="16"/>
          <w:szCs w:val="16"/>
        </w:rPr>
        <w:t xml:space="preserve"> y Ian Orton, Social Protection and Jobs Responses to COVID-19: A Real-Time Review of Country Measures: A “living paper”, version 11 (2020), </w:t>
      </w:r>
      <w:proofErr w:type="spellStart"/>
      <w:r w:rsidRPr="00A134C4">
        <w:rPr>
          <w:rFonts w:ascii="Arial" w:hAnsi="Arial" w:cs="Arial"/>
          <w:sz w:val="16"/>
          <w:szCs w:val="16"/>
        </w:rPr>
        <w:t>Acutalización</w:t>
      </w:r>
      <w:proofErr w:type="spellEnd"/>
      <w:r w:rsidRPr="00A134C4">
        <w:rPr>
          <w:rFonts w:ascii="Arial" w:hAnsi="Arial" w:cs="Arial"/>
          <w:sz w:val="16"/>
          <w:szCs w:val="16"/>
        </w:rPr>
        <w:t xml:space="preserve"> del 12 de </w:t>
      </w:r>
      <w:proofErr w:type="spellStart"/>
      <w:r w:rsidRPr="00A134C4">
        <w:rPr>
          <w:rFonts w:ascii="Arial" w:hAnsi="Arial" w:cs="Arial"/>
          <w:sz w:val="16"/>
          <w:szCs w:val="16"/>
        </w:rPr>
        <w:t>junio</w:t>
      </w:r>
      <w:proofErr w:type="spellEnd"/>
      <w:r w:rsidRPr="00A134C4">
        <w:rPr>
          <w:rFonts w:ascii="Arial" w:hAnsi="Arial" w:cs="Arial"/>
          <w:sz w:val="16"/>
          <w:szCs w:val="16"/>
        </w:rPr>
        <w:t xml:space="preserve"> de 2020. </w:t>
      </w:r>
      <w:hyperlink r:id="rId19" w:history="1">
        <w:r w:rsidRPr="00A134C4">
          <w:rPr>
            <w:rStyle w:val="Hyperlink"/>
            <w:rFonts w:ascii="Arial" w:hAnsi="Arial" w:cs="Arial"/>
            <w:sz w:val="16"/>
            <w:szCs w:val="16"/>
          </w:rPr>
          <w:t>http://documents1.worldbank.org/curated/en/590531592231143435/pdf/Social-Protection-and-Jobs-Responses-to-COVID-19-A-Real-Time-Review-of-Country-Measures-June-12-2020.pdf</w:t>
        </w:r>
      </w:hyperlink>
      <w:r w:rsidRPr="00A134C4">
        <w:rPr>
          <w:rStyle w:val="Hyperlink"/>
          <w:rFonts w:ascii="Arial" w:hAnsi="Arial" w:cs="Arial"/>
          <w:sz w:val="16"/>
          <w:szCs w:val="16"/>
        </w:rPr>
        <w:t>.</w:t>
      </w:r>
    </w:p>
  </w:footnote>
  <w:footnote w:id="52">
    <w:p w14:paraId="52F0821F" w14:textId="79E57C0C" w:rsidR="009D08B3" w:rsidRPr="009D08B3" w:rsidRDefault="009D08B3">
      <w:pPr>
        <w:pStyle w:val="FootnoteText"/>
        <w:rPr>
          <w:rFonts w:ascii="Arial" w:hAnsi="Arial" w:cs="Arial"/>
          <w:sz w:val="16"/>
          <w:szCs w:val="16"/>
          <w:lang w:val="es-ES"/>
        </w:rPr>
      </w:pPr>
      <w:r w:rsidRPr="009D08B3">
        <w:rPr>
          <w:rStyle w:val="FootnoteReference"/>
          <w:rFonts w:ascii="Arial" w:hAnsi="Arial" w:cs="Arial"/>
          <w:sz w:val="16"/>
          <w:szCs w:val="16"/>
        </w:rPr>
        <w:footnoteRef/>
      </w:r>
      <w:r w:rsidRPr="009D08B3">
        <w:rPr>
          <w:rFonts w:ascii="Arial" w:hAnsi="Arial" w:cs="Arial"/>
          <w:sz w:val="16"/>
          <w:szCs w:val="16"/>
          <w:lang w:val="es-ES"/>
        </w:rPr>
        <w:t xml:space="preserve"> </w:t>
      </w:r>
      <w:r w:rsidR="003A74C5">
        <w:rPr>
          <w:rFonts w:ascii="Arial" w:hAnsi="Arial" w:cs="Arial"/>
          <w:sz w:val="16"/>
          <w:szCs w:val="16"/>
          <w:lang w:val="es-ES"/>
        </w:rPr>
        <w:tab/>
      </w:r>
      <w:r w:rsidRPr="009D08B3">
        <w:rPr>
          <w:rFonts w:ascii="Arial" w:hAnsi="Arial" w:cs="Arial"/>
          <w:sz w:val="16"/>
          <w:szCs w:val="16"/>
          <w:lang w:val="es-ES"/>
        </w:rPr>
        <w:t>El proceso de recopilación de datos de los indicadores de resultado son parte de la información regular que se recoge para el seguimiento y verificación</w:t>
      </w:r>
      <w:r w:rsidR="00D942A3">
        <w:rPr>
          <w:rFonts w:ascii="Arial" w:hAnsi="Arial" w:cs="Arial"/>
          <w:sz w:val="16"/>
          <w:szCs w:val="16"/>
          <w:lang w:val="es-ES"/>
        </w:rPr>
        <w:t xml:space="preserve"> de la cobertura</w:t>
      </w:r>
      <w:r w:rsidRPr="009D08B3">
        <w:rPr>
          <w:rFonts w:ascii="Arial" w:hAnsi="Arial" w:cs="Arial"/>
          <w:sz w:val="16"/>
          <w:szCs w:val="16"/>
          <w:lang w:val="es-ES"/>
        </w:rPr>
        <w:t xml:space="preserve"> de los programas financiados, por lo que este proceso no tiene un costo adicional.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_tradnl"/>
      </w:rPr>
      <w:id w:val="-1318336367"/>
      <w:docPartObj>
        <w:docPartGallery w:val="Page Numbers (Top of Page)"/>
        <w:docPartUnique/>
      </w:docPartObj>
    </w:sdtPr>
    <w:sdtEndPr>
      <w:rPr>
        <w:rFonts w:ascii="Arial" w:hAnsi="Arial" w:cs="Arial"/>
        <w:sz w:val="18"/>
        <w:szCs w:val="18"/>
      </w:rPr>
    </w:sdtEndPr>
    <w:sdtContent>
      <w:p w14:paraId="13711AEA" w14:textId="54B84AC8" w:rsidR="007E2B2F" w:rsidRPr="000F65C1" w:rsidRDefault="007E2B2F">
        <w:pPr>
          <w:pStyle w:val="Header"/>
          <w:jc w:val="right"/>
          <w:rPr>
            <w:rFonts w:ascii="Arial" w:hAnsi="Arial" w:cs="Arial"/>
            <w:sz w:val="18"/>
            <w:szCs w:val="18"/>
            <w:lang w:val="es-ES_tradnl"/>
          </w:rPr>
        </w:pPr>
        <w:r w:rsidRPr="000F65C1">
          <w:rPr>
            <w:rFonts w:ascii="Arial" w:hAnsi="Arial" w:cs="Arial"/>
            <w:sz w:val="18"/>
            <w:szCs w:val="18"/>
            <w:lang w:val="es-ES_tradnl"/>
          </w:rPr>
          <w:t>EER#1</w:t>
        </w:r>
        <w:r>
          <w:rPr>
            <w:rFonts w:ascii="Arial" w:hAnsi="Arial" w:cs="Arial"/>
            <w:sz w:val="18"/>
            <w:szCs w:val="18"/>
            <w:lang w:val="es-ES_tradnl"/>
          </w:rPr>
          <w:t xml:space="preserve"> – PN-L1121</w:t>
        </w:r>
      </w:p>
      <w:p w14:paraId="4A4B48FF" w14:textId="54FC8C45" w:rsidR="007E2B2F" w:rsidRPr="000F65C1" w:rsidRDefault="007E2B2F">
        <w:pPr>
          <w:pStyle w:val="Header"/>
          <w:jc w:val="right"/>
          <w:rPr>
            <w:rFonts w:ascii="Arial" w:hAnsi="Arial" w:cs="Arial"/>
            <w:sz w:val="18"/>
            <w:szCs w:val="18"/>
            <w:lang w:val="es-ES_tradnl"/>
          </w:rPr>
        </w:pPr>
        <w:r w:rsidRPr="000F65C1">
          <w:rPr>
            <w:rFonts w:ascii="Arial" w:hAnsi="Arial" w:cs="Arial"/>
            <w:sz w:val="18"/>
            <w:szCs w:val="18"/>
            <w:lang w:val="es-ES_tradnl"/>
          </w:rPr>
          <w:t xml:space="preserve">Página </w:t>
        </w:r>
        <w:r w:rsidRPr="000F65C1">
          <w:rPr>
            <w:rFonts w:ascii="Arial" w:hAnsi="Arial" w:cs="Arial"/>
            <w:sz w:val="18"/>
            <w:szCs w:val="18"/>
            <w:lang w:val="es-ES_tradnl"/>
          </w:rPr>
          <w:fldChar w:fldCharType="begin"/>
        </w:r>
        <w:r w:rsidRPr="000F65C1">
          <w:rPr>
            <w:rFonts w:ascii="Arial" w:hAnsi="Arial" w:cs="Arial"/>
            <w:sz w:val="18"/>
            <w:szCs w:val="18"/>
            <w:lang w:val="es-ES_tradnl"/>
          </w:rPr>
          <w:instrText xml:space="preserve"> PAGE </w:instrText>
        </w:r>
        <w:r w:rsidRPr="000F65C1">
          <w:rPr>
            <w:rFonts w:ascii="Arial" w:hAnsi="Arial" w:cs="Arial"/>
            <w:sz w:val="18"/>
            <w:szCs w:val="18"/>
            <w:lang w:val="es-ES_tradnl"/>
          </w:rPr>
          <w:fldChar w:fldCharType="separate"/>
        </w:r>
        <w:r w:rsidRPr="000F65C1">
          <w:rPr>
            <w:rFonts w:ascii="Arial" w:hAnsi="Arial" w:cs="Arial"/>
            <w:noProof/>
            <w:sz w:val="18"/>
            <w:szCs w:val="18"/>
            <w:lang w:val="es-ES_tradnl"/>
          </w:rPr>
          <w:t>2</w:t>
        </w:r>
        <w:r w:rsidRPr="000F65C1">
          <w:rPr>
            <w:rFonts w:ascii="Arial" w:hAnsi="Arial" w:cs="Arial"/>
            <w:sz w:val="18"/>
            <w:szCs w:val="18"/>
            <w:lang w:val="es-ES_tradnl"/>
          </w:rPr>
          <w:fldChar w:fldCharType="end"/>
        </w:r>
        <w:r w:rsidRPr="000F65C1">
          <w:rPr>
            <w:rFonts w:ascii="Arial" w:hAnsi="Arial" w:cs="Arial"/>
            <w:sz w:val="18"/>
            <w:szCs w:val="18"/>
            <w:lang w:val="es-ES_tradnl"/>
          </w:rPr>
          <w:t xml:space="preserve"> de </w:t>
        </w:r>
        <w:r w:rsidRPr="000F65C1">
          <w:rPr>
            <w:rFonts w:ascii="Arial" w:hAnsi="Arial" w:cs="Arial"/>
            <w:sz w:val="18"/>
            <w:szCs w:val="18"/>
            <w:lang w:val="es-ES_tradnl"/>
          </w:rPr>
          <w:fldChar w:fldCharType="begin"/>
        </w:r>
        <w:r w:rsidRPr="000F65C1">
          <w:rPr>
            <w:rFonts w:ascii="Arial" w:hAnsi="Arial" w:cs="Arial"/>
            <w:sz w:val="18"/>
            <w:szCs w:val="18"/>
            <w:lang w:val="es-ES_tradnl"/>
          </w:rPr>
          <w:instrText xml:space="preserve"> NUMPAGES  </w:instrText>
        </w:r>
        <w:r w:rsidRPr="000F65C1">
          <w:rPr>
            <w:rFonts w:ascii="Arial" w:hAnsi="Arial" w:cs="Arial"/>
            <w:sz w:val="18"/>
            <w:szCs w:val="18"/>
            <w:lang w:val="es-ES_tradnl"/>
          </w:rPr>
          <w:fldChar w:fldCharType="separate"/>
        </w:r>
        <w:r w:rsidRPr="000F65C1">
          <w:rPr>
            <w:rFonts w:ascii="Arial" w:hAnsi="Arial" w:cs="Arial"/>
            <w:noProof/>
            <w:sz w:val="18"/>
            <w:szCs w:val="18"/>
            <w:lang w:val="es-ES_tradnl"/>
          </w:rPr>
          <w:t>2</w:t>
        </w:r>
        <w:r w:rsidRPr="000F65C1">
          <w:rPr>
            <w:rFonts w:ascii="Arial" w:hAnsi="Arial" w:cs="Arial"/>
            <w:sz w:val="18"/>
            <w:szCs w:val="18"/>
            <w:lang w:val="es-ES_tradnl"/>
          </w:rPr>
          <w:fldChar w:fldCharType="end"/>
        </w:r>
      </w:p>
    </w:sdtContent>
  </w:sdt>
  <w:p w14:paraId="59AFBDC2" w14:textId="77777777" w:rsidR="007E2B2F" w:rsidRPr="000F65C1" w:rsidRDefault="007E2B2F">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0D3059C8"/>
    <w:lvl w:ilvl="0">
      <w:start w:val="1"/>
      <w:numFmt w:val="decimal"/>
      <w:lvlText w:val="%1."/>
      <w:lvlJc w:val="left"/>
      <w:pPr>
        <w:tabs>
          <w:tab w:val="num" w:pos="360"/>
        </w:tabs>
        <w:ind w:left="360" w:hanging="360"/>
      </w:pPr>
    </w:lvl>
  </w:abstractNum>
  <w:abstractNum w:abstractNumId="1" w15:restartNumberingAfterBreak="0">
    <w:nsid w:val="FFFFFF89"/>
    <w:multiLevelType w:val="hybridMultilevel"/>
    <w:tmpl w:val="0F523FB2"/>
    <w:lvl w:ilvl="0" w:tplc="5E184E7E">
      <w:start w:val="1"/>
      <w:numFmt w:val="bullet"/>
      <w:lvlText w:val=""/>
      <w:lvlJc w:val="left"/>
      <w:pPr>
        <w:tabs>
          <w:tab w:val="num" w:pos="360"/>
        </w:tabs>
        <w:ind w:left="360" w:hanging="360"/>
      </w:pPr>
      <w:rPr>
        <w:rFonts w:ascii="Symbol" w:hAnsi="Symbol" w:hint="default"/>
      </w:rPr>
    </w:lvl>
    <w:lvl w:ilvl="1" w:tplc="C4BAA490">
      <w:numFmt w:val="decimal"/>
      <w:lvlText w:val=""/>
      <w:lvlJc w:val="left"/>
    </w:lvl>
    <w:lvl w:ilvl="2" w:tplc="9C0874AE">
      <w:numFmt w:val="decimal"/>
      <w:lvlText w:val=""/>
      <w:lvlJc w:val="left"/>
    </w:lvl>
    <w:lvl w:ilvl="3" w:tplc="D98450E0">
      <w:numFmt w:val="decimal"/>
      <w:lvlText w:val=""/>
      <w:lvlJc w:val="left"/>
    </w:lvl>
    <w:lvl w:ilvl="4" w:tplc="F4088528">
      <w:numFmt w:val="decimal"/>
      <w:lvlText w:val=""/>
      <w:lvlJc w:val="left"/>
    </w:lvl>
    <w:lvl w:ilvl="5" w:tplc="B746916C">
      <w:numFmt w:val="decimal"/>
      <w:lvlText w:val=""/>
      <w:lvlJc w:val="left"/>
    </w:lvl>
    <w:lvl w:ilvl="6" w:tplc="7ECE3316">
      <w:numFmt w:val="decimal"/>
      <w:lvlText w:val=""/>
      <w:lvlJc w:val="left"/>
    </w:lvl>
    <w:lvl w:ilvl="7" w:tplc="3BCC5920">
      <w:numFmt w:val="decimal"/>
      <w:lvlText w:val=""/>
      <w:lvlJc w:val="left"/>
    </w:lvl>
    <w:lvl w:ilvl="8" w:tplc="87D8F2F8">
      <w:numFmt w:val="decimal"/>
      <w:lvlText w:val=""/>
      <w:lvlJc w:val="left"/>
    </w:lvl>
  </w:abstractNum>
  <w:abstractNum w:abstractNumId="2" w15:restartNumberingAfterBreak="0">
    <w:nsid w:val="0B475220"/>
    <w:multiLevelType w:val="hybridMultilevel"/>
    <w:tmpl w:val="AB1CBDCE"/>
    <w:lvl w:ilvl="0" w:tplc="00D8BFFE">
      <w:start w:val="20"/>
      <w:numFmt w:val="decimal"/>
      <w:lvlText w:val="%1."/>
      <w:lvlJc w:val="left"/>
      <w:pPr>
        <w:tabs>
          <w:tab w:val="num" w:pos="720"/>
        </w:tabs>
        <w:ind w:left="720" w:hanging="360"/>
      </w:pPr>
    </w:lvl>
    <w:lvl w:ilvl="1" w:tplc="E81053F4" w:tentative="1">
      <w:start w:val="1"/>
      <w:numFmt w:val="decimal"/>
      <w:lvlText w:val="%2."/>
      <w:lvlJc w:val="left"/>
      <w:pPr>
        <w:tabs>
          <w:tab w:val="num" w:pos="1440"/>
        </w:tabs>
        <w:ind w:left="1440" w:hanging="360"/>
      </w:pPr>
    </w:lvl>
    <w:lvl w:ilvl="2" w:tplc="390A8AFC" w:tentative="1">
      <w:start w:val="1"/>
      <w:numFmt w:val="decimal"/>
      <w:lvlText w:val="%3."/>
      <w:lvlJc w:val="left"/>
      <w:pPr>
        <w:tabs>
          <w:tab w:val="num" w:pos="2160"/>
        </w:tabs>
        <w:ind w:left="2160" w:hanging="360"/>
      </w:pPr>
    </w:lvl>
    <w:lvl w:ilvl="3" w:tplc="7B1E9848" w:tentative="1">
      <w:start w:val="1"/>
      <w:numFmt w:val="decimal"/>
      <w:lvlText w:val="%4."/>
      <w:lvlJc w:val="left"/>
      <w:pPr>
        <w:tabs>
          <w:tab w:val="num" w:pos="2880"/>
        </w:tabs>
        <w:ind w:left="2880" w:hanging="360"/>
      </w:pPr>
    </w:lvl>
    <w:lvl w:ilvl="4" w:tplc="86CE2B48" w:tentative="1">
      <w:start w:val="1"/>
      <w:numFmt w:val="decimal"/>
      <w:lvlText w:val="%5."/>
      <w:lvlJc w:val="left"/>
      <w:pPr>
        <w:tabs>
          <w:tab w:val="num" w:pos="3600"/>
        </w:tabs>
        <w:ind w:left="3600" w:hanging="360"/>
      </w:pPr>
    </w:lvl>
    <w:lvl w:ilvl="5" w:tplc="F44CD1DE" w:tentative="1">
      <w:start w:val="1"/>
      <w:numFmt w:val="decimal"/>
      <w:lvlText w:val="%6."/>
      <w:lvlJc w:val="left"/>
      <w:pPr>
        <w:tabs>
          <w:tab w:val="num" w:pos="4320"/>
        </w:tabs>
        <w:ind w:left="4320" w:hanging="360"/>
      </w:pPr>
    </w:lvl>
    <w:lvl w:ilvl="6" w:tplc="E042ED48" w:tentative="1">
      <w:start w:val="1"/>
      <w:numFmt w:val="decimal"/>
      <w:lvlText w:val="%7."/>
      <w:lvlJc w:val="left"/>
      <w:pPr>
        <w:tabs>
          <w:tab w:val="num" w:pos="5040"/>
        </w:tabs>
        <w:ind w:left="5040" w:hanging="360"/>
      </w:pPr>
    </w:lvl>
    <w:lvl w:ilvl="7" w:tplc="694E77AA" w:tentative="1">
      <w:start w:val="1"/>
      <w:numFmt w:val="decimal"/>
      <w:lvlText w:val="%8."/>
      <w:lvlJc w:val="left"/>
      <w:pPr>
        <w:tabs>
          <w:tab w:val="num" w:pos="5760"/>
        </w:tabs>
        <w:ind w:left="5760" w:hanging="360"/>
      </w:pPr>
    </w:lvl>
    <w:lvl w:ilvl="8" w:tplc="1B3AF46E" w:tentative="1">
      <w:start w:val="1"/>
      <w:numFmt w:val="decimal"/>
      <w:lvlText w:val="%9."/>
      <w:lvlJc w:val="left"/>
      <w:pPr>
        <w:tabs>
          <w:tab w:val="num" w:pos="6480"/>
        </w:tabs>
        <w:ind w:left="6480" w:hanging="360"/>
      </w:pPr>
    </w:lvl>
  </w:abstractNum>
  <w:abstractNum w:abstractNumId="3" w15:restartNumberingAfterBreak="0">
    <w:nsid w:val="12D5354E"/>
    <w:multiLevelType w:val="hybridMultilevel"/>
    <w:tmpl w:val="A874E6C6"/>
    <w:lvl w:ilvl="0" w:tplc="41164798">
      <w:start w:val="2"/>
      <w:numFmt w:val="decimal"/>
      <w:lvlText w:val="%1"/>
      <w:lvlJc w:val="left"/>
      <w:pPr>
        <w:ind w:left="360" w:hanging="360"/>
      </w:pPr>
      <w:rPr>
        <w:rFonts w:hint="default"/>
      </w:rPr>
    </w:lvl>
    <w:lvl w:ilvl="1" w:tplc="E534774A">
      <w:start w:val="1"/>
      <w:numFmt w:val="decimal"/>
      <w:lvlText w:val="%1.%2"/>
      <w:lvlJc w:val="left"/>
      <w:pPr>
        <w:ind w:left="360" w:hanging="360"/>
      </w:pPr>
      <w:rPr>
        <w:rFonts w:ascii="Arial" w:hAnsi="Arial" w:cs="Arial" w:hint="default"/>
        <w:b w:val="0"/>
        <w:bCs w:val="0"/>
        <w:color w:val="auto"/>
        <w:vertAlign w:val="baseline"/>
      </w:rPr>
    </w:lvl>
    <w:lvl w:ilvl="2" w:tplc="E2101672">
      <w:start w:val="1"/>
      <w:numFmt w:val="decimal"/>
      <w:lvlText w:val="%1.%2.%3"/>
      <w:lvlJc w:val="left"/>
      <w:pPr>
        <w:ind w:left="720" w:hanging="720"/>
      </w:pPr>
      <w:rPr>
        <w:rFonts w:hint="default"/>
      </w:rPr>
    </w:lvl>
    <w:lvl w:ilvl="3" w:tplc="6D362312">
      <w:start w:val="1"/>
      <w:numFmt w:val="decimal"/>
      <w:lvlText w:val="%1.%2.%3.%4"/>
      <w:lvlJc w:val="left"/>
      <w:pPr>
        <w:ind w:left="720" w:hanging="720"/>
      </w:pPr>
      <w:rPr>
        <w:rFonts w:hint="default"/>
      </w:rPr>
    </w:lvl>
    <w:lvl w:ilvl="4" w:tplc="D40099B2">
      <w:start w:val="1"/>
      <w:numFmt w:val="decimal"/>
      <w:lvlText w:val="%1.%2.%3.%4.%5"/>
      <w:lvlJc w:val="left"/>
      <w:pPr>
        <w:ind w:left="1080" w:hanging="1080"/>
      </w:pPr>
      <w:rPr>
        <w:rFonts w:hint="default"/>
      </w:rPr>
    </w:lvl>
    <w:lvl w:ilvl="5" w:tplc="CB8422B6">
      <w:start w:val="1"/>
      <w:numFmt w:val="decimal"/>
      <w:lvlText w:val="%1.%2.%3.%4.%5.%6"/>
      <w:lvlJc w:val="left"/>
      <w:pPr>
        <w:ind w:left="1080" w:hanging="1080"/>
      </w:pPr>
      <w:rPr>
        <w:rFonts w:hint="default"/>
      </w:rPr>
    </w:lvl>
    <w:lvl w:ilvl="6" w:tplc="0890D542">
      <w:start w:val="1"/>
      <w:numFmt w:val="decimal"/>
      <w:lvlText w:val="%1.%2.%3.%4.%5.%6.%7"/>
      <w:lvlJc w:val="left"/>
      <w:pPr>
        <w:ind w:left="1440" w:hanging="1440"/>
      </w:pPr>
      <w:rPr>
        <w:rFonts w:hint="default"/>
      </w:rPr>
    </w:lvl>
    <w:lvl w:ilvl="7" w:tplc="DC227CD8">
      <w:start w:val="1"/>
      <w:numFmt w:val="decimal"/>
      <w:lvlText w:val="%1.%2.%3.%4.%5.%6.%7.%8"/>
      <w:lvlJc w:val="left"/>
      <w:pPr>
        <w:ind w:left="1440" w:hanging="1440"/>
      </w:pPr>
      <w:rPr>
        <w:rFonts w:hint="default"/>
      </w:rPr>
    </w:lvl>
    <w:lvl w:ilvl="8" w:tplc="CD06F3A6">
      <w:start w:val="1"/>
      <w:numFmt w:val="decimal"/>
      <w:lvlText w:val="%1.%2.%3.%4.%5.%6.%7.%8.%9"/>
      <w:lvlJc w:val="left"/>
      <w:pPr>
        <w:ind w:left="1800" w:hanging="1800"/>
      </w:pPr>
      <w:rPr>
        <w:rFonts w:hint="default"/>
      </w:rPr>
    </w:lvl>
  </w:abstractNum>
  <w:abstractNum w:abstractNumId="4" w15:restartNumberingAfterBreak="0">
    <w:nsid w:val="170421FC"/>
    <w:multiLevelType w:val="hybridMultilevel"/>
    <w:tmpl w:val="C7E66982"/>
    <w:lvl w:ilvl="0" w:tplc="2BD26C38">
      <w:start w:val="1"/>
      <w:numFmt w:val="bullet"/>
      <w:lvlText w:val=""/>
      <w:lvlJc w:val="left"/>
      <w:pPr>
        <w:tabs>
          <w:tab w:val="num" w:pos="720"/>
        </w:tabs>
        <w:ind w:left="720" w:hanging="360"/>
      </w:pPr>
      <w:rPr>
        <w:rFonts w:ascii="Symbol" w:hAnsi="Symbol" w:hint="default"/>
        <w:sz w:val="20"/>
      </w:rPr>
    </w:lvl>
    <w:lvl w:ilvl="1" w:tplc="3C18E1AC">
      <w:start w:val="3"/>
      <w:numFmt w:val="upperRoman"/>
      <w:lvlText w:val="%2."/>
      <w:lvlJc w:val="left"/>
      <w:pPr>
        <w:ind w:left="720" w:hanging="720"/>
      </w:pPr>
      <w:rPr>
        <w:rFonts w:hint="default"/>
      </w:rPr>
    </w:lvl>
    <w:lvl w:ilvl="2" w:tplc="33DCFCCC">
      <w:start w:val="2"/>
      <w:numFmt w:val="lowerLetter"/>
      <w:lvlText w:val="%3."/>
      <w:lvlJc w:val="left"/>
      <w:pPr>
        <w:ind w:left="2160" w:hanging="360"/>
      </w:pPr>
      <w:rPr>
        <w:rFonts w:hint="default"/>
      </w:rPr>
    </w:lvl>
    <w:lvl w:ilvl="3" w:tplc="D64CDB76">
      <w:start w:val="3"/>
      <w:numFmt w:val="decimal"/>
      <w:lvlText w:val="%4."/>
      <w:lvlJc w:val="left"/>
      <w:pPr>
        <w:ind w:left="2880" w:hanging="360"/>
      </w:pPr>
      <w:rPr>
        <w:rFonts w:hint="default"/>
      </w:rPr>
    </w:lvl>
    <w:lvl w:ilvl="4" w:tplc="E5324F36" w:tentative="1">
      <w:start w:val="1"/>
      <w:numFmt w:val="bullet"/>
      <w:lvlText w:val=""/>
      <w:lvlJc w:val="left"/>
      <w:pPr>
        <w:tabs>
          <w:tab w:val="num" w:pos="3600"/>
        </w:tabs>
        <w:ind w:left="3600" w:hanging="360"/>
      </w:pPr>
      <w:rPr>
        <w:rFonts w:ascii="Wingdings" w:hAnsi="Wingdings" w:hint="default"/>
        <w:sz w:val="20"/>
      </w:rPr>
    </w:lvl>
    <w:lvl w:ilvl="5" w:tplc="1DDA7C58" w:tentative="1">
      <w:start w:val="1"/>
      <w:numFmt w:val="bullet"/>
      <w:lvlText w:val=""/>
      <w:lvlJc w:val="left"/>
      <w:pPr>
        <w:tabs>
          <w:tab w:val="num" w:pos="4320"/>
        </w:tabs>
        <w:ind w:left="4320" w:hanging="360"/>
      </w:pPr>
      <w:rPr>
        <w:rFonts w:ascii="Wingdings" w:hAnsi="Wingdings" w:hint="default"/>
        <w:sz w:val="20"/>
      </w:rPr>
    </w:lvl>
    <w:lvl w:ilvl="6" w:tplc="BC8024C6" w:tentative="1">
      <w:start w:val="1"/>
      <w:numFmt w:val="bullet"/>
      <w:lvlText w:val=""/>
      <w:lvlJc w:val="left"/>
      <w:pPr>
        <w:tabs>
          <w:tab w:val="num" w:pos="5040"/>
        </w:tabs>
        <w:ind w:left="5040" w:hanging="360"/>
      </w:pPr>
      <w:rPr>
        <w:rFonts w:ascii="Wingdings" w:hAnsi="Wingdings" w:hint="default"/>
        <w:sz w:val="20"/>
      </w:rPr>
    </w:lvl>
    <w:lvl w:ilvl="7" w:tplc="04C65E26" w:tentative="1">
      <w:start w:val="1"/>
      <w:numFmt w:val="bullet"/>
      <w:lvlText w:val=""/>
      <w:lvlJc w:val="left"/>
      <w:pPr>
        <w:tabs>
          <w:tab w:val="num" w:pos="5760"/>
        </w:tabs>
        <w:ind w:left="5760" w:hanging="360"/>
      </w:pPr>
      <w:rPr>
        <w:rFonts w:ascii="Wingdings" w:hAnsi="Wingdings" w:hint="default"/>
        <w:sz w:val="20"/>
      </w:rPr>
    </w:lvl>
    <w:lvl w:ilvl="8" w:tplc="58DC5EF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0E5985"/>
    <w:multiLevelType w:val="hybridMultilevel"/>
    <w:tmpl w:val="22687C48"/>
    <w:lvl w:ilvl="0" w:tplc="F1CE1994">
      <w:start w:val="21"/>
      <w:numFmt w:val="decimal"/>
      <w:lvlText w:val="%1."/>
      <w:lvlJc w:val="left"/>
      <w:pPr>
        <w:tabs>
          <w:tab w:val="num" w:pos="720"/>
        </w:tabs>
        <w:ind w:left="720" w:hanging="360"/>
      </w:pPr>
    </w:lvl>
    <w:lvl w:ilvl="1" w:tplc="A962C7B4" w:tentative="1">
      <w:start w:val="1"/>
      <w:numFmt w:val="decimal"/>
      <w:lvlText w:val="%2."/>
      <w:lvlJc w:val="left"/>
      <w:pPr>
        <w:tabs>
          <w:tab w:val="num" w:pos="1440"/>
        </w:tabs>
        <w:ind w:left="1440" w:hanging="360"/>
      </w:pPr>
    </w:lvl>
    <w:lvl w:ilvl="2" w:tplc="BD3AF4C8" w:tentative="1">
      <w:start w:val="1"/>
      <w:numFmt w:val="decimal"/>
      <w:lvlText w:val="%3."/>
      <w:lvlJc w:val="left"/>
      <w:pPr>
        <w:tabs>
          <w:tab w:val="num" w:pos="2160"/>
        </w:tabs>
        <w:ind w:left="2160" w:hanging="360"/>
      </w:pPr>
    </w:lvl>
    <w:lvl w:ilvl="3" w:tplc="2ACA14EE" w:tentative="1">
      <w:start w:val="1"/>
      <w:numFmt w:val="decimal"/>
      <w:lvlText w:val="%4."/>
      <w:lvlJc w:val="left"/>
      <w:pPr>
        <w:tabs>
          <w:tab w:val="num" w:pos="2880"/>
        </w:tabs>
        <w:ind w:left="2880" w:hanging="360"/>
      </w:pPr>
    </w:lvl>
    <w:lvl w:ilvl="4" w:tplc="2E98F258" w:tentative="1">
      <w:start w:val="1"/>
      <w:numFmt w:val="decimal"/>
      <w:lvlText w:val="%5."/>
      <w:lvlJc w:val="left"/>
      <w:pPr>
        <w:tabs>
          <w:tab w:val="num" w:pos="3600"/>
        </w:tabs>
        <w:ind w:left="3600" w:hanging="360"/>
      </w:pPr>
    </w:lvl>
    <w:lvl w:ilvl="5" w:tplc="A7AE571A" w:tentative="1">
      <w:start w:val="1"/>
      <w:numFmt w:val="decimal"/>
      <w:lvlText w:val="%6."/>
      <w:lvlJc w:val="left"/>
      <w:pPr>
        <w:tabs>
          <w:tab w:val="num" w:pos="4320"/>
        </w:tabs>
        <w:ind w:left="4320" w:hanging="360"/>
      </w:pPr>
    </w:lvl>
    <w:lvl w:ilvl="6" w:tplc="FFBA3F5E" w:tentative="1">
      <w:start w:val="1"/>
      <w:numFmt w:val="decimal"/>
      <w:lvlText w:val="%7."/>
      <w:lvlJc w:val="left"/>
      <w:pPr>
        <w:tabs>
          <w:tab w:val="num" w:pos="5040"/>
        </w:tabs>
        <w:ind w:left="5040" w:hanging="360"/>
      </w:pPr>
    </w:lvl>
    <w:lvl w:ilvl="7" w:tplc="6D5CEB6C" w:tentative="1">
      <w:start w:val="1"/>
      <w:numFmt w:val="decimal"/>
      <w:lvlText w:val="%8."/>
      <w:lvlJc w:val="left"/>
      <w:pPr>
        <w:tabs>
          <w:tab w:val="num" w:pos="5760"/>
        </w:tabs>
        <w:ind w:left="5760" w:hanging="360"/>
      </w:pPr>
    </w:lvl>
    <w:lvl w:ilvl="8" w:tplc="2AC408F6" w:tentative="1">
      <w:start w:val="1"/>
      <w:numFmt w:val="decimal"/>
      <w:lvlText w:val="%9."/>
      <w:lvlJc w:val="left"/>
      <w:pPr>
        <w:tabs>
          <w:tab w:val="num" w:pos="6480"/>
        </w:tabs>
        <w:ind w:left="6480" w:hanging="360"/>
      </w:pPr>
    </w:lvl>
  </w:abstractNum>
  <w:abstractNum w:abstractNumId="6" w15:restartNumberingAfterBreak="0">
    <w:nsid w:val="1D2671D0"/>
    <w:multiLevelType w:val="hybridMultilevel"/>
    <w:tmpl w:val="02943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8C1D07"/>
    <w:multiLevelType w:val="hybridMultilevel"/>
    <w:tmpl w:val="C7E66982"/>
    <w:lvl w:ilvl="0" w:tplc="63DA41AA">
      <w:start w:val="1"/>
      <w:numFmt w:val="bullet"/>
      <w:lvlText w:val=""/>
      <w:lvlJc w:val="left"/>
      <w:pPr>
        <w:tabs>
          <w:tab w:val="num" w:pos="720"/>
        </w:tabs>
        <w:ind w:left="720" w:hanging="360"/>
      </w:pPr>
      <w:rPr>
        <w:rFonts w:ascii="Symbol" w:hAnsi="Symbol" w:hint="default"/>
        <w:sz w:val="20"/>
      </w:rPr>
    </w:lvl>
    <w:lvl w:ilvl="1" w:tplc="7E0855F8">
      <w:start w:val="3"/>
      <w:numFmt w:val="upperRoman"/>
      <w:lvlText w:val="%2."/>
      <w:lvlJc w:val="left"/>
      <w:pPr>
        <w:ind w:left="720" w:hanging="720"/>
      </w:pPr>
      <w:rPr>
        <w:rFonts w:hint="default"/>
      </w:rPr>
    </w:lvl>
    <w:lvl w:ilvl="2" w:tplc="637A9FD8">
      <w:start w:val="2"/>
      <w:numFmt w:val="lowerLetter"/>
      <w:lvlText w:val="%3."/>
      <w:lvlJc w:val="left"/>
      <w:pPr>
        <w:ind w:left="2160" w:hanging="360"/>
      </w:pPr>
      <w:rPr>
        <w:rFonts w:hint="default"/>
      </w:rPr>
    </w:lvl>
    <w:lvl w:ilvl="3" w:tplc="9A02BEC0">
      <w:start w:val="3"/>
      <w:numFmt w:val="decimal"/>
      <w:lvlText w:val="%4."/>
      <w:lvlJc w:val="left"/>
      <w:pPr>
        <w:ind w:left="2880" w:hanging="360"/>
      </w:pPr>
      <w:rPr>
        <w:rFonts w:hint="default"/>
      </w:rPr>
    </w:lvl>
    <w:lvl w:ilvl="4" w:tplc="8516231A" w:tentative="1">
      <w:start w:val="1"/>
      <w:numFmt w:val="bullet"/>
      <w:lvlText w:val=""/>
      <w:lvlJc w:val="left"/>
      <w:pPr>
        <w:tabs>
          <w:tab w:val="num" w:pos="3600"/>
        </w:tabs>
        <w:ind w:left="3600" w:hanging="360"/>
      </w:pPr>
      <w:rPr>
        <w:rFonts w:ascii="Wingdings" w:hAnsi="Wingdings" w:hint="default"/>
        <w:sz w:val="20"/>
      </w:rPr>
    </w:lvl>
    <w:lvl w:ilvl="5" w:tplc="19066008" w:tentative="1">
      <w:start w:val="1"/>
      <w:numFmt w:val="bullet"/>
      <w:lvlText w:val=""/>
      <w:lvlJc w:val="left"/>
      <w:pPr>
        <w:tabs>
          <w:tab w:val="num" w:pos="4320"/>
        </w:tabs>
        <w:ind w:left="4320" w:hanging="360"/>
      </w:pPr>
      <w:rPr>
        <w:rFonts w:ascii="Wingdings" w:hAnsi="Wingdings" w:hint="default"/>
        <w:sz w:val="20"/>
      </w:rPr>
    </w:lvl>
    <w:lvl w:ilvl="6" w:tplc="6E04F948" w:tentative="1">
      <w:start w:val="1"/>
      <w:numFmt w:val="bullet"/>
      <w:lvlText w:val=""/>
      <w:lvlJc w:val="left"/>
      <w:pPr>
        <w:tabs>
          <w:tab w:val="num" w:pos="5040"/>
        </w:tabs>
        <w:ind w:left="5040" w:hanging="360"/>
      </w:pPr>
      <w:rPr>
        <w:rFonts w:ascii="Wingdings" w:hAnsi="Wingdings" w:hint="default"/>
        <w:sz w:val="20"/>
      </w:rPr>
    </w:lvl>
    <w:lvl w:ilvl="7" w:tplc="D7C8C314" w:tentative="1">
      <w:start w:val="1"/>
      <w:numFmt w:val="bullet"/>
      <w:lvlText w:val=""/>
      <w:lvlJc w:val="left"/>
      <w:pPr>
        <w:tabs>
          <w:tab w:val="num" w:pos="5760"/>
        </w:tabs>
        <w:ind w:left="5760" w:hanging="360"/>
      </w:pPr>
      <w:rPr>
        <w:rFonts w:ascii="Wingdings" w:hAnsi="Wingdings" w:hint="default"/>
        <w:sz w:val="20"/>
      </w:rPr>
    </w:lvl>
    <w:lvl w:ilvl="8" w:tplc="57BAD22A"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080CA2"/>
    <w:multiLevelType w:val="hybridMultilevel"/>
    <w:tmpl w:val="487086DA"/>
    <w:lvl w:ilvl="0" w:tplc="B9F8D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0204E1"/>
    <w:multiLevelType w:val="hybridMultilevel"/>
    <w:tmpl w:val="DC3ECD32"/>
    <w:lvl w:ilvl="0" w:tplc="AA8AF4CE">
      <w:start w:val="3"/>
      <w:numFmt w:val="decimal"/>
      <w:lvlText w:val="%1"/>
      <w:lvlJc w:val="left"/>
      <w:pPr>
        <w:ind w:left="360" w:hanging="360"/>
      </w:pPr>
      <w:rPr>
        <w:rFonts w:hint="default"/>
      </w:rPr>
    </w:lvl>
    <w:lvl w:ilvl="1" w:tplc="48F8CE38">
      <w:start w:val="1"/>
      <w:numFmt w:val="decimal"/>
      <w:lvlText w:val="%1.%2"/>
      <w:lvlJc w:val="left"/>
      <w:pPr>
        <w:ind w:left="360" w:hanging="360"/>
      </w:pPr>
      <w:rPr>
        <w:rFonts w:hint="default"/>
      </w:rPr>
    </w:lvl>
    <w:lvl w:ilvl="2" w:tplc="EA486426">
      <w:start w:val="1"/>
      <w:numFmt w:val="decimal"/>
      <w:lvlText w:val="%1.%2.%3"/>
      <w:lvlJc w:val="left"/>
      <w:pPr>
        <w:ind w:left="720" w:hanging="720"/>
      </w:pPr>
      <w:rPr>
        <w:rFonts w:hint="default"/>
      </w:rPr>
    </w:lvl>
    <w:lvl w:ilvl="3" w:tplc="6CE88620">
      <w:start w:val="1"/>
      <w:numFmt w:val="decimal"/>
      <w:lvlText w:val="%1.%2.%3.%4"/>
      <w:lvlJc w:val="left"/>
      <w:pPr>
        <w:ind w:left="720" w:hanging="720"/>
      </w:pPr>
      <w:rPr>
        <w:rFonts w:hint="default"/>
      </w:rPr>
    </w:lvl>
    <w:lvl w:ilvl="4" w:tplc="0622BA94">
      <w:start w:val="1"/>
      <w:numFmt w:val="decimal"/>
      <w:lvlText w:val="%1.%2.%3.%4.%5"/>
      <w:lvlJc w:val="left"/>
      <w:pPr>
        <w:ind w:left="1080" w:hanging="1080"/>
      </w:pPr>
      <w:rPr>
        <w:rFonts w:hint="default"/>
      </w:rPr>
    </w:lvl>
    <w:lvl w:ilvl="5" w:tplc="5278251E">
      <w:start w:val="1"/>
      <w:numFmt w:val="decimal"/>
      <w:lvlText w:val="%1.%2.%3.%4.%5.%6"/>
      <w:lvlJc w:val="left"/>
      <w:pPr>
        <w:ind w:left="1080" w:hanging="1080"/>
      </w:pPr>
      <w:rPr>
        <w:rFonts w:hint="default"/>
      </w:rPr>
    </w:lvl>
    <w:lvl w:ilvl="6" w:tplc="6340EB4E">
      <w:start w:val="1"/>
      <w:numFmt w:val="decimal"/>
      <w:lvlText w:val="%1.%2.%3.%4.%5.%6.%7"/>
      <w:lvlJc w:val="left"/>
      <w:pPr>
        <w:ind w:left="1440" w:hanging="1440"/>
      </w:pPr>
      <w:rPr>
        <w:rFonts w:hint="default"/>
      </w:rPr>
    </w:lvl>
    <w:lvl w:ilvl="7" w:tplc="969EBF64">
      <w:start w:val="1"/>
      <w:numFmt w:val="decimal"/>
      <w:lvlText w:val="%1.%2.%3.%4.%5.%6.%7.%8"/>
      <w:lvlJc w:val="left"/>
      <w:pPr>
        <w:ind w:left="1440" w:hanging="1440"/>
      </w:pPr>
      <w:rPr>
        <w:rFonts w:hint="default"/>
      </w:rPr>
    </w:lvl>
    <w:lvl w:ilvl="8" w:tplc="0CFA4EE0">
      <w:start w:val="1"/>
      <w:numFmt w:val="decimal"/>
      <w:lvlText w:val="%1.%2.%3.%4.%5.%6.%7.%8.%9"/>
      <w:lvlJc w:val="left"/>
      <w:pPr>
        <w:ind w:left="1800" w:hanging="1800"/>
      </w:pPr>
      <w:rPr>
        <w:rFonts w:hint="default"/>
      </w:rPr>
    </w:lvl>
  </w:abstractNum>
  <w:abstractNum w:abstractNumId="11" w15:restartNumberingAfterBreak="0">
    <w:nsid w:val="359B4991"/>
    <w:multiLevelType w:val="hybridMultilevel"/>
    <w:tmpl w:val="A4F4C8E6"/>
    <w:lvl w:ilvl="0" w:tplc="BE9AC88E">
      <w:start w:val="1"/>
      <w:numFmt w:val="upperRoman"/>
      <w:lvlRestart w:val="0"/>
      <w:lvlText w:val="%1."/>
      <w:lvlJc w:val="center"/>
      <w:pPr>
        <w:tabs>
          <w:tab w:val="num" w:pos="1800"/>
        </w:tabs>
        <w:ind w:left="1152" w:firstLine="288"/>
      </w:pPr>
      <w:rPr>
        <w:b/>
        <w:i w:val="0"/>
      </w:rPr>
    </w:lvl>
    <w:lvl w:ilvl="1" w:tplc="91920DA6">
      <w:start w:val="1"/>
      <w:numFmt w:val="decimal"/>
      <w:lvlText w:val="%1.%2"/>
      <w:lvlJc w:val="left"/>
      <w:pPr>
        <w:tabs>
          <w:tab w:val="num" w:pos="2448"/>
        </w:tabs>
        <w:ind w:left="2448" w:hanging="1296"/>
      </w:pPr>
    </w:lvl>
    <w:lvl w:ilvl="2" w:tplc="FABCBA82">
      <w:start w:val="1"/>
      <w:numFmt w:val="lowerLetter"/>
      <w:lvlText w:val="%3."/>
      <w:lvlJc w:val="left"/>
      <w:pPr>
        <w:tabs>
          <w:tab w:val="num" w:pos="2304"/>
        </w:tabs>
        <w:ind w:left="2304" w:hanging="432"/>
      </w:pPr>
    </w:lvl>
    <w:lvl w:ilvl="3" w:tplc="849AADFA">
      <w:start w:val="1"/>
      <w:numFmt w:val="lowerRoman"/>
      <w:lvlText w:val="%4."/>
      <w:lvlJc w:val="right"/>
      <w:pPr>
        <w:tabs>
          <w:tab w:val="num" w:pos="2736"/>
        </w:tabs>
        <w:ind w:left="2736" w:hanging="288"/>
      </w:pPr>
    </w:lvl>
    <w:lvl w:ilvl="4" w:tplc="04D0EC8E">
      <w:start w:val="1"/>
      <w:numFmt w:val="decimal"/>
      <w:lvlText w:val="%1.%2.%3.%4.%5"/>
      <w:lvlJc w:val="left"/>
      <w:pPr>
        <w:ind w:left="2160" w:hanging="1008"/>
      </w:pPr>
    </w:lvl>
    <w:lvl w:ilvl="5" w:tplc="AB5EDF6A">
      <w:start w:val="1"/>
      <w:numFmt w:val="decimal"/>
      <w:lvlText w:val="%1.%2.%3.%4.%5.%6"/>
      <w:lvlJc w:val="left"/>
      <w:pPr>
        <w:ind w:left="2304" w:hanging="1152"/>
      </w:pPr>
    </w:lvl>
    <w:lvl w:ilvl="6" w:tplc="5F3E64D2">
      <w:start w:val="1"/>
      <w:numFmt w:val="decimal"/>
      <w:lvlText w:val="%1.%2.%3.%4.%5.%6.%7"/>
      <w:lvlJc w:val="left"/>
      <w:pPr>
        <w:ind w:left="2448" w:hanging="1296"/>
      </w:pPr>
    </w:lvl>
    <w:lvl w:ilvl="7" w:tplc="57945264">
      <w:start w:val="1"/>
      <w:numFmt w:val="decimal"/>
      <w:lvlText w:val="%1.%2.%3.%4.%5.%6.%7.%8"/>
      <w:lvlJc w:val="left"/>
      <w:pPr>
        <w:ind w:left="2592" w:hanging="1440"/>
      </w:pPr>
    </w:lvl>
    <w:lvl w:ilvl="8" w:tplc="2AECE540">
      <w:start w:val="1"/>
      <w:numFmt w:val="decimal"/>
      <w:lvlText w:val="%1.%2.%3.%4.%5.%6.%7.%8.%9"/>
      <w:lvlJc w:val="left"/>
      <w:pPr>
        <w:ind w:left="2736" w:hanging="1584"/>
      </w:pPr>
    </w:lvl>
  </w:abstractNum>
  <w:abstractNum w:abstractNumId="12" w15:restartNumberingAfterBreak="0">
    <w:nsid w:val="3762750F"/>
    <w:multiLevelType w:val="hybridMultilevel"/>
    <w:tmpl w:val="B2388AA2"/>
    <w:lvl w:ilvl="0" w:tplc="91D89676">
      <w:start w:val="1"/>
      <w:numFmt w:val="low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040E4B"/>
    <w:multiLevelType w:val="hybridMultilevel"/>
    <w:tmpl w:val="F9582B06"/>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4" w15:restartNumberingAfterBreak="0">
    <w:nsid w:val="44594911"/>
    <w:multiLevelType w:val="hybridMultilevel"/>
    <w:tmpl w:val="3FB6AE34"/>
    <w:lvl w:ilvl="0" w:tplc="660C70A2">
      <w:start w:val="1"/>
      <w:numFmt w:val="decimal"/>
      <w:lvlText w:val="%1"/>
      <w:lvlJc w:val="left"/>
      <w:pPr>
        <w:ind w:left="360" w:hanging="360"/>
      </w:pPr>
      <w:rPr>
        <w:rFonts w:hint="default"/>
      </w:rPr>
    </w:lvl>
    <w:lvl w:ilvl="1" w:tplc="77C2D454">
      <w:start w:val="1"/>
      <w:numFmt w:val="decimal"/>
      <w:lvlText w:val="%1.%2"/>
      <w:lvlJc w:val="left"/>
      <w:pPr>
        <w:ind w:left="1440" w:hanging="360"/>
      </w:pPr>
      <w:rPr>
        <w:rFonts w:ascii="Arial" w:hAnsi="Arial" w:cs="Arial" w:hint="default"/>
        <w:b w:val="0"/>
        <w:bCs w:val="0"/>
        <w:sz w:val="22"/>
        <w:szCs w:val="22"/>
        <w:lang w:val="es-ES_tradnl"/>
      </w:rPr>
    </w:lvl>
    <w:lvl w:ilvl="2" w:tplc="4E848EFA">
      <w:start w:val="1"/>
      <w:numFmt w:val="decimal"/>
      <w:lvlText w:val="%1.%2.%3"/>
      <w:lvlJc w:val="left"/>
      <w:pPr>
        <w:ind w:left="720" w:hanging="720"/>
      </w:pPr>
      <w:rPr>
        <w:rFonts w:hint="default"/>
      </w:rPr>
    </w:lvl>
    <w:lvl w:ilvl="3" w:tplc="85E07A48">
      <w:start w:val="1"/>
      <w:numFmt w:val="decimal"/>
      <w:lvlText w:val="%1.%2.%3.%4"/>
      <w:lvlJc w:val="left"/>
      <w:pPr>
        <w:ind w:left="720" w:hanging="720"/>
      </w:pPr>
      <w:rPr>
        <w:rFonts w:hint="default"/>
      </w:rPr>
    </w:lvl>
    <w:lvl w:ilvl="4" w:tplc="BC56A7CA">
      <w:start w:val="1"/>
      <w:numFmt w:val="decimal"/>
      <w:lvlText w:val="%1.%2.%3.%4.%5"/>
      <w:lvlJc w:val="left"/>
      <w:pPr>
        <w:ind w:left="1080" w:hanging="1080"/>
      </w:pPr>
      <w:rPr>
        <w:rFonts w:hint="default"/>
      </w:rPr>
    </w:lvl>
    <w:lvl w:ilvl="5" w:tplc="7750D424">
      <w:start w:val="1"/>
      <w:numFmt w:val="decimal"/>
      <w:lvlText w:val="%1.%2.%3.%4.%5.%6"/>
      <w:lvlJc w:val="left"/>
      <w:pPr>
        <w:ind w:left="1080" w:hanging="1080"/>
      </w:pPr>
      <w:rPr>
        <w:rFonts w:hint="default"/>
      </w:rPr>
    </w:lvl>
    <w:lvl w:ilvl="6" w:tplc="0C36D924">
      <w:start w:val="1"/>
      <w:numFmt w:val="decimal"/>
      <w:lvlText w:val="%1.%2.%3.%4.%5.%6.%7"/>
      <w:lvlJc w:val="left"/>
      <w:pPr>
        <w:ind w:left="1440" w:hanging="1440"/>
      </w:pPr>
      <w:rPr>
        <w:rFonts w:hint="default"/>
      </w:rPr>
    </w:lvl>
    <w:lvl w:ilvl="7" w:tplc="E77E8A10">
      <w:start w:val="1"/>
      <w:numFmt w:val="decimal"/>
      <w:lvlText w:val="%1.%2.%3.%4.%5.%6.%7.%8"/>
      <w:lvlJc w:val="left"/>
      <w:pPr>
        <w:ind w:left="1440" w:hanging="1440"/>
      </w:pPr>
      <w:rPr>
        <w:rFonts w:hint="default"/>
      </w:rPr>
    </w:lvl>
    <w:lvl w:ilvl="8" w:tplc="049C3CA0">
      <w:start w:val="1"/>
      <w:numFmt w:val="decimal"/>
      <w:lvlText w:val="%1.%2.%3.%4.%5.%6.%7.%8.%9"/>
      <w:lvlJc w:val="left"/>
      <w:pPr>
        <w:ind w:left="1800" w:hanging="1800"/>
      </w:pPr>
      <w:rPr>
        <w:rFonts w:hint="default"/>
      </w:rPr>
    </w:lvl>
  </w:abstractNum>
  <w:abstractNum w:abstractNumId="15" w15:restartNumberingAfterBreak="0">
    <w:nsid w:val="4C360156"/>
    <w:multiLevelType w:val="hybridMultilevel"/>
    <w:tmpl w:val="5B2C18F4"/>
    <w:lvl w:ilvl="0" w:tplc="C65E90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530A9C"/>
    <w:multiLevelType w:val="hybridMultilevel"/>
    <w:tmpl w:val="7A4C2E3A"/>
    <w:lvl w:ilvl="0" w:tplc="3B44244A">
      <w:start w:val="1"/>
      <w:numFmt w:val="upperRoman"/>
      <w:lvlRestart w:val="0"/>
      <w:lvlText w:val="%1."/>
      <w:lvlJc w:val="center"/>
      <w:pPr>
        <w:tabs>
          <w:tab w:val="num" w:pos="1800"/>
        </w:tabs>
        <w:ind w:left="1152" w:firstLine="288"/>
      </w:pPr>
      <w:rPr>
        <w:b/>
        <w:i w:val="0"/>
      </w:rPr>
    </w:lvl>
    <w:lvl w:ilvl="1" w:tplc="8EF6E170">
      <w:start w:val="1"/>
      <w:numFmt w:val="decimal"/>
      <w:lvlText w:val="%1.%2"/>
      <w:lvlJc w:val="left"/>
      <w:pPr>
        <w:tabs>
          <w:tab w:val="num" w:pos="2448"/>
        </w:tabs>
        <w:ind w:left="2448" w:hanging="1296"/>
      </w:pPr>
    </w:lvl>
    <w:lvl w:ilvl="2" w:tplc="083AD7D4">
      <w:start w:val="1"/>
      <w:numFmt w:val="lowerLetter"/>
      <w:lvlText w:val="%3."/>
      <w:lvlJc w:val="left"/>
      <w:pPr>
        <w:tabs>
          <w:tab w:val="num" w:pos="2304"/>
        </w:tabs>
        <w:ind w:left="2304" w:hanging="432"/>
      </w:pPr>
    </w:lvl>
    <w:lvl w:ilvl="3" w:tplc="6EB6CF94">
      <w:start w:val="1"/>
      <w:numFmt w:val="lowerRoman"/>
      <w:lvlText w:val="%4."/>
      <w:lvlJc w:val="right"/>
      <w:pPr>
        <w:tabs>
          <w:tab w:val="num" w:pos="2736"/>
        </w:tabs>
        <w:ind w:left="2736" w:hanging="288"/>
      </w:pPr>
    </w:lvl>
    <w:lvl w:ilvl="4" w:tplc="FE8834B8">
      <w:start w:val="1"/>
      <w:numFmt w:val="decimal"/>
      <w:lvlText w:val="%1.%2.%3.%4.%5"/>
      <w:lvlJc w:val="left"/>
      <w:pPr>
        <w:ind w:left="2160" w:hanging="1008"/>
      </w:pPr>
    </w:lvl>
    <w:lvl w:ilvl="5" w:tplc="D6AE8502">
      <w:start w:val="1"/>
      <w:numFmt w:val="decimal"/>
      <w:lvlText w:val="%1.%2.%3.%4.%5.%6"/>
      <w:lvlJc w:val="left"/>
      <w:pPr>
        <w:ind w:left="2304" w:hanging="1152"/>
      </w:pPr>
    </w:lvl>
    <w:lvl w:ilvl="6" w:tplc="352056B4">
      <w:start w:val="1"/>
      <w:numFmt w:val="decimal"/>
      <w:lvlText w:val="%1.%2.%3.%4.%5.%6.%7"/>
      <w:lvlJc w:val="left"/>
      <w:pPr>
        <w:ind w:left="2448" w:hanging="1296"/>
      </w:pPr>
    </w:lvl>
    <w:lvl w:ilvl="7" w:tplc="C33C794A">
      <w:start w:val="1"/>
      <w:numFmt w:val="decimal"/>
      <w:lvlText w:val="%1.%2.%3.%4.%5.%6.%7.%8"/>
      <w:lvlJc w:val="left"/>
      <w:pPr>
        <w:ind w:left="2592" w:hanging="1440"/>
      </w:pPr>
    </w:lvl>
    <w:lvl w:ilvl="8" w:tplc="6E8C80D6">
      <w:start w:val="1"/>
      <w:numFmt w:val="decimal"/>
      <w:lvlText w:val="%1.%2.%3.%4.%5.%6.%7.%8.%9"/>
      <w:lvlJc w:val="left"/>
      <w:pPr>
        <w:ind w:left="2736" w:hanging="1584"/>
      </w:pPr>
    </w:lvl>
  </w:abstractNum>
  <w:abstractNum w:abstractNumId="17"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5F41D9"/>
    <w:multiLevelType w:val="hybridMultilevel"/>
    <w:tmpl w:val="EC4A4FFA"/>
    <w:lvl w:ilvl="0" w:tplc="97088774">
      <w:start w:val="1"/>
      <w:numFmt w:val="decimal"/>
      <w:lvlText w:val="%1."/>
      <w:lvlJc w:val="left"/>
      <w:pPr>
        <w:ind w:left="1080" w:hanging="360"/>
      </w:pPr>
      <w:rPr>
        <w:rFonts w:ascii="Arial" w:eastAsia="Arial" w:hAnsi="Arial" w:cs="Arial"/>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94F4FE8"/>
    <w:multiLevelType w:val="hybridMultilevel"/>
    <w:tmpl w:val="F4E6C338"/>
    <w:lvl w:ilvl="0" w:tplc="2D7A03C4">
      <w:start w:val="1"/>
      <w:numFmt w:val="decimal"/>
      <w:lvlText w:val="%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0" w15:restartNumberingAfterBreak="0">
    <w:nsid w:val="6B992D03"/>
    <w:multiLevelType w:val="hybridMultilevel"/>
    <w:tmpl w:val="F0A80DDA"/>
    <w:lvl w:ilvl="0" w:tplc="EB46992C">
      <w:start w:val="1"/>
      <w:numFmt w:val="decimal"/>
      <w:pStyle w:val="Chapter"/>
      <w:lvlText w:val="%1"/>
      <w:lvlJc w:val="left"/>
      <w:pPr>
        <w:ind w:left="1152" w:hanging="432"/>
      </w:pPr>
    </w:lvl>
    <w:lvl w:ilvl="1" w:tplc="9102882A">
      <w:start w:val="1"/>
      <w:numFmt w:val="decimal"/>
      <w:pStyle w:val="Heading2"/>
      <w:lvlText w:val="%1.%2"/>
      <w:lvlJc w:val="left"/>
      <w:pPr>
        <w:ind w:left="1296" w:hanging="576"/>
      </w:pPr>
    </w:lvl>
    <w:lvl w:ilvl="2" w:tplc="20FE18CC">
      <w:start w:val="1"/>
      <w:numFmt w:val="decimal"/>
      <w:pStyle w:val="Heading3"/>
      <w:lvlText w:val="%1.%2.%3"/>
      <w:lvlJc w:val="left"/>
      <w:pPr>
        <w:ind w:left="1440" w:hanging="720"/>
      </w:pPr>
    </w:lvl>
    <w:lvl w:ilvl="3" w:tplc="C67885FE">
      <w:start w:val="1"/>
      <w:numFmt w:val="decimal"/>
      <w:pStyle w:val="Heading4"/>
      <w:lvlText w:val="%1.%2.%3.%4"/>
      <w:lvlJc w:val="left"/>
      <w:pPr>
        <w:ind w:left="1584" w:hanging="864"/>
      </w:pPr>
    </w:lvl>
    <w:lvl w:ilvl="4" w:tplc="0584FB5A">
      <w:start w:val="1"/>
      <w:numFmt w:val="decimal"/>
      <w:pStyle w:val="Heading5"/>
      <w:lvlText w:val="%1.%2.%3.%4.%5"/>
      <w:lvlJc w:val="left"/>
      <w:pPr>
        <w:ind w:left="1728" w:hanging="1008"/>
      </w:pPr>
    </w:lvl>
    <w:lvl w:ilvl="5" w:tplc="44549D9A">
      <w:start w:val="1"/>
      <w:numFmt w:val="decimal"/>
      <w:pStyle w:val="Heading6"/>
      <w:lvlText w:val="%1.%2.%3.%4.%5.%6"/>
      <w:lvlJc w:val="left"/>
      <w:pPr>
        <w:ind w:left="1872" w:hanging="1152"/>
      </w:pPr>
    </w:lvl>
    <w:lvl w:ilvl="6" w:tplc="B6989C42">
      <w:start w:val="1"/>
      <w:numFmt w:val="decimal"/>
      <w:pStyle w:val="Heading7"/>
      <w:lvlText w:val="%1.%2.%3.%4.%5.%6.%7"/>
      <w:lvlJc w:val="left"/>
      <w:pPr>
        <w:ind w:left="2016" w:hanging="1296"/>
      </w:pPr>
    </w:lvl>
    <w:lvl w:ilvl="7" w:tplc="35B25F3C">
      <w:start w:val="1"/>
      <w:numFmt w:val="decimal"/>
      <w:pStyle w:val="Heading8"/>
      <w:lvlText w:val="%1.%2.%3.%4.%5.%6.%7.%8"/>
      <w:lvlJc w:val="left"/>
      <w:pPr>
        <w:ind w:left="2160" w:hanging="1440"/>
      </w:pPr>
    </w:lvl>
    <w:lvl w:ilvl="8" w:tplc="0BAAE2FE">
      <w:start w:val="1"/>
      <w:numFmt w:val="decimal"/>
      <w:pStyle w:val="Heading9"/>
      <w:lvlText w:val="%1.%2.%3.%4.%5.%6.%7.%8.%9"/>
      <w:lvlJc w:val="left"/>
      <w:pPr>
        <w:ind w:left="2304" w:hanging="1584"/>
      </w:pPr>
    </w:lvl>
  </w:abstractNum>
  <w:abstractNum w:abstractNumId="21" w15:restartNumberingAfterBreak="0">
    <w:nsid w:val="71355538"/>
    <w:multiLevelType w:val="hybridMultilevel"/>
    <w:tmpl w:val="1F52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727A90"/>
    <w:multiLevelType w:val="hybridMultilevel"/>
    <w:tmpl w:val="AD703500"/>
    <w:lvl w:ilvl="0" w:tplc="0CCE84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CC25A2"/>
    <w:multiLevelType w:val="hybridMultilevel"/>
    <w:tmpl w:val="EB6E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D40648F"/>
    <w:multiLevelType w:val="hybridMultilevel"/>
    <w:tmpl w:val="87F668AE"/>
    <w:lvl w:ilvl="0" w:tplc="89EE09A6">
      <w:start w:val="1"/>
      <w:numFmt w:val="decimal"/>
      <w:lvlText w:val="%1"/>
      <w:lvlJc w:val="left"/>
      <w:pPr>
        <w:ind w:left="360" w:hanging="360"/>
      </w:pPr>
    </w:lvl>
    <w:lvl w:ilvl="1" w:tplc="A524C408">
      <w:start w:val="1"/>
      <w:numFmt w:val="decimal"/>
      <w:lvlText w:val="%1.%2"/>
      <w:lvlJc w:val="left"/>
      <w:pPr>
        <w:ind w:left="1512" w:hanging="360"/>
      </w:pPr>
      <w:rPr>
        <w:rFonts w:ascii="Arial" w:hAnsi="Arial" w:cs="Arial" w:hint="default"/>
        <w:b w:val="0"/>
        <w:bCs/>
        <w:sz w:val="22"/>
        <w:szCs w:val="22"/>
      </w:rPr>
    </w:lvl>
    <w:lvl w:ilvl="2" w:tplc="12F6EF76">
      <w:start w:val="1"/>
      <w:numFmt w:val="decimal"/>
      <w:lvlText w:val="%1.%2.%3"/>
      <w:lvlJc w:val="left"/>
      <w:pPr>
        <w:ind w:left="3024" w:hanging="720"/>
      </w:pPr>
    </w:lvl>
    <w:lvl w:ilvl="3" w:tplc="301C057C">
      <w:start w:val="1"/>
      <w:numFmt w:val="decimal"/>
      <w:lvlText w:val="%1.%2.%3.%4"/>
      <w:lvlJc w:val="left"/>
      <w:pPr>
        <w:ind w:left="4176" w:hanging="720"/>
      </w:pPr>
    </w:lvl>
    <w:lvl w:ilvl="4" w:tplc="DE88A00E">
      <w:start w:val="1"/>
      <w:numFmt w:val="decimal"/>
      <w:lvlText w:val="%1.%2.%3.%4.%5"/>
      <w:lvlJc w:val="left"/>
      <w:pPr>
        <w:ind w:left="5688" w:hanging="1080"/>
      </w:pPr>
    </w:lvl>
    <w:lvl w:ilvl="5" w:tplc="A7DC23A8">
      <w:start w:val="1"/>
      <w:numFmt w:val="decimal"/>
      <w:lvlText w:val="%1.%2.%3.%4.%5.%6"/>
      <w:lvlJc w:val="left"/>
      <w:pPr>
        <w:ind w:left="6840" w:hanging="1080"/>
      </w:pPr>
    </w:lvl>
    <w:lvl w:ilvl="6" w:tplc="6BC0FECA">
      <w:start w:val="1"/>
      <w:numFmt w:val="decimal"/>
      <w:lvlText w:val="%1.%2.%3.%4.%5.%6.%7"/>
      <w:lvlJc w:val="left"/>
      <w:pPr>
        <w:ind w:left="8352" w:hanging="1440"/>
      </w:pPr>
    </w:lvl>
    <w:lvl w:ilvl="7" w:tplc="3ACAE80C">
      <w:start w:val="1"/>
      <w:numFmt w:val="decimal"/>
      <w:lvlText w:val="%1.%2.%3.%4.%5.%6.%7.%8"/>
      <w:lvlJc w:val="left"/>
      <w:pPr>
        <w:ind w:left="9504" w:hanging="1440"/>
      </w:pPr>
    </w:lvl>
    <w:lvl w:ilvl="8" w:tplc="9ABE1980">
      <w:start w:val="1"/>
      <w:numFmt w:val="decimal"/>
      <w:lvlText w:val="%1.%2.%3.%4.%5.%6.%7.%8.%9"/>
      <w:lvlJc w:val="left"/>
      <w:pPr>
        <w:ind w:left="11016" w:hanging="1800"/>
      </w:pPr>
    </w:lvl>
  </w:abstractNum>
  <w:abstractNum w:abstractNumId="26" w15:restartNumberingAfterBreak="0">
    <w:nsid w:val="7DAA440B"/>
    <w:multiLevelType w:val="hybridMultilevel"/>
    <w:tmpl w:val="2D34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B22577"/>
    <w:multiLevelType w:val="hybridMultilevel"/>
    <w:tmpl w:val="E376C7A2"/>
    <w:lvl w:ilvl="0" w:tplc="C688C794">
      <w:start w:val="19"/>
      <w:numFmt w:val="decimal"/>
      <w:lvlText w:val="%1."/>
      <w:lvlJc w:val="left"/>
      <w:pPr>
        <w:tabs>
          <w:tab w:val="num" w:pos="720"/>
        </w:tabs>
        <w:ind w:left="720" w:hanging="360"/>
      </w:pPr>
    </w:lvl>
    <w:lvl w:ilvl="1" w:tplc="FA8C7954" w:tentative="1">
      <w:start w:val="1"/>
      <w:numFmt w:val="decimal"/>
      <w:lvlText w:val="%2."/>
      <w:lvlJc w:val="left"/>
      <w:pPr>
        <w:tabs>
          <w:tab w:val="num" w:pos="1440"/>
        </w:tabs>
        <w:ind w:left="1440" w:hanging="360"/>
      </w:pPr>
    </w:lvl>
    <w:lvl w:ilvl="2" w:tplc="F9E0CF98" w:tentative="1">
      <w:start w:val="1"/>
      <w:numFmt w:val="decimal"/>
      <w:lvlText w:val="%3."/>
      <w:lvlJc w:val="left"/>
      <w:pPr>
        <w:tabs>
          <w:tab w:val="num" w:pos="2160"/>
        </w:tabs>
        <w:ind w:left="2160" w:hanging="360"/>
      </w:pPr>
    </w:lvl>
    <w:lvl w:ilvl="3" w:tplc="9C90F00C" w:tentative="1">
      <w:start w:val="1"/>
      <w:numFmt w:val="decimal"/>
      <w:lvlText w:val="%4."/>
      <w:lvlJc w:val="left"/>
      <w:pPr>
        <w:tabs>
          <w:tab w:val="num" w:pos="2880"/>
        </w:tabs>
        <w:ind w:left="2880" w:hanging="360"/>
      </w:pPr>
    </w:lvl>
    <w:lvl w:ilvl="4" w:tplc="B5C24420" w:tentative="1">
      <w:start w:val="1"/>
      <w:numFmt w:val="decimal"/>
      <w:lvlText w:val="%5."/>
      <w:lvlJc w:val="left"/>
      <w:pPr>
        <w:tabs>
          <w:tab w:val="num" w:pos="3600"/>
        </w:tabs>
        <w:ind w:left="3600" w:hanging="360"/>
      </w:pPr>
    </w:lvl>
    <w:lvl w:ilvl="5" w:tplc="D9B0B386" w:tentative="1">
      <w:start w:val="1"/>
      <w:numFmt w:val="decimal"/>
      <w:lvlText w:val="%6."/>
      <w:lvlJc w:val="left"/>
      <w:pPr>
        <w:tabs>
          <w:tab w:val="num" w:pos="4320"/>
        </w:tabs>
        <w:ind w:left="4320" w:hanging="360"/>
      </w:pPr>
    </w:lvl>
    <w:lvl w:ilvl="6" w:tplc="CC94F802" w:tentative="1">
      <w:start w:val="1"/>
      <w:numFmt w:val="decimal"/>
      <w:lvlText w:val="%7."/>
      <w:lvlJc w:val="left"/>
      <w:pPr>
        <w:tabs>
          <w:tab w:val="num" w:pos="5040"/>
        </w:tabs>
        <w:ind w:left="5040" w:hanging="360"/>
      </w:pPr>
    </w:lvl>
    <w:lvl w:ilvl="7" w:tplc="1E74C4E2" w:tentative="1">
      <w:start w:val="1"/>
      <w:numFmt w:val="decimal"/>
      <w:lvlText w:val="%8."/>
      <w:lvlJc w:val="left"/>
      <w:pPr>
        <w:tabs>
          <w:tab w:val="num" w:pos="5760"/>
        </w:tabs>
        <w:ind w:left="5760" w:hanging="360"/>
      </w:pPr>
    </w:lvl>
    <w:lvl w:ilvl="8" w:tplc="A4A27748" w:tentative="1">
      <w:start w:val="1"/>
      <w:numFmt w:val="decimal"/>
      <w:lvlText w:val="%9."/>
      <w:lvlJc w:val="left"/>
      <w:pPr>
        <w:tabs>
          <w:tab w:val="num" w:pos="6480"/>
        </w:tabs>
        <w:ind w:left="6480" w:hanging="360"/>
      </w:pPr>
    </w:lvl>
  </w:abstractNum>
  <w:abstractNum w:abstractNumId="28" w15:restartNumberingAfterBreak="0">
    <w:nsid w:val="7FB33DDA"/>
    <w:multiLevelType w:val="hybridMultilevel"/>
    <w:tmpl w:val="0AD4C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7"/>
  </w:num>
  <w:num w:numId="4">
    <w:abstractNumId w:val="8"/>
  </w:num>
  <w:num w:numId="5">
    <w:abstractNumId w:val="20"/>
  </w:num>
  <w:num w:numId="6">
    <w:abstractNumId w:val="4"/>
  </w:num>
  <w:num w:numId="7">
    <w:abstractNumId w:val="24"/>
  </w:num>
  <w:num w:numId="8">
    <w:abstractNumId w:val="21"/>
  </w:num>
  <w:num w:numId="9">
    <w:abstractNumId w:val="15"/>
  </w:num>
  <w:num w:numId="10">
    <w:abstractNumId w:val="28"/>
  </w:num>
  <w:num w:numId="11">
    <w:abstractNumId w:val="12"/>
  </w:num>
  <w:num w:numId="12">
    <w:abstractNumId w:val="26"/>
  </w:num>
  <w:num w:numId="13">
    <w:abstractNumId w:val="9"/>
  </w:num>
  <w:num w:numId="14">
    <w:abstractNumId w:val="11"/>
  </w:num>
  <w:num w:numId="15">
    <w:abstractNumId w:val="22"/>
  </w:num>
  <w:num w:numId="16">
    <w:abstractNumId w:val="23"/>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4"/>
  </w:num>
  <w:num w:numId="20">
    <w:abstractNumId w:val="13"/>
  </w:num>
  <w:num w:numId="21">
    <w:abstractNumId w:val="10"/>
  </w:num>
  <w:num w:numId="22">
    <w:abstractNumId w:val="18"/>
  </w:num>
  <w:num w:numId="23">
    <w:abstractNumId w:val="6"/>
  </w:num>
  <w:num w:numId="24">
    <w:abstractNumId w:val="27"/>
  </w:num>
  <w:num w:numId="25">
    <w:abstractNumId w:val="2"/>
  </w:num>
  <w:num w:numId="26">
    <w:abstractNumId w:val="5"/>
  </w:num>
  <w:num w:numId="27">
    <w:abstractNumId w:val="3"/>
  </w:num>
  <w:num w:numId="28">
    <w:abstractNumId w:val="1"/>
  </w:num>
  <w:num w:numId="29">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002A"/>
    <w:rsid w:val="000076BB"/>
    <w:rsid w:val="00007F0A"/>
    <w:rsid w:val="000110B5"/>
    <w:rsid w:val="0001629E"/>
    <w:rsid w:val="00020831"/>
    <w:rsid w:val="00021AFF"/>
    <w:rsid w:val="00025A0F"/>
    <w:rsid w:val="00037884"/>
    <w:rsid w:val="00040E95"/>
    <w:rsid w:val="0004377C"/>
    <w:rsid w:val="00043F90"/>
    <w:rsid w:val="000442CE"/>
    <w:rsid w:val="00046676"/>
    <w:rsid w:val="000538A3"/>
    <w:rsid w:val="00056911"/>
    <w:rsid w:val="0006684C"/>
    <w:rsid w:val="00071C8C"/>
    <w:rsid w:val="0007361F"/>
    <w:rsid w:val="00073CC4"/>
    <w:rsid w:val="000741EB"/>
    <w:rsid w:val="00074681"/>
    <w:rsid w:val="00075FAC"/>
    <w:rsid w:val="0007609D"/>
    <w:rsid w:val="000779BB"/>
    <w:rsid w:val="00083129"/>
    <w:rsid w:val="000834AD"/>
    <w:rsid w:val="00084520"/>
    <w:rsid w:val="0008552A"/>
    <w:rsid w:val="00085849"/>
    <w:rsid w:val="00092737"/>
    <w:rsid w:val="00092A4B"/>
    <w:rsid w:val="00093A64"/>
    <w:rsid w:val="00093FE5"/>
    <w:rsid w:val="0009610B"/>
    <w:rsid w:val="00097006"/>
    <w:rsid w:val="000A2521"/>
    <w:rsid w:val="000A331B"/>
    <w:rsid w:val="000A4C92"/>
    <w:rsid w:val="000A5071"/>
    <w:rsid w:val="000A7DEC"/>
    <w:rsid w:val="000B0D4A"/>
    <w:rsid w:val="000B3036"/>
    <w:rsid w:val="000C325A"/>
    <w:rsid w:val="000C3B5E"/>
    <w:rsid w:val="000C45D0"/>
    <w:rsid w:val="000C5D09"/>
    <w:rsid w:val="000C786A"/>
    <w:rsid w:val="000D11CA"/>
    <w:rsid w:val="000D2DF1"/>
    <w:rsid w:val="000D5C01"/>
    <w:rsid w:val="000D7BFC"/>
    <w:rsid w:val="000E21DF"/>
    <w:rsid w:val="000E305B"/>
    <w:rsid w:val="000E7137"/>
    <w:rsid w:val="000E7D9B"/>
    <w:rsid w:val="000F65C1"/>
    <w:rsid w:val="000F6A56"/>
    <w:rsid w:val="00100748"/>
    <w:rsid w:val="00100AF5"/>
    <w:rsid w:val="001040D8"/>
    <w:rsid w:val="00105AFA"/>
    <w:rsid w:val="00106DB1"/>
    <w:rsid w:val="00113E0A"/>
    <w:rsid w:val="00114B1C"/>
    <w:rsid w:val="00123258"/>
    <w:rsid w:val="00125678"/>
    <w:rsid w:val="001300DA"/>
    <w:rsid w:val="0013083B"/>
    <w:rsid w:val="001316D6"/>
    <w:rsid w:val="00131813"/>
    <w:rsid w:val="001367F7"/>
    <w:rsid w:val="00136F64"/>
    <w:rsid w:val="0013768C"/>
    <w:rsid w:val="0014055A"/>
    <w:rsid w:val="00140E81"/>
    <w:rsid w:val="0014159E"/>
    <w:rsid w:val="00141C71"/>
    <w:rsid w:val="001460D8"/>
    <w:rsid w:val="0014799F"/>
    <w:rsid w:val="00151145"/>
    <w:rsid w:val="001540C8"/>
    <w:rsid w:val="0015541E"/>
    <w:rsid w:val="00155936"/>
    <w:rsid w:val="001577A3"/>
    <w:rsid w:val="00157F01"/>
    <w:rsid w:val="001609F8"/>
    <w:rsid w:val="001623E3"/>
    <w:rsid w:val="00165696"/>
    <w:rsid w:val="00165A9D"/>
    <w:rsid w:val="001710B5"/>
    <w:rsid w:val="00171F61"/>
    <w:rsid w:val="00174565"/>
    <w:rsid w:val="00175CB2"/>
    <w:rsid w:val="001769EF"/>
    <w:rsid w:val="001808F4"/>
    <w:rsid w:val="00182716"/>
    <w:rsid w:val="0018563A"/>
    <w:rsid w:val="001860D5"/>
    <w:rsid w:val="00187099"/>
    <w:rsid w:val="00190876"/>
    <w:rsid w:val="00191D72"/>
    <w:rsid w:val="001946DE"/>
    <w:rsid w:val="001947CA"/>
    <w:rsid w:val="001958A2"/>
    <w:rsid w:val="00197372"/>
    <w:rsid w:val="001A1413"/>
    <w:rsid w:val="001A163D"/>
    <w:rsid w:val="001A1DF9"/>
    <w:rsid w:val="001A4A48"/>
    <w:rsid w:val="001A53D0"/>
    <w:rsid w:val="001A5CA1"/>
    <w:rsid w:val="001A5FE0"/>
    <w:rsid w:val="001B4C0C"/>
    <w:rsid w:val="001B5186"/>
    <w:rsid w:val="001B65EC"/>
    <w:rsid w:val="001B6EBC"/>
    <w:rsid w:val="001C0FF4"/>
    <w:rsid w:val="001C2BDA"/>
    <w:rsid w:val="001C2DE6"/>
    <w:rsid w:val="001C30B9"/>
    <w:rsid w:val="001C4920"/>
    <w:rsid w:val="001D17E2"/>
    <w:rsid w:val="001D52E4"/>
    <w:rsid w:val="001D5989"/>
    <w:rsid w:val="001D6049"/>
    <w:rsid w:val="001D60CC"/>
    <w:rsid w:val="001D7371"/>
    <w:rsid w:val="001E1861"/>
    <w:rsid w:val="001E2CB9"/>
    <w:rsid w:val="001E3B9D"/>
    <w:rsid w:val="001E3F1B"/>
    <w:rsid w:val="001E4BCD"/>
    <w:rsid w:val="001E5ED5"/>
    <w:rsid w:val="001E6019"/>
    <w:rsid w:val="001E74DA"/>
    <w:rsid w:val="001F0D5D"/>
    <w:rsid w:val="001F2EA6"/>
    <w:rsid w:val="001F30B1"/>
    <w:rsid w:val="001F50D4"/>
    <w:rsid w:val="001F6C6F"/>
    <w:rsid w:val="002007F5"/>
    <w:rsid w:val="00201EC5"/>
    <w:rsid w:val="002025AE"/>
    <w:rsid w:val="0020390C"/>
    <w:rsid w:val="00204689"/>
    <w:rsid w:val="00204D46"/>
    <w:rsid w:val="00205165"/>
    <w:rsid w:val="00207FCB"/>
    <w:rsid w:val="00212721"/>
    <w:rsid w:val="00215465"/>
    <w:rsid w:val="00215E78"/>
    <w:rsid w:val="00216251"/>
    <w:rsid w:val="00216324"/>
    <w:rsid w:val="00216E71"/>
    <w:rsid w:val="002173E9"/>
    <w:rsid w:val="002173F7"/>
    <w:rsid w:val="002230F7"/>
    <w:rsid w:val="00223D2B"/>
    <w:rsid w:val="00225E53"/>
    <w:rsid w:val="00231FD8"/>
    <w:rsid w:val="002329D1"/>
    <w:rsid w:val="00233926"/>
    <w:rsid w:val="00235B96"/>
    <w:rsid w:val="00240498"/>
    <w:rsid w:val="00240A56"/>
    <w:rsid w:val="00240D81"/>
    <w:rsid w:val="00241A52"/>
    <w:rsid w:val="00242D15"/>
    <w:rsid w:val="0024380C"/>
    <w:rsid w:val="00244BA3"/>
    <w:rsid w:val="002460CC"/>
    <w:rsid w:val="00246383"/>
    <w:rsid w:val="00246EA9"/>
    <w:rsid w:val="00247C54"/>
    <w:rsid w:val="002518F0"/>
    <w:rsid w:val="00252F50"/>
    <w:rsid w:val="002540B8"/>
    <w:rsid w:val="0026082F"/>
    <w:rsid w:val="0026097E"/>
    <w:rsid w:val="002650CE"/>
    <w:rsid w:val="00266B5E"/>
    <w:rsid w:val="00267377"/>
    <w:rsid w:val="00271674"/>
    <w:rsid w:val="00273CB1"/>
    <w:rsid w:val="00273D2E"/>
    <w:rsid w:val="0027682D"/>
    <w:rsid w:val="002846B9"/>
    <w:rsid w:val="00285AE0"/>
    <w:rsid w:val="00286190"/>
    <w:rsid w:val="00286708"/>
    <w:rsid w:val="00286C85"/>
    <w:rsid w:val="00287B00"/>
    <w:rsid w:val="00291DAC"/>
    <w:rsid w:val="00293842"/>
    <w:rsid w:val="0029573D"/>
    <w:rsid w:val="002A02F5"/>
    <w:rsid w:val="002A52F0"/>
    <w:rsid w:val="002A5EA2"/>
    <w:rsid w:val="002A671D"/>
    <w:rsid w:val="002A6A94"/>
    <w:rsid w:val="002A7369"/>
    <w:rsid w:val="002B0C30"/>
    <w:rsid w:val="002B2785"/>
    <w:rsid w:val="002B27F5"/>
    <w:rsid w:val="002B4CB7"/>
    <w:rsid w:val="002B5473"/>
    <w:rsid w:val="002B766C"/>
    <w:rsid w:val="002C03C7"/>
    <w:rsid w:val="002C0985"/>
    <w:rsid w:val="002C3532"/>
    <w:rsid w:val="002C55C9"/>
    <w:rsid w:val="002C6247"/>
    <w:rsid w:val="002C7268"/>
    <w:rsid w:val="002C7CC5"/>
    <w:rsid w:val="002D0455"/>
    <w:rsid w:val="002D16FA"/>
    <w:rsid w:val="002D267E"/>
    <w:rsid w:val="002D3425"/>
    <w:rsid w:val="002D3BB8"/>
    <w:rsid w:val="002D445A"/>
    <w:rsid w:val="002D5242"/>
    <w:rsid w:val="002D5960"/>
    <w:rsid w:val="002E0069"/>
    <w:rsid w:val="002E044F"/>
    <w:rsid w:val="002E0AD4"/>
    <w:rsid w:val="002E1DB8"/>
    <w:rsid w:val="002E2CF6"/>
    <w:rsid w:val="002E335A"/>
    <w:rsid w:val="002E6125"/>
    <w:rsid w:val="002F1DBF"/>
    <w:rsid w:val="002F2051"/>
    <w:rsid w:val="002F2421"/>
    <w:rsid w:val="002F2AEE"/>
    <w:rsid w:val="002F2E17"/>
    <w:rsid w:val="002F3B72"/>
    <w:rsid w:val="002F665A"/>
    <w:rsid w:val="00301FF2"/>
    <w:rsid w:val="00304BBD"/>
    <w:rsid w:val="00305DEC"/>
    <w:rsid w:val="00306268"/>
    <w:rsid w:val="00306C3E"/>
    <w:rsid w:val="00310317"/>
    <w:rsid w:val="00311362"/>
    <w:rsid w:val="00312581"/>
    <w:rsid w:val="00312FFA"/>
    <w:rsid w:val="003130AD"/>
    <w:rsid w:val="00315F55"/>
    <w:rsid w:val="00317019"/>
    <w:rsid w:val="003171FB"/>
    <w:rsid w:val="00324426"/>
    <w:rsid w:val="00324AFC"/>
    <w:rsid w:val="003250CA"/>
    <w:rsid w:val="003258F0"/>
    <w:rsid w:val="00330C18"/>
    <w:rsid w:val="00335F98"/>
    <w:rsid w:val="00340F79"/>
    <w:rsid w:val="00341236"/>
    <w:rsid w:val="0034177D"/>
    <w:rsid w:val="00343B46"/>
    <w:rsid w:val="003470B7"/>
    <w:rsid w:val="00347294"/>
    <w:rsid w:val="00350B46"/>
    <w:rsid w:val="00351A4C"/>
    <w:rsid w:val="00352380"/>
    <w:rsid w:val="0035253C"/>
    <w:rsid w:val="003544D8"/>
    <w:rsid w:val="00355A54"/>
    <w:rsid w:val="003605CE"/>
    <w:rsid w:val="003644D5"/>
    <w:rsid w:val="00365A58"/>
    <w:rsid w:val="00372465"/>
    <w:rsid w:val="00373C25"/>
    <w:rsid w:val="0037407B"/>
    <w:rsid w:val="003765CD"/>
    <w:rsid w:val="0037728B"/>
    <w:rsid w:val="003812F7"/>
    <w:rsid w:val="00384D1E"/>
    <w:rsid w:val="003870BC"/>
    <w:rsid w:val="00387409"/>
    <w:rsid w:val="00391E68"/>
    <w:rsid w:val="003942ED"/>
    <w:rsid w:val="003967AC"/>
    <w:rsid w:val="003A4EAE"/>
    <w:rsid w:val="003A6B23"/>
    <w:rsid w:val="003A74C5"/>
    <w:rsid w:val="003B258C"/>
    <w:rsid w:val="003B2FDC"/>
    <w:rsid w:val="003B3ECE"/>
    <w:rsid w:val="003B4EB7"/>
    <w:rsid w:val="003B55C9"/>
    <w:rsid w:val="003C02D1"/>
    <w:rsid w:val="003C2C8E"/>
    <w:rsid w:val="003C4217"/>
    <w:rsid w:val="003D26FA"/>
    <w:rsid w:val="003D2E4D"/>
    <w:rsid w:val="003D5B9C"/>
    <w:rsid w:val="003E26E9"/>
    <w:rsid w:val="003E2741"/>
    <w:rsid w:val="003E66F4"/>
    <w:rsid w:val="003E7F04"/>
    <w:rsid w:val="003F2169"/>
    <w:rsid w:val="003F550E"/>
    <w:rsid w:val="003F6917"/>
    <w:rsid w:val="0040083E"/>
    <w:rsid w:val="00401673"/>
    <w:rsid w:val="00402F5F"/>
    <w:rsid w:val="0040592B"/>
    <w:rsid w:val="004078EC"/>
    <w:rsid w:val="004107F3"/>
    <w:rsid w:val="00411DBF"/>
    <w:rsid w:val="00412FFF"/>
    <w:rsid w:val="00414B96"/>
    <w:rsid w:val="004156C8"/>
    <w:rsid w:val="00416B5C"/>
    <w:rsid w:val="00417465"/>
    <w:rsid w:val="00425EB4"/>
    <w:rsid w:val="00425FEE"/>
    <w:rsid w:val="0042605D"/>
    <w:rsid w:val="00426FE5"/>
    <w:rsid w:val="00431DD1"/>
    <w:rsid w:val="00432482"/>
    <w:rsid w:val="004329A5"/>
    <w:rsid w:val="00432DCB"/>
    <w:rsid w:val="00434D7E"/>
    <w:rsid w:val="00434E23"/>
    <w:rsid w:val="0043505E"/>
    <w:rsid w:val="00436110"/>
    <w:rsid w:val="004365F5"/>
    <w:rsid w:val="00437049"/>
    <w:rsid w:val="0044029C"/>
    <w:rsid w:val="00443C4C"/>
    <w:rsid w:val="004462A9"/>
    <w:rsid w:val="00452A58"/>
    <w:rsid w:val="00452BED"/>
    <w:rsid w:val="00454DB5"/>
    <w:rsid w:val="00456199"/>
    <w:rsid w:val="00456FE4"/>
    <w:rsid w:val="0045734F"/>
    <w:rsid w:val="004609F1"/>
    <w:rsid w:val="004612EC"/>
    <w:rsid w:val="0046168E"/>
    <w:rsid w:val="00465D43"/>
    <w:rsid w:val="004666FB"/>
    <w:rsid w:val="00473350"/>
    <w:rsid w:val="00473FBD"/>
    <w:rsid w:val="00476E7F"/>
    <w:rsid w:val="00477E09"/>
    <w:rsid w:val="00480E3B"/>
    <w:rsid w:val="004815E8"/>
    <w:rsid w:val="00482FAE"/>
    <w:rsid w:val="0048416B"/>
    <w:rsid w:val="004863CD"/>
    <w:rsid w:val="00487E28"/>
    <w:rsid w:val="004909FD"/>
    <w:rsid w:val="004964DC"/>
    <w:rsid w:val="00497E00"/>
    <w:rsid w:val="00497E6E"/>
    <w:rsid w:val="004A0998"/>
    <w:rsid w:val="004A2489"/>
    <w:rsid w:val="004A5678"/>
    <w:rsid w:val="004B17E7"/>
    <w:rsid w:val="004B191A"/>
    <w:rsid w:val="004B2CF8"/>
    <w:rsid w:val="004B4A0F"/>
    <w:rsid w:val="004B525C"/>
    <w:rsid w:val="004B6722"/>
    <w:rsid w:val="004C0C27"/>
    <w:rsid w:val="004C1E31"/>
    <w:rsid w:val="004C2A97"/>
    <w:rsid w:val="004C2BC9"/>
    <w:rsid w:val="004C55FD"/>
    <w:rsid w:val="004C5DAA"/>
    <w:rsid w:val="004C6062"/>
    <w:rsid w:val="004C75C7"/>
    <w:rsid w:val="004D0B13"/>
    <w:rsid w:val="004D3787"/>
    <w:rsid w:val="004D61A3"/>
    <w:rsid w:val="004E0A0A"/>
    <w:rsid w:val="004E0F3F"/>
    <w:rsid w:val="004E1CD2"/>
    <w:rsid w:val="004E3D1E"/>
    <w:rsid w:val="004E4248"/>
    <w:rsid w:val="004E4D87"/>
    <w:rsid w:val="004E50C5"/>
    <w:rsid w:val="004E55B1"/>
    <w:rsid w:val="004E6030"/>
    <w:rsid w:val="004E6D25"/>
    <w:rsid w:val="004E75FF"/>
    <w:rsid w:val="004E7920"/>
    <w:rsid w:val="004F1101"/>
    <w:rsid w:val="004F2B03"/>
    <w:rsid w:val="004F4C53"/>
    <w:rsid w:val="004F77A0"/>
    <w:rsid w:val="00500393"/>
    <w:rsid w:val="00503CBA"/>
    <w:rsid w:val="00503FAF"/>
    <w:rsid w:val="00504ABB"/>
    <w:rsid w:val="00505EF4"/>
    <w:rsid w:val="0050610D"/>
    <w:rsid w:val="00510033"/>
    <w:rsid w:val="0051125D"/>
    <w:rsid w:val="00511E21"/>
    <w:rsid w:val="00512E46"/>
    <w:rsid w:val="00520240"/>
    <w:rsid w:val="005209A3"/>
    <w:rsid w:val="005241CD"/>
    <w:rsid w:val="0053026B"/>
    <w:rsid w:val="005313AF"/>
    <w:rsid w:val="00531512"/>
    <w:rsid w:val="00531B00"/>
    <w:rsid w:val="005326A4"/>
    <w:rsid w:val="0053403B"/>
    <w:rsid w:val="00534106"/>
    <w:rsid w:val="00535EBE"/>
    <w:rsid w:val="005407B8"/>
    <w:rsid w:val="00543EBC"/>
    <w:rsid w:val="00545C08"/>
    <w:rsid w:val="005502FF"/>
    <w:rsid w:val="00550897"/>
    <w:rsid w:val="00554FFD"/>
    <w:rsid w:val="0055740D"/>
    <w:rsid w:val="00562B33"/>
    <w:rsid w:val="005650CD"/>
    <w:rsid w:val="0056733D"/>
    <w:rsid w:val="00570E8D"/>
    <w:rsid w:val="005775DF"/>
    <w:rsid w:val="005817B8"/>
    <w:rsid w:val="005828D6"/>
    <w:rsid w:val="0058314E"/>
    <w:rsid w:val="00584512"/>
    <w:rsid w:val="00584AF5"/>
    <w:rsid w:val="0059011D"/>
    <w:rsid w:val="00592A7F"/>
    <w:rsid w:val="00597445"/>
    <w:rsid w:val="005A1E89"/>
    <w:rsid w:val="005A483C"/>
    <w:rsid w:val="005A58E7"/>
    <w:rsid w:val="005B4465"/>
    <w:rsid w:val="005B65E7"/>
    <w:rsid w:val="005B752C"/>
    <w:rsid w:val="005C140E"/>
    <w:rsid w:val="005C4839"/>
    <w:rsid w:val="005C5B58"/>
    <w:rsid w:val="005D0B82"/>
    <w:rsid w:val="005D1D74"/>
    <w:rsid w:val="005D226C"/>
    <w:rsid w:val="005D2720"/>
    <w:rsid w:val="005D2C11"/>
    <w:rsid w:val="005D4BEC"/>
    <w:rsid w:val="005E0911"/>
    <w:rsid w:val="005E094A"/>
    <w:rsid w:val="005E0E22"/>
    <w:rsid w:val="005E42F2"/>
    <w:rsid w:val="005E506E"/>
    <w:rsid w:val="005E6B91"/>
    <w:rsid w:val="005E7FFB"/>
    <w:rsid w:val="005F02E9"/>
    <w:rsid w:val="005F14B7"/>
    <w:rsid w:val="005F5561"/>
    <w:rsid w:val="005F68CD"/>
    <w:rsid w:val="005F7D3B"/>
    <w:rsid w:val="006001BB"/>
    <w:rsid w:val="0060033F"/>
    <w:rsid w:val="00601D07"/>
    <w:rsid w:val="00602423"/>
    <w:rsid w:val="006050E4"/>
    <w:rsid w:val="0060597D"/>
    <w:rsid w:val="00606313"/>
    <w:rsid w:val="0061350C"/>
    <w:rsid w:val="0061441C"/>
    <w:rsid w:val="00616086"/>
    <w:rsid w:val="00621968"/>
    <w:rsid w:val="0062226F"/>
    <w:rsid w:val="00623105"/>
    <w:rsid w:val="00623888"/>
    <w:rsid w:val="00625904"/>
    <w:rsid w:val="0063124F"/>
    <w:rsid w:val="00631508"/>
    <w:rsid w:val="0063176F"/>
    <w:rsid w:val="0063612C"/>
    <w:rsid w:val="006366ED"/>
    <w:rsid w:val="00640B0F"/>
    <w:rsid w:val="006421B1"/>
    <w:rsid w:val="0064345B"/>
    <w:rsid w:val="0064694F"/>
    <w:rsid w:val="006504BB"/>
    <w:rsid w:val="0065132F"/>
    <w:rsid w:val="006517A8"/>
    <w:rsid w:val="00651C50"/>
    <w:rsid w:val="00652322"/>
    <w:rsid w:val="006554FC"/>
    <w:rsid w:val="00656127"/>
    <w:rsid w:val="0065677C"/>
    <w:rsid w:val="00662805"/>
    <w:rsid w:val="00662A0A"/>
    <w:rsid w:val="00664745"/>
    <w:rsid w:val="00665B36"/>
    <w:rsid w:val="00665CCE"/>
    <w:rsid w:val="006660F8"/>
    <w:rsid w:val="00666185"/>
    <w:rsid w:val="00667561"/>
    <w:rsid w:val="00674D11"/>
    <w:rsid w:val="00674E50"/>
    <w:rsid w:val="006803A3"/>
    <w:rsid w:val="006813D5"/>
    <w:rsid w:val="006847FA"/>
    <w:rsid w:val="0069192D"/>
    <w:rsid w:val="00692B66"/>
    <w:rsid w:val="00694DD6"/>
    <w:rsid w:val="006A16DC"/>
    <w:rsid w:val="006A2D71"/>
    <w:rsid w:val="006A4E5A"/>
    <w:rsid w:val="006A5550"/>
    <w:rsid w:val="006A5FB5"/>
    <w:rsid w:val="006A7219"/>
    <w:rsid w:val="006A7AA5"/>
    <w:rsid w:val="006B0994"/>
    <w:rsid w:val="006B19A0"/>
    <w:rsid w:val="006B3BC4"/>
    <w:rsid w:val="006B5137"/>
    <w:rsid w:val="006C1331"/>
    <w:rsid w:val="006C2DB8"/>
    <w:rsid w:val="006C3B5F"/>
    <w:rsid w:val="006C4AF7"/>
    <w:rsid w:val="006D0C0D"/>
    <w:rsid w:val="006D0DC7"/>
    <w:rsid w:val="006D15DA"/>
    <w:rsid w:val="006D3D8B"/>
    <w:rsid w:val="006D5757"/>
    <w:rsid w:val="006D6530"/>
    <w:rsid w:val="006E5D8A"/>
    <w:rsid w:val="006E5E0A"/>
    <w:rsid w:val="006E6953"/>
    <w:rsid w:val="006F25B0"/>
    <w:rsid w:val="006F2EFC"/>
    <w:rsid w:val="006F7A2F"/>
    <w:rsid w:val="006F7B43"/>
    <w:rsid w:val="00700345"/>
    <w:rsid w:val="0070225C"/>
    <w:rsid w:val="00706DEF"/>
    <w:rsid w:val="0070724C"/>
    <w:rsid w:val="00720431"/>
    <w:rsid w:val="007221CD"/>
    <w:rsid w:val="00724788"/>
    <w:rsid w:val="00725B0B"/>
    <w:rsid w:val="00726A0D"/>
    <w:rsid w:val="007307E2"/>
    <w:rsid w:val="00734D97"/>
    <w:rsid w:val="0074232B"/>
    <w:rsid w:val="00743DB5"/>
    <w:rsid w:val="007444A3"/>
    <w:rsid w:val="00746113"/>
    <w:rsid w:val="00750E63"/>
    <w:rsid w:val="00752244"/>
    <w:rsid w:val="00755546"/>
    <w:rsid w:val="00756FFA"/>
    <w:rsid w:val="0075752C"/>
    <w:rsid w:val="007619F3"/>
    <w:rsid w:val="0076386C"/>
    <w:rsid w:val="007653D8"/>
    <w:rsid w:val="00765D47"/>
    <w:rsid w:val="00767B54"/>
    <w:rsid w:val="00782325"/>
    <w:rsid w:val="00785C35"/>
    <w:rsid w:val="0078644C"/>
    <w:rsid w:val="00786C39"/>
    <w:rsid w:val="00787A70"/>
    <w:rsid w:val="00790AA6"/>
    <w:rsid w:val="00792662"/>
    <w:rsid w:val="0079319F"/>
    <w:rsid w:val="00793E51"/>
    <w:rsid w:val="00793EAB"/>
    <w:rsid w:val="007942F6"/>
    <w:rsid w:val="0079449C"/>
    <w:rsid w:val="00794632"/>
    <w:rsid w:val="0079537F"/>
    <w:rsid w:val="00795B11"/>
    <w:rsid w:val="00795BA5"/>
    <w:rsid w:val="0079661E"/>
    <w:rsid w:val="00796DF5"/>
    <w:rsid w:val="007A1D93"/>
    <w:rsid w:val="007A4A45"/>
    <w:rsid w:val="007A601B"/>
    <w:rsid w:val="007B0162"/>
    <w:rsid w:val="007B3635"/>
    <w:rsid w:val="007B45CE"/>
    <w:rsid w:val="007B5482"/>
    <w:rsid w:val="007B58AE"/>
    <w:rsid w:val="007C3C25"/>
    <w:rsid w:val="007D024C"/>
    <w:rsid w:val="007D0895"/>
    <w:rsid w:val="007D1DD3"/>
    <w:rsid w:val="007D4A59"/>
    <w:rsid w:val="007E0B4B"/>
    <w:rsid w:val="007E2B2F"/>
    <w:rsid w:val="007E33DF"/>
    <w:rsid w:val="007E3FE2"/>
    <w:rsid w:val="007E470B"/>
    <w:rsid w:val="007E6192"/>
    <w:rsid w:val="007E6DB1"/>
    <w:rsid w:val="007E7361"/>
    <w:rsid w:val="007F0423"/>
    <w:rsid w:val="007F0807"/>
    <w:rsid w:val="007F17A2"/>
    <w:rsid w:val="007F283E"/>
    <w:rsid w:val="007F78B1"/>
    <w:rsid w:val="007F7EA5"/>
    <w:rsid w:val="00801EDB"/>
    <w:rsid w:val="00804895"/>
    <w:rsid w:val="008049A5"/>
    <w:rsid w:val="00805297"/>
    <w:rsid w:val="00805EC3"/>
    <w:rsid w:val="008065A3"/>
    <w:rsid w:val="00811328"/>
    <w:rsid w:val="00815B29"/>
    <w:rsid w:val="00815F3F"/>
    <w:rsid w:val="008171AF"/>
    <w:rsid w:val="00821FF4"/>
    <w:rsid w:val="00824245"/>
    <w:rsid w:val="00824864"/>
    <w:rsid w:val="0082493F"/>
    <w:rsid w:val="00826274"/>
    <w:rsid w:val="008301E8"/>
    <w:rsid w:val="00830672"/>
    <w:rsid w:val="00833ECF"/>
    <w:rsid w:val="00835C70"/>
    <w:rsid w:val="00835D61"/>
    <w:rsid w:val="00836D19"/>
    <w:rsid w:val="008413DE"/>
    <w:rsid w:val="00845A53"/>
    <w:rsid w:val="00846362"/>
    <w:rsid w:val="008466F1"/>
    <w:rsid w:val="00846DC0"/>
    <w:rsid w:val="00850BAC"/>
    <w:rsid w:val="00851953"/>
    <w:rsid w:val="00851961"/>
    <w:rsid w:val="008546C6"/>
    <w:rsid w:val="00854A1B"/>
    <w:rsid w:val="00855EB7"/>
    <w:rsid w:val="008565DC"/>
    <w:rsid w:val="0086261D"/>
    <w:rsid w:val="00862B4D"/>
    <w:rsid w:val="00870A0F"/>
    <w:rsid w:val="008720F4"/>
    <w:rsid w:val="00882FE2"/>
    <w:rsid w:val="00883DC8"/>
    <w:rsid w:val="00885746"/>
    <w:rsid w:val="00890F49"/>
    <w:rsid w:val="00891451"/>
    <w:rsid w:val="00892391"/>
    <w:rsid w:val="00892764"/>
    <w:rsid w:val="0089432D"/>
    <w:rsid w:val="008946AA"/>
    <w:rsid w:val="00896250"/>
    <w:rsid w:val="0089729B"/>
    <w:rsid w:val="008A33E6"/>
    <w:rsid w:val="008A5DCD"/>
    <w:rsid w:val="008A68F5"/>
    <w:rsid w:val="008A774C"/>
    <w:rsid w:val="008B0F0A"/>
    <w:rsid w:val="008B23DD"/>
    <w:rsid w:val="008B3178"/>
    <w:rsid w:val="008B60EF"/>
    <w:rsid w:val="008B61DF"/>
    <w:rsid w:val="008B62EF"/>
    <w:rsid w:val="008B70FF"/>
    <w:rsid w:val="008B7995"/>
    <w:rsid w:val="008B79DC"/>
    <w:rsid w:val="008C42B6"/>
    <w:rsid w:val="008C73A5"/>
    <w:rsid w:val="008C7E1F"/>
    <w:rsid w:val="008C7F85"/>
    <w:rsid w:val="008D20E4"/>
    <w:rsid w:val="008D50C1"/>
    <w:rsid w:val="008D57C7"/>
    <w:rsid w:val="008D673A"/>
    <w:rsid w:val="008E2801"/>
    <w:rsid w:val="008E29E3"/>
    <w:rsid w:val="008E39A0"/>
    <w:rsid w:val="008F038A"/>
    <w:rsid w:val="008F472C"/>
    <w:rsid w:val="008F5CF8"/>
    <w:rsid w:val="008F5E40"/>
    <w:rsid w:val="008F606A"/>
    <w:rsid w:val="008F796A"/>
    <w:rsid w:val="0090049A"/>
    <w:rsid w:val="0090476B"/>
    <w:rsid w:val="009047D1"/>
    <w:rsid w:val="00904B28"/>
    <w:rsid w:val="00904C98"/>
    <w:rsid w:val="0091296F"/>
    <w:rsid w:val="0091435E"/>
    <w:rsid w:val="00917F53"/>
    <w:rsid w:val="00921752"/>
    <w:rsid w:val="00925AD7"/>
    <w:rsid w:val="00926D1F"/>
    <w:rsid w:val="00932457"/>
    <w:rsid w:val="00934CD4"/>
    <w:rsid w:val="00935DF4"/>
    <w:rsid w:val="00936B2E"/>
    <w:rsid w:val="00937330"/>
    <w:rsid w:val="009374C4"/>
    <w:rsid w:val="009411C1"/>
    <w:rsid w:val="00943688"/>
    <w:rsid w:val="00944757"/>
    <w:rsid w:val="00945F92"/>
    <w:rsid w:val="00946212"/>
    <w:rsid w:val="0095039C"/>
    <w:rsid w:val="00951581"/>
    <w:rsid w:val="00952925"/>
    <w:rsid w:val="00952E40"/>
    <w:rsid w:val="00953778"/>
    <w:rsid w:val="0095496A"/>
    <w:rsid w:val="00957711"/>
    <w:rsid w:val="00957BEE"/>
    <w:rsid w:val="00960974"/>
    <w:rsid w:val="009609E8"/>
    <w:rsid w:val="009609F6"/>
    <w:rsid w:val="00961250"/>
    <w:rsid w:val="00963792"/>
    <w:rsid w:val="0096417C"/>
    <w:rsid w:val="00964EBC"/>
    <w:rsid w:val="00965F1F"/>
    <w:rsid w:val="00967164"/>
    <w:rsid w:val="00970C86"/>
    <w:rsid w:val="00977D45"/>
    <w:rsid w:val="0098005D"/>
    <w:rsid w:val="00983588"/>
    <w:rsid w:val="0098603B"/>
    <w:rsid w:val="00986B8A"/>
    <w:rsid w:val="009879DE"/>
    <w:rsid w:val="00987F90"/>
    <w:rsid w:val="0099011F"/>
    <w:rsid w:val="0099224C"/>
    <w:rsid w:val="00993A82"/>
    <w:rsid w:val="00994929"/>
    <w:rsid w:val="00996053"/>
    <w:rsid w:val="009960B0"/>
    <w:rsid w:val="009962E1"/>
    <w:rsid w:val="00996956"/>
    <w:rsid w:val="009A46FB"/>
    <w:rsid w:val="009A4C6B"/>
    <w:rsid w:val="009A4CF2"/>
    <w:rsid w:val="009A5C88"/>
    <w:rsid w:val="009A7681"/>
    <w:rsid w:val="009B0F6A"/>
    <w:rsid w:val="009B240A"/>
    <w:rsid w:val="009B26EE"/>
    <w:rsid w:val="009B3D04"/>
    <w:rsid w:val="009B6837"/>
    <w:rsid w:val="009C0E85"/>
    <w:rsid w:val="009C10E3"/>
    <w:rsid w:val="009C130F"/>
    <w:rsid w:val="009C7093"/>
    <w:rsid w:val="009D08B3"/>
    <w:rsid w:val="009D392D"/>
    <w:rsid w:val="009D445F"/>
    <w:rsid w:val="009D6DAB"/>
    <w:rsid w:val="009E1C7E"/>
    <w:rsid w:val="009E4742"/>
    <w:rsid w:val="009E6E4B"/>
    <w:rsid w:val="009E7E0E"/>
    <w:rsid w:val="009F0043"/>
    <w:rsid w:val="009F0BDE"/>
    <w:rsid w:val="009F0D56"/>
    <w:rsid w:val="009F1A4A"/>
    <w:rsid w:val="009F3240"/>
    <w:rsid w:val="009F32FD"/>
    <w:rsid w:val="009F48D0"/>
    <w:rsid w:val="009F4E25"/>
    <w:rsid w:val="009F55E7"/>
    <w:rsid w:val="009F731E"/>
    <w:rsid w:val="00A030AF"/>
    <w:rsid w:val="00A046F7"/>
    <w:rsid w:val="00A05076"/>
    <w:rsid w:val="00A0534D"/>
    <w:rsid w:val="00A06AEB"/>
    <w:rsid w:val="00A078EF"/>
    <w:rsid w:val="00A11833"/>
    <w:rsid w:val="00A134C4"/>
    <w:rsid w:val="00A1369F"/>
    <w:rsid w:val="00A13948"/>
    <w:rsid w:val="00A216DC"/>
    <w:rsid w:val="00A235EA"/>
    <w:rsid w:val="00A25355"/>
    <w:rsid w:val="00A27DB0"/>
    <w:rsid w:val="00A321A3"/>
    <w:rsid w:val="00A350F1"/>
    <w:rsid w:val="00A356C2"/>
    <w:rsid w:val="00A358CC"/>
    <w:rsid w:val="00A373E5"/>
    <w:rsid w:val="00A41940"/>
    <w:rsid w:val="00A41CF9"/>
    <w:rsid w:val="00A41EE3"/>
    <w:rsid w:val="00A42DAE"/>
    <w:rsid w:val="00A42DC2"/>
    <w:rsid w:val="00A47277"/>
    <w:rsid w:val="00A477B4"/>
    <w:rsid w:val="00A47901"/>
    <w:rsid w:val="00A53ABF"/>
    <w:rsid w:val="00A55131"/>
    <w:rsid w:val="00A55A90"/>
    <w:rsid w:val="00A56A72"/>
    <w:rsid w:val="00A7028D"/>
    <w:rsid w:val="00A702B6"/>
    <w:rsid w:val="00A7519F"/>
    <w:rsid w:val="00A760C1"/>
    <w:rsid w:val="00A807FD"/>
    <w:rsid w:val="00A80F94"/>
    <w:rsid w:val="00A81D7C"/>
    <w:rsid w:val="00A85679"/>
    <w:rsid w:val="00A9014B"/>
    <w:rsid w:val="00A904CE"/>
    <w:rsid w:val="00A91CF4"/>
    <w:rsid w:val="00A921C9"/>
    <w:rsid w:val="00A9308B"/>
    <w:rsid w:val="00A93CC1"/>
    <w:rsid w:val="00A96491"/>
    <w:rsid w:val="00A97554"/>
    <w:rsid w:val="00A978D6"/>
    <w:rsid w:val="00AA3514"/>
    <w:rsid w:val="00AA4799"/>
    <w:rsid w:val="00AA5F2E"/>
    <w:rsid w:val="00AA73DC"/>
    <w:rsid w:val="00AA755D"/>
    <w:rsid w:val="00AA7FCC"/>
    <w:rsid w:val="00AB0223"/>
    <w:rsid w:val="00AC0352"/>
    <w:rsid w:val="00AC092C"/>
    <w:rsid w:val="00AC225F"/>
    <w:rsid w:val="00AC2F03"/>
    <w:rsid w:val="00AC5EE1"/>
    <w:rsid w:val="00AC6C7A"/>
    <w:rsid w:val="00AC7335"/>
    <w:rsid w:val="00AC7B58"/>
    <w:rsid w:val="00AD1FEC"/>
    <w:rsid w:val="00AD254A"/>
    <w:rsid w:val="00AD296B"/>
    <w:rsid w:val="00AD42FB"/>
    <w:rsid w:val="00AD4DDC"/>
    <w:rsid w:val="00AD4FBB"/>
    <w:rsid w:val="00AD71B3"/>
    <w:rsid w:val="00AE224A"/>
    <w:rsid w:val="00AE4433"/>
    <w:rsid w:val="00AE6187"/>
    <w:rsid w:val="00AE6519"/>
    <w:rsid w:val="00AF1EF9"/>
    <w:rsid w:val="00AF388F"/>
    <w:rsid w:val="00AF39D1"/>
    <w:rsid w:val="00AF3E9E"/>
    <w:rsid w:val="00B003D2"/>
    <w:rsid w:val="00B01EFD"/>
    <w:rsid w:val="00B02846"/>
    <w:rsid w:val="00B0311A"/>
    <w:rsid w:val="00B066C2"/>
    <w:rsid w:val="00B102DD"/>
    <w:rsid w:val="00B12331"/>
    <w:rsid w:val="00B139FD"/>
    <w:rsid w:val="00B2016D"/>
    <w:rsid w:val="00B202E2"/>
    <w:rsid w:val="00B20EE9"/>
    <w:rsid w:val="00B23400"/>
    <w:rsid w:val="00B2403C"/>
    <w:rsid w:val="00B2485F"/>
    <w:rsid w:val="00B24BC9"/>
    <w:rsid w:val="00B25159"/>
    <w:rsid w:val="00B270FB"/>
    <w:rsid w:val="00B3161F"/>
    <w:rsid w:val="00B345A9"/>
    <w:rsid w:val="00B35BA1"/>
    <w:rsid w:val="00B368E3"/>
    <w:rsid w:val="00B37AFC"/>
    <w:rsid w:val="00B4379A"/>
    <w:rsid w:val="00B43D3D"/>
    <w:rsid w:val="00B453DF"/>
    <w:rsid w:val="00B45EEB"/>
    <w:rsid w:val="00B461C3"/>
    <w:rsid w:val="00B5428B"/>
    <w:rsid w:val="00B60B68"/>
    <w:rsid w:val="00B6423F"/>
    <w:rsid w:val="00B706D3"/>
    <w:rsid w:val="00B7143F"/>
    <w:rsid w:val="00B7217B"/>
    <w:rsid w:val="00B74B07"/>
    <w:rsid w:val="00B7671F"/>
    <w:rsid w:val="00B816B5"/>
    <w:rsid w:val="00B8271D"/>
    <w:rsid w:val="00B847A3"/>
    <w:rsid w:val="00B850C3"/>
    <w:rsid w:val="00B909C6"/>
    <w:rsid w:val="00B90EE0"/>
    <w:rsid w:val="00B9381D"/>
    <w:rsid w:val="00B972FA"/>
    <w:rsid w:val="00BA0FEF"/>
    <w:rsid w:val="00BA1954"/>
    <w:rsid w:val="00BA1C77"/>
    <w:rsid w:val="00BA4613"/>
    <w:rsid w:val="00BA4BB5"/>
    <w:rsid w:val="00BA4D8D"/>
    <w:rsid w:val="00BB1286"/>
    <w:rsid w:val="00BB182E"/>
    <w:rsid w:val="00BB28A5"/>
    <w:rsid w:val="00BB3913"/>
    <w:rsid w:val="00BB4ED8"/>
    <w:rsid w:val="00BB721B"/>
    <w:rsid w:val="00BC05B1"/>
    <w:rsid w:val="00BC213B"/>
    <w:rsid w:val="00BC4354"/>
    <w:rsid w:val="00BC736A"/>
    <w:rsid w:val="00BD5BE6"/>
    <w:rsid w:val="00BE21EB"/>
    <w:rsid w:val="00BF5E54"/>
    <w:rsid w:val="00C029B6"/>
    <w:rsid w:val="00C02F1C"/>
    <w:rsid w:val="00C0304E"/>
    <w:rsid w:val="00C0476C"/>
    <w:rsid w:val="00C04C94"/>
    <w:rsid w:val="00C0594F"/>
    <w:rsid w:val="00C06375"/>
    <w:rsid w:val="00C06A91"/>
    <w:rsid w:val="00C06E14"/>
    <w:rsid w:val="00C12074"/>
    <w:rsid w:val="00C1478A"/>
    <w:rsid w:val="00C17FE4"/>
    <w:rsid w:val="00C203AD"/>
    <w:rsid w:val="00C21BD8"/>
    <w:rsid w:val="00C23646"/>
    <w:rsid w:val="00C2616B"/>
    <w:rsid w:val="00C263B1"/>
    <w:rsid w:val="00C2718C"/>
    <w:rsid w:val="00C27DD7"/>
    <w:rsid w:val="00C304B3"/>
    <w:rsid w:val="00C32A84"/>
    <w:rsid w:val="00C33D77"/>
    <w:rsid w:val="00C350E2"/>
    <w:rsid w:val="00C3596A"/>
    <w:rsid w:val="00C4000F"/>
    <w:rsid w:val="00C40881"/>
    <w:rsid w:val="00C41EC1"/>
    <w:rsid w:val="00C42C7B"/>
    <w:rsid w:val="00C43536"/>
    <w:rsid w:val="00C451F6"/>
    <w:rsid w:val="00C4524A"/>
    <w:rsid w:val="00C46D8A"/>
    <w:rsid w:val="00C47359"/>
    <w:rsid w:val="00C47B79"/>
    <w:rsid w:val="00C51AFA"/>
    <w:rsid w:val="00C522BF"/>
    <w:rsid w:val="00C53BAA"/>
    <w:rsid w:val="00C545B5"/>
    <w:rsid w:val="00C55C1F"/>
    <w:rsid w:val="00C56D67"/>
    <w:rsid w:val="00C57C49"/>
    <w:rsid w:val="00C62647"/>
    <w:rsid w:val="00C64023"/>
    <w:rsid w:val="00C67F58"/>
    <w:rsid w:val="00C71509"/>
    <w:rsid w:val="00C737A2"/>
    <w:rsid w:val="00C82181"/>
    <w:rsid w:val="00C83500"/>
    <w:rsid w:val="00C83E6F"/>
    <w:rsid w:val="00C85198"/>
    <w:rsid w:val="00C8659D"/>
    <w:rsid w:val="00C87441"/>
    <w:rsid w:val="00C91144"/>
    <w:rsid w:val="00C941EB"/>
    <w:rsid w:val="00C95A1F"/>
    <w:rsid w:val="00CA1B61"/>
    <w:rsid w:val="00CA44B2"/>
    <w:rsid w:val="00CA59E9"/>
    <w:rsid w:val="00CA74E5"/>
    <w:rsid w:val="00CB18D7"/>
    <w:rsid w:val="00CB1985"/>
    <w:rsid w:val="00CB2A93"/>
    <w:rsid w:val="00CB3758"/>
    <w:rsid w:val="00CB689F"/>
    <w:rsid w:val="00CC4119"/>
    <w:rsid w:val="00CC77EE"/>
    <w:rsid w:val="00CD1BD4"/>
    <w:rsid w:val="00CD2A01"/>
    <w:rsid w:val="00CD527E"/>
    <w:rsid w:val="00CD5704"/>
    <w:rsid w:val="00CD5736"/>
    <w:rsid w:val="00CE06B5"/>
    <w:rsid w:val="00CE3D35"/>
    <w:rsid w:val="00CE5941"/>
    <w:rsid w:val="00CE5E45"/>
    <w:rsid w:val="00CF09EF"/>
    <w:rsid w:val="00CF0C64"/>
    <w:rsid w:val="00CF255B"/>
    <w:rsid w:val="00CF4316"/>
    <w:rsid w:val="00CF5D94"/>
    <w:rsid w:val="00CF6833"/>
    <w:rsid w:val="00CF6ADB"/>
    <w:rsid w:val="00CF75AE"/>
    <w:rsid w:val="00D00A72"/>
    <w:rsid w:val="00D050E8"/>
    <w:rsid w:val="00D10DDB"/>
    <w:rsid w:val="00D14EC6"/>
    <w:rsid w:val="00D15595"/>
    <w:rsid w:val="00D16BBA"/>
    <w:rsid w:val="00D20C0D"/>
    <w:rsid w:val="00D2136F"/>
    <w:rsid w:val="00D23B78"/>
    <w:rsid w:val="00D269CF"/>
    <w:rsid w:val="00D33CA5"/>
    <w:rsid w:val="00D34831"/>
    <w:rsid w:val="00D34C6E"/>
    <w:rsid w:val="00D355A5"/>
    <w:rsid w:val="00D4084A"/>
    <w:rsid w:val="00D42311"/>
    <w:rsid w:val="00D4624C"/>
    <w:rsid w:val="00D506C2"/>
    <w:rsid w:val="00D51495"/>
    <w:rsid w:val="00D55192"/>
    <w:rsid w:val="00D55A3C"/>
    <w:rsid w:val="00D5626C"/>
    <w:rsid w:val="00D56A27"/>
    <w:rsid w:val="00D56A77"/>
    <w:rsid w:val="00D575AA"/>
    <w:rsid w:val="00D62F8C"/>
    <w:rsid w:val="00D64401"/>
    <w:rsid w:val="00D66032"/>
    <w:rsid w:val="00D6788D"/>
    <w:rsid w:val="00D71D04"/>
    <w:rsid w:val="00D73FB6"/>
    <w:rsid w:val="00D77163"/>
    <w:rsid w:val="00D77D53"/>
    <w:rsid w:val="00D80255"/>
    <w:rsid w:val="00D81897"/>
    <w:rsid w:val="00D87D9A"/>
    <w:rsid w:val="00D90A22"/>
    <w:rsid w:val="00D91461"/>
    <w:rsid w:val="00D919E2"/>
    <w:rsid w:val="00D91F82"/>
    <w:rsid w:val="00D942A3"/>
    <w:rsid w:val="00D942D8"/>
    <w:rsid w:val="00D9469C"/>
    <w:rsid w:val="00D94969"/>
    <w:rsid w:val="00DA386A"/>
    <w:rsid w:val="00DA4332"/>
    <w:rsid w:val="00DB0AEC"/>
    <w:rsid w:val="00DB0DA5"/>
    <w:rsid w:val="00DB26E7"/>
    <w:rsid w:val="00DB28B3"/>
    <w:rsid w:val="00DB34E1"/>
    <w:rsid w:val="00DB3D94"/>
    <w:rsid w:val="00DB592B"/>
    <w:rsid w:val="00DC1047"/>
    <w:rsid w:val="00DC1708"/>
    <w:rsid w:val="00DC1EA9"/>
    <w:rsid w:val="00DC2EF8"/>
    <w:rsid w:val="00DC3D53"/>
    <w:rsid w:val="00DC525F"/>
    <w:rsid w:val="00DC61F2"/>
    <w:rsid w:val="00DC62F0"/>
    <w:rsid w:val="00DD0063"/>
    <w:rsid w:val="00DD15C2"/>
    <w:rsid w:val="00DD6054"/>
    <w:rsid w:val="00DD760A"/>
    <w:rsid w:val="00DD7EE0"/>
    <w:rsid w:val="00DE0FD3"/>
    <w:rsid w:val="00DE20C9"/>
    <w:rsid w:val="00DE3D5C"/>
    <w:rsid w:val="00DE6A87"/>
    <w:rsid w:val="00DE73FE"/>
    <w:rsid w:val="00DF046A"/>
    <w:rsid w:val="00DF588A"/>
    <w:rsid w:val="00DF62E2"/>
    <w:rsid w:val="00E03975"/>
    <w:rsid w:val="00E04F68"/>
    <w:rsid w:val="00E0757C"/>
    <w:rsid w:val="00E07A38"/>
    <w:rsid w:val="00E141CE"/>
    <w:rsid w:val="00E22C69"/>
    <w:rsid w:val="00E2331C"/>
    <w:rsid w:val="00E26D6F"/>
    <w:rsid w:val="00E31709"/>
    <w:rsid w:val="00E352C9"/>
    <w:rsid w:val="00E407EA"/>
    <w:rsid w:val="00E40906"/>
    <w:rsid w:val="00E430EE"/>
    <w:rsid w:val="00E4390A"/>
    <w:rsid w:val="00E46A17"/>
    <w:rsid w:val="00E47B78"/>
    <w:rsid w:val="00E500A7"/>
    <w:rsid w:val="00E506F6"/>
    <w:rsid w:val="00E510C2"/>
    <w:rsid w:val="00E560E1"/>
    <w:rsid w:val="00E60764"/>
    <w:rsid w:val="00E617A4"/>
    <w:rsid w:val="00E6184B"/>
    <w:rsid w:val="00E627E8"/>
    <w:rsid w:val="00E63053"/>
    <w:rsid w:val="00E64E1E"/>
    <w:rsid w:val="00E70275"/>
    <w:rsid w:val="00E71A3D"/>
    <w:rsid w:val="00E71DA4"/>
    <w:rsid w:val="00E72F8E"/>
    <w:rsid w:val="00E73E47"/>
    <w:rsid w:val="00E75F10"/>
    <w:rsid w:val="00E8013D"/>
    <w:rsid w:val="00E83C90"/>
    <w:rsid w:val="00E84375"/>
    <w:rsid w:val="00E852B0"/>
    <w:rsid w:val="00E86212"/>
    <w:rsid w:val="00E86516"/>
    <w:rsid w:val="00E91719"/>
    <w:rsid w:val="00E93AA3"/>
    <w:rsid w:val="00E94A32"/>
    <w:rsid w:val="00E97224"/>
    <w:rsid w:val="00E972A5"/>
    <w:rsid w:val="00E97BDE"/>
    <w:rsid w:val="00EA28DB"/>
    <w:rsid w:val="00EA2BC3"/>
    <w:rsid w:val="00EA426C"/>
    <w:rsid w:val="00EA5E34"/>
    <w:rsid w:val="00EA5F69"/>
    <w:rsid w:val="00EB038A"/>
    <w:rsid w:val="00EB1A5F"/>
    <w:rsid w:val="00EB2708"/>
    <w:rsid w:val="00EB359B"/>
    <w:rsid w:val="00EB4E77"/>
    <w:rsid w:val="00EB5064"/>
    <w:rsid w:val="00EB5A11"/>
    <w:rsid w:val="00EC106F"/>
    <w:rsid w:val="00EC1FB4"/>
    <w:rsid w:val="00EC36EF"/>
    <w:rsid w:val="00EC49EF"/>
    <w:rsid w:val="00ED0466"/>
    <w:rsid w:val="00ED6594"/>
    <w:rsid w:val="00EE44CD"/>
    <w:rsid w:val="00EE5A9E"/>
    <w:rsid w:val="00EE6D1E"/>
    <w:rsid w:val="00EF0E9C"/>
    <w:rsid w:val="00EF17C9"/>
    <w:rsid w:val="00EF2CBA"/>
    <w:rsid w:val="00EF49EB"/>
    <w:rsid w:val="00EF5A3F"/>
    <w:rsid w:val="00EF7C9D"/>
    <w:rsid w:val="00F002F7"/>
    <w:rsid w:val="00F0225A"/>
    <w:rsid w:val="00F0251C"/>
    <w:rsid w:val="00F041BE"/>
    <w:rsid w:val="00F07BEE"/>
    <w:rsid w:val="00F12ADB"/>
    <w:rsid w:val="00F132FF"/>
    <w:rsid w:val="00F13A35"/>
    <w:rsid w:val="00F15E27"/>
    <w:rsid w:val="00F22526"/>
    <w:rsid w:val="00F22E14"/>
    <w:rsid w:val="00F239D8"/>
    <w:rsid w:val="00F313FA"/>
    <w:rsid w:val="00F371CC"/>
    <w:rsid w:val="00F378CB"/>
    <w:rsid w:val="00F44B24"/>
    <w:rsid w:val="00F4565D"/>
    <w:rsid w:val="00F510BC"/>
    <w:rsid w:val="00F51C49"/>
    <w:rsid w:val="00F5203B"/>
    <w:rsid w:val="00F52EAE"/>
    <w:rsid w:val="00F54FCE"/>
    <w:rsid w:val="00F62A47"/>
    <w:rsid w:val="00F63CFC"/>
    <w:rsid w:val="00F6654A"/>
    <w:rsid w:val="00F66D67"/>
    <w:rsid w:val="00F66FB6"/>
    <w:rsid w:val="00F673AD"/>
    <w:rsid w:val="00F67617"/>
    <w:rsid w:val="00F7590C"/>
    <w:rsid w:val="00F75E30"/>
    <w:rsid w:val="00F76199"/>
    <w:rsid w:val="00F76BA7"/>
    <w:rsid w:val="00F81259"/>
    <w:rsid w:val="00F844E1"/>
    <w:rsid w:val="00F8759C"/>
    <w:rsid w:val="00F90897"/>
    <w:rsid w:val="00F94977"/>
    <w:rsid w:val="00F95317"/>
    <w:rsid w:val="00F968D0"/>
    <w:rsid w:val="00FA1098"/>
    <w:rsid w:val="00FA4CEB"/>
    <w:rsid w:val="00FA56C0"/>
    <w:rsid w:val="00FA714C"/>
    <w:rsid w:val="00FB1BEF"/>
    <w:rsid w:val="00FB490E"/>
    <w:rsid w:val="00FB4C19"/>
    <w:rsid w:val="00FB7A38"/>
    <w:rsid w:val="00FC1B71"/>
    <w:rsid w:val="00FC49BE"/>
    <w:rsid w:val="00FD2BD7"/>
    <w:rsid w:val="00FD3401"/>
    <w:rsid w:val="00FD4800"/>
    <w:rsid w:val="00FD5839"/>
    <w:rsid w:val="00FE2450"/>
    <w:rsid w:val="00FE3BEC"/>
    <w:rsid w:val="00FE4A57"/>
    <w:rsid w:val="00FE62C5"/>
    <w:rsid w:val="00FF1F14"/>
    <w:rsid w:val="00FF2A6D"/>
    <w:rsid w:val="00FF2CE2"/>
    <w:rsid w:val="00FF7431"/>
    <w:rsid w:val="03263CDA"/>
    <w:rsid w:val="03742292"/>
    <w:rsid w:val="03CA3C3D"/>
    <w:rsid w:val="0CC9C385"/>
    <w:rsid w:val="0F9ACD97"/>
    <w:rsid w:val="0FDBFA78"/>
    <w:rsid w:val="11E16D73"/>
    <w:rsid w:val="134E416D"/>
    <w:rsid w:val="15916EBF"/>
    <w:rsid w:val="1601DCF0"/>
    <w:rsid w:val="164BA371"/>
    <w:rsid w:val="1B5F5B32"/>
    <w:rsid w:val="1B916295"/>
    <w:rsid w:val="1CA225F6"/>
    <w:rsid w:val="1EE44A4E"/>
    <w:rsid w:val="20F531D5"/>
    <w:rsid w:val="21011B57"/>
    <w:rsid w:val="23450FAA"/>
    <w:rsid w:val="2409BF09"/>
    <w:rsid w:val="244B99AB"/>
    <w:rsid w:val="24CEE22C"/>
    <w:rsid w:val="253D819D"/>
    <w:rsid w:val="26C53000"/>
    <w:rsid w:val="26DC7141"/>
    <w:rsid w:val="27CC9A11"/>
    <w:rsid w:val="285FD415"/>
    <w:rsid w:val="2954CD0B"/>
    <w:rsid w:val="2A6A8669"/>
    <w:rsid w:val="2BA16143"/>
    <w:rsid w:val="2C437452"/>
    <w:rsid w:val="2CBF5327"/>
    <w:rsid w:val="2E2059B2"/>
    <w:rsid w:val="2F03D44B"/>
    <w:rsid w:val="2F23BC9B"/>
    <w:rsid w:val="30B6CFA6"/>
    <w:rsid w:val="316696E9"/>
    <w:rsid w:val="32345758"/>
    <w:rsid w:val="33627002"/>
    <w:rsid w:val="3456543C"/>
    <w:rsid w:val="35D87D65"/>
    <w:rsid w:val="36373C44"/>
    <w:rsid w:val="383EEFDF"/>
    <w:rsid w:val="38D4DB6E"/>
    <w:rsid w:val="395FCE3A"/>
    <w:rsid w:val="39A81DF7"/>
    <w:rsid w:val="3A066126"/>
    <w:rsid w:val="3AF2B7CA"/>
    <w:rsid w:val="3B356BD8"/>
    <w:rsid w:val="3B3769EC"/>
    <w:rsid w:val="3CFED845"/>
    <w:rsid w:val="3E7C0677"/>
    <w:rsid w:val="40985243"/>
    <w:rsid w:val="415EECED"/>
    <w:rsid w:val="4374005A"/>
    <w:rsid w:val="43B6E596"/>
    <w:rsid w:val="43F858D0"/>
    <w:rsid w:val="45A0B70A"/>
    <w:rsid w:val="4665E763"/>
    <w:rsid w:val="4700A81F"/>
    <w:rsid w:val="486F0EFD"/>
    <w:rsid w:val="48FED1F7"/>
    <w:rsid w:val="49DBE1FE"/>
    <w:rsid w:val="4A447D9E"/>
    <w:rsid w:val="4EB1FC8B"/>
    <w:rsid w:val="4F7A0359"/>
    <w:rsid w:val="5039DCEE"/>
    <w:rsid w:val="523CDCDF"/>
    <w:rsid w:val="52614FCA"/>
    <w:rsid w:val="52986542"/>
    <w:rsid w:val="534FCB0E"/>
    <w:rsid w:val="5480BEA3"/>
    <w:rsid w:val="561AC586"/>
    <w:rsid w:val="56B4891F"/>
    <w:rsid w:val="56B732FD"/>
    <w:rsid w:val="57ACD685"/>
    <w:rsid w:val="57B4AFA1"/>
    <w:rsid w:val="58115CBF"/>
    <w:rsid w:val="5C7B2934"/>
    <w:rsid w:val="5D1306EC"/>
    <w:rsid w:val="5D161A5D"/>
    <w:rsid w:val="5E921419"/>
    <w:rsid w:val="5F16EDC2"/>
    <w:rsid w:val="5FDABC8D"/>
    <w:rsid w:val="61002A04"/>
    <w:rsid w:val="610F1D43"/>
    <w:rsid w:val="63FD2DB0"/>
    <w:rsid w:val="668EEDCA"/>
    <w:rsid w:val="675A2FB9"/>
    <w:rsid w:val="697B6175"/>
    <w:rsid w:val="69E8C41E"/>
    <w:rsid w:val="6AEFC0F3"/>
    <w:rsid w:val="6DFF073F"/>
    <w:rsid w:val="6E353ED2"/>
    <w:rsid w:val="6E872290"/>
    <w:rsid w:val="6E9B8D3E"/>
    <w:rsid w:val="6F3BB0A7"/>
    <w:rsid w:val="6FCF69E8"/>
    <w:rsid w:val="70C1F124"/>
    <w:rsid w:val="7151B527"/>
    <w:rsid w:val="73AC8DDE"/>
    <w:rsid w:val="756A60CA"/>
    <w:rsid w:val="76B50CBB"/>
    <w:rsid w:val="7735EAE3"/>
    <w:rsid w:val="775E4E90"/>
    <w:rsid w:val="78C323D7"/>
    <w:rsid w:val="7A7E4095"/>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919EA"/>
  <w15:docId w15:val="{78B53882-8C3C-47C9-8C53-D3ABC14D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E2C"/>
    <w:pPr>
      <w:spacing w:after="200" w:line="276" w:lineRule="auto"/>
    </w:pPr>
    <w:rPr>
      <w:sz w:val="22"/>
      <w:szCs w:val="22"/>
      <w:lang w:val="en-US" w:eastAsia="en-US"/>
    </w:rPr>
  </w:style>
  <w:style w:type="paragraph" w:styleId="Heading2">
    <w:name w:val="heading 2"/>
    <w:basedOn w:val="Normal"/>
    <w:next w:val="Normal"/>
    <w:link w:val="Heading2Char"/>
    <w:qFormat/>
    <w:rsid w:val="00816867"/>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5"/>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5"/>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5"/>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5"/>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link w:val="FootnoteText"/>
    <w:rsid w:val="00902F77"/>
    <w:rPr>
      <w:rFonts w:ascii="Times New Roman" w:hAnsi="Times New Roman"/>
      <w:spacing w:val="-3"/>
      <w:szCs w:val="24"/>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szCs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5"/>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aliases w:val="titulo 5"/>
    <w:basedOn w:val="Normal"/>
    <w:link w:val="ListParagraphChar"/>
    <w:uiPriority w:val="34"/>
    <w:qFormat/>
    <w:rsid w:val="00500393"/>
    <w:pPr>
      <w:ind w:left="708"/>
    </w:pPr>
  </w:style>
  <w:style w:type="paragraph" w:styleId="HTMLPreformatted">
    <w:name w:val="HTML Preformatted"/>
    <w:basedOn w:val="Normal"/>
    <w:link w:val="HTMLPreformattedChar"/>
    <w:uiPriority w:val="99"/>
    <w:semiHidden/>
    <w:unhideWhenUsed/>
    <w:rsid w:val="002C7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C7268"/>
    <w:rPr>
      <w:rFonts w:ascii="Courier New" w:eastAsia="Times New Roman" w:hAnsi="Courier New" w:cs="Courier New"/>
      <w:lang w:val="en-US" w:eastAsia="en-US"/>
    </w:rPr>
  </w:style>
  <w:style w:type="character" w:customStyle="1" w:styleId="ListParagraphChar">
    <w:name w:val="List Paragraph Char"/>
    <w:aliases w:val="titulo 5 Char"/>
    <w:link w:val="ListParagraph"/>
    <w:uiPriority w:val="34"/>
    <w:locked/>
    <w:rsid w:val="00D71D04"/>
    <w:rPr>
      <w:sz w:val="22"/>
      <w:szCs w:val="22"/>
      <w:lang w:val="en-US" w:eastAsia="en-US"/>
    </w:rPr>
  </w:style>
  <w:style w:type="character" w:customStyle="1" w:styleId="normaltextrun">
    <w:name w:val="normaltextrun"/>
    <w:basedOn w:val="DefaultParagraphFont"/>
    <w:rsid w:val="003644D5"/>
  </w:style>
  <w:style w:type="character" w:customStyle="1" w:styleId="eop">
    <w:name w:val="eop"/>
    <w:basedOn w:val="DefaultParagraphFont"/>
    <w:rsid w:val="005F68CD"/>
  </w:style>
  <w:style w:type="character" w:customStyle="1" w:styleId="spellingerror">
    <w:name w:val="spellingerror"/>
    <w:basedOn w:val="DefaultParagraphFont"/>
    <w:rsid w:val="005F68CD"/>
  </w:style>
  <w:style w:type="paragraph" w:styleId="Revision">
    <w:name w:val="Revision"/>
    <w:hidden/>
    <w:semiHidden/>
    <w:rsid w:val="001E2CB9"/>
    <w:rPr>
      <w:sz w:val="22"/>
      <w:szCs w:val="22"/>
      <w:lang w:val="en-US" w:eastAsia="en-US"/>
    </w:rPr>
  </w:style>
  <w:style w:type="character" w:styleId="UnresolvedMention">
    <w:name w:val="Unresolved Mention"/>
    <w:basedOn w:val="DefaultParagraphFont"/>
    <w:uiPriority w:val="99"/>
    <w:semiHidden/>
    <w:unhideWhenUsed/>
    <w:rsid w:val="006C1331"/>
    <w:rPr>
      <w:color w:val="605E5C"/>
      <w:shd w:val="clear" w:color="auto" w:fill="E1DFDD"/>
    </w:rPr>
  </w:style>
  <w:style w:type="paragraph" w:customStyle="1" w:styleId="Annex">
    <w:name w:val="Annex"/>
    <w:basedOn w:val="Normal"/>
    <w:rsid w:val="004E0A0A"/>
    <w:pPr>
      <w:spacing w:after="0" w:line="240" w:lineRule="auto"/>
    </w:pPr>
    <w:rPr>
      <w:rFonts w:ascii="Times New Roman" w:eastAsia="Times New Roman" w:hAnsi="Times New Roman"/>
      <w:caps/>
      <w:sz w:val="24"/>
      <w:szCs w:val="20"/>
      <w:lang w:val="es-ES_tradnl"/>
    </w:rPr>
  </w:style>
  <w:style w:type="character" w:customStyle="1" w:styleId="footnotemark">
    <w:name w:val="footnote mark"/>
    <w:hidden/>
    <w:rsid w:val="00CF0C64"/>
    <w:rPr>
      <w:rFonts w:ascii="Arial" w:eastAsia="Arial" w:hAnsi="Arial" w:cs="Arial"/>
      <w:color w:val="000000"/>
      <w:sz w:val="18"/>
      <w:vertAlign w:val="superscript"/>
    </w:rPr>
  </w:style>
  <w:style w:type="character" w:customStyle="1" w:styleId="findhit">
    <w:name w:val="findhit"/>
    <w:basedOn w:val="DefaultParagraphFont"/>
    <w:rsid w:val="00CE06B5"/>
  </w:style>
  <w:style w:type="character" w:customStyle="1" w:styleId="superscript">
    <w:name w:val="superscript"/>
    <w:basedOn w:val="DefaultParagraphFont"/>
    <w:rsid w:val="00CE06B5"/>
  </w:style>
  <w:style w:type="character" w:customStyle="1" w:styleId="Hyperlink1">
    <w:name w:val="Hyperlink1"/>
    <w:basedOn w:val="DefaultParagraphFont"/>
    <w:uiPriority w:val="99"/>
    <w:unhideWhenUsed/>
    <w:rsid w:val="006469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2908">
      <w:bodyDiv w:val="1"/>
      <w:marLeft w:val="0"/>
      <w:marRight w:val="0"/>
      <w:marTop w:val="0"/>
      <w:marBottom w:val="0"/>
      <w:divBdr>
        <w:top w:val="none" w:sz="0" w:space="0" w:color="auto"/>
        <w:left w:val="none" w:sz="0" w:space="0" w:color="auto"/>
        <w:bottom w:val="none" w:sz="0" w:space="0" w:color="auto"/>
        <w:right w:val="none" w:sz="0" w:space="0" w:color="auto"/>
      </w:divBdr>
      <w:divsChild>
        <w:div w:id="589845">
          <w:marLeft w:val="0"/>
          <w:marRight w:val="0"/>
          <w:marTop w:val="0"/>
          <w:marBottom w:val="0"/>
          <w:divBdr>
            <w:top w:val="none" w:sz="0" w:space="0" w:color="auto"/>
            <w:left w:val="none" w:sz="0" w:space="0" w:color="auto"/>
            <w:bottom w:val="none" w:sz="0" w:space="0" w:color="auto"/>
            <w:right w:val="none" w:sz="0" w:space="0" w:color="auto"/>
          </w:divBdr>
        </w:div>
        <w:div w:id="27948149">
          <w:marLeft w:val="0"/>
          <w:marRight w:val="0"/>
          <w:marTop w:val="0"/>
          <w:marBottom w:val="0"/>
          <w:divBdr>
            <w:top w:val="none" w:sz="0" w:space="0" w:color="auto"/>
            <w:left w:val="none" w:sz="0" w:space="0" w:color="auto"/>
            <w:bottom w:val="none" w:sz="0" w:space="0" w:color="auto"/>
            <w:right w:val="none" w:sz="0" w:space="0" w:color="auto"/>
          </w:divBdr>
        </w:div>
        <w:div w:id="31924170">
          <w:marLeft w:val="0"/>
          <w:marRight w:val="0"/>
          <w:marTop w:val="0"/>
          <w:marBottom w:val="0"/>
          <w:divBdr>
            <w:top w:val="none" w:sz="0" w:space="0" w:color="auto"/>
            <w:left w:val="none" w:sz="0" w:space="0" w:color="auto"/>
            <w:bottom w:val="none" w:sz="0" w:space="0" w:color="auto"/>
            <w:right w:val="none" w:sz="0" w:space="0" w:color="auto"/>
          </w:divBdr>
        </w:div>
        <w:div w:id="82798337">
          <w:marLeft w:val="0"/>
          <w:marRight w:val="0"/>
          <w:marTop w:val="0"/>
          <w:marBottom w:val="0"/>
          <w:divBdr>
            <w:top w:val="none" w:sz="0" w:space="0" w:color="auto"/>
            <w:left w:val="none" w:sz="0" w:space="0" w:color="auto"/>
            <w:bottom w:val="none" w:sz="0" w:space="0" w:color="auto"/>
            <w:right w:val="none" w:sz="0" w:space="0" w:color="auto"/>
          </w:divBdr>
        </w:div>
        <w:div w:id="258485447">
          <w:marLeft w:val="0"/>
          <w:marRight w:val="0"/>
          <w:marTop w:val="0"/>
          <w:marBottom w:val="0"/>
          <w:divBdr>
            <w:top w:val="none" w:sz="0" w:space="0" w:color="auto"/>
            <w:left w:val="none" w:sz="0" w:space="0" w:color="auto"/>
            <w:bottom w:val="none" w:sz="0" w:space="0" w:color="auto"/>
            <w:right w:val="none" w:sz="0" w:space="0" w:color="auto"/>
          </w:divBdr>
        </w:div>
        <w:div w:id="442653848">
          <w:marLeft w:val="0"/>
          <w:marRight w:val="0"/>
          <w:marTop w:val="0"/>
          <w:marBottom w:val="0"/>
          <w:divBdr>
            <w:top w:val="none" w:sz="0" w:space="0" w:color="auto"/>
            <w:left w:val="none" w:sz="0" w:space="0" w:color="auto"/>
            <w:bottom w:val="none" w:sz="0" w:space="0" w:color="auto"/>
            <w:right w:val="none" w:sz="0" w:space="0" w:color="auto"/>
          </w:divBdr>
        </w:div>
        <w:div w:id="770052497">
          <w:marLeft w:val="0"/>
          <w:marRight w:val="0"/>
          <w:marTop w:val="0"/>
          <w:marBottom w:val="0"/>
          <w:divBdr>
            <w:top w:val="none" w:sz="0" w:space="0" w:color="auto"/>
            <w:left w:val="none" w:sz="0" w:space="0" w:color="auto"/>
            <w:bottom w:val="none" w:sz="0" w:space="0" w:color="auto"/>
            <w:right w:val="none" w:sz="0" w:space="0" w:color="auto"/>
          </w:divBdr>
        </w:div>
        <w:div w:id="775952597">
          <w:marLeft w:val="0"/>
          <w:marRight w:val="0"/>
          <w:marTop w:val="0"/>
          <w:marBottom w:val="0"/>
          <w:divBdr>
            <w:top w:val="none" w:sz="0" w:space="0" w:color="auto"/>
            <w:left w:val="none" w:sz="0" w:space="0" w:color="auto"/>
            <w:bottom w:val="none" w:sz="0" w:space="0" w:color="auto"/>
            <w:right w:val="none" w:sz="0" w:space="0" w:color="auto"/>
          </w:divBdr>
        </w:div>
        <w:div w:id="778643013">
          <w:marLeft w:val="0"/>
          <w:marRight w:val="0"/>
          <w:marTop w:val="0"/>
          <w:marBottom w:val="0"/>
          <w:divBdr>
            <w:top w:val="none" w:sz="0" w:space="0" w:color="auto"/>
            <w:left w:val="none" w:sz="0" w:space="0" w:color="auto"/>
            <w:bottom w:val="none" w:sz="0" w:space="0" w:color="auto"/>
            <w:right w:val="none" w:sz="0" w:space="0" w:color="auto"/>
          </w:divBdr>
        </w:div>
        <w:div w:id="914630293">
          <w:marLeft w:val="0"/>
          <w:marRight w:val="0"/>
          <w:marTop w:val="0"/>
          <w:marBottom w:val="0"/>
          <w:divBdr>
            <w:top w:val="none" w:sz="0" w:space="0" w:color="auto"/>
            <w:left w:val="none" w:sz="0" w:space="0" w:color="auto"/>
            <w:bottom w:val="none" w:sz="0" w:space="0" w:color="auto"/>
            <w:right w:val="none" w:sz="0" w:space="0" w:color="auto"/>
          </w:divBdr>
        </w:div>
        <w:div w:id="991718511">
          <w:marLeft w:val="0"/>
          <w:marRight w:val="0"/>
          <w:marTop w:val="0"/>
          <w:marBottom w:val="0"/>
          <w:divBdr>
            <w:top w:val="none" w:sz="0" w:space="0" w:color="auto"/>
            <w:left w:val="none" w:sz="0" w:space="0" w:color="auto"/>
            <w:bottom w:val="none" w:sz="0" w:space="0" w:color="auto"/>
            <w:right w:val="none" w:sz="0" w:space="0" w:color="auto"/>
          </w:divBdr>
        </w:div>
        <w:div w:id="1012805275">
          <w:marLeft w:val="0"/>
          <w:marRight w:val="0"/>
          <w:marTop w:val="0"/>
          <w:marBottom w:val="0"/>
          <w:divBdr>
            <w:top w:val="none" w:sz="0" w:space="0" w:color="auto"/>
            <w:left w:val="none" w:sz="0" w:space="0" w:color="auto"/>
            <w:bottom w:val="none" w:sz="0" w:space="0" w:color="auto"/>
            <w:right w:val="none" w:sz="0" w:space="0" w:color="auto"/>
          </w:divBdr>
        </w:div>
        <w:div w:id="1026641033">
          <w:marLeft w:val="0"/>
          <w:marRight w:val="0"/>
          <w:marTop w:val="0"/>
          <w:marBottom w:val="0"/>
          <w:divBdr>
            <w:top w:val="none" w:sz="0" w:space="0" w:color="auto"/>
            <w:left w:val="none" w:sz="0" w:space="0" w:color="auto"/>
            <w:bottom w:val="none" w:sz="0" w:space="0" w:color="auto"/>
            <w:right w:val="none" w:sz="0" w:space="0" w:color="auto"/>
          </w:divBdr>
        </w:div>
        <w:div w:id="1033656955">
          <w:marLeft w:val="0"/>
          <w:marRight w:val="0"/>
          <w:marTop w:val="0"/>
          <w:marBottom w:val="0"/>
          <w:divBdr>
            <w:top w:val="none" w:sz="0" w:space="0" w:color="auto"/>
            <w:left w:val="none" w:sz="0" w:space="0" w:color="auto"/>
            <w:bottom w:val="none" w:sz="0" w:space="0" w:color="auto"/>
            <w:right w:val="none" w:sz="0" w:space="0" w:color="auto"/>
          </w:divBdr>
        </w:div>
        <w:div w:id="1245918196">
          <w:marLeft w:val="0"/>
          <w:marRight w:val="0"/>
          <w:marTop w:val="0"/>
          <w:marBottom w:val="0"/>
          <w:divBdr>
            <w:top w:val="none" w:sz="0" w:space="0" w:color="auto"/>
            <w:left w:val="none" w:sz="0" w:space="0" w:color="auto"/>
            <w:bottom w:val="none" w:sz="0" w:space="0" w:color="auto"/>
            <w:right w:val="none" w:sz="0" w:space="0" w:color="auto"/>
          </w:divBdr>
        </w:div>
        <w:div w:id="1266381697">
          <w:marLeft w:val="0"/>
          <w:marRight w:val="0"/>
          <w:marTop w:val="0"/>
          <w:marBottom w:val="0"/>
          <w:divBdr>
            <w:top w:val="none" w:sz="0" w:space="0" w:color="auto"/>
            <w:left w:val="none" w:sz="0" w:space="0" w:color="auto"/>
            <w:bottom w:val="none" w:sz="0" w:space="0" w:color="auto"/>
            <w:right w:val="none" w:sz="0" w:space="0" w:color="auto"/>
          </w:divBdr>
        </w:div>
        <w:div w:id="1269774517">
          <w:marLeft w:val="0"/>
          <w:marRight w:val="0"/>
          <w:marTop w:val="0"/>
          <w:marBottom w:val="0"/>
          <w:divBdr>
            <w:top w:val="none" w:sz="0" w:space="0" w:color="auto"/>
            <w:left w:val="none" w:sz="0" w:space="0" w:color="auto"/>
            <w:bottom w:val="none" w:sz="0" w:space="0" w:color="auto"/>
            <w:right w:val="none" w:sz="0" w:space="0" w:color="auto"/>
          </w:divBdr>
        </w:div>
        <w:div w:id="1348167547">
          <w:marLeft w:val="0"/>
          <w:marRight w:val="0"/>
          <w:marTop w:val="0"/>
          <w:marBottom w:val="0"/>
          <w:divBdr>
            <w:top w:val="none" w:sz="0" w:space="0" w:color="auto"/>
            <w:left w:val="none" w:sz="0" w:space="0" w:color="auto"/>
            <w:bottom w:val="none" w:sz="0" w:space="0" w:color="auto"/>
            <w:right w:val="none" w:sz="0" w:space="0" w:color="auto"/>
          </w:divBdr>
        </w:div>
        <w:div w:id="1665666761">
          <w:marLeft w:val="0"/>
          <w:marRight w:val="0"/>
          <w:marTop w:val="0"/>
          <w:marBottom w:val="0"/>
          <w:divBdr>
            <w:top w:val="none" w:sz="0" w:space="0" w:color="auto"/>
            <w:left w:val="none" w:sz="0" w:space="0" w:color="auto"/>
            <w:bottom w:val="none" w:sz="0" w:space="0" w:color="auto"/>
            <w:right w:val="none" w:sz="0" w:space="0" w:color="auto"/>
          </w:divBdr>
        </w:div>
        <w:div w:id="1686517672">
          <w:marLeft w:val="0"/>
          <w:marRight w:val="0"/>
          <w:marTop w:val="0"/>
          <w:marBottom w:val="0"/>
          <w:divBdr>
            <w:top w:val="none" w:sz="0" w:space="0" w:color="auto"/>
            <w:left w:val="none" w:sz="0" w:space="0" w:color="auto"/>
            <w:bottom w:val="none" w:sz="0" w:space="0" w:color="auto"/>
            <w:right w:val="none" w:sz="0" w:space="0" w:color="auto"/>
          </w:divBdr>
        </w:div>
        <w:div w:id="1769085185">
          <w:marLeft w:val="0"/>
          <w:marRight w:val="0"/>
          <w:marTop w:val="0"/>
          <w:marBottom w:val="0"/>
          <w:divBdr>
            <w:top w:val="none" w:sz="0" w:space="0" w:color="auto"/>
            <w:left w:val="none" w:sz="0" w:space="0" w:color="auto"/>
            <w:bottom w:val="none" w:sz="0" w:space="0" w:color="auto"/>
            <w:right w:val="none" w:sz="0" w:space="0" w:color="auto"/>
          </w:divBdr>
        </w:div>
        <w:div w:id="1776561051">
          <w:marLeft w:val="0"/>
          <w:marRight w:val="0"/>
          <w:marTop w:val="0"/>
          <w:marBottom w:val="0"/>
          <w:divBdr>
            <w:top w:val="none" w:sz="0" w:space="0" w:color="auto"/>
            <w:left w:val="none" w:sz="0" w:space="0" w:color="auto"/>
            <w:bottom w:val="none" w:sz="0" w:space="0" w:color="auto"/>
            <w:right w:val="none" w:sz="0" w:space="0" w:color="auto"/>
          </w:divBdr>
        </w:div>
        <w:div w:id="1942956890">
          <w:marLeft w:val="0"/>
          <w:marRight w:val="0"/>
          <w:marTop w:val="0"/>
          <w:marBottom w:val="0"/>
          <w:divBdr>
            <w:top w:val="none" w:sz="0" w:space="0" w:color="auto"/>
            <w:left w:val="none" w:sz="0" w:space="0" w:color="auto"/>
            <w:bottom w:val="none" w:sz="0" w:space="0" w:color="auto"/>
            <w:right w:val="none" w:sz="0" w:space="0" w:color="auto"/>
          </w:divBdr>
        </w:div>
        <w:div w:id="1982877999">
          <w:marLeft w:val="0"/>
          <w:marRight w:val="0"/>
          <w:marTop w:val="0"/>
          <w:marBottom w:val="0"/>
          <w:divBdr>
            <w:top w:val="none" w:sz="0" w:space="0" w:color="auto"/>
            <w:left w:val="none" w:sz="0" w:space="0" w:color="auto"/>
            <w:bottom w:val="none" w:sz="0" w:space="0" w:color="auto"/>
            <w:right w:val="none" w:sz="0" w:space="0" w:color="auto"/>
          </w:divBdr>
        </w:div>
        <w:div w:id="1983928141">
          <w:marLeft w:val="0"/>
          <w:marRight w:val="0"/>
          <w:marTop w:val="0"/>
          <w:marBottom w:val="0"/>
          <w:divBdr>
            <w:top w:val="none" w:sz="0" w:space="0" w:color="auto"/>
            <w:left w:val="none" w:sz="0" w:space="0" w:color="auto"/>
            <w:bottom w:val="none" w:sz="0" w:space="0" w:color="auto"/>
            <w:right w:val="none" w:sz="0" w:space="0" w:color="auto"/>
          </w:divBdr>
        </w:div>
        <w:div w:id="2057509447">
          <w:marLeft w:val="0"/>
          <w:marRight w:val="0"/>
          <w:marTop w:val="0"/>
          <w:marBottom w:val="0"/>
          <w:divBdr>
            <w:top w:val="none" w:sz="0" w:space="0" w:color="auto"/>
            <w:left w:val="none" w:sz="0" w:space="0" w:color="auto"/>
            <w:bottom w:val="none" w:sz="0" w:space="0" w:color="auto"/>
            <w:right w:val="none" w:sz="0" w:space="0" w:color="auto"/>
          </w:divBdr>
        </w:div>
        <w:div w:id="2089304902">
          <w:marLeft w:val="0"/>
          <w:marRight w:val="0"/>
          <w:marTop w:val="0"/>
          <w:marBottom w:val="0"/>
          <w:divBdr>
            <w:top w:val="none" w:sz="0" w:space="0" w:color="auto"/>
            <w:left w:val="none" w:sz="0" w:space="0" w:color="auto"/>
            <w:bottom w:val="none" w:sz="0" w:space="0" w:color="auto"/>
            <w:right w:val="none" w:sz="0" w:space="0" w:color="auto"/>
          </w:divBdr>
        </w:div>
        <w:div w:id="2111310878">
          <w:marLeft w:val="0"/>
          <w:marRight w:val="0"/>
          <w:marTop w:val="0"/>
          <w:marBottom w:val="0"/>
          <w:divBdr>
            <w:top w:val="none" w:sz="0" w:space="0" w:color="auto"/>
            <w:left w:val="none" w:sz="0" w:space="0" w:color="auto"/>
            <w:bottom w:val="none" w:sz="0" w:space="0" w:color="auto"/>
            <w:right w:val="none" w:sz="0" w:space="0" w:color="auto"/>
          </w:divBdr>
        </w:div>
      </w:divsChild>
    </w:div>
    <w:div w:id="567093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819238">
      <w:bodyDiv w:val="1"/>
      <w:marLeft w:val="0"/>
      <w:marRight w:val="0"/>
      <w:marTop w:val="0"/>
      <w:marBottom w:val="0"/>
      <w:divBdr>
        <w:top w:val="none" w:sz="0" w:space="0" w:color="auto"/>
        <w:left w:val="none" w:sz="0" w:space="0" w:color="auto"/>
        <w:bottom w:val="none" w:sz="0" w:space="0" w:color="auto"/>
        <w:right w:val="none" w:sz="0" w:space="0" w:color="auto"/>
      </w:divBdr>
    </w:div>
    <w:div w:id="543833298">
      <w:bodyDiv w:val="1"/>
      <w:marLeft w:val="0"/>
      <w:marRight w:val="0"/>
      <w:marTop w:val="0"/>
      <w:marBottom w:val="0"/>
      <w:divBdr>
        <w:top w:val="none" w:sz="0" w:space="0" w:color="auto"/>
        <w:left w:val="none" w:sz="0" w:space="0" w:color="auto"/>
        <w:bottom w:val="none" w:sz="0" w:space="0" w:color="auto"/>
        <w:right w:val="none" w:sz="0" w:space="0" w:color="auto"/>
      </w:divBdr>
    </w:div>
    <w:div w:id="590160892">
      <w:bodyDiv w:val="1"/>
      <w:marLeft w:val="0"/>
      <w:marRight w:val="0"/>
      <w:marTop w:val="0"/>
      <w:marBottom w:val="0"/>
      <w:divBdr>
        <w:top w:val="none" w:sz="0" w:space="0" w:color="auto"/>
        <w:left w:val="none" w:sz="0" w:space="0" w:color="auto"/>
        <w:bottom w:val="none" w:sz="0" w:space="0" w:color="auto"/>
        <w:right w:val="none" w:sz="0" w:space="0" w:color="auto"/>
      </w:divBdr>
    </w:div>
    <w:div w:id="838694349">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49820909">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875952">
      <w:bodyDiv w:val="1"/>
      <w:marLeft w:val="0"/>
      <w:marRight w:val="0"/>
      <w:marTop w:val="0"/>
      <w:marBottom w:val="0"/>
      <w:divBdr>
        <w:top w:val="none" w:sz="0" w:space="0" w:color="auto"/>
        <w:left w:val="none" w:sz="0" w:space="0" w:color="auto"/>
        <w:bottom w:val="none" w:sz="0" w:space="0" w:color="auto"/>
        <w:right w:val="none" w:sz="0" w:space="0" w:color="auto"/>
      </w:divBdr>
    </w:div>
    <w:div w:id="1050039171">
      <w:bodyDiv w:val="1"/>
      <w:marLeft w:val="0"/>
      <w:marRight w:val="0"/>
      <w:marTop w:val="0"/>
      <w:marBottom w:val="0"/>
      <w:divBdr>
        <w:top w:val="none" w:sz="0" w:space="0" w:color="auto"/>
        <w:left w:val="none" w:sz="0" w:space="0" w:color="auto"/>
        <w:bottom w:val="none" w:sz="0" w:space="0" w:color="auto"/>
        <w:right w:val="none" w:sz="0" w:space="0" w:color="auto"/>
      </w:divBdr>
    </w:div>
    <w:div w:id="1059398316">
      <w:bodyDiv w:val="1"/>
      <w:marLeft w:val="0"/>
      <w:marRight w:val="0"/>
      <w:marTop w:val="0"/>
      <w:marBottom w:val="0"/>
      <w:divBdr>
        <w:top w:val="none" w:sz="0" w:space="0" w:color="auto"/>
        <w:left w:val="none" w:sz="0" w:space="0" w:color="auto"/>
        <w:bottom w:val="none" w:sz="0" w:space="0" w:color="auto"/>
        <w:right w:val="none" w:sz="0" w:space="0" w:color="auto"/>
      </w:divBdr>
    </w:div>
    <w:div w:id="1179346449">
      <w:bodyDiv w:val="1"/>
      <w:marLeft w:val="0"/>
      <w:marRight w:val="0"/>
      <w:marTop w:val="0"/>
      <w:marBottom w:val="0"/>
      <w:divBdr>
        <w:top w:val="none" w:sz="0" w:space="0" w:color="auto"/>
        <w:left w:val="none" w:sz="0" w:space="0" w:color="auto"/>
        <w:bottom w:val="none" w:sz="0" w:space="0" w:color="auto"/>
        <w:right w:val="none" w:sz="0" w:space="0" w:color="auto"/>
      </w:divBdr>
    </w:div>
    <w:div w:id="1196503710">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72456482">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28120554">
      <w:bodyDiv w:val="1"/>
      <w:marLeft w:val="0"/>
      <w:marRight w:val="0"/>
      <w:marTop w:val="0"/>
      <w:marBottom w:val="0"/>
      <w:divBdr>
        <w:top w:val="none" w:sz="0" w:space="0" w:color="auto"/>
        <w:left w:val="none" w:sz="0" w:space="0" w:color="auto"/>
        <w:bottom w:val="none" w:sz="0" w:space="0" w:color="auto"/>
        <w:right w:val="none" w:sz="0" w:space="0" w:color="auto"/>
      </w:divBdr>
      <w:divsChild>
        <w:div w:id="614334520">
          <w:marLeft w:val="0"/>
          <w:marRight w:val="0"/>
          <w:marTop w:val="0"/>
          <w:marBottom w:val="0"/>
          <w:divBdr>
            <w:top w:val="none" w:sz="0" w:space="0" w:color="auto"/>
            <w:left w:val="none" w:sz="0" w:space="0" w:color="auto"/>
            <w:bottom w:val="none" w:sz="0" w:space="0" w:color="auto"/>
            <w:right w:val="none" w:sz="0" w:space="0" w:color="auto"/>
          </w:divBdr>
        </w:div>
        <w:div w:id="1264266598">
          <w:marLeft w:val="0"/>
          <w:marRight w:val="0"/>
          <w:marTop w:val="0"/>
          <w:marBottom w:val="0"/>
          <w:divBdr>
            <w:top w:val="none" w:sz="0" w:space="0" w:color="auto"/>
            <w:left w:val="none" w:sz="0" w:space="0" w:color="auto"/>
            <w:bottom w:val="none" w:sz="0" w:space="0" w:color="auto"/>
            <w:right w:val="none" w:sz="0" w:space="0" w:color="auto"/>
          </w:divBdr>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76905984">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71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opml.co.uk/files/Publications/a1537-shock-responsive-social-protection-latin-america-caribbean/hallazgos-principals-y-recomendaciones.pdf?noredirect=1" TargetMode="External"/><Relationship Id="rId3" Type="http://schemas.openxmlformats.org/officeDocument/2006/relationships/customXml" Target="../customXml/item3.xml"/><Relationship Id="rId21" Type="http://schemas.openxmlformats.org/officeDocument/2006/relationships/hyperlink" Target="https://www.opml.co.uk/files/Publications/a0408-shock-responsive-social-protection-systems/srsp-toolkit.pdf?noredirect=1"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doi.org/10.1186/s12889-018-5446-1"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documents.worldbank.org/curated/en/456681468045552129/pdf/Understanding-the-poverty-impact-of-the-global-financial-crisis-in-Latin-America-and-the-Caribbean.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documents1.worldbank.org/curated/en/590531592231143435/pdf/Social-Protection-and-Jobs-Responses-to-COVID-19-A-Real-Time-Review-of-Country-Measures-June-12-2020.pdf"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gacetaoficial.gob.pa/pdfTemp/28995_A/78115.pdf" TargetMode="External"/><Relationship Id="rId22" Type="http://schemas.openxmlformats.org/officeDocument/2006/relationships/hyperlink" Target="https://www.who.int/docs/default-source/coronaviruse/situation-reports/20200305-sitrep-45-covid-19.pdf?sfvrsn=ed2ba78b_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rensa.com/impresa/panorama/2020-cerrara-con-mas-de-500-mil-desempleados/" TargetMode="External"/><Relationship Id="rId13" Type="http://schemas.openxmlformats.org/officeDocument/2006/relationships/hyperlink" Target="https://publications.iadb.org/publications/spanish/document/Implicaciones-sociales-del-Covid-19-Estimaciones-y-alternativas-para-America-Latina-y-El-Caribe.pdf" TargetMode="External"/><Relationship Id="rId18" Type="http://schemas.openxmlformats.org/officeDocument/2006/relationships/hyperlink" Target="https://www.opml.co.uk/files/Publications/a1537-shock-responsive-social-protection-latin-america-caribbean/hallazgos-principals-y-recomendaciones.pdf?noredirect=1" TargetMode="External"/><Relationship Id="rId3" Type="http://schemas.openxmlformats.org/officeDocument/2006/relationships/hyperlink" Target="https://www.gacetaoficial.gob.pa/pdfTemp/28979_B/GacetaNo_28979b_20200313.pdf" TargetMode="External"/><Relationship Id="rId7" Type="http://schemas.openxmlformats.org/officeDocument/2006/relationships/hyperlink" Target="http://www.mitradel.gob.pa/wp-content/uploads/2020/10/INFORME-PARA-LA-WEB-SUSPEN-VS.-REACTIVADOS-8-DE-OCTUBRE.pdf" TargetMode="External"/><Relationship Id="rId12" Type="http://schemas.openxmlformats.org/officeDocument/2006/relationships/hyperlink" Target="http://www.mitradel.gob.pa/wp-content/uploads/2020/10/INFORME-PARA-LA-WEB-SUSPEN-VS.-REACTIVADOS-8-DE-OCTUBRE.pdf" TargetMode="External"/><Relationship Id="rId17" Type="http://schemas.openxmlformats.org/officeDocument/2006/relationships/hyperlink" Target="http://documents.worldbank.org/curated/en/456681468045552129/pdf/Understanding-the-poverty-impact-of-the-global-financial-crisis-in-Latin-America-and-the-Caribbean.pdf" TargetMode="External"/><Relationship Id="rId2" Type="http://schemas.openxmlformats.org/officeDocument/2006/relationships/hyperlink" Target="https://www.paho.org/pan/index.php?option=com_content&amp;view=article&amp;id=1349:panama-confirma-primer-caso-de-covid-19&amp;Itemid=442" TargetMode="External"/><Relationship Id="rId16" Type="http://schemas.openxmlformats.org/officeDocument/2006/relationships/hyperlink" Target="https://www.opml.co.uk/files/Publications/a0408-shock-responsive-social-protection-systems/srsp-toolkit.pdf?noredirect=1" TargetMode="External"/><Relationship Id="rId1" Type="http://schemas.openxmlformats.org/officeDocument/2006/relationships/hyperlink" Target="file:///C:\Users\carolinaf\Documents\Documents\PNL1121\POD\BID-SPH" TargetMode="External"/><Relationship Id="rId6" Type="http://schemas.openxmlformats.org/officeDocument/2006/relationships/hyperlink" Target="https://www.gacetaoficial.gob.pa/pdfTemp/28985_C/77962.pdf" TargetMode="External"/><Relationship Id="rId11" Type="http://schemas.openxmlformats.org/officeDocument/2006/relationships/hyperlink" Target="https://www.gacetaoficial.gob.pa/pdfTemp/29016_A/78340.pdf" TargetMode="External"/><Relationship Id="rId5" Type="http://schemas.openxmlformats.org/officeDocument/2006/relationships/hyperlink" Target="https://www.imf.org/es/Publications/WEO/Issues/2020/09/30/world-economic-outlook-october-2020" TargetMode="External"/><Relationship Id="rId15" Type="http://schemas.openxmlformats.org/officeDocument/2006/relationships/hyperlink" Target="https://papers.ssrn.com/sol3/papers.cfm?abstract_id=3549276" TargetMode="External"/><Relationship Id="rId10" Type="http://schemas.openxmlformats.org/officeDocument/2006/relationships/hyperlink" Target="https://www.gacetaoficial.gob.pa/pdfTemp/28995_A/GacetaNo_28995a_20200403.pdf" TargetMode="External"/><Relationship Id="rId19" Type="http://schemas.openxmlformats.org/officeDocument/2006/relationships/hyperlink" Target="http://documents1.worldbank.org/curated/en/590531592231143435/pdf/Social-Protection-and-Jobs-Responses-to-COVID-19-A-Real-Time-Review-of-Country-Measures-June-12-2020.pdf" TargetMode="External"/><Relationship Id="rId4" Type="http://schemas.openxmlformats.org/officeDocument/2006/relationships/hyperlink" Target="https://www.mef.gob.pa/2020/10/de-enero-a-septiembre-de-2020-los-ingresos-corrientes-del-gobierno-central-cayeron-b-1795-2-millones-respecto-a-lo-presupuestado-y-b-1533-0-millones-respecto-al-2019/" TargetMode="External"/><Relationship Id="rId9" Type="http://schemas.openxmlformats.org/officeDocument/2006/relationships/hyperlink" Target="https://www.cdc.gov/mmwr/volumes/69/wr/mm6913e2.htm" TargetMode="External"/><Relationship Id="rId14" Type="http://schemas.openxmlformats.org/officeDocument/2006/relationships/hyperlink" Target="https://doi.org/10.1186/s12889-018-544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36305A9785DC645ACAF80DB6D7BB453" ma:contentTypeVersion="1077" ma:contentTypeDescription="A content type to manage public (operations) IDB documents" ma:contentTypeScope="" ma:versionID="d49048799a92414eb3c2e2e90bad9de2">
  <xsd:schema xmlns:xsd="http://www.w3.org/2001/XMLSchema" xmlns:xs="http://www.w3.org/2001/XMLSchema" xmlns:p="http://schemas.microsoft.com/office/2006/metadata/properties" xmlns:ns2="cdc7663a-08f0-4737-9e8c-148ce897a09c" targetNamespace="http://schemas.microsoft.com/office/2006/metadata/properties" ma:root="true" ma:fieldsID="03ff7f65088259cece511265647a0fe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2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174</Value>
      <Value>25</Value>
      <Value>29</Value>
      <Value>30</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PN-L1121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EZSHARE-1453917752-7</_dlc_DocId>
    <_dlc_DocIdUrl xmlns="cdc7663a-08f0-4737-9e8c-148ce897a09c">
      <Url>https://idbg.sharepoint.com/teams/EZ-PN-LON/PN-L1121/_layouts/15/DocIdRedir.aspx?ID=EZSHARE-1453917752-7</Url>
      <Description>EZSHARE-1453917752-7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F7194C-64D5-47AF-8108-8392A8A0E095}"/>
</file>

<file path=customXml/itemProps2.xml><?xml version="1.0" encoding="utf-8"?>
<ds:datastoreItem xmlns:ds="http://schemas.openxmlformats.org/officeDocument/2006/customXml" ds:itemID="{566CEF77-BBD0-4C8C-B923-AA2F9C947176}">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EC894DC3-A6CF-4674-9D05-2A95D726A49A}">
  <ds:schemaRefs>
    <ds:schemaRef ds:uri="http://schemas.microsoft.com/sharepoint/v3/contenttype/forms"/>
  </ds:schemaRefs>
</ds:datastoreItem>
</file>

<file path=customXml/itemProps4.xml><?xml version="1.0" encoding="utf-8"?>
<ds:datastoreItem xmlns:ds="http://schemas.openxmlformats.org/officeDocument/2006/customXml" ds:itemID="{E0E68909-6F8D-435A-A296-7F7D8461813C}"/>
</file>

<file path=customXml/itemProps5.xml><?xml version="1.0" encoding="utf-8"?>
<ds:datastoreItem xmlns:ds="http://schemas.openxmlformats.org/officeDocument/2006/customXml" ds:itemID="{E119BE65-BFD0-42BA-9165-331F6BAF1A00}">
  <ds:schemaRefs>
    <ds:schemaRef ds:uri="http://schemas.openxmlformats.org/officeDocument/2006/bibliography"/>
  </ds:schemaRefs>
</ds:datastoreItem>
</file>

<file path=customXml/itemProps6.xml><?xml version="1.0" encoding="utf-8"?>
<ds:datastoreItem xmlns:ds="http://schemas.openxmlformats.org/officeDocument/2006/customXml" ds:itemID="{E1CEF0F7-A268-4265-964F-7A0A4F2B36B1}"/>
</file>

<file path=customXml/itemProps7.xml><?xml version="1.0" encoding="utf-8"?>
<ds:datastoreItem xmlns:ds="http://schemas.openxmlformats.org/officeDocument/2006/customXml" ds:itemID="{E8E6A617-5B25-463D-9C91-639D165FE0A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23</Pages>
  <Words>8194</Words>
  <Characters>46712</Characters>
  <Application>Microsoft Office Word</Application>
  <DocSecurity>0</DocSecurity>
  <Lines>389</Lines>
  <Paragraphs>109</Paragraphs>
  <ScaleCrop>false</ScaleCrop>
  <Company>Inter-American Development Bank</Company>
  <LinksUpToDate>false</LinksUpToDate>
  <CharactersWithSpaces>54797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Freire Samudio, Carolina Angelica</cp:lastModifiedBy>
  <cp:revision>16</cp:revision>
  <cp:lastPrinted>2010-02-23T00:09:00Z</cp:lastPrinted>
  <dcterms:created xsi:type="dcterms:W3CDTF">2020-11-03T00:57:00Z</dcterms:created>
  <dcterms:modified xsi:type="dcterms:W3CDTF">2020-11-25T20:09:00Z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30;#POVERTY ALLEVIATION|c99b9e13-7d25-4ef5-800d-099d9545c397</vt:lpwstr>
  </property>
  <property fmtid="{D5CDD505-2E9C-101B-9397-08002B2CF9AE}" pid="6" name="Fund IDB">
    <vt:lpwstr>25;#ORC|c028a4b2-ad8b-4cf4-9cac-a2ae6a778e23</vt:lpwstr>
  </property>
  <property fmtid="{D5CDD505-2E9C-101B-9397-08002B2CF9AE}" pid="7" name="Country">
    <vt:lpwstr>174;#Bolivia|6445a937-aea4-4907-9f24-bff96a7c61c8</vt:lpwstr>
  </property>
  <property fmtid="{D5CDD505-2E9C-101B-9397-08002B2CF9AE}" pid="8" name="Sector IDB">
    <vt:lpwstr>29;#SOCIAL INVESTMENT|3f908695-d5b5-49f6-941f-76876b39564f</vt:lpwstr>
  </property>
  <property fmtid="{D5CDD505-2E9C-101B-9397-08002B2CF9AE}" pid="9" name="Function Operations IDB">
    <vt:lpwstr>1;#Project Preparation Planning and Design|29ca0c72-1fc4-435f-a09c-28585cb5eac9</vt:lpwstr>
  </property>
  <property fmtid="{D5CDD505-2E9C-101B-9397-08002B2CF9AE}" pid="10" name="_dlc_DocIdItemGuid">
    <vt:lpwstr>7f3e20ef-a1d4-476d-8291-e854f4441bb4</vt:lpwstr>
  </property>
  <property fmtid="{D5CDD505-2E9C-101B-9397-08002B2CF9AE}" pid="11" name="Disclosure Activity">
    <vt:lpwstr>Loan Proposal</vt:lpwstr>
  </property>
  <property fmtid="{D5CDD505-2E9C-101B-9397-08002B2CF9AE}" pid="12" name="ContentTypeId">
    <vt:lpwstr>0x0101001A458A224826124E8B45B1D613300CFC00736305A9785DC645ACAF80DB6D7BB453</vt:lpwstr>
  </property>
</Properties>
</file>