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7.xml" ContentType="application/vnd.openxmlformats-officedocument.customXmlProperties+xml"/>
  <Override PartName="/word/fontTable.xml" ContentType="application/vnd.openxmlformats-officedocument.wordprocessingml.fontTable+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52E5E8" w14:textId="52028310" w:rsidR="00F834E2" w:rsidRPr="00CF4023" w:rsidRDefault="7D4EF4EF" w:rsidP="7D4EF4EF">
      <w:pPr>
        <w:spacing w:after="0" w:line="240" w:lineRule="auto"/>
        <w:jc w:val="center"/>
        <w:rPr>
          <w:rFonts w:ascii="Arial" w:hAnsi="Arial" w:cs="Arial"/>
          <w:b/>
          <w:bCs/>
          <w:sz w:val="24"/>
          <w:szCs w:val="24"/>
        </w:rPr>
      </w:pPr>
      <w:r w:rsidRPr="7D4EF4EF">
        <w:rPr>
          <w:rFonts w:ascii="Arial" w:hAnsi="Arial" w:cs="Arial"/>
          <w:b/>
          <w:bCs/>
          <w:sz w:val="24"/>
          <w:szCs w:val="24"/>
        </w:rPr>
        <w:t xml:space="preserve">TC DOCUMENT </w:t>
      </w:r>
    </w:p>
    <w:p w14:paraId="5445C3E9" w14:textId="44AFFC89" w:rsidR="00F834E2" w:rsidRPr="00635A4A" w:rsidRDefault="7D4EF4EF" w:rsidP="00F75522">
      <w:pPr>
        <w:pStyle w:val="ListParagraph"/>
        <w:numPr>
          <w:ilvl w:val="0"/>
          <w:numId w:val="5"/>
        </w:numPr>
        <w:spacing w:after="120"/>
        <w:rPr>
          <w:rFonts w:ascii="Arial" w:hAnsi="Arial" w:cs="Arial"/>
          <w:b/>
          <w:bCs/>
          <w:sz w:val="24"/>
          <w:szCs w:val="24"/>
        </w:rPr>
      </w:pPr>
      <w:r w:rsidRPr="7D4EF4EF">
        <w:rPr>
          <w:rFonts w:ascii="Arial" w:hAnsi="Arial" w:cs="Arial"/>
          <w:b/>
          <w:bCs/>
          <w:sz w:val="24"/>
          <w:szCs w:val="24"/>
        </w:rPr>
        <w:t>Basic Project Data</w:t>
      </w:r>
    </w:p>
    <w:tbl>
      <w:tblPr>
        <w:tblStyle w:val="TableGrid"/>
        <w:tblW w:w="9990" w:type="dxa"/>
        <w:tblInd w:w="-4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140"/>
        <w:gridCol w:w="5850"/>
      </w:tblGrid>
      <w:tr w:rsidR="00F834E2" w:rsidRPr="00CF4023" w14:paraId="70FC1DA8" w14:textId="77777777" w:rsidTr="00F75522">
        <w:tc>
          <w:tcPr>
            <w:tcW w:w="4140" w:type="dxa"/>
          </w:tcPr>
          <w:p w14:paraId="1379AB13" w14:textId="178E12F2" w:rsidR="00F834E2" w:rsidRPr="00CF4023" w:rsidRDefault="7D4EF4EF" w:rsidP="7D4EF4EF">
            <w:pPr>
              <w:pStyle w:val="ListParagraph"/>
              <w:numPr>
                <w:ilvl w:val="0"/>
                <w:numId w:val="2"/>
              </w:numPr>
              <w:spacing w:before="60" w:after="60"/>
              <w:ind w:left="162" w:hanging="162"/>
              <w:jc w:val="both"/>
              <w:rPr>
                <w:rFonts w:ascii="Arial" w:hAnsi="Arial" w:cs="Arial"/>
                <w:sz w:val="18"/>
                <w:szCs w:val="18"/>
              </w:rPr>
            </w:pPr>
            <w:r w:rsidRPr="7D4EF4EF">
              <w:rPr>
                <w:rFonts w:ascii="Arial" w:hAnsi="Arial" w:cs="Arial"/>
                <w:sz w:val="18"/>
                <w:szCs w:val="18"/>
              </w:rPr>
              <w:t>TC Name:</w:t>
            </w:r>
          </w:p>
        </w:tc>
        <w:tc>
          <w:tcPr>
            <w:tcW w:w="5850" w:type="dxa"/>
          </w:tcPr>
          <w:p w14:paraId="3DA4A935" w14:textId="41D1E6B7" w:rsidR="00F834E2" w:rsidRPr="00CF4023" w:rsidRDefault="7D4EF4EF" w:rsidP="00F75522">
            <w:pPr>
              <w:spacing w:before="60" w:after="60"/>
              <w:rPr>
                <w:rFonts w:ascii="Arial" w:hAnsi="Arial" w:cs="Arial"/>
                <w:sz w:val="18"/>
                <w:szCs w:val="18"/>
                <w:lang w:eastAsia="ja-JP"/>
              </w:rPr>
            </w:pPr>
            <w:r w:rsidRPr="7D4EF4EF">
              <w:rPr>
                <w:rFonts w:ascii="Arial" w:hAnsi="Arial" w:cs="Arial"/>
                <w:sz w:val="18"/>
                <w:szCs w:val="18"/>
                <w:lang w:eastAsia="ja-JP"/>
              </w:rPr>
              <w:t>Promotion of energy efficiency and distributed renewable energy generation, with a focus on public sector energy users</w:t>
            </w:r>
          </w:p>
        </w:tc>
      </w:tr>
      <w:tr w:rsidR="00F834E2" w:rsidRPr="00CF4023" w14:paraId="291FDA31" w14:textId="77777777" w:rsidTr="00F75522">
        <w:trPr>
          <w:trHeight w:val="70"/>
        </w:trPr>
        <w:tc>
          <w:tcPr>
            <w:tcW w:w="4140" w:type="dxa"/>
          </w:tcPr>
          <w:p w14:paraId="130ABA35" w14:textId="193D812E" w:rsidR="00F834E2" w:rsidRPr="00CF4023" w:rsidRDefault="7D4EF4EF" w:rsidP="7D4EF4EF">
            <w:pPr>
              <w:pStyle w:val="ListParagraph"/>
              <w:numPr>
                <w:ilvl w:val="0"/>
                <w:numId w:val="2"/>
              </w:numPr>
              <w:spacing w:before="60" w:after="60"/>
              <w:ind w:left="162" w:hanging="162"/>
              <w:jc w:val="both"/>
              <w:rPr>
                <w:rFonts w:ascii="Arial" w:hAnsi="Arial" w:cs="Arial"/>
                <w:sz w:val="18"/>
                <w:szCs w:val="18"/>
              </w:rPr>
            </w:pPr>
            <w:r w:rsidRPr="7D4EF4EF">
              <w:rPr>
                <w:rFonts w:ascii="Arial" w:hAnsi="Arial" w:cs="Arial"/>
                <w:sz w:val="18"/>
                <w:szCs w:val="18"/>
              </w:rPr>
              <w:t>TC Number:</w:t>
            </w:r>
          </w:p>
        </w:tc>
        <w:tc>
          <w:tcPr>
            <w:tcW w:w="5850" w:type="dxa"/>
          </w:tcPr>
          <w:p w14:paraId="1D96469E" w14:textId="23689ED6" w:rsidR="00F834E2" w:rsidRPr="00CF4023" w:rsidRDefault="7D4EF4EF" w:rsidP="00F75522">
            <w:pPr>
              <w:spacing w:before="60" w:after="60"/>
              <w:rPr>
                <w:rFonts w:ascii="Arial" w:hAnsi="Arial" w:cs="Arial"/>
                <w:sz w:val="18"/>
                <w:szCs w:val="18"/>
                <w:lang w:eastAsia="ja-JP"/>
              </w:rPr>
            </w:pPr>
            <w:r w:rsidRPr="7D4EF4EF">
              <w:rPr>
                <w:rFonts w:ascii="Arial" w:hAnsi="Arial" w:cs="Arial"/>
                <w:sz w:val="18"/>
                <w:szCs w:val="18"/>
                <w:lang w:eastAsia="ja-JP"/>
              </w:rPr>
              <w:t>RG-T2986</w:t>
            </w:r>
          </w:p>
        </w:tc>
      </w:tr>
      <w:tr w:rsidR="00CF4023" w:rsidRPr="009433A0" w14:paraId="7C5A15BC" w14:textId="77777777" w:rsidTr="00F75522">
        <w:tc>
          <w:tcPr>
            <w:tcW w:w="4140" w:type="dxa"/>
          </w:tcPr>
          <w:p w14:paraId="19C964B8" w14:textId="6C07E348" w:rsidR="00CF4023" w:rsidRPr="00CF4023" w:rsidRDefault="7D4EF4EF" w:rsidP="7D4EF4EF">
            <w:pPr>
              <w:pStyle w:val="ListParagraph"/>
              <w:spacing w:before="60" w:after="60"/>
              <w:ind w:left="162"/>
              <w:jc w:val="both"/>
              <w:rPr>
                <w:rFonts w:ascii="Arial" w:hAnsi="Arial" w:cs="Arial"/>
                <w:sz w:val="18"/>
                <w:szCs w:val="18"/>
              </w:rPr>
            </w:pPr>
            <w:r w:rsidRPr="7D4EF4EF">
              <w:rPr>
                <w:rFonts w:ascii="Arial" w:hAnsi="Arial" w:cs="Arial"/>
                <w:sz w:val="18"/>
                <w:szCs w:val="18"/>
              </w:rPr>
              <w:t>Country/Region:</w:t>
            </w:r>
          </w:p>
        </w:tc>
        <w:tc>
          <w:tcPr>
            <w:tcW w:w="5850" w:type="dxa"/>
          </w:tcPr>
          <w:p w14:paraId="5E299586" w14:textId="714BBD92" w:rsidR="00CF4023" w:rsidRPr="00CF4023" w:rsidRDefault="7D4EF4EF" w:rsidP="00F75522">
            <w:pPr>
              <w:spacing w:before="60" w:after="60"/>
              <w:rPr>
                <w:rFonts w:ascii="Arial" w:hAnsi="Arial" w:cs="Arial"/>
                <w:sz w:val="18"/>
                <w:szCs w:val="18"/>
                <w:lang w:val="es-ES" w:eastAsia="ja-JP"/>
              </w:rPr>
            </w:pPr>
            <w:r w:rsidRPr="7D4EF4EF">
              <w:rPr>
                <w:rFonts w:ascii="Arial" w:hAnsi="Arial" w:cs="Arial"/>
                <w:sz w:val="18"/>
                <w:szCs w:val="18"/>
                <w:lang w:val="es-ES" w:eastAsia="ja-JP"/>
              </w:rPr>
              <w:t>Argentina, Ecuador, Honduras, México, and Paraguay</w:t>
            </w:r>
          </w:p>
        </w:tc>
      </w:tr>
      <w:tr w:rsidR="00F834E2" w:rsidRPr="00C6621F" w14:paraId="1BA75330" w14:textId="77777777" w:rsidTr="00F75522">
        <w:tc>
          <w:tcPr>
            <w:tcW w:w="4140" w:type="dxa"/>
          </w:tcPr>
          <w:p w14:paraId="34675C4B" w14:textId="77777777" w:rsidR="00F834E2" w:rsidRPr="00CF4023" w:rsidRDefault="7D4EF4EF" w:rsidP="7D4EF4EF">
            <w:pPr>
              <w:pStyle w:val="ListParagraph"/>
              <w:numPr>
                <w:ilvl w:val="0"/>
                <w:numId w:val="2"/>
              </w:numPr>
              <w:spacing w:before="60" w:after="60"/>
              <w:ind w:left="162" w:hanging="162"/>
              <w:jc w:val="both"/>
              <w:rPr>
                <w:rFonts w:ascii="Arial" w:hAnsi="Arial" w:cs="Arial"/>
                <w:sz w:val="18"/>
                <w:szCs w:val="18"/>
              </w:rPr>
            </w:pPr>
            <w:r w:rsidRPr="7D4EF4EF">
              <w:rPr>
                <w:rFonts w:ascii="Arial" w:hAnsi="Arial" w:cs="Arial"/>
                <w:sz w:val="18"/>
                <w:szCs w:val="18"/>
              </w:rPr>
              <w:t>Team Leader/Members:</w:t>
            </w:r>
          </w:p>
        </w:tc>
        <w:tc>
          <w:tcPr>
            <w:tcW w:w="5850" w:type="dxa"/>
          </w:tcPr>
          <w:p w14:paraId="7C4C7166" w14:textId="1B325808" w:rsidR="00F834E2" w:rsidRPr="00F45CE6" w:rsidRDefault="7D4EF4EF" w:rsidP="00F75522">
            <w:pPr>
              <w:spacing w:before="60" w:after="60"/>
              <w:rPr>
                <w:rFonts w:ascii="Arial" w:hAnsi="Arial" w:cs="Arial"/>
                <w:sz w:val="18"/>
                <w:szCs w:val="18"/>
                <w:lang w:val="fr-FR" w:eastAsia="ja-JP"/>
              </w:rPr>
            </w:pPr>
            <w:r w:rsidRPr="7D4EF4EF">
              <w:rPr>
                <w:rFonts w:ascii="Arial" w:hAnsi="Arial" w:cs="Arial"/>
                <w:sz w:val="18"/>
                <w:szCs w:val="18"/>
                <w:lang w:eastAsia="ja-JP"/>
              </w:rPr>
              <w:t xml:space="preserve">Roberto Gabriel Aiello (INE/ENE) Team Leader; Emilio Sawada (INE/ENE), Jose Antonio Urteaga (INE/ENE); Carlos Echeverria (INE/ENE); Carlos Jacome (INE/ENE); Misa Haratsu; (INE/ENE), Arnaldo Vieira de Carvalho (INE/ENE), Julio Lopez Peña (INE/ENE). </w:t>
            </w:r>
            <w:r w:rsidRPr="00F45CE6">
              <w:rPr>
                <w:rFonts w:ascii="Arial" w:hAnsi="Arial" w:cs="Arial"/>
                <w:sz w:val="18"/>
                <w:szCs w:val="18"/>
                <w:lang w:val="fr-FR" w:eastAsia="ja-JP"/>
              </w:rPr>
              <w:t>Stephanie Suber (INE/ENE), Chris Barton (EXR), Lara Bersano (INE/INE), Margie-Lys Jaime Ramirez (LEG/SGO)</w:t>
            </w:r>
          </w:p>
        </w:tc>
      </w:tr>
      <w:tr w:rsidR="00F834E2" w:rsidRPr="00CF4023" w14:paraId="218F7682" w14:textId="77777777" w:rsidTr="00F75522">
        <w:trPr>
          <w:trHeight w:val="242"/>
        </w:trPr>
        <w:tc>
          <w:tcPr>
            <w:tcW w:w="4140" w:type="dxa"/>
          </w:tcPr>
          <w:p w14:paraId="7D2F1919" w14:textId="77777777" w:rsidR="00F834E2" w:rsidRPr="00CF4023" w:rsidRDefault="7D4EF4EF" w:rsidP="7D4EF4EF">
            <w:pPr>
              <w:pStyle w:val="ListParagraph"/>
              <w:numPr>
                <w:ilvl w:val="0"/>
                <w:numId w:val="2"/>
              </w:numPr>
              <w:spacing w:before="60" w:after="60"/>
              <w:ind w:left="162" w:hanging="162"/>
              <w:jc w:val="both"/>
              <w:rPr>
                <w:rFonts w:ascii="Arial" w:hAnsi="Arial" w:cs="Arial"/>
                <w:sz w:val="18"/>
                <w:szCs w:val="18"/>
              </w:rPr>
            </w:pPr>
            <w:r w:rsidRPr="7D4EF4EF">
              <w:rPr>
                <w:rFonts w:ascii="Arial" w:hAnsi="Arial" w:cs="Arial"/>
                <w:sz w:val="18"/>
                <w:szCs w:val="18"/>
              </w:rPr>
              <w:t>Indicate if: Operational Support, Client Support, or Research &amp; Dissemination.</w:t>
            </w:r>
          </w:p>
        </w:tc>
        <w:tc>
          <w:tcPr>
            <w:tcW w:w="5850" w:type="dxa"/>
          </w:tcPr>
          <w:p w14:paraId="12E2CAEC" w14:textId="77777777" w:rsidR="00F834E2" w:rsidRPr="00CF4023" w:rsidRDefault="7D4EF4EF" w:rsidP="00F75522">
            <w:pPr>
              <w:spacing w:before="60" w:after="60"/>
              <w:rPr>
                <w:rFonts w:ascii="Arial" w:hAnsi="Arial" w:cs="Arial"/>
                <w:sz w:val="18"/>
                <w:szCs w:val="18"/>
                <w:lang w:eastAsia="ja-JP"/>
              </w:rPr>
            </w:pPr>
            <w:r w:rsidRPr="7D4EF4EF">
              <w:rPr>
                <w:rFonts w:ascii="Arial" w:hAnsi="Arial" w:cs="Arial"/>
                <w:sz w:val="18"/>
                <w:szCs w:val="18"/>
                <w:lang w:eastAsia="ja-JP"/>
              </w:rPr>
              <w:t xml:space="preserve">Client Support </w:t>
            </w:r>
          </w:p>
        </w:tc>
      </w:tr>
      <w:tr w:rsidR="00F834E2" w:rsidRPr="00CF4023" w14:paraId="1E9C7494" w14:textId="77777777" w:rsidTr="00F75522">
        <w:tc>
          <w:tcPr>
            <w:tcW w:w="4140" w:type="dxa"/>
          </w:tcPr>
          <w:p w14:paraId="17C22A9A" w14:textId="77777777" w:rsidR="00F834E2" w:rsidRPr="00CF4023" w:rsidRDefault="7D4EF4EF" w:rsidP="7D4EF4EF">
            <w:pPr>
              <w:pStyle w:val="ListParagraph"/>
              <w:numPr>
                <w:ilvl w:val="0"/>
                <w:numId w:val="2"/>
              </w:numPr>
              <w:spacing w:before="60" w:after="60"/>
              <w:ind w:left="162" w:hanging="162"/>
              <w:jc w:val="both"/>
              <w:rPr>
                <w:rFonts w:ascii="Arial" w:hAnsi="Arial" w:cs="Arial"/>
                <w:sz w:val="18"/>
                <w:szCs w:val="18"/>
              </w:rPr>
            </w:pPr>
            <w:r w:rsidRPr="7D4EF4EF">
              <w:rPr>
                <w:rFonts w:ascii="Arial" w:hAnsi="Arial" w:cs="Arial"/>
                <w:sz w:val="18"/>
                <w:szCs w:val="18"/>
              </w:rPr>
              <w:t>If Operational Support TC, give number and name of Operation Supported by the TC:</w:t>
            </w:r>
          </w:p>
        </w:tc>
        <w:tc>
          <w:tcPr>
            <w:tcW w:w="5850" w:type="dxa"/>
          </w:tcPr>
          <w:p w14:paraId="0EE91377" w14:textId="32A5E1C1" w:rsidR="00F834E2" w:rsidRPr="00CF4023" w:rsidRDefault="7D4EF4EF" w:rsidP="00F75522">
            <w:pPr>
              <w:spacing w:before="60" w:after="60"/>
              <w:rPr>
                <w:rFonts w:ascii="Arial" w:hAnsi="Arial" w:cs="Arial"/>
                <w:sz w:val="18"/>
                <w:szCs w:val="18"/>
              </w:rPr>
            </w:pPr>
            <w:r w:rsidRPr="7D4EF4EF">
              <w:rPr>
                <w:rFonts w:ascii="Arial" w:hAnsi="Arial" w:cs="Arial"/>
                <w:sz w:val="18"/>
                <w:szCs w:val="18"/>
              </w:rPr>
              <w:t>N/A</w:t>
            </w:r>
          </w:p>
        </w:tc>
      </w:tr>
      <w:tr w:rsidR="00F834E2" w:rsidRPr="00CF4023" w14:paraId="0B102F78" w14:textId="77777777" w:rsidTr="00F75522">
        <w:tc>
          <w:tcPr>
            <w:tcW w:w="4140" w:type="dxa"/>
          </w:tcPr>
          <w:p w14:paraId="73311C04" w14:textId="77777777" w:rsidR="00F834E2" w:rsidRPr="00CF4023" w:rsidRDefault="7D4EF4EF" w:rsidP="7D4EF4EF">
            <w:pPr>
              <w:pStyle w:val="ListParagraph"/>
              <w:numPr>
                <w:ilvl w:val="0"/>
                <w:numId w:val="2"/>
              </w:numPr>
              <w:spacing w:before="60" w:after="60"/>
              <w:ind w:left="162" w:hanging="162"/>
              <w:jc w:val="both"/>
              <w:rPr>
                <w:rFonts w:ascii="Arial" w:hAnsi="Arial" w:cs="Arial"/>
                <w:sz w:val="18"/>
                <w:szCs w:val="18"/>
              </w:rPr>
            </w:pPr>
            <w:r w:rsidRPr="7D4EF4EF">
              <w:rPr>
                <w:rFonts w:ascii="Arial" w:hAnsi="Arial" w:cs="Arial"/>
                <w:sz w:val="18"/>
                <w:szCs w:val="18"/>
              </w:rPr>
              <w:t>Reference to Request: (IDB docs #)</w:t>
            </w:r>
          </w:p>
        </w:tc>
        <w:tc>
          <w:tcPr>
            <w:tcW w:w="5850" w:type="dxa"/>
          </w:tcPr>
          <w:p w14:paraId="3E0CC5E1" w14:textId="77777777" w:rsidR="00F834E2" w:rsidRPr="00CF4023" w:rsidRDefault="7D4EF4EF" w:rsidP="00F75522">
            <w:pPr>
              <w:spacing w:before="60" w:after="60"/>
              <w:rPr>
                <w:rFonts w:ascii="Arial" w:hAnsi="Arial" w:cs="Arial"/>
                <w:sz w:val="18"/>
                <w:szCs w:val="18"/>
              </w:rPr>
            </w:pPr>
            <w:r w:rsidRPr="7D4EF4EF">
              <w:rPr>
                <w:rFonts w:ascii="Arial" w:hAnsi="Arial" w:cs="Arial"/>
                <w:sz w:val="18"/>
                <w:szCs w:val="18"/>
              </w:rPr>
              <w:t>N/A</w:t>
            </w:r>
          </w:p>
        </w:tc>
      </w:tr>
      <w:tr w:rsidR="00F834E2" w:rsidRPr="00CF4023" w14:paraId="4FC36B5E" w14:textId="77777777" w:rsidTr="00F75522">
        <w:tc>
          <w:tcPr>
            <w:tcW w:w="4140" w:type="dxa"/>
          </w:tcPr>
          <w:p w14:paraId="06F9C332" w14:textId="77777777" w:rsidR="00F834E2" w:rsidRPr="00CF4023" w:rsidRDefault="7D4EF4EF" w:rsidP="7D4EF4EF">
            <w:pPr>
              <w:pStyle w:val="ListParagraph"/>
              <w:numPr>
                <w:ilvl w:val="0"/>
                <w:numId w:val="2"/>
              </w:numPr>
              <w:spacing w:before="60" w:after="60"/>
              <w:ind w:left="162" w:hanging="162"/>
              <w:jc w:val="both"/>
              <w:rPr>
                <w:rFonts w:ascii="Arial" w:hAnsi="Arial" w:cs="Arial"/>
                <w:sz w:val="18"/>
                <w:szCs w:val="18"/>
              </w:rPr>
            </w:pPr>
            <w:r w:rsidRPr="7D4EF4EF">
              <w:rPr>
                <w:rFonts w:ascii="Arial" w:hAnsi="Arial" w:cs="Arial"/>
                <w:sz w:val="18"/>
                <w:szCs w:val="18"/>
              </w:rPr>
              <w:t>Date of TC Abstract:</w:t>
            </w:r>
          </w:p>
        </w:tc>
        <w:tc>
          <w:tcPr>
            <w:tcW w:w="5850" w:type="dxa"/>
          </w:tcPr>
          <w:p w14:paraId="36C21C46" w14:textId="0BB0CB0E" w:rsidR="00F834E2" w:rsidRPr="00CF4023" w:rsidRDefault="7D4EF4EF" w:rsidP="00F75522">
            <w:pPr>
              <w:spacing w:before="60" w:after="60"/>
              <w:rPr>
                <w:rFonts w:ascii="Arial" w:hAnsi="Arial" w:cs="Arial"/>
                <w:sz w:val="18"/>
                <w:szCs w:val="18"/>
              </w:rPr>
            </w:pPr>
            <w:r w:rsidRPr="7D4EF4EF">
              <w:rPr>
                <w:rFonts w:ascii="Arial" w:hAnsi="Arial" w:cs="Arial"/>
                <w:sz w:val="18"/>
                <w:szCs w:val="18"/>
              </w:rPr>
              <w:t>May 19, 2017</w:t>
            </w:r>
          </w:p>
        </w:tc>
      </w:tr>
      <w:tr w:rsidR="00F834E2" w:rsidRPr="00CF4023" w14:paraId="30FD3150" w14:textId="77777777" w:rsidTr="00F75522">
        <w:tc>
          <w:tcPr>
            <w:tcW w:w="4140" w:type="dxa"/>
          </w:tcPr>
          <w:p w14:paraId="16FAC8FF" w14:textId="77777777" w:rsidR="00F834E2" w:rsidRPr="00CF4023" w:rsidRDefault="7D4EF4EF" w:rsidP="7D4EF4EF">
            <w:pPr>
              <w:pStyle w:val="ListParagraph"/>
              <w:numPr>
                <w:ilvl w:val="0"/>
                <w:numId w:val="2"/>
              </w:numPr>
              <w:spacing w:before="60" w:after="60"/>
              <w:ind w:left="162" w:hanging="162"/>
              <w:jc w:val="both"/>
              <w:rPr>
                <w:rFonts w:ascii="Arial" w:hAnsi="Arial" w:cs="Arial"/>
                <w:sz w:val="18"/>
                <w:szCs w:val="18"/>
              </w:rPr>
            </w:pPr>
            <w:r w:rsidRPr="7D4EF4EF">
              <w:rPr>
                <w:rFonts w:ascii="Arial" w:hAnsi="Arial" w:cs="Arial"/>
                <w:sz w:val="18"/>
                <w:szCs w:val="18"/>
              </w:rPr>
              <w:t>Beneficiary (countries or entities which are the recipient of the technical assistance):</w:t>
            </w:r>
          </w:p>
        </w:tc>
        <w:tc>
          <w:tcPr>
            <w:tcW w:w="5850" w:type="dxa"/>
          </w:tcPr>
          <w:p w14:paraId="2DFD9BEE" w14:textId="77777777" w:rsidR="00F834E2" w:rsidRPr="00CF4023" w:rsidRDefault="7D4EF4EF" w:rsidP="00E43B86">
            <w:pPr>
              <w:pStyle w:val="ListParagraph"/>
              <w:numPr>
                <w:ilvl w:val="0"/>
                <w:numId w:val="2"/>
              </w:numPr>
              <w:tabs>
                <w:tab w:val="left" w:pos="428"/>
              </w:tabs>
              <w:spacing w:before="60" w:after="60"/>
              <w:ind w:left="0" w:firstLine="0"/>
              <w:rPr>
                <w:rFonts w:ascii="Arial" w:hAnsi="Arial" w:cs="Arial"/>
                <w:sz w:val="18"/>
                <w:szCs w:val="18"/>
              </w:rPr>
            </w:pPr>
            <w:r w:rsidRPr="7D4EF4EF">
              <w:rPr>
                <w:rFonts w:ascii="Arial" w:hAnsi="Arial" w:cs="Arial"/>
                <w:sz w:val="18"/>
                <w:szCs w:val="18"/>
              </w:rPr>
              <w:t>Ministry of Energy and Mining, Argentina</w:t>
            </w:r>
          </w:p>
          <w:p w14:paraId="7553C343" w14:textId="77777777" w:rsidR="00F834E2" w:rsidRPr="00CF4023" w:rsidRDefault="7D4EF4EF" w:rsidP="00E43B86">
            <w:pPr>
              <w:pStyle w:val="ListParagraph"/>
              <w:numPr>
                <w:ilvl w:val="0"/>
                <w:numId w:val="10"/>
              </w:numPr>
              <w:tabs>
                <w:tab w:val="left" w:pos="428"/>
              </w:tabs>
              <w:spacing w:before="60" w:after="60"/>
              <w:ind w:left="0" w:firstLine="0"/>
              <w:rPr>
                <w:rFonts w:ascii="Arial" w:hAnsi="Arial" w:cs="Arial"/>
                <w:sz w:val="18"/>
                <w:szCs w:val="18"/>
              </w:rPr>
            </w:pPr>
            <w:r w:rsidRPr="7D4EF4EF">
              <w:rPr>
                <w:rFonts w:ascii="Arial" w:hAnsi="Arial" w:cs="Arial"/>
                <w:sz w:val="18"/>
                <w:szCs w:val="18"/>
              </w:rPr>
              <w:t>Ministry of Electricity and Renewables, Ecuador</w:t>
            </w:r>
          </w:p>
          <w:p w14:paraId="2976DE52" w14:textId="186A8259" w:rsidR="00F834E2" w:rsidRPr="00CF4023" w:rsidRDefault="7D4EF4EF" w:rsidP="00E43B86">
            <w:pPr>
              <w:pStyle w:val="ListParagraph"/>
              <w:numPr>
                <w:ilvl w:val="0"/>
                <w:numId w:val="10"/>
              </w:numPr>
              <w:tabs>
                <w:tab w:val="left" w:pos="428"/>
              </w:tabs>
              <w:spacing w:before="60" w:after="60"/>
              <w:ind w:left="0" w:firstLine="0"/>
              <w:rPr>
                <w:rFonts w:ascii="Arial" w:hAnsi="Arial" w:cs="Arial"/>
                <w:sz w:val="18"/>
                <w:szCs w:val="18"/>
              </w:rPr>
            </w:pPr>
            <w:r w:rsidRPr="7D4EF4EF">
              <w:rPr>
                <w:rFonts w:ascii="Arial" w:hAnsi="Arial" w:cs="Arial"/>
                <w:sz w:val="18"/>
                <w:szCs w:val="18"/>
              </w:rPr>
              <w:t>Ministry of Energy, Honduras</w:t>
            </w:r>
          </w:p>
          <w:p w14:paraId="503BC8BA" w14:textId="77777777" w:rsidR="00F834E2" w:rsidRPr="00CF4023" w:rsidRDefault="7D4EF4EF" w:rsidP="00E43B86">
            <w:pPr>
              <w:pStyle w:val="ListParagraph"/>
              <w:numPr>
                <w:ilvl w:val="0"/>
                <w:numId w:val="10"/>
              </w:numPr>
              <w:tabs>
                <w:tab w:val="left" w:pos="428"/>
              </w:tabs>
              <w:spacing w:before="60" w:after="60"/>
              <w:ind w:left="0" w:firstLine="0"/>
              <w:rPr>
                <w:rFonts w:ascii="Arial" w:hAnsi="Arial" w:cs="Arial"/>
                <w:sz w:val="18"/>
                <w:szCs w:val="18"/>
              </w:rPr>
            </w:pPr>
            <w:r w:rsidRPr="7D4EF4EF">
              <w:rPr>
                <w:rFonts w:ascii="Arial" w:hAnsi="Arial" w:cs="Arial"/>
                <w:sz w:val="18"/>
                <w:szCs w:val="18"/>
              </w:rPr>
              <w:t>Ministry of Energy, Mexico</w:t>
            </w:r>
          </w:p>
          <w:p w14:paraId="6173C298" w14:textId="3ED6AF85" w:rsidR="00F834E2" w:rsidRPr="00F75522" w:rsidRDefault="7D4EF4EF" w:rsidP="00E43B86">
            <w:pPr>
              <w:pStyle w:val="ListParagraph"/>
              <w:numPr>
                <w:ilvl w:val="0"/>
                <w:numId w:val="10"/>
              </w:numPr>
              <w:spacing w:before="60" w:after="60"/>
              <w:ind w:left="428" w:hanging="428"/>
              <w:rPr>
                <w:rFonts w:ascii="Arial" w:hAnsi="Arial" w:cs="Arial"/>
                <w:sz w:val="18"/>
                <w:szCs w:val="18"/>
              </w:rPr>
            </w:pPr>
            <w:r w:rsidRPr="7D4EF4EF">
              <w:rPr>
                <w:rFonts w:ascii="Arial" w:hAnsi="Arial" w:cs="Arial"/>
                <w:sz w:val="18"/>
                <w:szCs w:val="18"/>
              </w:rPr>
              <w:t>Ministry of Public Works and Communication – Energy</w:t>
            </w:r>
            <w:r w:rsidR="00F75522">
              <w:rPr>
                <w:rFonts w:ascii="Arial" w:hAnsi="Arial" w:cs="Arial"/>
                <w:sz w:val="18"/>
                <w:szCs w:val="18"/>
              </w:rPr>
              <w:t xml:space="preserve"> </w:t>
            </w:r>
            <w:r w:rsidRPr="7D4EF4EF">
              <w:rPr>
                <w:rFonts w:ascii="Arial" w:hAnsi="Arial" w:cs="Arial"/>
                <w:sz w:val="18"/>
                <w:szCs w:val="18"/>
              </w:rPr>
              <w:t>Division, Paraguay</w:t>
            </w:r>
          </w:p>
        </w:tc>
      </w:tr>
      <w:tr w:rsidR="00F834E2" w:rsidRPr="00CF4023" w14:paraId="5D288743" w14:textId="77777777" w:rsidTr="00F75522">
        <w:tc>
          <w:tcPr>
            <w:tcW w:w="4140" w:type="dxa"/>
          </w:tcPr>
          <w:p w14:paraId="7C5999B5" w14:textId="77777777" w:rsidR="00F834E2" w:rsidRPr="00CF4023" w:rsidRDefault="7D4EF4EF" w:rsidP="7D4EF4EF">
            <w:pPr>
              <w:pStyle w:val="ListParagraph"/>
              <w:numPr>
                <w:ilvl w:val="0"/>
                <w:numId w:val="2"/>
              </w:numPr>
              <w:spacing w:before="60" w:after="60"/>
              <w:ind w:left="162" w:hanging="162"/>
              <w:jc w:val="both"/>
              <w:rPr>
                <w:rFonts w:ascii="Arial" w:hAnsi="Arial" w:cs="Arial"/>
                <w:sz w:val="18"/>
                <w:szCs w:val="18"/>
              </w:rPr>
            </w:pPr>
            <w:r w:rsidRPr="7D4EF4EF">
              <w:rPr>
                <w:rFonts w:ascii="Arial" w:hAnsi="Arial" w:cs="Arial"/>
                <w:sz w:val="18"/>
                <w:szCs w:val="18"/>
              </w:rPr>
              <w:t xml:space="preserve">Executing Agency and contact name (Organization or entity responsible for executing the TC Program) </w:t>
            </w:r>
          </w:p>
        </w:tc>
        <w:tc>
          <w:tcPr>
            <w:tcW w:w="5850" w:type="dxa"/>
          </w:tcPr>
          <w:p w14:paraId="146AB82E" w14:textId="77777777" w:rsidR="00F834E2" w:rsidRPr="00CF4023" w:rsidRDefault="7D4EF4EF" w:rsidP="00F75522">
            <w:pPr>
              <w:spacing w:before="60" w:after="60"/>
              <w:rPr>
                <w:rFonts w:ascii="Arial" w:hAnsi="Arial" w:cs="Arial"/>
                <w:sz w:val="18"/>
                <w:szCs w:val="18"/>
                <w:lang w:eastAsia="ja-JP"/>
              </w:rPr>
            </w:pPr>
            <w:r w:rsidRPr="7D4EF4EF">
              <w:rPr>
                <w:rFonts w:ascii="Arial" w:hAnsi="Arial" w:cs="Arial"/>
                <w:sz w:val="18"/>
                <w:szCs w:val="18"/>
                <w:lang w:eastAsia="ja-JP"/>
              </w:rPr>
              <w:t>The Inter-American Development Bank (IDB), through the Energy Division (INE/ENE)</w:t>
            </w:r>
          </w:p>
        </w:tc>
      </w:tr>
      <w:tr w:rsidR="00F834E2" w:rsidRPr="00CF4023" w14:paraId="6EFD6B10" w14:textId="77777777" w:rsidTr="00F75522">
        <w:tc>
          <w:tcPr>
            <w:tcW w:w="4140" w:type="dxa"/>
          </w:tcPr>
          <w:p w14:paraId="76DA0B46" w14:textId="77777777" w:rsidR="00F834E2" w:rsidRPr="00CF4023" w:rsidRDefault="7D4EF4EF" w:rsidP="7D4EF4EF">
            <w:pPr>
              <w:pStyle w:val="ListParagraph"/>
              <w:numPr>
                <w:ilvl w:val="0"/>
                <w:numId w:val="2"/>
              </w:numPr>
              <w:spacing w:before="60" w:after="60"/>
              <w:ind w:left="162" w:hanging="162"/>
              <w:jc w:val="both"/>
              <w:rPr>
                <w:rFonts w:ascii="Arial" w:hAnsi="Arial" w:cs="Arial"/>
                <w:sz w:val="18"/>
                <w:szCs w:val="18"/>
              </w:rPr>
            </w:pPr>
            <w:r w:rsidRPr="7D4EF4EF">
              <w:rPr>
                <w:rFonts w:ascii="Arial" w:hAnsi="Arial" w:cs="Arial"/>
                <w:sz w:val="18"/>
                <w:szCs w:val="18"/>
              </w:rPr>
              <w:t>IDB Funding Requested:</w:t>
            </w:r>
          </w:p>
        </w:tc>
        <w:tc>
          <w:tcPr>
            <w:tcW w:w="5850" w:type="dxa"/>
          </w:tcPr>
          <w:p w14:paraId="25EF78E3" w14:textId="1B575F9A" w:rsidR="00F834E2" w:rsidRPr="00CF4023" w:rsidRDefault="7D4EF4EF" w:rsidP="00F75522">
            <w:pPr>
              <w:spacing w:before="60" w:after="60"/>
              <w:rPr>
                <w:rFonts w:ascii="Arial" w:hAnsi="Arial" w:cs="Arial"/>
                <w:sz w:val="18"/>
                <w:szCs w:val="18"/>
                <w:lang w:eastAsia="ja-JP"/>
              </w:rPr>
            </w:pPr>
            <w:r w:rsidRPr="7D4EF4EF">
              <w:rPr>
                <w:rFonts w:ascii="Arial" w:hAnsi="Arial" w:cs="Arial"/>
                <w:sz w:val="18"/>
                <w:szCs w:val="18"/>
                <w:lang w:eastAsia="ja-JP"/>
              </w:rPr>
              <w:t>US$1,000,000</w:t>
            </w:r>
            <w:r w:rsidR="00BB4748" w:rsidRPr="7D4EF4EF">
              <w:rPr>
                <w:rStyle w:val="FootnoteReference"/>
                <w:rFonts w:ascii="Arial" w:hAnsi="Arial" w:cs="Arial"/>
                <w:sz w:val="18"/>
                <w:szCs w:val="18"/>
                <w:lang w:eastAsia="ja-JP"/>
              </w:rPr>
              <w:footnoteReference w:id="1"/>
            </w:r>
            <w:r w:rsidR="00197183">
              <w:rPr>
                <w:rFonts w:ascii="Arial" w:hAnsi="Arial" w:cs="Arial"/>
                <w:sz w:val="18"/>
                <w:szCs w:val="18"/>
                <w:lang w:eastAsia="ja-JP"/>
              </w:rPr>
              <w:t xml:space="preserve"> </w:t>
            </w:r>
            <w:r w:rsidR="00E33BA0">
              <w:rPr>
                <w:rFonts w:ascii="Arial" w:hAnsi="Arial" w:cs="Arial"/>
                <w:sz w:val="18"/>
                <w:szCs w:val="18"/>
                <w:lang w:eastAsia="ja-JP"/>
              </w:rPr>
              <w:t xml:space="preserve"> f</w:t>
            </w:r>
            <w:r w:rsidR="00E43B86">
              <w:rPr>
                <w:rFonts w:ascii="Arial" w:hAnsi="Arial" w:cs="Arial"/>
                <w:sz w:val="18"/>
                <w:szCs w:val="18"/>
              </w:rPr>
              <w:t>unded by the Japan Special Fund (JSF)</w:t>
            </w:r>
          </w:p>
        </w:tc>
      </w:tr>
      <w:tr w:rsidR="00F834E2" w:rsidRPr="00CF4023" w14:paraId="41207CB5" w14:textId="77777777" w:rsidTr="00F75522">
        <w:tc>
          <w:tcPr>
            <w:tcW w:w="4140" w:type="dxa"/>
          </w:tcPr>
          <w:p w14:paraId="0B013369" w14:textId="77777777" w:rsidR="00F834E2" w:rsidRPr="00CF4023" w:rsidRDefault="7D4EF4EF" w:rsidP="7D4EF4EF">
            <w:pPr>
              <w:pStyle w:val="ListParagraph"/>
              <w:numPr>
                <w:ilvl w:val="0"/>
                <w:numId w:val="2"/>
              </w:numPr>
              <w:spacing w:before="60" w:after="60"/>
              <w:ind w:left="162" w:hanging="162"/>
              <w:jc w:val="both"/>
              <w:rPr>
                <w:rFonts w:ascii="Arial" w:hAnsi="Arial" w:cs="Arial"/>
                <w:sz w:val="18"/>
                <w:szCs w:val="18"/>
              </w:rPr>
            </w:pPr>
            <w:r w:rsidRPr="7D4EF4EF">
              <w:rPr>
                <w:rFonts w:ascii="Arial" w:hAnsi="Arial" w:cs="Arial"/>
                <w:sz w:val="18"/>
                <w:szCs w:val="18"/>
              </w:rPr>
              <w:t>Local counterpart funding, if any (in kind):</w:t>
            </w:r>
          </w:p>
        </w:tc>
        <w:tc>
          <w:tcPr>
            <w:tcW w:w="5850" w:type="dxa"/>
          </w:tcPr>
          <w:p w14:paraId="481DFA84" w14:textId="274BD855" w:rsidR="00F834E2" w:rsidRPr="00CF4023" w:rsidRDefault="7D4EF4EF" w:rsidP="00F75522">
            <w:pPr>
              <w:spacing w:before="60" w:after="60"/>
              <w:rPr>
                <w:rFonts w:ascii="Arial" w:hAnsi="Arial" w:cs="Arial"/>
                <w:sz w:val="18"/>
                <w:szCs w:val="18"/>
              </w:rPr>
            </w:pPr>
            <w:r w:rsidRPr="7D4EF4EF">
              <w:rPr>
                <w:rFonts w:ascii="Arial" w:hAnsi="Arial" w:cs="Arial"/>
                <w:sz w:val="18"/>
                <w:szCs w:val="18"/>
              </w:rPr>
              <w:t>US$125,000</w:t>
            </w:r>
          </w:p>
        </w:tc>
      </w:tr>
      <w:tr w:rsidR="00F834E2" w:rsidRPr="00CF4023" w14:paraId="73105EB1" w14:textId="77777777" w:rsidTr="00F75522">
        <w:tc>
          <w:tcPr>
            <w:tcW w:w="4140" w:type="dxa"/>
          </w:tcPr>
          <w:p w14:paraId="165D1508" w14:textId="77777777" w:rsidR="00F834E2" w:rsidRPr="00CF4023" w:rsidRDefault="7D4EF4EF" w:rsidP="7D4EF4EF">
            <w:pPr>
              <w:pStyle w:val="ListParagraph"/>
              <w:numPr>
                <w:ilvl w:val="0"/>
                <w:numId w:val="2"/>
              </w:numPr>
              <w:spacing w:before="60" w:after="60"/>
              <w:ind w:left="162" w:hanging="162"/>
              <w:jc w:val="both"/>
              <w:rPr>
                <w:rFonts w:ascii="Arial" w:hAnsi="Arial" w:cs="Arial"/>
                <w:sz w:val="18"/>
                <w:szCs w:val="18"/>
              </w:rPr>
            </w:pPr>
            <w:r w:rsidRPr="7D4EF4EF">
              <w:rPr>
                <w:rFonts w:ascii="Arial" w:hAnsi="Arial" w:cs="Arial"/>
                <w:sz w:val="18"/>
                <w:szCs w:val="18"/>
              </w:rPr>
              <w:t>Disbursement period (which includes execution period):</w:t>
            </w:r>
          </w:p>
        </w:tc>
        <w:tc>
          <w:tcPr>
            <w:tcW w:w="5850" w:type="dxa"/>
          </w:tcPr>
          <w:p w14:paraId="0BFC8F41" w14:textId="77777777" w:rsidR="00F834E2" w:rsidRPr="00CF4023" w:rsidRDefault="7D4EF4EF" w:rsidP="00F75522">
            <w:pPr>
              <w:spacing w:before="60" w:after="60"/>
              <w:rPr>
                <w:rFonts w:ascii="Arial" w:hAnsi="Arial" w:cs="Arial"/>
                <w:sz w:val="18"/>
                <w:szCs w:val="18"/>
                <w:lang w:eastAsia="ja-JP"/>
              </w:rPr>
            </w:pPr>
            <w:r w:rsidRPr="7D4EF4EF">
              <w:rPr>
                <w:rFonts w:ascii="Arial" w:hAnsi="Arial" w:cs="Arial"/>
                <w:sz w:val="18"/>
                <w:szCs w:val="18"/>
                <w:lang w:eastAsia="ja-JP"/>
              </w:rPr>
              <w:t>36 months</w:t>
            </w:r>
          </w:p>
        </w:tc>
      </w:tr>
      <w:tr w:rsidR="00F834E2" w:rsidRPr="00CF4023" w14:paraId="09355932" w14:textId="77777777" w:rsidTr="00F75522">
        <w:trPr>
          <w:trHeight w:val="70"/>
        </w:trPr>
        <w:tc>
          <w:tcPr>
            <w:tcW w:w="4140" w:type="dxa"/>
          </w:tcPr>
          <w:p w14:paraId="560DA156" w14:textId="77777777" w:rsidR="00F834E2" w:rsidRPr="00CF4023" w:rsidRDefault="7D4EF4EF" w:rsidP="7D4EF4EF">
            <w:pPr>
              <w:pStyle w:val="ListParagraph"/>
              <w:numPr>
                <w:ilvl w:val="0"/>
                <w:numId w:val="2"/>
              </w:numPr>
              <w:spacing w:before="60" w:after="60"/>
              <w:ind w:left="162" w:hanging="162"/>
              <w:jc w:val="both"/>
              <w:rPr>
                <w:rFonts w:ascii="Arial" w:hAnsi="Arial" w:cs="Arial"/>
                <w:sz w:val="18"/>
                <w:szCs w:val="18"/>
              </w:rPr>
            </w:pPr>
            <w:r w:rsidRPr="7D4EF4EF">
              <w:rPr>
                <w:rFonts w:ascii="Arial" w:hAnsi="Arial" w:cs="Arial"/>
                <w:sz w:val="18"/>
                <w:szCs w:val="18"/>
              </w:rPr>
              <w:t>Required start date:</w:t>
            </w:r>
          </w:p>
        </w:tc>
        <w:tc>
          <w:tcPr>
            <w:tcW w:w="5850" w:type="dxa"/>
          </w:tcPr>
          <w:p w14:paraId="63F355F4" w14:textId="078A9288" w:rsidR="00F834E2" w:rsidRPr="00CF4023" w:rsidRDefault="7D4EF4EF" w:rsidP="00F75522">
            <w:pPr>
              <w:spacing w:before="60" w:after="60"/>
              <w:rPr>
                <w:rFonts w:ascii="Arial" w:hAnsi="Arial" w:cs="Arial"/>
                <w:sz w:val="18"/>
                <w:szCs w:val="18"/>
              </w:rPr>
            </w:pPr>
            <w:r w:rsidRPr="7D4EF4EF">
              <w:rPr>
                <w:rFonts w:ascii="Arial" w:hAnsi="Arial" w:cs="Arial"/>
                <w:sz w:val="18"/>
                <w:szCs w:val="18"/>
              </w:rPr>
              <w:t>August 1, 2017</w:t>
            </w:r>
          </w:p>
        </w:tc>
      </w:tr>
      <w:tr w:rsidR="00F834E2" w:rsidRPr="00CF4023" w14:paraId="7D1E221B" w14:textId="77777777" w:rsidTr="00F75522">
        <w:tc>
          <w:tcPr>
            <w:tcW w:w="4140" w:type="dxa"/>
          </w:tcPr>
          <w:p w14:paraId="5EAB87B0" w14:textId="77777777" w:rsidR="00F834E2" w:rsidRPr="00CF4023" w:rsidRDefault="7D4EF4EF" w:rsidP="7D4EF4EF">
            <w:pPr>
              <w:pStyle w:val="ListParagraph"/>
              <w:numPr>
                <w:ilvl w:val="0"/>
                <w:numId w:val="2"/>
              </w:numPr>
              <w:spacing w:before="60" w:after="60"/>
              <w:ind w:left="162" w:hanging="162"/>
              <w:jc w:val="both"/>
              <w:rPr>
                <w:rFonts w:ascii="Arial" w:hAnsi="Arial" w:cs="Arial"/>
                <w:sz w:val="18"/>
                <w:szCs w:val="18"/>
              </w:rPr>
            </w:pPr>
            <w:r w:rsidRPr="7D4EF4EF">
              <w:rPr>
                <w:rFonts w:ascii="Arial" w:hAnsi="Arial" w:cs="Arial"/>
                <w:sz w:val="18"/>
                <w:szCs w:val="18"/>
              </w:rPr>
              <w:t>Types of consultants (firm or individual consultants):</w:t>
            </w:r>
          </w:p>
        </w:tc>
        <w:tc>
          <w:tcPr>
            <w:tcW w:w="5850" w:type="dxa"/>
          </w:tcPr>
          <w:p w14:paraId="75815170" w14:textId="77777777" w:rsidR="00F834E2" w:rsidRPr="00CF4023" w:rsidRDefault="7D4EF4EF" w:rsidP="00F75522">
            <w:pPr>
              <w:spacing w:before="60" w:after="60"/>
              <w:rPr>
                <w:rFonts w:ascii="Arial" w:hAnsi="Arial" w:cs="Arial"/>
                <w:sz w:val="18"/>
                <w:szCs w:val="18"/>
                <w:lang w:eastAsia="ja-JP"/>
              </w:rPr>
            </w:pPr>
            <w:r w:rsidRPr="7D4EF4EF">
              <w:rPr>
                <w:rFonts w:ascii="Arial" w:hAnsi="Arial" w:cs="Arial"/>
                <w:sz w:val="18"/>
                <w:szCs w:val="18"/>
                <w:lang w:eastAsia="ja-JP"/>
              </w:rPr>
              <w:t>Firm and individual contractual</w:t>
            </w:r>
          </w:p>
        </w:tc>
      </w:tr>
      <w:tr w:rsidR="00F834E2" w:rsidRPr="00CF4023" w14:paraId="0460FD4A" w14:textId="77777777" w:rsidTr="00F75522">
        <w:tc>
          <w:tcPr>
            <w:tcW w:w="4140" w:type="dxa"/>
          </w:tcPr>
          <w:p w14:paraId="080F5FB8" w14:textId="77777777" w:rsidR="00F834E2" w:rsidRPr="00CF4023" w:rsidRDefault="7D4EF4EF" w:rsidP="7D4EF4EF">
            <w:pPr>
              <w:pStyle w:val="ListParagraph"/>
              <w:numPr>
                <w:ilvl w:val="0"/>
                <w:numId w:val="2"/>
              </w:numPr>
              <w:spacing w:before="60" w:after="60"/>
              <w:ind w:left="162" w:hanging="162"/>
              <w:jc w:val="both"/>
              <w:rPr>
                <w:rFonts w:ascii="Arial" w:hAnsi="Arial" w:cs="Arial"/>
                <w:sz w:val="18"/>
                <w:szCs w:val="18"/>
              </w:rPr>
            </w:pPr>
            <w:r w:rsidRPr="7D4EF4EF">
              <w:rPr>
                <w:rFonts w:ascii="Arial" w:hAnsi="Arial" w:cs="Arial"/>
                <w:sz w:val="18"/>
                <w:szCs w:val="18"/>
              </w:rPr>
              <w:t>Prepared by Unit:</w:t>
            </w:r>
          </w:p>
        </w:tc>
        <w:tc>
          <w:tcPr>
            <w:tcW w:w="5850" w:type="dxa"/>
          </w:tcPr>
          <w:p w14:paraId="50D7DDB3" w14:textId="77777777" w:rsidR="00F834E2" w:rsidRPr="00CF4023" w:rsidRDefault="7D4EF4EF" w:rsidP="00F75522">
            <w:pPr>
              <w:spacing w:before="60" w:after="60"/>
              <w:rPr>
                <w:rFonts w:ascii="Arial" w:hAnsi="Arial" w:cs="Arial"/>
                <w:sz w:val="18"/>
                <w:szCs w:val="18"/>
                <w:lang w:eastAsia="ja-JP"/>
              </w:rPr>
            </w:pPr>
            <w:r w:rsidRPr="7D4EF4EF">
              <w:rPr>
                <w:rFonts w:ascii="Arial" w:hAnsi="Arial" w:cs="Arial"/>
                <w:sz w:val="18"/>
                <w:szCs w:val="18"/>
                <w:lang w:eastAsia="ja-JP"/>
              </w:rPr>
              <w:t>Energy Division (INE/ENE)</w:t>
            </w:r>
          </w:p>
        </w:tc>
      </w:tr>
      <w:tr w:rsidR="00F834E2" w:rsidRPr="00CF4023" w14:paraId="00A47D04" w14:textId="77777777" w:rsidTr="00F75522">
        <w:tc>
          <w:tcPr>
            <w:tcW w:w="4140" w:type="dxa"/>
          </w:tcPr>
          <w:p w14:paraId="17E1AA85" w14:textId="77777777" w:rsidR="00F834E2" w:rsidRPr="00CF4023" w:rsidRDefault="7D4EF4EF" w:rsidP="7D4EF4EF">
            <w:pPr>
              <w:pStyle w:val="ListParagraph"/>
              <w:numPr>
                <w:ilvl w:val="0"/>
                <w:numId w:val="2"/>
              </w:numPr>
              <w:spacing w:before="60" w:after="60"/>
              <w:ind w:left="162" w:hanging="162"/>
              <w:jc w:val="both"/>
              <w:rPr>
                <w:rFonts w:ascii="Arial" w:hAnsi="Arial" w:cs="Arial"/>
                <w:sz w:val="18"/>
                <w:szCs w:val="18"/>
              </w:rPr>
            </w:pPr>
            <w:r w:rsidRPr="7D4EF4EF">
              <w:rPr>
                <w:rFonts w:ascii="Arial" w:hAnsi="Arial" w:cs="Arial"/>
                <w:sz w:val="18"/>
                <w:szCs w:val="18"/>
              </w:rPr>
              <w:t>Unit of Disbursement Responsibility:</w:t>
            </w:r>
          </w:p>
        </w:tc>
        <w:tc>
          <w:tcPr>
            <w:tcW w:w="5850" w:type="dxa"/>
          </w:tcPr>
          <w:p w14:paraId="4757715B" w14:textId="183860EA" w:rsidR="00F834E2" w:rsidRPr="00CF4023" w:rsidRDefault="7D4EF4EF" w:rsidP="00F75522">
            <w:pPr>
              <w:spacing w:before="60" w:after="60"/>
              <w:rPr>
                <w:rFonts w:ascii="Arial" w:hAnsi="Arial" w:cs="Arial"/>
                <w:sz w:val="18"/>
                <w:szCs w:val="18"/>
              </w:rPr>
            </w:pPr>
            <w:r w:rsidRPr="7D4EF4EF">
              <w:rPr>
                <w:rFonts w:ascii="Arial" w:hAnsi="Arial" w:cs="Arial"/>
                <w:sz w:val="18"/>
                <w:szCs w:val="18"/>
              </w:rPr>
              <w:t>Energy Division (INE/ENE)</w:t>
            </w:r>
            <w:r w:rsidR="00197183">
              <w:rPr>
                <w:rFonts w:ascii="Arial" w:hAnsi="Arial" w:cs="Arial"/>
                <w:sz w:val="18"/>
                <w:szCs w:val="18"/>
              </w:rPr>
              <w:t xml:space="preserve"> </w:t>
            </w:r>
          </w:p>
        </w:tc>
      </w:tr>
      <w:tr w:rsidR="00F834E2" w:rsidRPr="00F45CE6" w14:paraId="1E6BC5AF" w14:textId="77777777" w:rsidTr="00F75522">
        <w:tc>
          <w:tcPr>
            <w:tcW w:w="4140" w:type="dxa"/>
          </w:tcPr>
          <w:p w14:paraId="415CA479" w14:textId="77777777" w:rsidR="00F834E2" w:rsidRPr="00CF4023" w:rsidRDefault="7D4EF4EF" w:rsidP="7D4EF4EF">
            <w:pPr>
              <w:pStyle w:val="ListParagraph"/>
              <w:numPr>
                <w:ilvl w:val="0"/>
                <w:numId w:val="2"/>
              </w:numPr>
              <w:spacing w:before="60" w:after="60"/>
              <w:ind w:left="162" w:hanging="162"/>
              <w:jc w:val="both"/>
              <w:rPr>
                <w:rFonts w:ascii="Arial" w:hAnsi="Arial" w:cs="Arial"/>
                <w:sz w:val="18"/>
                <w:szCs w:val="18"/>
              </w:rPr>
            </w:pPr>
            <w:r w:rsidRPr="7D4EF4EF">
              <w:rPr>
                <w:rFonts w:ascii="Arial" w:hAnsi="Arial" w:cs="Arial"/>
                <w:sz w:val="18"/>
                <w:szCs w:val="18"/>
              </w:rPr>
              <w:t>Included in Country Strategy (y/n);</w:t>
            </w:r>
          </w:p>
        </w:tc>
        <w:tc>
          <w:tcPr>
            <w:tcW w:w="5850" w:type="dxa"/>
          </w:tcPr>
          <w:p w14:paraId="14E60466" w14:textId="77777777" w:rsidR="006A1059" w:rsidRPr="00946188" w:rsidRDefault="7D4EF4EF" w:rsidP="00F75522">
            <w:pPr>
              <w:spacing w:before="60" w:after="60"/>
              <w:rPr>
                <w:rFonts w:ascii="Arial" w:hAnsi="Arial" w:cs="Arial"/>
              </w:rPr>
            </w:pPr>
            <w:r w:rsidRPr="00946188">
              <w:rPr>
                <w:rFonts w:ascii="Arial" w:hAnsi="Arial" w:cs="Arial"/>
                <w:sz w:val="18"/>
                <w:szCs w:val="18"/>
              </w:rPr>
              <w:t>Yes</w:t>
            </w:r>
            <w:r w:rsidRPr="00946188">
              <w:rPr>
                <w:rFonts w:ascii="Arial" w:hAnsi="Arial" w:cs="Arial"/>
              </w:rPr>
              <w:t xml:space="preserve"> </w:t>
            </w:r>
          </w:p>
          <w:p w14:paraId="62362D6E" w14:textId="77777777" w:rsidR="003C6EDA" w:rsidRPr="00946188" w:rsidRDefault="003C6EDA" w:rsidP="00F75522">
            <w:pPr>
              <w:spacing w:before="60" w:after="60"/>
              <w:rPr>
                <w:rFonts w:ascii="Arial" w:hAnsi="Arial" w:cs="Arial"/>
                <w:sz w:val="18"/>
                <w:szCs w:val="18"/>
              </w:rPr>
            </w:pPr>
            <w:r w:rsidRPr="00946188">
              <w:rPr>
                <w:rFonts w:ascii="Arial" w:hAnsi="Arial" w:cs="Arial"/>
                <w:sz w:val="18"/>
                <w:szCs w:val="18"/>
              </w:rPr>
              <w:t>Argentina -GN-2870-1 (paragraphs: 3.1 and 3.13 c)</w:t>
            </w:r>
          </w:p>
          <w:p w14:paraId="5379C115" w14:textId="77777777" w:rsidR="003C6EDA" w:rsidRPr="003C6EDA" w:rsidRDefault="003C6EDA" w:rsidP="00F75522">
            <w:pPr>
              <w:spacing w:before="60" w:after="60"/>
              <w:rPr>
                <w:rFonts w:ascii="Arial" w:hAnsi="Arial" w:cs="Arial"/>
                <w:sz w:val="18"/>
                <w:szCs w:val="18"/>
                <w:lang w:val="es-ES"/>
              </w:rPr>
            </w:pPr>
            <w:r w:rsidRPr="003C6EDA">
              <w:rPr>
                <w:rFonts w:ascii="Arial" w:hAnsi="Arial" w:cs="Arial"/>
                <w:sz w:val="18"/>
                <w:szCs w:val="18"/>
                <w:lang w:val="es-ES"/>
              </w:rPr>
              <w:t>Ecuador - GN-2680 (paragraphs: 3.6 and 3.43 v)</w:t>
            </w:r>
          </w:p>
          <w:p w14:paraId="00F12098" w14:textId="77777777" w:rsidR="003C6EDA" w:rsidRPr="003C6EDA" w:rsidRDefault="003C6EDA" w:rsidP="00F75522">
            <w:pPr>
              <w:spacing w:before="60" w:after="60"/>
              <w:rPr>
                <w:rFonts w:ascii="Arial" w:hAnsi="Arial" w:cs="Arial"/>
                <w:sz w:val="18"/>
                <w:szCs w:val="18"/>
                <w:lang w:val="es-ES"/>
              </w:rPr>
            </w:pPr>
            <w:r w:rsidRPr="003C6EDA">
              <w:rPr>
                <w:rFonts w:ascii="Arial" w:hAnsi="Arial" w:cs="Arial"/>
                <w:sz w:val="18"/>
                <w:szCs w:val="18"/>
                <w:lang w:val="es-ES"/>
              </w:rPr>
              <w:t>Honduras – GN-2796-1 (paragraph 3.14)</w:t>
            </w:r>
          </w:p>
          <w:p w14:paraId="3D7C1227" w14:textId="77777777" w:rsidR="003C6EDA" w:rsidRPr="003C6EDA" w:rsidRDefault="003C6EDA" w:rsidP="00F75522">
            <w:pPr>
              <w:spacing w:before="60" w:after="60"/>
              <w:rPr>
                <w:rFonts w:ascii="Arial" w:hAnsi="Arial" w:cs="Arial"/>
                <w:sz w:val="18"/>
                <w:szCs w:val="18"/>
                <w:lang w:val="es-ES"/>
              </w:rPr>
            </w:pPr>
            <w:r w:rsidRPr="003C6EDA">
              <w:rPr>
                <w:rFonts w:ascii="Arial" w:hAnsi="Arial" w:cs="Arial"/>
                <w:sz w:val="18"/>
                <w:szCs w:val="18"/>
                <w:lang w:val="es-ES"/>
              </w:rPr>
              <w:t>Mexico – GN-2749 (paragraph 3.42)</w:t>
            </w:r>
          </w:p>
          <w:p w14:paraId="1A1E7B45" w14:textId="70D60D5D" w:rsidR="00F834E2" w:rsidRPr="00CF4023" w:rsidRDefault="003C6EDA" w:rsidP="00F75522">
            <w:pPr>
              <w:spacing w:before="60" w:after="60"/>
              <w:rPr>
                <w:rFonts w:ascii="Arial" w:hAnsi="Arial" w:cs="Arial"/>
                <w:sz w:val="18"/>
                <w:szCs w:val="18"/>
                <w:lang w:val="es-ES"/>
              </w:rPr>
            </w:pPr>
            <w:r w:rsidRPr="003C6EDA">
              <w:rPr>
                <w:rFonts w:ascii="Arial" w:hAnsi="Arial" w:cs="Arial"/>
                <w:sz w:val="18"/>
                <w:szCs w:val="18"/>
                <w:lang w:val="es-ES"/>
              </w:rPr>
              <w:t>Paraguay - GN-2769 (paragraph 3.15 ii)</w:t>
            </w:r>
          </w:p>
        </w:tc>
      </w:tr>
      <w:tr w:rsidR="00F834E2" w:rsidRPr="00CF4023" w14:paraId="1F18342A" w14:textId="77777777" w:rsidTr="00F75522">
        <w:tc>
          <w:tcPr>
            <w:tcW w:w="4140" w:type="dxa"/>
          </w:tcPr>
          <w:p w14:paraId="278B8638" w14:textId="77777777" w:rsidR="00F834E2" w:rsidRPr="00CF4023" w:rsidRDefault="7D4EF4EF" w:rsidP="7D4EF4EF">
            <w:pPr>
              <w:pStyle w:val="ListParagraph"/>
              <w:numPr>
                <w:ilvl w:val="0"/>
                <w:numId w:val="2"/>
              </w:numPr>
              <w:spacing w:before="60" w:after="60"/>
              <w:ind w:left="162" w:hanging="162"/>
              <w:jc w:val="both"/>
              <w:rPr>
                <w:rFonts w:ascii="Arial" w:hAnsi="Arial" w:cs="Arial"/>
                <w:sz w:val="18"/>
                <w:szCs w:val="18"/>
              </w:rPr>
            </w:pPr>
            <w:r w:rsidRPr="7D4EF4EF">
              <w:rPr>
                <w:rFonts w:ascii="Arial" w:hAnsi="Arial" w:cs="Arial"/>
                <w:sz w:val="18"/>
                <w:szCs w:val="18"/>
              </w:rPr>
              <w:t>TC included in CPD (y/n):</w:t>
            </w:r>
          </w:p>
        </w:tc>
        <w:tc>
          <w:tcPr>
            <w:tcW w:w="5850" w:type="dxa"/>
          </w:tcPr>
          <w:p w14:paraId="2EA8DC4D" w14:textId="71989607" w:rsidR="00F834E2" w:rsidRPr="00CF4023" w:rsidRDefault="7D4EF4EF" w:rsidP="00F75522">
            <w:pPr>
              <w:spacing w:before="60" w:after="60"/>
              <w:rPr>
                <w:rFonts w:ascii="Arial" w:hAnsi="Arial" w:cs="Arial"/>
                <w:sz w:val="18"/>
                <w:szCs w:val="18"/>
              </w:rPr>
            </w:pPr>
            <w:r w:rsidRPr="7D4EF4EF">
              <w:rPr>
                <w:rFonts w:ascii="Arial" w:hAnsi="Arial" w:cs="Arial"/>
                <w:sz w:val="18"/>
                <w:szCs w:val="18"/>
              </w:rPr>
              <w:t>No</w:t>
            </w:r>
          </w:p>
        </w:tc>
      </w:tr>
      <w:tr w:rsidR="00F834E2" w:rsidRPr="00CF4023" w14:paraId="4432DA90" w14:textId="77777777" w:rsidTr="00F75522">
        <w:trPr>
          <w:trHeight w:val="80"/>
        </w:trPr>
        <w:tc>
          <w:tcPr>
            <w:tcW w:w="4140" w:type="dxa"/>
          </w:tcPr>
          <w:p w14:paraId="1F73B85A" w14:textId="77777777" w:rsidR="00F834E2" w:rsidRPr="00CF4023" w:rsidRDefault="7D4EF4EF" w:rsidP="7D4EF4EF">
            <w:pPr>
              <w:pStyle w:val="ListParagraph"/>
              <w:numPr>
                <w:ilvl w:val="0"/>
                <w:numId w:val="2"/>
              </w:numPr>
              <w:spacing w:before="60" w:after="60"/>
              <w:ind w:left="162" w:hanging="162"/>
              <w:jc w:val="both"/>
              <w:rPr>
                <w:rFonts w:ascii="Arial" w:hAnsi="Arial" w:cs="Arial"/>
                <w:sz w:val="18"/>
                <w:szCs w:val="18"/>
              </w:rPr>
            </w:pPr>
            <w:r w:rsidRPr="7D4EF4EF">
              <w:rPr>
                <w:rFonts w:ascii="Arial" w:hAnsi="Arial" w:cs="Arial"/>
                <w:sz w:val="18"/>
                <w:szCs w:val="18"/>
              </w:rPr>
              <w:t>Alignment to the Update to the Institutional Strategy 2010-2020:</w:t>
            </w:r>
          </w:p>
        </w:tc>
        <w:tc>
          <w:tcPr>
            <w:tcW w:w="5850" w:type="dxa"/>
          </w:tcPr>
          <w:p w14:paraId="35742817" w14:textId="77777777" w:rsidR="00F834E2" w:rsidRPr="00CF4023" w:rsidRDefault="7D4EF4EF" w:rsidP="7D4EF4EF">
            <w:pPr>
              <w:autoSpaceDE w:val="0"/>
              <w:autoSpaceDN w:val="0"/>
              <w:adjustRightInd w:val="0"/>
              <w:rPr>
                <w:rFonts w:ascii="Arial" w:hAnsi="Arial" w:cs="Arial"/>
                <w:sz w:val="18"/>
                <w:szCs w:val="18"/>
              </w:rPr>
            </w:pPr>
            <w:r w:rsidRPr="7D4EF4EF">
              <w:rPr>
                <w:rFonts w:ascii="Arial" w:hAnsi="Arial" w:cs="Arial"/>
                <w:sz w:val="18"/>
                <w:szCs w:val="18"/>
              </w:rPr>
              <w:t>i) social inclusion and equality and ii) climate change and environmental sustainability;</w:t>
            </w:r>
          </w:p>
        </w:tc>
      </w:tr>
    </w:tbl>
    <w:p w14:paraId="6DF7A8D7" w14:textId="77777777" w:rsidR="00F834E2" w:rsidRPr="00635A4A" w:rsidRDefault="7D4EF4EF" w:rsidP="7D4EF4EF">
      <w:pPr>
        <w:pStyle w:val="ListParagraph"/>
        <w:numPr>
          <w:ilvl w:val="0"/>
          <w:numId w:val="5"/>
        </w:numPr>
        <w:spacing w:before="120" w:after="120"/>
        <w:jc w:val="both"/>
        <w:rPr>
          <w:rFonts w:ascii="Arial" w:hAnsi="Arial" w:cs="Arial"/>
          <w:b/>
          <w:bCs/>
          <w:sz w:val="24"/>
          <w:szCs w:val="24"/>
        </w:rPr>
      </w:pPr>
      <w:r w:rsidRPr="7D4EF4EF">
        <w:rPr>
          <w:rFonts w:ascii="Arial" w:hAnsi="Arial" w:cs="Arial"/>
          <w:b/>
          <w:bCs/>
          <w:sz w:val="24"/>
          <w:szCs w:val="24"/>
        </w:rPr>
        <w:lastRenderedPageBreak/>
        <w:t xml:space="preserve">Objective and Justification </w:t>
      </w:r>
    </w:p>
    <w:p w14:paraId="51153AD6" w14:textId="77777777" w:rsidR="00E047A1" w:rsidRPr="00CF4023" w:rsidRDefault="00E047A1" w:rsidP="00E047A1">
      <w:pPr>
        <w:pStyle w:val="ListParagraph"/>
        <w:spacing w:before="120" w:after="120"/>
        <w:ind w:left="360"/>
        <w:jc w:val="both"/>
        <w:rPr>
          <w:rFonts w:ascii="Arial" w:hAnsi="Arial" w:cs="Arial"/>
        </w:rPr>
      </w:pPr>
    </w:p>
    <w:p w14:paraId="6910A4A0" w14:textId="1D7B6E7F" w:rsidR="00C6621F" w:rsidRDefault="005D37B3" w:rsidP="00C6621F">
      <w:pPr>
        <w:pStyle w:val="ListParagraph"/>
        <w:numPr>
          <w:ilvl w:val="1"/>
          <w:numId w:val="5"/>
        </w:numPr>
        <w:spacing w:before="120" w:after="120"/>
        <w:ind w:hanging="540"/>
        <w:jc w:val="both"/>
        <w:rPr>
          <w:rFonts w:ascii="Arial" w:hAnsi="Arial" w:cs="Arial"/>
          <w:lang w:eastAsia="ja-JP"/>
        </w:rPr>
      </w:pPr>
      <w:r w:rsidRPr="7D4EF4EF">
        <w:rPr>
          <w:rFonts w:ascii="Arial" w:hAnsi="Arial" w:cs="Arial"/>
          <w:b/>
          <w:bCs/>
          <w:u w:val="single"/>
        </w:rPr>
        <w:t>Objective</w:t>
      </w:r>
      <w:r w:rsidRPr="00CF4023">
        <w:rPr>
          <w:rFonts w:ascii="Arial" w:hAnsi="Arial" w:cs="Arial"/>
        </w:rPr>
        <w:t xml:space="preserve">. The general objective of this TC is to </w:t>
      </w:r>
      <w:r w:rsidR="00646E77" w:rsidRPr="00CF4023">
        <w:rPr>
          <w:rFonts w:ascii="Arial" w:hAnsi="Arial" w:cs="Arial"/>
        </w:rPr>
        <w:t xml:space="preserve">strengthen </w:t>
      </w:r>
      <w:r w:rsidR="00ED2E1F" w:rsidRPr="00CF4023">
        <w:rPr>
          <w:rFonts w:ascii="Arial" w:hAnsi="Arial" w:cs="Arial"/>
        </w:rPr>
        <w:t xml:space="preserve">the </w:t>
      </w:r>
      <w:r w:rsidRPr="00CF4023">
        <w:rPr>
          <w:rFonts w:ascii="Arial" w:hAnsi="Arial" w:cs="Arial"/>
        </w:rPr>
        <w:t xml:space="preserve">institutional capacity </w:t>
      </w:r>
      <w:r w:rsidR="00ED2E1F" w:rsidRPr="00CF4023">
        <w:rPr>
          <w:rFonts w:ascii="Arial" w:hAnsi="Arial" w:cs="Arial"/>
        </w:rPr>
        <w:t xml:space="preserve">of </w:t>
      </w:r>
      <w:r w:rsidRPr="00CF4023">
        <w:rPr>
          <w:rFonts w:ascii="Arial" w:hAnsi="Arial" w:cs="Arial"/>
          <w:lang w:eastAsia="ja-JP"/>
        </w:rPr>
        <w:t>5</w:t>
      </w:r>
      <w:r w:rsidRPr="00CF4023">
        <w:rPr>
          <w:rFonts w:ascii="Arial" w:hAnsi="Arial" w:cs="Arial"/>
        </w:rPr>
        <w:t xml:space="preserve"> countries to promot</w:t>
      </w:r>
      <w:r w:rsidR="00ED2E1F" w:rsidRPr="00CF4023">
        <w:rPr>
          <w:rFonts w:ascii="Arial" w:hAnsi="Arial" w:cs="Arial"/>
        </w:rPr>
        <w:t>e</w:t>
      </w:r>
      <w:r w:rsidR="00003CDF" w:rsidRPr="00CF4023">
        <w:rPr>
          <w:rFonts w:ascii="Arial" w:hAnsi="Arial" w:cs="Arial"/>
        </w:rPr>
        <w:t xml:space="preserve"> </w:t>
      </w:r>
      <w:r w:rsidR="00995639" w:rsidRPr="00CF4023">
        <w:rPr>
          <w:rFonts w:ascii="Arial" w:hAnsi="Arial" w:cs="Arial"/>
        </w:rPr>
        <w:t xml:space="preserve">and </w:t>
      </w:r>
      <w:r w:rsidR="007F68F9" w:rsidRPr="00CF4023">
        <w:rPr>
          <w:rFonts w:ascii="Arial" w:hAnsi="Arial" w:cs="Arial"/>
        </w:rPr>
        <w:t>implement</w:t>
      </w:r>
      <w:r w:rsidR="00995639" w:rsidRPr="00CF4023">
        <w:rPr>
          <w:rFonts w:ascii="Arial" w:hAnsi="Arial" w:cs="Arial"/>
        </w:rPr>
        <w:t xml:space="preserve"> energy efficiency </w:t>
      </w:r>
      <w:r w:rsidR="007F68F9" w:rsidRPr="00CF4023">
        <w:rPr>
          <w:rFonts w:ascii="Arial" w:hAnsi="Arial" w:cs="Arial"/>
        </w:rPr>
        <w:t>(EE)</w:t>
      </w:r>
      <w:r w:rsidR="008D3000">
        <w:rPr>
          <w:rStyle w:val="FootnoteReference"/>
          <w:rFonts w:ascii="Arial" w:hAnsi="Arial" w:cs="Arial"/>
        </w:rPr>
        <w:footnoteReference w:id="2"/>
      </w:r>
      <w:r w:rsidR="007F68F9" w:rsidRPr="00CF4023">
        <w:rPr>
          <w:rFonts w:ascii="Arial" w:hAnsi="Arial" w:cs="Arial"/>
        </w:rPr>
        <w:t xml:space="preserve"> </w:t>
      </w:r>
      <w:r w:rsidR="00ED2E1F" w:rsidRPr="00CF4023">
        <w:rPr>
          <w:rFonts w:ascii="Arial" w:hAnsi="Arial" w:cs="Arial"/>
        </w:rPr>
        <w:t xml:space="preserve">projects, with a focus on improving energy use </w:t>
      </w:r>
      <w:r w:rsidR="00603883" w:rsidRPr="00CF4023">
        <w:rPr>
          <w:rFonts w:ascii="Arial" w:hAnsi="Arial" w:cs="Arial"/>
        </w:rPr>
        <w:t>from</w:t>
      </w:r>
      <w:r w:rsidR="00ED2E1F" w:rsidRPr="00CF4023">
        <w:rPr>
          <w:rFonts w:ascii="Arial" w:hAnsi="Arial" w:cs="Arial"/>
        </w:rPr>
        <w:t xml:space="preserve"> public secto</w:t>
      </w:r>
      <w:r w:rsidR="00635A4A">
        <w:rPr>
          <w:rFonts w:ascii="Arial" w:hAnsi="Arial" w:cs="Arial"/>
        </w:rPr>
        <w:t>r</w:t>
      </w:r>
      <w:r w:rsidR="00ED2E1F" w:rsidRPr="00CF4023">
        <w:rPr>
          <w:rFonts w:ascii="Arial" w:hAnsi="Arial" w:cs="Arial"/>
        </w:rPr>
        <w:t xml:space="preserve">, including public buildings which may also benefit under this TC from </w:t>
      </w:r>
      <w:bookmarkStart w:id="0" w:name="_Hlk482950895"/>
      <w:r w:rsidR="00ED2E1F" w:rsidRPr="00CF4023">
        <w:rPr>
          <w:rFonts w:ascii="Arial" w:hAnsi="Arial" w:cs="Arial"/>
        </w:rPr>
        <w:t xml:space="preserve">support to promote complementary </w:t>
      </w:r>
      <w:r w:rsidR="00635A4A">
        <w:rPr>
          <w:rFonts w:ascii="Arial" w:hAnsi="Arial" w:cs="Arial"/>
        </w:rPr>
        <w:t>D</w:t>
      </w:r>
      <w:r w:rsidR="00995639" w:rsidRPr="00CF4023">
        <w:rPr>
          <w:rFonts w:ascii="Arial" w:hAnsi="Arial" w:cs="Arial"/>
        </w:rPr>
        <w:t xml:space="preserve">istributed </w:t>
      </w:r>
      <w:r w:rsidR="00635A4A">
        <w:rPr>
          <w:rFonts w:ascii="Arial" w:hAnsi="Arial" w:cs="Arial"/>
        </w:rPr>
        <w:t>R</w:t>
      </w:r>
      <w:r w:rsidR="00995639" w:rsidRPr="00CF4023">
        <w:rPr>
          <w:rFonts w:ascii="Arial" w:hAnsi="Arial" w:cs="Arial"/>
        </w:rPr>
        <w:t xml:space="preserve">enewable </w:t>
      </w:r>
      <w:r w:rsidR="00635A4A">
        <w:rPr>
          <w:rFonts w:ascii="Arial" w:hAnsi="Arial" w:cs="Arial"/>
        </w:rPr>
        <w:t>E</w:t>
      </w:r>
      <w:r w:rsidR="005D2BB5" w:rsidRPr="00CF4023">
        <w:rPr>
          <w:rFonts w:ascii="Arial" w:hAnsi="Arial" w:cs="Arial"/>
        </w:rPr>
        <w:t xml:space="preserve">nergy </w:t>
      </w:r>
      <w:r w:rsidR="00635A4A">
        <w:rPr>
          <w:rFonts w:ascii="Arial" w:hAnsi="Arial" w:cs="Arial"/>
        </w:rPr>
        <w:t>G</w:t>
      </w:r>
      <w:r w:rsidR="00995639" w:rsidRPr="00CF4023">
        <w:rPr>
          <w:rFonts w:ascii="Arial" w:hAnsi="Arial" w:cs="Arial"/>
        </w:rPr>
        <w:t xml:space="preserve">eneration </w:t>
      </w:r>
      <w:r w:rsidR="007F68F9" w:rsidRPr="00CF4023">
        <w:rPr>
          <w:rFonts w:ascii="Arial" w:hAnsi="Arial" w:cs="Arial"/>
        </w:rPr>
        <w:t xml:space="preserve">(DREG) </w:t>
      </w:r>
      <w:r w:rsidR="00995639" w:rsidRPr="00CF4023">
        <w:rPr>
          <w:rFonts w:ascii="Arial" w:hAnsi="Arial" w:cs="Arial"/>
        </w:rPr>
        <w:t>investments</w:t>
      </w:r>
      <w:r w:rsidR="007F68F9" w:rsidRPr="00CF4023">
        <w:rPr>
          <w:rFonts w:ascii="Arial" w:hAnsi="Arial" w:cs="Arial"/>
        </w:rPr>
        <w:t xml:space="preserve"> programs</w:t>
      </w:r>
      <w:bookmarkEnd w:id="0"/>
      <w:r w:rsidR="00635A4A">
        <w:rPr>
          <w:rFonts w:ascii="Arial" w:hAnsi="Arial" w:cs="Arial"/>
        </w:rPr>
        <w:t xml:space="preserve">. </w:t>
      </w:r>
      <w:r w:rsidR="005D2BB5" w:rsidRPr="00CF4023">
        <w:rPr>
          <w:rFonts w:ascii="Arial" w:hAnsi="Arial" w:cs="Arial"/>
        </w:rPr>
        <w:t>This will include</w:t>
      </w:r>
      <w:r w:rsidR="007F68F9" w:rsidRPr="00CF4023">
        <w:rPr>
          <w:rFonts w:ascii="Arial" w:hAnsi="Arial" w:cs="Arial"/>
        </w:rPr>
        <w:t xml:space="preserve">: (i) </w:t>
      </w:r>
      <w:r w:rsidRPr="00CF4023">
        <w:rPr>
          <w:rFonts w:ascii="Arial" w:hAnsi="Arial" w:cs="Arial"/>
        </w:rPr>
        <w:t xml:space="preserve">providing technical support </w:t>
      </w:r>
      <w:r w:rsidRPr="00CF4023">
        <w:rPr>
          <w:rFonts w:ascii="Arial" w:hAnsi="Arial" w:cs="Arial"/>
          <w:lang w:eastAsia="ja-JP"/>
        </w:rPr>
        <w:t xml:space="preserve">to </w:t>
      </w:r>
      <w:r w:rsidR="007F68F9" w:rsidRPr="00CF4023">
        <w:rPr>
          <w:rFonts w:ascii="Arial" w:hAnsi="Arial" w:cs="Arial"/>
          <w:lang w:eastAsia="ja-JP"/>
        </w:rPr>
        <w:t>design EE</w:t>
      </w:r>
      <w:r w:rsidR="00ED2E1F" w:rsidRPr="00CF4023">
        <w:rPr>
          <w:rFonts w:ascii="Arial" w:hAnsi="Arial" w:cs="Arial"/>
          <w:lang w:eastAsia="ja-JP"/>
        </w:rPr>
        <w:t xml:space="preserve"> programs</w:t>
      </w:r>
      <w:r w:rsidR="007F68F9" w:rsidRPr="00CF4023">
        <w:rPr>
          <w:rFonts w:ascii="Arial" w:hAnsi="Arial" w:cs="Arial"/>
          <w:lang w:eastAsia="ja-JP"/>
        </w:rPr>
        <w:t>;</w:t>
      </w:r>
      <w:r w:rsidRPr="00CF4023">
        <w:rPr>
          <w:rFonts w:ascii="Arial" w:hAnsi="Arial" w:cs="Arial"/>
        </w:rPr>
        <w:t xml:space="preserve"> (</w:t>
      </w:r>
      <w:r w:rsidR="007F68F9" w:rsidRPr="00CF4023">
        <w:rPr>
          <w:rFonts w:ascii="Arial" w:hAnsi="Arial" w:cs="Arial"/>
        </w:rPr>
        <w:t>i</w:t>
      </w:r>
      <w:r w:rsidRPr="00CF4023">
        <w:rPr>
          <w:rFonts w:ascii="Arial" w:hAnsi="Arial" w:cs="Arial"/>
        </w:rPr>
        <w:t>i) review</w:t>
      </w:r>
      <w:r w:rsidR="007F68F9" w:rsidRPr="00CF4023">
        <w:rPr>
          <w:rFonts w:ascii="Arial" w:hAnsi="Arial" w:cs="Arial"/>
        </w:rPr>
        <w:t>ing</w:t>
      </w:r>
      <w:r w:rsidRPr="00CF4023">
        <w:rPr>
          <w:rFonts w:ascii="Arial" w:hAnsi="Arial" w:cs="Arial"/>
        </w:rPr>
        <w:t xml:space="preserve"> and </w:t>
      </w:r>
      <w:r w:rsidR="007F68F9" w:rsidRPr="00CF4023">
        <w:rPr>
          <w:rFonts w:ascii="Arial" w:hAnsi="Arial" w:cs="Arial"/>
        </w:rPr>
        <w:t xml:space="preserve">strengthening </w:t>
      </w:r>
      <w:r w:rsidRPr="00CF4023">
        <w:rPr>
          <w:rFonts w:ascii="Arial" w:hAnsi="Arial" w:cs="Arial"/>
        </w:rPr>
        <w:t xml:space="preserve">existing </w:t>
      </w:r>
      <w:r w:rsidR="007F68F9" w:rsidRPr="00CF4023">
        <w:rPr>
          <w:rFonts w:ascii="Arial" w:hAnsi="Arial" w:cs="Arial"/>
        </w:rPr>
        <w:t>EE programs and regulations</w:t>
      </w:r>
      <w:r w:rsidRPr="00CF4023">
        <w:rPr>
          <w:rFonts w:ascii="Arial" w:hAnsi="Arial" w:cs="Arial"/>
          <w:lang w:eastAsia="ja-JP"/>
        </w:rPr>
        <w:t xml:space="preserve">; </w:t>
      </w:r>
      <w:r w:rsidRPr="00CF4023">
        <w:rPr>
          <w:rFonts w:ascii="Arial" w:hAnsi="Arial" w:cs="Arial"/>
        </w:rPr>
        <w:t>(ii</w:t>
      </w:r>
      <w:r w:rsidR="007F68F9" w:rsidRPr="00CF4023">
        <w:rPr>
          <w:rFonts w:ascii="Arial" w:hAnsi="Arial" w:cs="Arial"/>
        </w:rPr>
        <w:t>i</w:t>
      </w:r>
      <w:r w:rsidRPr="00CF4023">
        <w:rPr>
          <w:rFonts w:ascii="Arial" w:hAnsi="Arial" w:cs="Arial"/>
        </w:rPr>
        <w:t xml:space="preserve">) conducting technical assessments of EE </w:t>
      </w:r>
      <w:r w:rsidRPr="00CF4023">
        <w:rPr>
          <w:rFonts w:ascii="Arial" w:hAnsi="Arial" w:cs="Arial"/>
          <w:lang w:eastAsia="ja-JP"/>
        </w:rPr>
        <w:t xml:space="preserve">and </w:t>
      </w:r>
      <w:r w:rsidR="00ED2E1F" w:rsidRPr="00CF4023">
        <w:rPr>
          <w:rFonts w:ascii="Arial" w:hAnsi="Arial" w:cs="Arial"/>
          <w:lang w:eastAsia="ja-JP"/>
        </w:rPr>
        <w:t xml:space="preserve">in the case of public buildings, complementary </w:t>
      </w:r>
      <w:r w:rsidR="007F68F9" w:rsidRPr="00CF4023">
        <w:rPr>
          <w:rFonts w:ascii="Arial" w:hAnsi="Arial" w:cs="Arial"/>
          <w:lang w:eastAsia="ja-JP"/>
        </w:rPr>
        <w:t>DREG</w:t>
      </w:r>
      <w:r w:rsidRPr="00CF4023">
        <w:rPr>
          <w:rFonts w:ascii="Arial" w:hAnsi="Arial" w:cs="Arial"/>
          <w:lang w:eastAsia="ja-JP"/>
        </w:rPr>
        <w:t xml:space="preserve"> </w:t>
      </w:r>
      <w:r w:rsidRPr="00CF4023">
        <w:rPr>
          <w:rFonts w:ascii="Arial" w:hAnsi="Arial" w:cs="Arial"/>
        </w:rPr>
        <w:t>potential</w:t>
      </w:r>
      <w:r w:rsidR="00D225F2" w:rsidRPr="00CF4023">
        <w:rPr>
          <w:rFonts w:ascii="Arial" w:hAnsi="Arial" w:cs="Arial"/>
        </w:rPr>
        <w:t>s</w:t>
      </w:r>
      <w:r w:rsidRPr="00CF4023">
        <w:rPr>
          <w:rFonts w:ascii="Arial" w:hAnsi="Arial" w:cs="Arial"/>
        </w:rPr>
        <w:t>;</w:t>
      </w:r>
      <w:r w:rsidRPr="00CF4023">
        <w:rPr>
          <w:rFonts w:ascii="Arial" w:hAnsi="Arial" w:cs="Arial"/>
          <w:lang w:eastAsia="ja-JP"/>
        </w:rPr>
        <w:t xml:space="preserve"> and (i</w:t>
      </w:r>
      <w:r w:rsidR="00D225F2" w:rsidRPr="00CF4023">
        <w:rPr>
          <w:rFonts w:ascii="Arial" w:hAnsi="Arial" w:cs="Arial"/>
          <w:lang w:eastAsia="ja-JP"/>
        </w:rPr>
        <w:t>v</w:t>
      </w:r>
      <w:r w:rsidRPr="00CF4023">
        <w:rPr>
          <w:rFonts w:ascii="Arial" w:hAnsi="Arial" w:cs="Arial"/>
          <w:lang w:eastAsia="ja-JP"/>
        </w:rPr>
        <w:t xml:space="preserve">) </w:t>
      </w:r>
      <w:r w:rsidRPr="00CF4023">
        <w:rPr>
          <w:rFonts w:ascii="Arial" w:hAnsi="Arial" w:cs="Arial"/>
        </w:rPr>
        <w:t>design</w:t>
      </w:r>
      <w:r w:rsidR="00D225F2" w:rsidRPr="00CF4023">
        <w:rPr>
          <w:rFonts w:ascii="Arial" w:hAnsi="Arial" w:cs="Arial"/>
        </w:rPr>
        <w:t>ing a</w:t>
      </w:r>
      <w:r w:rsidR="00741597" w:rsidRPr="00CF4023">
        <w:rPr>
          <w:rFonts w:ascii="Arial" w:hAnsi="Arial" w:cs="Arial"/>
        </w:rPr>
        <w:t>nd implement</w:t>
      </w:r>
      <w:r w:rsidR="00D225F2" w:rsidRPr="00CF4023">
        <w:rPr>
          <w:rFonts w:ascii="Arial" w:hAnsi="Arial" w:cs="Arial"/>
        </w:rPr>
        <w:t xml:space="preserve">ing </w:t>
      </w:r>
      <w:r w:rsidR="00ED2E1F" w:rsidRPr="00CF4023">
        <w:rPr>
          <w:rFonts w:ascii="Arial" w:hAnsi="Arial" w:cs="Arial"/>
        </w:rPr>
        <w:t xml:space="preserve">related </w:t>
      </w:r>
      <w:r w:rsidR="00D225F2" w:rsidRPr="00CF4023">
        <w:rPr>
          <w:rFonts w:ascii="Arial" w:hAnsi="Arial" w:cs="Arial"/>
        </w:rPr>
        <w:t xml:space="preserve">EE and DREG </w:t>
      </w:r>
      <w:r w:rsidRPr="00CF4023">
        <w:rPr>
          <w:rFonts w:ascii="Arial" w:hAnsi="Arial" w:cs="Arial"/>
          <w:lang w:eastAsia="ja-JP"/>
        </w:rPr>
        <w:t>investment programs</w:t>
      </w:r>
      <w:r w:rsidR="00ED2E1F" w:rsidRPr="00CF4023">
        <w:rPr>
          <w:rFonts w:ascii="Arial" w:hAnsi="Arial" w:cs="Arial"/>
          <w:lang w:eastAsia="ja-JP"/>
        </w:rPr>
        <w:t xml:space="preserve"> targeting public buildings, street lighting and other public sector </w:t>
      </w:r>
      <w:r w:rsidR="006743E8" w:rsidRPr="00CF4023">
        <w:rPr>
          <w:rFonts w:ascii="Arial" w:hAnsi="Arial" w:cs="Arial"/>
          <w:lang w:eastAsia="ja-JP"/>
        </w:rPr>
        <w:t>installations</w:t>
      </w:r>
      <w:r w:rsidR="00347320">
        <w:rPr>
          <w:rFonts w:ascii="Arial" w:hAnsi="Arial" w:cs="Arial"/>
          <w:lang w:eastAsia="ja-JP"/>
        </w:rPr>
        <w:t>.</w:t>
      </w:r>
    </w:p>
    <w:p w14:paraId="234ABF07" w14:textId="77777777" w:rsidR="00F75522" w:rsidRDefault="00F75522" w:rsidP="00F75522">
      <w:pPr>
        <w:pStyle w:val="ListParagraph"/>
        <w:spacing w:before="120" w:after="120"/>
        <w:ind w:left="360"/>
        <w:jc w:val="both"/>
        <w:rPr>
          <w:rFonts w:ascii="Arial" w:hAnsi="Arial" w:cs="Arial"/>
          <w:lang w:eastAsia="ja-JP"/>
        </w:rPr>
      </w:pPr>
    </w:p>
    <w:p w14:paraId="28A864CF" w14:textId="2A751804" w:rsidR="00347320" w:rsidRPr="00C6621F" w:rsidRDefault="00C6621F" w:rsidP="00C6621F">
      <w:pPr>
        <w:pStyle w:val="ListParagraph"/>
        <w:numPr>
          <w:ilvl w:val="1"/>
          <w:numId w:val="5"/>
        </w:numPr>
        <w:spacing w:before="120" w:after="120"/>
        <w:ind w:hanging="540"/>
        <w:jc w:val="both"/>
        <w:rPr>
          <w:rFonts w:ascii="Arial" w:hAnsi="Arial" w:cs="Arial"/>
        </w:rPr>
      </w:pPr>
      <w:r w:rsidRPr="00C6621F">
        <w:rPr>
          <w:rFonts w:ascii="Arial" w:hAnsi="Arial" w:cs="Arial"/>
          <w:b/>
        </w:rPr>
        <w:t>Strategic alignment:</w:t>
      </w:r>
      <w:r w:rsidRPr="00C6621F">
        <w:rPr>
          <w:rFonts w:ascii="Arial" w:hAnsi="Arial" w:cs="Arial"/>
        </w:rPr>
        <w:t xml:space="preserve"> This TC is aligned with the 2010-20</w:t>
      </w:r>
      <w:r w:rsidR="00E43B86">
        <w:rPr>
          <w:rFonts w:ascii="Arial" w:hAnsi="Arial" w:cs="Arial"/>
        </w:rPr>
        <w:t>2</w:t>
      </w:r>
      <w:r w:rsidRPr="00C6621F">
        <w:rPr>
          <w:rFonts w:ascii="Arial" w:hAnsi="Arial" w:cs="Arial"/>
        </w:rPr>
        <w:t>0 Institutional Strategy Update (AB-3008). It is strategically aligned with productivity and innovation and it will contribute to the cross-cutting issues of: (i) climate change and environmental sustainability by reducing carbon emissions; and (ii) institutional capacity and the rule of law, by strengthening participating countries capacity to implement EE programs and identify investments and programs. Additionally, this TC will contribute to the Corporate Results Framework 2016-2019 (GN-2727-6) by: (i) reducing carbon emissions; and (ii) by strengthening institutional capacity to identify EE programs and investments in participating countries.</w:t>
      </w:r>
    </w:p>
    <w:p w14:paraId="22760908" w14:textId="77777777" w:rsidR="00C6621F" w:rsidRPr="00C6621F" w:rsidRDefault="00C6621F" w:rsidP="00C6621F">
      <w:pPr>
        <w:pStyle w:val="ListParagraph"/>
        <w:autoSpaceDE w:val="0"/>
        <w:autoSpaceDN w:val="0"/>
        <w:adjustRightInd w:val="0"/>
        <w:spacing w:before="120" w:after="0" w:line="240" w:lineRule="auto"/>
        <w:ind w:left="360"/>
        <w:jc w:val="both"/>
        <w:rPr>
          <w:rFonts w:ascii="Arial" w:hAnsi="Arial" w:cs="Arial"/>
        </w:rPr>
      </w:pPr>
    </w:p>
    <w:p w14:paraId="22B9F415" w14:textId="3207CD3A" w:rsidR="00D225F2" w:rsidRPr="00CF4023" w:rsidRDefault="7D4EF4EF" w:rsidP="7D4EF4EF">
      <w:pPr>
        <w:pStyle w:val="ListParagraph"/>
        <w:numPr>
          <w:ilvl w:val="1"/>
          <w:numId w:val="5"/>
        </w:numPr>
        <w:spacing w:before="120" w:after="120"/>
        <w:ind w:hanging="540"/>
        <w:jc w:val="both"/>
        <w:rPr>
          <w:rFonts w:ascii="Arial" w:hAnsi="Arial" w:cs="Arial"/>
        </w:rPr>
      </w:pPr>
      <w:r w:rsidRPr="7D4EF4EF">
        <w:rPr>
          <w:rFonts w:ascii="Arial" w:hAnsi="Arial" w:cs="Arial"/>
          <w:b/>
          <w:bCs/>
          <w:u w:val="single"/>
        </w:rPr>
        <w:t>Background</w:t>
      </w:r>
      <w:r w:rsidRPr="7D4EF4EF">
        <w:rPr>
          <w:rFonts w:ascii="Arial" w:hAnsi="Arial" w:cs="Arial"/>
          <w:b/>
          <w:bCs/>
        </w:rPr>
        <w:t>.</w:t>
      </w:r>
      <w:r w:rsidRPr="7D4EF4EF">
        <w:rPr>
          <w:rFonts w:ascii="Arial" w:hAnsi="Arial" w:cs="Arial"/>
        </w:rPr>
        <w:t xml:space="preserve"> The Sustainable Development Goal #7 (SDG7), approved on September 25, 2015 as part of the post-2015 Sustainable Development Agenda, sets universal targets that the 193 UN member states will use in framing their political policies and development agendas from 2016 to 2030, replacing the Millennium Development Goals that ended in 2015. </w:t>
      </w:r>
      <w:r w:rsidRPr="7D4EF4EF">
        <w:rPr>
          <w:rFonts w:ascii="Arial" w:hAnsi="Arial" w:cs="Arial"/>
          <w:lang w:eastAsia="ja-JP"/>
        </w:rPr>
        <w:t xml:space="preserve">The SDG7 targets three specific poles: access, increased shares of renewable energy, and improved EE.  </w:t>
      </w:r>
    </w:p>
    <w:p w14:paraId="34C69E83" w14:textId="77777777" w:rsidR="00D225F2" w:rsidRPr="00CF4023" w:rsidRDefault="00D225F2" w:rsidP="00D225F2">
      <w:pPr>
        <w:pStyle w:val="ListParagraph"/>
        <w:spacing w:before="120" w:after="120"/>
        <w:ind w:left="360"/>
        <w:jc w:val="both"/>
        <w:rPr>
          <w:rFonts w:ascii="Arial" w:hAnsi="Arial" w:cs="Arial"/>
        </w:rPr>
      </w:pPr>
    </w:p>
    <w:p w14:paraId="6CB805CE" w14:textId="71594695" w:rsidR="00F834E2" w:rsidRPr="00CF4023" w:rsidRDefault="7D4EF4EF" w:rsidP="7D4EF4EF">
      <w:pPr>
        <w:pStyle w:val="ListParagraph"/>
        <w:numPr>
          <w:ilvl w:val="1"/>
          <w:numId w:val="5"/>
        </w:numPr>
        <w:spacing w:before="120" w:after="120"/>
        <w:ind w:hanging="540"/>
        <w:jc w:val="both"/>
        <w:rPr>
          <w:rFonts w:ascii="Arial" w:hAnsi="Arial" w:cs="Arial"/>
        </w:rPr>
      </w:pPr>
      <w:r w:rsidRPr="7D4EF4EF">
        <w:rPr>
          <w:rFonts w:ascii="Arial" w:hAnsi="Arial" w:cs="Arial"/>
          <w:lang w:eastAsia="ja-JP"/>
        </w:rPr>
        <w:t xml:space="preserve">EE has received significant emphasis under the SDG#7 process. However, in practice, notwithstanding the important benefits that EE can provide for economic growth, and to the transition to a low-carbon economy (e.g., the International Energy Agency (IEA) has identified EE in its models as a larger contributor to lowering emissions than renewables), EE has received relatively less support and attention that notably renewables expansion.  The last decade has seen some change in this regard, as more and more governments have adopted policies and programs to encourage more investment in EE; however, many of these efforts remain at relatively early stages of development, and would benefit from continued and refined efforts to policy-making, </w:t>
      </w:r>
      <w:r w:rsidRPr="7D4EF4EF">
        <w:rPr>
          <w:rFonts w:ascii="Arial" w:hAnsi="Arial" w:cs="Arial"/>
          <w:lang w:eastAsia="ja-JP"/>
        </w:rPr>
        <w:lastRenderedPageBreak/>
        <w:t>program design, and implementation experience, which can not only improve the impact of existing programs, but also improve the design of the next generation of similar efforts.</w:t>
      </w:r>
      <w:r w:rsidRPr="7D4EF4EF">
        <w:rPr>
          <w:rFonts w:ascii="Arial" w:hAnsi="Arial" w:cs="Arial"/>
        </w:rPr>
        <w:t xml:space="preserve"> </w:t>
      </w:r>
    </w:p>
    <w:p w14:paraId="6AC3B0B6" w14:textId="77777777" w:rsidR="00F834E2" w:rsidRPr="00CF4023" w:rsidRDefault="00F834E2">
      <w:pPr>
        <w:pStyle w:val="ListParagraph"/>
        <w:spacing w:before="120" w:after="120"/>
        <w:ind w:left="360"/>
        <w:jc w:val="both"/>
        <w:rPr>
          <w:rFonts w:ascii="Arial" w:hAnsi="Arial" w:cs="Arial"/>
        </w:rPr>
      </w:pPr>
    </w:p>
    <w:p w14:paraId="6B1C90DA" w14:textId="033CF4AB" w:rsidR="007405E0" w:rsidRPr="00CF4023" w:rsidRDefault="7D4EF4EF" w:rsidP="7D4EF4EF">
      <w:pPr>
        <w:pStyle w:val="ListParagraph"/>
        <w:numPr>
          <w:ilvl w:val="1"/>
          <w:numId w:val="5"/>
        </w:numPr>
        <w:spacing w:before="120" w:after="120"/>
        <w:ind w:hanging="540"/>
        <w:jc w:val="both"/>
        <w:rPr>
          <w:rFonts w:ascii="Arial" w:hAnsi="Arial" w:cs="Arial"/>
        </w:rPr>
      </w:pPr>
      <w:r w:rsidRPr="7D4EF4EF">
        <w:rPr>
          <w:rFonts w:ascii="Arial" w:hAnsi="Arial" w:cs="Arial"/>
        </w:rPr>
        <w:t>From schools, ministries and other government buildings (schools, hospitals), from water services companies to maintenance vehicles to public lighting, the public sector consumes relevant amounts of energy to provide critical services to citizens. This includes not only electricity for lighting, but also gasoline, diesel, and gas.  Improving the efficiency of public sector energy consumption presents an important opportunity to generate economic and social benefits, including fewer energy expenditures, reduced GHG emissions, and improved air quality, liberating resources for investments in social sectors.  Improving EE in public sector presents an important advantage for governments: programs can be developed and implemented through the government’s capacity as the owner of the installations, as opposed to having to prompt or otherwise catalyze private sector action and convince other actors to invest in EE and DREG.  At the same time, EE in public sector faces important hurdles, including limited upfront capital to finance EE improvements (which are often, but not always, required), as well as institutional and other inefficiencies which can hamper execution of EE programs by public agencies and other institutions (in particular at the sub-national level where capacity limitations are often a significant challenge).</w:t>
      </w:r>
    </w:p>
    <w:p w14:paraId="0F2564E1" w14:textId="77777777" w:rsidR="007405E0" w:rsidRPr="00CF4023" w:rsidRDefault="007405E0" w:rsidP="007405E0">
      <w:pPr>
        <w:pStyle w:val="ListParagraph"/>
        <w:rPr>
          <w:rFonts w:ascii="Arial" w:hAnsi="Arial" w:cs="Arial"/>
        </w:rPr>
      </w:pPr>
    </w:p>
    <w:p w14:paraId="0190AFF7" w14:textId="6A1622E8" w:rsidR="00945DBE" w:rsidRPr="00CF4023" w:rsidRDefault="7D4EF4EF" w:rsidP="7D4EF4EF">
      <w:pPr>
        <w:pStyle w:val="ListParagraph"/>
        <w:numPr>
          <w:ilvl w:val="1"/>
          <w:numId w:val="5"/>
        </w:numPr>
        <w:spacing w:before="120" w:after="120"/>
        <w:ind w:hanging="540"/>
        <w:jc w:val="both"/>
        <w:rPr>
          <w:rFonts w:ascii="Arial" w:hAnsi="Arial" w:cs="Arial"/>
        </w:rPr>
      </w:pPr>
      <w:r w:rsidRPr="7D4EF4EF">
        <w:rPr>
          <w:rFonts w:ascii="Arial" w:hAnsi="Arial" w:cs="Arial"/>
        </w:rPr>
        <w:t xml:space="preserve">Public buildings specifically represent one of the largest users within the public sector.  However, these buildings also provide an important opportunity: coupling energy efficiency investments with decentralized renewable energy generation (i.e., generated by the building itself through, for example, the use of solar panels) can dramatically reduce the building’s need to rely on grid distribution systems. The synergies between EE and DREG investments is discussed further below. </w:t>
      </w:r>
    </w:p>
    <w:p w14:paraId="58B48D4E" w14:textId="77777777" w:rsidR="00945DBE" w:rsidRPr="00CF4023" w:rsidRDefault="00945DBE" w:rsidP="00945DBE">
      <w:pPr>
        <w:pStyle w:val="ListParagraph"/>
        <w:rPr>
          <w:rFonts w:ascii="Arial" w:hAnsi="Arial" w:cs="Arial"/>
        </w:rPr>
      </w:pPr>
    </w:p>
    <w:p w14:paraId="1C9FFF94" w14:textId="022B5425" w:rsidR="003E7A5A" w:rsidRDefault="00F46C6F" w:rsidP="00F75522">
      <w:pPr>
        <w:pStyle w:val="ListParagraph"/>
        <w:numPr>
          <w:ilvl w:val="1"/>
          <w:numId w:val="5"/>
        </w:numPr>
        <w:spacing w:before="120" w:after="120"/>
        <w:ind w:hanging="540"/>
        <w:jc w:val="both"/>
        <w:rPr>
          <w:rFonts w:ascii="Arial" w:hAnsi="Arial" w:cs="Arial"/>
          <w:lang w:eastAsia="ja-JP"/>
        </w:rPr>
      </w:pPr>
      <w:r w:rsidRPr="00CF4023">
        <w:rPr>
          <w:rFonts w:ascii="Arial" w:hAnsi="Arial" w:cs="Arial"/>
        </w:rPr>
        <w:t>L</w:t>
      </w:r>
      <w:r w:rsidRPr="00CF4023">
        <w:rPr>
          <w:rFonts w:ascii="Arial" w:hAnsi="Arial" w:cs="Arial"/>
          <w:lang w:eastAsia="ja-JP"/>
        </w:rPr>
        <w:t xml:space="preserve">AC countries </w:t>
      </w:r>
      <w:r w:rsidRPr="00CF4023">
        <w:rPr>
          <w:rFonts w:ascii="Arial" w:hAnsi="Arial" w:cs="Arial"/>
        </w:rPr>
        <w:t xml:space="preserve">present significant opportunities to improve </w:t>
      </w:r>
      <w:r w:rsidRPr="00CF4023">
        <w:rPr>
          <w:rFonts w:ascii="Arial" w:hAnsi="Arial" w:cs="Arial"/>
          <w:lang w:eastAsia="ja-JP"/>
        </w:rPr>
        <w:t>EE.</w:t>
      </w:r>
      <w:r w:rsidR="00105B63" w:rsidRPr="00CF4023">
        <w:rPr>
          <w:rFonts w:ascii="Arial" w:hAnsi="Arial" w:cs="Arial"/>
          <w:lang w:eastAsia="ja-JP"/>
        </w:rPr>
        <w:t xml:space="preserve"> T</w:t>
      </w:r>
      <w:r w:rsidRPr="00CF4023">
        <w:rPr>
          <w:rFonts w:ascii="Arial" w:hAnsi="Arial" w:cs="Arial"/>
        </w:rPr>
        <w:t>he IDB</w:t>
      </w:r>
      <w:r w:rsidRPr="00CF4023">
        <w:rPr>
          <w:rFonts w:ascii="Arial" w:hAnsi="Arial" w:cs="Arial"/>
          <w:lang w:eastAsia="ja-JP"/>
        </w:rPr>
        <w:t xml:space="preserve"> has </w:t>
      </w:r>
      <w:r w:rsidR="00105B63" w:rsidRPr="00CF4023">
        <w:rPr>
          <w:rFonts w:ascii="Arial" w:hAnsi="Arial" w:cs="Arial"/>
          <w:lang w:eastAsia="ja-JP"/>
        </w:rPr>
        <w:t xml:space="preserve">been </w:t>
      </w:r>
      <w:r w:rsidRPr="00CF4023">
        <w:rPr>
          <w:rFonts w:ascii="Arial" w:hAnsi="Arial" w:cs="Arial"/>
          <w:lang w:eastAsia="ja-JP"/>
        </w:rPr>
        <w:t>provid</w:t>
      </w:r>
      <w:r w:rsidR="00105B63" w:rsidRPr="00CF4023">
        <w:rPr>
          <w:rFonts w:ascii="Arial" w:hAnsi="Arial" w:cs="Arial"/>
          <w:lang w:eastAsia="ja-JP"/>
        </w:rPr>
        <w:t>ing</w:t>
      </w:r>
      <w:r w:rsidRPr="00CF4023">
        <w:rPr>
          <w:rFonts w:ascii="Arial" w:hAnsi="Arial" w:cs="Arial"/>
          <w:lang w:eastAsia="ja-JP"/>
        </w:rPr>
        <w:t xml:space="preserve"> technical assistance </w:t>
      </w:r>
      <w:r w:rsidRPr="00CF4023">
        <w:rPr>
          <w:rFonts w:ascii="Arial" w:hAnsi="Arial" w:cs="Arial"/>
          <w:color w:val="000000"/>
          <w:lang w:eastAsia="ja-JP"/>
        </w:rPr>
        <w:t xml:space="preserve">to its </w:t>
      </w:r>
      <w:r w:rsidR="007A6922" w:rsidRPr="00CF4023">
        <w:rPr>
          <w:rFonts w:ascii="Arial" w:hAnsi="Arial" w:cs="Arial"/>
          <w:color w:val="000000"/>
          <w:lang w:eastAsia="ja-JP"/>
        </w:rPr>
        <w:t>client</w:t>
      </w:r>
      <w:r w:rsidRPr="00CF4023">
        <w:rPr>
          <w:rFonts w:ascii="Arial" w:hAnsi="Arial" w:cs="Arial"/>
          <w:color w:val="000000"/>
          <w:lang w:eastAsia="ja-JP"/>
        </w:rPr>
        <w:t xml:space="preserve"> countries to </w:t>
      </w:r>
      <w:r w:rsidRPr="00CF4023">
        <w:rPr>
          <w:rFonts w:ascii="Arial" w:hAnsi="Arial" w:cs="Arial"/>
          <w:color w:val="000000"/>
        </w:rPr>
        <w:t xml:space="preserve">support their efforts </w:t>
      </w:r>
      <w:r w:rsidR="00105B63" w:rsidRPr="00CF4023">
        <w:rPr>
          <w:rFonts w:ascii="Arial" w:hAnsi="Arial" w:cs="Arial"/>
          <w:color w:val="000000"/>
        </w:rPr>
        <w:t>on EE</w:t>
      </w:r>
      <w:r w:rsidRPr="00CF4023">
        <w:rPr>
          <w:rFonts w:ascii="Arial" w:hAnsi="Arial" w:cs="Arial"/>
          <w:color w:val="000000"/>
        </w:rPr>
        <w:t xml:space="preserve"> </w:t>
      </w:r>
      <w:r w:rsidR="00C26197" w:rsidRPr="00CF4023">
        <w:rPr>
          <w:rFonts w:ascii="Arial" w:hAnsi="Arial" w:cs="Arial"/>
          <w:color w:val="000000"/>
        </w:rPr>
        <w:t xml:space="preserve">as well as </w:t>
      </w:r>
      <w:r w:rsidRPr="00CF4023">
        <w:rPr>
          <w:rFonts w:ascii="Arial" w:hAnsi="Arial" w:cs="Arial"/>
          <w:color w:val="000000"/>
          <w:lang w:eastAsia="ja-JP"/>
        </w:rPr>
        <w:t xml:space="preserve">in collaboration with other </w:t>
      </w:r>
      <w:r w:rsidR="00C26197" w:rsidRPr="00CF4023">
        <w:rPr>
          <w:rFonts w:ascii="Arial" w:hAnsi="Arial" w:cs="Arial"/>
          <w:color w:val="000000"/>
          <w:lang w:eastAsia="ja-JP"/>
        </w:rPr>
        <w:t>development partners</w:t>
      </w:r>
      <w:r w:rsidRPr="00CF4023">
        <w:rPr>
          <w:rFonts w:ascii="Arial" w:hAnsi="Arial" w:cs="Arial"/>
          <w:color w:val="000000"/>
          <w:lang w:eastAsia="ja-JP"/>
        </w:rPr>
        <w:t xml:space="preserve"> such as UNDP and ECLAC, as well as Japan International Cooperation Agency (JICA). </w:t>
      </w:r>
      <w:r w:rsidR="00C40396" w:rsidRPr="00CF4023">
        <w:rPr>
          <w:rFonts w:ascii="Arial" w:hAnsi="Arial" w:cs="Arial"/>
          <w:color w:val="000000"/>
          <w:lang w:eastAsia="ja-JP"/>
        </w:rPr>
        <w:t>In particular</w:t>
      </w:r>
      <w:r w:rsidRPr="00CF4023">
        <w:rPr>
          <w:rFonts w:ascii="Arial" w:hAnsi="Arial" w:cs="Arial"/>
          <w:color w:val="000000"/>
          <w:lang w:eastAsia="ja-JP"/>
        </w:rPr>
        <w:t>, a s</w:t>
      </w:r>
      <w:r w:rsidRPr="00CF4023">
        <w:rPr>
          <w:rFonts w:ascii="Arial" w:hAnsi="Arial" w:cs="Arial"/>
          <w:lang w:eastAsia="ja-JP"/>
        </w:rPr>
        <w:t xml:space="preserve">trategic partnership with JICA under the </w:t>
      </w:r>
      <w:r w:rsidRPr="00CF4023">
        <w:rPr>
          <w:rFonts w:ascii="Arial" w:hAnsi="Arial" w:cs="Arial"/>
        </w:rPr>
        <w:t xml:space="preserve">co-financing for Renewable Energy and Energy Efficiency (CORE) </w:t>
      </w:r>
      <w:r w:rsidRPr="00CF4023">
        <w:rPr>
          <w:rFonts w:ascii="Arial" w:hAnsi="Arial" w:cs="Arial"/>
          <w:lang w:eastAsia="ja-JP"/>
        </w:rPr>
        <w:t xml:space="preserve">mechanism </w:t>
      </w:r>
      <w:r w:rsidR="007A6922" w:rsidRPr="00CF4023">
        <w:rPr>
          <w:rFonts w:ascii="Arial" w:hAnsi="Arial" w:cs="Arial"/>
          <w:lang w:eastAsia="ja-JP"/>
        </w:rPr>
        <w:t>constitutes</w:t>
      </w:r>
      <w:r w:rsidRPr="00CF4023">
        <w:rPr>
          <w:rFonts w:ascii="Arial" w:hAnsi="Arial" w:cs="Arial"/>
          <w:lang w:eastAsia="ja-JP"/>
        </w:rPr>
        <w:t xml:space="preserve"> a unique opportunity for </w:t>
      </w:r>
      <w:r w:rsidR="007A6922" w:rsidRPr="00CF4023">
        <w:rPr>
          <w:rFonts w:ascii="Arial" w:hAnsi="Arial" w:cs="Arial"/>
          <w:lang w:eastAsia="ja-JP"/>
        </w:rPr>
        <w:t xml:space="preserve">member countries to have access to </w:t>
      </w:r>
      <w:r w:rsidRPr="00CF4023">
        <w:rPr>
          <w:rFonts w:ascii="Arial" w:hAnsi="Arial" w:cs="Arial"/>
          <w:lang w:eastAsia="ja-JP"/>
        </w:rPr>
        <w:t xml:space="preserve">concessional resources for investments in EE promotion. </w:t>
      </w:r>
      <w:r w:rsidRPr="00CF4023">
        <w:rPr>
          <w:rFonts w:ascii="Arial" w:hAnsi="Arial" w:cs="Arial"/>
          <w:color w:val="000000"/>
          <w:lang w:eastAsia="ja-JP"/>
        </w:rPr>
        <w:t xml:space="preserve">As a result of these efforts, countries such as </w:t>
      </w:r>
      <w:r w:rsidR="007A6922" w:rsidRPr="00CF4023">
        <w:rPr>
          <w:rFonts w:ascii="Arial" w:hAnsi="Arial" w:cs="Arial"/>
          <w:color w:val="000000"/>
          <w:lang w:eastAsia="ja-JP"/>
        </w:rPr>
        <w:t xml:space="preserve">Argentina, </w:t>
      </w:r>
      <w:r w:rsidRPr="00CF4023">
        <w:rPr>
          <w:rFonts w:ascii="Arial" w:hAnsi="Arial" w:cs="Arial"/>
          <w:color w:val="000000"/>
          <w:lang w:eastAsia="ja-JP"/>
        </w:rPr>
        <w:t xml:space="preserve">Ecuador, </w:t>
      </w:r>
      <w:r w:rsidR="007A6922" w:rsidRPr="00CF4023">
        <w:rPr>
          <w:rFonts w:ascii="Arial" w:hAnsi="Arial" w:cs="Arial"/>
          <w:color w:val="000000"/>
          <w:lang w:eastAsia="ja-JP"/>
        </w:rPr>
        <w:t xml:space="preserve">Honduras, </w:t>
      </w:r>
      <w:r w:rsidRPr="00CF4023">
        <w:rPr>
          <w:rFonts w:ascii="Arial" w:hAnsi="Arial" w:cs="Arial"/>
          <w:color w:val="000000"/>
          <w:lang w:eastAsia="ja-JP"/>
        </w:rPr>
        <w:t xml:space="preserve">Mexico, </w:t>
      </w:r>
      <w:r w:rsidR="007A6922" w:rsidRPr="00CF4023">
        <w:rPr>
          <w:rFonts w:ascii="Arial" w:hAnsi="Arial" w:cs="Arial"/>
          <w:color w:val="000000"/>
          <w:lang w:eastAsia="ja-JP"/>
        </w:rPr>
        <w:t xml:space="preserve">and </w:t>
      </w:r>
      <w:r w:rsidRPr="00CF4023">
        <w:rPr>
          <w:rFonts w:ascii="Arial" w:hAnsi="Arial" w:cs="Arial"/>
          <w:color w:val="000000"/>
          <w:lang w:eastAsia="ja-JP"/>
        </w:rPr>
        <w:t>Paraguay -among others</w:t>
      </w:r>
      <w:r w:rsidRPr="00CF4023">
        <w:rPr>
          <w:rStyle w:val="FootnoteReference"/>
          <w:rFonts w:ascii="Arial" w:hAnsi="Arial" w:cs="Arial"/>
          <w:color w:val="000000"/>
          <w:lang w:eastAsia="ja-JP"/>
        </w:rPr>
        <w:footnoteReference w:id="3"/>
      </w:r>
      <w:r w:rsidRPr="00CF4023">
        <w:rPr>
          <w:rFonts w:ascii="Arial" w:hAnsi="Arial" w:cs="Arial"/>
          <w:color w:val="000000"/>
          <w:lang w:eastAsia="ja-JP"/>
        </w:rPr>
        <w:t>-</w:t>
      </w:r>
      <w:r w:rsidRPr="00CF4023">
        <w:rPr>
          <w:rFonts w:ascii="Arial" w:hAnsi="Arial" w:cs="Arial"/>
          <w:lang w:eastAsia="ja-JP"/>
        </w:rPr>
        <w:t xml:space="preserve"> </w:t>
      </w:r>
      <w:r w:rsidRPr="00CF4023">
        <w:rPr>
          <w:rFonts w:ascii="Arial" w:hAnsi="Arial" w:cs="Arial"/>
          <w:color w:val="000000"/>
          <w:lang w:eastAsia="ja-JP"/>
        </w:rPr>
        <w:t xml:space="preserve">are recognizing the importance of EE </w:t>
      </w:r>
      <w:r w:rsidRPr="00CF4023">
        <w:rPr>
          <w:rFonts w:ascii="Arial" w:hAnsi="Arial" w:cs="Arial"/>
          <w:lang w:eastAsia="ja-JP"/>
        </w:rPr>
        <w:t xml:space="preserve">and are willing to undertake EE investment programs in key areas, such as public lighting, government </w:t>
      </w:r>
      <w:r w:rsidR="007A6922" w:rsidRPr="00CF4023">
        <w:rPr>
          <w:rFonts w:ascii="Arial" w:hAnsi="Arial" w:cs="Arial"/>
          <w:lang w:eastAsia="ja-JP"/>
        </w:rPr>
        <w:t>buildings</w:t>
      </w:r>
      <w:r w:rsidRPr="00CF4023">
        <w:rPr>
          <w:rFonts w:ascii="Arial" w:hAnsi="Arial" w:cs="Arial"/>
          <w:lang w:eastAsia="ja-JP"/>
        </w:rPr>
        <w:t>, water pump</w:t>
      </w:r>
      <w:r w:rsidR="005C7543" w:rsidRPr="00CF4023">
        <w:rPr>
          <w:rFonts w:ascii="Arial" w:hAnsi="Arial" w:cs="Arial"/>
          <w:lang w:eastAsia="ja-JP"/>
        </w:rPr>
        <w:t>ing</w:t>
      </w:r>
      <w:r w:rsidR="00C40396" w:rsidRPr="00CF4023">
        <w:rPr>
          <w:rFonts w:ascii="Arial" w:hAnsi="Arial" w:cs="Arial"/>
          <w:lang w:eastAsia="ja-JP"/>
        </w:rPr>
        <w:t xml:space="preserve">, </w:t>
      </w:r>
      <w:r w:rsidRPr="00CF4023">
        <w:rPr>
          <w:rFonts w:ascii="Arial" w:hAnsi="Arial" w:cs="Arial"/>
          <w:lang w:eastAsia="ja-JP"/>
        </w:rPr>
        <w:t>and other</w:t>
      </w:r>
      <w:r w:rsidR="00ED2E1F" w:rsidRPr="00CF4023">
        <w:rPr>
          <w:rFonts w:ascii="Arial" w:hAnsi="Arial" w:cs="Arial"/>
          <w:lang w:eastAsia="ja-JP"/>
        </w:rPr>
        <w:t xml:space="preserve"> areas</w:t>
      </w:r>
      <w:r w:rsidRPr="00CF4023">
        <w:rPr>
          <w:rFonts w:ascii="Arial" w:hAnsi="Arial" w:cs="Arial"/>
          <w:lang w:eastAsia="ja-JP"/>
        </w:rPr>
        <w:t xml:space="preserve">. Such EE promotion requires a significant amount of effort in capacity building and training activities given the weak institutional and technical capacities in </w:t>
      </w:r>
      <w:r w:rsidR="00ED2E1F" w:rsidRPr="00CF4023">
        <w:rPr>
          <w:rFonts w:ascii="Arial" w:hAnsi="Arial" w:cs="Arial"/>
          <w:lang w:eastAsia="ja-JP"/>
        </w:rPr>
        <w:t xml:space="preserve">the public sector on </w:t>
      </w:r>
      <w:r w:rsidR="009D26A2" w:rsidRPr="00CF4023">
        <w:rPr>
          <w:rFonts w:ascii="Arial" w:hAnsi="Arial" w:cs="Arial"/>
          <w:lang w:eastAsia="ja-JP"/>
        </w:rPr>
        <w:t>EE</w:t>
      </w:r>
      <w:r w:rsidR="00ED2E1F" w:rsidRPr="00CF4023">
        <w:rPr>
          <w:rFonts w:ascii="Arial" w:hAnsi="Arial" w:cs="Arial"/>
          <w:lang w:eastAsia="ja-JP"/>
        </w:rPr>
        <w:t xml:space="preserve">; many LAC countries would benefit </w:t>
      </w:r>
      <w:r w:rsidR="00ED2E1F" w:rsidRPr="00CF4023">
        <w:rPr>
          <w:rFonts w:ascii="Arial" w:hAnsi="Arial" w:cs="Arial"/>
          <w:lang w:eastAsia="ja-JP"/>
        </w:rPr>
        <w:lastRenderedPageBreak/>
        <w:t xml:space="preserve">from the </w:t>
      </w:r>
      <w:r w:rsidRPr="00CF4023">
        <w:rPr>
          <w:rFonts w:ascii="Arial" w:hAnsi="Arial" w:cs="Arial"/>
          <w:lang w:eastAsia="ja-JP"/>
        </w:rPr>
        <w:t xml:space="preserve">experiences </w:t>
      </w:r>
      <w:r w:rsidR="00945DBE" w:rsidRPr="00CF4023">
        <w:rPr>
          <w:rFonts w:ascii="Arial" w:hAnsi="Arial" w:cs="Arial"/>
          <w:lang w:eastAsia="ja-JP"/>
        </w:rPr>
        <w:t xml:space="preserve">of </w:t>
      </w:r>
      <w:r w:rsidRPr="00CF4023">
        <w:rPr>
          <w:rFonts w:ascii="Arial" w:hAnsi="Arial" w:cs="Arial"/>
          <w:lang w:eastAsia="ja-JP"/>
        </w:rPr>
        <w:t xml:space="preserve">other countries </w:t>
      </w:r>
      <w:r w:rsidR="00945DBE" w:rsidRPr="00CF4023">
        <w:rPr>
          <w:rFonts w:ascii="Arial" w:hAnsi="Arial" w:cs="Arial"/>
          <w:lang w:eastAsia="ja-JP"/>
        </w:rPr>
        <w:t xml:space="preserve">with successful EE programs, such as </w:t>
      </w:r>
      <w:r w:rsidRPr="00CF4023">
        <w:rPr>
          <w:rFonts w:ascii="Arial" w:hAnsi="Arial" w:cs="Arial"/>
          <w:lang w:eastAsia="ja-JP"/>
        </w:rPr>
        <w:t xml:space="preserve">Japan with </w:t>
      </w:r>
      <w:r w:rsidR="00945DBE" w:rsidRPr="00CF4023">
        <w:rPr>
          <w:rFonts w:ascii="Arial" w:hAnsi="Arial" w:cs="Arial"/>
          <w:lang w:eastAsia="ja-JP"/>
        </w:rPr>
        <w:t>its</w:t>
      </w:r>
      <w:r w:rsidR="001238D9" w:rsidRPr="00CF4023">
        <w:rPr>
          <w:rFonts w:ascii="Arial" w:hAnsi="Arial" w:cs="Arial"/>
          <w:lang w:eastAsia="ja-JP"/>
        </w:rPr>
        <w:t xml:space="preserve"> extensive and lengthy experience in developing and implementing </w:t>
      </w:r>
      <w:r w:rsidRPr="00CF4023">
        <w:rPr>
          <w:rFonts w:ascii="Arial" w:hAnsi="Arial" w:cs="Arial"/>
          <w:lang w:eastAsia="ja-JP"/>
        </w:rPr>
        <w:t xml:space="preserve">innovative approaches </w:t>
      </w:r>
      <w:r w:rsidR="001238D9" w:rsidRPr="00CF4023">
        <w:rPr>
          <w:rFonts w:ascii="Arial" w:hAnsi="Arial" w:cs="Arial"/>
          <w:lang w:eastAsia="ja-JP"/>
        </w:rPr>
        <w:t>to</w:t>
      </w:r>
      <w:r w:rsidRPr="00CF4023">
        <w:rPr>
          <w:rFonts w:ascii="Arial" w:hAnsi="Arial" w:cs="Arial"/>
          <w:lang w:eastAsia="ja-JP"/>
        </w:rPr>
        <w:t xml:space="preserve"> EE</w:t>
      </w:r>
      <w:r w:rsidR="001238D9" w:rsidRPr="00CF4023">
        <w:rPr>
          <w:rFonts w:ascii="Arial" w:hAnsi="Arial" w:cs="Arial"/>
          <w:lang w:eastAsia="ja-JP"/>
        </w:rPr>
        <w:t>.</w:t>
      </w:r>
      <w:r w:rsidR="003E7A5A">
        <w:rPr>
          <w:rFonts w:ascii="Arial" w:hAnsi="Arial" w:cs="Arial"/>
          <w:lang w:eastAsia="ja-JP"/>
        </w:rPr>
        <w:t xml:space="preserve"> </w:t>
      </w:r>
    </w:p>
    <w:p w14:paraId="5347B79A" w14:textId="77777777" w:rsidR="00F75522" w:rsidRDefault="00F75522" w:rsidP="00F75522">
      <w:pPr>
        <w:pStyle w:val="ListParagraph"/>
        <w:spacing w:before="120" w:after="120"/>
        <w:ind w:left="360"/>
        <w:jc w:val="both"/>
        <w:rPr>
          <w:rFonts w:ascii="Arial" w:hAnsi="Arial" w:cs="Arial"/>
          <w:lang w:eastAsia="ja-JP"/>
        </w:rPr>
      </w:pPr>
    </w:p>
    <w:p w14:paraId="49C4674B" w14:textId="072E7736" w:rsidR="001238D9" w:rsidRPr="003E7A5A" w:rsidRDefault="003E7A5A" w:rsidP="00F75522">
      <w:pPr>
        <w:pStyle w:val="ListParagraph"/>
        <w:numPr>
          <w:ilvl w:val="1"/>
          <w:numId w:val="5"/>
        </w:numPr>
        <w:spacing w:before="120" w:after="120"/>
        <w:ind w:hanging="540"/>
        <w:jc w:val="both"/>
        <w:rPr>
          <w:rFonts w:ascii="Arial" w:hAnsi="Arial" w:cs="Arial"/>
          <w:lang w:eastAsia="ja-JP"/>
        </w:rPr>
      </w:pPr>
      <w:r w:rsidRPr="003E7A5A">
        <w:rPr>
          <w:rFonts w:ascii="Arial" w:hAnsi="Arial" w:cs="Arial"/>
          <w:lang w:eastAsia="ja-JP"/>
        </w:rPr>
        <w:t>EE is one of the most cost-effective and critical Instruments to help meet the growth in energy demand. Improvements in EE have been shown to contribute to enhanced energy security, increased competitiveness, employment generation, higher reliability of energy systems, reduced vulnerability to high and volatile energy prices, and lower contributions to GHG emissions. Broad and timely deployment of EE measures in the coming decades will also help buy time for more technologically-advanced GHG mitigation initiatives that will emerge over the longer-term. The potential for EE is large in LAC and can be implemented in the short- and medium-term, can be realized cost-effectively, and makes use of currently available EE technologies. However, the rate of implementation of EE policies and measures and the deployment of EE technologies and best practices well behind the opportunities that exist for energy savings. Among the barriers that inhibit the scaling up of EE are the absence of effective EE institutions, inadequate regulatory policies, lack of awareness regarding EE activities and their benefits, and the difficulty financing large EE projects. The challenge for policymakers and the international community is to help put in place effective policies, implementation mechanisms, and financing strategies to ramp up the delivery of energy savings, especially on the demand side.</w:t>
      </w:r>
    </w:p>
    <w:p w14:paraId="0153ED2F" w14:textId="77777777" w:rsidR="001238D9" w:rsidRPr="00CF4023" w:rsidRDefault="001238D9" w:rsidP="001238D9">
      <w:pPr>
        <w:pStyle w:val="ListParagraph"/>
        <w:spacing w:before="120" w:after="120"/>
        <w:ind w:left="360"/>
        <w:jc w:val="both"/>
        <w:rPr>
          <w:rFonts w:ascii="Arial" w:hAnsi="Arial" w:cs="Arial"/>
        </w:rPr>
      </w:pPr>
    </w:p>
    <w:p w14:paraId="705F2023" w14:textId="02D27667" w:rsidR="00C26197" w:rsidRPr="00CF4023" w:rsidRDefault="7D4EF4EF" w:rsidP="7D4EF4EF">
      <w:pPr>
        <w:pStyle w:val="ListParagraph"/>
        <w:numPr>
          <w:ilvl w:val="1"/>
          <w:numId w:val="5"/>
        </w:numPr>
        <w:spacing w:before="120" w:after="120"/>
        <w:ind w:hanging="547"/>
        <w:jc w:val="both"/>
        <w:rPr>
          <w:rFonts w:ascii="Arial" w:hAnsi="Arial" w:cs="Arial"/>
        </w:rPr>
      </w:pPr>
      <w:r w:rsidRPr="7D4EF4EF">
        <w:rPr>
          <w:rFonts w:ascii="Arial" w:hAnsi="Arial" w:cs="Arial"/>
          <w:lang w:eastAsia="ja-JP"/>
        </w:rPr>
        <w:t xml:space="preserve">Renewables are the second pole of the SDG#7.  Countries are increasingly recognizing that in addition to grid extension, DREG can provide an important, climate-friendly, path to provide electricity.  This has received attention with regard to efforts to provide electricity access to remote areas where grid extension can be particularly costly (and thereby also supporting the first goal of SDG#7 - relating to universal energy access).  However, even for closer locations, stand-alone RE generators can provide an important clean, reliable and cost-effective source of electricity even for users on the grid.  This is true for the large number of public buildings (even those located in grid-connected urban and peri-urban sectors) that can reduce their electricity costs, and the demands on the grid, through these DREG sources.  Reducing the demand on the grid -- including in peak hours when the sun shines brightly but demand for electricity rises with business activity and an increasing the demand for air conditioning – can help improve electricity reliability (e.g., by reducing the possibility of power shortages), and reduce the need to burn fossil fuels to generate electricity (a benefit which, for example, Germany has seen as a result of its large-scale expansion of smaller PV and other distributed RE systems).  This is an area – and a potential opportunity – which to date has received less attention in the LAC region than in some other regions despite its great benefits resulting from recent technology improvements there is room for the LAC region to catalyze further investments in DREG to support not only the renewables goal of the SGD#7, but also through, inter alia, the positive impact on the delivery of electricity, the sound and sustainable economic and social development of LAC countries.      </w:t>
      </w:r>
    </w:p>
    <w:p w14:paraId="0C60DFBF" w14:textId="77777777" w:rsidR="00C26197" w:rsidRPr="00CF4023" w:rsidRDefault="00C26197" w:rsidP="00C26197">
      <w:pPr>
        <w:pStyle w:val="ListParagraph"/>
        <w:spacing w:before="120" w:after="120"/>
        <w:ind w:left="360"/>
        <w:jc w:val="both"/>
        <w:rPr>
          <w:rFonts w:ascii="Arial" w:hAnsi="Arial" w:cs="Arial"/>
        </w:rPr>
      </w:pPr>
    </w:p>
    <w:p w14:paraId="7B744DC4" w14:textId="4FF065C8" w:rsidR="00C26197" w:rsidRPr="00CF4023" w:rsidRDefault="7D4EF4EF" w:rsidP="7D4EF4EF">
      <w:pPr>
        <w:pStyle w:val="ListParagraph"/>
        <w:numPr>
          <w:ilvl w:val="1"/>
          <w:numId w:val="5"/>
        </w:numPr>
        <w:spacing w:before="120" w:after="120"/>
        <w:ind w:hanging="540"/>
        <w:jc w:val="both"/>
        <w:rPr>
          <w:rFonts w:ascii="Arial" w:eastAsia="Times New Roman" w:hAnsi="Arial" w:cs="Arial"/>
          <w:sz w:val="24"/>
          <w:szCs w:val="24"/>
        </w:rPr>
      </w:pPr>
      <w:r w:rsidRPr="7D4EF4EF">
        <w:rPr>
          <w:rFonts w:ascii="Arial" w:hAnsi="Arial" w:cs="Arial"/>
          <w:b/>
          <w:bCs/>
          <w:u w:val="single"/>
        </w:rPr>
        <w:t>Sector context:</w:t>
      </w:r>
      <w:r w:rsidRPr="7D4EF4EF">
        <w:rPr>
          <w:rFonts w:ascii="Arial" w:hAnsi="Arial" w:cs="Arial"/>
        </w:rPr>
        <w:t xml:space="preserve"> A study currently under preparation by SEforALL Hub partners provides some insights into the current status of EE programs in LAC, including on the following 5 countries: Argentina, Ecuador, Honduras, Mexico, and Paraguay which are the expected countries of focus under this TC</w:t>
      </w:r>
      <w:r w:rsidR="008D3000">
        <w:rPr>
          <w:rFonts w:ascii="Arial" w:hAnsi="Arial" w:cs="Arial"/>
        </w:rPr>
        <w:t xml:space="preserve"> </w:t>
      </w:r>
      <w:r w:rsidR="008D3000" w:rsidRPr="008D3000">
        <w:rPr>
          <w:rFonts w:ascii="Arial" w:hAnsi="Arial" w:cs="Arial"/>
        </w:rPr>
        <w:t>and where the Bank has an active dialogue on promoting EE through the SEforALL initiative, including through TC RG-T2608, and which have expressed interest in identifying specific EE interventions through studies and related technical assistance.</w:t>
      </w:r>
      <w:r w:rsidRPr="008D3000">
        <w:rPr>
          <w:rFonts w:ascii="Arial" w:hAnsi="Arial" w:cs="Arial"/>
        </w:rPr>
        <w:t>:</w:t>
      </w:r>
      <w:r w:rsidRPr="7D4EF4EF">
        <w:rPr>
          <w:rFonts w:ascii="Arial" w:hAnsi="Arial" w:cs="Arial"/>
        </w:rPr>
        <w:t xml:space="preserve"> </w:t>
      </w:r>
    </w:p>
    <w:p w14:paraId="37D85EED" w14:textId="77777777" w:rsidR="00C26197" w:rsidRPr="00CF4023" w:rsidRDefault="00C26197" w:rsidP="00C26197">
      <w:pPr>
        <w:pStyle w:val="ListParagraph"/>
        <w:ind w:left="0"/>
        <w:rPr>
          <w:rStyle w:val="CommentReference"/>
          <w:rFonts w:ascii="Arial" w:eastAsia="Times New Roman" w:hAnsi="Arial" w:cs="Arial"/>
          <w:sz w:val="24"/>
          <w:szCs w:val="24"/>
          <w:shd w:val="clear" w:color="auto" w:fill="FDFDFD"/>
        </w:rPr>
      </w:pPr>
    </w:p>
    <w:p w14:paraId="02BE745B" w14:textId="6F0A2C9A" w:rsidR="00037B43" w:rsidRPr="00CF4023" w:rsidRDefault="7D4EF4EF" w:rsidP="7D4EF4EF">
      <w:pPr>
        <w:pStyle w:val="ListParagraph"/>
        <w:numPr>
          <w:ilvl w:val="3"/>
          <w:numId w:val="16"/>
        </w:numPr>
        <w:spacing w:after="120"/>
        <w:ind w:left="720"/>
        <w:jc w:val="both"/>
        <w:rPr>
          <w:rFonts w:ascii="Arial" w:hAnsi="Arial" w:cs="Arial"/>
          <w:lang w:eastAsia="ja-JP"/>
        </w:rPr>
      </w:pPr>
      <w:r w:rsidRPr="7D4EF4EF">
        <w:rPr>
          <w:rFonts w:ascii="Arial" w:hAnsi="Arial" w:cs="Arial"/>
          <w:lang w:eastAsia="ja-JP"/>
        </w:rPr>
        <w:t xml:space="preserve">Argentina has increased its efforts to expand EE activity. The Government recently created the Under-secretariat for Savings and EE within the Ministry of Energy and Mining, and the Argentine Fund for EE (FAEE). The Government is also currently drafting an EE Law, and a National EE Plan as well as related implementing regulations. The Government is also working on the design and monitoring implementation modalities for EE indicators. Programs under implementation, being strengthened or under development target a variety of sub-sectors, including the residential (lighting, household appliances), industrial (energy management, boilers, motors), and public sectors (public lighting and buildings). </w:t>
      </w:r>
    </w:p>
    <w:p w14:paraId="5F827AC2" w14:textId="77777777" w:rsidR="00DD400B" w:rsidRPr="00CF4023" w:rsidRDefault="00DD400B" w:rsidP="00DD400B">
      <w:pPr>
        <w:pStyle w:val="ListParagraph"/>
        <w:rPr>
          <w:rFonts w:ascii="Arial" w:hAnsi="Arial" w:cs="Arial"/>
        </w:rPr>
      </w:pPr>
    </w:p>
    <w:p w14:paraId="2BAC4B0F" w14:textId="4B784834" w:rsidR="00DD400B" w:rsidRPr="00CF4023" w:rsidRDefault="7D4EF4EF" w:rsidP="7D4EF4EF">
      <w:pPr>
        <w:pStyle w:val="ListParagraph"/>
        <w:numPr>
          <w:ilvl w:val="3"/>
          <w:numId w:val="16"/>
        </w:numPr>
        <w:spacing w:before="120" w:after="120"/>
        <w:ind w:left="720"/>
        <w:jc w:val="both"/>
        <w:rPr>
          <w:rFonts w:ascii="Arial" w:hAnsi="Arial" w:cs="Arial"/>
        </w:rPr>
      </w:pPr>
      <w:r w:rsidRPr="7D4EF4EF">
        <w:rPr>
          <w:rFonts w:ascii="Arial" w:hAnsi="Arial" w:cs="Arial"/>
        </w:rPr>
        <w:t>Ecuador has made progress in EE regulations between 2014 and 2016 thanks to the implementation of the National Energy Agenda 2016-2040 and the Electricity Master Plan 2013-2022, aimed at implementing policies and programs focused on energy consumption. About 20 technical regulations have been implemented on appliances, lighting, heating and air conditioning. The country has an Efficient Appliances Replacement Program (RENOVA) and has prepared a National EE Plan (PLANEE) for the period 2017-2035, to be updated every 3 years, and which will be complemented by technical regulations for industry, transportation and residential and commercial buildings. A comprehensive energy information system is being designed for 2020 in order to establish EE indicators for monitoring and verification of the PLANEE.</w:t>
      </w:r>
    </w:p>
    <w:p w14:paraId="0BC83C1E" w14:textId="77777777" w:rsidR="00037B43" w:rsidRPr="00CF4023" w:rsidRDefault="00037B43" w:rsidP="00C26197">
      <w:pPr>
        <w:pStyle w:val="ListParagraph"/>
        <w:ind w:left="0"/>
        <w:rPr>
          <w:rFonts w:ascii="Arial" w:hAnsi="Arial" w:cs="Arial"/>
        </w:rPr>
      </w:pPr>
    </w:p>
    <w:p w14:paraId="1BB7112F" w14:textId="547D8717" w:rsidR="007E1462" w:rsidRPr="00CF4023" w:rsidRDefault="7D4EF4EF" w:rsidP="7D4EF4EF">
      <w:pPr>
        <w:pStyle w:val="ListParagraph"/>
        <w:numPr>
          <w:ilvl w:val="3"/>
          <w:numId w:val="16"/>
        </w:numPr>
        <w:spacing w:before="120" w:after="120"/>
        <w:ind w:left="720"/>
        <w:jc w:val="both"/>
        <w:rPr>
          <w:rFonts w:ascii="Arial" w:hAnsi="Arial" w:cs="Arial"/>
        </w:rPr>
      </w:pPr>
      <w:r w:rsidRPr="7D4EF4EF">
        <w:rPr>
          <w:rFonts w:ascii="Arial" w:hAnsi="Arial" w:cs="Arial"/>
        </w:rPr>
        <w:t xml:space="preserve">Honduras has limited legislation and regulations on EE but is expanding its action in this area. In 2014, an Executive Decree was issued which included energy saving measures. EE programs have been implemented, for example, through private banks and financial institutions and industry. There are EE initiatives supported by international cooperation such as energy savings by GEF, clean energy by GIZ and standards and labeling by USAID. In addition, an EE law, the Rational and Efficient Energy Use Law, is currently under discussion at Congress.  Once the law is adopted, implementing EE programs and regulations will need to be developed. </w:t>
      </w:r>
    </w:p>
    <w:p w14:paraId="591AFA16" w14:textId="77777777" w:rsidR="007E1462" w:rsidRPr="00CF4023" w:rsidRDefault="007E1462" w:rsidP="00C26197">
      <w:pPr>
        <w:pStyle w:val="ListParagraph"/>
        <w:ind w:left="0"/>
        <w:rPr>
          <w:rFonts w:ascii="Arial" w:hAnsi="Arial" w:cs="Arial"/>
        </w:rPr>
      </w:pPr>
    </w:p>
    <w:p w14:paraId="7AF8F8CD" w14:textId="7153C71E" w:rsidR="00C26197" w:rsidRPr="00CF4023" w:rsidRDefault="7D4EF4EF" w:rsidP="7D4EF4EF">
      <w:pPr>
        <w:pStyle w:val="ListParagraph"/>
        <w:numPr>
          <w:ilvl w:val="3"/>
          <w:numId w:val="16"/>
        </w:numPr>
        <w:spacing w:before="120" w:after="120"/>
        <w:ind w:left="720"/>
        <w:jc w:val="both"/>
        <w:rPr>
          <w:rFonts w:ascii="Arial" w:hAnsi="Arial" w:cs="Arial"/>
        </w:rPr>
      </w:pPr>
      <w:r w:rsidRPr="7D4EF4EF">
        <w:rPr>
          <w:rFonts w:ascii="Arial" w:hAnsi="Arial" w:cs="Arial"/>
        </w:rPr>
        <w:t xml:space="preserve">Mexico in the last two years has passed several law reforms directly related to EE, notably the General Law on Climate Change (amended in 2016) and the Energy Transition Law (2015). The country is preparing related implementing regulations </w:t>
      </w:r>
      <w:r w:rsidRPr="7D4EF4EF">
        <w:rPr>
          <w:rFonts w:ascii="Arial" w:hAnsi="Arial" w:cs="Arial"/>
        </w:rPr>
        <w:lastRenderedPageBreak/>
        <w:t>and an EE roadmap. The National Commission for the Efficient Use of Energy (CONUEE) is a pioneer in the region in promoting EE. Its actions include establishing an information system with EE indicators and implementing several energy efficient standards and EE programs, including a program that targets public buildings and facilities at national and municipal levels. Mexico has also looked at the prospects to use public schools to use solar energy.  Notwithstanding these important actions by Mexico in these areas, there remains a large untapped potential to improve the EE of public sector, including buildings where complementary DREG investments could strengthen the electricity network and provide other benefits.</w:t>
      </w:r>
      <w:r w:rsidR="00F45CE6">
        <w:rPr>
          <w:rFonts w:ascii="Arial" w:hAnsi="Arial" w:cs="Arial"/>
        </w:rPr>
        <w:t xml:space="preserve"> </w:t>
      </w:r>
      <w:r w:rsidR="004E73C8">
        <w:rPr>
          <w:rFonts w:ascii="Arial" w:hAnsi="Arial" w:cs="Arial"/>
        </w:rPr>
        <w:t>The Bank is currently preparing an investment project for introducing EE measures in public buildings which complements these efforts.</w:t>
      </w:r>
    </w:p>
    <w:p w14:paraId="3C6DD65F" w14:textId="77777777" w:rsidR="00C26197" w:rsidRPr="00CF4023" w:rsidRDefault="00C26197" w:rsidP="00C32985">
      <w:pPr>
        <w:pStyle w:val="ListParagraph"/>
        <w:spacing w:before="120" w:after="120"/>
        <w:jc w:val="both"/>
        <w:rPr>
          <w:rFonts w:ascii="Arial" w:hAnsi="Arial" w:cs="Arial"/>
        </w:rPr>
      </w:pPr>
    </w:p>
    <w:p w14:paraId="5CC5C4C4" w14:textId="0782AAD1" w:rsidR="00F834E2" w:rsidRPr="00CF4023" w:rsidRDefault="7D4EF4EF" w:rsidP="7D4EF4EF">
      <w:pPr>
        <w:pStyle w:val="ListParagraph"/>
        <w:numPr>
          <w:ilvl w:val="3"/>
          <w:numId w:val="16"/>
        </w:numPr>
        <w:spacing w:before="120" w:after="120"/>
        <w:ind w:left="720"/>
        <w:jc w:val="both"/>
        <w:rPr>
          <w:rFonts w:ascii="Arial" w:hAnsi="Arial" w:cs="Arial"/>
        </w:rPr>
      </w:pPr>
      <w:r w:rsidRPr="7D4EF4EF">
        <w:rPr>
          <w:rFonts w:ascii="Arial" w:hAnsi="Arial" w:cs="Arial"/>
        </w:rPr>
        <w:t>Paraguay has recently taken several notable actions to promote EE, including: (a) implementing regulations on EE in electrical installations, (b) a labeling program, and (c) the creation of an agency within the Ministry of Public Works and Communications to promote EE. Moreover, a Framework Law for the Rational and Efficient Use of Energy is under preparation. Other EE programs are being designed, for example, targeting public buildings, promoting EE training and appliance labeling. The country is also as developing a database on EE indicators.</w:t>
      </w:r>
    </w:p>
    <w:p w14:paraId="66DFD279" w14:textId="77777777" w:rsidR="009C3D71" w:rsidRPr="00CF4023" w:rsidRDefault="009C3D71" w:rsidP="009C3D71">
      <w:pPr>
        <w:pStyle w:val="ListParagraph"/>
        <w:spacing w:before="120" w:after="120"/>
        <w:ind w:left="360"/>
        <w:jc w:val="both"/>
        <w:rPr>
          <w:rFonts w:ascii="Arial" w:hAnsi="Arial" w:cs="Arial"/>
        </w:rPr>
      </w:pPr>
    </w:p>
    <w:p w14:paraId="04753C9E" w14:textId="1453A8C8" w:rsidR="00C32985" w:rsidRPr="00CF4023" w:rsidRDefault="7D4EF4EF" w:rsidP="7D4EF4EF">
      <w:pPr>
        <w:pStyle w:val="ListParagraph"/>
        <w:numPr>
          <w:ilvl w:val="1"/>
          <w:numId w:val="5"/>
        </w:numPr>
        <w:spacing w:before="120" w:after="120"/>
        <w:ind w:hanging="540"/>
        <w:jc w:val="both"/>
        <w:rPr>
          <w:rFonts w:ascii="Arial" w:hAnsi="Arial" w:cs="Arial"/>
        </w:rPr>
      </w:pPr>
      <w:r w:rsidRPr="7D4EF4EF">
        <w:rPr>
          <w:rFonts w:ascii="Arial" w:hAnsi="Arial" w:cs="Arial"/>
        </w:rPr>
        <w:t xml:space="preserve">In all 5 countries, the public sector is a relevant consumer of energy, through government ministries, school, hospitals and other public buildings, as well as public water works companies and other public sector service providers. </w:t>
      </w:r>
      <w:r w:rsidR="00C8737F">
        <w:rPr>
          <w:rFonts w:ascii="Arial" w:hAnsi="Arial" w:cs="Arial"/>
        </w:rPr>
        <w:t xml:space="preserve">According to the International Energy Agency (IEA), the commercial and public service sector </w:t>
      </w:r>
      <w:r w:rsidR="00193A0A">
        <w:rPr>
          <w:rFonts w:ascii="Arial" w:hAnsi="Arial" w:cs="Arial"/>
        </w:rPr>
        <w:t>represents on average</w:t>
      </w:r>
      <w:r w:rsidR="00C8737F">
        <w:rPr>
          <w:rFonts w:ascii="Arial" w:hAnsi="Arial" w:cs="Arial"/>
        </w:rPr>
        <w:t xml:space="preserve"> 25% of the total electricity consumption in Latin American countries. </w:t>
      </w:r>
      <w:r w:rsidRPr="7D4EF4EF">
        <w:rPr>
          <w:rFonts w:ascii="Arial" w:hAnsi="Arial" w:cs="Arial"/>
        </w:rPr>
        <w:t>Although governments have taken some steps to improve the EE in their installations (in part as noted above, as well as other additional programs), most public sector installations in these countries have not yet benefited from EE improvements.</w:t>
      </w:r>
    </w:p>
    <w:p w14:paraId="2A1A6D45" w14:textId="77777777" w:rsidR="00C26197" w:rsidRPr="00CF4023" w:rsidRDefault="00C26197" w:rsidP="00C26197">
      <w:pPr>
        <w:pStyle w:val="ListParagraph"/>
        <w:rPr>
          <w:rFonts w:ascii="Arial" w:hAnsi="Arial" w:cs="Arial"/>
        </w:rPr>
      </w:pPr>
    </w:p>
    <w:p w14:paraId="52DEB047" w14:textId="5A6BC446" w:rsidR="00F834E2" w:rsidRPr="00CF4023" w:rsidRDefault="7D4EF4EF" w:rsidP="7D4EF4EF">
      <w:pPr>
        <w:pStyle w:val="ListParagraph"/>
        <w:numPr>
          <w:ilvl w:val="0"/>
          <w:numId w:val="5"/>
        </w:numPr>
        <w:spacing w:before="120" w:after="120"/>
        <w:jc w:val="both"/>
        <w:rPr>
          <w:rFonts w:ascii="Arial" w:hAnsi="Arial" w:cs="Arial"/>
          <w:b/>
          <w:bCs/>
        </w:rPr>
      </w:pPr>
      <w:r w:rsidRPr="7D4EF4EF">
        <w:rPr>
          <w:rFonts w:ascii="Arial" w:hAnsi="Arial" w:cs="Arial"/>
          <w:b/>
          <w:bCs/>
          <w:sz w:val="24"/>
          <w:szCs w:val="24"/>
        </w:rPr>
        <w:t>Description of Activities and Outputs</w:t>
      </w:r>
    </w:p>
    <w:p w14:paraId="441D872F" w14:textId="77777777" w:rsidR="00F834E2" w:rsidRPr="00CF4023" w:rsidRDefault="00F834E2">
      <w:pPr>
        <w:pStyle w:val="ListParagraph"/>
        <w:spacing w:before="120" w:after="120"/>
        <w:ind w:left="360"/>
        <w:jc w:val="both"/>
        <w:rPr>
          <w:rFonts w:ascii="Arial" w:hAnsi="Arial" w:cs="Arial"/>
          <w:b/>
        </w:rPr>
      </w:pPr>
    </w:p>
    <w:p w14:paraId="34AD677E" w14:textId="1BBDA878" w:rsidR="00284A67" w:rsidRPr="00F75522" w:rsidRDefault="7D4EF4EF" w:rsidP="7D4EF4EF">
      <w:pPr>
        <w:pStyle w:val="ListParagraph"/>
        <w:numPr>
          <w:ilvl w:val="1"/>
          <w:numId w:val="5"/>
        </w:numPr>
        <w:spacing w:before="120" w:after="120"/>
        <w:ind w:hanging="540"/>
        <w:jc w:val="both"/>
        <w:rPr>
          <w:rFonts w:ascii="Arial" w:hAnsi="Arial" w:cs="Arial"/>
          <w:strike/>
        </w:rPr>
      </w:pPr>
      <w:r w:rsidRPr="7D4EF4EF">
        <w:rPr>
          <w:rFonts w:ascii="Arial" w:hAnsi="Arial" w:cs="Arial"/>
          <w:b/>
          <w:bCs/>
          <w:lang w:eastAsia="ja-JP"/>
        </w:rPr>
        <w:t>Component 1: Support for institutional strengthening and technical assessments to promote EE and DREG</w:t>
      </w:r>
      <w:r w:rsidRPr="7D4EF4EF">
        <w:rPr>
          <w:rFonts w:ascii="Arial" w:hAnsi="Arial" w:cs="Arial"/>
          <w:b/>
          <w:bCs/>
          <w:i/>
          <w:iCs/>
          <w:lang w:eastAsia="ja-JP"/>
        </w:rPr>
        <w:t xml:space="preserve">. </w:t>
      </w:r>
      <w:r w:rsidRPr="7D4EF4EF">
        <w:rPr>
          <w:rFonts w:ascii="Arial" w:hAnsi="Arial" w:cs="Arial"/>
          <w:lang w:eastAsia="ja-JP"/>
        </w:rPr>
        <w:t xml:space="preserve"> This component will support beneficiaries by providing technical assistance to: (i) review and/or update legal, regulatory, and institutional frameworks relating to EE, (ii) undertake technical assessments of EE potentials in selected public sector installations</w:t>
      </w:r>
      <w:r w:rsidR="00CD67D5">
        <w:rPr>
          <w:rStyle w:val="FootnoteReference"/>
          <w:rFonts w:ascii="Arial" w:hAnsi="Arial" w:cs="Arial"/>
          <w:lang w:eastAsia="ja-JP"/>
        </w:rPr>
        <w:footnoteReference w:id="4"/>
      </w:r>
      <w:r w:rsidRPr="7D4EF4EF">
        <w:rPr>
          <w:rFonts w:ascii="Arial" w:hAnsi="Arial" w:cs="Arial"/>
          <w:lang w:eastAsia="ja-JP"/>
        </w:rPr>
        <w:t>; and (iii) develop EE programs and initiatives that target public sector</w:t>
      </w:r>
      <w:r w:rsidRPr="7D4EF4EF">
        <w:rPr>
          <w:rFonts w:ascii="Arial" w:hAnsi="Arial" w:cs="Arial"/>
        </w:rPr>
        <w:t>.</w:t>
      </w:r>
    </w:p>
    <w:p w14:paraId="69548DFE" w14:textId="77777777" w:rsidR="00F75522" w:rsidRPr="00F75522" w:rsidRDefault="00F75522" w:rsidP="00F75522">
      <w:pPr>
        <w:pStyle w:val="ListParagraph"/>
        <w:spacing w:before="120" w:after="120"/>
        <w:ind w:left="360"/>
        <w:jc w:val="both"/>
        <w:rPr>
          <w:rFonts w:ascii="Arial" w:hAnsi="Arial" w:cs="Arial"/>
          <w:strike/>
        </w:rPr>
      </w:pPr>
    </w:p>
    <w:p w14:paraId="799ACA3B" w14:textId="08C856DD" w:rsidR="00284A67" w:rsidRPr="00F75522" w:rsidRDefault="7D4EF4EF" w:rsidP="00F75522">
      <w:pPr>
        <w:pStyle w:val="ListParagraph"/>
        <w:numPr>
          <w:ilvl w:val="1"/>
          <w:numId w:val="5"/>
        </w:numPr>
        <w:spacing w:before="120" w:after="120"/>
        <w:ind w:hanging="540"/>
        <w:jc w:val="both"/>
        <w:rPr>
          <w:rFonts w:ascii="Arial" w:hAnsi="Arial" w:cs="Arial"/>
          <w:strike/>
        </w:rPr>
      </w:pPr>
      <w:r w:rsidRPr="00F75522">
        <w:rPr>
          <w:rFonts w:ascii="Arial" w:hAnsi="Arial" w:cs="Arial"/>
        </w:rPr>
        <w:t xml:space="preserve">This component will also support, with respect to public buildings, the development of programs to explore the feasibility, the design and implementation of DREG to complement EE investments. </w:t>
      </w:r>
      <w:r w:rsidRPr="00F75522">
        <w:rPr>
          <w:rFonts w:ascii="Arial" w:hAnsi="Arial" w:cs="Arial"/>
          <w:lang w:eastAsia="ja-JP"/>
        </w:rPr>
        <w:t xml:space="preserve">Example of activities to be financed under this component include: (i) walk-through and investment grade audits; and (ii) technical </w:t>
      </w:r>
      <w:r w:rsidRPr="00F75522">
        <w:rPr>
          <w:rFonts w:ascii="Arial" w:hAnsi="Arial" w:cs="Arial"/>
          <w:lang w:eastAsia="ja-JP"/>
        </w:rPr>
        <w:lastRenderedPageBreak/>
        <w:t xml:space="preserve">plans in public buildings for introducing EE technology and/or DREG, baseline studies for public lighting, and technical specifications. </w:t>
      </w:r>
    </w:p>
    <w:p w14:paraId="0561B3AC" w14:textId="77777777" w:rsidR="00284A67" w:rsidRPr="00CF4023" w:rsidRDefault="00284A67" w:rsidP="00284A67">
      <w:pPr>
        <w:pStyle w:val="ListParagraph"/>
        <w:spacing w:before="120" w:after="120"/>
        <w:ind w:left="360"/>
        <w:jc w:val="both"/>
        <w:rPr>
          <w:rFonts w:ascii="Arial" w:hAnsi="Arial" w:cs="Arial"/>
          <w:lang w:eastAsia="ja-JP"/>
        </w:rPr>
      </w:pPr>
    </w:p>
    <w:p w14:paraId="1F708B15" w14:textId="7F580EE3" w:rsidR="005D37B3" w:rsidRPr="00CF4023" w:rsidRDefault="7D4EF4EF" w:rsidP="00F75522">
      <w:pPr>
        <w:pStyle w:val="ListParagraph"/>
        <w:numPr>
          <w:ilvl w:val="1"/>
          <w:numId w:val="5"/>
        </w:numPr>
        <w:spacing w:before="120" w:after="120"/>
        <w:ind w:hanging="540"/>
        <w:jc w:val="both"/>
        <w:rPr>
          <w:rFonts w:ascii="Arial" w:hAnsi="Arial" w:cs="Arial"/>
          <w:strike/>
        </w:rPr>
      </w:pPr>
      <w:r w:rsidRPr="7D4EF4EF">
        <w:rPr>
          <w:rFonts w:ascii="Arial" w:hAnsi="Arial" w:cs="Arial"/>
        </w:rPr>
        <w:t>This</w:t>
      </w:r>
      <w:r w:rsidRPr="7D4EF4EF">
        <w:rPr>
          <w:rFonts w:ascii="Arial" w:hAnsi="Arial" w:cs="Arial"/>
          <w:lang w:eastAsia="ja-JP"/>
        </w:rPr>
        <w:t xml:space="preserve"> </w:t>
      </w:r>
      <w:r w:rsidRPr="7D4EF4EF">
        <w:rPr>
          <w:rFonts w:ascii="Arial" w:hAnsi="Arial" w:cs="Arial"/>
        </w:rPr>
        <w:t>component will also s</w:t>
      </w:r>
      <w:r w:rsidRPr="7D4EF4EF">
        <w:rPr>
          <w:rFonts w:ascii="Arial" w:hAnsi="Arial" w:cs="Arial"/>
          <w:lang w:eastAsia="ja-JP"/>
        </w:rPr>
        <w:t xml:space="preserve">upport beneficiaries by providing technical assistance for designing EE </w:t>
      </w:r>
      <w:r w:rsidRPr="7D4EF4EF">
        <w:rPr>
          <w:rFonts w:ascii="Arial" w:hAnsi="Arial" w:cs="Arial"/>
        </w:rPr>
        <w:t xml:space="preserve">investment programs </w:t>
      </w:r>
      <w:r w:rsidRPr="7D4EF4EF">
        <w:rPr>
          <w:rFonts w:ascii="Arial" w:hAnsi="Arial" w:cs="Arial"/>
          <w:lang w:eastAsia="ja-JP"/>
        </w:rPr>
        <w:t>b</w:t>
      </w:r>
      <w:r w:rsidRPr="7D4EF4EF">
        <w:rPr>
          <w:rFonts w:ascii="Arial" w:hAnsi="Arial" w:cs="Arial"/>
        </w:rPr>
        <w:t>ased on the information generated under this Component 1</w:t>
      </w:r>
      <w:r w:rsidRPr="7D4EF4EF">
        <w:rPr>
          <w:rFonts w:ascii="Arial" w:hAnsi="Arial" w:cs="Arial"/>
          <w:lang w:eastAsia="ja-JP"/>
        </w:rPr>
        <w:t>. Moreover, it will also assist public sector agencie</w:t>
      </w:r>
      <w:r w:rsidR="00443CE4">
        <w:rPr>
          <w:rFonts w:ascii="Arial" w:hAnsi="Arial" w:cs="Arial"/>
          <w:lang w:eastAsia="ja-JP"/>
        </w:rPr>
        <w:t>s and</w:t>
      </w:r>
      <w:r w:rsidR="00443CE4" w:rsidRPr="00443CE4">
        <w:rPr>
          <w:rFonts w:ascii="Arial" w:hAnsi="Arial" w:cs="Arial"/>
          <w:u w:val="single"/>
          <w:lang w:eastAsia="ja-JP"/>
        </w:rPr>
        <w:t xml:space="preserve"> other entities (e.g. utilities)</w:t>
      </w:r>
      <w:r w:rsidR="00443CE4" w:rsidRPr="00443CE4">
        <w:rPr>
          <w:rFonts w:ascii="Arial" w:hAnsi="Arial" w:cs="Arial"/>
          <w:lang w:eastAsia="ja-JP"/>
        </w:rPr>
        <w:t xml:space="preserve"> to design practical implementation modalities</w:t>
      </w:r>
      <w:r w:rsidR="00443CE4" w:rsidRPr="00443CE4" w:rsidDel="00C01018">
        <w:rPr>
          <w:rFonts w:ascii="Arial" w:hAnsi="Arial" w:cs="Arial"/>
          <w:lang w:eastAsia="ja-JP"/>
        </w:rPr>
        <w:t xml:space="preserve"> </w:t>
      </w:r>
      <w:r w:rsidRPr="7D4EF4EF">
        <w:rPr>
          <w:rFonts w:ascii="Arial" w:hAnsi="Arial" w:cs="Arial"/>
          <w:lang w:eastAsia="ja-JP"/>
        </w:rPr>
        <w:t>that respond to their particular institutional context.  Such programs will consider cost-recovery mechanisms to allow the program fully or partially recover investment costs through energy savings generated by implementing EE measures. When designing investment programs, high efficiency quality equipment will be assessed based on life-cycle cost-benefit analysis in order to maximize the impact of the Program.</w:t>
      </w:r>
      <w:r w:rsidRPr="7D4EF4EF">
        <w:rPr>
          <w:rFonts w:ascii="Arial" w:hAnsi="Arial" w:cs="Arial"/>
          <w:strike/>
          <w:lang w:eastAsia="ja-JP"/>
        </w:rPr>
        <w:t xml:space="preserve"> </w:t>
      </w:r>
    </w:p>
    <w:p w14:paraId="0D7DEAC6" w14:textId="77777777" w:rsidR="007405E0" w:rsidRPr="00CF4023" w:rsidRDefault="007405E0" w:rsidP="007405E0">
      <w:pPr>
        <w:pStyle w:val="ListParagraph"/>
        <w:spacing w:before="120" w:after="120"/>
        <w:ind w:left="360"/>
        <w:jc w:val="both"/>
        <w:rPr>
          <w:rFonts w:ascii="Arial" w:hAnsi="Arial" w:cs="Arial"/>
        </w:rPr>
      </w:pPr>
    </w:p>
    <w:p w14:paraId="3B945D3D" w14:textId="0623B672" w:rsidR="00BF79E7" w:rsidRPr="00CF4023" w:rsidRDefault="00BB60A2" w:rsidP="7D4EF4EF">
      <w:pPr>
        <w:pStyle w:val="ListParagraph"/>
        <w:numPr>
          <w:ilvl w:val="1"/>
          <w:numId w:val="5"/>
        </w:numPr>
        <w:spacing w:before="120" w:after="120"/>
        <w:ind w:hanging="540"/>
        <w:jc w:val="both"/>
        <w:rPr>
          <w:rFonts w:ascii="Arial" w:hAnsi="Arial" w:cs="Arial"/>
        </w:rPr>
      </w:pPr>
      <w:r w:rsidRPr="7D4EF4EF">
        <w:rPr>
          <w:rFonts w:ascii="Arial" w:hAnsi="Arial" w:cs="Arial"/>
          <w:b/>
          <w:bCs/>
          <w:lang w:eastAsia="ja-JP"/>
        </w:rPr>
        <w:t xml:space="preserve">Component </w:t>
      </w:r>
      <w:r w:rsidR="00240FD1" w:rsidRPr="7D4EF4EF">
        <w:rPr>
          <w:rFonts w:ascii="Arial" w:hAnsi="Arial" w:cs="Arial"/>
          <w:b/>
          <w:bCs/>
          <w:lang w:eastAsia="ja-JP"/>
        </w:rPr>
        <w:t>2</w:t>
      </w:r>
      <w:r w:rsidR="00FB3D12" w:rsidRPr="7D4EF4EF">
        <w:rPr>
          <w:rFonts w:ascii="Arial" w:hAnsi="Arial" w:cs="Arial"/>
          <w:b/>
          <w:bCs/>
          <w:lang w:eastAsia="ja-JP"/>
        </w:rPr>
        <w:t xml:space="preserve">: Dissemination, </w:t>
      </w:r>
      <w:r w:rsidRPr="7D4EF4EF">
        <w:rPr>
          <w:rFonts w:ascii="Arial" w:hAnsi="Arial" w:cs="Arial"/>
          <w:b/>
          <w:bCs/>
          <w:lang w:eastAsia="ja-JP"/>
        </w:rPr>
        <w:t>Capacity Building</w:t>
      </w:r>
      <w:r w:rsidR="00FB3D12" w:rsidRPr="7D4EF4EF">
        <w:rPr>
          <w:rFonts w:ascii="Arial" w:hAnsi="Arial" w:cs="Arial"/>
          <w:b/>
          <w:bCs/>
          <w:lang w:eastAsia="ja-JP"/>
        </w:rPr>
        <w:t>, and project management</w:t>
      </w:r>
      <w:r w:rsidRPr="7D4EF4EF">
        <w:rPr>
          <w:rFonts w:ascii="Arial" w:hAnsi="Arial" w:cs="Arial"/>
          <w:b/>
          <w:bCs/>
          <w:lang w:eastAsia="ja-JP"/>
        </w:rPr>
        <w:t>.</w:t>
      </w:r>
      <w:r w:rsidRPr="00CF4023">
        <w:rPr>
          <w:rFonts w:ascii="Arial" w:hAnsi="Arial" w:cs="Arial"/>
        </w:rPr>
        <w:t xml:space="preserve"> </w:t>
      </w:r>
      <w:r w:rsidR="00D4483C" w:rsidRPr="00CF4023">
        <w:rPr>
          <w:rFonts w:ascii="Arial" w:hAnsi="Arial" w:cs="Arial"/>
        </w:rPr>
        <w:t xml:space="preserve">This component will </w:t>
      </w:r>
      <w:r w:rsidR="00DB53A8" w:rsidRPr="00CF4023">
        <w:rPr>
          <w:rFonts w:ascii="Arial" w:hAnsi="Arial" w:cs="Arial"/>
        </w:rPr>
        <w:t xml:space="preserve">support </w:t>
      </w:r>
      <w:r w:rsidR="00D4483C" w:rsidRPr="00CF4023">
        <w:rPr>
          <w:rFonts w:ascii="Arial" w:hAnsi="Arial" w:cs="Arial"/>
        </w:rPr>
        <w:t xml:space="preserve">capacity </w:t>
      </w:r>
      <w:r w:rsidR="00FB3D12" w:rsidRPr="00CF4023">
        <w:rPr>
          <w:rFonts w:ascii="Arial" w:hAnsi="Arial" w:cs="Arial"/>
        </w:rPr>
        <w:t xml:space="preserve">building, </w:t>
      </w:r>
      <w:r w:rsidR="00751EE8" w:rsidRPr="00CF4023">
        <w:rPr>
          <w:rFonts w:ascii="Arial" w:hAnsi="Arial" w:cs="Arial"/>
        </w:rPr>
        <w:t xml:space="preserve">relevant </w:t>
      </w:r>
      <w:r w:rsidR="00D4483C" w:rsidRPr="00CF4023">
        <w:rPr>
          <w:rFonts w:ascii="Arial" w:hAnsi="Arial" w:cs="Arial"/>
        </w:rPr>
        <w:t>dissemination activities</w:t>
      </w:r>
      <w:r w:rsidR="00FB3D12" w:rsidRPr="00CF4023">
        <w:rPr>
          <w:rFonts w:ascii="Arial" w:hAnsi="Arial" w:cs="Arial"/>
        </w:rPr>
        <w:t>, and project management</w:t>
      </w:r>
      <w:r w:rsidR="00D4483C" w:rsidRPr="00CF4023">
        <w:rPr>
          <w:rFonts w:ascii="Arial" w:hAnsi="Arial" w:cs="Arial"/>
        </w:rPr>
        <w:t xml:space="preserve">. As a result of this TC, </w:t>
      </w:r>
      <w:r w:rsidR="00751EE8" w:rsidRPr="00CF4023">
        <w:rPr>
          <w:rFonts w:ascii="Arial" w:hAnsi="Arial" w:cs="Arial"/>
        </w:rPr>
        <w:t>beneficiaries</w:t>
      </w:r>
      <w:r w:rsidR="00D4483C" w:rsidRPr="00CF4023">
        <w:rPr>
          <w:rFonts w:ascii="Arial" w:hAnsi="Arial" w:cs="Arial"/>
        </w:rPr>
        <w:t xml:space="preserve"> are expected to have a more robust understanding of the potential of EE and </w:t>
      </w:r>
      <w:r w:rsidR="00240FD1" w:rsidRPr="00CF4023">
        <w:rPr>
          <w:rFonts w:ascii="Arial" w:hAnsi="Arial" w:cs="Arial"/>
        </w:rPr>
        <w:t xml:space="preserve">how to design and implement EE actions for public sector entities and their </w:t>
      </w:r>
      <w:r w:rsidR="006743E8" w:rsidRPr="00CF4023">
        <w:rPr>
          <w:rFonts w:ascii="Arial" w:hAnsi="Arial" w:cs="Arial"/>
        </w:rPr>
        <w:t>installations</w:t>
      </w:r>
      <w:r w:rsidR="00F6449C" w:rsidRPr="00CF4023">
        <w:rPr>
          <w:rFonts w:ascii="Arial" w:hAnsi="Arial" w:cs="Arial"/>
        </w:rPr>
        <w:t>, as well as for opportunities to combine EE and DREG investments to generate synergies</w:t>
      </w:r>
      <w:r w:rsidR="00D4483C" w:rsidRPr="00CF4023">
        <w:rPr>
          <w:rFonts w:ascii="Arial" w:hAnsi="Arial" w:cs="Arial"/>
        </w:rPr>
        <w:t xml:space="preserve">. </w:t>
      </w:r>
      <w:r w:rsidR="00BF79E7" w:rsidRPr="00CF4023">
        <w:rPr>
          <w:rFonts w:ascii="Arial" w:hAnsi="Arial" w:cs="Arial"/>
        </w:rPr>
        <w:t>A</w:t>
      </w:r>
      <w:r w:rsidR="00D4483C" w:rsidRPr="00CF4023">
        <w:rPr>
          <w:rFonts w:ascii="Arial" w:hAnsi="Arial" w:cs="Arial"/>
        </w:rPr>
        <w:t xml:space="preserve">ctivities </w:t>
      </w:r>
      <w:r w:rsidR="00BF79E7" w:rsidRPr="00CF4023">
        <w:rPr>
          <w:rFonts w:ascii="Arial" w:hAnsi="Arial" w:cs="Arial"/>
        </w:rPr>
        <w:t>to</w:t>
      </w:r>
      <w:r w:rsidR="00D4483C" w:rsidRPr="00CF4023">
        <w:rPr>
          <w:rFonts w:ascii="Arial" w:hAnsi="Arial" w:cs="Arial"/>
        </w:rPr>
        <w:t xml:space="preserve"> be </w:t>
      </w:r>
      <w:r w:rsidR="00BF79E7" w:rsidRPr="00CF4023">
        <w:rPr>
          <w:rFonts w:ascii="Arial" w:hAnsi="Arial" w:cs="Arial"/>
        </w:rPr>
        <w:t>supported include</w:t>
      </w:r>
      <w:r w:rsidR="00FC162B" w:rsidRPr="00CF4023">
        <w:rPr>
          <w:rFonts w:ascii="Arial" w:hAnsi="Arial" w:cs="Arial"/>
        </w:rPr>
        <w:t>:</w:t>
      </w:r>
      <w:r w:rsidR="00BF79E7" w:rsidRPr="00CF4023">
        <w:rPr>
          <w:rFonts w:ascii="Arial" w:hAnsi="Arial" w:cs="Arial"/>
        </w:rPr>
        <w:t xml:space="preserve"> (i) </w:t>
      </w:r>
      <w:r w:rsidR="00A33284" w:rsidRPr="00CF4023">
        <w:rPr>
          <w:rFonts w:ascii="Arial" w:hAnsi="Arial" w:cs="Arial"/>
        </w:rPr>
        <w:t>W</w:t>
      </w:r>
      <w:r w:rsidR="00D4483C" w:rsidRPr="00CF4023">
        <w:rPr>
          <w:rFonts w:ascii="Arial" w:hAnsi="Arial" w:cs="Arial"/>
        </w:rPr>
        <w:t>ebinars, online media and on-the-job training on EE</w:t>
      </w:r>
      <w:r w:rsidR="00D25751" w:rsidRPr="00CF4023">
        <w:rPr>
          <w:rFonts w:ascii="Arial" w:hAnsi="Arial" w:cs="Arial"/>
        </w:rPr>
        <w:t xml:space="preserve">; </w:t>
      </w:r>
      <w:r w:rsidR="00BF79E7" w:rsidRPr="00CF4023">
        <w:rPr>
          <w:rFonts w:ascii="Arial" w:hAnsi="Arial" w:cs="Arial"/>
        </w:rPr>
        <w:t>and (ii) d</w:t>
      </w:r>
      <w:r w:rsidR="00D4483C" w:rsidRPr="00CF4023">
        <w:rPr>
          <w:rFonts w:ascii="Arial" w:hAnsi="Arial" w:cs="Arial"/>
        </w:rPr>
        <w:t xml:space="preserve">issemination of </w:t>
      </w:r>
      <w:r w:rsidR="00A33284" w:rsidRPr="00CF4023">
        <w:rPr>
          <w:rFonts w:ascii="Arial" w:hAnsi="Arial" w:cs="Arial"/>
        </w:rPr>
        <w:t>activities i</w:t>
      </w:r>
      <w:r w:rsidR="00D4483C" w:rsidRPr="00CF4023">
        <w:rPr>
          <w:rFonts w:ascii="Arial" w:hAnsi="Arial" w:cs="Arial"/>
        </w:rPr>
        <w:t xml:space="preserve">n </w:t>
      </w:r>
      <w:r w:rsidR="00435714" w:rsidRPr="00CF4023">
        <w:rPr>
          <w:rFonts w:ascii="Arial" w:hAnsi="Arial" w:cs="Arial"/>
        </w:rPr>
        <w:t>wor</w:t>
      </w:r>
      <w:r w:rsidR="00A33284" w:rsidRPr="00CF4023">
        <w:rPr>
          <w:rFonts w:ascii="Arial" w:hAnsi="Arial" w:cs="Arial"/>
        </w:rPr>
        <w:t xml:space="preserve">kshops and </w:t>
      </w:r>
      <w:r w:rsidR="00D4483C" w:rsidRPr="00CF4023">
        <w:rPr>
          <w:rFonts w:ascii="Arial" w:hAnsi="Arial" w:cs="Arial"/>
        </w:rPr>
        <w:t>regional events organized by the IDB</w:t>
      </w:r>
      <w:r w:rsidR="00435714" w:rsidRPr="00CF4023">
        <w:rPr>
          <w:rFonts w:ascii="Arial" w:hAnsi="Arial" w:cs="Arial"/>
        </w:rPr>
        <w:t xml:space="preserve"> and/</w:t>
      </w:r>
      <w:r w:rsidR="00A33284" w:rsidRPr="00CF4023">
        <w:rPr>
          <w:rFonts w:ascii="Arial" w:hAnsi="Arial" w:cs="Arial"/>
        </w:rPr>
        <w:t>or governments in participat</w:t>
      </w:r>
      <w:r w:rsidR="00435714" w:rsidRPr="00CF4023">
        <w:rPr>
          <w:rFonts w:ascii="Arial" w:hAnsi="Arial" w:cs="Arial"/>
        </w:rPr>
        <w:t>ing</w:t>
      </w:r>
      <w:r w:rsidR="00A33284" w:rsidRPr="00CF4023">
        <w:rPr>
          <w:rFonts w:ascii="Arial" w:hAnsi="Arial" w:cs="Arial"/>
        </w:rPr>
        <w:t xml:space="preserve"> countries</w:t>
      </w:r>
      <w:r w:rsidR="00BF79E7" w:rsidRPr="00CF4023">
        <w:rPr>
          <w:rStyle w:val="FootnoteReference"/>
          <w:rFonts w:ascii="Arial" w:hAnsi="Arial" w:cs="Arial"/>
        </w:rPr>
        <w:footnoteReference w:id="5"/>
      </w:r>
      <w:r w:rsidR="00BF79E7" w:rsidRPr="00CF4023">
        <w:rPr>
          <w:rFonts w:ascii="Arial" w:hAnsi="Arial" w:cs="Arial"/>
        </w:rPr>
        <w:t>.</w:t>
      </w:r>
      <w:r w:rsidR="00240FD1" w:rsidRPr="00CF4023">
        <w:rPr>
          <w:rFonts w:ascii="Arial" w:hAnsi="Arial" w:cs="Arial"/>
        </w:rPr>
        <w:t xml:space="preserve">  This component will also support workshops to promote cross-sharing of experience</w:t>
      </w:r>
      <w:r w:rsidR="00D25751" w:rsidRPr="00CF4023">
        <w:rPr>
          <w:rFonts w:ascii="Arial" w:hAnsi="Arial" w:cs="Arial"/>
        </w:rPr>
        <w:t>, including</w:t>
      </w:r>
      <w:r w:rsidR="00240FD1" w:rsidRPr="00CF4023">
        <w:rPr>
          <w:rFonts w:ascii="Arial" w:hAnsi="Arial" w:cs="Arial"/>
        </w:rPr>
        <w:t xml:space="preserve"> public and private sectors.</w:t>
      </w:r>
    </w:p>
    <w:p w14:paraId="09575539" w14:textId="77777777" w:rsidR="009F6D39" w:rsidRPr="00CF4023" w:rsidRDefault="009F6D39" w:rsidP="009F6D39">
      <w:pPr>
        <w:pStyle w:val="ListParagraph"/>
        <w:rPr>
          <w:rFonts w:ascii="Arial" w:hAnsi="Arial" w:cs="Arial"/>
        </w:rPr>
      </w:pPr>
    </w:p>
    <w:p w14:paraId="19235C2F" w14:textId="505150E8" w:rsidR="009F6D39" w:rsidRPr="00CF4023" w:rsidRDefault="7D4EF4EF" w:rsidP="7D4EF4EF">
      <w:pPr>
        <w:pStyle w:val="ListParagraph"/>
        <w:numPr>
          <w:ilvl w:val="1"/>
          <w:numId w:val="5"/>
        </w:numPr>
        <w:spacing w:before="120" w:after="120"/>
        <w:ind w:hanging="540"/>
        <w:jc w:val="both"/>
        <w:rPr>
          <w:rFonts w:ascii="Arial" w:hAnsi="Arial" w:cs="Arial"/>
        </w:rPr>
      </w:pPr>
      <w:r w:rsidRPr="7D4EF4EF">
        <w:rPr>
          <w:rFonts w:ascii="Arial" w:hAnsi="Arial" w:cs="Arial"/>
        </w:rPr>
        <w:t xml:space="preserve">Annex I contains a detailed proposed result matrix for the described components.  </w:t>
      </w:r>
    </w:p>
    <w:p w14:paraId="100CC0BE" w14:textId="77777777" w:rsidR="00751EE8" w:rsidRPr="00CF4023" w:rsidRDefault="00751EE8" w:rsidP="00BF79E7">
      <w:pPr>
        <w:pStyle w:val="ListParagraph"/>
        <w:rPr>
          <w:rFonts w:ascii="Arial" w:hAnsi="Arial" w:cs="Arial"/>
        </w:rPr>
      </w:pPr>
    </w:p>
    <w:p w14:paraId="544AEE12" w14:textId="77777777" w:rsidR="00F834E2" w:rsidRPr="00635A4A" w:rsidRDefault="7D4EF4EF" w:rsidP="7D4EF4EF">
      <w:pPr>
        <w:pStyle w:val="ListParagraph"/>
        <w:numPr>
          <w:ilvl w:val="0"/>
          <w:numId w:val="5"/>
        </w:numPr>
        <w:spacing w:before="120" w:after="120"/>
        <w:jc w:val="both"/>
        <w:rPr>
          <w:rFonts w:ascii="Arial" w:hAnsi="Arial" w:cs="Arial"/>
          <w:b/>
          <w:bCs/>
          <w:sz w:val="24"/>
          <w:szCs w:val="24"/>
          <w:lang w:val="es-MX"/>
        </w:rPr>
      </w:pPr>
      <w:r w:rsidRPr="7D4EF4EF">
        <w:rPr>
          <w:rFonts w:ascii="Arial" w:hAnsi="Arial" w:cs="Arial"/>
          <w:b/>
          <w:bCs/>
          <w:sz w:val="24"/>
          <w:szCs w:val="24"/>
          <w:lang w:val="es-MX"/>
        </w:rPr>
        <w:t>Budget</w:t>
      </w:r>
    </w:p>
    <w:p w14:paraId="599C1974" w14:textId="77777777" w:rsidR="001361A7" w:rsidRPr="00CF4023" w:rsidRDefault="001361A7" w:rsidP="001361A7">
      <w:pPr>
        <w:pStyle w:val="ListParagraph"/>
        <w:spacing w:before="120" w:after="120"/>
        <w:ind w:left="360"/>
        <w:jc w:val="both"/>
        <w:rPr>
          <w:rFonts w:ascii="Arial" w:hAnsi="Arial" w:cs="Arial"/>
          <w:b/>
          <w:lang w:val="es-MX"/>
        </w:rPr>
      </w:pPr>
    </w:p>
    <w:p w14:paraId="54896D14" w14:textId="1DE96BFA" w:rsidR="00273C98" w:rsidRPr="00F75522" w:rsidRDefault="7D4EF4EF" w:rsidP="7D4EF4EF">
      <w:pPr>
        <w:pStyle w:val="ListParagraph"/>
        <w:numPr>
          <w:ilvl w:val="1"/>
          <w:numId w:val="5"/>
        </w:numPr>
        <w:spacing w:before="120" w:after="120"/>
        <w:ind w:hanging="540"/>
        <w:jc w:val="both"/>
        <w:rPr>
          <w:rFonts w:ascii="Arial" w:hAnsi="Arial" w:cs="Arial"/>
          <w:b/>
          <w:bCs/>
        </w:rPr>
      </w:pPr>
      <w:r w:rsidRPr="7D4EF4EF">
        <w:rPr>
          <w:rFonts w:ascii="Arial" w:hAnsi="Arial" w:cs="Arial"/>
        </w:rPr>
        <w:t xml:space="preserve">An indicative budget by component is presented in the following table. </w:t>
      </w:r>
      <w:r w:rsidR="00C01018">
        <w:rPr>
          <w:rFonts w:ascii="Arial" w:hAnsi="Arial" w:cs="Arial"/>
        </w:rPr>
        <w:t xml:space="preserve">The source of funding is the Japan Special Fund. </w:t>
      </w:r>
      <w:r w:rsidRPr="7D4EF4EF">
        <w:rPr>
          <w:rFonts w:ascii="Arial" w:hAnsi="Arial" w:cs="Arial"/>
        </w:rPr>
        <w:t xml:space="preserve">For a more detail budget see </w:t>
      </w:r>
      <w:hyperlink r:id="rId14">
        <w:r w:rsidRPr="7D4EF4EF">
          <w:rPr>
            <w:rStyle w:val="Hyperlink"/>
            <w:rFonts w:ascii="Arial" w:hAnsi="Arial" w:cs="Arial"/>
          </w:rPr>
          <w:t>Indicative Budget</w:t>
        </w:r>
      </w:hyperlink>
      <w:r w:rsidRPr="7D4EF4EF">
        <w:rPr>
          <w:rFonts w:ascii="Arial" w:hAnsi="Arial" w:cs="Arial"/>
        </w:rPr>
        <w:t xml:space="preserve">. </w:t>
      </w:r>
    </w:p>
    <w:p w14:paraId="1EE00C5F" w14:textId="0CFD665E" w:rsidR="00F75522" w:rsidRDefault="00F75522" w:rsidP="00F75522">
      <w:pPr>
        <w:pStyle w:val="ListParagraph"/>
        <w:spacing w:before="120" w:after="120"/>
        <w:ind w:left="360"/>
        <w:jc w:val="both"/>
        <w:rPr>
          <w:rFonts w:ascii="Arial" w:hAnsi="Arial" w:cs="Arial"/>
        </w:rPr>
      </w:pPr>
    </w:p>
    <w:p w14:paraId="704CE376" w14:textId="586CE892" w:rsidR="00F75522" w:rsidRDefault="00F75522" w:rsidP="00F75522">
      <w:pPr>
        <w:pStyle w:val="ListParagraph"/>
        <w:spacing w:before="120" w:after="120"/>
        <w:ind w:left="360"/>
        <w:jc w:val="both"/>
        <w:rPr>
          <w:rFonts w:ascii="Arial" w:hAnsi="Arial" w:cs="Arial"/>
        </w:rPr>
      </w:pPr>
    </w:p>
    <w:p w14:paraId="65230054" w14:textId="20FF7098" w:rsidR="00F75522" w:rsidRDefault="00F75522" w:rsidP="00F75522">
      <w:pPr>
        <w:pStyle w:val="ListParagraph"/>
        <w:spacing w:before="120" w:after="120"/>
        <w:ind w:left="360"/>
        <w:jc w:val="both"/>
        <w:rPr>
          <w:rFonts w:ascii="Arial" w:hAnsi="Arial" w:cs="Arial"/>
        </w:rPr>
      </w:pPr>
    </w:p>
    <w:p w14:paraId="028F399C" w14:textId="5BFE7341" w:rsidR="00F75522" w:rsidRDefault="00F75522" w:rsidP="00F75522">
      <w:pPr>
        <w:pStyle w:val="ListParagraph"/>
        <w:spacing w:before="120" w:after="120"/>
        <w:ind w:left="360"/>
        <w:jc w:val="both"/>
        <w:rPr>
          <w:rFonts w:ascii="Arial" w:hAnsi="Arial" w:cs="Arial"/>
        </w:rPr>
      </w:pPr>
    </w:p>
    <w:p w14:paraId="4B98626C" w14:textId="69EDE789" w:rsidR="00F75522" w:rsidRDefault="00F75522" w:rsidP="00F75522">
      <w:pPr>
        <w:pStyle w:val="ListParagraph"/>
        <w:spacing w:before="120" w:after="120"/>
        <w:ind w:left="360"/>
        <w:jc w:val="both"/>
        <w:rPr>
          <w:rFonts w:ascii="Arial" w:hAnsi="Arial" w:cs="Arial"/>
        </w:rPr>
      </w:pPr>
    </w:p>
    <w:p w14:paraId="66D85A65" w14:textId="2B1B5732" w:rsidR="00F75522" w:rsidRDefault="00F75522" w:rsidP="00F75522">
      <w:pPr>
        <w:pStyle w:val="ListParagraph"/>
        <w:spacing w:before="120" w:after="120"/>
        <w:ind w:left="360"/>
        <w:jc w:val="both"/>
        <w:rPr>
          <w:rFonts w:ascii="Arial" w:hAnsi="Arial" w:cs="Arial"/>
        </w:rPr>
      </w:pPr>
    </w:p>
    <w:p w14:paraId="52ECD974" w14:textId="053DB4C6" w:rsidR="00F75522" w:rsidRDefault="00F75522" w:rsidP="00F75522">
      <w:pPr>
        <w:pStyle w:val="ListParagraph"/>
        <w:spacing w:before="120" w:after="120"/>
        <w:ind w:left="360"/>
        <w:jc w:val="both"/>
        <w:rPr>
          <w:rFonts w:ascii="Arial" w:hAnsi="Arial" w:cs="Arial"/>
        </w:rPr>
      </w:pPr>
    </w:p>
    <w:p w14:paraId="2B4CD1CB" w14:textId="3C5B7914" w:rsidR="00F75522" w:rsidRDefault="00F75522" w:rsidP="00F75522">
      <w:pPr>
        <w:pStyle w:val="ListParagraph"/>
        <w:spacing w:before="120" w:after="120"/>
        <w:ind w:left="360"/>
        <w:jc w:val="both"/>
        <w:rPr>
          <w:rFonts w:ascii="Arial" w:hAnsi="Arial" w:cs="Arial"/>
        </w:rPr>
      </w:pPr>
    </w:p>
    <w:p w14:paraId="1C40C185" w14:textId="22090948" w:rsidR="00F75522" w:rsidRDefault="00F75522" w:rsidP="00F75522">
      <w:pPr>
        <w:pStyle w:val="ListParagraph"/>
        <w:spacing w:before="120" w:after="120"/>
        <w:ind w:left="360"/>
        <w:jc w:val="both"/>
        <w:rPr>
          <w:rFonts w:ascii="Arial" w:hAnsi="Arial" w:cs="Arial"/>
        </w:rPr>
      </w:pPr>
    </w:p>
    <w:p w14:paraId="4FB5CF38" w14:textId="77777777" w:rsidR="00F75522" w:rsidRPr="00CF4023" w:rsidRDefault="00F75522" w:rsidP="00F75522">
      <w:pPr>
        <w:pStyle w:val="ListParagraph"/>
        <w:spacing w:before="120" w:after="120"/>
        <w:ind w:left="360"/>
        <w:jc w:val="both"/>
        <w:rPr>
          <w:rFonts w:ascii="Arial" w:hAnsi="Arial" w:cs="Arial"/>
          <w:b/>
          <w:bCs/>
        </w:rPr>
      </w:pPr>
    </w:p>
    <w:p w14:paraId="372A6E5C" w14:textId="31BBBD69" w:rsidR="001361A7" w:rsidRDefault="001361A7" w:rsidP="001361A7">
      <w:pPr>
        <w:pStyle w:val="ListParagraph"/>
        <w:spacing w:before="120" w:after="120" w:line="240" w:lineRule="auto"/>
        <w:rPr>
          <w:rFonts w:ascii="Arial" w:hAnsi="Arial" w:cs="Arial"/>
          <w:b/>
        </w:rPr>
      </w:pPr>
    </w:p>
    <w:p w14:paraId="1A74FC0D" w14:textId="32AB2B02" w:rsidR="001361A7" w:rsidRPr="00CF4023" w:rsidRDefault="00F46C6F" w:rsidP="7D4EF4EF">
      <w:pPr>
        <w:pStyle w:val="ListParagraph"/>
        <w:spacing w:before="120" w:after="120" w:line="240" w:lineRule="auto"/>
        <w:ind w:left="360"/>
        <w:contextualSpacing w:val="0"/>
        <w:jc w:val="center"/>
        <w:rPr>
          <w:rFonts w:ascii="Arial" w:hAnsi="Arial" w:cs="Arial"/>
          <w:b/>
          <w:bCs/>
        </w:rPr>
      </w:pPr>
      <w:r w:rsidRPr="7D4EF4EF">
        <w:rPr>
          <w:rFonts w:ascii="Arial" w:hAnsi="Arial" w:cs="Arial"/>
          <w:b/>
          <w:bCs/>
        </w:rPr>
        <w:t>Indicative Budget</w:t>
      </w:r>
      <w:r w:rsidR="001C3CD1" w:rsidRPr="7D4EF4EF">
        <w:rPr>
          <w:rStyle w:val="FootnoteReference"/>
          <w:rFonts w:ascii="Arial" w:hAnsi="Arial" w:cs="Arial"/>
          <w:b/>
          <w:bCs/>
        </w:rPr>
        <w:footnoteReference w:id="6"/>
      </w:r>
      <w:r w:rsidRPr="7D4EF4EF">
        <w:rPr>
          <w:rFonts w:ascii="Arial" w:hAnsi="Arial" w:cs="Arial"/>
          <w:b/>
          <w:bCs/>
        </w:rPr>
        <w:t xml:space="preserve"> </w:t>
      </w:r>
    </w:p>
    <w:tbl>
      <w:tblPr>
        <w:tblStyle w:val="TableGrid"/>
        <w:tblW w:w="5000" w:type="pct"/>
        <w:jc w:val="center"/>
        <w:tblLook w:val="04A0" w:firstRow="1" w:lastRow="0" w:firstColumn="1" w:lastColumn="0" w:noHBand="0" w:noVBand="1"/>
      </w:tblPr>
      <w:tblGrid>
        <w:gridCol w:w="1917"/>
        <w:gridCol w:w="2009"/>
        <w:gridCol w:w="1618"/>
        <w:gridCol w:w="1468"/>
        <w:gridCol w:w="1618"/>
      </w:tblGrid>
      <w:tr w:rsidR="006E12D0" w:rsidRPr="00CF4023" w14:paraId="1194C610" w14:textId="77777777" w:rsidTr="7D4EF4EF">
        <w:trPr>
          <w:jc w:val="center"/>
        </w:trPr>
        <w:tc>
          <w:tcPr>
            <w:tcW w:w="1111" w:type="pct"/>
            <w:shd w:val="clear" w:color="auto" w:fill="D9D9D9" w:themeFill="background1" w:themeFillShade="D9"/>
          </w:tcPr>
          <w:p w14:paraId="40A49228" w14:textId="77777777" w:rsidR="006E12D0" w:rsidRPr="00CF4023" w:rsidRDefault="7D4EF4EF" w:rsidP="7D4EF4EF">
            <w:pPr>
              <w:pStyle w:val="ListParagraph"/>
              <w:spacing w:before="60" w:after="60"/>
              <w:ind w:left="0"/>
              <w:contextualSpacing w:val="0"/>
              <w:jc w:val="center"/>
              <w:rPr>
                <w:rFonts w:ascii="Arial" w:hAnsi="Arial" w:cs="Arial"/>
                <w:b/>
                <w:bCs/>
                <w:sz w:val="18"/>
                <w:szCs w:val="18"/>
              </w:rPr>
            </w:pPr>
            <w:r w:rsidRPr="7D4EF4EF">
              <w:rPr>
                <w:rFonts w:ascii="Arial" w:hAnsi="Arial" w:cs="Arial"/>
                <w:b/>
                <w:bCs/>
                <w:sz w:val="18"/>
                <w:szCs w:val="18"/>
              </w:rPr>
              <w:t>Activity/Component</w:t>
            </w:r>
          </w:p>
        </w:tc>
        <w:tc>
          <w:tcPr>
            <w:tcW w:w="1289" w:type="pct"/>
            <w:shd w:val="clear" w:color="auto" w:fill="D9D9D9" w:themeFill="background1" w:themeFillShade="D9"/>
          </w:tcPr>
          <w:p w14:paraId="0487E73F" w14:textId="77777777" w:rsidR="006E12D0" w:rsidRPr="00CF4023" w:rsidRDefault="7D4EF4EF" w:rsidP="7D4EF4EF">
            <w:pPr>
              <w:pStyle w:val="ListParagraph"/>
              <w:spacing w:before="60" w:after="60"/>
              <w:ind w:left="0"/>
              <w:contextualSpacing w:val="0"/>
              <w:jc w:val="center"/>
              <w:rPr>
                <w:rFonts w:ascii="Arial" w:hAnsi="Arial" w:cs="Arial"/>
                <w:b/>
                <w:bCs/>
                <w:sz w:val="18"/>
                <w:szCs w:val="18"/>
              </w:rPr>
            </w:pPr>
            <w:r w:rsidRPr="7D4EF4EF">
              <w:rPr>
                <w:rFonts w:ascii="Arial" w:hAnsi="Arial" w:cs="Arial"/>
                <w:b/>
                <w:bCs/>
                <w:sz w:val="18"/>
                <w:szCs w:val="18"/>
              </w:rPr>
              <w:t>Description</w:t>
            </w:r>
          </w:p>
        </w:tc>
        <w:tc>
          <w:tcPr>
            <w:tcW w:w="851" w:type="pct"/>
            <w:shd w:val="clear" w:color="auto" w:fill="D9D9D9" w:themeFill="background1" w:themeFillShade="D9"/>
          </w:tcPr>
          <w:p w14:paraId="6CBEFFC6" w14:textId="582C6264" w:rsidR="006E12D0" w:rsidRPr="00CF4023" w:rsidRDefault="7D4EF4EF" w:rsidP="7D4EF4EF">
            <w:pPr>
              <w:pStyle w:val="ListParagraph"/>
              <w:spacing w:before="60" w:after="60"/>
              <w:ind w:left="0"/>
              <w:contextualSpacing w:val="0"/>
              <w:jc w:val="center"/>
              <w:rPr>
                <w:rFonts w:ascii="Arial" w:hAnsi="Arial" w:cs="Arial"/>
                <w:b/>
                <w:bCs/>
                <w:sz w:val="18"/>
                <w:szCs w:val="18"/>
              </w:rPr>
            </w:pPr>
            <w:r w:rsidRPr="7D4EF4EF">
              <w:rPr>
                <w:rFonts w:ascii="Arial" w:hAnsi="Arial" w:cs="Arial"/>
                <w:b/>
                <w:bCs/>
                <w:sz w:val="18"/>
                <w:szCs w:val="18"/>
              </w:rPr>
              <w:t>IDB/</w:t>
            </w:r>
            <w:r w:rsidR="00197183">
              <w:rPr>
                <w:rFonts w:ascii="Arial" w:hAnsi="Arial" w:cs="Arial"/>
                <w:b/>
                <w:bCs/>
                <w:sz w:val="18"/>
                <w:szCs w:val="18"/>
              </w:rPr>
              <w:t>Japan Special Fund</w:t>
            </w:r>
          </w:p>
        </w:tc>
        <w:tc>
          <w:tcPr>
            <w:tcW w:w="842" w:type="pct"/>
            <w:shd w:val="clear" w:color="auto" w:fill="D9D9D9" w:themeFill="background1" w:themeFillShade="D9"/>
          </w:tcPr>
          <w:p w14:paraId="76674F5B" w14:textId="010669B5" w:rsidR="006E12D0" w:rsidRPr="00CF4023" w:rsidRDefault="7D4EF4EF" w:rsidP="7D4EF4EF">
            <w:pPr>
              <w:pStyle w:val="ListParagraph"/>
              <w:spacing w:before="60" w:after="60"/>
              <w:ind w:left="0"/>
              <w:contextualSpacing w:val="0"/>
              <w:jc w:val="center"/>
              <w:rPr>
                <w:rFonts w:ascii="Arial" w:hAnsi="Arial" w:cs="Arial"/>
                <w:b/>
                <w:bCs/>
                <w:sz w:val="18"/>
                <w:szCs w:val="18"/>
              </w:rPr>
            </w:pPr>
            <w:r w:rsidRPr="7D4EF4EF">
              <w:rPr>
                <w:rFonts w:ascii="Arial" w:hAnsi="Arial" w:cs="Arial"/>
                <w:b/>
                <w:bCs/>
                <w:sz w:val="18"/>
                <w:szCs w:val="18"/>
              </w:rPr>
              <w:t>Counterpart Funding</w:t>
            </w:r>
            <w:r w:rsidR="00FD797B">
              <w:rPr>
                <w:rStyle w:val="FootnoteReference"/>
                <w:rFonts w:ascii="Arial" w:hAnsi="Arial" w:cs="Arial"/>
                <w:b/>
                <w:bCs/>
                <w:sz w:val="18"/>
                <w:szCs w:val="18"/>
              </w:rPr>
              <w:footnoteReference w:id="7"/>
            </w:r>
          </w:p>
        </w:tc>
        <w:tc>
          <w:tcPr>
            <w:tcW w:w="908" w:type="pct"/>
            <w:shd w:val="clear" w:color="auto" w:fill="D9D9D9" w:themeFill="background1" w:themeFillShade="D9"/>
          </w:tcPr>
          <w:p w14:paraId="745C3CC8" w14:textId="77777777" w:rsidR="006E12D0" w:rsidRPr="00CF4023" w:rsidRDefault="7D4EF4EF" w:rsidP="7D4EF4EF">
            <w:pPr>
              <w:pStyle w:val="ListParagraph"/>
              <w:spacing w:before="60" w:after="60"/>
              <w:ind w:left="0"/>
              <w:contextualSpacing w:val="0"/>
              <w:jc w:val="center"/>
              <w:rPr>
                <w:rFonts w:ascii="Arial" w:hAnsi="Arial" w:cs="Arial"/>
                <w:b/>
                <w:bCs/>
                <w:sz w:val="18"/>
                <w:szCs w:val="18"/>
              </w:rPr>
            </w:pPr>
            <w:r w:rsidRPr="7D4EF4EF">
              <w:rPr>
                <w:rFonts w:ascii="Arial" w:hAnsi="Arial" w:cs="Arial"/>
                <w:b/>
                <w:bCs/>
                <w:sz w:val="18"/>
                <w:szCs w:val="18"/>
              </w:rPr>
              <w:t>Total Funding</w:t>
            </w:r>
          </w:p>
        </w:tc>
      </w:tr>
      <w:tr w:rsidR="006E12D0" w:rsidRPr="00CF4023" w14:paraId="534B472F" w14:textId="77777777" w:rsidTr="7D4EF4EF">
        <w:trPr>
          <w:jc w:val="center"/>
        </w:trPr>
        <w:tc>
          <w:tcPr>
            <w:tcW w:w="1111" w:type="pct"/>
          </w:tcPr>
          <w:p w14:paraId="137EFB9A" w14:textId="6214F74D" w:rsidR="006E12D0" w:rsidRPr="00CF4023" w:rsidRDefault="7D4EF4EF" w:rsidP="7D4EF4EF">
            <w:pPr>
              <w:suppressAutoHyphens/>
              <w:autoSpaceDN w:val="0"/>
              <w:snapToGrid w:val="0"/>
              <w:textAlignment w:val="baseline"/>
              <w:rPr>
                <w:rFonts w:ascii="Arial" w:hAnsi="Arial" w:cs="Arial"/>
                <w:sz w:val="18"/>
                <w:szCs w:val="18"/>
              </w:rPr>
            </w:pPr>
            <w:r w:rsidRPr="7D4EF4EF">
              <w:rPr>
                <w:rFonts w:ascii="Arial" w:hAnsi="Arial" w:cs="Arial"/>
                <w:sz w:val="18"/>
                <w:szCs w:val="18"/>
              </w:rPr>
              <w:t xml:space="preserve">Component 1 </w:t>
            </w:r>
          </w:p>
        </w:tc>
        <w:tc>
          <w:tcPr>
            <w:tcW w:w="1289" w:type="pct"/>
          </w:tcPr>
          <w:p w14:paraId="098707BC" w14:textId="53CC7296" w:rsidR="006E12D0" w:rsidRPr="00CF4023" w:rsidRDefault="7D4EF4EF" w:rsidP="7D4EF4EF">
            <w:pPr>
              <w:suppressAutoHyphens/>
              <w:autoSpaceDN w:val="0"/>
              <w:snapToGrid w:val="0"/>
              <w:ind w:right="-63"/>
              <w:textAlignment w:val="baseline"/>
              <w:rPr>
                <w:rFonts w:ascii="Arial" w:hAnsi="Arial" w:cs="Arial"/>
                <w:sz w:val="18"/>
                <w:szCs w:val="18"/>
              </w:rPr>
            </w:pPr>
            <w:r w:rsidRPr="7D4EF4EF">
              <w:rPr>
                <w:rFonts w:ascii="Arial" w:hAnsi="Arial" w:cs="Arial"/>
                <w:sz w:val="18"/>
                <w:szCs w:val="18"/>
                <w:lang w:eastAsia="ja-JP"/>
              </w:rPr>
              <w:t>Support for institutional strengthening and technical assessments to promote EE and DREG</w:t>
            </w:r>
          </w:p>
        </w:tc>
        <w:tc>
          <w:tcPr>
            <w:tcW w:w="851" w:type="pct"/>
          </w:tcPr>
          <w:p w14:paraId="1C406109" w14:textId="5F6EEB20" w:rsidR="006E12D0" w:rsidRPr="00CF4023" w:rsidRDefault="7D4EF4EF" w:rsidP="7D4EF4EF">
            <w:pPr>
              <w:pStyle w:val="ListParagraph"/>
              <w:spacing w:before="60" w:after="60"/>
              <w:ind w:left="0"/>
              <w:contextualSpacing w:val="0"/>
              <w:jc w:val="right"/>
              <w:rPr>
                <w:rFonts w:ascii="Arial" w:hAnsi="Arial" w:cs="Arial"/>
                <w:sz w:val="18"/>
                <w:szCs w:val="18"/>
              </w:rPr>
            </w:pPr>
            <w:r w:rsidRPr="7D4EF4EF">
              <w:rPr>
                <w:rFonts w:ascii="Arial" w:hAnsi="Arial" w:cs="Arial"/>
                <w:sz w:val="18"/>
                <w:szCs w:val="18"/>
              </w:rPr>
              <w:t>US$750,000.00</w:t>
            </w:r>
          </w:p>
        </w:tc>
        <w:tc>
          <w:tcPr>
            <w:tcW w:w="842" w:type="pct"/>
          </w:tcPr>
          <w:p w14:paraId="6CD75069" w14:textId="3E3EA525" w:rsidR="006E12D0" w:rsidRPr="00CF4023" w:rsidRDefault="7D4EF4EF" w:rsidP="7D4EF4EF">
            <w:pPr>
              <w:pStyle w:val="ListParagraph"/>
              <w:spacing w:before="60" w:after="60"/>
              <w:ind w:left="0"/>
              <w:contextualSpacing w:val="0"/>
              <w:jc w:val="right"/>
              <w:rPr>
                <w:rFonts w:ascii="Arial" w:hAnsi="Arial" w:cs="Arial"/>
                <w:sz w:val="18"/>
                <w:szCs w:val="18"/>
              </w:rPr>
            </w:pPr>
            <w:r w:rsidRPr="7D4EF4EF">
              <w:rPr>
                <w:rFonts w:ascii="Arial" w:hAnsi="Arial" w:cs="Arial"/>
                <w:sz w:val="18"/>
                <w:szCs w:val="18"/>
              </w:rPr>
              <w:t>US$100,000.00</w:t>
            </w:r>
          </w:p>
        </w:tc>
        <w:tc>
          <w:tcPr>
            <w:tcW w:w="908" w:type="pct"/>
          </w:tcPr>
          <w:p w14:paraId="1B34CA8D" w14:textId="7B8CFFD9" w:rsidR="006E12D0" w:rsidRPr="00CF4023" w:rsidRDefault="7D4EF4EF" w:rsidP="7D4EF4EF">
            <w:pPr>
              <w:pStyle w:val="ListParagraph"/>
              <w:spacing w:before="60" w:after="60"/>
              <w:ind w:left="0"/>
              <w:contextualSpacing w:val="0"/>
              <w:jc w:val="right"/>
              <w:rPr>
                <w:rFonts w:ascii="Arial" w:hAnsi="Arial" w:cs="Arial"/>
                <w:sz w:val="18"/>
                <w:szCs w:val="18"/>
              </w:rPr>
            </w:pPr>
            <w:r w:rsidRPr="7D4EF4EF">
              <w:rPr>
                <w:rFonts w:ascii="Arial" w:hAnsi="Arial" w:cs="Arial"/>
                <w:sz w:val="18"/>
                <w:szCs w:val="18"/>
              </w:rPr>
              <w:t>US$850,000,.00</w:t>
            </w:r>
          </w:p>
        </w:tc>
      </w:tr>
      <w:tr w:rsidR="006E12D0" w:rsidRPr="00CF4023" w14:paraId="6AF5822B" w14:textId="77777777" w:rsidTr="7D4EF4EF">
        <w:trPr>
          <w:jc w:val="center"/>
        </w:trPr>
        <w:tc>
          <w:tcPr>
            <w:tcW w:w="1111" w:type="pct"/>
          </w:tcPr>
          <w:p w14:paraId="09F6A640" w14:textId="4B8659E3" w:rsidR="006E12D0" w:rsidRPr="00CF4023" w:rsidRDefault="7D4EF4EF" w:rsidP="7D4EF4EF">
            <w:pPr>
              <w:suppressAutoHyphens/>
              <w:autoSpaceDN w:val="0"/>
              <w:snapToGrid w:val="0"/>
              <w:textAlignment w:val="baseline"/>
              <w:rPr>
                <w:rFonts w:ascii="Arial" w:hAnsi="Arial" w:cs="Arial"/>
                <w:sz w:val="18"/>
                <w:szCs w:val="18"/>
              </w:rPr>
            </w:pPr>
            <w:r w:rsidRPr="7D4EF4EF">
              <w:rPr>
                <w:rFonts w:ascii="Arial" w:hAnsi="Arial" w:cs="Arial"/>
                <w:sz w:val="18"/>
                <w:szCs w:val="18"/>
              </w:rPr>
              <w:t xml:space="preserve">Component 2 </w:t>
            </w:r>
          </w:p>
        </w:tc>
        <w:tc>
          <w:tcPr>
            <w:tcW w:w="1289" w:type="pct"/>
          </w:tcPr>
          <w:p w14:paraId="087F11B5" w14:textId="1C35365F" w:rsidR="006E12D0" w:rsidRPr="00CF4023" w:rsidRDefault="7D4EF4EF" w:rsidP="7D4EF4EF">
            <w:pPr>
              <w:suppressAutoHyphens/>
              <w:autoSpaceDN w:val="0"/>
              <w:snapToGrid w:val="0"/>
              <w:ind w:right="-63"/>
              <w:textAlignment w:val="baseline"/>
              <w:rPr>
                <w:rFonts w:ascii="Arial" w:hAnsi="Arial" w:cs="Arial"/>
                <w:sz w:val="18"/>
                <w:szCs w:val="18"/>
              </w:rPr>
            </w:pPr>
            <w:r w:rsidRPr="7D4EF4EF">
              <w:rPr>
                <w:rFonts w:ascii="Arial" w:hAnsi="Arial" w:cs="Arial"/>
                <w:sz w:val="18"/>
                <w:szCs w:val="18"/>
                <w:lang w:eastAsia="ja-JP"/>
              </w:rPr>
              <w:t>Dissemination, Capacity Building, and project management</w:t>
            </w:r>
            <w:r w:rsidRPr="7D4EF4EF">
              <w:rPr>
                <w:rFonts w:ascii="Arial" w:hAnsi="Arial" w:cs="Arial"/>
                <w:sz w:val="18"/>
                <w:szCs w:val="18"/>
              </w:rPr>
              <w:t xml:space="preserve"> </w:t>
            </w:r>
          </w:p>
        </w:tc>
        <w:tc>
          <w:tcPr>
            <w:tcW w:w="851" w:type="pct"/>
          </w:tcPr>
          <w:p w14:paraId="0DD71104" w14:textId="30885EF2" w:rsidR="006E12D0" w:rsidRPr="00CF4023" w:rsidRDefault="7D4EF4EF" w:rsidP="7D4EF4EF">
            <w:pPr>
              <w:pStyle w:val="ListParagraph"/>
              <w:spacing w:before="60" w:after="60"/>
              <w:ind w:left="0"/>
              <w:contextualSpacing w:val="0"/>
              <w:jc w:val="right"/>
              <w:rPr>
                <w:rFonts w:ascii="Arial" w:hAnsi="Arial" w:cs="Arial"/>
                <w:sz w:val="18"/>
                <w:szCs w:val="18"/>
              </w:rPr>
            </w:pPr>
            <w:r w:rsidRPr="7D4EF4EF">
              <w:rPr>
                <w:rFonts w:ascii="Arial" w:hAnsi="Arial" w:cs="Arial"/>
                <w:sz w:val="18"/>
                <w:szCs w:val="18"/>
              </w:rPr>
              <w:t>US$250,000.00</w:t>
            </w:r>
          </w:p>
        </w:tc>
        <w:tc>
          <w:tcPr>
            <w:tcW w:w="842" w:type="pct"/>
          </w:tcPr>
          <w:p w14:paraId="0EB48C24" w14:textId="6152BFE6" w:rsidR="006E12D0" w:rsidRPr="00CF4023" w:rsidRDefault="7D4EF4EF" w:rsidP="7D4EF4EF">
            <w:pPr>
              <w:pStyle w:val="ListParagraph"/>
              <w:spacing w:before="60" w:after="60"/>
              <w:ind w:left="0"/>
              <w:contextualSpacing w:val="0"/>
              <w:jc w:val="right"/>
              <w:rPr>
                <w:rFonts w:ascii="Arial" w:hAnsi="Arial" w:cs="Arial"/>
                <w:sz w:val="18"/>
                <w:szCs w:val="18"/>
              </w:rPr>
            </w:pPr>
            <w:r w:rsidRPr="7D4EF4EF">
              <w:rPr>
                <w:rFonts w:ascii="Arial" w:hAnsi="Arial" w:cs="Arial"/>
                <w:sz w:val="18"/>
                <w:szCs w:val="18"/>
              </w:rPr>
              <w:t>US$25,000.00</w:t>
            </w:r>
          </w:p>
        </w:tc>
        <w:tc>
          <w:tcPr>
            <w:tcW w:w="908" w:type="pct"/>
          </w:tcPr>
          <w:p w14:paraId="3F70F1B5" w14:textId="72A69B27" w:rsidR="006E12D0" w:rsidRPr="00CF4023" w:rsidRDefault="7D4EF4EF" w:rsidP="7D4EF4EF">
            <w:pPr>
              <w:pStyle w:val="ListParagraph"/>
              <w:spacing w:before="60" w:after="60"/>
              <w:ind w:left="0"/>
              <w:contextualSpacing w:val="0"/>
              <w:jc w:val="right"/>
              <w:rPr>
                <w:rFonts w:ascii="Arial" w:hAnsi="Arial" w:cs="Arial"/>
                <w:sz w:val="18"/>
                <w:szCs w:val="18"/>
              </w:rPr>
            </w:pPr>
            <w:r w:rsidRPr="7D4EF4EF">
              <w:rPr>
                <w:rFonts w:ascii="Arial" w:hAnsi="Arial" w:cs="Arial"/>
                <w:sz w:val="18"/>
                <w:szCs w:val="18"/>
              </w:rPr>
              <w:t>US$275,000.00</w:t>
            </w:r>
          </w:p>
        </w:tc>
      </w:tr>
      <w:tr w:rsidR="006E12D0" w:rsidRPr="00CF4023" w14:paraId="222AF76B" w14:textId="77777777" w:rsidTr="7D4EF4EF">
        <w:trPr>
          <w:jc w:val="center"/>
        </w:trPr>
        <w:tc>
          <w:tcPr>
            <w:tcW w:w="2399" w:type="pct"/>
            <w:gridSpan w:val="2"/>
          </w:tcPr>
          <w:p w14:paraId="6C4E0D99" w14:textId="77777777" w:rsidR="006E12D0" w:rsidRPr="00CF4023" w:rsidRDefault="7D4EF4EF" w:rsidP="7D4EF4EF">
            <w:pPr>
              <w:pStyle w:val="ListParagraph"/>
              <w:spacing w:before="60" w:after="60"/>
              <w:ind w:left="0"/>
              <w:contextualSpacing w:val="0"/>
              <w:jc w:val="center"/>
              <w:rPr>
                <w:rFonts w:ascii="Arial" w:hAnsi="Arial" w:cs="Arial"/>
                <w:b/>
                <w:bCs/>
                <w:sz w:val="18"/>
                <w:szCs w:val="18"/>
              </w:rPr>
            </w:pPr>
            <w:r w:rsidRPr="7D4EF4EF">
              <w:rPr>
                <w:rFonts w:ascii="Arial" w:hAnsi="Arial" w:cs="Arial"/>
                <w:b/>
                <w:bCs/>
                <w:sz w:val="18"/>
                <w:szCs w:val="18"/>
              </w:rPr>
              <w:t>Total</w:t>
            </w:r>
          </w:p>
        </w:tc>
        <w:tc>
          <w:tcPr>
            <w:tcW w:w="851" w:type="pct"/>
          </w:tcPr>
          <w:p w14:paraId="096C8645" w14:textId="7206B0BC" w:rsidR="006E12D0" w:rsidRPr="00CF4023" w:rsidRDefault="7D4EF4EF" w:rsidP="7D4EF4EF">
            <w:pPr>
              <w:pStyle w:val="ListParagraph"/>
              <w:spacing w:before="60" w:after="60"/>
              <w:ind w:left="0"/>
              <w:contextualSpacing w:val="0"/>
              <w:jc w:val="right"/>
              <w:rPr>
                <w:rFonts w:ascii="Arial" w:hAnsi="Arial" w:cs="Arial"/>
                <w:b/>
                <w:bCs/>
                <w:sz w:val="18"/>
                <w:szCs w:val="18"/>
              </w:rPr>
            </w:pPr>
            <w:r w:rsidRPr="7D4EF4EF">
              <w:rPr>
                <w:rFonts w:ascii="Arial" w:hAnsi="Arial" w:cs="Arial"/>
                <w:b/>
                <w:bCs/>
                <w:sz w:val="18"/>
                <w:szCs w:val="18"/>
              </w:rPr>
              <w:t>US$1,000,000.00</w:t>
            </w:r>
          </w:p>
        </w:tc>
        <w:tc>
          <w:tcPr>
            <w:tcW w:w="842" w:type="pct"/>
          </w:tcPr>
          <w:p w14:paraId="2367B6E5" w14:textId="7A0B0242" w:rsidR="006E12D0" w:rsidRPr="00CF4023" w:rsidRDefault="7D4EF4EF" w:rsidP="7D4EF4EF">
            <w:pPr>
              <w:pStyle w:val="ListParagraph"/>
              <w:spacing w:before="60" w:after="60"/>
              <w:ind w:left="0"/>
              <w:contextualSpacing w:val="0"/>
              <w:jc w:val="right"/>
              <w:rPr>
                <w:rFonts w:ascii="Arial" w:hAnsi="Arial" w:cs="Arial"/>
                <w:b/>
                <w:bCs/>
                <w:sz w:val="18"/>
                <w:szCs w:val="18"/>
              </w:rPr>
            </w:pPr>
            <w:r w:rsidRPr="7D4EF4EF">
              <w:rPr>
                <w:rFonts w:ascii="Arial" w:hAnsi="Arial" w:cs="Arial"/>
                <w:b/>
                <w:bCs/>
                <w:sz w:val="18"/>
                <w:szCs w:val="18"/>
              </w:rPr>
              <w:t>US$125,000.00</w:t>
            </w:r>
          </w:p>
        </w:tc>
        <w:tc>
          <w:tcPr>
            <w:tcW w:w="908" w:type="pct"/>
          </w:tcPr>
          <w:p w14:paraId="5CE04103" w14:textId="42C0C188" w:rsidR="006E12D0" w:rsidRPr="00CF4023" w:rsidRDefault="7D4EF4EF" w:rsidP="7D4EF4EF">
            <w:pPr>
              <w:pStyle w:val="ListParagraph"/>
              <w:spacing w:before="60" w:after="60"/>
              <w:ind w:left="0"/>
              <w:contextualSpacing w:val="0"/>
              <w:jc w:val="right"/>
              <w:rPr>
                <w:rFonts w:ascii="Arial" w:hAnsi="Arial" w:cs="Arial"/>
                <w:b/>
                <w:bCs/>
                <w:sz w:val="18"/>
                <w:szCs w:val="18"/>
              </w:rPr>
            </w:pPr>
            <w:r w:rsidRPr="7D4EF4EF">
              <w:rPr>
                <w:rFonts w:ascii="Arial" w:hAnsi="Arial" w:cs="Arial"/>
                <w:b/>
                <w:bCs/>
                <w:sz w:val="18"/>
                <w:szCs w:val="18"/>
              </w:rPr>
              <w:t>US$1,125,000.00</w:t>
            </w:r>
          </w:p>
        </w:tc>
      </w:tr>
    </w:tbl>
    <w:p w14:paraId="0D74127F" w14:textId="77777777" w:rsidR="006E12D0" w:rsidRPr="00CF4023" w:rsidRDefault="006E12D0" w:rsidP="001C3CD1">
      <w:pPr>
        <w:spacing w:before="120" w:after="120"/>
        <w:jc w:val="both"/>
        <w:rPr>
          <w:rFonts w:ascii="Arial" w:hAnsi="Arial" w:cs="Arial"/>
        </w:rPr>
      </w:pPr>
    </w:p>
    <w:p w14:paraId="14F639D8" w14:textId="179708EF" w:rsidR="00616DEF" w:rsidRPr="00635A4A" w:rsidRDefault="7D4EF4EF" w:rsidP="7D4EF4EF">
      <w:pPr>
        <w:pStyle w:val="ListParagraph"/>
        <w:numPr>
          <w:ilvl w:val="0"/>
          <w:numId w:val="5"/>
        </w:numPr>
        <w:spacing w:before="120" w:after="120"/>
        <w:jc w:val="both"/>
        <w:rPr>
          <w:rStyle w:val="BookTitle"/>
          <w:rFonts w:ascii="Arial" w:hAnsi="Arial" w:cs="Arial"/>
          <w:i w:val="0"/>
          <w:iCs w:val="0"/>
          <w:sz w:val="24"/>
          <w:szCs w:val="24"/>
        </w:rPr>
      </w:pPr>
      <w:r w:rsidRPr="7D4EF4EF">
        <w:rPr>
          <w:rStyle w:val="BookTitle"/>
          <w:rFonts w:ascii="Arial" w:hAnsi="Arial" w:cs="Arial"/>
          <w:i w:val="0"/>
          <w:iCs w:val="0"/>
          <w:sz w:val="24"/>
          <w:szCs w:val="24"/>
        </w:rPr>
        <w:t>Executing Agency and Execution Structure</w:t>
      </w:r>
    </w:p>
    <w:p w14:paraId="52EC8BF0" w14:textId="77777777" w:rsidR="00FC162B" w:rsidRPr="00CF4023" w:rsidRDefault="00FC162B" w:rsidP="00FC162B">
      <w:pPr>
        <w:pStyle w:val="ListParagraph"/>
        <w:spacing w:before="120" w:after="120"/>
        <w:ind w:left="360"/>
        <w:jc w:val="both"/>
        <w:rPr>
          <w:rFonts w:ascii="Arial" w:hAnsi="Arial" w:cs="Arial"/>
        </w:rPr>
      </w:pPr>
    </w:p>
    <w:p w14:paraId="177B9F20" w14:textId="7973EBD3" w:rsidR="00616DEF" w:rsidRPr="00E7670B" w:rsidRDefault="7D4EF4EF" w:rsidP="00F75522">
      <w:pPr>
        <w:pStyle w:val="ListParagraph"/>
        <w:numPr>
          <w:ilvl w:val="1"/>
          <w:numId w:val="5"/>
        </w:numPr>
        <w:spacing w:before="120" w:after="120"/>
        <w:ind w:hanging="540"/>
        <w:jc w:val="both"/>
        <w:rPr>
          <w:rFonts w:ascii="Arial" w:hAnsi="Arial" w:cs="Arial"/>
        </w:rPr>
      </w:pPr>
      <w:r w:rsidRPr="00E7670B">
        <w:rPr>
          <w:rFonts w:ascii="Arial" w:hAnsi="Arial" w:cs="Arial"/>
        </w:rPr>
        <w:t>Given the Regional nature of this TC, the Executing Agency will be the Inter-American Development Bank through the Energy Division (ENE) in order to minimize the execution time. C</w:t>
      </w:r>
      <w:r w:rsidR="00825461" w:rsidRPr="00E7670B">
        <w:rPr>
          <w:rFonts w:ascii="Arial" w:hAnsi="Arial" w:cs="Arial"/>
        </w:rPr>
        <w:t>ountry Office</w:t>
      </w:r>
      <w:r w:rsidRPr="00E7670B">
        <w:rPr>
          <w:rFonts w:ascii="Arial" w:hAnsi="Arial" w:cs="Arial"/>
        </w:rPr>
        <w:t xml:space="preserve"> Specialists in the beneficiary countries are part of the team and will be actively involved in the activities carried out by this TC. The Bank will contract individual consultants, consulting firms and non-consulting services in accordance with the Bank’s current procurement policies and procedures. The TC will follow IDB governing policies and procedures that are applicable for the contracting consultants and consulting firms. </w:t>
      </w:r>
    </w:p>
    <w:p w14:paraId="7C944A6A" w14:textId="77777777" w:rsidR="001626BB" w:rsidRPr="00CF4023" w:rsidRDefault="001626BB" w:rsidP="00FB3D12">
      <w:pPr>
        <w:pStyle w:val="ListParagraph"/>
        <w:spacing w:before="120" w:after="120"/>
        <w:jc w:val="both"/>
        <w:rPr>
          <w:rFonts w:ascii="Arial" w:hAnsi="Arial" w:cs="Arial"/>
        </w:rPr>
      </w:pPr>
    </w:p>
    <w:p w14:paraId="5FF7C2C3" w14:textId="4A83876B" w:rsidR="00616DEF" w:rsidRPr="00CF4023" w:rsidRDefault="7D4EF4EF" w:rsidP="7D4EF4EF">
      <w:pPr>
        <w:pStyle w:val="ListParagraph"/>
        <w:numPr>
          <w:ilvl w:val="1"/>
          <w:numId w:val="5"/>
        </w:numPr>
        <w:spacing w:before="120" w:after="120"/>
        <w:ind w:hanging="540"/>
        <w:jc w:val="both"/>
        <w:rPr>
          <w:rFonts w:ascii="Arial" w:hAnsi="Arial" w:cs="Arial"/>
        </w:rPr>
      </w:pPr>
      <w:r w:rsidRPr="7D4EF4EF">
        <w:rPr>
          <w:rFonts w:ascii="Arial" w:hAnsi="Arial" w:cs="Arial"/>
        </w:rPr>
        <w:t>Project Monitoring will be carried through the following mechanisms: technical meetings with counterparts, IDB and consultants, joint review meetings with Donors Representatives in beneficiary countries will be organized.</w:t>
      </w:r>
    </w:p>
    <w:p w14:paraId="3EF78F3A" w14:textId="77777777" w:rsidR="00616DEF" w:rsidRPr="00CF4023" w:rsidRDefault="00616DEF" w:rsidP="00FB3D12">
      <w:pPr>
        <w:pStyle w:val="ListParagraph"/>
        <w:rPr>
          <w:rFonts w:ascii="Arial" w:hAnsi="Arial" w:cs="Arial"/>
        </w:rPr>
      </w:pPr>
    </w:p>
    <w:p w14:paraId="3A3E7C7D" w14:textId="69A91393" w:rsidR="00616DEF" w:rsidRDefault="7D4EF4EF" w:rsidP="7D4EF4EF">
      <w:pPr>
        <w:pStyle w:val="ListParagraph"/>
        <w:numPr>
          <w:ilvl w:val="1"/>
          <w:numId w:val="5"/>
        </w:numPr>
        <w:spacing w:before="120" w:after="120"/>
        <w:ind w:hanging="540"/>
        <w:jc w:val="both"/>
        <w:rPr>
          <w:rFonts w:ascii="Arial" w:hAnsi="Arial" w:cs="Arial"/>
        </w:rPr>
      </w:pPr>
      <w:r w:rsidRPr="7D4EF4EF">
        <w:rPr>
          <w:rFonts w:ascii="Arial" w:hAnsi="Arial" w:cs="Arial"/>
        </w:rPr>
        <w:t xml:space="preserve">The Bank will prepare progress reports annually, which will contain at least: the status of the financial progress, the progress and results achieved, report on the activities carried out, lessons learned and best practices identified, any other information to meet the requirements agreed with donor. </w:t>
      </w:r>
    </w:p>
    <w:p w14:paraId="7ECBF96C" w14:textId="77777777" w:rsidR="009433A0" w:rsidRPr="009433A0" w:rsidRDefault="009433A0" w:rsidP="009433A0">
      <w:pPr>
        <w:pStyle w:val="ListParagraph"/>
        <w:rPr>
          <w:rFonts w:ascii="Arial" w:hAnsi="Arial" w:cs="Arial"/>
        </w:rPr>
      </w:pPr>
    </w:p>
    <w:p w14:paraId="1660E970" w14:textId="2CD219CB" w:rsidR="009433A0" w:rsidRDefault="009433A0" w:rsidP="7D4EF4EF">
      <w:pPr>
        <w:pStyle w:val="ListParagraph"/>
        <w:numPr>
          <w:ilvl w:val="1"/>
          <w:numId w:val="5"/>
        </w:numPr>
        <w:spacing w:before="120" w:after="120"/>
        <w:ind w:hanging="540"/>
        <w:jc w:val="both"/>
        <w:rPr>
          <w:rFonts w:ascii="Arial" w:hAnsi="Arial" w:cs="Arial"/>
        </w:rPr>
      </w:pPr>
      <w:r w:rsidRPr="009433A0">
        <w:rPr>
          <w:rFonts w:ascii="Arial" w:hAnsi="Arial" w:cs="Arial"/>
        </w:rPr>
        <w:t>Each of the beneficiary countries must submit a request letter to the Bank’s satisfaction prior to the disbursement of the TC resources and initiation of activities in the corresponding country. Such request letters wil</w:t>
      </w:r>
      <w:r>
        <w:rPr>
          <w:rFonts w:ascii="Arial" w:hAnsi="Arial" w:cs="Arial"/>
        </w:rPr>
        <w:t>l be duly recorded by the Bank.</w:t>
      </w:r>
    </w:p>
    <w:p w14:paraId="646FEBEA" w14:textId="77777777" w:rsidR="009433A0" w:rsidRPr="009433A0" w:rsidRDefault="009433A0" w:rsidP="009433A0">
      <w:pPr>
        <w:pStyle w:val="ListParagraph"/>
        <w:rPr>
          <w:rFonts w:ascii="Arial" w:hAnsi="Arial" w:cs="Arial"/>
        </w:rPr>
      </w:pPr>
    </w:p>
    <w:p w14:paraId="1334538B" w14:textId="3C5F15F8" w:rsidR="009433A0" w:rsidRDefault="009433A0" w:rsidP="009433A0">
      <w:pPr>
        <w:pStyle w:val="ListParagraph"/>
        <w:spacing w:before="120" w:after="120"/>
        <w:ind w:left="360"/>
        <w:jc w:val="both"/>
        <w:rPr>
          <w:rFonts w:ascii="Arial" w:hAnsi="Arial" w:cs="Arial"/>
        </w:rPr>
      </w:pPr>
    </w:p>
    <w:p w14:paraId="26DA8F81" w14:textId="77777777" w:rsidR="009433A0" w:rsidRPr="00CF4023" w:rsidRDefault="009433A0" w:rsidP="009433A0">
      <w:pPr>
        <w:pStyle w:val="ListParagraph"/>
        <w:spacing w:before="120" w:after="120"/>
        <w:ind w:left="360"/>
        <w:jc w:val="both"/>
        <w:rPr>
          <w:rFonts w:ascii="Arial" w:hAnsi="Arial" w:cs="Arial"/>
        </w:rPr>
      </w:pPr>
      <w:bookmarkStart w:id="1" w:name="_GoBack"/>
      <w:bookmarkEnd w:id="1"/>
    </w:p>
    <w:p w14:paraId="0A3A87C7" w14:textId="77777777" w:rsidR="00F834E2" w:rsidRPr="00CF4023" w:rsidRDefault="00F834E2">
      <w:pPr>
        <w:pStyle w:val="ListParagraph"/>
        <w:spacing w:before="120" w:after="120"/>
        <w:ind w:left="360"/>
        <w:jc w:val="both"/>
        <w:rPr>
          <w:rFonts w:ascii="Arial" w:hAnsi="Arial" w:cs="Arial"/>
        </w:rPr>
      </w:pPr>
    </w:p>
    <w:p w14:paraId="027791E6" w14:textId="10971EBD" w:rsidR="00F834E2" w:rsidRPr="00635A4A" w:rsidRDefault="7D4EF4EF" w:rsidP="7D4EF4EF">
      <w:pPr>
        <w:pStyle w:val="ListParagraph"/>
        <w:numPr>
          <w:ilvl w:val="0"/>
          <w:numId w:val="5"/>
        </w:numPr>
        <w:spacing w:before="120" w:after="120"/>
        <w:jc w:val="both"/>
        <w:rPr>
          <w:rFonts w:ascii="Arial" w:hAnsi="Arial" w:cs="Arial"/>
          <w:b/>
          <w:bCs/>
          <w:sz w:val="24"/>
          <w:szCs w:val="24"/>
        </w:rPr>
      </w:pPr>
      <w:r w:rsidRPr="7D4EF4EF">
        <w:rPr>
          <w:rFonts w:ascii="Arial" w:hAnsi="Arial" w:cs="Arial"/>
          <w:b/>
          <w:bCs/>
          <w:sz w:val="24"/>
          <w:szCs w:val="24"/>
        </w:rPr>
        <w:lastRenderedPageBreak/>
        <w:t xml:space="preserve">Project Risks and Issues </w:t>
      </w:r>
    </w:p>
    <w:p w14:paraId="1A8B6219" w14:textId="77777777" w:rsidR="00635A4A" w:rsidRPr="00CF4023" w:rsidRDefault="00635A4A" w:rsidP="00635A4A">
      <w:pPr>
        <w:pStyle w:val="ListParagraph"/>
        <w:spacing w:before="120" w:after="120"/>
        <w:ind w:left="360"/>
        <w:jc w:val="both"/>
        <w:rPr>
          <w:rFonts w:ascii="Arial" w:hAnsi="Arial" w:cs="Arial"/>
          <w:b/>
        </w:rPr>
      </w:pPr>
    </w:p>
    <w:p w14:paraId="09EEA984" w14:textId="6C984337" w:rsidR="00E84FCA" w:rsidRPr="00F75522" w:rsidRDefault="7D4EF4EF" w:rsidP="00E84FCA">
      <w:pPr>
        <w:pStyle w:val="ListParagraph"/>
        <w:numPr>
          <w:ilvl w:val="1"/>
          <w:numId w:val="5"/>
        </w:numPr>
        <w:spacing w:before="120" w:after="120"/>
        <w:ind w:hanging="540"/>
        <w:jc w:val="both"/>
        <w:rPr>
          <w:rFonts w:ascii="Arial" w:hAnsi="Arial" w:cs="Arial"/>
          <w:b/>
          <w:bCs/>
        </w:rPr>
      </w:pPr>
      <w:r w:rsidRPr="7D4EF4EF">
        <w:rPr>
          <w:rFonts w:ascii="Arial" w:hAnsi="Arial" w:cs="Arial"/>
        </w:rPr>
        <w:t>The major risk for this TC is the coordination risk since the project has multiple beneficiaries. This risk is mitigated by having the TC be executed by the Bank within IDB’s Energy Division.</w:t>
      </w:r>
    </w:p>
    <w:p w14:paraId="72882D34" w14:textId="26841037" w:rsidR="005E0DB2" w:rsidRPr="00F75522" w:rsidRDefault="005E0DB2" w:rsidP="00F75522">
      <w:pPr>
        <w:pStyle w:val="ListParagraph"/>
        <w:numPr>
          <w:ilvl w:val="1"/>
          <w:numId w:val="5"/>
        </w:numPr>
        <w:spacing w:before="120" w:after="120"/>
        <w:ind w:hanging="540"/>
        <w:jc w:val="both"/>
        <w:rPr>
          <w:rFonts w:ascii="Arial" w:hAnsi="Arial" w:cs="Arial"/>
          <w:b/>
          <w:bCs/>
        </w:rPr>
      </w:pPr>
      <w:r w:rsidRPr="00F75522">
        <w:rPr>
          <w:rFonts w:ascii="Arial" w:hAnsi="Arial" w:cs="Arial"/>
        </w:rPr>
        <w:t xml:space="preserve">Other risks considered include: implementation of EE programs may be hampered by budget constraints in governments and/or political changes during the proposed implementation period of this TC. </w:t>
      </w:r>
    </w:p>
    <w:p w14:paraId="336ED65D" w14:textId="77777777" w:rsidR="00F75522" w:rsidRPr="00F75522" w:rsidRDefault="00F75522" w:rsidP="00F75522">
      <w:pPr>
        <w:pStyle w:val="ListParagraph"/>
        <w:spacing w:before="120" w:after="120"/>
        <w:ind w:left="360"/>
        <w:jc w:val="both"/>
        <w:rPr>
          <w:rFonts w:ascii="Arial" w:hAnsi="Arial" w:cs="Arial"/>
          <w:b/>
          <w:bCs/>
        </w:rPr>
      </w:pPr>
    </w:p>
    <w:p w14:paraId="5DB1DCE9" w14:textId="476DC4ED" w:rsidR="00F834E2" w:rsidRPr="00C6621F" w:rsidRDefault="00C6621F" w:rsidP="00C6621F">
      <w:pPr>
        <w:pStyle w:val="ListParagraph"/>
        <w:numPr>
          <w:ilvl w:val="1"/>
          <w:numId w:val="5"/>
        </w:numPr>
        <w:spacing w:before="120" w:after="120" w:line="240" w:lineRule="auto"/>
        <w:ind w:hanging="540"/>
        <w:jc w:val="both"/>
        <w:rPr>
          <w:rFonts w:ascii="Arial" w:hAnsi="Arial" w:cs="Arial"/>
          <w:b/>
        </w:rPr>
      </w:pPr>
      <w:r w:rsidRPr="00C6621F">
        <w:rPr>
          <w:rFonts w:ascii="Arial" w:hAnsi="Arial" w:cs="Arial"/>
        </w:rPr>
        <w:t xml:space="preserve">Activities will be coordinated with beneficiary entities as identified by ENE Country Specialists who will act as the local focal point and have a direct dialogue with the beneficiaries. Through the implementation of this TC activities, especially capacity building and institutional strengthening, sustainability of such programs and activities on EE ix expected.   </w:t>
      </w:r>
    </w:p>
    <w:p w14:paraId="2778C767" w14:textId="77777777" w:rsidR="00C6621F" w:rsidRPr="00C6621F" w:rsidRDefault="00C6621F" w:rsidP="00C6621F">
      <w:pPr>
        <w:pStyle w:val="ListParagraph"/>
        <w:rPr>
          <w:rFonts w:ascii="Arial" w:hAnsi="Arial" w:cs="Arial"/>
          <w:b/>
        </w:rPr>
      </w:pPr>
    </w:p>
    <w:p w14:paraId="0B74C17F" w14:textId="21035412" w:rsidR="00F834E2" w:rsidRPr="00635A4A" w:rsidRDefault="7D4EF4EF" w:rsidP="00F75522">
      <w:pPr>
        <w:pStyle w:val="ListParagraph"/>
        <w:numPr>
          <w:ilvl w:val="0"/>
          <w:numId w:val="5"/>
        </w:numPr>
        <w:spacing w:before="120" w:after="240" w:line="240" w:lineRule="auto"/>
        <w:contextualSpacing w:val="0"/>
        <w:jc w:val="both"/>
        <w:rPr>
          <w:rFonts w:ascii="Arial" w:hAnsi="Arial" w:cs="Arial"/>
          <w:b/>
          <w:bCs/>
          <w:sz w:val="24"/>
          <w:szCs w:val="24"/>
        </w:rPr>
      </w:pPr>
      <w:r w:rsidRPr="7D4EF4EF">
        <w:rPr>
          <w:rFonts w:ascii="Arial" w:hAnsi="Arial" w:cs="Arial"/>
          <w:b/>
          <w:bCs/>
          <w:sz w:val="24"/>
          <w:szCs w:val="24"/>
        </w:rPr>
        <w:t xml:space="preserve">Environmental and Social Classification </w:t>
      </w:r>
    </w:p>
    <w:p w14:paraId="5CC46879" w14:textId="41BB25CE" w:rsidR="00B00631" w:rsidRPr="00CF4023" w:rsidRDefault="7D4EF4EF" w:rsidP="7D4EF4EF">
      <w:pPr>
        <w:pStyle w:val="ListParagraph"/>
        <w:numPr>
          <w:ilvl w:val="1"/>
          <w:numId w:val="5"/>
        </w:numPr>
        <w:spacing w:before="120" w:after="120"/>
        <w:ind w:hanging="540"/>
        <w:jc w:val="both"/>
        <w:rPr>
          <w:rFonts w:ascii="Arial" w:hAnsi="Arial" w:cs="Arial"/>
          <w:lang w:eastAsia="ja-JP"/>
        </w:rPr>
      </w:pPr>
      <w:r w:rsidRPr="7D4EF4EF">
        <w:rPr>
          <w:rFonts w:ascii="Arial" w:hAnsi="Arial" w:cs="Arial"/>
        </w:rPr>
        <w:t>There are no envisioned environmental or social risks associated with the Program</w:t>
      </w:r>
      <w:r w:rsidRPr="7D4EF4EF">
        <w:rPr>
          <w:rFonts w:ascii="Arial" w:hAnsi="Arial" w:cs="Arial"/>
          <w:lang w:eastAsia="ja-JP"/>
        </w:rPr>
        <w:t xml:space="preserve">. This TC has been classified category “C” according to the </w:t>
      </w:r>
      <w:hyperlink r:id="rId15">
        <w:r w:rsidRPr="7D4EF4EF">
          <w:rPr>
            <w:rStyle w:val="Hyperlink"/>
            <w:rFonts w:ascii="Arial" w:hAnsi="Arial" w:cs="Arial"/>
            <w:lang w:eastAsia="ja-JP"/>
          </w:rPr>
          <w:t>Safeguard Policy Filter Report (SPF)</w:t>
        </w:r>
      </w:hyperlink>
      <w:r w:rsidRPr="7D4EF4EF">
        <w:rPr>
          <w:rFonts w:ascii="Arial" w:hAnsi="Arial" w:cs="Arial"/>
          <w:lang w:eastAsia="ja-JP"/>
        </w:rPr>
        <w:t xml:space="preserve"> and the </w:t>
      </w:r>
      <w:hyperlink r:id="rId16">
        <w:r w:rsidRPr="7D4EF4EF">
          <w:rPr>
            <w:rStyle w:val="Hyperlink"/>
            <w:rFonts w:ascii="Arial" w:hAnsi="Arial" w:cs="Arial"/>
            <w:lang w:eastAsia="ja-JP"/>
          </w:rPr>
          <w:t>Safeguard Screening Report (SSF)</w:t>
        </w:r>
      </w:hyperlink>
      <w:r w:rsidRPr="7D4EF4EF">
        <w:rPr>
          <w:rFonts w:ascii="Arial" w:hAnsi="Arial" w:cs="Arial"/>
          <w:lang w:eastAsia="ja-JP"/>
        </w:rPr>
        <w:t>.</w:t>
      </w:r>
    </w:p>
    <w:p w14:paraId="75E8E31D" w14:textId="77777777" w:rsidR="00B00631" w:rsidRPr="00CF4023" w:rsidRDefault="00B00631" w:rsidP="000E3B8E">
      <w:pPr>
        <w:pStyle w:val="ListParagraph"/>
        <w:spacing w:before="120" w:after="120"/>
        <w:ind w:left="360"/>
        <w:rPr>
          <w:rFonts w:ascii="Arial" w:hAnsi="Arial" w:cs="Arial"/>
          <w:lang w:eastAsia="ja-JP"/>
        </w:rPr>
      </w:pPr>
    </w:p>
    <w:p w14:paraId="176AC6ED" w14:textId="2A39EB8A" w:rsidR="00BA51C2" w:rsidRPr="00CF4023" w:rsidRDefault="7D4EF4EF" w:rsidP="7D4EF4EF">
      <w:pPr>
        <w:pStyle w:val="ListParagraph"/>
        <w:numPr>
          <w:ilvl w:val="1"/>
          <w:numId w:val="5"/>
        </w:numPr>
        <w:spacing w:before="120" w:after="120"/>
        <w:ind w:hanging="540"/>
        <w:jc w:val="both"/>
        <w:rPr>
          <w:rFonts w:ascii="Arial" w:hAnsi="Arial" w:cs="Arial"/>
          <w:lang w:eastAsia="ja-JP"/>
        </w:rPr>
      </w:pPr>
      <w:r w:rsidRPr="7D4EF4EF">
        <w:rPr>
          <w:rFonts w:ascii="Arial" w:hAnsi="Arial" w:cs="Arial"/>
          <w:lang w:eastAsia="ja-JP"/>
        </w:rPr>
        <w:t xml:space="preserve">While this TC will not finance infrastructure investments, the studies and technical reports may lead to future investments in power infrastructure. The proposed TC recommends undertaking consultation and to consider guidelines of the Bank’s safeguards policies. </w:t>
      </w:r>
    </w:p>
    <w:p w14:paraId="4E68E4A4" w14:textId="77777777" w:rsidR="004B13C7" w:rsidRPr="00CF4023" w:rsidRDefault="004B13C7" w:rsidP="004B13C7">
      <w:pPr>
        <w:spacing w:before="120" w:after="120" w:line="240" w:lineRule="auto"/>
        <w:ind w:hanging="180"/>
        <w:jc w:val="both"/>
        <w:rPr>
          <w:rFonts w:ascii="Arial" w:hAnsi="Arial" w:cs="Arial"/>
          <w:lang w:eastAsia="ja-JP"/>
        </w:rPr>
      </w:pPr>
    </w:p>
    <w:p w14:paraId="49DE26C2" w14:textId="70DC4C52" w:rsidR="004B13C7" w:rsidRPr="00CF4023" w:rsidRDefault="7D4EF4EF" w:rsidP="7D4EF4EF">
      <w:pPr>
        <w:spacing w:before="120" w:after="120" w:line="240" w:lineRule="auto"/>
        <w:ind w:hanging="180"/>
        <w:jc w:val="both"/>
        <w:rPr>
          <w:rFonts w:ascii="Arial" w:hAnsi="Arial" w:cs="Arial"/>
          <w:b/>
          <w:bCs/>
        </w:rPr>
      </w:pPr>
      <w:r w:rsidRPr="7D4EF4EF">
        <w:rPr>
          <w:rFonts w:ascii="Arial" w:hAnsi="Arial" w:cs="Arial"/>
          <w:b/>
          <w:bCs/>
        </w:rPr>
        <w:t>Required Annexes:</w:t>
      </w:r>
    </w:p>
    <w:p w14:paraId="12E491A1" w14:textId="54DF2619" w:rsidR="004B13C7" w:rsidRPr="00CF4023" w:rsidRDefault="7D4EF4EF" w:rsidP="7D4EF4EF">
      <w:pPr>
        <w:pStyle w:val="ListParagraph"/>
        <w:numPr>
          <w:ilvl w:val="0"/>
          <w:numId w:val="23"/>
        </w:numPr>
        <w:spacing w:before="120" w:after="120" w:line="240" w:lineRule="auto"/>
        <w:jc w:val="both"/>
        <w:rPr>
          <w:rFonts w:ascii="Arial" w:hAnsi="Arial" w:cs="Arial"/>
        </w:rPr>
      </w:pPr>
      <w:r w:rsidRPr="7D4EF4EF">
        <w:rPr>
          <w:rFonts w:ascii="Arial" w:hAnsi="Arial" w:cs="Arial"/>
        </w:rPr>
        <w:t xml:space="preserve">Annex I: </w:t>
      </w:r>
      <w:hyperlink r:id="rId17">
        <w:r w:rsidRPr="7D4EF4EF">
          <w:rPr>
            <w:rStyle w:val="Hyperlink"/>
            <w:rFonts w:ascii="Arial" w:hAnsi="Arial" w:cs="Arial"/>
          </w:rPr>
          <w:t>Country Request Letters</w:t>
        </w:r>
      </w:hyperlink>
      <w:r w:rsidRPr="7D4EF4EF">
        <w:rPr>
          <w:rFonts w:ascii="Arial" w:hAnsi="Arial" w:cs="Arial"/>
        </w:rPr>
        <w:t xml:space="preserve"> </w:t>
      </w:r>
    </w:p>
    <w:p w14:paraId="6A81C6E7" w14:textId="411803EE" w:rsidR="004B13C7" w:rsidRPr="00CF4023" w:rsidRDefault="7D4EF4EF" w:rsidP="7D4EF4EF">
      <w:pPr>
        <w:pStyle w:val="ListParagraph"/>
        <w:numPr>
          <w:ilvl w:val="0"/>
          <w:numId w:val="23"/>
        </w:numPr>
        <w:spacing w:before="120" w:after="120" w:line="240" w:lineRule="auto"/>
        <w:jc w:val="both"/>
        <w:rPr>
          <w:rFonts w:ascii="Arial" w:hAnsi="Arial" w:cs="Arial"/>
        </w:rPr>
      </w:pPr>
      <w:r w:rsidRPr="7D4EF4EF">
        <w:rPr>
          <w:rFonts w:ascii="Arial" w:hAnsi="Arial" w:cs="Arial"/>
        </w:rPr>
        <w:t xml:space="preserve">Annex II: </w:t>
      </w:r>
      <w:hyperlink r:id="rId18">
        <w:r w:rsidRPr="7D4EF4EF">
          <w:rPr>
            <w:rStyle w:val="Hyperlink"/>
            <w:rFonts w:ascii="Arial" w:hAnsi="Arial" w:cs="Arial"/>
          </w:rPr>
          <w:t>Results Matrix</w:t>
        </w:r>
      </w:hyperlink>
      <w:r w:rsidRPr="7D4EF4EF">
        <w:rPr>
          <w:rFonts w:ascii="Arial" w:hAnsi="Arial" w:cs="Arial"/>
        </w:rPr>
        <w:t xml:space="preserve"> </w:t>
      </w:r>
    </w:p>
    <w:p w14:paraId="76520864" w14:textId="7EAD7C7B" w:rsidR="00BC1358" w:rsidRPr="00CF4023" w:rsidRDefault="7D4EF4EF" w:rsidP="7D4EF4EF">
      <w:pPr>
        <w:pStyle w:val="ListParagraph"/>
        <w:numPr>
          <w:ilvl w:val="0"/>
          <w:numId w:val="23"/>
        </w:numPr>
        <w:spacing w:before="120" w:after="120" w:line="240" w:lineRule="auto"/>
        <w:jc w:val="both"/>
        <w:rPr>
          <w:rFonts w:ascii="Arial" w:hAnsi="Arial" w:cs="Arial"/>
        </w:rPr>
      </w:pPr>
      <w:r w:rsidRPr="7D4EF4EF">
        <w:rPr>
          <w:rFonts w:ascii="Arial" w:hAnsi="Arial" w:cs="Arial"/>
        </w:rPr>
        <w:t xml:space="preserve">Annex III: </w:t>
      </w:r>
      <w:hyperlink r:id="rId19">
        <w:r w:rsidRPr="7D4EF4EF">
          <w:rPr>
            <w:rStyle w:val="Hyperlink"/>
            <w:rFonts w:ascii="Arial" w:hAnsi="Arial" w:cs="Arial"/>
          </w:rPr>
          <w:t>Procurement Plan</w:t>
        </w:r>
      </w:hyperlink>
    </w:p>
    <w:p w14:paraId="0FB87160" w14:textId="3F28F804" w:rsidR="004B13C7" w:rsidRPr="00CF4023" w:rsidRDefault="7D4EF4EF" w:rsidP="7D4EF4EF">
      <w:pPr>
        <w:pStyle w:val="ListParagraph"/>
        <w:numPr>
          <w:ilvl w:val="0"/>
          <w:numId w:val="23"/>
        </w:numPr>
        <w:spacing w:before="120" w:after="120" w:line="240" w:lineRule="auto"/>
        <w:jc w:val="both"/>
        <w:rPr>
          <w:rFonts w:ascii="Arial" w:hAnsi="Arial" w:cs="Arial"/>
        </w:rPr>
      </w:pPr>
      <w:r w:rsidRPr="7D4EF4EF">
        <w:rPr>
          <w:rFonts w:ascii="Arial" w:hAnsi="Arial" w:cs="Arial"/>
        </w:rPr>
        <w:t xml:space="preserve">Annex IV: </w:t>
      </w:r>
      <w:hyperlink r:id="rId20">
        <w:r w:rsidRPr="7D4EF4EF">
          <w:rPr>
            <w:rStyle w:val="Hyperlink"/>
            <w:rFonts w:ascii="Arial" w:hAnsi="Arial" w:cs="Arial"/>
          </w:rPr>
          <w:t>Terms of Reference for activities/components to be procured</w:t>
        </w:r>
      </w:hyperlink>
    </w:p>
    <w:p w14:paraId="3553ADBB" w14:textId="67E80B77" w:rsidR="004B13C7" w:rsidRDefault="004B13C7" w:rsidP="004B13C7">
      <w:pPr>
        <w:spacing w:before="120" w:after="120"/>
        <w:rPr>
          <w:rFonts w:ascii="Arial" w:hAnsi="Arial" w:cs="Arial"/>
          <w:lang w:eastAsia="ja-JP"/>
        </w:rPr>
      </w:pPr>
    </w:p>
    <w:p w14:paraId="0EE32A1A" w14:textId="5C09DA71" w:rsidR="00BA51C2" w:rsidRPr="00CF4023" w:rsidRDefault="00BA51C2" w:rsidP="00604578">
      <w:pPr>
        <w:spacing w:before="120" w:after="120"/>
        <w:rPr>
          <w:rFonts w:ascii="Arial" w:hAnsi="Arial" w:cs="Arial"/>
          <w:b/>
          <w:sz w:val="24"/>
          <w:lang w:eastAsia="ja-JP"/>
        </w:rPr>
      </w:pPr>
    </w:p>
    <w:sectPr w:rsidR="00BA51C2" w:rsidRPr="00CF4023">
      <w:headerReference w:type="default" r:id="rId21"/>
      <w:footerReference w:type="default" r:id="rId2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6B8378" w14:textId="77777777" w:rsidR="00C01018" w:rsidRDefault="00C01018">
      <w:pPr>
        <w:spacing w:after="0" w:line="240" w:lineRule="auto"/>
      </w:pPr>
      <w:r>
        <w:separator/>
      </w:r>
    </w:p>
  </w:endnote>
  <w:endnote w:type="continuationSeparator" w:id="0">
    <w:p w14:paraId="37AB1486" w14:textId="77777777" w:rsidR="00C01018" w:rsidRDefault="00C010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otham Book">
    <w:panose1 w:val="00000000000000000000"/>
    <w:charset w:val="00"/>
    <w:family w:val="modern"/>
    <w:notTrueType/>
    <w:pitch w:val="variable"/>
    <w:sig w:usb0="A10000FF" w:usb1="4000005B" w:usb2="00000000" w:usb3="00000000" w:csb0="0000009B" w:csb1="00000000"/>
  </w:font>
  <w:font w:name="MS Gothic">
    <w:altName w:val="ＭＳ ゴシック"/>
    <w:panose1 w:val="020B0609070205080204"/>
    <w:charset w:val="80"/>
    <w:family w:val="modern"/>
    <w:pitch w:val="fixed"/>
    <w:sig w:usb0="E00002FF" w:usb1="6AC7FDFB" w:usb2="00000012" w:usb3="00000000" w:csb0="0002009F" w:csb1="00000000"/>
  </w:font>
  <w:font w:name="Cambria">
    <w:altName w:val="Palatino Linotype"/>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7763597"/>
      <w:docPartObj>
        <w:docPartGallery w:val="Page Numbers (Bottom of Page)"/>
        <w:docPartUnique/>
      </w:docPartObj>
    </w:sdtPr>
    <w:sdtEndPr>
      <w:rPr>
        <w:noProof/>
      </w:rPr>
    </w:sdtEndPr>
    <w:sdtContent>
      <w:p w14:paraId="2681AF21" w14:textId="1E520F0E" w:rsidR="00C01018" w:rsidRDefault="00C01018">
        <w:pPr>
          <w:pStyle w:val="Footer"/>
          <w:jc w:val="center"/>
        </w:pPr>
        <w:r>
          <w:fldChar w:fldCharType="begin"/>
        </w:r>
        <w:r>
          <w:instrText xml:space="preserve"> PAGE   \* MERGEFORMAT </w:instrText>
        </w:r>
        <w:r>
          <w:fldChar w:fldCharType="separate"/>
        </w:r>
        <w:r w:rsidR="009433A0">
          <w:rPr>
            <w:noProof/>
          </w:rPr>
          <w:t>8</w:t>
        </w:r>
        <w:r>
          <w:rPr>
            <w:noProof/>
          </w:rPr>
          <w:fldChar w:fldCharType="end"/>
        </w:r>
      </w:p>
    </w:sdtContent>
  </w:sdt>
  <w:p w14:paraId="582850BD" w14:textId="77777777" w:rsidR="00C01018" w:rsidRDefault="00C010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BE677F" w14:textId="77777777" w:rsidR="00C01018" w:rsidRDefault="00C01018">
      <w:pPr>
        <w:spacing w:after="0" w:line="240" w:lineRule="auto"/>
      </w:pPr>
      <w:r>
        <w:separator/>
      </w:r>
    </w:p>
  </w:footnote>
  <w:footnote w:type="continuationSeparator" w:id="0">
    <w:p w14:paraId="4CC8FD44" w14:textId="77777777" w:rsidR="00C01018" w:rsidRDefault="00C01018">
      <w:pPr>
        <w:spacing w:after="0" w:line="240" w:lineRule="auto"/>
      </w:pPr>
      <w:r>
        <w:continuationSeparator/>
      </w:r>
    </w:p>
  </w:footnote>
  <w:footnote w:id="1">
    <w:p w14:paraId="733B67BF" w14:textId="0C7C9363" w:rsidR="00C01018" w:rsidRPr="00F75522" w:rsidRDefault="00C01018" w:rsidP="7D4EF4EF">
      <w:pPr>
        <w:pStyle w:val="FootnoteText"/>
        <w:rPr>
          <w:rFonts w:ascii="Arial" w:hAnsi="Arial" w:cs="Arial"/>
          <w:sz w:val="18"/>
          <w:szCs w:val="18"/>
        </w:rPr>
      </w:pPr>
      <w:r w:rsidRPr="00F75522">
        <w:rPr>
          <w:rStyle w:val="FootnoteReference"/>
          <w:rFonts w:ascii="Arial" w:hAnsi="Arial" w:cs="Arial"/>
          <w:sz w:val="18"/>
          <w:szCs w:val="18"/>
        </w:rPr>
        <w:footnoteRef/>
      </w:r>
      <w:r w:rsidRPr="00F75522">
        <w:rPr>
          <w:rFonts w:ascii="Arial" w:hAnsi="Arial" w:cs="Arial"/>
          <w:sz w:val="18"/>
          <w:szCs w:val="18"/>
        </w:rPr>
        <w:t xml:space="preserve"> </w:t>
      </w:r>
      <w:r w:rsidR="00946188" w:rsidRPr="00F75522">
        <w:rPr>
          <w:rFonts w:ascii="Arial" w:hAnsi="Arial" w:cs="Arial"/>
          <w:sz w:val="18"/>
          <w:szCs w:val="18"/>
        </w:rPr>
        <w:t>An indicative allocation of up to USD 150,000 will be considered for each country</w:t>
      </w:r>
      <w:r w:rsidR="00F75522">
        <w:rPr>
          <w:rFonts w:ascii="Arial" w:hAnsi="Arial" w:cs="Arial"/>
          <w:sz w:val="18"/>
          <w:szCs w:val="18"/>
        </w:rPr>
        <w:t>.</w:t>
      </w:r>
    </w:p>
  </w:footnote>
  <w:footnote w:id="2">
    <w:p w14:paraId="26B02F40" w14:textId="7E30CE42" w:rsidR="008D3000" w:rsidRPr="00F75522" w:rsidRDefault="008D3000" w:rsidP="00F75522">
      <w:pPr>
        <w:pStyle w:val="FootnoteText"/>
        <w:ind w:left="270" w:hanging="270"/>
        <w:jc w:val="both"/>
        <w:rPr>
          <w:rFonts w:ascii="Arial" w:hAnsi="Arial" w:cs="Arial"/>
          <w:sz w:val="18"/>
          <w:szCs w:val="18"/>
        </w:rPr>
      </w:pPr>
      <w:r w:rsidRPr="00F75522">
        <w:rPr>
          <w:rStyle w:val="FootnoteReference"/>
          <w:rFonts w:ascii="Arial" w:hAnsi="Arial" w:cs="Arial"/>
          <w:sz w:val="18"/>
          <w:szCs w:val="18"/>
        </w:rPr>
        <w:footnoteRef/>
      </w:r>
      <w:r w:rsidRPr="00F75522">
        <w:rPr>
          <w:rFonts w:ascii="Arial" w:hAnsi="Arial" w:cs="Arial"/>
          <w:sz w:val="18"/>
          <w:szCs w:val="18"/>
        </w:rPr>
        <w:t xml:space="preserve"> </w:t>
      </w:r>
      <w:r w:rsidR="00F75522">
        <w:rPr>
          <w:rFonts w:ascii="Arial" w:hAnsi="Arial" w:cs="Arial"/>
          <w:sz w:val="18"/>
          <w:szCs w:val="18"/>
        </w:rPr>
        <w:tab/>
      </w:r>
      <w:r w:rsidRPr="00F75522">
        <w:rPr>
          <w:rFonts w:ascii="Arial" w:hAnsi="Arial" w:cs="Arial"/>
          <w:bCs/>
          <w:sz w:val="18"/>
          <w:szCs w:val="18"/>
          <w:shd w:val="clear" w:color="auto" w:fill="FFFFFF"/>
        </w:rPr>
        <w:t>Efficient energy use</w:t>
      </w:r>
      <w:r w:rsidRPr="00F75522">
        <w:rPr>
          <w:rFonts w:ascii="Arial" w:hAnsi="Arial" w:cs="Arial"/>
          <w:sz w:val="18"/>
          <w:szCs w:val="18"/>
          <w:shd w:val="clear" w:color="auto" w:fill="FFFFFF"/>
        </w:rPr>
        <w:t xml:space="preserve"> is the goal to reduce the amount of energy required to provide products and services.  For example, </w:t>
      </w:r>
      <w:hyperlink r:id="rId1" w:tooltip="Building insulation" w:history="1">
        <w:r w:rsidRPr="00F75522">
          <w:rPr>
            <w:rStyle w:val="Hyperlink"/>
            <w:rFonts w:ascii="Arial" w:hAnsi="Arial" w:cs="Arial"/>
            <w:color w:val="auto"/>
            <w:sz w:val="18"/>
            <w:szCs w:val="18"/>
            <w:u w:val="none"/>
            <w:shd w:val="clear" w:color="auto" w:fill="FFFFFF"/>
          </w:rPr>
          <w:t>insulating a home</w:t>
        </w:r>
      </w:hyperlink>
      <w:r w:rsidRPr="00F75522">
        <w:rPr>
          <w:rFonts w:ascii="Arial" w:hAnsi="Arial" w:cs="Arial"/>
          <w:sz w:val="18"/>
          <w:szCs w:val="18"/>
          <w:shd w:val="clear" w:color="auto" w:fill="FFFFFF"/>
        </w:rPr>
        <w:t xml:space="preserve"> allows a building to use less heating and cooling energy to achieve a comfortable temperature. </w:t>
      </w:r>
      <w:hyperlink r:id="rId2" w:tooltip="LED lights" w:history="1">
        <w:r w:rsidRPr="00F75522">
          <w:rPr>
            <w:rStyle w:val="Hyperlink"/>
            <w:rFonts w:ascii="Arial" w:hAnsi="Arial" w:cs="Arial"/>
            <w:color w:val="auto"/>
            <w:sz w:val="18"/>
            <w:szCs w:val="18"/>
            <w:u w:val="none"/>
            <w:shd w:val="clear" w:color="auto" w:fill="FFFFFF"/>
          </w:rPr>
          <w:t>LED lights</w:t>
        </w:r>
      </w:hyperlink>
      <w:r w:rsidRPr="00F75522">
        <w:rPr>
          <w:rFonts w:ascii="Arial" w:hAnsi="Arial" w:cs="Arial"/>
          <w:sz w:val="18"/>
          <w:szCs w:val="18"/>
          <w:shd w:val="clear" w:color="auto" w:fill="FFFFFF"/>
        </w:rPr>
        <w:t> or natural </w:t>
      </w:r>
      <w:hyperlink r:id="rId3" w:tooltip="Skylight (window)" w:history="1">
        <w:r w:rsidRPr="00F75522">
          <w:rPr>
            <w:rStyle w:val="Hyperlink"/>
            <w:rFonts w:ascii="Arial" w:hAnsi="Arial" w:cs="Arial"/>
            <w:color w:val="auto"/>
            <w:sz w:val="18"/>
            <w:szCs w:val="18"/>
            <w:u w:val="none"/>
            <w:shd w:val="clear" w:color="auto" w:fill="FFFFFF"/>
          </w:rPr>
          <w:t>skylights</w:t>
        </w:r>
      </w:hyperlink>
      <w:r w:rsidRPr="00F75522">
        <w:rPr>
          <w:rFonts w:ascii="Arial" w:hAnsi="Arial" w:cs="Arial"/>
          <w:sz w:val="18"/>
          <w:szCs w:val="18"/>
        </w:rPr>
        <w:t xml:space="preserve"> </w:t>
      </w:r>
      <w:r w:rsidRPr="00F75522">
        <w:rPr>
          <w:rFonts w:ascii="Arial" w:hAnsi="Arial" w:cs="Arial"/>
          <w:sz w:val="18"/>
          <w:szCs w:val="18"/>
          <w:shd w:val="clear" w:color="auto" w:fill="FFFFFF"/>
        </w:rPr>
        <w:t xml:space="preserve">reduce the amount of energy required to achieve the same or even better level of lighting than when using </w:t>
      </w:r>
      <w:hyperlink r:id="rId4" w:tooltip="Incandescent light bulbs" w:history="1">
        <w:r w:rsidRPr="00F75522">
          <w:rPr>
            <w:rStyle w:val="Hyperlink"/>
            <w:rFonts w:ascii="Arial" w:hAnsi="Arial" w:cs="Arial"/>
            <w:color w:val="auto"/>
            <w:sz w:val="18"/>
            <w:szCs w:val="18"/>
            <w:u w:val="none"/>
            <w:shd w:val="clear" w:color="auto" w:fill="FFFFFF"/>
          </w:rPr>
          <w:t>incandescent light bulbs</w:t>
        </w:r>
      </w:hyperlink>
      <w:r w:rsidRPr="00F75522">
        <w:rPr>
          <w:rFonts w:ascii="Arial" w:hAnsi="Arial" w:cs="Arial"/>
          <w:sz w:val="18"/>
          <w:szCs w:val="18"/>
          <w:shd w:val="clear" w:color="auto" w:fill="FFFFFF"/>
        </w:rPr>
        <w:t>. Improvements in energy efficiency are generally achieved by adopting a more efficient technology or production process</w:t>
      </w:r>
      <w:r w:rsidR="00F75522" w:rsidRPr="00F75522">
        <w:rPr>
          <w:rFonts w:ascii="Arial" w:hAnsi="Arial" w:cs="Arial"/>
          <w:sz w:val="18"/>
          <w:szCs w:val="18"/>
          <w:shd w:val="clear" w:color="auto" w:fill="FFFFFF"/>
        </w:rPr>
        <w:t>.</w:t>
      </w:r>
    </w:p>
  </w:footnote>
  <w:footnote w:id="3">
    <w:p w14:paraId="1DD2DC68" w14:textId="412D5C2E" w:rsidR="00C01018" w:rsidRPr="00F75522" w:rsidRDefault="00C01018" w:rsidP="00F75522">
      <w:pPr>
        <w:pStyle w:val="FootnoteText"/>
        <w:ind w:left="180" w:hanging="180"/>
        <w:jc w:val="both"/>
        <w:rPr>
          <w:rFonts w:ascii="Arial" w:hAnsi="Arial" w:cs="Arial"/>
          <w:sz w:val="18"/>
          <w:szCs w:val="18"/>
          <w:lang w:eastAsia="ja-JP"/>
        </w:rPr>
      </w:pPr>
      <w:r w:rsidRPr="00F75522">
        <w:rPr>
          <w:rStyle w:val="FootnoteReference"/>
          <w:rFonts w:ascii="Arial" w:hAnsi="Arial" w:cs="Arial"/>
          <w:sz w:val="18"/>
          <w:szCs w:val="18"/>
        </w:rPr>
        <w:footnoteRef/>
      </w:r>
      <w:r w:rsidRPr="00F75522">
        <w:rPr>
          <w:rFonts w:ascii="Arial" w:hAnsi="Arial" w:cs="Arial"/>
          <w:sz w:val="18"/>
          <w:szCs w:val="18"/>
        </w:rPr>
        <w:t xml:space="preserve"> </w:t>
      </w:r>
      <w:r w:rsidRPr="00F75522">
        <w:rPr>
          <w:rFonts w:ascii="Arial" w:hAnsi="Arial" w:cs="Arial"/>
          <w:sz w:val="18"/>
          <w:szCs w:val="18"/>
        </w:rPr>
        <w:tab/>
      </w:r>
      <w:r w:rsidRPr="00F75522">
        <w:rPr>
          <w:rFonts w:ascii="Arial" w:hAnsi="Arial" w:cs="Arial"/>
          <w:sz w:val="18"/>
          <w:szCs w:val="18"/>
          <w:lang w:eastAsia="ja-JP"/>
        </w:rPr>
        <w:t>As of June 2017, the Energy Division under SEforALL’s initiative of EE promotion is providing supports and/or in policy dialogues with countries such as Argentina, Barbados, Brazil, Colombia, Ecuador, El Salvador, Honduras, Jamaica, Mexico, Panama, Paraguay, regional (SICA, CARICOM) among others.</w:t>
      </w:r>
    </w:p>
  </w:footnote>
  <w:footnote w:id="4">
    <w:p w14:paraId="55F4C6CE" w14:textId="531A6BB2" w:rsidR="00CD67D5" w:rsidRPr="00CD67D5" w:rsidRDefault="00CD67D5">
      <w:pPr>
        <w:pStyle w:val="FootnoteText"/>
        <w:rPr>
          <w:rFonts w:ascii="Arial" w:hAnsi="Arial" w:cs="Arial"/>
        </w:rPr>
      </w:pPr>
      <w:r w:rsidRPr="00CD67D5">
        <w:rPr>
          <w:rStyle w:val="FootnoteReference"/>
          <w:rFonts w:ascii="Arial" w:hAnsi="Arial" w:cs="Arial"/>
          <w:sz w:val="18"/>
        </w:rPr>
        <w:footnoteRef/>
      </w:r>
      <w:r w:rsidRPr="00CD67D5">
        <w:rPr>
          <w:rFonts w:ascii="Arial" w:hAnsi="Arial" w:cs="Arial"/>
          <w:sz w:val="18"/>
        </w:rPr>
        <w:t xml:space="preserve"> Such public installations will be selected in accordance to government priorities.  </w:t>
      </w:r>
    </w:p>
  </w:footnote>
  <w:footnote w:id="5">
    <w:p w14:paraId="65B76DE9" w14:textId="10729AA5" w:rsidR="00C01018" w:rsidRPr="00F75522" w:rsidRDefault="00C01018" w:rsidP="00F75522">
      <w:pPr>
        <w:pStyle w:val="ListParagraph"/>
        <w:spacing w:after="0" w:line="240" w:lineRule="auto"/>
        <w:ind w:left="270" w:hanging="270"/>
        <w:jc w:val="both"/>
        <w:rPr>
          <w:rFonts w:ascii="Arial" w:hAnsi="Arial" w:cs="Arial"/>
          <w:sz w:val="18"/>
          <w:szCs w:val="18"/>
        </w:rPr>
      </w:pPr>
      <w:r w:rsidRPr="00F75522">
        <w:rPr>
          <w:rStyle w:val="FootnoteReference"/>
          <w:rFonts w:ascii="Arial" w:hAnsi="Arial" w:cs="Arial"/>
          <w:sz w:val="18"/>
          <w:szCs w:val="18"/>
        </w:rPr>
        <w:footnoteRef/>
      </w:r>
      <w:r w:rsidRPr="00F75522">
        <w:rPr>
          <w:rFonts w:ascii="Arial" w:hAnsi="Arial" w:cs="Arial"/>
          <w:sz w:val="18"/>
          <w:szCs w:val="18"/>
        </w:rPr>
        <w:t xml:space="preserve"> </w:t>
      </w:r>
      <w:r w:rsidRPr="00F75522">
        <w:rPr>
          <w:rFonts w:ascii="Arial" w:hAnsi="Arial" w:cs="Arial"/>
          <w:sz w:val="18"/>
          <w:szCs w:val="18"/>
        </w:rPr>
        <w:tab/>
        <w:t xml:space="preserve">Identified relevant regional events include Mexico’s Strategic Dialogue for the Future of </w:t>
      </w:r>
      <w:r w:rsidRPr="00F75522">
        <w:rPr>
          <w:rFonts w:ascii="Arial" w:hAnsi="Arial" w:cs="Arial"/>
          <w:sz w:val="18"/>
          <w:szCs w:val="18"/>
        </w:rPr>
        <w:br/>
        <w:t>Energy in September 2017, the 2</w:t>
      </w:r>
      <w:r w:rsidRPr="00F75522">
        <w:rPr>
          <w:rFonts w:ascii="Arial" w:hAnsi="Arial" w:cs="Arial"/>
          <w:sz w:val="18"/>
          <w:szCs w:val="18"/>
          <w:vertAlign w:val="superscript"/>
        </w:rPr>
        <w:t xml:space="preserve">nd </w:t>
      </w:r>
      <w:r w:rsidRPr="00F75522">
        <w:rPr>
          <w:rFonts w:ascii="Arial" w:hAnsi="Arial" w:cs="Arial"/>
          <w:sz w:val="18"/>
          <w:szCs w:val="18"/>
        </w:rPr>
        <w:t>Sustainable Energy Week for Latin America and the Caribbean in Argentina in December 2017, and IDB’s Energy Network Regional Policy Dialogue (high-level meeting organized every year by ENE), among other regional events that may be supported.</w:t>
      </w:r>
    </w:p>
  </w:footnote>
  <w:footnote w:id="6">
    <w:p w14:paraId="75F23A80" w14:textId="0B855228" w:rsidR="00C01018" w:rsidRPr="00F75522" w:rsidRDefault="00C01018" w:rsidP="00F75522">
      <w:pPr>
        <w:pStyle w:val="FootnoteText"/>
        <w:ind w:left="270" w:hanging="270"/>
        <w:rPr>
          <w:rFonts w:ascii="Arial" w:hAnsi="Arial" w:cs="Arial"/>
          <w:sz w:val="18"/>
          <w:szCs w:val="18"/>
        </w:rPr>
      </w:pPr>
      <w:r w:rsidRPr="00F75522">
        <w:rPr>
          <w:rStyle w:val="FootnoteReference"/>
          <w:rFonts w:ascii="Arial" w:hAnsi="Arial" w:cs="Arial"/>
          <w:sz w:val="18"/>
          <w:szCs w:val="18"/>
        </w:rPr>
        <w:footnoteRef/>
      </w:r>
      <w:r w:rsidRPr="00F75522">
        <w:rPr>
          <w:rFonts w:ascii="Arial" w:hAnsi="Arial" w:cs="Arial"/>
          <w:sz w:val="18"/>
          <w:szCs w:val="18"/>
        </w:rPr>
        <w:t xml:space="preserve"> </w:t>
      </w:r>
      <w:r w:rsidRPr="00F75522">
        <w:rPr>
          <w:rFonts w:ascii="Arial" w:hAnsi="Arial" w:cs="Arial"/>
          <w:sz w:val="18"/>
          <w:szCs w:val="18"/>
        </w:rPr>
        <w:tab/>
        <w:t>The following expenditures will not be financed by this TC: (i) activities currently funded by other donors; (ii) land acquisition; (iii) government employees’ salaries and travel costs; (iv) Bank staff salaries and travel costs; (v) training from non-beneficiary countries; (vi) study tours; and (vii) the Bank’s administrative costs.</w:t>
      </w:r>
    </w:p>
  </w:footnote>
  <w:footnote w:id="7">
    <w:p w14:paraId="6E11EE43" w14:textId="25D99042" w:rsidR="00FD797B" w:rsidRPr="00F75522" w:rsidRDefault="00FD797B" w:rsidP="00F75522">
      <w:pPr>
        <w:pStyle w:val="FootnoteText"/>
        <w:ind w:left="270" w:hanging="270"/>
        <w:rPr>
          <w:rFonts w:ascii="Arial" w:hAnsi="Arial" w:cs="Arial"/>
          <w:sz w:val="18"/>
          <w:szCs w:val="18"/>
        </w:rPr>
      </w:pPr>
      <w:r w:rsidRPr="00F75522">
        <w:rPr>
          <w:rStyle w:val="FootnoteReference"/>
          <w:rFonts w:ascii="Arial" w:hAnsi="Arial" w:cs="Arial"/>
          <w:sz w:val="18"/>
          <w:szCs w:val="18"/>
        </w:rPr>
        <w:footnoteRef/>
      </w:r>
      <w:r w:rsidRPr="00F75522">
        <w:rPr>
          <w:rFonts w:ascii="Arial" w:hAnsi="Arial" w:cs="Arial"/>
          <w:sz w:val="18"/>
          <w:szCs w:val="18"/>
        </w:rPr>
        <w:t xml:space="preserve"> </w:t>
      </w:r>
      <w:r w:rsidR="00F75522">
        <w:rPr>
          <w:rFonts w:ascii="Arial" w:hAnsi="Arial" w:cs="Arial"/>
          <w:sz w:val="18"/>
          <w:szCs w:val="18"/>
        </w:rPr>
        <w:tab/>
      </w:r>
      <w:r w:rsidRPr="00F75522">
        <w:rPr>
          <w:rFonts w:ascii="Arial" w:hAnsi="Arial" w:cs="Arial"/>
          <w:sz w:val="18"/>
          <w:szCs w:val="18"/>
        </w:rPr>
        <w:t>This represents an in-kind contribution equivalent to USD 25,000.00 by each country.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5ADF1B" w14:textId="77777777" w:rsidR="00C01018" w:rsidRDefault="00C01018">
    <w:pPr>
      <w:pStyle w:val="Header"/>
      <w:tabs>
        <w:tab w:val="clear" w:pos="4680"/>
      </w:tabs>
      <w:jc w:val="center"/>
      <w:rPr>
        <w:rFonts w:ascii="Gotham Book" w:hAnsi="Gotham Book"/>
        <w:sz w:val="18"/>
        <w:szCs w:val="18"/>
      </w:rPr>
    </w:pPr>
  </w:p>
  <w:p w14:paraId="1A2DE07C" w14:textId="77777777" w:rsidR="00C01018" w:rsidRDefault="00C010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D5088"/>
    <w:multiLevelType w:val="hybridMultilevel"/>
    <w:tmpl w:val="8DE2904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1911F8"/>
    <w:multiLevelType w:val="multilevel"/>
    <w:tmpl w:val="E71812DA"/>
    <w:lvl w:ilvl="0">
      <w:start w:val="1"/>
      <w:numFmt w:val="decimal"/>
      <w:lvlText w:val="%1."/>
      <w:lvlJc w:val="left"/>
      <w:pPr>
        <w:ind w:left="1080" w:hanging="360"/>
      </w:pPr>
      <w:rPr>
        <w:b/>
      </w:rPr>
    </w:lvl>
    <w:lvl w:ilvl="1">
      <w:start w:val="1"/>
      <w:numFmt w:val="decimal"/>
      <w:isLgl/>
      <w:lvlText w:val="%1.%2"/>
      <w:lvlJc w:val="left"/>
      <w:pPr>
        <w:ind w:left="1800" w:hanging="1080"/>
      </w:pPr>
      <w:rPr>
        <w:rFonts w:hint="default"/>
        <w:b w:val="0"/>
      </w:rPr>
    </w:lvl>
    <w:lvl w:ilvl="2">
      <w:start w:val="1"/>
      <w:numFmt w:val="decimal"/>
      <w:isLgl/>
      <w:lvlText w:val="%1.%2.%3"/>
      <w:lvlJc w:val="left"/>
      <w:pPr>
        <w:ind w:left="1800" w:hanging="1080"/>
      </w:pPr>
      <w:rPr>
        <w:rFonts w:hint="default"/>
        <w:b w:val="0"/>
      </w:rPr>
    </w:lvl>
    <w:lvl w:ilvl="3">
      <w:start w:val="1"/>
      <w:numFmt w:val="lowerLetter"/>
      <w:lvlText w:val="%4."/>
      <w:lvlJc w:val="left"/>
      <w:pPr>
        <w:ind w:left="2160" w:hanging="1080"/>
      </w:pPr>
      <w:rPr>
        <w:rFonts w:hint="default"/>
      </w:rPr>
    </w:lvl>
    <w:lvl w:ilvl="4">
      <w:start w:val="1"/>
      <w:numFmt w:val="lowerRoman"/>
      <w:lvlText w:val="%5."/>
      <w:lvlJc w:val="right"/>
      <w:pPr>
        <w:ind w:left="1800" w:hanging="1080"/>
      </w:pPr>
      <w:rPr>
        <w:rFonts w:hint="default"/>
        <w:b w:val="0"/>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15:restartNumberingAfterBreak="0">
    <w:nsid w:val="034A67DB"/>
    <w:multiLevelType w:val="hybridMultilevel"/>
    <w:tmpl w:val="512EEA36"/>
    <w:lvl w:ilvl="0" w:tplc="2698154C">
      <w:numFmt w:val="bullet"/>
      <w:lvlText w:val="-"/>
      <w:lvlJc w:val="left"/>
      <w:pPr>
        <w:ind w:left="1800" w:hanging="360"/>
      </w:pPr>
      <w:rPr>
        <w:rFonts w:ascii="Arial" w:eastAsiaTheme="minorEastAsia"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5763C9E"/>
    <w:multiLevelType w:val="hybridMultilevel"/>
    <w:tmpl w:val="6A4680C0"/>
    <w:lvl w:ilvl="0" w:tplc="B674FF2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955A7F"/>
    <w:multiLevelType w:val="multilevel"/>
    <w:tmpl w:val="385ED50E"/>
    <w:lvl w:ilvl="0">
      <w:start w:val="1"/>
      <w:numFmt w:val="upperRoman"/>
      <w:lvlText w:val="%1."/>
      <w:lvlJc w:val="right"/>
      <w:pPr>
        <w:ind w:left="36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720"/>
      </w:pPr>
      <w:rPr>
        <w:rFonts w:hint="default"/>
        <w:b w:val="0"/>
      </w:rPr>
    </w:lvl>
    <w:lvl w:ilvl="4">
      <w:start w:val="1"/>
      <w:numFmt w:val="decimal"/>
      <w:isLgl/>
      <w:lvlText w:val="%1.%2.%3.%4.%5"/>
      <w:lvlJc w:val="left"/>
      <w:pPr>
        <w:ind w:left="2520" w:hanging="1080"/>
      </w:pPr>
      <w:rPr>
        <w:rFonts w:hint="default"/>
        <w:b w:val="0"/>
      </w:rPr>
    </w:lvl>
    <w:lvl w:ilvl="5">
      <w:start w:val="1"/>
      <w:numFmt w:val="decimal"/>
      <w:isLgl/>
      <w:lvlText w:val="%1.%2.%3.%4.%5.%6"/>
      <w:lvlJc w:val="left"/>
      <w:pPr>
        <w:ind w:left="2880" w:hanging="1080"/>
      </w:pPr>
      <w:rPr>
        <w:rFonts w:hint="default"/>
        <w:b w:val="0"/>
      </w:rPr>
    </w:lvl>
    <w:lvl w:ilvl="6">
      <w:start w:val="1"/>
      <w:numFmt w:val="decimal"/>
      <w:isLgl/>
      <w:lvlText w:val="%1.%2.%3.%4.%5.%6.%7"/>
      <w:lvlJc w:val="left"/>
      <w:pPr>
        <w:ind w:left="3600" w:hanging="1440"/>
      </w:pPr>
      <w:rPr>
        <w:rFonts w:hint="default"/>
        <w:b w:val="0"/>
      </w:rPr>
    </w:lvl>
    <w:lvl w:ilvl="7">
      <w:start w:val="1"/>
      <w:numFmt w:val="decimal"/>
      <w:isLgl/>
      <w:lvlText w:val="%1.%2.%3.%4.%5.%6.%7.%8"/>
      <w:lvlJc w:val="left"/>
      <w:pPr>
        <w:ind w:left="3960" w:hanging="1440"/>
      </w:pPr>
      <w:rPr>
        <w:rFonts w:hint="default"/>
        <w:b w:val="0"/>
      </w:rPr>
    </w:lvl>
    <w:lvl w:ilvl="8">
      <w:start w:val="1"/>
      <w:numFmt w:val="decimal"/>
      <w:isLgl/>
      <w:lvlText w:val="%1.%2.%3.%4.%5.%6.%7.%8.%9"/>
      <w:lvlJc w:val="left"/>
      <w:pPr>
        <w:ind w:left="4680" w:hanging="1800"/>
      </w:pPr>
      <w:rPr>
        <w:rFonts w:hint="default"/>
        <w:b w:val="0"/>
      </w:rPr>
    </w:lvl>
  </w:abstractNum>
  <w:abstractNum w:abstractNumId="5" w15:restartNumberingAfterBreak="0">
    <w:nsid w:val="0C665631"/>
    <w:multiLevelType w:val="hybridMultilevel"/>
    <w:tmpl w:val="BC78F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A76051"/>
    <w:multiLevelType w:val="hybridMultilevel"/>
    <w:tmpl w:val="B4887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036B5A"/>
    <w:multiLevelType w:val="hybridMultilevel"/>
    <w:tmpl w:val="4F62D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7C7F10"/>
    <w:multiLevelType w:val="hybridMultilevel"/>
    <w:tmpl w:val="AF5289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7354963"/>
    <w:multiLevelType w:val="hybridMultilevel"/>
    <w:tmpl w:val="95EAD726"/>
    <w:lvl w:ilvl="0" w:tplc="AC6C38CE">
      <w:numFmt w:val="bullet"/>
      <w:lvlText w:val=""/>
      <w:lvlJc w:val="left"/>
      <w:pPr>
        <w:ind w:left="390" w:hanging="360"/>
      </w:pPr>
      <w:rPr>
        <w:rFonts w:ascii="Symbol" w:eastAsiaTheme="minorHAnsi" w:hAnsi="Symbol" w:cstheme="minorBidi"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10" w15:restartNumberingAfterBreak="0">
    <w:nsid w:val="292E025C"/>
    <w:multiLevelType w:val="hybridMultilevel"/>
    <w:tmpl w:val="B2248766"/>
    <w:lvl w:ilvl="0" w:tplc="C700CC4A">
      <w:numFmt w:val="bullet"/>
      <w:lvlText w:val=""/>
      <w:lvlJc w:val="left"/>
      <w:pPr>
        <w:ind w:left="750" w:hanging="360"/>
      </w:pPr>
      <w:rPr>
        <w:rFonts w:ascii="Symbol" w:eastAsiaTheme="minorHAnsi" w:hAnsi="Symbol" w:cstheme="minorBidi"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11" w15:restartNumberingAfterBreak="0">
    <w:nsid w:val="2CBD0B9B"/>
    <w:multiLevelType w:val="hybridMultilevel"/>
    <w:tmpl w:val="D5189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E74924"/>
    <w:multiLevelType w:val="hybridMultilevel"/>
    <w:tmpl w:val="669E5A0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4E2A92"/>
    <w:multiLevelType w:val="multilevel"/>
    <w:tmpl w:val="C00AB542"/>
    <w:lvl w:ilvl="0">
      <w:start w:val="1"/>
      <w:numFmt w:val="decimal"/>
      <w:lvlText w:val="%1."/>
      <w:lvlJc w:val="left"/>
      <w:pPr>
        <w:ind w:left="1080" w:hanging="360"/>
      </w:pPr>
      <w:rPr>
        <w:b/>
      </w:rPr>
    </w:lvl>
    <w:lvl w:ilvl="1">
      <w:start w:val="1"/>
      <w:numFmt w:val="decimal"/>
      <w:isLgl/>
      <w:lvlText w:val="%1.%2"/>
      <w:lvlJc w:val="left"/>
      <w:pPr>
        <w:ind w:left="1800" w:hanging="1080"/>
      </w:pPr>
      <w:rPr>
        <w:rFonts w:hint="default"/>
        <w:b w:val="0"/>
      </w:rPr>
    </w:lvl>
    <w:lvl w:ilvl="2">
      <w:start w:val="1"/>
      <w:numFmt w:val="decimal"/>
      <w:isLgl/>
      <w:lvlText w:val="%1.%2.%3"/>
      <w:lvlJc w:val="left"/>
      <w:pPr>
        <w:ind w:left="1800" w:hanging="1080"/>
      </w:pPr>
      <w:rPr>
        <w:rFonts w:hint="default"/>
        <w:b w:val="0"/>
      </w:rPr>
    </w:lvl>
    <w:lvl w:ilvl="3">
      <w:start w:val="1"/>
      <w:numFmt w:val="lowerLetter"/>
      <w:lvlText w:val="%4."/>
      <w:lvlJc w:val="left"/>
      <w:pPr>
        <w:ind w:left="2160" w:hanging="1080"/>
      </w:pPr>
      <w:rPr>
        <w:rFonts w:hint="default"/>
      </w:rPr>
    </w:lvl>
    <w:lvl w:ilvl="4">
      <w:start w:val="1"/>
      <w:numFmt w:val="lowerRoman"/>
      <w:lvlText w:val="%5."/>
      <w:lvlJc w:val="righ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4" w15:restartNumberingAfterBreak="0">
    <w:nsid w:val="338401F1"/>
    <w:multiLevelType w:val="multilevel"/>
    <w:tmpl w:val="C00AB542"/>
    <w:lvl w:ilvl="0">
      <w:start w:val="1"/>
      <w:numFmt w:val="decimal"/>
      <w:lvlText w:val="%1."/>
      <w:lvlJc w:val="left"/>
      <w:pPr>
        <w:ind w:left="1080" w:hanging="360"/>
      </w:pPr>
      <w:rPr>
        <w:b/>
      </w:rPr>
    </w:lvl>
    <w:lvl w:ilvl="1">
      <w:start w:val="1"/>
      <w:numFmt w:val="decimal"/>
      <w:isLgl/>
      <w:lvlText w:val="%1.%2"/>
      <w:lvlJc w:val="left"/>
      <w:pPr>
        <w:ind w:left="1800" w:hanging="1080"/>
      </w:pPr>
      <w:rPr>
        <w:rFonts w:hint="default"/>
        <w:b w:val="0"/>
      </w:rPr>
    </w:lvl>
    <w:lvl w:ilvl="2">
      <w:start w:val="1"/>
      <w:numFmt w:val="decimal"/>
      <w:isLgl/>
      <w:lvlText w:val="%1.%2.%3"/>
      <w:lvlJc w:val="left"/>
      <w:pPr>
        <w:ind w:left="1800" w:hanging="1080"/>
      </w:pPr>
      <w:rPr>
        <w:rFonts w:hint="default"/>
        <w:b w:val="0"/>
      </w:rPr>
    </w:lvl>
    <w:lvl w:ilvl="3">
      <w:start w:val="1"/>
      <w:numFmt w:val="lowerLetter"/>
      <w:lvlText w:val="%4."/>
      <w:lvlJc w:val="left"/>
      <w:pPr>
        <w:ind w:left="2160" w:hanging="1080"/>
      </w:pPr>
      <w:rPr>
        <w:rFonts w:hint="default"/>
      </w:rPr>
    </w:lvl>
    <w:lvl w:ilvl="4">
      <w:start w:val="1"/>
      <w:numFmt w:val="lowerRoman"/>
      <w:lvlText w:val="%5."/>
      <w:lvlJc w:val="righ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5" w15:restartNumberingAfterBreak="0">
    <w:nsid w:val="3B8C1EFA"/>
    <w:multiLevelType w:val="hybridMultilevel"/>
    <w:tmpl w:val="AC7A3FE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232A7456">
      <w:start w:val="1"/>
      <w:numFmt w:val="bullet"/>
      <w:lvlText w:val="-"/>
      <w:lvlJc w:val="left"/>
      <w:pPr>
        <w:ind w:left="2160" w:hanging="360"/>
      </w:pPr>
      <w:rPr>
        <w:rFonts w:ascii="Arial" w:eastAsiaTheme="minorEastAsia" w:hAnsi="Arial" w:cs="Aria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C10A8F"/>
    <w:multiLevelType w:val="hybridMultilevel"/>
    <w:tmpl w:val="A5FAD3E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F94135"/>
    <w:multiLevelType w:val="hybridMultilevel"/>
    <w:tmpl w:val="A0FEA2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ACB180A"/>
    <w:multiLevelType w:val="hybridMultilevel"/>
    <w:tmpl w:val="CAD25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D8C37EE"/>
    <w:multiLevelType w:val="hybridMultilevel"/>
    <w:tmpl w:val="5D8A15E4"/>
    <w:lvl w:ilvl="0" w:tplc="CEB46EBA">
      <w:start w:val="1"/>
      <w:numFmt w:val="lowerRoman"/>
      <w:lvlText w:val="%1)"/>
      <w:lvlJc w:val="left"/>
      <w:pPr>
        <w:ind w:left="990" w:hanging="720"/>
      </w:p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start w:val="1"/>
      <w:numFmt w:val="lowerLetter"/>
      <w:lvlText w:val="%5."/>
      <w:lvlJc w:val="left"/>
      <w:pPr>
        <w:ind w:left="3510" w:hanging="360"/>
      </w:pPr>
    </w:lvl>
    <w:lvl w:ilvl="5" w:tplc="0409001B">
      <w:start w:val="1"/>
      <w:numFmt w:val="lowerRoman"/>
      <w:lvlText w:val="%6."/>
      <w:lvlJc w:val="right"/>
      <w:pPr>
        <w:ind w:left="4230" w:hanging="180"/>
      </w:pPr>
    </w:lvl>
    <w:lvl w:ilvl="6" w:tplc="0409000F">
      <w:start w:val="1"/>
      <w:numFmt w:val="decimal"/>
      <w:lvlText w:val="%7."/>
      <w:lvlJc w:val="left"/>
      <w:pPr>
        <w:ind w:left="4950" w:hanging="360"/>
      </w:pPr>
    </w:lvl>
    <w:lvl w:ilvl="7" w:tplc="04090019">
      <w:start w:val="1"/>
      <w:numFmt w:val="lowerLetter"/>
      <w:lvlText w:val="%8."/>
      <w:lvlJc w:val="left"/>
      <w:pPr>
        <w:ind w:left="5670" w:hanging="360"/>
      </w:pPr>
    </w:lvl>
    <w:lvl w:ilvl="8" w:tplc="0409001B">
      <w:start w:val="1"/>
      <w:numFmt w:val="lowerRoman"/>
      <w:lvlText w:val="%9."/>
      <w:lvlJc w:val="right"/>
      <w:pPr>
        <w:ind w:left="6390" w:hanging="180"/>
      </w:pPr>
    </w:lvl>
  </w:abstractNum>
  <w:abstractNum w:abstractNumId="20" w15:restartNumberingAfterBreak="0">
    <w:nsid w:val="4E183EB3"/>
    <w:multiLevelType w:val="hybridMultilevel"/>
    <w:tmpl w:val="59BC0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3AF330B"/>
    <w:multiLevelType w:val="hybridMultilevel"/>
    <w:tmpl w:val="B2D07F98"/>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5044822"/>
    <w:multiLevelType w:val="hybridMultilevel"/>
    <w:tmpl w:val="F22E8D1E"/>
    <w:lvl w:ilvl="0" w:tplc="04090001">
      <w:start w:val="1"/>
      <w:numFmt w:val="bullet"/>
      <w:lvlText w:val=""/>
      <w:lvlJc w:val="left"/>
      <w:pPr>
        <w:ind w:left="36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5E326ED5"/>
    <w:multiLevelType w:val="hybridMultilevel"/>
    <w:tmpl w:val="6EBA5E22"/>
    <w:lvl w:ilvl="0" w:tplc="28860740">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5F61687C"/>
    <w:multiLevelType w:val="hybridMultilevel"/>
    <w:tmpl w:val="4860FBD6"/>
    <w:lvl w:ilvl="0" w:tplc="04090015">
      <w:start w:val="1"/>
      <w:numFmt w:val="upp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5" w15:restartNumberingAfterBreak="0">
    <w:nsid w:val="61293222"/>
    <w:multiLevelType w:val="hybridMultilevel"/>
    <w:tmpl w:val="FCC818D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A465FA4"/>
    <w:multiLevelType w:val="multilevel"/>
    <w:tmpl w:val="D3F8806C"/>
    <w:lvl w:ilvl="0">
      <w:start w:val="6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E481221"/>
    <w:multiLevelType w:val="multilevel"/>
    <w:tmpl w:val="412A4FDA"/>
    <w:lvl w:ilvl="0">
      <w:start w:val="1"/>
      <w:numFmt w:val="upperRoman"/>
      <w:lvlText w:val="%1."/>
      <w:lvlJc w:val="right"/>
      <w:pPr>
        <w:ind w:left="36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720"/>
      </w:pPr>
      <w:rPr>
        <w:rFonts w:hint="default"/>
        <w:b w:val="0"/>
      </w:rPr>
    </w:lvl>
    <w:lvl w:ilvl="4">
      <w:start w:val="1"/>
      <w:numFmt w:val="decimal"/>
      <w:isLgl/>
      <w:lvlText w:val="%1.%2.%3.%4.%5"/>
      <w:lvlJc w:val="left"/>
      <w:pPr>
        <w:ind w:left="2520" w:hanging="1080"/>
      </w:pPr>
      <w:rPr>
        <w:rFonts w:hint="default"/>
        <w:b w:val="0"/>
      </w:rPr>
    </w:lvl>
    <w:lvl w:ilvl="5">
      <w:start w:val="1"/>
      <w:numFmt w:val="decimal"/>
      <w:isLgl/>
      <w:lvlText w:val="%1.%2.%3.%4.%5.%6"/>
      <w:lvlJc w:val="left"/>
      <w:pPr>
        <w:ind w:left="2880" w:hanging="1080"/>
      </w:pPr>
      <w:rPr>
        <w:rFonts w:hint="default"/>
        <w:b w:val="0"/>
      </w:rPr>
    </w:lvl>
    <w:lvl w:ilvl="6">
      <w:start w:val="1"/>
      <w:numFmt w:val="decimal"/>
      <w:isLgl/>
      <w:lvlText w:val="%1.%2.%3.%4.%5.%6.%7"/>
      <w:lvlJc w:val="left"/>
      <w:pPr>
        <w:ind w:left="3600" w:hanging="1440"/>
      </w:pPr>
      <w:rPr>
        <w:rFonts w:hint="default"/>
        <w:b w:val="0"/>
      </w:rPr>
    </w:lvl>
    <w:lvl w:ilvl="7">
      <w:start w:val="1"/>
      <w:numFmt w:val="decimal"/>
      <w:isLgl/>
      <w:lvlText w:val="%1.%2.%3.%4.%5.%6.%7.%8"/>
      <w:lvlJc w:val="left"/>
      <w:pPr>
        <w:ind w:left="3960" w:hanging="1440"/>
      </w:pPr>
      <w:rPr>
        <w:rFonts w:hint="default"/>
        <w:b w:val="0"/>
      </w:rPr>
    </w:lvl>
    <w:lvl w:ilvl="8">
      <w:start w:val="1"/>
      <w:numFmt w:val="decimal"/>
      <w:isLgl/>
      <w:lvlText w:val="%1.%2.%3.%4.%5.%6.%7.%8.%9"/>
      <w:lvlJc w:val="left"/>
      <w:pPr>
        <w:ind w:left="4680" w:hanging="1800"/>
      </w:pPr>
      <w:rPr>
        <w:rFonts w:hint="default"/>
        <w:b w:val="0"/>
      </w:rPr>
    </w:lvl>
  </w:abstractNum>
  <w:abstractNum w:abstractNumId="28" w15:restartNumberingAfterBreak="0">
    <w:nsid w:val="73DA472B"/>
    <w:multiLevelType w:val="multilevel"/>
    <w:tmpl w:val="271A77EC"/>
    <w:lvl w:ilvl="0">
      <w:start w:val="1"/>
      <w:numFmt w:val="upperRoman"/>
      <w:lvlText w:val="%1."/>
      <w:lvlJc w:val="right"/>
      <w:pPr>
        <w:ind w:left="360" w:hanging="360"/>
      </w:pPr>
      <w:rPr>
        <w:b/>
      </w:rPr>
    </w:lvl>
    <w:lvl w:ilvl="1">
      <w:start w:val="1"/>
      <w:numFmt w:val="decimal"/>
      <w:isLgl/>
      <w:lvlText w:val="%1.%2"/>
      <w:lvlJc w:val="left"/>
      <w:pPr>
        <w:ind w:left="360" w:hanging="360"/>
      </w:pPr>
      <w:rPr>
        <w:rFonts w:hint="default"/>
        <w:b w:val="0"/>
        <w:strike w:val="0"/>
        <w:u w:val="none"/>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720"/>
      </w:pPr>
      <w:rPr>
        <w:rFonts w:hint="default"/>
        <w:b w:val="0"/>
      </w:rPr>
    </w:lvl>
    <w:lvl w:ilvl="4">
      <w:start w:val="1"/>
      <w:numFmt w:val="decimal"/>
      <w:isLgl/>
      <w:lvlText w:val="%1.%2.%3.%4.%5"/>
      <w:lvlJc w:val="left"/>
      <w:pPr>
        <w:ind w:left="2520" w:hanging="1080"/>
      </w:pPr>
      <w:rPr>
        <w:rFonts w:hint="default"/>
        <w:b w:val="0"/>
      </w:rPr>
    </w:lvl>
    <w:lvl w:ilvl="5">
      <w:start w:val="1"/>
      <w:numFmt w:val="decimal"/>
      <w:isLgl/>
      <w:lvlText w:val="%1.%2.%3.%4.%5.%6"/>
      <w:lvlJc w:val="left"/>
      <w:pPr>
        <w:ind w:left="2880" w:hanging="1080"/>
      </w:pPr>
      <w:rPr>
        <w:rFonts w:hint="default"/>
        <w:b w:val="0"/>
      </w:rPr>
    </w:lvl>
    <w:lvl w:ilvl="6">
      <w:start w:val="1"/>
      <w:numFmt w:val="decimal"/>
      <w:isLgl/>
      <w:lvlText w:val="%1.%2.%3.%4.%5.%6.%7"/>
      <w:lvlJc w:val="left"/>
      <w:pPr>
        <w:ind w:left="3600" w:hanging="1440"/>
      </w:pPr>
      <w:rPr>
        <w:rFonts w:hint="default"/>
        <w:b w:val="0"/>
      </w:rPr>
    </w:lvl>
    <w:lvl w:ilvl="7">
      <w:start w:val="1"/>
      <w:numFmt w:val="decimal"/>
      <w:isLgl/>
      <w:lvlText w:val="%1.%2.%3.%4.%5.%6.%7.%8"/>
      <w:lvlJc w:val="left"/>
      <w:pPr>
        <w:ind w:left="3960" w:hanging="1440"/>
      </w:pPr>
      <w:rPr>
        <w:rFonts w:hint="default"/>
        <w:b w:val="0"/>
      </w:rPr>
    </w:lvl>
    <w:lvl w:ilvl="8">
      <w:start w:val="1"/>
      <w:numFmt w:val="decimal"/>
      <w:isLgl/>
      <w:lvlText w:val="%1.%2.%3.%4.%5.%6.%7.%8.%9"/>
      <w:lvlJc w:val="left"/>
      <w:pPr>
        <w:ind w:left="4680" w:hanging="1800"/>
      </w:pPr>
      <w:rPr>
        <w:rFonts w:hint="default"/>
        <w:b w:val="0"/>
      </w:rPr>
    </w:lvl>
  </w:abstractNum>
  <w:abstractNum w:abstractNumId="29" w15:restartNumberingAfterBreak="0">
    <w:nsid w:val="75DA06A4"/>
    <w:multiLevelType w:val="hybridMultilevel"/>
    <w:tmpl w:val="EE5A7E5E"/>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60F730F"/>
    <w:multiLevelType w:val="hybridMultilevel"/>
    <w:tmpl w:val="8D407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76365DE"/>
    <w:multiLevelType w:val="multilevel"/>
    <w:tmpl w:val="85EC1D4A"/>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8F22267"/>
    <w:multiLevelType w:val="hybridMultilevel"/>
    <w:tmpl w:val="1D1412B2"/>
    <w:lvl w:ilvl="0" w:tplc="C7CA0C5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A59786B"/>
    <w:multiLevelType w:val="multilevel"/>
    <w:tmpl w:val="EB0494F0"/>
    <w:lvl w:ilvl="0">
      <w:start w:val="1"/>
      <w:numFmt w:val="decimal"/>
      <w:lvlText w:val="%1."/>
      <w:lvlJc w:val="left"/>
      <w:pPr>
        <w:ind w:left="3240" w:hanging="360"/>
      </w:pPr>
      <w:rPr>
        <w:rFonts w:ascii="Times New Roman" w:hAnsi="Times New Roman" w:cs="Times New Roman" w:hint="default"/>
        <w:b/>
        <w:sz w:val="24"/>
        <w:szCs w:val="24"/>
      </w:rPr>
    </w:lvl>
    <w:lvl w:ilvl="1">
      <w:start w:val="1"/>
      <w:numFmt w:val="decimal"/>
      <w:isLgl/>
      <w:lvlText w:val="%1.%2"/>
      <w:lvlJc w:val="left"/>
      <w:pPr>
        <w:ind w:left="1350" w:hanging="1080"/>
      </w:pPr>
      <w:rPr>
        <w:rFonts w:hint="default"/>
        <w:b w:val="0"/>
      </w:rPr>
    </w:lvl>
    <w:lvl w:ilvl="2">
      <w:start w:val="1"/>
      <w:numFmt w:val="decimal"/>
      <w:isLgl/>
      <w:lvlText w:val="%1.%2.%3"/>
      <w:lvlJc w:val="left"/>
      <w:pPr>
        <w:ind w:left="1800" w:hanging="1080"/>
      </w:pPr>
      <w:rPr>
        <w:rFonts w:hint="default"/>
        <w:b w:val="0"/>
      </w:rPr>
    </w:lvl>
    <w:lvl w:ilvl="3">
      <w:start w:val="1"/>
      <w:numFmt w:val="lowerLetter"/>
      <w:lvlText w:val="%4."/>
      <w:lvlJc w:val="left"/>
      <w:pPr>
        <w:ind w:left="216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0">
    <w:nsid w:val="7F5C51C3"/>
    <w:multiLevelType w:val="hybridMultilevel"/>
    <w:tmpl w:val="7C0C5914"/>
    <w:lvl w:ilvl="0" w:tplc="E2FC76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FD14C08"/>
    <w:multiLevelType w:val="multilevel"/>
    <w:tmpl w:val="0AEEB550"/>
    <w:lvl w:ilvl="0">
      <w:start w:val="1"/>
      <w:numFmt w:val="decimal"/>
      <w:lvlText w:val="%1."/>
      <w:lvlJc w:val="left"/>
      <w:pPr>
        <w:ind w:left="1080" w:hanging="360"/>
      </w:pPr>
      <w:rPr>
        <w:b/>
      </w:rPr>
    </w:lvl>
    <w:lvl w:ilvl="1">
      <w:start w:val="1"/>
      <w:numFmt w:val="decimal"/>
      <w:isLgl/>
      <w:lvlText w:val="%1.%2"/>
      <w:lvlJc w:val="left"/>
      <w:pPr>
        <w:ind w:left="1800" w:hanging="1080"/>
      </w:pPr>
      <w:rPr>
        <w:rFonts w:hint="default"/>
        <w:b w:val="0"/>
      </w:rPr>
    </w:lvl>
    <w:lvl w:ilvl="2">
      <w:start w:val="1"/>
      <w:numFmt w:val="decimal"/>
      <w:isLgl/>
      <w:lvlText w:val="%1.%2.%3"/>
      <w:lvlJc w:val="left"/>
      <w:pPr>
        <w:ind w:left="1800" w:hanging="1080"/>
      </w:pPr>
      <w:rPr>
        <w:rFonts w:hint="default"/>
        <w:b w:val="0"/>
      </w:rPr>
    </w:lvl>
    <w:lvl w:ilvl="3">
      <w:start w:val="1"/>
      <w:numFmt w:val="lowerLetter"/>
      <w:lvlText w:val="%4."/>
      <w:lvlJc w:val="left"/>
      <w:pPr>
        <w:ind w:left="2160" w:hanging="1080"/>
      </w:pPr>
      <w:rPr>
        <w:rFonts w:hint="default"/>
      </w:rPr>
    </w:lvl>
    <w:lvl w:ilvl="4">
      <w:start w:val="1"/>
      <w:numFmt w:val="lowerRoman"/>
      <w:lvlText w:val="%5."/>
      <w:lvlJc w:val="right"/>
      <w:pPr>
        <w:ind w:left="1800" w:hanging="1080"/>
      </w:pPr>
      <w:rPr>
        <w:rFonts w:hint="default"/>
        <w:b w:val="0"/>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18"/>
  </w:num>
  <w:num w:numId="2">
    <w:abstractNumId w:val="16"/>
  </w:num>
  <w:num w:numId="3">
    <w:abstractNumId w:val="20"/>
  </w:num>
  <w:num w:numId="4">
    <w:abstractNumId w:val="34"/>
  </w:num>
  <w:num w:numId="5">
    <w:abstractNumId w:val="28"/>
  </w:num>
  <w:num w:numId="6">
    <w:abstractNumId w:val="9"/>
  </w:num>
  <w:num w:numId="7">
    <w:abstractNumId w:val="10"/>
  </w:num>
  <w:num w:numId="8">
    <w:abstractNumId w:val="11"/>
  </w:num>
  <w:num w:numId="9">
    <w:abstractNumId w:val="17"/>
  </w:num>
  <w:num w:numId="10">
    <w:abstractNumId w:val="8"/>
  </w:num>
  <w:num w:numId="11">
    <w:abstractNumId w:val="4"/>
  </w:num>
  <w:num w:numId="12">
    <w:abstractNumId w:val="2"/>
  </w:num>
  <w:num w:numId="13">
    <w:abstractNumId w:val="21"/>
  </w:num>
  <w:num w:numId="14">
    <w:abstractNumId w:val="29"/>
  </w:num>
  <w:num w:numId="15">
    <w:abstractNumId w:val="0"/>
  </w:num>
  <w:num w:numId="16">
    <w:abstractNumId w:val="15"/>
  </w:num>
  <w:num w:numId="17">
    <w:abstractNumId w:val="32"/>
  </w:num>
  <w:num w:numId="18">
    <w:abstractNumId w:val="26"/>
  </w:num>
  <w:num w:numId="19">
    <w:abstractNumId w:val="6"/>
  </w:num>
  <w:num w:numId="20">
    <w:abstractNumId w:val="25"/>
  </w:num>
  <w:num w:numId="21">
    <w:abstractNumId w:val="3"/>
  </w:num>
  <w:num w:numId="22">
    <w:abstractNumId w:val="27"/>
  </w:num>
  <w:num w:numId="23">
    <w:abstractNumId w:val="5"/>
  </w:num>
  <w:num w:numId="24">
    <w:abstractNumId w:val="33"/>
  </w:num>
  <w:num w:numId="25">
    <w:abstractNumId w:val="12"/>
  </w:num>
  <w:num w:numId="26">
    <w:abstractNumId w:val="13"/>
  </w:num>
  <w:num w:numId="27">
    <w:abstractNumId w:val="35"/>
  </w:num>
  <w:num w:numId="28">
    <w:abstractNumId w:val="14"/>
  </w:num>
  <w:num w:numId="29">
    <w:abstractNumId w:val="1"/>
  </w:num>
  <w:num w:numId="30">
    <w:abstractNumId w:val="19"/>
  </w:num>
  <w:num w:numId="31">
    <w:abstractNumId w:val="23"/>
  </w:num>
  <w:num w:numId="32">
    <w:abstractNumId w:val="22"/>
  </w:num>
  <w:num w:numId="33">
    <w:abstractNumId w:val="24"/>
  </w:num>
  <w:num w:numId="34">
    <w:abstractNumId w:val="30"/>
  </w:num>
  <w:num w:numId="35">
    <w:abstractNumId w:val="7"/>
  </w:num>
  <w:num w:numId="3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TrackFormatting/>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34E2"/>
    <w:rsid w:val="00003099"/>
    <w:rsid w:val="00003CDF"/>
    <w:rsid w:val="00026E6B"/>
    <w:rsid w:val="00037B43"/>
    <w:rsid w:val="000A0687"/>
    <w:rsid w:val="000B6669"/>
    <w:rsid w:val="000D18EB"/>
    <w:rsid w:val="000D193C"/>
    <w:rsid w:val="000D4972"/>
    <w:rsid w:val="000E3B8E"/>
    <w:rsid w:val="000F6A91"/>
    <w:rsid w:val="00100B67"/>
    <w:rsid w:val="001047B8"/>
    <w:rsid w:val="00105B63"/>
    <w:rsid w:val="00114119"/>
    <w:rsid w:val="00114B13"/>
    <w:rsid w:val="0011587E"/>
    <w:rsid w:val="0012276F"/>
    <w:rsid w:val="001238D9"/>
    <w:rsid w:val="0012561D"/>
    <w:rsid w:val="00126D26"/>
    <w:rsid w:val="00131FA1"/>
    <w:rsid w:val="001361A7"/>
    <w:rsid w:val="0014765E"/>
    <w:rsid w:val="00153E70"/>
    <w:rsid w:val="00161345"/>
    <w:rsid w:val="001626BB"/>
    <w:rsid w:val="00193A0A"/>
    <w:rsid w:val="001950C8"/>
    <w:rsid w:val="00197183"/>
    <w:rsid w:val="001C3CD1"/>
    <w:rsid w:val="001C56EF"/>
    <w:rsid w:val="001D0C1B"/>
    <w:rsid w:val="001E0C85"/>
    <w:rsid w:val="001F12DB"/>
    <w:rsid w:val="001F701B"/>
    <w:rsid w:val="00205FE7"/>
    <w:rsid w:val="00220CEB"/>
    <w:rsid w:val="002229F9"/>
    <w:rsid w:val="00225428"/>
    <w:rsid w:val="00240FD1"/>
    <w:rsid w:val="002519D4"/>
    <w:rsid w:val="002623AC"/>
    <w:rsid w:val="0026261B"/>
    <w:rsid w:val="0026646C"/>
    <w:rsid w:val="00266CB3"/>
    <w:rsid w:val="00271751"/>
    <w:rsid w:val="00273C98"/>
    <w:rsid w:val="0027401D"/>
    <w:rsid w:val="00284A67"/>
    <w:rsid w:val="00292C0F"/>
    <w:rsid w:val="002933BE"/>
    <w:rsid w:val="00296162"/>
    <w:rsid w:val="002978C8"/>
    <w:rsid w:val="002C6482"/>
    <w:rsid w:val="002C75CD"/>
    <w:rsid w:val="002E021C"/>
    <w:rsid w:val="00302681"/>
    <w:rsid w:val="00306346"/>
    <w:rsid w:val="00322F96"/>
    <w:rsid w:val="0033462F"/>
    <w:rsid w:val="0034518B"/>
    <w:rsid w:val="00347320"/>
    <w:rsid w:val="00384450"/>
    <w:rsid w:val="003970C5"/>
    <w:rsid w:val="003B5ADB"/>
    <w:rsid w:val="003B5D9F"/>
    <w:rsid w:val="003C6EDA"/>
    <w:rsid w:val="003D0FAF"/>
    <w:rsid w:val="003E7A5A"/>
    <w:rsid w:val="003F0254"/>
    <w:rsid w:val="00400FC9"/>
    <w:rsid w:val="004026A9"/>
    <w:rsid w:val="00435356"/>
    <w:rsid w:val="00435714"/>
    <w:rsid w:val="00443CE4"/>
    <w:rsid w:val="004453CD"/>
    <w:rsid w:val="00457701"/>
    <w:rsid w:val="004637A7"/>
    <w:rsid w:val="004749CF"/>
    <w:rsid w:val="004903D0"/>
    <w:rsid w:val="00492AA5"/>
    <w:rsid w:val="004A4CCA"/>
    <w:rsid w:val="004A56E9"/>
    <w:rsid w:val="004B13C7"/>
    <w:rsid w:val="004C2750"/>
    <w:rsid w:val="004E73C8"/>
    <w:rsid w:val="005067B0"/>
    <w:rsid w:val="0053017F"/>
    <w:rsid w:val="00537286"/>
    <w:rsid w:val="005620A4"/>
    <w:rsid w:val="005667E2"/>
    <w:rsid w:val="00567CAF"/>
    <w:rsid w:val="00590829"/>
    <w:rsid w:val="00593E7A"/>
    <w:rsid w:val="005B23FD"/>
    <w:rsid w:val="005B54C6"/>
    <w:rsid w:val="005C7543"/>
    <w:rsid w:val="005D2BB5"/>
    <w:rsid w:val="005D37B3"/>
    <w:rsid w:val="005E0DB2"/>
    <w:rsid w:val="00603883"/>
    <w:rsid w:val="00604578"/>
    <w:rsid w:val="0060675B"/>
    <w:rsid w:val="006143D6"/>
    <w:rsid w:val="00616DEF"/>
    <w:rsid w:val="00632535"/>
    <w:rsid w:val="00635A4A"/>
    <w:rsid w:val="006462D1"/>
    <w:rsid w:val="00646E77"/>
    <w:rsid w:val="00650892"/>
    <w:rsid w:val="00662986"/>
    <w:rsid w:val="006743E8"/>
    <w:rsid w:val="00684925"/>
    <w:rsid w:val="00687314"/>
    <w:rsid w:val="006A1059"/>
    <w:rsid w:val="006D4C7E"/>
    <w:rsid w:val="006E12D0"/>
    <w:rsid w:val="006E7F8F"/>
    <w:rsid w:val="006F272C"/>
    <w:rsid w:val="00721526"/>
    <w:rsid w:val="00730424"/>
    <w:rsid w:val="007330A7"/>
    <w:rsid w:val="007405E0"/>
    <w:rsid w:val="00741597"/>
    <w:rsid w:val="00746768"/>
    <w:rsid w:val="00751EE8"/>
    <w:rsid w:val="007646A1"/>
    <w:rsid w:val="00775778"/>
    <w:rsid w:val="00797267"/>
    <w:rsid w:val="007A6922"/>
    <w:rsid w:val="007B1218"/>
    <w:rsid w:val="007D0D4C"/>
    <w:rsid w:val="007D764E"/>
    <w:rsid w:val="007E1462"/>
    <w:rsid w:val="007E2B9C"/>
    <w:rsid w:val="007E306A"/>
    <w:rsid w:val="007F68F9"/>
    <w:rsid w:val="008037A0"/>
    <w:rsid w:val="00803F25"/>
    <w:rsid w:val="0080776D"/>
    <w:rsid w:val="00811F9C"/>
    <w:rsid w:val="00813E31"/>
    <w:rsid w:val="008228F9"/>
    <w:rsid w:val="00825461"/>
    <w:rsid w:val="008326E2"/>
    <w:rsid w:val="00850634"/>
    <w:rsid w:val="00853112"/>
    <w:rsid w:val="00865172"/>
    <w:rsid w:val="0086608E"/>
    <w:rsid w:val="00874F99"/>
    <w:rsid w:val="008B39DA"/>
    <w:rsid w:val="008C1442"/>
    <w:rsid w:val="008D0891"/>
    <w:rsid w:val="008D2E7A"/>
    <w:rsid w:val="008D3000"/>
    <w:rsid w:val="008D4E69"/>
    <w:rsid w:val="008D5DB1"/>
    <w:rsid w:val="008D6CA4"/>
    <w:rsid w:val="008F03AF"/>
    <w:rsid w:val="008F3E93"/>
    <w:rsid w:val="00903A31"/>
    <w:rsid w:val="00927174"/>
    <w:rsid w:val="00930B07"/>
    <w:rsid w:val="0093721A"/>
    <w:rsid w:val="009433A0"/>
    <w:rsid w:val="00945DBE"/>
    <w:rsid w:val="00946188"/>
    <w:rsid w:val="00952C58"/>
    <w:rsid w:val="00953D3D"/>
    <w:rsid w:val="00963175"/>
    <w:rsid w:val="00974331"/>
    <w:rsid w:val="00985608"/>
    <w:rsid w:val="00995639"/>
    <w:rsid w:val="009A6977"/>
    <w:rsid w:val="009B4EC9"/>
    <w:rsid w:val="009C3D71"/>
    <w:rsid w:val="009D26A2"/>
    <w:rsid w:val="009E2367"/>
    <w:rsid w:val="009F4604"/>
    <w:rsid w:val="009F6D39"/>
    <w:rsid w:val="00A175DB"/>
    <w:rsid w:val="00A240CB"/>
    <w:rsid w:val="00A25773"/>
    <w:rsid w:val="00A322D8"/>
    <w:rsid w:val="00A33284"/>
    <w:rsid w:val="00A50024"/>
    <w:rsid w:val="00A553A2"/>
    <w:rsid w:val="00A55FA3"/>
    <w:rsid w:val="00A649EE"/>
    <w:rsid w:val="00A70EB8"/>
    <w:rsid w:val="00A87AAC"/>
    <w:rsid w:val="00AA601F"/>
    <w:rsid w:val="00AB3E8F"/>
    <w:rsid w:val="00AC2677"/>
    <w:rsid w:val="00AC2DC5"/>
    <w:rsid w:val="00AC64EE"/>
    <w:rsid w:val="00AD2547"/>
    <w:rsid w:val="00AD61C6"/>
    <w:rsid w:val="00AE192C"/>
    <w:rsid w:val="00AF720A"/>
    <w:rsid w:val="00B00631"/>
    <w:rsid w:val="00B04CED"/>
    <w:rsid w:val="00B073B9"/>
    <w:rsid w:val="00B13106"/>
    <w:rsid w:val="00B2012D"/>
    <w:rsid w:val="00B30A97"/>
    <w:rsid w:val="00B35D2A"/>
    <w:rsid w:val="00B47813"/>
    <w:rsid w:val="00B5793C"/>
    <w:rsid w:val="00B6678F"/>
    <w:rsid w:val="00B91054"/>
    <w:rsid w:val="00BA4E51"/>
    <w:rsid w:val="00BA51C2"/>
    <w:rsid w:val="00BA5AF4"/>
    <w:rsid w:val="00BB32ED"/>
    <w:rsid w:val="00BB4748"/>
    <w:rsid w:val="00BB60A2"/>
    <w:rsid w:val="00BC107B"/>
    <w:rsid w:val="00BC1358"/>
    <w:rsid w:val="00BC3912"/>
    <w:rsid w:val="00BC5E0F"/>
    <w:rsid w:val="00BD1515"/>
    <w:rsid w:val="00BD505B"/>
    <w:rsid w:val="00BE022C"/>
    <w:rsid w:val="00BF79E7"/>
    <w:rsid w:val="00C01018"/>
    <w:rsid w:val="00C05D04"/>
    <w:rsid w:val="00C10111"/>
    <w:rsid w:val="00C12DC5"/>
    <w:rsid w:val="00C146B4"/>
    <w:rsid w:val="00C179F0"/>
    <w:rsid w:val="00C23D89"/>
    <w:rsid w:val="00C26197"/>
    <w:rsid w:val="00C32985"/>
    <w:rsid w:val="00C40396"/>
    <w:rsid w:val="00C636EF"/>
    <w:rsid w:val="00C6479E"/>
    <w:rsid w:val="00C6621F"/>
    <w:rsid w:val="00C75ECD"/>
    <w:rsid w:val="00C761C1"/>
    <w:rsid w:val="00C80267"/>
    <w:rsid w:val="00C8737F"/>
    <w:rsid w:val="00C927C2"/>
    <w:rsid w:val="00CA09A2"/>
    <w:rsid w:val="00CB0A14"/>
    <w:rsid w:val="00CB360A"/>
    <w:rsid w:val="00CB5E2C"/>
    <w:rsid w:val="00CD0399"/>
    <w:rsid w:val="00CD5F1B"/>
    <w:rsid w:val="00CD67D5"/>
    <w:rsid w:val="00CE21FC"/>
    <w:rsid w:val="00CF1663"/>
    <w:rsid w:val="00CF4023"/>
    <w:rsid w:val="00CF67E2"/>
    <w:rsid w:val="00D03AC4"/>
    <w:rsid w:val="00D12435"/>
    <w:rsid w:val="00D225F2"/>
    <w:rsid w:val="00D22620"/>
    <w:rsid w:val="00D25751"/>
    <w:rsid w:val="00D4483C"/>
    <w:rsid w:val="00D95B60"/>
    <w:rsid w:val="00DB0C04"/>
    <w:rsid w:val="00DB53A8"/>
    <w:rsid w:val="00DB5F3F"/>
    <w:rsid w:val="00DB7D36"/>
    <w:rsid w:val="00DD389F"/>
    <w:rsid w:val="00DD400B"/>
    <w:rsid w:val="00DE38FC"/>
    <w:rsid w:val="00DF1BB6"/>
    <w:rsid w:val="00E047A1"/>
    <w:rsid w:val="00E07DAD"/>
    <w:rsid w:val="00E119EA"/>
    <w:rsid w:val="00E1620A"/>
    <w:rsid w:val="00E33BA0"/>
    <w:rsid w:val="00E43B86"/>
    <w:rsid w:val="00E5294C"/>
    <w:rsid w:val="00E5508B"/>
    <w:rsid w:val="00E64029"/>
    <w:rsid w:val="00E7670B"/>
    <w:rsid w:val="00E849A4"/>
    <w:rsid w:val="00E84FCA"/>
    <w:rsid w:val="00E93FB8"/>
    <w:rsid w:val="00EA2815"/>
    <w:rsid w:val="00EA2CBE"/>
    <w:rsid w:val="00EB187D"/>
    <w:rsid w:val="00EC7B90"/>
    <w:rsid w:val="00ED2E1F"/>
    <w:rsid w:val="00ED6FC0"/>
    <w:rsid w:val="00EE1EC3"/>
    <w:rsid w:val="00EE30F6"/>
    <w:rsid w:val="00EE521C"/>
    <w:rsid w:val="00EF0D2C"/>
    <w:rsid w:val="00EF3183"/>
    <w:rsid w:val="00F00958"/>
    <w:rsid w:val="00F3457D"/>
    <w:rsid w:val="00F3500E"/>
    <w:rsid w:val="00F45CE6"/>
    <w:rsid w:val="00F46C6F"/>
    <w:rsid w:val="00F478B1"/>
    <w:rsid w:val="00F540CF"/>
    <w:rsid w:val="00F6183D"/>
    <w:rsid w:val="00F6316A"/>
    <w:rsid w:val="00F6342C"/>
    <w:rsid w:val="00F6449C"/>
    <w:rsid w:val="00F75522"/>
    <w:rsid w:val="00F834E2"/>
    <w:rsid w:val="00F865A9"/>
    <w:rsid w:val="00F93053"/>
    <w:rsid w:val="00FA6C5F"/>
    <w:rsid w:val="00FB3D12"/>
    <w:rsid w:val="00FC162B"/>
    <w:rsid w:val="00FD797B"/>
    <w:rsid w:val="00FE2A1C"/>
    <w:rsid w:val="00FF4C93"/>
    <w:rsid w:val="7D4EF4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7AB552"/>
  <w15:docId w15:val="{BDFBCE41-E74A-4591-AB2C-9C8BEF5E2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pPr>
      <w:ind w:left="720"/>
      <w:contextualSpacing/>
    </w:p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Revision">
    <w:name w:val="Revision"/>
    <w:hidden/>
    <w:uiPriority w:val="99"/>
    <w:semiHidden/>
    <w:pPr>
      <w:spacing w:after="0" w:line="240" w:lineRule="auto"/>
    </w:p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pPr>
      <w:spacing w:after="0" w:line="240" w:lineRule="auto"/>
    </w:pPr>
    <w:rPr>
      <w:sz w:val="20"/>
      <w:szCs w:val="20"/>
    </w:rPr>
  </w:style>
  <w:style w:type="character" w:customStyle="1" w:styleId="EndnoteTextChar">
    <w:name w:val="Endnote Text Char"/>
    <w:basedOn w:val="DefaultParagraphFont"/>
    <w:link w:val="EndnoteText"/>
    <w:uiPriority w:val="99"/>
    <w:semiHidden/>
    <w:rPr>
      <w:sz w:val="20"/>
      <w:szCs w:val="20"/>
    </w:rPr>
  </w:style>
  <w:style w:type="character" w:styleId="EndnoteReference">
    <w:name w:val="endnote reference"/>
    <w:basedOn w:val="DefaultParagraphFont"/>
    <w:uiPriority w:val="99"/>
    <w:semiHidden/>
    <w:unhideWhenUsed/>
    <w:rPr>
      <w:vertAlign w:val="superscript"/>
    </w:rPr>
  </w:style>
  <w:style w:type="paragraph" w:styleId="FootnoteText">
    <w:name w:val="footnote text"/>
    <w:basedOn w:val="Normal"/>
    <w:link w:val="FootnoteTextChar"/>
    <w:uiPriority w:val="99"/>
    <w:unhideWhenUsed/>
    <w:pPr>
      <w:spacing w:after="0" w:line="240" w:lineRule="auto"/>
    </w:pPr>
    <w:rPr>
      <w:sz w:val="20"/>
      <w:szCs w:val="20"/>
    </w:rPr>
  </w:style>
  <w:style w:type="character" w:customStyle="1" w:styleId="FootnoteTextChar">
    <w:name w:val="Footnote Text Char"/>
    <w:basedOn w:val="DefaultParagraphFont"/>
    <w:link w:val="FootnoteText"/>
    <w:uiPriority w:val="99"/>
    <w:rPr>
      <w:sz w:val="20"/>
      <w:szCs w:val="20"/>
    </w:rPr>
  </w:style>
  <w:style w:type="character" w:styleId="FootnoteReference">
    <w:name w:val="footnote reference"/>
    <w:basedOn w:val="DefaultParagraphFont"/>
    <w:uiPriority w:val="99"/>
    <w:unhideWhenUsed/>
    <w:rPr>
      <w:vertAlign w:val="superscript"/>
    </w:rPr>
  </w:style>
  <w:style w:type="character" w:styleId="Hyperlink">
    <w:name w:val="Hyperlink"/>
    <w:basedOn w:val="DefaultParagraphFont"/>
    <w:uiPriority w:val="99"/>
    <w:unhideWhenUsed/>
    <w:rPr>
      <w:color w:val="0000FF" w:themeColor="hyperlink"/>
      <w:u w:val="single"/>
    </w:rPr>
  </w:style>
  <w:style w:type="character" w:styleId="FollowedHyperlink">
    <w:name w:val="FollowedHyperlink"/>
    <w:basedOn w:val="DefaultParagraphFont"/>
    <w:uiPriority w:val="99"/>
    <w:semiHidden/>
    <w:unhideWhenUsed/>
    <w:rPr>
      <w:color w:val="800080" w:themeColor="followedHyperlink"/>
      <w:u w:val="single"/>
    </w:rPr>
  </w:style>
  <w:style w:type="paragraph" w:customStyle="1" w:styleId="Default">
    <w:name w:val="Default"/>
    <w:pPr>
      <w:autoSpaceDE w:val="0"/>
      <w:autoSpaceDN w:val="0"/>
      <w:adjustRightInd w:val="0"/>
      <w:spacing w:after="0" w:line="240" w:lineRule="auto"/>
    </w:pPr>
    <w:rPr>
      <w:rFonts w:ascii="Calibri" w:hAnsi="Calibri" w:cs="Calibri"/>
      <w:color w:val="000000"/>
      <w:sz w:val="24"/>
      <w:szCs w:val="24"/>
    </w:rPr>
  </w:style>
  <w:style w:type="character" w:customStyle="1" w:styleId="ListParagraphChar">
    <w:name w:val="List Paragraph Char"/>
    <w:basedOn w:val="DefaultParagraphFont"/>
    <w:link w:val="ListParagraph"/>
    <w:uiPriority w:val="34"/>
    <w:locked/>
    <w:rsid w:val="00BC1358"/>
  </w:style>
  <w:style w:type="character" w:styleId="BookTitle">
    <w:name w:val="Book Title"/>
    <w:basedOn w:val="DefaultParagraphFont"/>
    <w:uiPriority w:val="33"/>
    <w:qFormat/>
    <w:rsid w:val="00635A4A"/>
    <w:rPr>
      <w:b/>
      <w:bCs/>
      <w:i/>
      <w:iCs/>
      <w:spacing w:val="5"/>
    </w:rPr>
  </w:style>
  <w:style w:type="character" w:styleId="Mention">
    <w:name w:val="Mention"/>
    <w:basedOn w:val="DefaultParagraphFont"/>
    <w:uiPriority w:val="99"/>
    <w:semiHidden/>
    <w:unhideWhenUsed/>
    <w:rsid w:val="002978C8"/>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719393">
      <w:bodyDiv w:val="1"/>
      <w:marLeft w:val="0"/>
      <w:marRight w:val="0"/>
      <w:marTop w:val="0"/>
      <w:marBottom w:val="0"/>
      <w:divBdr>
        <w:top w:val="none" w:sz="0" w:space="0" w:color="auto"/>
        <w:left w:val="none" w:sz="0" w:space="0" w:color="auto"/>
        <w:bottom w:val="none" w:sz="0" w:space="0" w:color="auto"/>
        <w:right w:val="none" w:sz="0" w:space="0" w:color="auto"/>
      </w:divBdr>
    </w:div>
    <w:div w:id="250627084">
      <w:bodyDiv w:val="1"/>
      <w:marLeft w:val="0"/>
      <w:marRight w:val="0"/>
      <w:marTop w:val="0"/>
      <w:marBottom w:val="0"/>
      <w:divBdr>
        <w:top w:val="none" w:sz="0" w:space="0" w:color="auto"/>
        <w:left w:val="none" w:sz="0" w:space="0" w:color="auto"/>
        <w:bottom w:val="none" w:sz="0" w:space="0" w:color="auto"/>
        <w:right w:val="none" w:sz="0" w:space="0" w:color="auto"/>
      </w:divBdr>
    </w:div>
    <w:div w:id="275407493">
      <w:bodyDiv w:val="1"/>
      <w:marLeft w:val="0"/>
      <w:marRight w:val="0"/>
      <w:marTop w:val="0"/>
      <w:marBottom w:val="0"/>
      <w:divBdr>
        <w:top w:val="none" w:sz="0" w:space="0" w:color="auto"/>
        <w:left w:val="none" w:sz="0" w:space="0" w:color="auto"/>
        <w:bottom w:val="none" w:sz="0" w:space="0" w:color="auto"/>
        <w:right w:val="none" w:sz="0" w:space="0" w:color="auto"/>
      </w:divBdr>
    </w:div>
    <w:div w:id="471294187">
      <w:bodyDiv w:val="1"/>
      <w:marLeft w:val="0"/>
      <w:marRight w:val="0"/>
      <w:marTop w:val="0"/>
      <w:marBottom w:val="0"/>
      <w:divBdr>
        <w:top w:val="none" w:sz="0" w:space="0" w:color="auto"/>
        <w:left w:val="none" w:sz="0" w:space="0" w:color="auto"/>
        <w:bottom w:val="none" w:sz="0" w:space="0" w:color="auto"/>
        <w:right w:val="none" w:sz="0" w:space="0" w:color="auto"/>
      </w:divBdr>
    </w:div>
    <w:div w:id="527376020">
      <w:bodyDiv w:val="1"/>
      <w:marLeft w:val="0"/>
      <w:marRight w:val="0"/>
      <w:marTop w:val="0"/>
      <w:marBottom w:val="0"/>
      <w:divBdr>
        <w:top w:val="none" w:sz="0" w:space="0" w:color="auto"/>
        <w:left w:val="none" w:sz="0" w:space="0" w:color="auto"/>
        <w:bottom w:val="none" w:sz="0" w:space="0" w:color="auto"/>
        <w:right w:val="none" w:sz="0" w:space="0" w:color="auto"/>
      </w:divBdr>
    </w:div>
    <w:div w:id="590699546">
      <w:bodyDiv w:val="1"/>
      <w:marLeft w:val="0"/>
      <w:marRight w:val="0"/>
      <w:marTop w:val="0"/>
      <w:marBottom w:val="0"/>
      <w:divBdr>
        <w:top w:val="none" w:sz="0" w:space="0" w:color="auto"/>
        <w:left w:val="none" w:sz="0" w:space="0" w:color="auto"/>
        <w:bottom w:val="none" w:sz="0" w:space="0" w:color="auto"/>
        <w:right w:val="none" w:sz="0" w:space="0" w:color="auto"/>
      </w:divBdr>
    </w:div>
    <w:div w:id="761997661">
      <w:bodyDiv w:val="1"/>
      <w:marLeft w:val="0"/>
      <w:marRight w:val="0"/>
      <w:marTop w:val="0"/>
      <w:marBottom w:val="0"/>
      <w:divBdr>
        <w:top w:val="none" w:sz="0" w:space="0" w:color="auto"/>
        <w:left w:val="none" w:sz="0" w:space="0" w:color="auto"/>
        <w:bottom w:val="none" w:sz="0" w:space="0" w:color="auto"/>
        <w:right w:val="none" w:sz="0" w:space="0" w:color="auto"/>
      </w:divBdr>
    </w:div>
    <w:div w:id="894313716">
      <w:bodyDiv w:val="1"/>
      <w:marLeft w:val="0"/>
      <w:marRight w:val="0"/>
      <w:marTop w:val="0"/>
      <w:marBottom w:val="0"/>
      <w:divBdr>
        <w:top w:val="none" w:sz="0" w:space="0" w:color="auto"/>
        <w:left w:val="none" w:sz="0" w:space="0" w:color="auto"/>
        <w:bottom w:val="none" w:sz="0" w:space="0" w:color="auto"/>
        <w:right w:val="none" w:sz="0" w:space="0" w:color="auto"/>
      </w:divBdr>
    </w:div>
    <w:div w:id="1210218688">
      <w:bodyDiv w:val="1"/>
      <w:marLeft w:val="0"/>
      <w:marRight w:val="0"/>
      <w:marTop w:val="0"/>
      <w:marBottom w:val="0"/>
      <w:divBdr>
        <w:top w:val="none" w:sz="0" w:space="0" w:color="auto"/>
        <w:left w:val="none" w:sz="0" w:space="0" w:color="auto"/>
        <w:bottom w:val="none" w:sz="0" w:space="0" w:color="auto"/>
        <w:right w:val="none" w:sz="0" w:space="0" w:color="auto"/>
      </w:divBdr>
    </w:div>
    <w:div w:id="1426152286">
      <w:bodyDiv w:val="1"/>
      <w:marLeft w:val="0"/>
      <w:marRight w:val="0"/>
      <w:marTop w:val="0"/>
      <w:marBottom w:val="0"/>
      <w:divBdr>
        <w:top w:val="none" w:sz="0" w:space="0" w:color="auto"/>
        <w:left w:val="none" w:sz="0" w:space="0" w:color="auto"/>
        <w:bottom w:val="none" w:sz="0" w:space="0" w:color="auto"/>
        <w:right w:val="none" w:sz="0" w:space="0" w:color="auto"/>
      </w:divBdr>
    </w:div>
    <w:div w:id="1543051085">
      <w:bodyDiv w:val="1"/>
      <w:marLeft w:val="0"/>
      <w:marRight w:val="0"/>
      <w:marTop w:val="0"/>
      <w:marBottom w:val="0"/>
      <w:divBdr>
        <w:top w:val="none" w:sz="0" w:space="0" w:color="auto"/>
        <w:left w:val="none" w:sz="0" w:space="0" w:color="auto"/>
        <w:bottom w:val="none" w:sz="0" w:space="0" w:color="auto"/>
        <w:right w:val="none" w:sz="0" w:space="0" w:color="auto"/>
      </w:divBdr>
    </w:div>
    <w:div w:id="1595166665">
      <w:bodyDiv w:val="1"/>
      <w:marLeft w:val="0"/>
      <w:marRight w:val="0"/>
      <w:marTop w:val="0"/>
      <w:marBottom w:val="0"/>
      <w:divBdr>
        <w:top w:val="none" w:sz="0" w:space="0" w:color="auto"/>
        <w:left w:val="none" w:sz="0" w:space="0" w:color="auto"/>
        <w:bottom w:val="none" w:sz="0" w:space="0" w:color="auto"/>
        <w:right w:val="none" w:sz="0" w:space="0" w:color="auto"/>
      </w:divBdr>
    </w:div>
    <w:div w:id="1738016083">
      <w:bodyDiv w:val="1"/>
      <w:marLeft w:val="0"/>
      <w:marRight w:val="0"/>
      <w:marTop w:val="0"/>
      <w:marBottom w:val="0"/>
      <w:divBdr>
        <w:top w:val="none" w:sz="0" w:space="0" w:color="auto"/>
        <w:left w:val="none" w:sz="0" w:space="0" w:color="auto"/>
        <w:bottom w:val="none" w:sz="0" w:space="0" w:color="auto"/>
        <w:right w:val="none" w:sz="0" w:space="0" w:color="auto"/>
      </w:divBdr>
    </w:div>
    <w:div w:id="1767924545">
      <w:bodyDiv w:val="1"/>
      <w:marLeft w:val="0"/>
      <w:marRight w:val="0"/>
      <w:marTop w:val="0"/>
      <w:marBottom w:val="0"/>
      <w:divBdr>
        <w:top w:val="none" w:sz="0" w:space="0" w:color="auto"/>
        <w:left w:val="none" w:sz="0" w:space="0" w:color="auto"/>
        <w:bottom w:val="none" w:sz="0" w:space="0" w:color="auto"/>
        <w:right w:val="none" w:sz="0" w:space="0" w:color="auto"/>
      </w:divBdr>
    </w:div>
    <w:div w:id="1928612227">
      <w:bodyDiv w:val="1"/>
      <w:marLeft w:val="0"/>
      <w:marRight w:val="0"/>
      <w:marTop w:val="0"/>
      <w:marBottom w:val="0"/>
      <w:divBdr>
        <w:top w:val="none" w:sz="0" w:space="0" w:color="auto"/>
        <w:left w:val="none" w:sz="0" w:space="0" w:color="auto"/>
        <w:bottom w:val="none" w:sz="0" w:space="0" w:color="auto"/>
        <w:right w:val="none" w:sz="0" w:space="0" w:color="auto"/>
      </w:divBdr>
    </w:div>
    <w:div w:id="1999337730">
      <w:bodyDiv w:val="1"/>
      <w:marLeft w:val="0"/>
      <w:marRight w:val="0"/>
      <w:marTop w:val="0"/>
      <w:marBottom w:val="0"/>
      <w:divBdr>
        <w:top w:val="none" w:sz="0" w:space="0" w:color="auto"/>
        <w:left w:val="none" w:sz="0" w:space="0" w:color="auto"/>
        <w:bottom w:val="none" w:sz="0" w:space="0" w:color="auto"/>
        <w:right w:val="none" w:sz="0" w:space="0" w:color="auto"/>
      </w:divBdr>
    </w:div>
    <w:div w:id="2051608059">
      <w:bodyDiv w:val="1"/>
      <w:marLeft w:val="0"/>
      <w:marRight w:val="0"/>
      <w:marTop w:val="0"/>
      <w:marBottom w:val="0"/>
      <w:divBdr>
        <w:top w:val="none" w:sz="0" w:space="0" w:color="auto"/>
        <w:left w:val="none" w:sz="0" w:space="0" w:color="auto"/>
        <w:bottom w:val="none" w:sz="0" w:space="0" w:color="auto"/>
        <w:right w:val="none" w:sz="0" w:space="0" w:color="auto"/>
      </w:divBdr>
    </w:div>
    <w:div w:id="2090079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idbg.sharepoint.com/teams/EZ-RG-TCP/RG-T2986/_layouts/15/DocIdRedir.aspx?ID=EZSHARE-145793516-8"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idbg.sharepoint.com/teams/EZ-RG-TCP/RG-T2986/_layouts/15/DocIdRedir.aspx?ID=EZSHARE-145793516-9" TargetMode="External"/><Relationship Id="rId25" Type="http://schemas.openxmlformats.org/officeDocument/2006/relationships/customXml" Target="../customXml/item10.xml"/><Relationship Id="rId20" Type="http://schemas.openxmlformats.org/officeDocument/2006/relationships/hyperlink" Target="https://idbg.sharepoint.com/teams/EZ-RG-TCP/RG-T2986/_layouts/15/DocIdRedir.aspx?ID=EZSHARE-145793516-7" TargetMode="External"/><Relationship Id="rId16" Type="http://schemas.openxmlformats.org/officeDocument/2006/relationships/hyperlink" Target="https://idbg.sharepoint.com/teams/EZ-RG-TCP/RG-T2986/_layouts/15/DocIdRedir.aspx?ID=EZSHARE-833056223-3"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idbg.sharepoint.com/teams/EZ-RG-TCP/RG-T2986/_layouts/15/DocIdRedir.aspx?ID=EZSHARE-833056223-2" TargetMode="External"/><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yperlink" Target="https://idbg.sharepoint.com/teams/EZ-RG-TCP/RG-T2986/_layouts/15/DocIdRedir.aspx?ID=EZSHARE-145793516-10"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idbg.sharepoint.com/teams/EZ-RG-TCP/RG-T2986/_layouts/15/DocIdRedir.aspx?ID=EZSHARE-145793516-11"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en.wikipedia.org/wiki/Skylight_(window)" TargetMode="External"/><Relationship Id="rId2" Type="http://schemas.openxmlformats.org/officeDocument/2006/relationships/hyperlink" Target="https://en.wikipedia.org/wiki/LED_lights" TargetMode="External"/><Relationship Id="rId1" Type="http://schemas.openxmlformats.org/officeDocument/2006/relationships/hyperlink" Target="https://en.wikipedia.org/wiki/Building_insulation" TargetMode="External"/><Relationship Id="rId4" Type="http://schemas.openxmlformats.org/officeDocument/2006/relationships/hyperlink" Target="https://en.wikipedia.org/wiki/Incandescent_light_bulb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10.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2.xml><?xml version="1.0" encoding="utf-8"?>
<?mso-contentType ?>
<FormUrls xmlns="http://schemas.microsoft.com/sharepoint/v3/contenttype/forms/url">
  <Display>_catalogs/masterpage/ECMForms/OperationsCT/View.aspx</Display>
  <Edit>_catalogs/masterpage/ECMForms/OperationsCT/Edit.aspx</Edit>
</FormUrl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1C3A8997F571144EB04440CAEAE58F83" ma:contentTypeVersion="2843" ma:contentTypeDescription="A content type to manage public (operations) IDB documents" ma:contentTypeScope="" ma:versionID="ec7aa5e9ff732d1569ab10988c0b3ff9">
  <xsd:schema xmlns:xsd="http://www.w3.org/2001/XMLSchema" xmlns:xs="http://www.w3.org/2001/XMLSchema" xmlns:p="http://schemas.microsoft.com/office/2006/metadata/properties" xmlns:ns2="cdc7663a-08f0-4737-9e8c-148ce897a09c" targetNamespace="http://schemas.microsoft.com/office/2006/metadata/properties" ma:root="true" ma:fieldsID="fca46382d60f08b26c7e71c626d66d9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T298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Technical Co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
            <xsd:sequence>
              <xsd:element name="Value" maxOccurs="unbounded" minOccurs="0" nillable="true">
                <xsd:simpleType>
                  <xsd:restriction base="dms:Choice">
                    <xsd:enumeration value="ez"/>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Suber, Stephanie Anne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EFFICIENCY AND RENEWABLE ENERGY IN END USE</TermName>
          <TermId xmlns="http://schemas.microsoft.com/office/infopath/2007/PartnerControls">ab88142a-aa14-42df-80f4-969425d6f976</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TaxCatchAll xmlns="cdc7663a-08f0-4737-9e8c-148ce897a09c">
      <Value>47</Value>
      <Value>45</Value>
      <Value>107</Value>
      <Value>1</Value>
      <Value>44</Value>
    </TaxCatchAll>
    <Operation_x0020_Type xmlns="cdc7663a-08f0-4737-9e8c-148ce897a09c" xsi:nil="true"/>
    <Package_x0020_Code xmlns="cdc7663a-08f0-4737-9e8c-148ce897a09c" xsi:nil="true"/>
    <Identifier xmlns="cdc7663a-08f0-4737-9e8c-148ce897a09c" xsi:nil="true"/>
    <Project_x0020_Number xmlns="cdc7663a-08f0-4737-9e8c-148ce897a09c">RG-T2986;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R0000841456</Record_x0020_Number>
    <_dlc_DocId xmlns="cdc7663a-08f0-4737-9e8c-148ce897a09c">EZSHARE-145793516-6</_dlc_DocId>
    <_dlc_DocIdUrl xmlns="cdc7663a-08f0-4737-9e8c-148ce897a09c">
      <Url>https://idbg.sharepoint.com/teams/EZ-RG-TCP/RG-T2986/_layouts/15/DocIdRedir.aspx?ID=EZSHARE-145793516-6</Url>
      <Description>EZSHARE-145793516-6</Description>
    </_dlc_DocIdUrl>
    <Related_x0020_SisCor_x0020_Number xmlns="cdc7663a-08f0-4737-9e8c-148ce897a09c" xsi:nil="true"/>
    <Extracted_x0020_Keywords xmlns="cdc7663a-08f0-4737-9e8c-148ce897a09c"/>
    <Disclosure_x0020_Activity xmlns="cdc7663a-08f0-4737-9e8c-148ce897a09c">BEO 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F1EF0B68-45A7-4666-8A19-27B67B81F41B}"/>
</file>

<file path=customXml/itemProps10.xml><?xml version="1.0" encoding="utf-8"?>
<ds:datastoreItem xmlns:ds="http://schemas.openxmlformats.org/officeDocument/2006/customXml" ds:itemID="{1C1E3370-8170-4019-9E00-7517D80602C9}"/>
</file>

<file path=customXml/itemProps2.xml><?xml version="1.0" encoding="utf-8"?>
<ds:datastoreItem xmlns:ds="http://schemas.openxmlformats.org/officeDocument/2006/customXml" ds:itemID="{C52442F4-82A2-4D6A-AD7D-70CABB949C5F}">
  <ds:schemaRefs>
    <ds:schemaRef ds:uri="http://schemas.microsoft.com/sharepoint/v3/contenttype/forms/url"/>
  </ds:schemaRefs>
</ds:datastoreItem>
</file>

<file path=customXml/itemProps3.xml><?xml version="1.0" encoding="utf-8"?>
<ds:datastoreItem xmlns:ds="http://schemas.openxmlformats.org/officeDocument/2006/customXml" ds:itemID="{AF86DF9E-1E76-4194-AD95-17A5BE4BB03F}"/>
</file>

<file path=customXml/itemProps4.xml><?xml version="1.0" encoding="utf-8"?>
<ds:datastoreItem xmlns:ds="http://schemas.openxmlformats.org/officeDocument/2006/customXml" ds:itemID="{8C932CB4-6986-4FFA-876E-80CC092983B7}">
  <ds:schemaRefs>
    <ds:schemaRef ds:uri="http://schemas.microsoft.com/sharepoint/v3/contenttype/forms"/>
  </ds:schemaRefs>
</ds:datastoreItem>
</file>

<file path=customXml/itemProps5.xml><?xml version="1.0" encoding="utf-8"?>
<ds:datastoreItem xmlns:ds="http://schemas.openxmlformats.org/officeDocument/2006/customXml" ds:itemID="{8847D770-4BD8-4FA4-9A1A-AA2D691D4E4D}">
  <ds:schemaRefs>
    <ds:schemaRef ds:uri="http://schemas.microsoft.com/sharepoint/events"/>
  </ds:schemaRefs>
</ds:datastoreItem>
</file>

<file path=customXml/itemProps6.xml><?xml version="1.0" encoding="utf-8"?>
<ds:datastoreItem xmlns:ds="http://schemas.openxmlformats.org/officeDocument/2006/customXml" ds:itemID="{D2D246E2-5D62-4862-A74B-E9250A422052}">
  <ds:schemaRefs>
    <ds:schemaRef ds:uri="http://purl.org/dc/terms/"/>
    <ds:schemaRef ds:uri="http://www.w3.org/XML/1998/namespace"/>
    <ds:schemaRef ds:uri="http://schemas.microsoft.com/office/2006/metadata/properties"/>
    <ds:schemaRef ds:uri="cdc7663a-08f0-4737-9e8c-148ce897a09c"/>
    <ds:schemaRef ds:uri="http://purl.org/dc/dcmitype/"/>
    <ds:schemaRef ds:uri="http://schemas.microsoft.com/office/infopath/2007/PartnerControls"/>
    <ds:schemaRef ds:uri="http://purl.org/dc/elements/1.1/"/>
    <ds:schemaRef ds:uri="http://schemas.microsoft.com/office/2006/documentManagement/types"/>
    <ds:schemaRef ds:uri="http://schemas.openxmlformats.org/package/2006/metadata/core-properties"/>
  </ds:schemaRefs>
</ds:datastoreItem>
</file>

<file path=customXml/itemProps7.xml><?xml version="1.0" encoding="utf-8"?>
<ds:datastoreItem xmlns:ds="http://schemas.openxmlformats.org/officeDocument/2006/customXml" ds:itemID="{B9289354-06AE-4439-984E-584AFC55F611}">
  <ds:schemaRefs>
    <ds:schemaRef ds:uri="http://schemas.openxmlformats.org/officeDocument/2006/bibliography"/>
  </ds:schemaRefs>
</ds:datastoreItem>
</file>

<file path=customXml/itemProps8.xml><?xml version="1.0" encoding="utf-8"?>
<ds:datastoreItem xmlns:ds="http://schemas.openxmlformats.org/officeDocument/2006/customXml" ds:itemID="{1BB4A09D-D6F3-496A-ADD7-77D677D4CF44}"/>
</file>

<file path=customXml/itemProps9.xml><?xml version="1.0" encoding="utf-8"?>
<ds:datastoreItem xmlns:ds="http://schemas.openxmlformats.org/officeDocument/2006/customXml" ds:itemID="{D8D78BB7-ACC4-4479-B876-314F93953DF2}"/>
</file>

<file path=docProps/app.xml><?xml version="1.0" encoding="utf-8"?>
<Properties xmlns="http://schemas.openxmlformats.org/officeDocument/2006/extended-properties" xmlns:vt="http://schemas.openxmlformats.org/officeDocument/2006/docPropsVTypes">
  <Template>Normal.dotm</Template>
  <TotalTime>297</TotalTime>
  <Pages>9</Pages>
  <Words>3509</Words>
  <Characters>20002</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23465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Yolanda Strachan</dc:creator>
  <cp:keywords/>
  <dc:description/>
  <cp:lastModifiedBy>Suber, Stephanie Anne</cp:lastModifiedBy>
  <cp:revision>20</cp:revision>
  <cp:lastPrinted>2017-05-18T15:55:00Z</cp:lastPrinted>
  <dcterms:created xsi:type="dcterms:W3CDTF">2017-07-21T18:58:00Z</dcterms:created>
  <dcterms:modified xsi:type="dcterms:W3CDTF">2017-09-01T20:48:00Z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47;#ENERGY EFFICIENCY AND RENEWABLE ENERGY IN END USE|ab88142a-aa14-42df-80f4-969425d6f976</vt:lpwstr>
  </property>
  <property fmtid="{D5CDD505-2E9C-101B-9397-08002B2CF9AE}" pid="7" name="Fund IDB">
    <vt:lpwstr>107;#TBD|d62f6e05-3e80-4abd-9bb4-5f10b4906ff6</vt:lpwstr>
  </property>
  <property fmtid="{D5CDD505-2E9C-101B-9397-08002B2CF9AE}" pid="8" name="Country">
    <vt:lpwstr>44;#Regional|2537a5b7-6d8e-482c-94dc-32c3cc44ff65</vt:lpwstr>
  </property>
  <property fmtid="{D5CDD505-2E9C-101B-9397-08002B2CF9AE}" pid="9" name="Sector IDB">
    <vt:lpwstr>45;#ENERGY|4fed196a-cd0b-4970-87de-42da17f9b203</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ee11c2b8-59dd-47cd-b92f-c6cce6c78f58</vt:lpwstr>
  </property>
  <property fmtid="{D5CDD505-2E9C-101B-9397-08002B2CF9AE}" pid="12" name="RecordPoint_ActiveItemMoved">
    <vt:lpwstr>/teams/EZ-RG-TCP/RG-T2986/15 LifeCycle Milestones/Draft Area/TC Document.docx</vt:lpwstr>
  </property>
  <property fmtid="{D5CDD505-2E9C-101B-9397-08002B2CF9AE}" pid="13" name="RecordStorageActiveId">
    <vt:lpwstr>1654f133-10a5-457b-989e-92d3a192eb8f</vt:lpwstr>
  </property>
  <property fmtid="{D5CDD505-2E9C-101B-9397-08002B2CF9AE}" pid="15" name="ContentTypeId">
    <vt:lpwstr>0x0101001A458A224826124E8B45B1D613300CFC001C3A8997F571144EB04440CAEAE58F83</vt:lpwstr>
  </property>
</Properties>
</file>