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5EE" w:rsidRDefault="00F665EE" w:rsidP="00F665EE">
      <w:pPr>
        <w:jc w:val="center"/>
        <w:rPr>
          <w:rFonts w:ascii="Times New Roman" w:hAnsi="Times New Roman" w:cs="Times New Roman"/>
          <w:b/>
          <w:smallCaps/>
          <w:sz w:val="24"/>
          <w:szCs w:val="24"/>
          <w:lang w:val="es-CO"/>
        </w:rPr>
      </w:pPr>
      <w:r>
        <w:rPr>
          <w:rFonts w:ascii="Times New Roman" w:hAnsi="Times New Roman" w:cs="Times New Roman"/>
          <w:b/>
          <w:smallCaps/>
          <w:sz w:val="24"/>
          <w:szCs w:val="24"/>
          <w:lang w:val="es-CO"/>
        </w:rPr>
        <w:t>Evaluación d</w:t>
      </w:r>
      <w:r w:rsidRPr="007672F3">
        <w:rPr>
          <w:rFonts w:ascii="Times New Roman" w:hAnsi="Times New Roman" w:cs="Times New Roman"/>
          <w:b/>
          <w:smallCaps/>
          <w:sz w:val="24"/>
          <w:szCs w:val="24"/>
          <w:lang w:val="es-CO"/>
        </w:rPr>
        <w:t>e Impacto</w:t>
      </w:r>
    </w:p>
    <w:p w:rsidR="00F665EE" w:rsidRPr="007672F3" w:rsidRDefault="00F665EE" w:rsidP="00F665EE">
      <w:pPr>
        <w:jc w:val="center"/>
        <w:rPr>
          <w:rFonts w:ascii="Times New Roman" w:hAnsi="Times New Roman" w:cs="Times New Roman"/>
          <w:b/>
          <w:smallCaps/>
          <w:sz w:val="24"/>
          <w:szCs w:val="24"/>
          <w:lang w:val="es-CO"/>
        </w:rPr>
      </w:pPr>
    </w:p>
    <w:p w:rsidR="00F665EE" w:rsidRDefault="00F665EE" w:rsidP="00F665EE">
      <w:pPr>
        <w:pStyle w:val="ListParagraph"/>
        <w:numPr>
          <w:ilvl w:val="0"/>
          <w:numId w:val="1"/>
        </w:numPr>
        <w:jc w:val="both"/>
        <w:rPr>
          <w:rFonts w:ascii="Times New Roman" w:hAnsi="Times New Roman" w:cs="Times New Roman"/>
          <w:b/>
          <w:sz w:val="24"/>
          <w:szCs w:val="24"/>
          <w:lang w:val="es-CO"/>
        </w:rPr>
      </w:pPr>
      <w:r w:rsidRPr="000A594C">
        <w:rPr>
          <w:rFonts w:ascii="Times New Roman" w:hAnsi="Times New Roman" w:cs="Times New Roman"/>
          <w:b/>
          <w:sz w:val="24"/>
          <w:szCs w:val="24"/>
          <w:lang w:val="es-CO"/>
        </w:rPr>
        <w:t>Pregunta de investigación</w:t>
      </w:r>
    </w:p>
    <w:p w:rsidR="00F665EE" w:rsidRPr="00183C9E" w:rsidRDefault="00F665EE" w:rsidP="00F665EE">
      <w:pPr>
        <w:jc w:val="both"/>
        <w:rPr>
          <w:rFonts w:ascii="Times New Roman" w:hAnsi="Times New Roman" w:cs="Times New Roman"/>
          <w:szCs w:val="24"/>
          <w:lang w:val="es-CO"/>
        </w:rPr>
      </w:pPr>
      <w:r w:rsidRPr="00183C9E">
        <w:rPr>
          <w:rFonts w:ascii="Times New Roman" w:hAnsi="Times New Roman" w:cs="Times New Roman"/>
          <w:szCs w:val="24"/>
          <w:lang w:val="es-CO"/>
        </w:rPr>
        <w:t>El objetivo central de una evaluación de impacto es determinar la causalidad de la intervención (programa, proyecto o política) sobre las variables de resultado; es decir, observar las diferencias en las variables de resultado con y sin intervención que pueden ser atribuidas al programa en mención. De esta forma, la pregunta central de la propuesta de evaluación de impacto sería ¿qué pasaría con los recursos de los proyectos financiados con regalías, si el Programa para el Fortalecimiento del Sistema de Inversión Pública no existiera? ¿disminuye el PII los desvíosde recursos de regalías?</w:t>
      </w:r>
    </w:p>
    <w:p w:rsidR="00F665EE" w:rsidRDefault="00F665EE" w:rsidP="00F665EE">
      <w:pPr>
        <w:pStyle w:val="ListParagraph"/>
        <w:numPr>
          <w:ilvl w:val="0"/>
          <w:numId w:val="1"/>
        </w:numPr>
        <w:jc w:val="both"/>
        <w:rPr>
          <w:rFonts w:ascii="Times New Roman" w:hAnsi="Times New Roman" w:cs="Times New Roman"/>
          <w:b/>
          <w:sz w:val="24"/>
          <w:szCs w:val="24"/>
          <w:lang w:val="es-CO"/>
        </w:rPr>
      </w:pPr>
      <w:r>
        <w:rPr>
          <w:rFonts w:ascii="Times New Roman" w:hAnsi="Times New Roman" w:cs="Times New Roman"/>
          <w:b/>
          <w:sz w:val="24"/>
          <w:szCs w:val="24"/>
          <w:lang w:val="es-CO"/>
        </w:rPr>
        <w:t xml:space="preserve">Indicadores </w:t>
      </w:r>
      <w:bookmarkStart w:id="0" w:name="_GoBack"/>
      <w:bookmarkEnd w:id="0"/>
    </w:p>
    <w:p w:rsidR="00F665EE" w:rsidRPr="00183C9E" w:rsidRDefault="00F665EE" w:rsidP="00F665EE">
      <w:pPr>
        <w:jc w:val="both"/>
        <w:rPr>
          <w:rFonts w:ascii="Times New Roman" w:hAnsi="Times New Roman" w:cs="Times New Roman"/>
          <w:szCs w:val="24"/>
          <w:lang w:val="es-CO"/>
        </w:rPr>
      </w:pPr>
      <w:r w:rsidRPr="00183C9E">
        <w:rPr>
          <w:rFonts w:ascii="Times New Roman" w:hAnsi="Times New Roman" w:cs="Times New Roman"/>
          <w:szCs w:val="24"/>
          <w:lang w:val="es-CO"/>
        </w:rPr>
        <w:t xml:space="preserve">El indicador que se utilizará será la desviación de recursos. </w:t>
      </w:r>
    </w:p>
    <w:p w:rsidR="00F665EE" w:rsidRDefault="00F665EE" w:rsidP="00F665EE">
      <w:pPr>
        <w:pStyle w:val="ListParagraph"/>
        <w:numPr>
          <w:ilvl w:val="0"/>
          <w:numId w:val="1"/>
        </w:numPr>
        <w:jc w:val="both"/>
        <w:rPr>
          <w:rFonts w:ascii="Times New Roman" w:hAnsi="Times New Roman" w:cs="Times New Roman"/>
          <w:b/>
          <w:sz w:val="24"/>
          <w:szCs w:val="24"/>
          <w:lang w:val="es-CO"/>
        </w:rPr>
      </w:pPr>
      <w:r>
        <w:rPr>
          <w:rFonts w:ascii="Times New Roman" w:hAnsi="Times New Roman" w:cs="Times New Roman"/>
          <w:b/>
          <w:sz w:val="24"/>
          <w:szCs w:val="24"/>
          <w:lang w:val="es-CO"/>
        </w:rPr>
        <w:t>Metodología de evaluación</w:t>
      </w:r>
    </w:p>
    <w:p w:rsidR="00F665EE" w:rsidRDefault="00F665EE" w:rsidP="00F665EE">
      <w:pPr>
        <w:jc w:val="both"/>
        <w:rPr>
          <w:rFonts w:ascii="Times New Roman" w:eastAsia="Times New Roman" w:hAnsi="Times New Roman" w:cs="Times New Roman"/>
          <w:szCs w:val="24"/>
          <w:lang w:val="es-CO" w:eastAsia="en-US"/>
        </w:rPr>
      </w:pPr>
      <w:r w:rsidRPr="006E6EAE">
        <w:rPr>
          <w:rFonts w:ascii="Times New Roman" w:eastAsia="Times New Roman" w:hAnsi="Times New Roman" w:cs="Times New Roman"/>
          <w:szCs w:val="24"/>
          <w:lang w:val="es-CO" w:eastAsia="en-US"/>
        </w:rPr>
        <w:t xml:space="preserve">Usualmente el diseño de una evaluación de impacto busca comparar un grupo de tratamiento (el que recibe la intervención) versus un grupo de control (el que no recibe la intervención) que sea lo más similar posible, con el fin de tener un buen contrafactual (caso hipotético que no se observa del tratamiento cuando no recibe el Programa) y comparar los resultados de la intervención. Desafortunadamente este procedimiento es válido para algunas situaciones, por ejemplo si antes de comenzar la implementación del programa se escogen aleatoriamente los participantes y se define un grupo de control idéntico. Así, los métodos para la evaluación de impacto se centran en resolver  el problema de no poder tener información para una misma observación con y sin programa. </w:t>
      </w:r>
    </w:p>
    <w:p w:rsidR="00F665EE" w:rsidRPr="000511B2" w:rsidRDefault="00F665EE" w:rsidP="00F665EE">
      <w:pPr>
        <w:jc w:val="both"/>
        <w:rPr>
          <w:rFonts w:ascii="Times New Roman" w:eastAsia="Times New Roman" w:hAnsi="Times New Roman" w:cs="Times New Roman"/>
          <w:lang w:val="es-CO" w:eastAsia="en-US"/>
        </w:rPr>
      </w:pPr>
      <w:r w:rsidRPr="000511B2">
        <w:rPr>
          <w:rFonts w:ascii="Times New Roman" w:eastAsia="Times New Roman" w:hAnsi="Times New Roman" w:cs="Times New Roman"/>
          <w:lang w:val="es-CO" w:eastAsia="en-US"/>
        </w:rPr>
        <w:t>En</w:t>
      </w:r>
      <w:r>
        <w:rPr>
          <w:rFonts w:ascii="Times New Roman" w:eastAsia="Times New Roman" w:hAnsi="Times New Roman" w:cs="Times New Roman"/>
          <w:lang w:val="es-CO" w:eastAsia="en-US"/>
        </w:rPr>
        <w:t xml:space="preserve"> </w:t>
      </w:r>
      <w:r w:rsidRPr="000511B2">
        <w:rPr>
          <w:rFonts w:ascii="Times New Roman" w:eastAsia="Times New Roman" w:hAnsi="Times New Roman" w:cs="Times New Roman"/>
          <w:lang w:val="es-CO" w:eastAsia="en-US"/>
        </w:rPr>
        <w:t xml:space="preserve">los métodos experimentales, </w:t>
      </w:r>
      <w:r w:rsidRPr="000511B2">
        <w:rPr>
          <w:rFonts w:ascii="Times New Roman" w:hAnsi="Times New Roman" w:cs="Times New Roman"/>
        </w:rPr>
        <w:t>el efecto del programa se obtiene comparando las medias de las variables resultado entre tratamiento y control. En ausencia de una asignación aleatoria,</w:t>
      </w:r>
      <w:r>
        <w:rPr>
          <w:rFonts w:ascii="Times New Roman" w:hAnsi="Times New Roman" w:cs="Times New Roman"/>
        </w:rPr>
        <w:t xml:space="preserve"> se utilizan métodos cuasi-experimentales cómo el diseño de </w:t>
      </w:r>
      <w:r w:rsidRPr="000511B2">
        <w:rPr>
          <w:rFonts w:ascii="Times New Roman" w:hAnsi="Times New Roman" w:cs="Times New Roman"/>
        </w:rPr>
        <w:t xml:space="preserve">regresión discontinua, </w:t>
      </w:r>
      <w:r>
        <w:rPr>
          <w:rFonts w:ascii="Times New Roman" w:hAnsi="Times New Roman" w:cs="Times New Roman"/>
        </w:rPr>
        <w:t xml:space="preserve">las </w:t>
      </w:r>
      <w:r w:rsidRPr="000511B2">
        <w:rPr>
          <w:rFonts w:ascii="Times New Roman" w:hAnsi="Times New Roman" w:cs="Times New Roman"/>
        </w:rPr>
        <w:t xml:space="preserve">variables instrumentales y </w:t>
      </w:r>
      <w:r>
        <w:rPr>
          <w:rFonts w:ascii="Times New Roman" w:hAnsi="Times New Roman" w:cs="Times New Roman"/>
        </w:rPr>
        <w:t xml:space="preserve"> el </w:t>
      </w:r>
      <w:r w:rsidRPr="000511B2">
        <w:rPr>
          <w:rFonts w:ascii="Times New Roman" w:hAnsi="Times New Roman" w:cs="Times New Roman"/>
        </w:rPr>
        <w:t>emparejamient</w:t>
      </w:r>
      <w:r>
        <w:rPr>
          <w:rFonts w:ascii="Times New Roman" w:hAnsi="Times New Roman" w:cs="Times New Roman"/>
        </w:rPr>
        <w:t>o</w:t>
      </w:r>
      <w:r w:rsidRPr="000511B2">
        <w:rPr>
          <w:rFonts w:ascii="Times New Roman" w:hAnsi="Times New Roman" w:cs="Times New Roman"/>
        </w:rPr>
        <w:t>.</w:t>
      </w:r>
    </w:p>
    <w:p w:rsidR="00F665EE" w:rsidRPr="000511B2" w:rsidRDefault="00F665EE" w:rsidP="00F665EE">
      <w:pPr>
        <w:jc w:val="both"/>
        <w:rPr>
          <w:rFonts w:ascii="Times New Roman" w:eastAsia="Times New Roman" w:hAnsi="Times New Roman" w:cs="Times New Roman"/>
          <w:b/>
          <w:szCs w:val="24"/>
          <w:u w:val="single"/>
          <w:lang w:val="es-CO" w:eastAsia="en-US"/>
        </w:rPr>
      </w:pPr>
      <w:r w:rsidRPr="000511B2">
        <w:rPr>
          <w:rFonts w:ascii="Times New Roman" w:eastAsia="Times New Roman" w:hAnsi="Times New Roman" w:cs="Times New Roman"/>
          <w:b/>
          <w:szCs w:val="24"/>
          <w:u w:val="single"/>
          <w:lang w:val="es-CO" w:eastAsia="en-US"/>
        </w:rPr>
        <w:t>Propuesta de diseño</w:t>
      </w:r>
      <w:r>
        <w:rPr>
          <w:rStyle w:val="FootnoteReference"/>
          <w:rFonts w:ascii="Times New Roman" w:eastAsia="Times New Roman" w:hAnsi="Times New Roman" w:cs="Times New Roman"/>
          <w:b/>
          <w:szCs w:val="24"/>
          <w:u w:val="single"/>
          <w:lang w:val="es-CO" w:eastAsia="en-US"/>
        </w:rPr>
        <w:footnoteReference w:id="1"/>
      </w:r>
    </w:p>
    <w:p w:rsidR="00F665EE" w:rsidRDefault="00F665EE" w:rsidP="00F665EE">
      <w:pPr>
        <w:jc w:val="both"/>
        <w:rPr>
          <w:rFonts w:ascii="Times New Roman" w:eastAsia="Times New Roman" w:hAnsi="Times New Roman" w:cs="Times New Roman"/>
          <w:szCs w:val="24"/>
          <w:lang w:val="es-CO" w:eastAsia="en-US"/>
        </w:rPr>
      </w:pPr>
      <w:r>
        <w:rPr>
          <w:rFonts w:ascii="Times New Roman" w:eastAsia="Times New Roman" w:hAnsi="Times New Roman" w:cs="Times New Roman"/>
          <w:szCs w:val="24"/>
          <w:lang w:val="es-CO" w:eastAsia="en-US"/>
        </w:rPr>
        <w:t xml:space="preserve">Para el caso de la evaluación de impacto de la implementación de la </w:t>
      </w:r>
      <w:r w:rsidRPr="00544E80">
        <w:rPr>
          <w:rFonts w:ascii="Times New Roman" w:eastAsia="Times New Roman" w:hAnsi="Times New Roman" w:cs="Times New Roman"/>
          <w:szCs w:val="24"/>
          <w:lang w:val="es-CO" w:eastAsia="en-US"/>
        </w:rPr>
        <w:t>Plataforma Integrada de Inversión Pública</w:t>
      </w:r>
      <w:r>
        <w:rPr>
          <w:rFonts w:ascii="Times New Roman" w:eastAsia="Times New Roman" w:hAnsi="Times New Roman" w:cs="Times New Roman"/>
          <w:szCs w:val="24"/>
          <w:lang w:val="es-CO" w:eastAsia="en-US"/>
        </w:rPr>
        <w:t xml:space="preserve"> (PII) sobre el Sistema General de Regalías (SGR), se puede explotar el hecho que algunos de los proyectos serán financiados con recursos de regalías, mientras que otros proyectos serán financiados con otros recursos (Presupuesto General de la Nación, Sistema General de Participación y Alianzas Público Privadas), para obtener el grupo de tratamiento y el de control. Se puede pensar en la PII cómo un experimento cuasi-natural que genera una aleatorización no perfecta, aquellos proyectos financiados con recursos de regalías tendrán un monitoreo y seguimiento más eficiente y oportuno, que los proyectos financiados con otros recursos. </w:t>
      </w:r>
    </w:p>
    <w:p w:rsidR="00F665EE" w:rsidRDefault="00F665EE" w:rsidP="00F665EE">
      <w:pPr>
        <w:jc w:val="both"/>
        <w:rPr>
          <w:rFonts w:ascii="Times New Roman" w:eastAsia="Times New Roman" w:hAnsi="Times New Roman" w:cs="Times New Roman"/>
          <w:szCs w:val="24"/>
          <w:lang w:val="es-CO" w:eastAsia="en-US"/>
        </w:rPr>
      </w:pPr>
      <w:r w:rsidRPr="00A9482C">
        <w:rPr>
          <w:rFonts w:ascii="Times New Roman" w:eastAsia="Times New Roman" w:hAnsi="Times New Roman" w:cs="Times New Roman"/>
          <w:szCs w:val="24"/>
          <w:lang w:val="es-CO" w:eastAsia="en-US"/>
        </w:rPr>
        <w:lastRenderedPageBreak/>
        <w:t>D</w:t>
      </w:r>
      <w:r>
        <w:rPr>
          <w:rFonts w:ascii="Times New Roman" w:eastAsia="Times New Roman" w:hAnsi="Times New Roman" w:cs="Times New Roman"/>
          <w:szCs w:val="24"/>
          <w:lang w:val="es-CO" w:eastAsia="en-US"/>
        </w:rPr>
        <w:t>e</w:t>
      </w:r>
      <w:r w:rsidRPr="00A9482C">
        <w:rPr>
          <w:rFonts w:ascii="Times New Roman" w:eastAsia="Times New Roman" w:hAnsi="Times New Roman" w:cs="Times New Roman"/>
          <w:szCs w:val="24"/>
          <w:lang w:val="es-CO" w:eastAsia="en-US"/>
        </w:rPr>
        <w:t xml:space="preserve"> esta forma, se podría comparar los proyectos financiados con el SGR y los que no son financiados con regalías, antes y después de la implementación de la PII con el módulo de regalías.</w:t>
      </w:r>
      <w:r>
        <w:rPr>
          <w:rFonts w:ascii="Times New Roman" w:eastAsia="Times New Roman" w:hAnsi="Times New Roman" w:cs="Times New Roman"/>
          <w:szCs w:val="24"/>
          <w:lang w:val="es-CO" w:eastAsia="en-US"/>
        </w:rPr>
        <w:t xml:space="preserve"> Esto se conoce como el modelo de diferencias en diferencias:</w:t>
      </w:r>
    </w:p>
    <w:p w:rsidR="00F665EE" w:rsidRPr="00A9482C" w:rsidRDefault="00F665EE" w:rsidP="00F665EE">
      <w:pPr>
        <w:jc w:val="center"/>
        <w:rPr>
          <w:rFonts w:ascii="Times New Roman" w:eastAsia="Times New Roman" w:hAnsi="Times New Roman" w:cs="Times New Roman"/>
          <w:szCs w:val="24"/>
          <w:lang w:val="es-CO" w:eastAsia="en-US"/>
        </w:rPr>
      </w:pPr>
      <m:oMathPara>
        <m:oMath>
          <m:sSub>
            <m:sSubPr>
              <m:ctrlPr>
                <w:rPr>
                  <w:rFonts w:ascii="Cambria Math" w:eastAsia="Times New Roman" w:hAnsi="Cambria Math" w:cs="Times New Roman"/>
                  <w:i/>
                  <w:szCs w:val="24"/>
                  <w:lang w:val="es-CO" w:eastAsia="en-US"/>
                </w:rPr>
              </m:ctrlPr>
            </m:sSubPr>
            <m:e>
              <m:r>
                <w:rPr>
                  <w:rFonts w:ascii="Cambria Math" w:eastAsia="Times New Roman" w:hAnsi="Cambria Math" w:cs="Times New Roman"/>
                  <w:szCs w:val="24"/>
                  <w:lang w:val="es-CO" w:eastAsia="en-US"/>
                </w:rPr>
                <m:t>Y</m:t>
              </m:r>
            </m:e>
            <m:sub>
              <m:r>
                <w:rPr>
                  <w:rFonts w:ascii="Cambria Math" w:eastAsia="Times New Roman" w:hAnsi="Cambria Math" w:cs="Times New Roman"/>
                  <w:szCs w:val="24"/>
                  <w:lang w:val="es-CO" w:eastAsia="en-US"/>
                </w:rPr>
                <m:t>i</m:t>
              </m:r>
            </m:sub>
          </m:sSub>
          <m:r>
            <w:rPr>
              <w:rFonts w:ascii="Cambria Math" w:eastAsia="Times New Roman" w:hAnsi="Cambria Math" w:cs="Times New Roman"/>
              <w:szCs w:val="24"/>
              <w:lang w:val="es-CO" w:eastAsia="en-US"/>
            </w:rPr>
            <m:t>=</m:t>
          </m:r>
          <m:sSub>
            <m:sSubPr>
              <m:ctrlPr>
                <w:rPr>
                  <w:rFonts w:ascii="Cambria Math" w:eastAsia="Times New Roman" w:hAnsi="Cambria Math" w:cs="Times New Roman"/>
                  <w:i/>
                  <w:szCs w:val="24"/>
                  <w:lang w:val="es-CO" w:eastAsia="en-US"/>
                </w:rPr>
              </m:ctrlPr>
            </m:sSubPr>
            <m:e>
              <m:r>
                <w:rPr>
                  <w:rFonts w:ascii="Cambria Math" w:eastAsia="Times New Roman" w:hAnsi="Cambria Math" w:cs="Times New Roman"/>
                  <w:szCs w:val="24"/>
                  <w:lang w:val="es-CO" w:eastAsia="en-US"/>
                </w:rPr>
                <m:t>β</m:t>
              </m:r>
            </m:e>
            <m:sub>
              <m:r>
                <w:rPr>
                  <w:rFonts w:ascii="Cambria Math" w:eastAsia="Times New Roman" w:hAnsi="Cambria Math" w:cs="Times New Roman"/>
                  <w:szCs w:val="24"/>
                  <w:lang w:val="es-CO" w:eastAsia="en-US"/>
                </w:rPr>
                <m:t>0</m:t>
              </m:r>
            </m:sub>
          </m:sSub>
          <m:r>
            <w:rPr>
              <w:rFonts w:ascii="Cambria Math" w:eastAsia="Times New Roman" w:hAnsi="Cambria Math" w:cs="Times New Roman"/>
              <w:szCs w:val="24"/>
              <w:lang w:val="es-CO" w:eastAsia="en-US"/>
            </w:rPr>
            <m:t>+</m:t>
          </m:r>
          <m:sSub>
            <m:sSubPr>
              <m:ctrlPr>
                <w:rPr>
                  <w:rFonts w:ascii="Cambria Math" w:eastAsia="Times New Roman" w:hAnsi="Cambria Math" w:cs="Times New Roman"/>
                  <w:i/>
                  <w:szCs w:val="24"/>
                  <w:lang w:val="es-CO" w:eastAsia="en-US"/>
                </w:rPr>
              </m:ctrlPr>
            </m:sSubPr>
            <m:e>
              <m:r>
                <w:rPr>
                  <w:rFonts w:ascii="Cambria Math" w:eastAsia="Times New Roman" w:hAnsi="Cambria Math" w:cs="Times New Roman"/>
                  <w:szCs w:val="24"/>
                  <w:lang w:val="es-CO" w:eastAsia="en-US"/>
                </w:rPr>
                <m:t>β</m:t>
              </m:r>
            </m:e>
            <m:sub>
              <m:r>
                <w:rPr>
                  <w:rFonts w:ascii="Cambria Math" w:eastAsia="Times New Roman" w:hAnsi="Cambria Math" w:cs="Times New Roman"/>
                  <w:szCs w:val="24"/>
                  <w:lang w:val="es-CO" w:eastAsia="en-US"/>
                </w:rPr>
                <m:t>1</m:t>
              </m:r>
            </m:sub>
          </m:sSub>
          <m:sSub>
            <m:sSubPr>
              <m:ctrlPr>
                <w:rPr>
                  <w:rFonts w:ascii="Cambria Math" w:eastAsia="Times New Roman" w:hAnsi="Cambria Math" w:cs="Times New Roman"/>
                  <w:i/>
                  <w:szCs w:val="24"/>
                  <w:lang w:val="es-CO" w:eastAsia="en-US"/>
                </w:rPr>
              </m:ctrlPr>
            </m:sSubPr>
            <m:e>
              <m:r>
                <w:rPr>
                  <w:rFonts w:ascii="Cambria Math" w:eastAsia="Times New Roman" w:hAnsi="Cambria Math" w:cs="Times New Roman"/>
                  <w:szCs w:val="24"/>
                  <w:lang w:val="es-CO" w:eastAsia="en-US"/>
                </w:rPr>
                <m:t>D</m:t>
              </m:r>
            </m:e>
            <m:sub>
              <m:r>
                <w:rPr>
                  <w:rFonts w:ascii="Cambria Math" w:eastAsia="Times New Roman" w:hAnsi="Cambria Math" w:cs="Times New Roman"/>
                  <w:szCs w:val="24"/>
                  <w:lang w:val="es-CO" w:eastAsia="en-US"/>
                </w:rPr>
                <m:t>i</m:t>
              </m:r>
            </m:sub>
          </m:sSub>
          <m:r>
            <w:rPr>
              <w:rFonts w:ascii="Cambria Math" w:eastAsia="Times New Roman" w:hAnsi="Cambria Math" w:cs="Times New Roman"/>
              <w:szCs w:val="24"/>
              <w:lang w:val="es-CO" w:eastAsia="en-US"/>
            </w:rPr>
            <m:t>+</m:t>
          </m:r>
          <m:sSub>
            <m:sSubPr>
              <m:ctrlPr>
                <w:rPr>
                  <w:rFonts w:ascii="Cambria Math" w:eastAsia="Times New Roman" w:hAnsi="Cambria Math" w:cs="Times New Roman"/>
                  <w:i/>
                  <w:szCs w:val="24"/>
                  <w:lang w:val="es-CO" w:eastAsia="en-US"/>
                </w:rPr>
              </m:ctrlPr>
            </m:sSubPr>
            <m:e>
              <m:r>
                <w:rPr>
                  <w:rFonts w:ascii="Cambria Math" w:eastAsia="Times New Roman" w:hAnsi="Cambria Math" w:cs="Times New Roman"/>
                  <w:szCs w:val="24"/>
                  <w:lang w:val="es-CO" w:eastAsia="en-US"/>
                </w:rPr>
                <m:t>β</m:t>
              </m:r>
            </m:e>
            <m:sub>
              <m:r>
                <w:rPr>
                  <w:rFonts w:ascii="Cambria Math" w:eastAsia="Times New Roman" w:hAnsi="Cambria Math" w:cs="Times New Roman"/>
                  <w:szCs w:val="24"/>
                  <w:lang w:val="es-CO" w:eastAsia="en-US"/>
                </w:rPr>
                <m:t>2</m:t>
              </m:r>
            </m:sub>
          </m:sSub>
          <m:sSub>
            <m:sSubPr>
              <m:ctrlPr>
                <w:rPr>
                  <w:rFonts w:ascii="Cambria Math" w:eastAsia="Times New Roman" w:hAnsi="Cambria Math" w:cs="Times New Roman"/>
                  <w:i/>
                  <w:szCs w:val="24"/>
                  <w:lang w:val="es-CO" w:eastAsia="en-US"/>
                </w:rPr>
              </m:ctrlPr>
            </m:sSubPr>
            <m:e>
              <m:r>
                <w:rPr>
                  <w:rFonts w:ascii="Cambria Math" w:eastAsia="Times New Roman" w:hAnsi="Cambria Math" w:cs="Times New Roman"/>
                  <w:szCs w:val="24"/>
                  <w:lang w:val="es-CO" w:eastAsia="en-US"/>
                </w:rPr>
                <m:t>T</m:t>
              </m:r>
            </m:e>
            <m:sub>
              <m:r>
                <w:rPr>
                  <w:rFonts w:ascii="Cambria Math" w:eastAsia="Times New Roman" w:hAnsi="Cambria Math" w:cs="Times New Roman"/>
                  <w:szCs w:val="24"/>
                  <w:lang w:val="es-CO" w:eastAsia="en-US"/>
                </w:rPr>
                <m:t>i</m:t>
              </m:r>
            </m:sub>
          </m:sSub>
          <m:r>
            <w:rPr>
              <w:rFonts w:ascii="Cambria Math" w:eastAsia="Times New Roman" w:hAnsi="Cambria Math" w:cs="Times New Roman"/>
              <w:szCs w:val="24"/>
              <w:lang w:val="es-CO" w:eastAsia="en-US"/>
            </w:rPr>
            <m:t>+</m:t>
          </m:r>
          <m:sSub>
            <m:sSubPr>
              <m:ctrlPr>
                <w:rPr>
                  <w:rFonts w:ascii="Cambria Math" w:eastAsia="Times New Roman" w:hAnsi="Cambria Math" w:cs="Times New Roman"/>
                  <w:i/>
                  <w:szCs w:val="24"/>
                  <w:lang w:val="es-CO" w:eastAsia="en-US"/>
                </w:rPr>
              </m:ctrlPr>
            </m:sSubPr>
            <m:e>
              <m:r>
                <w:rPr>
                  <w:rFonts w:ascii="Cambria Math" w:eastAsia="Times New Roman" w:hAnsi="Cambria Math" w:cs="Times New Roman"/>
                  <w:szCs w:val="24"/>
                  <w:lang w:val="es-CO" w:eastAsia="en-US"/>
                </w:rPr>
                <m:t>β</m:t>
              </m:r>
            </m:e>
            <m:sub>
              <m:r>
                <w:rPr>
                  <w:rFonts w:ascii="Cambria Math" w:eastAsia="Times New Roman" w:hAnsi="Cambria Math" w:cs="Times New Roman"/>
                  <w:szCs w:val="24"/>
                  <w:lang w:val="es-CO" w:eastAsia="en-US"/>
                </w:rPr>
                <m:t>3</m:t>
              </m:r>
            </m:sub>
          </m:sSub>
          <m:sSub>
            <m:sSubPr>
              <m:ctrlPr>
                <w:rPr>
                  <w:rFonts w:ascii="Cambria Math" w:eastAsia="Times New Roman" w:hAnsi="Cambria Math" w:cs="Times New Roman"/>
                  <w:i/>
                  <w:szCs w:val="24"/>
                  <w:lang w:val="es-CO" w:eastAsia="en-US"/>
                </w:rPr>
              </m:ctrlPr>
            </m:sSubPr>
            <m:e>
              <m:r>
                <w:rPr>
                  <w:rFonts w:ascii="Cambria Math" w:eastAsia="Times New Roman" w:hAnsi="Cambria Math" w:cs="Times New Roman"/>
                  <w:szCs w:val="24"/>
                  <w:lang w:val="es-CO" w:eastAsia="en-US"/>
                </w:rPr>
                <m:t>D</m:t>
              </m:r>
            </m:e>
            <m:sub>
              <m:r>
                <w:rPr>
                  <w:rFonts w:ascii="Cambria Math" w:eastAsia="Times New Roman" w:hAnsi="Cambria Math" w:cs="Times New Roman"/>
                  <w:szCs w:val="24"/>
                  <w:lang w:val="es-CO" w:eastAsia="en-US"/>
                </w:rPr>
                <m:t>i</m:t>
              </m:r>
            </m:sub>
          </m:sSub>
          <m:sSub>
            <m:sSubPr>
              <m:ctrlPr>
                <w:rPr>
                  <w:rFonts w:ascii="Cambria Math" w:eastAsia="Times New Roman" w:hAnsi="Cambria Math" w:cs="Times New Roman"/>
                  <w:i/>
                  <w:szCs w:val="24"/>
                  <w:lang w:val="es-CO" w:eastAsia="en-US"/>
                </w:rPr>
              </m:ctrlPr>
            </m:sSubPr>
            <m:e>
              <m:r>
                <w:rPr>
                  <w:rFonts w:ascii="Cambria Math" w:eastAsia="Times New Roman" w:hAnsi="Cambria Math" w:cs="Times New Roman"/>
                  <w:szCs w:val="24"/>
                  <w:lang w:val="es-CO" w:eastAsia="en-US"/>
                </w:rPr>
                <m:t>T</m:t>
              </m:r>
            </m:e>
            <m:sub>
              <m:r>
                <w:rPr>
                  <w:rFonts w:ascii="Cambria Math" w:eastAsia="Times New Roman" w:hAnsi="Cambria Math" w:cs="Times New Roman"/>
                  <w:szCs w:val="24"/>
                  <w:lang w:val="es-CO" w:eastAsia="en-US"/>
                </w:rPr>
                <m:t>i</m:t>
              </m:r>
            </m:sub>
          </m:sSub>
          <m:r>
            <w:rPr>
              <w:rFonts w:ascii="Cambria Math" w:eastAsia="Times New Roman" w:hAnsi="Cambria Math" w:cs="Times New Roman"/>
              <w:szCs w:val="24"/>
              <w:lang w:val="es-CO" w:eastAsia="en-US"/>
            </w:rPr>
            <m:t>+</m:t>
          </m:r>
          <m:sSub>
            <m:sSubPr>
              <m:ctrlPr>
                <w:rPr>
                  <w:rFonts w:ascii="Cambria Math" w:eastAsia="Times New Roman" w:hAnsi="Cambria Math" w:cs="Times New Roman"/>
                  <w:i/>
                  <w:szCs w:val="24"/>
                  <w:lang w:val="es-CO" w:eastAsia="en-US"/>
                </w:rPr>
              </m:ctrlPr>
            </m:sSubPr>
            <m:e>
              <m:r>
                <w:rPr>
                  <w:rFonts w:ascii="Cambria Math" w:eastAsia="Times New Roman" w:hAnsi="Cambria Math" w:cs="Times New Roman"/>
                  <w:szCs w:val="24"/>
                  <w:lang w:val="es-CO" w:eastAsia="en-US"/>
                </w:rPr>
                <m:t>u</m:t>
              </m:r>
            </m:e>
            <m:sub>
              <m:r>
                <w:rPr>
                  <w:rFonts w:ascii="Cambria Math" w:eastAsia="Times New Roman" w:hAnsi="Cambria Math" w:cs="Times New Roman"/>
                  <w:szCs w:val="24"/>
                  <w:lang w:val="es-CO" w:eastAsia="en-US"/>
                </w:rPr>
                <m:t>i</m:t>
              </m:r>
            </m:sub>
          </m:sSub>
        </m:oMath>
      </m:oMathPara>
    </w:p>
    <w:p w:rsidR="00F665EE" w:rsidRDefault="00F665EE" w:rsidP="00F665EE">
      <w:pPr>
        <w:jc w:val="both"/>
        <w:rPr>
          <w:rFonts w:ascii="Times New Roman" w:eastAsia="Times New Roman" w:hAnsi="Times New Roman" w:cs="Times New Roman"/>
          <w:szCs w:val="24"/>
          <w:lang w:val="es-CO" w:eastAsia="en-US"/>
        </w:rPr>
      </w:pPr>
      <w:r>
        <w:rPr>
          <w:rFonts w:ascii="Times New Roman" w:eastAsia="Times New Roman" w:hAnsi="Times New Roman" w:cs="Times New Roman"/>
          <w:szCs w:val="24"/>
          <w:lang w:val="es-CO" w:eastAsia="en-US"/>
        </w:rPr>
        <w:t xml:space="preserve">Donde </w:t>
      </w:r>
    </w:p>
    <w:p w:rsidR="00F665EE" w:rsidRDefault="00F665EE" w:rsidP="00F665EE">
      <w:pPr>
        <w:jc w:val="both"/>
        <w:rPr>
          <w:rFonts w:ascii="Times New Roman" w:eastAsia="Times New Roman" w:hAnsi="Times New Roman" w:cs="Times New Roman"/>
          <w:szCs w:val="24"/>
          <w:lang w:val="es-CO" w:eastAsia="en-US"/>
        </w:rPr>
      </w:pPr>
      <m:oMath>
        <m:sSub>
          <m:sSubPr>
            <m:ctrlPr>
              <w:rPr>
                <w:rFonts w:ascii="Cambria Math" w:eastAsia="Times New Roman" w:hAnsi="Cambria Math" w:cs="Times New Roman"/>
                <w:i/>
                <w:szCs w:val="24"/>
                <w:lang w:val="es-CO" w:eastAsia="en-US"/>
              </w:rPr>
            </m:ctrlPr>
          </m:sSubPr>
          <m:e>
            <m:r>
              <w:rPr>
                <w:rFonts w:ascii="Cambria Math" w:eastAsia="Times New Roman" w:hAnsi="Cambria Math" w:cs="Times New Roman"/>
                <w:szCs w:val="24"/>
                <w:lang w:val="es-CO" w:eastAsia="en-US"/>
              </w:rPr>
              <m:t>Y</m:t>
            </m:r>
          </m:e>
          <m:sub>
            <m:r>
              <w:rPr>
                <w:rFonts w:ascii="Cambria Math" w:eastAsia="Times New Roman" w:hAnsi="Cambria Math" w:cs="Times New Roman"/>
                <w:szCs w:val="24"/>
                <w:lang w:val="es-CO" w:eastAsia="en-US"/>
              </w:rPr>
              <m:t>i</m:t>
            </m:r>
          </m:sub>
        </m:sSub>
      </m:oMath>
      <w:r>
        <w:rPr>
          <w:rFonts w:ascii="Times New Roman" w:eastAsia="Times New Roman" w:hAnsi="Times New Roman" w:cs="Times New Roman"/>
          <w:szCs w:val="24"/>
          <w:lang w:val="es-CO" w:eastAsia="en-US"/>
        </w:rPr>
        <w:t xml:space="preserve"> es la variable de resultado de interés</w:t>
      </w:r>
    </w:p>
    <w:p w:rsidR="00F665EE" w:rsidRDefault="00F665EE" w:rsidP="00F665EE">
      <w:pPr>
        <w:jc w:val="both"/>
        <w:rPr>
          <w:rFonts w:ascii="Times New Roman" w:eastAsia="Times New Roman" w:hAnsi="Times New Roman" w:cs="Times New Roman"/>
          <w:szCs w:val="24"/>
          <w:lang w:val="es-CO" w:eastAsia="en-US"/>
        </w:rPr>
      </w:pPr>
      <m:oMath>
        <m:sSub>
          <m:sSubPr>
            <m:ctrlPr>
              <w:rPr>
                <w:rFonts w:ascii="Cambria Math" w:eastAsia="Times New Roman" w:hAnsi="Cambria Math" w:cs="Times New Roman"/>
                <w:i/>
                <w:szCs w:val="24"/>
                <w:lang w:val="es-CO" w:eastAsia="en-US"/>
              </w:rPr>
            </m:ctrlPr>
          </m:sSubPr>
          <m:e>
            <m:r>
              <w:rPr>
                <w:rFonts w:ascii="Cambria Math" w:eastAsia="Times New Roman" w:hAnsi="Cambria Math" w:cs="Times New Roman"/>
                <w:szCs w:val="24"/>
                <w:lang w:val="es-CO" w:eastAsia="en-US"/>
              </w:rPr>
              <m:t>D</m:t>
            </m:r>
          </m:e>
          <m:sub>
            <m:r>
              <w:rPr>
                <w:rFonts w:ascii="Cambria Math" w:eastAsia="Times New Roman" w:hAnsi="Cambria Math" w:cs="Times New Roman"/>
                <w:szCs w:val="24"/>
                <w:lang w:val="es-CO" w:eastAsia="en-US"/>
              </w:rPr>
              <m:t>i</m:t>
            </m:r>
          </m:sub>
        </m:sSub>
      </m:oMath>
      <w:r>
        <w:rPr>
          <w:rFonts w:ascii="Times New Roman" w:eastAsia="Times New Roman" w:hAnsi="Times New Roman" w:cs="Times New Roman"/>
          <w:szCs w:val="24"/>
          <w:lang w:val="es-CO" w:eastAsia="en-US"/>
        </w:rPr>
        <w:t xml:space="preserve"> es una variable dicotómica que toma el valor de 1 si recibe el tratamiento (PII, proyectos financiados con regalías) y 0 de lo contrario</w:t>
      </w:r>
    </w:p>
    <w:p w:rsidR="00F665EE" w:rsidRPr="00A9482C" w:rsidRDefault="00F665EE" w:rsidP="00F665EE">
      <w:pPr>
        <w:jc w:val="both"/>
        <w:rPr>
          <w:rFonts w:ascii="Times New Roman" w:eastAsia="Times New Roman" w:hAnsi="Times New Roman" w:cs="Times New Roman"/>
          <w:szCs w:val="24"/>
          <w:lang w:val="es-CO" w:eastAsia="en-US"/>
        </w:rPr>
      </w:pPr>
      <m:oMath>
        <m:sSub>
          <m:sSubPr>
            <m:ctrlPr>
              <w:rPr>
                <w:rFonts w:ascii="Cambria Math" w:eastAsia="Times New Roman" w:hAnsi="Cambria Math" w:cs="Times New Roman"/>
                <w:i/>
                <w:szCs w:val="24"/>
                <w:lang w:val="es-CO" w:eastAsia="en-US"/>
              </w:rPr>
            </m:ctrlPr>
          </m:sSubPr>
          <m:e>
            <m:r>
              <w:rPr>
                <w:rFonts w:ascii="Cambria Math" w:eastAsia="Times New Roman" w:hAnsi="Cambria Math" w:cs="Times New Roman"/>
                <w:szCs w:val="24"/>
                <w:lang w:val="es-CO" w:eastAsia="en-US"/>
              </w:rPr>
              <m:t>T</m:t>
            </m:r>
          </m:e>
          <m:sub>
            <m:r>
              <w:rPr>
                <w:rFonts w:ascii="Cambria Math" w:eastAsia="Times New Roman" w:hAnsi="Cambria Math" w:cs="Times New Roman"/>
                <w:szCs w:val="24"/>
                <w:lang w:val="es-CO" w:eastAsia="en-US"/>
              </w:rPr>
              <m:t>i</m:t>
            </m:r>
          </m:sub>
        </m:sSub>
      </m:oMath>
      <w:r>
        <w:rPr>
          <w:rFonts w:ascii="Times New Roman" w:eastAsia="Times New Roman" w:hAnsi="Times New Roman" w:cs="Times New Roman"/>
          <w:szCs w:val="24"/>
          <w:lang w:val="es-CO" w:eastAsia="en-US"/>
        </w:rPr>
        <w:t xml:space="preserve"> es una variable dicotómica que toma el valor de 1 después de la intervención y 0 antes de la intervención.</w:t>
      </w:r>
    </w:p>
    <w:p w:rsidR="00F665EE" w:rsidRPr="00A9482C" w:rsidRDefault="00F665EE" w:rsidP="00F665EE">
      <w:pPr>
        <w:jc w:val="both"/>
        <w:rPr>
          <w:rFonts w:ascii="Times New Roman" w:eastAsia="Times New Roman" w:hAnsi="Times New Roman" w:cs="Times New Roman"/>
          <w:szCs w:val="24"/>
          <w:lang w:val="es-CO" w:eastAsia="en-US"/>
        </w:rPr>
      </w:pPr>
      <m:oMath>
        <m:sSub>
          <m:sSubPr>
            <m:ctrlPr>
              <w:rPr>
                <w:rFonts w:ascii="Cambria Math" w:eastAsia="Times New Roman" w:hAnsi="Cambria Math" w:cs="Times New Roman"/>
                <w:i/>
                <w:szCs w:val="24"/>
                <w:lang w:val="es-CO" w:eastAsia="en-US"/>
              </w:rPr>
            </m:ctrlPr>
          </m:sSubPr>
          <m:e>
            <m:r>
              <w:rPr>
                <w:rFonts w:ascii="Cambria Math" w:eastAsia="Times New Roman" w:hAnsi="Cambria Math" w:cs="Times New Roman"/>
                <w:szCs w:val="24"/>
                <w:lang w:val="es-CO" w:eastAsia="en-US"/>
              </w:rPr>
              <m:t>β</m:t>
            </m:r>
          </m:e>
          <m:sub>
            <m:r>
              <w:rPr>
                <w:rFonts w:ascii="Cambria Math" w:eastAsia="Times New Roman" w:hAnsi="Cambria Math" w:cs="Times New Roman"/>
                <w:szCs w:val="24"/>
                <w:lang w:val="es-CO" w:eastAsia="en-US"/>
              </w:rPr>
              <m:t>3</m:t>
            </m:r>
          </m:sub>
        </m:sSub>
      </m:oMath>
      <w:r>
        <w:rPr>
          <w:rFonts w:ascii="Times New Roman" w:eastAsia="Times New Roman" w:hAnsi="Times New Roman" w:cs="Times New Roman"/>
          <w:szCs w:val="24"/>
          <w:lang w:val="es-CO" w:eastAsia="en-US"/>
        </w:rPr>
        <w:t xml:space="preserve"> es el coeficiente que acompaña la interacción del tratamiento y el tiempo, y por tanto, es el efecto de la intervención. </w:t>
      </w:r>
    </w:p>
    <w:p w:rsidR="00F665EE" w:rsidRDefault="00F665EE" w:rsidP="00F665EE">
      <w:pPr>
        <w:jc w:val="both"/>
        <w:rPr>
          <w:rFonts w:ascii="Times New Roman" w:eastAsia="Times New Roman" w:hAnsi="Times New Roman" w:cs="Times New Roman"/>
          <w:szCs w:val="24"/>
          <w:lang w:val="es-CO" w:eastAsia="en-US"/>
        </w:rPr>
      </w:pPr>
      <w:r>
        <w:rPr>
          <w:rFonts w:ascii="Times New Roman" w:eastAsia="Times New Roman" w:hAnsi="Times New Roman" w:cs="Times New Roman"/>
          <w:szCs w:val="24"/>
          <w:lang w:val="es-CO" w:eastAsia="en-US"/>
        </w:rPr>
        <w:t xml:space="preserve">La ventaja del modelo de diferencias en diferencias, es que corrige por diferencias preexistentes en desviaciones de los proyectos financiados con recursos de regalías y los proyectos financiados con otros recursos. La desventaja, es que es necesario suponer que la variable resultado evoluciona de manera natural en el tiempo de igual forma para los proyectos financiados con regalías y los proyectos financiados con otros recursos, supuesto que es posible no se cumpla. </w:t>
      </w:r>
    </w:p>
    <w:p w:rsidR="00F665EE" w:rsidRPr="000511B2" w:rsidRDefault="00F665EE" w:rsidP="00F665EE">
      <w:pPr>
        <w:jc w:val="both"/>
        <w:rPr>
          <w:rFonts w:ascii="Times New Roman" w:eastAsia="Times New Roman" w:hAnsi="Times New Roman" w:cs="Times New Roman"/>
          <w:b/>
          <w:szCs w:val="24"/>
          <w:u w:val="single"/>
          <w:lang w:val="es-CO" w:eastAsia="en-US"/>
        </w:rPr>
      </w:pPr>
      <w:r>
        <w:rPr>
          <w:rFonts w:ascii="Times New Roman" w:eastAsia="Times New Roman" w:hAnsi="Times New Roman" w:cs="Times New Roman"/>
          <w:b/>
          <w:szCs w:val="24"/>
          <w:u w:val="single"/>
          <w:lang w:val="es-CO" w:eastAsia="en-US"/>
        </w:rPr>
        <w:t>Costos</w:t>
      </w:r>
    </w:p>
    <w:p w:rsidR="00F665EE" w:rsidRDefault="00F665EE" w:rsidP="00F665EE">
      <w:pPr>
        <w:jc w:val="both"/>
        <w:rPr>
          <w:rFonts w:ascii="Times New Roman" w:eastAsia="Times New Roman" w:hAnsi="Times New Roman" w:cs="Times New Roman"/>
          <w:szCs w:val="24"/>
          <w:lang w:val="es-CO" w:eastAsia="en-US"/>
        </w:rPr>
      </w:pPr>
      <w:r>
        <w:rPr>
          <w:rFonts w:ascii="Times New Roman" w:eastAsia="Times New Roman" w:hAnsi="Times New Roman" w:cs="Times New Roman"/>
          <w:szCs w:val="24"/>
          <w:lang w:val="es-CO" w:eastAsia="en-US"/>
        </w:rPr>
        <w:t>Esta evaluación de impacto está alineada con la evaluación del Sistema General de Regalías (SGR) que tiene planeada realizar el DNP. Este ejercicio contempla la evaluación de las operaciones del SGR, así como sus impactos en el uso de los recursos.</w:t>
      </w:r>
    </w:p>
    <w:p w:rsidR="00F665EE" w:rsidRPr="00A9482C" w:rsidRDefault="00F665EE" w:rsidP="00F665EE">
      <w:pPr>
        <w:jc w:val="both"/>
        <w:rPr>
          <w:rFonts w:ascii="Times New Roman" w:eastAsia="Times New Roman" w:hAnsi="Times New Roman" w:cs="Times New Roman"/>
          <w:szCs w:val="24"/>
          <w:lang w:val="es-CO" w:eastAsia="en-US"/>
        </w:rPr>
      </w:pPr>
      <w:r>
        <w:rPr>
          <w:rFonts w:ascii="Times New Roman" w:eastAsia="Times New Roman" w:hAnsi="Times New Roman" w:cs="Times New Roman"/>
          <w:szCs w:val="24"/>
          <w:lang w:val="es-CO" w:eastAsia="en-US"/>
        </w:rPr>
        <w:t xml:space="preserve">Para los componentes específicos a evaluar del </w:t>
      </w:r>
      <w:r w:rsidRPr="00C04C6B">
        <w:rPr>
          <w:rFonts w:ascii="Times New Roman" w:hAnsi="Times New Roman" w:cs="Times New Roman"/>
        </w:rPr>
        <w:t xml:space="preserve">componente 2 del Programa </w:t>
      </w:r>
      <w:r w:rsidRPr="00C04C6B">
        <w:rPr>
          <w:rFonts w:ascii="Times New Roman" w:hAnsi="Times New Roman" w:cs="Times New Roman"/>
          <w:lang w:val="es-CO"/>
        </w:rPr>
        <w:t>para el Fortalecimiento del Sistema de Inversión Pública</w:t>
      </w:r>
      <w:r>
        <w:rPr>
          <w:rFonts w:ascii="Times New Roman" w:hAnsi="Times New Roman" w:cs="Times New Roman"/>
          <w:lang w:val="es-CO"/>
        </w:rPr>
        <w:t xml:space="preserve"> se estima un costo de 150,000 USD y un tiempo para realizar la evaluación de 6 meses.</w:t>
      </w:r>
    </w:p>
    <w:p w:rsidR="00F665EE" w:rsidRPr="00891CD9" w:rsidRDefault="00F665EE" w:rsidP="00F665EE">
      <w:pPr>
        <w:jc w:val="both"/>
        <w:rPr>
          <w:rFonts w:ascii="Times New Roman" w:eastAsia="Times New Roman" w:hAnsi="Times New Roman" w:cs="Times New Roman"/>
          <w:b/>
          <w:szCs w:val="24"/>
          <w:lang w:val="es-CO" w:eastAsia="en-US"/>
        </w:rPr>
      </w:pPr>
      <w:r w:rsidRPr="00891CD9">
        <w:rPr>
          <w:rFonts w:ascii="Times New Roman" w:eastAsia="Times New Roman" w:hAnsi="Times New Roman" w:cs="Times New Roman"/>
          <w:b/>
          <w:szCs w:val="24"/>
          <w:lang w:val="es-CO" w:eastAsia="en-US"/>
        </w:rPr>
        <w:t>Referencias</w:t>
      </w:r>
    </w:p>
    <w:p w:rsidR="00F665EE" w:rsidRPr="00891CD9" w:rsidRDefault="00F665EE" w:rsidP="00F665EE">
      <w:pPr>
        <w:pStyle w:val="ListParagraph"/>
        <w:numPr>
          <w:ilvl w:val="0"/>
          <w:numId w:val="2"/>
        </w:numPr>
        <w:jc w:val="both"/>
        <w:rPr>
          <w:rFonts w:ascii="Times New Roman" w:eastAsia="Times New Roman" w:hAnsi="Times New Roman" w:cs="Times New Roman"/>
          <w:szCs w:val="24"/>
          <w:lang w:val="es-CO" w:eastAsia="en-US"/>
        </w:rPr>
      </w:pPr>
      <w:r w:rsidRPr="00891CD9">
        <w:rPr>
          <w:rFonts w:ascii="Times New Roman" w:eastAsia="Times New Roman" w:hAnsi="Times New Roman" w:cs="Times New Roman"/>
          <w:szCs w:val="24"/>
          <w:lang w:val="es-CO" w:eastAsia="en-US"/>
        </w:rPr>
        <w:t>Bernal, R., &amp; Peña, X. (2011). Guía práctica para la evaluación de impacto. Bogotá: Facultad Economía Universidad de los Andes.</w:t>
      </w:r>
    </w:p>
    <w:p w:rsidR="00F665EE" w:rsidRPr="00891CD9" w:rsidRDefault="00F665EE" w:rsidP="00F665EE">
      <w:pPr>
        <w:pStyle w:val="ListParagraph"/>
        <w:numPr>
          <w:ilvl w:val="0"/>
          <w:numId w:val="2"/>
        </w:numPr>
        <w:jc w:val="both"/>
        <w:rPr>
          <w:rFonts w:ascii="Times New Roman" w:eastAsia="Times New Roman" w:hAnsi="Times New Roman" w:cs="Times New Roman"/>
          <w:szCs w:val="24"/>
          <w:lang w:val="en-US" w:eastAsia="en-US"/>
        </w:rPr>
      </w:pPr>
      <w:r w:rsidRPr="00891CD9">
        <w:rPr>
          <w:rFonts w:ascii="Times New Roman" w:eastAsia="Times New Roman" w:hAnsi="Times New Roman" w:cs="Times New Roman"/>
          <w:szCs w:val="24"/>
          <w:lang w:val="en-US" w:eastAsia="en-US"/>
        </w:rPr>
        <w:t>Gelter, P., Martínez, S., Premand, P., Rawlings, L., &amp;Vermeersch, C. (2011). Impact Evaluation in Practice. The World Bank: Washington DC.</w:t>
      </w:r>
    </w:p>
    <w:p w:rsidR="00F665EE" w:rsidRPr="00891CD9" w:rsidRDefault="00F665EE" w:rsidP="00F665EE">
      <w:pPr>
        <w:jc w:val="both"/>
        <w:rPr>
          <w:rFonts w:ascii="Times New Roman" w:eastAsia="Times New Roman" w:hAnsi="Times New Roman" w:cs="Times New Roman"/>
          <w:szCs w:val="24"/>
          <w:lang w:val="en-US" w:eastAsia="en-US"/>
        </w:rPr>
      </w:pPr>
    </w:p>
    <w:p w:rsidR="00FB20ED" w:rsidRDefault="00FB20ED"/>
    <w:sectPr w:rsidR="00FB20ED" w:rsidSect="006E7313">
      <w:headerReference w:type="default" r:id="rId8"/>
      <w:pgSz w:w="12240" w:h="15840"/>
      <w:pgMar w:top="1418" w:right="1701" w:bottom="1418"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5EE" w:rsidRDefault="00F665EE" w:rsidP="00F665EE">
      <w:pPr>
        <w:spacing w:after="0" w:line="240" w:lineRule="auto"/>
      </w:pPr>
      <w:r>
        <w:separator/>
      </w:r>
    </w:p>
  </w:endnote>
  <w:endnote w:type="continuationSeparator" w:id="0">
    <w:p w:rsidR="00F665EE" w:rsidRDefault="00F665EE" w:rsidP="00F66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5EE" w:rsidRDefault="00F665EE" w:rsidP="00F665EE">
      <w:pPr>
        <w:spacing w:after="0" w:line="240" w:lineRule="auto"/>
      </w:pPr>
      <w:r>
        <w:separator/>
      </w:r>
    </w:p>
  </w:footnote>
  <w:footnote w:type="continuationSeparator" w:id="0">
    <w:p w:rsidR="00F665EE" w:rsidRDefault="00F665EE" w:rsidP="00F665EE">
      <w:pPr>
        <w:spacing w:after="0" w:line="240" w:lineRule="auto"/>
      </w:pPr>
      <w:r>
        <w:continuationSeparator/>
      </w:r>
    </w:p>
  </w:footnote>
  <w:footnote w:id="1">
    <w:p w:rsidR="00F665EE" w:rsidRPr="00312004" w:rsidRDefault="00F665EE" w:rsidP="00F665EE">
      <w:pPr>
        <w:pStyle w:val="FootnoteText"/>
        <w:rPr>
          <w:lang w:val="es-CO"/>
        </w:rPr>
      </w:pPr>
      <w:r w:rsidRPr="00312004">
        <w:rPr>
          <w:rStyle w:val="FootnoteReference"/>
          <w:sz w:val="16"/>
        </w:rPr>
        <w:footnoteRef/>
      </w:r>
      <w:r w:rsidRPr="00312004">
        <w:rPr>
          <w:sz w:val="16"/>
          <w:lang w:val="es-CO"/>
        </w:rPr>
        <w:t xml:space="preserve">Basado en </w:t>
      </w:r>
      <w:r w:rsidRPr="00312004">
        <w:rPr>
          <w:noProof/>
          <w:sz w:val="16"/>
          <w:lang w:val="es-CO"/>
        </w:rPr>
        <w:t xml:space="preserve">Bernal &amp; Peña (2011).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5EE" w:rsidRPr="00E403AB" w:rsidRDefault="00F665EE" w:rsidP="00F665EE">
    <w:pPr>
      <w:pStyle w:val="Header"/>
      <w:jc w:val="right"/>
      <w:rPr>
        <w:lang w:val="en-US"/>
      </w:rPr>
    </w:pPr>
    <w:r>
      <w:rPr>
        <w:lang w:val="en-US"/>
      </w:rPr>
      <w:t>CO-L1126 – Enlace Opcional</w:t>
    </w:r>
  </w:p>
  <w:p w:rsidR="00F665EE" w:rsidRDefault="00F665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F7A8D"/>
    <w:multiLevelType w:val="hybridMultilevel"/>
    <w:tmpl w:val="6BC840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401D4B45"/>
    <w:multiLevelType w:val="hybridMultilevel"/>
    <w:tmpl w:val="A39882C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5EE"/>
    <w:rsid w:val="000374B8"/>
    <w:rsid w:val="0029578B"/>
    <w:rsid w:val="004E04EC"/>
    <w:rsid w:val="00905C8D"/>
    <w:rsid w:val="00F665EE"/>
    <w:rsid w:val="00FB2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5EE"/>
    <w:rPr>
      <w:rFonts w:eastAsiaTheme="minorEastAsia"/>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5EE"/>
    <w:pPr>
      <w:ind w:left="720"/>
      <w:contextualSpacing/>
    </w:pPr>
  </w:style>
  <w:style w:type="paragraph" w:styleId="FootnoteText">
    <w:name w:val="footnote text"/>
    <w:basedOn w:val="Normal"/>
    <w:link w:val="FootnoteTextChar"/>
    <w:uiPriority w:val="99"/>
    <w:unhideWhenUsed/>
    <w:rsid w:val="00F665EE"/>
  </w:style>
  <w:style w:type="character" w:customStyle="1" w:styleId="FootnoteTextChar">
    <w:name w:val="Footnote Text Char"/>
    <w:basedOn w:val="DefaultParagraphFont"/>
    <w:link w:val="FootnoteText"/>
    <w:uiPriority w:val="99"/>
    <w:rsid w:val="00F665EE"/>
    <w:rPr>
      <w:rFonts w:eastAsiaTheme="minorEastAsia"/>
      <w:lang w:val="es-ES_tradnl" w:eastAsia="es-ES"/>
    </w:rPr>
  </w:style>
  <w:style w:type="character" w:styleId="FootnoteReference">
    <w:name w:val="footnote reference"/>
    <w:aliases w:val="referencia nota al pie,Texto de nota al pie,BVI fnr,Ref. de nota al pie2,Nota de pie,Ref,de nota al pie,Footnote symbol,Footnote,Pie de pagina"/>
    <w:basedOn w:val="DefaultParagraphFont"/>
    <w:uiPriority w:val="99"/>
    <w:unhideWhenUsed/>
    <w:rsid w:val="00F665EE"/>
    <w:rPr>
      <w:vertAlign w:val="superscript"/>
    </w:rPr>
  </w:style>
  <w:style w:type="paragraph" w:styleId="Header">
    <w:name w:val="header"/>
    <w:basedOn w:val="Normal"/>
    <w:link w:val="HeaderChar"/>
    <w:uiPriority w:val="99"/>
    <w:unhideWhenUsed/>
    <w:rsid w:val="00F665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65EE"/>
    <w:rPr>
      <w:rFonts w:eastAsiaTheme="minorEastAsia"/>
      <w:lang w:val="es-ES_tradnl" w:eastAsia="es-ES"/>
    </w:rPr>
  </w:style>
  <w:style w:type="paragraph" w:styleId="Footer">
    <w:name w:val="footer"/>
    <w:basedOn w:val="Normal"/>
    <w:link w:val="FooterChar"/>
    <w:uiPriority w:val="99"/>
    <w:unhideWhenUsed/>
    <w:rsid w:val="00F665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65EE"/>
    <w:rPr>
      <w:rFonts w:eastAsiaTheme="minorEastAsia"/>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5EE"/>
    <w:rPr>
      <w:rFonts w:eastAsiaTheme="minorEastAsia"/>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5EE"/>
    <w:pPr>
      <w:ind w:left="720"/>
      <w:contextualSpacing/>
    </w:pPr>
  </w:style>
  <w:style w:type="paragraph" w:styleId="FootnoteText">
    <w:name w:val="footnote text"/>
    <w:basedOn w:val="Normal"/>
    <w:link w:val="FootnoteTextChar"/>
    <w:uiPriority w:val="99"/>
    <w:unhideWhenUsed/>
    <w:rsid w:val="00F665EE"/>
  </w:style>
  <w:style w:type="character" w:customStyle="1" w:styleId="FootnoteTextChar">
    <w:name w:val="Footnote Text Char"/>
    <w:basedOn w:val="DefaultParagraphFont"/>
    <w:link w:val="FootnoteText"/>
    <w:uiPriority w:val="99"/>
    <w:rsid w:val="00F665EE"/>
    <w:rPr>
      <w:rFonts w:eastAsiaTheme="minorEastAsia"/>
      <w:lang w:val="es-ES_tradnl" w:eastAsia="es-ES"/>
    </w:rPr>
  </w:style>
  <w:style w:type="character" w:styleId="FootnoteReference">
    <w:name w:val="footnote reference"/>
    <w:aliases w:val="referencia nota al pie,Texto de nota al pie,BVI fnr,Ref. de nota al pie2,Nota de pie,Ref,de nota al pie,Footnote symbol,Footnote,Pie de pagina"/>
    <w:basedOn w:val="DefaultParagraphFont"/>
    <w:uiPriority w:val="99"/>
    <w:unhideWhenUsed/>
    <w:rsid w:val="00F665EE"/>
    <w:rPr>
      <w:vertAlign w:val="superscript"/>
    </w:rPr>
  </w:style>
  <w:style w:type="paragraph" w:styleId="Header">
    <w:name w:val="header"/>
    <w:basedOn w:val="Normal"/>
    <w:link w:val="HeaderChar"/>
    <w:uiPriority w:val="99"/>
    <w:unhideWhenUsed/>
    <w:rsid w:val="00F665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65EE"/>
    <w:rPr>
      <w:rFonts w:eastAsiaTheme="minorEastAsia"/>
      <w:lang w:val="es-ES_tradnl" w:eastAsia="es-ES"/>
    </w:rPr>
  </w:style>
  <w:style w:type="paragraph" w:styleId="Footer">
    <w:name w:val="footer"/>
    <w:basedOn w:val="Normal"/>
    <w:link w:val="FooterChar"/>
    <w:uiPriority w:val="99"/>
    <w:unhideWhenUsed/>
    <w:rsid w:val="00F665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65EE"/>
    <w:rPr>
      <w:rFonts w:eastAsiaTheme="minorEastAsia"/>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EVALUATION TRACKING DOCUMENT</Project_x0020_Document_x0020_Type>
    <Business_x0020_Area xmlns="9c571b2f-e523-4ab2-ba2e-09e151a03ef4">a</Business_x0020_Area>
    <IDBDocs_x0020_Number xmlns="9c571b2f-e523-4ab2-ba2e-09e151a03ef4">37710923</IDBDocs_x0020_Number>
    <TaxCatchAll xmlns="9c571b2f-e523-4ab2-ba2e-09e151a03ef4">
      <Value>2</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o5138a91267540169645e33d09c9ddc6>
    <Approval_x0020_Number xmlns="9c571b2f-e523-4ab2-ba2e-09e151a03ef4" xsi:nil="true"/>
    <Document_x0020_Author xmlns="9c571b2f-e523-4ab2-ba2e-09e151a03ef4">Arisi, Diego</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Project_x0020_Number xmlns="9c571b2f-e523-4ab2-ba2e-09e151a03ef4">CO-L1126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Proposal&lt;/USER_STAGE&gt;&lt;PD_OBJ_TYPE&gt;0&lt;/PD_OBJ_TYPE&gt;&lt;MAKERECORD&gt;N&lt;/MAKERECORD&gt;&lt;PD_FILEPT_NO&gt;PO-CO-L1126-Anl&lt;/PD_FILEPT_NO&gt;&lt;/Data&gt;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GE-PUB</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2FAFAC4A318E44AB19B446AE89BE600" ma:contentTypeVersion="0" ma:contentTypeDescription="A content type to manage public (operations) IDB documents" ma:contentTypeScope="" ma:versionID="4a7c3c24728d8bb623a6fd618b788e12">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090BC8-86A5-4D8F-9FA8-A04D6E83295D}"/>
</file>

<file path=customXml/itemProps2.xml><?xml version="1.0" encoding="utf-8"?>
<ds:datastoreItem xmlns:ds="http://schemas.openxmlformats.org/officeDocument/2006/customXml" ds:itemID="{BA86877C-BC26-49BA-8363-E7956FFA08B0}"/>
</file>

<file path=customXml/itemProps3.xml><?xml version="1.0" encoding="utf-8"?>
<ds:datastoreItem xmlns:ds="http://schemas.openxmlformats.org/officeDocument/2006/customXml" ds:itemID="{F282C0CF-A004-4702-B51C-8293171EE594}"/>
</file>

<file path=customXml/itemProps4.xml><?xml version="1.0" encoding="utf-8"?>
<ds:datastoreItem xmlns:ds="http://schemas.openxmlformats.org/officeDocument/2006/customXml" ds:itemID="{46B4CB1F-662C-4CD1-95EF-C9255EE3CE9B}"/>
</file>

<file path=customXml/itemProps5.xml><?xml version="1.0" encoding="utf-8"?>
<ds:datastoreItem xmlns:ds="http://schemas.openxmlformats.org/officeDocument/2006/customXml" ds:itemID="{C5842CB4-875A-4EBA-A687-74F87B38789F}"/>
</file>

<file path=docProps/app.xml><?xml version="1.0" encoding="utf-8"?>
<Properties xmlns="http://schemas.openxmlformats.org/officeDocument/2006/extended-properties" xmlns:vt="http://schemas.openxmlformats.org/officeDocument/2006/docPropsVTypes">
  <Template>Normal.dotm</Template>
  <TotalTime>1</TotalTime>
  <Pages>2</Pages>
  <Words>685</Words>
  <Characters>3907</Characters>
  <Application>Microsoft Office Word</Application>
  <DocSecurity>0</DocSecurity>
  <Lines>32</Lines>
  <Paragraphs>9</Paragraphs>
  <ScaleCrop>false</ScaleCrop>
  <Company>Inter-American Development Bank</Company>
  <LinksUpToDate>false</LinksUpToDate>
  <CharactersWithSpaces>4583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6 - Evaluación de Impacto</dc:title>
  <dc:subject/>
  <dc:creator>Inter-American Development Bank</dc:creator>
  <cp:keywords/>
  <dc:description/>
  <cp:lastModifiedBy>Inter-American Development Bank</cp:lastModifiedBy>
  <cp:revision>1</cp:revision>
  <dcterms:created xsi:type="dcterms:W3CDTF">2013-04-15T23:32:00Z</dcterms:created>
  <dcterms:modified xsi:type="dcterms:W3CDTF">2013-04-15T23:41:00Z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0x01010046CF21643EE8D14686A648AA6DAD089200D2FAFAC4A318E44AB19B446AE89BE600</vt:lpwstr>
  </property>
  <property fmtid="{D5CDD505-2E9C-101B-9397-08002B2CF9AE}" pid="3" name="TaxKeyword">
    <vt:lpwstr/>
  </property>
  <property fmtid="{D5CDD505-2E9C-101B-9397-08002B2CF9AE}" pid="4" name="Function Operations IDB">
    <vt:lpwstr>2;#Monitoring and Reporting|df3c2aa1-d63e-41aa-b1f5-bb15dee691ca</vt:lpwstr>
  </property>
  <property fmtid="{D5CDD505-2E9C-101B-9397-08002B2CF9AE}" pid="5" name="Sub_x002d_Sector">
    <vt:lpwstr/>
  </property>
  <property fmtid="{D5CDD505-2E9C-101B-9397-08002B2CF9AE}" pid="6" name="TaxKeywordTaxHTField">
    <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eries Operations IDB">
    <vt:lpwstr/>
  </property>
  <property fmtid="{D5CDD505-2E9C-101B-9397-08002B2CF9AE}" pid="16" name="Sub-Sector">
    <vt:lpwstr/>
  </property>
</Properties>
</file>