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EC87CE" w14:textId="4317305E" w:rsidR="0095711B" w:rsidRPr="00D35381" w:rsidRDefault="008E02B3" w:rsidP="00DC5956">
      <w:pPr>
        <w:spacing w:before="120" w:after="120" w:line="240" w:lineRule="auto"/>
        <w:jc w:val="center"/>
        <w:rPr>
          <w:rFonts w:ascii="Arial" w:hAnsi="Arial" w:cs="Arial"/>
          <w:b/>
          <w:lang w:val="es-CO"/>
        </w:rPr>
      </w:pPr>
      <w:r w:rsidRPr="00024270">
        <w:rPr>
          <w:rFonts w:ascii="Arial" w:hAnsi="Arial" w:cs="Arial"/>
          <w:b/>
          <w:lang w:val="es-ES_tradnl"/>
        </w:rPr>
        <w:t>Abstracto de</w:t>
      </w:r>
      <w:r w:rsidR="00BE3F76" w:rsidRPr="00003BDE">
        <w:rPr>
          <w:rFonts w:ascii="Arial" w:hAnsi="Arial" w:cs="Arial"/>
          <w:b/>
          <w:lang w:val="es-ES"/>
        </w:rPr>
        <w:t xml:space="preserve"> Cooperación Técnica </w:t>
      </w:r>
    </w:p>
    <w:p w14:paraId="0422D117" w14:textId="77777777" w:rsidR="0095711B" w:rsidRPr="00D35381" w:rsidRDefault="00E33333" w:rsidP="002753E1">
      <w:pPr>
        <w:pStyle w:val="ListParagraph"/>
        <w:numPr>
          <w:ilvl w:val="0"/>
          <w:numId w:val="2"/>
        </w:numPr>
        <w:spacing w:before="120" w:after="120" w:line="240" w:lineRule="auto"/>
        <w:contextualSpacing w:val="0"/>
        <w:rPr>
          <w:rFonts w:ascii="Arial" w:hAnsi="Arial" w:cs="Arial"/>
          <w:b/>
          <w:lang w:val="es-CO"/>
        </w:rPr>
      </w:pPr>
      <w:r w:rsidRPr="00D35381">
        <w:rPr>
          <w:rFonts w:ascii="Arial" w:hAnsi="Arial" w:cs="Arial"/>
          <w:b/>
          <w:lang w:val="es-CO"/>
        </w:rPr>
        <w:t>Información</w:t>
      </w:r>
      <w:r w:rsidR="0091508A" w:rsidRPr="00D35381">
        <w:rPr>
          <w:rFonts w:ascii="Arial" w:hAnsi="Arial" w:cs="Arial"/>
          <w:b/>
          <w:lang w:val="es-CO"/>
        </w:rPr>
        <w:t xml:space="preserve"> </w:t>
      </w:r>
      <w:r w:rsidRPr="00D35381">
        <w:rPr>
          <w:rFonts w:ascii="Arial" w:hAnsi="Arial" w:cs="Arial"/>
          <w:b/>
          <w:lang w:val="es-CO"/>
        </w:rPr>
        <w:t>Básica</w:t>
      </w:r>
      <w:r w:rsidR="0091508A" w:rsidRPr="00D35381">
        <w:rPr>
          <w:rFonts w:ascii="Arial" w:hAnsi="Arial" w:cs="Arial"/>
          <w:b/>
          <w:lang w:val="es-CO"/>
        </w:rPr>
        <w:t xml:space="preserve"> del </w:t>
      </w:r>
      <w:r w:rsidR="00DA7513" w:rsidRPr="00D35381">
        <w:rPr>
          <w:rFonts w:ascii="Arial" w:hAnsi="Arial" w:cs="Arial"/>
          <w:b/>
          <w:lang w:val="es-CO"/>
        </w:rPr>
        <w:t>proyecto</w:t>
      </w:r>
      <w:r w:rsidR="0091508A" w:rsidRPr="00D35381">
        <w:rPr>
          <w:rFonts w:ascii="Arial" w:hAnsi="Arial" w:cs="Arial"/>
          <w:b/>
          <w:lang w:val="es-CO"/>
        </w:rPr>
        <w:t xml:space="preserve"> </w:t>
      </w:r>
    </w:p>
    <w:tbl>
      <w:tblPr>
        <w:tblStyle w:val="TableGrid"/>
        <w:tblW w:w="0" w:type="auto"/>
        <w:jc w:val="center"/>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4045"/>
        <w:gridCol w:w="4680"/>
      </w:tblGrid>
      <w:tr w:rsidR="000C16F9" w:rsidRPr="00D35381" w14:paraId="45AD4A46" w14:textId="77777777" w:rsidTr="00CD339B">
        <w:trPr>
          <w:jc w:val="center"/>
        </w:trPr>
        <w:tc>
          <w:tcPr>
            <w:tcW w:w="4045" w:type="dxa"/>
          </w:tcPr>
          <w:p w14:paraId="46BC1E5F" w14:textId="77777777" w:rsidR="009F33FF" w:rsidRPr="00D35381" w:rsidRDefault="0091508A" w:rsidP="002753E1">
            <w:pPr>
              <w:pStyle w:val="ListParagraph"/>
              <w:numPr>
                <w:ilvl w:val="0"/>
                <w:numId w:val="1"/>
              </w:numPr>
              <w:spacing w:before="60"/>
              <w:ind w:left="180" w:hanging="180"/>
              <w:contextualSpacing w:val="0"/>
              <w:jc w:val="both"/>
              <w:rPr>
                <w:rFonts w:ascii="Arial" w:hAnsi="Arial" w:cs="Arial"/>
                <w:sz w:val="18"/>
                <w:szCs w:val="18"/>
                <w:lang w:val="es-CO"/>
              </w:rPr>
            </w:pPr>
            <w:r w:rsidRPr="00D35381">
              <w:rPr>
                <w:rFonts w:ascii="Arial" w:hAnsi="Arial" w:cs="Arial"/>
                <w:sz w:val="18"/>
                <w:szCs w:val="18"/>
                <w:lang w:val="es-CO"/>
              </w:rPr>
              <w:t>País</w:t>
            </w:r>
            <w:r w:rsidR="009F33FF" w:rsidRPr="00D35381">
              <w:rPr>
                <w:rFonts w:ascii="Arial" w:hAnsi="Arial" w:cs="Arial"/>
                <w:sz w:val="18"/>
                <w:szCs w:val="18"/>
                <w:lang w:val="es-CO"/>
              </w:rPr>
              <w:t>/Regi</w:t>
            </w:r>
            <w:r w:rsidRPr="00D35381">
              <w:rPr>
                <w:rFonts w:ascii="Arial" w:hAnsi="Arial" w:cs="Arial"/>
                <w:sz w:val="18"/>
                <w:szCs w:val="18"/>
                <w:lang w:val="es-CO"/>
              </w:rPr>
              <w:t>ó</w:t>
            </w:r>
            <w:r w:rsidR="009F33FF" w:rsidRPr="00D35381">
              <w:rPr>
                <w:rFonts w:ascii="Arial" w:hAnsi="Arial" w:cs="Arial"/>
                <w:sz w:val="18"/>
                <w:szCs w:val="18"/>
                <w:lang w:val="es-CO"/>
              </w:rPr>
              <w:t>n:</w:t>
            </w:r>
          </w:p>
        </w:tc>
        <w:tc>
          <w:tcPr>
            <w:tcW w:w="4680" w:type="dxa"/>
          </w:tcPr>
          <w:p w14:paraId="39E5F323" w14:textId="2E94A274" w:rsidR="009F33FF" w:rsidRPr="00D35381" w:rsidRDefault="00F81CB8" w:rsidP="00CD339B">
            <w:pPr>
              <w:spacing w:before="60"/>
              <w:ind w:left="-1"/>
              <w:rPr>
                <w:rFonts w:ascii="Arial" w:hAnsi="Arial" w:cs="Arial"/>
                <w:sz w:val="18"/>
                <w:szCs w:val="18"/>
                <w:lang w:val="es-CO"/>
              </w:rPr>
            </w:pPr>
            <w:r>
              <w:rPr>
                <w:rFonts w:ascii="Arial" w:hAnsi="Arial" w:cs="Arial"/>
                <w:sz w:val="18"/>
                <w:szCs w:val="18"/>
                <w:lang w:val="es-CO"/>
              </w:rPr>
              <w:t>Paraguay</w:t>
            </w:r>
            <w:r w:rsidR="00314AA4">
              <w:rPr>
                <w:rFonts w:ascii="Arial" w:hAnsi="Arial" w:cs="Arial"/>
                <w:sz w:val="18"/>
                <w:szCs w:val="18"/>
                <w:lang w:val="es-CO"/>
              </w:rPr>
              <w:t xml:space="preserve"> / CSC – Cono Sur</w:t>
            </w:r>
          </w:p>
        </w:tc>
      </w:tr>
      <w:tr w:rsidR="000C16F9" w:rsidRPr="00D27491" w14:paraId="66980FC9" w14:textId="77777777" w:rsidTr="00CD339B">
        <w:trPr>
          <w:jc w:val="center"/>
        </w:trPr>
        <w:tc>
          <w:tcPr>
            <w:tcW w:w="4045" w:type="dxa"/>
          </w:tcPr>
          <w:p w14:paraId="240740FD" w14:textId="77777777" w:rsidR="009F33FF" w:rsidRPr="00D35381" w:rsidRDefault="0091508A" w:rsidP="002753E1">
            <w:pPr>
              <w:pStyle w:val="ListParagraph"/>
              <w:numPr>
                <w:ilvl w:val="0"/>
                <w:numId w:val="1"/>
              </w:numPr>
              <w:spacing w:before="60"/>
              <w:ind w:left="180" w:hanging="180"/>
              <w:contextualSpacing w:val="0"/>
              <w:jc w:val="both"/>
              <w:rPr>
                <w:rFonts w:ascii="Arial" w:hAnsi="Arial" w:cs="Arial"/>
                <w:sz w:val="18"/>
                <w:szCs w:val="18"/>
                <w:lang w:val="es-CO"/>
              </w:rPr>
            </w:pPr>
            <w:r w:rsidRPr="00D35381">
              <w:rPr>
                <w:rFonts w:ascii="Arial" w:hAnsi="Arial" w:cs="Arial"/>
                <w:sz w:val="18"/>
                <w:szCs w:val="18"/>
                <w:lang w:val="es-CO"/>
              </w:rPr>
              <w:t>Nombre de la C</w:t>
            </w:r>
            <w:r w:rsidR="009F33FF" w:rsidRPr="00D35381">
              <w:rPr>
                <w:rFonts w:ascii="Arial" w:hAnsi="Arial" w:cs="Arial"/>
                <w:sz w:val="18"/>
                <w:szCs w:val="18"/>
                <w:lang w:val="es-CO"/>
              </w:rPr>
              <w:t>T:</w:t>
            </w:r>
          </w:p>
        </w:tc>
        <w:tc>
          <w:tcPr>
            <w:tcW w:w="4680" w:type="dxa"/>
          </w:tcPr>
          <w:p w14:paraId="4554F06B" w14:textId="3EB00E73" w:rsidR="009F33FF" w:rsidRPr="00D35381" w:rsidRDefault="00616B6E" w:rsidP="00CD339B">
            <w:pPr>
              <w:spacing w:before="60"/>
              <w:ind w:left="-1"/>
              <w:jc w:val="both"/>
              <w:rPr>
                <w:rFonts w:ascii="Arial" w:hAnsi="Arial" w:cs="Arial"/>
                <w:sz w:val="18"/>
                <w:szCs w:val="18"/>
                <w:lang w:val="es-CO"/>
              </w:rPr>
            </w:pPr>
            <w:r w:rsidRPr="00616B6E">
              <w:rPr>
                <w:rFonts w:ascii="Arial" w:hAnsi="Arial" w:cs="Arial"/>
                <w:sz w:val="18"/>
                <w:szCs w:val="18"/>
                <w:lang w:val="es-CO"/>
              </w:rPr>
              <w:t>Apoyo a la implementación de reformas, el fortalecimiento institucional y la formulación de planes de inversión a largo plazo del sector de agua y saneamiento en Paraguay</w:t>
            </w:r>
            <w:r w:rsidR="00AF6187">
              <w:rPr>
                <w:rFonts w:ascii="Arial" w:hAnsi="Arial" w:cs="Arial"/>
                <w:sz w:val="18"/>
                <w:szCs w:val="18"/>
                <w:lang w:val="es-CO"/>
              </w:rPr>
              <w:t>.</w:t>
            </w:r>
          </w:p>
        </w:tc>
      </w:tr>
      <w:tr w:rsidR="000C16F9" w:rsidRPr="00D35381" w14:paraId="19259166" w14:textId="77777777" w:rsidTr="00CD339B">
        <w:trPr>
          <w:jc w:val="center"/>
        </w:trPr>
        <w:tc>
          <w:tcPr>
            <w:tcW w:w="4045" w:type="dxa"/>
          </w:tcPr>
          <w:p w14:paraId="72A286D4" w14:textId="77777777" w:rsidR="009F33FF" w:rsidRPr="00D35381" w:rsidRDefault="0091508A" w:rsidP="002753E1">
            <w:pPr>
              <w:pStyle w:val="ListParagraph"/>
              <w:numPr>
                <w:ilvl w:val="0"/>
                <w:numId w:val="1"/>
              </w:numPr>
              <w:spacing w:before="60"/>
              <w:ind w:left="180" w:hanging="180"/>
              <w:contextualSpacing w:val="0"/>
              <w:jc w:val="both"/>
              <w:rPr>
                <w:rFonts w:ascii="Arial" w:hAnsi="Arial" w:cs="Arial"/>
                <w:sz w:val="18"/>
                <w:szCs w:val="18"/>
                <w:lang w:val="es-CO"/>
              </w:rPr>
            </w:pPr>
            <w:r w:rsidRPr="00D35381">
              <w:rPr>
                <w:rFonts w:ascii="Arial" w:hAnsi="Arial" w:cs="Arial"/>
                <w:sz w:val="18"/>
                <w:szCs w:val="18"/>
                <w:lang w:val="es-CO"/>
              </w:rPr>
              <w:t>Número de C</w:t>
            </w:r>
            <w:r w:rsidR="009F33FF" w:rsidRPr="00D35381">
              <w:rPr>
                <w:rFonts w:ascii="Arial" w:hAnsi="Arial" w:cs="Arial"/>
                <w:sz w:val="18"/>
                <w:szCs w:val="18"/>
                <w:lang w:val="es-CO"/>
              </w:rPr>
              <w:t>T:</w:t>
            </w:r>
          </w:p>
        </w:tc>
        <w:tc>
          <w:tcPr>
            <w:tcW w:w="4680" w:type="dxa"/>
          </w:tcPr>
          <w:p w14:paraId="601B7A09" w14:textId="0F528A21" w:rsidR="009F33FF" w:rsidRPr="00D35381" w:rsidRDefault="00F81CB8" w:rsidP="00CD339B">
            <w:pPr>
              <w:spacing w:before="60"/>
              <w:ind w:left="-1"/>
              <w:rPr>
                <w:rFonts w:ascii="Arial" w:hAnsi="Arial" w:cs="Arial"/>
                <w:sz w:val="18"/>
                <w:szCs w:val="18"/>
                <w:lang w:val="es-CO"/>
              </w:rPr>
            </w:pPr>
            <w:r>
              <w:rPr>
                <w:rFonts w:ascii="Arial" w:hAnsi="Arial" w:cs="Arial"/>
                <w:sz w:val="18"/>
                <w:szCs w:val="18"/>
                <w:lang w:val="es-CO"/>
              </w:rPr>
              <w:t>PR-T1268</w:t>
            </w:r>
          </w:p>
        </w:tc>
      </w:tr>
      <w:tr w:rsidR="000C16F9" w:rsidRPr="00D27491" w14:paraId="46DE1667" w14:textId="77777777" w:rsidTr="00CD339B">
        <w:trPr>
          <w:jc w:val="center"/>
        </w:trPr>
        <w:tc>
          <w:tcPr>
            <w:tcW w:w="4045" w:type="dxa"/>
          </w:tcPr>
          <w:p w14:paraId="5147BFA2" w14:textId="77777777" w:rsidR="009F33FF" w:rsidRPr="00D35381" w:rsidRDefault="0091508A" w:rsidP="002753E1">
            <w:pPr>
              <w:pStyle w:val="ListParagraph"/>
              <w:numPr>
                <w:ilvl w:val="0"/>
                <w:numId w:val="1"/>
              </w:numPr>
              <w:spacing w:before="60"/>
              <w:ind w:left="180" w:hanging="180"/>
              <w:contextualSpacing w:val="0"/>
              <w:jc w:val="both"/>
              <w:rPr>
                <w:rFonts w:ascii="Arial" w:hAnsi="Arial" w:cs="Arial"/>
                <w:sz w:val="18"/>
                <w:szCs w:val="18"/>
                <w:lang w:val="es-CO"/>
              </w:rPr>
            </w:pPr>
            <w:r w:rsidRPr="00D35381">
              <w:rPr>
                <w:rFonts w:ascii="Arial" w:hAnsi="Arial" w:cs="Arial"/>
                <w:sz w:val="18"/>
                <w:szCs w:val="18"/>
                <w:lang w:val="es-CO"/>
              </w:rPr>
              <w:t>Jefe de Equipo/Miembros</w:t>
            </w:r>
            <w:r w:rsidR="009F33FF" w:rsidRPr="00D35381">
              <w:rPr>
                <w:rFonts w:ascii="Arial" w:hAnsi="Arial" w:cs="Arial"/>
                <w:sz w:val="18"/>
                <w:szCs w:val="18"/>
                <w:lang w:val="es-CO"/>
              </w:rPr>
              <w:t>:</w:t>
            </w:r>
          </w:p>
        </w:tc>
        <w:tc>
          <w:tcPr>
            <w:tcW w:w="4680" w:type="dxa"/>
          </w:tcPr>
          <w:p w14:paraId="488F91ED" w14:textId="5C3A8CA1" w:rsidR="009F33FF" w:rsidRPr="00415863" w:rsidRDefault="00314AA4" w:rsidP="00CD339B">
            <w:pPr>
              <w:spacing w:before="60"/>
              <w:ind w:left="-1"/>
              <w:jc w:val="both"/>
              <w:rPr>
                <w:rFonts w:ascii="Arial" w:hAnsi="Arial" w:cs="Arial"/>
                <w:sz w:val="18"/>
                <w:szCs w:val="18"/>
                <w:lang w:val="es-CO"/>
              </w:rPr>
            </w:pPr>
            <w:r>
              <w:rPr>
                <w:rFonts w:ascii="Arial" w:hAnsi="Arial" w:cs="Arial"/>
                <w:sz w:val="18"/>
                <w:szCs w:val="18"/>
                <w:lang w:val="es-CO"/>
              </w:rPr>
              <w:t xml:space="preserve">Jefe de equipo, </w:t>
            </w:r>
            <w:r w:rsidR="00F81CB8">
              <w:rPr>
                <w:rFonts w:ascii="Arial" w:hAnsi="Arial" w:cs="Arial"/>
                <w:sz w:val="18"/>
                <w:szCs w:val="18"/>
                <w:lang w:val="es-CO"/>
              </w:rPr>
              <w:t xml:space="preserve">José Francisco </w:t>
            </w:r>
            <w:proofErr w:type="spellStart"/>
            <w:r w:rsidR="00F81CB8">
              <w:rPr>
                <w:rFonts w:ascii="Arial" w:hAnsi="Arial" w:cs="Arial"/>
                <w:sz w:val="18"/>
                <w:szCs w:val="18"/>
                <w:lang w:val="es-CO"/>
              </w:rPr>
              <w:t>Manjarrés</w:t>
            </w:r>
            <w:proofErr w:type="spellEnd"/>
            <w:r w:rsidR="00BE3F76" w:rsidRPr="00415863">
              <w:rPr>
                <w:rFonts w:ascii="Arial" w:hAnsi="Arial" w:cs="Arial"/>
                <w:sz w:val="18"/>
                <w:szCs w:val="18"/>
                <w:lang w:val="es-CO"/>
              </w:rPr>
              <w:t xml:space="preserve"> (WSA/</w:t>
            </w:r>
            <w:r w:rsidR="00F434A4" w:rsidRPr="00415863">
              <w:rPr>
                <w:rFonts w:ascii="Arial" w:hAnsi="Arial" w:cs="Arial"/>
                <w:sz w:val="18"/>
                <w:szCs w:val="18"/>
                <w:lang w:val="es-CO"/>
              </w:rPr>
              <w:t>C</w:t>
            </w:r>
            <w:r w:rsidR="00F81CB8">
              <w:rPr>
                <w:rFonts w:ascii="Arial" w:hAnsi="Arial" w:cs="Arial"/>
                <w:sz w:val="18"/>
                <w:szCs w:val="18"/>
                <w:lang w:val="es-CO"/>
              </w:rPr>
              <w:t>P</w:t>
            </w:r>
            <w:r w:rsidR="00F434A4">
              <w:rPr>
                <w:rFonts w:ascii="Arial" w:hAnsi="Arial" w:cs="Arial"/>
                <w:sz w:val="18"/>
                <w:szCs w:val="18"/>
                <w:lang w:val="es-CO"/>
              </w:rPr>
              <w:t>R</w:t>
            </w:r>
            <w:r w:rsidR="00BE3F76" w:rsidRPr="00415863">
              <w:rPr>
                <w:rFonts w:ascii="Arial" w:hAnsi="Arial" w:cs="Arial"/>
                <w:sz w:val="18"/>
                <w:szCs w:val="18"/>
                <w:lang w:val="es-CO"/>
              </w:rPr>
              <w:t>)</w:t>
            </w:r>
            <w:r>
              <w:rPr>
                <w:rFonts w:ascii="Arial" w:hAnsi="Arial" w:cs="Arial"/>
                <w:sz w:val="18"/>
                <w:szCs w:val="18"/>
                <w:lang w:val="es-CO"/>
              </w:rPr>
              <w:t>;</w:t>
            </w:r>
            <w:r w:rsidR="00587C12">
              <w:rPr>
                <w:rFonts w:ascii="Arial" w:hAnsi="Arial" w:cs="Arial"/>
                <w:sz w:val="18"/>
                <w:szCs w:val="18"/>
                <w:lang w:val="es-CO"/>
              </w:rPr>
              <w:t xml:space="preserve"> </w:t>
            </w:r>
            <w:proofErr w:type="gramStart"/>
            <w:r>
              <w:rPr>
                <w:rFonts w:ascii="Arial" w:hAnsi="Arial" w:cs="Arial"/>
                <w:sz w:val="18"/>
                <w:szCs w:val="18"/>
                <w:lang w:val="es-CO"/>
              </w:rPr>
              <w:t>Jefe</w:t>
            </w:r>
            <w:proofErr w:type="gramEnd"/>
            <w:r>
              <w:rPr>
                <w:rFonts w:ascii="Arial" w:hAnsi="Arial" w:cs="Arial"/>
                <w:sz w:val="18"/>
                <w:szCs w:val="18"/>
                <w:lang w:val="es-CO"/>
              </w:rPr>
              <w:t xml:space="preserve"> de equipo alterno, </w:t>
            </w:r>
            <w:r w:rsidR="00F81CB8">
              <w:rPr>
                <w:rFonts w:ascii="Arial" w:hAnsi="Arial" w:cs="Arial"/>
                <w:sz w:val="18"/>
                <w:szCs w:val="18"/>
                <w:lang w:val="es-CO"/>
              </w:rPr>
              <w:t>Jorge Oyamada</w:t>
            </w:r>
            <w:r w:rsidR="000D727C" w:rsidRPr="00415863">
              <w:rPr>
                <w:rFonts w:ascii="Arial" w:hAnsi="Arial" w:cs="Arial"/>
                <w:sz w:val="18"/>
                <w:szCs w:val="18"/>
                <w:lang w:val="es-CO"/>
              </w:rPr>
              <w:t xml:space="preserve"> </w:t>
            </w:r>
            <w:r w:rsidR="00F81CB8">
              <w:rPr>
                <w:rFonts w:ascii="Arial" w:hAnsi="Arial" w:cs="Arial"/>
                <w:sz w:val="18"/>
                <w:szCs w:val="18"/>
                <w:lang w:val="es-CO"/>
              </w:rPr>
              <w:t>(WSA/CAR)</w:t>
            </w:r>
            <w:r w:rsidR="006169CF">
              <w:rPr>
                <w:rFonts w:ascii="Arial" w:hAnsi="Arial" w:cs="Arial"/>
                <w:sz w:val="18"/>
                <w:szCs w:val="18"/>
                <w:lang w:val="es-CO"/>
              </w:rPr>
              <w:t>;</w:t>
            </w:r>
            <w:r w:rsidR="008243E0" w:rsidRPr="008243E0">
              <w:rPr>
                <w:rFonts w:ascii="Arial" w:hAnsi="Arial" w:cs="Arial"/>
                <w:sz w:val="18"/>
                <w:szCs w:val="18"/>
                <w:lang w:val="es-CO"/>
              </w:rPr>
              <w:t xml:space="preserve"> </w:t>
            </w:r>
            <w:r>
              <w:rPr>
                <w:rFonts w:ascii="Arial" w:hAnsi="Arial" w:cs="Arial"/>
                <w:sz w:val="18"/>
                <w:szCs w:val="18"/>
                <w:lang w:val="es-CO"/>
              </w:rPr>
              <w:t xml:space="preserve">Henry Alberto Moreno </w:t>
            </w:r>
            <w:r w:rsidRPr="00314AA4">
              <w:rPr>
                <w:rFonts w:ascii="Arial" w:hAnsi="Arial" w:cs="Arial"/>
                <w:sz w:val="18"/>
                <w:szCs w:val="18"/>
                <w:lang w:val="es-CO"/>
              </w:rPr>
              <w:t xml:space="preserve">(WSA/CAR); </w:t>
            </w:r>
            <w:r w:rsidR="00F81CB8">
              <w:rPr>
                <w:rFonts w:ascii="Arial" w:hAnsi="Arial" w:cs="Arial"/>
                <w:sz w:val="18"/>
                <w:szCs w:val="18"/>
                <w:lang w:val="es-CO"/>
              </w:rPr>
              <w:t>Eduardo Bogado</w:t>
            </w:r>
            <w:r w:rsidR="009C504D">
              <w:rPr>
                <w:rFonts w:ascii="Arial" w:hAnsi="Arial" w:cs="Arial"/>
                <w:sz w:val="18"/>
                <w:szCs w:val="18"/>
                <w:lang w:val="es-CO"/>
              </w:rPr>
              <w:t xml:space="preserve"> (WSA/C</w:t>
            </w:r>
            <w:r w:rsidR="00F81CB8">
              <w:rPr>
                <w:rFonts w:ascii="Arial" w:hAnsi="Arial" w:cs="Arial"/>
                <w:sz w:val="18"/>
                <w:szCs w:val="18"/>
                <w:lang w:val="es-CO"/>
              </w:rPr>
              <w:t>P</w:t>
            </w:r>
            <w:r w:rsidR="009C504D">
              <w:rPr>
                <w:rFonts w:ascii="Arial" w:hAnsi="Arial" w:cs="Arial"/>
                <w:sz w:val="18"/>
                <w:szCs w:val="18"/>
                <w:lang w:val="es-CO"/>
              </w:rPr>
              <w:t xml:space="preserve">R); </w:t>
            </w:r>
            <w:r w:rsidR="002D2E3E" w:rsidRPr="002D2E3E">
              <w:rPr>
                <w:rFonts w:ascii="Arial" w:hAnsi="Arial" w:cs="Arial"/>
                <w:sz w:val="18"/>
                <w:szCs w:val="18"/>
                <w:lang w:val="es-CO"/>
              </w:rPr>
              <w:t>Keisuke Sasaki</w:t>
            </w:r>
            <w:r w:rsidR="001415B6">
              <w:rPr>
                <w:rFonts w:ascii="Arial" w:hAnsi="Arial" w:cs="Arial"/>
                <w:sz w:val="18"/>
                <w:szCs w:val="18"/>
                <w:lang w:val="es-CO"/>
              </w:rPr>
              <w:t>,</w:t>
            </w:r>
            <w:r w:rsidR="002D2E3E" w:rsidRPr="002D2E3E">
              <w:rPr>
                <w:rFonts w:ascii="Arial" w:hAnsi="Arial" w:cs="Arial"/>
                <w:sz w:val="18"/>
                <w:szCs w:val="18"/>
                <w:lang w:val="es-CO"/>
              </w:rPr>
              <w:t xml:space="preserve"> Kleber Machado</w:t>
            </w:r>
            <w:r w:rsidR="0012002A">
              <w:rPr>
                <w:rFonts w:ascii="Arial" w:hAnsi="Arial" w:cs="Arial"/>
                <w:sz w:val="18"/>
                <w:szCs w:val="18"/>
                <w:lang w:val="es-CO"/>
              </w:rPr>
              <w:t xml:space="preserve">, </w:t>
            </w:r>
            <w:r w:rsidR="001415B6">
              <w:rPr>
                <w:rFonts w:ascii="Arial" w:hAnsi="Arial" w:cs="Arial"/>
                <w:sz w:val="18"/>
                <w:szCs w:val="18"/>
                <w:lang w:val="es-CO"/>
              </w:rPr>
              <w:t>Mar</w:t>
            </w:r>
            <w:r w:rsidR="001415B6" w:rsidRPr="001415B6">
              <w:rPr>
                <w:rFonts w:ascii="Arial" w:hAnsi="Arial" w:cs="Arial"/>
                <w:sz w:val="18"/>
                <w:szCs w:val="18"/>
                <w:lang w:val="es-CO"/>
              </w:rPr>
              <w:t>ía</w:t>
            </w:r>
            <w:r w:rsidR="001415B6">
              <w:rPr>
                <w:rFonts w:ascii="Arial" w:hAnsi="Arial" w:cs="Arial"/>
                <w:sz w:val="18"/>
                <w:szCs w:val="18"/>
                <w:lang w:val="es-CO"/>
              </w:rPr>
              <w:t xml:space="preserve"> Eugenia de la Peña</w:t>
            </w:r>
            <w:r>
              <w:rPr>
                <w:rFonts w:ascii="Arial" w:hAnsi="Arial" w:cs="Arial"/>
                <w:sz w:val="18"/>
                <w:szCs w:val="18"/>
                <w:lang w:val="es-CO"/>
              </w:rPr>
              <w:t>, Marilyn I. Guerrero</w:t>
            </w:r>
            <w:r w:rsidR="002D2E3E" w:rsidRPr="002D2E3E">
              <w:rPr>
                <w:rFonts w:ascii="Arial" w:hAnsi="Arial" w:cs="Arial"/>
                <w:sz w:val="18"/>
                <w:szCs w:val="18"/>
                <w:lang w:val="es-CO"/>
              </w:rPr>
              <w:t xml:space="preserve"> </w:t>
            </w:r>
            <w:r w:rsidR="0012002A">
              <w:rPr>
                <w:rFonts w:ascii="Arial" w:hAnsi="Arial" w:cs="Arial"/>
                <w:sz w:val="18"/>
                <w:szCs w:val="18"/>
                <w:lang w:val="es-CO"/>
              </w:rPr>
              <w:t xml:space="preserve">y Francisco González </w:t>
            </w:r>
            <w:r w:rsidR="002D2E3E" w:rsidRPr="002D2E3E">
              <w:rPr>
                <w:rFonts w:ascii="Arial" w:hAnsi="Arial" w:cs="Arial"/>
                <w:sz w:val="18"/>
                <w:szCs w:val="18"/>
                <w:lang w:val="es-CO"/>
              </w:rPr>
              <w:t>(INE</w:t>
            </w:r>
            <w:r w:rsidR="00F81CB8">
              <w:rPr>
                <w:rFonts w:ascii="Arial" w:hAnsi="Arial" w:cs="Arial"/>
                <w:sz w:val="18"/>
                <w:szCs w:val="18"/>
                <w:lang w:val="es-CO"/>
              </w:rPr>
              <w:t>/</w:t>
            </w:r>
            <w:r w:rsidR="002D2E3E" w:rsidRPr="002D2E3E">
              <w:rPr>
                <w:rFonts w:ascii="Arial" w:hAnsi="Arial" w:cs="Arial"/>
                <w:sz w:val="18"/>
                <w:szCs w:val="18"/>
                <w:lang w:val="es-CO"/>
              </w:rPr>
              <w:t>WSA)</w:t>
            </w:r>
            <w:r w:rsidR="001415B6">
              <w:rPr>
                <w:rFonts w:ascii="Arial" w:hAnsi="Arial" w:cs="Arial"/>
                <w:sz w:val="18"/>
                <w:szCs w:val="18"/>
                <w:lang w:val="es-CO"/>
              </w:rPr>
              <w:t>;</w:t>
            </w:r>
            <w:r w:rsidR="002D2E3E" w:rsidRPr="002D2E3E">
              <w:rPr>
                <w:rFonts w:ascii="Arial" w:hAnsi="Arial" w:cs="Arial"/>
                <w:sz w:val="18"/>
                <w:szCs w:val="18"/>
                <w:lang w:val="es-CO"/>
              </w:rPr>
              <w:t xml:space="preserve"> </w:t>
            </w:r>
            <w:r w:rsidR="00F81CB8">
              <w:rPr>
                <w:rFonts w:ascii="Arial" w:hAnsi="Arial" w:cs="Arial"/>
                <w:sz w:val="18"/>
                <w:szCs w:val="18"/>
                <w:lang w:val="es-CO"/>
              </w:rPr>
              <w:t xml:space="preserve">Fernando Glasman y Jorge Luis González </w:t>
            </w:r>
            <w:r w:rsidR="00BE3F76" w:rsidRPr="00415863">
              <w:rPr>
                <w:rFonts w:ascii="Arial" w:hAnsi="Arial" w:cs="Arial"/>
                <w:sz w:val="18"/>
                <w:szCs w:val="18"/>
                <w:lang w:val="es-CO"/>
              </w:rPr>
              <w:t>(</w:t>
            </w:r>
            <w:r>
              <w:rPr>
                <w:rFonts w:ascii="Arial" w:hAnsi="Arial" w:cs="Arial"/>
                <w:sz w:val="18"/>
                <w:szCs w:val="18"/>
                <w:lang w:val="es-CO"/>
              </w:rPr>
              <w:t>VPC/</w:t>
            </w:r>
            <w:r w:rsidR="00BE3F76" w:rsidRPr="00415863">
              <w:rPr>
                <w:rFonts w:ascii="Arial" w:hAnsi="Arial" w:cs="Arial"/>
                <w:sz w:val="18"/>
                <w:szCs w:val="18"/>
                <w:lang w:val="es-CO"/>
              </w:rPr>
              <w:t>FM</w:t>
            </w:r>
            <w:r>
              <w:rPr>
                <w:rFonts w:ascii="Arial" w:hAnsi="Arial" w:cs="Arial"/>
                <w:sz w:val="18"/>
                <w:szCs w:val="18"/>
                <w:lang w:val="es-CO"/>
              </w:rPr>
              <w:t>P</w:t>
            </w:r>
            <w:r w:rsidR="00BE3F76" w:rsidRPr="00415863">
              <w:rPr>
                <w:rFonts w:ascii="Arial" w:hAnsi="Arial" w:cs="Arial"/>
                <w:sz w:val="18"/>
                <w:szCs w:val="18"/>
                <w:lang w:val="es-CO"/>
              </w:rPr>
              <w:t>);</w:t>
            </w:r>
            <w:r w:rsidR="001415B6">
              <w:rPr>
                <w:rFonts w:ascii="Arial" w:hAnsi="Arial" w:cs="Arial"/>
                <w:sz w:val="18"/>
                <w:szCs w:val="18"/>
                <w:lang w:val="es-CO"/>
              </w:rPr>
              <w:t xml:space="preserve"> </w:t>
            </w:r>
            <w:r w:rsidR="00F81CB8">
              <w:rPr>
                <w:rFonts w:ascii="Arial" w:hAnsi="Arial" w:cs="Arial"/>
                <w:sz w:val="18"/>
                <w:szCs w:val="18"/>
                <w:lang w:val="es-CO"/>
              </w:rPr>
              <w:t xml:space="preserve">Ruth Alicia Cabrera </w:t>
            </w:r>
            <w:r w:rsidR="00BE3F76" w:rsidRPr="00415863">
              <w:rPr>
                <w:rFonts w:ascii="Arial" w:hAnsi="Arial" w:cs="Arial"/>
                <w:sz w:val="18"/>
                <w:szCs w:val="18"/>
                <w:lang w:val="es-CO"/>
              </w:rPr>
              <w:t>(</w:t>
            </w:r>
            <w:r w:rsidR="00BE3F76" w:rsidRPr="00615E98">
              <w:rPr>
                <w:rFonts w:ascii="Arial" w:hAnsi="Arial" w:cs="Arial"/>
                <w:sz w:val="18"/>
                <w:szCs w:val="18"/>
                <w:lang w:val="es-CO"/>
              </w:rPr>
              <w:t>C</w:t>
            </w:r>
            <w:r w:rsidR="00F81CB8">
              <w:rPr>
                <w:rFonts w:ascii="Arial" w:hAnsi="Arial" w:cs="Arial"/>
                <w:sz w:val="18"/>
                <w:szCs w:val="18"/>
                <w:lang w:val="es-CO"/>
              </w:rPr>
              <w:t>SC</w:t>
            </w:r>
            <w:r w:rsidR="00BE3F76" w:rsidRPr="00615E98">
              <w:rPr>
                <w:rFonts w:ascii="Arial" w:hAnsi="Arial" w:cs="Arial"/>
                <w:sz w:val="18"/>
                <w:szCs w:val="18"/>
                <w:lang w:val="es-CO"/>
              </w:rPr>
              <w:t>/C</w:t>
            </w:r>
            <w:r w:rsidR="00F81CB8">
              <w:rPr>
                <w:rFonts w:ascii="Arial" w:hAnsi="Arial" w:cs="Arial"/>
                <w:sz w:val="18"/>
                <w:szCs w:val="18"/>
                <w:lang w:val="es-CO"/>
              </w:rPr>
              <w:t>P</w:t>
            </w:r>
            <w:r w:rsidR="00977DE2">
              <w:rPr>
                <w:rFonts w:ascii="Arial" w:hAnsi="Arial" w:cs="Arial"/>
                <w:sz w:val="18"/>
                <w:szCs w:val="18"/>
                <w:lang w:val="es-CO"/>
              </w:rPr>
              <w:t>R</w:t>
            </w:r>
            <w:r w:rsidR="00BE3F76" w:rsidRPr="00615E98">
              <w:rPr>
                <w:rFonts w:ascii="Arial" w:hAnsi="Arial" w:cs="Arial"/>
                <w:sz w:val="18"/>
                <w:szCs w:val="18"/>
                <w:lang w:val="es-CO"/>
              </w:rPr>
              <w:t>)</w:t>
            </w:r>
            <w:r w:rsidR="00973DF8">
              <w:rPr>
                <w:rFonts w:ascii="Arial" w:hAnsi="Arial" w:cs="Arial"/>
                <w:sz w:val="18"/>
                <w:szCs w:val="18"/>
                <w:lang w:val="es-CO"/>
              </w:rPr>
              <w:t>; y Viviana Maya (LEG/SGO).</w:t>
            </w:r>
          </w:p>
        </w:tc>
      </w:tr>
      <w:tr w:rsidR="00563B1D" w:rsidRPr="000F4DBC" w14:paraId="6D7AE14F" w14:textId="77777777" w:rsidTr="00CD339B">
        <w:trPr>
          <w:jc w:val="center"/>
        </w:trPr>
        <w:tc>
          <w:tcPr>
            <w:tcW w:w="4045" w:type="dxa"/>
          </w:tcPr>
          <w:p w14:paraId="510E3712" w14:textId="77777777" w:rsidR="00563B1D" w:rsidRPr="003C1970" w:rsidRDefault="00BE3F76" w:rsidP="002753E1">
            <w:pPr>
              <w:pStyle w:val="ListParagraph"/>
              <w:numPr>
                <w:ilvl w:val="0"/>
                <w:numId w:val="1"/>
              </w:numPr>
              <w:spacing w:before="60"/>
              <w:ind w:left="180" w:hanging="180"/>
              <w:contextualSpacing w:val="0"/>
              <w:jc w:val="both"/>
              <w:rPr>
                <w:rFonts w:ascii="Arial" w:hAnsi="Arial" w:cs="Arial"/>
                <w:sz w:val="18"/>
                <w:szCs w:val="18"/>
                <w:lang w:val="es-CO"/>
              </w:rPr>
            </w:pPr>
            <w:r w:rsidRPr="003C1970">
              <w:rPr>
                <w:rFonts w:ascii="Arial" w:hAnsi="Arial" w:cs="Arial"/>
                <w:sz w:val="18"/>
                <w:szCs w:val="18"/>
                <w:lang w:val="es-ES"/>
              </w:rPr>
              <w:t>Taxonomía:</w:t>
            </w:r>
          </w:p>
        </w:tc>
        <w:tc>
          <w:tcPr>
            <w:tcW w:w="4680" w:type="dxa"/>
          </w:tcPr>
          <w:p w14:paraId="29639C96" w14:textId="65FD9EAE" w:rsidR="00563B1D" w:rsidRPr="003C1970" w:rsidRDefault="00BE3F76" w:rsidP="00CD339B">
            <w:pPr>
              <w:spacing w:before="60"/>
              <w:ind w:left="-1"/>
              <w:rPr>
                <w:rFonts w:ascii="Arial" w:hAnsi="Arial" w:cs="Arial"/>
                <w:sz w:val="18"/>
                <w:szCs w:val="18"/>
                <w:lang w:val="es-CO"/>
              </w:rPr>
            </w:pPr>
            <w:r w:rsidRPr="003C1970">
              <w:rPr>
                <w:rFonts w:ascii="Arial" w:hAnsi="Arial" w:cs="Arial"/>
                <w:sz w:val="18"/>
                <w:szCs w:val="18"/>
                <w:lang w:val="es-ES"/>
              </w:rPr>
              <w:t xml:space="preserve">Apoyo </w:t>
            </w:r>
            <w:r w:rsidR="0051640E">
              <w:rPr>
                <w:rFonts w:ascii="Arial" w:hAnsi="Arial" w:cs="Arial"/>
                <w:sz w:val="18"/>
                <w:szCs w:val="18"/>
                <w:lang w:val="es-ES"/>
              </w:rPr>
              <w:t>Operativo</w:t>
            </w:r>
          </w:p>
        </w:tc>
      </w:tr>
      <w:tr w:rsidR="00CD339B" w:rsidRPr="00D27491" w14:paraId="10EBCE99" w14:textId="77777777" w:rsidTr="00CD339B">
        <w:trPr>
          <w:jc w:val="center"/>
        </w:trPr>
        <w:tc>
          <w:tcPr>
            <w:tcW w:w="4045" w:type="dxa"/>
          </w:tcPr>
          <w:p w14:paraId="0826D6C9" w14:textId="19D9BEE0" w:rsidR="00CD339B" w:rsidRPr="003C1970" w:rsidRDefault="00CD339B" w:rsidP="002753E1">
            <w:pPr>
              <w:pStyle w:val="ListParagraph"/>
              <w:numPr>
                <w:ilvl w:val="0"/>
                <w:numId w:val="1"/>
              </w:numPr>
              <w:spacing w:before="60"/>
              <w:ind w:left="180" w:hanging="180"/>
              <w:contextualSpacing w:val="0"/>
              <w:jc w:val="both"/>
              <w:rPr>
                <w:rFonts w:ascii="Arial" w:hAnsi="Arial" w:cs="Arial"/>
                <w:sz w:val="18"/>
                <w:szCs w:val="18"/>
                <w:lang w:val="es-CO"/>
              </w:rPr>
            </w:pPr>
            <w:r w:rsidRPr="003C1970">
              <w:rPr>
                <w:rFonts w:ascii="Arial" w:hAnsi="Arial" w:cs="Arial"/>
                <w:sz w:val="18"/>
                <w:szCs w:val="18"/>
                <w:lang w:val="es-CO"/>
              </w:rPr>
              <w:t>Si es Apoyo Operativo, proveer número y nombre de la operación que apoyará la CT:</w:t>
            </w:r>
          </w:p>
        </w:tc>
        <w:tc>
          <w:tcPr>
            <w:tcW w:w="4680" w:type="dxa"/>
          </w:tcPr>
          <w:p w14:paraId="550A8DB9" w14:textId="0CF23AF1" w:rsidR="00CD339B" w:rsidRPr="003C1970" w:rsidRDefault="0051640E" w:rsidP="0051640E">
            <w:pPr>
              <w:spacing w:before="60"/>
              <w:jc w:val="both"/>
              <w:rPr>
                <w:rFonts w:ascii="Arial" w:hAnsi="Arial" w:cs="Arial"/>
                <w:sz w:val="18"/>
                <w:szCs w:val="18"/>
                <w:lang w:val="es-CO"/>
              </w:rPr>
            </w:pPr>
            <w:r>
              <w:rPr>
                <w:rFonts w:ascii="Arial" w:hAnsi="Arial" w:cs="Arial"/>
                <w:sz w:val="18"/>
                <w:szCs w:val="18"/>
                <w:lang w:val="es-CO"/>
              </w:rPr>
              <w:t xml:space="preserve">PR-L1172 - </w:t>
            </w:r>
            <w:r w:rsidRPr="0051640E">
              <w:rPr>
                <w:rFonts w:ascii="Arial" w:hAnsi="Arial" w:cs="Arial"/>
                <w:sz w:val="18"/>
                <w:szCs w:val="18"/>
                <w:lang w:val="es-CO"/>
              </w:rPr>
              <w:t>Programa de agua potable y saneamiento para el Área Metropolitana de Asunción (I)</w:t>
            </w:r>
            <w:r>
              <w:rPr>
                <w:rFonts w:ascii="Arial" w:hAnsi="Arial" w:cs="Arial"/>
                <w:sz w:val="18"/>
                <w:szCs w:val="18"/>
                <w:lang w:val="es-CO"/>
              </w:rPr>
              <w:t xml:space="preserve"> &amp; </w:t>
            </w:r>
            <w:r>
              <w:rPr>
                <w:rFonts w:ascii="Arial" w:hAnsi="Arial" w:cs="Arial"/>
                <w:sz w:val="18"/>
                <w:szCs w:val="18"/>
                <w:lang w:val="es-CO"/>
              </w:rPr>
              <w:br/>
              <w:t xml:space="preserve">RG-L1134 - </w:t>
            </w:r>
            <w:r w:rsidRPr="0051640E">
              <w:rPr>
                <w:rFonts w:ascii="Arial" w:hAnsi="Arial" w:cs="Arial"/>
                <w:sz w:val="18"/>
                <w:szCs w:val="18"/>
                <w:lang w:val="es-CO"/>
              </w:rPr>
              <w:t>Pro</w:t>
            </w:r>
            <w:r w:rsidR="000002AA">
              <w:rPr>
                <w:rFonts w:ascii="Arial" w:hAnsi="Arial" w:cs="Arial"/>
                <w:sz w:val="18"/>
                <w:szCs w:val="18"/>
                <w:lang w:val="es-CO"/>
              </w:rPr>
              <w:t>yecto</w:t>
            </w:r>
            <w:r w:rsidRPr="0051640E">
              <w:rPr>
                <w:rFonts w:ascii="Arial" w:hAnsi="Arial" w:cs="Arial"/>
                <w:sz w:val="18"/>
                <w:szCs w:val="18"/>
                <w:lang w:val="es-CO"/>
              </w:rPr>
              <w:t xml:space="preserve"> de agua potable y saneamiento para el </w:t>
            </w:r>
            <w:r w:rsidR="000002AA">
              <w:rPr>
                <w:rFonts w:ascii="Arial" w:hAnsi="Arial" w:cs="Arial"/>
                <w:sz w:val="18"/>
                <w:szCs w:val="18"/>
                <w:lang w:val="es-CO"/>
              </w:rPr>
              <w:t>Área Metropolitana de Ciudad del Este</w:t>
            </w:r>
          </w:p>
        </w:tc>
      </w:tr>
      <w:tr w:rsidR="00DA7513" w:rsidRPr="006F77C2" w14:paraId="7E7BF150" w14:textId="77777777" w:rsidTr="00CD339B">
        <w:trPr>
          <w:jc w:val="center"/>
        </w:trPr>
        <w:tc>
          <w:tcPr>
            <w:tcW w:w="4045" w:type="dxa"/>
          </w:tcPr>
          <w:p w14:paraId="1E228418" w14:textId="77777777" w:rsidR="00DA7513" w:rsidRPr="00D35381" w:rsidRDefault="00DA7513" w:rsidP="002753E1">
            <w:pPr>
              <w:pStyle w:val="ListParagraph"/>
              <w:numPr>
                <w:ilvl w:val="0"/>
                <w:numId w:val="1"/>
              </w:numPr>
              <w:spacing w:before="60"/>
              <w:ind w:left="180" w:hanging="180"/>
              <w:contextualSpacing w:val="0"/>
              <w:jc w:val="both"/>
              <w:rPr>
                <w:rFonts w:ascii="Arial" w:hAnsi="Arial" w:cs="Arial"/>
                <w:sz w:val="18"/>
                <w:szCs w:val="18"/>
                <w:lang w:val="es-CO"/>
              </w:rPr>
            </w:pPr>
            <w:r w:rsidRPr="00D35381">
              <w:rPr>
                <w:rFonts w:ascii="Arial" w:hAnsi="Arial" w:cs="Arial"/>
                <w:sz w:val="18"/>
                <w:szCs w:val="18"/>
                <w:lang w:val="es-CO"/>
              </w:rPr>
              <w:t>Fecha del Abstracto de CT:</w:t>
            </w:r>
          </w:p>
        </w:tc>
        <w:tc>
          <w:tcPr>
            <w:tcW w:w="4680" w:type="dxa"/>
          </w:tcPr>
          <w:p w14:paraId="2D3251E1" w14:textId="7B183DB3" w:rsidR="00DA7513" w:rsidRPr="00D35381" w:rsidRDefault="00F81CB8" w:rsidP="00CD339B">
            <w:pPr>
              <w:spacing w:before="60"/>
              <w:rPr>
                <w:rFonts w:ascii="Arial" w:hAnsi="Arial" w:cs="Arial"/>
                <w:sz w:val="18"/>
                <w:szCs w:val="18"/>
                <w:lang w:val="es-CO"/>
              </w:rPr>
            </w:pPr>
            <w:r>
              <w:rPr>
                <w:rFonts w:ascii="Arial" w:hAnsi="Arial" w:cs="Arial"/>
                <w:sz w:val="18"/>
                <w:szCs w:val="18"/>
                <w:lang w:val="es-CO"/>
              </w:rPr>
              <w:t>2</w:t>
            </w:r>
            <w:r w:rsidR="00B06725">
              <w:rPr>
                <w:rFonts w:ascii="Arial" w:hAnsi="Arial" w:cs="Arial"/>
                <w:sz w:val="18"/>
                <w:szCs w:val="18"/>
                <w:lang w:val="es-CO"/>
              </w:rPr>
              <w:t>5</w:t>
            </w:r>
            <w:r>
              <w:rPr>
                <w:rFonts w:ascii="Arial" w:hAnsi="Arial" w:cs="Arial"/>
                <w:sz w:val="18"/>
                <w:szCs w:val="18"/>
                <w:lang w:val="es-CO"/>
              </w:rPr>
              <w:t xml:space="preserve"> </w:t>
            </w:r>
            <w:r w:rsidR="00306C91">
              <w:rPr>
                <w:rFonts w:ascii="Arial" w:hAnsi="Arial" w:cs="Arial"/>
                <w:sz w:val="18"/>
                <w:szCs w:val="18"/>
                <w:lang w:val="es-CO"/>
              </w:rPr>
              <w:t xml:space="preserve">de </w:t>
            </w:r>
            <w:r w:rsidR="00B06725">
              <w:rPr>
                <w:rFonts w:ascii="Arial" w:hAnsi="Arial" w:cs="Arial"/>
                <w:sz w:val="18"/>
                <w:szCs w:val="18"/>
                <w:lang w:val="es-CO"/>
              </w:rPr>
              <w:t>marzo</w:t>
            </w:r>
            <w:r w:rsidR="001B4F5B" w:rsidRPr="00D35381">
              <w:rPr>
                <w:rFonts w:ascii="Arial" w:hAnsi="Arial" w:cs="Arial"/>
                <w:sz w:val="18"/>
                <w:szCs w:val="18"/>
                <w:lang w:val="es-CO"/>
              </w:rPr>
              <w:t>,</w:t>
            </w:r>
            <w:r w:rsidR="0076201E" w:rsidRPr="00D35381">
              <w:rPr>
                <w:rFonts w:ascii="Arial" w:hAnsi="Arial" w:cs="Arial"/>
                <w:sz w:val="18"/>
                <w:szCs w:val="18"/>
                <w:lang w:val="es-CO"/>
              </w:rPr>
              <w:t xml:space="preserve"> </w:t>
            </w:r>
            <w:r w:rsidR="001B4F5B" w:rsidRPr="00D35381">
              <w:rPr>
                <w:rFonts w:ascii="Arial" w:hAnsi="Arial" w:cs="Arial"/>
                <w:sz w:val="18"/>
                <w:szCs w:val="18"/>
                <w:lang w:val="es-CO"/>
              </w:rPr>
              <w:t>201</w:t>
            </w:r>
            <w:r w:rsidR="009C364A">
              <w:rPr>
                <w:rFonts w:ascii="Arial" w:hAnsi="Arial" w:cs="Arial"/>
                <w:sz w:val="18"/>
                <w:szCs w:val="18"/>
                <w:lang w:val="es-CO"/>
              </w:rPr>
              <w:t>9</w:t>
            </w:r>
            <w:r w:rsidR="0054596A" w:rsidRPr="00D35381">
              <w:rPr>
                <w:rFonts w:ascii="Arial" w:hAnsi="Arial" w:cs="Arial"/>
                <w:sz w:val="18"/>
                <w:szCs w:val="18"/>
                <w:lang w:val="es-CO"/>
              </w:rPr>
              <w:t xml:space="preserve"> </w:t>
            </w:r>
          </w:p>
        </w:tc>
      </w:tr>
      <w:tr w:rsidR="000C16F9" w:rsidRPr="006F77C2" w14:paraId="29B8408C" w14:textId="77777777" w:rsidTr="00CD339B">
        <w:trPr>
          <w:jc w:val="center"/>
        </w:trPr>
        <w:tc>
          <w:tcPr>
            <w:tcW w:w="4045" w:type="dxa"/>
          </w:tcPr>
          <w:p w14:paraId="73E57C53" w14:textId="77777777" w:rsidR="009F33FF" w:rsidRPr="00D35381" w:rsidRDefault="009F33FF" w:rsidP="002753E1">
            <w:pPr>
              <w:pStyle w:val="ListParagraph"/>
              <w:numPr>
                <w:ilvl w:val="0"/>
                <w:numId w:val="1"/>
              </w:numPr>
              <w:spacing w:before="60"/>
              <w:ind w:left="180" w:hanging="180"/>
              <w:contextualSpacing w:val="0"/>
              <w:jc w:val="both"/>
              <w:rPr>
                <w:rFonts w:ascii="Arial" w:hAnsi="Arial" w:cs="Arial"/>
                <w:sz w:val="18"/>
                <w:szCs w:val="18"/>
                <w:lang w:val="es-CO"/>
              </w:rPr>
            </w:pPr>
            <w:r w:rsidRPr="00D35381">
              <w:rPr>
                <w:rFonts w:ascii="Arial" w:hAnsi="Arial" w:cs="Arial"/>
                <w:sz w:val="18"/>
                <w:szCs w:val="18"/>
                <w:lang w:val="es-CO"/>
              </w:rPr>
              <w:t>Beneficiar</w:t>
            </w:r>
            <w:r w:rsidR="0091508A" w:rsidRPr="00D35381">
              <w:rPr>
                <w:rFonts w:ascii="Arial" w:hAnsi="Arial" w:cs="Arial"/>
                <w:sz w:val="18"/>
                <w:szCs w:val="18"/>
                <w:lang w:val="es-CO"/>
              </w:rPr>
              <w:t>io</w:t>
            </w:r>
            <w:r w:rsidRPr="00D35381">
              <w:rPr>
                <w:rFonts w:ascii="Arial" w:hAnsi="Arial" w:cs="Arial"/>
                <w:sz w:val="18"/>
                <w:szCs w:val="18"/>
                <w:lang w:val="es-CO"/>
              </w:rPr>
              <w:t>:</w:t>
            </w:r>
          </w:p>
        </w:tc>
        <w:tc>
          <w:tcPr>
            <w:tcW w:w="4680" w:type="dxa"/>
          </w:tcPr>
          <w:p w14:paraId="45DF7C81" w14:textId="43CBD551" w:rsidR="009F33FF" w:rsidRPr="00D35381" w:rsidRDefault="00314AA4" w:rsidP="00CD339B">
            <w:pPr>
              <w:spacing w:before="60"/>
              <w:ind w:left="-1"/>
              <w:rPr>
                <w:rFonts w:ascii="Arial" w:hAnsi="Arial" w:cs="Arial"/>
                <w:sz w:val="18"/>
                <w:szCs w:val="18"/>
                <w:lang w:val="es-CO"/>
              </w:rPr>
            </w:pPr>
            <w:r w:rsidRPr="00314AA4">
              <w:rPr>
                <w:rFonts w:ascii="Arial" w:hAnsi="Arial" w:cs="Arial"/>
                <w:sz w:val="18"/>
                <w:szCs w:val="18"/>
                <w:lang w:val="es-CO"/>
              </w:rPr>
              <w:t>República del Paraguay - Ministerio de Obras Públicas y Comunicaciones (MOPC)</w:t>
            </w:r>
          </w:p>
        </w:tc>
      </w:tr>
      <w:tr w:rsidR="000C16F9" w:rsidRPr="00D27491" w14:paraId="683F70EE" w14:textId="77777777" w:rsidTr="00CD339B">
        <w:trPr>
          <w:jc w:val="center"/>
        </w:trPr>
        <w:tc>
          <w:tcPr>
            <w:tcW w:w="4045" w:type="dxa"/>
          </w:tcPr>
          <w:p w14:paraId="1C9112FA" w14:textId="77777777" w:rsidR="009F33FF" w:rsidRPr="00D35381" w:rsidRDefault="0091508A" w:rsidP="002753E1">
            <w:pPr>
              <w:pStyle w:val="ListParagraph"/>
              <w:numPr>
                <w:ilvl w:val="0"/>
                <w:numId w:val="1"/>
              </w:numPr>
              <w:spacing w:before="60"/>
              <w:ind w:left="180" w:hanging="180"/>
              <w:contextualSpacing w:val="0"/>
              <w:jc w:val="both"/>
              <w:rPr>
                <w:rFonts w:ascii="Arial" w:hAnsi="Arial" w:cs="Arial"/>
                <w:sz w:val="18"/>
                <w:szCs w:val="18"/>
                <w:lang w:val="es-CO"/>
              </w:rPr>
            </w:pPr>
            <w:r w:rsidRPr="00D35381">
              <w:rPr>
                <w:rFonts w:ascii="Arial" w:hAnsi="Arial" w:cs="Arial"/>
                <w:sz w:val="18"/>
                <w:szCs w:val="18"/>
                <w:lang w:val="es-CO"/>
              </w:rPr>
              <w:t>Agencia Ejecutora y contacto</w:t>
            </w:r>
            <w:r w:rsidR="001B4F5B" w:rsidRPr="00D35381">
              <w:rPr>
                <w:rFonts w:ascii="Arial" w:hAnsi="Arial" w:cs="Arial"/>
                <w:sz w:val="18"/>
                <w:szCs w:val="18"/>
                <w:lang w:val="es-CO"/>
              </w:rPr>
              <w:t>:</w:t>
            </w:r>
            <w:r w:rsidRPr="00D35381">
              <w:rPr>
                <w:rFonts w:ascii="Arial" w:hAnsi="Arial" w:cs="Arial"/>
                <w:sz w:val="18"/>
                <w:szCs w:val="18"/>
                <w:lang w:val="es-CO"/>
              </w:rPr>
              <w:t xml:space="preserve"> </w:t>
            </w:r>
          </w:p>
        </w:tc>
        <w:tc>
          <w:tcPr>
            <w:tcW w:w="4680" w:type="dxa"/>
          </w:tcPr>
          <w:p w14:paraId="0491CBAD" w14:textId="738093B8" w:rsidR="009F33FF" w:rsidRPr="00D35381" w:rsidRDefault="00E25CB4" w:rsidP="00CD339B">
            <w:pPr>
              <w:spacing w:before="60"/>
              <w:ind w:left="-1"/>
              <w:rPr>
                <w:rFonts w:ascii="Arial" w:hAnsi="Arial" w:cs="Arial"/>
                <w:sz w:val="18"/>
                <w:szCs w:val="18"/>
                <w:lang w:val="es-CO"/>
              </w:rPr>
            </w:pPr>
            <w:r w:rsidRPr="00E25CB4">
              <w:rPr>
                <w:rFonts w:ascii="Arial" w:hAnsi="Arial" w:cs="Arial"/>
                <w:sz w:val="18"/>
                <w:szCs w:val="18"/>
                <w:lang w:val="es-CO"/>
              </w:rPr>
              <w:t>Banco Interamericano de Desarrollo (BID)</w:t>
            </w:r>
          </w:p>
        </w:tc>
      </w:tr>
      <w:tr w:rsidR="000C16F9" w:rsidRPr="00E747E0" w14:paraId="5E598FDF" w14:textId="77777777" w:rsidTr="00CD339B">
        <w:trPr>
          <w:jc w:val="center"/>
        </w:trPr>
        <w:tc>
          <w:tcPr>
            <w:tcW w:w="4045" w:type="dxa"/>
          </w:tcPr>
          <w:p w14:paraId="64DC466E" w14:textId="77777777" w:rsidR="009F33FF" w:rsidRPr="00D35381" w:rsidRDefault="00E33333" w:rsidP="002753E1">
            <w:pPr>
              <w:pStyle w:val="ListParagraph"/>
              <w:numPr>
                <w:ilvl w:val="0"/>
                <w:numId w:val="1"/>
              </w:numPr>
              <w:spacing w:before="60"/>
              <w:ind w:left="180" w:hanging="180"/>
              <w:contextualSpacing w:val="0"/>
              <w:rPr>
                <w:rFonts w:ascii="Arial" w:hAnsi="Arial" w:cs="Arial"/>
                <w:sz w:val="18"/>
                <w:szCs w:val="18"/>
                <w:lang w:val="es-CO"/>
              </w:rPr>
            </w:pPr>
            <w:r w:rsidRPr="00D35381">
              <w:rPr>
                <w:rFonts w:ascii="Arial" w:hAnsi="Arial" w:cs="Arial"/>
                <w:sz w:val="18"/>
                <w:szCs w:val="18"/>
                <w:lang w:val="es-CO"/>
              </w:rPr>
              <w:t>Financiamiento Solicitado del BID</w:t>
            </w:r>
            <w:r w:rsidR="009F33FF" w:rsidRPr="00D35381">
              <w:rPr>
                <w:rFonts w:ascii="Arial" w:hAnsi="Arial" w:cs="Arial"/>
                <w:sz w:val="18"/>
                <w:szCs w:val="18"/>
                <w:lang w:val="es-CO"/>
              </w:rPr>
              <w:t>:</w:t>
            </w:r>
          </w:p>
        </w:tc>
        <w:tc>
          <w:tcPr>
            <w:tcW w:w="4680" w:type="dxa"/>
          </w:tcPr>
          <w:p w14:paraId="7186E058" w14:textId="0473D447" w:rsidR="00E747E0" w:rsidRPr="00E747E0" w:rsidRDefault="00A60AB6" w:rsidP="00E747E0">
            <w:pPr>
              <w:spacing w:before="60"/>
              <w:ind w:left="-1"/>
              <w:jc w:val="both"/>
              <w:rPr>
                <w:rFonts w:ascii="Arial" w:hAnsi="Arial" w:cs="Arial"/>
                <w:sz w:val="18"/>
                <w:szCs w:val="18"/>
                <w:lang w:val="es-ES_tradnl"/>
              </w:rPr>
            </w:pPr>
            <w:r w:rsidRPr="00A62684">
              <w:rPr>
                <w:rFonts w:ascii="Arial" w:hAnsi="Arial" w:cs="Arial"/>
                <w:sz w:val="18"/>
                <w:szCs w:val="18"/>
                <w:lang w:val="es-ES_tradnl"/>
              </w:rPr>
              <w:t>US$</w:t>
            </w:r>
            <w:r w:rsidR="00F81CB8">
              <w:rPr>
                <w:rFonts w:ascii="Arial" w:hAnsi="Arial" w:cs="Arial"/>
                <w:sz w:val="18"/>
                <w:szCs w:val="18"/>
                <w:lang w:val="es-ES_tradnl"/>
              </w:rPr>
              <w:t>1.</w:t>
            </w:r>
            <w:r w:rsidR="00100EDC">
              <w:rPr>
                <w:rFonts w:ascii="Arial" w:hAnsi="Arial" w:cs="Arial"/>
                <w:sz w:val="18"/>
                <w:szCs w:val="18"/>
                <w:lang w:val="es-ES_tradnl"/>
              </w:rPr>
              <w:t>25</w:t>
            </w:r>
            <w:r w:rsidRPr="00A62684">
              <w:rPr>
                <w:rFonts w:ascii="Arial" w:hAnsi="Arial" w:cs="Arial"/>
                <w:sz w:val="18"/>
                <w:szCs w:val="18"/>
                <w:lang w:val="es-ES_tradnl"/>
              </w:rPr>
              <w:t>0.000</w:t>
            </w:r>
            <w:r w:rsidR="0012002A">
              <w:rPr>
                <w:rStyle w:val="FootnoteReference"/>
                <w:rFonts w:ascii="Arial" w:hAnsi="Arial" w:cs="Arial"/>
                <w:sz w:val="18"/>
                <w:szCs w:val="18"/>
                <w:lang w:val="es-ES_tradnl"/>
              </w:rPr>
              <w:footnoteReference w:id="1"/>
            </w:r>
          </w:p>
        </w:tc>
      </w:tr>
      <w:tr w:rsidR="00CD339B" w:rsidRPr="00F81CB8" w14:paraId="0540F051" w14:textId="77777777" w:rsidTr="00CD339B">
        <w:trPr>
          <w:jc w:val="center"/>
        </w:trPr>
        <w:tc>
          <w:tcPr>
            <w:tcW w:w="4045" w:type="dxa"/>
          </w:tcPr>
          <w:p w14:paraId="1E6274E3" w14:textId="083B37DA" w:rsidR="00CD339B" w:rsidRPr="00D35381" w:rsidRDefault="00CD339B" w:rsidP="002753E1">
            <w:pPr>
              <w:pStyle w:val="ListParagraph"/>
              <w:numPr>
                <w:ilvl w:val="0"/>
                <w:numId w:val="1"/>
              </w:numPr>
              <w:spacing w:before="60"/>
              <w:ind w:left="180" w:hanging="180"/>
              <w:contextualSpacing w:val="0"/>
              <w:jc w:val="both"/>
              <w:rPr>
                <w:rFonts w:ascii="Arial" w:hAnsi="Arial" w:cs="Arial"/>
                <w:sz w:val="18"/>
                <w:szCs w:val="18"/>
                <w:lang w:val="es-CO"/>
              </w:rPr>
            </w:pPr>
            <w:r w:rsidRPr="003C1970">
              <w:rPr>
                <w:rFonts w:ascii="Arial" w:hAnsi="Arial" w:cs="Arial"/>
                <w:sz w:val="18"/>
                <w:szCs w:val="18"/>
                <w:lang w:val="es-CO"/>
              </w:rPr>
              <w:t>Contrapartida Local, si hay:</w:t>
            </w:r>
          </w:p>
        </w:tc>
        <w:tc>
          <w:tcPr>
            <w:tcW w:w="4680" w:type="dxa"/>
          </w:tcPr>
          <w:p w14:paraId="422AF68A" w14:textId="715E2AD4" w:rsidR="00CD339B" w:rsidRPr="00A62684" w:rsidRDefault="00E747E0" w:rsidP="00CD339B">
            <w:pPr>
              <w:spacing w:before="60"/>
              <w:ind w:left="-1"/>
              <w:jc w:val="both"/>
              <w:rPr>
                <w:rFonts w:ascii="Arial" w:hAnsi="Arial" w:cs="Arial"/>
                <w:sz w:val="18"/>
                <w:szCs w:val="18"/>
                <w:lang w:val="es-ES_tradnl"/>
              </w:rPr>
            </w:pPr>
            <w:r>
              <w:rPr>
                <w:rFonts w:ascii="Arial" w:hAnsi="Arial" w:cs="Arial"/>
                <w:sz w:val="18"/>
                <w:szCs w:val="18"/>
                <w:lang w:val="es-ES_tradnl"/>
              </w:rPr>
              <w:t>N/A</w:t>
            </w:r>
          </w:p>
        </w:tc>
      </w:tr>
      <w:tr w:rsidR="000C16F9" w:rsidRPr="00D35381" w14:paraId="54BDA958" w14:textId="77777777" w:rsidTr="00CD339B">
        <w:trPr>
          <w:jc w:val="center"/>
        </w:trPr>
        <w:tc>
          <w:tcPr>
            <w:tcW w:w="4045" w:type="dxa"/>
          </w:tcPr>
          <w:p w14:paraId="2CF13A40" w14:textId="77777777" w:rsidR="009F33FF" w:rsidRPr="00D35381" w:rsidRDefault="00E33333" w:rsidP="002753E1">
            <w:pPr>
              <w:pStyle w:val="ListParagraph"/>
              <w:numPr>
                <w:ilvl w:val="0"/>
                <w:numId w:val="1"/>
              </w:numPr>
              <w:spacing w:before="60"/>
              <w:ind w:left="180" w:hanging="180"/>
              <w:contextualSpacing w:val="0"/>
              <w:jc w:val="both"/>
              <w:rPr>
                <w:rFonts w:ascii="Arial" w:hAnsi="Arial" w:cs="Arial"/>
                <w:sz w:val="18"/>
                <w:szCs w:val="18"/>
                <w:lang w:val="es-CO"/>
              </w:rPr>
            </w:pPr>
            <w:r w:rsidRPr="00D35381">
              <w:rPr>
                <w:rFonts w:ascii="Arial" w:hAnsi="Arial" w:cs="Arial"/>
                <w:sz w:val="18"/>
                <w:szCs w:val="18"/>
                <w:lang w:val="es-CO"/>
              </w:rPr>
              <w:t>Periodo de Desembolso</w:t>
            </w:r>
            <w:r w:rsidR="009F33FF" w:rsidRPr="00D35381">
              <w:rPr>
                <w:rFonts w:ascii="Arial" w:hAnsi="Arial" w:cs="Arial"/>
                <w:sz w:val="18"/>
                <w:szCs w:val="18"/>
                <w:lang w:val="es-CO"/>
              </w:rPr>
              <w:t>:</w:t>
            </w:r>
          </w:p>
        </w:tc>
        <w:tc>
          <w:tcPr>
            <w:tcW w:w="4680" w:type="dxa"/>
          </w:tcPr>
          <w:p w14:paraId="3D5473BB" w14:textId="77777777" w:rsidR="00CF4A65" w:rsidRPr="00D35381" w:rsidRDefault="00CF4A65" w:rsidP="00CD339B">
            <w:pPr>
              <w:spacing w:before="60"/>
              <w:ind w:left="-1"/>
              <w:rPr>
                <w:rFonts w:ascii="Arial" w:hAnsi="Arial" w:cs="Arial"/>
                <w:sz w:val="18"/>
                <w:szCs w:val="18"/>
                <w:lang w:val="es-CO"/>
              </w:rPr>
            </w:pPr>
            <w:r w:rsidRPr="00D35381">
              <w:rPr>
                <w:rFonts w:ascii="Arial" w:hAnsi="Arial" w:cs="Arial"/>
                <w:sz w:val="18"/>
                <w:szCs w:val="18"/>
                <w:lang w:val="es-CO"/>
              </w:rPr>
              <w:t xml:space="preserve">Ejecución: </w:t>
            </w:r>
            <w:r w:rsidR="00772D05" w:rsidRPr="00D35381">
              <w:rPr>
                <w:rFonts w:ascii="Arial" w:hAnsi="Arial" w:cs="Arial"/>
                <w:sz w:val="18"/>
                <w:szCs w:val="18"/>
                <w:lang w:val="es-CO"/>
              </w:rPr>
              <w:t>2</w:t>
            </w:r>
            <w:r w:rsidR="00013054">
              <w:rPr>
                <w:rFonts w:ascii="Arial" w:hAnsi="Arial" w:cs="Arial"/>
                <w:sz w:val="18"/>
                <w:szCs w:val="18"/>
                <w:lang w:val="es-CO"/>
              </w:rPr>
              <w:t>4</w:t>
            </w:r>
            <w:r w:rsidR="00772D05" w:rsidRPr="00D35381">
              <w:rPr>
                <w:rFonts w:ascii="Arial" w:hAnsi="Arial" w:cs="Arial"/>
                <w:sz w:val="18"/>
                <w:szCs w:val="18"/>
                <w:lang w:val="es-CO"/>
              </w:rPr>
              <w:t xml:space="preserve"> </w:t>
            </w:r>
            <w:r w:rsidRPr="00D35381">
              <w:rPr>
                <w:rFonts w:ascii="Arial" w:hAnsi="Arial" w:cs="Arial"/>
                <w:sz w:val="18"/>
                <w:szCs w:val="18"/>
                <w:lang w:val="es-CO"/>
              </w:rPr>
              <w:t>meses</w:t>
            </w:r>
            <w:r w:rsidR="009A15F7" w:rsidRPr="00D35381">
              <w:rPr>
                <w:rFonts w:ascii="Arial" w:hAnsi="Arial" w:cs="Arial"/>
                <w:sz w:val="18"/>
                <w:szCs w:val="18"/>
                <w:lang w:val="es-CO"/>
              </w:rPr>
              <w:t xml:space="preserve"> </w:t>
            </w:r>
          </w:p>
          <w:p w14:paraId="6BE89589" w14:textId="1619516F" w:rsidR="009F33FF" w:rsidRPr="00D35381" w:rsidRDefault="00CF4A65" w:rsidP="00CD339B">
            <w:pPr>
              <w:spacing w:before="60"/>
              <w:ind w:left="-1"/>
              <w:rPr>
                <w:rFonts w:ascii="Arial" w:hAnsi="Arial" w:cs="Arial"/>
                <w:sz w:val="18"/>
                <w:szCs w:val="18"/>
                <w:lang w:val="es-CO"/>
              </w:rPr>
            </w:pPr>
            <w:r w:rsidRPr="00D35381">
              <w:rPr>
                <w:rFonts w:ascii="Arial" w:hAnsi="Arial" w:cs="Arial"/>
                <w:sz w:val="18"/>
                <w:szCs w:val="18"/>
                <w:lang w:val="es-CO"/>
              </w:rPr>
              <w:t xml:space="preserve">Desembolso: </w:t>
            </w:r>
            <w:r w:rsidR="0073282C">
              <w:rPr>
                <w:rFonts w:ascii="Arial" w:hAnsi="Arial" w:cs="Arial"/>
                <w:sz w:val="18"/>
                <w:szCs w:val="18"/>
                <w:lang w:val="es-CO"/>
              </w:rPr>
              <w:t>3</w:t>
            </w:r>
            <w:r w:rsidR="00415863">
              <w:rPr>
                <w:rFonts w:ascii="Arial" w:hAnsi="Arial" w:cs="Arial"/>
                <w:sz w:val="18"/>
                <w:szCs w:val="18"/>
                <w:lang w:val="es-CO"/>
              </w:rPr>
              <w:t xml:space="preserve">6 </w:t>
            </w:r>
            <w:r w:rsidRPr="00D35381">
              <w:rPr>
                <w:rFonts w:ascii="Arial" w:hAnsi="Arial" w:cs="Arial"/>
                <w:sz w:val="18"/>
                <w:szCs w:val="18"/>
                <w:lang w:val="es-CO"/>
              </w:rPr>
              <w:t>meses</w:t>
            </w:r>
          </w:p>
        </w:tc>
      </w:tr>
      <w:tr w:rsidR="000C16F9" w:rsidRPr="00D35381" w14:paraId="2B9CA17B" w14:textId="77777777" w:rsidTr="00CD339B">
        <w:trPr>
          <w:jc w:val="center"/>
        </w:trPr>
        <w:tc>
          <w:tcPr>
            <w:tcW w:w="4045" w:type="dxa"/>
          </w:tcPr>
          <w:p w14:paraId="0B16897C" w14:textId="77777777" w:rsidR="009F33FF" w:rsidRPr="00D35381" w:rsidRDefault="00E33333" w:rsidP="002753E1">
            <w:pPr>
              <w:pStyle w:val="ListParagraph"/>
              <w:numPr>
                <w:ilvl w:val="0"/>
                <w:numId w:val="1"/>
              </w:numPr>
              <w:spacing w:before="60"/>
              <w:ind w:left="180" w:hanging="180"/>
              <w:contextualSpacing w:val="0"/>
              <w:jc w:val="both"/>
              <w:rPr>
                <w:rFonts w:ascii="Arial" w:hAnsi="Arial" w:cs="Arial"/>
                <w:sz w:val="18"/>
                <w:szCs w:val="18"/>
                <w:lang w:val="es-CO"/>
              </w:rPr>
            </w:pPr>
            <w:r w:rsidRPr="00D35381">
              <w:rPr>
                <w:rFonts w:ascii="Arial" w:hAnsi="Arial" w:cs="Arial"/>
                <w:sz w:val="18"/>
                <w:szCs w:val="18"/>
                <w:lang w:val="es-CO"/>
              </w:rPr>
              <w:t>Fecha de Inicio</w:t>
            </w:r>
            <w:r w:rsidR="00F50742" w:rsidRPr="00D35381">
              <w:rPr>
                <w:rFonts w:ascii="Arial" w:hAnsi="Arial" w:cs="Arial"/>
                <w:sz w:val="18"/>
                <w:szCs w:val="18"/>
                <w:lang w:val="es-CO"/>
              </w:rPr>
              <w:t xml:space="preserve"> </w:t>
            </w:r>
            <w:r w:rsidR="00055EF1" w:rsidRPr="00D35381">
              <w:rPr>
                <w:rFonts w:ascii="Arial" w:hAnsi="Arial" w:cs="Arial"/>
                <w:sz w:val="18"/>
                <w:szCs w:val="18"/>
                <w:lang w:val="es-CO"/>
              </w:rPr>
              <w:t>R</w:t>
            </w:r>
            <w:r w:rsidR="00F50742" w:rsidRPr="00D35381">
              <w:rPr>
                <w:rFonts w:ascii="Arial" w:hAnsi="Arial" w:cs="Arial"/>
                <w:sz w:val="18"/>
                <w:szCs w:val="18"/>
                <w:lang w:val="es-CO"/>
              </w:rPr>
              <w:t>equerido</w:t>
            </w:r>
            <w:r w:rsidR="009F33FF" w:rsidRPr="00D35381">
              <w:rPr>
                <w:rFonts w:ascii="Arial" w:hAnsi="Arial" w:cs="Arial"/>
                <w:sz w:val="18"/>
                <w:szCs w:val="18"/>
                <w:lang w:val="es-CO"/>
              </w:rPr>
              <w:t>:</w:t>
            </w:r>
          </w:p>
        </w:tc>
        <w:tc>
          <w:tcPr>
            <w:tcW w:w="4680" w:type="dxa"/>
          </w:tcPr>
          <w:p w14:paraId="7AA51ED4" w14:textId="77777777" w:rsidR="009F33FF" w:rsidRPr="008263C3" w:rsidRDefault="00354A43" w:rsidP="00CD339B">
            <w:pPr>
              <w:spacing w:before="60"/>
              <w:ind w:left="-1"/>
              <w:rPr>
                <w:rFonts w:ascii="Arial" w:hAnsi="Arial" w:cs="Arial"/>
                <w:sz w:val="18"/>
                <w:szCs w:val="18"/>
                <w:lang w:val="es-CO"/>
              </w:rPr>
            </w:pPr>
            <w:r w:rsidRPr="008263C3">
              <w:rPr>
                <w:rFonts w:ascii="Arial" w:hAnsi="Arial" w:cs="Arial"/>
                <w:sz w:val="18"/>
                <w:szCs w:val="18"/>
                <w:lang w:val="es-CO"/>
              </w:rPr>
              <w:t>Ju</w:t>
            </w:r>
            <w:r w:rsidR="005B2299" w:rsidRPr="008263C3">
              <w:rPr>
                <w:rFonts w:ascii="Arial" w:hAnsi="Arial" w:cs="Arial"/>
                <w:sz w:val="18"/>
                <w:szCs w:val="18"/>
                <w:lang w:val="es-CO"/>
              </w:rPr>
              <w:t>l</w:t>
            </w:r>
            <w:r w:rsidRPr="008263C3">
              <w:rPr>
                <w:rFonts w:ascii="Arial" w:hAnsi="Arial" w:cs="Arial"/>
                <w:sz w:val="18"/>
                <w:szCs w:val="18"/>
                <w:lang w:val="es-CO"/>
              </w:rPr>
              <w:t>io</w:t>
            </w:r>
            <w:r w:rsidR="001B4F5B" w:rsidRPr="008263C3">
              <w:rPr>
                <w:rFonts w:ascii="Arial" w:hAnsi="Arial" w:cs="Arial"/>
                <w:sz w:val="18"/>
                <w:szCs w:val="18"/>
                <w:lang w:val="es-CO"/>
              </w:rPr>
              <w:t>,</w:t>
            </w:r>
            <w:r w:rsidR="00DE6909" w:rsidRPr="008263C3">
              <w:rPr>
                <w:rFonts w:ascii="Arial" w:hAnsi="Arial" w:cs="Arial"/>
                <w:sz w:val="18"/>
                <w:szCs w:val="18"/>
                <w:lang w:val="es-CO"/>
              </w:rPr>
              <w:t xml:space="preserve"> </w:t>
            </w:r>
            <w:r w:rsidR="009C364A" w:rsidRPr="008263C3">
              <w:rPr>
                <w:rFonts w:ascii="Arial" w:hAnsi="Arial" w:cs="Arial"/>
                <w:sz w:val="18"/>
                <w:szCs w:val="18"/>
                <w:lang w:val="es-CO"/>
              </w:rPr>
              <w:t xml:space="preserve">2019 </w:t>
            </w:r>
          </w:p>
        </w:tc>
      </w:tr>
      <w:tr w:rsidR="000C16F9" w:rsidRPr="00D35381" w14:paraId="16AE033A" w14:textId="77777777" w:rsidTr="00CD339B">
        <w:trPr>
          <w:jc w:val="center"/>
        </w:trPr>
        <w:tc>
          <w:tcPr>
            <w:tcW w:w="4045" w:type="dxa"/>
          </w:tcPr>
          <w:p w14:paraId="32EBA5E7" w14:textId="77777777" w:rsidR="009F33FF" w:rsidRPr="00D35381" w:rsidRDefault="00E33333" w:rsidP="002753E1">
            <w:pPr>
              <w:pStyle w:val="ListParagraph"/>
              <w:numPr>
                <w:ilvl w:val="0"/>
                <w:numId w:val="1"/>
              </w:numPr>
              <w:spacing w:before="60"/>
              <w:ind w:left="180" w:hanging="180"/>
              <w:contextualSpacing w:val="0"/>
              <w:jc w:val="both"/>
              <w:rPr>
                <w:rFonts w:ascii="Arial" w:hAnsi="Arial" w:cs="Arial"/>
                <w:sz w:val="18"/>
                <w:szCs w:val="18"/>
                <w:lang w:val="es-CO"/>
              </w:rPr>
            </w:pPr>
            <w:r w:rsidRPr="00D35381">
              <w:rPr>
                <w:rFonts w:ascii="Arial" w:hAnsi="Arial" w:cs="Arial"/>
                <w:sz w:val="18"/>
                <w:szCs w:val="18"/>
                <w:lang w:val="es-CO"/>
              </w:rPr>
              <w:t>Tipos de consultores</w:t>
            </w:r>
            <w:r w:rsidR="009F33FF" w:rsidRPr="00D35381">
              <w:rPr>
                <w:rFonts w:ascii="Arial" w:hAnsi="Arial" w:cs="Arial"/>
                <w:sz w:val="18"/>
                <w:szCs w:val="18"/>
                <w:lang w:val="es-CO"/>
              </w:rPr>
              <w:t>:</w:t>
            </w:r>
          </w:p>
        </w:tc>
        <w:tc>
          <w:tcPr>
            <w:tcW w:w="4680" w:type="dxa"/>
          </w:tcPr>
          <w:p w14:paraId="15486DEE" w14:textId="77777777" w:rsidR="009F33FF" w:rsidRPr="00D35381" w:rsidRDefault="006C2240" w:rsidP="00CD339B">
            <w:pPr>
              <w:spacing w:before="60"/>
              <w:ind w:left="-1"/>
              <w:rPr>
                <w:rFonts w:ascii="Arial" w:hAnsi="Arial" w:cs="Arial"/>
                <w:sz w:val="18"/>
                <w:szCs w:val="18"/>
                <w:lang w:val="es-CO"/>
              </w:rPr>
            </w:pPr>
            <w:r w:rsidRPr="00D35381">
              <w:rPr>
                <w:rFonts w:ascii="Arial" w:hAnsi="Arial" w:cs="Arial"/>
                <w:sz w:val="18"/>
                <w:szCs w:val="18"/>
                <w:lang w:val="es-CO"/>
              </w:rPr>
              <w:t xml:space="preserve">Firmas </w:t>
            </w:r>
            <w:r w:rsidR="00CF4A65" w:rsidRPr="00D35381">
              <w:rPr>
                <w:rFonts w:ascii="Arial" w:hAnsi="Arial" w:cs="Arial"/>
                <w:sz w:val="18"/>
                <w:szCs w:val="18"/>
                <w:lang w:val="es-CO"/>
              </w:rPr>
              <w:t>y</w:t>
            </w:r>
            <w:r w:rsidRPr="00D35381">
              <w:rPr>
                <w:rFonts w:ascii="Arial" w:hAnsi="Arial" w:cs="Arial"/>
                <w:sz w:val="18"/>
                <w:szCs w:val="18"/>
                <w:lang w:val="es-CO"/>
              </w:rPr>
              <w:t xml:space="preserve"> Consultores individuales</w:t>
            </w:r>
          </w:p>
        </w:tc>
      </w:tr>
      <w:tr w:rsidR="000C16F9" w:rsidRPr="00D27491" w14:paraId="1531EF8B" w14:textId="77777777" w:rsidTr="00CD339B">
        <w:trPr>
          <w:jc w:val="center"/>
        </w:trPr>
        <w:tc>
          <w:tcPr>
            <w:tcW w:w="4045" w:type="dxa"/>
          </w:tcPr>
          <w:p w14:paraId="2CBE91A7" w14:textId="77777777" w:rsidR="009F33FF" w:rsidRPr="00D35381" w:rsidRDefault="00E33333" w:rsidP="002753E1">
            <w:pPr>
              <w:pStyle w:val="ListParagraph"/>
              <w:numPr>
                <w:ilvl w:val="0"/>
                <w:numId w:val="1"/>
              </w:numPr>
              <w:spacing w:before="60"/>
              <w:ind w:left="180" w:hanging="180"/>
              <w:contextualSpacing w:val="0"/>
              <w:jc w:val="both"/>
              <w:rPr>
                <w:rFonts w:ascii="Arial" w:hAnsi="Arial" w:cs="Arial"/>
                <w:sz w:val="18"/>
                <w:szCs w:val="18"/>
                <w:lang w:val="es-CO"/>
              </w:rPr>
            </w:pPr>
            <w:r w:rsidRPr="00D35381">
              <w:rPr>
                <w:rFonts w:ascii="Arial" w:hAnsi="Arial" w:cs="Arial"/>
                <w:sz w:val="18"/>
                <w:szCs w:val="18"/>
                <w:lang w:val="es-CO"/>
              </w:rPr>
              <w:t>Unidad de Preparación</w:t>
            </w:r>
            <w:r w:rsidR="009F33FF" w:rsidRPr="00D35381">
              <w:rPr>
                <w:rFonts w:ascii="Arial" w:hAnsi="Arial" w:cs="Arial"/>
                <w:sz w:val="18"/>
                <w:szCs w:val="18"/>
                <w:lang w:val="es-CO"/>
              </w:rPr>
              <w:t>:</w:t>
            </w:r>
          </w:p>
        </w:tc>
        <w:tc>
          <w:tcPr>
            <w:tcW w:w="4680" w:type="dxa"/>
          </w:tcPr>
          <w:p w14:paraId="25E67562" w14:textId="5EA745C7" w:rsidR="009F33FF" w:rsidRPr="00D35381" w:rsidRDefault="00E25CB4" w:rsidP="00CD339B">
            <w:pPr>
              <w:spacing w:before="60"/>
              <w:ind w:left="-1"/>
              <w:rPr>
                <w:rFonts w:ascii="Arial" w:hAnsi="Arial" w:cs="Arial"/>
                <w:sz w:val="18"/>
                <w:szCs w:val="18"/>
                <w:lang w:val="es-CO"/>
              </w:rPr>
            </w:pPr>
            <w:r w:rsidRPr="00E25CB4">
              <w:rPr>
                <w:rFonts w:ascii="Arial" w:hAnsi="Arial" w:cs="Arial"/>
                <w:sz w:val="18"/>
                <w:szCs w:val="18"/>
                <w:lang w:val="es-CO"/>
              </w:rPr>
              <w:t>División de Agua y Saneamiento (INE/WSA)</w:t>
            </w:r>
          </w:p>
        </w:tc>
      </w:tr>
      <w:tr w:rsidR="000C16F9" w:rsidRPr="00F96749" w14:paraId="1F6E3F04" w14:textId="77777777" w:rsidTr="00CD339B">
        <w:trPr>
          <w:jc w:val="center"/>
        </w:trPr>
        <w:tc>
          <w:tcPr>
            <w:tcW w:w="4045" w:type="dxa"/>
          </w:tcPr>
          <w:p w14:paraId="37BF7127" w14:textId="426E14E0" w:rsidR="009F33FF" w:rsidRPr="00D35381" w:rsidRDefault="009F33FF" w:rsidP="002753E1">
            <w:pPr>
              <w:pStyle w:val="ListParagraph"/>
              <w:numPr>
                <w:ilvl w:val="0"/>
                <w:numId w:val="1"/>
              </w:numPr>
              <w:spacing w:before="60"/>
              <w:ind w:left="180" w:hanging="180"/>
              <w:contextualSpacing w:val="0"/>
              <w:jc w:val="both"/>
              <w:rPr>
                <w:rFonts w:ascii="Arial" w:hAnsi="Arial" w:cs="Arial"/>
                <w:sz w:val="18"/>
                <w:szCs w:val="18"/>
                <w:lang w:val="es-CO"/>
              </w:rPr>
            </w:pPr>
            <w:r w:rsidRPr="00D35381">
              <w:rPr>
                <w:rFonts w:ascii="Arial" w:hAnsi="Arial" w:cs="Arial"/>
                <w:sz w:val="18"/>
                <w:szCs w:val="18"/>
                <w:lang w:val="es-CO"/>
              </w:rPr>
              <w:t>Uni</w:t>
            </w:r>
            <w:r w:rsidR="00E33333" w:rsidRPr="00D35381">
              <w:rPr>
                <w:rFonts w:ascii="Arial" w:hAnsi="Arial" w:cs="Arial"/>
                <w:sz w:val="18"/>
                <w:szCs w:val="18"/>
                <w:lang w:val="es-CO"/>
              </w:rPr>
              <w:t>dad Responsab</w:t>
            </w:r>
            <w:r w:rsidR="00F50742" w:rsidRPr="00D35381">
              <w:rPr>
                <w:rFonts w:ascii="Arial" w:hAnsi="Arial" w:cs="Arial"/>
                <w:sz w:val="18"/>
                <w:szCs w:val="18"/>
                <w:lang w:val="es-CO"/>
              </w:rPr>
              <w:t>le</w:t>
            </w:r>
            <w:r w:rsidR="00E33333" w:rsidRPr="00D35381">
              <w:rPr>
                <w:rFonts w:ascii="Arial" w:hAnsi="Arial" w:cs="Arial"/>
                <w:sz w:val="18"/>
                <w:szCs w:val="18"/>
                <w:lang w:val="es-CO"/>
              </w:rPr>
              <w:t xml:space="preserve"> de Desembolso</w:t>
            </w:r>
            <w:r w:rsidR="000259D8" w:rsidRPr="00D35381">
              <w:rPr>
                <w:rFonts w:ascii="Arial" w:hAnsi="Arial" w:cs="Arial"/>
                <w:sz w:val="18"/>
                <w:szCs w:val="18"/>
                <w:lang w:val="es-CO"/>
              </w:rPr>
              <w:t xml:space="preserve"> </w:t>
            </w:r>
            <w:r w:rsidR="00CD339B">
              <w:rPr>
                <w:rFonts w:ascii="Arial" w:hAnsi="Arial" w:cs="Arial"/>
                <w:sz w:val="18"/>
                <w:szCs w:val="18"/>
                <w:lang w:val="es-CO"/>
              </w:rPr>
              <w:t>(UDR):</w:t>
            </w:r>
          </w:p>
        </w:tc>
        <w:tc>
          <w:tcPr>
            <w:tcW w:w="4680" w:type="dxa"/>
          </w:tcPr>
          <w:p w14:paraId="4664ADD9" w14:textId="36623C5C" w:rsidR="009F33FF" w:rsidRPr="00D35381" w:rsidRDefault="00314AA4" w:rsidP="00CD339B">
            <w:pPr>
              <w:spacing w:before="60"/>
              <w:ind w:left="-1"/>
              <w:rPr>
                <w:rFonts w:ascii="Arial" w:hAnsi="Arial" w:cs="Arial"/>
                <w:sz w:val="18"/>
                <w:szCs w:val="18"/>
                <w:lang w:val="es-CO"/>
              </w:rPr>
            </w:pPr>
            <w:r>
              <w:rPr>
                <w:rFonts w:ascii="Arial" w:hAnsi="Arial" w:cs="Arial"/>
                <w:sz w:val="18"/>
                <w:szCs w:val="18"/>
                <w:lang w:val="es-CO"/>
              </w:rPr>
              <w:t>Oficina de País Paraguay (</w:t>
            </w:r>
            <w:r w:rsidR="00E25CB4" w:rsidRPr="00E25CB4">
              <w:rPr>
                <w:rFonts w:ascii="Arial" w:hAnsi="Arial" w:cs="Arial"/>
                <w:sz w:val="18"/>
                <w:szCs w:val="18"/>
                <w:lang w:val="es-CO"/>
              </w:rPr>
              <w:t>CSC/C</w:t>
            </w:r>
            <w:r w:rsidR="00E25CB4">
              <w:rPr>
                <w:rFonts w:ascii="Arial" w:hAnsi="Arial" w:cs="Arial"/>
                <w:sz w:val="18"/>
                <w:szCs w:val="18"/>
                <w:lang w:val="es-CO"/>
              </w:rPr>
              <w:t>PR</w:t>
            </w:r>
            <w:r>
              <w:rPr>
                <w:rFonts w:ascii="Arial" w:hAnsi="Arial" w:cs="Arial"/>
                <w:sz w:val="18"/>
                <w:szCs w:val="18"/>
                <w:lang w:val="es-CO"/>
              </w:rPr>
              <w:t>)</w:t>
            </w:r>
          </w:p>
        </w:tc>
      </w:tr>
      <w:tr w:rsidR="000C16F9" w:rsidRPr="00D35381" w14:paraId="215B2BD0" w14:textId="77777777" w:rsidTr="00CD339B">
        <w:trPr>
          <w:jc w:val="center"/>
        </w:trPr>
        <w:tc>
          <w:tcPr>
            <w:tcW w:w="4045" w:type="dxa"/>
          </w:tcPr>
          <w:p w14:paraId="6374467B" w14:textId="77777777" w:rsidR="009F33FF" w:rsidRPr="00D35381" w:rsidRDefault="009F33FF" w:rsidP="002753E1">
            <w:pPr>
              <w:pStyle w:val="ListParagraph"/>
              <w:numPr>
                <w:ilvl w:val="0"/>
                <w:numId w:val="1"/>
              </w:numPr>
              <w:spacing w:before="60"/>
              <w:ind w:left="180" w:hanging="180"/>
              <w:contextualSpacing w:val="0"/>
              <w:jc w:val="both"/>
              <w:rPr>
                <w:rFonts w:ascii="Arial" w:hAnsi="Arial" w:cs="Arial"/>
                <w:sz w:val="18"/>
                <w:szCs w:val="18"/>
                <w:lang w:val="es-CO"/>
              </w:rPr>
            </w:pPr>
            <w:r w:rsidRPr="00D35381">
              <w:rPr>
                <w:rFonts w:ascii="Arial" w:hAnsi="Arial" w:cs="Arial"/>
                <w:sz w:val="18"/>
                <w:szCs w:val="18"/>
                <w:lang w:val="es-CO"/>
              </w:rPr>
              <w:t>C</w:t>
            </w:r>
            <w:r w:rsidR="00E33333" w:rsidRPr="00D35381">
              <w:rPr>
                <w:rFonts w:ascii="Arial" w:hAnsi="Arial" w:cs="Arial"/>
                <w:sz w:val="18"/>
                <w:szCs w:val="18"/>
                <w:lang w:val="es-CO"/>
              </w:rPr>
              <w:t>T incluida en la Estrategia de País</w:t>
            </w:r>
            <w:r w:rsidRPr="00D35381">
              <w:rPr>
                <w:rFonts w:ascii="Arial" w:hAnsi="Arial" w:cs="Arial"/>
                <w:sz w:val="18"/>
                <w:szCs w:val="18"/>
                <w:lang w:val="es-CO"/>
              </w:rPr>
              <w:t xml:space="preserve">: </w:t>
            </w:r>
          </w:p>
          <w:p w14:paraId="7EC0C834" w14:textId="77777777" w:rsidR="009F33FF" w:rsidRPr="00D35381" w:rsidRDefault="00E33333" w:rsidP="002753E1">
            <w:pPr>
              <w:pStyle w:val="ListParagraph"/>
              <w:numPr>
                <w:ilvl w:val="0"/>
                <w:numId w:val="1"/>
              </w:numPr>
              <w:spacing w:before="60"/>
              <w:ind w:left="180" w:hanging="180"/>
              <w:contextualSpacing w:val="0"/>
              <w:jc w:val="both"/>
              <w:rPr>
                <w:rFonts w:ascii="Arial" w:hAnsi="Arial" w:cs="Arial"/>
                <w:sz w:val="18"/>
                <w:szCs w:val="18"/>
                <w:lang w:val="es-CO"/>
              </w:rPr>
            </w:pPr>
            <w:r w:rsidRPr="00D35381">
              <w:rPr>
                <w:rFonts w:ascii="Arial" w:hAnsi="Arial" w:cs="Arial"/>
                <w:sz w:val="18"/>
                <w:szCs w:val="18"/>
                <w:lang w:val="es-CO"/>
              </w:rPr>
              <w:t xml:space="preserve">CT </w:t>
            </w:r>
            <w:r w:rsidR="00821064">
              <w:rPr>
                <w:rFonts w:ascii="Arial" w:hAnsi="Arial" w:cs="Arial"/>
                <w:sz w:val="18"/>
                <w:szCs w:val="18"/>
                <w:lang w:val="es-CO"/>
              </w:rPr>
              <w:t>incluida</w:t>
            </w:r>
            <w:r w:rsidRPr="00D35381">
              <w:rPr>
                <w:rFonts w:ascii="Arial" w:hAnsi="Arial" w:cs="Arial"/>
                <w:sz w:val="18"/>
                <w:szCs w:val="18"/>
                <w:lang w:val="es-CO"/>
              </w:rPr>
              <w:t xml:space="preserve"> en </w:t>
            </w:r>
            <w:r w:rsidR="009F33FF" w:rsidRPr="00D35381">
              <w:rPr>
                <w:rFonts w:ascii="Arial" w:hAnsi="Arial" w:cs="Arial"/>
                <w:sz w:val="18"/>
                <w:szCs w:val="18"/>
                <w:lang w:val="es-CO"/>
              </w:rPr>
              <w:t xml:space="preserve">CPD: </w:t>
            </w:r>
          </w:p>
        </w:tc>
        <w:tc>
          <w:tcPr>
            <w:tcW w:w="4680" w:type="dxa"/>
          </w:tcPr>
          <w:p w14:paraId="44CD65D5" w14:textId="3188DACF" w:rsidR="00A60AB6" w:rsidRPr="00BA5791" w:rsidRDefault="00B05C72" w:rsidP="00CD339B">
            <w:pPr>
              <w:spacing w:before="60"/>
              <w:ind w:left="-1"/>
              <w:rPr>
                <w:rFonts w:ascii="Arial" w:hAnsi="Arial" w:cs="Arial"/>
                <w:sz w:val="18"/>
                <w:szCs w:val="18"/>
                <w:highlight w:val="yellow"/>
                <w:lang w:val="es-CO"/>
              </w:rPr>
            </w:pPr>
            <w:r w:rsidRPr="00AE5E61">
              <w:rPr>
                <w:rFonts w:ascii="Arial" w:hAnsi="Arial" w:cs="Arial"/>
                <w:sz w:val="18"/>
                <w:szCs w:val="18"/>
                <w:lang w:val="es-CO"/>
              </w:rPr>
              <w:t>Si</w:t>
            </w:r>
            <w:r w:rsidRPr="00BA5791">
              <w:rPr>
                <w:rFonts w:ascii="Arial" w:hAnsi="Arial" w:cs="Arial"/>
                <w:sz w:val="18"/>
                <w:szCs w:val="18"/>
                <w:highlight w:val="yellow"/>
                <w:lang w:val="es-CO"/>
              </w:rPr>
              <w:t xml:space="preserve"> </w:t>
            </w:r>
          </w:p>
          <w:p w14:paraId="16C8686F" w14:textId="10E9C965" w:rsidR="00DE6909" w:rsidRPr="00BA5791" w:rsidRDefault="00895E07" w:rsidP="00CD339B">
            <w:pPr>
              <w:spacing w:before="60"/>
              <w:ind w:left="-1"/>
              <w:rPr>
                <w:rFonts w:ascii="Arial" w:hAnsi="Arial" w:cs="Arial"/>
                <w:sz w:val="18"/>
                <w:szCs w:val="18"/>
                <w:highlight w:val="yellow"/>
                <w:lang w:val="es-CO"/>
              </w:rPr>
            </w:pPr>
            <w:r w:rsidRPr="000A4479">
              <w:rPr>
                <w:rFonts w:ascii="Arial" w:hAnsi="Arial" w:cs="Arial"/>
                <w:sz w:val="18"/>
                <w:szCs w:val="18"/>
                <w:lang w:val="es-CO"/>
              </w:rPr>
              <w:t>Si</w:t>
            </w:r>
          </w:p>
        </w:tc>
      </w:tr>
      <w:tr w:rsidR="000C16F9" w:rsidRPr="00D27491" w14:paraId="40F28E86" w14:textId="77777777" w:rsidTr="00CD339B">
        <w:trPr>
          <w:jc w:val="center"/>
        </w:trPr>
        <w:tc>
          <w:tcPr>
            <w:tcW w:w="4045" w:type="dxa"/>
          </w:tcPr>
          <w:p w14:paraId="41AC9AF6" w14:textId="07E20198" w:rsidR="009F33FF" w:rsidRPr="006D3726" w:rsidRDefault="00427CEA" w:rsidP="002753E1">
            <w:pPr>
              <w:pStyle w:val="ListParagraph"/>
              <w:numPr>
                <w:ilvl w:val="0"/>
                <w:numId w:val="1"/>
              </w:numPr>
              <w:spacing w:before="60"/>
              <w:ind w:left="180" w:hanging="180"/>
              <w:contextualSpacing w:val="0"/>
              <w:jc w:val="both"/>
              <w:rPr>
                <w:rFonts w:ascii="Arial" w:hAnsi="Arial" w:cs="Arial"/>
                <w:sz w:val="18"/>
                <w:szCs w:val="18"/>
                <w:lang w:val="es-CO"/>
              </w:rPr>
            </w:pPr>
            <w:r w:rsidRPr="006D3726">
              <w:rPr>
                <w:rFonts w:ascii="Arial" w:hAnsi="Arial" w:cs="Arial"/>
                <w:sz w:val="18"/>
                <w:szCs w:val="18"/>
                <w:lang w:val="es-ES"/>
              </w:rPr>
              <w:t>Alineación</w:t>
            </w:r>
            <w:r w:rsidR="00E25CB4">
              <w:rPr>
                <w:rFonts w:ascii="Arial" w:hAnsi="Arial" w:cs="Arial"/>
                <w:sz w:val="18"/>
                <w:szCs w:val="18"/>
                <w:lang w:val="es-ES"/>
              </w:rPr>
              <w:t xml:space="preserve"> </w:t>
            </w:r>
            <w:r w:rsidR="00E25CB4" w:rsidRPr="00E25CB4">
              <w:rPr>
                <w:rFonts w:ascii="Arial" w:hAnsi="Arial" w:cs="Arial"/>
                <w:sz w:val="18"/>
                <w:szCs w:val="18"/>
                <w:lang w:val="es-ES"/>
              </w:rPr>
              <w:t>a la Actualización de la Estrategia Institucional 2010-2020:</w:t>
            </w:r>
          </w:p>
        </w:tc>
        <w:tc>
          <w:tcPr>
            <w:tcW w:w="4680" w:type="dxa"/>
          </w:tcPr>
          <w:p w14:paraId="15C1A563" w14:textId="77777777" w:rsidR="009F33FF" w:rsidRPr="006D3726" w:rsidRDefault="00427CEA" w:rsidP="00CD339B">
            <w:pPr>
              <w:autoSpaceDE w:val="0"/>
              <w:autoSpaceDN w:val="0"/>
              <w:adjustRightInd w:val="0"/>
              <w:spacing w:before="60"/>
              <w:ind w:left="-1"/>
              <w:jc w:val="both"/>
              <w:rPr>
                <w:rFonts w:ascii="Arial" w:hAnsi="Arial" w:cs="Arial"/>
                <w:sz w:val="18"/>
                <w:szCs w:val="18"/>
                <w:lang w:val="es-CO"/>
              </w:rPr>
            </w:pPr>
            <w:r w:rsidRPr="006D3726">
              <w:rPr>
                <w:rFonts w:ascii="Arial" w:hAnsi="Arial" w:cs="Arial"/>
                <w:sz w:val="18"/>
                <w:szCs w:val="18"/>
                <w:lang w:val="es-CO"/>
              </w:rPr>
              <w:t>Inclusión social e igualdad</w:t>
            </w:r>
            <w:r w:rsidR="005F3C23" w:rsidRPr="006D3726">
              <w:rPr>
                <w:rFonts w:ascii="Arial" w:hAnsi="Arial" w:cs="Arial"/>
                <w:sz w:val="18"/>
                <w:szCs w:val="18"/>
                <w:lang w:val="es-CO"/>
              </w:rPr>
              <w:t xml:space="preserve">; </w:t>
            </w:r>
            <w:r w:rsidRPr="006D3726">
              <w:rPr>
                <w:rFonts w:ascii="Arial" w:hAnsi="Arial" w:cs="Arial"/>
                <w:sz w:val="18"/>
                <w:szCs w:val="18"/>
                <w:lang w:val="es-CO"/>
              </w:rPr>
              <w:t>Cambio climático y sostenibilidad ambiental</w:t>
            </w:r>
            <w:r w:rsidR="005F3C23" w:rsidRPr="006D3726">
              <w:rPr>
                <w:rFonts w:ascii="Arial" w:hAnsi="Arial" w:cs="Arial"/>
                <w:sz w:val="18"/>
                <w:szCs w:val="18"/>
                <w:lang w:val="es-CO"/>
              </w:rPr>
              <w:t xml:space="preserve">; </w:t>
            </w:r>
            <w:r w:rsidR="00E0215F" w:rsidRPr="006D3726">
              <w:rPr>
                <w:rFonts w:ascii="Arial" w:hAnsi="Arial" w:cs="Arial"/>
                <w:sz w:val="18"/>
                <w:szCs w:val="18"/>
                <w:lang w:val="es-CO"/>
              </w:rPr>
              <w:t>I</w:t>
            </w:r>
            <w:r w:rsidR="00A01B38" w:rsidRPr="006D3726">
              <w:rPr>
                <w:rFonts w:ascii="Arial" w:hAnsi="Arial" w:cs="Arial"/>
                <w:sz w:val="18"/>
                <w:szCs w:val="18"/>
                <w:lang w:val="es-CO"/>
              </w:rPr>
              <w:t>nstituciones y Estado de derecho</w:t>
            </w:r>
            <w:r w:rsidR="00A01B38" w:rsidRPr="006D3726" w:rsidDel="00427CEA">
              <w:rPr>
                <w:rFonts w:ascii="Arial" w:hAnsi="Arial" w:cs="Arial"/>
                <w:sz w:val="18"/>
                <w:szCs w:val="18"/>
                <w:lang w:val="es-CO"/>
              </w:rPr>
              <w:t xml:space="preserve"> </w:t>
            </w:r>
          </w:p>
        </w:tc>
      </w:tr>
    </w:tbl>
    <w:p w14:paraId="34527010" w14:textId="77385675" w:rsidR="0095711B" w:rsidRPr="00D35381" w:rsidRDefault="00C43E24" w:rsidP="002753E1">
      <w:pPr>
        <w:pStyle w:val="ListParagraph"/>
        <w:numPr>
          <w:ilvl w:val="0"/>
          <w:numId w:val="2"/>
        </w:numPr>
        <w:spacing w:before="120" w:after="120" w:line="240" w:lineRule="auto"/>
        <w:contextualSpacing w:val="0"/>
        <w:rPr>
          <w:rFonts w:ascii="Arial" w:hAnsi="Arial" w:cs="Arial"/>
          <w:b/>
          <w:lang w:val="es-CO"/>
        </w:rPr>
      </w:pPr>
      <w:r w:rsidRPr="00D35381">
        <w:rPr>
          <w:rFonts w:ascii="Arial" w:hAnsi="Arial" w:cs="Arial"/>
          <w:b/>
          <w:lang w:val="es-CO"/>
        </w:rPr>
        <w:t>Obje</w:t>
      </w:r>
      <w:r w:rsidR="00F00960" w:rsidRPr="00D35381">
        <w:rPr>
          <w:rFonts w:ascii="Arial" w:hAnsi="Arial" w:cs="Arial"/>
          <w:b/>
          <w:lang w:val="es-CO"/>
        </w:rPr>
        <w:t>tivos</w:t>
      </w:r>
      <w:r w:rsidRPr="00D35381">
        <w:rPr>
          <w:rFonts w:ascii="Arial" w:hAnsi="Arial" w:cs="Arial"/>
          <w:b/>
          <w:lang w:val="es-CO"/>
        </w:rPr>
        <w:t xml:space="preserve"> </w:t>
      </w:r>
      <w:r w:rsidR="00F00960" w:rsidRPr="00D35381">
        <w:rPr>
          <w:rFonts w:ascii="Arial" w:hAnsi="Arial" w:cs="Arial"/>
          <w:b/>
          <w:lang w:val="es-CO"/>
        </w:rPr>
        <w:t xml:space="preserve">y Justificación de la </w:t>
      </w:r>
      <w:r w:rsidR="0059728E" w:rsidRPr="00D35381">
        <w:rPr>
          <w:rFonts w:ascii="Arial" w:hAnsi="Arial" w:cs="Arial"/>
          <w:b/>
          <w:lang w:val="es-CO"/>
        </w:rPr>
        <w:t>CT</w:t>
      </w:r>
    </w:p>
    <w:p w14:paraId="13A71E81" w14:textId="3E17F007" w:rsidR="00314AA4" w:rsidRDefault="00314AA4" w:rsidP="002753E1">
      <w:pPr>
        <w:pStyle w:val="ListParagraph"/>
        <w:numPr>
          <w:ilvl w:val="1"/>
          <w:numId w:val="2"/>
        </w:numPr>
        <w:spacing w:after="120" w:line="240" w:lineRule="auto"/>
        <w:ind w:hanging="547"/>
        <w:contextualSpacing w:val="0"/>
        <w:jc w:val="both"/>
        <w:rPr>
          <w:rFonts w:ascii="Arial" w:hAnsi="Arial" w:cs="Arial"/>
          <w:lang w:val="es-CO"/>
        </w:rPr>
      </w:pPr>
      <w:r w:rsidRPr="00314AA4">
        <w:rPr>
          <w:rFonts w:ascii="Arial" w:hAnsi="Arial" w:cs="Arial"/>
          <w:lang w:val="es-CO"/>
        </w:rPr>
        <w:t>El objetivo de esta CT es apoyar el diseño e implementación de reformas para el fortalecimiento del sector de A&amp;S en Paraguay, y en la planificación de medidas de corto y mediano plazo (2019-2023), establecidas en el Plan Nacional de Agua y Saneamiento para el cumplimiento progresivo de los ODS. Asimismo, la CT apoyará el fortalecimiento a la planificación de inversiones de largo plazo y desarrollo de proyectos eficientes para las áreas metropolitanas de Asunción y Ciudad del Este</w:t>
      </w:r>
      <w:r>
        <w:rPr>
          <w:rFonts w:ascii="Arial" w:hAnsi="Arial" w:cs="Arial"/>
          <w:lang w:val="es-CO"/>
        </w:rPr>
        <w:t>.</w:t>
      </w:r>
    </w:p>
    <w:p w14:paraId="5B10FA91" w14:textId="63DC4099" w:rsidR="008B1F81" w:rsidRDefault="00FB6C45" w:rsidP="002753E1">
      <w:pPr>
        <w:pStyle w:val="ListParagraph"/>
        <w:numPr>
          <w:ilvl w:val="1"/>
          <w:numId w:val="2"/>
        </w:numPr>
        <w:spacing w:after="120" w:line="240" w:lineRule="auto"/>
        <w:ind w:hanging="547"/>
        <w:contextualSpacing w:val="0"/>
        <w:jc w:val="both"/>
        <w:rPr>
          <w:rFonts w:ascii="Arial" w:hAnsi="Arial" w:cs="Arial"/>
          <w:lang w:val="es-CO"/>
        </w:rPr>
      </w:pPr>
      <w:r>
        <w:rPr>
          <w:rFonts w:ascii="Arial" w:hAnsi="Arial" w:cs="Arial"/>
          <w:lang w:val="es-CO"/>
        </w:rPr>
        <w:lastRenderedPageBreak/>
        <w:t>Según la Dirección General de Estadística, Encuestas y Censos (DGEEC)</w:t>
      </w:r>
      <w:r w:rsidR="00BD7D42">
        <w:rPr>
          <w:rStyle w:val="FootnoteReference"/>
          <w:rFonts w:ascii="Arial" w:hAnsi="Arial" w:cs="Arial"/>
          <w:lang w:val="es-CO"/>
        </w:rPr>
        <w:footnoteReference w:id="2"/>
      </w:r>
      <w:r>
        <w:rPr>
          <w:rFonts w:ascii="Arial" w:hAnsi="Arial" w:cs="Arial"/>
          <w:lang w:val="es-CO"/>
        </w:rPr>
        <w:t xml:space="preserve">, el 87,5% de la población de Paraguay cuenta con acceso a agua mejorada y el 82,90% cuenta con acceso a saneamiento mejorado. </w:t>
      </w:r>
      <w:r w:rsidR="00640D57">
        <w:rPr>
          <w:rFonts w:ascii="Arial" w:hAnsi="Arial" w:cs="Arial"/>
          <w:lang w:val="es-CO"/>
        </w:rPr>
        <w:t xml:space="preserve">Si bien las cifras </w:t>
      </w:r>
      <w:r w:rsidR="002E06F9">
        <w:rPr>
          <w:rFonts w:ascii="Arial" w:hAnsi="Arial" w:cs="Arial"/>
          <w:lang w:val="es-CO"/>
        </w:rPr>
        <w:t>son</w:t>
      </w:r>
      <w:r w:rsidR="00640D57">
        <w:rPr>
          <w:rFonts w:ascii="Arial" w:hAnsi="Arial" w:cs="Arial"/>
          <w:lang w:val="es-CO"/>
        </w:rPr>
        <w:t xml:space="preserve"> cercanas al promedio de LAC</w:t>
      </w:r>
      <w:r w:rsidR="00BD7D42">
        <w:rPr>
          <w:rStyle w:val="FootnoteReference"/>
          <w:rFonts w:ascii="Arial" w:hAnsi="Arial" w:cs="Arial"/>
          <w:lang w:val="es-CO"/>
        </w:rPr>
        <w:footnoteReference w:id="3"/>
      </w:r>
      <w:r w:rsidR="00640D57">
        <w:rPr>
          <w:rFonts w:ascii="Arial" w:hAnsi="Arial" w:cs="Arial"/>
          <w:lang w:val="es-CO"/>
        </w:rPr>
        <w:t>, al verificar el tipo de provisión de estos servicios</w:t>
      </w:r>
      <w:r w:rsidR="00BD7D42">
        <w:rPr>
          <w:rFonts w:ascii="Arial" w:hAnsi="Arial" w:cs="Arial"/>
          <w:lang w:val="es-CO"/>
        </w:rPr>
        <w:t>,</w:t>
      </w:r>
      <w:r w:rsidR="00640D57">
        <w:rPr>
          <w:rFonts w:ascii="Arial" w:hAnsi="Arial" w:cs="Arial"/>
          <w:lang w:val="es-CO"/>
        </w:rPr>
        <w:t xml:space="preserve"> se puede notar el gran de rezago del país frente a sus pares regionales</w:t>
      </w:r>
      <w:r w:rsidR="00BD7D42">
        <w:rPr>
          <w:rStyle w:val="FootnoteReference"/>
          <w:rFonts w:ascii="Arial" w:hAnsi="Arial" w:cs="Arial"/>
          <w:lang w:val="es-CO"/>
        </w:rPr>
        <w:footnoteReference w:id="4"/>
      </w:r>
      <w:r w:rsidR="00640D57">
        <w:rPr>
          <w:rFonts w:ascii="Arial" w:hAnsi="Arial" w:cs="Arial"/>
          <w:lang w:val="es-CO"/>
        </w:rPr>
        <w:t xml:space="preserve">. Actualmente la cobertura de agua potable por red es del 78% y el alcantarillado sanitario alcanza </w:t>
      </w:r>
      <w:r w:rsidR="00174648">
        <w:rPr>
          <w:rFonts w:ascii="Arial" w:hAnsi="Arial" w:cs="Arial"/>
          <w:lang w:val="es-CO"/>
        </w:rPr>
        <w:t>a</w:t>
      </w:r>
      <w:r w:rsidR="00640D57">
        <w:rPr>
          <w:rFonts w:ascii="Arial" w:hAnsi="Arial" w:cs="Arial"/>
          <w:lang w:val="es-CO"/>
        </w:rPr>
        <w:t>l 12,2% de la población</w:t>
      </w:r>
      <w:r w:rsidR="00BD7D42">
        <w:rPr>
          <w:rStyle w:val="FootnoteReference"/>
          <w:rFonts w:ascii="Arial" w:hAnsi="Arial" w:cs="Arial"/>
          <w:lang w:val="es-CO"/>
        </w:rPr>
        <w:footnoteReference w:id="5"/>
      </w:r>
      <w:r w:rsidR="00640D57">
        <w:rPr>
          <w:rFonts w:ascii="Arial" w:hAnsi="Arial" w:cs="Arial"/>
          <w:lang w:val="es-CO"/>
        </w:rPr>
        <w:t xml:space="preserve">. </w:t>
      </w:r>
      <w:r w:rsidR="00BD7D42">
        <w:rPr>
          <w:rFonts w:ascii="Arial" w:hAnsi="Arial" w:cs="Arial"/>
          <w:lang w:val="es-CO"/>
        </w:rPr>
        <w:t xml:space="preserve">A esta situación se suma que, solo el 79% de la población servida a través de redes recibe agua con desinfección y que </w:t>
      </w:r>
      <w:r w:rsidR="00174648">
        <w:rPr>
          <w:rFonts w:ascii="Arial" w:hAnsi="Arial" w:cs="Arial"/>
          <w:lang w:val="es-CO"/>
        </w:rPr>
        <w:t xml:space="preserve">apenas </w:t>
      </w:r>
      <w:r w:rsidR="00BD7D42">
        <w:rPr>
          <w:rFonts w:ascii="Arial" w:hAnsi="Arial" w:cs="Arial"/>
          <w:lang w:val="es-CO"/>
        </w:rPr>
        <w:t>el 2% de las aguas residuales reciben algún tipo de tratamiento previo a su vertimiento a los cuerpos receptores</w:t>
      </w:r>
      <w:r w:rsidR="000B08DE">
        <w:rPr>
          <w:rStyle w:val="FootnoteReference"/>
          <w:rFonts w:ascii="Arial" w:hAnsi="Arial" w:cs="Arial"/>
          <w:lang w:val="es-CO"/>
        </w:rPr>
        <w:footnoteReference w:id="6"/>
      </w:r>
      <w:r w:rsidR="00BD7D42">
        <w:rPr>
          <w:rFonts w:ascii="Arial" w:hAnsi="Arial" w:cs="Arial"/>
          <w:lang w:val="es-CO"/>
        </w:rPr>
        <w:t>, teniendo esto sus claros efectos sobre la salud pública y el medio ambiente.</w:t>
      </w:r>
      <w:r w:rsidR="009C4040">
        <w:rPr>
          <w:rFonts w:ascii="Arial" w:hAnsi="Arial" w:cs="Arial"/>
          <w:lang w:val="es-CO"/>
        </w:rPr>
        <w:t xml:space="preserve"> Por otra parte, un aspecto crítico que presenta el sector es la desigualdad en el acceso a los servicios, desde el ámbito geográfico, nivel de ingresos y, principalmente, por origen ético, con niveles de acceso</w:t>
      </w:r>
      <w:r w:rsidR="000B08DE">
        <w:rPr>
          <w:rFonts w:ascii="Arial" w:hAnsi="Arial" w:cs="Arial"/>
          <w:lang w:val="es-CO"/>
        </w:rPr>
        <w:t xml:space="preserve"> hasta</w:t>
      </w:r>
      <w:r w:rsidR="009C4040">
        <w:rPr>
          <w:rFonts w:ascii="Arial" w:hAnsi="Arial" w:cs="Arial"/>
          <w:lang w:val="es-CO"/>
        </w:rPr>
        <w:t xml:space="preserve"> 20 veces menores que el promedio de la población</w:t>
      </w:r>
      <w:r w:rsidR="009C4040">
        <w:rPr>
          <w:rStyle w:val="FootnoteReference"/>
          <w:rFonts w:ascii="Arial" w:hAnsi="Arial" w:cs="Arial"/>
          <w:lang w:val="es-CO"/>
        </w:rPr>
        <w:footnoteReference w:id="7"/>
      </w:r>
      <w:r w:rsidR="00B82307">
        <w:rPr>
          <w:rFonts w:ascii="Arial" w:hAnsi="Arial" w:cs="Arial"/>
          <w:lang w:val="es-CO"/>
        </w:rPr>
        <w:t>.</w:t>
      </w:r>
      <w:r w:rsidR="009C4040">
        <w:rPr>
          <w:rFonts w:ascii="Arial" w:hAnsi="Arial" w:cs="Arial"/>
          <w:lang w:val="es-CO"/>
        </w:rPr>
        <w:t xml:space="preserve">  </w:t>
      </w:r>
    </w:p>
    <w:p w14:paraId="13D957EE" w14:textId="58CCEA61" w:rsidR="00640D57" w:rsidRPr="00FB2B27" w:rsidRDefault="00C66A32" w:rsidP="002753E1">
      <w:pPr>
        <w:pStyle w:val="ListParagraph"/>
        <w:numPr>
          <w:ilvl w:val="1"/>
          <w:numId w:val="2"/>
        </w:numPr>
        <w:spacing w:after="120" w:line="240" w:lineRule="auto"/>
        <w:ind w:hanging="547"/>
        <w:contextualSpacing w:val="0"/>
        <w:jc w:val="both"/>
        <w:rPr>
          <w:rFonts w:ascii="Arial" w:hAnsi="Arial" w:cs="Arial"/>
          <w:lang w:val="es-CO"/>
        </w:rPr>
      </w:pPr>
      <w:r>
        <w:rPr>
          <w:rFonts w:ascii="Arial" w:hAnsi="Arial" w:cs="Arial"/>
          <w:lang w:val="es-CO"/>
        </w:rPr>
        <w:t xml:space="preserve">La situación planteada tiene múltiples causas, entre ellas la </w:t>
      </w:r>
      <w:r w:rsidR="0024788D">
        <w:rPr>
          <w:rFonts w:ascii="Arial" w:hAnsi="Arial" w:cs="Arial"/>
          <w:lang w:val="es-CO"/>
        </w:rPr>
        <w:t xml:space="preserve">falta de planificación, </w:t>
      </w:r>
      <w:r w:rsidR="005A44AA">
        <w:rPr>
          <w:rFonts w:ascii="Arial" w:hAnsi="Arial" w:cs="Arial"/>
          <w:lang w:val="es-CO"/>
        </w:rPr>
        <w:t>el bajo nivel de inversión anual en el s</w:t>
      </w:r>
      <w:r w:rsidR="0024788D">
        <w:rPr>
          <w:rFonts w:ascii="Arial" w:hAnsi="Arial" w:cs="Arial"/>
          <w:lang w:val="es-CO"/>
        </w:rPr>
        <w:t>ector</w:t>
      </w:r>
      <w:r w:rsidR="0024788D">
        <w:rPr>
          <w:rStyle w:val="FootnoteReference"/>
          <w:rFonts w:ascii="Arial" w:hAnsi="Arial" w:cs="Arial"/>
          <w:lang w:val="es-CO"/>
        </w:rPr>
        <w:footnoteReference w:id="8"/>
      </w:r>
      <w:r w:rsidR="0024788D">
        <w:rPr>
          <w:rFonts w:ascii="Arial" w:hAnsi="Arial" w:cs="Arial"/>
          <w:lang w:val="es-CO"/>
        </w:rPr>
        <w:t xml:space="preserve">, </w:t>
      </w:r>
      <w:r w:rsidR="00D7738A">
        <w:rPr>
          <w:rFonts w:ascii="Arial" w:hAnsi="Arial" w:cs="Arial"/>
          <w:lang w:val="es-CO"/>
        </w:rPr>
        <w:t>la limitada r</w:t>
      </w:r>
      <w:r w:rsidR="00D7738A" w:rsidRPr="00FB2B27">
        <w:rPr>
          <w:rFonts w:ascii="Arial" w:hAnsi="Arial" w:cs="Arial"/>
          <w:lang w:val="es-CO"/>
        </w:rPr>
        <w:t>egulación</w:t>
      </w:r>
      <w:r w:rsidR="00D7738A">
        <w:rPr>
          <w:rFonts w:ascii="Arial" w:hAnsi="Arial" w:cs="Arial"/>
          <w:lang w:val="es-CO"/>
        </w:rPr>
        <w:t xml:space="preserve"> ejercida sobre</w:t>
      </w:r>
      <w:r w:rsidR="00D7738A" w:rsidRPr="00FB2B27">
        <w:rPr>
          <w:rFonts w:ascii="Arial" w:hAnsi="Arial" w:cs="Arial"/>
          <w:lang w:val="es-CO"/>
        </w:rPr>
        <w:t xml:space="preserve"> </w:t>
      </w:r>
      <w:r w:rsidR="00D7738A">
        <w:rPr>
          <w:rFonts w:ascii="Arial" w:hAnsi="Arial" w:cs="Arial"/>
          <w:lang w:val="es-CO"/>
        </w:rPr>
        <w:t xml:space="preserve">los </w:t>
      </w:r>
      <w:r w:rsidR="00D7738A" w:rsidRPr="00FB2B27">
        <w:rPr>
          <w:rFonts w:ascii="Arial" w:hAnsi="Arial" w:cs="Arial"/>
          <w:lang w:val="es-CO"/>
        </w:rPr>
        <w:t>prestador</w:t>
      </w:r>
      <w:r w:rsidR="00D7738A">
        <w:rPr>
          <w:rFonts w:ascii="Arial" w:hAnsi="Arial" w:cs="Arial"/>
          <w:lang w:val="es-CO"/>
        </w:rPr>
        <w:t>e</w:t>
      </w:r>
      <w:r w:rsidR="00D7738A" w:rsidRPr="00FB2B27">
        <w:rPr>
          <w:rFonts w:ascii="Arial" w:hAnsi="Arial" w:cs="Arial"/>
          <w:lang w:val="es-CO"/>
        </w:rPr>
        <w:t>s</w:t>
      </w:r>
      <w:r w:rsidR="00D7738A">
        <w:rPr>
          <w:rFonts w:ascii="Arial" w:hAnsi="Arial" w:cs="Arial"/>
          <w:lang w:val="es-CO"/>
        </w:rPr>
        <w:t xml:space="preserve"> de servicios, y </w:t>
      </w:r>
      <w:r w:rsidR="00FB2B27">
        <w:rPr>
          <w:rFonts w:ascii="Arial" w:hAnsi="Arial" w:cs="Arial"/>
          <w:lang w:val="es-CO"/>
        </w:rPr>
        <w:t xml:space="preserve">la </w:t>
      </w:r>
      <w:r w:rsidR="0024788D">
        <w:rPr>
          <w:rFonts w:ascii="Arial" w:hAnsi="Arial" w:cs="Arial"/>
          <w:lang w:val="es-CO"/>
        </w:rPr>
        <w:t>debilidad del marco institucional para el establecimiento de políticas</w:t>
      </w:r>
      <w:r w:rsidR="00F8602E">
        <w:rPr>
          <w:rFonts w:ascii="Arial" w:hAnsi="Arial" w:cs="Arial"/>
          <w:lang w:val="es-CO"/>
        </w:rPr>
        <w:t xml:space="preserve"> y criterios que sirvan para realizar una priorización de las inversiones y </w:t>
      </w:r>
      <w:r w:rsidR="00D7738A">
        <w:rPr>
          <w:rFonts w:ascii="Arial" w:hAnsi="Arial" w:cs="Arial"/>
          <w:lang w:val="es-CO"/>
        </w:rPr>
        <w:t>asegurar su financiamiento</w:t>
      </w:r>
      <w:r w:rsidR="0024788D" w:rsidRPr="00FB2B27">
        <w:rPr>
          <w:rFonts w:ascii="Arial" w:hAnsi="Arial" w:cs="Arial"/>
          <w:lang w:val="es-CO"/>
        </w:rPr>
        <w:t xml:space="preserve">. </w:t>
      </w:r>
      <w:bookmarkStart w:id="0" w:name="_Hlk1133956"/>
      <w:r w:rsidR="0024788D" w:rsidRPr="00FB2B27">
        <w:rPr>
          <w:rFonts w:ascii="Arial" w:hAnsi="Arial" w:cs="Arial"/>
          <w:lang w:val="es-CO"/>
        </w:rPr>
        <w:t>En materia de planificación se podría</w:t>
      </w:r>
      <w:r w:rsidR="00FB2B27">
        <w:rPr>
          <w:rFonts w:ascii="Arial" w:hAnsi="Arial" w:cs="Arial"/>
          <w:lang w:val="es-CO"/>
        </w:rPr>
        <w:t xml:space="preserve"> mencionar la </w:t>
      </w:r>
      <w:r w:rsidR="006E345E">
        <w:rPr>
          <w:rFonts w:ascii="Arial" w:hAnsi="Arial" w:cs="Arial"/>
          <w:lang w:val="es-CO"/>
        </w:rPr>
        <w:t xml:space="preserve">ausencia de una hoja de ruta que establezca metas y objetivos para el cumplimiento progresivo de los </w:t>
      </w:r>
      <w:r w:rsidR="00091C85" w:rsidRPr="006A109A">
        <w:rPr>
          <w:rFonts w:ascii="Arial" w:hAnsi="Arial" w:cs="Arial"/>
          <w:lang w:val="es-CO"/>
        </w:rPr>
        <w:t xml:space="preserve">Objetivos de Desarrollo Sostenible </w:t>
      </w:r>
      <w:r w:rsidR="00091C85">
        <w:rPr>
          <w:rFonts w:ascii="Arial" w:hAnsi="Arial" w:cs="Arial"/>
          <w:lang w:val="es-CO"/>
        </w:rPr>
        <w:t>(</w:t>
      </w:r>
      <w:r w:rsidR="006E345E">
        <w:rPr>
          <w:rFonts w:ascii="Arial" w:hAnsi="Arial" w:cs="Arial"/>
          <w:lang w:val="es-CO"/>
        </w:rPr>
        <w:t>ODS</w:t>
      </w:r>
      <w:r w:rsidR="00091C85">
        <w:rPr>
          <w:rFonts w:ascii="Arial" w:hAnsi="Arial" w:cs="Arial"/>
          <w:lang w:val="es-CO"/>
        </w:rPr>
        <w:t>)</w:t>
      </w:r>
      <w:r w:rsidR="006E345E">
        <w:rPr>
          <w:rFonts w:ascii="Arial" w:hAnsi="Arial" w:cs="Arial"/>
          <w:lang w:val="es-CO"/>
        </w:rPr>
        <w:t>. Adicionalmente,</w:t>
      </w:r>
      <w:r w:rsidR="00174648">
        <w:rPr>
          <w:rFonts w:ascii="Arial" w:hAnsi="Arial" w:cs="Arial"/>
          <w:lang w:val="es-CO"/>
        </w:rPr>
        <w:t xml:space="preserve"> </w:t>
      </w:r>
      <w:r w:rsidR="006E345E">
        <w:rPr>
          <w:rFonts w:ascii="Arial" w:hAnsi="Arial" w:cs="Arial"/>
          <w:lang w:val="es-CO"/>
        </w:rPr>
        <w:t>l</w:t>
      </w:r>
      <w:r w:rsidR="00F04B7D">
        <w:rPr>
          <w:rFonts w:ascii="Arial" w:hAnsi="Arial" w:cs="Arial"/>
          <w:lang w:val="es-CO"/>
        </w:rPr>
        <w:t>a superposición de roles a nivel</w:t>
      </w:r>
      <w:r w:rsidR="00FB2B27" w:rsidRPr="00FB2B27">
        <w:rPr>
          <w:rFonts w:ascii="Arial" w:hAnsi="Arial" w:cs="Arial"/>
          <w:lang w:val="es-CO"/>
        </w:rPr>
        <w:t xml:space="preserve"> gubernamenta</w:t>
      </w:r>
      <w:r w:rsidR="00F04B7D">
        <w:rPr>
          <w:rFonts w:ascii="Arial" w:hAnsi="Arial" w:cs="Arial"/>
          <w:lang w:val="es-CO"/>
        </w:rPr>
        <w:t>l</w:t>
      </w:r>
      <w:r w:rsidR="00FB2B27" w:rsidRPr="00FB2B27">
        <w:rPr>
          <w:rFonts w:ascii="Arial" w:hAnsi="Arial" w:cs="Arial"/>
          <w:lang w:val="es-CO"/>
        </w:rPr>
        <w:t xml:space="preserve"> </w:t>
      </w:r>
      <w:r w:rsidR="00F04B7D">
        <w:rPr>
          <w:rFonts w:ascii="Arial" w:hAnsi="Arial" w:cs="Arial"/>
          <w:lang w:val="es-CO"/>
        </w:rPr>
        <w:t>en la provisión de</w:t>
      </w:r>
      <w:r w:rsidR="00FB2B27" w:rsidRPr="00FB2B27">
        <w:rPr>
          <w:rFonts w:ascii="Arial" w:hAnsi="Arial" w:cs="Arial"/>
          <w:lang w:val="es-CO"/>
        </w:rPr>
        <w:t>l agua potable y el saneamient</w:t>
      </w:r>
      <w:r w:rsidR="00F04B7D">
        <w:rPr>
          <w:rFonts w:ascii="Arial" w:hAnsi="Arial" w:cs="Arial"/>
          <w:lang w:val="es-CO"/>
        </w:rPr>
        <w:t>o</w:t>
      </w:r>
      <w:r w:rsidR="00FB2B27" w:rsidRPr="00FB2B27">
        <w:rPr>
          <w:rFonts w:ascii="Arial" w:hAnsi="Arial" w:cs="Arial"/>
          <w:lang w:val="es-CO"/>
        </w:rPr>
        <w:t xml:space="preserve"> </w:t>
      </w:r>
      <w:r w:rsidR="00391FE1">
        <w:rPr>
          <w:rFonts w:ascii="Arial" w:hAnsi="Arial" w:cs="Arial"/>
          <w:lang w:val="es-CO"/>
        </w:rPr>
        <w:t xml:space="preserve">ha contribuido </w:t>
      </w:r>
      <w:r w:rsidR="00F04B7D">
        <w:rPr>
          <w:rFonts w:ascii="Arial" w:hAnsi="Arial" w:cs="Arial"/>
          <w:lang w:val="es-CO"/>
        </w:rPr>
        <w:t>a contar</w:t>
      </w:r>
      <w:r w:rsidR="007C1B73">
        <w:rPr>
          <w:rFonts w:ascii="Arial" w:hAnsi="Arial" w:cs="Arial"/>
          <w:lang w:val="es-CO"/>
        </w:rPr>
        <w:t xml:space="preserve"> en la actualidad con</w:t>
      </w:r>
      <w:r w:rsidR="00FB2B27">
        <w:rPr>
          <w:rFonts w:ascii="Arial" w:hAnsi="Arial" w:cs="Arial"/>
          <w:lang w:val="es-CO"/>
        </w:rPr>
        <w:t xml:space="preserve"> </w:t>
      </w:r>
      <w:r w:rsidR="008500C7">
        <w:rPr>
          <w:rFonts w:ascii="Arial" w:hAnsi="Arial" w:cs="Arial"/>
          <w:lang w:val="es-CO"/>
        </w:rPr>
        <w:t xml:space="preserve">una multiplicidad de </w:t>
      </w:r>
      <w:r w:rsidR="00FB2B27">
        <w:rPr>
          <w:rFonts w:ascii="Arial" w:hAnsi="Arial" w:cs="Arial"/>
          <w:lang w:val="es-CO"/>
        </w:rPr>
        <w:t>prestadores, de rangos pequeños de usuarios, y con limitada capacidad financiera y de gestión</w:t>
      </w:r>
      <w:bookmarkEnd w:id="0"/>
      <w:r w:rsidR="00174648">
        <w:rPr>
          <w:rStyle w:val="FootnoteReference"/>
          <w:rFonts w:ascii="Arial" w:hAnsi="Arial" w:cs="Arial"/>
          <w:lang w:val="es-CO"/>
        </w:rPr>
        <w:footnoteReference w:id="9"/>
      </w:r>
      <w:r w:rsidR="00FB2B27" w:rsidRPr="00FB2B27">
        <w:rPr>
          <w:rFonts w:ascii="Arial" w:hAnsi="Arial" w:cs="Arial"/>
          <w:lang w:val="es-CO"/>
        </w:rPr>
        <w:t>.</w:t>
      </w:r>
      <w:r w:rsidR="00A24C53" w:rsidRPr="00FB2B27">
        <w:rPr>
          <w:rFonts w:ascii="Arial" w:hAnsi="Arial" w:cs="Arial"/>
          <w:lang w:val="es-CO"/>
        </w:rPr>
        <w:t xml:space="preserve"> </w:t>
      </w:r>
      <w:r w:rsidR="0097170A" w:rsidRPr="00FB2B27">
        <w:rPr>
          <w:rFonts w:ascii="Arial" w:hAnsi="Arial" w:cs="Arial"/>
          <w:lang w:val="es-CO"/>
        </w:rPr>
        <w:t>A</w:t>
      </w:r>
      <w:r w:rsidR="0024788D" w:rsidRPr="00FB2B27">
        <w:rPr>
          <w:rFonts w:ascii="Arial" w:hAnsi="Arial" w:cs="Arial"/>
          <w:lang w:val="es-CO"/>
        </w:rPr>
        <w:t xml:space="preserve"> nivel institucional</w:t>
      </w:r>
      <w:r w:rsidR="00F04B7D">
        <w:rPr>
          <w:rFonts w:ascii="Arial" w:hAnsi="Arial" w:cs="Arial"/>
          <w:lang w:val="es-CO"/>
        </w:rPr>
        <w:t>,</w:t>
      </w:r>
      <w:r w:rsidR="0024788D" w:rsidRPr="00FB2B27">
        <w:rPr>
          <w:rFonts w:ascii="Arial" w:hAnsi="Arial" w:cs="Arial"/>
          <w:lang w:val="es-CO"/>
        </w:rPr>
        <w:t xml:space="preserve"> el ente regulador posee un accionar </w:t>
      </w:r>
      <w:r w:rsidR="00444071" w:rsidRPr="00FB2B27">
        <w:rPr>
          <w:rFonts w:ascii="Arial" w:hAnsi="Arial" w:cs="Arial"/>
          <w:lang w:val="es-CO"/>
        </w:rPr>
        <w:t>restringido</w:t>
      </w:r>
      <w:r w:rsidR="0024788D" w:rsidRPr="00FB2B27">
        <w:rPr>
          <w:rFonts w:ascii="Arial" w:hAnsi="Arial" w:cs="Arial"/>
          <w:lang w:val="es-CO"/>
        </w:rPr>
        <w:t xml:space="preserve"> por falta de mecanismos </w:t>
      </w:r>
      <w:r w:rsidR="00444071" w:rsidRPr="00FB2B27">
        <w:rPr>
          <w:rFonts w:ascii="Arial" w:hAnsi="Arial" w:cs="Arial"/>
          <w:lang w:val="es-CO"/>
        </w:rPr>
        <w:t>de control claros, y</w:t>
      </w:r>
      <w:r w:rsidR="00FB2B27">
        <w:rPr>
          <w:rFonts w:ascii="Arial" w:hAnsi="Arial" w:cs="Arial"/>
          <w:lang w:val="es-CO"/>
        </w:rPr>
        <w:t xml:space="preserve"> </w:t>
      </w:r>
      <w:r w:rsidR="00444071" w:rsidRPr="00FB2B27">
        <w:rPr>
          <w:rFonts w:ascii="Arial" w:hAnsi="Arial" w:cs="Arial"/>
          <w:lang w:val="es-CO"/>
        </w:rPr>
        <w:t>recursos humanos y presupuesto limitados. Por último, en materia de financiamiento</w:t>
      </w:r>
      <w:r w:rsidR="00FB2B27">
        <w:rPr>
          <w:rFonts w:ascii="Arial" w:hAnsi="Arial" w:cs="Arial"/>
          <w:lang w:val="es-CO"/>
        </w:rPr>
        <w:t>,</w:t>
      </w:r>
      <w:r w:rsidR="00444071" w:rsidRPr="00FB2B27">
        <w:rPr>
          <w:rFonts w:ascii="Arial" w:hAnsi="Arial" w:cs="Arial"/>
          <w:lang w:val="es-CO"/>
        </w:rPr>
        <w:t xml:space="preserve"> se resalta la ausencia de una fuente estable y suficiente de recursos para subsidiar las inversiones</w:t>
      </w:r>
      <w:r w:rsidR="00091C85">
        <w:rPr>
          <w:rFonts w:ascii="Arial" w:hAnsi="Arial" w:cs="Arial"/>
          <w:lang w:val="es-CO"/>
        </w:rPr>
        <w:t>.</w:t>
      </w:r>
      <w:r w:rsidR="00444071" w:rsidRPr="00FB2B27">
        <w:rPr>
          <w:rFonts w:ascii="Arial" w:hAnsi="Arial" w:cs="Arial"/>
          <w:lang w:val="es-CO"/>
        </w:rPr>
        <w:t xml:space="preserve"> </w:t>
      </w:r>
      <w:r w:rsidR="00091C85">
        <w:rPr>
          <w:rFonts w:ascii="Arial" w:hAnsi="Arial" w:cs="Arial"/>
          <w:lang w:val="es-CO"/>
        </w:rPr>
        <w:t>A</w:t>
      </w:r>
      <w:r w:rsidR="00444071" w:rsidRPr="00FB2B27">
        <w:rPr>
          <w:rFonts w:ascii="Arial" w:hAnsi="Arial" w:cs="Arial"/>
          <w:lang w:val="es-CO"/>
        </w:rPr>
        <w:t xml:space="preserve">demás, el esquema tarifario actual no refleja los costos reales de los servicios, lo cual impide contar con </w:t>
      </w:r>
      <w:r w:rsidR="00FB2B27">
        <w:rPr>
          <w:rFonts w:ascii="Arial" w:hAnsi="Arial" w:cs="Arial"/>
          <w:lang w:val="es-CO"/>
        </w:rPr>
        <w:t>fondos</w:t>
      </w:r>
      <w:r w:rsidR="00444071" w:rsidRPr="00FB2B27">
        <w:rPr>
          <w:rFonts w:ascii="Arial" w:hAnsi="Arial" w:cs="Arial"/>
          <w:lang w:val="es-CO"/>
        </w:rPr>
        <w:t xml:space="preserve"> suficientes para realizar las inversiones necesarias. </w:t>
      </w:r>
    </w:p>
    <w:p w14:paraId="1E7F3D77" w14:textId="0E5FCEE8" w:rsidR="00F724C5" w:rsidRDefault="00464507" w:rsidP="002753E1">
      <w:pPr>
        <w:pStyle w:val="ListParagraph"/>
        <w:numPr>
          <w:ilvl w:val="1"/>
          <w:numId w:val="2"/>
        </w:numPr>
        <w:spacing w:after="120" w:line="240" w:lineRule="auto"/>
        <w:ind w:hanging="547"/>
        <w:contextualSpacing w:val="0"/>
        <w:jc w:val="both"/>
        <w:rPr>
          <w:rFonts w:ascii="Arial" w:hAnsi="Arial" w:cs="Arial"/>
          <w:lang w:val="es-CO"/>
        </w:rPr>
      </w:pPr>
      <w:r>
        <w:rPr>
          <w:rFonts w:ascii="Arial" w:hAnsi="Arial" w:cs="Arial"/>
          <w:lang w:val="es-CO"/>
        </w:rPr>
        <w:t xml:space="preserve">Para hacer frente a estos desafíos, la Dirección de Agua Potable y Saneamiento (DAPSAN), del Ministerio de Obras Públicas y Comunicaciones (MOPC), ha definido lineamientos de política para realizar las reformas necesarias para modernizar el sector de </w:t>
      </w:r>
      <w:r w:rsidR="00105751">
        <w:rPr>
          <w:rFonts w:ascii="Arial" w:hAnsi="Arial" w:cs="Arial"/>
          <w:lang w:val="es-CO"/>
        </w:rPr>
        <w:t>A&amp;S</w:t>
      </w:r>
      <w:r w:rsidR="00FA140F">
        <w:rPr>
          <w:rFonts w:ascii="Arial" w:hAnsi="Arial" w:cs="Arial"/>
          <w:lang w:val="es-CO"/>
        </w:rPr>
        <w:t xml:space="preserve"> y ha establecido una lista programas y proyectos estratégicos que deberán ser desarrollados en el corto y mediano plazo para reducir las brechas existente</w:t>
      </w:r>
      <w:r w:rsidR="001F5F0C">
        <w:rPr>
          <w:rFonts w:ascii="Arial" w:hAnsi="Arial" w:cs="Arial"/>
          <w:lang w:val="es-CO"/>
        </w:rPr>
        <w:t>s</w:t>
      </w:r>
      <w:r w:rsidR="000B08DE">
        <w:rPr>
          <w:rStyle w:val="FootnoteReference"/>
          <w:rFonts w:ascii="Arial" w:hAnsi="Arial" w:cs="Arial"/>
          <w:lang w:val="es-CO"/>
        </w:rPr>
        <w:footnoteReference w:id="10"/>
      </w:r>
      <w:r>
        <w:rPr>
          <w:rFonts w:ascii="Arial" w:hAnsi="Arial" w:cs="Arial"/>
          <w:lang w:val="es-CO"/>
        </w:rPr>
        <w:t>. En ese sentido</w:t>
      </w:r>
      <w:r w:rsidR="00F724C5">
        <w:rPr>
          <w:rFonts w:ascii="Arial" w:hAnsi="Arial" w:cs="Arial"/>
          <w:lang w:val="es-CO"/>
        </w:rPr>
        <w:t>,</w:t>
      </w:r>
      <w:r w:rsidR="00137E4C">
        <w:rPr>
          <w:rFonts w:ascii="Arial" w:hAnsi="Arial" w:cs="Arial"/>
          <w:lang w:val="es-CO"/>
        </w:rPr>
        <w:t xml:space="preserve"> </w:t>
      </w:r>
      <w:r w:rsidR="00F724C5">
        <w:rPr>
          <w:rFonts w:ascii="Arial" w:hAnsi="Arial" w:cs="Arial"/>
          <w:lang w:val="es-CO"/>
        </w:rPr>
        <w:t>se le ha solicitado</w:t>
      </w:r>
      <w:r w:rsidR="00137E4C">
        <w:rPr>
          <w:rFonts w:ascii="Arial" w:hAnsi="Arial" w:cs="Arial"/>
          <w:lang w:val="es-CO"/>
        </w:rPr>
        <w:t xml:space="preserve"> al Banco</w:t>
      </w:r>
      <w:r w:rsidR="00F724C5">
        <w:rPr>
          <w:rFonts w:ascii="Arial" w:hAnsi="Arial" w:cs="Arial"/>
          <w:lang w:val="es-CO"/>
        </w:rPr>
        <w:t xml:space="preserve"> el apoyo en el desarrollo de una serie de instrumentos para modernizar la gestión de los servicios de </w:t>
      </w:r>
      <w:r w:rsidR="00105751">
        <w:rPr>
          <w:rFonts w:ascii="Arial" w:hAnsi="Arial" w:cs="Arial"/>
          <w:lang w:val="es-CO"/>
        </w:rPr>
        <w:t>A&amp;S</w:t>
      </w:r>
      <w:r w:rsidR="00F724C5">
        <w:rPr>
          <w:rFonts w:ascii="Arial" w:hAnsi="Arial" w:cs="Arial"/>
          <w:lang w:val="es-CO"/>
        </w:rPr>
        <w:t xml:space="preserve"> a nivel nacional</w:t>
      </w:r>
      <w:r w:rsidR="0074395E">
        <w:rPr>
          <w:rFonts w:ascii="Arial" w:hAnsi="Arial" w:cs="Arial"/>
          <w:lang w:val="es-CO"/>
        </w:rPr>
        <w:t>, y</w:t>
      </w:r>
      <w:r w:rsidR="00431899">
        <w:rPr>
          <w:rFonts w:ascii="Arial" w:hAnsi="Arial" w:cs="Arial"/>
          <w:lang w:val="es-CO"/>
        </w:rPr>
        <w:t xml:space="preserve"> fortalecer la planificación de largo plazo de las inversiones, mediante</w:t>
      </w:r>
      <w:r w:rsidR="0074395E">
        <w:rPr>
          <w:rFonts w:ascii="Arial" w:hAnsi="Arial" w:cs="Arial"/>
          <w:lang w:val="es-CO"/>
        </w:rPr>
        <w:t xml:space="preserve"> la </w:t>
      </w:r>
      <w:r w:rsidR="002E23C9">
        <w:rPr>
          <w:rFonts w:ascii="Arial" w:hAnsi="Arial" w:cs="Arial"/>
          <w:lang w:val="es-CO"/>
        </w:rPr>
        <w:t>formulación</w:t>
      </w:r>
      <w:r w:rsidR="0074395E">
        <w:rPr>
          <w:rFonts w:ascii="Arial" w:hAnsi="Arial" w:cs="Arial"/>
          <w:lang w:val="es-CO"/>
        </w:rPr>
        <w:t xml:space="preserve"> de dos proyectos estratégicos</w:t>
      </w:r>
      <w:r w:rsidR="00F44F78">
        <w:rPr>
          <w:rFonts w:ascii="Arial" w:hAnsi="Arial" w:cs="Arial"/>
          <w:lang w:val="es-CO"/>
        </w:rPr>
        <w:t xml:space="preserve">, </w:t>
      </w:r>
      <w:r w:rsidR="00F724C5">
        <w:rPr>
          <w:rFonts w:ascii="Arial" w:hAnsi="Arial" w:cs="Arial"/>
          <w:lang w:val="es-CO"/>
        </w:rPr>
        <w:t xml:space="preserve">con el fin de asegurar el acceso universal a servicios sostenibles y de calidad en el largo plazo. </w:t>
      </w:r>
    </w:p>
    <w:p w14:paraId="35912222" w14:textId="447AEC1A" w:rsidR="009D33C4" w:rsidRDefault="00F724C5" w:rsidP="002753E1">
      <w:pPr>
        <w:pStyle w:val="ListParagraph"/>
        <w:numPr>
          <w:ilvl w:val="1"/>
          <w:numId w:val="2"/>
        </w:numPr>
        <w:spacing w:after="120" w:line="240" w:lineRule="auto"/>
        <w:ind w:hanging="547"/>
        <w:contextualSpacing w:val="0"/>
        <w:jc w:val="both"/>
        <w:rPr>
          <w:rFonts w:ascii="Arial" w:hAnsi="Arial" w:cs="Arial"/>
          <w:lang w:val="es-CO"/>
        </w:rPr>
      </w:pPr>
      <w:r w:rsidRPr="00584C04">
        <w:rPr>
          <w:rFonts w:ascii="Arial" w:hAnsi="Arial" w:cs="Arial"/>
          <w:lang w:val="es-CO"/>
        </w:rPr>
        <w:t>A través de la cooperación técnica (CT), se espera fortalecer a</w:t>
      </w:r>
      <w:r w:rsidR="00BF45F3" w:rsidRPr="00584C04">
        <w:rPr>
          <w:rFonts w:ascii="Arial" w:hAnsi="Arial" w:cs="Arial"/>
          <w:lang w:val="es-CO"/>
        </w:rPr>
        <w:t xml:space="preserve">l sector, </w:t>
      </w:r>
      <w:r w:rsidR="000C49E9" w:rsidRPr="00584C04">
        <w:rPr>
          <w:rFonts w:ascii="Arial" w:hAnsi="Arial" w:cs="Arial"/>
          <w:lang w:val="es-CO"/>
        </w:rPr>
        <w:t xml:space="preserve">apoyando </w:t>
      </w:r>
      <w:r w:rsidR="00584C04" w:rsidRPr="00584C04">
        <w:rPr>
          <w:rFonts w:ascii="Arial" w:hAnsi="Arial" w:cs="Arial"/>
          <w:lang w:val="es-CO"/>
        </w:rPr>
        <w:t>a la DAPSAN en</w:t>
      </w:r>
      <w:r w:rsidR="00DA4B53">
        <w:rPr>
          <w:rFonts w:ascii="Arial" w:hAnsi="Arial" w:cs="Arial"/>
          <w:lang w:val="es-CO"/>
        </w:rPr>
        <w:t xml:space="preserve">: (i) </w:t>
      </w:r>
      <w:r w:rsidR="00DA4B53" w:rsidRPr="00DA4B53">
        <w:rPr>
          <w:rFonts w:ascii="Arial" w:hAnsi="Arial" w:cs="Arial"/>
          <w:lang w:val="es-CO"/>
        </w:rPr>
        <w:t>la revisión y ajustes del marco institucional</w:t>
      </w:r>
      <w:r w:rsidR="00DA4B53">
        <w:rPr>
          <w:rFonts w:ascii="Arial" w:hAnsi="Arial" w:cs="Arial"/>
          <w:lang w:val="es-CO"/>
        </w:rPr>
        <w:t xml:space="preserve"> del sector; (ii) la definición de</w:t>
      </w:r>
      <w:r w:rsidR="0047474F">
        <w:rPr>
          <w:rFonts w:ascii="Arial" w:hAnsi="Arial" w:cs="Arial"/>
          <w:lang w:val="es-CO"/>
        </w:rPr>
        <w:t>l</w:t>
      </w:r>
      <w:r w:rsidR="00DA4B53">
        <w:rPr>
          <w:rFonts w:ascii="Arial" w:hAnsi="Arial" w:cs="Arial"/>
          <w:lang w:val="es-CO"/>
        </w:rPr>
        <w:t xml:space="preserve"> </w:t>
      </w:r>
      <w:r w:rsidR="00DA4B53">
        <w:rPr>
          <w:rFonts w:ascii="Arial" w:hAnsi="Arial" w:cs="Arial"/>
          <w:lang w:val="es-CO"/>
        </w:rPr>
        <w:lastRenderedPageBreak/>
        <w:t xml:space="preserve">mecanismo de financiamiento sectorial de largo plazo y fuentes de financiamiento </w:t>
      </w:r>
      <w:r w:rsidR="00DA4B53" w:rsidRPr="00DA4B53">
        <w:rPr>
          <w:rFonts w:ascii="Arial" w:hAnsi="Arial" w:cs="Arial"/>
          <w:lang w:val="es-CO"/>
        </w:rPr>
        <w:t>del plan estratégico de inversiones</w:t>
      </w:r>
      <w:r w:rsidR="00584C04" w:rsidRPr="00584C04">
        <w:rPr>
          <w:rFonts w:ascii="Arial" w:hAnsi="Arial" w:cs="Arial"/>
          <w:lang w:val="es-CO"/>
        </w:rPr>
        <w:t xml:space="preserve"> </w:t>
      </w:r>
      <w:r w:rsidR="00DA4B53">
        <w:rPr>
          <w:rFonts w:ascii="Arial" w:hAnsi="Arial" w:cs="Arial"/>
          <w:lang w:val="es-CO"/>
        </w:rPr>
        <w:t xml:space="preserve">en el corto plazo; y (iii) </w:t>
      </w:r>
      <w:r w:rsidR="00584C04" w:rsidRPr="00584C04">
        <w:rPr>
          <w:rFonts w:ascii="Arial" w:hAnsi="Arial" w:cs="Arial"/>
          <w:lang w:val="es-CO"/>
        </w:rPr>
        <w:t>la adecuada planificación estratégica</w:t>
      </w:r>
      <w:r w:rsidR="00412242">
        <w:rPr>
          <w:rFonts w:ascii="Arial" w:hAnsi="Arial" w:cs="Arial"/>
          <w:lang w:val="es-CO"/>
        </w:rPr>
        <w:t xml:space="preserve"> </w:t>
      </w:r>
      <w:r w:rsidR="00074521">
        <w:rPr>
          <w:rFonts w:ascii="Arial" w:hAnsi="Arial" w:cs="Arial"/>
          <w:lang w:val="es-CO"/>
        </w:rPr>
        <w:t xml:space="preserve">de las inversiones del sector en el largo plazo </w:t>
      </w:r>
      <w:r w:rsidR="00584C04" w:rsidRPr="00584C04">
        <w:rPr>
          <w:rFonts w:ascii="Arial" w:hAnsi="Arial" w:cs="Arial"/>
          <w:lang w:val="es-CO"/>
        </w:rPr>
        <w:t xml:space="preserve">y </w:t>
      </w:r>
      <w:r w:rsidR="00074521">
        <w:rPr>
          <w:rFonts w:ascii="Arial" w:hAnsi="Arial" w:cs="Arial"/>
          <w:lang w:val="es-CO"/>
        </w:rPr>
        <w:t xml:space="preserve">en </w:t>
      </w:r>
      <w:r w:rsidR="00584C04" w:rsidRPr="00584C04">
        <w:rPr>
          <w:rFonts w:ascii="Arial" w:hAnsi="Arial" w:cs="Arial"/>
          <w:lang w:val="es-CO"/>
        </w:rPr>
        <w:t xml:space="preserve">el desarrollo de proyectos eficientes para la expansión de los servicios de agua potable y saneamiento. Asimismo, se apoyará al </w:t>
      </w:r>
      <w:r w:rsidR="00CC1663">
        <w:rPr>
          <w:rFonts w:ascii="Arial" w:hAnsi="Arial" w:cs="Arial"/>
          <w:lang w:val="es-CO"/>
        </w:rPr>
        <w:t>Ente Regulador de Servicios Sanitarios (</w:t>
      </w:r>
      <w:r w:rsidR="00584C04" w:rsidRPr="00584C04">
        <w:rPr>
          <w:rFonts w:ascii="Arial" w:hAnsi="Arial" w:cs="Arial"/>
          <w:lang w:val="es-CO"/>
        </w:rPr>
        <w:t>ERSSA</w:t>
      </w:r>
      <w:r w:rsidR="004B748E">
        <w:rPr>
          <w:rFonts w:ascii="Arial" w:hAnsi="Arial" w:cs="Arial"/>
          <w:lang w:val="es-CO"/>
        </w:rPr>
        <w:t>N</w:t>
      </w:r>
      <w:r w:rsidR="00CC1663">
        <w:rPr>
          <w:rFonts w:ascii="Arial" w:hAnsi="Arial" w:cs="Arial"/>
          <w:lang w:val="es-CO"/>
        </w:rPr>
        <w:t>)</w:t>
      </w:r>
      <w:r w:rsidR="004B748E">
        <w:rPr>
          <w:rFonts w:ascii="Arial" w:hAnsi="Arial" w:cs="Arial"/>
          <w:lang w:val="es-CO"/>
        </w:rPr>
        <w:t xml:space="preserve"> </w:t>
      </w:r>
      <w:r w:rsidR="00584C04" w:rsidRPr="00584C04">
        <w:rPr>
          <w:rFonts w:ascii="Arial" w:hAnsi="Arial" w:cs="Arial"/>
          <w:lang w:val="es-CO"/>
        </w:rPr>
        <w:t>en el desarrollo de instrumentos</w:t>
      </w:r>
      <w:r w:rsidR="00982292">
        <w:rPr>
          <w:rFonts w:ascii="Arial" w:hAnsi="Arial" w:cs="Arial"/>
          <w:lang w:val="es-CO"/>
        </w:rPr>
        <w:t xml:space="preserve"> legales y</w:t>
      </w:r>
      <w:r w:rsidR="00584C04" w:rsidRPr="00584C04">
        <w:rPr>
          <w:rFonts w:ascii="Arial" w:hAnsi="Arial" w:cs="Arial"/>
          <w:lang w:val="es-CO"/>
        </w:rPr>
        <w:t xml:space="preserve"> </w:t>
      </w:r>
      <w:r w:rsidR="004B0B2A">
        <w:rPr>
          <w:rFonts w:ascii="Arial" w:hAnsi="Arial" w:cs="Arial"/>
          <w:lang w:val="es-CO"/>
        </w:rPr>
        <w:t>regulatorios</w:t>
      </w:r>
      <w:r w:rsidR="00584C04" w:rsidRPr="00584C04">
        <w:rPr>
          <w:rFonts w:ascii="Arial" w:hAnsi="Arial" w:cs="Arial"/>
          <w:lang w:val="es-CO"/>
        </w:rPr>
        <w:t xml:space="preserve"> que sirvan como mecanismo de control sobre los prestadores, </w:t>
      </w:r>
      <w:r w:rsidR="004B0B2A" w:rsidRPr="00584C04">
        <w:rPr>
          <w:rFonts w:ascii="Arial" w:hAnsi="Arial" w:cs="Arial"/>
          <w:lang w:val="es-CO"/>
        </w:rPr>
        <w:t xml:space="preserve">para fomentar </w:t>
      </w:r>
      <w:r w:rsidR="004B0B2A">
        <w:rPr>
          <w:rFonts w:ascii="Arial" w:hAnsi="Arial" w:cs="Arial"/>
          <w:lang w:val="es-CO"/>
        </w:rPr>
        <w:t xml:space="preserve">la </w:t>
      </w:r>
      <w:r w:rsidR="004B0B2A" w:rsidRPr="00584C04">
        <w:rPr>
          <w:rFonts w:ascii="Arial" w:hAnsi="Arial" w:cs="Arial"/>
          <w:lang w:val="es-CO"/>
        </w:rPr>
        <w:t xml:space="preserve">calidad y </w:t>
      </w:r>
      <w:r w:rsidR="004B0B2A" w:rsidRPr="00551CDA">
        <w:rPr>
          <w:rFonts w:ascii="Arial" w:hAnsi="Arial" w:cs="Arial"/>
          <w:lang w:val="es-CO"/>
        </w:rPr>
        <w:t xml:space="preserve">sostenibilidad de los </w:t>
      </w:r>
      <w:r w:rsidR="004B0B2A" w:rsidRPr="00D12217">
        <w:rPr>
          <w:rFonts w:ascii="Arial" w:hAnsi="Arial" w:cs="Arial"/>
          <w:lang w:val="es-CO"/>
        </w:rPr>
        <w:t xml:space="preserve">servicios, enfatizando </w:t>
      </w:r>
      <w:r w:rsidR="00982292">
        <w:rPr>
          <w:rFonts w:ascii="Arial" w:hAnsi="Arial" w:cs="Arial"/>
          <w:lang w:val="es-CO"/>
        </w:rPr>
        <w:t xml:space="preserve">modelos de provisión que </w:t>
      </w:r>
      <w:r w:rsidR="00DA4B53">
        <w:rPr>
          <w:rFonts w:ascii="Arial" w:hAnsi="Arial" w:cs="Arial"/>
          <w:lang w:val="es-CO"/>
        </w:rPr>
        <w:t xml:space="preserve">fomenten </w:t>
      </w:r>
      <w:r w:rsidR="004B0B2A" w:rsidRPr="00D12217">
        <w:rPr>
          <w:rFonts w:ascii="Arial" w:hAnsi="Arial" w:cs="Arial"/>
          <w:lang w:val="es-CO"/>
        </w:rPr>
        <w:t>estrategias de aglomeración</w:t>
      </w:r>
      <w:r w:rsidR="00982292">
        <w:rPr>
          <w:rFonts w:ascii="Arial" w:hAnsi="Arial" w:cs="Arial"/>
          <w:lang w:val="es-CO"/>
        </w:rPr>
        <w:t xml:space="preserve"> de proveedores</w:t>
      </w:r>
      <w:r w:rsidR="004B0B2A" w:rsidRPr="00D12217">
        <w:rPr>
          <w:rFonts w:ascii="Arial" w:hAnsi="Arial" w:cs="Arial"/>
          <w:lang w:val="es-CO"/>
        </w:rPr>
        <w:t xml:space="preserve"> de zonas de prestació</w:t>
      </w:r>
      <w:r w:rsidR="004B0B2A">
        <w:rPr>
          <w:rFonts w:ascii="Arial" w:hAnsi="Arial" w:cs="Arial"/>
          <w:lang w:val="es-CO"/>
        </w:rPr>
        <w:t>n</w:t>
      </w:r>
      <w:r w:rsidR="00DA4B53">
        <w:rPr>
          <w:rFonts w:ascii="Arial" w:hAnsi="Arial" w:cs="Arial"/>
          <w:lang w:val="es-CO"/>
        </w:rPr>
        <w:t xml:space="preserve"> y/o la regionalización de la provisión de los servicios</w:t>
      </w:r>
      <w:r w:rsidR="00584C04" w:rsidRPr="00584C04">
        <w:rPr>
          <w:rFonts w:ascii="Arial" w:hAnsi="Arial" w:cs="Arial"/>
          <w:lang w:val="es-CO"/>
        </w:rPr>
        <w:t>.</w:t>
      </w:r>
      <w:r w:rsidR="006A109A" w:rsidRPr="00584C04">
        <w:rPr>
          <w:rFonts w:ascii="Arial" w:hAnsi="Arial" w:cs="Arial"/>
          <w:lang w:val="es-CO"/>
        </w:rPr>
        <w:t xml:space="preserve"> </w:t>
      </w:r>
      <w:r w:rsidR="00D244B2" w:rsidRPr="00584C04">
        <w:rPr>
          <w:rFonts w:ascii="Arial" w:hAnsi="Arial" w:cs="Arial"/>
          <w:lang w:val="es-CO"/>
        </w:rPr>
        <w:t xml:space="preserve">En este sentido, el objetivo de esta CT </w:t>
      </w:r>
      <w:r w:rsidR="00AE5E61" w:rsidRPr="00227CE1">
        <w:rPr>
          <w:rFonts w:ascii="Arial" w:hAnsi="Arial" w:cs="Arial"/>
          <w:lang w:val="es-ES_tradnl"/>
        </w:rPr>
        <w:t>es apoyar el diseño e implementación de reformas para el fortalecimiento del sector de A&amp;S en Paraguay, y en la planificación de medidas de corto y mediano plazo (2019-2023) establecidas en el Plan Nacional de Agua y Saneamiento</w:t>
      </w:r>
      <w:r w:rsidR="00AE5E61">
        <w:rPr>
          <w:rFonts w:ascii="Arial" w:hAnsi="Arial" w:cs="Arial"/>
          <w:lang w:val="es-ES_tradnl"/>
        </w:rPr>
        <w:t>,</w:t>
      </w:r>
      <w:r w:rsidR="00AE5E61" w:rsidRPr="00227CE1">
        <w:rPr>
          <w:rFonts w:ascii="Arial" w:hAnsi="Arial" w:cs="Arial"/>
          <w:lang w:val="es-ES_tradnl"/>
        </w:rPr>
        <w:t xml:space="preserve"> para el cumplimiento progresivo de los ODS. Asimismo, la CT apoyará el fortalecimiento a la planificación de inversiones</w:t>
      </w:r>
      <w:r w:rsidR="0024543F">
        <w:rPr>
          <w:rStyle w:val="FootnoteReference"/>
          <w:rFonts w:ascii="Arial" w:hAnsi="Arial" w:cs="Arial"/>
          <w:lang w:val="es-ES_tradnl"/>
        </w:rPr>
        <w:footnoteReference w:id="11"/>
      </w:r>
      <w:r w:rsidR="00AE5E61" w:rsidRPr="00227CE1">
        <w:rPr>
          <w:rFonts w:ascii="Arial" w:hAnsi="Arial" w:cs="Arial"/>
          <w:lang w:val="es-ES_tradnl"/>
        </w:rPr>
        <w:t xml:space="preserve"> de largo plazo y desarrollo de proyectos eficientes para las áreas metropolitanas de Asunción y Ciudad del Este</w:t>
      </w:r>
      <w:r w:rsidR="00FA140F">
        <w:rPr>
          <w:rFonts w:ascii="Arial" w:hAnsi="Arial" w:cs="Arial"/>
          <w:lang w:val="es-419"/>
        </w:rPr>
        <w:t>.</w:t>
      </w:r>
    </w:p>
    <w:p w14:paraId="736E7A84" w14:textId="19B03CEE" w:rsidR="002A1FEA" w:rsidRPr="00D12217" w:rsidRDefault="007A2629" w:rsidP="002753E1">
      <w:pPr>
        <w:pStyle w:val="ListParagraph"/>
        <w:numPr>
          <w:ilvl w:val="1"/>
          <w:numId w:val="2"/>
        </w:numPr>
        <w:spacing w:after="120" w:line="240" w:lineRule="auto"/>
        <w:ind w:hanging="547"/>
        <w:contextualSpacing w:val="0"/>
        <w:jc w:val="both"/>
        <w:rPr>
          <w:rFonts w:ascii="Arial" w:hAnsi="Arial" w:cs="Arial"/>
          <w:lang w:val="es-CO"/>
        </w:rPr>
      </w:pPr>
      <w:r w:rsidRPr="00D12217">
        <w:rPr>
          <w:rFonts w:ascii="Arial" w:hAnsi="Arial" w:cs="Arial"/>
          <w:lang w:val="es-CO"/>
        </w:rPr>
        <w:t xml:space="preserve">Esta CT está alineada con la Estrategia del Banco con Paraguay 2014-2018 (GN-2769), </w:t>
      </w:r>
      <w:r w:rsidR="008245C0" w:rsidRPr="00D12217">
        <w:rPr>
          <w:rFonts w:ascii="Arial" w:hAnsi="Arial" w:cs="Arial"/>
          <w:lang w:val="es-CO"/>
        </w:rPr>
        <w:t xml:space="preserve">debido a que los estudios contemplados en </w:t>
      </w:r>
      <w:r w:rsidRPr="00D12217">
        <w:rPr>
          <w:rFonts w:ascii="Arial" w:hAnsi="Arial" w:cs="Arial"/>
          <w:lang w:val="es-CO"/>
        </w:rPr>
        <w:t>la misma contribuirá</w:t>
      </w:r>
      <w:r w:rsidR="008245C0" w:rsidRPr="00D12217">
        <w:rPr>
          <w:rFonts w:ascii="Arial" w:hAnsi="Arial" w:cs="Arial"/>
          <w:lang w:val="es-CO"/>
        </w:rPr>
        <w:t>n</w:t>
      </w:r>
      <w:r w:rsidRPr="00D12217">
        <w:rPr>
          <w:rFonts w:ascii="Arial" w:hAnsi="Arial" w:cs="Arial"/>
          <w:lang w:val="es-CO"/>
        </w:rPr>
        <w:t xml:space="preserve"> a la expansión y mejoramiento de los servicios de agua potable, alcantarillado y tratamiento de efluentes, que forman parte de los resultados esperados de la Estrategia. Por otra parte, la operación es consistente con la Estrategia Institucional 2010-2020 (AB-3008) y se alinea con el desafío de desarrollo de </w:t>
      </w:r>
      <w:r w:rsidR="0053721A" w:rsidRPr="00D12217">
        <w:rPr>
          <w:rFonts w:ascii="Arial" w:hAnsi="Arial" w:cs="Arial"/>
          <w:lang w:val="es-CO"/>
        </w:rPr>
        <w:t>“</w:t>
      </w:r>
      <w:r w:rsidRPr="00D12217">
        <w:rPr>
          <w:rFonts w:ascii="Arial" w:hAnsi="Arial" w:cs="Arial"/>
          <w:lang w:val="es-CO"/>
        </w:rPr>
        <w:t>inclusión social e igualdad</w:t>
      </w:r>
      <w:r w:rsidR="0053721A" w:rsidRPr="00D12217">
        <w:rPr>
          <w:rFonts w:ascii="Arial" w:hAnsi="Arial" w:cs="Arial"/>
          <w:lang w:val="es-CO"/>
        </w:rPr>
        <w:t>”</w:t>
      </w:r>
      <w:r w:rsidRPr="00D12217">
        <w:rPr>
          <w:rFonts w:ascii="Arial" w:hAnsi="Arial" w:cs="Arial"/>
          <w:lang w:val="es-CO"/>
        </w:rPr>
        <w:t xml:space="preserve">, </w:t>
      </w:r>
      <w:r w:rsidR="0053721A" w:rsidRPr="00D12217">
        <w:rPr>
          <w:rFonts w:ascii="Arial" w:hAnsi="Arial" w:cs="Arial"/>
          <w:lang w:val="es-CO"/>
        </w:rPr>
        <w:t xml:space="preserve">y </w:t>
      </w:r>
      <w:r w:rsidRPr="00D12217">
        <w:rPr>
          <w:rFonts w:ascii="Arial" w:hAnsi="Arial" w:cs="Arial"/>
          <w:lang w:val="es-CO"/>
        </w:rPr>
        <w:t xml:space="preserve">con las áreas transversales de </w:t>
      </w:r>
      <w:r w:rsidR="0053721A" w:rsidRPr="00D12217">
        <w:rPr>
          <w:rFonts w:ascii="Arial" w:hAnsi="Arial" w:cs="Arial"/>
          <w:lang w:val="es-CO"/>
        </w:rPr>
        <w:t>“capacidad institucional y estado de derecho” y “</w:t>
      </w:r>
      <w:r w:rsidRPr="00D12217">
        <w:rPr>
          <w:rFonts w:ascii="Arial" w:hAnsi="Arial" w:cs="Arial"/>
          <w:lang w:val="es-CO"/>
        </w:rPr>
        <w:t>cambio climático y sostenibilidad ambiental</w:t>
      </w:r>
      <w:r w:rsidR="0053721A" w:rsidRPr="00D12217">
        <w:rPr>
          <w:rFonts w:ascii="Arial" w:hAnsi="Arial" w:cs="Arial"/>
          <w:lang w:val="es-CO"/>
        </w:rPr>
        <w:t>”</w:t>
      </w:r>
      <w:r w:rsidRPr="00D12217">
        <w:rPr>
          <w:rFonts w:ascii="Arial" w:hAnsi="Arial" w:cs="Arial"/>
          <w:lang w:val="es-CO"/>
        </w:rPr>
        <w:t xml:space="preserve">, ya que </w:t>
      </w:r>
      <w:r w:rsidR="0053721A" w:rsidRPr="00D12217">
        <w:rPr>
          <w:rFonts w:ascii="Arial" w:hAnsi="Arial" w:cs="Arial"/>
          <w:lang w:val="es-CO"/>
        </w:rPr>
        <w:t>los estudios propuestos en la CT desarrollarán instrumentos que permitirán al gobierno cumplir su objetivo de dar acceso universal a los servicios de A&amp;S</w:t>
      </w:r>
      <w:r w:rsidRPr="00D12217">
        <w:rPr>
          <w:rFonts w:ascii="Arial" w:hAnsi="Arial" w:cs="Arial"/>
          <w:lang w:val="es-CO"/>
        </w:rPr>
        <w:t>. Adicionalmente, el programa contribuirá al Marco de Resultados Corporativos 2016-2019 (GN-9-2727-4), mediante el producto “Hogares con acceso nuevo o mejorado a agua potable” y está alineado con la Estrategia de Infraestructura Sostenible para la Competitividad y el Crecimiento Inclusivo (GN-2710-5), particularmente con el área prioritaria de “Apoyar la construcción y mantenimiento de infraestructura social y ambientalmente sostenible para que contribuya a aumentar la calidad de vida”, y es consistente con las Dimensiones de Éxito y Líneas de Acción del Marco Sectorial de Agua y Saneamiento (GN-2781-8) de acceso universal y mejora de calidad de los servicios, y de sostenibilidad social y ambiental</w:t>
      </w:r>
      <w:r w:rsidR="009D0C77" w:rsidRPr="00D12217">
        <w:rPr>
          <w:rFonts w:ascii="Arial" w:hAnsi="Arial" w:cs="Arial"/>
          <w:lang w:val="es-CO"/>
        </w:rPr>
        <w:t xml:space="preserve">. </w:t>
      </w:r>
    </w:p>
    <w:p w14:paraId="1A7BF9B7" w14:textId="77777777" w:rsidR="0095711B" w:rsidRPr="00D35381" w:rsidRDefault="00F00960" w:rsidP="002753E1">
      <w:pPr>
        <w:pStyle w:val="ListParagraph"/>
        <w:numPr>
          <w:ilvl w:val="0"/>
          <w:numId w:val="2"/>
        </w:numPr>
        <w:spacing w:before="120" w:after="120" w:line="240" w:lineRule="auto"/>
        <w:contextualSpacing w:val="0"/>
        <w:rPr>
          <w:rFonts w:ascii="Arial" w:hAnsi="Arial" w:cs="Arial"/>
          <w:b/>
          <w:lang w:val="es-CO"/>
        </w:rPr>
      </w:pPr>
      <w:r w:rsidRPr="00D35381">
        <w:rPr>
          <w:rFonts w:ascii="Arial" w:hAnsi="Arial" w:cs="Arial"/>
          <w:b/>
          <w:lang w:val="es-CO"/>
        </w:rPr>
        <w:t xml:space="preserve">Descripción de las </w:t>
      </w:r>
      <w:r w:rsidR="00A12C27" w:rsidRPr="00D35381">
        <w:rPr>
          <w:rFonts w:ascii="Arial" w:hAnsi="Arial" w:cs="Arial"/>
          <w:b/>
          <w:lang w:val="es-CO"/>
        </w:rPr>
        <w:t>activi</w:t>
      </w:r>
      <w:r w:rsidRPr="00D35381">
        <w:rPr>
          <w:rFonts w:ascii="Arial" w:hAnsi="Arial" w:cs="Arial"/>
          <w:b/>
          <w:lang w:val="es-CO"/>
        </w:rPr>
        <w:t>dades</w:t>
      </w:r>
      <w:r w:rsidR="00EC4FDA" w:rsidRPr="00D35381">
        <w:rPr>
          <w:rFonts w:ascii="Arial" w:hAnsi="Arial" w:cs="Arial"/>
          <w:b/>
          <w:lang w:val="es-CO"/>
        </w:rPr>
        <w:t xml:space="preserve"> y resultados</w:t>
      </w:r>
    </w:p>
    <w:p w14:paraId="1872B293" w14:textId="415DC8A8" w:rsidR="00F65C26" w:rsidRPr="00F65C26" w:rsidRDefault="00CE6796" w:rsidP="002753E1">
      <w:pPr>
        <w:pStyle w:val="ListParagraph"/>
        <w:numPr>
          <w:ilvl w:val="1"/>
          <w:numId w:val="2"/>
        </w:numPr>
        <w:spacing w:after="120" w:line="240" w:lineRule="auto"/>
        <w:ind w:hanging="547"/>
        <w:contextualSpacing w:val="0"/>
        <w:jc w:val="both"/>
        <w:rPr>
          <w:rFonts w:ascii="Arial" w:hAnsi="Arial" w:cs="Arial"/>
          <w:b/>
          <w:lang w:val="es-CO"/>
        </w:rPr>
      </w:pPr>
      <w:r w:rsidRPr="004A3AA4">
        <w:rPr>
          <w:rFonts w:ascii="Arial" w:hAnsi="Arial" w:cs="Arial"/>
          <w:b/>
          <w:lang w:val="es-CO"/>
        </w:rPr>
        <w:t xml:space="preserve">Componente 1: </w:t>
      </w:r>
      <w:r w:rsidR="00F65C26">
        <w:rPr>
          <w:rFonts w:ascii="Arial" w:hAnsi="Arial" w:cs="Arial"/>
          <w:b/>
          <w:lang w:val="es-CO"/>
        </w:rPr>
        <w:t>Planificación.</w:t>
      </w:r>
      <w:r w:rsidR="000C3575">
        <w:rPr>
          <w:rFonts w:ascii="Arial" w:hAnsi="Arial" w:cs="Arial"/>
          <w:b/>
          <w:lang w:val="es-CO"/>
        </w:rPr>
        <w:t xml:space="preserve"> </w:t>
      </w:r>
      <w:r w:rsidR="000C3575" w:rsidRPr="008E0CB5">
        <w:rPr>
          <w:rFonts w:ascii="Arial" w:hAnsi="Arial" w:cs="Arial"/>
          <w:lang w:val="es-CO"/>
        </w:rPr>
        <w:t>Este componente</w:t>
      </w:r>
      <w:r w:rsidR="000A788B">
        <w:rPr>
          <w:rFonts w:ascii="Arial" w:hAnsi="Arial" w:cs="Arial"/>
          <w:lang w:val="es-CO"/>
        </w:rPr>
        <w:t xml:space="preserve"> </w:t>
      </w:r>
      <w:r w:rsidR="000C3575" w:rsidRPr="008E0CB5">
        <w:rPr>
          <w:rFonts w:ascii="Arial" w:hAnsi="Arial" w:cs="Arial"/>
          <w:lang w:val="es-CO"/>
        </w:rPr>
        <w:t xml:space="preserve">apoyará </w:t>
      </w:r>
      <w:r w:rsidR="00563932" w:rsidRPr="008E0CB5">
        <w:rPr>
          <w:rFonts w:ascii="Arial" w:hAnsi="Arial" w:cs="Arial"/>
          <w:lang w:val="es-CO"/>
        </w:rPr>
        <w:t>accione</w:t>
      </w:r>
      <w:r w:rsidR="00793960">
        <w:rPr>
          <w:rFonts w:ascii="Arial" w:hAnsi="Arial" w:cs="Arial"/>
          <w:lang w:val="es-CO"/>
        </w:rPr>
        <w:t>s</w:t>
      </w:r>
      <w:r w:rsidR="00563932" w:rsidRPr="008E0CB5">
        <w:rPr>
          <w:rFonts w:ascii="Arial" w:hAnsi="Arial" w:cs="Arial"/>
          <w:lang w:val="es-CO"/>
        </w:rPr>
        <w:t xml:space="preserve"> que promuevan el crecimiento progresivo de los niveles de cobertura de agua potable</w:t>
      </w:r>
      <w:r w:rsidR="00761968">
        <w:rPr>
          <w:rFonts w:ascii="Arial" w:hAnsi="Arial" w:cs="Arial"/>
          <w:lang w:val="es-CO"/>
        </w:rPr>
        <w:t>, alcantarillado sanitario y tratamiento de aguas residuales</w:t>
      </w:r>
      <w:r w:rsidR="00926D7B" w:rsidRPr="008E0CB5">
        <w:rPr>
          <w:rFonts w:ascii="Arial" w:hAnsi="Arial" w:cs="Arial"/>
          <w:lang w:val="es-CO"/>
        </w:rPr>
        <w:t xml:space="preserve">. </w:t>
      </w:r>
      <w:r w:rsidR="00F65C26">
        <w:rPr>
          <w:rFonts w:ascii="Arial" w:hAnsi="Arial" w:cs="Arial"/>
          <w:lang w:val="es-CO"/>
        </w:rPr>
        <w:t xml:space="preserve">En este sentido, </w:t>
      </w:r>
      <w:r w:rsidR="00DA4B53">
        <w:rPr>
          <w:rFonts w:ascii="Arial" w:hAnsi="Arial" w:cs="Arial"/>
          <w:lang w:val="es-CO"/>
        </w:rPr>
        <w:t>revisará y pro</w:t>
      </w:r>
      <w:r w:rsidR="00C645F1">
        <w:rPr>
          <w:rFonts w:ascii="Arial" w:hAnsi="Arial" w:cs="Arial"/>
          <w:lang w:val="es-CO"/>
        </w:rPr>
        <w:t>po</w:t>
      </w:r>
      <w:r w:rsidR="00DA4B53">
        <w:rPr>
          <w:rFonts w:ascii="Arial" w:hAnsi="Arial" w:cs="Arial"/>
          <w:lang w:val="es-CO"/>
        </w:rPr>
        <w:t xml:space="preserve">ndrá ajustes al marco institucional, </w:t>
      </w:r>
      <w:r w:rsidR="00761968">
        <w:rPr>
          <w:rFonts w:ascii="Arial" w:hAnsi="Arial" w:cs="Arial"/>
          <w:lang w:val="es-CO"/>
        </w:rPr>
        <w:t xml:space="preserve">se </w:t>
      </w:r>
      <w:r w:rsidR="00205E59" w:rsidRPr="008E0CB5">
        <w:rPr>
          <w:rFonts w:ascii="Arial" w:hAnsi="Arial" w:cs="Arial"/>
          <w:lang w:val="es-CO"/>
        </w:rPr>
        <w:t>desarrollará una metodología para la identificación y priorización de inversione</w:t>
      </w:r>
      <w:r w:rsidR="008E0CB5" w:rsidRPr="008E0CB5">
        <w:rPr>
          <w:rFonts w:ascii="Arial" w:hAnsi="Arial" w:cs="Arial"/>
          <w:lang w:val="es-CO"/>
        </w:rPr>
        <w:t>s</w:t>
      </w:r>
      <w:r w:rsidR="009A7EEE">
        <w:rPr>
          <w:rFonts w:ascii="Arial" w:hAnsi="Arial" w:cs="Arial"/>
          <w:lang w:val="es-CO"/>
        </w:rPr>
        <w:t xml:space="preserve"> y</w:t>
      </w:r>
      <w:r w:rsidR="00205E59" w:rsidRPr="008E0CB5">
        <w:rPr>
          <w:rFonts w:ascii="Arial" w:hAnsi="Arial" w:cs="Arial"/>
          <w:lang w:val="es-CO"/>
        </w:rPr>
        <w:t xml:space="preserve"> se</w:t>
      </w:r>
      <w:r w:rsidR="00EE15C6" w:rsidRPr="008E0CB5">
        <w:rPr>
          <w:rFonts w:ascii="Arial" w:hAnsi="Arial" w:cs="Arial"/>
          <w:lang w:val="es-CO"/>
        </w:rPr>
        <w:t xml:space="preserve"> </w:t>
      </w:r>
      <w:r w:rsidR="00926D7B" w:rsidRPr="008E0CB5">
        <w:rPr>
          <w:rFonts w:ascii="Arial" w:hAnsi="Arial" w:cs="Arial"/>
          <w:lang w:val="es-CO"/>
        </w:rPr>
        <w:t xml:space="preserve">apoyará la preparación de un </w:t>
      </w:r>
      <w:r w:rsidR="00205E59" w:rsidRPr="008E0CB5">
        <w:rPr>
          <w:rFonts w:ascii="Arial" w:hAnsi="Arial" w:cs="Arial"/>
          <w:lang w:val="es-CO"/>
        </w:rPr>
        <w:t>P</w:t>
      </w:r>
      <w:r w:rsidR="00926D7B" w:rsidRPr="008E0CB5">
        <w:rPr>
          <w:rFonts w:ascii="Arial" w:hAnsi="Arial" w:cs="Arial"/>
          <w:lang w:val="es-CO"/>
        </w:rPr>
        <w:t xml:space="preserve">lan estratégico de inversiones de </w:t>
      </w:r>
      <w:r w:rsidR="00F77AE1">
        <w:rPr>
          <w:rFonts w:ascii="Arial" w:hAnsi="Arial" w:cs="Arial"/>
          <w:lang w:val="es-CO"/>
        </w:rPr>
        <w:t xml:space="preserve">corto, mediano y </w:t>
      </w:r>
      <w:r w:rsidR="00926D7B" w:rsidRPr="008E0CB5">
        <w:rPr>
          <w:rFonts w:ascii="Arial" w:hAnsi="Arial" w:cs="Arial"/>
          <w:lang w:val="es-CO"/>
        </w:rPr>
        <w:t xml:space="preserve">largo plazo para </w:t>
      </w:r>
      <w:r w:rsidR="00F77AE1">
        <w:rPr>
          <w:rFonts w:ascii="Arial" w:hAnsi="Arial" w:cs="Arial"/>
          <w:lang w:val="es-CO"/>
        </w:rPr>
        <w:t>el cumplimiento progresivo de los ODS 6</w:t>
      </w:r>
      <w:r w:rsidR="009A7EEE">
        <w:rPr>
          <w:rFonts w:ascii="Arial" w:hAnsi="Arial" w:cs="Arial"/>
          <w:lang w:val="es-CO"/>
        </w:rPr>
        <w:t>.</w:t>
      </w:r>
      <w:r w:rsidR="00CC1663">
        <w:rPr>
          <w:rFonts w:ascii="Arial" w:hAnsi="Arial" w:cs="Arial"/>
          <w:lang w:val="es-CO"/>
        </w:rPr>
        <w:t xml:space="preserve"> Adicionalmente, se apoyará el proceso de </w:t>
      </w:r>
      <w:r w:rsidR="00B82307">
        <w:rPr>
          <w:rFonts w:ascii="Arial" w:hAnsi="Arial" w:cs="Arial"/>
          <w:lang w:val="es-CO"/>
        </w:rPr>
        <w:t>modernización</w:t>
      </w:r>
      <w:r w:rsidR="00CC1663">
        <w:rPr>
          <w:rFonts w:ascii="Arial" w:hAnsi="Arial" w:cs="Arial"/>
          <w:lang w:val="es-CO"/>
        </w:rPr>
        <w:t xml:space="preserve"> de la Empresa de Servicios Sanitarios (ESSAP)</w:t>
      </w:r>
      <w:r w:rsidR="00D43E10">
        <w:rPr>
          <w:rFonts w:ascii="Arial" w:hAnsi="Arial" w:cs="Arial"/>
          <w:lang w:val="es-CO"/>
        </w:rPr>
        <w:t xml:space="preserve">, </w:t>
      </w:r>
      <w:r w:rsidR="00B82307">
        <w:rPr>
          <w:rFonts w:ascii="Arial" w:hAnsi="Arial" w:cs="Arial"/>
          <w:lang w:val="es-CO"/>
        </w:rPr>
        <w:t xml:space="preserve">bajo un enfoque de unidades regionales de operación, </w:t>
      </w:r>
      <w:r w:rsidR="00D43E10">
        <w:rPr>
          <w:rFonts w:ascii="Arial" w:hAnsi="Arial" w:cs="Arial"/>
          <w:lang w:val="es-CO"/>
        </w:rPr>
        <w:t xml:space="preserve">mediante el fortalecimiento y la formación de capacidades en las áreas de gestión </w:t>
      </w:r>
      <w:r w:rsidR="00F93633">
        <w:rPr>
          <w:rFonts w:ascii="Arial" w:hAnsi="Arial" w:cs="Arial"/>
          <w:lang w:val="es-CO"/>
        </w:rPr>
        <w:t>técnica</w:t>
      </w:r>
      <w:r w:rsidR="00B82307">
        <w:rPr>
          <w:rFonts w:ascii="Arial" w:hAnsi="Arial" w:cs="Arial"/>
          <w:lang w:val="es-CO"/>
        </w:rPr>
        <w:t>, comercial, financiera</w:t>
      </w:r>
      <w:r w:rsidR="00F93633">
        <w:rPr>
          <w:rFonts w:ascii="Arial" w:hAnsi="Arial" w:cs="Arial"/>
          <w:lang w:val="es-CO"/>
        </w:rPr>
        <w:t xml:space="preserve"> </w:t>
      </w:r>
      <w:r w:rsidR="00D43E10">
        <w:rPr>
          <w:rFonts w:ascii="Arial" w:hAnsi="Arial" w:cs="Arial"/>
          <w:lang w:val="es-CO"/>
        </w:rPr>
        <w:t>y</w:t>
      </w:r>
      <w:r w:rsidR="00F93633" w:rsidRPr="00F93633">
        <w:rPr>
          <w:rFonts w:ascii="Arial" w:hAnsi="Arial" w:cs="Arial"/>
          <w:lang w:val="es-CO"/>
        </w:rPr>
        <w:t xml:space="preserve"> </w:t>
      </w:r>
      <w:r w:rsidR="00F93633">
        <w:rPr>
          <w:rFonts w:ascii="Arial" w:hAnsi="Arial" w:cs="Arial"/>
          <w:lang w:val="es-CO"/>
        </w:rPr>
        <w:t>operativa</w:t>
      </w:r>
      <w:r w:rsidR="0024543F">
        <w:rPr>
          <w:rStyle w:val="FootnoteReference"/>
          <w:rFonts w:ascii="Arial" w:hAnsi="Arial" w:cs="Arial"/>
          <w:lang w:val="es-CO"/>
        </w:rPr>
        <w:footnoteReference w:id="12"/>
      </w:r>
      <w:r w:rsidR="00D43E10">
        <w:rPr>
          <w:rFonts w:ascii="Arial" w:hAnsi="Arial" w:cs="Arial"/>
          <w:lang w:val="es-CO"/>
        </w:rPr>
        <w:t>.</w:t>
      </w:r>
      <w:r w:rsidR="00CC1663">
        <w:rPr>
          <w:rFonts w:ascii="Arial" w:hAnsi="Arial" w:cs="Arial"/>
          <w:lang w:val="es-CO"/>
        </w:rPr>
        <w:t xml:space="preserve"> </w:t>
      </w:r>
      <w:r w:rsidR="009A7EEE">
        <w:rPr>
          <w:rFonts w:ascii="Arial" w:hAnsi="Arial" w:cs="Arial"/>
          <w:lang w:val="es-CO"/>
        </w:rPr>
        <w:t xml:space="preserve"> También </w:t>
      </w:r>
      <w:r w:rsidR="00F77AE1">
        <w:rPr>
          <w:rFonts w:ascii="Arial" w:hAnsi="Arial" w:cs="Arial"/>
          <w:lang w:val="es-CO"/>
        </w:rPr>
        <w:t>se apoyará la preparación de dos programas</w:t>
      </w:r>
      <w:r w:rsidR="00761968">
        <w:rPr>
          <w:rFonts w:ascii="Arial" w:hAnsi="Arial" w:cs="Arial"/>
          <w:lang w:val="es-CO"/>
        </w:rPr>
        <w:t xml:space="preserve"> </w:t>
      </w:r>
      <w:r w:rsidR="00F77AE1">
        <w:rPr>
          <w:rFonts w:ascii="Arial" w:hAnsi="Arial" w:cs="Arial"/>
          <w:lang w:val="es-CO"/>
        </w:rPr>
        <w:t xml:space="preserve">estratégicos </w:t>
      </w:r>
      <w:r w:rsidR="009A7EEE">
        <w:rPr>
          <w:rFonts w:ascii="Arial" w:hAnsi="Arial" w:cs="Arial"/>
          <w:lang w:val="es-CO"/>
        </w:rPr>
        <w:t xml:space="preserve">claves </w:t>
      </w:r>
      <w:r w:rsidR="00F77AE1">
        <w:rPr>
          <w:rFonts w:ascii="Arial" w:hAnsi="Arial" w:cs="Arial"/>
          <w:lang w:val="es-CO"/>
        </w:rPr>
        <w:t>para</w:t>
      </w:r>
      <w:r w:rsidR="00761968">
        <w:rPr>
          <w:rFonts w:ascii="Arial" w:hAnsi="Arial" w:cs="Arial"/>
          <w:lang w:val="es-CO"/>
        </w:rPr>
        <w:t xml:space="preserve"> reducir </w:t>
      </w:r>
      <w:r w:rsidR="000A788B">
        <w:rPr>
          <w:rFonts w:ascii="Arial" w:hAnsi="Arial" w:cs="Arial"/>
          <w:lang w:val="es-CO"/>
        </w:rPr>
        <w:t xml:space="preserve">los rezagos </w:t>
      </w:r>
      <w:r w:rsidR="00761968">
        <w:rPr>
          <w:rFonts w:ascii="Arial" w:hAnsi="Arial" w:cs="Arial"/>
          <w:lang w:val="es-CO"/>
        </w:rPr>
        <w:t>existentes</w:t>
      </w:r>
      <w:r w:rsidR="00754940">
        <w:rPr>
          <w:rFonts w:ascii="Arial" w:hAnsi="Arial" w:cs="Arial"/>
          <w:lang w:val="es-CO"/>
        </w:rPr>
        <w:t xml:space="preserve"> </w:t>
      </w:r>
      <w:r w:rsidR="00C632E3">
        <w:rPr>
          <w:rFonts w:ascii="Arial" w:hAnsi="Arial" w:cs="Arial"/>
          <w:lang w:val="es-CO"/>
        </w:rPr>
        <w:t xml:space="preserve">en las principales aglomeraciones urbanas del país, </w:t>
      </w:r>
      <w:r w:rsidR="009A7EEE">
        <w:rPr>
          <w:rFonts w:ascii="Arial" w:hAnsi="Arial" w:cs="Arial"/>
          <w:lang w:val="es-CO"/>
        </w:rPr>
        <w:t>en términos de cobertura de alcantarillado sanitario y tratamiento de aguas residuales</w:t>
      </w:r>
      <w:r w:rsidR="00C632E3">
        <w:rPr>
          <w:rFonts w:ascii="Arial" w:hAnsi="Arial" w:cs="Arial"/>
          <w:lang w:val="es-CO"/>
        </w:rPr>
        <w:t>.</w:t>
      </w:r>
      <w:r w:rsidR="009A7EEE">
        <w:rPr>
          <w:rFonts w:ascii="Arial" w:hAnsi="Arial" w:cs="Arial"/>
          <w:lang w:val="es-CO"/>
        </w:rPr>
        <w:t xml:space="preserve"> </w:t>
      </w:r>
      <w:r w:rsidR="00314AA4" w:rsidRPr="00314AA4">
        <w:rPr>
          <w:rFonts w:ascii="Arial" w:hAnsi="Arial" w:cs="Arial"/>
          <w:lang w:val="es-CO"/>
        </w:rPr>
        <w:t xml:space="preserve">El componente busca: </w:t>
      </w:r>
      <w:r w:rsidR="00314AA4">
        <w:rPr>
          <w:rFonts w:ascii="Arial" w:hAnsi="Arial" w:cs="Arial"/>
          <w:lang w:val="es-CO"/>
        </w:rPr>
        <w:t>(</w:t>
      </w:r>
      <w:r w:rsidR="00314AA4" w:rsidRPr="00314AA4">
        <w:rPr>
          <w:rFonts w:ascii="Arial" w:hAnsi="Arial" w:cs="Arial"/>
          <w:lang w:val="es-CO"/>
        </w:rPr>
        <w:t xml:space="preserve">i) generar y fortalecer las capacidades de planificación sectorial de inversiones; </w:t>
      </w:r>
      <w:r w:rsidR="00314AA4">
        <w:rPr>
          <w:rFonts w:ascii="Arial" w:hAnsi="Arial" w:cs="Arial"/>
          <w:lang w:val="es-CO"/>
        </w:rPr>
        <w:t>(</w:t>
      </w:r>
      <w:proofErr w:type="spellStart"/>
      <w:r w:rsidR="00314AA4" w:rsidRPr="00314AA4">
        <w:rPr>
          <w:rFonts w:ascii="Arial" w:hAnsi="Arial" w:cs="Arial"/>
          <w:lang w:val="es-CO"/>
        </w:rPr>
        <w:t>ii</w:t>
      </w:r>
      <w:proofErr w:type="spellEnd"/>
      <w:r w:rsidR="00314AA4" w:rsidRPr="00314AA4">
        <w:rPr>
          <w:rFonts w:ascii="Arial" w:hAnsi="Arial" w:cs="Arial"/>
          <w:lang w:val="es-CO"/>
        </w:rPr>
        <w:t xml:space="preserve">) identificar opciones para la modernización de la ESSAP y promover su eficiencia empresarial; y </w:t>
      </w:r>
      <w:r w:rsidR="00314AA4">
        <w:rPr>
          <w:rFonts w:ascii="Arial" w:hAnsi="Arial" w:cs="Arial"/>
          <w:lang w:val="es-CO"/>
        </w:rPr>
        <w:t>(</w:t>
      </w:r>
      <w:proofErr w:type="spellStart"/>
      <w:r w:rsidR="00314AA4" w:rsidRPr="00314AA4">
        <w:rPr>
          <w:rFonts w:ascii="Arial" w:hAnsi="Arial" w:cs="Arial"/>
          <w:lang w:val="es-CO"/>
        </w:rPr>
        <w:t>iii</w:t>
      </w:r>
      <w:proofErr w:type="spellEnd"/>
      <w:r w:rsidR="00314AA4" w:rsidRPr="00314AA4">
        <w:rPr>
          <w:rFonts w:ascii="Arial" w:hAnsi="Arial" w:cs="Arial"/>
          <w:lang w:val="es-CO"/>
        </w:rPr>
        <w:t xml:space="preserve">) apoyar la </w:t>
      </w:r>
      <w:r w:rsidR="00314AA4" w:rsidRPr="00314AA4">
        <w:rPr>
          <w:rFonts w:ascii="Arial" w:hAnsi="Arial" w:cs="Arial"/>
          <w:lang w:val="es-CO"/>
        </w:rPr>
        <w:lastRenderedPageBreak/>
        <w:t>preparación de proyectos estratégicos (PR-L1172 y RG-L1134) para reducir los rezagos existentes en términos de agua potable, alcantarillado sanitario y tratamiento de aguas residuales.</w:t>
      </w:r>
    </w:p>
    <w:p w14:paraId="061751DA" w14:textId="6AF17BAF" w:rsidR="00D06DDA" w:rsidRPr="009A7EEE" w:rsidRDefault="00CE6796" w:rsidP="002753E1">
      <w:pPr>
        <w:pStyle w:val="ListParagraph"/>
        <w:numPr>
          <w:ilvl w:val="1"/>
          <w:numId w:val="2"/>
        </w:numPr>
        <w:spacing w:after="120" w:line="240" w:lineRule="auto"/>
        <w:ind w:hanging="547"/>
        <w:contextualSpacing w:val="0"/>
        <w:jc w:val="both"/>
        <w:rPr>
          <w:rFonts w:ascii="Arial" w:hAnsi="Arial" w:cs="Arial"/>
          <w:lang w:val="es-CO"/>
        </w:rPr>
      </w:pPr>
      <w:r w:rsidRPr="00A420E9">
        <w:rPr>
          <w:rFonts w:ascii="Arial" w:hAnsi="Arial" w:cs="Arial"/>
          <w:b/>
          <w:lang w:val="es-CO"/>
        </w:rPr>
        <w:t xml:space="preserve">Componente 2: </w:t>
      </w:r>
      <w:r w:rsidR="00F65C26">
        <w:rPr>
          <w:rFonts w:ascii="Arial" w:hAnsi="Arial" w:cs="Arial"/>
          <w:b/>
          <w:lang w:val="es-CO"/>
        </w:rPr>
        <w:t xml:space="preserve">Financiamiento. </w:t>
      </w:r>
      <w:r w:rsidR="000A788B" w:rsidRPr="000A788B">
        <w:rPr>
          <w:rFonts w:ascii="Arial" w:hAnsi="Arial" w:cs="Arial"/>
          <w:lang w:val="es-CO"/>
        </w:rPr>
        <w:t xml:space="preserve">Bajo </w:t>
      </w:r>
      <w:r w:rsidR="000A788B">
        <w:rPr>
          <w:rFonts w:ascii="Arial" w:hAnsi="Arial" w:cs="Arial"/>
          <w:lang w:val="es-CO"/>
        </w:rPr>
        <w:t xml:space="preserve">el componente </w:t>
      </w:r>
      <w:r w:rsidR="005906D5">
        <w:rPr>
          <w:rFonts w:ascii="Arial" w:hAnsi="Arial" w:cs="Arial"/>
          <w:lang w:val="es-CO"/>
        </w:rPr>
        <w:t>se</w:t>
      </w:r>
      <w:r w:rsidR="00F65C26" w:rsidRPr="008E0CB5">
        <w:rPr>
          <w:rFonts w:ascii="Arial" w:hAnsi="Arial" w:cs="Arial"/>
          <w:lang w:val="es-CO"/>
        </w:rPr>
        <w:t xml:space="preserve"> </w:t>
      </w:r>
      <w:r w:rsidR="00C645F1">
        <w:rPr>
          <w:rFonts w:ascii="Arial" w:hAnsi="Arial" w:cs="Arial"/>
          <w:lang w:val="es-CO"/>
        </w:rPr>
        <w:t>formulará un</w:t>
      </w:r>
      <w:r w:rsidR="0047474F">
        <w:rPr>
          <w:rFonts w:ascii="Arial" w:hAnsi="Arial" w:cs="Arial"/>
          <w:lang w:val="es-CO"/>
        </w:rPr>
        <w:t>a</w:t>
      </w:r>
      <w:r w:rsidR="00C645F1">
        <w:rPr>
          <w:rFonts w:ascii="Arial" w:hAnsi="Arial" w:cs="Arial"/>
          <w:lang w:val="es-CO"/>
        </w:rPr>
        <w:t xml:space="preserve"> propuesta de</w:t>
      </w:r>
      <w:r w:rsidR="00C645F1" w:rsidRPr="00C645F1">
        <w:rPr>
          <w:rFonts w:ascii="Arial" w:hAnsi="Arial" w:cs="Arial"/>
          <w:lang w:val="es-CO"/>
        </w:rPr>
        <w:t xml:space="preserve"> la política para el financiamiento del sector de agua y saneamiento que establezca las principales fuentes de recursos para la ejecución de proyectos de inversión asegurando la sostenibilidad financiera del secto</w:t>
      </w:r>
      <w:r w:rsidR="00C645F1">
        <w:rPr>
          <w:rFonts w:ascii="Arial" w:hAnsi="Arial" w:cs="Arial"/>
          <w:lang w:val="es-CO"/>
        </w:rPr>
        <w:t>r y se</w:t>
      </w:r>
      <w:r w:rsidR="00C645F1" w:rsidRPr="00C645F1">
        <w:rPr>
          <w:rFonts w:ascii="Arial" w:hAnsi="Arial" w:cs="Arial"/>
          <w:lang w:val="es-CO"/>
        </w:rPr>
        <w:t xml:space="preserve"> </w:t>
      </w:r>
      <w:r w:rsidR="00F65C26" w:rsidRPr="008E0CB5">
        <w:rPr>
          <w:rFonts w:ascii="Arial" w:hAnsi="Arial" w:cs="Arial"/>
          <w:lang w:val="es-CO"/>
        </w:rPr>
        <w:t>desarroll</w:t>
      </w:r>
      <w:r w:rsidR="005906D5">
        <w:rPr>
          <w:rFonts w:ascii="Arial" w:hAnsi="Arial" w:cs="Arial"/>
          <w:lang w:val="es-CO"/>
        </w:rPr>
        <w:t>ará</w:t>
      </w:r>
      <w:r w:rsidR="00A9034E">
        <w:rPr>
          <w:rFonts w:ascii="Arial" w:hAnsi="Arial" w:cs="Arial"/>
          <w:lang w:val="es-CO"/>
        </w:rPr>
        <w:t xml:space="preserve">n herramientas para lograr el financiamiento </w:t>
      </w:r>
      <w:bookmarkStart w:id="1" w:name="_Hlk2174223"/>
      <w:r w:rsidR="00A9034E">
        <w:rPr>
          <w:rFonts w:ascii="Arial" w:hAnsi="Arial" w:cs="Arial"/>
          <w:lang w:val="es-CO"/>
        </w:rPr>
        <w:t xml:space="preserve">del plan estratégico de inversiones </w:t>
      </w:r>
      <w:bookmarkEnd w:id="1"/>
      <w:r w:rsidR="00A9034E">
        <w:rPr>
          <w:rFonts w:ascii="Arial" w:hAnsi="Arial" w:cs="Arial"/>
          <w:lang w:val="es-CO"/>
        </w:rPr>
        <w:t xml:space="preserve">a ser propuesto en el Componente 1. En ese sentido, </w:t>
      </w:r>
      <w:r w:rsidR="00087704">
        <w:rPr>
          <w:rFonts w:ascii="Arial" w:hAnsi="Arial" w:cs="Arial"/>
          <w:lang w:val="es-CO"/>
        </w:rPr>
        <w:t xml:space="preserve">se contratarán los servicios de un consultor para la estructuración de un </w:t>
      </w:r>
      <w:r w:rsidR="009A7EEE">
        <w:rPr>
          <w:rFonts w:ascii="Arial" w:hAnsi="Arial" w:cs="Arial"/>
          <w:lang w:val="es-CO"/>
        </w:rPr>
        <w:t>F</w:t>
      </w:r>
      <w:r w:rsidR="00087704">
        <w:rPr>
          <w:rFonts w:ascii="Arial" w:hAnsi="Arial" w:cs="Arial"/>
          <w:lang w:val="es-CO"/>
        </w:rPr>
        <w:t xml:space="preserve">ondo de </w:t>
      </w:r>
      <w:r w:rsidR="009A7EEE">
        <w:rPr>
          <w:rFonts w:ascii="Arial" w:hAnsi="Arial" w:cs="Arial"/>
          <w:lang w:val="es-CO"/>
        </w:rPr>
        <w:t>financiamiento y</w:t>
      </w:r>
      <w:r w:rsidR="00087704">
        <w:rPr>
          <w:rFonts w:ascii="Arial" w:hAnsi="Arial" w:cs="Arial"/>
          <w:lang w:val="es-CO"/>
        </w:rPr>
        <w:t xml:space="preserve"> de una Ventanilla </w:t>
      </w:r>
      <w:r w:rsidR="009A7EEE">
        <w:rPr>
          <w:rFonts w:ascii="Arial" w:hAnsi="Arial" w:cs="Arial"/>
          <w:lang w:val="es-CO"/>
        </w:rPr>
        <w:t>ú</w:t>
      </w:r>
      <w:r w:rsidR="00087704" w:rsidRPr="009A7EEE">
        <w:rPr>
          <w:rFonts w:ascii="Arial" w:hAnsi="Arial" w:cs="Arial"/>
          <w:lang w:val="es-CO"/>
        </w:rPr>
        <w:t xml:space="preserve">nica </w:t>
      </w:r>
      <w:r w:rsidR="009A7EEE">
        <w:rPr>
          <w:rFonts w:ascii="Arial" w:hAnsi="Arial" w:cs="Arial"/>
          <w:lang w:val="es-CO"/>
        </w:rPr>
        <w:t>sectoria</w:t>
      </w:r>
      <w:r w:rsidR="00171C61">
        <w:rPr>
          <w:rFonts w:ascii="Arial" w:hAnsi="Arial" w:cs="Arial"/>
          <w:lang w:val="es-CO"/>
        </w:rPr>
        <w:t>l.</w:t>
      </w:r>
      <w:r w:rsidR="00087704" w:rsidRPr="009A7EEE">
        <w:rPr>
          <w:rFonts w:ascii="Arial" w:hAnsi="Arial" w:cs="Arial"/>
          <w:lang w:val="es-CO"/>
        </w:rPr>
        <w:t xml:space="preserve"> </w:t>
      </w:r>
      <w:r w:rsidR="00D93D78" w:rsidRPr="009A7EEE">
        <w:rPr>
          <w:rFonts w:ascii="Arial" w:hAnsi="Arial" w:cs="Arial"/>
          <w:lang w:val="es-CO"/>
        </w:rPr>
        <w:t>Asimismo,</w:t>
      </w:r>
      <w:r w:rsidR="00087704" w:rsidRPr="009A7EEE">
        <w:rPr>
          <w:rFonts w:ascii="Arial" w:hAnsi="Arial" w:cs="Arial"/>
          <w:lang w:val="es-CO"/>
        </w:rPr>
        <w:t xml:space="preserve"> </w:t>
      </w:r>
      <w:r w:rsidR="009A7EEE">
        <w:rPr>
          <w:rFonts w:ascii="Arial" w:hAnsi="Arial" w:cs="Arial"/>
          <w:lang w:val="es-CO"/>
        </w:rPr>
        <w:t>a fin de propiciar el mantenimiento de</w:t>
      </w:r>
      <w:r w:rsidR="00171C61">
        <w:rPr>
          <w:rFonts w:ascii="Arial" w:hAnsi="Arial" w:cs="Arial"/>
          <w:lang w:val="es-CO"/>
        </w:rPr>
        <w:t xml:space="preserve"> la</w:t>
      </w:r>
      <w:r w:rsidR="009A7EEE">
        <w:rPr>
          <w:rFonts w:ascii="Arial" w:hAnsi="Arial" w:cs="Arial"/>
          <w:lang w:val="es-CO"/>
        </w:rPr>
        <w:t xml:space="preserve"> infraestructura existente y la expansión de estas, </w:t>
      </w:r>
      <w:r w:rsidR="00087704" w:rsidRPr="009A7EEE">
        <w:rPr>
          <w:rFonts w:ascii="Arial" w:hAnsi="Arial" w:cs="Arial"/>
          <w:lang w:val="es-CO"/>
        </w:rPr>
        <w:t xml:space="preserve">se desarrollará </w:t>
      </w:r>
      <w:r w:rsidR="00F65C26" w:rsidRPr="009A7EEE">
        <w:rPr>
          <w:rFonts w:ascii="Arial" w:hAnsi="Arial" w:cs="Arial"/>
          <w:lang w:val="es-CO"/>
        </w:rPr>
        <w:t xml:space="preserve">una guía de cálculo de costos y tarifas, que aseguren el cubrimiento de los costos de operación, mantenimiento y depreciación de los servicios. </w:t>
      </w:r>
      <w:r w:rsidR="00D93D78" w:rsidRPr="009A7EEE">
        <w:rPr>
          <w:rFonts w:ascii="Arial" w:hAnsi="Arial" w:cs="Arial"/>
          <w:lang w:val="es-CO"/>
        </w:rPr>
        <w:t>E</w:t>
      </w:r>
      <w:r w:rsidR="005906D5" w:rsidRPr="009A7EEE">
        <w:rPr>
          <w:rFonts w:ascii="Arial" w:hAnsi="Arial" w:cs="Arial"/>
          <w:lang w:val="es-CO"/>
        </w:rPr>
        <w:t xml:space="preserve">sta guía </w:t>
      </w:r>
      <w:r w:rsidR="00F65C26" w:rsidRPr="009A7EEE">
        <w:rPr>
          <w:rFonts w:ascii="Arial" w:hAnsi="Arial" w:cs="Arial"/>
          <w:lang w:val="es-CO"/>
        </w:rPr>
        <w:t>propondrá esquemas de subsidios para asegurar el acceso a todos los habitantes</w:t>
      </w:r>
      <w:r w:rsidR="005906D5" w:rsidRPr="009A7EEE">
        <w:rPr>
          <w:rFonts w:ascii="Arial" w:hAnsi="Arial" w:cs="Arial"/>
          <w:lang w:val="es-CO"/>
        </w:rPr>
        <w:t>, en especia</w:t>
      </w:r>
      <w:r w:rsidR="00A9034E" w:rsidRPr="009A7EEE">
        <w:rPr>
          <w:rFonts w:ascii="Arial" w:hAnsi="Arial" w:cs="Arial"/>
          <w:lang w:val="es-CO"/>
        </w:rPr>
        <w:t xml:space="preserve">l </w:t>
      </w:r>
      <w:r w:rsidR="00E375C6">
        <w:rPr>
          <w:rFonts w:ascii="Arial" w:hAnsi="Arial" w:cs="Arial"/>
          <w:lang w:val="es-CO"/>
        </w:rPr>
        <w:t>de</w:t>
      </w:r>
      <w:r w:rsidR="00A9034E" w:rsidRPr="009A7EEE">
        <w:rPr>
          <w:rFonts w:ascii="Arial" w:hAnsi="Arial" w:cs="Arial"/>
          <w:lang w:val="es-CO"/>
        </w:rPr>
        <w:t xml:space="preserve"> aquellos con menores niveles de ingreso</w:t>
      </w:r>
      <w:r w:rsidR="00F65C26" w:rsidRPr="009A7EEE">
        <w:rPr>
          <w:rFonts w:ascii="Arial" w:hAnsi="Arial" w:cs="Arial"/>
          <w:lang w:val="es-CO"/>
        </w:rPr>
        <w:t xml:space="preserve">. Por otra parte, </w:t>
      </w:r>
      <w:r w:rsidR="00171C61">
        <w:rPr>
          <w:rFonts w:ascii="Arial" w:hAnsi="Arial" w:cs="Arial"/>
          <w:lang w:val="es-CO"/>
        </w:rPr>
        <w:t xml:space="preserve">también </w:t>
      </w:r>
      <w:r w:rsidR="009A7EEE">
        <w:rPr>
          <w:rFonts w:ascii="Arial" w:hAnsi="Arial" w:cs="Arial"/>
          <w:lang w:val="es-CO"/>
        </w:rPr>
        <w:t xml:space="preserve">se apoyará en </w:t>
      </w:r>
      <w:r w:rsidR="00F65C26" w:rsidRPr="009A7EEE">
        <w:rPr>
          <w:rFonts w:ascii="Arial" w:hAnsi="Arial" w:cs="Arial"/>
          <w:lang w:val="es-CO"/>
        </w:rPr>
        <w:t>el desarrollo de una política de conectividad de usuarios a los servicios de alcantarillado, que incluya mecanismos de incentivos para reducir l</w:t>
      </w:r>
      <w:r w:rsidR="00E375C6">
        <w:rPr>
          <w:rFonts w:ascii="Arial" w:hAnsi="Arial" w:cs="Arial"/>
          <w:lang w:val="es-CO"/>
        </w:rPr>
        <w:t>a probabilidad</w:t>
      </w:r>
      <w:r w:rsidR="00F65C26" w:rsidRPr="009A7EEE">
        <w:rPr>
          <w:rFonts w:ascii="Arial" w:hAnsi="Arial" w:cs="Arial"/>
          <w:lang w:val="es-CO"/>
        </w:rPr>
        <w:t xml:space="preserve"> de no conexión.</w:t>
      </w:r>
      <w:r w:rsidR="00314AA4">
        <w:rPr>
          <w:rFonts w:ascii="Arial" w:hAnsi="Arial" w:cs="Arial"/>
          <w:lang w:val="es-CO"/>
        </w:rPr>
        <w:t xml:space="preserve"> </w:t>
      </w:r>
      <w:r w:rsidR="00314AA4" w:rsidRPr="00314AA4">
        <w:rPr>
          <w:rFonts w:ascii="Arial" w:hAnsi="Arial" w:cs="Arial"/>
          <w:lang w:val="es-CO"/>
        </w:rPr>
        <w:t>El componente busca la identificación de fuentes sostenibles de financiamiento sectorial, la formulación de la correspondiente política pública y el desarrollo de los instrumentos requeridos para su operativización</w:t>
      </w:r>
      <w:r w:rsidR="00314AA4">
        <w:rPr>
          <w:rFonts w:ascii="Arial" w:hAnsi="Arial" w:cs="Arial"/>
          <w:lang w:val="es-CO"/>
        </w:rPr>
        <w:t>.</w:t>
      </w:r>
    </w:p>
    <w:p w14:paraId="36466721" w14:textId="26AD5CC9" w:rsidR="007A2629" w:rsidRPr="005C4C69" w:rsidRDefault="00CE6796" w:rsidP="002753E1">
      <w:pPr>
        <w:pStyle w:val="ListParagraph"/>
        <w:numPr>
          <w:ilvl w:val="1"/>
          <w:numId w:val="2"/>
        </w:numPr>
        <w:spacing w:after="120" w:line="240" w:lineRule="auto"/>
        <w:ind w:hanging="547"/>
        <w:contextualSpacing w:val="0"/>
        <w:jc w:val="both"/>
        <w:rPr>
          <w:rFonts w:ascii="Arial" w:hAnsi="Arial" w:cs="Arial"/>
          <w:lang w:val="es-CO"/>
        </w:rPr>
      </w:pPr>
      <w:r w:rsidRPr="005C4C69">
        <w:rPr>
          <w:rFonts w:ascii="Arial" w:hAnsi="Arial" w:cs="Arial"/>
          <w:b/>
          <w:lang w:val="es-CO"/>
        </w:rPr>
        <w:t xml:space="preserve">Componente 3: </w:t>
      </w:r>
      <w:r w:rsidR="00F65C26" w:rsidRPr="005C4C69">
        <w:rPr>
          <w:rFonts w:ascii="Arial" w:hAnsi="Arial" w:cs="Arial"/>
          <w:b/>
          <w:lang w:val="es-CO"/>
        </w:rPr>
        <w:t>Normatividad</w:t>
      </w:r>
      <w:r w:rsidRPr="00CD339B">
        <w:rPr>
          <w:rFonts w:ascii="Arial" w:hAnsi="Arial" w:cs="Arial"/>
          <w:b/>
          <w:lang w:val="es-CO"/>
        </w:rPr>
        <w:t>.</w:t>
      </w:r>
      <w:r w:rsidRPr="005C4C69">
        <w:rPr>
          <w:rFonts w:ascii="Arial" w:hAnsi="Arial" w:cs="Arial"/>
          <w:lang w:val="es-CO"/>
        </w:rPr>
        <w:t xml:space="preserve"> Tiene como objetivo </w:t>
      </w:r>
      <w:r w:rsidR="00D3184C" w:rsidRPr="005C4C69">
        <w:rPr>
          <w:rFonts w:ascii="Arial" w:hAnsi="Arial" w:cs="Arial"/>
          <w:lang w:val="es-CO"/>
        </w:rPr>
        <w:t>financiar herramientas que sirvan como mecanismos de control</w:t>
      </w:r>
      <w:r w:rsidR="00C632E3">
        <w:rPr>
          <w:rFonts w:ascii="Arial" w:hAnsi="Arial" w:cs="Arial"/>
          <w:lang w:val="es-CO"/>
        </w:rPr>
        <w:t xml:space="preserve">, </w:t>
      </w:r>
      <w:r w:rsidR="00D3184C" w:rsidRPr="005C4C69">
        <w:rPr>
          <w:rFonts w:ascii="Arial" w:hAnsi="Arial" w:cs="Arial"/>
          <w:lang w:val="es-CO"/>
        </w:rPr>
        <w:t xml:space="preserve">para fortalecer </w:t>
      </w:r>
      <w:r w:rsidR="00943B6F" w:rsidRPr="005C4C69">
        <w:rPr>
          <w:rFonts w:ascii="Arial" w:hAnsi="Arial" w:cs="Arial"/>
          <w:lang w:val="es-CO"/>
        </w:rPr>
        <w:t xml:space="preserve">el accionar </w:t>
      </w:r>
      <w:r w:rsidR="00D3184C" w:rsidRPr="005C4C69">
        <w:rPr>
          <w:rFonts w:ascii="Arial" w:hAnsi="Arial" w:cs="Arial"/>
          <w:lang w:val="es-CO"/>
        </w:rPr>
        <w:t xml:space="preserve">de las instituciones relacionadas a mejorar la calidad de </w:t>
      </w:r>
      <w:r w:rsidR="00D93D78" w:rsidRPr="005C4C69">
        <w:rPr>
          <w:rFonts w:ascii="Arial" w:hAnsi="Arial" w:cs="Arial"/>
          <w:lang w:val="es-CO"/>
        </w:rPr>
        <w:t xml:space="preserve">la </w:t>
      </w:r>
      <w:r w:rsidR="00D3184C" w:rsidRPr="005C4C69">
        <w:rPr>
          <w:rFonts w:ascii="Arial" w:hAnsi="Arial" w:cs="Arial"/>
          <w:lang w:val="es-CO"/>
        </w:rPr>
        <w:t xml:space="preserve">prestación de los servicios de agua potable y alcantarillado. En ese sentido, </w:t>
      </w:r>
      <w:r w:rsidR="00171C61">
        <w:rPr>
          <w:rFonts w:ascii="Arial" w:hAnsi="Arial" w:cs="Arial"/>
          <w:lang w:val="es-CO"/>
        </w:rPr>
        <w:t xml:space="preserve">se </w:t>
      </w:r>
      <w:r w:rsidR="000F4DBC">
        <w:rPr>
          <w:rFonts w:ascii="Arial" w:hAnsi="Arial" w:cs="Arial"/>
          <w:lang w:val="es-CO"/>
        </w:rPr>
        <w:t>revisarán</w:t>
      </w:r>
      <w:r w:rsidR="008E2EA3">
        <w:rPr>
          <w:rFonts w:ascii="Arial" w:hAnsi="Arial" w:cs="Arial"/>
          <w:lang w:val="es-CO"/>
        </w:rPr>
        <w:t xml:space="preserve"> y actualizarán</w:t>
      </w:r>
      <w:r w:rsidR="000F4DBC">
        <w:rPr>
          <w:rFonts w:ascii="Arial" w:hAnsi="Arial" w:cs="Arial"/>
          <w:lang w:val="es-CO"/>
        </w:rPr>
        <w:t xml:space="preserve"> los reglamentos de calidad </w:t>
      </w:r>
      <w:r w:rsidR="00B82307">
        <w:rPr>
          <w:rFonts w:ascii="Arial" w:hAnsi="Arial" w:cs="Arial"/>
          <w:lang w:val="es-CO"/>
        </w:rPr>
        <w:t xml:space="preserve">del servicio </w:t>
      </w:r>
      <w:r w:rsidR="000F4DBC">
        <w:rPr>
          <w:rFonts w:ascii="Arial" w:hAnsi="Arial" w:cs="Arial"/>
          <w:lang w:val="es-CO"/>
        </w:rPr>
        <w:t>para permisionarios y concesionarios, y se trabajará en un</w:t>
      </w:r>
      <w:r w:rsidR="00943B6F" w:rsidRPr="005C4C69">
        <w:rPr>
          <w:rFonts w:ascii="Arial" w:hAnsi="Arial" w:cs="Arial"/>
          <w:lang w:val="es-CO"/>
        </w:rPr>
        <w:t xml:space="preserve">a </w:t>
      </w:r>
      <w:r w:rsidR="00D3184C" w:rsidRPr="005C4C69">
        <w:rPr>
          <w:rFonts w:ascii="Arial" w:hAnsi="Arial" w:cs="Arial"/>
          <w:lang w:val="es-CO"/>
        </w:rPr>
        <w:t xml:space="preserve">estrategia de formalización de </w:t>
      </w:r>
      <w:r w:rsidR="00D93D78" w:rsidRPr="005C4C69">
        <w:rPr>
          <w:rFonts w:ascii="Arial" w:hAnsi="Arial" w:cs="Arial"/>
          <w:lang w:val="es-CO"/>
        </w:rPr>
        <w:t xml:space="preserve">prestadores </w:t>
      </w:r>
      <w:r w:rsidR="00B82307">
        <w:rPr>
          <w:rFonts w:ascii="Arial" w:hAnsi="Arial" w:cs="Arial"/>
          <w:lang w:val="es-CO"/>
        </w:rPr>
        <w:t>y de apoyo para el cumplimiento de</w:t>
      </w:r>
      <w:r w:rsidR="00E929A1">
        <w:rPr>
          <w:rFonts w:ascii="Arial" w:hAnsi="Arial" w:cs="Arial"/>
          <w:lang w:val="es-CO"/>
        </w:rPr>
        <w:t xml:space="preserve"> los indicadores de gestión financier</w:t>
      </w:r>
      <w:r w:rsidR="00E375C6">
        <w:rPr>
          <w:rFonts w:ascii="Arial" w:hAnsi="Arial" w:cs="Arial"/>
          <w:lang w:val="es-CO"/>
        </w:rPr>
        <w:t>a</w:t>
      </w:r>
      <w:r w:rsidR="00E929A1">
        <w:rPr>
          <w:rFonts w:ascii="Arial" w:hAnsi="Arial" w:cs="Arial"/>
          <w:lang w:val="es-CO"/>
        </w:rPr>
        <w:t>, operativ</w:t>
      </w:r>
      <w:r w:rsidR="00E375C6">
        <w:rPr>
          <w:rFonts w:ascii="Arial" w:hAnsi="Arial" w:cs="Arial"/>
          <w:lang w:val="es-CO"/>
        </w:rPr>
        <w:t>a</w:t>
      </w:r>
      <w:r w:rsidR="00E929A1">
        <w:rPr>
          <w:rFonts w:ascii="Arial" w:hAnsi="Arial" w:cs="Arial"/>
          <w:lang w:val="es-CO"/>
        </w:rPr>
        <w:t xml:space="preserve"> y de estándares de servicios establecidos en el Marco Regulatorio y Tarifario vigente en el país.</w:t>
      </w:r>
      <w:r w:rsidR="00171C61">
        <w:rPr>
          <w:rFonts w:ascii="Arial" w:hAnsi="Arial" w:cs="Arial"/>
          <w:lang w:val="es-CO"/>
        </w:rPr>
        <w:t xml:space="preserve"> Asimismo, bajo este componente se </w:t>
      </w:r>
      <w:r w:rsidR="00B82307">
        <w:rPr>
          <w:rFonts w:ascii="Arial" w:hAnsi="Arial" w:cs="Arial"/>
          <w:lang w:val="es-CO"/>
        </w:rPr>
        <w:t>desarrollarán</w:t>
      </w:r>
      <w:r w:rsidR="00CC1663">
        <w:rPr>
          <w:rFonts w:ascii="Arial" w:hAnsi="Arial" w:cs="Arial"/>
          <w:lang w:val="es-CO"/>
        </w:rPr>
        <w:t xml:space="preserve"> los lineamientos generales de diseño, construcción y mantenimiento de</w:t>
      </w:r>
      <w:r w:rsidR="00E929A1">
        <w:rPr>
          <w:rFonts w:ascii="Arial" w:hAnsi="Arial" w:cs="Arial"/>
          <w:lang w:val="es-CO"/>
        </w:rPr>
        <w:t xml:space="preserve"> los sistemas de A</w:t>
      </w:r>
      <w:r w:rsidR="00E929A1">
        <w:rPr>
          <w:rFonts w:ascii="Arial" w:hAnsi="Arial" w:cs="Arial"/>
          <w:lang w:val="es-419"/>
        </w:rPr>
        <w:t>&amp;S</w:t>
      </w:r>
      <w:r w:rsidR="00171C61">
        <w:rPr>
          <w:rFonts w:ascii="Arial" w:hAnsi="Arial" w:cs="Arial"/>
          <w:lang w:val="es-CO"/>
        </w:rPr>
        <w:t xml:space="preserve">, conforme a las prácticas actuales de ingeniería a nivel internacional, </w:t>
      </w:r>
      <w:r w:rsidR="00A71B71">
        <w:rPr>
          <w:rFonts w:ascii="Arial" w:hAnsi="Arial" w:cs="Arial"/>
          <w:lang w:val="es-CO"/>
        </w:rPr>
        <w:t>con el fin de</w:t>
      </w:r>
      <w:r w:rsidR="00E929A1">
        <w:rPr>
          <w:rFonts w:ascii="Arial" w:hAnsi="Arial" w:cs="Arial"/>
          <w:lang w:val="es-CO"/>
        </w:rPr>
        <w:t xml:space="preserve"> </w:t>
      </w:r>
      <w:r w:rsidR="00171C61">
        <w:rPr>
          <w:rFonts w:ascii="Arial" w:hAnsi="Arial" w:cs="Arial"/>
          <w:lang w:val="es-CO"/>
        </w:rPr>
        <w:t>favorecer el uso racional del recurso hídrico y asegurar la sostenibilidad de las obras.</w:t>
      </w:r>
      <w:r w:rsidR="006F408E">
        <w:rPr>
          <w:rFonts w:ascii="Arial" w:hAnsi="Arial" w:cs="Arial"/>
          <w:lang w:val="es-CO"/>
        </w:rPr>
        <w:t xml:space="preserve"> Igualmente se incidirá en la equidad de género de manera transversal en el desarrollo de estas acciones.</w:t>
      </w:r>
      <w:r w:rsidR="00314AA4">
        <w:t xml:space="preserve"> </w:t>
      </w:r>
      <w:r w:rsidR="00314AA4" w:rsidRPr="00314AA4">
        <w:rPr>
          <w:rFonts w:ascii="Arial" w:hAnsi="Arial" w:cs="Arial"/>
          <w:lang w:val="es-CO"/>
        </w:rPr>
        <w:t>El componente promueve el desarrollo de herramientas para fortalecer el accionar de las instituciones relacionadas con el control de la calidad de la prestación de los servicios de agua potable y alcantarillado.</w:t>
      </w:r>
    </w:p>
    <w:p w14:paraId="24E2C508" w14:textId="4B74BBD8" w:rsidR="006432AE" w:rsidRPr="00D35381" w:rsidRDefault="006432AE" w:rsidP="002753E1">
      <w:pPr>
        <w:pStyle w:val="ListParagraph"/>
        <w:numPr>
          <w:ilvl w:val="0"/>
          <w:numId w:val="2"/>
        </w:numPr>
        <w:spacing w:before="120" w:after="120" w:line="240" w:lineRule="auto"/>
        <w:contextualSpacing w:val="0"/>
        <w:rPr>
          <w:rFonts w:ascii="Arial" w:hAnsi="Arial" w:cs="Arial"/>
          <w:b/>
          <w:lang w:val="es-CO"/>
        </w:rPr>
      </w:pPr>
      <w:r>
        <w:rPr>
          <w:rFonts w:ascii="Arial" w:hAnsi="Arial" w:cs="Arial"/>
          <w:b/>
          <w:lang w:val="es-CO"/>
        </w:rPr>
        <w:t>Presupuesto indicativo</w:t>
      </w:r>
    </w:p>
    <w:p w14:paraId="51B5497C" w14:textId="2522B4C5" w:rsidR="004B1377" w:rsidRDefault="00B02BFE" w:rsidP="002753E1">
      <w:pPr>
        <w:pStyle w:val="ListParagraph"/>
        <w:numPr>
          <w:ilvl w:val="1"/>
          <w:numId w:val="2"/>
        </w:numPr>
        <w:spacing w:after="120" w:line="240" w:lineRule="auto"/>
        <w:ind w:hanging="547"/>
        <w:contextualSpacing w:val="0"/>
        <w:jc w:val="both"/>
        <w:rPr>
          <w:rFonts w:ascii="Arial" w:hAnsi="Arial" w:cs="Arial"/>
          <w:lang w:val="es-CO"/>
        </w:rPr>
      </w:pPr>
      <w:r w:rsidRPr="00D35381">
        <w:rPr>
          <w:rFonts w:ascii="Arial" w:hAnsi="Arial" w:cs="Arial"/>
          <w:lang w:val="es-CO"/>
        </w:rPr>
        <w:t>El presupuesto de la C</w:t>
      </w:r>
      <w:r w:rsidR="00955A25" w:rsidRPr="00D35381">
        <w:rPr>
          <w:rFonts w:ascii="Arial" w:hAnsi="Arial" w:cs="Arial"/>
          <w:lang w:val="es-CO"/>
        </w:rPr>
        <w:t>T</w:t>
      </w:r>
      <w:r w:rsidRPr="00D35381">
        <w:rPr>
          <w:rFonts w:ascii="Arial" w:hAnsi="Arial" w:cs="Arial"/>
          <w:lang w:val="es-CO"/>
        </w:rPr>
        <w:t xml:space="preserve"> es de </w:t>
      </w:r>
      <w:bookmarkStart w:id="2" w:name="_Hlk5721017"/>
      <w:r w:rsidRPr="00D35381">
        <w:rPr>
          <w:rFonts w:ascii="Arial" w:hAnsi="Arial" w:cs="Arial"/>
          <w:lang w:val="es-CO"/>
        </w:rPr>
        <w:t>US$</w:t>
      </w:r>
      <w:bookmarkEnd w:id="2"/>
      <w:r w:rsidR="007A2629">
        <w:rPr>
          <w:rFonts w:ascii="Arial" w:hAnsi="Arial" w:cs="Arial"/>
          <w:lang w:val="es-CO"/>
        </w:rPr>
        <w:t>1.</w:t>
      </w:r>
      <w:r w:rsidR="00100EDC">
        <w:rPr>
          <w:rFonts w:ascii="Arial" w:hAnsi="Arial" w:cs="Arial"/>
          <w:lang w:val="es-CO"/>
        </w:rPr>
        <w:t>25</w:t>
      </w:r>
      <w:r w:rsidR="00100EDC" w:rsidRPr="00D35381">
        <w:rPr>
          <w:rFonts w:ascii="Arial" w:hAnsi="Arial" w:cs="Arial"/>
          <w:lang w:val="es-CO"/>
        </w:rPr>
        <w:t>0</w:t>
      </w:r>
      <w:r w:rsidR="00C65D7E" w:rsidRPr="00D35381">
        <w:rPr>
          <w:rFonts w:ascii="Arial" w:hAnsi="Arial" w:cs="Arial"/>
          <w:lang w:val="es-CO"/>
        </w:rPr>
        <w:t>.</w:t>
      </w:r>
      <w:r w:rsidR="00BB0D4D" w:rsidRPr="00D35381">
        <w:rPr>
          <w:rFonts w:ascii="Arial" w:hAnsi="Arial" w:cs="Arial"/>
          <w:lang w:val="es-CO"/>
        </w:rPr>
        <w:t>00</w:t>
      </w:r>
      <w:r w:rsidR="00F90D3A" w:rsidRPr="00D35381">
        <w:rPr>
          <w:rFonts w:ascii="Arial" w:hAnsi="Arial" w:cs="Arial"/>
          <w:lang w:val="es-CO"/>
        </w:rPr>
        <w:t>0</w:t>
      </w:r>
      <w:r w:rsidR="00A31D42">
        <w:rPr>
          <w:rFonts w:ascii="Arial" w:hAnsi="Arial" w:cs="Arial"/>
          <w:lang w:val="es-CO"/>
        </w:rPr>
        <w:t xml:space="preserve">, donde </w:t>
      </w:r>
      <w:r w:rsidR="00A31D42" w:rsidRPr="00A31D42">
        <w:rPr>
          <w:rFonts w:ascii="Arial" w:hAnsi="Arial" w:cs="Arial"/>
          <w:lang w:val="es-CO"/>
        </w:rPr>
        <w:t>US$1.</w:t>
      </w:r>
      <w:r w:rsidR="00A31D42">
        <w:rPr>
          <w:rFonts w:ascii="Arial" w:hAnsi="Arial" w:cs="Arial"/>
          <w:lang w:val="es-CO"/>
        </w:rPr>
        <w:t>00</w:t>
      </w:r>
      <w:r w:rsidR="00A31D42" w:rsidRPr="00A31D42">
        <w:rPr>
          <w:rFonts w:ascii="Arial" w:hAnsi="Arial" w:cs="Arial"/>
          <w:lang w:val="es-CO"/>
        </w:rPr>
        <w:t>0.000</w:t>
      </w:r>
      <w:r w:rsidR="002F7593">
        <w:rPr>
          <w:rFonts w:ascii="Arial" w:hAnsi="Arial" w:cs="Arial"/>
          <w:lang w:val="es-CO"/>
        </w:rPr>
        <w:t xml:space="preserve"> </w:t>
      </w:r>
      <w:r w:rsidR="00A31D42">
        <w:rPr>
          <w:rFonts w:ascii="Arial" w:hAnsi="Arial" w:cs="Arial"/>
          <w:lang w:val="es-CO"/>
        </w:rPr>
        <w:t>de los</w:t>
      </w:r>
      <w:r w:rsidR="00A31D42" w:rsidRPr="00A31D42">
        <w:rPr>
          <w:rFonts w:ascii="Arial" w:hAnsi="Arial" w:cs="Arial"/>
          <w:lang w:val="es-CO"/>
        </w:rPr>
        <w:t xml:space="preserve"> recursos proceden de</w:t>
      </w:r>
      <w:r w:rsidR="0094707B">
        <w:rPr>
          <w:rFonts w:ascii="Arial" w:hAnsi="Arial" w:cs="Arial"/>
          <w:lang w:val="es-CO"/>
        </w:rPr>
        <w:t xml:space="preserve">l Fondo Español de Cooperación de Agua y Saneamiento para América Latina y </w:t>
      </w:r>
      <w:r w:rsidR="00D438A9">
        <w:rPr>
          <w:rFonts w:ascii="Arial" w:hAnsi="Arial" w:cs="Arial"/>
          <w:lang w:val="es-CO"/>
        </w:rPr>
        <w:t xml:space="preserve">el </w:t>
      </w:r>
      <w:r w:rsidR="0094707B">
        <w:rPr>
          <w:rFonts w:ascii="Arial" w:hAnsi="Arial" w:cs="Arial"/>
          <w:lang w:val="es-CO"/>
        </w:rPr>
        <w:t>Caribe (FECASALC</w:t>
      </w:r>
      <w:r w:rsidR="00A31D42" w:rsidRPr="00A31D42">
        <w:rPr>
          <w:rFonts w:ascii="Arial" w:hAnsi="Arial" w:cs="Arial"/>
          <w:lang w:val="es-CO"/>
        </w:rPr>
        <w:t>)</w:t>
      </w:r>
      <w:r w:rsidR="00A31D42">
        <w:rPr>
          <w:rFonts w:ascii="Arial" w:hAnsi="Arial" w:cs="Arial"/>
          <w:lang w:val="es-CO"/>
        </w:rPr>
        <w:t xml:space="preserve">, y </w:t>
      </w:r>
      <w:r w:rsidR="00A31D42" w:rsidRPr="00A31D42">
        <w:rPr>
          <w:rFonts w:ascii="Arial" w:hAnsi="Arial" w:cs="Arial"/>
          <w:lang w:val="es-CO"/>
        </w:rPr>
        <w:t>US$</w:t>
      </w:r>
      <w:r w:rsidR="00A31D42">
        <w:rPr>
          <w:rFonts w:ascii="Arial" w:hAnsi="Arial" w:cs="Arial"/>
          <w:lang w:val="es-CO"/>
        </w:rPr>
        <w:t>250.000 proceden del AquaFund</w:t>
      </w:r>
      <w:r w:rsidR="0094707B">
        <w:rPr>
          <w:rFonts w:ascii="Arial" w:hAnsi="Arial" w:cs="Arial"/>
          <w:lang w:val="es-CO"/>
        </w:rPr>
        <w:t xml:space="preserve"> (AQF)</w:t>
      </w:r>
      <w:r w:rsidR="00A31D42">
        <w:rPr>
          <w:rFonts w:ascii="Arial" w:hAnsi="Arial" w:cs="Arial"/>
          <w:lang w:val="es-CO"/>
        </w:rPr>
        <w:t xml:space="preserve">. </w:t>
      </w:r>
      <w:r w:rsidR="00AF30D7" w:rsidRPr="00D35381">
        <w:rPr>
          <w:rFonts w:ascii="Arial" w:hAnsi="Arial" w:cs="Arial"/>
          <w:lang w:val="es-CO"/>
        </w:rPr>
        <w:t xml:space="preserve">Los fondos se utilizarán para financiar la contratación </w:t>
      </w:r>
      <w:r w:rsidR="00821064">
        <w:rPr>
          <w:rFonts w:ascii="Arial" w:hAnsi="Arial" w:cs="Arial"/>
          <w:lang w:val="es-CO"/>
        </w:rPr>
        <w:t xml:space="preserve">de </w:t>
      </w:r>
      <w:r w:rsidR="00AF30D7" w:rsidRPr="00D35381">
        <w:rPr>
          <w:rFonts w:ascii="Arial" w:hAnsi="Arial" w:cs="Arial"/>
          <w:lang w:val="es-CO"/>
        </w:rPr>
        <w:t xml:space="preserve">firmas y consultores individuales contra la presentación de productos verificables, así como los costos </w:t>
      </w:r>
      <w:r w:rsidR="00487D82" w:rsidRPr="00D35381">
        <w:rPr>
          <w:rFonts w:ascii="Arial" w:hAnsi="Arial" w:cs="Arial"/>
          <w:lang w:val="es-CO"/>
        </w:rPr>
        <w:t>de</w:t>
      </w:r>
      <w:r w:rsidR="00AF30D7" w:rsidRPr="00D35381">
        <w:rPr>
          <w:rFonts w:ascii="Arial" w:hAnsi="Arial" w:cs="Arial"/>
          <w:lang w:val="es-CO"/>
        </w:rPr>
        <w:t xml:space="preserve"> los gastos de viajes y viáticos relacionados con el desempeño de sus funciones. El detalle de los costos se presenta a continuación:</w:t>
      </w:r>
    </w:p>
    <w:p w14:paraId="32D102CC" w14:textId="06B90300" w:rsidR="00B353F1" w:rsidRPr="00647F9E" w:rsidRDefault="00B353F1" w:rsidP="008E1C93">
      <w:pPr>
        <w:pStyle w:val="ListParagraph"/>
        <w:spacing w:before="120" w:after="0" w:line="240" w:lineRule="auto"/>
        <w:ind w:left="360"/>
        <w:contextualSpacing w:val="0"/>
        <w:jc w:val="center"/>
        <w:rPr>
          <w:rFonts w:ascii="Arial" w:hAnsi="Arial" w:cs="Arial"/>
          <w:lang w:val="es-CO"/>
        </w:rPr>
      </w:pPr>
    </w:p>
    <w:tbl>
      <w:tblPr>
        <w:tblStyle w:val="TableGrid"/>
        <w:tblW w:w="8691" w:type="dxa"/>
        <w:jc w:val="right"/>
        <w:tblLayout w:type="fixed"/>
        <w:tblLook w:val="04A0" w:firstRow="1" w:lastRow="0" w:firstColumn="1" w:lastColumn="0" w:noHBand="0" w:noVBand="1"/>
      </w:tblPr>
      <w:tblGrid>
        <w:gridCol w:w="5125"/>
        <w:gridCol w:w="1208"/>
        <w:gridCol w:w="1260"/>
        <w:gridCol w:w="1098"/>
      </w:tblGrid>
      <w:tr w:rsidR="00B353F1" w:rsidRPr="00D35381" w14:paraId="685D4FF4" w14:textId="77777777" w:rsidTr="002F7593">
        <w:trPr>
          <w:trHeight w:val="260"/>
          <w:jc w:val="right"/>
        </w:trPr>
        <w:tc>
          <w:tcPr>
            <w:tcW w:w="5125" w:type="dxa"/>
            <w:shd w:val="clear" w:color="auto" w:fill="DBE5F1" w:themeFill="accent1" w:themeFillTint="33"/>
            <w:vAlign w:val="center"/>
          </w:tcPr>
          <w:p w14:paraId="17652367" w14:textId="77777777" w:rsidR="00B353F1" w:rsidRPr="00D35381" w:rsidRDefault="00B353F1" w:rsidP="003F54BE">
            <w:pPr>
              <w:pStyle w:val="ListParagraph"/>
              <w:ind w:left="0"/>
              <w:contextualSpacing w:val="0"/>
              <w:jc w:val="center"/>
              <w:rPr>
                <w:rFonts w:ascii="Arial" w:hAnsi="Arial" w:cs="Arial"/>
                <w:b/>
                <w:sz w:val="18"/>
                <w:szCs w:val="18"/>
                <w:lang w:val="es-CO"/>
              </w:rPr>
            </w:pPr>
            <w:r w:rsidRPr="00D35381">
              <w:rPr>
                <w:rFonts w:ascii="Arial" w:hAnsi="Arial" w:cs="Arial"/>
                <w:b/>
                <w:sz w:val="18"/>
                <w:szCs w:val="18"/>
                <w:lang w:val="es-CO"/>
              </w:rPr>
              <w:t>Componente y Descripción</w:t>
            </w:r>
          </w:p>
        </w:tc>
        <w:tc>
          <w:tcPr>
            <w:tcW w:w="1208" w:type="dxa"/>
            <w:shd w:val="clear" w:color="auto" w:fill="DBE5F1" w:themeFill="accent1" w:themeFillTint="33"/>
            <w:vAlign w:val="center"/>
          </w:tcPr>
          <w:p w14:paraId="1E0BF159" w14:textId="0817EFBA" w:rsidR="00B353F1" w:rsidRPr="00D35381" w:rsidRDefault="00B353F1" w:rsidP="003F54BE">
            <w:pPr>
              <w:pStyle w:val="ListParagraph"/>
              <w:ind w:left="0"/>
              <w:contextualSpacing w:val="0"/>
              <w:jc w:val="center"/>
              <w:rPr>
                <w:rFonts w:ascii="Arial" w:hAnsi="Arial" w:cs="Arial"/>
                <w:b/>
                <w:sz w:val="18"/>
                <w:szCs w:val="18"/>
                <w:lang w:val="es-CO"/>
              </w:rPr>
            </w:pPr>
            <w:r w:rsidRPr="00D35381">
              <w:rPr>
                <w:rFonts w:ascii="Arial" w:hAnsi="Arial" w:cs="Arial"/>
                <w:b/>
                <w:sz w:val="18"/>
                <w:szCs w:val="18"/>
                <w:lang w:val="es-CO"/>
              </w:rPr>
              <w:t xml:space="preserve">BID </w:t>
            </w:r>
            <w:r w:rsidR="0094707B" w:rsidRPr="003C2F9F">
              <w:rPr>
                <w:rFonts w:ascii="Arial" w:hAnsi="Arial" w:cs="Arial"/>
                <w:b/>
                <w:sz w:val="16"/>
                <w:szCs w:val="16"/>
                <w:lang w:val="es-CO"/>
              </w:rPr>
              <w:t>FECASALC</w:t>
            </w:r>
          </w:p>
          <w:p w14:paraId="4B36AF62" w14:textId="77777777" w:rsidR="00B353F1" w:rsidRPr="00D35381" w:rsidRDefault="00B353F1" w:rsidP="003F54BE">
            <w:pPr>
              <w:pStyle w:val="ListParagraph"/>
              <w:ind w:left="0"/>
              <w:contextualSpacing w:val="0"/>
              <w:jc w:val="center"/>
              <w:rPr>
                <w:rFonts w:ascii="Arial" w:hAnsi="Arial" w:cs="Arial"/>
                <w:b/>
                <w:sz w:val="18"/>
                <w:szCs w:val="18"/>
                <w:lang w:val="es-CO"/>
              </w:rPr>
            </w:pPr>
            <w:r w:rsidRPr="00D35381">
              <w:rPr>
                <w:rFonts w:ascii="Arial" w:hAnsi="Arial" w:cs="Arial"/>
                <w:b/>
                <w:sz w:val="18"/>
                <w:szCs w:val="18"/>
                <w:lang w:val="es-CO"/>
              </w:rPr>
              <w:t>(US$)</w:t>
            </w:r>
          </w:p>
        </w:tc>
        <w:tc>
          <w:tcPr>
            <w:tcW w:w="1260" w:type="dxa"/>
            <w:shd w:val="clear" w:color="auto" w:fill="DBE5F1" w:themeFill="accent1" w:themeFillTint="33"/>
            <w:vAlign w:val="center"/>
          </w:tcPr>
          <w:p w14:paraId="0BF32A75" w14:textId="2EBA4C79" w:rsidR="00B353F1" w:rsidRPr="00D35381" w:rsidRDefault="003C2F9F" w:rsidP="003F54BE">
            <w:pPr>
              <w:pStyle w:val="ListParagraph"/>
              <w:ind w:left="0"/>
              <w:contextualSpacing w:val="0"/>
              <w:jc w:val="center"/>
              <w:rPr>
                <w:rFonts w:ascii="Arial" w:hAnsi="Arial" w:cs="Arial"/>
                <w:b/>
                <w:sz w:val="18"/>
                <w:szCs w:val="18"/>
                <w:lang w:val="es-CO"/>
              </w:rPr>
            </w:pPr>
            <w:r>
              <w:rPr>
                <w:rFonts w:ascii="Arial" w:hAnsi="Arial" w:cs="Arial"/>
                <w:b/>
                <w:sz w:val="18"/>
                <w:szCs w:val="18"/>
                <w:lang w:val="es-CO"/>
              </w:rPr>
              <w:t>AQF</w:t>
            </w:r>
          </w:p>
          <w:p w14:paraId="0AB0748B" w14:textId="77777777" w:rsidR="00B353F1" w:rsidRPr="00D35381" w:rsidRDefault="00B353F1" w:rsidP="003F54BE">
            <w:pPr>
              <w:pStyle w:val="ListParagraph"/>
              <w:ind w:left="0"/>
              <w:contextualSpacing w:val="0"/>
              <w:jc w:val="center"/>
              <w:rPr>
                <w:rFonts w:ascii="Arial" w:hAnsi="Arial" w:cs="Arial"/>
                <w:b/>
                <w:sz w:val="18"/>
                <w:szCs w:val="18"/>
                <w:lang w:val="es-CO"/>
              </w:rPr>
            </w:pPr>
            <w:r w:rsidRPr="00D35381">
              <w:rPr>
                <w:rFonts w:ascii="Arial" w:hAnsi="Arial" w:cs="Arial"/>
                <w:b/>
                <w:sz w:val="18"/>
                <w:szCs w:val="18"/>
                <w:lang w:val="es-CO"/>
              </w:rPr>
              <w:t>(US$)</w:t>
            </w:r>
          </w:p>
        </w:tc>
        <w:tc>
          <w:tcPr>
            <w:tcW w:w="1098" w:type="dxa"/>
            <w:shd w:val="clear" w:color="auto" w:fill="DBE5F1" w:themeFill="accent1" w:themeFillTint="33"/>
            <w:vAlign w:val="center"/>
          </w:tcPr>
          <w:p w14:paraId="2E73A827" w14:textId="77777777" w:rsidR="00B353F1" w:rsidRPr="00D35381" w:rsidRDefault="00B353F1" w:rsidP="003F54BE">
            <w:pPr>
              <w:pStyle w:val="ListParagraph"/>
              <w:ind w:left="0"/>
              <w:contextualSpacing w:val="0"/>
              <w:jc w:val="center"/>
              <w:rPr>
                <w:rFonts w:ascii="Arial" w:hAnsi="Arial" w:cs="Arial"/>
                <w:b/>
                <w:sz w:val="18"/>
                <w:szCs w:val="18"/>
                <w:lang w:val="es-CO"/>
              </w:rPr>
            </w:pPr>
            <w:r w:rsidRPr="00D35381">
              <w:rPr>
                <w:rFonts w:ascii="Arial" w:hAnsi="Arial" w:cs="Arial"/>
                <w:b/>
                <w:sz w:val="18"/>
                <w:szCs w:val="18"/>
                <w:lang w:val="es-CO"/>
              </w:rPr>
              <w:t>Total</w:t>
            </w:r>
          </w:p>
          <w:p w14:paraId="2606A7BA" w14:textId="77777777" w:rsidR="00B353F1" w:rsidRPr="00D35381" w:rsidRDefault="00B353F1" w:rsidP="003F54BE">
            <w:pPr>
              <w:pStyle w:val="ListParagraph"/>
              <w:ind w:left="0"/>
              <w:contextualSpacing w:val="0"/>
              <w:jc w:val="center"/>
              <w:rPr>
                <w:rFonts w:ascii="Arial" w:hAnsi="Arial" w:cs="Arial"/>
                <w:b/>
                <w:sz w:val="18"/>
                <w:szCs w:val="18"/>
                <w:lang w:val="es-CO"/>
              </w:rPr>
            </w:pPr>
            <w:r w:rsidRPr="00D35381">
              <w:rPr>
                <w:rFonts w:ascii="Arial" w:hAnsi="Arial" w:cs="Arial"/>
                <w:b/>
                <w:sz w:val="18"/>
                <w:szCs w:val="18"/>
                <w:lang w:val="es-CO"/>
              </w:rPr>
              <w:t>(US$)</w:t>
            </w:r>
          </w:p>
        </w:tc>
      </w:tr>
      <w:tr w:rsidR="00070F76" w:rsidRPr="00A41424" w14:paraId="44DFACC1" w14:textId="77777777" w:rsidTr="003C2F9F">
        <w:trPr>
          <w:trHeight w:val="224"/>
          <w:jc w:val="right"/>
        </w:trPr>
        <w:tc>
          <w:tcPr>
            <w:tcW w:w="5125" w:type="dxa"/>
            <w:vAlign w:val="center"/>
          </w:tcPr>
          <w:p w14:paraId="5ED1251F" w14:textId="5D4EA7A4" w:rsidR="00070F76" w:rsidRPr="007A2629" w:rsidRDefault="00070F76" w:rsidP="00070F76">
            <w:pPr>
              <w:pStyle w:val="ListParagraph"/>
              <w:ind w:left="0"/>
              <w:contextualSpacing w:val="0"/>
              <w:rPr>
                <w:rFonts w:ascii="Arial" w:hAnsi="Arial" w:cs="Arial"/>
                <w:sz w:val="18"/>
                <w:szCs w:val="18"/>
                <w:lang w:val="es-419"/>
              </w:rPr>
            </w:pPr>
            <w:r w:rsidRPr="00F066A0">
              <w:rPr>
                <w:rFonts w:ascii="Arial" w:hAnsi="Arial" w:cs="Arial"/>
                <w:sz w:val="18"/>
                <w:szCs w:val="18"/>
                <w:lang w:val="es-CO"/>
              </w:rPr>
              <w:t xml:space="preserve">Componente </w:t>
            </w:r>
            <w:r w:rsidRPr="009160B4">
              <w:rPr>
                <w:rFonts w:ascii="Arial" w:hAnsi="Arial" w:cs="Arial"/>
                <w:sz w:val="18"/>
                <w:szCs w:val="18"/>
                <w:lang w:val="es-CO"/>
              </w:rPr>
              <w:t>1</w:t>
            </w:r>
            <w:r w:rsidRPr="00F066A0">
              <w:rPr>
                <w:rFonts w:ascii="Arial" w:hAnsi="Arial" w:cs="Arial"/>
                <w:sz w:val="18"/>
                <w:szCs w:val="18"/>
                <w:lang w:val="es-CO"/>
              </w:rPr>
              <w:t xml:space="preserve"> </w:t>
            </w:r>
            <w:r w:rsidR="00E34757">
              <w:rPr>
                <w:rFonts w:ascii="Arial" w:hAnsi="Arial" w:cs="Arial"/>
                <w:sz w:val="18"/>
                <w:szCs w:val="18"/>
                <w:lang w:val="es-CO"/>
              </w:rPr>
              <w:t>Planificación</w:t>
            </w:r>
            <w:r w:rsidR="007A2629">
              <w:rPr>
                <w:rFonts w:ascii="Arial" w:hAnsi="Arial" w:cs="Arial"/>
                <w:sz w:val="18"/>
                <w:szCs w:val="18"/>
                <w:lang w:val="es-CO"/>
              </w:rPr>
              <w:t xml:space="preserve"> </w:t>
            </w:r>
          </w:p>
        </w:tc>
        <w:tc>
          <w:tcPr>
            <w:tcW w:w="1208" w:type="dxa"/>
            <w:vAlign w:val="center"/>
          </w:tcPr>
          <w:p w14:paraId="1889FC2B" w14:textId="74B0AFE3" w:rsidR="00070F76" w:rsidRPr="00D35381" w:rsidRDefault="00314AA4" w:rsidP="00070F76">
            <w:pPr>
              <w:jc w:val="right"/>
              <w:rPr>
                <w:rFonts w:ascii="Arial" w:hAnsi="Arial" w:cs="Arial"/>
                <w:color w:val="000000"/>
                <w:sz w:val="18"/>
                <w:szCs w:val="18"/>
                <w:lang w:val="es-CO"/>
              </w:rPr>
            </w:pPr>
            <w:r>
              <w:rPr>
                <w:rFonts w:ascii="Arial" w:hAnsi="Arial" w:cs="Arial"/>
                <w:color w:val="000000"/>
                <w:sz w:val="18"/>
                <w:szCs w:val="18"/>
                <w:lang w:val="es-CO"/>
              </w:rPr>
              <w:t>55</w:t>
            </w:r>
            <w:r w:rsidR="0094707B">
              <w:rPr>
                <w:rFonts w:ascii="Arial" w:hAnsi="Arial" w:cs="Arial"/>
                <w:color w:val="000000"/>
                <w:sz w:val="18"/>
                <w:szCs w:val="18"/>
                <w:lang w:val="es-CO"/>
              </w:rPr>
              <w:t>0</w:t>
            </w:r>
            <w:r w:rsidR="00070F76">
              <w:rPr>
                <w:rFonts w:ascii="Arial" w:hAnsi="Arial" w:cs="Arial"/>
                <w:color w:val="000000"/>
                <w:sz w:val="18"/>
                <w:szCs w:val="18"/>
                <w:lang w:val="es-CO"/>
              </w:rPr>
              <w:t>.000</w:t>
            </w:r>
          </w:p>
        </w:tc>
        <w:tc>
          <w:tcPr>
            <w:tcW w:w="1260" w:type="dxa"/>
            <w:vAlign w:val="center"/>
          </w:tcPr>
          <w:p w14:paraId="009BB24D" w14:textId="39589BCA" w:rsidR="00070F76" w:rsidRPr="00100EDC" w:rsidRDefault="00314AA4" w:rsidP="00100EDC">
            <w:pPr>
              <w:jc w:val="center"/>
              <w:rPr>
                <w:rFonts w:ascii="Arial" w:hAnsi="Arial" w:cs="Arial"/>
                <w:color w:val="000000"/>
                <w:sz w:val="18"/>
                <w:szCs w:val="18"/>
                <w:lang w:val="es-CO"/>
              </w:rPr>
            </w:pPr>
            <w:r>
              <w:rPr>
                <w:rFonts w:ascii="Arial" w:hAnsi="Arial" w:cs="Arial"/>
                <w:color w:val="000000"/>
                <w:sz w:val="18"/>
                <w:szCs w:val="18"/>
                <w:lang w:val="es-CO"/>
              </w:rPr>
              <w:t>250.000</w:t>
            </w:r>
          </w:p>
        </w:tc>
        <w:tc>
          <w:tcPr>
            <w:tcW w:w="1098" w:type="dxa"/>
            <w:vAlign w:val="center"/>
          </w:tcPr>
          <w:p w14:paraId="7013DBAF" w14:textId="500E0DF4" w:rsidR="00070F76" w:rsidRPr="00D35381" w:rsidRDefault="00100EDC" w:rsidP="00070F76">
            <w:pPr>
              <w:jc w:val="right"/>
              <w:rPr>
                <w:rFonts w:ascii="Arial" w:hAnsi="Arial" w:cs="Arial"/>
                <w:color w:val="000000"/>
                <w:sz w:val="18"/>
                <w:szCs w:val="18"/>
                <w:lang w:val="es-CO"/>
              </w:rPr>
            </w:pPr>
            <w:r>
              <w:rPr>
                <w:rFonts w:ascii="Arial" w:hAnsi="Arial" w:cs="Arial"/>
                <w:color w:val="000000"/>
                <w:sz w:val="18"/>
                <w:szCs w:val="18"/>
                <w:lang w:val="es-CO"/>
              </w:rPr>
              <w:t>800</w:t>
            </w:r>
            <w:r w:rsidR="00070F76">
              <w:rPr>
                <w:rFonts w:ascii="Arial" w:hAnsi="Arial" w:cs="Arial"/>
                <w:color w:val="000000"/>
                <w:sz w:val="18"/>
                <w:szCs w:val="18"/>
                <w:lang w:val="es-CO"/>
              </w:rPr>
              <w:t>.000</w:t>
            </w:r>
          </w:p>
        </w:tc>
      </w:tr>
      <w:tr w:rsidR="00070F76" w:rsidRPr="00990DD7" w14:paraId="3439A06C" w14:textId="77777777" w:rsidTr="003C2F9F">
        <w:trPr>
          <w:trHeight w:val="215"/>
          <w:jc w:val="right"/>
        </w:trPr>
        <w:tc>
          <w:tcPr>
            <w:tcW w:w="5125" w:type="dxa"/>
            <w:vAlign w:val="center"/>
          </w:tcPr>
          <w:p w14:paraId="53F347F2" w14:textId="79A08E45" w:rsidR="00070F76" w:rsidRPr="00F066A0" w:rsidRDefault="00070F76" w:rsidP="00070F76">
            <w:pPr>
              <w:pStyle w:val="ListParagraph"/>
              <w:ind w:left="0"/>
              <w:contextualSpacing w:val="0"/>
              <w:rPr>
                <w:rFonts w:ascii="Arial" w:hAnsi="Arial" w:cs="Arial"/>
                <w:sz w:val="18"/>
                <w:szCs w:val="18"/>
                <w:lang w:val="es-CO"/>
              </w:rPr>
            </w:pPr>
            <w:r w:rsidRPr="00F066A0">
              <w:rPr>
                <w:rFonts w:ascii="Arial" w:hAnsi="Arial" w:cs="Arial"/>
                <w:sz w:val="18"/>
                <w:szCs w:val="18"/>
                <w:lang w:val="es-CO"/>
              </w:rPr>
              <w:t xml:space="preserve">Componente 2 </w:t>
            </w:r>
            <w:r w:rsidR="00E34757">
              <w:rPr>
                <w:rFonts w:ascii="Arial" w:hAnsi="Arial" w:cs="Arial"/>
                <w:sz w:val="18"/>
                <w:szCs w:val="18"/>
                <w:lang w:val="es-CO"/>
              </w:rPr>
              <w:t xml:space="preserve">Financiamiento </w:t>
            </w:r>
          </w:p>
        </w:tc>
        <w:tc>
          <w:tcPr>
            <w:tcW w:w="1208" w:type="dxa"/>
            <w:vAlign w:val="center"/>
          </w:tcPr>
          <w:p w14:paraId="371BF4F8" w14:textId="6A9EE8ED" w:rsidR="00070F76" w:rsidRPr="00990DD7" w:rsidRDefault="00A71B71" w:rsidP="00070F76">
            <w:pPr>
              <w:jc w:val="right"/>
              <w:rPr>
                <w:rFonts w:ascii="Arial" w:hAnsi="Arial" w:cs="Arial"/>
                <w:sz w:val="18"/>
                <w:szCs w:val="18"/>
                <w:lang w:val="es-CO"/>
              </w:rPr>
            </w:pPr>
            <w:r>
              <w:rPr>
                <w:rFonts w:ascii="Arial" w:hAnsi="Arial" w:cs="Arial"/>
                <w:sz w:val="18"/>
                <w:szCs w:val="18"/>
                <w:lang w:val="es-CO"/>
              </w:rPr>
              <w:t>2</w:t>
            </w:r>
            <w:r w:rsidR="00100EDC">
              <w:rPr>
                <w:rFonts w:ascii="Arial" w:hAnsi="Arial" w:cs="Arial"/>
                <w:sz w:val="18"/>
                <w:szCs w:val="18"/>
                <w:lang w:val="es-CO"/>
              </w:rPr>
              <w:t>5</w:t>
            </w:r>
            <w:r w:rsidR="00070F76">
              <w:rPr>
                <w:rFonts w:ascii="Arial" w:hAnsi="Arial" w:cs="Arial"/>
                <w:sz w:val="18"/>
                <w:szCs w:val="18"/>
                <w:lang w:val="es-CO"/>
              </w:rPr>
              <w:t>0</w:t>
            </w:r>
            <w:r w:rsidR="00070F76" w:rsidRPr="00990DD7">
              <w:rPr>
                <w:rFonts w:ascii="Arial" w:hAnsi="Arial" w:cs="Arial"/>
                <w:sz w:val="18"/>
                <w:szCs w:val="18"/>
                <w:lang w:val="es-CO"/>
              </w:rPr>
              <w:t>.000</w:t>
            </w:r>
          </w:p>
        </w:tc>
        <w:tc>
          <w:tcPr>
            <w:tcW w:w="1260" w:type="dxa"/>
            <w:vAlign w:val="center"/>
          </w:tcPr>
          <w:p w14:paraId="469190B4" w14:textId="557FA9C7" w:rsidR="00070F76" w:rsidRPr="00100EDC" w:rsidRDefault="00100EDC" w:rsidP="00100EDC">
            <w:pPr>
              <w:jc w:val="center"/>
              <w:rPr>
                <w:rFonts w:ascii="Arial" w:hAnsi="Arial" w:cs="Arial"/>
                <w:sz w:val="18"/>
                <w:szCs w:val="18"/>
                <w:lang w:val="es-CO"/>
              </w:rPr>
            </w:pPr>
            <w:r w:rsidRPr="00100EDC">
              <w:rPr>
                <w:rFonts w:ascii="Arial" w:hAnsi="Arial" w:cs="Arial"/>
                <w:sz w:val="18"/>
                <w:szCs w:val="18"/>
                <w:lang w:val="es-CO"/>
              </w:rPr>
              <w:t>-</w:t>
            </w:r>
          </w:p>
        </w:tc>
        <w:tc>
          <w:tcPr>
            <w:tcW w:w="1098" w:type="dxa"/>
            <w:vAlign w:val="center"/>
          </w:tcPr>
          <w:p w14:paraId="59693596" w14:textId="605E322A" w:rsidR="00070F76" w:rsidRPr="00990DD7" w:rsidRDefault="00A71B71" w:rsidP="00070F76">
            <w:pPr>
              <w:jc w:val="right"/>
              <w:rPr>
                <w:rFonts w:ascii="Arial" w:hAnsi="Arial" w:cs="Arial"/>
                <w:sz w:val="18"/>
                <w:szCs w:val="18"/>
                <w:lang w:val="es-CO"/>
              </w:rPr>
            </w:pPr>
            <w:r>
              <w:rPr>
                <w:rFonts w:ascii="Arial" w:hAnsi="Arial" w:cs="Arial"/>
                <w:sz w:val="18"/>
                <w:szCs w:val="18"/>
                <w:lang w:val="es-CO"/>
              </w:rPr>
              <w:t>2</w:t>
            </w:r>
            <w:r w:rsidR="00100EDC">
              <w:rPr>
                <w:rFonts w:ascii="Arial" w:hAnsi="Arial" w:cs="Arial"/>
                <w:sz w:val="18"/>
                <w:szCs w:val="18"/>
                <w:lang w:val="es-CO"/>
              </w:rPr>
              <w:t>5</w:t>
            </w:r>
            <w:r w:rsidR="00070F76">
              <w:rPr>
                <w:rFonts w:ascii="Arial" w:hAnsi="Arial" w:cs="Arial"/>
                <w:sz w:val="18"/>
                <w:szCs w:val="18"/>
                <w:lang w:val="es-CO"/>
              </w:rPr>
              <w:t>0</w:t>
            </w:r>
            <w:r w:rsidR="00070F76" w:rsidRPr="00990DD7">
              <w:rPr>
                <w:rFonts w:ascii="Arial" w:hAnsi="Arial" w:cs="Arial"/>
                <w:sz w:val="18"/>
                <w:szCs w:val="18"/>
                <w:lang w:val="es-CO"/>
              </w:rPr>
              <w:t>.000</w:t>
            </w:r>
          </w:p>
        </w:tc>
      </w:tr>
      <w:tr w:rsidR="00070F76" w:rsidRPr="00990DD7" w14:paraId="703A4ED9" w14:textId="77777777" w:rsidTr="003C2F9F">
        <w:trPr>
          <w:jc w:val="right"/>
        </w:trPr>
        <w:tc>
          <w:tcPr>
            <w:tcW w:w="5125" w:type="dxa"/>
            <w:vAlign w:val="center"/>
          </w:tcPr>
          <w:p w14:paraId="21CC1C6A" w14:textId="113B63AE" w:rsidR="00070F76" w:rsidRPr="00F066A0" w:rsidRDefault="00070F76" w:rsidP="00070F76">
            <w:pPr>
              <w:pStyle w:val="ListParagraph"/>
              <w:ind w:left="0"/>
              <w:contextualSpacing w:val="0"/>
              <w:rPr>
                <w:rFonts w:ascii="Arial" w:hAnsi="Arial" w:cs="Arial"/>
                <w:sz w:val="18"/>
                <w:szCs w:val="18"/>
                <w:lang w:val="es-CO"/>
              </w:rPr>
            </w:pPr>
            <w:r w:rsidRPr="00F066A0">
              <w:rPr>
                <w:rFonts w:ascii="Arial" w:hAnsi="Arial" w:cs="Arial"/>
                <w:sz w:val="18"/>
                <w:szCs w:val="18"/>
                <w:lang w:val="es-CO"/>
              </w:rPr>
              <w:t xml:space="preserve">Componente 3 </w:t>
            </w:r>
            <w:r w:rsidR="00E34757">
              <w:rPr>
                <w:rFonts w:ascii="Arial" w:hAnsi="Arial" w:cs="Arial"/>
                <w:sz w:val="18"/>
                <w:szCs w:val="18"/>
                <w:lang w:val="es-CO"/>
              </w:rPr>
              <w:t>Normatividad</w:t>
            </w:r>
          </w:p>
        </w:tc>
        <w:tc>
          <w:tcPr>
            <w:tcW w:w="1208" w:type="dxa"/>
            <w:vAlign w:val="center"/>
          </w:tcPr>
          <w:p w14:paraId="2E6AC56F" w14:textId="4ECF9DFB" w:rsidR="00070F76" w:rsidRPr="00990DD7" w:rsidRDefault="00100EDC" w:rsidP="00070F76">
            <w:pPr>
              <w:jc w:val="right"/>
              <w:rPr>
                <w:rFonts w:ascii="Arial" w:hAnsi="Arial" w:cs="Arial"/>
                <w:b/>
                <w:sz w:val="18"/>
                <w:szCs w:val="18"/>
                <w:lang w:val="es-CO"/>
              </w:rPr>
            </w:pPr>
            <w:r>
              <w:rPr>
                <w:rFonts w:ascii="Arial" w:hAnsi="Arial" w:cs="Arial"/>
                <w:sz w:val="18"/>
                <w:szCs w:val="18"/>
                <w:lang w:val="es-CO"/>
              </w:rPr>
              <w:t>20</w:t>
            </w:r>
            <w:r w:rsidR="00A71B71">
              <w:rPr>
                <w:rFonts w:ascii="Arial" w:hAnsi="Arial" w:cs="Arial"/>
                <w:sz w:val="18"/>
                <w:szCs w:val="18"/>
                <w:lang w:val="es-CO"/>
              </w:rPr>
              <w:t>0.</w:t>
            </w:r>
            <w:r w:rsidR="00070F76" w:rsidRPr="00990DD7">
              <w:rPr>
                <w:rFonts w:ascii="Arial" w:hAnsi="Arial" w:cs="Arial"/>
                <w:sz w:val="18"/>
                <w:szCs w:val="18"/>
                <w:lang w:val="es-CO"/>
              </w:rPr>
              <w:t>000</w:t>
            </w:r>
            <w:r w:rsidR="00070F76">
              <w:rPr>
                <w:rFonts w:ascii="Arial" w:hAnsi="Arial" w:cs="Arial"/>
                <w:b/>
                <w:sz w:val="18"/>
                <w:szCs w:val="18"/>
                <w:lang w:val="es-CO"/>
              </w:rPr>
              <w:t xml:space="preserve"> </w:t>
            </w:r>
          </w:p>
        </w:tc>
        <w:tc>
          <w:tcPr>
            <w:tcW w:w="1260" w:type="dxa"/>
            <w:vAlign w:val="center"/>
          </w:tcPr>
          <w:p w14:paraId="5124EC45" w14:textId="1DA10A9E" w:rsidR="00070F76" w:rsidRPr="00100EDC" w:rsidRDefault="00100EDC" w:rsidP="00100EDC">
            <w:pPr>
              <w:pStyle w:val="ListParagraph"/>
              <w:ind w:left="0"/>
              <w:contextualSpacing w:val="0"/>
              <w:jc w:val="center"/>
              <w:rPr>
                <w:rFonts w:ascii="Arial" w:hAnsi="Arial" w:cs="Arial"/>
                <w:sz w:val="18"/>
                <w:szCs w:val="18"/>
                <w:lang w:val="es-CO"/>
              </w:rPr>
            </w:pPr>
            <w:r w:rsidRPr="00100EDC">
              <w:rPr>
                <w:rFonts w:ascii="Arial" w:hAnsi="Arial" w:cs="Arial"/>
                <w:sz w:val="18"/>
                <w:szCs w:val="18"/>
                <w:lang w:val="es-CO"/>
              </w:rPr>
              <w:t>-</w:t>
            </w:r>
          </w:p>
        </w:tc>
        <w:tc>
          <w:tcPr>
            <w:tcW w:w="1098" w:type="dxa"/>
            <w:vAlign w:val="center"/>
          </w:tcPr>
          <w:p w14:paraId="1088EEB5" w14:textId="370F4887" w:rsidR="00070F76" w:rsidRPr="00990DD7" w:rsidRDefault="00100EDC" w:rsidP="00070F76">
            <w:pPr>
              <w:jc w:val="right"/>
              <w:rPr>
                <w:rFonts w:ascii="Arial" w:hAnsi="Arial" w:cs="Arial"/>
                <w:b/>
                <w:sz w:val="18"/>
                <w:szCs w:val="18"/>
                <w:lang w:val="es-CO"/>
              </w:rPr>
            </w:pPr>
            <w:r>
              <w:rPr>
                <w:rFonts w:ascii="Arial" w:hAnsi="Arial" w:cs="Arial"/>
                <w:sz w:val="18"/>
                <w:szCs w:val="18"/>
                <w:lang w:val="es-CO"/>
              </w:rPr>
              <w:t>200</w:t>
            </w:r>
            <w:r w:rsidR="00070F76" w:rsidRPr="00990DD7">
              <w:rPr>
                <w:rFonts w:ascii="Arial" w:hAnsi="Arial" w:cs="Arial"/>
                <w:sz w:val="18"/>
                <w:szCs w:val="18"/>
                <w:lang w:val="es-CO"/>
              </w:rPr>
              <w:t>.000</w:t>
            </w:r>
            <w:r w:rsidR="00070F76">
              <w:rPr>
                <w:rFonts w:ascii="Arial" w:hAnsi="Arial" w:cs="Arial"/>
                <w:b/>
                <w:sz w:val="18"/>
                <w:szCs w:val="18"/>
                <w:lang w:val="es-CO"/>
              </w:rPr>
              <w:t xml:space="preserve"> </w:t>
            </w:r>
          </w:p>
        </w:tc>
      </w:tr>
      <w:tr w:rsidR="00070F76" w:rsidRPr="00990DD7" w14:paraId="747E4E4B" w14:textId="77777777" w:rsidTr="003C2F9F">
        <w:trPr>
          <w:jc w:val="right"/>
        </w:trPr>
        <w:tc>
          <w:tcPr>
            <w:tcW w:w="5125" w:type="dxa"/>
            <w:vAlign w:val="center"/>
          </w:tcPr>
          <w:p w14:paraId="226041F6" w14:textId="77777777" w:rsidR="00070F76" w:rsidRPr="00D35381" w:rsidRDefault="00070F76" w:rsidP="00070F76">
            <w:pPr>
              <w:rPr>
                <w:rFonts w:ascii="Arial" w:hAnsi="Arial" w:cs="Arial"/>
                <w:sz w:val="18"/>
                <w:szCs w:val="18"/>
                <w:lang w:val="es-CO"/>
              </w:rPr>
            </w:pPr>
            <w:r w:rsidRPr="00D35381">
              <w:rPr>
                <w:rFonts w:ascii="Arial" w:hAnsi="Arial" w:cs="Arial"/>
                <w:b/>
                <w:sz w:val="18"/>
                <w:szCs w:val="18"/>
                <w:lang w:val="es-CO"/>
              </w:rPr>
              <w:t>TOTAL FINANCIAMIENTO</w:t>
            </w:r>
          </w:p>
        </w:tc>
        <w:tc>
          <w:tcPr>
            <w:tcW w:w="1208" w:type="dxa"/>
            <w:vAlign w:val="center"/>
          </w:tcPr>
          <w:p w14:paraId="61CF5062" w14:textId="3C149001" w:rsidR="00070F76" w:rsidRPr="00D27491" w:rsidRDefault="007A2629" w:rsidP="00070F76">
            <w:pPr>
              <w:jc w:val="right"/>
              <w:rPr>
                <w:rFonts w:ascii="Arial" w:hAnsi="Arial" w:cs="Arial"/>
                <w:b/>
                <w:color w:val="000000"/>
                <w:sz w:val="18"/>
                <w:szCs w:val="18"/>
                <w:lang w:val="es-CO"/>
              </w:rPr>
            </w:pPr>
            <w:r w:rsidRPr="00D27491">
              <w:rPr>
                <w:rFonts w:ascii="Arial" w:hAnsi="Arial" w:cs="Arial"/>
                <w:b/>
                <w:color w:val="000000"/>
                <w:sz w:val="18"/>
                <w:szCs w:val="18"/>
                <w:lang w:val="es-CO"/>
              </w:rPr>
              <w:t>1.</w:t>
            </w:r>
            <w:r w:rsidR="0094707B" w:rsidRPr="00D27491">
              <w:rPr>
                <w:rFonts w:ascii="Arial" w:hAnsi="Arial" w:cs="Arial"/>
                <w:b/>
                <w:color w:val="000000"/>
                <w:sz w:val="18"/>
                <w:szCs w:val="18"/>
                <w:lang w:val="es-CO"/>
              </w:rPr>
              <w:t>00</w:t>
            </w:r>
            <w:r w:rsidR="00100EDC" w:rsidRPr="00D27491">
              <w:rPr>
                <w:rFonts w:ascii="Arial" w:hAnsi="Arial" w:cs="Arial"/>
                <w:b/>
                <w:color w:val="000000"/>
                <w:sz w:val="18"/>
                <w:szCs w:val="18"/>
                <w:lang w:val="es-CO"/>
              </w:rPr>
              <w:t>0</w:t>
            </w:r>
            <w:r w:rsidR="00070F76" w:rsidRPr="00D27491">
              <w:rPr>
                <w:rFonts w:ascii="Arial" w:hAnsi="Arial" w:cs="Arial"/>
                <w:b/>
                <w:color w:val="000000"/>
                <w:sz w:val="18"/>
                <w:szCs w:val="18"/>
                <w:lang w:val="es-CO"/>
              </w:rPr>
              <w:t>.000</w:t>
            </w:r>
          </w:p>
        </w:tc>
        <w:tc>
          <w:tcPr>
            <w:tcW w:w="1260" w:type="dxa"/>
            <w:vAlign w:val="center"/>
          </w:tcPr>
          <w:p w14:paraId="694BAD85" w14:textId="1949887D" w:rsidR="00070F76" w:rsidRPr="00D27491" w:rsidRDefault="0094707B" w:rsidP="00100EDC">
            <w:pPr>
              <w:jc w:val="center"/>
              <w:rPr>
                <w:rFonts w:ascii="Arial" w:hAnsi="Arial" w:cs="Arial"/>
                <w:b/>
                <w:color w:val="000000"/>
                <w:sz w:val="18"/>
                <w:szCs w:val="18"/>
                <w:lang w:val="es-CO"/>
              </w:rPr>
            </w:pPr>
            <w:r w:rsidRPr="00D27491">
              <w:rPr>
                <w:rFonts w:ascii="Arial" w:hAnsi="Arial" w:cs="Arial"/>
                <w:b/>
                <w:color w:val="000000"/>
                <w:sz w:val="18"/>
                <w:szCs w:val="18"/>
                <w:lang w:val="es-CO"/>
              </w:rPr>
              <w:t>250.000</w:t>
            </w:r>
          </w:p>
        </w:tc>
        <w:tc>
          <w:tcPr>
            <w:tcW w:w="1098" w:type="dxa"/>
            <w:vAlign w:val="center"/>
          </w:tcPr>
          <w:p w14:paraId="174CB311" w14:textId="116D3098" w:rsidR="00070F76" w:rsidRPr="00D27491" w:rsidRDefault="007A2629" w:rsidP="00070F76">
            <w:pPr>
              <w:jc w:val="right"/>
              <w:rPr>
                <w:rFonts w:ascii="Arial" w:hAnsi="Arial" w:cs="Arial"/>
                <w:b/>
                <w:color w:val="000000"/>
                <w:sz w:val="18"/>
                <w:szCs w:val="18"/>
                <w:lang w:val="es-CO"/>
              </w:rPr>
            </w:pPr>
            <w:r w:rsidRPr="00D27491">
              <w:rPr>
                <w:rFonts w:ascii="Arial" w:hAnsi="Arial" w:cs="Arial"/>
                <w:b/>
                <w:color w:val="000000"/>
                <w:sz w:val="18"/>
                <w:szCs w:val="18"/>
                <w:lang w:val="es-CO"/>
              </w:rPr>
              <w:t>1.</w:t>
            </w:r>
            <w:r w:rsidR="00100EDC" w:rsidRPr="00D27491">
              <w:rPr>
                <w:rFonts w:ascii="Arial" w:hAnsi="Arial" w:cs="Arial"/>
                <w:b/>
                <w:color w:val="000000"/>
                <w:sz w:val="18"/>
                <w:szCs w:val="18"/>
                <w:lang w:val="es-CO"/>
              </w:rPr>
              <w:t>250</w:t>
            </w:r>
            <w:r w:rsidR="00070F76" w:rsidRPr="00D27491">
              <w:rPr>
                <w:rFonts w:ascii="Arial" w:hAnsi="Arial" w:cs="Arial"/>
                <w:b/>
                <w:color w:val="000000"/>
                <w:sz w:val="18"/>
                <w:szCs w:val="18"/>
                <w:lang w:val="es-CO"/>
              </w:rPr>
              <w:t>.000</w:t>
            </w:r>
          </w:p>
        </w:tc>
      </w:tr>
    </w:tbl>
    <w:p w14:paraId="0DE48185" w14:textId="75C644E1" w:rsidR="001C0365" w:rsidRPr="00D35381" w:rsidRDefault="001C0365" w:rsidP="002753E1">
      <w:pPr>
        <w:pStyle w:val="ListParagraph"/>
        <w:numPr>
          <w:ilvl w:val="0"/>
          <w:numId w:val="2"/>
        </w:numPr>
        <w:spacing w:before="240" w:after="120" w:line="240" w:lineRule="auto"/>
        <w:contextualSpacing w:val="0"/>
        <w:rPr>
          <w:rFonts w:ascii="Arial" w:hAnsi="Arial" w:cs="Arial"/>
          <w:b/>
          <w:lang w:val="es-CO"/>
        </w:rPr>
      </w:pPr>
      <w:r>
        <w:rPr>
          <w:rFonts w:ascii="Arial" w:hAnsi="Arial" w:cs="Arial"/>
          <w:b/>
          <w:lang w:val="es-CO"/>
        </w:rPr>
        <w:lastRenderedPageBreak/>
        <w:t xml:space="preserve">Agencia Ejecutora y estructura de ejecución </w:t>
      </w:r>
    </w:p>
    <w:p w14:paraId="38D3734F" w14:textId="06E2FF11" w:rsidR="002F7593" w:rsidRPr="002F7593" w:rsidRDefault="002F7593" w:rsidP="002753E1">
      <w:pPr>
        <w:pStyle w:val="ListParagraph"/>
        <w:numPr>
          <w:ilvl w:val="1"/>
          <w:numId w:val="4"/>
        </w:numPr>
        <w:spacing w:before="120" w:after="120" w:line="240" w:lineRule="auto"/>
        <w:ind w:hanging="547"/>
        <w:contextualSpacing w:val="0"/>
        <w:jc w:val="both"/>
        <w:rPr>
          <w:rFonts w:ascii="Arial" w:hAnsi="Arial" w:cs="Arial"/>
          <w:lang w:val="es-CO"/>
        </w:rPr>
      </w:pPr>
      <w:r w:rsidRPr="002F7593">
        <w:rPr>
          <w:rFonts w:ascii="Arial" w:hAnsi="Arial" w:cs="Arial"/>
          <w:lang w:val="es-CO"/>
        </w:rPr>
        <w:t>De acuerdo con los acuerdos derivados de la programación bianual Banco - País, las cooperaciones técnicas requeridas para la preparación de operaciones serán ejecutadas por el Banco. Lo anterior, debido a que las cooperaciones técnicas que son ejecutadas por Entidades Públicas del Gobierno de Paraguay deben pasar por aprobación del Congreso Nacional de manera que el presupuesto correspondiente se vea reflejado en la estructura presupuestal del Organismo Ejecutor. Los tiempos que pueden llegar a transcurrir para lograr la correspondiente aprobación parlamentaria, sumado a los tiempos fiduciarios promedios para llevar a cabo las contrataciones (más de 6 meses de promedio para contratación de firmas consultoras), implica una dilatación del per</w:t>
      </w:r>
      <w:r w:rsidR="00655B73">
        <w:rPr>
          <w:rFonts w:ascii="Arial" w:hAnsi="Arial" w:cs="Arial"/>
          <w:lang w:val="es-CO"/>
        </w:rPr>
        <w:t>í</w:t>
      </w:r>
      <w:r w:rsidRPr="002F7593">
        <w:rPr>
          <w:rFonts w:ascii="Arial" w:hAnsi="Arial" w:cs="Arial"/>
          <w:lang w:val="es-CO"/>
        </w:rPr>
        <w:t xml:space="preserve">odo de inicio y ejecución de </w:t>
      </w:r>
      <w:proofErr w:type="gramStart"/>
      <w:r w:rsidRPr="002F7593">
        <w:rPr>
          <w:rFonts w:ascii="Arial" w:hAnsi="Arial" w:cs="Arial"/>
          <w:lang w:val="es-CO"/>
        </w:rPr>
        <w:t>la misma</w:t>
      </w:r>
      <w:proofErr w:type="gramEnd"/>
      <w:r w:rsidR="00655B73">
        <w:rPr>
          <w:rFonts w:ascii="Arial" w:hAnsi="Arial" w:cs="Arial"/>
          <w:lang w:val="es-CO"/>
        </w:rPr>
        <w:t xml:space="preserve">, </w:t>
      </w:r>
      <w:r w:rsidR="00713D9E" w:rsidRPr="00713D9E">
        <w:rPr>
          <w:rFonts w:ascii="Arial" w:hAnsi="Arial" w:cs="Arial"/>
          <w:lang w:val="es-CO"/>
        </w:rPr>
        <w:t>por lo cual, se pretende que la misma sea ejecutada por la representación del BID en Paraguay</w:t>
      </w:r>
      <w:r w:rsidR="00655B73">
        <w:rPr>
          <w:rFonts w:ascii="Arial" w:hAnsi="Arial" w:cs="Arial"/>
          <w:lang w:val="es-CO"/>
        </w:rPr>
        <w:t xml:space="preserve">. </w:t>
      </w:r>
    </w:p>
    <w:p w14:paraId="79583D6F" w14:textId="4D5FE7D2" w:rsidR="007758EA" w:rsidRDefault="00D17901" w:rsidP="002753E1">
      <w:pPr>
        <w:pStyle w:val="ListParagraph"/>
        <w:numPr>
          <w:ilvl w:val="1"/>
          <w:numId w:val="4"/>
        </w:numPr>
        <w:spacing w:before="120" w:after="120" w:line="240" w:lineRule="auto"/>
        <w:ind w:hanging="547"/>
        <w:contextualSpacing w:val="0"/>
        <w:jc w:val="both"/>
        <w:rPr>
          <w:rFonts w:ascii="Arial" w:hAnsi="Arial" w:cs="Arial"/>
          <w:lang w:val="es-CO"/>
        </w:rPr>
      </w:pPr>
      <w:r>
        <w:rPr>
          <w:rFonts w:ascii="Arial" w:hAnsi="Arial" w:cs="Arial"/>
          <w:lang w:val="es-CO"/>
        </w:rPr>
        <w:t>En ese sentido, a</w:t>
      </w:r>
      <w:r w:rsidR="007758EA" w:rsidRPr="007758EA">
        <w:rPr>
          <w:rFonts w:ascii="Arial" w:hAnsi="Arial" w:cs="Arial"/>
          <w:lang w:val="es-CO"/>
        </w:rPr>
        <w:t xml:space="preserve"> solicitud del Gobierno de Paraguay, </w:t>
      </w:r>
      <w:commentRangeStart w:id="3"/>
      <w:commentRangeStart w:id="4"/>
      <w:r w:rsidR="007758EA" w:rsidRPr="007758EA">
        <w:rPr>
          <w:rFonts w:ascii="Arial" w:hAnsi="Arial" w:cs="Arial"/>
          <w:lang w:val="es-CO"/>
        </w:rPr>
        <w:t>el</w:t>
      </w:r>
      <w:commentRangeEnd w:id="3"/>
      <w:r w:rsidR="00EB2E3F">
        <w:rPr>
          <w:rStyle w:val="CommentReference"/>
        </w:rPr>
        <w:commentReference w:id="3"/>
      </w:r>
      <w:commentRangeEnd w:id="4"/>
      <w:r>
        <w:rPr>
          <w:rStyle w:val="CommentReference"/>
        </w:rPr>
        <w:commentReference w:id="4"/>
      </w:r>
      <w:r w:rsidR="007758EA" w:rsidRPr="007758EA">
        <w:rPr>
          <w:rFonts w:ascii="Arial" w:hAnsi="Arial" w:cs="Arial"/>
          <w:lang w:val="es-CO"/>
        </w:rPr>
        <w:t xml:space="preserve"> Banco será el organismo ejecutor de la operación y responsable por la administración de esta CT.</w:t>
      </w:r>
      <w:r w:rsidR="007758EA">
        <w:rPr>
          <w:rFonts w:ascii="Arial" w:hAnsi="Arial" w:cs="Arial"/>
          <w:lang w:val="es-CO"/>
        </w:rPr>
        <w:t xml:space="preserve"> </w:t>
      </w:r>
      <w:r w:rsidR="00E07483" w:rsidRPr="007758EA">
        <w:rPr>
          <w:rFonts w:ascii="Arial" w:hAnsi="Arial" w:cs="Arial"/>
          <w:lang w:val="es-CO"/>
        </w:rPr>
        <w:t>El Banco contratará los servicios de consultores individuales, firmas consultoras y servicios diferentes de consultoría de conformidad con las políticas y procedimientos vigentes en el Banco. Se estima que las consultorías estarán finalizadas en 24 meses.</w:t>
      </w:r>
    </w:p>
    <w:p w14:paraId="24F32D5A" w14:textId="77065773" w:rsidR="00E07483" w:rsidRDefault="007758EA" w:rsidP="002753E1">
      <w:pPr>
        <w:pStyle w:val="ListParagraph"/>
        <w:numPr>
          <w:ilvl w:val="1"/>
          <w:numId w:val="4"/>
        </w:numPr>
        <w:spacing w:before="120" w:after="120" w:line="240" w:lineRule="auto"/>
        <w:ind w:hanging="547"/>
        <w:contextualSpacing w:val="0"/>
        <w:jc w:val="both"/>
        <w:rPr>
          <w:rFonts w:ascii="Arial" w:hAnsi="Arial" w:cs="Arial"/>
          <w:lang w:val="es-CO"/>
        </w:rPr>
      </w:pPr>
      <w:r>
        <w:rPr>
          <w:rFonts w:ascii="Arial" w:hAnsi="Arial" w:cs="Arial"/>
          <w:lang w:val="es-CO"/>
        </w:rPr>
        <w:t xml:space="preserve">La supervisión técnica será realizada por el equipo de proyecto de INE/WSA. El punto focal para la coordinación será el jefe de equipo y especialista sectorial en WSA/CPR. Por su parte, la Dirección de Agua Potable y Saneamiento (DAPSAN) del MOPC apoyará en las consultas que el Banco pudiera tener al realizar los procesos de selección, contratación, monitoreo y ejecución de los servicios de consultoría. Las consultas </w:t>
      </w:r>
      <w:r w:rsidR="00065D41">
        <w:rPr>
          <w:rFonts w:ascii="Arial" w:hAnsi="Arial" w:cs="Arial"/>
          <w:lang w:val="es-CO"/>
        </w:rPr>
        <w:t xml:space="preserve">o el apoyo antes mencionados no </w:t>
      </w:r>
      <w:r w:rsidR="00D62F66">
        <w:rPr>
          <w:rFonts w:ascii="Arial" w:hAnsi="Arial" w:cs="Arial"/>
          <w:lang w:val="es-CO"/>
        </w:rPr>
        <w:t>limitarán, en ningún caso,</w:t>
      </w:r>
      <w:r w:rsidR="00065D41">
        <w:rPr>
          <w:rFonts w:ascii="Arial" w:hAnsi="Arial" w:cs="Arial"/>
          <w:lang w:val="es-CO"/>
        </w:rPr>
        <w:t xml:space="preserve"> la capacidad del Banco de administrar la relación con las consultorías contratadas. </w:t>
      </w:r>
    </w:p>
    <w:p w14:paraId="279A5DC4" w14:textId="3E50DCE5" w:rsidR="006F408E" w:rsidRDefault="006F408E" w:rsidP="002753E1">
      <w:pPr>
        <w:pStyle w:val="ListParagraph"/>
        <w:numPr>
          <w:ilvl w:val="1"/>
          <w:numId w:val="4"/>
        </w:numPr>
        <w:spacing w:before="120" w:after="120" w:line="240" w:lineRule="auto"/>
        <w:ind w:hanging="547"/>
        <w:contextualSpacing w:val="0"/>
        <w:jc w:val="both"/>
        <w:rPr>
          <w:rFonts w:ascii="Arial" w:hAnsi="Arial" w:cs="Arial"/>
          <w:lang w:val="es-CO"/>
        </w:rPr>
      </w:pPr>
      <w:r>
        <w:rPr>
          <w:rFonts w:ascii="Arial" w:hAnsi="Arial" w:cs="Arial"/>
          <w:lang w:val="es-CO"/>
        </w:rPr>
        <w:t xml:space="preserve">También se mantendrá una coordinación con la </w:t>
      </w:r>
      <w:r w:rsidR="002F7593">
        <w:rPr>
          <w:rFonts w:ascii="Arial" w:hAnsi="Arial" w:cs="Arial"/>
          <w:lang w:val="es-CO"/>
        </w:rPr>
        <w:t>Agencia Española de Cooperación Internacional para el Desarrollo (</w:t>
      </w:r>
      <w:r>
        <w:rPr>
          <w:rFonts w:ascii="Arial" w:hAnsi="Arial" w:cs="Arial"/>
          <w:lang w:val="es-CO"/>
        </w:rPr>
        <w:t>AECID</w:t>
      </w:r>
      <w:r w:rsidR="002F7593">
        <w:rPr>
          <w:rFonts w:ascii="Arial" w:hAnsi="Arial" w:cs="Arial"/>
          <w:lang w:val="es-CO"/>
        </w:rPr>
        <w:t>)</w:t>
      </w:r>
      <w:r>
        <w:rPr>
          <w:rFonts w:ascii="Arial" w:hAnsi="Arial" w:cs="Arial"/>
          <w:lang w:val="es-CO"/>
        </w:rPr>
        <w:t xml:space="preserve"> tanto en las etapas de diseño de la cooperación técnica como durante su ejecución.</w:t>
      </w:r>
    </w:p>
    <w:p w14:paraId="166917EC" w14:textId="5AB321B7" w:rsidR="00F066A0" w:rsidRDefault="00C15A2D" w:rsidP="002753E1">
      <w:pPr>
        <w:pStyle w:val="ListParagraph"/>
        <w:numPr>
          <w:ilvl w:val="0"/>
          <w:numId w:val="2"/>
        </w:numPr>
        <w:spacing w:before="120" w:after="120" w:line="240" w:lineRule="auto"/>
        <w:contextualSpacing w:val="0"/>
        <w:rPr>
          <w:rFonts w:ascii="Arial" w:hAnsi="Arial" w:cs="Arial"/>
          <w:b/>
          <w:lang w:val="es-CO"/>
        </w:rPr>
      </w:pPr>
      <w:r w:rsidRPr="00D35381">
        <w:rPr>
          <w:rFonts w:ascii="Arial" w:hAnsi="Arial" w:cs="Arial"/>
          <w:b/>
          <w:lang w:val="es-CO"/>
        </w:rPr>
        <w:t>Riesgos importantes</w:t>
      </w:r>
    </w:p>
    <w:p w14:paraId="77877001" w14:textId="00FC2E98" w:rsidR="00D937EB" w:rsidRPr="00F066A0" w:rsidRDefault="00065D41" w:rsidP="002753E1">
      <w:pPr>
        <w:pStyle w:val="ListParagraph"/>
        <w:numPr>
          <w:ilvl w:val="1"/>
          <w:numId w:val="2"/>
        </w:numPr>
        <w:spacing w:after="120" w:line="240" w:lineRule="auto"/>
        <w:ind w:hanging="547"/>
        <w:contextualSpacing w:val="0"/>
        <w:jc w:val="both"/>
        <w:rPr>
          <w:rFonts w:ascii="Arial" w:hAnsi="Arial" w:cs="Arial"/>
          <w:lang w:val="es-CO"/>
        </w:rPr>
      </w:pPr>
      <w:r>
        <w:rPr>
          <w:rFonts w:ascii="Arial" w:hAnsi="Arial" w:cs="Arial"/>
          <w:lang w:val="es-CO"/>
        </w:rPr>
        <w:t xml:space="preserve">Teniendo en cuenta el objeto y alcance de los estudios previstos en esta CT, se considera que uno de los principales riesgos está relacionado con la aceptación de los resultados de los estudios por parte de las instituciones del Gobierno que dificulte el proceso de aprobación y adopción de los productos elaborados. Para mitigar este riesgo se propone involucrar a los técnicos de las instituciones involucradas, principalmente de la DAPSAN, en el proceso de discusión y revisión de los estudios, mediante la creación de un grupo de trabajo.  </w:t>
      </w:r>
    </w:p>
    <w:p w14:paraId="0E6B075A" w14:textId="77777777" w:rsidR="0095711B" w:rsidRPr="00D35381" w:rsidRDefault="000C16F9" w:rsidP="002753E1">
      <w:pPr>
        <w:pStyle w:val="ListParagraph"/>
        <w:numPr>
          <w:ilvl w:val="0"/>
          <w:numId w:val="2"/>
        </w:numPr>
        <w:spacing w:before="120" w:after="120" w:line="240" w:lineRule="auto"/>
        <w:contextualSpacing w:val="0"/>
        <w:rPr>
          <w:rFonts w:ascii="Arial" w:hAnsi="Arial" w:cs="Arial"/>
          <w:b/>
          <w:lang w:val="es-CO"/>
        </w:rPr>
      </w:pPr>
      <w:r w:rsidRPr="00D35381">
        <w:rPr>
          <w:rFonts w:ascii="Arial" w:hAnsi="Arial" w:cs="Arial"/>
          <w:b/>
          <w:lang w:val="es-CO"/>
        </w:rPr>
        <w:t xml:space="preserve">Salvaguardias </w:t>
      </w:r>
      <w:r w:rsidR="00055EF1" w:rsidRPr="00D35381">
        <w:rPr>
          <w:rFonts w:ascii="Arial" w:hAnsi="Arial" w:cs="Arial"/>
          <w:b/>
          <w:lang w:val="es-CO"/>
        </w:rPr>
        <w:t>a</w:t>
      </w:r>
      <w:r w:rsidRPr="00D35381">
        <w:rPr>
          <w:rFonts w:ascii="Arial" w:hAnsi="Arial" w:cs="Arial"/>
          <w:b/>
          <w:lang w:val="es-CO"/>
        </w:rPr>
        <w:t>mbientales</w:t>
      </w:r>
    </w:p>
    <w:p w14:paraId="3B05B28E" w14:textId="4FF7E607" w:rsidR="006D670B" w:rsidRDefault="006116A3" w:rsidP="002753E1">
      <w:pPr>
        <w:pStyle w:val="ListParagraph"/>
        <w:numPr>
          <w:ilvl w:val="1"/>
          <w:numId w:val="2"/>
        </w:numPr>
        <w:spacing w:before="120" w:after="120" w:line="240" w:lineRule="auto"/>
        <w:ind w:hanging="540"/>
        <w:jc w:val="both"/>
        <w:rPr>
          <w:rFonts w:ascii="Arial" w:hAnsi="Arial" w:cs="Arial"/>
          <w:lang w:val="es-CO"/>
        </w:rPr>
      </w:pPr>
      <w:r w:rsidRPr="00D35381">
        <w:rPr>
          <w:rFonts w:ascii="Arial" w:hAnsi="Arial" w:cs="Arial"/>
          <w:lang w:val="es-CO"/>
        </w:rPr>
        <w:t>Los componentes financiados por esta Cooperación Técnica no tendrán impactos</w:t>
      </w:r>
      <w:r w:rsidR="006C2240" w:rsidRPr="00D35381">
        <w:rPr>
          <w:rFonts w:ascii="Arial" w:hAnsi="Arial" w:cs="Arial"/>
          <w:lang w:val="es-CO"/>
        </w:rPr>
        <w:t xml:space="preserve"> </w:t>
      </w:r>
      <w:r w:rsidRPr="00D35381">
        <w:rPr>
          <w:rFonts w:ascii="Arial" w:hAnsi="Arial" w:cs="Arial"/>
          <w:lang w:val="es-CO"/>
        </w:rPr>
        <w:t>ambientales y sociales negativos, por lo que la categoría de clasificación ambiental y social</w:t>
      </w:r>
      <w:r w:rsidR="006C2240" w:rsidRPr="00D35381">
        <w:rPr>
          <w:rFonts w:ascii="Arial" w:hAnsi="Arial" w:cs="Arial"/>
          <w:lang w:val="es-CO"/>
        </w:rPr>
        <w:t xml:space="preserve"> </w:t>
      </w:r>
      <w:r w:rsidRPr="00D35381">
        <w:rPr>
          <w:rFonts w:ascii="Arial" w:hAnsi="Arial" w:cs="Arial"/>
          <w:lang w:val="es-CO"/>
        </w:rPr>
        <w:t>es “C”, de acuerdo con la Política Ambiental del Banco</w:t>
      </w:r>
      <w:r w:rsidR="007F6AEB">
        <w:rPr>
          <w:rFonts w:ascii="Arial" w:hAnsi="Arial" w:cs="Arial"/>
          <w:lang w:val="es-CO"/>
        </w:rPr>
        <w:t xml:space="preserve"> </w:t>
      </w:r>
      <w:r w:rsidR="0016077B">
        <w:rPr>
          <w:rFonts w:ascii="Arial" w:hAnsi="Arial" w:cs="Arial"/>
          <w:lang w:val="es-CO"/>
        </w:rPr>
        <w:t>(</w:t>
      </w:r>
      <w:r w:rsidR="0016077B">
        <w:rPr>
          <w:rFonts w:ascii="Arial" w:eastAsia="Calibri" w:hAnsi="Arial" w:cs="Arial"/>
          <w:color w:val="0000FF"/>
          <w:u w:val="single"/>
          <w:lang w:val="es-ES_tradnl"/>
        </w:rPr>
        <w:t>Filtros ambient</w:t>
      </w:r>
      <w:bookmarkStart w:id="5" w:name="_GoBack"/>
      <w:bookmarkEnd w:id="5"/>
      <w:r w:rsidR="0016077B">
        <w:rPr>
          <w:rFonts w:ascii="Arial" w:eastAsia="Calibri" w:hAnsi="Arial" w:cs="Arial"/>
          <w:color w:val="0000FF"/>
          <w:u w:val="single"/>
          <w:lang w:val="es-ES_tradnl"/>
        </w:rPr>
        <w:t>ales</w:t>
      </w:r>
      <w:r w:rsidR="0016077B" w:rsidRPr="00E8336A">
        <w:rPr>
          <w:rFonts w:ascii="Arial" w:eastAsia="Calibri" w:hAnsi="Arial" w:cs="Arial"/>
          <w:lang w:val="es-ES_tradnl"/>
        </w:rPr>
        <w:t>)</w:t>
      </w:r>
      <w:r w:rsidRPr="00D35381">
        <w:rPr>
          <w:rFonts w:ascii="Arial" w:hAnsi="Arial" w:cs="Arial"/>
          <w:lang w:val="es-CO"/>
        </w:rPr>
        <w:t>.</w:t>
      </w:r>
    </w:p>
    <w:p w14:paraId="649FC787" w14:textId="77777777" w:rsidR="008E1C93" w:rsidRDefault="008E1C93" w:rsidP="008A2CF8">
      <w:pPr>
        <w:pStyle w:val="ListParagraph"/>
        <w:spacing w:before="120" w:after="120" w:line="240" w:lineRule="auto"/>
        <w:ind w:left="360"/>
        <w:jc w:val="both"/>
        <w:rPr>
          <w:rFonts w:ascii="Arial" w:hAnsi="Arial" w:cs="Arial"/>
          <w:lang w:val="es-CO"/>
        </w:rPr>
      </w:pPr>
    </w:p>
    <w:p w14:paraId="60206DDB" w14:textId="77777777" w:rsidR="00453113" w:rsidRPr="00415CEE" w:rsidRDefault="00453113" w:rsidP="00453113">
      <w:pPr>
        <w:spacing w:after="0" w:line="240" w:lineRule="auto"/>
        <w:ind w:firstLine="360"/>
        <w:rPr>
          <w:rFonts w:ascii="Arial" w:eastAsia="Calibri" w:hAnsi="Arial" w:cs="Arial"/>
          <w:color w:val="0000FF"/>
          <w:u w:val="single"/>
          <w:lang w:val="es-ES_tradnl"/>
        </w:rPr>
      </w:pPr>
    </w:p>
    <w:sectPr w:rsidR="00453113" w:rsidRPr="00415CEE" w:rsidSect="002419C1">
      <w:footerReference w:type="default" r:id="rId11"/>
      <w:type w:val="continuous"/>
      <w:pgSz w:w="12240" w:h="15840"/>
      <w:pgMar w:top="1440" w:right="1440" w:bottom="1170" w:left="1526"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3" w:author="Mendoza Centellas, Mariana Beatriz" w:date="2019-04-09T17:43:00Z" w:initials="MCMB">
    <w:p w14:paraId="53B14883" w14:textId="3041C74E" w:rsidR="00EB2E3F" w:rsidRPr="00EB2E3F" w:rsidRDefault="00EB2E3F">
      <w:pPr>
        <w:pStyle w:val="CommentText"/>
        <w:rPr>
          <w:lang w:val="es-ES"/>
        </w:rPr>
      </w:pPr>
      <w:r>
        <w:rPr>
          <w:rStyle w:val="CommentReference"/>
        </w:rPr>
        <w:annotationRef/>
      </w:r>
      <w:r w:rsidRPr="00EB2E3F">
        <w:rPr>
          <w:lang w:val="es-ES"/>
        </w:rPr>
        <w:t>Fortalecer la justificación para que e</w:t>
      </w:r>
      <w:r>
        <w:rPr>
          <w:lang w:val="es-ES"/>
        </w:rPr>
        <w:t>l Banco sea el ejecutor, conforme a lo establecido en el Anexo 10 de la GN-2628-1, que establece situaciones específicas.</w:t>
      </w:r>
    </w:p>
  </w:comment>
  <w:comment w:id="4" w:author="Bogado Garcia, Eduardo Javier" w:date="2019-04-12T09:29:00Z" w:initials="BGEJ">
    <w:p w14:paraId="566201C4" w14:textId="6C70A57F" w:rsidR="00D17901" w:rsidRPr="00D17901" w:rsidRDefault="00D17901">
      <w:pPr>
        <w:pStyle w:val="CommentText"/>
        <w:rPr>
          <w:lang w:val="es-419"/>
        </w:rPr>
      </w:pPr>
      <w:r>
        <w:rPr>
          <w:rStyle w:val="CommentReference"/>
        </w:rPr>
        <w:annotationRef/>
      </w:r>
      <w:r w:rsidRPr="00D17901">
        <w:rPr>
          <w:lang w:val="es-419"/>
        </w:rPr>
        <w:t>Se</w:t>
      </w:r>
      <w:r>
        <w:rPr>
          <w:lang w:val="es-419"/>
        </w:rPr>
        <w:t xml:space="preserve"> agregó párrafo. Ver</w:t>
      </w:r>
      <w:r w:rsidRPr="00D17901">
        <w:rPr>
          <w:lang w:val="es-419"/>
        </w:rPr>
        <w:t xml:space="preserve"> punto 5</w:t>
      </w:r>
      <w:r>
        <w:rPr>
          <w:lang w:val="es-419"/>
        </w:rPr>
        <w:t>.1</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3B14883" w15:done="0"/>
  <w15:commentEx w15:paraId="566201C4" w15:paraIdParent="53B1488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3B14883" w16cid:durableId="20575841"/>
  <w16cid:commentId w16cid:paraId="566201C4" w16cid:durableId="205AD91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8B445F" w14:textId="77777777" w:rsidR="00831CB6" w:rsidRDefault="00831CB6" w:rsidP="0095711B">
      <w:pPr>
        <w:spacing w:after="0" w:line="240" w:lineRule="auto"/>
      </w:pPr>
      <w:r>
        <w:separator/>
      </w:r>
    </w:p>
  </w:endnote>
  <w:endnote w:type="continuationSeparator" w:id="0">
    <w:p w14:paraId="1F51C0EC" w14:textId="77777777" w:rsidR="00831CB6" w:rsidRDefault="00831CB6" w:rsidP="009571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altName w:val="Times New Roman"/>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1958430"/>
      <w:docPartObj>
        <w:docPartGallery w:val="Page Numbers (Bottom of Page)"/>
        <w:docPartUnique/>
      </w:docPartObj>
    </w:sdtPr>
    <w:sdtEndPr/>
    <w:sdtContent>
      <w:p w14:paraId="58C407F9" w14:textId="77777777" w:rsidR="00DB2E9E" w:rsidRDefault="00DB2E9E">
        <w:pPr>
          <w:pStyle w:val="Footer"/>
          <w:jc w:val="center"/>
        </w:pPr>
        <w:r>
          <w:fldChar w:fldCharType="begin"/>
        </w:r>
        <w:r>
          <w:instrText xml:space="preserve"> PAGE   \* MERGEFORMAT </w:instrText>
        </w:r>
        <w:r>
          <w:fldChar w:fldCharType="separate"/>
        </w:r>
        <w:r w:rsidR="000E1B87">
          <w:rPr>
            <w:noProof/>
          </w:rPr>
          <w:t>8</w:t>
        </w:r>
        <w:r>
          <w:rPr>
            <w:noProof/>
          </w:rPr>
          <w:fldChar w:fldCharType="end"/>
        </w:r>
      </w:p>
    </w:sdtContent>
  </w:sdt>
  <w:p w14:paraId="7372C2B5" w14:textId="77777777" w:rsidR="00DB2E9E" w:rsidRDefault="00DB2E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E15076" w14:textId="77777777" w:rsidR="00831CB6" w:rsidRDefault="00831CB6" w:rsidP="0095711B">
      <w:pPr>
        <w:spacing w:after="0" w:line="240" w:lineRule="auto"/>
      </w:pPr>
      <w:r>
        <w:separator/>
      </w:r>
    </w:p>
  </w:footnote>
  <w:footnote w:type="continuationSeparator" w:id="0">
    <w:p w14:paraId="2CEBBA80" w14:textId="77777777" w:rsidR="00831CB6" w:rsidRDefault="00831CB6" w:rsidP="0095711B">
      <w:pPr>
        <w:spacing w:after="0" w:line="240" w:lineRule="auto"/>
      </w:pPr>
      <w:r>
        <w:continuationSeparator/>
      </w:r>
    </w:p>
  </w:footnote>
  <w:footnote w:id="1">
    <w:p w14:paraId="3AB1A698" w14:textId="235E123E" w:rsidR="009E5BEB" w:rsidRDefault="0012002A" w:rsidP="009E5BEB">
      <w:pPr>
        <w:pStyle w:val="FootnoteText"/>
        <w:ind w:left="270" w:hanging="270"/>
        <w:rPr>
          <w:rFonts w:ascii="Arial" w:hAnsi="Arial" w:cs="Arial"/>
          <w:sz w:val="18"/>
          <w:szCs w:val="18"/>
          <w:lang w:val="es-ES"/>
        </w:rPr>
      </w:pPr>
      <w:r w:rsidRPr="009E5BEB">
        <w:rPr>
          <w:rStyle w:val="FootnoteReference"/>
          <w:rFonts w:ascii="Arial" w:hAnsi="Arial" w:cs="Arial"/>
          <w:sz w:val="18"/>
          <w:szCs w:val="18"/>
        </w:rPr>
        <w:footnoteRef/>
      </w:r>
      <w:r w:rsidR="007277DC">
        <w:rPr>
          <w:rFonts w:ascii="Arial" w:hAnsi="Arial" w:cs="Arial"/>
          <w:sz w:val="18"/>
          <w:szCs w:val="18"/>
          <w:lang w:val="es-ES"/>
        </w:rPr>
        <w:t xml:space="preserve">  </w:t>
      </w:r>
      <w:r w:rsidR="000002AA">
        <w:rPr>
          <w:rFonts w:ascii="Arial" w:hAnsi="Arial" w:cs="Arial"/>
          <w:sz w:val="18"/>
          <w:szCs w:val="18"/>
          <w:lang w:val="es-ES"/>
        </w:rPr>
        <w:t>Se</w:t>
      </w:r>
      <w:r w:rsidR="009E5BEB">
        <w:rPr>
          <w:rFonts w:ascii="Arial" w:hAnsi="Arial" w:cs="Arial"/>
          <w:sz w:val="18"/>
          <w:szCs w:val="18"/>
          <w:lang w:val="es-ES"/>
        </w:rPr>
        <w:t xml:space="preserve"> </w:t>
      </w:r>
      <w:r w:rsidR="007277DC">
        <w:rPr>
          <w:rFonts w:ascii="Arial" w:hAnsi="Arial" w:cs="Arial"/>
          <w:sz w:val="18"/>
          <w:szCs w:val="18"/>
          <w:lang w:val="es-ES"/>
        </w:rPr>
        <w:t xml:space="preserve">propone la financiación de la operación con </w:t>
      </w:r>
      <w:r w:rsidR="009E5BEB">
        <w:rPr>
          <w:rFonts w:ascii="Arial" w:hAnsi="Arial" w:cs="Arial"/>
          <w:sz w:val="18"/>
          <w:szCs w:val="18"/>
          <w:lang w:val="es-ES"/>
        </w:rPr>
        <w:t xml:space="preserve">recursos </w:t>
      </w:r>
      <w:r w:rsidR="007277DC">
        <w:rPr>
          <w:rFonts w:ascii="Arial" w:hAnsi="Arial" w:cs="Arial"/>
          <w:sz w:val="18"/>
          <w:szCs w:val="18"/>
          <w:lang w:val="es-ES"/>
        </w:rPr>
        <w:t>de las siguientes</w:t>
      </w:r>
      <w:r w:rsidR="009E5BEB">
        <w:rPr>
          <w:rFonts w:ascii="Arial" w:hAnsi="Arial" w:cs="Arial"/>
          <w:sz w:val="18"/>
          <w:szCs w:val="18"/>
          <w:lang w:val="es-ES"/>
        </w:rPr>
        <w:t xml:space="preserve"> fuentes: </w:t>
      </w:r>
    </w:p>
    <w:p w14:paraId="6AA3581F" w14:textId="75E048DC" w:rsidR="0012002A" w:rsidRPr="000002AA" w:rsidRDefault="009E5BEB" w:rsidP="002753E1">
      <w:pPr>
        <w:pStyle w:val="FootnoteText"/>
        <w:numPr>
          <w:ilvl w:val="1"/>
          <w:numId w:val="5"/>
        </w:numPr>
        <w:ind w:left="450" w:hanging="180"/>
        <w:rPr>
          <w:rFonts w:ascii="Arial" w:hAnsi="Arial" w:cs="Arial"/>
          <w:sz w:val="18"/>
          <w:szCs w:val="18"/>
          <w:lang w:val="es-ES"/>
        </w:rPr>
      </w:pPr>
      <w:r w:rsidRPr="000002AA">
        <w:rPr>
          <w:rFonts w:ascii="Arial" w:hAnsi="Arial" w:cs="Arial"/>
          <w:sz w:val="18"/>
          <w:szCs w:val="18"/>
          <w:lang w:val="es-ES"/>
        </w:rPr>
        <w:t>US$1.000.000 procedentes</w:t>
      </w:r>
      <w:r w:rsidR="000254F5" w:rsidRPr="000002AA">
        <w:rPr>
          <w:rFonts w:ascii="Arial" w:hAnsi="Arial" w:cs="Arial"/>
          <w:sz w:val="18"/>
          <w:szCs w:val="18"/>
          <w:lang w:val="es-ES"/>
        </w:rPr>
        <w:t xml:space="preserve"> de</w:t>
      </w:r>
      <w:r w:rsidR="002F7593">
        <w:rPr>
          <w:rFonts w:ascii="Arial" w:hAnsi="Arial" w:cs="Arial"/>
          <w:sz w:val="18"/>
          <w:szCs w:val="18"/>
          <w:lang w:val="es-ES"/>
        </w:rPr>
        <w:t>l</w:t>
      </w:r>
      <w:r w:rsidR="000254F5" w:rsidRPr="000002AA">
        <w:rPr>
          <w:rFonts w:ascii="Arial" w:hAnsi="Arial" w:cs="Arial"/>
          <w:sz w:val="18"/>
          <w:szCs w:val="18"/>
          <w:lang w:val="es-ES"/>
        </w:rPr>
        <w:t xml:space="preserve"> </w:t>
      </w:r>
      <w:r w:rsidR="002F7593">
        <w:rPr>
          <w:rFonts w:ascii="Arial" w:hAnsi="Arial" w:cs="Arial"/>
          <w:sz w:val="18"/>
          <w:szCs w:val="18"/>
          <w:lang w:val="es-419"/>
        </w:rPr>
        <w:t>Fondo Español de Cooperación para Agua y Saneamiento en América Latina y el Caribe (</w:t>
      </w:r>
      <w:r w:rsidR="0094707B" w:rsidRPr="000002AA">
        <w:rPr>
          <w:rFonts w:ascii="Arial" w:hAnsi="Arial" w:cs="Arial"/>
          <w:sz w:val="18"/>
          <w:szCs w:val="18"/>
          <w:lang w:val="es-ES"/>
        </w:rPr>
        <w:t>FECASALC</w:t>
      </w:r>
      <w:r w:rsidR="002F7593">
        <w:rPr>
          <w:rFonts w:ascii="Arial" w:hAnsi="Arial" w:cs="Arial"/>
          <w:sz w:val="18"/>
          <w:szCs w:val="18"/>
          <w:lang w:val="es-ES"/>
        </w:rPr>
        <w:t>)</w:t>
      </w:r>
      <w:r w:rsidR="00314AA4">
        <w:rPr>
          <w:rFonts w:ascii="Arial" w:hAnsi="Arial" w:cs="Arial"/>
          <w:sz w:val="18"/>
          <w:szCs w:val="18"/>
          <w:lang w:val="es-ES"/>
        </w:rPr>
        <w:t>.</w:t>
      </w:r>
      <w:r w:rsidR="002F7593">
        <w:rPr>
          <w:rFonts w:ascii="Arial" w:hAnsi="Arial" w:cs="Arial"/>
          <w:sz w:val="18"/>
          <w:szCs w:val="18"/>
          <w:lang w:val="es-ES"/>
        </w:rPr>
        <w:t xml:space="preserve"> </w:t>
      </w:r>
    </w:p>
    <w:p w14:paraId="5EB36731" w14:textId="4955BF01" w:rsidR="009E5BEB" w:rsidRPr="009E5BEB" w:rsidRDefault="009E5BEB" w:rsidP="002753E1">
      <w:pPr>
        <w:pStyle w:val="FootnoteText"/>
        <w:numPr>
          <w:ilvl w:val="1"/>
          <w:numId w:val="5"/>
        </w:numPr>
        <w:ind w:left="450" w:hanging="180"/>
        <w:rPr>
          <w:lang w:val="es-419"/>
        </w:rPr>
      </w:pPr>
      <w:r w:rsidRPr="000002AA">
        <w:rPr>
          <w:rFonts w:ascii="Arial" w:hAnsi="Arial" w:cs="Arial"/>
          <w:sz w:val="18"/>
          <w:szCs w:val="18"/>
          <w:lang w:val="es-ES"/>
        </w:rPr>
        <w:t xml:space="preserve">US$250.000 de </w:t>
      </w:r>
      <w:proofErr w:type="spellStart"/>
      <w:r w:rsidRPr="000002AA">
        <w:rPr>
          <w:rFonts w:ascii="Arial" w:hAnsi="Arial" w:cs="Arial"/>
          <w:sz w:val="18"/>
          <w:szCs w:val="18"/>
          <w:lang w:val="es-ES"/>
        </w:rPr>
        <w:t>AquaFund</w:t>
      </w:r>
      <w:proofErr w:type="spellEnd"/>
      <w:r w:rsidR="00314AA4">
        <w:rPr>
          <w:rFonts w:ascii="Arial" w:hAnsi="Arial" w:cs="Arial"/>
          <w:sz w:val="18"/>
          <w:szCs w:val="18"/>
          <w:lang w:val="es-ES"/>
        </w:rPr>
        <w:t>.</w:t>
      </w:r>
    </w:p>
  </w:footnote>
  <w:footnote w:id="2">
    <w:p w14:paraId="4538C690" w14:textId="1AAFCC1E" w:rsidR="00BD7D42" w:rsidRPr="00CD339B" w:rsidRDefault="00BD7D42" w:rsidP="00CD339B">
      <w:pPr>
        <w:pStyle w:val="FootnoteText"/>
        <w:ind w:left="270" w:hanging="270"/>
        <w:rPr>
          <w:rFonts w:ascii="Arial" w:hAnsi="Arial" w:cs="Arial"/>
          <w:sz w:val="18"/>
          <w:szCs w:val="18"/>
          <w:lang w:val="es-419"/>
        </w:rPr>
      </w:pPr>
      <w:r w:rsidRPr="00CD339B">
        <w:rPr>
          <w:rStyle w:val="FootnoteReference"/>
          <w:rFonts w:ascii="Arial" w:hAnsi="Arial" w:cs="Arial"/>
          <w:sz w:val="18"/>
          <w:szCs w:val="18"/>
        </w:rPr>
        <w:footnoteRef/>
      </w:r>
      <w:r w:rsidR="0019478F" w:rsidRPr="00CD339B">
        <w:rPr>
          <w:rFonts w:ascii="Arial" w:hAnsi="Arial" w:cs="Arial"/>
          <w:sz w:val="18"/>
          <w:szCs w:val="18"/>
          <w:lang w:val="es-419"/>
        </w:rPr>
        <w:t xml:space="preserve"> </w:t>
      </w:r>
      <w:r w:rsidR="00CD339B">
        <w:rPr>
          <w:rFonts w:ascii="Arial" w:hAnsi="Arial" w:cs="Arial"/>
          <w:sz w:val="18"/>
          <w:szCs w:val="18"/>
          <w:lang w:val="es-419"/>
        </w:rPr>
        <w:tab/>
      </w:r>
      <w:r w:rsidR="0019478F" w:rsidRPr="00CD339B">
        <w:rPr>
          <w:rFonts w:ascii="Arial" w:hAnsi="Arial" w:cs="Arial"/>
          <w:sz w:val="18"/>
          <w:szCs w:val="18"/>
          <w:lang w:val="es-419"/>
        </w:rPr>
        <w:t>Condiciones de Vida, DGEEC, 2018.</w:t>
      </w:r>
      <w:r w:rsidRPr="00CD339B">
        <w:rPr>
          <w:rFonts w:ascii="Arial" w:hAnsi="Arial" w:cs="Arial"/>
          <w:sz w:val="18"/>
          <w:szCs w:val="18"/>
          <w:lang w:val="es-419"/>
        </w:rPr>
        <w:t xml:space="preserve"> </w:t>
      </w:r>
    </w:p>
  </w:footnote>
  <w:footnote w:id="3">
    <w:p w14:paraId="24790A22" w14:textId="7C59EC67" w:rsidR="00BD7D42" w:rsidRPr="00CD339B" w:rsidRDefault="00BD7D42" w:rsidP="00CD339B">
      <w:pPr>
        <w:pStyle w:val="FootnoteText"/>
        <w:ind w:left="270" w:hanging="270"/>
        <w:rPr>
          <w:rFonts w:ascii="Arial" w:hAnsi="Arial" w:cs="Arial"/>
          <w:sz w:val="18"/>
          <w:szCs w:val="18"/>
          <w:lang w:val="es-419"/>
        </w:rPr>
      </w:pPr>
      <w:r w:rsidRPr="00CD339B">
        <w:rPr>
          <w:rStyle w:val="FootnoteReference"/>
          <w:rFonts w:ascii="Arial" w:hAnsi="Arial" w:cs="Arial"/>
          <w:sz w:val="18"/>
          <w:szCs w:val="18"/>
        </w:rPr>
        <w:footnoteRef/>
      </w:r>
      <w:r w:rsidRPr="00CD339B">
        <w:rPr>
          <w:rFonts w:ascii="Arial" w:hAnsi="Arial" w:cs="Arial"/>
          <w:sz w:val="18"/>
          <w:szCs w:val="18"/>
          <w:lang w:val="es-419"/>
        </w:rPr>
        <w:t xml:space="preserve"> </w:t>
      </w:r>
      <w:r w:rsidR="00CD339B">
        <w:rPr>
          <w:rFonts w:ascii="Arial" w:hAnsi="Arial" w:cs="Arial"/>
          <w:sz w:val="18"/>
          <w:szCs w:val="18"/>
          <w:lang w:val="es-419"/>
        </w:rPr>
        <w:tab/>
      </w:r>
      <w:r w:rsidR="0019478F" w:rsidRPr="00CD339B">
        <w:rPr>
          <w:rFonts w:ascii="Arial" w:hAnsi="Arial" w:cs="Arial"/>
          <w:sz w:val="18"/>
          <w:szCs w:val="18"/>
          <w:lang w:val="es-419"/>
        </w:rPr>
        <w:t xml:space="preserve">Desigualdades en materia de saneamiento y agua potable en América Latina, </w:t>
      </w:r>
      <w:proofErr w:type="spellStart"/>
      <w:r w:rsidR="0019478F" w:rsidRPr="00CD339B">
        <w:rPr>
          <w:rFonts w:ascii="Arial" w:hAnsi="Arial" w:cs="Arial"/>
          <w:i/>
          <w:sz w:val="18"/>
          <w:szCs w:val="18"/>
          <w:lang w:val="es-419"/>
        </w:rPr>
        <w:t>Joint</w:t>
      </w:r>
      <w:proofErr w:type="spellEnd"/>
      <w:r w:rsidR="0019478F" w:rsidRPr="00CD339B">
        <w:rPr>
          <w:rFonts w:ascii="Arial" w:hAnsi="Arial" w:cs="Arial"/>
          <w:i/>
          <w:sz w:val="18"/>
          <w:szCs w:val="18"/>
          <w:lang w:val="es-419"/>
        </w:rPr>
        <w:t xml:space="preserve"> </w:t>
      </w:r>
      <w:proofErr w:type="spellStart"/>
      <w:r w:rsidR="0019478F" w:rsidRPr="00CD339B">
        <w:rPr>
          <w:rFonts w:ascii="Arial" w:hAnsi="Arial" w:cs="Arial"/>
          <w:i/>
          <w:sz w:val="18"/>
          <w:szCs w:val="18"/>
          <w:lang w:val="es-419"/>
        </w:rPr>
        <w:t>Monitoring</w:t>
      </w:r>
      <w:proofErr w:type="spellEnd"/>
      <w:r w:rsidR="0019478F" w:rsidRPr="00CD339B">
        <w:rPr>
          <w:rFonts w:ascii="Arial" w:hAnsi="Arial" w:cs="Arial"/>
          <w:i/>
          <w:sz w:val="18"/>
          <w:szCs w:val="18"/>
          <w:lang w:val="es-419"/>
        </w:rPr>
        <w:t xml:space="preserve"> Program</w:t>
      </w:r>
      <w:r w:rsidR="0019478F" w:rsidRPr="00CD339B">
        <w:rPr>
          <w:rFonts w:ascii="Arial" w:hAnsi="Arial" w:cs="Arial"/>
          <w:sz w:val="18"/>
          <w:szCs w:val="18"/>
          <w:lang w:val="es-419"/>
        </w:rPr>
        <w:t>, 2015.</w:t>
      </w:r>
    </w:p>
  </w:footnote>
  <w:footnote w:id="4">
    <w:p w14:paraId="32A2EBC4" w14:textId="0E660EFE" w:rsidR="00BD7D42" w:rsidRPr="00CD339B" w:rsidRDefault="00BD7D42" w:rsidP="00CD339B">
      <w:pPr>
        <w:pStyle w:val="FootnoteText"/>
        <w:ind w:left="270" w:hanging="270"/>
        <w:rPr>
          <w:rFonts w:ascii="Arial" w:hAnsi="Arial" w:cs="Arial"/>
          <w:sz w:val="18"/>
          <w:szCs w:val="18"/>
          <w:lang w:val="es-419"/>
        </w:rPr>
      </w:pPr>
      <w:r w:rsidRPr="00CD339B">
        <w:rPr>
          <w:rStyle w:val="FootnoteReference"/>
          <w:rFonts w:ascii="Arial" w:hAnsi="Arial" w:cs="Arial"/>
          <w:sz w:val="18"/>
          <w:szCs w:val="18"/>
        </w:rPr>
        <w:footnoteRef/>
      </w:r>
      <w:r w:rsidRPr="00CD339B">
        <w:rPr>
          <w:rFonts w:ascii="Arial" w:hAnsi="Arial" w:cs="Arial"/>
          <w:sz w:val="18"/>
          <w:szCs w:val="18"/>
          <w:lang w:val="es-419"/>
        </w:rPr>
        <w:t xml:space="preserve"> </w:t>
      </w:r>
      <w:r w:rsidR="00CD339B">
        <w:rPr>
          <w:rFonts w:ascii="Arial" w:hAnsi="Arial" w:cs="Arial"/>
          <w:sz w:val="18"/>
          <w:szCs w:val="18"/>
          <w:lang w:val="es-419"/>
        </w:rPr>
        <w:tab/>
      </w:r>
      <w:r w:rsidR="0019478F" w:rsidRPr="00CD339B">
        <w:rPr>
          <w:rFonts w:ascii="Arial" w:hAnsi="Arial" w:cs="Arial"/>
          <w:sz w:val="18"/>
          <w:szCs w:val="18"/>
          <w:lang w:val="es-419"/>
        </w:rPr>
        <w:t>Brasil, Argentina y Uruguay cuentan con</w:t>
      </w:r>
      <w:r w:rsidR="007A4363" w:rsidRPr="00CD339B">
        <w:rPr>
          <w:rFonts w:ascii="Arial" w:hAnsi="Arial" w:cs="Arial"/>
          <w:sz w:val="18"/>
          <w:szCs w:val="18"/>
          <w:lang w:val="es-419"/>
        </w:rPr>
        <w:t xml:space="preserve"> niveles de acceso a</w:t>
      </w:r>
      <w:r w:rsidR="0019478F" w:rsidRPr="00CD339B">
        <w:rPr>
          <w:rFonts w:ascii="Arial" w:hAnsi="Arial" w:cs="Arial"/>
          <w:sz w:val="18"/>
          <w:szCs w:val="18"/>
          <w:lang w:val="es-419"/>
        </w:rPr>
        <w:t xml:space="preserve"> agua en red </w:t>
      </w:r>
      <w:r w:rsidR="007A4363" w:rsidRPr="00CD339B">
        <w:rPr>
          <w:rFonts w:ascii="Arial" w:hAnsi="Arial" w:cs="Arial"/>
          <w:sz w:val="18"/>
          <w:szCs w:val="18"/>
          <w:lang w:val="es-419"/>
        </w:rPr>
        <w:t>superiores al 90% y de alcantarillado sanitario superiores al 50%</w:t>
      </w:r>
      <w:r w:rsidR="004A396C" w:rsidRPr="00CD339B">
        <w:rPr>
          <w:rFonts w:ascii="Arial" w:hAnsi="Arial" w:cs="Arial"/>
          <w:sz w:val="18"/>
          <w:szCs w:val="18"/>
          <w:lang w:val="es-419"/>
        </w:rPr>
        <w:t xml:space="preserve">, </w:t>
      </w:r>
      <w:proofErr w:type="spellStart"/>
      <w:r w:rsidR="004A396C" w:rsidRPr="00CD339B">
        <w:rPr>
          <w:rFonts w:ascii="Arial" w:hAnsi="Arial" w:cs="Arial"/>
          <w:i/>
          <w:sz w:val="18"/>
          <w:szCs w:val="18"/>
          <w:lang w:val="es-419"/>
        </w:rPr>
        <w:t>Progress</w:t>
      </w:r>
      <w:proofErr w:type="spellEnd"/>
      <w:r w:rsidR="004A396C" w:rsidRPr="00CD339B">
        <w:rPr>
          <w:rFonts w:ascii="Arial" w:hAnsi="Arial" w:cs="Arial"/>
          <w:i/>
          <w:sz w:val="18"/>
          <w:szCs w:val="18"/>
          <w:lang w:val="es-419"/>
        </w:rPr>
        <w:t xml:space="preserve"> </w:t>
      </w:r>
      <w:proofErr w:type="spellStart"/>
      <w:r w:rsidR="004A396C" w:rsidRPr="00CD339B">
        <w:rPr>
          <w:rFonts w:ascii="Arial" w:hAnsi="Arial" w:cs="Arial"/>
          <w:i/>
          <w:sz w:val="18"/>
          <w:szCs w:val="18"/>
          <w:lang w:val="es-419"/>
        </w:rPr>
        <w:t>on</w:t>
      </w:r>
      <w:proofErr w:type="spellEnd"/>
      <w:r w:rsidR="004A396C" w:rsidRPr="00CD339B">
        <w:rPr>
          <w:rFonts w:ascii="Arial" w:hAnsi="Arial" w:cs="Arial"/>
          <w:i/>
          <w:sz w:val="18"/>
          <w:szCs w:val="18"/>
          <w:lang w:val="es-419"/>
        </w:rPr>
        <w:t xml:space="preserve"> </w:t>
      </w:r>
      <w:proofErr w:type="spellStart"/>
      <w:r w:rsidR="004A396C" w:rsidRPr="00CD339B">
        <w:rPr>
          <w:rFonts w:ascii="Arial" w:hAnsi="Arial" w:cs="Arial"/>
          <w:i/>
          <w:sz w:val="18"/>
          <w:szCs w:val="18"/>
          <w:lang w:val="es-419"/>
        </w:rPr>
        <w:t>drinking</w:t>
      </w:r>
      <w:proofErr w:type="spellEnd"/>
      <w:r w:rsidR="004A396C" w:rsidRPr="00CD339B">
        <w:rPr>
          <w:rFonts w:ascii="Arial" w:hAnsi="Arial" w:cs="Arial"/>
          <w:i/>
          <w:sz w:val="18"/>
          <w:szCs w:val="18"/>
          <w:lang w:val="es-419"/>
        </w:rPr>
        <w:t xml:space="preserve"> </w:t>
      </w:r>
      <w:proofErr w:type="spellStart"/>
      <w:r w:rsidR="004A396C" w:rsidRPr="00CD339B">
        <w:rPr>
          <w:rFonts w:ascii="Arial" w:hAnsi="Arial" w:cs="Arial"/>
          <w:i/>
          <w:sz w:val="18"/>
          <w:szCs w:val="18"/>
          <w:lang w:val="es-419"/>
        </w:rPr>
        <w:t>water</w:t>
      </w:r>
      <w:proofErr w:type="spellEnd"/>
      <w:r w:rsidR="004A396C" w:rsidRPr="00CD339B">
        <w:rPr>
          <w:rFonts w:ascii="Arial" w:hAnsi="Arial" w:cs="Arial"/>
          <w:i/>
          <w:sz w:val="18"/>
          <w:szCs w:val="18"/>
          <w:lang w:val="es-419"/>
        </w:rPr>
        <w:t xml:space="preserve">, </w:t>
      </w:r>
      <w:proofErr w:type="spellStart"/>
      <w:r w:rsidR="004A396C" w:rsidRPr="00CD339B">
        <w:rPr>
          <w:rFonts w:ascii="Arial" w:hAnsi="Arial" w:cs="Arial"/>
          <w:i/>
          <w:sz w:val="18"/>
          <w:szCs w:val="18"/>
          <w:lang w:val="es-419"/>
        </w:rPr>
        <w:t>sanitation</w:t>
      </w:r>
      <w:proofErr w:type="spellEnd"/>
      <w:r w:rsidR="004A396C" w:rsidRPr="00CD339B">
        <w:rPr>
          <w:rFonts w:ascii="Arial" w:hAnsi="Arial" w:cs="Arial"/>
          <w:i/>
          <w:sz w:val="18"/>
          <w:szCs w:val="18"/>
          <w:lang w:val="es-419"/>
        </w:rPr>
        <w:t xml:space="preserve"> and higiene</w:t>
      </w:r>
      <w:r w:rsidR="004A396C" w:rsidRPr="00CD339B">
        <w:rPr>
          <w:rFonts w:ascii="Arial" w:hAnsi="Arial" w:cs="Arial"/>
          <w:sz w:val="18"/>
          <w:szCs w:val="18"/>
          <w:lang w:val="es-419"/>
        </w:rPr>
        <w:t>, JMP, 2017.</w:t>
      </w:r>
    </w:p>
  </w:footnote>
  <w:footnote w:id="5">
    <w:p w14:paraId="4C61F8D3" w14:textId="1C4E9991" w:rsidR="00BD7D42" w:rsidRPr="00CD339B" w:rsidRDefault="00BD7D42" w:rsidP="00CD339B">
      <w:pPr>
        <w:pStyle w:val="FootnoteText"/>
        <w:ind w:left="270" w:hanging="270"/>
        <w:rPr>
          <w:rFonts w:ascii="Arial" w:hAnsi="Arial" w:cs="Arial"/>
          <w:sz w:val="18"/>
          <w:szCs w:val="18"/>
          <w:lang w:val="es-419"/>
        </w:rPr>
      </w:pPr>
      <w:r w:rsidRPr="00CD339B">
        <w:rPr>
          <w:rStyle w:val="FootnoteReference"/>
          <w:rFonts w:ascii="Arial" w:hAnsi="Arial" w:cs="Arial"/>
          <w:sz w:val="18"/>
          <w:szCs w:val="18"/>
        </w:rPr>
        <w:footnoteRef/>
      </w:r>
      <w:r w:rsidRPr="00CD339B">
        <w:rPr>
          <w:rFonts w:ascii="Arial" w:hAnsi="Arial" w:cs="Arial"/>
          <w:sz w:val="18"/>
          <w:szCs w:val="18"/>
          <w:lang w:val="es-419"/>
        </w:rPr>
        <w:t xml:space="preserve"> </w:t>
      </w:r>
      <w:r w:rsidR="00CD339B">
        <w:rPr>
          <w:rFonts w:ascii="Arial" w:hAnsi="Arial" w:cs="Arial"/>
          <w:sz w:val="18"/>
          <w:szCs w:val="18"/>
          <w:lang w:val="es-419"/>
        </w:rPr>
        <w:tab/>
      </w:r>
      <w:r w:rsidR="000850B2" w:rsidRPr="00CD339B">
        <w:rPr>
          <w:rFonts w:ascii="Arial" w:hAnsi="Arial" w:cs="Arial"/>
          <w:sz w:val="18"/>
          <w:szCs w:val="18"/>
          <w:lang w:val="es-419"/>
        </w:rPr>
        <w:t>Informe de Gestión, ERSSAN, 2017.</w:t>
      </w:r>
    </w:p>
  </w:footnote>
  <w:footnote w:id="6">
    <w:p w14:paraId="592D5169" w14:textId="1FC67A4D" w:rsidR="000B08DE" w:rsidRPr="00CD339B" w:rsidRDefault="000B08DE" w:rsidP="00CD339B">
      <w:pPr>
        <w:pStyle w:val="FootnoteText"/>
        <w:ind w:left="270" w:hanging="270"/>
        <w:rPr>
          <w:rFonts w:ascii="Arial" w:hAnsi="Arial" w:cs="Arial"/>
          <w:sz w:val="18"/>
          <w:szCs w:val="18"/>
          <w:lang w:val="es-419"/>
        </w:rPr>
      </w:pPr>
      <w:r w:rsidRPr="00CD339B">
        <w:rPr>
          <w:rStyle w:val="FootnoteReference"/>
          <w:rFonts w:ascii="Arial" w:hAnsi="Arial" w:cs="Arial"/>
          <w:sz w:val="18"/>
          <w:szCs w:val="18"/>
        </w:rPr>
        <w:footnoteRef/>
      </w:r>
      <w:r w:rsidRPr="00CD339B">
        <w:rPr>
          <w:rFonts w:ascii="Arial" w:hAnsi="Arial" w:cs="Arial"/>
          <w:sz w:val="18"/>
          <w:szCs w:val="18"/>
          <w:lang w:val="es-419"/>
        </w:rPr>
        <w:t xml:space="preserve"> </w:t>
      </w:r>
      <w:r w:rsidR="00CD339B">
        <w:rPr>
          <w:rFonts w:ascii="Arial" w:hAnsi="Arial" w:cs="Arial"/>
          <w:sz w:val="18"/>
          <w:szCs w:val="18"/>
          <w:lang w:val="es-419"/>
        </w:rPr>
        <w:tab/>
      </w:r>
      <w:r w:rsidR="000850B2" w:rsidRPr="00CD339B">
        <w:rPr>
          <w:rFonts w:ascii="Arial" w:hAnsi="Arial" w:cs="Arial"/>
          <w:sz w:val="18"/>
          <w:szCs w:val="18"/>
          <w:lang w:val="es-419"/>
        </w:rPr>
        <w:t>Informe de Gestión, ERSSAN, 2017.</w:t>
      </w:r>
    </w:p>
  </w:footnote>
  <w:footnote w:id="7">
    <w:p w14:paraId="5EA100C9" w14:textId="3EFA34C0" w:rsidR="009C4040" w:rsidRPr="00CD339B" w:rsidRDefault="009C4040" w:rsidP="00CD339B">
      <w:pPr>
        <w:pStyle w:val="FootnoteText"/>
        <w:ind w:left="270" w:hanging="270"/>
        <w:rPr>
          <w:rFonts w:ascii="Arial" w:hAnsi="Arial" w:cs="Arial"/>
          <w:sz w:val="18"/>
          <w:szCs w:val="18"/>
          <w:lang w:val="es-419"/>
        </w:rPr>
      </w:pPr>
      <w:r w:rsidRPr="00CD339B">
        <w:rPr>
          <w:rStyle w:val="FootnoteReference"/>
          <w:rFonts w:ascii="Arial" w:hAnsi="Arial" w:cs="Arial"/>
          <w:sz w:val="18"/>
          <w:szCs w:val="18"/>
        </w:rPr>
        <w:footnoteRef/>
      </w:r>
      <w:r w:rsidRPr="00CD339B">
        <w:rPr>
          <w:rFonts w:ascii="Arial" w:hAnsi="Arial" w:cs="Arial"/>
          <w:sz w:val="18"/>
          <w:szCs w:val="18"/>
          <w:lang w:val="es-419"/>
        </w:rPr>
        <w:t xml:space="preserve"> </w:t>
      </w:r>
      <w:r w:rsidR="00CD339B">
        <w:rPr>
          <w:rFonts w:ascii="Arial" w:hAnsi="Arial" w:cs="Arial"/>
          <w:sz w:val="18"/>
          <w:szCs w:val="18"/>
          <w:lang w:val="es-419"/>
        </w:rPr>
        <w:tab/>
      </w:r>
      <w:r w:rsidR="004A396C" w:rsidRPr="00CD339B">
        <w:rPr>
          <w:rFonts w:ascii="Arial" w:hAnsi="Arial" w:cs="Arial"/>
          <w:sz w:val="18"/>
          <w:szCs w:val="18"/>
          <w:lang w:val="es-419"/>
        </w:rPr>
        <w:t>15% de las viviendas indígenas contaban con acceso a agua segura y solo el 4% con acceso a saneamiento básico mejorado, Pueblos Indígenas en el Paraguay, Resultados Finales de Población y Viviendas 2012.</w:t>
      </w:r>
    </w:p>
  </w:footnote>
  <w:footnote w:id="8">
    <w:p w14:paraId="5790FAF2" w14:textId="2BF707FD" w:rsidR="0024788D" w:rsidRPr="00E46386" w:rsidRDefault="0024788D" w:rsidP="00CD339B">
      <w:pPr>
        <w:pStyle w:val="FootnoteText"/>
        <w:ind w:left="270" w:hanging="270"/>
        <w:rPr>
          <w:rFonts w:ascii="Arial" w:hAnsi="Arial" w:cs="Arial"/>
          <w:sz w:val="16"/>
          <w:lang w:val="es-419"/>
        </w:rPr>
      </w:pPr>
      <w:r w:rsidRPr="00CD339B">
        <w:rPr>
          <w:rStyle w:val="FootnoteReference"/>
          <w:rFonts w:ascii="Arial" w:hAnsi="Arial" w:cs="Arial"/>
          <w:sz w:val="18"/>
          <w:szCs w:val="18"/>
        </w:rPr>
        <w:footnoteRef/>
      </w:r>
      <w:r w:rsidRPr="00CD339B">
        <w:rPr>
          <w:rFonts w:ascii="Arial" w:hAnsi="Arial" w:cs="Arial"/>
          <w:sz w:val="18"/>
          <w:szCs w:val="18"/>
          <w:lang w:val="es-419"/>
        </w:rPr>
        <w:t xml:space="preserve"> </w:t>
      </w:r>
      <w:r w:rsidR="00CD339B">
        <w:rPr>
          <w:rFonts w:ascii="Arial" w:hAnsi="Arial" w:cs="Arial"/>
          <w:sz w:val="18"/>
          <w:szCs w:val="18"/>
          <w:lang w:val="es-419"/>
        </w:rPr>
        <w:tab/>
      </w:r>
      <w:r w:rsidR="00E46386" w:rsidRPr="00CD339B">
        <w:rPr>
          <w:rFonts w:ascii="Arial" w:hAnsi="Arial" w:cs="Arial"/>
          <w:sz w:val="18"/>
          <w:szCs w:val="18"/>
          <w:lang w:val="es-419"/>
        </w:rPr>
        <w:t xml:space="preserve">De 2010 a 2016 la inversión promedio en el sector fue de US$32 millones, </w:t>
      </w:r>
      <w:proofErr w:type="spellStart"/>
      <w:r w:rsidR="00E46386" w:rsidRPr="00CD339B">
        <w:rPr>
          <w:rFonts w:ascii="Arial" w:hAnsi="Arial" w:cs="Arial"/>
          <w:sz w:val="18"/>
          <w:szCs w:val="18"/>
          <w:lang w:val="es-419"/>
        </w:rPr>
        <w:t>Infralatam</w:t>
      </w:r>
      <w:proofErr w:type="spellEnd"/>
      <w:r w:rsidR="00E46386" w:rsidRPr="00CD339B">
        <w:rPr>
          <w:rFonts w:ascii="Arial" w:hAnsi="Arial" w:cs="Arial"/>
          <w:sz w:val="18"/>
          <w:szCs w:val="18"/>
          <w:lang w:val="es-419"/>
        </w:rPr>
        <w:t>.</w:t>
      </w:r>
      <w:r w:rsidR="00E46386" w:rsidRPr="00E46386">
        <w:rPr>
          <w:rFonts w:ascii="Arial" w:hAnsi="Arial" w:cs="Arial"/>
          <w:sz w:val="16"/>
          <w:lang w:val="es-419"/>
        </w:rPr>
        <w:t xml:space="preserve"> </w:t>
      </w:r>
    </w:p>
  </w:footnote>
  <w:footnote w:id="9">
    <w:p w14:paraId="48486D3F" w14:textId="4953F389" w:rsidR="00174648" w:rsidRPr="00CD339B" w:rsidRDefault="00174648" w:rsidP="00CD339B">
      <w:pPr>
        <w:pStyle w:val="FootnoteText"/>
        <w:ind w:left="270" w:hanging="270"/>
        <w:rPr>
          <w:rFonts w:ascii="Arial" w:hAnsi="Arial" w:cs="Arial"/>
          <w:sz w:val="18"/>
          <w:szCs w:val="18"/>
          <w:lang w:val="es-419"/>
        </w:rPr>
      </w:pPr>
      <w:r w:rsidRPr="00CD339B">
        <w:rPr>
          <w:rStyle w:val="FootnoteReference"/>
          <w:rFonts w:ascii="Arial" w:hAnsi="Arial" w:cs="Arial"/>
          <w:sz w:val="18"/>
          <w:szCs w:val="18"/>
        </w:rPr>
        <w:footnoteRef/>
      </w:r>
      <w:r w:rsidRPr="00CD339B">
        <w:rPr>
          <w:rFonts w:ascii="Arial" w:hAnsi="Arial" w:cs="Arial"/>
          <w:sz w:val="18"/>
          <w:szCs w:val="18"/>
          <w:lang w:val="es-419"/>
        </w:rPr>
        <w:t xml:space="preserve"> </w:t>
      </w:r>
      <w:r w:rsidR="00CD339B">
        <w:rPr>
          <w:rFonts w:ascii="Arial" w:hAnsi="Arial" w:cs="Arial"/>
          <w:sz w:val="18"/>
          <w:szCs w:val="18"/>
          <w:lang w:val="es-419"/>
        </w:rPr>
        <w:tab/>
      </w:r>
      <w:r w:rsidR="006F0206" w:rsidRPr="00CD339B">
        <w:rPr>
          <w:rFonts w:ascii="Arial" w:hAnsi="Arial" w:cs="Arial"/>
          <w:sz w:val="18"/>
          <w:szCs w:val="18"/>
          <w:lang w:val="es-419"/>
        </w:rPr>
        <w:t>En la actualidad existen 4.400 prestadores y el 80% de estos atienden sistemas de menos de 1000 usuarios, ERSSAN, 2017.</w:t>
      </w:r>
    </w:p>
  </w:footnote>
  <w:footnote w:id="10">
    <w:p w14:paraId="0A7F972C" w14:textId="04D2A68D" w:rsidR="000B08DE" w:rsidRPr="00DF375F" w:rsidRDefault="000B08DE" w:rsidP="00CD339B">
      <w:pPr>
        <w:pStyle w:val="FootnoteText"/>
        <w:ind w:left="270" w:hanging="270"/>
        <w:rPr>
          <w:rFonts w:ascii="Arial" w:hAnsi="Arial" w:cs="Arial"/>
          <w:sz w:val="16"/>
          <w:lang w:val="es-419"/>
        </w:rPr>
      </w:pPr>
      <w:r w:rsidRPr="00CD339B">
        <w:rPr>
          <w:rStyle w:val="FootnoteReference"/>
          <w:rFonts w:ascii="Arial" w:hAnsi="Arial" w:cs="Arial"/>
          <w:sz w:val="18"/>
          <w:szCs w:val="18"/>
        </w:rPr>
        <w:footnoteRef/>
      </w:r>
      <w:r w:rsidRPr="00CD339B">
        <w:rPr>
          <w:rFonts w:ascii="Arial" w:hAnsi="Arial" w:cs="Arial"/>
          <w:sz w:val="18"/>
          <w:szCs w:val="18"/>
          <w:lang w:val="es-419"/>
        </w:rPr>
        <w:t xml:space="preserve"> </w:t>
      </w:r>
      <w:r w:rsidR="00CD339B">
        <w:rPr>
          <w:rFonts w:ascii="Arial" w:hAnsi="Arial" w:cs="Arial"/>
          <w:sz w:val="18"/>
          <w:szCs w:val="18"/>
          <w:lang w:val="es-419"/>
        </w:rPr>
        <w:tab/>
      </w:r>
      <w:r w:rsidR="00DF375F" w:rsidRPr="00CD339B">
        <w:rPr>
          <w:rFonts w:ascii="Arial" w:hAnsi="Arial" w:cs="Arial"/>
          <w:sz w:val="18"/>
          <w:szCs w:val="18"/>
          <w:lang w:val="es-419"/>
        </w:rPr>
        <w:t xml:space="preserve">Plan Nacional de Agua Potable y Saneamiento, </w:t>
      </w:r>
      <w:r w:rsidR="00840C97" w:rsidRPr="00CD339B">
        <w:rPr>
          <w:rFonts w:ascii="Arial" w:hAnsi="Arial" w:cs="Arial"/>
          <w:sz w:val="18"/>
          <w:szCs w:val="18"/>
          <w:lang w:val="es-419"/>
        </w:rPr>
        <w:t>DAPSAN/</w:t>
      </w:r>
      <w:r w:rsidR="00DF375F" w:rsidRPr="00CD339B">
        <w:rPr>
          <w:rFonts w:ascii="Arial" w:hAnsi="Arial" w:cs="Arial"/>
          <w:sz w:val="18"/>
          <w:szCs w:val="18"/>
          <w:lang w:val="es-419"/>
        </w:rPr>
        <w:t>MOPC, 2018.</w:t>
      </w:r>
    </w:p>
  </w:footnote>
  <w:footnote w:id="11">
    <w:p w14:paraId="3AC08254" w14:textId="3C99FC31" w:rsidR="0024543F" w:rsidRPr="00D27491" w:rsidRDefault="0024543F" w:rsidP="00D27491">
      <w:pPr>
        <w:pStyle w:val="FootnoteText"/>
        <w:ind w:left="270" w:hanging="270"/>
        <w:jc w:val="both"/>
        <w:rPr>
          <w:rFonts w:ascii="Arial" w:hAnsi="Arial" w:cs="Arial"/>
          <w:sz w:val="18"/>
          <w:szCs w:val="18"/>
          <w:lang w:val="es-419"/>
        </w:rPr>
      </w:pPr>
      <w:r w:rsidRPr="00D27491">
        <w:rPr>
          <w:rStyle w:val="FootnoteReference"/>
          <w:rFonts w:ascii="Arial" w:hAnsi="Arial" w:cs="Arial"/>
          <w:sz w:val="18"/>
          <w:szCs w:val="18"/>
        </w:rPr>
        <w:footnoteRef/>
      </w:r>
      <w:r w:rsidRPr="00D27491">
        <w:rPr>
          <w:rStyle w:val="FootnoteReference"/>
          <w:rFonts w:ascii="Arial" w:hAnsi="Arial" w:cs="Arial"/>
          <w:sz w:val="18"/>
          <w:szCs w:val="18"/>
          <w:lang w:val="es-419"/>
        </w:rPr>
        <w:t xml:space="preserve"> </w:t>
      </w:r>
      <w:r w:rsidR="00D27491">
        <w:rPr>
          <w:rFonts w:ascii="Arial" w:hAnsi="Arial" w:cs="Arial"/>
          <w:sz w:val="18"/>
          <w:szCs w:val="18"/>
          <w:lang w:val="es-419"/>
        </w:rPr>
        <w:tab/>
      </w:r>
      <w:r w:rsidRPr="00D27491">
        <w:rPr>
          <w:rFonts w:ascii="Arial" w:hAnsi="Arial" w:cs="Arial"/>
          <w:sz w:val="18"/>
          <w:szCs w:val="18"/>
          <w:lang w:val="es-419"/>
        </w:rPr>
        <w:t xml:space="preserve">La planificación de inversiones puede suponer una oportunidad para desarrollar nuevas operaciones en </w:t>
      </w:r>
      <w:r w:rsidR="000002AA" w:rsidRPr="00D27491">
        <w:rPr>
          <w:rFonts w:ascii="Arial" w:hAnsi="Arial" w:cs="Arial"/>
          <w:sz w:val="18"/>
          <w:szCs w:val="18"/>
          <w:lang w:val="es-419"/>
        </w:rPr>
        <w:t xml:space="preserve">   </w:t>
      </w:r>
      <w:r w:rsidRPr="00D27491">
        <w:rPr>
          <w:rFonts w:ascii="Arial" w:hAnsi="Arial" w:cs="Arial"/>
          <w:sz w:val="18"/>
          <w:szCs w:val="18"/>
          <w:lang w:val="es-419"/>
        </w:rPr>
        <w:t xml:space="preserve">colaboración con el </w:t>
      </w:r>
      <w:r w:rsidR="000002AA" w:rsidRPr="00D27491">
        <w:rPr>
          <w:rFonts w:ascii="Arial" w:hAnsi="Arial" w:cs="Arial"/>
          <w:sz w:val="18"/>
          <w:szCs w:val="18"/>
          <w:lang w:val="es-419"/>
        </w:rPr>
        <w:t>Fondo para la Promoción del Desarrollo (</w:t>
      </w:r>
      <w:r w:rsidRPr="00D27491">
        <w:rPr>
          <w:rFonts w:ascii="Arial" w:hAnsi="Arial" w:cs="Arial"/>
          <w:sz w:val="18"/>
          <w:szCs w:val="18"/>
          <w:lang w:val="es-419"/>
        </w:rPr>
        <w:t>FONPRODE</w:t>
      </w:r>
      <w:r w:rsidR="000002AA" w:rsidRPr="00D27491">
        <w:rPr>
          <w:rFonts w:ascii="Arial" w:hAnsi="Arial" w:cs="Arial"/>
          <w:sz w:val="18"/>
          <w:szCs w:val="18"/>
          <w:lang w:val="es-419"/>
        </w:rPr>
        <w:t>)</w:t>
      </w:r>
      <w:r w:rsidRPr="00D27491">
        <w:rPr>
          <w:rFonts w:ascii="Arial" w:hAnsi="Arial" w:cs="Arial"/>
          <w:sz w:val="18"/>
          <w:szCs w:val="18"/>
          <w:lang w:val="es-419"/>
        </w:rPr>
        <w:t xml:space="preserve"> de la Cooperación Española.  </w:t>
      </w:r>
    </w:p>
  </w:footnote>
  <w:footnote w:id="12">
    <w:p w14:paraId="797C9F1C" w14:textId="3FA215AD" w:rsidR="0024543F" w:rsidRPr="0024543F" w:rsidRDefault="0024543F" w:rsidP="00D27491">
      <w:pPr>
        <w:pStyle w:val="FootnoteText"/>
        <w:ind w:left="270" w:hanging="270"/>
        <w:jc w:val="both"/>
        <w:rPr>
          <w:lang w:val="es-ES"/>
        </w:rPr>
      </w:pPr>
      <w:r w:rsidRPr="00D27491">
        <w:rPr>
          <w:rStyle w:val="FootnoteReference"/>
          <w:rFonts w:ascii="Arial" w:hAnsi="Arial" w:cs="Arial"/>
          <w:sz w:val="18"/>
          <w:szCs w:val="18"/>
        </w:rPr>
        <w:footnoteRef/>
      </w:r>
      <w:r w:rsidRPr="00D27491">
        <w:rPr>
          <w:rStyle w:val="FootnoteReference"/>
          <w:rFonts w:ascii="Arial" w:hAnsi="Arial" w:cs="Arial"/>
          <w:sz w:val="18"/>
          <w:szCs w:val="18"/>
          <w:lang w:val="es-419"/>
        </w:rPr>
        <w:t xml:space="preserve"> </w:t>
      </w:r>
      <w:r w:rsidR="00D27491">
        <w:rPr>
          <w:rFonts w:ascii="Arial" w:hAnsi="Arial" w:cs="Arial"/>
          <w:sz w:val="18"/>
          <w:szCs w:val="18"/>
          <w:lang w:val="es-419"/>
        </w:rPr>
        <w:tab/>
      </w:r>
      <w:r w:rsidRPr="00D27491">
        <w:rPr>
          <w:rFonts w:ascii="Arial" w:hAnsi="Arial" w:cs="Arial"/>
          <w:sz w:val="18"/>
          <w:szCs w:val="18"/>
          <w:lang w:val="es-419"/>
        </w:rPr>
        <w:t>Este refuerzo tendrá un impacto positivo en las operaciones ligadas al FECASALC y al FONPRODE al incidir en la sostenibilidad de los servicios.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AE3772"/>
    <w:multiLevelType w:val="multilevel"/>
    <w:tmpl w:val="F0FA3F10"/>
    <w:lvl w:ilvl="0">
      <w:start w:val="5"/>
      <w:numFmt w:val="upperRoman"/>
      <w:lvlText w:val="%1."/>
      <w:lvlJc w:val="left"/>
      <w:pPr>
        <w:ind w:left="360" w:hanging="360"/>
      </w:pPr>
      <w:rPr>
        <w:rFonts w:hint="default"/>
        <w:b/>
        <w:color w:val="auto"/>
      </w:rPr>
    </w:lvl>
    <w:lvl w:ilvl="1">
      <w:start w:val="1"/>
      <w:numFmt w:val="decimal"/>
      <w:lvlText w:val="5.%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 w15:restartNumberingAfterBreak="0">
    <w:nsid w:val="3CC10A8F"/>
    <w:multiLevelType w:val="hybridMultilevel"/>
    <w:tmpl w:val="92400A9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8ED7AD5"/>
    <w:multiLevelType w:val="hybridMultilevel"/>
    <w:tmpl w:val="0CD6B1D0"/>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lang w:val="es-ES"/>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3DA472B"/>
    <w:multiLevelType w:val="multilevel"/>
    <w:tmpl w:val="7068DA16"/>
    <w:lvl w:ilvl="0">
      <w:start w:val="1"/>
      <w:numFmt w:val="upperRoman"/>
      <w:lvlText w:val="%1."/>
      <w:lvlJc w:val="right"/>
      <w:pPr>
        <w:ind w:left="360" w:hanging="360"/>
      </w:pPr>
      <w:rPr>
        <w:color w:val="auto"/>
      </w:r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4" w15:restartNumberingAfterBreak="0">
    <w:nsid w:val="7D4B6A25"/>
    <w:multiLevelType w:val="multilevel"/>
    <w:tmpl w:val="ACE2EDAE"/>
    <w:lvl w:ilvl="0">
      <w:start w:val="1"/>
      <w:numFmt w:val="upperRoman"/>
      <w:pStyle w:val="Chapter"/>
      <w:lvlText w:val="%1."/>
      <w:lvlJc w:val="center"/>
      <w:pPr>
        <w:tabs>
          <w:tab w:val="num" w:pos="2790"/>
        </w:tabs>
        <w:ind w:left="2142" w:firstLine="288"/>
      </w:pPr>
      <w:rPr>
        <w:b/>
        <w:i w:val="0"/>
      </w:rPr>
    </w:lvl>
    <w:lvl w:ilvl="1">
      <w:start w:val="1"/>
      <w:numFmt w:val="decimal"/>
      <w:pStyle w:val="Paragraph"/>
      <w:isLgl/>
      <w:lvlText w:val="%1.%2"/>
      <w:lvlJc w:val="left"/>
      <w:pPr>
        <w:tabs>
          <w:tab w:val="num" w:pos="2736"/>
        </w:tabs>
        <w:ind w:left="2736" w:hanging="1296"/>
      </w:pPr>
      <w:rPr>
        <w:color w:val="auto"/>
      </w:rPr>
    </w:lvl>
    <w:lvl w:ilvl="2">
      <w:start w:val="1"/>
      <w:numFmt w:val="lowerLetter"/>
      <w:pStyle w:val="subpar"/>
      <w:lvlText w:val="%3."/>
      <w:lvlJc w:val="left"/>
      <w:pPr>
        <w:tabs>
          <w:tab w:val="num" w:pos="2592"/>
        </w:tabs>
        <w:ind w:left="2592" w:hanging="432"/>
      </w:pPr>
    </w:lvl>
    <w:lvl w:ilvl="3">
      <w:start w:val="1"/>
      <w:numFmt w:val="lowerRoman"/>
      <w:pStyle w:val="SubSubPar"/>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num w:numId="1">
    <w:abstractNumId w:val="1"/>
  </w:num>
  <w:num w:numId="2">
    <w:abstractNumId w:val="3"/>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2"/>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endoza Centellas, Mariana Beatriz">
    <w15:presenceInfo w15:providerId="AD" w15:userId="S::mmendoza@iadb.org::94277048-df0b-4905-af93-13e2c045988e"/>
  </w15:person>
  <w15:person w15:author="Bogado Garcia, Eduardo Javier">
    <w15:presenceInfo w15:providerId="AD" w15:userId="S::ebogado@iadb.org::b1cdc250-1ce5-4267-ac9a-13e54454a78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oNotTrackFormatting/>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711B"/>
    <w:rsid w:val="000002AA"/>
    <w:rsid w:val="000002E8"/>
    <w:rsid w:val="00004027"/>
    <w:rsid w:val="00004FFA"/>
    <w:rsid w:val="00006F51"/>
    <w:rsid w:val="00007D4C"/>
    <w:rsid w:val="00010AE6"/>
    <w:rsid w:val="00013054"/>
    <w:rsid w:val="00013E2B"/>
    <w:rsid w:val="00017B41"/>
    <w:rsid w:val="000209F8"/>
    <w:rsid w:val="00021C1B"/>
    <w:rsid w:val="000247BE"/>
    <w:rsid w:val="000254F5"/>
    <w:rsid w:val="000259D8"/>
    <w:rsid w:val="00026232"/>
    <w:rsid w:val="0002630B"/>
    <w:rsid w:val="000269F9"/>
    <w:rsid w:val="00026D30"/>
    <w:rsid w:val="00027C2A"/>
    <w:rsid w:val="00033F60"/>
    <w:rsid w:val="00034C22"/>
    <w:rsid w:val="000367CE"/>
    <w:rsid w:val="0003768D"/>
    <w:rsid w:val="000437A5"/>
    <w:rsid w:val="00044FBB"/>
    <w:rsid w:val="0004580D"/>
    <w:rsid w:val="0005129A"/>
    <w:rsid w:val="0005130C"/>
    <w:rsid w:val="0005204B"/>
    <w:rsid w:val="00055312"/>
    <w:rsid w:val="00055EF1"/>
    <w:rsid w:val="000611CD"/>
    <w:rsid w:val="00064EF0"/>
    <w:rsid w:val="00065D41"/>
    <w:rsid w:val="00067022"/>
    <w:rsid w:val="00070F76"/>
    <w:rsid w:val="00074521"/>
    <w:rsid w:val="00075B48"/>
    <w:rsid w:val="00075E56"/>
    <w:rsid w:val="00075F42"/>
    <w:rsid w:val="00075F67"/>
    <w:rsid w:val="000850B2"/>
    <w:rsid w:val="00086CFF"/>
    <w:rsid w:val="00087704"/>
    <w:rsid w:val="00090333"/>
    <w:rsid w:val="00090B6A"/>
    <w:rsid w:val="00091C85"/>
    <w:rsid w:val="000939C4"/>
    <w:rsid w:val="000939ED"/>
    <w:rsid w:val="00093DA6"/>
    <w:rsid w:val="000942E4"/>
    <w:rsid w:val="000943B2"/>
    <w:rsid w:val="00094423"/>
    <w:rsid w:val="00095163"/>
    <w:rsid w:val="000964D4"/>
    <w:rsid w:val="000966E5"/>
    <w:rsid w:val="00097796"/>
    <w:rsid w:val="000A093C"/>
    <w:rsid w:val="000A0DEA"/>
    <w:rsid w:val="000A1851"/>
    <w:rsid w:val="000A2326"/>
    <w:rsid w:val="000A40A0"/>
    <w:rsid w:val="000A4479"/>
    <w:rsid w:val="000A788B"/>
    <w:rsid w:val="000B08DE"/>
    <w:rsid w:val="000B0BD5"/>
    <w:rsid w:val="000B225A"/>
    <w:rsid w:val="000B2DBB"/>
    <w:rsid w:val="000B3166"/>
    <w:rsid w:val="000B6038"/>
    <w:rsid w:val="000B6136"/>
    <w:rsid w:val="000B691F"/>
    <w:rsid w:val="000B7D3C"/>
    <w:rsid w:val="000C04EC"/>
    <w:rsid w:val="000C16F9"/>
    <w:rsid w:val="000C3575"/>
    <w:rsid w:val="000C49E9"/>
    <w:rsid w:val="000C4B72"/>
    <w:rsid w:val="000C5716"/>
    <w:rsid w:val="000C7C82"/>
    <w:rsid w:val="000D082D"/>
    <w:rsid w:val="000D727C"/>
    <w:rsid w:val="000D7DB4"/>
    <w:rsid w:val="000E1B87"/>
    <w:rsid w:val="000E4710"/>
    <w:rsid w:val="000E48CE"/>
    <w:rsid w:val="000E5810"/>
    <w:rsid w:val="000F3478"/>
    <w:rsid w:val="000F39D2"/>
    <w:rsid w:val="000F4DBC"/>
    <w:rsid w:val="0010032D"/>
    <w:rsid w:val="00100EDC"/>
    <w:rsid w:val="00102DAE"/>
    <w:rsid w:val="001033CA"/>
    <w:rsid w:val="00105364"/>
    <w:rsid w:val="00105464"/>
    <w:rsid w:val="00105751"/>
    <w:rsid w:val="00106DB2"/>
    <w:rsid w:val="00110140"/>
    <w:rsid w:val="001110A7"/>
    <w:rsid w:val="00112ABD"/>
    <w:rsid w:val="001160C2"/>
    <w:rsid w:val="00117C7B"/>
    <w:rsid w:val="0012002A"/>
    <w:rsid w:val="00124040"/>
    <w:rsid w:val="0012682A"/>
    <w:rsid w:val="001311FD"/>
    <w:rsid w:val="001316E2"/>
    <w:rsid w:val="00137E4C"/>
    <w:rsid w:val="001415B6"/>
    <w:rsid w:val="00141B32"/>
    <w:rsid w:val="00144130"/>
    <w:rsid w:val="001446E7"/>
    <w:rsid w:val="00145E8F"/>
    <w:rsid w:val="00147198"/>
    <w:rsid w:val="00150166"/>
    <w:rsid w:val="001507B1"/>
    <w:rsid w:val="00150C21"/>
    <w:rsid w:val="00152343"/>
    <w:rsid w:val="00152DC4"/>
    <w:rsid w:val="00153B56"/>
    <w:rsid w:val="001546FB"/>
    <w:rsid w:val="0015541C"/>
    <w:rsid w:val="00157D18"/>
    <w:rsid w:val="0016077B"/>
    <w:rsid w:val="001636DD"/>
    <w:rsid w:val="00163CF2"/>
    <w:rsid w:val="001675C2"/>
    <w:rsid w:val="00167D25"/>
    <w:rsid w:val="001705F1"/>
    <w:rsid w:val="00170DF8"/>
    <w:rsid w:val="001711FE"/>
    <w:rsid w:val="00171C61"/>
    <w:rsid w:val="0017216B"/>
    <w:rsid w:val="00173419"/>
    <w:rsid w:val="00173447"/>
    <w:rsid w:val="00174648"/>
    <w:rsid w:val="00176F6C"/>
    <w:rsid w:val="00177253"/>
    <w:rsid w:val="001824BE"/>
    <w:rsid w:val="0018402E"/>
    <w:rsid w:val="001847A2"/>
    <w:rsid w:val="00185BEA"/>
    <w:rsid w:val="00190A16"/>
    <w:rsid w:val="0019227D"/>
    <w:rsid w:val="0019400B"/>
    <w:rsid w:val="0019478F"/>
    <w:rsid w:val="00196256"/>
    <w:rsid w:val="001A6E53"/>
    <w:rsid w:val="001A7AC8"/>
    <w:rsid w:val="001B26BE"/>
    <w:rsid w:val="001B4F5B"/>
    <w:rsid w:val="001B52BB"/>
    <w:rsid w:val="001B7F59"/>
    <w:rsid w:val="001C0365"/>
    <w:rsid w:val="001C1143"/>
    <w:rsid w:val="001C18FD"/>
    <w:rsid w:val="001C1913"/>
    <w:rsid w:val="001C2046"/>
    <w:rsid w:val="001C26CC"/>
    <w:rsid w:val="001C3A8B"/>
    <w:rsid w:val="001C6163"/>
    <w:rsid w:val="001D27ED"/>
    <w:rsid w:val="001D3ECA"/>
    <w:rsid w:val="001D54A7"/>
    <w:rsid w:val="001D58FA"/>
    <w:rsid w:val="001D67FC"/>
    <w:rsid w:val="001D7FB2"/>
    <w:rsid w:val="001E50C7"/>
    <w:rsid w:val="001E7981"/>
    <w:rsid w:val="001F41E2"/>
    <w:rsid w:val="001F5F0C"/>
    <w:rsid w:val="001F7559"/>
    <w:rsid w:val="00202EEF"/>
    <w:rsid w:val="00205E59"/>
    <w:rsid w:val="002069CF"/>
    <w:rsid w:val="00210317"/>
    <w:rsid w:val="00211263"/>
    <w:rsid w:val="00211A8C"/>
    <w:rsid w:val="002150E9"/>
    <w:rsid w:val="00215D6B"/>
    <w:rsid w:val="002236D4"/>
    <w:rsid w:val="002249AF"/>
    <w:rsid w:val="0022578D"/>
    <w:rsid w:val="00225B5A"/>
    <w:rsid w:val="00230CCD"/>
    <w:rsid w:val="0023170E"/>
    <w:rsid w:val="00231773"/>
    <w:rsid w:val="0023182E"/>
    <w:rsid w:val="00232532"/>
    <w:rsid w:val="0023302F"/>
    <w:rsid w:val="00234E0F"/>
    <w:rsid w:val="00236249"/>
    <w:rsid w:val="00241816"/>
    <w:rsid w:val="002419C1"/>
    <w:rsid w:val="0024212E"/>
    <w:rsid w:val="00244A9D"/>
    <w:rsid w:val="0024543F"/>
    <w:rsid w:val="0024788D"/>
    <w:rsid w:val="002544E8"/>
    <w:rsid w:val="00260D4A"/>
    <w:rsid w:val="00262520"/>
    <w:rsid w:val="002635FE"/>
    <w:rsid w:val="002705C5"/>
    <w:rsid w:val="00273FE4"/>
    <w:rsid w:val="00274A3E"/>
    <w:rsid w:val="002753E1"/>
    <w:rsid w:val="002755AA"/>
    <w:rsid w:val="00275B65"/>
    <w:rsid w:val="002775A7"/>
    <w:rsid w:val="0027775E"/>
    <w:rsid w:val="002804B4"/>
    <w:rsid w:val="0028127C"/>
    <w:rsid w:val="00283316"/>
    <w:rsid w:val="00283B2D"/>
    <w:rsid w:val="00286C4D"/>
    <w:rsid w:val="00293734"/>
    <w:rsid w:val="0029635F"/>
    <w:rsid w:val="0029668F"/>
    <w:rsid w:val="00297281"/>
    <w:rsid w:val="002A1FEA"/>
    <w:rsid w:val="002A679D"/>
    <w:rsid w:val="002A768E"/>
    <w:rsid w:val="002B3547"/>
    <w:rsid w:val="002B6B3E"/>
    <w:rsid w:val="002B7D21"/>
    <w:rsid w:val="002B7EFF"/>
    <w:rsid w:val="002C16CF"/>
    <w:rsid w:val="002C19B9"/>
    <w:rsid w:val="002C1B4A"/>
    <w:rsid w:val="002C2D53"/>
    <w:rsid w:val="002C3490"/>
    <w:rsid w:val="002C39E6"/>
    <w:rsid w:val="002C4344"/>
    <w:rsid w:val="002D158F"/>
    <w:rsid w:val="002D1BE3"/>
    <w:rsid w:val="002D2060"/>
    <w:rsid w:val="002D2E3E"/>
    <w:rsid w:val="002D4B50"/>
    <w:rsid w:val="002D52F2"/>
    <w:rsid w:val="002D6FB6"/>
    <w:rsid w:val="002D77F9"/>
    <w:rsid w:val="002D7C53"/>
    <w:rsid w:val="002E06F9"/>
    <w:rsid w:val="002E23C9"/>
    <w:rsid w:val="002E4E81"/>
    <w:rsid w:val="002E4EF3"/>
    <w:rsid w:val="002E5ABE"/>
    <w:rsid w:val="002E620F"/>
    <w:rsid w:val="002E6C48"/>
    <w:rsid w:val="002E789A"/>
    <w:rsid w:val="002F130F"/>
    <w:rsid w:val="002F2CDA"/>
    <w:rsid w:val="002F64D8"/>
    <w:rsid w:val="002F6BFB"/>
    <w:rsid w:val="002F7593"/>
    <w:rsid w:val="00302426"/>
    <w:rsid w:val="00302CAE"/>
    <w:rsid w:val="00303D18"/>
    <w:rsid w:val="00306C91"/>
    <w:rsid w:val="00306EA5"/>
    <w:rsid w:val="00307A4F"/>
    <w:rsid w:val="003103D2"/>
    <w:rsid w:val="00310670"/>
    <w:rsid w:val="00311A38"/>
    <w:rsid w:val="00312B33"/>
    <w:rsid w:val="00314AA4"/>
    <w:rsid w:val="0031595B"/>
    <w:rsid w:val="00316C3B"/>
    <w:rsid w:val="00320B90"/>
    <w:rsid w:val="00322BFB"/>
    <w:rsid w:val="00330163"/>
    <w:rsid w:val="003302E1"/>
    <w:rsid w:val="00330345"/>
    <w:rsid w:val="00335A11"/>
    <w:rsid w:val="00335B4C"/>
    <w:rsid w:val="003370B9"/>
    <w:rsid w:val="003408A3"/>
    <w:rsid w:val="00340BC1"/>
    <w:rsid w:val="00340E55"/>
    <w:rsid w:val="0034528C"/>
    <w:rsid w:val="00346538"/>
    <w:rsid w:val="00346A41"/>
    <w:rsid w:val="00346E79"/>
    <w:rsid w:val="00346FA6"/>
    <w:rsid w:val="00347E1D"/>
    <w:rsid w:val="00352CA4"/>
    <w:rsid w:val="003539AA"/>
    <w:rsid w:val="00354A43"/>
    <w:rsid w:val="00355449"/>
    <w:rsid w:val="003556CB"/>
    <w:rsid w:val="00355AF7"/>
    <w:rsid w:val="003565A0"/>
    <w:rsid w:val="003622D9"/>
    <w:rsid w:val="00362445"/>
    <w:rsid w:val="00363AFE"/>
    <w:rsid w:val="00363DB9"/>
    <w:rsid w:val="003658B5"/>
    <w:rsid w:val="00370895"/>
    <w:rsid w:val="003709D1"/>
    <w:rsid w:val="00371372"/>
    <w:rsid w:val="00374E82"/>
    <w:rsid w:val="003751F1"/>
    <w:rsid w:val="00380E8F"/>
    <w:rsid w:val="00382710"/>
    <w:rsid w:val="00382777"/>
    <w:rsid w:val="00382C6E"/>
    <w:rsid w:val="003835F0"/>
    <w:rsid w:val="00384C86"/>
    <w:rsid w:val="00390AB5"/>
    <w:rsid w:val="00391DB1"/>
    <w:rsid w:val="00391FE1"/>
    <w:rsid w:val="003930AB"/>
    <w:rsid w:val="00393451"/>
    <w:rsid w:val="00395311"/>
    <w:rsid w:val="00395A99"/>
    <w:rsid w:val="00397680"/>
    <w:rsid w:val="003A3709"/>
    <w:rsid w:val="003A5363"/>
    <w:rsid w:val="003A6573"/>
    <w:rsid w:val="003A70F6"/>
    <w:rsid w:val="003B21BF"/>
    <w:rsid w:val="003B244A"/>
    <w:rsid w:val="003B2AAB"/>
    <w:rsid w:val="003B51C5"/>
    <w:rsid w:val="003B7478"/>
    <w:rsid w:val="003B771A"/>
    <w:rsid w:val="003B7816"/>
    <w:rsid w:val="003C0D44"/>
    <w:rsid w:val="003C1970"/>
    <w:rsid w:val="003C1B66"/>
    <w:rsid w:val="003C2F9F"/>
    <w:rsid w:val="003C3EE6"/>
    <w:rsid w:val="003C4E36"/>
    <w:rsid w:val="003D06DB"/>
    <w:rsid w:val="003D1055"/>
    <w:rsid w:val="003D1998"/>
    <w:rsid w:val="003D2892"/>
    <w:rsid w:val="003D31AD"/>
    <w:rsid w:val="003D4561"/>
    <w:rsid w:val="003D5987"/>
    <w:rsid w:val="003D609D"/>
    <w:rsid w:val="003E31BB"/>
    <w:rsid w:val="003E75D2"/>
    <w:rsid w:val="003F1311"/>
    <w:rsid w:val="003F211A"/>
    <w:rsid w:val="003F2CED"/>
    <w:rsid w:val="003F3F84"/>
    <w:rsid w:val="003F417D"/>
    <w:rsid w:val="003F4190"/>
    <w:rsid w:val="003F54BE"/>
    <w:rsid w:val="003F5F31"/>
    <w:rsid w:val="0040475B"/>
    <w:rsid w:val="004048CF"/>
    <w:rsid w:val="0041091D"/>
    <w:rsid w:val="00410D75"/>
    <w:rsid w:val="00410DC6"/>
    <w:rsid w:val="00411AA6"/>
    <w:rsid w:val="00412242"/>
    <w:rsid w:val="00413891"/>
    <w:rsid w:val="00415205"/>
    <w:rsid w:val="00415863"/>
    <w:rsid w:val="00415CEE"/>
    <w:rsid w:val="00416432"/>
    <w:rsid w:val="004170BE"/>
    <w:rsid w:val="004176AD"/>
    <w:rsid w:val="00417BE9"/>
    <w:rsid w:val="00417C5A"/>
    <w:rsid w:val="00417FB9"/>
    <w:rsid w:val="004222A3"/>
    <w:rsid w:val="0042231F"/>
    <w:rsid w:val="00423E9F"/>
    <w:rsid w:val="00427CEA"/>
    <w:rsid w:val="004311D4"/>
    <w:rsid w:val="00431899"/>
    <w:rsid w:val="004322AE"/>
    <w:rsid w:val="00433246"/>
    <w:rsid w:val="00433291"/>
    <w:rsid w:val="00433B14"/>
    <w:rsid w:val="00435242"/>
    <w:rsid w:val="0044052E"/>
    <w:rsid w:val="00444071"/>
    <w:rsid w:val="00445B74"/>
    <w:rsid w:val="0045061E"/>
    <w:rsid w:val="00452385"/>
    <w:rsid w:val="00453113"/>
    <w:rsid w:val="0045339F"/>
    <w:rsid w:val="00454C9D"/>
    <w:rsid w:val="00454E2C"/>
    <w:rsid w:val="00455808"/>
    <w:rsid w:val="0045676B"/>
    <w:rsid w:val="00457F3F"/>
    <w:rsid w:val="00462231"/>
    <w:rsid w:val="00463D59"/>
    <w:rsid w:val="00464507"/>
    <w:rsid w:val="00466200"/>
    <w:rsid w:val="00466C7E"/>
    <w:rsid w:val="00472AC3"/>
    <w:rsid w:val="00472DCD"/>
    <w:rsid w:val="0047474F"/>
    <w:rsid w:val="0048061D"/>
    <w:rsid w:val="00481C4D"/>
    <w:rsid w:val="00482240"/>
    <w:rsid w:val="004825CB"/>
    <w:rsid w:val="00483EDB"/>
    <w:rsid w:val="00485029"/>
    <w:rsid w:val="0048735C"/>
    <w:rsid w:val="00487D82"/>
    <w:rsid w:val="00487F73"/>
    <w:rsid w:val="00490CB5"/>
    <w:rsid w:val="004A092F"/>
    <w:rsid w:val="004A396C"/>
    <w:rsid w:val="004A3AA4"/>
    <w:rsid w:val="004B0B2A"/>
    <w:rsid w:val="004B1377"/>
    <w:rsid w:val="004B1E7A"/>
    <w:rsid w:val="004B4B28"/>
    <w:rsid w:val="004B593C"/>
    <w:rsid w:val="004B5A0F"/>
    <w:rsid w:val="004B5E9D"/>
    <w:rsid w:val="004B7143"/>
    <w:rsid w:val="004B748E"/>
    <w:rsid w:val="004C02F4"/>
    <w:rsid w:val="004C23B2"/>
    <w:rsid w:val="004C38D1"/>
    <w:rsid w:val="004D075B"/>
    <w:rsid w:val="004D14A7"/>
    <w:rsid w:val="004D3FE0"/>
    <w:rsid w:val="004D5823"/>
    <w:rsid w:val="004D5D0B"/>
    <w:rsid w:val="004D7049"/>
    <w:rsid w:val="004D73D2"/>
    <w:rsid w:val="004E12B8"/>
    <w:rsid w:val="004E431E"/>
    <w:rsid w:val="004E5D2F"/>
    <w:rsid w:val="004E7992"/>
    <w:rsid w:val="004F3708"/>
    <w:rsid w:val="004F386F"/>
    <w:rsid w:val="004F7873"/>
    <w:rsid w:val="0050104A"/>
    <w:rsid w:val="00502934"/>
    <w:rsid w:val="005054D8"/>
    <w:rsid w:val="0050697B"/>
    <w:rsid w:val="00512024"/>
    <w:rsid w:val="005140D4"/>
    <w:rsid w:val="0051640E"/>
    <w:rsid w:val="00516851"/>
    <w:rsid w:val="00520A30"/>
    <w:rsid w:val="00520F58"/>
    <w:rsid w:val="00523745"/>
    <w:rsid w:val="0052637B"/>
    <w:rsid w:val="00526A5B"/>
    <w:rsid w:val="00531E51"/>
    <w:rsid w:val="00533B1C"/>
    <w:rsid w:val="005364CE"/>
    <w:rsid w:val="00536F56"/>
    <w:rsid w:val="0053721A"/>
    <w:rsid w:val="005379F1"/>
    <w:rsid w:val="00537E9B"/>
    <w:rsid w:val="0054143F"/>
    <w:rsid w:val="00542B22"/>
    <w:rsid w:val="00544613"/>
    <w:rsid w:val="0054596A"/>
    <w:rsid w:val="0054613D"/>
    <w:rsid w:val="00547AD6"/>
    <w:rsid w:val="005508BF"/>
    <w:rsid w:val="00551977"/>
    <w:rsid w:val="00551CDA"/>
    <w:rsid w:val="00553E2C"/>
    <w:rsid w:val="00553E59"/>
    <w:rsid w:val="00554EC3"/>
    <w:rsid w:val="00563359"/>
    <w:rsid w:val="00563932"/>
    <w:rsid w:val="00563B1D"/>
    <w:rsid w:val="00571C87"/>
    <w:rsid w:val="005728E2"/>
    <w:rsid w:val="005738C9"/>
    <w:rsid w:val="00573B28"/>
    <w:rsid w:val="00573FD8"/>
    <w:rsid w:val="005740A3"/>
    <w:rsid w:val="0057425F"/>
    <w:rsid w:val="00574F76"/>
    <w:rsid w:val="00577ED4"/>
    <w:rsid w:val="0058039A"/>
    <w:rsid w:val="00580770"/>
    <w:rsid w:val="005809FF"/>
    <w:rsid w:val="0058137A"/>
    <w:rsid w:val="005816DC"/>
    <w:rsid w:val="005833C9"/>
    <w:rsid w:val="00584C04"/>
    <w:rsid w:val="00587C12"/>
    <w:rsid w:val="00587C8A"/>
    <w:rsid w:val="00590599"/>
    <w:rsid w:val="005906D5"/>
    <w:rsid w:val="0059203E"/>
    <w:rsid w:val="0059221B"/>
    <w:rsid w:val="00592766"/>
    <w:rsid w:val="005957D7"/>
    <w:rsid w:val="0059717C"/>
    <w:rsid w:val="0059728E"/>
    <w:rsid w:val="005A1056"/>
    <w:rsid w:val="005A44AA"/>
    <w:rsid w:val="005A7F48"/>
    <w:rsid w:val="005B2299"/>
    <w:rsid w:val="005B2E3F"/>
    <w:rsid w:val="005B3386"/>
    <w:rsid w:val="005B3F0C"/>
    <w:rsid w:val="005C0C87"/>
    <w:rsid w:val="005C1120"/>
    <w:rsid w:val="005C12A7"/>
    <w:rsid w:val="005C2D67"/>
    <w:rsid w:val="005C4C69"/>
    <w:rsid w:val="005C4F7A"/>
    <w:rsid w:val="005C580B"/>
    <w:rsid w:val="005C75B4"/>
    <w:rsid w:val="005D092B"/>
    <w:rsid w:val="005D0D5D"/>
    <w:rsid w:val="005D22BE"/>
    <w:rsid w:val="005D330B"/>
    <w:rsid w:val="005D358D"/>
    <w:rsid w:val="005D3CA9"/>
    <w:rsid w:val="005D4F5A"/>
    <w:rsid w:val="005D569E"/>
    <w:rsid w:val="005D7923"/>
    <w:rsid w:val="005E2576"/>
    <w:rsid w:val="005E5AAE"/>
    <w:rsid w:val="005F20EB"/>
    <w:rsid w:val="005F3C23"/>
    <w:rsid w:val="005F669D"/>
    <w:rsid w:val="006004E0"/>
    <w:rsid w:val="00601CAC"/>
    <w:rsid w:val="00603336"/>
    <w:rsid w:val="00605F08"/>
    <w:rsid w:val="00605FB6"/>
    <w:rsid w:val="0060767B"/>
    <w:rsid w:val="00610D19"/>
    <w:rsid w:val="006116A3"/>
    <w:rsid w:val="00613DCB"/>
    <w:rsid w:val="006148CA"/>
    <w:rsid w:val="00615E98"/>
    <w:rsid w:val="006169CF"/>
    <w:rsid w:val="00616B6E"/>
    <w:rsid w:val="00616E7C"/>
    <w:rsid w:val="006211DF"/>
    <w:rsid w:val="00621CAA"/>
    <w:rsid w:val="0062725A"/>
    <w:rsid w:val="00630569"/>
    <w:rsid w:val="00637090"/>
    <w:rsid w:val="00640D57"/>
    <w:rsid w:val="00641ED4"/>
    <w:rsid w:val="00642915"/>
    <w:rsid w:val="006432AE"/>
    <w:rsid w:val="006439D3"/>
    <w:rsid w:val="00647F9E"/>
    <w:rsid w:val="0065008B"/>
    <w:rsid w:val="00653112"/>
    <w:rsid w:val="006539AE"/>
    <w:rsid w:val="00655B73"/>
    <w:rsid w:val="00656061"/>
    <w:rsid w:val="00656E6A"/>
    <w:rsid w:val="00661283"/>
    <w:rsid w:val="006674D2"/>
    <w:rsid w:val="00667B61"/>
    <w:rsid w:val="00667BC2"/>
    <w:rsid w:val="00670DF5"/>
    <w:rsid w:val="006728A5"/>
    <w:rsid w:val="00673629"/>
    <w:rsid w:val="00675E7A"/>
    <w:rsid w:val="00680406"/>
    <w:rsid w:val="00680AF5"/>
    <w:rsid w:val="00680DA7"/>
    <w:rsid w:val="0068230A"/>
    <w:rsid w:val="00684D52"/>
    <w:rsid w:val="006903D4"/>
    <w:rsid w:val="00690755"/>
    <w:rsid w:val="00691758"/>
    <w:rsid w:val="00692A9C"/>
    <w:rsid w:val="006968C3"/>
    <w:rsid w:val="006A109A"/>
    <w:rsid w:val="006A1798"/>
    <w:rsid w:val="006A19D2"/>
    <w:rsid w:val="006A6144"/>
    <w:rsid w:val="006A740B"/>
    <w:rsid w:val="006B0E64"/>
    <w:rsid w:val="006B0F9E"/>
    <w:rsid w:val="006B1727"/>
    <w:rsid w:val="006B3726"/>
    <w:rsid w:val="006B5FEE"/>
    <w:rsid w:val="006B7CA6"/>
    <w:rsid w:val="006C0182"/>
    <w:rsid w:val="006C08FA"/>
    <w:rsid w:val="006C2240"/>
    <w:rsid w:val="006C234C"/>
    <w:rsid w:val="006C2DD0"/>
    <w:rsid w:val="006C30D1"/>
    <w:rsid w:val="006C3A3C"/>
    <w:rsid w:val="006C3AD2"/>
    <w:rsid w:val="006C6059"/>
    <w:rsid w:val="006C66D3"/>
    <w:rsid w:val="006C761D"/>
    <w:rsid w:val="006D1104"/>
    <w:rsid w:val="006D1ADC"/>
    <w:rsid w:val="006D262C"/>
    <w:rsid w:val="006D3726"/>
    <w:rsid w:val="006D49D9"/>
    <w:rsid w:val="006D670B"/>
    <w:rsid w:val="006D6D72"/>
    <w:rsid w:val="006E2EF6"/>
    <w:rsid w:val="006E345E"/>
    <w:rsid w:val="006E5D6D"/>
    <w:rsid w:val="006E77AE"/>
    <w:rsid w:val="006E7BB4"/>
    <w:rsid w:val="006F0206"/>
    <w:rsid w:val="006F14F3"/>
    <w:rsid w:val="006F1BEE"/>
    <w:rsid w:val="006F3803"/>
    <w:rsid w:val="006F408E"/>
    <w:rsid w:val="006F6A69"/>
    <w:rsid w:val="006F77C2"/>
    <w:rsid w:val="00700ADC"/>
    <w:rsid w:val="00701927"/>
    <w:rsid w:val="00702A56"/>
    <w:rsid w:val="00707236"/>
    <w:rsid w:val="00711025"/>
    <w:rsid w:val="00711188"/>
    <w:rsid w:val="00713616"/>
    <w:rsid w:val="00713D9E"/>
    <w:rsid w:val="007173AF"/>
    <w:rsid w:val="00720A42"/>
    <w:rsid w:val="00721369"/>
    <w:rsid w:val="007229E5"/>
    <w:rsid w:val="00725168"/>
    <w:rsid w:val="00725899"/>
    <w:rsid w:val="00726F4F"/>
    <w:rsid w:val="007277DC"/>
    <w:rsid w:val="0073282C"/>
    <w:rsid w:val="00732BC6"/>
    <w:rsid w:val="00736E95"/>
    <w:rsid w:val="00741433"/>
    <w:rsid w:val="00742959"/>
    <w:rsid w:val="0074395E"/>
    <w:rsid w:val="00745429"/>
    <w:rsid w:val="00746260"/>
    <w:rsid w:val="00747263"/>
    <w:rsid w:val="00750A69"/>
    <w:rsid w:val="00751A91"/>
    <w:rsid w:val="00751CD7"/>
    <w:rsid w:val="00751F0B"/>
    <w:rsid w:val="007522FC"/>
    <w:rsid w:val="007527B8"/>
    <w:rsid w:val="00753C87"/>
    <w:rsid w:val="00754940"/>
    <w:rsid w:val="00755F78"/>
    <w:rsid w:val="0075689C"/>
    <w:rsid w:val="00760EF7"/>
    <w:rsid w:val="0076160E"/>
    <w:rsid w:val="00761968"/>
    <w:rsid w:val="0076201E"/>
    <w:rsid w:val="0076661A"/>
    <w:rsid w:val="00766921"/>
    <w:rsid w:val="00770254"/>
    <w:rsid w:val="00770943"/>
    <w:rsid w:val="00771F24"/>
    <w:rsid w:val="00772D05"/>
    <w:rsid w:val="00773258"/>
    <w:rsid w:val="007758EA"/>
    <w:rsid w:val="0077690E"/>
    <w:rsid w:val="00776F84"/>
    <w:rsid w:val="0078092D"/>
    <w:rsid w:val="00781649"/>
    <w:rsid w:val="007829D7"/>
    <w:rsid w:val="00783CE5"/>
    <w:rsid w:val="00787DF2"/>
    <w:rsid w:val="00792360"/>
    <w:rsid w:val="00793960"/>
    <w:rsid w:val="0079733E"/>
    <w:rsid w:val="007A13EF"/>
    <w:rsid w:val="007A2629"/>
    <w:rsid w:val="007A2B32"/>
    <w:rsid w:val="007A3604"/>
    <w:rsid w:val="007A3C67"/>
    <w:rsid w:val="007A4363"/>
    <w:rsid w:val="007A72AF"/>
    <w:rsid w:val="007A767D"/>
    <w:rsid w:val="007B0420"/>
    <w:rsid w:val="007B0830"/>
    <w:rsid w:val="007B500B"/>
    <w:rsid w:val="007B6B61"/>
    <w:rsid w:val="007B7DE5"/>
    <w:rsid w:val="007C0E4C"/>
    <w:rsid w:val="007C1B73"/>
    <w:rsid w:val="007C1C28"/>
    <w:rsid w:val="007C2621"/>
    <w:rsid w:val="007C3374"/>
    <w:rsid w:val="007C5CF1"/>
    <w:rsid w:val="007C7203"/>
    <w:rsid w:val="007E4A2D"/>
    <w:rsid w:val="007E4E60"/>
    <w:rsid w:val="007E623B"/>
    <w:rsid w:val="007F3598"/>
    <w:rsid w:val="007F5AB7"/>
    <w:rsid w:val="007F691D"/>
    <w:rsid w:val="007F6AEB"/>
    <w:rsid w:val="00800AFF"/>
    <w:rsid w:val="0080109E"/>
    <w:rsid w:val="00801329"/>
    <w:rsid w:val="00801D9C"/>
    <w:rsid w:val="00802A8C"/>
    <w:rsid w:val="00802DBA"/>
    <w:rsid w:val="00803F89"/>
    <w:rsid w:val="00804CC6"/>
    <w:rsid w:val="00804F16"/>
    <w:rsid w:val="008052A0"/>
    <w:rsid w:val="00806550"/>
    <w:rsid w:val="00806AD1"/>
    <w:rsid w:val="00806D84"/>
    <w:rsid w:val="00807C07"/>
    <w:rsid w:val="0081307D"/>
    <w:rsid w:val="00815D34"/>
    <w:rsid w:val="00816A81"/>
    <w:rsid w:val="00816C1F"/>
    <w:rsid w:val="00816D10"/>
    <w:rsid w:val="00817C99"/>
    <w:rsid w:val="00817CB2"/>
    <w:rsid w:val="00820432"/>
    <w:rsid w:val="00821064"/>
    <w:rsid w:val="00821E9F"/>
    <w:rsid w:val="008230AB"/>
    <w:rsid w:val="008243E0"/>
    <w:rsid w:val="008245C0"/>
    <w:rsid w:val="00824D94"/>
    <w:rsid w:val="008263C3"/>
    <w:rsid w:val="00826627"/>
    <w:rsid w:val="008274E6"/>
    <w:rsid w:val="00830677"/>
    <w:rsid w:val="00831071"/>
    <w:rsid w:val="00831CB6"/>
    <w:rsid w:val="00836129"/>
    <w:rsid w:val="00836C52"/>
    <w:rsid w:val="00837A65"/>
    <w:rsid w:val="00840C97"/>
    <w:rsid w:val="00841608"/>
    <w:rsid w:val="00843938"/>
    <w:rsid w:val="008451AA"/>
    <w:rsid w:val="00845F1A"/>
    <w:rsid w:val="00847603"/>
    <w:rsid w:val="008500C7"/>
    <w:rsid w:val="00851612"/>
    <w:rsid w:val="008533D0"/>
    <w:rsid w:val="00854AE7"/>
    <w:rsid w:val="00855054"/>
    <w:rsid w:val="00855831"/>
    <w:rsid w:val="00855DC5"/>
    <w:rsid w:val="00861BC9"/>
    <w:rsid w:val="008643A6"/>
    <w:rsid w:val="00865A6F"/>
    <w:rsid w:val="00866003"/>
    <w:rsid w:val="008701B2"/>
    <w:rsid w:val="0087190C"/>
    <w:rsid w:val="00873471"/>
    <w:rsid w:val="008739E3"/>
    <w:rsid w:val="00873F58"/>
    <w:rsid w:val="00874079"/>
    <w:rsid w:val="00876E45"/>
    <w:rsid w:val="00880B02"/>
    <w:rsid w:val="008813B9"/>
    <w:rsid w:val="00884B0A"/>
    <w:rsid w:val="008854BD"/>
    <w:rsid w:val="0088640A"/>
    <w:rsid w:val="008866E9"/>
    <w:rsid w:val="00886BDD"/>
    <w:rsid w:val="00886BE4"/>
    <w:rsid w:val="008900F8"/>
    <w:rsid w:val="008902BA"/>
    <w:rsid w:val="0089041D"/>
    <w:rsid w:val="0089102B"/>
    <w:rsid w:val="00894EFD"/>
    <w:rsid w:val="00895936"/>
    <w:rsid w:val="00895E07"/>
    <w:rsid w:val="008A1108"/>
    <w:rsid w:val="008A20B6"/>
    <w:rsid w:val="008A2CF8"/>
    <w:rsid w:val="008A4003"/>
    <w:rsid w:val="008A76B9"/>
    <w:rsid w:val="008B1F81"/>
    <w:rsid w:val="008B215D"/>
    <w:rsid w:val="008B69CE"/>
    <w:rsid w:val="008C26E8"/>
    <w:rsid w:val="008C3B41"/>
    <w:rsid w:val="008C3ED5"/>
    <w:rsid w:val="008C5522"/>
    <w:rsid w:val="008C62C2"/>
    <w:rsid w:val="008C6E1A"/>
    <w:rsid w:val="008C7A62"/>
    <w:rsid w:val="008E01D3"/>
    <w:rsid w:val="008E02B3"/>
    <w:rsid w:val="008E0311"/>
    <w:rsid w:val="008E0C4E"/>
    <w:rsid w:val="008E0CB5"/>
    <w:rsid w:val="008E1C93"/>
    <w:rsid w:val="008E1F66"/>
    <w:rsid w:val="008E2EA3"/>
    <w:rsid w:val="008E31FF"/>
    <w:rsid w:val="008E32E5"/>
    <w:rsid w:val="008E3D46"/>
    <w:rsid w:val="008E3D93"/>
    <w:rsid w:val="008E41C3"/>
    <w:rsid w:val="008E7FC5"/>
    <w:rsid w:val="008F07AC"/>
    <w:rsid w:val="008F0DDA"/>
    <w:rsid w:val="008F26D5"/>
    <w:rsid w:val="008F3126"/>
    <w:rsid w:val="008F708C"/>
    <w:rsid w:val="009008F6"/>
    <w:rsid w:val="00902668"/>
    <w:rsid w:val="00903685"/>
    <w:rsid w:val="009055C6"/>
    <w:rsid w:val="00905857"/>
    <w:rsid w:val="009079F7"/>
    <w:rsid w:val="0091482B"/>
    <w:rsid w:val="0091508A"/>
    <w:rsid w:val="00915206"/>
    <w:rsid w:val="009160B4"/>
    <w:rsid w:val="0091721E"/>
    <w:rsid w:val="009223C7"/>
    <w:rsid w:val="009247CF"/>
    <w:rsid w:val="00925C27"/>
    <w:rsid w:val="00926D7B"/>
    <w:rsid w:val="00930F60"/>
    <w:rsid w:val="00933A84"/>
    <w:rsid w:val="00935144"/>
    <w:rsid w:val="00937E56"/>
    <w:rsid w:val="00942206"/>
    <w:rsid w:val="00943B01"/>
    <w:rsid w:val="00943B6F"/>
    <w:rsid w:val="00944D7A"/>
    <w:rsid w:val="00944F08"/>
    <w:rsid w:val="0094707B"/>
    <w:rsid w:val="00947381"/>
    <w:rsid w:val="00950566"/>
    <w:rsid w:val="00950608"/>
    <w:rsid w:val="0095122E"/>
    <w:rsid w:val="00953879"/>
    <w:rsid w:val="0095504D"/>
    <w:rsid w:val="009558B6"/>
    <w:rsid w:val="00955A25"/>
    <w:rsid w:val="0095711B"/>
    <w:rsid w:val="00961E71"/>
    <w:rsid w:val="0096471C"/>
    <w:rsid w:val="00967B63"/>
    <w:rsid w:val="00967E59"/>
    <w:rsid w:val="00970E14"/>
    <w:rsid w:val="0097170A"/>
    <w:rsid w:val="00973DF8"/>
    <w:rsid w:val="0097634C"/>
    <w:rsid w:val="0097714D"/>
    <w:rsid w:val="00977DE2"/>
    <w:rsid w:val="0098190F"/>
    <w:rsid w:val="009821A4"/>
    <w:rsid w:val="00982292"/>
    <w:rsid w:val="00984B1A"/>
    <w:rsid w:val="00985129"/>
    <w:rsid w:val="00986985"/>
    <w:rsid w:val="00990833"/>
    <w:rsid w:val="009909B0"/>
    <w:rsid w:val="00990DD7"/>
    <w:rsid w:val="009911D5"/>
    <w:rsid w:val="009945FD"/>
    <w:rsid w:val="00996624"/>
    <w:rsid w:val="00996E0E"/>
    <w:rsid w:val="00997AB3"/>
    <w:rsid w:val="009A15F7"/>
    <w:rsid w:val="009A2425"/>
    <w:rsid w:val="009A56D5"/>
    <w:rsid w:val="009A7EEE"/>
    <w:rsid w:val="009B2872"/>
    <w:rsid w:val="009C10DC"/>
    <w:rsid w:val="009C12D3"/>
    <w:rsid w:val="009C1D5F"/>
    <w:rsid w:val="009C364A"/>
    <w:rsid w:val="009C4040"/>
    <w:rsid w:val="009C504D"/>
    <w:rsid w:val="009C5C06"/>
    <w:rsid w:val="009D0C77"/>
    <w:rsid w:val="009D1CB7"/>
    <w:rsid w:val="009D28E9"/>
    <w:rsid w:val="009D33C4"/>
    <w:rsid w:val="009D6322"/>
    <w:rsid w:val="009D6A9F"/>
    <w:rsid w:val="009D76D0"/>
    <w:rsid w:val="009E5167"/>
    <w:rsid w:val="009E520A"/>
    <w:rsid w:val="009E5BEB"/>
    <w:rsid w:val="009E63FB"/>
    <w:rsid w:val="009F1A6E"/>
    <w:rsid w:val="009F33FF"/>
    <w:rsid w:val="009F3BBF"/>
    <w:rsid w:val="009F3C91"/>
    <w:rsid w:val="009F3CA2"/>
    <w:rsid w:val="009F4351"/>
    <w:rsid w:val="009F5C23"/>
    <w:rsid w:val="009F6222"/>
    <w:rsid w:val="00A013E2"/>
    <w:rsid w:val="00A01B38"/>
    <w:rsid w:val="00A02E6B"/>
    <w:rsid w:val="00A04A26"/>
    <w:rsid w:val="00A05A78"/>
    <w:rsid w:val="00A067E6"/>
    <w:rsid w:val="00A10CD5"/>
    <w:rsid w:val="00A1294D"/>
    <w:rsid w:val="00A12C27"/>
    <w:rsid w:val="00A139E6"/>
    <w:rsid w:val="00A13EE1"/>
    <w:rsid w:val="00A20379"/>
    <w:rsid w:val="00A2474F"/>
    <w:rsid w:val="00A248BB"/>
    <w:rsid w:val="00A24C53"/>
    <w:rsid w:val="00A27CC6"/>
    <w:rsid w:val="00A31D42"/>
    <w:rsid w:val="00A3504E"/>
    <w:rsid w:val="00A357F7"/>
    <w:rsid w:val="00A37C9C"/>
    <w:rsid w:val="00A37F55"/>
    <w:rsid w:val="00A41424"/>
    <w:rsid w:val="00A420E9"/>
    <w:rsid w:val="00A4616A"/>
    <w:rsid w:val="00A531CD"/>
    <w:rsid w:val="00A5370F"/>
    <w:rsid w:val="00A53740"/>
    <w:rsid w:val="00A54271"/>
    <w:rsid w:val="00A57185"/>
    <w:rsid w:val="00A57A89"/>
    <w:rsid w:val="00A600B2"/>
    <w:rsid w:val="00A60AB6"/>
    <w:rsid w:val="00A6144F"/>
    <w:rsid w:val="00A61653"/>
    <w:rsid w:val="00A62684"/>
    <w:rsid w:val="00A6320D"/>
    <w:rsid w:val="00A6330C"/>
    <w:rsid w:val="00A639F4"/>
    <w:rsid w:val="00A63F1B"/>
    <w:rsid w:val="00A64853"/>
    <w:rsid w:val="00A66732"/>
    <w:rsid w:val="00A70633"/>
    <w:rsid w:val="00A71B71"/>
    <w:rsid w:val="00A72C98"/>
    <w:rsid w:val="00A73675"/>
    <w:rsid w:val="00A74408"/>
    <w:rsid w:val="00A81FF6"/>
    <w:rsid w:val="00A83D56"/>
    <w:rsid w:val="00A84B73"/>
    <w:rsid w:val="00A86478"/>
    <w:rsid w:val="00A876E7"/>
    <w:rsid w:val="00A9034E"/>
    <w:rsid w:val="00A90A0F"/>
    <w:rsid w:val="00A90D1F"/>
    <w:rsid w:val="00A932A8"/>
    <w:rsid w:val="00A946A6"/>
    <w:rsid w:val="00A96685"/>
    <w:rsid w:val="00A9761C"/>
    <w:rsid w:val="00AA010C"/>
    <w:rsid w:val="00AA2B61"/>
    <w:rsid w:val="00AA357A"/>
    <w:rsid w:val="00AA648E"/>
    <w:rsid w:val="00AA6533"/>
    <w:rsid w:val="00AA6AA8"/>
    <w:rsid w:val="00AB202A"/>
    <w:rsid w:val="00AB5661"/>
    <w:rsid w:val="00AB64B7"/>
    <w:rsid w:val="00AB67FD"/>
    <w:rsid w:val="00AC081B"/>
    <w:rsid w:val="00AC1DDA"/>
    <w:rsid w:val="00AC39A4"/>
    <w:rsid w:val="00AC3FEC"/>
    <w:rsid w:val="00AC5493"/>
    <w:rsid w:val="00AC610B"/>
    <w:rsid w:val="00AC6F17"/>
    <w:rsid w:val="00AC7038"/>
    <w:rsid w:val="00AD0302"/>
    <w:rsid w:val="00AD265D"/>
    <w:rsid w:val="00AD2FAD"/>
    <w:rsid w:val="00AD3653"/>
    <w:rsid w:val="00AD72B9"/>
    <w:rsid w:val="00AD7DF1"/>
    <w:rsid w:val="00AE0A94"/>
    <w:rsid w:val="00AE0CE8"/>
    <w:rsid w:val="00AE5E61"/>
    <w:rsid w:val="00AE5F06"/>
    <w:rsid w:val="00AF2F55"/>
    <w:rsid w:val="00AF30D7"/>
    <w:rsid w:val="00AF3CE9"/>
    <w:rsid w:val="00AF5C75"/>
    <w:rsid w:val="00AF6187"/>
    <w:rsid w:val="00AF6D15"/>
    <w:rsid w:val="00B00766"/>
    <w:rsid w:val="00B00875"/>
    <w:rsid w:val="00B0123D"/>
    <w:rsid w:val="00B02BFE"/>
    <w:rsid w:val="00B05C72"/>
    <w:rsid w:val="00B06725"/>
    <w:rsid w:val="00B07B39"/>
    <w:rsid w:val="00B13125"/>
    <w:rsid w:val="00B157CA"/>
    <w:rsid w:val="00B168A0"/>
    <w:rsid w:val="00B16BAA"/>
    <w:rsid w:val="00B16BC6"/>
    <w:rsid w:val="00B22D96"/>
    <w:rsid w:val="00B22DED"/>
    <w:rsid w:val="00B23428"/>
    <w:rsid w:val="00B24246"/>
    <w:rsid w:val="00B24795"/>
    <w:rsid w:val="00B2717E"/>
    <w:rsid w:val="00B2751B"/>
    <w:rsid w:val="00B301B9"/>
    <w:rsid w:val="00B307EC"/>
    <w:rsid w:val="00B347ED"/>
    <w:rsid w:val="00B34F82"/>
    <w:rsid w:val="00B353F1"/>
    <w:rsid w:val="00B35CC6"/>
    <w:rsid w:val="00B415D3"/>
    <w:rsid w:val="00B44432"/>
    <w:rsid w:val="00B46DD4"/>
    <w:rsid w:val="00B4702A"/>
    <w:rsid w:val="00B50AC9"/>
    <w:rsid w:val="00B562D5"/>
    <w:rsid w:val="00B56646"/>
    <w:rsid w:val="00B56CDC"/>
    <w:rsid w:val="00B5710B"/>
    <w:rsid w:val="00B6224F"/>
    <w:rsid w:val="00B635EA"/>
    <w:rsid w:val="00B67DBB"/>
    <w:rsid w:val="00B74570"/>
    <w:rsid w:val="00B801BD"/>
    <w:rsid w:val="00B82307"/>
    <w:rsid w:val="00B8312A"/>
    <w:rsid w:val="00B8353D"/>
    <w:rsid w:val="00B96A80"/>
    <w:rsid w:val="00B96F85"/>
    <w:rsid w:val="00BA0374"/>
    <w:rsid w:val="00BA1EE9"/>
    <w:rsid w:val="00BA2BAA"/>
    <w:rsid w:val="00BA2C42"/>
    <w:rsid w:val="00BA3CFC"/>
    <w:rsid w:val="00BA3DCE"/>
    <w:rsid w:val="00BA5791"/>
    <w:rsid w:val="00BA5C8A"/>
    <w:rsid w:val="00BB022A"/>
    <w:rsid w:val="00BB0D4D"/>
    <w:rsid w:val="00BB2778"/>
    <w:rsid w:val="00BB485F"/>
    <w:rsid w:val="00BB612A"/>
    <w:rsid w:val="00BB649F"/>
    <w:rsid w:val="00BC05AF"/>
    <w:rsid w:val="00BC1F01"/>
    <w:rsid w:val="00BC2F05"/>
    <w:rsid w:val="00BC3379"/>
    <w:rsid w:val="00BC57C2"/>
    <w:rsid w:val="00BD14CB"/>
    <w:rsid w:val="00BD2741"/>
    <w:rsid w:val="00BD3B90"/>
    <w:rsid w:val="00BD4E33"/>
    <w:rsid w:val="00BD7D42"/>
    <w:rsid w:val="00BD7F23"/>
    <w:rsid w:val="00BE0434"/>
    <w:rsid w:val="00BE2F1D"/>
    <w:rsid w:val="00BE3F76"/>
    <w:rsid w:val="00BE5DAF"/>
    <w:rsid w:val="00BF262E"/>
    <w:rsid w:val="00BF45F3"/>
    <w:rsid w:val="00BF6EE6"/>
    <w:rsid w:val="00C12423"/>
    <w:rsid w:val="00C152AA"/>
    <w:rsid w:val="00C15A2D"/>
    <w:rsid w:val="00C208EA"/>
    <w:rsid w:val="00C23006"/>
    <w:rsid w:val="00C23996"/>
    <w:rsid w:val="00C252F4"/>
    <w:rsid w:val="00C2621D"/>
    <w:rsid w:val="00C3174C"/>
    <w:rsid w:val="00C3208A"/>
    <w:rsid w:val="00C3492D"/>
    <w:rsid w:val="00C36161"/>
    <w:rsid w:val="00C43E24"/>
    <w:rsid w:val="00C45932"/>
    <w:rsid w:val="00C5184A"/>
    <w:rsid w:val="00C534A1"/>
    <w:rsid w:val="00C5620E"/>
    <w:rsid w:val="00C56AB0"/>
    <w:rsid w:val="00C5730B"/>
    <w:rsid w:val="00C615B5"/>
    <w:rsid w:val="00C632E3"/>
    <w:rsid w:val="00C63BE8"/>
    <w:rsid w:val="00C645F1"/>
    <w:rsid w:val="00C65D7E"/>
    <w:rsid w:val="00C66A32"/>
    <w:rsid w:val="00C67231"/>
    <w:rsid w:val="00C7039D"/>
    <w:rsid w:val="00C70931"/>
    <w:rsid w:val="00C71852"/>
    <w:rsid w:val="00C73581"/>
    <w:rsid w:val="00C73C7F"/>
    <w:rsid w:val="00C76649"/>
    <w:rsid w:val="00C76F82"/>
    <w:rsid w:val="00C80708"/>
    <w:rsid w:val="00C81FD2"/>
    <w:rsid w:val="00C837A5"/>
    <w:rsid w:val="00C851BD"/>
    <w:rsid w:val="00C90949"/>
    <w:rsid w:val="00C96181"/>
    <w:rsid w:val="00C964E2"/>
    <w:rsid w:val="00CA11ED"/>
    <w:rsid w:val="00CA2F69"/>
    <w:rsid w:val="00CA32B8"/>
    <w:rsid w:val="00CA426F"/>
    <w:rsid w:val="00CA5776"/>
    <w:rsid w:val="00CA71ED"/>
    <w:rsid w:val="00CA7D52"/>
    <w:rsid w:val="00CB3930"/>
    <w:rsid w:val="00CB48F8"/>
    <w:rsid w:val="00CB6427"/>
    <w:rsid w:val="00CC1663"/>
    <w:rsid w:val="00CC4DC0"/>
    <w:rsid w:val="00CC614B"/>
    <w:rsid w:val="00CC67D2"/>
    <w:rsid w:val="00CD109E"/>
    <w:rsid w:val="00CD339B"/>
    <w:rsid w:val="00CD3FF2"/>
    <w:rsid w:val="00CD7380"/>
    <w:rsid w:val="00CE03ED"/>
    <w:rsid w:val="00CE0643"/>
    <w:rsid w:val="00CE0A66"/>
    <w:rsid w:val="00CE1EC5"/>
    <w:rsid w:val="00CE2DD1"/>
    <w:rsid w:val="00CE6150"/>
    <w:rsid w:val="00CE6796"/>
    <w:rsid w:val="00CF2B74"/>
    <w:rsid w:val="00CF2DB7"/>
    <w:rsid w:val="00CF4A65"/>
    <w:rsid w:val="00CF52B4"/>
    <w:rsid w:val="00CF53C0"/>
    <w:rsid w:val="00CF5CE7"/>
    <w:rsid w:val="00D00D51"/>
    <w:rsid w:val="00D01300"/>
    <w:rsid w:val="00D0409C"/>
    <w:rsid w:val="00D063E5"/>
    <w:rsid w:val="00D06506"/>
    <w:rsid w:val="00D0679D"/>
    <w:rsid w:val="00D06DDA"/>
    <w:rsid w:val="00D07830"/>
    <w:rsid w:val="00D07EB4"/>
    <w:rsid w:val="00D10BC9"/>
    <w:rsid w:val="00D115C5"/>
    <w:rsid w:val="00D12217"/>
    <w:rsid w:val="00D16AC5"/>
    <w:rsid w:val="00D17901"/>
    <w:rsid w:val="00D21313"/>
    <w:rsid w:val="00D221D7"/>
    <w:rsid w:val="00D22763"/>
    <w:rsid w:val="00D23E67"/>
    <w:rsid w:val="00D244B2"/>
    <w:rsid w:val="00D2491C"/>
    <w:rsid w:val="00D27491"/>
    <w:rsid w:val="00D27615"/>
    <w:rsid w:val="00D27711"/>
    <w:rsid w:val="00D278E4"/>
    <w:rsid w:val="00D3184C"/>
    <w:rsid w:val="00D3225D"/>
    <w:rsid w:val="00D33D2E"/>
    <w:rsid w:val="00D347D0"/>
    <w:rsid w:val="00D35381"/>
    <w:rsid w:val="00D37988"/>
    <w:rsid w:val="00D37CD9"/>
    <w:rsid w:val="00D438A9"/>
    <w:rsid w:val="00D43E10"/>
    <w:rsid w:val="00D471E6"/>
    <w:rsid w:val="00D5234F"/>
    <w:rsid w:val="00D548B7"/>
    <w:rsid w:val="00D55EA9"/>
    <w:rsid w:val="00D56097"/>
    <w:rsid w:val="00D56CA1"/>
    <w:rsid w:val="00D57D80"/>
    <w:rsid w:val="00D57EFC"/>
    <w:rsid w:val="00D61A74"/>
    <w:rsid w:val="00D628DD"/>
    <w:rsid w:val="00D62AB9"/>
    <w:rsid w:val="00D62F66"/>
    <w:rsid w:val="00D665CD"/>
    <w:rsid w:val="00D707BB"/>
    <w:rsid w:val="00D70D0F"/>
    <w:rsid w:val="00D7217A"/>
    <w:rsid w:val="00D74503"/>
    <w:rsid w:val="00D7738A"/>
    <w:rsid w:val="00D77AD0"/>
    <w:rsid w:val="00D82968"/>
    <w:rsid w:val="00D83F9F"/>
    <w:rsid w:val="00D84739"/>
    <w:rsid w:val="00D84C93"/>
    <w:rsid w:val="00D863CB"/>
    <w:rsid w:val="00D90211"/>
    <w:rsid w:val="00D90FA5"/>
    <w:rsid w:val="00D92577"/>
    <w:rsid w:val="00D927FE"/>
    <w:rsid w:val="00D93016"/>
    <w:rsid w:val="00D937EB"/>
    <w:rsid w:val="00D93D78"/>
    <w:rsid w:val="00D953EA"/>
    <w:rsid w:val="00D95606"/>
    <w:rsid w:val="00D96A95"/>
    <w:rsid w:val="00D97C4D"/>
    <w:rsid w:val="00DA0788"/>
    <w:rsid w:val="00DA1514"/>
    <w:rsid w:val="00DA40BD"/>
    <w:rsid w:val="00DA4968"/>
    <w:rsid w:val="00DA4B53"/>
    <w:rsid w:val="00DA612B"/>
    <w:rsid w:val="00DA7513"/>
    <w:rsid w:val="00DB275B"/>
    <w:rsid w:val="00DB2E9E"/>
    <w:rsid w:val="00DC16F5"/>
    <w:rsid w:val="00DC1E68"/>
    <w:rsid w:val="00DC3EA6"/>
    <w:rsid w:val="00DC4169"/>
    <w:rsid w:val="00DC5956"/>
    <w:rsid w:val="00DD0D9C"/>
    <w:rsid w:val="00DD34E3"/>
    <w:rsid w:val="00DD546C"/>
    <w:rsid w:val="00DE126B"/>
    <w:rsid w:val="00DE410F"/>
    <w:rsid w:val="00DE650E"/>
    <w:rsid w:val="00DE6909"/>
    <w:rsid w:val="00DF107A"/>
    <w:rsid w:val="00DF375F"/>
    <w:rsid w:val="00DF475D"/>
    <w:rsid w:val="00DF6499"/>
    <w:rsid w:val="00DF798F"/>
    <w:rsid w:val="00E0017F"/>
    <w:rsid w:val="00E00BB0"/>
    <w:rsid w:val="00E0215F"/>
    <w:rsid w:val="00E0363D"/>
    <w:rsid w:val="00E04A8B"/>
    <w:rsid w:val="00E05CF5"/>
    <w:rsid w:val="00E07483"/>
    <w:rsid w:val="00E0753A"/>
    <w:rsid w:val="00E11404"/>
    <w:rsid w:val="00E11D95"/>
    <w:rsid w:val="00E127D0"/>
    <w:rsid w:val="00E20EBD"/>
    <w:rsid w:val="00E2133E"/>
    <w:rsid w:val="00E2371A"/>
    <w:rsid w:val="00E23BE3"/>
    <w:rsid w:val="00E25CB4"/>
    <w:rsid w:val="00E33333"/>
    <w:rsid w:val="00E344E1"/>
    <w:rsid w:val="00E34757"/>
    <w:rsid w:val="00E375C6"/>
    <w:rsid w:val="00E408E3"/>
    <w:rsid w:val="00E418DF"/>
    <w:rsid w:val="00E430E5"/>
    <w:rsid w:val="00E438BA"/>
    <w:rsid w:val="00E43BD0"/>
    <w:rsid w:val="00E46386"/>
    <w:rsid w:val="00E52408"/>
    <w:rsid w:val="00E5255E"/>
    <w:rsid w:val="00E5259A"/>
    <w:rsid w:val="00E52C63"/>
    <w:rsid w:val="00E533D5"/>
    <w:rsid w:val="00E6357D"/>
    <w:rsid w:val="00E65098"/>
    <w:rsid w:val="00E6576E"/>
    <w:rsid w:val="00E6675A"/>
    <w:rsid w:val="00E71105"/>
    <w:rsid w:val="00E7241B"/>
    <w:rsid w:val="00E72984"/>
    <w:rsid w:val="00E72BD5"/>
    <w:rsid w:val="00E747E0"/>
    <w:rsid w:val="00E75CB3"/>
    <w:rsid w:val="00E77B00"/>
    <w:rsid w:val="00E80FF8"/>
    <w:rsid w:val="00E820A7"/>
    <w:rsid w:val="00E8336A"/>
    <w:rsid w:val="00E84BF9"/>
    <w:rsid w:val="00E878A4"/>
    <w:rsid w:val="00E920C7"/>
    <w:rsid w:val="00E929A1"/>
    <w:rsid w:val="00E93EB5"/>
    <w:rsid w:val="00E94739"/>
    <w:rsid w:val="00E96F9F"/>
    <w:rsid w:val="00E97536"/>
    <w:rsid w:val="00E97BCE"/>
    <w:rsid w:val="00EA1E89"/>
    <w:rsid w:val="00EA200C"/>
    <w:rsid w:val="00EA3919"/>
    <w:rsid w:val="00EA7F4E"/>
    <w:rsid w:val="00EB00F9"/>
    <w:rsid w:val="00EB2042"/>
    <w:rsid w:val="00EB2E3F"/>
    <w:rsid w:val="00EB435F"/>
    <w:rsid w:val="00EC0A7B"/>
    <w:rsid w:val="00EC13B9"/>
    <w:rsid w:val="00EC2F87"/>
    <w:rsid w:val="00EC4075"/>
    <w:rsid w:val="00EC4FDA"/>
    <w:rsid w:val="00EC5187"/>
    <w:rsid w:val="00EC5459"/>
    <w:rsid w:val="00ED09CC"/>
    <w:rsid w:val="00ED0F74"/>
    <w:rsid w:val="00ED1E06"/>
    <w:rsid w:val="00ED2116"/>
    <w:rsid w:val="00ED59FB"/>
    <w:rsid w:val="00ED6BE7"/>
    <w:rsid w:val="00ED70D1"/>
    <w:rsid w:val="00EE0122"/>
    <w:rsid w:val="00EE15C6"/>
    <w:rsid w:val="00EE309B"/>
    <w:rsid w:val="00EE3EE4"/>
    <w:rsid w:val="00EE42AD"/>
    <w:rsid w:val="00EE4424"/>
    <w:rsid w:val="00EE49EE"/>
    <w:rsid w:val="00EE4A31"/>
    <w:rsid w:val="00EE57F7"/>
    <w:rsid w:val="00EE751A"/>
    <w:rsid w:val="00EE75DD"/>
    <w:rsid w:val="00EE7D65"/>
    <w:rsid w:val="00EF03FD"/>
    <w:rsid w:val="00EF23E5"/>
    <w:rsid w:val="00EF24DF"/>
    <w:rsid w:val="00EF34F1"/>
    <w:rsid w:val="00EF41CE"/>
    <w:rsid w:val="00EF4961"/>
    <w:rsid w:val="00EF50E7"/>
    <w:rsid w:val="00EF6CD5"/>
    <w:rsid w:val="00EF750B"/>
    <w:rsid w:val="00F00960"/>
    <w:rsid w:val="00F027F9"/>
    <w:rsid w:val="00F04B7D"/>
    <w:rsid w:val="00F05197"/>
    <w:rsid w:val="00F066A0"/>
    <w:rsid w:val="00F12269"/>
    <w:rsid w:val="00F1260E"/>
    <w:rsid w:val="00F12B9D"/>
    <w:rsid w:val="00F133D5"/>
    <w:rsid w:val="00F16677"/>
    <w:rsid w:val="00F16D18"/>
    <w:rsid w:val="00F17E40"/>
    <w:rsid w:val="00F221A8"/>
    <w:rsid w:val="00F25A9B"/>
    <w:rsid w:val="00F328A1"/>
    <w:rsid w:val="00F33863"/>
    <w:rsid w:val="00F3449C"/>
    <w:rsid w:val="00F373D0"/>
    <w:rsid w:val="00F3790F"/>
    <w:rsid w:val="00F407B6"/>
    <w:rsid w:val="00F40A21"/>
    <w:rsid w:val="00F40AE7"/>
    <w:rsid w:val="00F434A4"/>
    <w:rsid w:val="00F44F78"/>
    <w:rsid w:val="00F455F8"/>
    <w:rsid w:val="00F472E7"/>
    <w:rsid w:val="00F5041F"/>
    <w:rsid w:val="00F50742"/>
    <w:rsid w:val="00F5228D"/>
    <w:rsid w:val="00F549E9"/>
    <w:rsid w:val="00F5580D"/>
    <w:rsid w:val="00F6363D"/>
    <w:rsid w:val="00F63B27"/>
    <w:rsid w:val="00F63FE9"/>
    <w:rsid w:val="00F6557D"/>
    <w:rsid w:val="00F65C26"/>
    <w:rsid w:val="00F65DB1"/>
    <w:rsid w:val="00F7014E"/>
    <w:rsid w:val="00F70446"/>
    <w:rsid w:val="00F71564"/>
    <w:rsid w:val="00F71A5D"/>
    <w:rsid w:val="00F724C5"/>
    <w:rsid w:val="00F727B5"/>
    <w:rsid w:val="00F72899"/>
    <w:rsid w:val="00F72A5E"/>
    <w:rsid w:val="00F747A8"/>
    <w:rsid w:val="00F749A3"/>
    <w:rsid w:val="00F7503F"/>
    <w:rsid w:val="00F764F8"/>
    <w:rsid w:val="00F76D29"/>
    <w:rsid w:val="00F77AE1"/>
    <w:rsid w:val="00F81CB8"/>
    <w:rsid w:val="00F8588B"/>
    <w:rsid w:val="00F8602E"/>
    <w:rsid w:val="00F879A2"/>
    <w:rsid w:val="00F90588"/>
    <w:rsid w:val="00F90C69"/>
    <w:rsid w:val="00F90D3A"/>
    <w:rsid w:val="00F93633"/>
    <w:rsid w:val="00F93862"/>
    <w:rsid w:val="00F941ED"/>
    <w:rsid w:val="00F95432"/>
    <w:rsid w:val="00F9596D"/>
    <w:rsid w:val="00F96749"/>
    <w:rsid w:val="00F9798E"/>
    <w:rsid w:val="00FA0BBE"/>
    <w:rsid w:val="00FA140F"/>
    <w:rsid w:val="00FA189A"/>
    <w:rsid w:val="00FA1FC3"/>
    <w:rsid w:val="00FA20FA"/>
    <w:rsid w:val="00FA32F5"/>
    <w:rsid w:val="00FA3F3F"/>
    <w:rsid w:val="00FA5F1B"/>
    <w:rsid w:val="00FB0FAC"/>
    <w:rsid w:val="00FB2043"/>
    <w:rsid w:val="00FB2152"/>
    <w:rsid w:val="00FB2B27"/>
    <w:rsid w:val="00FB2B40"/>
    <w:rsid w:val="00FB428D"/>
    <w:rsid w:val="00FB48B4"/>
    <w:rsid w:val="00FB6C45"/>
    <w:rsid w:val="00FC0094"/>
    <w:rsid w:val="00FC0B72"/>
    <w:rsid w:val="00FC2B69"/>
    <w:rsid w:val="00FC7F70"/>
    <w:rsid w:val="00FD2B3A"/>
    <w:rsid w:val="00FD442D"/>
    <w:rsid w:val="00FD4AF5"/>
    <w:rsid w:val="00FD5118"/>
    <w:rsid w:val="00FD57DC"/>
    <w:rsid w:val="00FE1499"/>
    <w:rsid w:val="00FE185E"/>
    <w:rsid w:val="00FE262E"/>
    <w:rsid w:val="00FE4341"/>
    <w:rsid w:val="00FE4904"/>
    <w:rsid w:val="00FE4ADE"/>
    <w:rsid w:val="00FF4F57"/>
    <w:rsid w:val="00FF6175"/>
    <w:rsid w:val="00FF6A60"/>
    <w:rsid w:val="00FF72F1"/>
    <w:rsid w:val="00FF7E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78ABD64"/>
  <w15:docId w15:val="{969212F1-2E7C-429E-82B7-EA2F5A412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EF50E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uente"/>
    <w:basedOn w:val="Normal"/>
    <w:link w:val="ListParagraphChar"/>
    <w:qFormat/>
    <w:rsid w:val="0095711B"/>
    <w:pPr>
      <w:ind w:left="720"/>
      <w:contextualSpacing/>
    </w:pPr>
  </w:style>
  <w:style w:type="paragraph" w:styleId="Header">
    <w:name w:val="header"/>
    <w:basedOn w:val="Normal"/>
    <w:link w:val="HeaderChar"/>
    <w:uiPriority w:val="99"/>
    <w:semiHidden/>
    <w:unhideWhenUsed/>
    <w:rsid w:val="0095711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5711B"/>
  </w:style>
  <w:style w:type="paragraph" w:styleId="Footer">
    <w:name w:val="footer"/>
    <w:basedOn w:val="Normal"/>
    <w:link w:val="FooterChar"/>
    <w:uiPriority w:val="99"/>
    <w:unhideWhenUsed/>
    <w:rsid w:val="009571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711B"/>
  </w:style>
  <w:style w:type="paragraph" w:styleId="BalloonText">
    <w:name w:val="Balloon Text"/>
    <w:basedOn w:val="Normal"/>
    <w:link w:val="BalloonTextChar"/>
    <w:uiPriority w:val="99"/>
    <w:semiHidden/>
    <w:unhideWhenUsed/>
    <w:rsid w:val="00A10C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0CD5"/>
    <w:rPr>
      <w:rFonts w:ascii="Tahoma" w:hAnsi="Tahoma" w:cs="Tahoma"/>
      <w:sz w:val="16"/>
      <w:szCs w:val="16"/>
    </w:rPr>
  </w:style>
  <w:style w:type="character" w:styleId="CommentReference">
    <w:name w:val="annotation reference"/>
    <w:basedOn w:val="DefaultParagraphFont"/>
    <w:uiPriority w:val="99"/>
    <w:semiHidden/>
    <w:unhideWhenUsed/>
    <w:rsid w:val="00A13EE1"/>
    <w:rPr>
      <w:sz w:val="16"/>
      <w:szCs w:val="16"/>
    </w:rPr>
  </w:style>
  <w:style w:type="paragraph" w:styleId="CommentText">
    <w:name w:val="annotation text"/>
    <w:basedOn w:val="Normal"/>
    <w:link w:val="CommentTextChar"/>
    <w:uiPriority w:val="99"/>
    <w:unhideWhenUsed/>
    <w:rsid w:val="00A13EE1"/>
    <w:pPr>
      <w:spacing w:line="240" w:lineRule="auto"/>
    </w:pPr>
    <w:rPr>
      <w:sz w:val="20"/>
      <w:szCs w:val="20"/>
    </w:rPr>
  </w:style>
  <w:style w:type="character" w:customStyle="1" w:styleId="CommentTextChar">
    <w:name w:val="Comment Text Char"/>
    <w:basedOn w:val="DefaultParagraphFont"/>
    <w:link w:val="CommentText"/>
    <w:uiPriority w:val="99"/>
    <w:rsid w:val="00A13EE1"/>
    <w:rPr>
      <w:sz w:val="20"/>
      <w:szCs w:val="20"/>
    </w:rPr>
  </w:style>
  <w:style w:type="paragraph" w:styleId="CommentSubject">
    <w:name w:val="annotation subject"/>
    <w:basedOn w:val="CommentText"/>
    <w:next w:val="CommentText"/>
    <w:link w:val="CommentSubjectChar"/>
    <w:uiPriority w:val="99"/>
    <w:semiHidden/>
    <w:unhideWhenUsed/>
    <w:rsid w:val="00A13EE1"/>
    <w:rPr>
      <w:b/>
      <w:bCs/>
    </w:rPr>
  </w:style>
  <w:style w:type="character" w:customStyle="1" w:styleId="CommentSubjectChar">
    <w:name w:val="Comment Subject Char"/>
    <w:basedOn w:val="CommentTextChar"/>
    <w:link w:val="CommentSubject"/>
    <w:uiPriority w:val="99"/>
    <w:semiHidden/>
    <w:rsid w:val="00A13EE1"/>
    <w:rPr>
      <w:b/>
      <w:bCs/>
      <w:sz w:val="20"/>
      <w:szCs w:val="20"/>
    </w:rPr>
  </w:style>
  <w:style w:type="paragraph" w:styleId="Revision">
    <w:name w:val="Revision"/>
    <w:hidden/>
    <w:uiPriority w:val="99"/>
    <w:semiHidden/>
    <w:rsid w:val="00A13EE1"/>
    <w:pPr>
      <w:spacing w:after="0" w:line="240" w:lineRule="auto"/>
    </w:pPr>
  </w:style>
  <w:style w:type="table" w:styleId="TableGrid">
    <w:name w:val="Table Grid"/>
    <w:basedOn w:val="TableNormal"/>
    <w:uiPriority w:val="59"/>
    <w:rsid w:val="00F636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DefaultParagraphFont"/>
    <w:rsid w:val="0023182E"/>
  </w:style>
  <w:style w:type="paragraph" w:styleId="EndnoteText">
    <w:name w:val="endnote text"/>
    <w:basedOn w:val="Normal"/>
    <w:link w:val="EndnoteTextChar"/>
    <w:uiPriority w:val="99"/>
    <w:semiHidden/>
    <w:unhideWhenUsed/>
    <w:rsid w:val="00DA751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A7513"/>
    <w:rPr>
      <w:sz w:val="20"/>
      <w:szCs w:val="20"/>
    </w:rPr>
  </w:style>
  <w:style w:type="character" w:styleId="EndnoteReference">
    <w:name w:val="endnote reference"/>
    <w:basedOn w:val="DefaultParagraphFont"/>
    <w:uiPriority w:val="99"/>
    <w:semiHidden/>
    <w:unhideWhenUsed/>
    <w:rsid w:val="00DA7513"/>
    <w:rPr>
      <w:vertAlign w:val="superscript"/>
    </w:rPr>
  </w:style>
  <w:style w:type="paragraph" w:styleId="FootnoteText">
    <w:name w:val="footnote text"/>
    <w:basedOn w:val="Normal"/>
    <w:link w:val="FootnoteTextChar"/>
    <w:uiPriority w:val="99"/>
    <w:unhideWhenUsed/>
    <w:rsid w:val="00DA7513"/>
    <w:pPr>
      <w:spacing w:after="0" w:line="240" w:lineRule="auto"/>
    </w:pPr>
    <w:rPr>
      <w:sz w:val="20"/>
      <w:szCs w:val="20"/>
    </w:rPr>
  </w:style>
  <w:style w:type="character" w:customStyle="1" w:styleId="FootnoteTextChar">
    <w:name w:val="Footnote Text Char"/>
    <w:basedOn w:val="DefaultParagraphFont"/>
    <w:link w:val="FootnoteText"/>
    <w:uiPriority w:val="99"/>
    <w:rsid w:val="00DA7513"/>
    <w:rPr>
      <w:sz w:val="20"/>
      <w:szCs w:val="20"/>
    </w:rPr>
  </w:style>
  <w:style w:type="character" w:styleId="FootnoteReference">
    <w:name w:val="footnote reference"/>
    <w:basedOn w:val="DefaultParagraphFont"/>
    <w:uiPriority w:val="99"/>
    <w:semiHidden/>
    <w:unhideWhenUsed/>
    <w:rsid w:val="00DA7513"/>
    <w:rPr>
      <w:vertAlign w:val="superscript"/>
    </w:rPr>
  </w:style>
  <w:style w:type="character" w:styleId="Hyperlink">
    <w:name w:val="Hyperlink"/>
    <w:basedOn w:val="DefaultParagraphFont"/>
    <w:uiPriority w:val="99"/>
    <w:unhideWhenUsed/>
    <w:rsid w:val="00055EF1"/>
    <w:rPr>
      <w:color w:val="0000FF" w:themeColor="hyperlink"/>
      <w:u w:val="single"/>
    </w:rPr>
  </w:style>
  <w:style w:type="paragraph" w:customStyle="1" w:styleId="Default">
    <w:name w:val="Default"/>
    <w:rsid w:val="001D54A7"/>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hapter">
    <w:name w:val="Chapter"/>
    <w:basedOn w:val="Normal"/>
    <w:uiPriority w:val="99"/>
    <w:rsid w:val="006C2240"/>
    <w:pPr>
      <w:keepNext/>
      <w:numPr>
        <w:numId w:val="3"/>
      </w:numPr>
      <w:spacing w:before="240" w:after="240" w:line="240" w:lineRule="auto"/>
      <w:ind w:left="0"/>
      <w:jc w:val="center"/>
    </w:pPr>
    <w:rPr>
      <w:rFonts w:ascii="Times New Roman" w:eastAsia="Times New Roman" w:hAnsi="Times New Roman" w:cs="Times New Roman"/>
      <w:b/>
      <w:bCs/>
      <w:smallCaps/>
      <w:sz w:val="24"/>
      <w:szCs w:val="24"/>
      <w:lang w:val="fr-FR" w:eastAsia="fr-FR"/>
    </w:rPr>
  </w:style>
  <w:style w:type="character" w:customStyle="1" w:styleId="ParagraphChar">
    <w:name w:val="Paragraph Char"/>
    <w:basedOn w:val="DefaultParagraphFont"/>
    <w:link w:val="Paragraph"/>
    <w:uiPriority w:val="99"/>
    <w:locked/>
    <w:rsid w:val="006C2240"/>
  </w:style>
  <w:style w:type="paragraph" w:customStyle="1" w:styleId="Paragraph">
    <w:name w:val="Paragraph"/>
    <w:aliases w:val="p,PARAGRAPH,PG,pa,at,paragraph"/>
    <w:basedOn w:val="Normal"/>
    <w:link w:val="ParagraphChar"/>
    <w:uiPriority w:val="99"/>
    <w:rsid w:val="006C2240"/>
    <w:pPr>
      <w:numPr>
        <w:ilvl w:val="1"/>
        <w:numId w:val="3"/>
      </w:numPr>
      <w:spacing w:before="120" w:after="120" w:line="240" w:lineRule="auto"/>
      <w:jc w:val="both"/>
    </w:pPr>
  </w:style>
  <w:style w:type="paragraph" w:customStyle="1" w:styleId="subpar">
    <w:name w:val="subpar"/>
    <w:basedOn w:val="Normal"/>
    <w:uiPriority w:val="99"/>
    <w:rsid w:val="006C2240"/>
    <w:pPr>
      <w:numPr>
        <w:ilvl w:val="2"/>
        <w:numId w:val="3"/>
      </w:numPr>
      <w:spacing w:before="120" w:after="120" w:line="240" w:lineRule="auto"/>
      <w:ind w:left="1152" w:firstLine="0"/>
      <w:jc w:val="both"/>
    </w:pPr>
    <w:rPr>
      <w:rFonts w:ascii="Times New Roman" w:eastAsia="Times New Roman" w:hAnsi="Times New Roman" w:cs="Times New Roman"/>
      <w:sz w:val="24"/>
      <w:szCs w:val="24"/>
      <w:lang w:val="fr-FR" w:eastAsia="fr-FR"/>
    </w:rPr>
  </w:style>
  <w:style w:type="paragraph" w:customStyle="1" w:styleId="SubSubPar">
    <w:name w:val="SubSubPar"/>
    <w:basedOn w:val="Normal"/>
    <w:uiPriority w:val="99"/>
    <w:rsid w:val="006C2240"/>
    <w:pPr>
      <w:numPr>
        <w:ilvl w:val="3"/>
        <w:numId w:val="3"/>
      </w:numPr>
      <w:spacing w:before="120" w:after="120" w:line="240" w:lineRule="auto"/>
      <w:ind w:left="1296"/>
      <w:jc w:val="both"/>
    </w:pPr>
    <w:rPr>
      <w:rFonts w:ascii="Times New Roman" w:eastAsia="Times New Roman" w:hAnsi="Times New Roman" w:cs="Times New Roman"/>
      <w:sz w:val="24"/>
      <w:szCs w:val="24"/>
      <w:lang w:val="fr-FR" w:eastAsia="fr-FR"/>
    </w:rPr>
  </w:style>
  <w:style w:type="character" w:customStyle="1" w:styleId="apple-converted-space">
    <w:name w:val="apple-converted-space"/>
    <w:basedOn w:val="DefaultParagraphFont"/>
    <w:rsid w:val="008E7FC5"/>
  </w:style>
  <w:style w:type="character" w:customStyle="1" w:styleId="Heading1Char">
    <w:name w:val="Heading 1 Char"/>
    <w:basedOn w:val="DefaultParagraphFont"/>
    <w:link w:val="Heading1"/>
    <w:uiPriority w:val="9"/>
    <w:rsid w:val="00EF50E7"/>
    <w:rPr>
      <w:rFonts w:ascii="Times New Roman" w:eastAsia="Times New Roman" w:hAnsi="Times New Roman" w:cs="Times New Roman"/>
      <w:b/>
      <w:bCs/>
      <w:kern w:val="36"/>
      <w:sz w:val="48"/>
      <w:szCs w:val="48"/>
    </w:rPr>
  </w:style>
  <w:style w:type="character" w:styleId="Strong">
    <w:name w:val="Strong"/>
    <w:basedOn w:val="DefaultParagraphFont"/>
    <w:uiPriority w:val="22"/>
    <w:qFormat/>
    <w:rsid w:val="00EF50E7"/>
    <w:rPr>
      <w:b/>
      <w:bCs/>
    </w:rPr>
  </w:style>
  <w:style w:type="character" w:styleId="FollowedHyperlink">
    <w:name w:val="FollowedHyperlink"/>
    <w:basedOn w:val="DefaultParagraphFont"/>
    <w:uiPriority w:val="99"/>
    <w:semiHidden/>
    <w:unhideWhenUsed/>
    <w:rsid w:val="001C1913"/>
    <w:rPr>
      <w:color w:val="800080" w:themeColor="followedHyperlink"/>
      <w:u w:val="single"/>
    </w:rPr>
  </w:style>
  <w:style w:type="character" w:customStyle="1" w:styleId="UnresolvedMention1">
    <w:name w:val="Unresolved Mention1"/>
    <w:basedOn w:val="DefaultParagraphFont"/>
    <w:uiPriority w:val="99"/>
    <w:semiHidden/>
    <w:unhideWhenUsed/>
    <w:rsid w:val="009B2872"/>
    <w:rPr>
      <w:color w:val="605E5C"/>
      <w:shd w:val="clear" w:color="auto" w:fill="E1DFDD"/>
    </w:rPr>
  </w:style>
  <w:style w:type="character" w:customStyle="1" w:styleId="ListParagraphChar">
    <w:name w:val="List Paragraph Char"/>
    <w:aliases w:val="fuente Char"/>
    <w:basedOn w:val="DefaultParagraphFont"/>
    <w:link w:val="ListParagraph"/>
    <w:locked/>
    <w:rsid w:val="00E747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331142">
      <w:bodyDiv w:val="1"/>
      <w:marLeft w:val="0"/>
      <w:marRight w:val="0"/>
      <w:marTop w:val="0"/>
      <w:marBottom w:val="0"/>
      <w:divBdr>
        <w:top w:val="none" w:sz="0" w:space="0" w:color="auto"/>
        <w:left w:val="none" w:sz="0" w:space="0" w:color="auto"/>
        <w:bottom w:val="none" w:sz="0" w:space="0" w:color="auto"/>
        <w:right w:val="none" w:sz="0" w:space="0" w:color="auto"/>
      </w:divBdr>
    </w:div>
    <w:div w:id="123154916">
      <w:bodyDiv w:val="1"/>
      <w:marLeft w:val="0"/>
      <w:marRight w:val="0"/>
      <w:marTop w:val="0"/>
      <w:marBottom w:val="0"/>
      <w:divBdr>
        <w:top w:val="none" w:sz="0" w:space="0" w:color="auto"/>
        <w:left w:val="none" w:sz="0" w:space="0" w:color="auto"/>
        <w:bottom w:val="none" w:sz="0" w:space="0" w:color="auto"/>
        <w:right w:val="none" w:sz="0" w:space="0" w:color="auto"/>
      </w:divBdr>
    </w:div>
    <w:div w:id="250627084">
      <w:bodyDiv w:val="1"/>
      <w:marLeft w:val="0"/>
      <w:marRight w:val="0"/>
      <w:marTop w:val="0"/>
      <w:marBottom w:val="0"/>
      <w:divBdr>
        <w:top w:val="none" w:sz="0" w:space="0" w:color="auto"/>
        <w:left w:val="none" w:sz="0" w:space="0" w:color="auto"/>
        <w:bottom w:val="none" w:sz="0" w:space="0" w:color="auto"/>
        <w:right w:val="none" w:sz="0" w:space="0" w:color="auto"/>
      </w:divBdr>
    </w:div>
    <w:div w:id="590699546">
      <w:bodyDiv w:val="1"/>
      <w:marLeft w:val="0"/>
      <w:marRight w:val="0"/>
      <w:marTop w:val="0"/>
      <w:marBottom w:val="0"/>
      <w:divBdr>
        <w:top w:val="none" w:sz="0" w:space="0" w:color="auto"/>
        <w:left w:val="none" w:sz="0" w:space="0" w:color="auto"/>
        <w:bottom w:val="none" w:sz="0" w:space="0" w:color="auto"/>
        <w:right w:val="none" w:sz="0" w:space="0" w:color="auto"/>
      </w:divBdr>
    </w:div>
    <w:div w:id="1442339983">
      <w:bodyDiv w:val="1"/>
      <w:marLeft w:val="0"/>
      <w:marRight w:val="0"/>
      <w:marTop w:val="0"/>
      <w:marBottom w:val="0"/>
      <w:divBdr>
        <w:top w:val="none" w:sz="0" w:space="0" w:color="auto"/>
        <w:left w:val="none" w:sz="0" w:space="0" w:color="auto"/>
        <w:bottom w:val="none" w:sz="0" w:space="0" w:color="auto"/>
        <w:right w:val="none" w:sz="0" w:space="0" w:color="auto"/>
      </w:divBdr>
    </w:div>
    <w:div w:id="1560167570">
      <w:bodyDiv w:val="1"/>
      <w:marLeft w:val="0"/>
      <w:marRight w:val="0"/>
      <w:marTop w:val="0"/>
      <w:marBottom w:val="0"/>
      <w:divBdr>
        <w:top w:val="none" w:sz="0" w:space="0" w:color="auto"/>
        <w:left w:val="none" w:sz="0" w:space="0" w:color="auto"/>
        <w:bottom w:val="none" w:sz="0" w:space="0" w:color="auto"/>
        <w:right w:val="none" w:sz="0" w:space="0" w:color="auto"/>
      </w:divBdr>
      <w:divsChild>
        <w:div w:id="1104231864">
          <w:marLeft w:val="0"/>
          <w:marRight w:val="0"/>
          <w:marTop w:val="0"/>
          <w:marBottom w:val="0"/>
          <w:divBdr>
            <w:top w:val="none" w:sz="0" w:space="0" w:color="auto"/>
            <w:left w:val="none" w:sz="0" w:space="0" w:color="auto"/>
            <w:bottom w:val="none" w:sz="0" w:space="0" w:color="auto"/>
            <w:right w:val="none" w:sz="0" w:space="0" w:color="auto"/>
          </w:divBdr>
          <w:divsChild>
            <w:div w:id="1858615185">
              <w:marLeft w:val="0"/>
              <w:marRight w:val="0"/>
              <w:marTop w:val="0"/>
              <w:marBottom w:val="0"/>
              <w:divBdr>
                <w:top w:val="none" w:sz="0" w:space="0" w:color="auto"/>
                <w:left w:val="none" w:sz="0" w:space="0" w:color="auto"/>
                <w:bottom w:val="none" w:sz="0" w:space="0" w:color="auto"/>
                <w:right w:val="none" w:sz="0" w:space="0" w:color="auto"/>
              </w:divBdr>
              <w:divsChild>
                <w:div w:id="1709796132">
                  <w:marLeft w:val="0"/>
                  <w:marRight w:val="0"/>
                  <w:marTop w:val="0"/>
                  <w:marBottom w:val="0"/>
                  <w:divBdr>
                    <w:top w:val="none" w:sz="0" w:space="0" w:color="auto"/>
                    <w:left w:val="none" w:sz="0" w:space="0" w:color="auto"/>
                    <w:bottom w:val="none" w:sz="0" w:space="0" w:color="auto"/>
                    <w:right w:val="none" w:sz="0" w:space="0" w:color="auto"/>
                  </w:divBdr>
                  <w:divsChild>
                    <w:div w:id="655840778">
                      <w:marLeft w:val="0"/>
                      <w:marRight w:val="0"/>
                      <w:marTop w:val="0"/>
                      <w:marBottom w:val="0"/>
                      <w:divBdr>
                        <w:top w:val="none" w:sz="0" w:space="0" w:color="auto"/>
                        <w:left w:val="none" w:sz="0" w:space="0" w:color="auto"/>
                        <w:bottom w:val="none" w:sz="0" w:space="0" w:color="auto"/>
                        <w:right w:val="none" w:sz="0" w:space="0" w:color="auto"/>
                      </w:divBdr>
                      <w:divsChild>
                        <w:div w:id="173350038">
                          <w:marLeft w:val="0"/>
                          <w:marRight w:val="0"/>
                          <w:marTop w:val="0"/>
                          <w:marBottom w:val="0"/>
                          <w:divBdr>
                            <w:top w:val="none" w:sz="0" w:space="0" w:color="auto"/>
                            <w:left w:val="none" w:sz="0" w:space="0" w:color="auto"/>
                            <w:bottom w:val="none" w:sz="0" w:space="0" w:color="auto"/>
                            <w:right w:val="none" w:sz="0" w:space="0" w:color="auto"/>
                          </w:divBdr>
                          <w:divsChild>
                            <w:div w:id="556092188">
                              <w:marLeft w:val="0"/>
                              <w:marRight w:val="0"/>
                              <w:marTop w:val="0"/>
                              <w:marBottom w:val="0"/>
                              <w:divBdr>
                                <w:top w:val="none" w:sz="0" w:space="0" w:color="auto"/>
                                <w:left w:val="none" w:sz="0" w:space="0" w:color="auto"/>
                                <w:bottom w:val="none" w:sz="0" w:space="0" w:color="auto"/>
                                <w:right w:val="none" w:sz="0" w:space="0" w:color="auto"/>
                              </w:divBdr>
                              <w:divsChild>
                                <w:div w:id="1455520701">
                                  <w:marLeft w:val="0"/>
                                  <w:marRight w:val="0"/>
                                  <w:marTop w:val="0"/>
                                  <w:marBottom w:val="0"/>
                                  <w:divBdr>
                                    <w:top w:val="none" w:sz="0" w:space="0" w:color="auto"/>
                                    <w:left w:val="none" w:sz="0" w:space="0" w:color="auto"/>
                                    <w:bottom w:val="none" w:sz="0" w:space="0" w:color="auto"/>
                                    <w:right w:val="none" w:sz="0" w:space="0" w:color="auto"/>
                                  </w:divBdr>
                                  <w:divsChild>
                                    <w:div w:id="1685747993">
                                      <w:marLeft w:val="0"/>
                                      <w:marRight w:val="0"/>
                                      <w:marTop w:val="0"/>
                                      <w:marBottom w:val="0"/>
                                      <w:divBdr>
                                        <w:top w:val="single" w:sz="6" w:space="0" w:color="F5F5F5"/>
                                        <w:left w:val="single" w:sz="6" w:space="0" w:color="F5F5F5"/>
                                        <w:bottom w:val="single" w:sz="6" w:space="0" w:color="F5F5F5"/>
                                        <w:right w:val="single" w:sz="6" w:space="0" w:color="F5F5F5"/>
                                      </w:divBdr>
                                      <w:divsChild>
                                        <w:div w:id="1503815793">
                                          <w:marLeft w:val="0"/>
                                          <w:marRight w:val="0"/>
                                          <w:marTop w:val="0"/>
                                          <w:marBottom w:val="0"/>
                                          <w:divBdr>
                                            <w:top w:val="none" w:sz="0" w:space="0" w:color="auto"/>
                                            <w:left w:val="none" w:sz="0" w:space="0" w:color="auto"/>
                                            <w:bottom w:val="none" w:sz="0" w:space="0" w:color="auto"/>
                                            <w:right w:val="none" w:sz="0" w:space="0" w:color="auto"/>
                                          </w:divBdr>
                                          <w:divsChild>
                                            <w:div w:id="122506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66323899">
      <w:bodyDiv w:val="1"/>
      <w:marLeft w:val="0"/>
      <w:marRight w:val="0"/>
      <w:marTop w:val="0"/>
      <w:marBottom w:val="0"/>
      <w:divBdr>
        <w:top w:val="none" w:sz="0" w:space="0" w:color="auto"/>
        <w:left w:val="none" w:sz="0" w:space="0" w:color="auto"/>
        <w:bottom w:val="none" w:sz="0" w:space="0" w:color="auto"/>
        <w:right w:val="none" w:sz="0" w:space="0" w:color="auto"/>
      </w:divBdr>
      <w:divsChild>
        <w:div w:id="50230663">
          <w:marLeft w:val="0"/>
          <w:marRight w:val="0"/>
          <w:marTop w:val="0"/>
          <w:marBottom w:val="0"/>
          <w:divBdr>
            <w:top w:val="none" w:sz="0" w:space="0" w:color="auto"/>
            <w:left w:val="none" w:sz="0" w:space="0" w:color="auto"/>
            <w:bottom w:val="none" w:sz="0" w:space="0" w:color="auto"/>
            <w:right w:val="none" w:sz="0" w:space="0" w:color="auto"/>
          </w:divBdr>
          <w:divsChild>
            <w:div w:id="35860597">
              <w:marLeft w:val="0"/>
              <w:marRight w:val="0"/>
              <w:marTop w:val="0"/>
              <w:marBottom w:val="0"/>
              <w:divBdr>
                <w:top w:val="none" w:sz="0" w:space="0" w:color="auto"/>
                <w:left w:val="none" w:sz="0" w:space="0" w:color="auto"/>
                <w:bottom w:val="none" w:sz="0" w:space="0" w:color="auto"/>
                <w:right w:val="none" w:sz="0" w:space="0" w:color="auto"/>
              </w:divBdr>
              <w:divsChild>
                <w:div w:id="33240882">
                  <w:marLeft w:val="0"/>
                  <w:marRight w:val="0"/>
                  <w:marTop w:val="0"/>
                  <w:marBottom w:val="0"/>
                  <w:divBdr>
                    <w:top w:val="none" w:sz="0" w:space="0" w:color="auto"/>
                    <w:left w:val="none" w:sz="0" w:space="0" w:color="auto"/>
                    <w:bottom w:val="none" w:sz="0" w:space="0" w:color="auto"/>
                    <w:right w:val="none" w:sz="0" w:space="0" w:color="auto"/>
                  </w:divBdr>
                  <w:divsChild>
                    <w:div w:id="1862938260">
                      <w:marLeft w:val="0"/>
                      <w:marRight w:val="0"/>
                      <w:marTop w:val="0"/>
                      <w:marBottom w:val="0"/>
                      <w:divBdr>
                        <w:top w:val="none" w:sz="0" w:space="0" w:color="auto"/>
                        <w:left w:val="none" w:sz="0" w:space="0" w:color="auto"/>
                        <w:bottom w:val="none" w:sz="0" w:space="0" w:color="auto"/>
                        <w:right w:val="none" w:sz="0" w:space="0" w:color="auto"/>
                      </w:divBdr>
                      <w:divsChild>
                        <w:div w:id="223373652">
                          <w:marLeft w:val="0"/>
                          <w:marRight w:val="0"/>
                          <w:marTop w:val="0"/>
                          <w:marBottom w:val="0"/>
                          <w:divBdr>
                            <w:top w:val="none" w:sz="0" w:space="0" w:color="auto"/>
                            <w:left w:val="none" w:sz="0" w:space="0" w:color="auto"/>
                            <w:bottom w:val="none" w:sz="0" w:space="0" w:color="auto"/>
                            <w:right w:val="none" w:sz="0" w:space="0" w:color="auto"/>
                          </w:divBdr>
                          <w:divsChild>
                            <w:div w:id="2139445057">
                              <w:marLeft w:val="0"/>
                              <w:marRight w:val="0"/>
                              <w:marTop w:val="0"/>
                              <w:marBottom w:val="0"/>
                              <w:divBdr>
                                <w:top w:val="none" w:sz="0" w:space="0" w:color="auto"/>
                                <w:left w:val="none" w:sz="0" w:space="0" w:color="auto"/>
                                <w:bottom w:val="none" w:sz="0" w:space="0" w:color="auto"/>
                                <w:right w:val="none" w:sz="0" w:space="0" w:color="auto"/>
                              </w:divBdr>
                              <w:divsChild>
                                <w:div w:id="2048329628">
                                  <w:marLeft w:val="0"/>
                                  <w:marRight w:val="0"/>
                                  <w:marTop w:val="0"/>
                                  <w:marBottom w:val="0"/>
                                  <w:divBdr>
                                    <w:top w:val="none" w:sz="0" w:space="0" w:color="auto"/>
                                    <w:left w:val="none" w:sz="0" w:space="0" w:color="auto"/>
                                    <w:bottom w:val="none" w:sz="0" w:space="0" w:color="auto"/>
                                    <w:right w:val="none" w:sz="0" w:space="0" w:color="auto"/>
                                  </w:divBdr>
                                  <w:divsChild>
                                    <w:div w:id="1491797356">
                                      <w:marLeft w:val="0"/>
                                      <w:marRight w:val="0"/>
                                      <w:marTop w:val="0"/>
                                      <w:marBottom w:val="0"/>
                                      <w:divBdr>
                                        <w:top w:val="single" w:sz="6" w:space="0" w:color="F5F5F5"/>
                                        <w:left w:val="single" w:sz="6" w:space="0" w:color="F5F5F5"/>
                                        <w:bottom w:val="single" w:sz="6" w:space="0" w:color="F5F5F5"/>
                                        <w:right w:val="single" w:sz="6" w:space="0" w:color="F5F5F5"/>
                                      </w:divBdr>
                                      <w:divsChild>
                                        <w:div w:id="642463900">
                                          <w:marLeft w:val="0"/>
                                          <w:marRight w:val="0"/>
                                          <w:marTop w:val="0"/>
                                          <w:marBottom w:val="0"/>
                                          <w:divBdr>
                                            <w:top w:val="none" w:sz="0" w:space="0" w:color="auto"/>
                                            <w:left w:val="none" w:sz="0" w:space="0" w:color="auto"/>
                                            <w:bottom w:val="none" w:sz="0" w:space="0" w:color="auto"/>
                                            <w:right w:val="none" w:sz="0" w:space="0" w:color="auto"/>
                                          </w:divBdr>
                                          <w:divsChild>
                                            <w:div w:id="1108543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53231941">
      <w:bodyDiv w:val="1"/>
      <w:marLeft w:val="0"/>
      <w:marRight w:val="0"/>
      <w:marTop w:val="0"/>
      <w:marBottom w:val="0"/>
      <w:divBdr>
        <w:top w:val="none" w:sz="0" w:space="0" w:color="auto"/>
        <w:left w:val="none" w:sz="0" w:space="0" w:color="auto"/>
        <w:bottom w:val="none" w:sz="0" w:space="0" w:color="auto"/>
        <w:right w:val="none" w:sz="0" w:space="0" w:color="auto"/>
      </w:divBdr>
      <w:divsChild>
        <w:div w:id="1339429995">
          <w:marLeft w:val="0"/>
          <w:marRight w:val="0"/>
          <w:marTop w:val="0"/>
          <w:marBottom w:val="0"/>
          <w:divBdr>
            <w:top w:val="none" w:sz="0" w:space="0" w:color="auto"/>
            <w:left w:val="none" w:sz="0" w:space="0" w:color="auto"/>
            <w:bottom w:val="none" w:sz="0" w:space="0" w:color="auto"/>
            <w:right w:val="none" w:sz="0" w:space="0" w:color="auto"/>
          </w:divBdr>
          <w:divsChild>
            <w:div w:id="526069355">
              <w:marLeft w:val="0"/>
              <w:marRight w:val="0"/>
              <w:marTop w:val="0"/>
              <w:marBottom w:val="0"/>
              <w:divBdr>
                <w:top w:val="none" w:sz="0" w:space="0" w:color="auto"/>
                <w:left w:val="none" w:sz="0" w:space="0" w:color="auto"/>
                <w:bottom w:val="none" w:sz="0" w:space="0" w:color="auto"/>
                <w:right w:val="none" w:sz="0" w:space="0" w:color="auto"/>
              </w:divBdr>
              <w:divsChild>
                <w:div w:id="1417284453">
                  <w:marLeft w:val="0"/>
                  <w:marRight w:val="0"/>
                  <w:marTop w:val="0"/>
                  <w:marBottom w:val="0"/>
                  <w:divBdr>
                    <w:top w:val="none" w:sz="0" w:space="0" w:color="auto"/>
                    <w:left w:val="none" w:sz="0" w:space="0" w:color="auto"/>
                    <w:bottom w:val="none" w:sz="0" w:space="0" w:color="auto"/>
                    <w:right w:val="none" w:sz="0" w:space="0" w:color="auto"/>
                  </w:divBdr>
                  <w:divsChild>
                    <w:div w:id="2001880685">
                      <w:marLeft w:val="0"/>
                      <w:marRight w:val="0"/>
                      <w:marTop w:val="0"/>
                      <w:marBottom w:val="0"/>
                      <w:divBdr>
                        <w:top w:val="none" w:sz="0" w:space="0" w:color="auto"/>
                        <w:left w:val="none" w:sz="0" w:space="0" w:color="auto"/>
                        <w:bottom w:val="none" w:sz="0" w:space="0" w:color="auto"/>
                        <w:right w:val="none" w:sz="0" w:space="0" w:color="auto"/>
                      </w:divBdr>
                      <w:divsChild>
                        <w:div w:id="1186485974">
                          <w:marLeft w:val="0"/>
                          <w:marRight w:val="0"/>
                          <w:marTop w:val="0"/>
                          <w:marBottom w:val="0"/>
                          <w:divBdr>
                            <w:top w:val="none" w:sz="0" w:space="0" w:color="auto"/>
                            <w:left w:val="none" w:sz="0" w:space="0" w:color="auto"/>
                            <w:bottom w:val="none" w:sz="0" w:space="0" w:color="auto"/>
                            <w:right w:val="none" w:sz="0" w:space="0" w:color="auto"/>
                          </w:divBdr>
                          <w:divsChild>
                            <w:div w:id="1841002369">
                              <w:marLeft w:val="0"/>
                              <w:marRight w:val="0"/>
                              <w:marTop w:val="0"/>
                              <w:marBottom w:val="0"/>
                              <w:divBdr>
                                <w:top w:val="none" w:sz="0" w:space="0" w:color="auto"/>
                                <w:left w:val="none" w:sz="0" w:space="0" w:color="auto"/>
                                <w:bottom w:val="none" w:sz="0" w:space="0" w:color="auto"/>
                                <w:right w:val="none" w:sz="0" w:space="0" w:color="auto"/>
                              </w:divBdr>
                              <w:divsChild>
                                <w:div w:id="1761171668">
                                  <w:marLeft w:val="0"/>
                                  <w:marRight w:val="0"/>
                                  <w:marTop w:val="0"/>
                                  <w:marBottom w:val="0"/>
                                  <w:divBdr>
                                    <w:top w:val="none" w:sz="0" w:space="0" w:color="auto"/>
                                    <w:left w:val="none" w:sz="0" w:space="0" w:color="auto"/>
                                    <w:bottom w:val="none" w:sz="0" w:space="0" w:color="auto"/>
                                    <w:right w:val="none" w:sz="0" w:space="0" w:color="auto"/>
                                  </w:divBdr>
                                  <w:divsChild>
                                    <w:div w:id="1250237194">
                                      <w:marLeft w:val="0"/>
                                      <w:marRight w:val="0"/>
                                      <w:marTop w:val="0"/>
                                      <w:marBottom w:val="0"/>
                                      <w:divBdr>
                                        <w:top w:val="single" w:sz="6" w:space="0" w:color="F5F5F5"/>
                                        <w:left w:val="single" w:sz="6" w:space="0" w:color="F5F5F5"/>
                                        <w:bottom w:val="single" w:sz="6" w:space="0" w:color="F5F5F5"/>
                                        <w:right w:val="single" w:sz="6" w:space="0" w:color="F5F5F5"/>
                                      </w:divBdr>
                                      <w:divsChild>
                                        <w:div w:id="1520971885">
                                          <w:marLeft w:val="0"/>
                                          <w:marRight w:val="0"/>
                                          <w:marTop w:val="0"/>
                                          <w:marBottom w:val="0"/>
                                          <w:divBdr>
                                            <w:top w:val="none" w:sz="0" w:space="0" w:color="auto"/>
                                            <w:left w:val="none" w:sz="0" w:space="0" w:color="auto"/>
                                            <w:bottom w:val="none" w:sz="0" w:space="0" w:color="auto"/>
                                            <w:right w:val="none" w:sz="0" w:space="0" w:color="auto"/>
                                          </w:divBdr>
                                          <w:divsChild>
                                            <w:div w:id="185991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91807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18" Type="http://schemas.openxmlformats.org/officeDocument/2006/relationships/customXml" Target="../customXml/item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20" Type="http://schemas.openxmlformats.org/officeDocument/2006/relationships/customXml" Target="../customXml/item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ustomXml" Target="../customXml/item2.xml"/><Relationship Id="rId10" Type="http://schemas.microsoft.com/office/2016/09/relationships/commentsIds" Target="commentsIds.xml"/><Relationship Id="rId19" Type="http://schemas.openxmlformats.org/officeDocument/2006/relationships/customXml" Target="../customXml/item6.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80475A02CE01CC4ABEC78D511D3AA9CC" ma:contentTypeVersion="1187" ma:contentTypeDescription="A content type to manage public (operations) IDB documents" ma:contentTypeScope="" ma:versionID="3cf08a4630ef40087350c66d3ad9656b">
  <xsd:schema xmlns:xsd="http://www.w3.org/2001/XMLSchema" xmlns:xs="http://www.w3.org/2001/XMLSchema" xmlns:p="http://schemas.microsoft.com/office/2006/metadata/properties" xmlns:ns2="cdc7663a-08f0-4737-9e8c-148ce897a09c" targetNamespace="http://schemas.microsoft.com/office/2006/metadata/properties" ma:root="true" ma:fieldsID="be458e9a7a74465ee295cf52fbf364f6"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7.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TC Abstract</TermName>
          <TermId xmlns="http://schemas.microsoft.com/office/infopath/2007/PartnerControls">7d12d2c9-3b07-4a95-a4b4-99c2881b0472</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Paraguay</TermName>
          <TermId xmlns="http://schemas.microsoft.com/office/infopath/2007/PartnerControls">50282442-27e7-4526-9d04-55bf5da33a10</TermId>
        </TermInfo>
      </Terms>
    </ic46d7e087fd4a108fb86518ca413cc6>
    <IDBDocs_x0020_Number xmlns="cdc7663a-08f0-4737-9e8c-148ce897a09c" xsi:nil="true"/>
    <Division_x0020_or_x0020_Unit xmlns="cdc7663a-08f0-4737-9e8c-148ce897a09c">INE/WSA</Division_x0020_or_x0020_Unit>
    <Fiscal_x0020_Year_x0020_IDB xmlns="cdc7663a-08f0-4737-9e8c-148ce897a09c">2019</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ACTIVE</Phase>
    <Document_x0020_Author xmlns="cdc7663a-08f0-4737-9e8c-148ce897a09c">Guerrero Rivera, Marilyn Ivette</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INTEGRAL MANAGEMENT OF WATER RESOURCES</TermName>
          <TermId xmlns="http://schemas.microsoft.com/office/infopath/2007/PartnerControls">b6095696-0808-4ea4-b0d5-c9646be8689e</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INF</TermName>
          <TermId xmlns="http://schemas.microsoft.com/office/infopath/2007/PartnerControls">474aab72-0205-4196-bca7-4b288939fcb3</TermId>
        </TermInfo>
        <TermInfo xmlns="http://schemas.microsoft.com/office/infopath/2007/PartnerControls">
          <TermName xmlns="http://schemas.microsoft.com/office/infopath/2007/PartnerControls">SFW</TermName>
          <TermId xmlns="http://schemas.microsoft.com/office/infopath/2007/PartnerControls">dad7ca5b-e14d-497b-baa5-1d3bf690bce9</TermId>
        </TermInfo>
      </Terms>
    </g511464f9e53401d84b16fa9b379a574>
    <Related_x0020_SisCor_x0020_Number xmlns="cdc7663a-08f0-4737-9e8c-148ce897a09c" xsi:nil="true"/>
    <TaxCatchAll xmlns="cdc7663a-08f0-4737-9e8c-148ce897a09c">
      <Value>29</Value>
      <Value>28</Value>
      <Value>265</Value>
      <Value>77</Value>
      <Value>75</Value>
      <Value>122</Value>
      <Value>1</Value>
    </TaxCatchAll>
    <Operation_x0020_Type xmlns="cdc7663a-08f0-4737-9e8c-148ce897a09c">Technical Cooperation</Operation_x0020_Type>
    <Package_x0020_Code xmlns="cdc7663a-08f0-4737-9e8c-148ce897a09c" xsi:nil="true"/>
    <Identifier xmlns="cdc7663a-08f0-4737-9e8c-148ce897a09c" xsi:nil="true"/>
    <Project_x0020_Number xmlns="cdc7663a-08f0-4737-9e8c-148ce897a09c">PR-T1268</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WATER AND SANITATION</TermName>
          <TermId xmlns="http://schemas.microsoft.com/office/infopath/2007/PartnerControls">ba6b63cd-e402-47cb-9357-08149f7ce046</TermId>
        </TermInfo>
      </Terms>
    </nddeef1749674d76abdbe4b239a70bc6>
    <Record_x0020_Number xmlns="cdc7663a-08f0-4737-9e8c-148ce897a09c" xsi:nil="true"/>
    <_dlc_DocId xmlns="cdc7663a-08f0-4737-9e8c-148ce897a09c">EZSHARE-1464757482-2</_dlc_DocId>
    <_dlc_DocIdUrl xmlns="cdc7663a-08f0-4737-9e8c-148ce897a09c">
      <Url>https://idbg.sharepoint.com/teams/EZ-PR-TCP/PR-T1268/_layouts/15/DocIdRedir.aspx?ID=EZSHARE-1464757482-2</Url>
      <Description>EZSHARE-1464757482-2</Description>
    </_dlc_DocIdUrl>
    <Disclosure_x0020_Activity xmlns="cdc7663a-08f0-4737-9e8c-148ce897a09c">TC Abstract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Water and Sanitation;</Webtopic>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5FD1747B-36A1-4DD8-9767-CB788A6180D8}">
  <ds:schemaRefs>
    <ds:schemaRef ds:uri="http://schemas.openxmlformats.org/officeDocument/2006/bibliography"/>
  </ds:schemaRefs>
</ds:datastoreItem>
</file>

<file path=customXml/itemProps2.xml><?xml version="1.0" encoding="utf-8"?>
<ds:datastoreItem xmlns:ds="http://schemas.openxmlformats.org/officeDocument/2006/customXml" ds:itemID="{84D1F626-D707-4F13-A30D-39AD7A05DC7E}"/>
</file>

<file path=customXml/itemProps3.xml><?xml version="1.0" encoding="utf-8"?>
<ds:datastoreItem xmlns:ds="http://schemas.openxmlformats.org/officeDocument/2006/customXml" ds:itemID="{04D025EF-7AD4-41E5-A6B4-E6236FDB0072}"/>
</file>

<file path=customXml/itemProps4.xml><?xml version="1.0" encoding="utf-8"?>
<ds:datastoreItem xmlns:ds="http://schemas.openxmlformats.org/officeDocument/2006/customXml" ds:itemID="{BF51C654-B162-4CFD-B44E-3E129E270D41}"/>
</file>

<file path=customXml/itemProps5.xml><?xml version="1.0" encoding="utf-8"?>
<ds:datastoreItem xmlns:ds="http://schemas.openxmlformats.org/officeDocument/2006/customXml" ds:itemID="{299619C2-81A2-4A85-872A-E52BD46C1868}"/>
</file>

<file path=customXml/itemProps6.xml><?xml version="1.0" encoding="utf-8"?>
<ds:datastoreItem xmlns:ds="http://schemas.openxmlformats.org/officeDocument/2006/customXml" ds:itemID="{189C211F-CB4F-4F8D-B89C-109448014FE8}"/>
</file>

<file path=customXml/itemProps7.xml><?xml version="1.0" encoding="utf-8"?>
<ds:datastoreItem xmlns:ds="http://schemas.openxmlformats.org/officeDocument/2006/customXml" ds:itemID="{5BD8B272-1064-4703-897C-B34141B587AC}"/>
</file>

<file path=docProps/app.xml><?xml version="1.0" encoding="utf-8"?>
<Properties xmlns="http://schemas.openxmlformats.org/officeDocument/2006/extended-properties" xmlns:vt="http://schemas.openxmlformats.org/officeDocument/2006/docPropsVTypes">
  <Template>Normal</Template>
  <TotalTime>662</TotalTime>
  <Pages>1</Pages>
  <Words>2459</Words>
  <Characters>14020</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16447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Yolanda Strachan</dc:creator>
  <cp:keywords/>
  <dc:description/>
  <cp:lastModifiedBy>Guerrero Rivera, Marilyn Ivette</cp:lastModifiedBy>
  <cp:revision>15</cp:revision>
  <cp:lastPrinted>2014-10-01T20:52:00Z</cp:lastPrinted>
  <dcterms:created xsi:type="dcterms:W3CDTF">2019-04-11T20:00:00Z</dcterms:created>
  <dcterms:modified xsi:type="dcterms:W3CDTF">2019-07-10T19:09:00Z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28;#TC Abstract|7d12d2c9-3b07-4a95-a4b4-99c2881b0472</vt:lpwstr>
  </property>
  <property fmtid="{D5CDD505-2E9C-101B-9397-08002B2CF9AE}" pid="6" name="Sub-Sector">
    <vt:lpwstr>77;#INTEGRAL MANAGEMENT OF WATER RESOURCES|b6095696-0808-4ea4-b0d5-c9646be8689e</vt:lpwstr>
  </property>
  <property fmtid="{D5CDD505-2E9C-101B-9397-08002B2CF9AE}" pid="7" name="Fund IDB">
    <vt:lpwstr>122;#INF|474aab72-0205-4196-bca7-4b288939fcb3;#265;#SFW|dad7ca5b-e14d-497b-baa5-1d3bf690bce9</vt:lpwstr>
  </property>
  <property fmtid="{D5CDD505-2E9C-101B-9397-08002B2CF9AE}" pid="8" name="Country">
    <vt:lpwstr>29;#Paraguay|50282442-27e7-4526-9d04-55bf5da33a10</vt:lpwstr>
  </property>
  <property fmtid="{D5CDD505-2E9C-101B-9397-08002B2CF9AE}" pid="9" name="Sector IDB">
    <vt:lpwstr>75;#WATER AND SANITATION|ba6b63cd-e402-47cb-9357-08149f7ce046</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1a4a6fbf-af0d-48c2-a687-898fb581dcb3</vt:lpwstr>
  </property>
  <property fmtid="{D5CDD505-2E9C-101B-9397-08002B2CF9AE}" pid="12" name="ContentTypeId">
    <vt:lpwstr>0x0101001A458A224826124E8B45B1D613300CFC0080475A02CE01CC4ABEC78D511D3AA9CC</vt:lpwstr>
  </property>
</Properties>
</file>