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7F5F2" w14:textId="77777777" w:rsidR="00C2448E" w:rsidRPr="009C306A" w:rsidRDefault="00C2448E" w:rsidP="00C2448E">
      <w:pPr>
        <w:pStyle w:val="Title"/>
        <w:tabs>
          <w:tab w:val="clear" w:pos="1440"/>
          <w:tab w:val="clear" w:pos="3060"/>
        </w:tabs>
        <w:outlineLvl w:val="9"/>
        <w:rPr>
          <w:smallCaps/>
          <w:szCs w:val="24"/>
          <w:lang w:val="es-ES"/>
        </w:rPr>
      </w:pPr>
      <w:bookmarkStart w:id="0" w:name="_Toc329186121"/>
      <w:r w:rsidRPr="009C306A">
        <w:rPr>
          <w:smallCaps/>
          <w:szCs w:val="24"/>
          <w:lang w:val="es-ES"/>
        </w:rPr>
        <w:t>Documento del Banco Interamericano de Desarrollo</w:t>
      </w:r>
      <w:bookmarkEnd w:id="0"/>
    </w:p>
    <w:p w14:paraId="54232AF7" w14:textId="77777777" w:rsidR="00C2448E" w:rsidRPr="009C306A" w:rsidRDefault="00C2448E" w:rsidP="00C2448E">
      <w:pPr>
        <w:pStyle w:val="ListParagraph"/>
        <w:spacing w:before="120"/>
        <w:ind w:left="0"/>
        <w:jc w:val="center"/>
        <w:rPr>
          <w:b/>
          <w:lang w:val="es-ES"/>
        </w:rPr>
      </w:pPr>
    </w:p>
    <w:p w14:paraId="64342EB4" w14:textId="77777777" w:rsidR="00C2448E" w:rsidRPr="009C306A" w:rsidRDefault="00C2448E" w:rsidP="00C2448E">
      <w:pPr>
        <w:tabs>
          <w:tab w:val="left" w:pos="1440"/>
          <w:tab w:val="left" w:pos="3060"/>
        </w:tabs>
        <w:jc w:val="center"/>
        <w:rPr>
          <w:b/>
          <w:smallCaps/>
          <w:lang w:val="es-ES"/>
        </w:rPr>
      </w:pPr>
    </w:p>
    <w:p w14:paraId="40F09B96" w14:textId="77777777" w:rsidR="00C2448E" w:rsidRPr="009C306A" w:rsidRDefault="00C2448E" w:rsidP="00C2448E">
      <w:pPr>
        <w:tabs>
          <w:tab w:val="left" w:pos="1440"/>
          <w:tab w:val="left" w:pos="3060"/>
        </w:tabs>
        <w:jc w:val="center"/>
        <w:rPr>
          <w:b/>
          <w:smallCaps/>
          <w:lang w:val="es-ES"/>
        </w:rPr>
      </w:pPr>
    </w:p>
    <w:p w14:paraId="698DAE6B" w14:textId="77777777" w:rsidR="00C2448E" w:rsidRPr="009C306A" w:rsidRDefault="00417FC9" w:rsidP="00C2448E">
      <w:pPr>
        <w:tabs>
          <w:tab w:val="left" w:pos="1440"/>
          <w:tab w:val="left" w:pos="3060"/>
        </w:tabs>
        <w:jc w:val="center"/>
        <w:rPr>
          <w:b/>
          <w:smallCaps/>
          <w:lang w:val="es-ES"/>
        </w:rPr>
      </w:pPr>
      <w:r>
        <w:rPr>
          <w:b/>
          <w:smallCaps/>
          <w:lang w:val="es-ES"/>
        </w:rPr>
        <w:t>Uruguay</w:t>
      </w:r>
    </w:p>
    <w:p w14:paraId="7B693268" w14:textId="77777777" w:rsidR="00C2448E" w:rsidRPr="009C306A" w:rsidRDefault="00C2448E" w:rsidP="00C2448E">
      <w:pPr>
        <w:tabs>
          <w:tab w:val="left" w:pos="1440"/>
          <w:tab w:val="left" w:pos="3060"/>
        </w:tabs>
        <w:jc w:val="center"/>
        <w:rPr>
          <w:b/>
          <w:smallCaps/>
          <w:lang w:val="es-ES"/>
        </w:rPr>
      </w:pPr>
    </w:p>
    <w:p w14:paraId="0DBFC36F" w14:textId="77777777" w:rsidR="00C2448E" w:rsidRPr="009C306A" w:rsidRDefault="00C2448E" w:rsidP="00C2448E">
      <w:pPr>
        <w:tabs>
          <w:tab w:val="left" w:pos="1440"/>
          <w:tab w:val="left" w:pos="3060"/>
        </w:tabs>
        <w:jc w:val="center"/>
        <w:rPr>
          <w:b/>
          <w:smallCaps/>
          <w:lang w:val="es-ES"/>
        </w:rPr>
      </w:pPr>
    </w:p>
    <w:p w14:paraId="10B93259" w14:textId="77777777" w:rsidR="00417FC9" w:rsidRPr="003F4E99" w:rsidRDefault="00417FC9" w:rsidP="00417FC9">
      <w:pPr>
        <w:spacing w:line="276" w:lineRule="auto"/>
        <w:jc w:val="center"/>
        <w:rPr>
          <w:b/>
          <w:smallCaps/>
          <w:lang w:val="es-UY"/>
        </w:rPr>
      </w:pPr>
      <w:r w:rsidRPr="003F4E99">
        <w:rPr>
          <w:b/>
          <w:smallCaps/>
          <w:lang w:val="es-UY"/>
        </w:rPr>
        <w:t>Programa de Mejoramiento de Barrios III - PMB III</w:t>
      </w:r>
    </w:p>
    <w:p w14:paraId="2BCD3C93" w14:textId="77777777" w:rsidR="00417FC9" w:rsidRPr="00D111A1" w:rsidRDefault="00417FC9" w:rsidP="00417FC9">
      <w:pPr>
        <w:spacing w:line="276" w:lineRule="auto"/>
        <w:jc w:val="center"/>
        <w:rPr>
          <w:b/>
          <w:smallCaps/>
          <w:lang w:val="es-UY"/>
        </w:rPr>
      </w:pPr>
      <w:r w:rsidRPr="003F4E99">
        <w:rPr>
          <w:b/>
          <w:smallCaps/>
          <w:lang w:val="es-UY"/>
        </w:rPr>
        <w:t>(UR-L1146)</w:t>
      </w:r>
    </w:p>
    <w:p w14:paraId="7B99AEBD" w14:textId="77777777" w:rsidR="00417FC9" w:rsidRPr="009C306A" w:rsidRDefault="00417FC9" w:rsidP="00D37719">
      <w:pPr>
        <w:tabs>
          <w:tab w:val="left" w:pos="1440"/>
          <w:tab w:val="left" w:pos="3060"/>
        </w:tabs>
        <w:jc w:val="center"/>
        <w:outlineLvl w:val="0"/>
        <w:rPr>
          <w:b/>
          <w:smallCaps/>
          <w:lang w:val="es-ES" w:eastAsia="pt-BR"/>
        </w:rPr>
      </w:pPr>
    </w:p>
    <w:p w14:paraId="51D1729C" w14:textId="77777777" w:rsidR="000C64D9" w:rsidRDefault="000C64D9" w:rsidP="00D37719">
      <w:pPr>
        <w:tabs>
          <w:tab w:val="left" w:pos="1440"/>
          <w:tab w:val="left" w:pos="3060"/>
        </w:tabs>
        <w:jc w:val="center"/>
        <w:outlineLvl w:val="0"/>
        <w:rPr>
          <w:b/>
          <w:smallCaps/>
          <w:lang w:val="es-ES" w:eastAsia="pt-BR"/>
        </w:rPr>
      </w:pPr>
      <w:bookmarkStart w:id="1" w:name="_Toc366596097"/>
      <w:bookmarkStart w:id="2" w:name="_Toc366759152"/>
    </w:p>
    <w:bookmarkEnd w:id="1"/>
    <w:bookmarkEnd w:id="2"/>
    <w:p w14:paraId="6B269E84" w14:textId="77777777" w:rsidR="00D37719" w:rsidRPr="009C306A" w:rsidRDefault="00D37719" w:rsidP="00D37719">
      <w:pPr>
        <w:tabs>
          <w:tab w:val="left" w:pos="1440"/>
          <w:tab w:val="left" w:pos="3060"/>
        </w:tabs>
        <w:jc w:val="center"/>
        <w:outlineLvl w:val="0"/>
        <w:rPr>
          <w:b/>
          <w:smallCaps/>
          <w:lang w:val="es-ES" w:eastAsia="pt-BR"/>
        </w:rPr>
      </w:pPr>
    </w:p>
    <w:p w14:paraId="439C119C" w14:textId="77777777" w:rsidR="00C2448E" w:rsidRPr="009C306A" w:rsidRDefault="00C2448E" w:rsidP="00C2448E">
      <w:pPr>
        <w:pStyle w:val="Newpage"/>
        <w:rPr>
          <w:rFonts w:cs="Times New Roman"/>
          <w:b w:val="0"/>
          <w:caps/>
          <w:smallCaps w:val="0"/>
          <w:szCs w:val="24"/>
          <w:lang w:val="es-ES"/>
        </w:rPr>
      </w:pPr>
    </w:p>
    <w:p w14:paraId="555C57A0" w14:textId="77777777" w:rsidR="00C2448E" w:rsidRPr="009C306A" w:rsidRDefault="00C2448E" w:rsidP="00C2448E">
      <w:pPr>
        <w:tabs>
          <w:tab w:val="left" w:pos="1440"/>
          <w:tab w:val="left" w:pos="3060"/>
        </w:tabs>
        <w:jc w:val="center"/>
        <w:rPr>
          <w:smallCaps/>
          <w:lang w:val="es-ES"/>
        </w:rPr>
      </w:pPr>
    </w:p>
    <w:p w14:paraId="529A79AE" w14:textId="77777777" w:rsidR="00C2448E" w:rsidRPr="009C306A" w:rsidRDefault="00C2448E" w:rsidP="00C2448E">
      <w:pPr>
        <w:tabs>
          <w:tab w:val="left" w:pos="3060"/>
        </w:tabs>
        <w:jc w:val="center"/>
        <w:rPr>
          <w:rFonts w:ascii="Times New Roman Bold" w:hAnsi="Times New Roman Bold"/>
          <w:b/>
          <w:smallCaps/>
          <w:lang w:val="es-ES"/>
        </w:rPr>
      </w:pPr>
      <w:r w:rsidRPr="009C306A">
        <w:rPr>
          <w:rFonts w:ascii="Times New Roman Bold" w:hAnsi="Times New Roman Bold"/>
          <w:b/>
          <w:smallCaps/>
          <w:lang w:val="es-ES"/>
        </w:rPr>
        <w:t xml:space="preserve">Análisis del Cumplimiento de la </w:t>
      </w:r>
      <w:r w:rsidRPr="009C306A">
        <w:rPr>
          <w:rFonts w:ascii="Times New Roman Bold" w:hAnsi="Times New Roman Bold"/>
          <w:b/>
          <w:smallCaps/>
          <w:lang w:val="es-ES"/>
        </w:rPr>
        <w:br/>
        <w:t xml:space="preserve">Política de Servicios Públicos Domiciliarios (GN-2716-4) </w:t>
      </w:r>
    </w:p>
    <w:p w14:paraId="0B3AD8EA" w14:textId="77777777" w:rsidR="00C2448E" w:rsidRPr="009C306A" w:rsidRDefault="00C2448E" w:rsidP="00C2448E">
      <w:pPr>
        <w:jc w:val="center"/>
        <w:rPr>
          <w:b/>
          <w:smallCaps/>
          <w:lang w:val="es-ES"/>
        </w:rPr>
      </w:pPr>
    </w:p>
    <w:p w14:paraId="6BA02E2B" w14:textId="77777777" w:rsidR="00C2448E" w:rsidRPr="009C306A" w:rsidRDefault="00C2448E" w:rsidP="00C2448E">
      <w:pPr>
        <w:tabs>
          <w:tab w:val="left" w:pos="1440"/>
          <w:tab w:val="left" w:pos="3060"/>
        </w:tabs>
        <w:outlineLvl w:val="0"/>
        <w:rPr>
          <w:b/>
          <w:smallCaps/>
          <w:lang w:val="es-ES"/>
        </w:rPr>
      </w:pPr>
    </w:p>
    <w:p w14:paraId="7B182B6B" w14:textId="77777777" w:rsidR="00C2448E" w:rsidRPr="009C306A" w:rsidRDefault="00C2448E" w:rsidP="00C2448E">
      <w:pPr>
        <w:pStyle w:val="ListParagraph"/>
        <w:spacing w:before="120"/>
        <w:ind w:left="1080"/>
        <w:jc w:val="center"/>
        <w:rPr>
          <w:b/>
          <w:lang w:val="es-ES"/>
        </w:rPr>
      </w:pPr>
    </w:p>
    <w:p w14:paraId="69469530" w14:textId="77777777" w:rsidR="00C2448E" w:rsidRPr="009C306A" w:rsidRDefault="00C2448E" w:rsidP="00C2448E">
      <w:pPr>
        <w:pStyle w:val="ListParagraph"/>
        <w:spacing w:before="120"/>
        <w:ind w:left="1080"/>
        <w:jc w:val="center"/>
        <w:rPr>
          <w:b/>
          <w:lang w:val="es-ES"/>
        </w:rPr>
      </w:pPr>
    </w:p>
    <w:p w14:paraId="53D6533D" w14:textId="77777777" w:rsidR="00C2448E" w:rsidRPr="009C306A" w:rsidRDefault="00C2448E" w:rsidP="00C2448E">
      <w:pPr>
        <w:pStyle w:val="ListParagraph"/>
        <w:spacing w:before="120"/>
        <w:ind w:left="1080"/>
        <w:jc w:val="center"/>
        <w:rPr>
          <w:b/>
          <w:lang w:val="es-ES"/>
        </w:rPr>
      </w:pPr>
    </w:p>
    <w:p w14:paraId="60442E37" w14:textId="77777777" w:rsidR="00C2448E" w:rsidRPr="009C306A" w:rsidRDefault="00C2448E" w:rsidP="00C2448E">
      <w:pPr>
        <w:pStyle w:val="ListParagraph"/>
        <w:spacing w:before="120"/>
        <w:ind w:left="1080"/>
        <w:jc w:val="center"/>
        <w:rPr>
          <w:b/>
          <w:lang w:val="es-ES"/>
        </w:rPr>
      </w:pPr>
    </w:p>
    <w:p w14:paraId="32ADD2C4" w14:textId="77777777" w:rsidR="00C2448E" w:rsidRPr="009C306A" w:rsidRDefault="00C2448E" w:rsidP="00C2448E">
      <w:pPr>
        <w:pStyle w:val="ListParagraph"/>
        <w:spacing w:before="120"/>
        <w:ind w:left="1080"/>
        <w:jc w:val="center"/>
        <w:rPr>
          <w:b/>
          <w:lang w:val="es-ES"/>
        </w:rPr>
      </w:pPr>
    </w:p>
    <w:p w14:paraId="517B7A6D" w14:textId="77777777" w:rsidR="00C2448E" w:rsidRPr="009C306A" w:rsidRDefault="00C2448E" w:rsidP="00C2448E">
      <w:pPr>
        <w:pStyle w:val="ListParagraph"/>
        <w:spacing w:before="120"/>
        <w:ind w:left="1080"/>
        <w:jc w:val="center"/>
        <w:rPr>
          <w:b/>
          <w:lang w:val="es-ES"/>
        </w:rPr>
      </w:pPr>
    </w:p>
    <w:p w14:paraId="09147D8B" w14:textId="77777777" w:rsidR="00C2448E" w:rsidRPr="009C306A" w:rsidRDefault="00C2448E" w:rsidP="00C2448E">
      <w:pPr>
        <w:pStyle w:val="ListParagraph"/>
        <w:spacing w:before="120"/>
        <w:ind w:left="1080"/>
        <w:jc w:val="center"/>
        <w:rPr>
          <w:b/>
          <w:lang w:val="es-ES"/>
        </w:rPr>
      </w:pPr>
    </w:p>
    <w:p w14:paraId="7220FE15" w14:textId="77777777" w:rsidR="00C2448E" w:rsidRPr="009C306A" w:rsidRDefault="00C2448E" w:rsidP="00C2448E">
      <w:pPr>
        <w:pStyle w:val="ListParagraph"/>
        <w:spacing w:before="120"/>
        <w:ind w:left="1080"/>
        <w:jc w:val="center"/>
        <w:rPr>
          <w:b/>
          <w:lang w:val="es-ES"/>
        </w:rPr>
      </w:pPr>
    </w:p>
    <w:p w14:paraId="76C05B7E" w14:textId="77777777" w:rsidR="00C2448E" w:rsidRPr="009C306A" w:rsidRDefault="00C2448E" w:rsidP="00C2448E">
      <w:pPr>
        <w:pStyle w:val="ListParagraph"/>
        <w:spacing w:before="120"/>
        <w:ind w:left="1080"/>
        <w:jc w:val="center"/>
        <w:rPr>
          <w:b/>
          <w:lang w:val="es-ES"/>
        </w:rPr>
      </w:pPr>
    </w:p>
    <w:p w14:paraId="4C82F851" w14:textId="77777777" w:rsidR="00C2448E" w:rsidRPr="009C306A" w:rsidRDefault="00C2448E" w:rsidP="00C2448E">
      <w:pPr>
        <w:pStyle w:val="ListParagraph"/>
        <w:spacing w:before="120"/>
        <w:ind w:left="1080"/>
        <w:jc w:val="center"/>
        <w:rPr>
          <w:b/>
          <w:lang w:val="es-ES"/>
        </w:rPr>
      </w:pPr>
    </w:p>
    <w:p w14:paraId="577D2BE4" w14:textId="77777777" w:rsidR="00C2448E" w:rsidRPr="009C306A" w:rsidRDefault="00C2448E" w:rsidP="00C2448E">
      <w:pPr>
        <w:tabs>
          <w:tab w:val="left" w:pos="1440"/>
          <w:tab w:val="left" w:pos="3060"/>
        </w:tabs>
        <w:jc w:val="center"/>
        <w:rPr>
          <w:lang w:val="es-ES"/>
        </w:rPr>
      </w:pPr>
    </w:p>
    <w:p w14:paraId="7809BC51" w14:textId="77777777" w:rsidR="00C2448E" w:rsidRPr="009C306A" w:rsidRDefault="00C2448E" w:rsidP="00C2448E">
      <w:pPr>
        <w:autoSpaceDE w:val="0"/>
        <w:autoSpaceDN w:val="0"/>
        <w:adjustRightInd w:val="0"/>
        <w:jc w:val="both"/>
        <w:rPr>
          <w:b/>
          <w:bCs/>
          <w:i/>
          <w:iCs/>
          <w:lang w:val="es-ES"/>
        </w:rPr>
        <w:sectPr w:rsidR="00C2448E" w:rsidRPr="009C306A" w:rsidSect="00B95524">
          <w:footerReference w:type="default" r:id="rId8"/>
          <w:pgSz w:w="12240" w:h="15840" w:code="1"/>
          <w:pgMar w:top="1440" w:right="1800" w:bottom="1440" w:left="1800" w:header="720" w:footer="432" w:gutter="0"/>
          <w:cols w:space="720"/>
          <w:vAlign w:val="both"/>
          <w:titlePg/>
          <w:docGrid w:linePitch="360"/>
        </w:sectPr>
      </w:pPr>
    </w:p>
    <w:p w14:paraId="288A5E3F" w14:textId="77777777" w:rsidR="00417FC9" w:rsidRPr="003F4E99" w:rsidRDefault="00417FC9" w:rsidP="00417FC9">
      <w:pPr>
        <w:spacing w:line="276" w:lineRule="auto"/>
        <w:jc w:val="center"/>
        <w:rPr>
          <w:b/>
          <w:smallCaps/>
          <w:lang w:val="es-UY"/>
        </w:rPr>
      </w:pPr>
      <w:bookmarkStart w:id="3" w:name="_Toc329271481"/>
      <w:bookmarkStart w:id="4" w:name="_Toc329338481"/>
      <w:bookmarkStart w:id="5" w:name="_Toc366596096"/>
      <w:bookmarkStart w:id="6" w:name="_Toc366759151"/>
      <w:r w:rsidRPr="003F4E99">
        <w:rPr>
          <w:b/>
          <w:smallCaps/>
          <w:lang w:val="es-UY"/>
        </w:rPr>
        <w:lastRenderedPageBreak/>
        <w:t>Programa de Mejoramiento de Barrios III - PMB III</w:t>
      </w:r>
    </w:p>
    <w:p w14:paraId="5F4E633D" w14:textId="77777777" w:rsidR="00417FC9" w:rsidRPr="00D111A1" w:rsidRDefault="00417FC9" w:rsidP="00417FC9">
      <w:pPr>
        <w:spacing w:line="276" w:lineRule="auto"/>
        <w:jc w:val="center"/>
        <w:rPr>
          <w:b/>
          <w:smallCaps/>
          <w:lang w:val="es-UY"/>
        </w:rPr>
      </w:pPr>
      <w:bookmarkStart w:id="7" w:name="_Hlk518396507"/>
      <w:r w:rsidRPr="003F4E99">
        <w:rPr>
          <w:b/>
          <w:smallCaps/>
          <w:lang w:val="es-UY"/>
        </w:rPr>
        <w:t>(UR-L1146)</w:t>
      </w:r>
    </w:p>
    <w:bookmarkEnd w:id="7"/>
    <w:p w14:paraId="5D41F885" w14:textId="77777777" w:rsidR="00417FC9" w:rsidRDefault="00417FC9">
      <w:pPr>
        <w:tabs>
          <w:tab w:val="left" w:pos="3060"/>
        </w:tabs>
        <w:jc w:val="center"/>
        <w:rPr>
          <w:rFonts w:ascii="Times New Roman Bold" w:hAnsi="Times New Roman Bold"/>
          <w:b/>
          <w:bCs/>
          <w:smallCaps/>
          <w:lang w:val="es-ES"/>
        </w:rPr>
      </w:pPr>
    </w:p>
    <w:bookmarkEnd w:id="3"/>
    <w:bookmarkEnd w:id="4"/>
    <w:bookmarkEnd w:id="5"/>
    <w:bookmarkEnd w:id="6"/>
    <w:p w14:paraId="46E7EC98" w14:textId="77777777" w:rsidR="000F1306" w:rsidRPr="009C306A" w:rsidRDefault="000F1306" w:rsidP="00600AC8">
      <w:pPr>
        <w:tabs>
          <w:tab w:val="left" w:pos="3060"/>
        </w:tabs>
        <w:jc w:val="center"/>
        <w:rPr>
          <w:rFonts w:ascii="Times New Roman Bold" w:hAnsi="Times New Roman Bold"/>
          <w:b/>
          <w:smallCaps/>
          <w:lang w:val="es-ES"/>
        </w:rPr>
      </w:pPr>
      <w:r w:rsidRPr="009C306A">
        <w:rPr>
          <w:rFonts w:ascii="Times New Roman Bold" w:hAnsi="Times New Roman Bold"/>
          <w:b/>
          <w:smallCaps/>
          <w:lang w:val="es-ES"/>
        </w:rPr>
        <w:t>Análisis del Cumplimiento del Programa de con la</w:t>
      </w:r>
      <w:r w:rsidR="00C2448E" w:rsidRPr="009C306A">
        <w:rPr>
          <w:rFonts w:ascii="Times New Roman Bold" w:hAnsi="Times New Roman Bold"/>
          <w:b/>
          <w:smallCaps/>
          <w:lang w:val="es-ES"/>
        </w:rPr>
        <w:t xml:space="preserve"> Política de Servicios Públicos </w:t>
      </w:r>
      <w:r w:rsidRPr="009C306A">
        <w:rPr>
          <w:rFonts w:ascii="Times New Roman Bold" w:hAnsi="Times New Roman Bold"/>
          <w:b/>
          <w:smallCaps/>
          <w:lang w:val="es-ES"/>
        </w:rPr>
        <w:t>Domiciliarios (</w:t>
      </w:r>
      <w:r w:rsidR="00BE1B62" w:rsidRPr="009C306A">
        <w:rPr>
          <w:rFonts w:ascii="Times New Roman Bold" w:hAnsi="Times New Roman Bold"/>
          <w:b/>
          <w:smallCaps/>
          <w:lang w:val="es-ES"/>
        </w:rPr>
        <w:t>GN-2716-4</w:t>
      </w:r>
      <w:r w:rsidRPr="009C306A">
        <w:rPr>
          <w:rFonts w:ascii="Times New Roman Bold" w:hAnsi="Times New Roman Bold"/>
          <w:b/>
          <w:smallCaps/>
          <w:lang w:val="es-ES"/>
        </w:rPr>
        <w:t xml:space="preserve">) del 4 de Diciembre de 2013 </w:t>
      </w:r>
    </w:p>
    <w:p w14:paraId="4A6C5ABC" w14:textId="77777777" w:rsidR="000F1306" w:rsidRPr="009C306A" w:rsidRDefault="000F1306" w:rsidP="000F1306">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2938"/>
        <w:gridCol w:w="4765"/>
      </w:tblGrid>
      <w:tr w:rsidR="001B7D52" w:rsidRPr="00FF5A44" w14:paraId="22D505CB" w14:textId="77777777" w:rsidTr="00FF5A44">
        <w:trPr>
          <w:jc w:val="center"/>
        </w:trPr>
        <w:tc>
          <w:tcPr>
            <w:tcW w:w="1647" w:type="dxa"/>
            <w:shd w:val="clear" w:color="auto" w:fill="C0C0C0"/>
          </w:tcPr>
          <w:p w14:paraId="39E1BE21" w14:textId="77777777" w:rsidR="001B7D52" w:rsidRPr="00FF5A44" w:rsidRDefault="001B7D52" w:rsidP="0090452A">
            <w:pPr>
              <w:jc w:val="center"/>
              <w:rPr>
                <w:b/>
                <w:sz w:val="20"/>
                <w:szCs w:val="20"/>
                <w:lang w:val="es-ES"/>
              </w:rPr>
            </w:pPr>
            <w:r w:rsidRPr="00FF5A44">
              <w:rPr>
                <w:b/>
                <w:sz w:val="20"/>
                <w:szCs w:val="20"/>
                <w:lang w:val="es-ES"/>
              </w:rPr>
              <w:t>Condiciones de la Política</w:t>
            </w:r>
          </w:p>
          <w:p w14:paraId="2447DE0B" w14:textId="77777777" w:rsidR="001B7D52" w:rsidRPr="00FF5A44" w:rsidRDefault="001B7D52" w:rsidP="0090452A">
            <w:pPr>
              <w:jc w:val="center"/>
              <w:rPr>
                <w:b/>
                <w:sz w:val="20"/>
                <w:szCs w:val="20"/>
                <w:lang w:val="es-ES"/>
              </w:rPr>
            </w:pPr>
          </w:p>
        </w:tc>
        <w:tc>
          <w:tcPr>
            <w:tcW w:w="2938" w:type="dxa"/>
            <w:shd w:val="clear" w:color="auto" w:fill="C0C0C0"/>
          </w:tcPr>
          <w:p w14:paraId="741E0E9B" w14:textId="77777777" w:rsidR="001B7D52" w:rsidRPr="00FF5A44" w:rsidRDefault="001B7D52" w:rsidP="0090452A">
            <w:pPr>
              <w:jc w:val="center"/>
              <w:rPr>
                <w:b/>
                <w:sz w:val="20"/>
                <w:szCs w:val="20"/>
                <w:lang w:val="es-ES"/>
              </w:rPr>
            </w:pPr>
            <w:r w:rsidRPr="00FF5A44">
              <w:rPr>
                <w:b/>
                <w:sz w:val="20"/>
                <w:szCs w:val="20"/>
                <w:lang w:val="es-ES"/>
              </w:rPr>
              <w:t>Descripción</w:t>
            </w:r>
          </w:p>
        </w:tc>
        <w:tc>
          <w:tcPr>
            <w:tcW w:w="4765" w:type="dxa"/>
            <w:shd w:val="clear" w:color="auto" w:fill="C0C0C0"/>
          </w:tcPr>
          <w:p w14:paraId="40233C81" w14:textId="77777777" w:rsidR="001B7D52" w:rsidRPr="00FF5A44" w:rsidRDefault="001B7D52" w:rsidP="0090452A">
            <w:pPr>
              <w:jc w:val="center"/>
              <w:rPr>
                <w:b/>
                <w:sz w:val="20"/>
                <w:szCs w:val="20"/>
                <w:lang w:val="es-ES"/>
              </w:rPr>
            </w:pPr>
            <w:r w:rsidRPr="00FF5A44">
              <w:rPr>
                <w:b/>
                <w:sz w:val="20"/>
                <w:szCs w:val="20"/>
                <w:lang w:val="es-ES"/>
              </w:rPr>
              <w:t>Comentarios</w:t>
            </w:r>
          </w:p>
        </w:tc>
      </w:tr>
      <w:tr w:rsidR="001B7D52" w:rsidRPr="00CA58EC" w14:paraId="2B3D0133" w14:textId="77777777" w:rsidTr="00FF5A44">
        <w:trPr>
          <w:jc w:val="center"/>
        </w:trPr>
        <w:tc>
          <w:tcPr>
            <w:tcW w:w="1647" w:type="dxa"/>
            <w:shd w:val="clear" w:color="auto" w:fill="auto"/>
          </w:tcPr>
          <w:p w14:paraId="614C09EC" w14:textId="77777777" w:rsidR="001B7D52" w:rsidRPr="00FF5A44" w:rsidRDefault="001B7D52" w:rsidP="001B7D52">
            <w:pPr>
              <w:rPr>
                <w:sz w:val="20"/>
                <w:szCs w:val="20"/>
                <w:lang w:val="es-ES"/>
              </w:rPr>
            </w:pPr>
            <w:r w:rsidRPr="00FF5A44">
              <w:rPr>
                <w:b/>
                <w:bCs/>
                <w:sz w:val="20"/>
                <w:szCs w:val="20"/>
                <w:lang w:val="es-ES"/>
              </w:rPr>
              <w:t>1. Sostenibilidad Financiera</w:t>
            </w:r>
          </w:p>
        </w:tc>
        <w:tc>
          <w:tcPr>
            <w:tcW w:w="2938" w:type="dxa"/>
            <w:shd w:val="clear" w:color="auto" w:fill="auto"/>
          </w:tcPr>
          <w:p w14:paraId="3D258005" w14:textId="77777777" w:rsidR="001B7D52" w:rsidRPr="00FF5A44" w:rsidRDefault="001B7D52" w:rsidP="001B7D52">
            <w:pPr>
              <w:autoSpaceDE w:val="0"/>
              <w:autoSpaceDN w:val="0"/>
              <w:adjustRightInd w:val="0"/>
              <w:rPr>
                <w:sz w:val="20"/>
                <w:szCs w:val="20"/>
                <w:lang w:val="es-ES"/>
              </w:rPr>
            </w:pPr>
            <w:r w:rsidRPr="00FF5A44">
              <w:rPr>
                <w:rFonts w:eastAsiaTheme="minorHAnsi"/>
                <w:sz w:val="20"/>
                <w:szCs w:val="20"/>
                <w:lang w:val="es-ES"/>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765" w:type="dxa"/>
            <w:shd w:val="clear" w:color="auto" w:fill="auto"/>
          </w:tcPr>
          <w:p w14:paraId="1ABC040A" w14:textId="735BBF9D" w:rsidR="00957E63" w:rsidRDefault="009F64EB" w:rsidP="00BC393F">
            <w:pPr>
              <w:jc w:val="both"/>
              <w:rPr>
                <w:sz w:val="20"/>
                <w:szCs w:val="20"/>
                <w:lang w:val="es-ES"/>
              </w:rPr>
            </w:pPr>
            <w:r>
              <w:rPr>
                <w:sz w:val="20"/>
                <w:szCs w:val="20"/>
                <w:lang w:val="es-ES"/>
              </w:rPr>
              <w:t xml:space="preserve">En el marco de la componente I de Mejoramiento </w:t>
            </w:r>
            <w:r w:rsidR="00B81258">
              <w:rPr>
                <w:sz w:val="20"/>
                <w:szCs w:val="20"/>
                <w:lang w:val="es-ES"/>
              </w:rPr>
              <w:t xml:space="preserve">de Barrios, </w:t>
            </w:r>
            <w:r w:rsidR="003B443A">
              <w:rPr>
                <w:sz w:val="20"/>
                <w:szCs w:val="20"/>
                <w:lang w:val="es-ES"/>
              </w:rPr>
              <w:t>una vez realizada una intervención del PMB</w:t>
            </w:r>
            <w:r w:rsidR="00957E63">
              <w:rPr>
                <w:sz w:val="20"/>
                <w:szCs w:val="20"/>
                <w:lang w:val="es-ES"/>
              </w:rPr>
              <w:t>,</w:t>
            </w:r>
            <w:r w:rsidR="003B443A">
              <w:rPr>
                <w:sz w:val="20"/>
                <w:szCs w:val="20"/>
                <w:lang w:val="es-ES"/>
              </w:rPr>
              <w:t xml:space="preserve"> se prevé la incorporación </w:t>
            </w:r>
            <w:r w:rsidR="00957E63">
              <w:rPr>
                <w:sz w:val="20"/>
                <w:szCs w:val="20"/>
                <w:lang w:val="es-ES"/>
              </w:rPr>
              <w:t>de los servicios públicos</w:t>
            </w:r>
            <w:r w:rsidR="0026195E">
              <w:rPr>
                <w:sz w:val="20"/>
                <w:szCs w:val="20"/>
                <w:lang w:val="es-ES"/>
              </w:rPr>
              <w:t xml:space="preserve"> </w:t>
            </w:r>
            <w:r w:rsidR="00957E63">
              <w:rPr>
                <w:sz w:val="20"/>
                <w:szCs w:val="20"/>
                <w:lang w:val="es-ES"/>
              </w:rPr>
              <w:t>construidos a las distintas empresas prestadoras</w:t>
            </w:r>
            <w:r w:rsidR="00957E63">
              <w:rPr>
                <w:rStyle w:val="FootnoteReference"/>
                <w:sz w:val="20"/>
                <w:szCs w:val="20"/>
                <w:lang w:val="es-ES"/>
              </w:rPr>
              <w:footnoteReference w:id="1"/>
            </w:r>
            <w:r w:rsidR="00957E63">
              <w:rPr>
                <w:sz w:val="20"/>
                <w:szCs w:val="20"/>
                <w:lang w:val="es-ES"/>
              </w:rPr>
              <w:t xml:space="preserve"> de servicio. </w:t>
            </w:r>
          </w:p>
          <w:p w14:paraId="55B773D0" w14:textId="77777777" w:rsidR="00957E63" w:rsidRDefault="00957E63" w:rsidP="00BC393F">
            <w:pPr>
              <w:jc w:val="both"/>
              <w:rPr>
                <w:sz w:val="20"/>
                <w:szCs w:val="20"/>
                <w:lang w:val="es-ES"/>
              </w:rPr>
            </w:pPr>
          </w:p>
          <w:p w14:paraId="62AD1F20" w14:textId="39F3B6C5" w:rsidR="00B81258" w:rsidRDefault="003B443A" w:rsidP="00BC393F">
            <w:pPr>
              <w:jc w:val="both"/>
              <w:rPr>
                <w:sz w:val="20"/>
                <w:szCs w:val="20"/>
                <w:lang w:val="es-ES"/>
              </w:rPr>
            </w:pPr>
            <w:r>
              <w:rPr>
                <w:sz w:val="20"/>
                <w:szCs w:val="20"/>
                <w:lang w:val="es-ES"/>
              </w:rPr>
              <w:t xml:space="preserve">Posteriormente a las intervenciones los usuarios (viviendas) </w:t>
            </w:r>
            <w:r w:rsidR="00634327">
              <w:rPr>
                <w:sz w:val="20"/>
                <w:szCs w:val="20"/>
                <w:lang w:val="es-ES"/>
              </w:rPr>
              <w:t>son</w:t>
            </w:r>
            <w:r>
              <w:rPr>
                <w:sz w:val="20"/>
                <w:szCs w:val="20"/>
                <w:lang w:val="es-ES"/>
              </w:rPr>
              <w:t xml:space="preserve"> incorporados al catastro de </w:t>
            </w:r>
            <w:r>
              <w:rPr>
                <w:sz w:val="20"/>
                <w:szCs w:val="20"/>
                <w:lang w:val="es-ES"/>
              </w:rPr>
              <w:br/>
              <w:t>OSE</w:t>
            </w:r>
            <w:r w:rsidR="00EB7FB2">
              <w:rPr>
                <w:sz w:val="20"/>
                <w:szCs w:val="20"/>
                <w:lang w:val="es-ES"/>
              </w:rPr>
              <w:t>/IdM</w:t>
            </w:r>
            <w:r>
              <w:rPr>
                <w:sz w:val="20"/>
                <w:szCs w:val="20"/>
                <w:lang w:val="es-ES"/>
              </w:rPr>
              <w:t xml:space="preserve">, a los efectos de su registro en el sistema de comercial y consecuente pago por el uso del sistema de agua potable. </w:t>
            </w:r>
            <w:r w:rsidR="009F64EB">
              <w:rPr>
                <w:sz w:val="20"/>
                <w:szCs w:val="20"/>
                <w:lang w:val="es-ES"/>
              </w:rPr>
              <w:t>Vale</w:t>
            </w:r>
            <w:r>
              <w:rPr>
                <w:sz w:val="20"/>
                <w:szCs w:val="20"/>
                <w:lang w:val="es-ES"/>
              </w:rPr>
              <w:t xml:space="preserve"> mencionar que OSE</w:t>
            </w:r>
            <w:r w:rsidR="00EB7FB2">
              <w:rPr>
                <w:sz w:val="20"/>
                <w:szCs w:val="20"/>
                <w:lang w:val="es-ES"/>
              </w:rPr>
              <w:t>/IdM</w:t>
            </w:r>
            <w:r>
              <w:rPr>
                <w:sz w:val="20"/>
                <w:szCs w:val="20"/>
                <w:lang w:val="es-ES"/>
              </w:rPr>
              <w:t xml:space="preserve"> cuenta</w:t>
            </w:r>
            <w:r w:rsidR="00EB7FB2">
              <w:rPr>
                <w:sz w:val="20"/>
                <w:szCs w:val="20"/>
                <w:lang w:val="es-ES"/>
              </w:rPr>
              <w:t>n</w:t>
            </w:r>
            <w:r>
              <w:rPr>
                <w:sz w:val="20"/>
                <w:szCs w:val="20"/>
                <w:lang w:val="es-ES"/>
              </w:rPr>
              <w:t xml:space="preserve"> con </w:t>
            </w:r>
            <w:r w:rsidR="00EB7FB2">
              <w:rPr>
                <w:sz w:val="20"/>
                <w:szCs w:val="20"/>
                <w:lang w:val="es-ES"/>
              </w:rPr>
              <w:t>un sistema tarifario donde se prevé la asequibilidad de</w:t>
            </w:r>
            <w:r w:rsidR="00634327">
              <w:rPr>
                <w:sz w:val="20"/>
                <w:szCs w:val="20"/>
                <w:lang w:val="es-ES"/>
              </w:rPr>
              <w:t xml:space="preserve"> los servicios para </w:t>
            </w:r>
            <w:r w:rsidR="00B81258">
              <w:rPr>
                <w:sz w:val="20"/>
                <w:szCs w:val="20"/>
                <w:lang w:val="es-ES"/>
              </w:rPr>
              <w:t xml:space="preserve">población socioeconómicamente vulnerable. </w:t>
            </w:r>
          </w:p>
          <w:p w14:paraId="268FEA44" w14:textId="77777777" w:rsidR="003B443A" w:rsidRDefault="00EB7FB2" w:rsidP="00BC393F">
            <w:pPr>
              <w:jc w:val="both"/>
              <w:rPr>
                <w:sz w:val="20"/>
                <w:szCs w:val="20"/>
                <w:lang w:val="es-ES"/>
              </w:rPr>
            </w:pPr>
            <w:r>
              <w:rPr>
                <w:sz w:val="20"/>
                <w:szCs w:val="20"/>
                <w:lang w:val="es-ES"/>
              </w:rPr>
              <w:t xml:space="preserve"> </w:t>
            </w:r>
          </w:p>
          <w:p w14:paraId="7A1AEBCC" w14:textId="1A880FD1" w:rsidR="00B81258" w:rsidRPr="00242E36" w:rsidRDefault="00E6541C" w:rsidP="00B81258">
            <w:pPr>
              <w:jc w:val="both"/>
              <w:rPr>
                <w:sz w:val="20"/>
                <w:szCs w:val="20"/>
                <w:lang w:val="es-ES"/>
              </w:rPr>
            </w:pPr>
            <w:r w:rsidRPr="00FF5A44">
              <w:rPr>
                <w:sz w:val="20"/>
                <w:szCs w:val="20"/>
                <w:lang w:val="es-ES"/>
              </w:rPr>
              <w:t xml:space="preserve">La operación y mantenimiento de </w:t>
            </w:r>
            <w:r w:rsidR="00B81258">
              <w:rPr>
                <w:sz w:val="20"/>
                <w:szCs w:val="20"/>
                <w:lang w:val="es-ES"/>
              </w:rPr>
              <w:t xml:space="preserve">infraestructura </w:t>
            </w:r>
            <w:r w:rsidR="00B81258" w:rsidRPr="00242E36">
              <w:rPr>
                <w:sz w:val="20"/>
                <w:szCs w:val="20"/>
                <w:lang w:val="es-ES"/>
              </w:rPr>
              <w:t xml:space="preserve">construida es realizada por el prestador de servicio competente. </w:t>
            </w:r>
          </w:p>
          <w:p w14:paraId="75D4DAAE" w14:textId="77777777" w:rsidR="00B81258" w:rsidRPr="00242E36" w:rsidRDefault="00B81258" w:rsidP="00B81258">
            <w:pPr>
              <w:jc w:val="both"/>
              <w:rPr>
                <w:sz w:val="20"/>
                <w:szCs w:val="20"/>
                <w:lang w:val="es-ES"/>
              </w:rPr>
            </w:pPr>
          </w:p>
          <w:p w14:paraId="47CC2B6C" w14:textId="0CDCFD50" w:rsidR="00C641FA" w:rsidRDefault="00C641FA" w:rsidP="00C641FA">
            <w:pPr>
              <w:jc w:val="both"/>
              <w:rPr>
                <w:sz w:val="20"/>
                <w:szCs w:val="20"/>
                <w:lang w:val="es-ES"/>
              </w:rPr>
            </w:pPr>
            <w:r w:rsidRPr="00C641FA">
              <w:rPr>
                <w:sz w:val="20"/>
                <w:szCs w:val="20"/>
                <w:lang w:val="es-ES"/>
              </w:rPr>
              <w:t>Se deberá prever en el reglamento operativo que una vez concluidas las obras, la transferencia del equipamiento sea acompañada de</w:t>
            </w:r>
            <w:r>
              <w:rPr>
                <w:sz w:val="20"/>
                <w:szCs w:val="20"/>
                <w:lang w:val="es-ES"/>
              </w:rPr>
              <w:t xml:space="preserve"> </w:t>
            </w:r>
            <w:r w:rsidRPr="00C641FA">
              <w:rPr>
                <w:sz w:val="20"/>
                <w:szCs w:val="20"/>
                <w:lang w:val="es-ES"/>
              </w:rPr>
              <w:t>Convenios de Gestión, que serán suscriptos entre la ID y los entes competentes, e informados a la UCP PMBIII.</w:t>
            </w:r>
            <w:r w:rsidRPr="00242E36">
              <w:rPr>
                <w:sz w:val="20"/>
                <w:szCs w:val="20"/>
                <w:lang w:val="es-ES"/>
              </w:rPr>
              <w:t xml:space="preserve"> </w:t>
            </w:r>
          </w:p>
          <w:p w14:paraId="73580589" w14:textId="77777777" w:rsidR="00C641FA" w:rsidRDefault="00C641FA" w:rsidP="00C641FA">
            <w:pPr>
              <w:jc w:val="both"/>
              <w:rPr>
                <w:sz w:val="20"/>
                <w:szCs w:val="20"/>
                <w:lang w:val="es-ES"/>
              </w:rPr>
            </w:pPr>
          </w:p>
          <w:p w14:paraId="01D642DF" w14:textId="12DEB6FC" w:rsidR="001B7D52" w:rsidRDefault="00C641FA" w:rsidP="00C641FA">
            <w:pPr>
              <w:jc w:val="both"/>
              <w:rPr>
                <w:sz w:val="20"/>
                <w:szCs w:val="20"/>
                <w:lang w:val="es-ES"/>
              </w:rPr>
            </w:pPr>
            <w:r>
              <w:rPr>
                <w:sz w:val="20"/>
                <w:szCs w:val="20"/>
                <w:lang w:val="es-ES"/>
              </w:rPr>
              <w:t xml:space="preserve">En estos convenios se debe establecer </w:t>
            </w:r>
            <w:proofErr w:type="gramStart"/>
            <w:r>
              <w:rPr>
                <w:sz w:val="20"/>
                <w:szCs w:val="20"/>
                <w:lang w:val="es-ES"/>
              </w:rPr>
              <w:t>que</w:t>
            </w:r>
            <w:proofErr w:type="gramEnd"/>
            <w:r w:rsidR="00CD3035" w:rsidRPr="00242E36">
              <w:rPr>
                <w:sz w:val="20"/>
                <w:szCs w:val="20"/>
                <w:lang w:val="es-ES"/>
              </w:rPr>
              <w:t xml:space="preserve"> a partir del momento de la suscripción del Acta de </w:t>
            </w:r>
            <w:r w:rsidR="00131AA7" w:rsidRPr="00242E36">
              <w:rPr>
                <w:sz w:val="20"/>
                <w:szCs w:val="20"/>
                <w:lang w:val="es-ES"/>
              </w:rPr>
              <w:t>Recepción Provisoria</w:t>
            </w:r>
            <w:r w:rsidR="00CD3035" w:rsidRPr="00242E36">
              <w:rPr>
                <w:sz w:val="20"/>
                <w:szCs w:val="20"/>
                <w:lang w:val="es-ES"/>
              </w:rPr>
              <w:t xml:space="preserve">, la </w:t>
            </w:r>
            <w:r w:rsidR="00B81258" w:rsidRPr="00242E36">
              <w:rPr>
                <w:sz w:val="20"/>
                <w:szCs w:val="20"/>
                <w:lang w:val="es-ES"/>
              </w:rPr>
              <w:t>institución correspondiente</w:t>
            </w:r>
            <w:r w:rsidR="00CD3035" w:rsidRPr="00242E36">
              <w:rPr>
                <w:sz w:val="20"/>
                <w:szCs w:val="20"/>
                <w:lang w:val="es-ES"/>
              </w:rPr>
              <w:t xml:space="preserve"> recibirá la obra, teniendo a su cargo el mantenimiento </w:t>
            </w:r>
            <w:r w:rsidR="00CD3035" w:rsidRPr="00BB46B2">
              <w:rPr>
                <w:sz w:val="20"/>
                <w:szCs w:val="20"/>
                <w:lang w:val="es-ES"/>
              </w:rPr>
              <w:t>de la misma, garantizando la calidad de la prestación según lo establecido en las normas regulatorias existentes en la materia</w:t>
            </w:r>
            <w:r w:rsidR="00FF5A44" w:rsidRPr="00BB46B2">
              <w:rPr>
                <w:sz w:val="20"/>
                <w:szCs w:val="20"/>
                <w:lang w:val="es-ES"/>
              </w:rPr>
              <w:t>,</w:t>
            </w:r>
            <w:r w:rsidR="00CD3035" w:rsidRPr="00BB46B2">
              <w:rPr>
                <w:sz w:val="20"/>
                <w:szCs w:val="20"/>
                <w:lang w:val="es-ES"/>
              </w:rPr>
              <w:t xml:space="preserve"> y </w:t>
            </w:r>
            <w:r w:rsidR="00B81258" w:rsidRPr="00BB46B2">
              <w:rPr>
                <w:sz w:val="20"/>
                <w:szCs w:val="20"/>
                <w:lang w:val="es-ES"/>
              </w:rPr>
              <w:t>en el marco de su estructura tarifaria vigente.</w:t>
            </w:r>
          </w:p>
          <w:p w14:paraId="3628BE85" w14:textId="77777777" w:rsidR="000A799E" w:rsidRDefault="000A799E" w:rsidP="00B81258">
            <w:pPr>
              <w:jc w:val="both"/>
              <w:rPr>
                <w:sz w:val="20"/>
                <w:szCs w:val="20"/>
                <w:lang w:val="es-ES"/>
              </w:rPr>
            </w:pPr>
          </w:p>
          <w:p w14:paraId="4DD2CE31" w14:textId="7E3FE537" w:rsidR="00B81258" w:rsidRPr="00FF5A44" w:rsidRDefault="000A799E" w:rsidP="00B808D2">
            <w:pPr>
              <w:jc w:val="both"/>
              <w:rPr>
                <w:sz w:val="20"/>
                <w:szCs w:val="20"/>
                <w:lang w:val="es-ES"/>
              </w:rPr>
            </w:pPr>
            <w:r>
              <w:rPr>
                <w:sz w:val="20"/>
                <w:szCs w:val="20"/>
                <w:lang w:val="es-ES"/>
              </w:rPr>
              <w:t xml:space="preserve">En la fase inicial de perfil de proyecto, se </w:t>
            </w:r>
            <w:r w:rsidR="003954EC">
              <w:rPr>
                <w:sz w:val="20"/>
                <w:szCs w:val="20"/>
                <w:lang w:val="es-ES"/>
              </w:rPr>
              <w:t>prevé</w:t>
            </w:r>
            <w:r>
              <w:rPr>
                <w:sz w:val="20"/>
                <w:szCs w:val="20"/>
                <w:lang w:val="es-ES"/>
              </w:rPr>
              <w:t xml:space="preserve"> presentar informes de factibilidad de OSE, UTE Ids, etc. </w:t>
            </w:r>
            <w:r w:rsidR="003954EC">
              <w:rPr>
                <w:sz w:val="20"/>
                <w:szCs w:val="20"/>
                <w:lang w:val="es-ES"/>
              </w:rPr>
              <w:t xml:space="preserve">sobre la </w:t>
            </w:r>
            <w:r>
              <w:rPr>
                <w:sz w:val="20"/>
                <w:szCs w:val="20"/>
                <w:lang w:val="es-ES"/>
              </w:rPr>
              <w:t xml:space="preserve">posibilidad de brindar el servicio a la zona a intervenir. Finalizadas las intervenciones (Etapa Posobra) se </w:t>
            </w:r>
            <w:r w:rsidR="003954EC">
              <w:rPr>
                <w:sz w:val="20"/>
                <w:szCs w:val="20"/>
                <w:lang w:val="es-ES"/>
              </w:rPr>
              <w:t xml:space="preserve">prevé </w:t>
            </w:r>
            <w:r w:rsidR="003954EC">
              <w:rPr>
                <w:sz w:val="20"/>
                <w:szCs w:val="20"/>
                <w:lang w:val="es-ES"/>
              </w:rPr>
              <w:lastRenderedPageBreak/>
              <w:t>la presentación de</w:t>
            </w:r>
            <w:r>
              <w:rPr>
                <w:sz w:val="20"/>
                <w:szCs w:val="20"/>
                <w:lang w:val="es-ES"/>
              </w:rPr>
              <w:t xml:space="preserve"> las h</w:t>
            </w:r>
            <w:r w:rsidRPr="000A799E">
              <w:rPr>
                <w:sz w:val="20"/>
                <w:szCs w:val="20"/>
                <w:lang w:val="es-ES"/>
              </w:rPr>
              <w:t>abilitaciones finales de las redes construidas, emitidas por los organismos públicos correspondientes (UTE, OSE).</w:t>
            </w:r>
          </w:p>
        </w:tc>
      </w:tr>
      <w:tr w:rsidR="004D1DA8" w:rsidRPr="00CA58EC" w14:paraId="1A09527A" w14:textId="77777777" w:rsidTr="00FF5A44">
        <w:trPr>
          <w:jc w:val="center"/>
        </w:trPr>
        <w:tc>
          <w:tcPr>
            <w:tcW w:w="1647" w:type="dxa"/>
            <w:shd w:val="clear" w:color="auto" w:fill="auto"/>
          </w:tcPr>
          <w:p w14:paraId="5E63BB5F" w14:textId="56407F02" w:rsidR="004D1DA8" w:rsidRPr="00FF5A44" w:rsidRDefault="004D1DA8" w:rsidP="001B7D52">
            <w:pPr>
              <w:rPr>
                <w:sz w:val="20"/>
                <w:szCs w:val="20"/>
                <w:lang w:val="es-ES"/>
              </w:rPr>
            </w:pPr>
            <w:r w:rsidRPr="00FF5A44">
              <w:rPr>
                <w:b/>
                <w:bCs/>
                <w:sz w:val="20"/>
                <w:szCs w:val="20"/>
                <w:lang w:val="es-ES"/>
              </w:rPr>
              <w:lastRenderedPageBreak/>
              <w:t>2. Evaluación Económica</w:t>
            </w:r>
          </w:p>
        </w:tc>
        <w:tc>
          <w:tcPr>
            <w:tcW w:w="2938" w:type="dxa"/>
            <w:shd w:val="clear" w:color="auto" w:fill="auto"/>
          </w:tcPr>
          <w:p w14:paraId="33180E0B" w14:textId="77777777" w:rsidR="004D1DA8" w:rsidRPr="00FF5A44" w:rsidRDefault="00A9123E" w:rsidP="00B95524">
            <w:pPr>
              <w:rPr>
                <w:sz w:val="20"/>
                <w:szCs w:val="20"/>
                <w:lang w:val="es-ES"/>
              </w:rPr>
            </w:pPr>
            <w:r w:rsidRPr="00FF5A44">
              <w:rPr>
                <w:sz w:val="20"/>
                <w:szCs w:val="20"/>
                <w:lang w:val="es-ES"/>
              </w:rPr>
              <w:t xml:space="preserve">Los proyectos de servicios públicos domiciliarios deberán ser económicamente rentables [de acuerdo a las metodologías de evaluación costo beneficio y costo efectividad utilizadas y aceptadas por </w:t>
            </w:r>
            <w:r w:rsidR="009C306A" w:rsidRPr="00FF5A44">
              <w:rPr>
                <w:sz w:val="20"/>
                <w:szCs w:val="20"/>
                <w:lang w:val="es-ES"/>
              </w:rPr>
              <w:t>el</w:t>
            </w:r>
            <w:r w:rsidRPr="00FF5A44">
              <w:rPr>
                <w:sz w:val="20"/>
                <w:szCs w:val="20"/>
                <w:lang w:val="es-ES"/>
              </w:rPr>
              <w:t xml:space="preserve"> Banco.]</w:t>
            </w:r>
          </w:p>
        </w:tc>
        <w:tc>
          <w:tcPr>
            <w:tcW w:w="4765" w:type="dxa"/>
            <w:shd w:val="clear" w:color="auto" w:fill="auto"/>
          </w:tcPr>
          <w:p w14:paraId="4A3979FA" w14:textId="2E92B2F0" w:rsidR="004D1DA8" w:rsidRPr="00BB46B2" w:rsidRDefault="003954EC" w:rsidP="000A799E">
            <w:pPr>
              <w:jc w:val="both"/>
              <w:rPr>
                <w:sz w:val="20"/>
                <w:szCs w:val="20"/>
                <w:highlight w:val="red"/>
                <w:lang w:val="es-ES"/>
              </w:rPr>
            </w:pPr>
            <w:r>
              <w:rPr>
                <w:sz w:val="20"/>
                <w:szCs w:val="20"/>
                <w:lang w:val="es-ES"/>
              </w:rPr>
              <w:t xml:space="preserve">En el PMB II </w:t>
            </w:r>
            <w:r w:rsidR="00815D1F" w:rsidRPr="00815D1F">
              <w:rPr>
                <w:sz w:val="20"/>
                <w:szCs w:val="20"/>
                <w:lang w:val="es-ES"/>
              </w:rPr>
              <w:t>se realizó una evaluación económica</w:t>
            </w:r>
            <w:r w:rsidR="00815D1F">
              <w:rPr>
                <w:rStyle w:val="FootnoteReference"/>
                <w:sz w:val="20"/>
                <w:szCs w:val="20"/>
                <w:lang w:val="es-ES"/>
              </w:rPr>
              <w:footnoteReference w:id="2"/>
            </w:r>
            <w:r w:rsidR="00815D1F" w:rsidRPr="00815D1F">
              <w:rPr>
                <w:sz w:val="20"/>
                <w:szCs w:val="20"/>
                <w:lang w:val="es-ES"/>
              </w:rPr>
              <w:t xml:space="preserve"> del tipo costo-beneficio </w:t>
            </w:r>
            <w:r w:rsidR="00815D1F">
              <w:rPr>
                <w:sz w:val="20"/>
                <w:szCs w:val="20"/>
                <w:lang w:val="es-ES"/>
              </w:rPr>
              <w:t>del componente I</w:t>
            </w:r>
            <w:r w:rsidR="00815D1F">
              <w:rPr>
                <w:rStyle w:val="FootnoteReference"/>
                <w:sz w:val="20"/>
                <w:szCs w:val="20"/>
                <w:lang w:val="es-ES"/>
              </w:rPr>
              <w:footnoteReference w:id="3"/>
            </w:r>
            <w:r w:rsidR="00815D1F">
              <w:rPr>
                <w:sz w:val="20"/>
                <w:szCs w:val="20"/>
                <w:lang w:val="es-ES"/>
              </w:rPr>
              <w:t xml:space="preserve">, </w:t>
            </w:r>
            <w:r w:rsidR="00815D1F" w:rsidRPr="00815D1F">
              <w:rPr>
                <w:sz w:val="20"/>
                <w:szCs w:val="20"/>
                <w:lang w:val="es-ES"/>
              </w:rPr>
              <w:t>basada en la valorización inmobiliaria esperada producto de la intervención. El modelo posibilitó estimar la valorización producida para cada tipo de intervención propuesta: acceso vial, drenaje, agua potable, saneamiento, electricidad, alumbrado público, equipamiento social, y regularización de las propiedades). El resultado obtenido mostró una valorización producto de la intervención equivalente, en promedio, a un 154% del valor inmueble</w:t>
            </w:r>
            <w:r w:rsidR="00815D1F" w:rsidRPr="00747085">
              <w:rPr>
                <w:vertAlign w:val="superscript"/>
              </w:rPr>
              <w:footnoteReference w:id="4"/>
            </w:r>
            <w:r w:rsidR="00815D1F" w:rsidRPr="00747085">
              <w:rPr>
                <w:bCs/>
                <w:lang w:val="es-ES_tradnl"/>
              </w:rPr>
              <w:t xml:space="preserve">. </w:t>
            </w:r>
            <w:r w:rsidR="006A0F57" w:rsidRPr="00BB46B2">
              <w:rPr>
                <w:sz w:val="20"/>
                <w:szCs w:val="20"/>
                <w:highlight w:val="red"/>
                <w:lang w:val="es-ES"/>
              </w:rPr>
              <w:t xml:space="preserve"> </w:t>
            </w:r>
          </w:p>
        </w:tc>
      </w:tr>
    </w:tbl>
    <w:p w14:paraId="72ADBFF3" w14:textId="77777777" w:rsidR="002F7A26" w:rsidRDefault="002F7A26">
      <w:pPr>
        <w:rPr>
          <w:lang w:val="es-ES"/>
        </w:rPr>
      </w:pPr>
    </w:p>
    <w:p w14:paraId="0EA9BEDF" w14:textId="77777777" w:rsidR="002F7A26" w:rsidRDefault="002F7A26">
      <w:pPr>
        <w:rPr>
          <w:lang w:val="es-ES"/>
        </w:rPr>
      </w:pPr>
    </w:p>
    <w:p w14:paraId="210C3294" w14:textId="77777777" w:rsidR="002F7A26" w:rsidRDefault="002F7A26">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2970"/>
        <w:gridCol w:w="4765"/>
      </w:tblGrid>
      <w:tr w:rsidR="000F1306" w:rsidRPr="002F7A26" w14:paraId="03BB1508" w14:textId="77777777" w:rsidTr="00D02B3F">
        <w:trPr>
          <w:tblHeader/>
          <w:jc w:val="center"/>
        </w:trPr>
        <w:tc>
          <w:tcPr>
            <w:tcW w:w="1615" w:type="dxa"/>
            <w:shd w:val="clear" w:color="auto" w:fill="C0C0C0"/>
          </w:tcPr>
          <w:p w14:paraId="6BFD08C4" w14:textId="77777777" w:rsidR="000F1306" w:rsidRPr="002F7A26" w:rsidRDefault="000F1306" w:rsidP="0090452A">
            <w:pPr>
              <w:jc w:val="center"/>
              <w:rPr>
                <w:b/>
                <w:sz w:val="20"/>
                <w:szCs w:val="20"/>
                <w:lang w:val="es-ES"/>
              </w:rPr>
            </w:pPr>
            <w:r w:rsidRPr="002F7A26">
              <w:rPr>
                <w:b/>
                <w:sz w:val="20"/>
                <w:szCs w:val="20"/>
                <w:lang w:val="es-ES"/>
              </w:rPr>
              <w:t>Objetivos de la Política</w:t>
            </w:r>
          </w:p>
          <w:p w14:paraId="65463F76" w14:textId="77777777" w:rsidR="000F1306" w:rsidRPr="002F7A26" w:rsidRDefault="000F1306" w:rsidP="0090452A">
            <w:pPr>
              <w:jc w:val="center"/>
              <w:rPr>
                <w:b/>
                <w:sz w:val="20"/>
                <w:szCs w:val="20"/>
                <w:lang w:val="es-ES"/>
              </w:rPr>
            </w:pPr>
          </w:p>
        </w:tc>
        <w:tc>
          <w:tcPr>
            <w:tcW w:w="2970" w:type="dxa"/>
            <w:shd w:val="clear" w:color="auto" w:fill="C0C0C0"/>
          </w:tcPr>
          <w:p w14:paraId="52FD803C" w14:textId="77777777" w:rsidR="000F1306" w:rsidRPr="002F7A26" w:rsidRDefault="000F1306" w:rsidP="0090452A">
            <w:pPr>
              <w:jc w:val="center"/>
              <w:rPr>
                <w:b/>
                <w:sz w:val="20"/>
                <w:szCs w:val="20"/>
                <w:lang w:val="es-ES"/>
              </w:rPr>
            </w:pPr>
            <w:r w:rsidRPr="002F7A26">
              <w:rPr>
                <w:b/>
                <w:sz w:val="20"/>
                <w:szCs w:val="20"/>
                <w:lang w:val="es-ES"/>
              </w:rPr>
              <w:t>Descripción</w:t>
            </w:r>
          </w:p>
        </w:tc>
        <w:tc>
          <w:tcPr>
            <w:tcW w:w="4765" w:type="dxa"/>
            <w:shd w:val="clear" w:color="auto" w:fill="C0C0C0"/>
          </w:tcPr>
          <w:p w14:paraId="622D6CFD" w14:textId="77777777" w:rsidR="000F1306" w:rsidRPr="002F7A26" w:rsidRDefault="000F1306" w:rsidP="0090452A">
            <w:pPr>
              <w:jc w:val="center"/>
              <w:rPr>
                <w:b/>
                <w:sz w:val="20"/>
                <w:szCs w:val="20"/>
                <w:lang w:val="es-ES"/>
              </w:rPr>
            </w:pPr>
            <w:r w:rsidRPr="002F7A26">
              <w:rPr>
                <w:b/>
                <w:sz w:val="20"/>
                <w:szCs w:val="20"/>
                <w:lang w:val="es-ES"/>
              </w:rPr>
              <w:t>Comentarios</w:t>
            </w:r>
          </w:p>
        </w:tc>
      </w:tr>
      <w:tr w:rsidR="000F1306" w:rsidRPr="00E547B0" w14:paraId="1B54473F" w14:textId="77777777" w:rsidTr="00D02B3F">
        <w:trPr>
          <w:jc w:val="center"/>
        </w:trPr>
        <w:tc>
          <w:tcPr>
            <w:tcW w:w="1615" w:type="dxa"/>
            <w:shd w:val="clear" w:color="auto" w:fill="auto"/>
          </w:tcPr>
          <w:p w14:paraId="3B2295B2" w14:textId="77777777" w:rsidR="000F1306" w:rsidRPr="002F7A26" w:rsidRDefault="000F1306" w:rsidP="000F1306">
            <w:pPr>
              <w:rPr>
                <w:sz w:val="20"/>
                <w:szCs w:val="20"/>
                <w:lang w:val="es-ES"/>
              </w:rPr>
            </w:pPr>
            <w:r w:rsidRPr="002F7A26">
              <w:rPr>
                <w:b/>
                <w:bCs/>
                <w:sz w:val="20"/>
                <w:szCs w:val="20"/>
                <w:lang w:val="es-ES"/>
              </w:rPr>
              <w:t>1. Fomentar el Acceso</w:t>
            </w:r>
          </w:p>
        </w:tc>
        <w:tc>
          <w:tcPr>
            <w:tcW w:w="2970" w:type="dxa"/>
            <w:shd w:val="clear" w:color="auto" w:fill="auto"/>
          </w:tcPr>
          <w:p w14:paraId="38D59393" w14:textId="77777777" w:rsidR="000F1306" w:rsidRPr="002F7A26" w:rsidRDefault="000F1306" w:rsidP="000F1306">
            <w:pPr>
              <w:rPr>
                <w:sz w:val="20"/>
                <w:szCs w:val="20"/>
                <w:lang w:val="es-ES"/>
              </w:rPr>
            </w:pPr>
            <w:r w:rsidRPr="002F7A26">
              <w:rPr>
                <w:sz w:val="20"/>
                <w:szCs w:val="20"/>
                <w:lang w:val="es-ES"/>
              </w:rPr>
              <w:t xml:space="preserve">Las políticas deben promover el acceso a todos los usuarios, especialmente a las comunidades y grupos más desfavorecidos. </w:t>
            </w:r>
          </w:p>
        </w:tc>
        <w:tc>
          <w:tcPr>
            <w:tcW w:w="4765" w:type="dxa"/>
            <w:tcBorders>
              <w:bottom w:val="single" w:sz="4" w:space="0" w:color="auto"/>
            </w:tcBorders>
            <w:shd w:val="clear" w:color="auto" w:fill="auto"/>
          </w:tcPr>
          <w:p w14:paraId="748B33EF" w14:textId="7EBD9BB3" w:rsidR="000F1306" w:rsidRPr="002F7A26" w:rsidRDefault="006B611A" w:rsidP="006A1BC1">
            <w:pPr>
              <w:jc w:val="both"/>
              <w:rPr>
                <w:sz w:val="20"/>
                <w:szCs w:val="20"/>
                <w:lang w:val="es-ES"/>
              </w:rPr>
            </w:pPr>
            <w:r w:rsidRPr="002F7A26">
              <w:rPr>
                <w:sz w:val="20"/>
                <w:szCs w:val="20"/>
                <w:lang w:val="es-ES"/>
              </w:rPr>
              <w:t xml:space="preserve">El objetivo </w:t>
            </w:r>
            <w:r w:rsidR="00B95524" w:rsidRPr="002F7A26">
              <w:rPr>
                <w:sz w:val="20"/>
                <w:szCs w:val="20"/>
                <w:lang w:val="es-ES"/>
              </w:rPr>
              <w:t>del</w:t>
            </w:r>
            <w:r w:rsidR="006A1BC1">
              <w:rPr>
                <w:sz w:val="20"/>
                <w:szCs w:val="20"/>
                <w:lang w:val="es-ES"/>
              </w:rPr>
              <w:t xml:space="preserve"> componente </w:t>
            </w:r>
            <w:r w:rsidR="0026195E">
              <w:rPr>
                <w:sz w:val="20"/>
                <w:szCs w:val="20"/>
                <w:lang w:val="es-ES"/>
              </w:rPr>
              <w:t>I</w:t>
            </w:r>
            <w:r w:rsidR="006A1BC1">
              <w:rPr>
                <w:sz w:val="20"/>
                <w:szCs w:val="20"/>
                <w:lang w:val="es-ES"/>
              </w:rPr>
              <w:t xml:space="preserve"> del </w:t>
            </w:r>
            <w:r w:rsidR="00B808D2">
              <w:rPr>
                <w:sz w:val="20"/>
                <w:szCs w:val="20"/>
                <w:lang w:val="es-ES"/>
              </w:rPr>
              <w:t xml:space="preserve">Programa de Mejoramiento de Barrios (PMB) III </w:t>
            </w:r>
            <w:r w:rsidR="006A1BC1">
              <w:rPr>
                <w:sz w:val="20"/>
                <w:szCs w:val="20"/>
                <w:lang w:val="es-ES"/>
              </w:rPr>
              <w:t xml:space="preserve">es el mejoramiento de barrios, mediante una </w:t>
            </w:r>
            <w:r w:rsidR="006A1BC1" w:rsidRPr="006A1BC1">
              <w:rPr>
                <w:sz w:val="20"/>
                <w:szCs w:val="20"/>
                <w:lang w:val="es-ES"/>
              </w:rPr>
              <w:t>intervención integral, que incluye actividades de fortalecimiento del capital humano y social de la comunidad y sus organizaciones, obras físicas y de servicios sociales, con el objetivo de superar las carencias de infraestructura básica, finalizando con la regularización dominial de los predios hacia las familias residentes.</w:t>
            </w:r>
            <w:r w:rsidR="006A1BC1">
              <w:rPr>
                <w:sz w:val="20"/>
                <w:szCs w:val="20"/>
                <w:lang w:val="es-ES"/>
              </w:rPr>
              <w:t xml:space="preserve"> </w:t>
            </w:r>
            <w:r w:rsidR="00B95524" w:rsidRPr="002F7A26">
              <w:rPr>
                <w:sz w:val="20"/>
                <w:szCs w:val="20"/>
                <w:lang w:val="es-ES"/>
              </w:rPr>
              <w:t xml:space="preserve">Como parte del programa se financian </w:t>
            </w:r>
            <w:r w:rsidR="002F7A26">
              <w:rPr>
                <w:sz w:val="20"/>
                <w:szCs w:val="20"/>
                <w:lang w:val="es-ES"/>
              </w:rPr>
              <w:t xml:space="preserve">las </w:t>
            </w:r>
            <w:r w:rsidR="00B95524" w:rsidRPr="002F7A26">
              <w:rPr>
                <w:sz w:val="20"/>
                <w:szCs w:val="20"/>
                <w:lang w:val="es-ES"/>
              </w:rPr>
              <w:t xml:space="preserve">obras de conectividad </w:t>
            </w:r>
            <w:r w:rsidR="006A1BC1">
              <w:rPr>
                <w:sz w:val="20"/>
                <w:szCs w:val="20"/>
                <w:lang w:val="es-ES"/>
              </w:rPr>
              <w:t>de abastecimiento</w:t>
            </w:r>
            <w:r w:rsidR="0026195E">
              <w:rPr>
                <w:sz w:val="20"/>
                <w:szCs w:val="20"/>
                <w:lang w:val="es-ES"/>
              </w:rPr>
              <w:t xml:space="preserve"> de energía, abastecimiento de agua potable</w:t>
            </w:r>
            <w:r w:rsidR="006A1BC1">
              <w:rPr>
                <w:sz w:val="20"/>
                <w:szCs w:val="20"/>
                <w:lang w:val="es-ES"/>
              </w:rPr>
              <w:t xml:space="preserve">, drenaje y saneamiento </w:t>
            </w:r>
            <w:r w:rsidR="002F7A26">
              <w:rPr>
                <w:sz w:val="20"/>
                <w:szCs w:val="20"/>
                <w:lang w:val="es-ES"/>
              </w:rPr>
              <w:t>lo cual</w:t>
            </w:r>
            <w:r w:rsidR="00B95524" w:rsidRPr="002F7A26">
              <w:rPr>
                <w:sz w:val="20"/>
                <w:szCs w:val="20"/>
                <w:lang w:val="es-ES"/>
              </w:rPr>
              <w:t xml:space="preserve"> </w:t>
            </w:r>
            <w:r w:rsidR="006A1BC1">
              <w:rPr>
                <w:sz w:val="20"/>
                <w:szCs w:val="20"/>
                <w:lang w:val="es-ES"/>
              </w:rPr>
              <w:t xml:space="preserve">formaliza los servicios y </w:t>
            </w:r>
            <w:r w:rsidRPr="002F7A26">
              <w:rPr>
                <w:sz w:val="20"/>
                <w:szCs w:val="20"/>
                <w:lang w:val="es-ES"/>
              </w:rPr>
              <w:t xml:space="preserve">mejora </w:t>
            </w:r>
            <w:r w:rsidR="006A1BC1">
              <w:rPr>
                <w:sz w:val="20"/>
                <w:szCs w:val="20"/>
                <w:lang w:val="es-ES"/>
              </w:rPr>
              <w:t>su</w:t>
            </w:r>
            <w:r w:rsidRPr="002F7A26">
              <w:rPr>
                <w:sz w:val="20"/>
                <w:szCs w:val="20"/>
                <w:lang w:val="es-ES"/>
              </w:rPr>
              <w:t xml:space="preserve"> calidad </w:t>
            </w:r>
            <w:r w:rsidR="006A1BC1">
              <w:rPr>
                <w:sz w:val="20"/>
                <w:szCs w:val="20"/>
                <w:lang w:val="es-ES"/>
              </w:rPr>
              <w:t>en las zonas intervenidas</w:t>
            </w:r>
            <w:r w:rsidRPr="002F7A26">
              <w:rPr>
                <w:sz w:val="20"/>
                <w:szCs w:val="20"/>
                <w:lang w:val="es-ES"/>
              </w:rPr>
              <w:t>.</w:t>
            </w:r>
            <w:r w:rsidR="009C306A" w:rsidRPr="002F7A26">
              <w:rPr>
                <w:sz w:val="20"/>
                <w:szCs w:val="20"/>
                <w:lang w:val="es-ES"/>
              </w:rPr>
              <w:t xml:space="preserve"> </w:t>
            </w:r>
          </w:p>
        </w:tc>
      </w:tr>
      <w:tr w:rsidR="000F1306" w:rsidRPr="00E547B0" w14:paraId="53E5D34D" w14:textId="77777777" w:rsidTr="00D02B3F">
        <w:trPr>
          <w:jc w:val="center"/>
        </w:trPr>
        <w:tc>
          <w:tcPr>
            <w:tcW w:w="1615" w:type="dxa"/>
            <w:shd w:val="clear" w:color="auto" w:fill="auto"/>
          </w:tcPr>
          <w:p w14:paraId="0B3DF343" w14:textId="77777777" w:rsidR="000F1306" w:rsidRPr="002F7A26" w:rsidRDefault="000F1306" w:rsidP="000F1306">
            <w:pPr>
              <w:rPr>
                <w:sz w:val="20"/>
                <w:szCs w:val="20"/>
                <w:lang w:val="es-ES"/>
              </w:rPr>
            </w:pPr>
            <w:r w:rsidRPr="002F7A26">
              <w:rPr>
                <w:b/>
                <w:bCs/>
                <w:sz w:val="20"/>
                <w:szCs w:val="20"/>
                <w:lang w:val="es-ES"/>
              </w:rPr>
              <w:t>2. Suministrar el acceso al servicio en condiciones de confiabilidad y calidad adecuadas</w:t>
            </w:r>
          </w:p>
        </w:tc>
        <w:tc>
          <w:tcPr>
            <w:tcW w:w="2970" w:type="dxa"/>
            <w:shd w:val="clear" w:color="auto" w:fill="auto"/>
          </w:tcPr>
          <w:p w14:paraId="62AA0DBB" w14:textId="77777777" w:rsidR="000F1306" w:rsidRPr="002F7A26" w:rsidRDefault="000F1306" w:rsidP="000F1306">
            <w:pPr>
              <w:rPr>
                <w:sz w:val="20"/>
                <w:szCs w:val="20"/>
                <w:lang w:val="es-ES"/>
              </w:rPr>
            </w:pPr>
            <w:r w:rsidRPr="002F7A26">
              <w:rPr>
                <w:sz w:val="20"/>
                <w:szCs w:val="20"/>
                <w:lang w:val="es-ES"/>
              </w:rPr>
              <w:t xml:space="preserve">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w:t>
            </w:r>
            <w:r w:rsidRPr="002F7A26">
              <w:rPr>
                <w:sz w:val="20"/>
                <w:szCs w:val="20"/>
                <w:lang w:val="es-ES"/>
              </w:rPr>
              <w:lastRenderedPageBreak/>
              <w:t>y hagan cumplir por medio de un sistema de sanciones e incentivos.</w:t>
            </w:r>
          </w:p>
        </w:tc>
        <w:tc>
          <w:tcPr>
            <w:tcW w:w="4765" w:type="dxa"/>
            <w:shd w:val="clear" w:color="auto" w:fill="auto"/>
          </w:tcPr>
          <w:p w14:paraId="30DDA836" w14:textId="4A34E0F2" w:rsidR="006A1BC1" w:rsidRDefault="003425A4" w:rsidP="003C0281">
            <w:pPr>
              <w:jc w:val="both"/>
              <w:rPr>
                <w:sz w:val="20"/>
                <w:szCs w:val="20"/>
                <w:lang w:val="es-ES"/>
              </w:rPr>
            </w:pPr>
            <w:r w:rsidRPr="002F7A26">
              <w:rPr>
                <w:sz w:val="20"/>
                <w:szCs w:val="20"/>
                <w:lang w:val="es-ES"/>
              </w:rPr>
              <w:lastRenderedPageBreak/>
              <w:t xml:space="preserve">La </w:t>
            </w:r>
            <w:r w:rsidR="002F7A26">
              <w:rPr>
                <w:sz w:val="20"/>
                <w:szCs w:val="20"/>
                <w:lang w:val="es-ES"/>
              </w:rPr>
              <w:t>calidad del</w:t>
            </w:r>
            <w:r w:rsidR="006A1BC1">
              <w:rPr>
                <w:sz w:val="20"/>
                <w:szCs w:val="20"/>
                <w:lang w:val="es-ES"/>
              </w:rPr>
              <w:t xml:space="preserve"> servicio de</w:t>
            </w:r>
            <w:r w:rsidR="002F7A26">
              <w:rPr>
                <w:sz w:val="20"/>
                <w:szCs w:val="20"/>
                <w:lang w:val="es-ES"/>
              </w:rPr>
              <w:t xml:space="preserve"> agua potable que proveerá </w:t>
            </w:r>
            <w:r w:rsidR="006A1BC1">
              <w:rPr>
                <w:sz w:val="20"/>
                <w:szCs w:val="20"/>
                <w:lang w:val="es-ES"/>
              </w:rPr>
              <w:t>la OSE</w:t>
            </w:r>
            <w:r w:rsidR="002F7A26">
              <w:rPr>
                <w:sz w:val="20"/>
                <w:szCs w:val="20"/>
                <w:lang w:val="es-ES"/>
              </w:rPr>
              <w:t xml:space="preserve"> está definida en</w:t>
            </w:r>
            <w:r w:rsidR="006A1BC1">
              <w:rPr>
                <w:sz w:val="20"/>
                <w:szCs w:val="20"/>
                <w:lang w:val="es-ES"/>
              </w:rPr>
              <w:t xml:space="preserve"> el marco regulatorio nacional </w:t>
            </w:r>
            <w:r w:rsidR="006A1BC1" w:rsidRPr="006A1BC1">
              <w:rPr>
                <w:sz w:val="20"/>
                <w:szCs w:val="20"/>
                <w:lang w:val="es-ES"/>
              </w:rPr>
              <w:t>(</w:t>
            </w:r>
            <w:r w:rsidR="006A1BC1">
              <w:rPr>
                <w:sz w:val="20"/>
                <w:szCs w:val="20"/>
                <w:lang w:val="es-ES"/>
              </w:rPr>
              <w:t>calidad -</w:t>
            </w:r>
            <w:r w:rsidR="006A1BC1" w:rsidRPr="006A1BC1">
              <w:rPr>
                <w:sz w:val="20"/>
                <w:szCs w:val="20"/>
                <w:lang w:val="es-ES"/>
              </w:rPr>
              <w:t>UNIT 833:2008</w:t>
            </w:r>
            <w:r w:rsidR="006A1BC1">
              <w:rPr>
                <w:sz w:val="20"/>
                <w:szCs w:val="20"/>
                <w:lang w:val="es-ES"/>
              </w:rPr>
              <w:t xml:space="preserve">, presión mínima – RD </w:t>
            </w:r>
            <w:r w:rsidR="00BB46B2" w:rsidRPr="00BB46B2">
              <w:rPr>
                <w:sz w:val="20"/>
                <w:szCs w:val="20"/>
                <w:lang w:val="es-ES"/>
              </w:rPr>
              <w:t>998/2012</w:t>
            </w:r>
            <w:r w:rsidR="006A1BC1" w:rsidRPr="006A1BC1">
              <w:rPr>
                <w:sz w:val="20"/>
                <w:szCs w:val="20"/>
                <w:lang w:val="es-ES"/>
              </w:rPr>
              <w:t>)</w:t>
            </w:r>
            <w:r w:rsidR="006A1BC1">
              <w:rPr>
                <w:sz w:val="20"/>
                <w:szCs w:val="20"/>
                <w:lang w:val="es-ES"/>
              </w:rPr>
              <w:t xml:space="preserve">, por otra </w:t>
            </w:r>
            <w:r w:rsidR="009D3009">
              <w:rPr>
                <w:sz w:val="20"/>
                <w:szCs w:val="20"/>
                <w:lang w:val="es-ES"/>
              </w:rPr>
              <w:t>parte,</w:t>
            </w:r>
            <w:r w:rsidR="006A1BC1">
              <w:rPr>
                <w:sz w:val="20"/>
                <w:szCs w:val="20"/>
                <w:lang w:val="es-ES"/>
              </w:rPr>
              <w:t xml:space="preserve"> su asequibilidad se encuentra contemplada en su marco tarifario (tarifa social).</w:t>
            </w:r>
          </w:p>
          <w:p w14:paraId="71DCD094" w14:textId="3F3AAE02" w:rsidR="00236B25" w:rsidRDefault="00236B25" w:rsidP="003C0281">
            <w:pPr>
              <w:jc w:val="both"/>
              <w:rPr>
                <w:sz w:val="20"/>
                <w:szCs w:val="20"/>
                <w:lang w:val="es-ES"/>
              </w:rPr>
            </w:pPr>
          </w:p>
          <w:p w14:paraId="49326076" w14:textId="7CD1EA7E" w:rsidR="00236B25" w:rsidRPr="0003417D" w:rsidRDefault="00236B25" w:rsidP="003C0281">
            <w:pPr>
              <w:jc w:val="both"/>
              <w:rPr>
                <w:sz w:val="20"/>
                <w:szCs w:val="20"/>
                <w:lang w:val="es-ES"/>
              </w:rPr>
            </w:pPr>
            <w:r>
              <w:rPr>
                <w:sz w:val="20"/>
                <w:szCs w:val="20"/>
                <w:lang w:val="es-ES"/>
              </w:rPr>
              <w:t xml:space="preserve">El servicio de abastecimiento de </w:t>
            </w:r>
            <w:r w:rsidR="009D3009">
              <w:rPr>
                <w:sz w:val="20"/>
                <w:szCs w:val="20"/>
                <w:lang w:val="es-ES"/>
              </w:rPr>
              <w:t>energía</w:t>
            </w:r>
            <w:r>
              <w:rPr>
                <w:sz w:val="20"/>
                <w:szCs w:val="20"/>
                <w:lang w:val="es-ES"/>
              </w:rPr>
              <w:t xml:space="preserve"> cuenta con planes sociales para </w:t>
            </w:r>
            <w:r w:rsidR="00B808D2">
              <w:rPr>
                <w:sz w:val="20"/>
                <w:szCs w:val="20"/>
                <w:lang w:val="es-ES"/>
              </w:rPr>
              <w:t>población vulnerable</w:t>
            </w:r>
            <w:r w:rsidR="0003417D">
              <w:rPr>
                <w:sz w:val="20"/>
                <w:szCs w:val="20"/>
                <w:lang w:val="es-ES"/>
              </w:rPr>
              <w:t xml:space="preserve">, por otra </w:t>
            </w:r>
            <w:r w:rsidR="009D3009">
              <w:rPr>
                <w:sz w:val="20"/>
                <w:szCs w:val="20"/>
                <w:lang w:val="es-ES"/>
              </w:rPr>
              <w:t>parte,</w:t>
            </w:r>
            <w:r w:rsidR="0003417D">
              <w:rPr>
                <w:sz w:val="20"/>
                <w:szCs w:val="20"/>
                <w:lang w:val="es-ES"/>
              </w:rPr>
              <w:t xml:space="preserve"> la calidad de su servicio </w:t>
            </w:r>
            <w:r w:rsidR="009D3009">
              <w:rPr>
                <w:sz w:val="20"/>
                <w:szCs w:val="20"/>
                <w:lang w:val="es-ES"/>
              </w:rPr>
              <w:t>está</w:t>
            </w:r>
            <w:r w:rsidR="0003417D">
              <w:rPr>
                <w:sz w:val="20"/>
                <w:szCs w:val="20"/>
                <w:lang w:val="es-ES"/>
              </w:rPr>
              <w:t xml:space="preserve"> regulada por </w:t>
            </w:r>
            <w:r w:rsidR="009D3009" w:rsidRPr="0003417D">
              <w:rPr>
                <w:sz w:val="20"/>
                <w:szCs w:val="20"/>
                <w:lang w:val="es-ES"/>
              </w:rPr>
              <w:t>el Decreto</w:t>
            </w:r>
            <w:r w:rsidR="0003417D" w:rsidRPr="0003417D">
              <w:rPr>
                <w:sz w:val="20"/>
                <w:szCs w:val="20"/>
                <w:lang w:val="es-ES"/>
              </w:rPr>
              <w:t xml:space="preserve"> Nº276/002 - Aprobación del Reglamento General del Marco Regulatorio del Sistema Eléctrico Nacional</w:t>
            </w:r>
            <w:r w:rsidR="0003417D">
              <w:rPr>
                <w:sz w:val="20"/>
                <w:szCs w:val="20"/>
                <w:lang w:val="es-ES"/>
              </w:rPr>
              <w:t>.</w:t>
            </w:r>
          </w:p>
          <w:p w14:paraId="428ADAF6" w14:textId="77777777" w:rsidR="006A1BC1" w:rsidRDefault="006A1BC1" w:rsidP="003C0281">
            <w:pPr>
              <w:jc w:val="both"/>
              <w:rPr>
                <w:sz w:val="20"/>
                <w:szCs w:val="20"/>
                <w:lang w:val="es-ES"/>
              </w:rPr>
            </w:pPr>
          </w:p>
          <w:p w14:paraId="63FEE3CF" w14:textId="28A48FF4" w:rsidR="006A1BC1" w:rsidRDefault="006A1BC1" w:rsidP="003C0281">
            <w:pPr>
              <w:jc w:val="both"/>
              <w:rPr>
                <w:sz w:val="20"/>
                <w:szCs w:val="20"/>
                <w:lang w:val="es-ES"/>
              </w:rPr>
            </w:pPr>
            <w:r>
              <w:rPr>
                <w:sz w:val="20"/>
                <w:szCs w:val="20"/>
                <w:lang w:val="es-ES"/>
              </w:rPr>
              <w:lastRenderedPageBreak/>
              <w:t xml:space="preserve">En lo que respecta al servicio de </w:t>
            </w:r>
            <w:r w:rsidR="00FE76AF">
              <w:rPr>
                <w:sz w:val="20"/>
                <w:szCs w:val="20"/>
                <w:lang w:val="es-ES"/>
              </w:rPr>
              <w:t>saneamiento</w:t>
            </w:r>
            <w:r>
              <w:rPr>
                <w:sz w:val="20"/>
                <w:szCs w:val="20"/>
                <w:lang w:val="es-ES"/>
              </w:rPr>
              <w:t xml:space="preserve"> </w:t>
            </w:r>
            <w:r w:rsidR="00FE76AF">
              <w:rPr>
                <w:sz w:val="20"/>
                <w:szCs w:val="20"/>
                <w:lang w:val="es-ES"/>
              </w:rPr>
              <w:t xml:space="preserve">las características del servicio se encuentran contempladas en los reglamentos correspondientes RD OSE (interior del </w:t>
            </w:r>
            <w:r w:rsidR="00171DC4">
              <w:rPr>
                <w:sz w:val="20"/>
                <w:szCs w:val="20"/>
                <w:lang w:val="es-ES"/>
              </w:rPr>
              <w:t>país</w:t>
            </w:r>
            <w:r w:rsidR="00FE76AF">
              <w:rPr>
                <w:sz w:val="20"/>
                <w:szCs w:val="20"/>
                <w:lang w:val="es-ES"/>
              </w:rPr>
              <w:t>) y digesto departamental (Montevideo).</w:t>
            </w:r>
            <w:r w:rsidR="0026195E">
              <w:rPr>
                <w:sz w:val="20"/>
                <w:szCs w:val="20"/>
                <w:lang w:val="es-ES"/>
              </w:rPr>
              <w:t xml:space="preserve"> En este caso también se aplican tarifas sociales. </w:t>
            </w:r>
          </w:p>
          <w:p w14:paraId="4476713D" w14:textId="77777777" w:rsidR="00FE76AF" w:rsidRDefault="00FE76AF" w:rsidP="003C0281">
            <w:pPr>
              <w:jc w:val="both"/>
              <w:rPr>
                <w:sz w:val="20"/>
                <w:szCs w:val="20"/>
                <w:lang w:val="es-ES"/>
              </w:rPr>
            </w:pPr>
          </w:p>
          <w:p w14:paraId="0EE3005D" w14:textId="7829F7D8" w:rsidR="006A1BC1" w:rsidRDefault="00FE76AF" w:rsidP="003C0281">
            <w:pPr>
              <w:jc w:val="both"/>
              <w:rPr>
                <w:sz w:val="20"/>
                <w:szCs w:val="20"/>
                <w:lang w:val="es-ES"/>
              </w:rPr>
            </w:pPr>
            <w:r>
              <w:rPr>
                <w:sz w:val="20"/>
                <w:szCs w:val="20"/>
                <w:lang w:val="es-ES"/>
              </w:rPr>
              <w:t>En lo que respecta a drenaje pluvial se cuenta con lineamientos a nivel nacional (</w:t>
            </w:r>
            <w:r w:rsidR="00B808D2">
              <w:rPr>
                <w:sz w:val="20"/>
                <w:szCs w:val="20"/>
                <w:lang w:val="es-ES"/>
              </w:rPr>
              <w:t>Dirección Nacional de Aguas (</w:t>
            </w:r>
            <w:r>
              <w:rPr>
                <w:sz w:val="20"/>
                <w:szCs w:val="20"/>
                <w:lang w:val="es-ES"/>
              </w:rPr>
              <w:t>DINAGUA</w:t>
            </w:r>
            <w:r w:rsidR="00B808D2">
              <w:rPr>
                <w:sz w:val="20"/>
                <w:szCs w:val="20"/>
                <w:lang w:val="es-ES"/>
              </w:rPr>
              <w:t>)</w:t>
            </w:r>
            <w:r>
              <w:rPr>
                <w:sz w:val="20"/>
                <w:szCs w:val="20"/>
                <w:lang w:val="es-ES"/>
              </w:rPr>
              <w:t xml:space="preserve">) y las características del servicio se encuentra consideradas usualmente en la normativa departamental. </w:t>
            </w:r>
          </w:p>
          <w:p w14:paraId="3591A309" w14:textId="77777777" w:rsidR="00FE76AF" w:rsidRDefault="00FE76AF" w:rsidP="003C0281">
            <w:pPr>
              <w:jc w:val="both"/>
              <w:rPr>
                <w:sz w:val="20"/>
                <w:szCs w:val="20"/>
                <w:lang w:val="es-ES"/>
              </w:rPr>
            </w:pPr>
          </w:p>
          <w:p w14:paraId="3DDFF5CF" w14:textId="4E54B4F6" w:rsidR="000F1306" w:rsidRPr="002F7A26" w:rsidRDefault="00FE76AF" w:rsidP="003954EC">
            <w:pPr>
              <w:jc w:val="both"/>
              <w:rPr>
                <w:sz w:val="20"/>
                <w:szCs w:val="20"/>
                <w:lang w:val="es-ES"/>
              </w:rPr>
            </w:pPr>
            <w:r>
              <w:rPr>
                <w:sz w:val="20"/>
                <w:szCs w:val="20"/>
                <w:lang w:val="es-ES"/>
              </w:rPr>
              <w:t>Cabe mencionar el rol de</w:t>
            </w:r>
            <w:r w:rsidR="00D6146A">
              <w:rPr>
                <w:sz w:val="20"/>
                <w:szCs w:val="20"/>
                <w:lang w:val="es-ES"/>
              </w:rPr>
              <w:t xml:space="preserve"> </w:t>
            </w:r>
            <w:r>
              <w:rPr>
                <w:sz w:val="20"/>
                <w:szCs w:val="20"/>
                <w:lang w:val="es-ES"/>
              </w:rPr>
              <w:t>l</w:t>
            </w:r>
            <w:r w:rsidRPr="00FE76AF">
              <w:rPr>
                <w:sz w:val="20"/>
                <w:szCs w:val="20"/>
                <w:lang w:val="es-ES"/>
              </w:rPr>
              <w:t>a</w:t>
            </w:r>
            <w:r w:rsidR="00B808D2">
              <w:rPr>
                <w:sz w:val="20"/>
                <w:szCs w:val="20"/>
                <w:lang w:val="es-ES"/>
              </w:rPr>
              <w:t xml:space="preserve"> Unidad Reguladora de Servicios de Energía y Agua (U</w:t>
            </w:r>
            <w:r w:rsidRPr="00FE76AF">
              <w:rPr>
                <w:sz w:val="20"/>
                <w:szCs w:val="20"/>
                <w:lang w:val="es-ES"/>
              </w:rPr>
              <w:t>RSEA</w:t>
            </w:r>
            <w:r w:rsidR="00B808D2">
              <w:rPr>
                <w:sz w:val="20"/>
                <w:szCs w:val="20"/>
                <w:lang w:val="es-ES"/>
              </w:rPr>
              <w:t>)</w:t>
            </w:r>
            <w:r w:rsidRPr="00FE76AF">
              <w:rPr>
                <w:sz w:val="20"/>
                <w:szCs w:val="20"/>
                <w:lang w:val="es-ES"/>
              </w:rPr>
              <w:t xml:space="preserve"> </w:t>
            </w:r>
            <w:r>
              <w:rPr>
                <w:sz w:val="20"/>
                <w:szCs w:val="20"/>
                <w:lang w:val="es-ES"/>
              </w:rPr>
              <w:t>como</w:t>
            </w:r>
            <w:r w:rsidRPr="00FE76AF">
              <w:rPr>
                <w:sz w:val="20"/>
                <w:szCs w:val="20"/>
                <w:lang w:val="es-ES"/>
              </w:rPr>
              <w:t xml:space="preserve"> institución estatal, creada con el fin de defender a los usuarios, y contribuir al desarrollo del país, a través de la regulación, fiscalización y asesoramiento en los sectores de </w:t>
            </w:r>
            <w:r w:rsidR="003954EC">
              <w:rPr>
                <w:sz w:val="20"/>
                <w:szCs w:val="20"/>
                <w:lang w:val="es-ES"/>
              </w:rPr>
              <w:t>agua y energía.</w:t>
            </w:r>
          </w:p>
        </w:tc>
      </w:tr>
      <w:tr w:rsidR="000F1306" w:rsidRPr="00E547B0" w14:paraId="74ADB677" w14:textId="77777777" w:rsidTr="00D02B3F">
        <w:trPr>
          <w:jc w:val="center"/>
        </w:trPr>
        <w:tc>
          <w:tcPr>
            <w:tcW w:w="1615" w:type="dxa"/>
            <w:shd w:val="clear" w:color="auto" w:fill="auto"/>
          </w:tcPr>
          <w:p w14:paraId="32E8074B" w14:textId="77777777" w:rsidR="000F1306" w:rsidRPr="002F7A26" w:rsidRDefault="000F1306" w:rsidP="000F1306">
            <w:pPr>
              <w:rPr>
                <w:b/>
                <w:bCs/>
                <w:sz w:val="20"/>
                <w:szCs w:val="20"/>
                <w:lang w:val="es-ES"/>
              </w:rPr>
            </w:pPr>
            <w:r w:rsidRPr="002F7A26">
              <w:rPr>
                <w:b/>
                <w:bCs/>
                <w:sz w:val="20"/>
                <w:szCs w:val="20"/>
                <w:lang w:val="es-ES"/>
              </w:rPr>
              <w:lastRenderedPageBreak/>
              <w:t>3. Suministrar un servicio en condiciones de eficiencia</w:t>
            </w:r>
          </w:p>
        </w:tc>
        <w:tc>
          <w:tcPr>
            <w:tcW w:w="2970" w:type="dxa"/>
            <w:shd w:val="clear" w:color="auto" w:fill="auto"/>
          </w:tcPr>
          <w:p w14:paraId="0A6C8551" w14:textId="77777777" w:rsidR="000F1306" w:rsidRPr="002F7A26" w:rsidRDefault="000F1306" w:rsidP="000F1306">
            <w:pPr>
              <w:rPr>
                <w:sz w:val="20"/>
                <w:szCs w:val="20"/>
                <w:lang w:val="es-ES"/>
              </w:rPr>
            </w:pPr>
            <w:r w:rsidRPr="002F7A26">
              <w:rPr>
                <w:sz w:val="20"/>
                <w:szCs w:val="20"/>
                <w:lang w:val="es-ES"/>
              </w:rPr>
              <w:t>Debe asegurarse que, desde el punto de vista de la oferta, los servicios se proveen con los menores costos posibles.</w:t>
            </w:r>
          </w:p>
        </w:tc>
        <w:tc>
          <w:tcPr>
            <w:tcW w:w="4765" w:type="dxa"/>
            <w:shd w:val="clear" w:color="auto" w:fill="auto"/>
          </w:tcPr>
          <w:p w14:paraId="00432954" w14:textId="14F54949" w:rsidR="00D6146A" w:rsidRDefault="00D6146A" w:rsidP="00D6146A">
            <w:pPr>
              <w:jc w:val="both"/>
              <w:rPr>
                <w:sz w:val="20"/>
                <w:szCs w:val="20"/>
                <w:lang w:val="es-ES"/>
              </w:rPr>
            </w:pPr>
            <w:r>
              <w:rPr>
                <w:sz w:val="20"/>
                <w:szCs w:val="20"/>
                <w:lang w:val="es-ES"/>
              </w:rPr>
              <w:t xml:space="preserve">En el ciclo de proyecto </w:t>
            </w:r>
            <w:r w:rsidR="003954EC">
              <w:rPr>
                <w:sz w:val="20"/>
                <w:szCs w:val="20"/>
                <w:lang w:val="es-ES"/>
              </w:rPr>
              <w:t xml:space="preserve">de PMB III, </w:t>
            </w:r>
            <w:r>
              <w:rPr>
                <w:sz w:val="20"/>
                <w:szCs w:val="20"/>
                <w:lang w:val="es-ES"/>
              </w:rPr>
              <w:t xml:space="preserve">se prevé </w:t>
            </w:r>
            <w:r w:rsidRPr="00D6146A">
              <w:rPr>
                <w:sz w:val="20"/>
                <w:szCs w:val="20"/>
                <w:lang w:val="es-ES"/>
              </w:rPr>
              <w:t xml:space="preserve">un proceso </w:t>
            </w:r>
            <w:r w:rsidR="003954EC" w:rsidRPr="00D6146A">
              <w:rPr>
                <w:sz w:val="20"/>
                <w:szCs w:val="20"/>
                <w:lang w:val="es-ES"/>
              </w:rPr>
              <w:t>colectiv</w:t>
            </w:r>
            <w:r w:rsidR="003954EC">
              <w:rPr>
                <w:sz w:val="20"/>
                <w:szCs w:val="20"/>
                <w:lang w:val="es-ES"/>
              </w:rPr>
              <w:t>o</w:t>
            </w:r>
            <w:r w:rsidR="003954EC" w:rsidRPr="00D6146A">
              <w:rPr>
                <w:sz w:val="20"/>
                <w:szCs w:val="20"/>
                <w:lang w:val="es-ES"/>
              </w:rPr>
              <w:t xml:space="preserve"> </w:t>
            </w:r>
            <w:r w:rsidRPr="00D6146A">
              <w:rPr>
                <w:sz w:val="20"/>
                <w:szCs w:val="20"/>
                <w:lang w:val="es-ES"/>
              </w:rPr>
              <w:t xml:space="preserve">de </w:t>
            </w:r>
            <w:r w:rsidR="003954EC">
              <w:rPr>
                <w:sz w:val="20"/>
                <w:szCs w:val="20"/>
                <w:lang w:val="es-ES"/>
              </w:rPr>
              <w:t xml:space="preserve">desarrollo de proyectos </w:t>
            </w:r>
            <w:r w:rsidRPr="00D6146A">
              <w:rPr>
                <w:sz w:val="20"/>
                <w:szCs w:val="20"/>
                <w:lang w:val="es-ES"/>
              </w:rPr>
              <w:t>con la comunidad que se</w:t>
            </w:r>
            <w:r>
              <w:rPr>
                <w:sz w:val="20"/>
                <w:szCs w:val="20"/>
                <w:lang w:val="es-ES"/>
              </w:rPr>
              <w:t xml:space="preserve"> </w:t>
            </w:r>
            <w:r w:rsidRPr="00D6146A">
              <w:rPr>
                <w:sz w:val="20"/>
                <w:szCs w:val="20"/>
                <w:lang w:val="es-ES"/>
              </w:rPr>
              <w:t>realiza desde una perspectiva integral analizando entre otras las siguientes dimensiones:</w:t>
            </w:r>
            <w:r>
              <w:rPr>
                <w:sz w:val="20"/>
                <w:szCs w:val="20"/>
                <w:lang w:val="es-ES"/>
              </w:rPr>
              <w:t xml:space="preserve"> </w:t>
            </w:r>
            <w:r w:rsidRPr="00D6146A">
              <w:rPr>
                <w:sz w:val="20"/>
                <w:szCs w:val="20"/>
                <w:lang w:val="es-ES"/>
              </w:rPr>
              <w:t xml:space="preserve">jurídica-notarial, urbana-territorial, hábitat y vivienda, salud, </w:t>
            </w:r>
            <w:r w:rsidR="009D3009" w:rsidRPr="00D6146A">
              <w:rPr>
                <w:sz w:val="20"/>
                <w:szCs w:val="20"/>
                <w:lang w:val="es-ES"/>
              </w:rPr>
              <w:t>socioeconómica</w:t>
            </w:r>
            <w:r w:rsidRPr="00D6146A">
              <w:rPr>
                <w:sz w:val="20"/>
                <w:szCs w:val="20"/>
                <w:lang w:val="es-ES"/>
              </w:rPr>
              <w:t>, cultural</w:t>
            </w:r>
            <w:r>
              <w:rPr>
                <w:sz w:val="20"/>
                <w:szCs w:val="20"/>
                <w:lang w:val="es-ES"/>
              </w:rPr>
              <w:t xml:space="preserve"> </w:t>
            </w:r>
            <w:r w:rsidRPr="00D6146A">
              <w:rPr>
                <w:sz w:val="20"/>
                <w:szCs w:val="20"/>
                <w:lang w:val="es-ES"/>
              </w:rPr>
              <w:t>y educativa-laboral, que se desarrollarán en cada uno de los productos.</w:t>
            </w:r>
          </w:p>
          <w:p w14:paraId="2B953822" w14:textId="77777777" w:rsidR="00784FE8" w:rsidRDefault="00784FE8" w:rsidP="00D6146A">
            <w:pPr>
              <w:jc w:val="both"/>
              <w:rPr>
                <w:sz w:val="20"/>
                <w:szCs w:val="20"/>
                <w:lang w:val="es-ES"/>
              </w:rPr>
            </w:pPr>
          </w:p>
          <w:p w14:paraId="1697482C" w14:textId="2F6126DB" w:rsidR="00784FE8" w:rsidRDefault="00784FE8" w:rsidP="00D6146A">
            <w:pPr>
              <w:jc w:val="both"/>
              <w:rPr>
                <w:sz w:val="20"/>
                <w:szCs w:val="20"/>
                <w:lang w:val="es-ES"/>
              </w:rPr>
            </w:pPr>
            <w:r>
              <w:rPr>
                <w:sz w:val="20"/>
                <w:szCs w:val="20"/>
                <w:lang w:val="es-ES"/>
              </w:rPr>
              <w:t xml:space="preserve">En los proyectos de servicios de abastecimiento saneamiento y drenaje, se prevé la </w:t>
            </w:r>
            <w:r w:rsidRPr="002F7A26">
              <w:rPr>
                <w:sz w:val="20"/>
                <w:szCs w:val="20"/>
                <w:lang w:val="es-ES"/>
              </w:rPr>
              <w:t>realiza</w:t>
            </w:r>
            <w:r>
              <w:rPr>
                <w:sz w:val="20"/>
                <w:szCs w:val="20"/>
                <w:lang w:val="es-ES"/>
              </w:rPr>
              <w:t>ción de</w:t>
            </w:r>
            <w:r w:rsidRPr="002F7A26">
              <w:rPr>
                <w:sz w:val="20"/>
                <w:szCs w:val="20"/>
                <w:lang w:val="es-ES"/>
              </w:rPr>
              <w:t xml:space="preserve"> análisis de alternativas que permit</w:t>
            </w:r>
            <w:r>
              <w:rPr>
                <w:sz w:val="20"/>
                <w:szCs w:val="20"/>
                <w:lang w:val="es-ES"/>
              </w:rPr>
              <w:t>a</w:t>
            </w:r>
            <w:r w:rsidRPr="002F7A26">
              <w:rPr>
                <w:sz w:val="20"/>
                <w:szCs w:val="20"/>
                <w:lang w:val="es-ES"/>
              </w:rPr>
              <w:t xml:space="preserve"> identificar la </w:t>
            </w:r>
            <w:r>
              <w:rPr>
                <w:sz w:val="20"/>
                <w:szCs w:val="20"/>
                <w:lang w:val="es-ES"/>
              </w:rPr>
              <w:t xml:space="preserve">configuración y </w:t>
            </w:r>
            <w:r w:rsidRPr="00D6146A">
              <w:rPr>
                <w:sz w:val="20"/>
                <w:szCs w:val="20"/>
                <w:lang w:val="es-ES"/>
              </w:rPr>
              <w:t>localización</w:t>
            </w:r>
            <w:r w:rsidRPr="002F7A26">
              <w:rPr>
                <w:sz w:val="20"/>
                <w:szCs w:val="20"/>
                <w:lang w:val="es-ES"/>
              </w:rPr>
              <w:t xml:space="preserve"> </w:t>
            </w:r>
            <w:r>
              <w:rPr>
                <w:sz w:val="20"/>
                <w:szCs w:val="20"/>
                <w:lang w:val="es-ES"/>
              </w:rPr>
              <w:t xml:space="preserve">de los sistemas </w:t>
            </w:r>
            <w:r w:rsidR="00171DC4">
              <w:rPr>
                <w:sz w:val="20"/>
                <w:szCs w:val="20"/>
                <w:lang w:val="es-ES"/>
              </w:rPr>
              <w:t>más</w:t>
            </w:r>
            <w:r>
              <w:rPr>
                <w:sz w:val="20"/>
                <w:szCs w:val="20"/>
                <w:lang w:val="es-ES"/>
              </w:rPr>
              <w:t xml:space="preserve"> eficientes. E</w:t>
            </w:r>
            <w:r w:rsidRPr="002F7A26">
              <w:rPr>
                <w:sz w:val="20"/>
                <w:szCs w:val="20"/>
                <w:lang w:val="es-ES"/>
              </w:rPr>
              <w:t>l análisis se realiz</w:t>
            </w:r>
            <w:r>
              <w:rPr>
                <w:sz w:val="20"/>
                <w:szCs w:val="20"/>
                <w:lang w:val="es-ES"/>
              </w:rPr>
              <w:t>a</w:t>
            </w:r>
            <w:r w:rsidRPr="002F7A26">
              <w:rPr>
                <w:sz w:val="20"/>
                <w:szCs w:val="20"/>
                <w:lang w:val="es-ES"/>
              </w:rPr>
              <w:t xml:space="preserve"> bajo las normas </w:t>
            </w:r>
            <w:r>
              <w:rPr>
                <w:sz w:val="20"/>
                <w:szCs w:val="20"/>
                <w:lang w:val="es-ES"/>
              </w:rPr>
              <w:t>mencionadas en el punto 2.</w:t>
            </w:r>
          </w:p>
          <w:p w14:paraId="44B87D5A" w14:textId="77777777" w:rsidR="000F1306" w:rsidRPr="002F7A26" w:rsidRDefault="000F1306" w:rsidP="00784FE8">
            <w:pPr>
              <w:jc w:val="both"/>
              <w:rPr>
                <w:sz w:val="20"/>
                <w:szCs w:val="20"/>
                <w:lang w:val="es-ES"/>
              </w:rPr>
            </w:pPr>
          </w:p>
        </w:tc>
      </w:tr>
      <w:tr w:rsidR="000F1306" w:rsidRPr="00E547B0" w14:paraId="0DB8F434" w14:textId="77777777" w:rsidTr="00D02B3F">
        <w:trPr>
          <w:trHeight w:val="1718"/>
          <w:jc w:val="center"/>
        </w:trPr>
        <w:tc>
          <w:tcPr>
            <w:tcW w:w="1615" w:type="dxa"/>
            <w:tcBorders>
              <w:bottom w:val="single" w:sz="4" w:space="0" w:color="auto"/>
            </w:tcBorders>
            <w:shd w:val="clear" w:color="auto" w:fill="auto"/>
          </w:tcPr>
          <w:p w14:paraId="473DEC17" w14:textId="77777777" w:rsidR="000F1306" w:rsidRPr="002F7A26" w:rsidRDefault="000F1306" w:rsidP="000F1306">
            <w:pPr>
              <w:rPr>
                <w:b/>
                <w:bCs/>
                <w:sz w:val="20"/>
                <w:szCs w:val="20"/>
                <w:lang w:val="es-ES"/>
              </w:rPr>
            </w:pPr>
            <w:r w:rsidRPr="002F7A26">
              <w:rPr>
                <w:b/>
                <w:bCs/>
                <w:sz w:val="20"/>
                <w:szCs w:val="20"/>
                <w:lang w:val="es-ES"/>
              </w:rPr>
              <w:t>4. Generar incentivos adecuados a la demanda de servicios.</w:t>
            </w:r>
          </w:p>
        </w:tc>
        <w:tc>
          <w:tcPr>
            <w:tcW w:w="2970" w:type="dxa"/>
            <w:tcBorders>
              <w:bottom w:val="single" w:sz="4" w:space="0" w:color="auto"/>
            </w:tcBorders>
            <w:shd w:val="clear" w:color="auto" w:fill="auto"/>
          </w:tcPr>
          <w:p w14:paraId="2D9707BF" w14:textId="77777777" w:rsidR="000F1306" w:rsidRPr="002F7A26" w:rsidRDefault="000F1306" w:rsidP="000F1306">
            <w:pPr>
              <w:rPr>
                <w:sz w:val="20"/>
                <w:szCs w:val="20"/>
                <w:lang w:val="es-ES"/>
              </w:rPr>
            </w:pPr>
            <w:r w:rsidRPr="002F7A26">
              <w:rPr>
                <w:sz w:val="20"/>
                <w:szCs w:val="20"/>
                <w:lang w:val="es-ES"/>
              </w:rPr>
              <w:t>Debe velarse porque existan los incentivos adecuados para que los usuarios hagan un uso de estos servicios compatible con su sostenibilidad económica, financiera y ambiental</w:t>
            </w:r>
          </w:p>
        </w:tc>
        <w:tc>
          <w:tcPr>
            <w:tcW w:w="4765" w:type="dxa"/>
            <w:tcBorders>
              <w:bottom w:val="single" w:sz="4" w:space="0" w:color="auto"/>
            </w:tcBorders>
            <w:shd w:val="clear" w:color="auto" w:fill="auto"/>
          </w:tcPr>
          <w:p w14:paraId="1610F89D" w14:textId="0150BC1C" w:rsidR="003933B7" w:rsidRPr="00C164D6" w:rsidRDefault="003933B7" w:rsidP="00C164D6">
            <w:pPr>
              <w:jc w:val="both"/>
              <w:rPr>
                <w:sz w:val="20"/>
                <w:szCs w:val="20"/>
                <w:lang w:val="es-ES"/>
              </w:rPr>
            </w:pPr>
            <w:r w:rsidRPr="00C164D6">
              <w:rPr>
                <w:sz w:val="20"/>
                <w:szCs w:val="20"/>
                <w:lang w:val="es-ES"/>
              </w:rPr>
              <w:t xml:space="preserve">Actualmente </w:t>
            </w:r>
            <w:r w:rsidR="00784FE8" w:rsidRPr="00C164D6">
              <w:rPr>
                <w:sz w:val="20"/>
                <w:szCs w:val="20"/>
                <w:lang w:val="es-ES"/>
              </w:rPr>
              <w:t xml:space="preserve">en la mayor parte de los asentamientos </w:t>
            </w:r>
            <w:r w:rsidR="00171DC4" w:rsidRPr="00C164D6">
              <w:rPr>
                <w:sz w:val="20"/>
                <w:szCs w:val="20"/>
                <w:lang w:val="es-ES"/>
              </w:rPr>
              <w:t>irregulares no</w:t>
            </w:r>
            <w:r w:rsidRPr="00C164D6">
              <w:rPr>
                <w:sz w:val="20"/>
                <w:szCs w:val="20"/>
                <w:lang w:val="es-ES"/>
              </w:rPr>
              <w:t xml:space="preserve"> cobra una tarifa </w:t>
            </w:r>
            <w:r w:rsidR="00784FE8" w:rsidRPr="00C164D6">
              <w:rPr>
                <w:sz w:val="20"/>
                <w:szCs w:val="20"/>
                <w:lang w:val="es-ES"/>
              </w:rPr>
              <w:t xml:space="preserve">por vivienda por </w:t>
            </w:r>
            <w:r w:rsidRPr="00C164D6">
              <w:rPr>
                <w:sz w:val="20"/>
                <w:szCs w:val="20"/>
                <w:lang w:val="es-ES"/>
              </w:rPr>
              <w:t>el suministro de agua potable</w:t>
            </w:r>
            <w:r w:rsidR="0003417D" w:rsidRPr="00C164D6">
              <w:rPr>
                <w:sz w:val="20"/>
                <w:szCs w:val="20"/>
                <w:lang w:val="es-ES"/>
              </w:rPr>
              <w:t xml:space="preserve"> o de abastecimiento de energía</w:t>
            </w:r>
            <w:r w:rsidRPr="00C164D6">
              <w:rPr>
                <w:sz w:val="20"/>
                <w:szCs w:val="20"/>
                <w:lang w:val="es-ES"/>
              </w:rPr>
              <w:t xml:space="preserve"> que recibe la </w:t>
            </w:r>
            <w:r w:rsidR="001E2ED7" w:rsidRPr="00C164D6">
              <w:rPr>
                <w:sz w:val="20"/>
                <w:szCs w:val="20"/>
                <w:lang w:val="es-ES"/>
              </w:rPr>
              <w:t>población.</w:t>
            </w:r>
            <w:r w:rsidR="00784FE8" w:rsidRPr="00C164D6">
              <w:rPr>
                <w:sz w:val="20"/>
                <w:szCs w:val="20"/>
                <w:lang w:val="es-ES"/>
              </w:rPr>
              <w:t xml:space="preserve"> </w:t>
            </w:r>
            <w:r w:rsidR="00B104E4" w:rsidRPr="00C164D6">
              <w:rPr>
                <w:sz w:val="20"/>
                <w:szCs w:val="20"/>
                <w:lang w:val="es-ES"/>
              </w:rPr>
              <w:t>Asimismo,</w:t>
            </w:r>
            <w:r w:rsidR="00784FE8" w:rsidRPr="00C164D6">
              <w:rPr>
                <w:sz w:val="20"/>
                <w:szCs w:val="20"/>
                <w:lang w:val="es-ES"/>
              </w:rPr>
              <w:t xml:space="preserve"> no cuentan con servicios de saneamiento </w:t>
            </w:r>
            <w:r w:rsidR="00D32D58" w:rsidRPr="00C164D6">
              <w:rPr>
                <w:sz w:val="20"/>
                <w:szCs w:val="20"/>
                <w:lang w:val="es-ES"/>
              </w:rPr>
              <w:t>adecuados</w:t>
            </w:r>
            <w:r w:rsidR="00784FE8" w:rsidRPr="00C164D6">
              <w:rPr>
                <w:sz w:val="20"/>
                <w:szCs w:val="20"/>
                <w:lang w:val="es-ES"/>
              </w:rPr>
              <w:t xml:space="preserve"> o con sistemas de drenaje pluvial. </w:t>
            </w:r>
          </w:p>
          <w:p w14:paraId="241E6ACA" w14:textId="77777777" w:rsidR="003933B7" w:rsidRPr="00C164D6" w:rsidRDefault="003933B7" w:rsidP="00C164D6">
            <w:pPr>
              <w:jc w:val="both"/>
              <w:rPr>
                <w:sz w:val="20"/>
                <w:szCs w:val="20"/>
                <w:lang w:val="es-ES"/>
              </w:rPr>
            </w:pPr>
          </w:p>
          <w:p w14:paraId="5C4A7BFE" w14:textId="76851B2B" w:rsidR="0003417D" w:rsidRPr="00C164D6" w:rsidRDefault="003933B7" w:rsidP="00C164D6">
            <w:pPr>
              <w:jc w:val="both"/>
              <w:rPr>
                <w:sz w:val="20"/>
                <w:szCs w:val="20"/>
                <w:lang w:val="es-ES"/>
              </w:rPr>
            </w:pPr>
            <w:r w:rsidRPr="00C164D6">
              <w:rPr>
                <w:sz w:val="20"/>
                <w:szCs w:val="20"/>
                <w:lang w:val="es-ES"/>
              </w:rPr>
              <w:t xml:space="preserve">Con el fin de que los usuarios hagan un uso </w:t>
            </w:r>
            <w:r w:rsidR="00784FE8" w:rsidRPr="00C164D6">
              <w:rPr>
                <w:sz w:val="20"/>
                <w:szCs w:val="20"/>
                <w:lang w:val="es-ES"/>
              </w:rPr>
              <w:t>seguro de la infraestructura de servicios</w:t>
            </w:r>
            <w:r w:rsidRPr="00C164D6">
              <w:rPr>
                <w:sz w:val="20"/>
                <w:szCs w:val="20"/>
                <w:lang w:val="es-ES"/>
              </w:rPr>
              <w:t xml:space="preserve">, en el </w:t>
            </w:r>
            <w:r w:rsidR="00784FE8" w:rsidRPr="00C164D6">
              <w:rPr>
                <w:sz w:val="20"/>
                <w:szCs w:val="20"/>
                <w:lang w:val="es-ES"/>
              </w:rPr>
              <w:t xml:space="preserve">marco del programa se prevé la mejora de los niveles de integración, educación y responsabilidad ciudadana, definidas con la </w:t>
            </w:r>
            <w:r w:rsidR="009D3009" w:rsidRPr="00C164D6">
              <w:rPr>
                <w:sz w:val="20"/>
                <w:szCs w:val="20"/>
                <w:lang w:val="es-ES"/>
              </w:rPr>
              <w:t>participación</w:t>
            </w:r>
            <w:r w:rsidR="00784FE8" w:rsidRPr="00C164D6">
              <w:rPr>
                <w:sz w:val="20"/>
                <w:szCs w:val="20"/>
                <w:lang w:val="es-ES"/>
              </w:rPr>
              <w:t xml:space="preserve"> y decisiva de la comunidad</w:t>
            </w:r>
            <w:r w:rsidR="00171DC4" w:rsidRPr="00C164D6">
              <w:rPr>
                <w:sz w:val="20"/>
                <w:szCs w:val="20"/>
                <w:lang w:val="es-ES"/>
              </w:rPr>
              <w:t xml:space="preserve">. </w:t>
            </w:r>
          </w:p>
          <w:p w14:paraId="47A65EC7" w14:textId="77777777" w:rsidR="0003417D" w:rsidRPr="00C164D6" w:rsidRDefault="0003417D" w:rsidP="00C164D6">
            <w:pPr>
              <w:jc w:val="both"/>
              <w:rPr>
                <w:sz w:val="20"/>
                <w:szCs w:val="20"/>
                <w:lang w:val="es-ES"/>
              </w:rPr>
            </w:pPr>
          </w:p>
          <w:p w14:paraId="6E925A41" w14:textId="77777777" w:rsidR="00DC5D61" w:rsidRDefault="00113149" w:rsidP="00C164D6">
            <w:pPr>
              <w:jc w:val="both"/>
              <w:rPr>
                <w:sz w:val="20"/>
                <w:szCs w:val="20"/>
                <w:lang w:val="es-ES"/>
              </w:rPr>
            </w:pPr>
            <w:r w:rsidRPr="00C164D6">
              <w:rPr>
                <w:sz w:val="20"/>
                <w:szCs w:val="20"/>
                <w:lang w:val="es-ES"/>
              </w:rPr>
              <w:t>Se incluyen en los TDR de las firmas consultoras que forman parte del diseño y seguimiento de la ejecución la implementación de un</w:t>
            </w:r>
            <w:r w:rsidR="00CD3625" w:rsidRPr="00C164D6">
              <w:rPr>
                <w:sz w:val="20"/>
                <w:szCs w:val="20"/>
                <w:lang w:val="es-ES"/>
              </w:rPr>
              <w:t xml:space="preserve"> programa de capacitación a toda la población en materia de uso responsable </w:t>
            </w:r>
            <w:r w:rsidR="009D781F" w:rsidRPr="00C164D6">
              <w:rPr>
                <w:sz w:val="20"/>
                <w:szCs w:val="20"/>
                <w:lang w:val="es-ES"/>
              </w:rPr>
              <w:t>de los servicios</w:t>
            </w:r>
            <w:r w:rsidR="00CD3625" w:rsidRPr="00C164D6">
              <w:rPr>
                <w:sz w:val="20"/>
                <w:szCs w:val="20"/>
                <w:lang w:val="es-ES"/>
              </w:rPr>
              <w:t xml:space="preserve">, </w:t>
            </w:r>
            <w:r w:rsidR="009D781F" w:rsidRPr="00C164D6">
              <w:rPr>
                <w:sz w:val="20"/>
                <w:szCs w:val="20"/>
                <w:lang w:val="es-ES"/>
              </w:rPr>
              <w:t>pago de servicios, etc.</w:t>
            </w:r>
          </w:p>
          <w:p w14:paraId="5519BF35" w14:textId="77777777" w:rsidR="00C164D6" w:rsidRDefault="00C164D6" w:rsidP="00C164D6">
            <w:pPr>
              <w:jc w:val="both"/>
              <w:rPr>
                <w:sz w:val="20"/>
                <w:szCs w:val="20"/>
                <w:lang w:val="es-ES"/>
              </w:rPr>
            </w:pPr>
          </w:p>
          <w:p w14:paraId="30EAE225" w14:textId="6B336B68" w:rsidR="00C164D6" w:rsidRDefault="00C164D6" w:rsidP="00C164D6">
            <w:pPr>
              <w:jc w:val="both"/>
              <w:rPr>
                <w:sz w:val="20"/>
                <w:szCs w:val="20"/>
                <w:lang w:val="es-ES"/>
              </w:rPr>
            </w:pPr>
            <w:r>
              <w:rPr>
                <w:sz w:val="20"/>
                <w:szCs w:val="20"/>
                <w:lang w:val="es-ES"/>
              </w:rPr>
              <w:lastRenderedPageBreak/>
              <w:t>En particular en la etapa de anteproyecto, en lo que respecta a la dimensión social, se prevé el trabajo con la población en las siguientes dimensiones:</w:t>
            </w:r>
          </w:p>
          <w:p w14:paraId="6A2EEBC9" w14:textId="77777777" w:rsidR="00C164D6" w:rsidRPr="00C164D6" w:rsidRDefault="00C164D6" w:rsidP="00C164D6">
            <w:pPr>
              <w:jc w:val="both"/>
              <w:rPr>
                <w:sz w:val="20"/>
                <w:szCs w:val="20"/>
                <w:lang w:val="es-ES"/>
              </w:rPr>
            </w:pPr>
            <w:r w:rsidRPr="00C164D6">
              <w:rPr>
                <w:sz w:val="20"/>
                <w:szCs w:val="20"/>
                <w:lang w:val="es-ES"/>
              </w:rPr>
              <w:t>organización barrial.</w:t>
            </w:r>
          </w:p>
          <w:p w14:paraId="25187D40" w14:textId="77777777" w:rsidR="00C164D6" w:rsidRPr="00C164D6" w:rsidRDefault="00C164D6" w:rsidP="00C164D6">
            <w:pPr>
              <w:jc w:val="both"/>
              <w:rPr>
                <w:sz w:val="20"/>
                <w:szCs w:val="20"/>
                <w:lang w:val="es-ES"/>
              </w:rPr>
            </w:pPr>
            <w:r w:rsidRPr="00C164D6">
              <w:rPr>
                <w:sz w:val="20"/>
                <w:szCs w:val="20"/>
                <w:lang w:val="es-ES"/>
              </w:rPr>
              <w:t>· capacitación en gestión colectiva.</w:t>
            </w:r>
          </w:p>
          <w:p w14:paraId="3789C410" w14:textId="77777777" w:rsidR="00C164D6" w:rsidRPr="00C164D6" w:rsidRDefault="00C164D6" w:rsidP="00C164D6">
            <w:pPr>
              <w:jc w:val="both"/>
              <w:rPr>
                <w:sz w:val="20"/>
                <w:szCs w:val="20"/>
                <w:lang w:val="es-ES"/>
              </w:rPr>
            </w:pPr>
            <w:r w:rsidRPr="00C164D6">
              <w:rPr>
                <w:sz w:val="20"/>
                <w:szCs w:val="20"/>
                <w:lang w:val="es-ES"/>
              </w:rPr>
              <w:t>· integración, Inter. e intra barrial.</w:t>
            </w:r>
          </w:p>
          <w:p w14:paraId="3B335C0D" w14:textId="77777777" w:rsidR="00C164D6" w:rsidRPr="00C164D6" w:rsidRDefault="00C164D6" w:rsidP="00C164D6">
            <w:pPr>
              <w:jc w:val="both"/>
              <w:rPr>
                <w:sz w:val="20"/>
                <w:szCs w:val="20"/>
                <w:lang w:val="es-ES"/>
              </w:rPr>
            </w:pPr>
            <w:r w:rsidRPr="00C164D6">
              <w:rPr>
                <w:sz w:val="20"/>
                <w:szCs w:val="20"/>
                <w:lang w:val="es-ES"/>
              </w:rPr>
              <w:t>· trabajo en red, a nivel local y/o zonal.</w:t>
            </w:r>
          </w:p>
          <w:p w14:paraId="3C5F2814" w14:textId="77777777" w:rsidR="00C164D6" w:rsidRPr="00C164D6" w:rsidRDefault="00C164D6" w:rsidP="00C164D6">
            <w:pPr>
              <w:jc w:val="both"/>
              <w:rPr>
                <w:sz w:val="20"/>
                <w:szCs w:val="20"/>
                <w:lang w:val="es-ES"/>
              </w:rPr>
            </w:pPr>
            <w:r w:rsidRPr="00C164D6">
              <w:rPr>
                <w:sz w:val="20"/>
                <w:szCs w:val="20"/>
                <w:lang w:val="es-ES"/>
              </w:rPr>
              <w:t>· comunicación barrial.</w:t>
            </w:r>
          </w:p>
          <w:p w14:paraId="29915A70" w14:textId="4C84EF9F" w:rsidR="00C164D6" w:rsidRPr="00C164D6" w:rsidRDefault="00C164D6" w:rsidP="00C164D6">
            <w:pPr>
              <w:jc w:val="both"/>
              <w:rPr>
                <w:sz w:val="20"/>
                <w:szCs w:val="20"/>
                <w:lang w:val="es-ES"/>
              </w:rPr>
            </w:pPr>
            <w:r w:rsidRPr="00C164D6">
              <w:rPr>
                <w:sz w:val="20"/>
                <w:szCs w:val="20"/>
                <w:lang w:val="es-ES"/>
              </w:rPr>
              <w:t xml:space="preserve">· salud y </w:t>
            </w:r>
            <w:r w:rsidR="009D3009" w:rsidRPr="00C164D6">
              <w:rPr>
                <w:sz w:val="20"/>
                <w:szCs w:val="20"/>
                <w:lang w:val="es-ES"/>
              </w:rPr>
              <w:t>medioambiente</w:t>
            </w:r>
            <w:r w:rsidRPr="00C164D6">
              <w:rPr>
                <w:sz w:val="20"/>
                <w:szCs w:val="20"/>
                <w:lang w:val="es-ES"/>
              </w:rPr>
              <w:t xml:space="preserve"> /mejoramiento del hábitat</w:t>
            </w:r>
          </w:p>
          <w:p w14:paraId="484745FE" w14:textId="77777777" w:rsidR="00C164D6" w:rsidRPr="00C164D6" w:rsidRDefault="00C164D6" w:rsidP="00C164D6">
            <w:pPr>
              <w:jc w:val="both"/>
              <w:rPr>
                <w:sz w:val="20"/>
                <w:szCs w:val="20"/>
                <w:lang w:val="es-ES"/>
              </w:rPr>
            </w:pPr>
            <w:r w:rsidRPr="00C164D6">
              <w:rPr>
                <w:sz w:val="20"/>
                <w:szCs w:val="20"/>
                <w:lang w:val="es-ES"/>
              </w:rPr>
              <w:t>· realojos y SSHH</w:t>
            </w:r>
          </w:p>
          <w:p w14:paraId="7154E9CD" w14:textId="77777777" w:rsidR="00C164D6" w:rsidRPr="00C164D6" w:rsidRDefault="00C164D6" w:rsidP="00C164D6">
            <w:pPr>
              <w:jc w:val="both"/>
              <w:rPr>
                <w:sz w:val="20"/>
                <w:szCs w:val="20"/>
                <w:lang w:val="es-ES"/>
              </w:rPr>
            </w:pPr>
            <w:r w:rsidRPr="00C164D6">
              <w:rPr>
                <w:sz w:val="20"/>
                <w:szCs w:val="20"/>
                <w:lang w:val="es-ES"/>
              </w:rPr>
              <w:t>· prevención de ocupaciones.</w:t>
            </w:r>
          </w:p>
          <w:p w14:paraId="26C653AE" w14:textId="77777777" w:rsidR="00C164D6" w:rsidRDefault="00C164D6" w:rsidP="00C164D6">
            <w:pPr>
              <w:jc w:val="both"/>
              <w:rPr>
                <w:sz w:val="20"/>
                <w:szCs w:val="20"/>
                <w:lang w:val="es-ES"/>
              </w:rPr>
            </w:pPr>
            <w:r w:rsidRPr="00C164D6">
              <w:rPr>
                <w:sz w:val="20"/>
                <w:szCs w:val="20"/>
                <w:lang w:val="es-ES"/>
              </w:rPr>
              <w:t>· uso y funcionamiento de las infraestructuras construidas.</w:t>
            </w:r>
          </w:p>
          <w:p w14:paraId="041AE50D" w14:textId="77777777" w:rsidR="00C164D6" w:rsidRDefault="00C164D6" w:rsidP="00C164D6">
            <w:pPr>
              <w:jc w:val="both"/>
              <w:rPr>
                <w:sz w:val="20"/>
                <w:szCs w:val="20"/>
                <w:lang w:val="es-ES"/>
              </w:rPr>
            </w:pPr>
          </w:p>
          <w:p w14:paraId="7BCDA5D5" w14:textId="2C47726F" w:rsidR="003954EC" w:rsidRPr="00C164D6" w:rsidRDefault="00C164D6" w:rsidP="003954EC">
            <w:pPr>
              <w:jc w:val="both"/>
              <w:rPr>
                <w:sz w:val="20"/>
                <w:szCs w:val="20"/>
                <w:lang w:val="es-ES"/>
              </w:rPr>
            </w:pPr>
            <w:r>
              <w:rPr>
                <w:sz w:val="20"/>
                <w:szCs w:val="20"/>
                <w:lang w:val="es-ES"/>
              </w:rPr>
              <w:t xml:space="preserve">En particular en este </w:t>
            </w:r>
            <w:r w:rsidR="00B808D2">
              <w:rPr>
                <w:sz w:val="20"/>
                <w:szCs w:val="20"/>
                <w:lang w:val="es-ES"/>
              </w:rPr>
              <w:t>último</w:t>
            </w:r>
            <w:r>
              <w:rPr>
                <w:sz w:val="20"/>
                <w:szCs w:val="20"/>
                <w:lang w:val="es-ES"/>
              </w:rPr>
              <w:t xml:space="preserve"> punto se prevé el a</w:t>
            </w:r>
            <w:r w:rsidRPr="00C164D6">
              <w:rPr>
                <w:sz w:val="20"/>
                <w:szCs w:val="20"/>
                <w:lang w:val="es-ES"/>
              </w:rPr>
              <w:t xml:space="preserve">compañamiento técnico y asesoramiento a </w:t>
            </w:r>
            <w:r>
              <w:rPr>
                <w:sz w:val="20"/>
                <w:szCs w:val="20"/>
                <w:lang w:val="es-ES"/>
              </w:rPr>
              <w:t>la población</w:t>
            </w:r>
            <w:r w:rsidRPr="00C164D6">
              <w:rPr>
                <w:sz w:val="20"/>
                <w:szCs w:val="20"/>
                <w:lang w:val="es-ES"/>
              </w:rPr>
              <w:t xml:space="preserve"> en la obtención de</w:t>
            </w:r>
            <w:r>
              <w:rPr>
                <w:sz w:val="20"/>
                <w:szCs w:val="20"/>
                <w:lang w:val="es-ES"/>
              </w:rPr>
              <w:t xml:space="preserve"> </w:t>
            </w:r>
            <w:r w:rsidRPr="00C164D6">
              <w:rPr>
                <w:sz w:val="20"/>
                <w:szCs w:val="20"/>
                <w:lang w:val="es-ES"/>
              </w:rPr>
              <w:t>servicios y responsabilidades (pago de luz, agua, tributos, etc.), cuidado y conservación de lo</w:t>
            </w:r>
            <w:r>
              <w:rPr>
                <w:sz w:val="20"/>
                <w:szCs w:val="20"/>
                <w:lang w:val="es-ES"/>
              </w:rPr>
              <w:t xml:space="preserve"> </w:t>
            </w:r>
            <w:r w:rsidRPr="00C164D6">
              <w:rPr>
                <w:sz w:val="20"/>
                <w:szCs w:val="20"/>
                <w:lang w:val="es-ES"/>
              </w:rPr>
              <w:t>construido</w:t>
            </w:r>
            <w:r w:rsidR="003954EC" w:rsidRPr="00C164D6">
              <w:rPr>
                <w:sz w:val="20"/>
                <w:szCs w:val="20"/>
                <w:lang w:val="es-ES"/>
              </w:rPr>
              <w:t xml:space="preserve"> (</w:t>
            </w:r>
            <w:r w:rsidR="003954EC">
              <w:rPr>
                <w:sz w:val="20"/>
                <w:szCs w:val="20"/>
                <w:lang w:val="es-ES"/>
              </w:rPr>
              <w:t xml:space="preserve">uso racional del agua, </w:t>
            </w:r>
            <w:r w:rsidR="003954EC" w:rsidRPr="00C164D6">
              <w:rPr>
                <w:sz w:val="20"/>
                <w:szCs w:val="20"/>
                <w:lang w:val="es-ES"/>
              </w:rPr>
              <w:t>no intrusión de pluviales en sistemas separativos)</w:t>
            </w:r>
            <w:r w:rsidR="003954EC">
              <w:rPr>
                <w:sz w:val="20"/>
                <w:szCs w:val="20"/>
                <w:lang w:val="es-ES"/>
              </w:rPr>
              <w:t>, etc.</w:t>
            </w:r>
          </w:p>
          <w:p w14:paraId="260D63F5" w14:textId="6AC081EC" w:rsidR="00DD6648" w:rsidRDefault="00DD6648" w:rsidP="00C164D6">
            <w:pPr>
              <w:jc w:val="both"/>
              <w:rPr>
                <w:sz w:val="20"/>
                <w:szCs w:val="20"/>
                <w:lang w:val="es-ES"/>
              </w:rPr>
            </w:pPr>
          </w:p>
          <w:p w14:paraId="6674784B" w14:textId="1A9FD7F6" w:rsidR="00DD6648" w:rsidRPr="00DD6648" w:rsidRDefault="00DD6648" w:rsidP="00DD6648">
            <w:pPr>
              <w:jc w:val="both"/>
              <w:rPr>
                <w:sz w:val="20"/>
                <w:szCs w:val="20"/>
                <w:lang w:val="es-ES"/>
              </w:rPr>
            </w:pPr>
            <w:r>
              <w:rPr>
                <w:sz w:val="20"/>
                <w:szCs w:val="20"/>
                <w:lang w:val="es-ES"/>
              </w:rPr>
              <w:t xml:space="preserve">Finalmente cabe mencionar </w:t>
            </w:r>
            <w:r w:rsidR="00B808D2">
              <w:rPr>
                <w:sz w:val="20"/>
                <w:szCs w:val="20"/>
                <w:lang w:val="es-ES"/>
              </w:rPr>
              <w:t>que,</w:t>
            </w:r>
            <w:r>
              <w:rPr>
                <w:sz w:val="20"/>
                <w:szCs w:val="20"/>
                <w:lang w:val="es-ES"/>
              </w:rPr>
              <w:t xml:space="preserve"> </w:t>
            </w:r>
            <w:r w:rsidR="003954EC">
              <w:rPr>
                <w:sz w:val="20"/>
                <w:szCs w:val="20"/>
                <w:lang w:val="es-ES"/>
              </w:rPr>
              <w:t>e</w:t>
            </w:r>
            <w:r w:rsidRPr="00DD6648">
              <w:rPr>
                <w:sz w:val="20"/>
                <w:szCs w:val="20"/>
                <w:lang w:val="es-ES"/>
              </w:rPr>
              <w:t>n la búsqueda de una solución a la baja conectividad</w:t>
            </w:r>
            <w:r>
              <w:rPr>
                <w:sz w:val="20"/>
                <w:szCs w:val="20"/>
                <w:lang w:val="es-ES"/>
              </w:rPr>
              <w:t xml:space="preserve"> a saneamiento</w:t>
            </w:r>
            <w:r w:rsidRPr="00DD6648">
              <w:rPr>
                <w:sz w:val="20"/>
                <w:szCs w:val="20"/>
                <w:lang w:val="es-ES"/>
              </w:rPr>
              <w:t>, se promulgó a finales de 2011 la Ley 18.840 de obligatoriedad de conexión al saneamiento, la cual fue reglamentada en febrero del 2013 (decreto 059/012), que establece la obligatoriedad de conectarse a las redes públicas de saneamiento, y presenta distintos incentivos para facilitar el acceso a la conexión a los hogares con bajos recursos.</w:t>
            </w:r>
            <w:r>
              <w:rPr>
                <w:sz w:val="20"/>
                <w:szCs w:val="20"/>
                <w:lang w:val="es-ES"/>
              </w:rPr>
              <w:t xml:space="preserve"> Debido a la metodología de abordaje de esta temática y a características propias del programa</w:t>
            </w:r>
            <w:r w:rsidR="003954EC">
              <w:rPr>
                <w:sz w:val="20"/>
                <w:szCs w:val="20"/>
                <w:lang w:val="es-ES"/>
              </w:rPr>
              <w:t>,</w:t>
            </w:r>
            <w:r>
              <w:rPr>
                <w:sz w:val="20"/>
                <w:szCs w:val="20"/>
                <w:lang w:val="es-ES"/>
              </w:rPr>
              <w:t xml:space="preserve"> el PMB tiene las </w:t>
            </w:r>
            <w:r w:rsidR="006D7186">
              <w:rPr>
                <w:sz w:val="20"/>
                <w:szCs w:val="20"/>
                <w:lang w:val="es-ES"/>
              </w:rPr>
              <w:t xml:space="preserve">mayores </w:t>
            </w:r>
            <w:r>
              <w:rPr>
                <w:sz w:val="20"/>
                <w:szCs w:val="20"/>
                <w:lang w:val="es-ES"/>
              </w:rPr>
              <w:t xml:space="preserve">tasas de conexión </w:t>
            </w:r>
            <w:r w:rsidR="006D7186">
              <w:rPr>
                <w:sz w:val="20"/>
                <w:szCs w:val="20"/>
                <w:lang w:val="es-ES"/>
              </w:rPr>
              <w:t xml:space="preserve">a saneamiento </w:t>
            </w:r>
            <w:r w:rsidR="003954EC">
              <w:rPr>
                <w:sz w:val="20"/>
                <w:szCs w:val="20"/>
                <w:lang w:val="es-ES"/>
              </w:rPr>
              <w:t xml:space="preserve">en redes nuevas </w:t>
            </w:r>
            <w:r w:rsidR="006D7186">
              <w:rPr>
                <w:sz w:val="20"/>
                <w:szCs w:val="20"/>
                <w:lang w:val="es-ES"/>
              </w:rPr>
              <w:t>(superiores al 90%)</w:t>
            </w:r>
            <w:r>
              <w:rPr>
                <w:sz w:val="20"/>
                <w:szCs w:val="20"/>
                <w:lang w:val="es-ES"/>
              </w:rPr>
              <w:t xml:space="preserve"> </w:t>
            </w:r>
          </w:p>
          <w:p w14:paraId="7645255B" w14:textId="6CF224F6" w:rsidR="00DD6648" w:rsidRPr="00DD6648" w:rsidRDefault="00DD6648" w:rsidP="00C164D6">
            <w:pPr>
              <w:jc w:val="both"/>
              <w:rPr>
                <w:sz w:val="20"/>
                <w:szCs w:val="20"/>
                <w:lang w:val="es-ES"/>
              </w:rPr>
            </w:pPr>
          </w:p>
          <w:p w14:paraId="0DC9B1DC" w14:textId="16D1E55D" w:rsidR="00C164D6" w:rsidRPr="00C164D6" w:rsidRDefault="00C164D6" w:rsidP="00C164D6">
            <w:pPr>
              <w:jc w:val="both"/>
              <w:rPr>
                <w:sz w:val="20"/>
                <w:szCs w:val="20"/>
                <w:lang w:val="es-ES"/>
              </w:rPr>
            </w:pPr>
          </w:p>
        </w:tc>
      </w:tr>
      <w:tr w:rsidR="000F1306" w:rsidRPr="00E547B0" w14:paraId="585541EC" w14:textId="77777777" w:rsidTr="00D02B3F">
        <w:trPr>
          <w:trHeight w:val="1007"/>
          <w:jc w:val="center"/>
        </w:trPr>
        <w:tc>
          <w:tcPr>
            <w:tcW w:w="1615" w:type="dxa"/>
            <w:tcBorders>
              <w:bottom w:val="single" w:sz="4" w:space="0" w:color="auto"/>
            </w:tcBorders>
            <w:shd w:val="clear" w:color="auto" w:fill="auto"/>
          </w:tcPr>
          <w:p w14:paraId="0B7D39F9" w14:textId="77777777" w:rsidR="000F1306" w:rsidRPr="002F7A26" w:rsidRDefault="00B53A67" w:rsidP="000F1306">
            <w:pPr>
              <w:rPr>
                <w:b/>
                <w:bCs/>
                <w:sz w:val="20"/>
                <w:szCs w:val="20"/>
                <w:lang w:val="es-ES"/>
              </w:rPr>
            </w:pPr>
            <w:r w:rsidRPr="002F7A26">
              <w:rPr>
                <w:b/>
                <w:bCs/>
                <w:sz w:val="20"/>
                <w:szCs w:val="20"/>
                <w:lang w:val="es-ES"/>
              </w:rPr>
              <w:lastRenderedPageBreak/>
              <w:t xml:space="preserve">5. Promover la </w:t>
            </w:r>
            <w:r w:rsidR="000F1306" w:rsidRPr="002F7A26">
              <w:rPr>
                <w:b/>
                <w:bCs/>
                <w:sz w:val="20"/>
                <w:szCs w:val="20"/>
                <w:lang w:val="es-ES"/>
              </w:rPr>
              <w:t>sostenibilidad de los servicios públicos domiciliarios</w:t>
            </w:r>
          </w:p>
        </w:tc>
        <w:tc>
          <w:tcPr>
            <w:tcW w:w="2970" w:type="dxa"/>
            <w:tcBorders>
              <w:bottom w:val="single" w:sz="4" w:space="0" w:color="auto"/>
            </w:tcBorders>
            <w:shd w:val="clear" w:color="auto" w:fill="auto"/>
          </w:tcPr>
          <w:p w14:paraId="5E25B915" w14:textId="77777777" w:rsidR="000F1306" w:rsidRPr="002F7A26" w:rsidRDefault="000F1306" w:rsidP="000F1306">
            <w:pPr>
              <w:rPr>
                <w:sz w:val="20"/>
                <w:szCs w:val="20"/>
                <w:lang w:val="es-ES"/>
              </w:rPr>
            </w:pPr>
            <w:r w:rsidRPr="002F7A26">
              <w:rPr>
                <w:sz w:val="20"/>
                <w:szCs w:val="20"/>
                <w:lang w:val="es-ES"/>
              </w:rPr>
              <w:t>El alcance de la sostenibilidad de los servicios públicos domiciliarios se promoverá en función de tres pilares:</w:t>
            </w:r>
          </w:p>
          <w:p w14:paraId="683A3A3C" w14:textId="77777777" w:rsidR="000F1306" w:rsidRPr="002F7A26" w:rsidRDefault="000F1306" w:rsidP="000F1306">
            <w:pPr>
              <w:rPr>
                <w:sz w:val="20"/>
                <w:szCs w:val="20"/>
                <w:lang w:val="es-ES"/>
              </w:rPr>
            </w:pPr>
          </w:p>
          <w:p w14:paraId="1CD9074F" w14:textId="77777777" w:rsidR="000F1306" w:rsidRPr="002F7A26" w:rsidRDefault="000F1306" w:rsidP="000F1306">
            <w:pPr>
              <w:rPr>
                <w:sz w:val="20"/>
                <w:szCs w:val="20"/>
                <w:lang w:val="es-ES"/>
              </w:rPr>
            </w:pPr>
            <w:r w:rsidRPr="002F7A26">
              <w:rPr>
                <w:sz w:val="20"/>
                <w:szCs w:val="20"/>
                <w:lang w:val="es-ES"/>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4CFA30AC" w14:textId="77777777" w:rsidR="000F1306" w:rsidRPr="002F7A26" w:rsidRDefault="000F1306" w:rsidP="000F1306">
            <w:pPr>
              <w:rPr>
                <w:sz w:val="20"/>
                <w:szCs w:val="20"/>
                <w:lang w:val="es-ES"/>
              </w:rPr>
            </w:pPr>
          </w:p>
          <w:p w14:paraId="352A218F" w14:textId="77777777" w:rsidR="000F1306" w:rsidRPr="002F7A26" w:rsidRDefault="000F1306" w:rsidP="000F1306">
            <w:pPr>
              <w:rPr>
                <w:sz w:val="20"/>
                <w:szCs w:val="20"/>
                <w:lang w:val="es-ES"/>
              </w:rPr>
            </w:pPr>
            <w:r w:rsidRPr="002F7A26">
              <w:rPr>
                <w:sz w:val="20"/>
                <w:szCs w:val="20"/>
                <w:lang w:val="es-ES"/>
              </w:rPr>
              <w:t xml:space="preserve">b. Sostenibilidad ambiental: apoyando que la selección, ejecución, operación y </w:t>
            </w:r>
            <w:r w:rsidRPr="002F7A26">
              <w:rPr>
                <w:sz w:val="20"/>
                <w:szCs w:val="20"/>
                <w:lang w:val="es-ES"/>
              </w:rPr>
              <w:lastRenderedPageBreak/>
              <w:t>mantenimiento de los proyectos para prestar el servicio cumplan con las salvaguardias ambientales del Banco y contribuyan al desarrollo de una infraestructura con mayor resiliencia, considerando alternativas viables para mitigar el cambio climático.</w:t>
            </w:r>
          </w:p>
          <w:p w14:paraId="2C563415" w14:textId="77777777" w:rsidR="000F1306" w:rsidRPr="002F7A26" w:rsidRDefault="000F1306" w:rsidP="000F1306">
            <w:pPr>
              <w:rPr>
                <w:sz w:val="20"/>
                <w:szCs w:val="20"/>
                <w:lang w:val="es-ES"/>
              </w:rPr>
            </w:pPr>
          </w:p>
          <w:p w14:paraId="0218C7E6" w14:textId="77777777" w:rsidR="000F1306" w:rsidRPr="002F7A26" w:rsidRDefault="000F1306" w:rsidP="000F1306">
            <w:pPr>
              <w:rPr>
                <w:sz w:val="20"/>
                <w:szCs w:val="20"/>
                <w:lang w:val="es-ES"/>
              </w:rPr>
            </w:pPr>
            <w:r w:rsidRPr="002F7A26">
              <w:rPr>
                <w:sz w:val="20"/>
                <w:szCs w:val="20"/>
                <w:lang w:val="es-ES"/>
              </w:rPr>
              <w:t>c. Sostenibilidad social: contribuyendo a incrementar el acceso al servicio y previendo mecanismos de consulta con la comunidad sobre los aspectos relevantes de la provisión del servicio.</w:t>
            </w:r>
          </w:p>
        </w:tc>
        <w:tc>
          <w:tcPr>
            <w:tcW w:w="4765" w:type="dxa"/>
            <w:tcBorders>
              <w:bottom w:val="single" w:sz="4" w:space="0" w:color="auto"/>
            </w:tcBorders>
            <w:shd w:val="clear" w:color="auto" w:fill="auto"/>
          </w:tcPr>
          <w:p w14:paraId="0BB973DC" w14:textId="77777777" w:rsidR="000F1306" w:rsidRPr="00C641FA" w:rsidRDefault="000F1306" w:rsidP="006411A4">
            <w:pPr>
              <w:pStyle w:val="Default"/>
              <w:jc w:val="both"/>
              <w:rPr>
                <w:sz w:val="20"/>
                <w:szCs w:val="20"/>
                <w:lang w:val="es-ES"/>
              </w:rPr>
            </w:pPr>
            <w:r w:rsidRPr="00C641FA">
              <w:rPr>
                <w:sz w:val="20"/>
                <w:szCs w:val="20"/>
                <w:lang w:val="es-ES"/>
              </w:rPr>
              <w:lastRenderedPageBreak/>
              <w:t xml:space="preserve">Sostenibilidad Financiera: </w:t>
            </w:r>
          </w:p>
          <w:p w14:paraId="30943952" w14:textId="39D63E71" w:rsidR="00BC393F" w:rsidRPr="00C641FA" w:rsidRDefault="00CD3625" w:rsidP="006411A4">
            <w:pPr>
              <w:pStyle w:val="Default"/>
              <w:jc w:val="both"/>
              <w:rPr>
                <w:sz w:val="20"/>
                <w:szCs w:val="20"/>
                <w:lang w:val="es-ES"/>
              </w:rPr>
            </w:pPr>
            <w:r w:rsidRPr="00C641FA">
              <w:rPr>
                <w:sz w:val="20"/>
                <w:szCs w:val="20"/>
                <w:lang w:val="es-ES"/>
              </w:rPr>
              <w:t xml:space="preserve">La sostenibilidad financiera </w:t>
            </w:r>
            <w:r w:rsidR="009C70D4" w:rsidRPr="00C641FA">
              <w:rPr>
                <w:sz w:val="20"/>
                <w:szCs w:val="20"/>
                <w:lang w:val="es-ES"/>
              </w:rPr>
              <w:t xml:space="preserve">de la prestación de servicios </w:t>
            </w:r>
            <w:r w:rsidR="007D197B" w:rsidRPr="00C641FA">
              <w:rPr>
                <w:sz w:val="20"/>
                <w:szCs w:val="20"/>
                <w:lang w:val="es-ES"/>
              </w:rPr>
              <w:t>está</w:t>
            </w:r>
            <w:r w:rsidR="009C70D4" w:rsidRPr="00C641FA">
              <w:rPr>
                <w:sz w:val="20"/>
                <w:szCs w:val="20"/>
                <w:lang w:val="es-ES"/>
              </w:rPr>
              <w:t xml:space="preserve"> asegurada a escala de cada empresa pública que brinda los distintos servicios de abasteci</w:t>
            </w:r>
            <w:r w:rsidR="008A36B4" w:rsidRPr="00C641FA">
              <w:rPr>
                <w:sz w:val="20"/>
                <w:szCs w:val="20"/>
                <w:lang w:val="es-ES"/>
              </w:rPr>
              <w:t>m</w:t>
            </w:r>
            <w:r w:rsidR="009C70D4" w:rsidRPr="00C641FA">
              <w:rPr>
                <w:sz w:val="20"/>
                <w:szCs w:val="20"/>
                <w:lang w:val="es-ES"/>
              </w:rPr>
              <w:t>ien</w:t>
            </w:r>
            <w:r w:rsidR="008A36B4" w:rsidRPr="00C641FA">
              <w:rPr>
                <w:sz w:val="20"/>
                <w:szCs w:val="20"/>
                <w:lang w:val="es-ES"/>
              </w:rPr>
              <w:t>t</w:t>
            </w:r>
            <w:r w:rsidR="009C70D4" w:rsidRPr="00C641FA">
              <w:rPr>
                <w:sz w:val="20"/>
                <w:szCs w:val="20"/>
                <w:lang w:val="es-ES"/>
              </w:rPr>
              <w:t>o de agua</w:t>
            </w:r>
            <w:r w:rsidR="008A36B4" w:rsidRPr="00C641FA">
              <w:rPr>
                <w:sz w:val="20"/>
                <w:szCs w:val="20"/>
                <w:lang w:val="es-ES"/>
              </w:rPr>
              <w:t>,</w:t>
            </w:r>
            <w:r w:rsidR="009C70D4" w:rsidRPr="00C641FA">
              <w:rPr>
                <w:sz w:val="20"/>
                <w:szCs w:val="20"/>
                <w:lang w:val="es-ES"/>
              </w:rPr>
              <w:t xml:space="preserve"> </w:t>
            </w:r>
            <w:r w:rsidR="008A36B4" w:rsidRPr="00C641FA">
              <w:rPr>
                <w:sz w:val="20"/>
                <w:szCs w:val="20"/>
                <w:lang w:val="es-ES"/>
              </w:rPr>
              <w:t xml:space="preserve">energía, saneamiento y drenaje. Debido a </w:t>
            </w:r>
            <w:r w:rsidR="007D197B" w:rsidRPr="00C641FA">
              <w:rPr>
                <w:sz w:val="20"/>
                <w:szCs w:val="20"/>
                <w:lang w:val="es-ES"/>
              </w:rPr>
              <w:t>que en los asentamientos irregulares existen hogares con altos niveles de pobreza y con características demográficas y sociales que agudizan su vulnerabilidad</w:t>
            </w:r>
            <w:r w:rsidR="008A36B4" w:rsidRPr="00C641FA">
              <w:rPr>
                <w:sz w:val="20"/>
                <w:szCs w:val="20"/>
                <w:lang w:val="es-ES"/>
              </w:rPr>
              <w:t>,</w:t>
            </w:r>
            <w:r w:rsidR="007D197B" w:rsidRPr="00C641FA">
              <w:rPr>
                <w:sz w:val="20"/>
                <w:szCs w:val="20"/>
                <w:lang w:val="es-ES"/>
              </w:rPr>
              <w:t xml:space="preserve"> cuentan con mayores porcentajes de beneficiarios de tarifas sociales y el</w:t>
            </w:r>
            <w:r w:rsidR="008A36B4" w:rsidRPr="00C641FA">
              <w:rPr>
                <w:sz w:val="20"/>
                <w:szCs w:val="20"/>
                <w:lang w:val="es-ES"/>
              </w:rPr>
              <w:t xml:space="preserve"> resto de los usuarios de los servicios subsidian el servicio.</w:t>
            </w:r>
          </w:p>
          <w:p w14:paraId="6B2652B5" w14:textId="383FEBE8" w:rsidR="006411A4" w:rsidRPr="00C641FA" w:rsidRDefault="006411A4" w:rsidP="006411A4">
            <w:pPr>
              <w:pStyle w:val="Default"/>
              <w:jc w:val="both"/>
              <w:rPr>
                <w:sz w:val="20"/>
                <w:szCs w:val="20"/>
                <w:lang w:val="es-ES"/>
              </w:rPr>
            </w:pPr>
          </w:p>
          <w:p w14:paraId="3472B885" w14:textId="427A36E1" w:rsidR="006411A4" w:rsidRPr="00C641FA" w:rsidRDefault="006411A4" w:rsidP="006411A4">
            <w:pPr>
              <w:pStyle w:val="Default"/>
              <w:jc w:val="both"/>
              <w:rPr>
                <w:sz w:val="20"/>
                <w:szCs w:val="20"/>
                <w:lang w:val="es-ES"/>
              </w:rPr>
            </w:pPr>
            <w:bookmarkStart w:id="8" w:name="_Hlk520382502"/>
            <w:r w:rsidRPr="00CA58EC">
              <w:rPr>
                <w:sz w:val="20"/>
                <w:szCs w:val="20"/>
                <w:lang w:val="es-ES"/>
              </w:rPr>
              <w:t xml:space="preserve">Cabe mencionar que </w:t>
            </w:r>
            <w:r w:rsidR="00C641FA" w:rsidRPr="00CA58EC">
              <w:rPr>
                <w:sz w:val="20"/>
                <w:szCs w:val="20"/>
                <w:lang w:val="es-ES"/>
              </w:rPr>
              <w:t>de acuerdo con</w:t>
            </w:r>
            <w:r w:rsidRPr="00CA58EC">
              <w:rPr>
                <w:sz w:val="20"/>
                <w:szCs w:val="20"/>
                <w:lang w:val="es-ES"/>
              </w:rPr>
              <w:t xml:space="preserve"> </w:t>
            </w:r>
            <w:r w:rsidR="00CA58EC" w:rsidRPr="00CA58EC">
              <w:rPr>
                <w:sz w:val="20"/>
                <w:szCs w:val="20"/>
                <w:lang w:val="es-ES"/>
              </w:rPr>
              <w:t>l</w:t>
            </w:r>
            <w:r w:rsidRPr="00CA58EC">
              <w:rPr>
                <w:sz w:val="20"/>
                <w:szCs w:val="20"/>
                <w:lang w:val="es-ES"/>
              </w:rPr>
              <w:t xml:space="preserve">a Evaluación económica de </w:t>
            </w:r>
            <w:r w:rsidR="00CA58EC" w:rsidRPr="00CA58EC">
              <w:rPr>
                <w:sz w:val="20"/>
                <w:szCs w:val="20"/>
                <w:lang w:val="es-ES"/>
              </w:rPr>
              <w:t>l</w:t>
            </w:r>
            <w:r w:rsidRPr="00CA58EC">
              <w:rPr>
                <w:sz w:val="20"/>
                <w:szCs w:val="20"/>
                <w:lang w:val="es-ES"/>
              </w:rPr>
              <w:t>a muestra de 4 proyectos del PMB</w:t>
            </w:r>
            <w:r w:rsidR="00E547B0" w:rsidRPr="00CA58EC">
              <w:rPr>
                <w:sz w:val="20"/>
                <w:szCs w:val="20"/>
                <w:lang w:val="es-ES"/>
              </w:rPr>
              <w:t xml:space="preserve"> III</w:t>
            </w:r>
            <w:r w:rsidRPr="00CA58EC">
              <w:rPr>
                <w:sz w:val="20"/>
                <w:szCs w:val="20"/>
                <w:lang w:val="es-ES"/>
              </w:rPr>
              <w:t xml:space="preserve">, </w:t>
            </w:r>
            <w:r w:rsidR="00CA58EC" w:rsidRPr="00CA58EC">
              <w:rPr>
                <w:sz w:val="20"/>
                <w:szCs w:val="20"/>
                <w:lang w:val="es-ES"/>
              </w:rPr>
              <w:t xml:space="preserve">el costo medio mensual de los servicios equipamientos por familia represente entre el 9% y 12% del </w:t>
            </w:r>
            <w:r w:rsidRPr="00CA58EC">
              <w:rPr>
                <w:sz w:val="20"/>
                <w:szCs w:val="20"/>
                <w:lang w:val="es-ES"/>
              </w:rPr>
              <w:t>ingreso medio del quintil más bajo</w:t>
            </w:r>
            <w:r w:rsidR="00CA58EC" w:rsidRPr="00CA58EC">
              <w:rPr>
                <w:sz w:val="20"/>
                <w:szCs w:val="20"/>
                <w:lang w:val="es-ES"/>
              </w:rPr>
              <w:t xml:space="preserve">. Al realizar la comparación con relación a las tarifas sociales, los porcentajes de los </w:t>
            </w:r>
            <w:r w:rsidR="00CA58EC" w:rsidRPr="00CA58EC">
              <w:rPr>
                <w:sz w:val="20"/>
                <w:szCs w:val="20"/>
                <w:lang w:val="es-ES"/>
              </w:rPr>
              <w:lastRenderedPageBreak/>
              <w:t>ingresos que las familias del decil más bajo de los 4 barrios de la muestra deben destinar al pago de servicios disminuye a</w:t>
            </w:r>
            <w:r w:rsidRPr="00CA58EC">
              <w:rPr>
                <w:sz w:val="20"/>
                <w:szCs w:val="20"/>
                <w:lang w:val="es-ES"/>
              </w:rPr>
              <w:t xml:space="preserve"> entre un </w:t>
            </w:r>
            <w:r w:rsidR="00CA58EC" w:rsidRPr="00CA58EC">
              <w:rPr>
                <w:sz w:val="20"/>
                <w:szCs w:val="20"/>
                <w:lang w:val="es-ES"/>
              </w:rPr>
              <w:t>4,5</w:t>
            </w:r>
            <w:r w:rsidRPr="00CA58EC">
              <w:rPr>
                <w:sz w:val="20"/>
                <w:szCs w:val="20"/>
                <w:lang w:val="es-ES"/>
              </w:rPr>
              <w:t xml:space="preserve">% y un </w:t>
            </w:r>
            <w:r w:rsidR="00CA58EC" w:rsidRPr="00CA58EC">
              <w:rPr>
                <w:sz w:val="20"/>
                <w:szCs w:val="20"/>
                <w:lang w:val="es-ES"/>
              </w:rPr>
              <w:t>6,5</w:t>
            </w:r>
            <w:r w:rsidRPr="00CA58EC">
              <w:rPr>
                <w:sz w:val="20"/>
                <w:szCs w:val="20"/>
                <w:lang w:val="es-ES"/>
              </w:rPr>
              <w:t>%.</w:t>
            </w:r>
          </w:p>
          <w:bookmarkEnd w:id="8"/>
          <w:p w14:paraId="4167D029" w14:textId="77777777" w:rsidR="00B53A67" w:rsidRPr="00C641FA" w:rsidRDefault="00B53A67" w:rsidP="006411A4">
            <w:pPr>
              <w:pStyle w:val="Default"/>
              <w:jc w:val="both"/>
              <w:rPr>
                <w:sz w:val="20"/>
                <w:szCs w:val="20"/>
                <w:lang w:val="es-ES"/>
              </w:rPr>
            </w:pPr>
          </w:p>
          <w:p w14:paraId="46A998C6" w14:textId="77777777" w:rsidR="00B53A67" w:rsidRPr="00C641FA" w:rsidRDefault="00B53A67" w:rsidP="006411A4">
            <w:pPr>
              <w:pStyle w:val="Default"/>
              <w:jc w:val="both"/>
              <w:rPr>
                <w:i/>
                <w:sz w:val="20"/>
                <w:szCs w:val="20"/>
                <w:lang w:val="es-ES"/>
              </w:rPr>
            </w:pPr>
            <w:r w:rsidRPr="00C641FA">
              <w:rPr>
                <w:i/>
                <w:sz w:val="20"/>
                <w:szCs w:val="20"/>
                <w:lang w:val="es-ES"/>
              </w:rPr>
              <w:t xml:space="preserve">Sostenibilidad Ambiental: </w:t>
            </w:r>
          </w:p>
          <w:p w14:paraId="55A78ADC" w14:textId="0C240A58" w:rsidR="00171DC4" w:rsidRPr="00C641FA" w:rsidRDefault="00D5725F" w:rsidP="006411A4">
            <w:pPr>
              <w:pStyle w:val="Default"/>
              <w:jc w:val="both"/>
              <w:rPr>
                <w:sz w:val="20"/>
                <w:szCs w:val="20"/>
                <w:lang w:val="es-ES"/>
              </w:rPr>
            </w:pPr>
            <w:r w:rsidRPr="00C641FA">
              <w:rPr>
                <w:sz w:val="20"/>
                <w:szCs w:val="20"/>
                <w:lang w:val="es-ES"/>
              </w:rPr>
              <w:t xml:space="preserve">El </w:t>
            </w:r>
            <w:hyperlink r:id="rId9" w:history="1">
              <w:r w:rsidRPr="00C641FA">
                <w:rPr>
                  <w:sz w:val="20"/>
                  <w:szCs w:val="20"/>
                  <w:lang w:val="es-ES"/>
                </w:rPr>
                <w:t>Análisis Ambiental y Social (AAS)</w:t>
              </w:r>
            </w:hyperlink>
            <w:r w:rsidRPr="00C641FA">
              <w:rPr>
                <w:sz w:val="20"/>
                <w:szCs w:val="20"/>
                <w:lang w:val="es-ES"/>
              </w:rPr>
              <w:t xml:space="preserve"> </w:t>
            </w:r>
            <w:r w:rsidR="001E2ED7" w:rsidRPr="00C641FA">
              <w:rPr>
                <w:sz w:val="20"/>
                <w:szCs w:val="20"/>
                <w:lang w:val="es-ES"/>
              </w:rPr>
              <w:t>y el Plan de gestión ambiental y social (PGAS)</w:t>
            </w:r>
            <w:r w:rsidR="00CA58EC">
              <w:rPr>
                <w:sz w:val="20"/>
                <w:szCs w:val="20"/>
                <w:lang w:val="es-ES"/>
              </w:rPr>
              <w:t xml:space="preserve"> </w:t>
            </w:r>
            <w:bookmarkStart w:id="9" w:name="_GoBack"/>
            <w:bookmarkEnd w:id="9"/>
            <w:r w:rsidRPr="00C641FA">
              <w:rPr>
                <w:sz w:val="20"/>
                <w:szCs w:val="20"/>
                <w:lang w:val="es-ES"/>
              </w:rPr>
              <w:t xml:space="preserve">presenta los procedimientos e instrumentos de gestión necesarios para asegurar el cumplimiento de la </w:t>
            </w:r>
            <w:r w:rsidR="00BC6202" w:rsidRPr="00C641FA">
              <w:rPr>
                <w:sz w:val="20"/>
                <w:szCs w:val="20"/>
                <w:lang w:val="es-ES"/>
              </w:rPr>
              <w:t>legislac</w:t>
            </w:r>
            <w:r w:rsidRPr="00C641FA">
              <w:rPr>
                <w:sz w:val="20"/>
                <w:szCs w:val="20"/>
                <w:lang w:val="es-ES"/>
              </w:rPr>
              <w:t xml:space="preserve">ión socio-ambiental nacional y provincial y las salvaguardias y políticas del BID. </w:t>
            </w:r>
            <w:r w:rsidR="00171DC4" w:rsidRPr="00C641FA">
              <w:rPr>
                <w:sz w:val="20"/>
                <w:szCs w:val="20"/>
                <w:lang w:val="es-ES"/>
              </w:rPr>
              <w:t xml:space="preserve"> </w:t>
            </w:r>
            <w:r w:rsidRPr="00C641FA">
              <w:rPr>
                <w:sz w:val="20"/>
                <w:szCs w:val="20"/>
                <w:lang w:val="es-ES"/>
              </w:rPr>
              <w:t xml:space="preserve">Para la adecuada gestión del </w:t>
            </w:r>
            <w:r w:rsidR="009514A2" w:rsidRPr="00C641FA">
              <w:rPr>
                <w:sz w:val="20"/>
                <w:szCs w:val="20"/>
                <w:lang w:val="es-ES"/>
              </w:rPr>
              <w:t xml:space="preserve">Programa </w:t>
            </w:r>
            <w:r w:rsidRPr="00C641FA">
              <w:rPr>
                <w:sz w:val="20"/>
                <w:szCs w:val="20"/>
                <w:lang w:val="es-ES"/>
              </w:rPr>
              <w:t>se</w:t>
            </w:r>
            <w:r w:rsidR="001E2ED7" w:rsidRPr="00C641FA">
              <w:rPr>
                <w:sz w:val="20"/>
                <w:szCs w:val="20"/>
                <w:lang w:val="es-ES"/>
              </w:rPr>
              <w:t xml:space="preserve"> ha incorporado la visión ambiental en el ciclo de proyecto</w:t>
            </w:r>
            <w:r w:rsidRPr="00C641FA">
              <w:rPr>
                <w:sz w:val="20"/>
                <w:szCs w:val="20"/>
                <w:lang w:val="es-ES"/>
              </w:rPr>
              <w:t xml:space="preserve"> utilizarán los siguientes instrumentos principales:</w:t>
            </w:r>
            <w:r w:rsidR="00171DC4" w:rsidRPr="00C641FA">
              <w:rPr>
                <w:sz w:val="20"/>
                <w:szCs w:val="20"/>
                <w:lang w:val="es-ES"/>
              </w:rPr>
              <w:t xml:space="preserve"> </w:t>
            </w:r>
            <w:r w:rsidR="001E2ED7" w:rsidRPr="00C641FA">
              <w:rPr>
                <w:sz w:val="20"/>
                <w:szCs w:val="20"/>
                <w:lang w:val="es-ES"/>
              </w:rPr>
              <w:t>Condiciones de elegibilidad</w:t>
            </w:r>
            <w:r w:rsidR="00FA0C92" w:rsidRPr="00C641FA">
              <w:rPr>
                <w:sz w:val="20"/>
                <w:szCs w:val="20"/>
                <w:lang w:val="es-ES"/>
              </w:rPr>
              <w:t xml:space="preserve"> </w:t>
            </w:r>
            <w:r w:rsidR="001E2ED7" w:rsidRPr="00C641FA">
              <w:rPr>
                <w:sz w:val="20"/>
                <w:szCs w:val="20"/>
                <w:lang w:val="es-ES"/>
              </w:rPr>
              <w:t xml:space="preserve">(se consideran no elegibles aquellos asentamientos que estén localizados en zonas de riesgo ante desastres naturales o riesgos antrópicos, o en zonas que presenten niveles irreversibles de contaminación de suelos, aguas, aire u otros pasivos ambientales.) </w:t>
            </w:r>
            <w:r w:rsidR="00171DC4" w:rsidRPr="00C641FA">
              <w:rPr>
                <w:sz w:val="20"/>
                <w:szCs w:val="20"/>
                <w:lang w:val="es-ES"/>
              </w:rPr>
              <w:t xml:space="preserve"> </w:t>
            </w:r>
            <w:r w:rsidR="001E2ED7" w:rsidRPr="00C641FA">
              <w:rPr>
                <w:sz w:val="20"/>
                <w:szCs w:val="20"/>
                <w:lang w:val="es-ES"/>
              </w:rPr>
              <w:t>El Diagnóstico Ambiental Integral, debe determinar la viabilidad ambiental de los asentamientos a ser intervenidos, y caracterizar la existencia de pasivos ambientales y riesgos frente a la salud humana.</w:t>
            </w:r>
            <w:r w:rsidR="00171DC4" w:rsidRPr="00C641FA">
              <w:rPr>
                <w:sz w:val="20"/>
                <w:szCs w:val="20"/>
                <w:lang w:val="es-ES"/>
              </w:rPr>
              <w:t xml:space="preserve"> </w:t>
            </w:r>
            <w:r w:rsidR="001E2ED7" w:rsidRPr="00C641FA">
              <w:rPr>
                <w:sz w:val="20"/>
                <w:szCs w:val="20"/>
                <w:lang w:val="es-ES"/>
              </w:rPr>
              <w:t>En la etapa de anteproyecto integral se deberá realizar la propuesta de temas ambientales y sociales a nivel de</w:t>
            </w:r>
            <w:r w:rsidR="00FA0C92" w:rsidRPr="00C641FA">
              <w:rPr>
                <w:sz w:val="20"/>
                <w:szCs w:val="20"/>
                <w:lang w:val="es-ES"/>
              </w:rPr>
              <w:t xml:space="preserve"> </w:t>
            </w:r>
            <w:r w:rsidR="001E2ED7" w:rsidRPr="00C641FA">
              <w:rPr>
                <w:sz w:val="20"/>
                <w:szCs w:val="20"/>
                <w:lang w:val="es-ES"/>
              </w:rPr>
              <w:t>anteproyecto.</w:t>
            </w:r>
            <w:r w:rsidR="00594AC4" w:rsidRPr="00C641FA">
              <w:rPr>
                <w:sz w:val="20"/>
                <w:szCs w:val="20"/>
                <w:lang w:val="es-ES"/>
              </w:rPr>
              <w:t xml:space="preserve"> </w:t>
            </w:r>
            <w:r w:rsidR="00FA0C92" w:rsidRPr="00C641FA">
              <w:rPr>
                <w:sz w:val="20"/>
                <w:szCs w:val="20"/>
                <w:lang w:val="es-ES"/>
              </w:rPr>
              <w:t xml:space="preserve">Se </w:t>
            </w:r>
            <w:r w:rsidR="00B808D2" w:rsidRPr="00C641FA">
              <w:rPr>
                <w:sz w:val="20"/>
                <w:szCs w:val="20"/>
                <w:lang w:val="es-ES"/>
              </w:rPr>
              <w:t>elaborarán</w:t>
            </w:r>
            <w:r w:rsidR="00FA0C92" w:rsidRPr="00C641FA">
              <w:rPr>
                <w:sz w:val="20"/>
                <w:szCs w:val="20"/>
                <w:lang w:val="es-ES"/>
              </w:rPr>
              <w:t xml:space="preserve"> en esta etapa los </w:t>
            </w:r>
            <w:r w:rsidRPr="00C641FA">
              <w:rPr>
                <w:sz w:val="20"/>
                <w:szCs w:val="20"/>
                <w:lang w:val="es-ES"/>
              </w:rPr>
              <w:t xml:space="preserve">respectivos Planes de Gestión Ambiental y Social (PGAS) a implementarse </w:t>
            </w:r>
            <w:r w:rsidR="00FA0C92" w:rsidRPr="00C641FA">
              <w:rPr>
                <w:sz w:val="20"/>
                <w:szCs w:val="20"/>
                <w:lang w:val="es-ES"/>
              </w:rPr>
              <w:t>durante</w:t>
            </w:r>
            <w:r w:rsidRPr="00C641FA">
              <w:rPr>
                <w:sz w:val="20"/>
                <w:szCs w:val="20"/>
                <w:lang w:val="es-ES"/>
              </w:rPr>
              <w:t xml:space="preserve"> la construcción</w:t>
            </w:r>
            <w:r w:rsidR="001E2ED7" w:rsidRPr="00C641FA">
              <w:rPr>
                <w:sz w:val="20"/>
                <w:szCs w:val="20"/>
                <w:lang w:val="es-ES"/>
              </w:rPr>
              <w:t>.</w:t>
            </w:r>
            <w:r w:rsidR="00171DC4" w:rsidRPr="00C641FA">
              <w:rPr>
                <w:sz w:val="20"/>
                <w:szCs w:val="20"/>
                <w:lang w:val="es-ES"/>
              </w:rPr>
              <w:t xml:space="preserve"> </w:t>
            </w:r>
          </w:p>
          <w:p w14:paraId="2FA9CCDB" w14:textId="77777777" w:rsidR="00171DC4" w:rsidRPr="00C641FA" w:rsidRDefault="00171DC4" w:rsidP="006411A4">
            <w:pPr>
              <w:pStyle w:val="Default"/>
              <w:jc w:val="both"/>
              <w:rPr>
                <w:sz w:val="20"/>
                <w:szCs w:val="20"/>
                <w:lang w:val="es-ES"/>
              </w:rPr>
            </w:pPr>
          </w:p>
          <w:p w14:paraId="5B7EB479" w14:textId="1786F676" w:rsidR="000F1306" w:rsidRPr="00C641FA" w:rsidRDefault="000F1306" w:rsidP="006411A4">
            <w:pPr>
              <w:pStyle w:val="Default"/>
              <w:jc w:val="both"/>
              <w:rPr>
                <w:i/>
                <w:sz w:val="20"/>
                <w:szCs w:val="20"/>
                <w:lang w:val="es-ES"/>
              </w:rPr>
            </w:pPr>
            <w:r w:rsidRPr="00C641FA">
              <w:rPr>
                <w:i/>
                <w:sz w:val="20"/>
                <w:szCs w:val="20"/>
                <w:lang w:val="es-ES"/>
              </w:rPr>
              <w:t xml:space="preserve">Sostenibilidad Social: </w:t>
            </w:r>
          </w:p>
          <w:p w14:paraId="26DE6E56" w14:textId="67E43524" w:rsidR="008B6E1E" w:rsidRPr="00C641FA" w:rsidRDefault="00DA2290" w:rsidP="006411A4">
            <w:pPr>
              <w:pStyle w:val="Default"/>
              <w:jc w:val="both"/>
              <w:rPr>
                <w:sz w:val="20"/>
                <w:szCs w:val="20"/>
                <w:lang w:val="es-ES"/>
              </w:rPr>
            </w:pPr>
            <w:r w:rsidRPr="00C641FA">
              <w:rPr>
                <w:sz w:val="20"/>
                <w:szCs w:val="20"/>
                <w:lang w:val="es-ES"/>
              </w:rPr>
              <w:t xml:space="preserve">El Análisis Ambiental y Social incluye el Plan de Consultas y </w:t>
            </w:r>
            <w:r w:rsidR="007A428A" w:rsidRPr="00C641FA">
              <w:rPr>
                <w:sz w:val="20"/>
                <w:szCs w:val="20"/>
                <w:lang w:val="es-ES"/>
              </w:rPr>
              <w:t xml:space="preserve">Disponibilidad </w:t>
            </w:r>
            <w:r w:rsidRPr="00C641FA">
              <w:rPr>
                <w:sz w:val="20"/>
                <w:szCs w:val="20"/>
                <w:lang w:val="es-ES"/>
              </w:rPr>
              <w:t xml:space="preserve">de Información donde </w:t>
            </w:r>
            <w:r w:rsidR="00B808D2" w:rsidRPr="00C641FA">
              <w:rPr>
                <w:sz w:val="20"/>
                <w:szCs w:val="20"/>
                <w:lang w:val="es-ES"/>
              </w:rPr>
              <w:t>se describe</w:t>
            </w:r>
            <w:r w:rsidRPr="00C641FA">
              <w:rPr>
                <w:sz w:val="20"/>
                <w:szCs w:val="20"/>
                <w:lang w:val="es-ES"/>
              </w:rPr>
              <w:t xml:space="preserve"> el proceso de consulta pública con las partes afectadas para facilitar el diálogo sobre el alcance del proyecto, definiendo las instancias de acompañamiento y estrategias de participación por tipo de actor, considerando las características de la intervención a realizar. Estas medidas de mitigación se encuentran en línea con las Políticas del Banco identificadas para el </w:t>
            </w:r>
            <w:r w:rsidR="007A428A" w:rsidRPr="00C641FA">
              <w:rPr>
                <w:sz w:val="20"/>
                <w:szCs w:val="20"/>
                <w:lang w:val="es-ES"/>
              </w:rPr>
              <w:t>Programa</w:t>
            </w:r>
            <w:r w:rsidRPr="00C641FA">
              <w:rPr>
                <w:sz w:val="20"/>
                <w:szCs w:val="20"/>
                <w:lang w:val="es-ES"/>
              </w:rPr>
              <w:t xml:space="preserve">: </w:t>
            </w:r>
            <w:r w:rsidR="007A428A" w:rsidRPr="00C641FA">
              <w:rPr>
                <w:sz w:val="20"/>
                <w:szCs w:val="20"/>
                <w:lang w:val="es-ES"/>
              </w:rPr>
              <w:t xml:space="preserve">Política de Gestión de Riesgos de Desastres Naturales OP-704, </w:t>
            </w:r>
            <w:r w:rsidRPr="00C641FA">
              <w:rPr>
                <w:sz w:val="20"/>
                <w:szCs w:val="20"/>
                <w:lang w:val="es-ES"/>
              </w:rPr>
              <w:t>Política de Reasentamiento Involuntario OP-</w:t>
            </w:r>
            <w:r w:rsidR="00B808D2" w:rsidRPr="00C641FA">
              <w:rPr>
                <w:sz w:val="20"/>
                <w:szCs w:val="20"/>
                <w:lang w:val="es-ES"/>
              </w:rPr>
              <w:t>710, Política</w:t>
            </w:r>
            <w:r w:rsidRPr="00C641FA">
              <w:rPr>
                <w:sz w:val="20"/>
                <w:szCs w:val="20"/>
                <w:lang w:val="es-ES"/>
              </w:rPr>
              <w:t xml:space="preserve"> de Acceso a la Información OP-102</w:t>
            </w:r>
            <w:r w:rsidR="007A428A" w:rsidRPr="00C641FA">
              <w:rPr>
                <w:sz w:val="20"/>
                <w:szCs w:val="20"/>
                <w:lang w:val="es-ES"/>
              </w:rPr>
              <w:t>, Política de</w:t>
            </w:r>
            <w:r w:rsidRPr="00C641FA">
              <w:rPr>
                <w:sz w:val="20"/>
                <w:szCs w:val="20"/>
                <w:lang w:val="es-ES"/>
              </w:rPr>
              <w:t xml:space="preserve"> Igualdad de Género OP-761.</w:t>
            </w:r>
          </w:p>
          <w:p w14:paraId="3E3B8DB1" w14:textId="203A3D2B" w:rsidR="004D1DA8" w:rsidRPr="00C641FA" w:rsidRDefault="004D1DA8" w:rsidP="006411A4">
            <w:pPr>
              <w:pStyle w:val="Default"/>
              <w:jc w:val="both"/>
              <w:rPr>
                <w:sz w:val="20"/>
                <w:szCs w:val="20"/>
                <w:lang w:val="es-ES"/>
              </w:rPr>
            </w:pPr>
          </w:p>
          <w:p w14:paraId="0DB79ED6" w14:textId="7354EBEC" w:rsidR="000F1306" w:rsidRPr="00C641FA" w:rsidRDefault="000F1306" w:rsidP="006411A4">
            <w:pPr>
              <w:pStyle w:val="Default"/>
              <w:jc w:val="both"/>
              <w:rPr>
                <w:sz w:val="20"/>
                <w:szCs w:val="20"/>
                <w:lang w:val="es-ES"/>
              </w:rPr>
            </w:pPr>
          </w:p>
        </w:tc>
      </w:tr>
    </w:tbl>
    <w:p w14:paraId="2F5DCA46" w14:textId="77777777" w:rsidR="00594AC4" w:rsidRPr="00A70846" w:rsidRDefault="00594AC4">
      <w:pPr>
        <w:rPr>
          <w:lang w:val="es-UY"/>
        </w:rPr>
      </w:pPr>
      <w:r w:rsidRPr="00A70846">
        <w:rPr>
          <w:lang w:val="es-UY"/>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7"/>
        <w:gridCol w:w="3258"/>
        <w:gridCol w:w="4045"/>
      </w:tblGrid>
      <w:tr w:rsidR="0090452A" w:rsidRPr="00E547B0" w14:paraId="6DBB28B6" w14:textId="77777777" w:rsidTr="00FF5A44">
        <w:trPr>
          <w:trHeight w:val="107"/>
          <w:jc w:val="center"/>
        </w:trPr>
        <w:tc>
          <w:tcPr>
            <w:tcW w:w="9350" w:type="dxa"/>
            <w:gridSpan w:val="3"/>
            <w:shd w:val="clear" w:color="auto" w:fill="C0C0C0"/>
          </w:tcPr>
          <w:p w14:paraId="59CECDD4" w14:textId="2135FDFE" w:rsidR="0090452A" w:rsidRPr="002F7A26" w:rsidRDefault="0090452A" w:rsidP="0090452A">
            <w:pPr>
              <w:rPr>
                <w:b/>
                <w:sz w:val="20"/>
                <w:szCs w:val="20"/>
                <w:lang w:val="es-ES"/>
              </w:rPr>
            </w:pPr>
            <w:r w:rsidRPr="002F7A26">
              <w:rPr>
                <w:b/>
                <w:sz w:val="20"/>
                <w:szCs w:val="20"/>
                <w:lang w:val="es-ES"/>
              </w:rPr>
              <w:lastRenderedPageBreak/>
              <w:t>Principios de la Política que orientan el diseño de las operaciones del Banco</w:t>
            </w:r>
          </w:p>
        </w:tc>
      </w:tr>
      <w:tr w:rsidR="000F1306" w:rsidRPr="00E547B0" w14:paraId="0321E6A1" w14:textId="77777777" w:rsidTr="00CA58EC">
        <w:trPr>
          <w:trHeight w:val="2267"/>
          <w:jc w:val="center"/>
        </w:trPr>
        <w:tc>
          <w:tcPr>
            <w:tcW w:w="2047" w:type="dxa"/>
            <w:shd w:val="clear" w:color="auto" w:fill="auto"/>
          </w:tcPr>
          <w:p w14:paraId="4015C122" w14:textId="77777777" w:rsidR="000F1306" w:rsidRPr="002F7A26" w:rsidRDefault="000F1306" w:rsidP="000F1306">
            <w:pPr>
              <w:rPr>
                <w:b/>
                <w:bCs/>
                <w:sz w:val="20"/>
                <w:szCs w:val="20"/>
                <w:lang w:val="es-ES"/>
              </w:rPr>
            </w:pPr>
            <w:r w:rsidRPr="002F7A26">
              <w:rPr>
                <w:b/>
                <w:bCs/>
                <w:sz w:val="20"/>
                <w:szCs w:val="20"/>
                <w:lang w:val="es-ES"/>
              </w:rPr>
              <w:t xml:space="preserve">1. Apoyar a los países para atender las necesidades básicas </w:t>
            </w:r>
          </w:p>
        </w:tc>
        <w:tc>
          <w:tcPr>
            <w:tcW w:w="3258" w:type="dxa"/>
            <w:shd w:val="clear" w:color="auto" w:fill="auto"/>
          </w:tcPr>
          <w:p w14:paraId="1D9F084D" w14:textId="77777777" w:rsidR="000F1306" w:rsidRPr="002F7A26" w:rsidRDefault="000F1306" w:rsidP="0090452A">
            <w:pPr>
              <w:jc w:val="both"/>
              <w:rPr>
                <w:sz w:val="20"/>
                <w:szCs w:val="20"/>
                <w:lang w:val="es-ES"/>
              </w:rPr>
            </w:pPr>
            <w:r w:rsidRPr="002F7A26">
              <w:rPr>
                <w:sz w:val="20"/>
                <w:szCs w:val="20"/>
                <w:lang w:val="es-ES"/>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4045" w:type="dxa"/>
            <w:shd w:val="clear" w:color="auto" w:fill="auto"/>
          </w:tcPr>
          <w:p w14:paraId="790E285E" w14:textId="48B13BB3" w:rsidR="009B26D0" w:rsidRDefault="00594AC4" w:rsidP="005E54BE">
            <w:pPr>
              <w:jc w:val="both"/>
              <w:rPr>
                <w:sz w:val="20"/>
                <w:szCs w:val="20"/>
                <w:lang w:val="es-ES"/>
              </w:rPr>
            </w:pPr>
            <w:r>
              <w:rPr>
                <w:sz w:val="20"/>
                <w:szCs w:val="20"/>
                <w:lang w:val="es-ES"/>
              </w:rPr>
              <w:t xml:space="preserve">En el ciclo de proyectos se prevé el análisis de alternativas de distintos </w:t>
            </w:r>
            <w:r w:rsidR="00CA1B93">
              <w:rPr>
                <w:sz w:val="20"/>
                <w:szCs w:val="20"/>
                <w:lang w:val="es-ES"/>
              </w:rPr>
              <w:t xml:space="preserve">diseños del </w:t>
            </w:r>
            <w:r>
              <w:rPr>
                <w:sz w:val="20"/>
                <w:szCs w:val="20"/>
                <w:lang w:val="es-ES"/>
              </w:rPr>
              <w:t>proyecto de servicios.</w:t>
            </w:r>
          </w:p>
          <w:p w14:paraId="6B068628" w14:textId="77777777" w:rsidR="00594AC4" w:rsidRDefault="00594AC4" w:rsidP="005E54BE">
            <w:pPr>
              <w:jc w:val="both"/>
              <w:rPr>
                <w:sz w:val="20"/>
                <w:szCs w:val="20"/>
                <w:lang w:val="es-ES"/>
              </w:rPr>
            </w:pPr>
          </w:p>
          <w:p w14:paraId="501CFCFA" w14:textId="6645E644" w:rsidR="00673204" w:rsidRPr="002F7A26" w:rsidRDefault="009D3009" w:rsidP="00594AC4">
            <w:pPr>
              <w:jc w:val="both"/>
              <w:rPr>
                <w:sz w:val="20"/>
                <w:szCs w:val="20"/>
                <w:lang w:val="es-ES_tradnl"/>
              </w:rPr>
            </w:pPr>
            <w:r>
              <w:rPr>
                <w:sz w:val="20"/>
                <w:szCs w:val="20"/>
                <w:lang w:val="es-ES"/>
              </w:rPr>
              <w:t>De acuerdo con</w:t>
            </w:r>
            <w:r w:rsidR="003954EC">
              <w:rPr>
                <w:sz w:val="20"/>
                <w:szCs w:val="20"/>
                <w:lang w:val="es-ES"/>
              </w:rPr>
              <w:t xml:space="preserve"> lo mencionado en el punto 4, s</w:t>
            </w:r>
            <w:r w:rsidR="00F87051">
              <w:rPr>
                <w:sz w:val="20"/>
                <w:szCs w:val="20"/>
                <w:lang w:val="es-ES"/>
              </w:rPr>
              <w:t xml:space="preserve">e </w:t>
            </w:r>
            <w:r w:rsidR="008A36B4">
              <w:rPr>
                <w:sz w:val="20"/>
                <w:szCs w:val="20"/>
                <w:lang w:val="es-ES"/>
              </w:rPr>
              <w:t>prevé en</w:t>
            </w:r>
            <w:r w:rsidR="00594AC4">
              <w:rPr>
                <w:sz w:val="20"/>
                <w:szCs w:val="20"/>
                <w:lang w:val="es-ES"/>
              </w:rPr>
              <w:t xml:space="preserve"> el marco de los asuntos de capacitación y concientización </w:t>
            </w:r>
            <w:r w:rsidR="003954EC">
              <w:rPr>
                <w:sz w:val="20"/>
                <w:szCs w:val="20"/>
                <w:lang w:val="es-ES"/>
              </w:rPr>
              <w:t xml:space="preserve">de la población, </w:t>
            </w:r>
            <w:r w:rsidR="00594AC4">
              <w:rPr>
                <w:sz w:val="20"/>
                <w:szCs w:val="20"/>
                <w:lang w:val="es-ES"/>
              </w:rPr>
              <w:t xml:space="preserve">incorporar aspectos relativos al correcto uso de los servicios y el pago de los servicios formales. </w:t>
            </w:r>
          </w:p>
        </w:tc>
      </w:tr>
      <w:tr w:rsidR="000F1306" w:rsidRPr="00E547B0" w14:paraId="0563D00C" w14:textId="77777777" w:rsidTr="00CA58EC">
        <w:trPr>
          <w:trHeight w:val="2879"/>
          <w:jc w:val="center"/>
        </w:trPr>
        <w:tc>
          <w:tcPr>
            <w:tcW w:w="2047" w:type="dxa"/>
            <w:shd w:val="clear" w:color="auto" w:fill="auto"/>
          </w:tcPr>
          <w:p w14:paraId="46995FDE" w14:textId="77777777" w:rsidR="000F1306" w:rsidRPr="002F7A26" w:rsidRDefault="000F1306" w:rsidP="000F1306">
            <w:pPr>
              <w:rPr>
                <w:b/>
                <w:bCs/>
                <w:sz w:val="20"/>
                <w:szCs w:val="20"/>
                <w:lang w:val="es-ES"/>
              </w:rPr>
            </w:pPr>
            <w:r w:rsidRPr="002F7A26">
              <w:rPr>
                <w:b/>
                <w:bCs/>
                <w:sz w:val="20"/>
                <w:szCs w:val="20"/>
                <w:lang w:val="es-ES"/>
              </w:rPr>
              <w:t>2. Las mejoras continuas en la gobernanza de los servicios públicos domiciliarios serán clave para incrementar la eficiencia en su provisión y proteger satisfactoriamente los intereses de los usuarios</w:t>
            </w:r>
          </w:p>
        </w:tc>
        <w:tc>
          <w:tcPr>
            <w:tcW w:w="3258" w:type="dxa"/>
            <w:shd w:val="clear" w:color="auto" w:fill="auto"/>
          </w:tcPr>
          <w:p w14:paraId="04FF9608" w14:textId="77777777" w:rsidR="000F1306" w:rsidRPr="002F7A26" w:rsidRDefault="000F1306" w:rsidP="000F1306">
            <w:pPr>
              <w:rPr>
                <w:sz w:val="20"/>
                <w:szCs w:val="20"/>
                <w:lang w:val="es-ES"/>
              </w:rPr>
            </w:pPr>
            <w:r w:rsidRPr="002F7A26">
              <w:rPr>
                <w:sz w:val="20"/>
                <w:szCs w:val="20"/>
                <w:lang w:val="es-ES"/>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4045" w:type="dxa"/>
            <w:shd w:val="clear" w:color="auto" w:fill="auto"/>
          </w:tcPr>
          <w:p w14:paraId="5C2B54DF" w14:textId="1F593E72" w:rsidR="000F1306" w:rsidRPr="002F7A26" w:rsidRDefault="00594AC4" w:rsidP="000F1306">
            <w:pPr>
              <w:jc w:val="both"/>
              <w:rPr>
                <w:sz w:val="20"/>
                <w:szCs w:val="20"/>
                <w:lang w:val="es-ES"/>
              </w:rPr>
            </w:pPr>
            <w:r>
              <w:rPr>
                <w:sz w:val="20"/>
                <w:szCs w:val="20"/>
                <w:lang w:val="es-ES"/>
              </w:rPr>
              <w:t>En los proyectos de PMB se toma en consideración las normativas vigentes sobre los servicios de abastecimiento, saneamiento y drenaje pluvial.</w:t>
            </w:r>
          </w:p>
        </w:tc>
      </w:tr>
      <w:tr w:rsidR="000F1306" w:rsidRPr="00E547B0" w14:paraId="12FBC5E9" w14:textId="77777777" w:rsidTr="0074183B">
        <w:trPr>
          <w:trHeight w:val="2366"/>
          <w:jc w:val="center"/>
        </w:trPr>
        <w:tc>
          <w:tcPr>
            <w:tcW w:w="2047" w:type="dxa"/>
            <w:shd w:val="clear" w:color="auto" w:fill="auto"/>
          </w:tcPr>
          <w:p w14:paraId="61311873" w14:textId="77777777" w:rsidR="000F1306" w:rsidRPr="002F7A26" w:rsidRDefault="000F1306" w:rsidP="000F1306">
            <w:pPr>
              <w:ind w:left="330" w:hanging="150"/>
              <w:rPr>
                <w:b/>
                <w:bCs/>
                <w:i/>
                <w:sz w:val="20"/>
                <w:szCs w:val="20"/>
                <w:lang w:val="es-ES"/>
              </w:rPr>
            </w:pPr>
            <w:r w:rsidRPr="002F7A26">
              <w:rPr>
                <w:b/>
                <w:bCs/>
                <w:i/>
                <w:sz w:val="20"/>
                <w:szCs w:val="20"/>
                <w:lang w:val="es-ES"/>
              </w:rPr>
              <w:t>A. Promover la integridad, la transparencia y la rendición de cuentas</w:t>
            </w:r>
          </w:p>
        </w:tc>
        <w:tc>
          <w:tcPr>
            <w:tcW w:w="3258" w:type="dxa"/>
            <w:shd w:val="clear" w:color="auto" w:fill="auto"/>
          </w:tcPr>
          <w:p w14:paraId="3383E78B" w14:textId="77777777" w:rsidR="000F1306" w:rsidRPr="002F7A26" w:rsidRDefault="009B26D0" w:rsidP="009B26D0">
            <w:pPr>
              <w:autoSpaceDE w:val="0"/>
              <w:autoSpaceDN w:val="0"/>
              <w:adjustRightInd w:val="0"/>
              <w:rPr>
                <w:sz w:val="20"/>
                <w:szCs w:val="20"/>
                <w:lang w:val="es-ES"/>
              </w:rPr>
            </w:pPr>
            <w:r w:rsidRPr="002F7A26">
              <w:rPr>
                <w:rFonts w:eastAsiaTheme="minorHAnsi"/>
                <w:sz w:val="20"/>
                <w:szCs w:val="20"/>
                <w:lang w:val="es-ES"/>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r w:rsidR="000F1306" w:rsidRPr="002F7A26">
              <w:rPr>
                <w:sz w:val="20"/>
                <w:szCs w:val="20"/>
                <w:lang w:val="es-ES"/>
              </w:rPr>
              <w:t>.</w:t>
            </w:r>
          </w:p>
        </w:tc>
        <w:tc>
          <w:tcPr>
            <w:tcW w:w="4045" w:type="dxa"/>
            <w:shd w:val="clear" w:color="auto" w:fill="auto"/>
          </w:tcPr>
          <w:p w14:paraId="66568B52" w14:textId="798CEF6E" w:rsidR="00154758" w:rsidRDefault="00D37719" w:rsidP="009B26D0">
            <w:pPr>
              <w:jc w:val="both"/>
              <w:rPr>
                <w:sz w:val="20"/>
                <w:szCs w:val="20"/>
                <w:lang w:val="es-ES"/>
              </w:rPr>
            </w:pPr>
            <w:r w:rsidRPr="002F7A26">
              <w:rPr>
                <w:sz w:val="20"/>
                <w:szCs w:val="20"/>
                <w:lang w:val="es-ES"/>
              </w:rPr>
              <w:t xml:space="preserve">El </w:t>
            </w:r>
            <w:r w:rsidR="00154758">
              <w:rPr>
                <w:sz w:val="20"/>
                <w:szCs w:val="20"/>
                <w:lang w:val="es-ES"/>
              </w:rPr>
              <w:t xml:space="preserve">marco de prestación de los servicios vigente está definido en </w:t>
            </w:r>
            <w:r w:rsidR="0074183B">
              <w:rPr>
                <w:sz w:val="20"/>
                <w:szCs w:val="20"/>
                <w:lang w:val="es-ES"/>
              </w:rPr>
              <w:t xml:space="preserve">las competencias de cada una de las instituciones. </w:t>
            </w:r>
          </w:p>
          <w:p w14:paraId="212BC21A" w14:textId="77777777" w:rsidR="00154758" w:rsidRDefault="00154758" w:rsidP="009B26D0">
            <w:pPr>
              <w:jc w:val="both"/>
              <w:rPr>
                <w:sz w:val="20"/>
                <w:szCs w:val="20"/>
                <w:lang w:val="es-ES"/>
              </w:rPr>
            </w:pPr>
          </w:p>
          <w:p w14:paraId="7ECCD45C" w14:textId="77777777" w:rsidR="000F1306" w:rsidRPr="002F7A26" w:rsidRDefault="000F1306" w:rsidP="0074183B">
            <w:pPr>
              <w:jc w:val="both"/>
              <w:rPr>
                <w:sz w:val="20"/>
                <w:szCs w:val="20"/>
                <w:lang w:val="es-ES"/>
              </w:rPr>
            </w:pPr>
          </w:p>
        </w:tc>
      </w:tr>
      <w:tr w:rsidR="000F1306" w:rsidRPr="00EE3361" w14:paraId="6325A0F2" w14:textId="77777777" w:rsidTr="00081F5A">
        <w:trPr>
          <w:jc w:val="center"/>
        </w:trPr>
        <w:tc>
          <w:tcPr>
            <w:tcW w:w="2047" w:type="dxa"/>
            <w:shd w:val="clear" w:color="auto" w:fill="auto"/>
          </w:tcPr>
          <w:p w14:paraId="5FE4321E" w14:textId="77777777" w:rsidR="000F1306" w:rsidRPr="002F7A26" w:rsidRDefault="000F1306" w:rsidP="000F1306">
            <w:pPr>
              <w:ind w:left="330" w:hanging="150"/>
              <w:rPr>
                <w:b/>
                <w:bCs/>
                <w:i/>
                <w:sz w:val="20"/>
                <w:szCs w:val="20"/>
                <w:lang w:val="es-ES"/>
              </w:rPr>
            </w:pPr>
            <w:r w:rsidRPr="002F7A26">
              <w:rPr>
                <w:b/>
                <w:bCs/>
                <w:i/>
                <w:sz w:val="20"/>
                <w:szCs w:val="20"/>
                <w:lang w:val="es-ES"/>
              </w:rPr>
              <w:t>B. Analizar las características e impactos de los subsidios</w:t>
            </w:r>
          </w:p>
        </w:tc>
        <w:tc>
          <w:tcPr>
            <w:tcW w:w="3258" w:type="dxa"/>
            <w:shd w:val="clear" w:color="auto" w:fill="auto"/>
          </w:tcPr>
          <w:p w14:paraId="506384C3" w14:textId="77777777" w:rsidR="000F1306" w:rsidRPr="002F7A26" w:rsidRDefault="000F1306" w:rsidP="000F1306">
            <w:pPr>
              <w:rPr>
                <w:sz w:val="20"/>
                <w:szCs w:val="20"/>
                <w:lang w:val="es-ES"/>
              </w:rPr>
            </w:pPr>
            <w:r w:rsidRPr="002F7A26">
              <w:rPr>
                <w:sz w:val="20"/>
                <w:szCs w:val="20"/>
                <w:lang w:val="es-ES"/>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w:t>
            </w:r>
            <w:r w:rsidRPr="002F7A26">
              <w:rPr>
                <w:sz w:val="20"/>
                <w:szCs w:val="20"/>
                <w:lang w:val="es-ES"/>
              </w:rPr>
              <w:lastRenderedPageBreak/>
              <w:t>posible, se apoyará a los países para sustituir los subsidios tarifarios a los servicios públicos por mecanismos de transferencias de ingresos más directos y focalizados en los segmentos de la población con menores ingresos.</w:t>
            </w:r>
          </w:p>
        </w:tc>
        <w:tc>
          <w:tcPr>
            <w:tcW w:w="4045" w:type="dxa"/>
            <w:shd w:val="clear" w:color="auto" w:fill="auto"/>
          </w:tcPr>
          <w:p w14:paraId="14E8FAD8" w14:textId="27C3D07E" w:rsidR="00990C35" w:rsidRPr="00041936" w:rsidRDefault="00990C35" w:rsidP="003954EC">
            <w:pPr>
              <w:pStyle w:val="Default"/>
              <w:jc w:val="both"/>
              <w:rPr>
                <w:sz w:val="20"/>
                <w:szCs w:val="20"/>
                <w:lang w:val="es-ES"/>
              </w:rPr>
            </w:pPr>
            <w:r w:rsidRPr="00041936">
              <w:rPr>
                <w:sz w:val="20"/>
                <w:szCs w:val="20"/>
                <w:lang w:val="es-ES"/>
              </w:rPr>
              <w:lastRenderedPageBreak/>
              <w:t>Actualmente</w:t>
            </w:r>
            <w:r w:rsidR="0074183B" w:rsidRPr="00041936">
              <w:rPr>
                <w:sz w:val="20"/>
                <w:szCs w:val="20"/>
                <w:lang w:val="es-ES"/>
              </w:rPr>
              <w:t xml:space="preserve"> en la mayor parte de los asentamientos no formales, </w:t>
            </w:r>
            <w:r w:rsidRPr="00041936">
              <w:rPr>
                <w:sz w:val="20"/>
                <w:szCs w:val="20"/>
                <w:lang w:val="es-ES"/>
              </w:rPr>
              <w:t xml:space="preserve">no </w:t>
            </w:r>
            <w:r w:rsidR="0074183B" w:rsidRPr="00041936">
              <w:rPr>
                <w:sz w:val="20"/>
                <w:szCs w:val="20"/>
                <w:lang w:val="es-ES"/>
              </w:rPr>
              <w:t xml:space="preserve">se cobran tarifas por servicios. </w:t>
            </w:r>
          </w:p>
          <w:p w14:paraId="48EBE751" w14:textId="77777777" w:rsidR="00990C35" w:rsidRPr="00041936" w:rsidRDefault="00990C35" w:rsidP="003954EC">
            <w:pPr>
              <w:pStyle w:val="Default"/>
              <w:jc w:val="both"/>
              <w:rPr>
                <w:sz w:val="20"/>
                <w:szCs w:val="20"/>
                <w:lang w:val="es-ES"/>
              </w:rPr>
            </w:pPr>
          </w:p>
          <w:p w14:paraId="1D15E6C5" w14:textId="4E6F529C" w:rsidR="00990C35" w:rsidRPr="00041936" w:rsidRDefault="0074183B" w:rsidP="003954EC">
            <w:pPr>
              <w:pStyle w:val="Default"/>
              <w:jc w:val="both"/>
              <w:rPr>
                <w:sz w:val="20"/>
                <w:szCs w:val="20"/>
                <w:lang w:val="es-ES"/>
              </w:rPr>
            </w:pPr>
            <w:r w:rsidRPr="00041936">
              <w:rPr>
                <w:sz w:val="20"/>
                <w:szCs w:val="20"/>
                <w:lang w:val="es-ES"/>
              </w:rPr>
              <w:t>Si bien tanto en agua</w:t>
            </w:r>
            <w:r w:rsidR="00041936" w:rsidRPr="00041936">
              <w:rPr>
                <w:sz w:val="20"/>
                <w:szCs w:val="20"/>
                <w:lang w:val="es-ES"/>
              </w:rPr>
              <w:t>, energía eléctrica</w:t>
            </w:r>
            <w:r w:rsidRPr="00041936">
              <w:rPr>
                <w:sz w:val="20"/>
                <w:szCs w:val="20"/>
                <w:lang w:val="es-ES"/>
              </w:rPr>
              <w:t xml:space="preserve"> y saneamiento es posible los ingresos por tarifas (tarifas sociales mayoritariamente) sean menores a los obtenidos en otras zonas de prestación de servicios, l</w:t>
            </w:r>
            <w:r w:rsidR="00990C35" w:rsidRPr="00041936">
              <w:rPr>
                <w:sz w:val="20"/>
                <w:szCs w:val="20"/>
                <w:lang w:val="es-ES"/>
              </w:rPr>
              <w:t>a sostenibilidad financiera está asegurad</w:t>
            </w:r>
            <w:r w:rsidRPr="00041936">
              <w:rPr>
                <w:sz w:val="20"/>
                <w:szCs w:val="20"/>
                <w:lang w:val="es-ES"/>
              </w:rPr>
              <w:t>a</w:t>
            </w:r>
            <w:r w:rsidR="00990C35" w:rsidRPr="00041936">
              <w:rPr>
                <w:sz w:val="20"/>
                <w:szCs w:val="20"/>
                <w:lang w:val="es-ES"/>
              </w:rPr>
              <w:t xml:space="preserve"> con </w:t>
            </w:r>
            <w:r w:rsidRPr="00041936">
              <w:rPr>
                <w:sz w:val="20"/>
                <w:szCs w:val="20"/>
                <w:lang w:val="es-ES"/>
              </w:rPr>
              <w:t xml:space="preserve">los ingresos totales de las instituciones, </w:t>
            </w:r>
            <w:r w:rsidR="00990C35" w:rsidRPr="00041936">
              <w:rPr>
                <w:sz w:val="20"/>
                <w:szCs w:val="20"/>
                <w:lang w:val="es-ES"/>
              </w:rPr>
              <w:t>que cubrirá</w:t>
            </w:r>
            <w:r w:rsidRPr="00041936">
              <w:rPr>
                <w:sz w:val="20"/>
                <w:szCs w:val="20"/>
                <w:lang w:val="es-ES"/>
              </w:rPr>
              <w:t>n</w:t>
            </w:r>
            <w:r w:rsidR="00990C35" w:rsidRPr="00041936">
              <w:rPr>
                <w:sz w:val="20"/>
                <w:szCs w:val="20"/>
                <w:lang w:val="es-ES"/>
              </w:rPr>
              <w:t xml:space="preserve"> el costo de operación, mantenimiento y depreciación de la obra, as</w:t>
            </w:r>
            <w:r w:rsidR="00570624" w:rsidRPr="00041936">
              <w:rPr>
                <w:sz w:val="20"/>
                <w:szCs w:val="20"/>
                <w:lang w:val="es-ES"/>
              </w:rPr>
              <w:t>í</w:t>
            </w:r>
            <w:r w:rsidR="00990C35" w:rsidRPr="00041936">
              <w:rPr>
                <w:sz w:val="20"/>
                <w:szCs w:val="20"/>
                <w:lang w:val="es-ES"/>
              </w:rPr>
              <w:t xml:space="preserve"> como de producción del agua.</w:t>
            </w:r>
          </w:p>
          <w:p w14:paraId="2A75AD06" w14:textId="77777777" w:rsidR="000F1306" w:rsidRDefault="000F1306" w:rsidP="003954EC">
            <w:pPr>
              <w:pStyle w:val="Default"/>
              <w:jc w:val="both"/>
              <w:rPr>
                <w:sz w:val="20"/>
                <w:szCs w:val="20"/>
                <w:lang w:val="es-ES"/>
              </w:rPr>
            </w:pPr>
          </w:p>
          <w:p w14:paraId="234A5365" w14:textId="756934FF" w:rsidR="00EE3361" w:rsidRPr="00EE3361" w:rsidRDefault="00EE3361" w:rsidP="003954EC">
            <w:pPr>
              <w:jc w:val="both"/>
              <w:rPr>
                <w:rFonts w:eastAsia="MS Mincho"/>
                <w:color w:val="000000"/>
                <w:sz w:val="20"/>
                <w:szCs w:val="20"/>
                <w:lang w:val="es-ES"/>
              </w:rPr>
            </w:pPr>
            <w:r w:rsidRPr="00EE3361">
              <w:rPr>
                <w:rFonts w:eastAsia="MS Mincho"/>
                <w:color w:val="000000"/>
                <w:sz w:val="20"/>
                <w:szCs w:val="20"/>
                <w:lang w:val="es-ES"/>
              </w:rPr>
              <w:t xml:space="preserve">OSE </w:t>
            </w:r>
            <w:r w:rsidR="003954EC">
              <w:rPr>
                <w:rFonts w:eastAsia="MS Mincho"/>
                <w:color w:val="000000"/>
                <w:sz w:val="20"/>
                <w:szCs w:val="20"/>
                <w:lang w:val="es-ES"/>
              </w:rPr>
              <w:t>tiene</w:t>
            </w:r>
            <w:r w:rsidRPr="00EE3361">
              <w:rPr>
                <w:rFonts w:eastAsia="MS Mincho"/>
                <w:color w:val="000000"/>
                <w:sz w:val="20"/>
                <w:szCs w:val="20"/>
                <w:lang w:val="es-ES"/>
              </w:rPr>
              <w:t xml:space="preserve"> una </w:t>
            </w:r>
            <w:hyperlink r:id="rId10" w:history="1">
              <w:r w:rsidRPr="003954EC">
                <w:rPr>
                  <w:rStyle w:val="Hyperlink"/>
                  <w:rFonts w:eastAsia="MS Mincho"/>
                  <w:sz w:val="20"/>
                  <w:szCs w:val="20"/>
                  <w:lang w:val="es-ES"/>
                </w:rPr>
                <w:t>tarifa</w:t>
              </w:r>
            </w:hyperlink>
            <w:r w:rsidRPr="00EE3361">
              <w:rPr>
                <w:rFonts w:eastAsia="MS Mincho"/>
                <w:color w:val="000000"/>
                <w:sz w:val="20"/>
                <w:szCs w:val="20"/>
                <w:lang w:val="es-ES"/>
              </w:rPr>
              <w:t xml:space="preserve"> más económica destinada a la población que tiene dificultad para acceder a los servicios de agua potable y saneamiento</w:t>
            </w:r>
            <w:r w:rsidR="003954EC">
              <w:rPr>
                <w:rFonts w:eastAsia="MS Mincho"/>
                <w:color w:val="000000"/>
                <w:sz w:val="20"/>
                <w:szCs w:val="20"/>
                <w:lang w:val="es-ES"/>
              </w:rPr>
              <w:t>, de la cual son beneficiarios l</w:t>
            </w:r>
            <w:r w:rsidRPr="00EE3361">
              <w:rPr>
                <w:rFonts w:eastAsia="MS Mincho"/>
                <w:color w:val="000000"/>
                <w:sz w:val="20"/>
                <w:szCs w:val="20"/>
                <w:lang w:val="es-ES"/>
              </w:rPr>
              <w:t>os asentamientos con redes de agua potable y saneamiento regularizadas a través del</w:t>
            </w:r>
            <w:r w:rsidR="003954EC">
              <w:rPr>
                <w:rFonts w:eastAsia="MS Mincho"/>
                <w:color w:val="000000"/>
                <w:sz w:val="20"/>
                <w:szCs w:val="20"/>
                <w:lang w:val="es-ES"/>
              </w:rPr>
              <w:t xml:space="preserve"> PMB</w:t>
            </w:r>
            <w:r>
              <w:rPr>
                <w:rFonts w:eastAsia="MS Mincho"/>
                <w:color w:val="000000"/>
                <w:sz w:val="20"/>
                <w:szCs w:val="20"/>
                <w:lang w:val="es-ES"/>
              </w:rPr>
              <w:t>.</w:t>
            </w:r>
            <w:r w:rsidRPr="00EE3361">
              <w:rPr>
                <w:rFonts w:eastAsia="MS Mincho"/>
                <w:color w:val="000000"/>
                <w:sz w:val="20"/>
                <w:szCs w:val="20"/>
                <w:lang w:val="es-ES"/>
              </w:rPr>
              <w:t xml:space="preserve"> A modo de ejemplo, en el interior del país, se benefician de un subsidio sobre los consumos menores a </w:t>
            </w:r>
            <w:r w:rsidRPr="00EE3361">
              <w:rPr>
                <w:rFonts w:eastAsia="MS Mincho"/>
                <w:color w:val="000000"/>
                <w:sz w:val="20"/>
                <w:szCs w:val="20"/>
                <w:lang w:val="es-ES"/>
              </w:rPr>
              <w:lastRenderedPageBreak/>
              <w:t>15m</w:t>
            </w:r>
            <w:r w:rsidRPr="003954EC">
              <w:rPr>
                <w:rFonts w:eastAsia="MS Mincho"/>
                <w:color w:val="000000"/>
                <w:sz w:val="20"/>
                <w:szCs w:val="20"/>
                <w:vertAlign w:val="superscript"/>
                <w:lang w:val="es-ES"/>
              </w:rPr>
              <w:t>3</w:t>
            </w:r>
            <w:r w:rsidRPr="00EE3361">
              <w:rPr>
                <w:rFonts w:eastAsia="MS Mincho"/>
                <w:color w:val="000000"/>
                <w:sz w:val="20"/>
                <w:szCs w:val="20"/>
                <w:lang w:val="es-ES"/>
              </w:rPr>
              <w:t xml:space="preserve">/mes, su factura por cargo variable y fijo de abastecimiento de agua potable es un 20% respecto a la tarifa </w:t>
            </w:r>
            <w:r w:rsidR="009D3009" w:rsidRPr="00EE3361">
              <w:rPr>
                <w:rFonts w:eastAsia="MS Mincho"/>
                <w:color w:val="000000"/>
                <w:sz w:val="20"/>
                <w:szCs w:val="20"/>
                <w:lang w:val="es-ES"/>
              </w:rPr>
              <w:t>residencial y su</w:t>
            </w:r>
            <w:r w:rsidRPr="00EE3361">
              <w:rPr>
                <w:rFonts w:eastAsia="MS Mincho"/>
                <w:color w:val="000000"/>
                <w:sz w:val="20"/>
                <w:szCs w:val="20"/>
                <w:lang w:val="es-ES"/>
              </w:rPr>
              <w:t xml:space="preserve"> factura por saneamiento es </w:t>
            </w:r>
            <w:r w:rsidR="009D3009" w:rsidRPr="00EE3361">
              <w:rPr>
                <w:rFonts w:eastAsia="MS Mincho"/>
                <w:color w:val="000000"/>
                <w:sz w:val="20"/>
                <w:szCs w:val="20"/>
                <w:lang w:val="es-ES"/>
              </w:rPr>
              <w:t>el 40</w:t>
            </w:r>
            <w:r w:rsidRPr="00EE3361">
              <w:rPr>
                <w:rFonts w:eastAsia="MS Mincho"/>
                <w:color w:val="000000"/>
                <w:sz w:val="20"/>
                <w:szCs w:val="20"/>
                <w:lang w:val="es-ES"/>
              </w:rPr>
              <w:t>% respecto a la tarifa residencial.</w:t>
            </w:r>
          </w:p>
          <w:p w14:paraId="0D040815" w14:textId="77777777" w:rsidR="00EE3361" w:rsidRDefault="00EE3361" w:rsidP="003954EC">
            <w:pPr>
              <w:jc w:val="both"/>
              <w:rPr>
                <w:rFonts w:eastAsia="MS Mincho"/>
                <w:color w:val="000000"/>
                <w:sz w:val="20"/>
                <w:szCs w:val="20"/>
                <w:lang w:val="es-ES"/>
              </w:rPr>
            </w:pPr>
          </w:p>
          <w:p w14:paraId="756E1823" w14:textId="267C0822" w:rsidR="00EE3361" w:rsidRDefault="00EE3361" w:rsidP="003954EC">
            <w:pPr>
              <w:jc w:val="both"/>
              <w:rPr>
                <w:rFonts w:eastAsia="MS Mincho"/>
                <w:color w:val="000000"/>
                <w:sz w:val="20"/>
                <w:szCs w:val="20"/>
                <w:lang w:val="es-ES"/>
              </w:rPr>
            </w:pPr>
            <w:r w:rsidRPr="00EE3361">
              <w:rPr>
                <w:rFonts w:eastAsia="MS Mincho"/>
                <w:color w:val="000000"/>
                <w:sz w:val="20"/>
                <w:szCs w:val="20"/>
                <w:lang w:val="es-ES"/>
              </w:rPr>
              <w:t xml:space="preserve">En el caso del servicio de saneamiento de la IdM, Las tarifas y el sistema de bonificación social y exoneraciones aplicables están reglamentados mediante </w:t>
            </w:r>
            <w:hyperlink r:id="rId11" w:history="1">
              <w:r w:rsidRPr="003954EC">
                <w:rPr>
                  <w:rStyle w:val="Hyperlink"/>
                  <w:rFonts w:eastAsia="MS Mincho"/>
                  <w:sz w:val="20"/>
                  <w:szCs w:val="20"/>
                  <w:lang w:val="es-ES"/>
                </w:rPr>
                <w:t>Decreto 29.434</w:t>
              </w:r>
            </w:hyperlink>
            <w:r w:rsidRPr="00EE3361">
              <w:rPr>
                <w:rFonts w:eastAsia="MS Mincho"/>
                <w:color w:val="000000"/>
                <w:sz w:val="20"/>
                <w:szCs w:val="20"/>
                <w:lang w:val="es-ES"/>
              </w:rPr>
              <w:t xml:space="preserve"> de la Junta Departamental del año 2001 y modificativos. La Bonificación social, se aplica según la zona y el valor imponible de la propiedad, y es de un 74% de descuento del cargo variable en los primeros 12 m</w:t>
            </w:r>
            <w:r w:rsidRPr="003954EC">
              <w:rPr>
                <w:rFonts w:eastAsia="MS Mincho"/>
                <w:color w:val="000000"/>
                <w:sz w:val="20"/>
                <w:szCs w:val="20"/>
                <w:vertAlign w:val="superscript"/>
                <w:lang w:val="es-ES"/>
              </w:rPr>
              <w:t>3</w:t>
            </w:r>
            <w:r w:rsidRPr="00EE3361">
              <w:rPr>
                <w:rFonts w:eastAsia="MS Mincho"/>
                <w:color w:val="000000"/>
                <w:sz w:val="20"/>
                <w:szCs w:val="20"/>
                <w:lang w:val="es-ES"/>
              </w:rPr>
              <w:t> de consumo mensual.</w:t>
            </w:r>
          </w:p>
          <w:p w14:paraId="75880A0E" w14:textId="7EF6A242" w:rsidR="00EE3361" w:rsidRDefault="00EE3361" w:rsidP="003954EC">
            <w:pPr>
              <w:jc w:val="both"/>
              <w:rPr>
                <w:rFonts w:eastAsia="MS Mincho"/>
                <w:color w:val="000000"/>
                <w:sz w:val="20"/>
                <w:szCs w:val="20"/>
                <w:lang w:val="es-ES"/>
              </w:rPr>
            </w:pPr>
          </w:p>
          <w:p w14:paraId="56BBC2D3" w14:textId="0726162E" w:rsidR="00EE3361" w:rsidRPr="00EE3361" w:rsidRDefault="00EE3361" w:rsidP="003954EC">
            <w:pPr>
              <w:jc w:val="both"/>
              <w:rPr>
                <w:rFonts w:eastAsia="MS Mincho"/>
                <w:color w:val="000000"/>
                <w:sz w:val="20"/>
                <w:szCs w:val="20"/>
                <w:lang w:val="es-ES"/>
              </w:rPr>
            </w:pPr>
            <w:r w:rsidRPr="00EE3361">
              <w:rPr>
                <w:rFonts w:eastAsia="MS Mincho"/>
                <w:color w:val="000000"/>
                <w:sz w:val="20"/>
                <w:szCs w:val="20"/>
                <w:lang w:val="es-ES"/>
              </w:rPr>
              <w:t>En mayo de 2011, UTE aprobó una resolución por la cual se aplican los descuentos comerciales a la Tarifa de Consumo Básico Residencial; (TCB-T) a los clientes que tengan la Tarjeta Uruguay Social y paguen con la misma la factura de UTE y (TCB-D) a los clientes que se encuentran en los agrupamientos de viviendas.</w:t>
            </w:r>
            <w:r w:rsidR="00650363">
              <w:rPr>
                <w:rFonts w:eastAsia="MS Mincho"/>
                <w:color w:val="000000"/>
                <w:sz w:val="20"/>
                <w:szCs w:val="20"/>
                <w:lang w:val="es-ES"/>
              </w:rPr>
              <w:t xml:space="preserve"> Aquellos hogares </w:t>
            </w:r>
            <w:r w:rsidR="003954EC">
              <w:rPr>
                <w:rFonts w:eastAsia="MS Mincho"/>
                <w:color w:val="000000"/>
                <w:sz w:val="20"/>
                <w:szCs w:val="20"/>
                <w:lang w:val="es-ES"/>
              </w:rPr>
              <w:t xml:space="preserve">beneficiarios de la tarifa social </w:t>
            </w:r>
            <w:r w:rsidR="00650363">
              <w:rPr>
                <w:rFonts w:eastAsia="MS Mincho"/>
                <w:color w:val="000000"/>
                <w:sz w:val="20"/>
                <w:szCs w:val="20"/>
                <w:lang w:val="es-ES"/>
              </w:rPr>
              <w:t>con un consumo mensual de 200kwh</w:t>
            </w:r>
            <w:r w:rsidR="003954EC">
              <w:rPr>
                <w:rFonts w:eastAsia="MS Mincho"/>
                <w:color w:val="000000"/>
                <w:sz w:val="20"/>
                <w:szCs w:val="20"/>
                <w:lang w:val="es-ES"/>
              </w:rPr>
              <w:t>,</w:t>
            </w:r>
            <w:r w:rsidR="00650363">
              <w:rPr>
                <w:rFonts w:eastAsia="MS Mincho"/>
                <w:color w:val="000000"/>
                <w:sz w:val="20"/>
                <w:szCs w:val="20"/>
                <w:lang w:val="es-ES"/>
              </w:rPr>
              <w:t xml:space="preserve"> pagan aproximadamente 40% respecto a los hogares sin subsidios.</w:t>
            </w:r>
            <w:r w:rsidR="003954EC">
              <w:rPr>
                <w:rFonts w:eastAsia="MS Mincho"/>
                <w:color w:val="000000"/>
                <w:sz w:val="20"/>
                <w:szCs w:val="20"/>
                <w:lang w:val="es-ES"/>
              </w:rPr>
              <w:t xml:space="preserve"> Las tarifas están disponibles en su </w:t>
            </w:r>
            <w:hyperlink r:id="rId12" w:history="1">
              <w:r w:rsidR="003954EC" w:rsidRPr="003954EC">
                <w:rPr>
                  <w:rStyle w:val="Hyperlink"/>
                  <w:rFonts w:eastAsia="MS Mincho"/>
                  <w:sz w:val="20"/>
                  <w:szCs w:val="20"/>
                  <w:lang w:val="es-ES"/>
                </w:rPr>
                <w:t>decreto tarifario</w:t>
              </w:r>
            </w:hyperlink>
            <w:r w:rsidR="003954EC">
              <w:rPr>
                <w:rFonts w:eastAsia="MS Mincho"/>
                <w:color w:val="000000"/>
                <w:sz w:val="20"/>
                <w:szCs w:val="20"/>
                <w:lang w:val="es-ES"/>
              </w:rPr>
              <w:t>.</w:t>
            </w:r>
          </w:p>
          <w:p w14:paraId="59BDD873" w14:textId="6C8772C1" w:rsidR="006D7186" w:rsidRPr="00EE3361" w:rsidRDefault="006D7186" w:rsidP="003954EC">
            <w:pPr>
              <w:pStyle w:val="Default"/>
              <w:jc w:val="both"/>
              <w:rPr>
                <w:sz w:val="20"/>
                <w:szCs w:val="20"/>
                <w:lang w:val="es-ES"/>
              </w:rPr>
            </w:pPr>
          </w:p>
        </w:tc>
      </w:tr>
      <w:tr w:rsidR="000F1306" w:rsidRPr="00E547B0" w14:paraId="11938625" w14:textId="77777777" w:rsidTr="00081F5A">
        <w:trPr>
          <w:jc w:val="center"/>
        </w:trPr>
        <w:tc>
          <w:tcPr>
            <w:tcW w:w="2047" w:type="dxa"/>
            <w:shd w:val="clear" w:color="auto" w:fill="auto"/>
          </w:tcPr>
          <w:p w14:paraId="359C56B5" w14:textId="77777777" w:rsidR="000F1306" w:rsidRPr="002F7A26" w:rsidRDefault="000F1306" w:rsidP="000F1306">
            <w:pPr>
              <w:ind w:left="330" w:hanging="150"/>
              <w:rPr>
                <w:i/>
                <w:sz w:val="20"/>
                <w:szCs w:val="20"/>
                <w:lang w:val="es-ES"/>
              </w:rPr>
            </w:pPr>
            <w:r w:rsidRPr="002F7A26">
              <w:rPr>
                <w:b/>
                <w:bCs/>
                <w:i/>
                <w:sz w:val="20"/>
                <w:szCs w:val="20"/>
                <w:lang w:val="es-ES"/>
              </w:rPr>
              <w:lastRenderedPageBreak/>
              <w:t>C. Separación de Funciones para mejorar la gobernanza sectorial</w:t>
            </w:r>
          </w:p>
        </w:tc>
        <w:tc>
          <w:tcPr>
            <w:tcW w:w="3258" w:type="dxa"/>
            <w:shd w:val="clear" w:color="auto" w:fill="auto"/>
          </w:tcPr>
          <w:p w14:paraId="49B71BB8" w14:textId="77777777" w:rsidR="000F1306" w:rsidRPr="002F7A26" w:rsidRDefault="000F1306" w:rsidP="000F1306">
            <w:pPr>
              <w:rPr>
                <w:sz w:val="20"/>
                <w:szCs w:val="20"/>
                <w:lang w:val="es-ES"/>
              </w:rPr>
            </w:pPr>
            <w:r w:rsidRPr="002F7A26">
              <w:rPr>
                <w:sz w:val="20"/>
                <w:szCs w:val="20"/>
                <w:lang w:val="es-ES"/>
              </w:rPr>
              <w:t xml:space="preserve">Deben separarse las funciones de </w:t>
            </w:r>
            <w:r w:rsidRPr="002F7A26">
              <w:rPr>
                <w:b/>
                <w:bCs/>
                <w:sz w:val="20"/>
                <w:szCs w:val="20"/>
                <w:lang w:val="es-ES"/>
              </w:rPr>
              <w:t>formulador de políticas, regulador</w:t>
            </w:r>
            <w:r w:rsidRPr="002F7A26">
              <w:rPr>
                <w:sz w:val="20"/>
                <w:szCs w:val="20"/>
                <w:lang w:val="es-ES"/>
              </w:rPr>
              <w:t xml:space="preserve"> y </w:t>
            </w:r>
            <w:r w:rsidRPr="002F7A26">
              <w:rPr>
                <w:b/>
                <w:bCs/>
                <w:sz w:val="20"/>
                <w:szCs w:val="20"/>
                <w:lang w:val="es-ES"/>
              </w:rPr>
              <w:t>empresario</w:t>
            </w:r>
            <w:r w:rsidRPr="002F7A26">
              <w:rPr>
                <w:sz w:val="20"/>
                <w:szCs w:val="20"/>
                <w:lang w:val="es-ES"/>
              </w:rPr>
              <w:t xml:space="preserve"> y asignarse a instituciones distintas y apropiadas. De esta manera, las autoridades conservarán la responsabilidad de </w:t>
            </w:r>
            <w:r w:rsidRPr="002F7A26">
              <w:rPr>
                <w:b/>
                <w:bCs/>
                <w:sz w:val="20"/>
                <w:szCs w:val="20"/>
                <w:lang w:val="es-ES"/>
              </w:rPr>
              <w:t>formular la política</w:t>
            </w:r>
            <w:r w:rsidRPr="002F7A26">
              <w:rPr>
                <w:sz w:val="20"/>
                <w:szCs w:val="20"/>
                <w:lang w:val="es-ES"/>
              </w:rPr>
              <w:t xml:space="preserve">, un ente público separado dictará el </w:t>
            </w:r>
            <w:r w:rsidRPr="002F7A26">
              <w:rPr>
                <w:b/>
                <w:bCs/>
                <w:sz w:val="20"/>
                <w:szCs w:val="20"/>
                <w:lang w:val="es-ES"/>
              </w:rPr>
              <w:t>régimen reglamentario</w:t>
            </w:r>
            <w:r w:rsidRPr="002F7A26">
              <w:rPr>
                <w:sz w:val="20"/>
                <w:szCs w:val="20"/>
                <w:lang w:val="es-ES"/>
              </w:rPr>
              <w:t xml:space="preserve"> y se asignará al proveedor del servicio una función exclusivamente </w:t>
            </w:r>
            <w:r w:rsidRPr="002F7A26">
              <w:rPr>
                <w:b/>
                <w:bCs/>
                <w:sz w:val="20"/>
                <w:szCs w:val="20"/>
                <w:lang w:val="es-ES"/>
              </w:rPr>
              <w:t>empresarial</w:t>
            </w:r>
            <w:r w:rsidRPr="002F7A26">
              <w:rPr>
                <w:sz w:val="20"/>
                <w:szCs w:val="20"/>
                <w:lang w:val="es-ES"/>
              </w:rPr>
              <w:t xml:space="preserve">,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 regulación y la provisión de los servicios públicos domiciliarios reside en el ámbito local (provincial o municipal). En estos casos, en los cuales no necesariamente es óptimo separar los roles de formulación de políticas y de </w:t>
            </w:r>
            <w:r w:rsidRPr="002F7A26">
              <w:rPr>
                <w:sz w:val="20"/>
                <w:szCs w:val="20"/>
                <w:lang w:val="es-ES"/>
              </w:rPr>
              <w:lastRenderedPageBreak/>
              <w:t xml:space="preserve">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4045" w:type="dxa"/>
            <w:shd w:val="clear" w:color="auto" w:fill="auto"/>
          </w:tcPr>
          <w:p w14:paraId="31780BAE" w14:textId="2B715F2A" w:rsidR="00AC7B4D" w:rsidRPr="00AC7B4D" w:rsidRDefault="00D37719" w:rsidP="000F1306">
            <w:pPr>
              <w:jc w:val="both"/>
              <w:rPr>
                <w:sz w:val="20"/>
                <w:szCs w:val="20"/>
                <w:lang w:val="es-ES"/>
              </w:rPr>
            </w:pPr>
            <w:r w:rsidRPr="002F7A26">
              <w:rPr>
                <w:sz w:val="20"/>
                <w:szCs w:val="20"/>
                <w:lang w:val="es-ES"/>
              </w:rPr>
              <w:lastRenderedPageBreak/>
              <w:t xml:space="preserve">El esquema institucional </w:t>
            </w:r>
            <w:r w:rsidR="009469F3">
              <w:rPr>
                <w:sz w:val="20"/>
                <w:szCs w:val="20"/>
                <w:lang w:val="es-ES"/>
              </w:rPr>
              <w:t xml:space="preserve">vigente </w:t>
            </w:r>
            <w:r w:rsidR="00AC7B4D">
              <w:rPr>
                <w:sz w:val="20"/>
                <w:szCs w:val="20"/>
                <w:lang w:val="es-ES"/>
              </w:rPr>
              <w:t xml:space="preserve">en Uruguay mantiene separadas las funciones de </w:t>
            </w:r>
            <w:r w:rsidR="00AC7B4D" w:rsidRPr="00AC7B4D">
              <w:rPr>
                <w:sz w:val="20"/>
                <w:szCs w:val="20"/>
                <w:lang w:val="es-ES"/>
              </w:rPr>
              <w:t>formulador de políticas</w:t>
            </w:r>
            <w:r w:rsidR="00AC7B4D">
              <w:rPr>
                <w:sz w:val="20"/>
                <w:szCs w:val="20"/>
                <w:lang w:val="es-ES"/>
              </w:rPr>
              <w:t xml:space="preserve"> (DINAGUA</w:t>
            </w:r>
            <w:r w:rsidR="00B808D2">
              <w:rPr>
                <w:sz w:val="20"/>
                <w:szCs w:val="20"/>
                <w:lang w:val="es-ES"/>
              </w:rPr>
              <w:t xml:space="preserve"> (agua potable, drenaje y saneamiento), DNE (Energía)</w:t>
            </w:r>
            <w:r w:rsidR="00AC7B4D">
              <w:rPr>
                <w:sz w:val="20"/>
                <w:szCs w:val="20"/>
                <w:lang w:val="es-ES"/>
              </w:rPr>
              <w:t>)</w:t>
            </w:r>
            <w:r w:rsidR="00AC7B4D" w:rsidRPr="00AC7B4D">
              <w:rPr>
                <w:sz w:val="20"/>
                <w:szCs w:val="20"/>
                <w:lang w:val="es-ES"/>
              </w:rPr>
              <w:t>, regulador</w:t>
            </w:r>
            <w:r w:rsidR="00AC7B4D">
              <w:rPr>
                <w:sz w:val="20"/>
                <w:szCs w:val="20"/>
                <w:lang w:val="es-ES"/>
              </w:rPr>
              <w:t xml:space="preserve"> (URSEA)</w:t>
            </w:r>
            <w:r w:rsidR="00AC7B4D" w:rsidRPr="002F7A26">
              <w:rPr>
                <w:sz w:val="20"/>
                <w:szCs w:val="20"/>
                <w:lang w:val="es-ES"/>
              </w:rPr>
              <w:t xml:space="preserve"> y </w:t>
            </w:r>
            <w:r w:rsidR="00AC7B4D" w:rsidRPr="00AC7B4D">
              <w:rPr>
                <w:sz w:val="20"/>
                <w:szCs w:val="20"/>
                <w:lang w:val="es-ES"/>
              </w:rPr>
              <w:t>prestador de servicios</w:t>
            </w:r>
            <w:r w:rsidR="00AC7B4D">
              <w:rPr>
                <w:sz w:val="20"/>
                <w:szCs w:val="20"/>
                <w:lang w:val="es-ES"/>
              </w:rPr>
              <w:t xml:space="preserve"> (OSE/IDs</w:t>
            </w:r>
            <w:r w:rsidR="003954EC">
              <w:rPr>
                <w:sz w:val="20"/>
                <w:szCs w:val="20"/>
                <w:lang w:val="es-ES"/>
              </w:rPr>
              <w:t>/UTE</w:t>
            </w:r>
            <w:r w:rsidR="00AC7B4D">
              <w:rPr>
                <w:sz w:val="20"/>
                <w:szCs w:val="20"/>
                <w:lang w:val="es-ES"/>
              </w:rPr>
              <w:t>)</w:t>
            </w:r>
            <w:r w:rsidR="00AC7B4D" w:rsidRPr="00AC7B4D">
              <w:rPr>
                <w:sz w:val="20"/>
                <w:szCs w:val="20"/>
                <w:lang w:val="es-ES"/>
              </w:rPr>
              <w:t xml:space="preserve">. </w:t>
            </w:r>
          </w:p>
          <w:p w14:paraId="2B569766" w14:textId="6244FCB7" w:rsidR="00AC7B4D" w:rsidRDefault="00AC7B4D" w:rsidP="000F1306">
            <w:pPr>
              <w:jc w:val="both"/>
              <w:rPr>
                <w:sz w:val="20"/>
                <w:szCs w:val="20"/>
                <w:lang w:val="es-ES"/>
              </w:rPr>
            </w:pPr>
          </w:p>
          <w:p w14:paraId="2ED08BE4" w14:textId="50C05165" w:rsidR="000F1306" w:rsidRPr="002F7A26" w:rsidRDefault="000F1306" w:rsidP="000F1306">
            <w:pPr>
              <w:jc w:val="both"/>
              <w:rPr>
                <w:sz w:val="20"/>
                <w:szCs w:val="20"/>
                <w:lang w:val="es-ES"/>
              </w:rPr>
            </w:pPr>
          </w:p>
        </w:tc>
      </w:tr>
      <w:tr w:rsidR="000F1306" w:rsidRPr="00E547B0" w14:paraId="140D4683" w14:textId="77777777" w:rsidTr="006C0E86">
        <w:trPr>
          <w:trHeight w:val="3986"/>
          <w:jc w:val="center"/>
        </w:trPr>
        <w:tc>
          <w:tcPr>
            <w:tcW w:w="2047" w:type="dxa"/>
            <w:shd w:val="clear" w:color="auto" w:fill="auto"/>
          </w:tcPr>
          <w:p w14:paraId="638DE486" w14:textId="77777777" w:rsidR="000F1306" w:rsidRPr="002F7A26" w:rsidRDefault="000F1306" w:rsidP="000F1306">
            <w:pPr>
              <w:ind w:left="330" w:hanging="150"/>
              <w:rPr>
                <w:i/>
                <w:sz w:val="20"/>
                <w:szCs w:val="20"/>
                <w:lang w:val="es-ES"/>
              </w:rPr>
            </w:pPr>
            <w:r w:rsidRPr="002F7A26">
              <w:rPr>
                <w:b/>
                <w:bCs/>
                <w:i/>
                <w:sz w:val="20"/>
                <w:szCs w:val="20"/>
                <w:lang w:val="es-ES"/>
              </w:rPr>
              <w:t>D. Establecer la estructura sectorial más apropiada en el contexto de las características del servicio y los objetivos de la política</w:t>
            </w:r>
          </w:p>
        </w:tc>
        <w:tc>
          <w:tcPr>
            <w:tcW w:w="3258" w:type="dxa"/>
            <w:shd w:val="clear" w:color="auto" w:fill="auto"/>
          </w:tcPr>
          <w:p w14:paraId="5584D387" w14:textId="77777777" w:rsidR="000F1306" w:rsidRPr="002F7A26" w:rsidRDefault="000F1306" w:rsidP="000F1306">
            <w:pPr>
              <w:rPr>
                <w:sz w:val="20"/>
                <w:szCs w:val="20"/>
                <w:lang w:val="es-ES"/>
              </w:rPr>
            </w:pPr>
            <w:r w:rsidRPr="002F7A26">
              <w:rPr>
                <w:sz w:val="20"/>
                <w:szCs w:val="20"/>
                <w:lang w:val="es-ES"/>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4045" w:type="dxa"/>
            <w:shd w:val="clear" w:color="auto" w:fill="auto"/>
          </w:tcPr>
          <w:p w14:paraId="79202ADB" w14:textId="3E370CD0" w:rsidR="00A2785D" w:rsidRDefault="00A2785D" w:rsidP="00030DCC">
            <w:pPr>
              <w:jc w:val="both"/>
              <w:rPr>
                <w:sz w:val="20"/>
                <w:szCs w:val="20"/>
                <w:lang w:val="es-ES"/>
              </w:rPr>
            </w:pPr>
            <w:r>
              <w:rPr>
                <w:sz w:val="20"/>
                <w:szCs w:val="20"/>
                <w:lang w:val="es-ES"/>
              </w:rPr>
              <w:t>En Uruguay el servicio de agua potable a nivel nacional y de saneamiento en el interior del país es brindando por OSE.</w:t>
            </w:r>
          </w:p>
          <w:p w14:paraId="6912B30D" w14:textId="77777777" w:rsidR="007A2A90" w:rsidRDefault="007A2A90" w:rsidP="00030DCC">
            <w:pPr>
              <w:jc w:val="both"/>
              <w:rPr>
                <w:sz w:val="20"/>
                <w:szCs w:val="20"/>
                <w:lang w:val="es-ES"/>
              </w:rPr>
            </w:pPr>
          </w:p>
          <w:p w14:paraId="535252C9" w14:textId="38D7A4C8" w:rsidR="00F42871" w:rsidRDefault="00F42871" w:rsidP="00030DCC">
            <w:pPr>
              <w:jc w:val="both"/>
              <w:rPr>
                <w:sz w:val="20"/>
                <w:szCs w:val="20"/>
                <w:lang w:val="es-ES"/>
              </w:rPr>
            </w:pPr>
            <w:r>
              <w:rPr>
                <w:sz w:val="20"/>
                <w:szCs w:val="20"/>
                <w:lang w:val="es-ES"/>
              </w:rPr>
              <w:t>El servicio de saneamiento en Montevideo y el servicio de drenaje pluvial en todo el país es brindado por la IDs.</w:t>
            </w:r>
          </w:p>
          <w:p w14:paraId="43D96C6A" w14:textId="0720FD98" w:rsidR="00B808D2" w:rsidRDefault="00B808D2" w:rsidP="00030DCC">
            <w:pPr>
              <w:jc w:val="both"/>
              <w:rPr>
                <w:sz w:val="20"/>
                <w:szCs w:val="20"/>
                <w:lang w:val="es-ES"/>
              </w:rPr>
            </w:pPr>
          </w:p>
          <w:p w14:paraId="17AD76F4" w14:textId="53F0FC01" w:rsidR="00B808D2" w:rsidRDefault="00B808D2" w:rsidP="00030DCC">
            <w:pPr>
              <w:jc w:val="both"/>
              <w:rPr>
                <w:sz w:val="20"/>
                <w:szCs w:val="20"/>
                <w:lang w:val="es-ES"/>
              </w:rPr>
            </w:pPr>
            <w:r>
              <w:rPr>
                <w:sz w:val="20"/>
                <w:szCs w:val="20"/>
                <w:lang w:val="es-ES"/>
              </w:rPr>
              <w:t>El servicio de abastecimiento de energía es suministrado en todo el país por la UTE.</w:t>
            </w:r>
          </w:p>
          <w:p w14:paraId="5F008828" w14:textId="32743F8C" w:rsidR="00B808D2" w:rsidRDefault="00B808D2" w:rsidP="00030DCC">
            <w:pPr>
              <w:jc w:val="both"/>
              <w:rPr>
                <w:sz w:val="20"/>
                <w:szCs w:val="20"/>
                <w:lang w:val="es-ES"/>
              </w:rPr>
            </w:pPr>
          </w:p>
          <w:p w14:paraId="30B6AF9B" w14:textId="0BBB2848" w:rsidR="00B808D2" w:rsidRDefault="00B808D2" w:rsidP="00030DCC">
            <w:pPr>
              <w:jc w:val="both"/>
              <w:rPr>
                <w:sz w:val="20"/>
                <w:szCs w:val="20"/>
                <w:lang w:val="es-ES"/>
              </w:rPr>
            </w:pPr>
            <w:r>
              <w:rPr>
                <w:sz w:val="20"/>
                <w:szCs w:val="20"/>
                <w:lang w:val="es-ES"/>
              </w:rPr>
              <w:t>La regulación de los servicios es realizada por la URSEA.</w:t>
            </w:r>
          </w:p>
          <w:p w14:paraId="3DDF9FE6" w14:textId="77777777" w:rsidR="00F42871" w:rsidRDefault="00F42871" w:rsidP="00030DCC">
            <w:pPr>
              <w:jc w:val="both"/>
              <w:rPr>
                <w:sz w:val="20"/>
                <w:szCs w:val="20"/>
                <w:lang w:val="es-ES"/>
              </w:rPr>
            </w:pPr>
          </w:p>
          <w:p w14:paraId="3631155C" w14:textId="62629A87" w:rsidR="00F42871" w:rsidRPr="002F7A26" w:rsidRDefault="00F42871" w:rsidP="00030DCC">
            <w:pPr>
              <w:jc w:val="both"/>
              <w:rPr>
                <w:sz w:val="20"/>
                <w:szCs w:val="20"/>
                <w:lang w:val="es-ES"/>
              </w:rPr>
            </w:pPr>
            <w:r>
              <w:rPr>
                <w:sz w:val="20"/>
                <w:szCs w:val="20"/>
                <w:lang w:val="es-ES"/>
              </w:rPr>
              <w:t>En este sentido el marco de prestación del servicio es</w:t>
            </w:r>
            <w:r w:rsidRPr="002F7A26">
              <w:rPr>
                <w:sz w:val="20"/>
                <w:szCs w:val="20"/>
                <w:lang w:val="es-ES"/>
              </w:rPr>
              <w:t xml:space="preserve"> claro, predecible y estable</w:t>
            </w:r>
            <w:r>
              <w:rPr>
                <w:sz w:val="20"/>
                <w:szCs w:val="20"/>
                <w:lang w:val="es-ES"/>
              </w:rPr>
              <w:t>.</w:t>
            </w:r>
          </w:p>
        </w:tc>
      </w:tr>
    </w:tbl>
    <w:p w14:paraId="66097B89" w14:textId="77777777" w:rsidR="00F42871" w:rsidRPr="00A70846" w:rsidRDefault="00F42871">
      <w:pPr>
        <w:rPr>
          <w:lang w:val="es-UY"/>
        </w:rPr>
      </w:pPr>
      <w:r w:rsidRPr="00A70846">
        <w:rPr>
          <w:lang w:val="es-UY"/>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7"/>
        <w:gridCol w:w="3258"/>
        <w:gridCol w:w="4045"/>
      </w:tblGrid>
      <w:tr w:rsidR="000F1306" w:rsidRPr="00E547B0" w14:paraId="6F29287E" w14:textId="77777777" w:rsidTr="00081F5A">
        <w:trPr>
          <w:jc w:val="center"/>
        </w:trPr>
        <w:tc>
          <w:tcPr>
            <w:tcW w:w="2047" w:type="dxa"/>
            <w:shd w:val="clear" w:color="auto" w:fill="auto"/>
          </w:tcPr>
          <w:p w14:paraId="5C56CC21" w14:textId="7BD2EE36" w:rsidR="000F1306" w:rsidRPr="002F7A26" w:rsidRDefault="000F1306" w:rsidP="000F1306">
            <w:pPr>
              <w:ind w:left="330" w:hanging="150"/>
              <w:rPr>
                <w:i/>
                <w:sz w:val="20"/>
                <w:szCs w:val="20"/>
                <w:lang w:val="es-ES"/>
              </w:rPr>
            </w:pPr>
            <w:r w:rsidRPr="002F7A26">
              <w:rPr>
                <w:b/>
                <w:bCs/>
                <w:i/>
                <w:sz w:val="20"/>
                <w:szCs w:val="20"/>
                <w:lang w:val="es-ES"/>
              </w:rPr>
              <w:lastRenderedPageBreak/>
              <w:t>E.</w:t>
            </w:r>
            <w:r w:rsidRPr="002F7A26">
              <w:rPr>
                <w:i/>
                <w:sz w:val="20"/>
                <w:szCs w:val="20"/>
                <w:lang w:val="es-ES"/>
              </w:rPr>
              <w:t xml:space="preserve"> </w:t>
            </w:r>
            <w:r w:rsidRPr="002F7A26">
              <w:rPr>
                <w:b/>
                <w:bCs/>
                <w:i/>
                <w:sz w:val="20"/>
                <w:szCs w:val="20"/>
                <w:lang w:val="es-ES"/>
              </w:rPr>
              <w:t>El rol de la regulación económica para incentivar la eficiencia, la inversión y proteger los derechos de los usuarios</w:t>
            </w:r>
          </w:p>
        </w:tc>
        <w:tc>
          <w:tcPr>
            <w:tcW w:w="3258" w:type="dxa"/>
            <w:shd w:val="clear" w:color="auto" w:fill="auto"/>
          </w:tcPr>
          <w:p w14:paraId="08E20534" w14:textId="77777777" w:rsidR="000F1306" w:rsidRPr="002F7A26" w:rsidRDefault="000F1306" w:rsidP="0072329C">
            <w:pPr>
              <w:jc w:val="both"/>
              <w:rPr>
                <w:sz w:val="20"/>
                <w:szCs w:val="20"/>
                <w:lang w:val="es-ES"/>
              </w:rPr>
            </w:pPr>
            <w:r w:rsidRPr="002F7A26">
              <w:rPr>
                <w:bCs/>
                <w:sz w:val="20"/>
                <w:szCs w:val="20"/>
                <w:lang w:val="es-ES"/>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4045" w:type="dxa"/>
            <w:shd w:val="clear" w:color="auto" w:fill="auto"/>
          </w:tcPr>
          <w:p w14:paraId="61EE4EFD" w14:textId="26050795" w:rsidR="004531FC" w:rsidRDefault="004531FC" w:rsidP="004531FC">
            <w:pPr>
              <w:jc w:val="both"/>
              <w:rPr>
                <w:sz w:val="20"/>
                <w:szCs w:val="20"/>
                <w:lang w:val="es-ES"/>
              </w:rPr>
            </w:pPr>
            <w:r>
              <w:rPr>
                <w:sz w:val="20"/>
                <w:szCs w:val="20"/>
                <w:lang w:val="es-ES"/>
              </w:rPr>
              <w:t xml:space="preserve">Para la </w:t>
            </w:r>
            <w:r w:rsidR="009D781F">
              <w:rPr>
                <w:sz w:val="20"/>
                <w:szCs w:val="20"/>
                <w:lang w:val="es-ES"/>
              </w:rPr>
              <w:t>prestación de los distintos servicios se aplica</w:t>
            </w:r>
            <w:r>
              <w:rPr>
                <w:sz w:val="20"/>
                <w:szCs w:val="20"/>
                <w:lang w:val="es-ES"/>
              </w:rPr>
              <w:t xml:space="preserve"> e</w:t>
            </w:r>
            <w:r w:rsidRPr="002F7A26">
              <w:rPr>
                <w:sz w:val="20"/>
                <w:szCs w:val="20"/>
                <w:lang w:val="es-ES"/>
              </w:rPr>
              <w:t>l Marco Regulatorio</w:t>
            </w:r>
            <w:r>
              <w:rPr>
                <w:sz w:val="20"/>
                <w:szCs w:val="20"/>
                <w:lang w:val="es-ES"/>
              </w:rPr>
              <w:t xml:space="preserve"> </w:t>
            </w:r>
            <w:r w:rsidR="009D781F">
              <w:rPr>
                <w:sz w:val="20"/>
                <w:szCs w:val="20"/>
                <w:lang w:val="es-ES"/>
              </w:rPr>
              <w:t>vigente a nivel país</w:t>
            </w:r>
            <w:r>
              <w:rPr>
                <w:sz w:val="20"/>
                <w:szCs w:val="20"/>
                <w:lang w:val="es-ES"/>
              </w:rPr>
              <w:t>.</w:t>
            </w:r>
          </w:p>
          <w:p w14:paraId="2A00A62A" w14:textId="10A9AF4B" w:rsidR="00B808D2" w:rsidRDefault="00B808D2" w:rsidP="004531FC">
            <w:pPr>
              <w:jc w:val="both"/>
              <w:rPr>
                <w:sz w:val="20"/>
                <w:szCs w:val="20"/>
                <w:lang w:val="es-ES"/>
              </w:rPr>
            </w:pPr>
          </w:p>
          <w:p w14:paraId="2DF704CA" w14:textId="109E24CA" w:rsidR="00B808D2" w:rsidRDefault="005F7189" w:rsidP="004531FC">
            <w:pPr>
              <w:jc w:val="both"/>
              <w:rPr>
                <w:sz w:val="20"/>
                <w:szCs w:val="20"/>
                <w:lang w:val="es-ES"/>
              </w:rPr>
            </w:pPr>
            <w:r>
              <w:rPr>
                <w:sz w:val="20"/>
                <w:szCs w:val="20"/>
                <w:lang w:val="es-ES"/>
              </w:rPr>
              <w:t xml:space="preserve">Cabe destacar que Uruguay reconoce en </w:t>
            </w:r>
            <w:r w:rsidR="009D3009">
              <w:rPr>
                <w:sz w:val="20"/>
                <w:szCs w:val="20"/>
                <w:lang w:val="es-ES"/>
              </w:rPr>
              <w:t>e</w:t>
            </w:r>
            <w:r>
              <w:rPr>
                <w:sz w:val="20"/>
                <w:szCs w:val="20"/>
                <w:lang w:val="es-ES"/>
              </w:rPr>
              <w:t>l artículo 47 de su constitución, que e</w:t>
            </w:r>
            <w:r w:rsidRPr="005F7189">
              <w:rPr>
                <w:sz w:val="20"/>
                <w:szCs w:val="20"/>
                <w:lang w:val="es-ES"/>
              </w:rPr>
              <w:t>l acceso al agua potable y el acceso al saneamiento constituyen derechos humanos fundamentales.</w:t>
            </w:r>
          </w:p>
          <w:p w14:paraId="0B80DB59" w14:textId="77777777" w:rsidR="005F7189" w:rsidRPr="005F7189" w:rsidRDefault="005F7189" w:rsidP="004531FC">
            <w:pPr>
              <w:jc w:val="both"/>
              <w:rPr>
                <w:sz w:val="20"/>
                <w:szCs w:val="20"/>
                <w:lang w:val="es-ES"/>
              </w:rPr>
            </w:pPr>
          </w:p>
          <w:p w14:paraId="3F6DB798" w14:textId="1147F5B4" w:rsidR="000F1306" w:rsidRPr="002F7A26" w:rsidRDefault="009D781F" w:rsidP="009D781F">
            <w:pPr>
              <w:jc w:val="both"/>
              <w:rPr>
                <w:sz w:val="20"/>
                <w:szCs w:val="20"/>
                <w:lang w:val="es-ES"/>
              </w:rPr>
            </w:pPr>
            <w:r>
              <w:rPr>
                <w:sz w:val="20"/>
                <w:szCs w:val="20"/>
                <w:lang w:val="es-ES"/>
              </w:rPr>
              <w:t>La</w:t>
            </w:r>
            <w:r w:rsidRPr="009D781F">
              <w:rPr>
                <w:sz w:val="20"/>
                <w:szCs w:val="20"/>
                <w:lang w:val="es-ES"/>
              </w:rPr>
              <w:t xml:space="preserve"> URSEA es una institución estatal, creada con el fin de defender a los usuarios, y contribuir al desarrollo del país, a través de la regulación, fiscalización y asesoramiento en los sectores de energía, combustible y agua.</w:t>
            </w:r>
            <w:r>
              <w:rPr>
                <w:sz w:val="20"/>
                <w:szCs w:val="20"/>
                <w:lang w:val="es-ES"/>
              </w:rPr>
              <w:t xml:space="preserve"> </w:t>
            </w:r>
          </w:p>
        </w:tc>
      </w:tr>
      <w:tr w:rsidR="000F1306" w:rsidRPr="002F7A26" w14:paraId="28D9E733" w14:textId="77777777" w:rsidTr="00081F5A">
        <w:trPr>
          <w:jc w:val="center"/>
        </w:trPr>
        <w:tc>
          <w:tcPr>
            <w:tcW w:w="2047" w:type="dxa"/>
            <w:shd w:val="clear" w:color="auto" w:fill="auto"/>
          </w:tcPr>
          <w:p w14:paraId="190367A8" w14:textId="77777777" w:rsidR="000F1306" w:rsidRPr="002F7A26" w:rsidRDefault="000F1306" w:rsidP="000F1306">
            <w:pPr>
              <w:ind w:left="330" w:hanging="150"/>
              <w:rPr>
                <w:b/>
                <w:i/>
                <w:sz w:val="20"/>
                <w:szCs w:val="20"/>
                <w:lang w:val="es-ES"/>
              </w:rPr>
            </w:pPr>
            <w:r w:rsidRPr="002F7A26">
              <w:rPr>
                <w:b/>
                <w:i/>
                <w:sz w:val="20"/>
                <w:szCs w:val="20"/>
                <w:lang w:val="es-ES"/>
              </w:rPr>
              <w:t xml:space="preserve">F. Generar condiciones adecuadas para que la participación privada sea una opción viable para la provisión de servicios públicos </w:t>
            </w:r>
            <w:r w:rsidRPr="002F7A26">
              <w:rPr>
                <w:b/>
                <w:bCs/>
                <w:i/>
                <w:sz w:val="20"/>
                <w:szCs w:val="20"/>
                <w:lang w:val="es-ES"/>
              </w:rPr>
              <w:t>domiciliarios</w:t>
            </w:r>
          </w:p>
        </w:tc>
        <w:tc>
          <w:tcPr>
            <w:tcW w:w="3258" w:type="dxa"/>
            <w:shd w:val="clear" w:color="auto" w:fill="auto"/>
          </w:tcPr>
          <w:p w14:paraId="32AC5181" w14:textId="77777777" w:rsidR="000F1306" w:rsidRPr="002F7A26" w:rsidRDefault="000F1306" w:rsidP="000F1306">
            <w:pPr>
              <w:rPr>
                <w:sz w:val="20"/>
                <w:szCs w:val="20"/>
                <w:lang w:val="es-ES"/>
              </w:rPr>
            </w:pPr>
            <w:r w:rsidRPr="002F7A26">
              <w:rPr>
                <w:sz w:val="20"/>
                <w:szCs w:val="20"/>
                <w:lang w:val="es-ES"/>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w:t>
            </w:r>
            <w:r w:rsidRPr="002F7A26">
              <w:rPr>
                <w:sz w:val="20"/>
                <w:szCs w:val="20"/>
                <w:lang w:val="es-ES"/>
              </w:rPr>
              <w:lastRenderedPageBreak/>
              <w:t xml:space="preserve">clave para cerrar las brechas en la cantidad y calidad de los servicios domiciliarios en la región. </w:t>
            </w:r>
          </w:p>
        </w:tc>
        <w:tc>
          <w:tcPr>
            <w:tcW w:w="4045" w:type="dxa"/>
            <w:shd w:val="clear" w:color="auto" w:fill="auto"/>
          </w:tcPr>
          <w:p w14:paraId="17BF818E" w14:textId="77777777" w:rsidR="000F1306" w:rsidRPr="002F7A26" w:rsidRDefault="007A428A" w:rsidP="000F1306">
            <w:pPr>
              <w:jc w:val="both"/>
              <w:rPr>
                <w:sz w:val="20"/>
                <w:szCs w:val="20"/>
                <w:lang w:val="es-ES"/>
              </w:rPr>
            </w:pPr>
            <w:r w:rsidRPr="002F7A26">
              <w:rPr>
                <w:sz w:val="20"/>
                <w:szCs w:val="20"/>
                <w:lang w:val="es-ES"/>
              </w:rPr>
              <w:lastRenderedPageBreak/>
              <w:t>No aplica.</w:t>
            </w:r>
          </w:p>
        </w:tc>
      </w:tr>
      <w:tr w:rsidR="000F1306" w:rsidRPr="00CA58EC" w14:paraId="28E5AC86" w14:textId="77777777" w:rsidTr="00081F5A">
        <w:trPr>
          <w:jc w:val="center"/>
        </w:trPr>
        <w:tc>
          <w:tcPr>
            <w:tcW w:w="2047" w:type="dxa"/>
            <w:shd w:val="clear" w:color="auto" w:fill="auto"/>
          </w:tcPr>
          <w:p w14:paraId="4A87555C" w14:textId="77777777" w:rsidR="000F1306" w:rsidRPr="002F7A26" w:rsidRDefault="000F1306" w:rsidP="000F1306">
            <w:pPr>
              <w:ind w:left="330" w:hanging="150"/>
              <w:rPr>
                <w:b/>
                <w:i/>
                <w:sz w:val="20"/>
                <w:szCs w:val="20"/>
                <w:lang w:val="es-ES"/>
              </w:rPr>
            </w:pPr>
            <w:r w:rsidRPr="002F7A26">
              <w:rPr>
                <w:b/>
                <w:i/>
                <w:sz w:val="20"/>
                <w:szCs w:val="20"/>
                <w:lang w:val="es-ES"/>
              </w:rPr>
              <w:t xml:space="preserve">G. </w:t>
            </w:r>
            <w:r w:rsidRPr="002F7A26">
              <w:rPr>
                <w:b/>
                <w:bCs/>
                <w:i/>
                <w:sz w:val="20"/>
                <w:szCs w:val="20"/>
                <w:lang w:val="es-ES"/>
              </w:rPr>
              <w:t>Fortalecer</w:t>
            </w:r>
            <w:r w:rsidRPr="002F7A26">
              <w:rPr>
                <w:b/>
                <w:i/>
                <w:sz w:val="20"/>
                <w:szCs w:val="20"/>
                <w:lang w:val="es-ES"/>
              </w:rPr>
              <w:t xml:space="preserve"> la gestión de la infraestructura utilizada para la prestación de los servicios públicos domiciliarios.</w:t>
            </w:r>
          </w:p>
        </w:tc>
        <w:tc>
          <w:tcPr>
            <w:tcW w:w="3258" w:type="dxa"/>
            <w:shd w:val="clear" w:color="auto" w:fill="auto"/>
          </w:tcPr>
          <w:p w14:paraId="44E28F5A" w14:textId="77777777" w:rsidR="000F1306" w:rsidRPr="002F7A26" w:rsidRDefault="000F1306" w:rsidP="000F1306">
            <w:pPr>
              <w:rPr>
                <w:sz w:val="20"/>
                <w:szCs w:val="20"/>
                <w:lang w:val="es-ES"/>
              </w:rPr>
            </w:pPr>
            <w:r w:rsidRPr="002F7A26">
              <w:rPr>
                <w:sz w:val="20"/>
                <w:szCs w:val="20"/>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4045" w:type="dxa"/>
            <w:shd w:val="clear" w:color="auto" w:fill="auto"/>
          </w:tcPr>
          <w:p w14:paraId="4755C102" w14:textId="19228202" w:rsidR="002F75BA" w:rsidRDefault="005F7189" w:rsidP="0072329C">
            <w:pPr>
              <w:jc w:val="both"/>
              <w:rPr>
                <w:sz w:val="20"/>
                <w:szCs w:val="20"/>
                <w:lang w:val="es-ES"/>
              </w:rPr>
            </w:pPr>
            <w:r>
              <w:rPr>
                <w:sz w:val="20"/>
                <w:szCs w:val="20"/>
                <w:lang w:val="es-ES"/>
              </w:rPr>
              <w:t>La</w:t>
            </w:r>
            <w:r w:rsidR="00081F5A">
              <w:rPr>
                <w:sz w:val="20"/>
                <w:szCs w:val="20"/>
                <w:lang w:val="es-ES"/>
              </w:rPr>
              <w:t xml:space="preserve"> prestación de los servicios vigente está </w:t>
            </w:r>
            <w:r>
              <w:rPr>
                <w:sz w:val="20"/>
                <w:szCs w:val="20"/>
                <w:lang w:val="es-ES"/>
              </w:rPr>
              <w:t>definida</w:t>
            </w:r>
            <w:r w:rsidR="00081F5A">
              <w:rPr>
                <w:sz w:val="20"/>
                <w:szCs w:val="20"/>
                <w:lang w:val="es-ES"/>
              </w:rPr>
              <w:t xml:space="preserve"> en </w:t>
            </w:r>
            <w:r w:rsidR="0072329C">
              <w:rPr>
                <w:sz w:val="20"/>
                <w:szCs w:val="20"/>
                <w:lang w:val="es-ES"/>
              </w:rPr>
              <w:t xml:space="preserve">el marco regulatorio vigente a nivel nacional. </w:t>
            </w:r>
          </w:p>
          <w:p w14:paraId="69E25FDF" w14:textId="77777777" w:rsidR="0072329C" w:rsidRDefault="0072329C" w:rsidP="0072329C">
            <w:pPr>
              <w:jc w:val="both"/>
              <w:rPr>
                <w:sz w:val="20"/>
                <w:szCs w:val="20"/>
                <w:lang w:val="es-ES"/>
              </w:rPr>
            </w:pPr>
          </w:p>
          <w:p w14:paraId="54714164" w14:textId="24602611" w:rsidR="00DD6648" w:rsidRDefault="005F7189" w:rsidP="00DD6648">
            <w:pPr>
              <w:jc w:val="both"/>
              <w:rPr>
                <w:sz w:val="20"/>
                <w:szCs w:val="20"/>
                <w:lang w:val="es-ES"/>
              </w:rPr>
            </w:pPr>
            <w:r>
              <w:rPr>
                <w:sz w:val="20"/>
                <w:szCs w:val="20"/>
                <w:lang w:val="es-ES"/>
              </w:rPr>
              <w:t>De acuerdo con</w:t>
            </w:r>
            <w:r w:rsidR="00DD6648">
              <w:rPr>
                <w:sz w:val="20"/>
                <w:szCs w:val="20"/>
                <w:lang w:val="es-ES"/>
              </w:rPr>
              <w:t xml:space="preserve"> lo mencionado anteriormente, s</w:t>
            </w:r>
            <w:r w:rsidR="00DD6648" w:rsidRPr="00C164D6">
              <w:rPr>
                <w:sz w:val="20"/>
                <w:szCs w:val="20"/>
                <w:lang w:val="es-ES"/>
              </w:rPr>
              <w:t>e incluyen en los TDR de las firmas consultoras que forman parte del diseño y seguimiento de la ejecución la implementación de un programa de capacitación a toda la población en materia de uso responsable de los servicios, pago de servicios, etc.</w:t>
            </w:r>
            <w:r w:rsidR="00DD6648">
              <w:rPr>
                <w:sz w:val="20"/>
                <w:szCs w:val="20"/>
                <w:lang w:val="es-ES"/>
              </w:rPr>
              <w:t xml:space="preserve"> En particular en la etapa de anteproyecto, en lo que respecta a la dimensión social, se prevé el trabajo con la población en las siguientes dimensiones:</w:t>
            </w:r>
          </w:p>
          <w:p w14:paraId="17E67B0A" w14:textId="77777777" w:rsidR="00DD6648" w:rsidRPr="00C164D6" w:rsidRDefault="00DD6648" w:rsidP="00DD6648">
            <w:pPr>
              <w:jc w:val="both"/>
              <w:rPr>
                <w:sz w:val="20"/>
                <w:szCs w:val="20"/>
                <w:lang w:val="es-ES"/>
              </w:rPr>
            </w:pPr>
            <w:r w:rsidRPr="00C164D6">
              <w:rPr>
                <w:sz w:val="20"/>
                <w:szCs w:val="20"/>
                <w:lang w:val="es-ES"/>
              </w:rPr>
              <w:t>organización barrial.</w:t>
            </w:r>
          </w:p>
          <w:p w14:paraId="000ADCB8" w14:textId="77777777" w:rsidR="00DD6648" w:rsidRPr="00C164D6" w:rsidRDefault="00DD6648" w:rsidP="00DD6648">
            <w:pPr>
              <w:jc w:val="both"/>
              <w:rPr>
                <w:sz w:val="20"/>
                <w:szCs w:val="20"/>
                <w:lang w:val="es-ES"/>
              </w:rPr>
            </w:pPr>
            <w:r w:rsidRPr="00C164D6">
              <w:rPr>
                <w:sz w:val="20"/>
                <w:szCs w:val="20"/>
                <w:lang w:val="es-ES"/>
              </w:rPr>
              <w:t>· capacitación en gestión colectiva.</w:t>
            </w:r>
          </w:p>
          <w:p w14:paraId="3BC22728" w14:textId="77777777" w:rsidR="00DD6648" w:rsidRPr="00C164D6" w:rsidRDefault="00DD6648" w:rsidP="00DD6648">
            <w:pPr>
              <w:jc w:val="both"/>
              <w:rPr>
                <w:sz w:val="20"/>
                <w:szCs w:val="20"/>
                <w:lang w:val="es-ES"/>
              </w:rPr>
            </w:pPr>
            <w:r w:rsidRPr="00C164D6">
              <w:rPr>
                <w:sz w:val="20"/>
                <w:szCs w:val="20"/>
                <w:lang w:val="es-ES"/>
              </w:rPr>
              <w:t>· integración, Inter. e intra barrial.</w:t>
            </w:r>
          </w:p>
          <w:p w14:paraId="2264F8BC" w14:textId="77777777" w:rsidR="00DD6648" w:rsidRPr="00C164D6" w:rsidRDefault="00DD6648" w:rsidP="00DD6648">
            <w:pPr>
              <w:jc w:val="both"/>
              <w:rPr>
                <w:sz w:val="20"/>
                <w:szCs w:val="20"/>
                <w:lang w:val="es-ES"/>
              </w:rPr>
            </w:pPr>
            <w:r w:rsidRPr="00C164D6">
              <w:rPr>
                <w:sz w:val="20"/>
                <w:szCs w:val="20"/>
                <w:lang w:val="es-ES"/>
              </w:rPr>
              <w:t>· trabajo en red, a nivel local y/o zonal.</w:t>
            </w:r>
          </w:p>
          <w:p w14:paraId="16A70530" w14:textId="77777777" w:rsidR="00DD6648" w:rsidRPr="00C164D6" w:rsidRDefault="00DD6648" w:rsidP="00DD6648">
            <w:pPr>
              <w:jc w:val="both"/>
              <w:rPr>
                <w:sz w:val="20"/>
                <w:szCs w:val="20"/>
                <w:lang w:val="es-ES"/>
              </w:rPr>
            </w:pPr>
            <w:r w:rsidRPr="00C164D6">
              <w:rPr>
                <w:sz w:val="20"/>
                <w:szCs w:val="20"/>
                <w:lang w:val="es-ES"/>
              </w:rPr>
              <w:t>· comunicación barrial.</w:t>
            </w:r>
          </w:p>
          <w:p w14:paraId="207EC174" w14:textId="04271C49" w:rsidR="00DD6648" w:rsidRPr="00C164D6" w:rsidRDefault="00DD6648" w:rsidP="00DD6648">
            <w:pPr>
              <w:jc w:val="both"/>
              <w:rPr>
                <w:sz w:val="20"/>
                <w:szCs w:val="20"/>
                <w:lang w:val="es-ES"/>
              </w:rPr>
            </w:pPr>
            <w:r w:rsidRPr="00C164D6">
              <w:rPr>
                <w:sz w:val="20"/>
                <w:szCs w:val="20"/>
                <w:lang w:val="es-ES"/>
              </w:rPr>
              <w:t xml:space="preserve">· salud y </w:t>
            </w:r>
            <w:r w:rsidR="009D3009" w:rsidRPr="00C164D6">
              <w:rPr>
                <w:sz w:val="20"/>
                <w:szCs w:val="20"/>
                <w:lang w:val="es-ES"/>
              </w:rPr>
              <w:t>medioambiente</w:t>
            </w:r>
            <w:r w:rsidRPr="00C164D6">
              <w:rPr>
                <w:sz w:val="20"/>
                <w:szCs w:val="20"/>
                <w:lang w:val="es-ES"/>
              </w:rPr>
              <w:t xml:space="preserve"> /mejoramiento del hábitat</w:t>
            </w:r>
          </w:p>
          <w:p w14:paraId="39D04FC4" w14:textId="77777777" w:rsidR="00DD6648" w:rsidRPr="00C164D6" w:rsidRDefault="00DD6648" w:rsidP="00DD6648">
            <w:pPr>
              <w:jc w:val="both"/>
              <w:rPr>
                <w:sz w:val="20"/>
                <w:szCs w:val="20"/>
                <w:lang w:val="es-ES"/>
              </w:rPr>
            </w:pPr>
            <w:r w:rsidRPr="00C164D6">
              <w:rPr>
                <w:sz w:val="20"/>
                <w:szCs w:val="20"/>
                <w:lang w:val="es-ES"/>
              </w:rPr>
              <w:t>· realojos y SSHH</w:t>
            </w:r>
          </w:p>
          <w:p w14:paraId="0790D6C4" w14:textId="77777777" w:rsidR="00DD6648" w:rsidRPr="00C164D6" w:rsidRDefault="00DD6648" w:rsidP="00DD6648">
            <w:pPr>
              <w:jc w:val="both"/>
              <w:rPr>
                <w:sz w:val="20"/>
                <w:szCs w:val="20"/>
                <w:lang w:val="es-ES"/>
              </w:rPr>
            </w:pPr>
            <w:r w:rsidRPr="00C164D6">
              <w:rPr>
                <w:sz w:val="20"/>
                <w:szCs w:val="20"/>
                <w:lang w:val="es-ES"/>
              </w:rPr>
              <w:t>· prevención de ocupaciones.</w:t>
            </w:r>
          </w:p>
          <w:p w14:paraId="5A8BD865" w14:textId="77777777" w:rsidR="00DD6648" w:rsidRDefault="00DD6648" w:rsidP="00DD6648">
            <w:pPr>
              <w:jc w:val="both"/>
              <w:rPr>
                <w:sz w:val="20"/>
                <w:szCs w:val="20"/>
                <w:lang w:val="es-ES"/>
              </w:rPr>
            </w:pPr>
            <w:r w:rsidRPr="00C164D6">
              <w:rPr>
                <w:sz w:val="20"/>
                <w:szCs w:val="20"/>
                <w:lang w:val="es-ES"/>
              </w:rPr>
              <w:t>· uso y funcionamiento de las infraestructuras construidas.</w:t>
            </w:r>
          </w:p>
          <w:p w14:paraId="059F457B" w14:textId="77777777" w:rsidR="00DD6648" w:rsidRDefault="00DD6648" w:rsidP="00DD6648">
            <w:pPr>
              <w:jc w:val="both"/>
              <w:rPr>
                <w:sz w:val="20"/>
                <w:szCs w:val="20"/>
                <w:lang w:val="es-ES"/>
              </w:rPr>
            </w:pPr>
          </w:p>
          <w:p w14:paraId="1CD2763B" w14:textId="64492155" w:rsidR="00DD6648" w:rsidRDefault="00DD6648" w:rsidP="00DD6648">
            <w:pPr>
              <w:jc w:val="both"/>
              <w:rPr>
                <w:sz w:val="20"/>
                <w:szCs w:val="20"/>
                <w:lang w:val="es-ES"/>
              </w:rPr>
            </w:pPr>
            <w:r>
              <w:rPr>
                <w:sz w:val="20"/>
                <w:szCs w:val="20"/>
                <w:lang w:val="es-ES"/>
              </w:rPr>
              <w:t>En lo que respecta a este último punto, se prevé el a</w:t>
            </w:r>
            <w:r w:rsidRPr="00C164D6">
              <w:rPr>
                <w:sz w:val="20"/>
                <w:szCs w:val="20"/>
                <w:lang w:val="es-ES"/>
              </w:rPr>
              <w:t xml:space="preserve">compañamiento técnico y asesoramiento a </w:t>
            </w:r>
            <w:r>
              <w:rPr>
                <w:sz w:val="20"/>
                <w:szCs w:val="20"/>
                <w:lang w:val="es-ES"/>
              </w:rPr>
              <w:t>la población</w:t>
            </w:r>
            <w:r w:rsidRPr="00C164D6">
              <w:rPr>
                <w:sz w:val="20"/>
                <w:szCs w:val="20"/>
                <w:lang w:val="es-ES"/>
              </w:rPr>
              <w:t xml:space="preserve"> en la obtención de</w:t>
            </w:r>
            <w:r>
              <w:rPr>
                <w:sz w:val="20"/>
                <w:szCs w:val="20"/>
                <w:lang w:val="es-ES"/>
              </w:rPr>
              <w:t xml:space="preserve"> </w:t>
            </w:r>
            <w:r w:rsidRPr="00C164D6">
              <w:rPr>
                <w:sz w:val="20"/>
                <w:szCs w:val="20"/>
                <w:lang w:val="es-ES"/>
              </w:rPr>
              <w:t>servicios y responsabilidades (pago de luz, agua, tributos, etc.), cuidado y conservación de lo</w:t>
            </w:r>
            <w:r>
              <w:rPr>
                <w:sz w:val="20"/>
                <w:szCs w:val="20"/>
                <w:lang w:val="es-ES"/>
              </w:rPr>
              <w:t xml:space="preserve"> </w:t>
            </w:r>
            <w:r w:rsidRPr="00C164D6">
              <w:rPr>
                <w:sz w:val="20"/>
                <w:szCs w:val="20"/>
                <w:lang w:val="es-ES"/>
              </w:rPr>
              <w:t>construido.</w:t>
            </w:r>
          </w:p>
          <w:p w14:paraId="5EABEF0D" w14:textId="77777777" w:rsidR="000F1306" w:rsidRDefault="000F1306" w:rsidP="001F465C">
            <w:pPr>
              <w:jc w:val="both"/>
              <w:rPr>
                <w:sz w:val="20"/>
                <w:szCs w:val="20"/>
                <w:highlight w:val="yellow"/>
                <w:lang w:val="es-ES"/>
              </w:rPr>
            </w:pPr>
          </w:p>
          <w:p w14:paraId="343679A6" w14:textId="017ACA34" w:rsidR="00DD6648" w:rsidRPr="002F7A26" w:rsidRDefault="00DD6648" w:rsidP="001F465C">
            <w:pPr>
              <w:jc w:val="both"/>
              <w:rPr>
                <w:sz w:val="20"/>
                <w:szCs w:val="20"/>
                <w:lang w:val="es-ES_tradnl"/>
              </w:rPr>
            </w:pPr>
          </w:p>
        </w:tc>
      </w:tr>
      <w:tr w:rsidR="000F1306" w:rsidRPr="00CA58EC" w14:paraId="6EF1ED86" w14:textId="77777777" w:rsidTr="00081F5A">
        <w:trPr>
          <w:jc w:val="center"/>
        </w:trPr>
        <w:tc>
          <w:tcPr>
            <w:tcW w:w="2047" w:type="dxa"/>
            <w:shd w:val="clear" w:color="auto" w:fill="auto"/>
          </w:tcPr>
          <w:p w14:paraId="0E1854A5" w14:textId="77777777" w:rsidR="000F1306" w:rsidRPr="002F7A26" w:rsidRDefault="000F1306" w:rsidP="000F1306">
            <w:pPr>
              <w:rPr>
                <w:sz w:val="20"/>
                <w:szCs w:val="20"/>
                <w:lang w:val="es-ES"/>
              </w:rPr>
            </w:pPr>
            <w:r w:rsidRPr="002F7A26">
              <w:rPr>
                <w:b/>
                <w:sz w:val="20"/>
                <w:szCs w:val="20"/>
                <w:lang w:val="es-ES"/>
              </w:rPr>
              <w:t>3. Promover la innovación para fomentar la eficiencia, el acceso y la sostenibilidad ambiental</w:t>
            </w:r>
          </w:p>
        </w:tc>
        <w:tc>
          <w:tcPr>
            <w:tcW w:w="3258" w:type="dxa"/>
            <w:shd w:val="clear" w:color="auto" w:fill="auto"/>
          </w:tcPr>
          <w:p w14:paraId="5673E7C0" w14:textId="77777777" w:rsidR="000F1306" w:rsidRPr="002F7A26" w:rsidRDefault="000F1306" w:rsidP="000F1306">
            <w:pPr>
              <w:rPr>
                <w:sz w:val="20"/>
                <w:szCs w:val="20"/>
                <w:lang w:val="es-ES"/>
              </w:rPr>
            </w:pPr>
            <w:r w:rsidRPr="002F7A26">
              <w:rPr>
                <w:sz w:val="20"/>
                <w:szCs w:val="20"/>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4045" w:type="dxa"/>
            <w:shd w:val="clear" w:color="auto" w:fill="auto"/>
          </w:tcPr>
          <w:p w14:paraId="3220DC9A" w14:textId="35B0938C" w:rsidR="009D781F" w:rsidRDefault="009D781F" w:rsidP="009D781F">
            <w:pPr>
              <w:jc w:val="both"/>
              <w:rPr>
                <w:sz w:val="20"/>
                <w:szCs w:val="20"/>
                <w:lang w:val="es-ES"/>
              </w:rPr>
            </w:pPr>
            <w:r>
              <w:rPr>
                <w:sz w:val="20"/>
                <w:szCs w:val="20"/>
                <w:lang w:val="es-ES"/>
              </w:rPr>
              <w:t xml:space="preserve">En los proyectos de servicios de abastecimiento </w:t>
            </w:r>
            <w:r w:rsidR="005F7189">
              <w:rPr>
                <w:sz w:val="20"/>
                <w:szCs w:val="20"/>
                <w:lang w:val="es-ES"/>
              </w:rPr>
              <w:t xml:space="preserve">de agua, </w:t>
            </w:r>
            <w:r>
              <w:rPr>
                <w:sz w:val="20"/>
                <w:szCs w:val="20"/>
                <w:lang w:val="es-ES"/>
              </w:rPr>
              <w:t>saneamiento</w:t>
            </w:r>
            <w:r w:rsidR="005F7189">
              <w:rPr>
                <w:sz w:val="20"/>
                <w:szCs w:val="20"/>
                <w:lang w:val="es-ES"/>
              </w:rPr>
              <w:t xml:space="preserve">, </w:t>
            </w:r>
            <w:r>
              <w:rPr>
                <w:sz w:val="20"/>
                <w:szCs w:val="20"/>
                <w:lang w:val="es-ES"/>
              </w:rPr>
              <w:t>drenaje</w:t>
            </w:r>
            <w:r w:rsidR="005F7189">
              <w:rPr>
                <w:sz w:val="20"/>
                <w:szCs w:val="20"/>
                <w:lang w:val="es-ES"/>
              </w:rPr>
              <w:t xml:space="preserve"> y abastecimiento de energía</w:t>
            </w:r>
            <w:r>
              <w:rPr>
                <w:sz w:val="20"/>
                <w:szCs w:val="20"/>
                <w:lang w:val="es-ES"/>
              </w:rPr>
              <w:t xml:space="preserve">, se prevé la </w:t>
            </w:r>
            <w:r w:rsidRPr="002F7A26">
              <w:rPr>
                <w:sz w:val="20"/>
                <w:szCs w:val="20"/>
                <w:lang w:val="es-ES"/>
              </w:rPr>
              <w:t>realiza</w:t>
            </w:r>
            <w:r>
              <w:rPr>
                <w:sz w:val="20"/>
                <w:szCs w:val="20"/>
                <w:lang w:val="es-ES"/>
              </w:rPr>
              <w:t>ción de</w:t>
            </w:r>
            <w:r w:rsidRPr="002F7A26">
              <w:rPr>
                <w:sz w:val="20"/>
                <w:szCs w:val="20"/>
                <w:lang w:val="es-ES"/>
              </w:rPr>
              <w:t xml:space="preserve"> análisis de alternativas que permit</w:t>
            </w:r>
            <w:r>
              <w:rPr>
                <w:sz w:val="20"/>
                <w:szCs w:val="20"/>
                <w:lang w:val="es-ES"/>
              </w:rPr>
              <w:t>a</w:t>
            </w:r>
            <w:r w:rsidRPr="002F7A26">
              <w:rPr>
                <w:sz w:val="20"/>
                <w:szCs w:val="20"/>
                <w:lang w:val="es-ES"/>
              </w:rPr>
              <w:t xml:space="preserve"> identificar la </w:t>
            </w:r>
            <w:r>
              <w:rPr>
                <w:sz w:val="20"/>
                <w:szCs w:val="20"/>
                <w:lang w:val="es-ES"/>
              </w:rPr>
              <w:t xml:space="preserve">configuración y </w:t>
            </w:r>
            <w:r w:rsidRPr="00D6146A">
              <w:rPr>
                <w:sz w:val="20"/>
                <w:szCs w:val="20"/>
                <w:lang w:val="es-ES"/>
              </w:rPr>
              <w:t>localización</w:t>
            </w:r>
            <w:r w:rsidRPr="002F7A26">
              <w:rPr>
                <w:sz w:val="20"/>
                <w:szCs w:val="20"/>
                <w:lang w:val="es-ES"/>
              </w:rPr>
              <w:t xml:space="preserve"> </w:t>
            </w:r>
            <w:r>
              <w:rPr>
                <w:sz w:val="20"/>
                <w:szCs w:val="20"/>
                <w:lang w:val="es-ES"/>
              </w:rPr>
              <w:t>de los sistemas más eficientes. E</w:t>
            </w:r>
            <w:r w:rsidRPr="002F7A26">
              <w:rPr>
                <w:sz w:val="20"/>
                <w:szCs w:val="20"/>
                <w:lang w:val="es-ES"/>
              </w:rPr>
              <w:t>l análisis se realiz</w:t>
            </w:r>
            <w:r>
              <w:rPr>
                <w:sz w:val="20"/>
                <w:szCs w:val="20"/>
                <w:lang w:val="es-ES"/>
              </w:rPr>
              <w:t>a</w:t>
            </w:r>
            <w:r w:rsidRPr="002F7A26">
              <w:rPr>
                <w:sz w:val="20"/>
                <w:szCs w:val="20"/>
                <w:lang w:val="es-ES"/>
              </w:rPr>
              <w:t xml:space="preserve"> bajo las normas </w:t>
            </w:r>
            <w:r>
              <w:rPr>
                <w:sz w:val="20"/>
                <w:szCs w:val="20"/>
                <w:lang w:val="es-ES"/>
              </w:rPr>
              <w:t>mencionadas en el punto 2.</w:t>
            </w:r>
          </w:p>
          <w:p w14:paraId="70C92088" w14:textId="177833D9" w:rsidR="00417012" w:rsidRPr="002F7A26" w:rsidRDefault="00417012" w:rsidP="00B070BF">
            <w:pPr>
              <w:rPr>
                <w:sz w:val="20"/>
                <w:szCs w:val="20"/>
                <w:lang w:val="es-ES"/>
              </w:rPr>
            </w:pPr>
          </w:p>
        </w:tc>
      </w:tr>
    </w:tbl>
    <w:p w14:paraId="52323214" w14:textId="77777777" w:rsidR="003B02C4" w:rsidRPr="009C306A" w:rsidRDefault="003B02C4" w:rsidP="000F1306">
      <w:pPr>
        <w:rPr>
          <w:lang w:val="es-ES"/>
        </w:rPr>
      </w:pPr>
    </w:p>
    <w:sectPr w:rsidR="003B02C4" w:rsidRPr="009C306A" w:rsidSect="00C244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5F56F" w14:textId="77777777" w:rsidR="008B7E83" w:rsidRDefault="008B7E83">
      <w:r>
        <w:separator/>
      </w:r>
    </w:p>
  </w:endnote>
  <w:endnote w:type="continuationSeparator" w:id="0">
    <w:p w14:paraId="39529150" w14:textId="77777777" w:rsidR="008B7E83" w:rsidRDefault="008B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F447" w14:textId="77777777" w:rsidR="00B95524" w:rsidRDefault="00B95524">
    <w:pPr>
      <w:pStyle w:val="Footer"/>
      <w:jc w:val="right"/>
    </w:pPr>
    <w:r>
      <w:fldChar w:fldCharType="begin"/>
    </w:r>
    <w:r>
      <w:instrText xml:space="preserve"> PAGE   \* MERGEFORMAT </w:instrText>
    </w:r>
    <w:r>
      <w:fldChar w:fldCharType="separate"/>
    </w:r>
    <w:r w:rsidR="00F85FEA">
      <w:rPr>
        <w:noProof/>
      </w:rPr>
      <w:t>7</w:t>
    </w:r>
    <w:r>
      <w:rPr>
        <w:noProof/>
      </w:rPr>
      <w:fldChar w:fldCharType="end"/>
    </w:r>
  </w:p>
  <w:p w14:paraId="1C93236F" w14:textId="77777777" w:rsidR="00B95524" w:rsidRPr="00862C11" w:rsidRDefault="00B95524" w:rsidP="00B955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786DE" w14:textId="77777777" w:rsidR="008B7E83" w:rsidRDefault="008B7E83">
      <w:r>
        <w:separator/>
      </w:r>
    </w:p>
  </w:footnote>
  <w:footnote w:type="continuationSeparator" w:id="0">
    <w:p w14:paraId="51E24588" w14:textId="77777777" w:rsidR="008B7E83" w:rsidRDefault="008B7E83">
      <w:r>
        <w:continuationSeparator/>
      </w:r>
    </w:p>
  </w:footnote>
  <w:footnote w:id="1">
    <w:p w14:paraId="58286427" w14:textId="71C62BCE" w:rsidR="00957E63" w:rsidRDefault="00957E63" w:rsidP="00957E63">
      <w:pPr>
        <w:jc w:val="both"/>
        <w:rPr>
          <w:sz w:val="20"/>
          <w:szCs w:val="20"/>
          <w:lang w:val="es-ES"/>
        </w:rPr>
      </w:pPr>
      <w:r>
        <w:rPr>
          <w:rStyle w:val="FootnoteReference"/>
        </w:rPr>
        <w:footnoteRef/>
      </w:r>
      <w:r w:rsidRPr="00957E63">
        <w:rPr>
          <w:lang w:val="es-UY"/>
        </w:rPr>
        <w:t xml:space="preserve"> </w:t>
      </w:r>
      <w:r>
        <w:rPr>
          <w:sz w:val="20"/>
          <w:szCs w:val="20"/>
          <w:lang w:val="es-ES"/>
        </w:rPr>
        <w:t xml:space="preserve">Al respecto de la prestación de servicios públicos domiciliarios, cabe mencionar las potestades a nivel nacional. El servicio público de abastecimiento en todo el Uruguay y el de saneamiento en el interior del país es brindado por la empresa Obras Sanitarias del Estado (OSE). El servicio público de saneamiento en el Departamento de Montevideo es brindado por la </w:t>
      </w:r>
      <w:r w:rsidR="009D3009">
        <w:rPr>
          <w:sz w:val="20"/>
          <w:szCs w:val="20"/>
          <w:lang w:val="es-ES"/>
        </w:rPr>
        <w:t>Intendencia</w:t>
      </w:r>
      <w:r>
        <w:rPr>
          <w:sz w:val="20"/>
          <w:szCs w:val="20"/>
          <w:lang w:val="es-ES"/>
        </w:rPr>
        <w:t xml:space="preserve"> </w:t>
      </w:r>
      <w:r w:rsidR="009D3009">
        <w:rPr>
          <w:sz w:val="20"/>
          <w:szCs w:val="20"/>
          <w:lang w:val="es-ES"/>
        </w:rPr>
        <w:t>Departamental</w:t>
      </w:r>
      <w:r>
        <w:rPr>
          <w:sz w:val="20"/>
          <w:szCs w:val="20"/>
          <w:lang w:val="es-ES"/>
        </w:rPr>
        <w:t xml:space="preserve"> de Montevideo (IdM). El servicio público de abastecimiento de energía es brindado en todo el país por la UTE. </w:t>
      </w:r>
    </w:p>
    <w:p w14:paraId="209703D6" w14:textId="77777777" w:rsidR="00957E63" w:rsidRDefault="00957E63" w:rsidP="00957E63">
      <w:pPr>
        <w:jc w:val="both"/>
        <w:rPr>
          <w:sz w:val="20"/>
          <w:szCs w:val="20"/>
          <w:lang w:val="es-ES"/>
        </w:rPr>
      </w:pPr>
    </w:p>
    <w:p w14:paraId="0FDED987" w14:textId="3F2DB93E" w:rsidR="00957E63" w:rsidRPr="00957E63" w:rsidRDefault="00957E63">
      <w:pPr>
        <w:pStyle w:val="FootnoteText"/>
        <w:rPr>
          <w:lang w:val="es-ES"/>
        </w:rPr>
      </w:pPr>
    </w:p>
  </w:footnote>
  <w:footnote w:id="2">
    <w:p w14:paraId="09029EFD" w14:textId="2D82DD8C" w:rsidR="00815D1F" w:rsidRPr="00815D1F" w:rsidRDefault="00815D1F" w:rsidP="00815D1F">
      <w:pPr>
        <w:pStyle w:val="FootnoteText"/>
        <w:rPr>
          <w:lang w:val="es-UY"/>
        </w:rPr>
      </w:pPr>
      <w:r>
        <w:rPr>
          <w:rStyle w:val="FootnoteReference"/>
        </w:rPr>
        <w:footnoteRef/>
      </w:r>
      <w:r w:rsidRPr="00815D1F">
        <w:rPr>
          <w:lang w:val="es-UY"/>
        </w:rPr>
        <w:t xml:space="preserve"> </w:t>
      </w:r>
      <w:r w:rsidRPr="00815D1F">
        <w:rPr>
          <w:sz w:val="18"/>
          <w:szCs w:val="18"/>
          <w:lang w:val="es-AR"/>
        </w:rPr>
        <w:t>Programa de Mejoramiento de Barrios II (UR-L1084), evaluación económica, septiembre de 2013</w:t>
      </w:r>
      <w:r>
        <w:rPr>
          <w:sz w:val="18"/>
          <w:szCs w:val="18"/>
          <w:lang w:val="es-AR"/>
        </w:rPr>
        <w:t>.</w:t>
      </w:r>
    </w:p>
  </w:footnote>
  <w:footnote w:id="3">
    <w:p w14:paraId="71B00050" w14:textId="6E1A542C" w:rsidR="00815D1F" w:rsidRPr="00815D1F" w:rsidRDefault="00815D1F">
      <w:pPr>
        <w:pStyle w:val="FootnoteText"/>
        <w:rPr>
          <w:lang w:val="es-UY"/>
        </w:rPr>
      </w:pPr>
      <w:r>
        <w:rPr>
          <w:rStyle w:val="FootnoteReference"/>
        </w:rPr>
        <w:footnoteRef/>
      </w:r>
      <w:r w:rsidRPr="00815D1F">
        <w:rPr>
          <w:lang w:val="es-UY"/>
        </w:rPr>
        <w:t xml:space="preserve"> </w:t>
      </w:r>
      <w:r w:rsidRPr="00815D1F">
        <w:rPr>
          <w:sz w:val="18"/>
          <w:szCs w:val="18"/>
          <w:lang w:val="es-AR"/>
        </w:rPr>
        <w:t>Este componente representa el 74% de los recursos del programa, lo cuales se destinarán en una alta proporción al financiamiento de infraestructura y servicios básicos (agua potable, drenaje, vialidad, electrificación y alumbrado público, obras viales, equipamiento social y comunitario) en asentamientos informales.</w:t>
      </w:r>
    </w:p>
  </w:footnote>
  <w:footnote w:id="4">
    <w:p w14:paraId="2260E1EE" w14:textId="77777777" w:rsidR="00815D1F" w:rsidRPr="00727C2A" w:rsidRDefault="00815D1F" w:rsidP="00815D1F">
      <w:pPr>
        <w:pStyle w:val="FootnoteText"/>
        <w:ind w:left="284" w:hanging="284"/>
        <w:rPr>
          <w:sz w:val="18"/>
          <w:szCs w:val="18"/>
          <w:lang w:val="es-AR"/>
        </w:rPr>
      </w:pPr>
      <w:r w:rsidRPr="00727C2A">
        <w:rPr>
          <w:rStyle w:val="FootnoteReference"/>
          <w:sz w:val="18"/>
          <w:szCs w:val="18"/>
        </w:rPr>
        <w:footnoteRef/>
      </w:r>
      <w:r w:rsidRPr="00727C2A">
        <w:rPr>
          <w:sz w:val="18"/>
          <w:szCs w:val="18"/>
          <w:lang w:val="es-AR"/>
        </w:rPr>
        <w:t xml:space="preserve"> La valoración resulta similar a la experimentada en proyectos comparables, desarrollados con el apoyo del BID, en otros países de la región. En el caso del proyecto BR-0250 los beneficios económicos se estimaron con base en la evolución esperada de los precios de las propiedades en el área, del 170%. Más recientemente, en el Programa integral de alivio a la pobreza urbana en México (ME-L1098) tomó como base de cálculo de los beneficios económicos el cambio esperado en los precios de los terrenos alcanzado un coeficiente agregado de valorización de 2,3 por peso invertido.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8B0F75"/>
    <w:multiLevelType w:val="multilevel"/>
    <w:tmpl w:val="8F7051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DF1"/>
    <w:rsid w:val="0000744C"/>
    <w:rsid w:val="00023A69"/>
    <w:rsid w:val="00030DCC"/>
    <w:rsid w:val="0003417D"/>
    <w:rsid w:val="00034E60"/>
    <w:rsid w:val="00041936"/>
    <w:rsid w:val="000812E4"/>
    <w:rsid w:val="00081F5A"/>
    <w:rsid w:val="0008572D"/>
    <w:rsid w:val="00086825"/>
    <w:rsid w:val="000A799E"/>
    <w:rsid w:val="000B1566"/>
    <w:rsid w:val="000C64D9"/>
    <w:rsid w:val="000C7246"/>
    <w:rsid w:val="000F1306"/>
    <w:rsid w:val="000F2E34"/>
    <w:rsid w:val="000F7095"/>
    <w:rsid w:val="00104E1A"/>
    <w:rsid w:val="00113149"/>
    <w:rsid w:val="00120504"/>
    <w:rsid w:val="001270FA"/>
    <w:rsid w:val="00131AA7"/>
    <w:rsid w:val="00132AB3"/>
    <w:rsid w:val="001527E7"/>
    <w:rsid w:val="00154758"/>
    <w:rsid w:val="00157A0B"/>
    <w:rsid w:val="00171DC4"/>
    <w:rsid w:val="00182AA1"/>
    <w:rsid w:val="00186BF8"/>
    <w:rsid w:val="001B7D52"/>
    <w:rsid w:val="001E2ED7"/>
    <w:rsid w:val="001F465C"/>
    <w:rsid w:val="00236B25"/>
    <w:rsid w:val="0024217F"/>
    <w:rsid w:val="00242E36"/>
    <w:rsid w:val="00256981"/>
    <w:rsid w:val="0026195E"/>
    <w:rsid w:val="002665CF"/>
    <w:rsid w:val="00292E21"/>
    <w:rsid w:val="002E53CF"/>
    <w:rsid w:val="002F75BA"/>
    <w:rsid w:val="002F7A26"/>
    <w:rsid w:val="003038A6"/>
    <w:rsid w:val="003164B2"/>
    <w:rsid w:val="003203FC"/>
    <w:rsid w:val="0032259D"/>
    <w:rsid w:val="003233A3"/>
    <w:rsid w:val="00333FC8"/>
    <w:rsid w:val="003379E6"/>
    <w:rsid w:val="003425A4"/>
    <w:rsid w:val="00360C17"/>
    <w:rsid w:val="00386ABF"/>
    <w:rsid w:val="00392818"/>
    <w:rsid w:val="003933B7"/>
    <w:rsid w:val="003954EC"/>
    <w:rsid w:val="003B02C4"/>
    <w:rsid w:val="003B41F7"/>
    <w:rsid w:val="003B443A"/>
    <w:rsid w:val="003C0281"/>
    <w:rsid w:val="003C227A"/>
    <w:rsid w:val="00400384"/>
    <w:rsid w:val="00405D1D"/>
    <w:rsid w:val="00417012"/>
    <w:rsid w:val="00417FC9"/>
    <w:rsid w:val="0042689E"/>
    <w:rsid w:val="0043157D"/>
    <w:rsid w:val="00431E20"/>
    <w:rsid w:val="00440E77"/>
    <w:rsid w:val="00442A58"/>
    <w:rsid w:val="004531FC"/>
    <w:rsid w:val="004C0866"/>
    <w:rsid w:val="004D1DA8"/>
    <w:rsid w:val="004D2395"/>
    <w:rsid w:val="004F5CD3"/>
    <w:rsid w:val="00513A1D"/>
    <w:rsid w:val="005245BE"/>
    <w:rsid w:val="00553263"/>
    <w:rsid w:val="005648A7"/>
    <w:rsid w:val="0056601D"/>
    <w:rsid w:val="00570624"/>
    <w:rsid w:val="00594AC4"/>
    <w:rsid w:val="005C3E7E"/>
    <w:rsid w:val="005E3B3C"/>
    <w:rsid w:val="005E54BE"/>
    <w:rsid w:val="005F7189"/>
    <w:rsid w:val="00600AC8"/>
    <w:rsid w:val="00614E30"/>
    <w:rsid w:val="00631DB9"/>
    <w:rsid w:val="00634327"/>
    <w:rsid w:val="0064033A"/>
    <w:rsid w:val="006411A4"/>
    <w:rsid w:val="00650363"/>
    <w:rsid w:val="00673204"/>
    <w:rsid w:val="006A0F57"/>
    <w:rsid w:val="006A1BC1"/>
    <w:rsid w:val="006B46FE"/>
    <w:rsid w:val="006B611A"/>
    <w:rsid w:val="006C0E86"/>
    <w:rsid w:val="006D4119"/>
    <w:rsid w:val="006D7186"/>
    <w:rsid w:val="00701452"/>
    <w:rsid w:val="007126E6"/>
    <w:rsid w:val="0072329C"/>
    <w:rsid w:val="00727B10"/>
    <w:rsid w:val="0074183B"/>
    <w:rsid w:val="007451E7"/>
    <w:rsid w:val="00753ABA"/>
    <w:rsid w:val="0075611B"/>
    <w:rsid w:val="007611E1"/>
    <w:rsid w:val="00766807"/>
    <w:rsid w:val="00784FE8"/>
    <w:rsid w:val="00794E34"/>
    <w:rsid w:val="007A015E"/>
    <w:rsid w:val="007A2A90"/>
    <w:rsid w:val="007A428A"/>
    <w:rsid w:val="007D155F"/>
    <w:rsid w:val="007D197B"/>
    <w:rsid w:val="007E3287"/>
    <w:rsid w:val="007E7A8C"/>
    <w:rsid w:val="007F4C90"/>
    <w:rsid w:val="008016F7"/>
    <w:rsid w:val="00815D1F"/>
    <w:rsid w:val="00870DB0"/>
    <w:rsid w:val="008A36B4"/>
    <w:rsid w:val="008B6D4D"/>
    <w:rsid w:val="008B6E1E"/>
    <w:rsid w:val="008B7E83"/>
    <w:rsid w:val="008D353D"/>
    <w:rsid w:val="008D5208"/>
    <w:rsid w:val="008D650F"/>
    <w:rsid w:val="0090452A"/>
    <w:rsid w:val="009469F3"/>
    <w:rsid w:val="009514A2"/>
    <w:rsid w:val="00951A1B"/>
    <w:rsid w:val="00957E63"/>
    <w:rsid w:val="00990C35"/>
    <w:rsid w:val="009B26D0"/>
    <w:rsid w:val="009B5225"/>
    <w:rsid w:val="009C306A"/>
    <w:rsid w:val="009C46C6"/>
    <w:rsid w:val="009C70D4"/>
    <w:rsid w:val="009D3009"/>
    <w:rsid w:val="009D781F"/>
    <w:rsid w:val="009E3CE0"/>
    <w:rsid w:val="009F64EB"/>
    <w:rsid w:val="00A02B36"/>
    <w:rsid w:val="00A12980"/>
    <w:rsid w:val="00A2785D"/>
    <w:rsid w:val="00A35FFC"/>
    <w:rsid w:val="00A44FC9"/>
    <w:rsid w:val="00A67558"/>
    <w:rsid w:val="00A70846"/>
    <w:rsid w:val="00A82B28"/>
    <w:rsid w:val="00A84D53"/>
    <w:rsid w:val="00A9123E"/>
    <w:rsid w:val="00AA4609"/>
    <w:rsid w:val="00AC7B4D"/>
    <w:rsid w:val="00AD5CDA"/>
    <w:rsid w:val="00B00253"/>
    <w:rsid w:val="00B05EF2"/>
    <w:rsid w:val="00B070BF"/>
    <w:rsid w:val="00B104E4"/>
    <w:rsid w:val="00B12EFE"/>
    <w:rsid w:val="00B16D12"/>
    <w:rsid w:val="00B53A67"/>
    <w:rsid w:val="00B808D2"/>
    <w:rsid w:val="00B81258"/>
    <w:rsid w:val="00B90497"/>
    <w:rsid w:val="00B95524"/>
    <w:rsid w:val="00BA330A"/>
    <w:rsid w:val="00BA460F"/>
    <w:rsid w:val="00BB3A5C"/>
    <w:rsid w:val="00BB46B2"/>
    <w:rsid w:val="00BC393F"/>
    <w:rsid w:val="00BC3ED4"/>
    <w:rsid w:val="00BC6202"/>
    <w:rsid w:val="00BD7811"/>
    <w:rsid w:val="00BE1B62"/>
    <w:rsid w:val="00C164D6"/>
    <w:rsid w:val="00C2448E"/>
    <w:rsid w:val="00C445FA"/>
    <w:rsid w:val="00C51E2E"/>
    <w:rsid w:val="00C522D5"/>
    <w:rsid w:val="00C641FA"/>
    <w:rsid w:val="00C65665"/>
    <w:rsid w:val="00C80CD3"/>
    <w:rsid w:val="00CA1B93"/>
    <w:rsid w:val="00CA58EC"/>
    <w:rsid w:val="00CC60AC"/>
    <w:rsid w:val="00CD2D1E"/>
    <w:rsid w:val="00CD3035"/>
    <w:rsid w:val="00CD3625"/>
    <w:rsid w:val="00CD6F40"/>
    <w:rsid w:val="00CD7DD8"/>
    <w:rsid w:val="00CE04F7"/>
    <w:rsid w:val="00CE50DC"/>
    <w:rsid w:val="00CF0E9F"/>
    <w:rsid w:val="00CF2E53"/>
    <w:rsid w:val="00CF6489"/>
    <w:rsid w:val="00D02B3F"/>
    <w:rsid w:val="00D13390"/>
    <w:rsid w:val="00D21D37"/>
    <w:rsid w:val="00D32D58"/>
    <w:rsid w:val="00D37719"/>
    <w:rsid w:val="00D52D33"/>
    <w:rsid w:val="00D546EF"/>
    <w:rsid w:val="00D5725F"/>
    <w:rsid w:val="00D6146A"/>
    <w:rsid w:val="00DA2290"/>
    <w:rsid w:val="00DC5D61"/>
    <w:rsid w:val="00DD6648"/>
    <w:rsid w:val="00DF0F1C"/>
    <w:rsid w:val="00E078BC"/>
    <w:rsid w:val="00E130F6"/>
    <w:rsid w:val="00E547B0"/>
    <w:rsid w:val="00E6541C"/>
    <w:rsid w:val="00E92D97"/>
    <w:rsid w:val="00EA62AF"/>
    <w:rsid w:val="00EB4F79"/>
    <w:rsid w:val="00EB73C6"/>
    <w:rsid w:val="00EB7FB2"/>
    <w:rsid w:val="00EC1EAF"/>
    <w:rsid w:val="00ED0DF1"/>
    <w:rsid w:val="00EE3361"/>
    <w:rsid w:val="00EE5AE1"/>
    <w:rsid w:val="00F06490"/>
    <w:rsid w:val="00F17AA3"/>
    <w:rsid w:val="00F259A1"/>
    <w:rsid w:val="00F42871"/>
    <w:rsid w:val="00F678C4"/>
    <w:rsid w:val="00F85FEA"/>
    <w:rsid w:val="00F87051"/>
    <w:rsid w:val="00F95C98"/>
    <w:rsid w:val="00FA0C92"/>
    <w:rsid w:val="00FA7E88"/>
    <w:rsid w:val="00FB4D30"/>
    <w:rsid w:val="00FE30A9"/>
    <w:rsid w:val="00FE33A4"/>
    <w:rsid w:val="00FE76AF"/>
    <w:rsid w:val="00FE7740"/>
    <w:rsid w:val="00FF5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DE08D"/>
  <w15:docId w15:val="{F50ADDE3-825C-403D-B2E2-DD0D049C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customStyle="1" w:styleId="CommentTextChar">
    <w:name w:val="Comment Text Char"/>
    <w:basedOn w:val="DefaultParagraphFont"/>
    <w:link w:val="CommentText"/>
    <w:uiPriority w:val="99"/>
    <w:semiHidden/>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 w:type="paragraph" w:customStyle="1" w:styleId="Default">
    <w:name w:val="Default"/>
    <w:rsid w:val="00BC393F"/>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Header">
    <w:name w:val="header"/>
    <w:basedOn w:val="Normal"/>
    <w:link w:val="HeaderChar"/>
    <w:uiPriority w:val="99"/>
    <w:unhideWhenUsed/>
    <w:rsid w:val="006B611A"/>
    <w:pPr>
      <w:tabs>
        <w:tab w:val="center" w:pos="4680"/>
        <w:tab w:val="right" w:pos="9360"/>
      </w:tabs>
    </w:pPr>
  </w:style>
  <w:style w:type="character" w:customStyle="1" w:styleId="HeaderChar">
    <w:name w:val="Header Char"/>
    <w:basedOn w:val="DefaultParagraphFont"/>
    <w:link w:val="Header"/>
    <w:uiPriority w:val="99"/>
    <w:rsid w:val="006B611A"/>
    <w:rPr>
      <w:rFonts w:ascii="Times New Roman" w:eastAsia="Times New Roman" w:hAnsi="Times New Roman" w:cs="Times New Roman"/>
      <w:sz w:val="24"/>
      <w:szCs w:val="24"/>
    </w:rPr>
  </w:style>
  <w:style w:type="paragraph" w:styleId="Revision">
    <w:name w:val="Revision"/>
    <w:hidden/>
    <w:uiPriority w:val="99"/>
    <w:semiHidden/>
    <w:rsid w:val="00131AA7"/>
    <w:pPr>
      <w:spacing w:after="0" w:line="240" w:lineRule="auto"/>
    </w:pPr>
    <w:rPr>
      <w:rFonts w:ascii="Times New Roman" w:eastAsia="Times New Roman" w:hAnsi="Times New Roman" w:cs="Times New Roman"/>
      <w:sz w:val="24"/>
      <w:szCs w:val="24"/>
    </w:rPr>
  </w:style>
  <w:style w:type="character" w:styleId="Mention">
    <w:name w:val="Mention"/>
    <w:basedOn w:val="DefaultParagraphFont"/>
    <w:uiPriority w:val="99"/>
    <w:semiHidden/>
    <w:unhideWhenUsed/>
    <w:rsid w:val="009514A2"/>
    <w:rPr>
      <w:color w:val="2B579A"/>
      <w:shd w:val="clear" w:color="auto" w:fill="E6E6E6"/>
    </w:rPr>
  </w:style>
  <w:style w:type="character" w:styleId="Emphasis">
    <w:name w:val="Emphasis"/>
    <w:basedOn w:val="DefaultParagraphFont"/>
    <w:uiPriority w:val="20"/>
    <w:qFormat/>
    <w:rsid w:val="006A1BC1"/>
    <w:rPr>
      <w:i/>
      <w:iCs/>
    </w:rPr>
  </w:style>
  <w:style w:type="character" w:styleId="UnresolvedMention">
    <w:name w:val="Unresolved Mention"/>
    <w:basedOn w:val="DefaultParagraphFont"/>
    <w:uiPriority w:val="99"/>
    <w:semiHidden/>
    <w:unhideWhenUsed/>
    <w:rsid w:val="0003417D"/>
    <w:rPr>
      <w:color w:val="808080"/>
      <w:shd w:val="clear" w:color="auto" w:fill="E6E6E6"/>
    </w:rPr>
  </w:style>
  <w:style w:type="character" w:styleId="Strong">
    <w:name w:val="Strong"/>
    <w:basedOn w:val="DefaultParagraphFont"/>
    <w:uiPriority w:val="22"/>
    <w:qFormat/>
    <w:rsid w:val="0003417D"/>
    <w:rPr>
      <w:b/>
      <w:bCs/>
    </w:rPr>
  </w:style>
  <w:style w:type="paragraph" w:styleId="NormalWeb">
    <w:name w:val="Normal (Web)"/>
    <w:basedOn w:val="Normal"/>
    <w:uiPriority w:val="99"/>
    <w:semiHidden/>
    <w:unhideWhenUsed/>
    <w:rsid w:val="009D781F"/>
    <w:pPr>
      <w:spacing w:before="100" w:beforeAutospacing="1" w:after="100" w:afterAutospacing="1"/>
    </w:pPr>
  </w:style>
  <w:style w:type="paragraph" w:styleId="FootnoteText">
    <w:name w:val="footnote text"/>
    <w:aliases w:val="Texto nota pie IIRSA,Footnote,text,foottextfra,footnote,F,fn,FOOTNOTES,single space,footnote text,Footnote Text Char Char,Texto de rodapé,nota_rodapé,nota de rodapé"/>
    <w:basedOn w:val="Normal"/>
    <w:link w:val="FootnoteTextChar"/>
    <w:uiPriority w:val="99"/>
    <w:unhideWhenUsed/>
    <w:rsid w:val="00815D1F"/>
    <w:rPr>
      <w:sz w:val="20"/>
      <w:szCs w:val="20"/>
    </w:rPr>
  </w:style>
  <w:style w:type="character" w:customStyle="1" w:styleId="FootnoteTextChar">
    <w:name w:val="Footnote Text Char"/>
    <w:aliases w:val="Texto nota pie IIRSA Char1,Footnote Char1,text Char1,foottextfra Char1,footnote Char1,F Char1,fn Char1,FOOTNOTES Char1,single space Char1,footnote text Char1,Footnote Text Char Char Char1,Texto de rodapé Char1,nota_rodapé Char"/>
    <w:basedOn w:val="DefaultParagraphFont"/>
    <w:link w:val="FootnoteText"/>
    <w:uiPriority w:val="99"/>
    <w:semiHidden/>
    <w:rsid w:val="00815D1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15D1F"/>
    <w:rPr>
      <w:vertAlign w:val="superscript"/>
    </w:rPr>
  </w:style>
  <w:style w:type="character" w:customStyle="1" w:styleId="FootnoteTextChar1">
    <w:name w:val="Footnote Text Char1"/>
    <w:aliases w:val="Texto nota pie IIRSA Char,Footnote Char,text Char,foottextfra Char,footnote Char,F Char,fn Char,FOOTNOTES Char,single space Char,footnote text Char,Footnote Text Char Char Char,Footnote Text Char Char1,Texto de rodapé Char"/>
    <w:basedOn w:val="DefaultParagraphFont"/>
    <w:uiPriority w:val="99"/>
    <w:rsid w:val="00815D1F"/>
    <w:rPr>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311375">
      <w:bodyDiv w:val="1"/>
      <w:marLeft w:val="0"/>
      <w:marRight w:val="0"/>
      <w:marTop w:val="0"/>
      <w:marBottom w:val="0"/>
      <w:divBdr>
        <w:top w:val="none" w:sz="0" w:space="0" w:color="auto"/>
        <w:left w:val="none" w:sz="0" w:space="0" w:color="auto"/>
        <w:bottom w:val="none" w:sz="0" w:space="0" w:color="auto"/>
        <w:right w:val="none" w:sz="0" w:space="0" w:color="auto"/>
      </w:divBdr>
    </w:div>
    <w:div w:id="1715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ute.com.uy/sites/default/files/documents/files/pliego%20tarifario%20UTE%20enero%202018.pdf"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ormativa.montevideo.gub.uy/content/dtojdm-29434-de-10052001-0"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ose.com.uy/descargas/clientes/tarifas/ose_decreto_tarifario_2018.pdf" TargetMode="Externa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yperlink" Target="http://www.iadb.org/Document.cfm?id=EZSHARE-378320361-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7929E55103B854282DC5F0B588F98B4" ma:contentTypeVersion="505" ma:contentTypeDescription="A content type to manage public (operations) IDB documents" ma:contentTypeScope="" ma:versionID="c29b498562e9ef4fc2144948f8c77f7c">
  <xsd:schema xmlns:xsd="http://www.w3.org/2001/XMLSchema" xmlns:xs="http://www.w3.org/2001/XMLSchema" xmlns:p="http://schemas.microsoft.com/office/2006/metadata/properties" xmlns:ns2="cdc7663a-08f0-4737-9e8c-148ce897a09c" targetNamespace="http://schemas.microsoft.com/office/2006/metadata/properties" ma:root="true" ma:fieldsID="bce4c040556d6bb71d6cb9f6bf550bc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CSD/HUD</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Soulier Faure, Martin Nicolas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NEIGHBORHOOD UPGRADING</TermName>
          <TermId xmlns="http://schemas.microsoft.com/office/infopath/2007/PartnerControls">19ed260b-3ea3-46e6-aa79-3ae0d12b56bc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27</Value>
      <Value>26</Value>
      <Value>32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UR-L1146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R0002543540</Record_x0020_Number>
    <_dlc_DocId xmlns="cdc7663a-08f0-4737-9e8c-148ce897a09c">EZSHARE-1465277957-15</_dlc_DocId>
    <_dlc_DocIdUrl xmlns="cdc7663a-08f0-4737-9e8c-148ce897a09c">
      <Url>https://idbg.sharepoint.com/teams/EZ-UR-LON/UR-L1146/_layouts/15/DocIdRedir.aspx?ID=EZSHARE-1465277957-15</Url>
      <Description>EZSHARE-1465277957-15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7122BB7-94B5-4750-967C-CB864FB4F9EF}">
  <ds:schemaRefs>
    <ds:schemaRef ds:uri="http://schemas.openxmlformats.org/officeDocument/2006/bibliography"/>
  </ds:schemaRefs>
</ds:datastoreItem>
</file>

<file path=customXml/itemProps2.xml><?xml version="1.0" encoding="utf-8"?>
<ds:datastoreItem xmlns:ds="http://schemas.openxmlformats.org/officeDocument/2006/customXml" ds:itemID="{36423846-4EB2-49F2-92E8-F79E924D016F}"/>
</file>

<file path=customXml/itemProps3.xml><?xml version="1.0" encoding="utf-8"?>
<ds:datastoreItem xmlns:ds="http://schemas.openxmlformats.org/officeDocument/2006/customXml" ds:itemID="{BF212761-F760-4F2B-9E09-EDCD50FDC391}"/>
</file>

<file path=customXml/itemProps4.xml><?xml version="1.0" encoding="utf-8"?>
<ds:datastoreItem xmlns:ds="http://schemas.openxmlformats.org/officeDocument/2006/customXml" ds:itemID="{03FCED20-69F1-4F11-B0F0-8857C02D4C83}"/>
</file>

<file path=customXml/itemProps5.xml><?xml version="1.0" encoding="utf-8"?>
<ds:datastoreItem xmlns:ds="http://schemas.openxmlformats.org/officeDocument/2006/customXml" ds:itemID="{45BD69F2-5839-4048-AD23-597B2E8F4CC2}"/>
</file>

<file path=customXml/itemProps6.xml><?xml version="1.0" encoding="utf-8"?>
<ds:datastoreItem xmlns:ds="http://schemas.openxmlformats.org/officeDocument/2006/customXml" ds:itemID="{7CF0C6DD-7542-4B8A-9201-E85BFE59092B}"/>
</file>

<file path=customXml/itemProps7.xml><?xml version="1.0" encoding="utf-8"?>
<ds:datastoreItem xmlns:ds="http://schemas.openxmlformats.org/officeDocument/2006/customXml" ds:itemID="{0FD9A93C-F15F-4108-8D23-A50C8433D9A3}"/>
</file>

<file path=docProps/app.xml><?xml version="1.0" encoding="utf-8"?>
<Properties xmlns="http://schemas.openxmlformats.org/officeDocument/2006/extended-properties" xmlns:vt="http://schemas.openxmlformats.org/officeDocument/2006/docPropsVTypes">
  <Template>Normal.dotm</Template>
  <TotalTime>18</TotalTime>
  <Pages>11</Pages>
  <Words>3908</Words>
  <Characters>22279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Inter-American Development Bank</dc:creator>
  <cp:keywords/>
  <cp:lastModifiedBy>Soulier Faure, Martin Nicolas</cp:lastModifiedBy>
  <cp:revision>3</cp:revision>
  <cp:lastPrinted>2018-07-04T13:06:00Z</cp:lastPrinted>
  <dcterms:created xsi:type="dcterms:W3CDTF">2018-07-16T12:37:00Z</dcterms:created>
  <dcterms:modified xsi:type="dcterms:W3CDTF">2018-07-26T18:37:00Z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26;#NEIGHBORHOOD UPGRADING|19ed260b-3ea3-46e6-aa79-3ae0d12b56bc</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ctor IDB">
    <vt:lpwstr>27;#URBAN DEVELOPMENT AND HOUSING|d14615ee-683d-4ec6-a5cf-ae743c6c4ac1</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d3d1ad06-0575-4a02-a14d-9a83fa0c0fde</vt:lpwstr>
  </property>
  <property fmtid="{D5CDD505-2E9C-101B-9397-08002B2CF9AE}" pid="12" name="ContentTypeId">
    <vt:lpwstr>0x0101001A458A224826124E8B45B1D613300CFC00F7929E55103B854282DC5F0B588F98B4</vt:lpwstr>
  </property>
</Properties>
</file>