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DC29" w14:textId="1CEC294F" w:rsidR="00F77237" w:rsidRPr="00A05AA1" w:rsidRDefault="00896C4B" w:rsidP="00A05AA1">
      <w:pPr>
        <w:pStyle w:val="Heading1"/>
        <w:spacing w:after="240"/>
        <w:jc w:val="center"/>
        <w:rPr>
          <w:rFonts w:ascii="Arial" w:hAnsi="Arial"/>
          <w:sz w:val="24"/>
          <w:lang w:val="es-ES_tradnl"/>
        </w:rPr>
      </w:pPr>
      <w:r w:rsidRPr="00896C4B">
        <w:rPr>
          <w:rFonts w:ascii="Arial" w:hAnsi="Arial" w:cs="Arial"/>
          <w:sz w:val="24"/>
          <w:szCs w:val="22"/>
          <w:lang w:val="es-ES_tradnl"/>
        </w:rPr>
        <w:t>Enlace Electrónico</w:t>
      </w:r>
      <w:r w:rsidR="003B1A28" w:rsidRPr="00896C4B">
        <w:rPr>
          <w:rFonts w:ascii="Arial" w:hAnsi="Arial" w:cs="Arial"/>
          <w:sz w:val="24"/>
          <w:szCs w:val="22"/>
          <w:lang w:val="es-ES_tradnl"/>
        </w:rPr>
        <w:t xml:space="preserve"> </w:t>
      </w:r>
      <w:r w:rsidR="00264CF0" w:rsidRPr="00264CF0">
        <w:rPr>
          <w:rFonts w:ascii="Arial" w:hAnsi="Arial" w:cs="Arial"/>
          <w:sz w:val="24"/>
          <w:szCs w:val="22"/>
          <w:lang w:val="es-ES_tradnl"/>
        </w:rPr>
        <w:t>Contabilidad</w:t>
      </w:r>
      <w:r w:rsidR="00264CF0" w:rsidRPr="00A05AA1">
        <w:rPr>
          <w:rFonts w:ascii="Arial" w:hAnsi="Arial"/>
          <w:sz w:val="24"/>
          <w:lang w:val="es-ES_tradnl"/>
        </w:rPr>
        <w:t xml:space="preserve"> Cambio Climático</w:t>
      </w:r>
    </w:p>
    <w:p w14:paraId="26664049" w14:textId="77777777" w:rsidR="00B31B29" w:rsidRPr="00A05AA1" w:rsidRDefault="00B31B29" w:rsidP="0035289B">
      <w:pPr>
        <w:jc w:val="both"/>
        <w:rPr>
          <w:rFonts w:ascii="Arial" w:hAnsi="Arial"/>
          <w:lang w:val="es-ES_tradnl"/>
        </w:rPr>
      </w:pPr>
      <w:r w:rsidRPr="00A05AA1">
        <w:rPr>
          <w:rFonts w:ascii="Arial" w:hAnsi="Arial"/>
          <w:lang w:val="es-ES_tradnl"/>
        </w:rPr>
        <w:t xml:space="preserve">Uruguay lidera una agenda de cambio climático </w:t>
      </w:r>
      <w:r w:rsidR="0035289B" w:rsidRPr="00A05AA1">
        <w:rPr>
          <w:rFonts w:ascii="Arial" w:hAnsi="Arial"/>
          <w:lang w:val="es-ES_tradnl"/>
        </w:rPr>
        <w:t>desde hace varios años, y alcanzó su consolidación en 2017, con la aprobación de la Política Nacional de Cambio Climático (PNCC) y la presentación de su Primera Contribución Determinada a nivel Nacional (</w:t>
      </w:r>
      <w:r w:rsidR="00B14420" w:rsidRPr="00A05AA1">
        <w:rPr>
          <w:rFonts w:ascii="Arial" w:hAnsi="Arial"/>
          <w:lang w:val="es-ES_tradnl"/>
        </w:rPr>
        <w:t>CDN</w:t>
      </w:r>
      <w:r w:rsidR="0035289B" w:rsidRPr="00A05AA1">
        <w:rPr>
          <w:rFonts w:ascii="Arial" w:hAnsi="Arial"/>
          <w:lang w:val="es-ES_tradnl"/>
        </w:rPr>
        <w:t>).</w:t>
      </w:r>
    </w:p>
    <w:p w14:paraId="3BBCFDB2" w14:textId="096D5D8F" w:rsidR="00B14420" w:rsidRPr="00A05AA1" w:rsidRDefault="00B14420" w:rsidP="0035289B">
      <w:pPr>
        <w:jc w:val="both"/>
        <w:rPr>
          <w:rFonts w:ascii="Arial" w:hAnsi="Arial"/>
          <w:lang w:val="es-ES_tradnl"/>
        </w:rPr>
      </w:pPr>
      <w:r w:rsidRPr="00A05AA1">
        <w:rPr>
          <w:rFonts w:ascii="Arial" w:hAnsi="Arial"/>
          <w:lang w:val="es-ES_tradnl"/>
        </w:rPr>
        <w:t>Este anexo busca describir el hito alcanzado al alinear la ejecución de la operación UR</w:t>
      </w:r>
      <w:r w:rsidR="00EB6304">
        <w:rPr>
          <w:rFonts w:ascii="Arial" w:hAnsi="Arial" w:cs="Arial"/>
          <w:lang w:val="es-ES_tradnl"/>
        </w:rPr>
        <w:noBreakHyphen/>
      </w:r>
      <w:r w:rsidRPr="00A05AA1">
        <w:rPr>
          <w:rFonts w:ascii="Arial" w:hAnsi="Arial"/>
          <w:lang w:val="es-ES_tradnl"/>
        </w:rPr>
        <w:t>L1146 con la CDN del país</w:t>
      </w:r>
      <w:r w:rsidR="00EC4A74" w:rsidRPr="00A05AA1">
        <w:rPr>
          <w:rFonts w:ascii="Arial" w:hAnsi="Arial"/>
          <w:lang w:val="es-ES_tradnl"/>
        </w:rPr>
        <w:t xml:space="preserve">, una ocasión única y sin precedentes donde la unidad ejecutora identifico las oportunidades de mitigación y adaptación; y colaborará con la dirección de cambio climático para la implementación de las acciones y su seguimiento. </w:t>
      </w:r>
    </w:p>
    <w:p w14:paraId="5C5D72F3" w14:textId="77777777" w:rsidR="00EB64C8" w:rsidRPr="00A05AA1" w:rsidRDefault="00CC7F2F" w:rsidP="00EB64C8">
      <w:pPr>
        <w:pStyle w:val="Heading2"/>
        <w:jc w:val="both"/>
        <w:rPr>
          <w:rFonts w:ascii="Arial" w:hAnsi="Arial"/>
          <w:sz w:val="22"/>
          <w:lang w:val="es-ES_tradnl"/>
        </w:rPr>
      </w:pPr>
      <w:hyperlink r:id="rId14" w:history="1">
        <w:r w:rsidR="00EB64C8" w:rsidRPr="00A05AA1">
          <w:rPr>
            <w:rStyle w:val="Hyperlink"/>
            <w:rFonts w:ascii="Arial" w:hAnsi="Arial"/>
            <w:sz w:val="22"/>
            <w:lang w:val="es-ES_tradnl"/>
          </w:rPr>
          <w:t xml:space="preserve">La Política Nacional de Cambio </w:t>
        </w:r>
        <w:r w:rsidR="00DF653A" w:rsidRPr="00A05AA1">
          <w:rPr>
            <w:rStyle w:val="Hyperlink"/>
            <w:rFonts w:ascii="Arial" w:hAnsi="Arial"/>
            <w:sz w:val="22"/>
            <w:lang w:val="es-ES_tradnl"/>
          </w:rPr>
          <w:t>Climático</w:t>
        </w:r>
      </w:hyperlink>
      <w:r w:rsidR="0035289B" w:rsidRPr="00A05AA1">
        <w:rPr>
          <w:rFonts w:ascii="Arial" w:hAnsi="Arial"/>
          <w:sz w:val="22"/>
          <w:lang w:val="es-ES_tradnl"/>
        </w:rPr>
        <w:t xml:space="preserve"> (PNCC)</w:t>
      </w:r>
    </w:p>
    <w:p w14:paraId="5D695D21" w14:textId="77777777" w:rsidR="00EB64C8" w:rsidRPr="00A05AA1" w:rsidRDefault="00EB64C8" w:rsidP="00EB64C8">
      <w:pPr>
        <w:jc w:val="both"/>
        <w:rPr>
          <w:rFonts w:ascii="Arial" w:hAnsi="Arial"/>
          <w:lang w:val="es-ES_tradnl"/>
        </w:rPr>
      </w:pPr>
      <w:r w:rsidRPr="00A05AA1">
        <w:rPr>
          <w:rFonts w:ascii="Arial" w:hAnsi="Arial"/>
          <w:lang w:val="es-ES_tradnl"/>
        </w:rPr>
        <w:t>La Política Nacional de Cambio Climático es un instrumento estratégico y programático preparado por el Sistema Nacional de Respuesta al Cambio Climatico, ajustado y adoptado con opinión favorable por el Gabinete Nacional Ambiental el 27 de abril de 2017 y aprobado por Decreto del Poder Ejecutivo 310, de noviembre de 2017. </w:t>
      </w:r>
    </w:p>
    <w:p w14:paraId="2E269A73" w14:textId="77777777" w:rsidR="00EB64C8" w:rsidRPr="00A05AA1" w:rsidRDefault="00EB64C8" w:rsidP="00EB64C8">
      <w:pPr>
        <w:jc w:val="both"/>
        <w:rPr>
          <w:rFonts w:ascii="Arial" w:hAnsi="Arial"/>
          <w:lang w:val="es-ES_tradnl"/>
        </w:rPr>
      </w:pPr>
      <w:r w:rsidRPr="00A05AA1">
        <w:rPr>
          <w:rFonts w:ascii="Arial" w:hAnsi="Arial"/>
          <w:lang w:val="es-ES_tradnl"/>
        </w:rPr>
        <w:t>La Política tiene como objetivo general promover la adaptación y mitigación en el país ante el desafío del cambio climático, con un horizonte temporal al 2050, e incluye un eje estratégico relativo a “</w:t>
      </w:r>
      <w:r w:rsidRPr="00A05AA1">
        <w:rPr>
          <w:rFonts w:ascii="Arial" w:hAnsi="Arial"/>
          <w:i/>
          <w:lang w:val="es-ES_tradnl"/>
        </w:rPr>
        <w:t>promover el desarrollo de ciudades, comunidades, asentamientos humanos e infraestructuras sostenibles y resilientes frente al cambio climático y la variabilidad climática, que contribuyan a disminuir las emisiones de GEI</w:t>
      </w:r>
      <w:r w:rsidRPr="00A05AA1">
        <w:rPr>
          <w:rFonts w:ascii="Arial" w:hAnsi="Arial"/>
          <w:lang w:val="es-ES_tradnl"/>
        </w:rPr>
        <w:t>”.</w:t>
      </w:r>
    </w:p>
    <w:p w14:paraId="19FFF0FE" w14:textId="77777777" w:rsidR="00EB64C8" w:rsidRPr="00A05AA1" w:rsidRDefault="00EB64C8" w:rsidP="00EB64C8">
      <w:pPr>
        <w:jc w:val="both"/>
        <w:rPr>
          <w:rFonts w:ascii="Arial" w:hAnsi="Arial"/>
          <w:lang w:val="es-ES_tradnl"/>
        </w:rPr>
      </w:pPr>
      <w:r w:rsidRPr="00A05AA1">
        <w:rPr>
          <w:rFonts w:ascii="Arial" w:hAnsi="Arial"/>
          <w:lang w:val="es-ES_tradnl"/>
        </w:rPr>
        <w:t xml:space="preserve">En especial, se espera fortalecer los instrumentos que permitan la inclusión de consideraciones climáticas en la planificación urbana, a través de lineamientos y acciones de mitigación y adaptación. Este enfoque incluye la valorización de los servicios ecosistémicos en el diseño, la construcción, la gestión y el mantenimiento de vivienda, la promoción de estándares de eficiencia en infraestructura, equipamiento y provisión de servicios públicos, así como el fortalecimiento de las capacidades de gobernanza a diferentes niveles subnacionales. </w:t>
      </w:r>
    </w:p>
    <w:p w14:paraId="0ACCF121" w14:textId="77777777" w:rsidR="003B1A28" w:rsidRPr="00A05AA1" w:rsidRDefault="00CC7F2F" w:rsidP="00EB64C8">
      <w:pPr>
        <w:pStyle w:val="Heading2"/>
        <w:jc w:val="both"/>
        <w:rPr>
          <w:rFonts w:ascii="Arial" w:hAnsi="Arial"/>
          <w:sz w:val="22"/>
          <w:lang w:val="es-ES_tradnl"/>
        </w:rPr>
      </w:pPr>
      <w:hyperlink r:id="rId15" w:history="1">
        <w:r w:rsidR="00564838" w:rsidRPr="00A05AA1">
          <w:rPr>
            <w:rStyle w:val="Hyperlink"/>
            <w:rFonts w:ascii="Arial" w:hAnsi="Arial"/>
            <w:sz w:val="22"/>
            <w:lang w:val="es-ES_tradnl"/>
          </w:rPr>
          <w:t>La Contribución Determinada a Nivel Nacional de Uruguay</w:t>
        </w:r>
      </w:hyperlink>
    </w:p>
    <w:p w14:paraId="29543474" w14:textId="77777777" w:rsidR="00EB64C8" w:rsidRPr="00A05AA1" w:rsidRDefault="00EB64C8" w:rsidP="00EB64C8">
      <w:pPr>
        <w:jc w:val="both"/>
        <w:rPr>
          <w:rFonts w:ascii="Arial" w:hAnsi="Arial"/>
          <w:lang w:val="es-ES_tradnl"/>
        </w:rPr>
      </w:pPr>
      <w:r w:rsidRPr="00A05AA1">
        <w:rPr>
          <w:rFonts w:ascii="Arial" w:hAnsi="Arial"/>
          <w:lang w:val="es-ES_tradnl"/>
        </w:rPr>
        <w:t>Centrado en la Política Nacional de Cambio Climático y en respuesta a las obligaciones de Uruguay que emanan del Acuerdo de París</w:t>
      </w:r>
      <w:r w:rsidR="0035289B" w:rsidRPr="00A05AA1">
        <w:rPr>
          <w:rFonts w:ascii="Arial" w:hAnsi="Arial"/>
          <w:lang w:val="es-ES_tradnl"/>
        </w:rPr>
        <w:t xml:space="preserve">, la CDN es </w:t>
      </w:r>
      <w:r w:rsidRPr="00A05AA1">
        <w:rPr>
          <w:rFonts w:ascii="Arial" w:hAnsi="Arial"/>
          <w:lang w:val="es-ES_tradnl"/>
        </w:rPr>
        <w:t>instrumento que promoverá en Uruguay la adaptación y mitigación para contribuir al desarrollo sostenible del país.</w:t>
      </w:r>
    </w:p>
    <w:p w14:paraId="1E6D0768" w14:textId="77777777" w:rsidR="00B8030D" w:rsidRPr="00A05AA1" w:rsidRDefault="00B8030D" w:rsidP="00EB64C8">
      <w:pPr>
        <w:jc w:val="both"/>
        <w:rPr>
          <w:rFonts w:ascii="Arial" w:hAnsi="Arial"/>
          <w:lang w:val="es-ES_tradnl"/>
        </w:rPr>
      </w:pPr>
      <w:r w:rsidRPr="00A05AA1">
        <w:rPr>
          <w:rFonts w:ascii="Arial" w:hAnsi="Arial"/>
          <w:lang w:val="es-ES_tradnl"/>
        </w:rPr>
        <w:t>El Acuerdo de Paris, fue alcanzado en diciembre 2015, gracias a la presentación voluntaria de compromisos nacionales que incluían metas de mitigación y adaptación para implementación 2020-2030.</w:t>
      </w:r>
    </w:p>
    <w:p w14:paraId="57C1DC46" w14:textId="77777777" w:rsidR="00DF653A" w:rsidRPr="00A05AA1" w:rsidRDefault="00EB64C8" w:rsidP="00EB64C8">
      <w:pPr>
        <w:jc w:val="both"/>
        <w:rPr>
          <w:rFonts w:ascii="Arial" w:hAnsi="Arial"/>
          <w:lang w:val="es-ES_tradnl"/>
        </w:rPr>
      </w:pPr>
      <w:r w:rsidRPr="00A05AA1">
        <w:rPr>
          <w:rFonts w:ascii="Arial" w:hAnsi="Arial"/>
          <w:lang w:val="es-ES_tradnl"/>
        </w:rPr>
        <w:t xml:space="preserve">La CDN de </w:t>
      </w:r>
      <w:r w:rsidR="00B8030D" w:rsidRPr="00A05AA1">
        <w:rPr>
          <w:rFonts w:ascii="Arial" w:hAnsi="Arial"/>
          <w:lang w:val="es-ES_tradnl"/>
        </w:rPr>
        <w:t>Uruguay</w:t>
      </w:r>
      <w:r w:rsidRPr="00A05AA1">
        <w:rPr>
          <w:rFonts w:ascii="Arial" w:hAnsi="Arial"/>
          <w:lang w:val="es-ES_tradnl"/>
        </w:rPr>
        <w:t xml:space="preserve"> estableció contribuir a 2025 con un objetivo de mitigación incondicional de reducción de la intensidad (emisiones de CO2 por unidad de PBI) de un 24% respecto a los valores de 1990, y una meta condicional a medios de implementación adicionales y específicos a 2025 de 29%.</w:t>
      </w:r>
    </w:p>
    <w:p w14:paraId="432C4BD0" w14:textId="77777777" w:rsidR="0035289B" w:rsidRPr="00A05AA1" w:rsidRDefault="0035289B" w:rsidP="00EB64C8">
      <w:pPr>
        <w:jc w:val="both"/>
        <w:rPr>
          <w:rFonts w:ascii="Arial" w:hAnsi="Arial"/>
          <w:lang w:val="es-ES_tradnl"/>
        </w:rPr>
      </w:pPr>
      <w:r w:rsidRPr="00A05AA1">
        <w:rPr>
          <w:rFonts w:ascii="Arial" w:hAnsi="Arial"/>
          <w:lang w:val="es-ES_tradnl"/>
        </w:rPr>
        <w:t xml:space="preserve">Estos objetivos son detallados en la CDN, con el contexto y las principales medidas que aportan al alcance de los objetivos de mitigación y adaptación; las medidas de </w:t>
      </w:r>
      <w:r w:rsidRPr="00A05AA1">
        <w:rPr>
          <w:rFonts w:ascii="Arial" w:hAnsi="Arial"/>
          <w:lang w:val="es-ES_tradnl"/>
        </w:rPr>
        <w:lastRenderedPageBreak/>
        <w:t>fortalecimiento de las capacidades y generación de conocimiento sobre cambio climático; y el esquema de transparencia para dar seguimiento.</w:t>
      </w:r>
    </w:p>
    <w:p w14:paraId="156530FF" w14:textId="77777777" w:rsidR="00D219B1" w:rsidRPr="00A05AA1" w:rsidRDefault="00D219B1" w:rsidP="00D219B1">
      <w:pPr>
        <w:rPr>
          <w:rFonts w:ascii="Arial" w:hAnsi="Arial"/>
          <w:lang w:val="es-ES_tradnl"/>
        </w:rPr>
      </w:pPr>
      <w:r w:rsidRPr="00A05AA1">
        <w:rPr>
          <w:rFonts w:ascii="Arial" w:hAnsi="Arial"/>
          <w:lang w:val="es-ES_tradnl"/>
        </w:rPr>
        <w:t xml:space="preserve">Con la voluntad al país en la operacionalización de su CDN, se </w:t>
      </w:r>
      <w:r w:rsidR="00161476" w:rsidRPr="00A05AA1">
        <w:rPr>
          <w:rFonts w:ascii="Arial" w:hAnsi="Arial"/>
          <w:lang w:val="es-ES_tradnl"/>
        </w:rPr>
        <w:t>identificó</w:t>
      </w:r>
      <w:r w:rsidRPr="00A05AA1">
        <w:rPr>
          <w:rFonts w:ascii="Arial" w:hAnsi="Arial"/>
          <w:lang w:val="es-ES_tradnl"/>
        </w:rPr>
        <w:t xml:space="preserve"> la posibilidad de transversalizar las acciones de la CDN en el Programa de Mejoramiento de Barrios, donde se encuentran medidas con alto potencial climático que permitirían aumentar los objetivos de ambición de la CDN.</w:t>
      </w:r>
    </w:p>
    <w:p w14:paraId="66157695" w14:textId="77777777" w:rsidR="00EB64C8" w:rsidRPr="00A05AA1" w:rsidRDefault="007E77F3" w:rsidP="007E77F3">
      <w:pPr>
        <w:pStyle w:val="Heading2"/>
        <w:rPr>
          <w:rFonts w:ascii="Arial" w:hAnsi="Arial"/>
          <w:sz w:val="22"/>
          <w:lang w:val="es-ES_tradnl"/>
        </w:rPr>
      </w:pPr>
      <w:r w:rsidRPr="00A05AA1">
        <w:rPr>
          <w:rFonts w:ascii="Arial" w:hAnsi="Arial"/>
          <w:sz w:val="22"/>
          <w:lang w:val="es-ES_tradnl"/>
        </w:rPr>
        <w:t xml:space="preserve">El Programa de Mejoramiento de Barrios (PMB) como catalizador de la inversión </w:t>
      </w:r>
      <w:r w:rsidR="00161476" w:rsidRPr="00A05AA1">
        <w:rPr>
          <w:rFonts w:ascii="Arial" w:hAnsi="Arial"/>
          <w:sz w:val="22"/>
          <w:lang w:val="es-ES_tradnl"/>
        </w:rPr>
        <w:t>pública</w:t>
      </w:r>
      <w:r w:rsidRPr="00A05AA1">
        <w:rPr>
          <w:rFonts w:ascii="Arial" w:hAnsi="Arial"/>
          <w:sz w:val="22"/>
          <w:lang w:val="es-ES_tradnl"/>
        </w:rPr>
        <w:t xml:space="preserve"> alineada a la CDN</w:t>
      </w:r>
    </w:p>
    <w:p w14:paraId="3D47E519" w14:textId="77777777" w:rsidR="007E77F3" w:rsidRPr="00A05AA1" w:rsidRDefault="007E77F3" w:rsidP="00EB64C8">
      <w:pPr>
        <w:jc w:val="both"/>
        <w:rPr>
          <w:rFonts w:ascii="Arial" w:hAnsi="Arial"/>
          <w:lang w:val="es-ES_tradnl"/>
        </w:rPr>
      </w:pPr>
      <w:r w:rsidRPr="00A05AA1">
        <w:rPr>
          <w:rFonts w:ascii="Arial" w:hAnsi="Arial"/>
          <w:lang w:val="es-ES_tradnl"/>
        </w:rPr>
        <w:t>El principal logro del PMB fue la reducción del número total de asentamientos entre los años 2006 y 2011. Las regularizaciones y relocalizaciones realizadas en ese período fueron el principal factor que explica esa disminución, “por cada nuevo asentamiento surgido en el período, el Estado regularizó o realojó cinco”. A esto se suma la integración urbanística de los asentamientos a la trama formal de las ciudades, la provisión de servicios urbanos básicos y la construcción de equipamientos y espacios públicos de gran valor para las áreas de las intervenciones, especialmente aquellos que dan servicio a poblaciones más vulnerables</w:t>
      </w:r>
      <w:r w:rsidRPr="00A05AA1">
        <w:rPr>
          <w:rStyle w:val="FootnoteReference"/>
          <w:rFonts w:ascii="Arial" w:hAnsi="Arial"/>
          <w:lang w:val="es-ES_tradnl"/>
        </w:rPr>
        <w:footnoteReference w:id="2"/>
      </w:r>
      <w:r w:rsidRPr="00A05AA1">
        <w:rPr>
          <w:rFonts w:ascii="Arial" w:hAnsi="Arial"/>
          <w:lang w:val="es-ES_tradnl"/>
        </w:rPr>
        <w:t>. Dichas construcciones cuentan con un potencial de mitigación importante por lo que en esta fase de la operación se buscaran incluir consideraciones de eficiencia en el alumbrado público, estándares de edificación social sostenible y la proyección de escenarios de cambio climático, tanto de temperatura como de precipitaciones en los pliegos de construcción de todas las obras con el objetivo de que sean resilientes a los impactos esperados del cambio climático.</w:t>
      </w:r>
    </w:p>
    <w:p w14:paraId="21CEFE4D" w14:textId="77777777" w:rsidR="007E77F3" w:rsidRPr="00A05AA1" w:rsidRDefault="007E77F3" w:rsidP="007E77F3">
      <w:pPr>
        <w:jc w:val="both"/>
        <w:rPr>
          <w:rFonts w:ascii="Arial" w:hAnsi="Arial"/>
          <w:color w:val="000000"/>
          <w:spacing w:val="5"/>
          <w:lang w:val="es-ES_tradnl"/>
        </w:rPr>
      </w:pPr>
      <w:r w:rsidRPr="00A05AA1">
        <w:rPr>
          <w:rFonts w:ascii="Arial" w:hAnsi="Arial"/>
          <w:color w:val="000000"/>
          <w:spacing w:val="5"/>
          <w:lang w:val="es-ES_tradnl"/>
        </w:rPr>
        <w:t xml:space="preserve">Cabe recalcar, que la resiliencia es un eje fundamental del PMB, un país que cuenta con una población urbana de 93%, y donde los impactos de las inundaciones causan grandes pérdidas humanas y económicas. En 2015, los efectos de la variabilidad climática, a través de fuertes inundaciones tuvieron como consecuencia el desplazamiento de 20.000 personas de zonas urbanas. </w:t>
      </w:r>
    </w:p>
    <w:p w14:paraId="1CFE9FEC" w14:textId="77777777" w:rsidR="00564838" w:rsidRPr="00A05AA1" w:rsidRDefault="007E77F3" w:rsidP="00EB64C8">
      <w:pPr>
        <w:jc w:val="both"/>
        <w:rPr>
          <w:rFonts w:ascii="Arial" w:hAnsi="Arial"/>
          <w:lang w:val="es-ES_tradnl"/>
        </w:rPr>
      </w:pPr>
      <w:r w:rsidRPr="00A05AA1">
        <w:rPr>
          <w:rFonts w:ascii="Arial" w:hAnsi="Arial"/>
          <w:lang w:val="es-ES_tradnl"/>
        </w:rPr>
        <w:t xml:space="preserve">En este contexto, las sinergias en las intervenciones del </w:t>
      </w:r>
      <w:r w:rsidR="00564838" w:rsidRPr="00A05AA1">
        <w:rPr>
          <w:rFonts w:ascii="Arial" w:hAnsi="Arial"/>
          <w:lang w:val="es-ES_tradnl"/>
        </w:rPr>
        <w:t xml:space="preserve">PMB </w:t>
      </w:r>
      <w:r w:rsidRPr="00A05AA1">
        <w:rPr>
          <w:rFonts w:ascii="Arial" w:hAnsi="Arial"/>
          <w:lang w:val="es-ES_tradnl"/>
        </w:rPr>
        <w:t xml:space="preserve">con </w:t>
      </w:r>
      <w:r w:rsidR="00564838" w:rsidRPr="00A05AA1">
        <w:rPr>
          <w:rFonts w:ascii="Arial" w:hAnsi="Arial"/>
          <w:lang w:val="es-ES_tradnl"/>
        </w:rPr>
        <w:t xml:space="preserve">el Plan Nacional de Relocalizaciones (PNR), </w:t>
      </w:r>
      <w:r w:rsidRPr="00A05AA1">
        <w:rPr>
          <w:rFonts w:ascii="Arial" w:hAnsi="Arial"/>
          <w:lang w:val="es-ES_tradnl"/>
        </w:rPr>
        <w:t xml:space="preserve">han permitido </w:t>
      </w:r>
      <w:r w:rsidR="00564838" w:rsidRPr="00A05AA1">
        <w:rPr>
          <w:rFonts w:ascii="Arial" w:hAnsi="Arial"/>
          <w:lang w:val="es-ES_tradnl"/>
        </w:rPr>
        <w:t xml:space="preserve">relocalizar </w:t>
      </w:r>
      <w:r w:rsidRPr="00A05AA1">
        <w:rPr>
          <w:rFonts w:ascii="Arial" w:hAnsi="Arial"/>
          <w:lang w:val="es-ES_tradnl"/>
        </w:rPr>
        <w:t xml:space="preserve">a </w:t>
      </w:r>
      <w:r w:rsidR="00564838" w:rsidRPr="00A05AA1">
        <w:rPr>
          <w:rFonts w:ascii="Arial" w:hAnsi="Arial"/>
          <w:lang w:val="es-ES_tradnl"/>
        </w:rPr>
        <w:t>poblaci</w:t>
      </w:r>
      <w:r w:rsidRPr="00A05AA1">
        <w:rPr>
          <w:rFonts w:ascii="Arial" w:hAnsi="Arial"/>
          <w:lang w:val="es-ES_tradnl"/>
        </w:rPr>
        <w:t>ones</w:t>
      </w:r>
      <w:r w:rsidR="00564838" w:rsidRPr="00A05AA1">
        <w:rPr>
          <w:rFonts w:ascii="Arial" w:hAnsi="Arial"/>
          <w:lang w:val="es-ES_tradnl"/>
        </w:rPr>
        <w:t xml:space="preserve"> asentada</w:t>
      </w:r>
      <w:r w:rsidRPr="00A05AA1">
        <w:rPr>
          <w:rFonts w:ascii="Arial" w:hAnsi="Arial"/>
          <w:lang w:val="es-ES_tradnl"/>
        </w:rPr>
        <w:t>s</w:t>
      </w:r>
      <w:r w:rsidR="00564838" w:rsidRPr="00A05AA1">
        <w:rPr>
          <w:rFonts w:ascii="Arial" w:hAnsi="Arial"/>
          <w:lang w:val="es-ES_tradnl"/>
        </w:rPr>
        <w:t xml:space="preserve"> en terrenos inundables o contaminados para revertir procesos de segregación social y fragmentación territorial. Entre 2010 y 2017 se firmaron 20 convenios con intendencias departamentales para relocalizar aproximadamente a 2.700 familias.</w:t>
      </w:r>
    </w:p>
    <w:p w14:paraId="6F49F34E" w14:textId="77777777" w:rsidR="00564838" w:rsidRPr="00A05AA1" w:rsidRDefault="005D1B6F" w:rsidP="00EB64C8">
      <w:pPr>
        <w:jc w:val="both"/>
        <w:rPr>
          <w:rFonts w:ascii="Arial" w:hAnsi="Arial"/>
          <w:lang w:val="es-ES_tradnl"/>
        </w:rPr>
      </w:pPr>
      <w:r w:rsidRPr="00A05AA1">
        <w:rPr>
          <w:rFonts w:ascii="Arial" w:hAnsi="Arial"/>
          <w:lang w:val="es-ES_tradnl"/>
        </w:rPr>
        <w:t xml:space="preserve">Estos esfuerzos, también se ven fortalecidos por la acción de la </w:t>
      </w:r>
      <w:r w:rsidR="00564838" w:rsidRPr="00A05AA1">
        <w:rPr>
          <w:rFonts w:ascii="Arial" w:hAnsi="Arial"/>
          <w:lang w:val="es-ES_tradnl"/>
        </w:rPr>
        <w:t xml:space="preserve">DINAGUA se ha focalizado en la identificación del daño esperado, necesaria para la planificación de las zonas inundables. En particular, con relación a las inundaciones de ribera, se han cuantificado a la fecha las personas, viviendas y hogares por debajo de la curva del período de retorno de 100 años (Tr100) en 44 ciudades donde se concentra el 78% de la población del país. Son en total cerca de 100.000 personas afectadas distribuidas en todo el territorio nacional. Se avanza en la elaboración de mapas de riesgo de inundación, elaborados según niveles de riesgo de las ciudades, considerando tanto la amenaza como la vulnerabilidad de las áreas expuestas. </w:t>
      </w:r>
    </w:p>
    <w:p w14:paraId="0307D79F" w14:textId="77777777" w:rsidR="00DF653A" w:rsidRPr="00896C4B" w:rsidRDefault="00DF653A">
      <w:pPr>
        <w:rPr>
          <w:rFonts w:ascii="Arial" w:hAnsi="Arial" w:cs="Arial"/>
          <w:lang w:val="es-ES_tradnl"/>
        </w:rPr>
      </w:pPr>
      <w:r w:rsidRPr="00896C4B">
        <w:rPr>
          <w:rFonts w:ascii="Arial" w:hAnsi="Arial" w:cs="Arial"/>
          <w:lang w:val="es-ES_tradnl"/>
        </w:rPr>
        <w:br w:type="page"/>
      </w:r>
    </w:p>
    <w:p w14:paraId="0EBFEBD0" w14:textId="77777777" w:rsidR="00DF653A" w:rsidRPr="00896C4B" w:rsidRDefault="00DF653A" w:rsidP="00EB64C8">
      <w:pPr>
        <w:jc w:val="both"/>
        <w:rPr>
          <w:rFonts w:ascii="Arial" w:hAnsi="Arial" w:cs="Arial"/>
          <w:lang w:val="es-ES_tradnl"/>
        </w:rPr>
        <w:sectPr w:rsidR="00DF653A" w:rsidRPr="00896C4B" w:rsidSect="00564838">
          <w:headerReference w:type="default" r:id="rId16"/>
          <w:pgSz w:w="11906" w:h="16838"/>
          <w:pgMar w:top="1417" w:right="1701" w:bottom="1417" w:left="1701" w:header="708" w:footer="708" w:gutter="0"/>
          <w:cols w:space="708"/>
          <w:docGrid w:linePitch="360"/>
        </w:sectPr>
      </w:pPr>
    </w:p>
    <w:p w14:paraId="73C651D1" w14:textId="77777777" w:rsidR="002B217A" w:rsidRPr="00A05AA1" w:rsidRDefault="00A75CFD" w:rsidP="00A75CFD">
      <w:pPr>
        <w:pStyle w:val="Heading2"/>
        <w:rPr>
          <w:rFonts w:ascii="Arial" w:hAnsi="Arial"/>
          <w:sz w:val="22"/>
          <w:lang w:val="es-ES_tradnl"/>
        </w:rPr>
      </w:pPr>
      <w:r w:rsidRPr="00A05AA1">
        <w:rPr>
          <w:rFonts w:ascii="Arial" w:hAnsi="Arial"/>
          <w:sz w:val="22"/>
          <w:lang w:val="es-ES_tradnl"/>
        </w:rPr>
        <w:lastRenderedPageBreak/>
        <w:t xml:space="preserve">Proyecto y cambio climático </w:t>
      </w:r>
    </w:p>
    <w:p w14:paraId="4C5BD803" w14:textId="77777777" w:rsidR="00576582" w:rsidRPr="00A05AA1" w:rsidRDefault="002B217A" w:rsidP="00270E49">
      <w:pPr>
        <w:jc w:val="both"/>
        <w:rPr>
          <w:rFonts w:ascii="Arial" w:hAnsi="Arial"/>
          <w:lang w:val="es-ES_tradnl"/>
        </w:rPr>
      </w:pPr>
      <w:r w:rsidRPr="00A05AA1">
        <w:rPr>
          <w:rFonts w:ascii="Arial" w:hAnsi="Arial"/>
          <w:lang w:val="es-ES_tradnl"/>
        </w:rPr>
        <w:t>Con el fin de poder</w:t>
      </w:r>
      <w:r w:rsidR="00A75CFD" w:rsidRPr="00A05AA1">
        <w:rPr>
          <w:rFonts w:ascii="Arial" w:hAnsi="Arial"/>
          <w:lang w:val="es-ES_tradnl"/>
        </w:rPr>
        <w:t xml:space="preserve"> dar seguimiento del alcance climático de las actividades, el equipo de proyecto coordino y colaboro con el equipo de la Dirección de Cambio Climático del MVOTMA. Como resultado de esta colaboración, e</w:t>
      </w:r>
      <w:r w:rsidR="001A4366" w:rsidRPr="00A05AA1">
        <w:rPr>
          <w:rFonts w:ascii="Arial" w:hAnsi="Arial"/>
          <w:lang w:val="es-ES_tradnl"/>
        </w:rPr>
        <w:t>ste documento busca reflejar los vínculos entre la Contribución Determinada a nivel Nacional</w:t>
      </w:r>
      <w:r w:rsidR="0021309D" w:rsidRPr="00A05AA1">
        <w:rPr>
          <w:rFonts w:ascii="Arial" w:hAnsi="Arial"/>
          <w:lang w:val="es-ES_tradnl"/>
        </w:rPr>
        <w:t xml:space="preserve"> de Uruguay</w:t>
      </w:r>
      <w:r w:rsidR="001A4366" w:rsidRPr="00A05AA1">
        <w:rPr>
          <w:rFonts w:ascii="Arial" w:hAnsi="Arial"/>
          <w:lang w:val="es-ES_tradnl"/>
        </w:rPr>
        <w:t xml:space="preserve"> bajo el Acuerdo de París de Cambio Climático y el accionar del Programa de Mejoramiento de Barrios. De esta forma, se busca fortalecer el enfoque de cambio climático en las medidas implementadas por el Programa de Mejoramiento de Barrios.</w:t>
      </w:r>
      <w:r w:rsidR="00576582" w:rsidRPr="00A05AA1">
        <w:rPr>
          <w:rFonts w:ascii="Arial" w:hAnsi="Arial"/>
          <w:lang w:val="es-ES_tradnl"/>
        </w:rPr>
        <w:t xml:space="preserve"> </w:t>
      </w:r>
    </w:p>
    <w:p w14:paraId="7A7AB710" w14:textId="77777777" w:rsidR="00270E49" w:rsidRPr="00A05AA1" w:rsidRDefault="00270E49" w:rsidP="00270E49">
      <w:pPr>
        <w:jc w:val="both"/>
        <w:rPr>
          <w:rFonts w:ascii="Arial" w:hAnsi="Arial"/>
          <w:lang w:val="es-ES_tradnl"/>
        </w:rPr>
      </w:pPr>
      <w:r w:rsidRPr="00A05AA1">
        <w:rPr>
          <w:rFonts w:ascii="Arial" w:hAnsi="Arial"/>
          <w:lang w:val="es-ES_tradnl"/>
        </w:rPr>
        <w:t xml:space="preserve">La muestra de proyectos presentada sobre la base de San Antonio IV, Parque </w:t>
      </w:r>
      <w:proofErr w:type="spellStart"/>
      <w:r w:rsidRPr="00A05AA1">
        <w:rPr>
          <w:rFonts w:ascii="Arial" w:hAnsi="Arial"/>
          <w:lang w:val="es-ES_tradnl"/>
        </w:rPr>
        <w:t>Cauceglia</w:t>
      </w:r>
      <w:proofErr w:type="spellEnd"/>
      <w:r w:rsidRPr="00A05AA1">
        <w:rPr>
          <w:rFonts w:ascii="Arial" w:hAnsi="Arial"/>
          <w:lang w:val="es-ES_tradnl"/>
        </w:rPr>
        <w:t xml:space="preserve">, La Paloma, Pando Norte, Municipal I, y Nueva Esperanza. </w:t>
      </w:r>
    </w:p>
    <w:p w14:paraId="50CDE80F" w14:textId="77777777" w:rsidR="00270E49" w:rsidRPr="00A05AA1" w:rsidRDefault="00270E49" w:rsidP="00270E49">
      <w:pPr>
        <w:autoSpaceDE w:val="0"/>
        <w:autoSpaceDN w:val="0"/>
        <w:adjustRightInd w:val="0"/>
        <w:spacing w:after="0" w:line="240" w:lineRule="auto"/>
        <w:jc w:val="both"/>
        <w:rPr>
          <w:rFonts w:ascii="Arial" w:hAnsi="Arial"/>
          <w:lang w:val="es-ES_tradnl"/>
        </w:rPr>
      </w:pPr>
      <w:r w:rsidRPr="00A05AA1">
        <w:rPr>
          <w:rFonts w:ascii="Arial" w:hAnsi="Arial"/>
          <w:b/>
          <w:lang w:val="es-ES_tradnl"/>
        </w:rPr>
        <w:t xml:space="preserve">San Antonio IV: </w:t>
      </w:r>
      <w:r w:rsidRPr="00A05AA1">
        <w:rPr>
          <w:rFonts w:ascii="Arial" w:hAnsi="Arial"/>
          <w:lang w:val="es-ES_tradnl"/>
        </w:rPr>
        <w:t xml:space="preserve"> es un proyecto integral que además aborda la visión medio ambiental a partir de la eliminación del sistema de saneamiento estático filtrante, la construcción de alumbrado público, la generación de la franja libre a ambos lados de la cañada (Construcción de parques lineales en cañadas) y la contención de la urbanización mediante la ocupación de dicho espacio. La zona presenta buena conectividad vial y la trama vial propuesta se considera es acorde. Incluye 80 realojos debido a problemas de surgen debido a la apertura de calles, viviendas en zonas inundables (ribera de la cañada), </w:t>
      </w:r>
      <w:proofErr w:type="spellStart"/>
      <w:r w:rsidRPr="00A05AA1">
        <w:rPr>
          <w:rFonts w:ascii="Arial" w:hAnsi="Arial"/>
          <w:lang w:val="es-ES_tradnl"/>
        </w:rPr>
        <w:t>refraccionamiento</w:t>
      </w:r>
      <w:proofErr w:type="spellEnd"/>
      <w:r w:rsidRPr="00A05AA1">
        <w:rPr>
          <w:rFonts w:ascii="Arial" w:hAnsi="Arial"/>
          <w:lang w:val="es-ES_tradnl"/>
        </w:rPr>
        <w:t>, precariedad habitacional y hacinamiento</w:t>
      </w:r>
    </w:p>
    <w:p w14:paraId="064C5C0C" w14:textId="77777777" w:rsidR="00270E49" w:rsidRPr="00A05AA1" w:rsidRDefault="00270E49" w:rsidP="00270E49">
      <w:pPr>
        <w:rPr>
          <w:rFonts w:ascii="Arial" w:hAnsi="Arial"/>
          <w:lang w:val="es-ES_tradnl"/>
        </w:rPr>
      </w:pPr>
    </w:p>
    <w:p w14:paraId="3A73EE9C" w14:textId="77777777" w:rsidR="00270E49" w:rsidRPr="00A05AA1" w:rsidRDefault="00270E49" w:rsidP="00270E49">
      <w:pPr>
        <w:rPr>
          <w:rFonts w:ascii="Arial" w:hAnsi="Arial"/>
          <w:lang w:val="es-ES_tradnl"/>
        </w:rPr>
      </w:pPr>
      <w:r w:rsidRPr="00A05AA1">
        <w:rPr>
          <w:rFonts w:ascii="Arial" w:hAnsi="Arial"/>
          <w:b/>
          <w:lang w:val="es-ES_tradnl"/>
        </w:rPr>
        <w:t xml:space="preserve">Parque </w:t>
      </w:r>
      <w:proofErr w:type="spellStart"/>
      <w:r w:rsidRPr="00A05AA1">
        <w:rPr>
          <w:rFonts w:ascii="Arial" w:hAnsi="Arial"/>
          <w:b/>
          <w:lang w:val="es-ES_tradnl"/>
        </w:rPr>
        <w:t>Cauceglia</w:t>
      </w:r>
      <w:proofErr w:type="spellEnd"/>
      <w:r w:rsidRPr="00A05AA1">
        <w:rPr>
          <w:rFonts w:ascii="Arial" w:hAnsi="Arial"/>
          <w:b/>
          <w:lang w:val="es-ES_tradnl"/>
        </w:rPr>
        <w:t xml:space="preserve">: </w:t>
      </w:r>
      <w:r w:rsidRPr="00A05AA1">
        <w:rPr>
          <w:rFonts w:ascii="Arial" w:hAnsi="Arial"/>
          <w:lang w:val="es-ES_tradnl"/>
        </w:rPr>
        <w:t xml:space="preserve">el proyecto es acorde a la situación desafiante que presenta esta zona debido a las características tanto de proximidad al arroyo como a la ruta, zonas inundables y posible contenido de plomo en el suelo de la zona no habitable (donde no se implantaran viviendas). Se destaca la importancia de mantener los niveles proyectados tanto para las rasantes de calles e implantación de viviendas, para asegurar la no </w:t>
      </w:r>
      <w:proofErr w:type="spellStart"/>
      <w:r w:rsidRPr="00A05AA1">
        <w:rPr>
          <w:rFonts w:ascii="Arial" w:hAnsi="Arial"/>
          <w:lang w:val="es-ES_tradnl"/>
        </w:rPr>
        <w:t>inundabilidad</w:t>
      </w:r>
      <w:proofErr w:type="spellEnd"/>
      <w:r w:rsidRPr="00A05AA1">
        <w:rPr>
          <w:rFonts w:ascii="Arial" w:hAnsi="Arial"/>
          <w:lang w:val="es-ES_tradnl"/>
        </w:rPr>
        <w:t xml:space="preserve"> de la urbanización. Esta intervención tendrá una atención específica al bañado del Arroyo Pantanoso, en el cual se genera una desafectación de la faja inundable mediante realojos. </w:t>
      </w:r>
      <w:r w:rsidR="00C417E9" w:rsidRPr="00A05AA1">
        <w:rPr>
          <w:rFonts w:ascii="Arial" w:hAnsi="Arial"/>
          <w:lang w:val="es-ES_tradnl"/>
        </w:rPr>
        <w:t>Así</w:t>
      </w:r>
      <w:r w:rsidRPr="00A05AA1">
        <w:rPr>
          <w:rFonts w:ascii="Arial" w:hAnsi="Arial"/>
          <w:lang w:val="es-ES_tradnl"/>
        </w:rPr>
        <w:t xml:space="preserve"> como también incluirá una intervención de alumbrado </w:t>
      </w:r>
      <w:r w:rsidR="00C417E9" w:rsidRPr="00A05AA1">
        <w:rPr>
          <w:rFonts w:ascii="Arial" w:hAnsi="Arial"/>
          <w:lang w:val="es-ES_tradnl"/>
        </w:rPr>
        <w:t>público</w:t>
      </w:r>
      <w:r w:rsidRPr="00A05AA1">
        <w:rPr>
          <w:rFonts w:ascii="Arial" w:hAnsi="Arial"/>
          <w:lang w:val="es-ES_tradnl"/>
        </w:rPr>
        <w:t xml:space="preserve"> donde se </w:t>
      </w:r>
      <w:r w:rsidR="00C417E9" w:rsidRPr="00A05AA1">
        <w:rPr>
          <w:rFonts w:ascii="Arial" w:hAnsi="Arial"/>
          <w:lang w:val="es-ES_tradnl"/>
        </w:rPr>
        <w:t xml:space="preserve">promoverán la adopción de tecnologías eficientes </w:t>
      </w:r>
    </w:p>
    <w:p w14:paraId="0C959DA2" w14:textId="77777777" w:rsidR="00270E49" w:rsidRPr="00A05AA1" w:rsidRDefault="00270E49" w:rsidP="00C417E9">
      <w:pPr>
        <w:rPr>
          <w:rFonts w:ascii="Arial" w:hAnsi="Arial"/>
          <w:lang w:val="es-ES_tradnl"/>
        </w:rPr>
      </w:pPr>
      <w:r w:rsidRPr="00A05AA1">
        <w:rPr>
          <w:rFonts w:ascii="Arial" w:hAnsi="Arial"/>
          <w:b/>
          <w:lang w:val="es-ES_tradnl"/>
        </w:rPr>
        <w:t xml:space="preserve">La Paloma: </w:t>
      </w:r>
      <w:r w:rsidR="00C417E9" w:rsidRPr="00A05AA1">
        <w:rPr>
          <w:rFonts w:ascii="Arial" w:hAnsi="Arial"/>
          <w:lang w:val="es-ES_tradnl"/>
        </w:rPr>
        <w:t>Uno de los principales problemas en esta área de intervención es la basura, y preservara infraestructuras proyectadas (bocas de tormenta y colectores), espacios públicos y cañada.</w:t>
      </w:r>
    </w:p>
    <w:p w14:paraId="62CD03DA" w14:textId="77777777" w:rsidR="00270E49" w:rsidRPr="00A05AA1" w:rsidRDefault="00270E49" w:rsidP="00C417E9">
      <w:pPr>
        <w:rPr>
          <w:rFonts w:ascii="Arial" w:hAnsi="Arial"/>
          <w:lang w:val="es-ES_tradnl"/>
        </w:rPr>
      </w:pPr>
      <w:r w:rsidRPr="00A05AA1">
        <w:rPr>
          <w:rFonts w:ascii="Arial" w:hAnsi="Arial"/>
          <w:b/>
          <w:lang w:val="es-ES_tradnl"/>
        </w:rPr>
        <w:t>Pando Norte:</w:t>
      </w:r>
      <w:r w:rsidR="00C417E9" w:rsidRPr="00A05AA1">
        <w:rPr>
          <w:rFonts w:ascii="Arial" w:hAnsi="Arial"/>
          <w:lang w:val="es-ES_tradnl"/>
        </w:rPr>
        <w:t xml:space="preserve"> Las acciones que serán realizadas en esta área de intervención se desarrollarán en materia de drenaje pluvial de las diferentes subcuencas hidrológicas de aporte, escurrimiento de casas bajas, el saneamiento teniendo en cuenta las futuras expansiones de los barrios linderos cruces de cañada y via férrea, red de agua y clasificación de residuos. El diseño de infraestructura y espacio público también tendrá un gran potencial de inclusión de una dimensión de resiliencia. </w:t>
      </w:r>
    </w:p>
    <w:p w14:paraId="09A65D7C" w14:textId="77777777" w:rsidR="006E2C0D" w:rsidRDefault="006E2C0D" w:rsidP="00270E49">
      <w:pPr>
        <w:rPr>
          <w:lang w:val="es-ES_tradnl"/>
        </w:rPr>
        <w:sectPr w:rsidR="006E2C0D" w:rsidSect="006E2C0D">
          <w:pgSz w:w="11906" w:h="16838"/>
          <w:pgMar w:top="1411" w:right="1699" w:bottom="1411" w:left="1699" w:header="706" w:footer="706" w:gutter="0"/>
          <w:cols w:space="708"/>
          <w:docGrid w:linePitch="360"/>
        </w:sectPr>
      </w:pPr>
    </w:p>
    <w:p w14:paraId="67DA130F" w14:textId="045AA0E2" w:rsidR="00270E49" w:rsidRPr="00A05AA1" w:rsidRDefault="00270E49" w:rsidP="00270E49">
      <w:pPr>
        <w:rPr>
          <w:rFonts w:ascii="Arial" w:hAnsi="Arial"/>
          <w:lang w:val="es-ES_tradnl"/>
        </w:rPr>
      </w:pPr>
    </w:p>
    <w:tbl>
      <w:tblPr>
        <w:tblW w:w="13860" w:type="dxa"/>
        <w:tblInd w:w="85" w:type="dxa"/>
        <w:tblCellMar>
          <w:left w:w="70" w:type="dxa"/>
          <w:right w:w="70" w:type="dxa"/>
        </w:tblCellMar>
        <w:tblLook w:val="04A0" w:firstRow="1" w:lastRow="0" w:firstColumn="1" w:lastColumn="0" w:noHBand="0" w:noVBand="1"/>
      </w:tblPr>
      <w:tblGrid>
        <w:gridCol w:w="4435"/>
        <w:gridCol w:w="9425"/>
      </w:tblGrid>
      <w:tr w:rsidR="001A4366" w:rsidRPr="00896C4B" w14:paraId="0A8704EA" w14:textId="77777777" w:rsidTr="00576FEA">
        <w:trPr>
          <w:trHeight w:val="288"/>
        </w:trPr>
        <w:tc>
          <w:tcPr>
            <w:tcW w:w="1386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643619C2" w14:textId="00978BE1" w:rsidR="00C40C9C" w:rsidRPr="00A05AA1" w:rsidRDefault="001A4366" w:rsidP="00896C4B">
            <w:pPr>
              <w:spacing w:after="0" w:line="240" w:lineRule="auto"/>
              <w:jc w:val="both"/>
              <w:rPr>
                <w:rFonts w:ascii="Arial" w:hAnsi="Arial"/>
                <w:b/>
                <w:color w:val="000000"/>
                <w:sz w:val="20"/>
                <w:lang w:val="es-ES_tradnl"/>
              </w:rPr>
            </w:pPr>
            <w:r w:rsidRPr="00A05AA1">
              <w:rPr>
                <w:rFonts w:ascii="Arial" w:hAnsi="Arial"/>
                <w:b/>
                <w:color w:val="000000"/>
                <w:sz w:val="20"/>
                <w:lang w:val="es-ES_tradnl"/>
              </w:rPr>
              <w:t>ACCIONES FINANCIABLES EN PROYECTOS DE MEJORAMIENTO DE BARRIO</w:t>
            </w:r>
            <w:r w:rsidR="00C40C9C" w:rsidRPr="00A05AA1">
              <w:rPr>
                <w:rStyle w:val="FootnoteReference"/>
                <w:rFonts w:ascii="Arial" w:hAnsi="Arial"/>
                <w:b/>
                <w:color w:val="000000"/>
                <w:sz w:val="20"/>
                <w:lang w:val="es-ES_tradnl"/>
              </w:rPr>
              <w:footnoteReference w:id="3"/>
            </w:r>
          </w:p>
        </w:tc>
      </w:tr>
      <w:tr w:rsidR="001A4366" w:rsidRPr="00896C4B" w14:paraId="38D09E65" w14:textId="77777777" w:rsidTr="00576FEA">
        <w:trPr>
          <w:trHeight w:val="288"/>
        </w:trPr>
        <w:tc>
          <w:tcPr>
            <w:tcW w:w="4435" w:type="dxa"/>
            <w:tcBorders>
              <w:top w:val="nil"/>
              <w:left w:val="single" w:sz="4" w:space="0" w:color="auto"/>
              <w:bottom w:val="single" w:sz="4" w:space="0" w:color="auto"/>
              <w:right w:val="single" w:sz="4" w:space="0" w:color="auto"/>
            </w:tcBorders>
            <w:shd w:val="clear" w:color="000000" w:fill="D9D9D9"/>
            <w:vAlign w:val="center"/>
            <w:hideMark/>
          </w:tcPr>
          <w:p w14:paraId="78D44BE3" w14:textId="77777777" w:rsidR="001A4366" w:rsidRPr="00A05AA1" w:rsidRDefault="001A4366" w:rsidP="00EB64C8">
            <w:pPr>
              <w:spacing w:after="0" w:line="240" w:lineRule="auto"/>
              <w:jc w:val="both"/>
              <w:rPr>
                <w:rFonts w:ascii="Arial" w:hAnsi="Arial"/>
                <w:b/>
                <w:color w:val="000000"/>
                <w:sz w:val="20"/>
                <w:lang w:val="es-ES_tradnl"/>
              </w:rPr>
            </w:pPr>
            <w:r w:rsidRPr="00A05AA1">
              <w:rPr>
                <w:rFonts w:ascii="Arial" w:hAnsi="Arial"/>
                <w:b/>
                <w:color w:val="000000"/>
                <w:sz w:val="20"/>
                <w:lang w:val="es-ES_tradnl"/>
              </w:rPr>
              <w:t xml:space="preserve">SUBCOMPONENTE / RUBRO </w:t>
            </w:r>
          </w:p>
        </w:tc>
        <w:tc>
          <w:tcPr>
            <w:tcW w:w="9425" w:type="dxa"/>
            <w:tcBorders>
              <w:top w:val="nil"/>
              <w:left w:val="nil"/>
              <w:bottom w:val="single" w:sz="4" w:space="0" w:color="auto"/>
              <w:right w:val="single" w:sz="4" w:space="0" w:color="auto"/>
            </w:tcBorders>
            <w:shd w:val="clear" w:color="000000" w:fill="D9D9D9"/>
            <w:vAlign w:val="center"/>
            <w:hideMark/>
          </w:tcPr>
          <w:p w14:paraId="32DF3A69" w14:textId="68762A57" w:rsidR="00C40C9C" w:rsidRPr="00A05AA1" w:rsidRDefault="001A4366" w:rsidP="00896C4B">
            <w:pPr>
              <w:spacing w:after="0" w:line="240" w:lineRule="auto"/>
              <w:jc w:val="both"/>
              <w:rPr>
                <w:rFonts w:ascii="Arial" w:hAnsi="Arial"/>
                <w:b/>
                <w:color w:val="000000"/>
                <w:sz w:val="20"/>
                <w:lang w:val="es-ES_tradnl"/>
              </w:rPr>
            </w:pPr>
            <w:r w:rsidRPr="00A05AA1">
              <w:rPr>
                <w:rFonts w:ascii="Arial" w:hAnsi="Arial"/>
                <w:b/>
                <w:color w:val="000000"/>
                <w:sz w:val="20"/>
                <w:lang w:val="es-ES_tradnl"/>
              </w:rPr>
              <w:t>DESCRIPCIÓN</w:t>
            </w:r>
          </w:p>
        </w:tc>
      </w:tr>
      <w:tr w:rsidR="00A44757" w:rsidRPr="00896C4B" w14:paraId="43582833" w14:textId="77777777" w:rsidTr="00576FEA">
        <w:trPr>
          <w:trHeight w:val="288"/>
        </w:trPr>
        <w:tc>
          <w:tcPr>
            <w:tcW w:w="13860"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4094992" w14:textId="76CC9134" w:rsidR="00C40C9C" w:rsidRPr="00A05AA1" w:rsidRDefault="00A44757" w:rsidP="00896C4B">
            <w:pPr>
              <w:spacing w:after="0" w:line="240" w:lineRule="auto"/>
              <w:jc w:val="both"/>
              <w:rPr>
                <w:rFonts w:ascii="Arial" w:hAnsi="Arial"/>
                <w:b/>
                <w:color w:val="000000"/>
                <w:sz w:val="20"/>
                <w:lang w:val="es-ES_tradnl"/>
              </w:rPr>
            </w:pPr>
            <w:r w:rsidRPr="00A05AA1">
              <w:rPr>
                <w:rFonts w:ascii="Arial" w:hAnsi="Arial"/>
                <w:b/>
                <w:sz w:val="20"/>
                <w:lang w:val="es-ES_tradnl"/>
              </w:rPr>
              <w:t>Componente I - Mejoramiento de Barrios (US$78,7 millones)</w:t>
            </w:r>
          </w:p>
        </w:tc>
      </w:tr>
      <w:tr w:rsidR="001A4366" w:rsidRPr="00896C4B" w14:paraId="4C3C1C16" w14:textId="77777777" w:rsidTr="00576FEA">
        <w:trPr>
          <w:trHeight w:val="288"/>
        </w:trPr>
        <w:tc>
          <w:tcPr>
            <w:tcW w:w="13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80B1547" w14:textId="77777777" w:rsidR="001A4366" w:rsidRPr="00A05AA1" w:rsidRDefault="001A4366" w:rsidP="00EB64C8">
            <w:pPr>
              <w:spacing w:after="0" w:line="240" w:lineRule="auto"/>
              <w:jc w:val="both"/>
              <w:rPr>
                <w:rFonts w:ascii="Arial" w:hAnsi="Arial"/>
                <w:b/>
                <w:color w:val="000000"/>
                <w:sz w:val="20"/>
                <w:lang w:val="es-ES_tradnl"/>
              </w:rPr>
            </w:pPr>
            <w:r w:rsidRPr="00A05AA1">
              <w:rPr>
                <w:rFonts w:ascii="Arial" w:hAnsi="Arial"/>
                <w:b/>
                <w:color w:val="000000"/>
                <w:sz w:val="20"/>
                <w:lang w:val="es-ES_tradnl"/>
              </w:rPr>
              <w:t>1. INTEGRACIÓN URBANA</w:t>
            </w:r>
          </w:p>
        </w:tc>
      </w:tr>
      <w:tr w:rsidR="00576FEA" w:rsidRPr="00896C4B" w14:paraId="32ABBDDF" w14:textId="77777777" w:rsidTr="00576FEA">
        <w:trPr>
          <w:trHeight w:val="199"/>
        </w:trPr>
        <w:tc>
          <w:tcPr>
            <w:tcW w:w="4435" w:type="dxa"/>
            <w:tcBorders>
              <w:top w:val="nil"/>
              <w:left w:val="single" w:sz="4" w:space="0" w:color="auto"/>
              <w:bottom w:val="single" w:sz="4" w:space="0" w:color="auto"/>
              <w:right w:val="single" w:sz="4" w:space="0" w:color="auto"/>
            </w:tcBorders>
            <w:shd w:val="clear" w:color="000000" w:fill="FFFFFF"/>
            <w:vAlign w:val="center"/>
            <w:hideMark/>
          </w:tcPr>
          <w:p w14:paraId="390E42EC" w14:textId="77777777" w:rsidR="001A4366" w:rsidRPr="00A05AA1" w:rsidRDefault="001A4366" w:rsidP="00EB64C8">
            <w:pPr>
              <w:spacing w:after="0" w:line="240" w:lineRule="auto"/>
              <w:jc w:val="both"/>
              <w:rPr>
                <w:rFonts w:ascii="Arial" w:hAnsi="Arial"/>
                <w:color w:val="000000"/>
                <w:sz w:val="20"/>
                <w:lang w:val="es-ES_tradnl"/>
              </w:rPr>
            </w:pPr>
            <w:r w:rsidRPr="00A05AA1">
              <w:rPr>
                <w:rFonts w:ascii="Arial" w:hAnsi="Arial"/>
                <w:color w:val="000000"/>
                <w:sz w:val="20"/>
                <w:lang w:val="es-ES_tradnl"/>
              </w:rPr>
              <w:t xml:space="preserve">a. Agua potable </w:t>
            </w:r>
          </w:p>
        </w:tc>
        <w:tc>
          <w:tcPr>
            <w:tcW w:w="9425" w:type="dxa"/>
            <w:tcBorders>
              <w:top w:val="nil"/>
              <w:left w:val="nil"/>
              <w:bottom w:val="single" w:sz="4" w:space="0" w:color="auto"/>
              <w:right w:val="single" w:sz="4" w:space="0" w:color="auto"/>
            </w:tcBorders>
            <w:shd w:val="clear" w:color="000000" w:fill="FFFFFF"/>
            <w:vAlign w:val="center"/>
            <w:hideMark/>
          </w:tcPr>
          <w:p w14:paraId="732A23C9" w14:textId="77777777" w:rsidR="001A4366" w:rsidRPr="00A05AA1" w:rsidRDefault="001A4366" w:rsidP="00EB64C8">
            <w:pPr>
              <w:spacing w:after="0" w:line="240" w:lineRule="auto"/>
              <w:jc w:val="both"/>
              <w:rPr>
                <w:rFonts w:ascii="Arial" w:hAnsi="Arial"/>
                <w:color w:val="000000"/>
                <w:sz w:val="20"/>
                <w:lang w:val="es-ES_tradnl"/>
              </w:rPr>
            </w:pPr>
            <w:r w:rsidRPr="00A05AA1">
              <w:rPr>
                <w:rFonts w:ascii="Arial" w:hAnsi="Arial"/>
                <w:color w:val="000000"/>
                <w:sz w:val="20"/>
                <w:lang w:val="es-ES_tradnl"/>
              </w:rPr>
              <w:t>Mejoramiento, ampliación y/o construcción de redes de abastecimiento de agua potable; conexiones domiciliarias y conexiones a las redes existentes, construcción de tanques y afines.</w:t>
            </w:r>
          </w:p>
        </w:tc>
      </w:tr>
      <w:tr w:rsidR="00576FEA" w:rsidRPr="00896C4B" w14:paraId="7C8AF498" w14:textId="77777777" w:rsidTr="00576FEA">
        <w:trPr>
          <w:trHeight w:val="235"/>
        </w:trPr>
        <w:tc>
          <w:tcPr>
            <w:tcW w:w="4435" w:type="dxa"/>
            <w:tcBorders>
              <w:top w:val="nil"/>
              <w:left w:val="single" w:sz="4" w:space="0" w:color="auto"/>
              <w:bottom w:val="single" w:sz="4" w:space="0" w:color="auto"/>
              <w:right w:val="single" w:sz="4" w:space="0" w:color="auto"/>
            </w:tcBorders>
            <w:shd w:val="clear" w:color="000000" w:fill="FFFFFF"/>
            <w:vAlign w:val="center"/>
            <w:hideMark/>
          </w:tcPr>
          <w:p w14:paraId="019FE490" w14:textId="77777777" w:rsidR="001A4366" w:rsidRPr="00A05AA1" w:rsidRDefault="001A4366" w:rsidP="00EB64C8">
            <w:pPr>
              <w:spacing w:after="0" w:line="240" w:lineRule="auto"/>
              <w:jc w:val="both"/>
              <w:rPr>
                <w:rFonts w:ascii="Arial" w:hAnsi="Arial"/>
                <w:color w:val="000000"/>
                <w:sz w:val="20"/>
                <w:lang w:val="es-ES_tradnl"/>
              </w:rPr>
            </w:pPr>
            <w:r w:rsidRPr="00A05AA1">
              <w:rPr>
                <w:rFonts w:ascii="Arial" w:hAnsi="Arial"/>
                <w:color w:val="000000"/>
                <w:sz w:val="20"/>
                <w:lang w:val="es-ES_tradnl"/>
              </w:rPr>
              <w:t xml:space="preserve">b. Alcantarillado sanitario </w:t>
            </w:r>
          </w:p>
        </w:tc>
        <w:tc>
          <w:tcPr>
            <w:tcW w:w="9425" w:type="dxa"/>
            <w:tcBorders>
              <w:top w:val="nil"/>
              <w:left w:val="nil"/>
              <w:bottom w:val="single" w:sz="4" w:space="0" w:color="auto"/>
              <w:right w:val="single" w:sz="4" w:space="0" w:color="auto"/>
            </w:tcBorders>
            <w:shd w:val="clear" w:color="000000" w:fill="FFFFFF"/>
            <w:vAlign w:val="center"/>
            <w:hideMark/>
          </w:tcPr>
          <w:p w14:paraId="6E1025E7" w14:textId="77777777" w:rsidR="001A4366" w:rsidRPr="00A05AA1" w:rsidRDefault="001A4366" w:rsidP="00EB64C8">
            <w:pPr>
              <w:spacing w:after="0" w:line="240" w:lineRule="auto"/>
              <w:jc w:val="both"/>
              <w:rPr>
                <w:rFonts w:ascii="Arial" w:hAnsi="Arial"/>
                <w:color w:val="000000"/>
                <w:sz w:val="20"/>
                <w:lang w:val="es-ES_tradnl"/>
              </w:rPr>
            </w:pPr>
            <w:r w:rsidRPr="00A05AA1">
              <w:rPr>
                <w:rFonts w:ascii="Arial" w:hAnsi="Arial"/>
                <w:color w:val="000000"/>
                <w:sz w:val="20"/>
                <w:lang w:val="es-ES_tradnl"/>
              </w:rPr>
              <w:t>Mejoramiento, ampliación y/o construcción de alcantarillado sanitario; conexiones domiciliarias; conexiones a redes urbanas y construcción de soluciones individuales o colectivas de tratamiento de aguas servidas, estaciones de bombeo, líneas de impulsión o plantas de tratamiento de efluentes y afines.</w:t>
            </w:r>
          </w:p>
        </w:tc>
      </w:tr>
      <w:tr w:rsidR="001A4366" w:rsidRPr="00896C4B" w14:paraId="085FD46E" w14:textId="77777777" w:rsidTr="00576FEA">
        <w:trPr>
          <w:trHeight w:val="576"/>
        </w:trPr>
        <w:tc>
          <w:tcPr>
            <w:tcW w:w="4435" w:type="dxa"/>
            <w:tcBorders>
              <w:top w:val="nil"/>
              <w:left w:val="single" w:sz="4" w:space="0" w:color="auto"/>
              <w:bottom w:val="single" w:sz="4" w:space="0" w:color="auto"/>
              <w:right w:val="single" w:sz="4" w:space="0" w:color="auto"/>
            </w:tcBorders>
            <w:shd w:val="clear" w:color="000000" w:fill="FFFFFF"/>
            <w:vAlign w:val="center"/>
            <w:hideMark/>
          </w:tcPr>
          <w:p w14:paraId="79D66353" w14:textId="77777777" w:rsidR="001A4366" w:rsidRPr="00A05AA1" w:rsidRDefault="001A4366" w:rsidP="00EB64C8">
            <w:pPr>
              <w:spacing w:after="0" w:line="240" w:lineRule="auto"/>
              <w:jc w:val="both"/>
              <w:rPr>
                <w:rFonts w:ascii="Arial" w:hAnsi="Arial"/>
                <w:color w:val="000000"/>
                <w:sz w:val="20"/>
                <w:lang w:val="es-ES_tradnl"/>
              </w:rPr>
            </w:pPr>
            <w:r w:rsidRPr="00A05AA1">
              <w:rPr>
                <w:rFonts w:ascii="Arial" w:hAnsi="Arial"/>
                <w:color w:val="000000"/>
                <w:sz w:val="20"/>
                <w:lang w:val="es-ES_tradnl"/>
              </w:rPr>
              <w:t xml:space="preserve">c. Drenaje pluvial </w:t>
            </w:r>
          </w:p>
        </w:tc>
        <w:tc>
          <w:tcPr>
            <w:tcW w:w="9425" w:type="dxa"/>
            <w:tcBorders>
              <w:top w:val="nil"/>
              <w:left w:val="nil"/>
              <w:bottom w:val="single" w:sz="4" w:space="0" w:color="auto"/>
              <w:right w:val="single" w:sz="4" w:space="0" w:color="auto"/>
            </w:tcBorders>
            <w:shd w:val="clear" w:color="000000" w:fill="FFFFFF"/>
            <w:vAlign w:val="center"/>
            <w:hideMark/>
          </w:tcPr>
          <w:p w14:paraId="30AD6DF3" w14:textId="77777777" w:rsidR="001A4366" w:rsidRPr="00A05AA1" w:rsidRDefault="001A4366" w:rsidP="00EB64C8">
            <w:pPr>
              <w:spacing w:after="0" w:line="240" w:lineRule="auto"/>
              <w:jc w:val="both"/>
              <w:rPr>
                <w:rFonts w:ascii="Arial" w:hAnsi="Arial"/>
                <w:color w:val="000000"/>
                <w:sz w:val="20"/>
                <w:lang w:val="es-ES_tradnl"/>
              </w:rPr>
            </w:pPr>
            <w:r w:rsidRPr="00A05AA1">
              <w:rPr>
                <w:rFonts w:ascii="Arial" w:hAnsi="Arial"/>
                <w:color w:val="000000"/>
                <w:sz w:val="20"/>
                <w:lang w:val="es-ES_tradnl"/>
              </w:rPr>
              <w:t>Mejoramiento, ampliación y/o construcción de redes de drenaje pluvial local y captación y disposición de aguas de lluvia, rectificaciones de cañadas, entubados, canalizaciones y afines.</w:t>
            </w:r>
          </w:p>
        </w:tc>
      </w:tr>
      <w:tr w:rsidR="001A4366" w:rsidRPr="00896C4B" w14:paraId="46D2541D" w14:textId="77777777" w:rsidTr="00576FEA">
        <w:trPr>
          <w:trHeight w:val="576"/>
        </w:trPr>
        <w:tc>
          <w:tcPr>
            <w:tcW w:w="13860" w:type="dxa"/>
            <w:gridSpan w:val="2"/>
            <w:tcBorders>
              <w:top w:val="single" w:sz="4" w:space="0" w:color="auto"/>
              <w:left w:val="single" w:sz="4" w:space="0" w:color="auto"/>
              <w:bottom w:val="single" w:sz="4" w:space="0" w:color="auto"/>
              <w:right w:val="single" w:sz="4" w:space="0" w:color="000000"/>
            </w:tcBorders>
            <w:shd w:val="clear" w:color="000000" w:fill="C5D9F1"/>
            <w:vAlign w:val="center"/>
            <w:hideMark/>
          </w:tcPr>
          <w:p w14:paraId="5F652892" w14:textId="77777777" w:rsidR="001A4366" w:rsidRPr="00A05AA1" w:rsidRDefault="001A4366" w:rsidP="00EB64C8">
            <w:pPr>
              <w:spacing w:after="100" w:afterAutospacing="1"/>
              <w:jc w:val="both"/>
              <w:rPr>
                <w:rFonts w:ascii="Arial" w:hAnsi="Arial"/>
                <w:i/>
                <w:sz w:val="20"/>
                <w:lang w:val="es-ES_tradnl"/>
              </w:rPr>
            </w:pPr>
            <w:r w:rsidRPr="00A05AA1">
              <w:rPr>
                <w:rFonts w:ascii="Arial" w:hAnsi="Arial"/>
                <w:i/>
                <w:sz w:val="20"/>
                <w:lang w:val="es-ES_tradnl"/>
              </w:rPr>
              <w:t>A 2025 se promovieron medidas de adaptación en al menos un 30% de las ciudades de más de 5.000 habitantes para enfrentar las vulnerabilidades y mejorar sus capacidades de adaptación.</w:t>
            </w:r>
          </w:p>
        </w:tc>
      </w:tr>
      <w:tr w:rsidR="0021309D" w:rsidRPr="00896C4B" w14:paraId="0A6D4F64" w14:textId="77777777" w:rsidTr="00576FEA">
        <w:trPr>
          <w:trHeight w:val="377"/>
        </w:trPr>
        <w:tc>
          <w:tcPr>
            <w:tcW w:w="13860" w:type="dxa"/>
            <w:gridSpan w:val="2"/>
            <w:tcBorders>
              <w:top w:val="nil"/>
              <w:left w:val="single" w:sz="4" w:space="0" w:color="auto"/>
              <w:bottom w:val="single" w:sz="4" w:space="0" w:color="auto"/>
              <w:right w:val="single" w:sz="4" w:space="0" w:color="auto"/>
            </w:tcBorders>
            <w:shd w:val="clear" w:color="auto" w:fill="BDD6EE" w:themeFill="accent5" w:themeFillTint="66"/>
            <w:vAlign w:val="center"/>
          </w:tcPr>
          <w:p w14:paraId="0DF1A5AB" w14:textId="77777777" w:rsidR="0021309D" w:rsidRPr="00A05AA1" w:rsidRDefault="0021309D" w:rsidP="00EB64C8">
            <w:pPr>
              <w:spacing w:after="0" w:line="240" w:lineRule="auto"/>
              <w:jc w:val="both"/>
              <w:rPr>
                <w:rFonts w:ascii="Arial" w:hAnsi="Arial"/>
                <w:color w:val="000000"/>
                <w:sz w:val="20"/>
                <w:lang w:val="es-ES_tradnl"/>
              </w:rPr>
            </w:pPr>
            <w:r w:rsidRPr="00A05AA1">
              <w:rPr>
                <w:rFonts w:ascii="Arial" w:hAnsi="Arial"/>
                <w:i/>
                <w:color w:val="000000"/>
                <w:sz w:val="20"/>
                <w:lang w:val="es-ES_tradnl"/>
              </w:rPr>
              <w:t>A 2025 al menos 30 ciudades inundables cuentan con mapas de riesgos de inundación de drenaje, ribera y/o aumento del nivel del mar y marejadas de tormenta.</w:t>
            </w:r>
          </w:p>
        </w:tc>
      </w:tr>
      <w:tr w:rsidR="00343412" w:rsidRPr="00896C4B" w14:paraId="6406EE42" w14:textId="77777777" w:rsidTr="00576FEA">
        <w:trPr>
          <w:trHeight w:val="377"/>
        </w:trPr>
        <w:tc>
          <w:tcPr>
            <w:tcW w:w="13860" w:type="dxa"/>
            <w:gridSpan w:val="2"/>
            <w:tcBorders>
              <w:top w:val="nil"/>
              <w:left w:val="single" w:sz="4" w:space="0" w:color="auto"/>
              <w:bottom w:val="single" w:sz="4" w:space="0" w:color="auto"/>
              <w:right w:val="single" w:sz="4" w:space="0" w:color="auto"/>
            </w:tcBorders>
            <w:shd w:val="clear" w:color="auto" w:fill="BDD6EE" w:themeFill="accent5" w:themeFillTint="66"/>
            <w:vAlign w:val="center"/>
          </w:tcPr>
          <w:p w14:paraId="1E8B60A2" w14:textId="77777777" w:rsidR="00343412" w:rsidRPr="00A05AA1" w:rsidRDefault="00343412" w:rsidP="00EB64C8">
            <w:pPr>
              <w:spacing w:after="0" w:line="240" w:lineRule="auto"/>
              <w:jc w:val="both"/>
              <w:rPr>
                <w:rFonts w:ascii="Arial" w:hAnsi="Arial"/>
                <w:i/>
                <w:sz w:val="20"/>
                <w:lang w:val="es-ES_tradnl"/>
              </w:rPr>
            </w:pPr>
            <w:r w:rsidRPr="00A05AA1">
              <w:rPr>
                <w:rFonts w:ascii="Arial" w:hAnsi="Arial"/>
                <w:i/>
                <w:sz w:val="20"/>
                <w:lang w:val="es-ES_tradnl"/>
              </w:rPr>
              <w:t xml:space="preserve">A 2020 se ha formulado, aprobado y se ha iniciado la implementación el Plan Nacional de Adaptación en Ciudades e Infraestructuras, incluyendo un enfoque de derecho a la ciudad, sostenibilidad urbana y acceso al suelo urbano. </w:t>
            </w:r>
          </w:p>
        </w:tc>
      </w:tr>
      <w:tr w:rsidR="00343412" w:rsidRPr="00896C4B" w14:paraId="0C3C03BF" w14:textId="77777777" w:rsidTr="00576FEA">
        <w:trPr>
          <w:trHeight w:val="377"/>
        </w:trPr>
        <w:tc>
          <w:tcPr>
            <w:tcW w:w="13860" w:type="dxa"/>
            <w:gridSpan w:val="2"/>
            <w:tcBorders>
              <w:top w:val="nil"/>
              <w:left w:val="single" w:sz="4" w:space="0" w:color="auto"/>
              <w:bottom w:val="single" w:sz="4" w:space="0" w:color="auto"/>
              <w:right w:val="single" w:sz="4" w:space="0" w:color="auto"/>
            </w:tcBorders>
            <w:shd w:val="clear" w:color="auto" w:fill="BDD6EE" w:themeFill="accent5" w:themeFillTint="66"/>
            <w:vAlign w:val="center"/>
          </w:tcPr>
          <w:p w14:paraId="78EF37C9" w14:textId="77777777" w:rsidR="00C40C9C" w:rsidRPr="00A05AA1" w:rsidRDefault="00343412" w:rsidP="00EB64C8">
            <w:pPr>
              <w:spacing w:after="0" w:line="240" w:lineRule="auto"/>
              <w:jc w:val="both"/>
              <w:rPr>
                <w:rFonts w:ascii="Arial" w:hAnsi="Arial"/>
                <w:i/>
                <w:sz w:val="20"/>
                <w:lang w:val="es-ES_tradnl"/>
              </w:rPr>
            </w:pPr>
            <w:r w:rsidRPr="00A05AA1">
              <w:rPr>
                <w:rFonts w:ascii="Arial" w:hAnsi="Arial"/>
                <w:i/>
                <w:sz w:val="20"/>
                <w:lang w:val="es-ES_tradnl"/>
              </w:rPr>
              <w:t>A 2020 se ha implementado una Guía de Elaboración de Instrumentos de Ordenamiento Territorial que considera un componente relativo a la adaptación al cambio y variabilidad climática.</w:t>
            </w:r>
          </w:p>
        </w:tc>
      </w:tr>
      <w:tr w:rsidR="00343412" w:rsidRPr="00896C4B" w14:paraId="61A9B3EC" w14:textId="77777777" w:rsidTr="00576FEA">
        <w:trPr>
          <w:trHeight w:val="288"/>
        </w:trPr>
        <w:tc>
          <w:tcPr>
            <w:tcW w:w="4435" w:type="dxa"/>
            <w:tcBorders>
              <w:top w:val="nil"/>
              <w:left w:val="single" w:sz="4" w:space="0" w:color="auto"/>
              <w:bottom w:val="single" w:sz="4" w:space="0" w:color="auto"/>
              <w:right w:val="single" w:sz="4" w:space="0" w:color="auto"/>
            </w:tcBorders>
            <w:shd w:val="clear" w:color="000000" w:fill="FFFFFF"/>
            <w:vAlign w:val="center"/>
            <w:hideMark/>
          </w:tcPr>
          <w:p w14:paraId="75687540" w14:textId="77777777" w:rsidR="00343412" w:rsidRPr="00A05AA1" w:rsidRDefault="00343412" w:rsidP="00EB64C8">
            <w:pPr>
              <w:spacing w:after="0" w:line="240" w:lineRule="auto"/>
              <w:jc w:val="both"/>
              <w:rPr>
                <w:rFonts w:ascii="Arial" w:hAnsi="Arial"/>
                <w:color w:val="000000"/>
                <w:sz w:val="20"/>
                <w:lang w:val="es-ES_tradnl"/>
              </w:rPr>
            </w:pPr>
            <w:r w:rsidRPr="00A05AA1">
              <w:rPr>
                <w:rFonts w:ascii="Arial" w:hAnsi="Arial"/>
                <w:color w:val="000000"/>
                <w:sz w:val="20"/>
                <w:lang w:val="es-ES_tradnl"/>
              </w:rPr>
              <w:t>d. Pavimentación de la red vial</w:t>
            </w:r>
          </w:p>
        </w:tc>
        <w:tc>
          <w:tcPr>
            <w:tcW w:w="9425" w:type="dxa"/>
            <w:tcBorders>
              <w:top w:val="nil"/>
              <w:left w:val="nil"/>
              <w:bottom w:val="single" w:sz="4" w:space="0" w:color="auto"/>
              <w:right w:val="single" w:sz="4" w:space="0" w:color="auto"/>
            </w:tcBorders>
            <w:shd w:val="clear" w:color="000000" w:fill="FFFFFF"/>
            <w:vAlign w:val="center"/>
            <w:hideMark/>
          </w:tcPr>
          <w:p w14:paraId="4367014D" w14:textId="77777777" w:rsidR="00343412" w:rsidRPr="00A05AA1" w:rsidRDefault="00343412" w:rsidP="00EB64C8">
            <w:pPr>
              <w:spacing w:after="0" w:line="240" w:lineRule="auto"/>
              <w:jc w:val="both"/>
              <w:rPr>
                <w:rFonts w:ascii="Arial" w:hAnsi="Arial"/>
                <w:color w:val="000000"/>
                <w:sz w:val="20"/>
                <w:lang w:val="es-ES_tradnl"/>
              </w:rPr>
            </w:pPr>
            <w:r w:rsidRPr="00A05AA1">
              <w:rPr>
                <w:rFonts w:ascii="Arial" w:hAnsi="Arial"/>
                <w:color w:val="000000"/>
                <w:sz w:val="20"/>
                <w:lang w:val="es-ES_tradnl"/>
              </w:rPr>
              <w:t>Mejoramiento, ampliación y/o construcción del sistema vial interno y de acceso a los asentamientos.</w:t>
            </w:r>
          </w:p>
        </w:tc>
      </w:tr>
      <w:tr w:rsidR="00343412" w:rsidRPr="00896C4B" w14:paraId="2B575AFE" w14:textId="77777777" w:rsidTr="00576FEA">
        <w:trPr>
          <w:trHeight w:val="611"/>
        </w:trPr>
        <w:tc>
          <w:tcPr>
            <w:tcW w:w="13860" w:type="dxa"/>
            <w:gridSpan w:val="2"/>
            <w:tcBorders>
              <w:top w:val="nil"/>
              <w:left w:val="single" w:sz="4" w:space="0" w:color="auto"/>
              <w:bottom w:val="single" w:sz="4" w:space="0" w:color="auto"/>
              <w:right w:val="single" w:sz="4" w:space="0" w:color="auto"/>
            </w:tcBorders>
            <w:shd w:val="clear" w:color="auto" w:fill="BDD6EE" w:themeFill="accent5" w:themeFillTint="66"/>
            <w:vAlign w:val="center"/>
          </w:tcPr>
          <w:p w14:paraId="4668537A" w14:textId="77777777" w:rsidR="00343412" w:rsidRPr="00A05AA1" w:rsidRDefault="00343412" w:rsidP="00EB64C8">
            <w:pPr>
              <w:spacing w:after="0"/>
              <w:jc w:val="both"/>
              <w:rPr>
                <w:rFonts w:ascii="Arial" w:hAnsi="Arial"/>
                <w:i/>
                <w:color w:val="000000"/>
                <w:sz w:val="20"/>
                <w:lang w:val="es-ES_tradnl"/>
              </w:rPr>
            </w:pPr>
            <w:r w:rsidRPr="00A05AA1">
              <w:rPr>
                <w:rFonts w:ascii="Arial" w:hAnsi="Arial"/>
                <w:i/>
                <w:sz w:val="20"/>
                <w:lang w:val="es-ES_tradnl"/>
              </w:rPr>
              <w:t>A 2025 se promovieron medidas de adaptación en al menos un 30% de las ciudades de más de 5.000 habitantes para enfrentar las vulnerabilidades y mejorar sus capacidades de adaptación</w:t>
            </w:r>
            <w:r w:rsidRPr="00A05AA1">
              <w:rPr>
                <w:rFonts w:ascii="Arial" w:hAnsi="Arial"/>
                <w:i/>
                <w:color w:val="000000"/>
                <w:sz w:val="20"/>
                <w:lang w:val="es-ES_tradnl"/>
              </w:rPr>
              <w:t>.</w:t>
            </w:r>
          </w:p>
        </w:tc>
      </w:tr>
      <w:tr w:rsidR="00343412" w:rsidRPr="00896C4B" w14:paraId="366DB50B" w14:textId="77777777" w:rsidTr="00576FEA">
        <w:trPr>
          <w:trHeight w:val="413"/>
        </w:trPr>
        <w:tc>
          <w:tcPr>
            <w:tcW w:w="13860" w:type="dxa"/>
            <w:gridSpan w:val="2"/>
            <w:tcBorders>
              <w:top w:val="nil"/>
              <w:left w:val="single" w:sz="4" w:space="0" w:color="auto"/>
              <w:bottom w:val="single" w:sz="4" w:space="0" w:color="auto"/>
              <w:right w:val="single" w:sz="4" w:space="0" w:color="auto"/>
            </w:tcBorders>
            <w:shd w:val="clear" w:color="auto" w:fill="BDD6EE" w:themeFill="accent5" w:themeFillTint="66"/>
            <w:vAlign w:val="center"/>
          </w:tcPr>
          <w:p w14:paraId="514A9CC9" w14:textId="77777777" w:rsidR="00343412" w:rsidRPr="00A05AA1" w:rsidRDefault="00343412" w:rsidP="00EB64C8">
            <w:pPr>
              <w:spacing w:after="0" w:line="240" w:lineRule="auto"/>
              <w:jc w:val="both"/>
              <w:rPr>
                <w:rFonts w:ascii="Arial" w:hAnsi="Arial"/>
                <w:color w:val="000000"/>
                <w:sz w:val="20"/>
                <w:lang w:val="es-ES_tradnl"/>
              </w:rPr>
            </w:pPr>
            <w:r w:rsidRPr="00A05AA1">
              <w:rPr>
                <w:rFonts w:ascii="Arial" w:hAnsi="Arial"/>
                <w:i/>
                <w:color w:val="000000"/>
                <w:sz w:val="20"/>
                <w:lang w:val="es-ES_tradnl"/>
              </w:rPr>
              <w:t>A 2025 al menos 30 ciudades inundables cuentan con mapas de riesgos de inundación de drenaje, ribera y/o aumento del nivel del mar y marejadas de tormenta.</w:t>
            </w:r>
          </w:p>
        </w:tc>
      </w:tr>
      <w:tr w:rsidR="00343412" w:rsidRPr="00896C4B" w14:paraId="5C2EC1FD" w14:textId="77777777" w:rsidTr="00576FEA">
        <w:trPr>
          <w:trHeight w:val="413"/>
        </w:trPr>
        <w:tc>
          <w:tcPr>
            <w:tcW w:w="13860" w:type="dxa"/>
            <w:gridSpan w:val="2"/>
            <w:tcBorders>
              <w:top w:val="nil"/>
              <w:left w:val="single" w:sz="4" w:space="0" w:color="auto"/>
              <w:bottom w:val="single" w:sz="4" w:space="0" w:color="auto"/>
              <w:right w:val="single" w:sz="4" w:space="0" w:color="auto"/>
            </w:tcBorders>
            <w:shd w:val="clear" w:color="auto" w:fill="BDD6EE" w:themeFill="accent5" w:themeFillTint="66"/>
            <w:vAlign w:val="center"/>
          </w:tcPr>
          <w:p w14:paraId="29C741A9" w14:textId="77777777" w:rsidR="00343412" w:rsidRPr="00A05AA1" w:rsidRDefault="00343412" w:rsidP="00EB64C8">
            <w:pPr>
              <w:spacing w:after="0" w:line="240" w:lineRule="auto"/>
              <w:jc w:val="both"/>
              <w:rPr>
                <w:rFonts w:ascii="Arial" w:hAnsi="Arial"/>
                <w:i/>
                <w:sz w:val="20"/>
                <w:lang w:val="es-ES_tradnl"/>
              </w:rPr>
            </w:pPr>
            <w:r w:rsidRPr="00A05AA1">
              <w:rPr>
                <w:rFonts w:ascii="Arial" w:hAnsi="Arial"/>
                <w:i/>
                <w:sz w:val="20"/>
                <w:lang w:val="es-ES_tradnl"/>
              </w:rPr>
              <w:t xml:space="preserve">A 2020 se ha formulado, aprobado y se ha iniciado la implementación el Plan Nacional de Adaptación en Ciudades e Infraestructuras, incluyendo un enfoque de derecho a la ciudad, sostenibilidad urbana y acceso al suelo urbano. </w:t>
            </w:r>
          </w:p>
        </w:tc>
      </w:tr>
      <w:tr w:rsidR="00343412" w:rsidRPr="00896C4B" w14:paraId="6E622202" w14:textId="77777777" w:rsidTr="00576FEA">
        <w:trPr>
          <w:trHeight w:val="413"/>
        </w:trPr>
        <w:tc>
          <w:tcPr>
            <w:tcW w:w="13860" w:type="dxa"/>
            <w:gridSpan w:val="2"/>
            <w:tcBorders>
              <w:top w:val="nil"/>
              <w:left w:val="single" w:sz="4" w:space="0" w:color="auto"/>
              <w:bottom w:val="single" w:sz="4" w:space="0" w:color="auto"/>
              <w:right w:val="single" w:sz="4" w:space="0" w:color="auto"/>
            </w:tcBorders>
            <w:shd w:val="clear" w:color="auto" w:fill="BDD6EE" w:themeFill="accent5" w:themeFillTint="66"/>
            <w:vAlign w:val="center"/>
          </w:tcPr>
          <w:p w14:paraId="08D4FFB3" w14:textId="77777777" w:rsidR="00343412" w:rsidRPr="00A05AA1" w:rsidRDefault="00343412" w:rsidP="00EB64C8">
            <w:pPr>
              <w:spacing w:after="0" w:line="240" w:lineRule="auto"/>
              <w:jc w:val="both"/>
              <w:rPr>
                <w:rFonts w:ascii="Arial" w:hAnsi="Arial"/>
                <w:i/>
                <w:sz w:val="20"/>
                <w:lang w:val="es-ES_tradnl"/>
              </w:rPr>
            </w:pPr>
            <w:r w:rsidRPr="00A05AA1">
              <w:rPr>
                <w:rFonts w:ascii="Arial" w:hAnsi="Arial"/>
                <w:i/>
                <w:sz w:val="20"/>
                <w:lang w:val="es-ES_tradnl"/>
              </w:rPr>
              <w:t>A 2020 se ha implementado una Guía de Elaboración de Instrumentos de Ordenamiento Territorial que considera un componente relativo a la adaptación al cambio y variabilidad climática.</w:t>
            </w:r>
          </w:p>
        </w:tc>
      </w:tr>
      <w:tr w:rsidR="00576FEA" w:rsidRPr="00896C4B" w14:paraId="5F6ADB74" w14:textId="77777777" w:rsidTr="00565C0E">
        <w:trPr>
          <w:trHeight w:val="288"/>
        </w:trPr>
        <w:tc>
          <w:tcPr>
            <w:tcW w:w="4435" w:type="dxa"/>
            <w:tcBorders>
              <w:top w:val="nil"/>
              <w:left w:val="single" w:sz="4" w:space="0" w:color="auto"/>
              <w:bottom w:val="single" w:sz="4" w:space="0" w:color="auto"/>
              <w:right w:val="single" w:sz="4" w:space="0" w:color="auto"/>
            </w:tcBorders>
            <w:shd w:val="clear" w:color="000000" w:fill="D9D9D9"/>
            <w:vAlign w:val="center"/>
            <w:hideMark/>
          </w:tcPr>
          <w:p w14:paraId="1E48DD8A" w14:textId="77777777" w:rsidR="00576FEA" w:rsidRPr="00A05AA1" w:rsidRDefault="00576FEA" w:rsidP="00565C0E">
            <w:pPr>
              <w:spacing w:after="0" w:line="240" w:lineRule="auto"/>
              <w:jc w:val="both"/>
              <w:rPr>
                <w:rFonts w:ascii="Arial" w:hAnsi="Arial"/>
                <w:b/>
                <w:color w:val="000000"/>
                <w:sz w:val="20"/>
                <w:lang w:val="es-ES_tradnl"/>
              </w:rPr>
            </w:pPr>
            <w:r w:rsidRPr="00A05AA1">
              <w:rPr>
                <w:rFonts w:ascii="Arial" w:hAnsi="Arial"/>
                <w:b/>
                <w:color w:val="000000"/>
                <w:sz w:val="20"/>
                <w:lang w:val="es-ES_tradnl"/>
              </w:rPr>
              <w:t xml:space="preserve">SUBCOMPONENTE / RUBRO </w:t>
            </w:r>
          </w:p>
        </w:tc>
        <w:tc>
          <w:tcPr>
            <w:tcW w:w="9425" w:type="dxa"/>
            <w:tcBorders>
              <w:top w:val="nil"/>
              <w:left w:val="nil"/>
              <w:bottom w:val="single" w:sz="4" w:space="0" w:color="auto"/>
              <w:right w:val="single" w:sz="4" w:space="0" w:color="auto"/>
            </w:tcBorders>
            <w:shd w:val="clear" w:color="000000" w:fill="D9D9D9"/>
            <w:vAlign w:val="center"/>
            <w:hideMark/>
          </w:tcPr>
          <w:p w14:paraId="6C67A67C" w14:textId="77777777" w:rsidR="00576FEA" w:rsidRPr="00A05AA1" w:rsidRDefault="00576FEA" w:rsidP="00565C0E">
            <w:pPr>
              <w:spacing w:after="0" w:line="240" w:lineRule="auto"/>
              <w:jc w:val="both"/>
              <w:rPr>
                <w:rFonts w:ascii="Arial" w:hAnsi="Arial"/>
                <w:b/>
                <w:color w:val="000000"/>
                <w:sz w:val="20"/>
                <w:lang w:val="es-ES_tradnl"/>
              </w:rPr>
            </w:pPr>
            <w:r w:rsidRPr="00A05AA1">
              <w:rPr>
                <w:rFonts w:ascii="Arial" w:hAnsi="Arial"/>
                <w:b/>
                <w:color w:val="000000"/>
                <w:sz w:val="20"/>
                <w:lang w:val="es-ES_tradnl"/>
              </w:rPr>
              <w:t>DESCRIPCIÓN</w:t>
            </w:r>
          </w:p>
        </w:tc>
      </w:tr>
      <w:tr w:rsidR="00343412" w:rsidRPr="00896C4B" w14:paraId="260E3E96" w14:textId="77777777" w:rsidTr="00576FEA">
        <w:trPr>
          <w:trHeight w:val="576"/>
        </w:trPr>
        <w:tc>
          <w:tcPr>
            <w:tcW w:w="4435" w:type="dxa"/>
            <w:tcBorders>
              <w:top w:val="nil"/>
              <w:left w:val="single" w:sz="4" w:space="0" w:color="auto"/>
              <w:bottom w:val="single" w:sz="4" w:space="0" w:color="auto"/>
              <w:right w:val="single" w:sz="4" w:space="0" w:color="auto"/>
            </w:tcBorders>
            <w:shd w:val="clear" w:color="000000" w:fill="FFFFFF"/>
            <w:vAlign w:val="center"/>
            <w:hideMark/>
          </w:tcPr>
          <w:p w14:paraId="45BF9878" w14:textId="77777777" w:rsidR="00343412" w:rsidRPr="00A05AA1" w:rsidRDefault="00343412" w:rsidP="00EB64C8">
            <w:pPr>
              <w:spacing w:after="0" w:line="240" w:lineRule="auto"/>
              <w:jc w:val="both"/>
              <w:rPr>
                <w:rFonts w:ascii="Arial" w:hAnsi="Arial"/>
                <w:color w:val="000000"/>
                <w:sz w:val="20"/>
                <w:lang w:val="es-ES_tradnl"/>
              </w:rPr>
            </w:pPr>
            <w:r w:rsidRPr="00A05AA1">
              <w:rPr>
                <w:rFonts w:ascii="Arial" w:hAnsi="Arial"/>
                <w:color w:val="000000"/>
                <w:sz w:val="20"/>
                <w:lang w:val="es-ES_tradnl"/>
              </w:rPr>
              <w:t>e. Electrificación y alumbrado público</w:t>
            </w:r>
          </w:p>
        </w:tc>
        <w:tc>
          <w:tcPr>
            <w:tcW w:w="9425" w:type="dxa"/>
            <w:tcBorders>
              <w:top w:val="nil"/>
              <w:left w:val="nil"/>
              <w:bottom w:val="single" w:sz="4" w:space="0" w:color="auto"/>
              <w:right w:val="single" w:sz="4" w:space="0" w:color="auto"/>
            </w:tcBorders>
            <w:shd w:val="clear" w:color="000000" w:fill="FFFFFF"/>
            <w:vAlign w:val="center"/>
            <w:hideMark/>
          </w:tcPr>
          <w:p w14:paraId="6249033E" w14:textId="77777777" w:rsidR="00343412" w:rsidRPr="00A05AA1" w:rsidRDefault="00343412" w:rsidP="00EB64C8">
            <w:pPr>
              <w:spacing w:after="0" w:line="240" w:lineRule="auto"/>
              <w:jc w:val="both"/>
              <w:rPr>
                <w:rFonts w:ascii="Arial" w:hAnsi="Arial"/>
                <w:color w:val="000000"/>
                <w:sz w:val="20"/>
                <w:lang w:val="es-ES_tradnl"/>
              </w:rPr>
            </w:pPr>
            <w:r w:rsidRPr="00A05AA1">
              <w:rPr>
                <w:rFonts w:ascii="Arial" w:hAnsi="Arial"/>
                <w:color w:val="000000"/>
                <w:sz w:val="20"/>
                <w:lang w:val="es-ES_tradnl"/>
              </w:rPr>
              <w:t>Mejoramiento, ampliación y/o construcción de redes de distribución eléctrica, conexiones domiciliarias, alumbrado público, conexiones a redes urbanas y subestaciones.</w:t>
            </w:r>
          </w:p>
        </w:tc>
      </w:tr>
      <w:tr w:rsidR="00343412" w:rsidRPr="00896C4B" w14:paraId="0A4D8524" w14:textId="77777777" w:rsidTr="00576FEA">
        <w:trPr>
          <w:trHeight w:val="576"/>
        </w:trPr>
        <w:tc>
          <w:tcPr>
            <w:tcW w:w="13860" w:type="dxa"/>
            <w:gridSpan w:val="2"/>
            <w:tcBorders>
              <w:top w:val="single" w:sz="4" w:space="0" w:color="auto"/>
              <w:left w:val="single" w:sz="4" w:space="0" w:color="auto"/>
              <w:bottom w:val="single" w:sz="4" w:space="0" w:color="auto"/>
              <w:right w:val="single" w:sz="4" w:space="0" w:color="auto"/>
            </w:tcBorders>
            <w:shd w:val="clear" w:color="000000" w:fill="C5D9F1"/>
            <w:vAlign w:val="center"/>
            <w:hideMark/>
          </w:tcPr>
          <w:p w14:paraId="0B83CAE6" w14:textId="77777777" w:rsidR="00343412" w:rsidRPr="00A05AA1" w:rsidRDefault="00343412" w:rsidP="00EB64C8">
            <w:pPr>
              <w:spacing w:after="0" w:line="240" w:lineRule="auto"/>
              <w:jc w:val="both"/>
              <w:rPr>
                <w:rFonts w:ascii="Arial" w:hAnsi="Arial"/>
                <w:i/>
                <w:color w:val="000000"/>
                <w:sz w:val="20"/>
                <w:lang w:val="es-ES_tradnl"/>
              </w:rPr>
            </w:pPr>
            <w:r w:rsidRPr="00A05AA1">
              <w:rPr>
                <w:rFonts w:ascii="Arial" w:hAnsi="Arial"/>
                <w:i/>
                <w:color w:val="000000"/>
                <w:sz w:val="20"/>
                <w:lang w:val="es-ES_tradnl"/>
              </w:rPr>
              <w:t xml:space="preserve">Sustitución por equipamiento eficiente: 4 millones de lámparas incandescentes sustituidas en el sector residencial y 30% de luminarias LED incorporadas en el alumbrado público a </w:t>
            </w:r>
            <w:r w:rsidR="00C40C9C" w:rsidRPr="00A05AA1">
              <w:rPr>
                <w:rFonts w:ascii="Arial" w:hAnsi="Arial"/>
                <w:i/>
                <w:color w:val="000000"/>
                <w:sz w:val="20"/>
                <w:lang w:val="es-ES_tradnl"/>
              </w:rPr>
              <w:t>2025. *</w:t>
            </w:r>
            <w:r w:rsidR="00C40C9C" w:rsidRPr="00A05AA1">
              <w:rPr>
                <w:rStyle w:val="FootnoteReference"/>
                <w:rFonts w:ascii="Arial" w:hAnsi="Arial"/>
                <w:i/>
                <w:color w:val="000000"/>
                <w:sz w:val="20"/>
                <w:lang w:val="es-ES_tradnl"/>
              </w:rPr>
              <w:footnoteReference w:id="4"/>
            </w:r>
          </w:p>
        </w:tc>
      </w:tr>
      <w:tr w:rsidR="001A4366" w:rsidRPr="00896C4B" w14:paraId="133FAAF9" w14:textId="77777777" w:rsidTr="00576FEA">
        <w:trPr>
          <w:trHeight w:val="288"/>
        </w:trPr>
        <w:tc>
          <w:tcPr>
            <w:tcW w:w="44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F95D7D" w14:textId="77777777" w:rsidR="001A4366" w:rsidRPr="00A05AA1" w:rsidRDefault="001A4366" w:rsidP="00EB64C8">
            <w:pPr>
              <w:spacing w:after="0" w:line="240" w:lineRule="auto"/>
              <w:jc w:val="both"/>
              <w:rPr>
                <w:rFonts w:ascii="Arial" w:hAnsi="Arial"/>
                <w:color w:val="000000"/>
                <w:sz w:val="20"/>
                <w:lang w:val="es-ES_tradnl"/>
              </w:rPr>
            </w:pPr>
            <w:r w:rsidRPr="00A05AA1">
              <w:rPr>
                <w:rFonts w:ascii="Arial" w:hAnsi="Arial"/>
                <w:color w:val="000000"/>
                <w:sz w:val="20"/>
                <w:lang w:val="es-ES_tradnl"/>
              </w:rPr>
              <w:t xml:space="preserve">f. Realojos </w:t>
            </w:r>
          </w:p>
        </w:tc>
        <w:tc>
          <w:tcPr>
            <w:tcW w:w="9425" w:type="dxa"/>
            <w:tcBorders>
              <w:top w:val="single" w:sz="4" w:space="0" w:color="auto"/>
              <w:left w:val="nil"/>
              <w:bottom w:val="single" w:sz="4" w:space="0" w:color="auto"/>
              <w:right w:val="single" w:sz="4" w:space="0" w:color="auto"/>
            </w:tcBorders>
            <w:shd w:val="clear" w:color="000000" w:fill="FFFFFF"/>
            <w:vAlign w:val="center"/>
            <w:hideMark/>
          </w:tcPr>
          <w:p w14:paraId="2B847315" w14:textId="77777777" w:rsidR="001A4366" w:rsidRPr="00A05AA1" w:rsidRDefault="001A4366" w:rsidP="00EB64C8">
            <w:pPr>
              <w:spacing w:after="0" w:line="240" w:lineRule="auto"/>
              <w:jc w:val="both"/>
              <w:rPr>
                <w:rFonts w:ascii="Arial" w:hAnsi="Arial"/>
                <w:color w:val="000000"/>
                <w:sz w:val="20"/>
                <w:lang w:val="es-ES_tradnl"/>
              </w:rPr>
            </w:pPr>
            <w:r w:rsidRPr="00A05AA1">
              <w:rPr>
                <w:rFonts w:ascii="Arial" w:hAnsi="Arial"/>
                <w:color w:val="000000"/>
                <w:sz w:val="20"/>
                <w:lang w:val="es-ES_tradnl"/>
              </w:rPr>
              <w:t>Se financiarán realojos en los términos indicados en #1.40 a .1.43</w:t>
            </w:r>
          </w:p>
        </w:tc>
      </w:tr>
      <w:tr w:rsidR="001A4366" w:rsidRPr="00896C4B" w14:paraId="5D042B38" w14:textId="77777777" w:rsidTr="00576FEA">
        <w:trPr>
          <w:trHeight w:val="996"/>
        </w:trPr>
        <w:tc>
          <w:tcPr>
            <w:tcW w:w="13860" w:type="dxa"/>
            <w:gridSpan w:val="2"/>
            <w:tcBorders>
              <w:top w:val="single" w:sz="4" w:space="0" w:color="auto"/>
              <w:left w:val="single" w:sz="4" w:space="0" w:color="auto"/>
              <w:bottom w:val="single" w:sz="4" w:space="0" w:color="auto"/>
              <w:right w:val="single" w:sz="4" w:space="0" w:color="auto"/>
            </w:tcBorders>
            <w:shd w:val="clear" w:color="000000" w:fill="C5D9F1"/>
            <w:vAlign w:val="center"/>
            <w:hideMark/>
          </w:tcPr>
          <w:p w14:paraId="0C8ECABB" w14:textId="77777777" w:rsidR="001A4366" w:rsidRPr="00A05AA1" w:rsidRDefault="001A4366" w:rsidP="00EB64C8">
            <w:pPr>
              <w:spacing w:after="0" w:line="240" w:lineRule="auto"/>
              <w:jc w:val="both"/>
              <w:rPr>
                <w:rFonts w:ascii="Arial" w:hAnsi="Arial"/>
                <w:i/>
                <w:color w:val="000000"/>
                <w:sz w:val="20"/>
                <w:lang w:val="es-ES_tradnl"/>
              </w:rPr>
            </w:pPr>
            <w:r w:rsidRPr="00A05AA1">
              <w:rPr>
                <w:rFonts w:ascii="Arial" w:hAnsi="Arial"/>
                <w:i/>
                <w:color w:val="000000"/>
                <w:sz w:val="20"/>
                <w:lang w:val="es-ES_tradnl"/>
              </w:rPr>
              <w:t>A 2025 se han relocalizado al menos entre 3500 y 6000 hogares identificados en zonas inundables y/o contaminadas a través del Plan Nacional de Relocalizaciones y otros instrumentos nacionales y departamentales, posibilitando el acceso a servicios básicos a la población relocalizada y asignando nuevos usos para resignificar las zonas inundables.</w:t>
            </w:r>
          </w:p>
        </w:tc>
      </w:tr>
      <w:tr w:rsidR="001A4366" w:rsidRPr="00896C4B" w14:paraId="4AAADE3F" w14:textId="77777777" w:rsidTr="00576FEA">
        <w:trPr>
          <w:trHeight w:val="360"/>
        </w:trPr>
        <w:tc>
          <w:tcPr>
            <w:tcW w:w="13860" w:type="dxa"/>
            <w:gridSpan w:val="2"/>
            <w:tcBorders>
              <w:top w:val="single" w:sz="4" w:space="0" w:color="auto"/>
              <w:left w:val="single" w:sz="4" w:space="0" w:color="auto"/>
              <w:bottom w:val="single" w:sz="4" w:space="0" w:color="auto"/>
              <w:right w:val="single" w:sz="4" w:space="0" w:color="auto"/>
            </w:tcBorders>
            <w:shd w:val="clear" w:color="000000" w:fill="C5D9F1"/>
            <w:vAlign w:val="center"/>
            <w:hideMark/>
          </w:tcPr>
          <w:p w14:paraId="03FAE188" w14:textId="77777777" w:rsidR="001A4366" w:rsidRPr="00A05AA1" w:rsidRDefault="001A4366" w:rsidP="00EB64C8">
            <w:pPr>
              <w:spacing w:after="0" w:line="240" w:lineRule="auto"/>
              <w:jc w:val="both"/>
              <w:rPr>
                <w:rFonts w:ascii="Arial" w:hAnsi="Arial"/>
                <w:i/>
                <w:color w:val="000000"/>
                <w:sz w:val="20"/>
                <w:lang w:val="es-ES_tradnl"/>
              </w:rPr>
            </w:pPr>
            <w:r w:rsidRPr="00A05AA1">
              <w:rPr>
                <w:rFonts w:ascii="Arial" w:hAnsi="Arial"/>
                <w:i/>
                <w:color w:val="000000"/>
                <w:sz w:val="20"/>
                <w:lang w:val="es-ES_tradnl"/>
              </w:rPr>
              <w:t>A 2025 al menos 30 ciudades inundables cuentan con mapas de riesgos de inundación de drenaje, ribera y/o aumento del nivel del mar y marejadas de tormenta.</w:t>
            </w:r>
          </w:p>
        </w:tc>
      </w:tr>
      <w:tr w:rsidR="00343412" w:rsidRPr="00896C4B" w14:paraId="27E77148" w14:textId="77777777" w:rsidTr="00576FEA">
        <w:trPr>
          <w:trHeight w:val="360"/>
        </w:trPr>
        <w:tc>
          <w:tcPr>
            <w:tcW w:w="13860" w:type="dxa"/>
            <w:gridSpan w:val="2"/>
            <w:tcBorders>
              <w:top w:val="single" w:sz="4" w:space="0" w:color="auto"/>
              <w:left w:val="single" w:sz="4" w:space="0" w:color="auto"/>
              <w:bottom w:val="single" w:sz="4" w:space="0" w:color="auto"/>
              <w:right w:val="single" w:sz="4" w:space="0" w:color="auto"/>
            </w:tcBorders>
            <w:shd w:val="clear" w:color="000000" w:fill="C5D9F1"/>
            <w:vAlign w:val="center"/>
          </w:tcPr>
          <w:p w14:paraId="181CE770" w14:textId="77777777" w:rsidR="00343412" w:rsidRPr="00A05AA1" w:rsidRDefault="00343412" w:rsidP="00EB64C8">
            <w:pPr>
              <w:spacing w:after="0" w:line="240" w:lineRule="auto"/>
              <w:jc w:val="both"/>
              <w:rPr>
                <w:rFonts w:ascii="Arial" w:hAnsi="Arial"/>
                <w:i/>
                <w:sz w:val="20"/>
                <w:lang w:val="es-ES_tradnl"/>
              </w:rPr>
            </w:pPr>
            <w:r w:rsidRPr="00A05AA1">
              <w:rPr>
                <w:rFonts w:ascii="Arial" w:hAnsi="Arial"/>
                <w:i/>
                <w:sz w:val="20"/>
                <w:lang w:val="es-ES_tradnl"/>
              </w:rPr>
              <w:t xml:space="preserve">A 2020 se ha formulado, aprobado y se ha iniciado la implementación el Plan Nacional de Adaptación en Ciudades e Infraestructuras, incluyendo un enfoque de derecho a la ciudad, sostenibilidad urbana y acceso al suelo urbano. </w:t>
            </w:r>
          </w:p>
        </w:tc>
      </w:tr>
      <w:tr w:rsidR="00343412" w:rsidRPr="00896C4B" w14:paraId="73266616" w14:textId="77777777" w:rsidTr="00576FEA">
        <w:trPr>
          <w:trHeight w:val="360"/>
        </w:trPr>
        <w:tc>
          <w:tcPr>
            <w:tcW w:w="13860" w:type="dxa"/>
            <w:gridSpan w:val="2"/>
            <w:tcBorders>
              <w:top w:val="single" w:sz="4" w:space="0" w:color="auto"/>
              <w:left w:val="single" w:sz="4" w:space="0" w:color="auto"/>
              <w:bottom w:val="single" w:sz="4" w:space="0" w:color="auto"/>
              <w:right w:val="single" w:sz="4" w:space="0" w:color="auto"/>
            </w:tcBorders>
            <w:shd w:val="clear" w:color="000000" w:fill="C5D9F1"/>
            <w:vAlign w:val="center"/>
          </w:tcPr>
          <w:p w14:paraId="74F19678" w14:textId="77777777" w:rsidR="00343412" w:rsidRPr="00A05AA1" w:rsidRDefault="00343412" w:rsidP="00EB64C8">
            <w:pPr>
              <w:spacing w:after="0" w:line="240" w:lineRule="auto"/>
              <w:jc w:val="both"/>
              <w:rPr>
                <w:rFonts w:ascii="Arial" w:hAnsi="Arial"/>
                <w:i/>
                <w:sz w:val="20"/>
                <w:lang w:val="es-ES_tradnl"/>
              </w:rPr>
            </w:pPr>
            <w:r w:rsidRPr="00A05AA1">
              <w:rPr>
                <w:rFonts w:ascii="Arial" w:hAnsi="Arial"/>
                <w:i/>
                <w:sz w:val="20"/>
                <w:lang w:val="es-ES_tradnl"/>
              </w:rPr>
              <w:t>A 2020 se ha implementado una Guía de Elaboración de Instrumentos de Ordenamiento Territorial que considera un componente relativo a la adaptación al cambio y variabilidad climática.</w:t>
            </w:r>
          </w:p>
        </w:tc>
      </w:tr>
      <w:tr w:rsidR="00343412" w:rsidRPr="00896C4B" w14:paraId="34D57721" w14:textId="77777777" w:rsidTr="00576FEA">
        <w:trPr>
          <w:trHeight w:val="576"/>
        </w:trPr>
        <w:tc>
          <w:tcPr>
            <w:tcW w:w="4435" w:type="dxa"/>
            <w:tcBorders>
              <w:top w:val="nil"/>
              <w:left w:val="single" w:sz="4" w:space="0" w:color="auto"/>
              <w:bottom w:val="single" w:sz="4" w:space="0" w:color="auto"/>
              <w:right w:val="single" w:sz="4" w:space="0" w:color="auto"/>
            </w:tcBorders>
            <w:shd w:val="clear" w:color="000000" w:fill="FFFFFF"/>
            <w:vAlign w:val="center"/>
            <w:hideMark/>
          </w:tcPr>
          <w:p w14:paraId="23275ACC" w14:textId="77777777" w:rsidR="00343412" w:rsidRPr="00A05AA1" w:rsidRDefault="00343412" w:rsidP="00EB64C8">
            <w:pPr>
              <w:spacing w:after="0" w:line="240" w:lineRule="auto"/>
              <w:jc w:val="both"/>
              <w:rPr>
                <w:rFonts w:ascii="Arial" w:hAnsi="Arial"/>
                <w:color w:val="000000"/>
                <w:sz w:val="20"/>
                <w:lang w:val="es-ES_tradnl"/>
              </w:rPr>
            </w:pPr>
            <w:r w:rsidRPr="00A05AA1">
              <w:rPr>
                <w:rFonts w:ascii="Arial" w:hAnsi="Arial"/>
                <w:color w:val="000000"/>
                <w:sz w:val="20"/>
                <w:lang w:val="es-ES_tradnl"/>
              </w:rPr>
              <w:t>g. Baños y conexiones internas de saneamiento</w:t>
            </w:r>
          </w:p>
        </w:tc>
        <w:tc>
          <w:tcPr>
            <w:tcW w:w="9425" w:type="dxa"/>
            <w:tcBorders>
              <w:top w:val="nil"/>
              <w:left w:val="nil"/>
              <w:bottom w:val="single" w:sz="4" w:space="0" w:color="auto"/>
              <w:right w:val="single" w:sz="4" w:space="0" w:color="auto"/>
            </w:tcBorders>
            <w:shd w:val="clear" w:color="000000" w:fill="FFFFFF"/>
            <w:vAlign w:val="center"/>
            <w:hideMark/>
          </w:tcPr>
          <w:p w14:paraId="37D300E1" w14:textId="77777777" w:rsidR="00343412" w:rsidRPr="00A05AA1" w:rsidRDefault="00343412" w:rsidP="00EB64C8">
            <w:pPr>
              <w:spacing w:after="0" w:line="240" w:lineRule="auto"/>
              <w:jc w:val="both"/>
              <w:rPr>
                <w:rFonts w:ascii="Arial" w:hAnsi="Arial"/>
                <w:color w:val="000000"/>
                <w:sz w:val="20"/>
                <w:lang w:val="es-ES_tradnl"/>
              </w:rPr>
            </w:pPr>
            <w:r w:rsidRPr="00A05AA1">
              <w:rPr>
                <w:rFonts w:ascii="Arial" w:hAnsi="Arial"/>
                <w:color w:val="000000"/>
                <w:sz w:val="20"/>
                <w:lang w:val="es-ES_tradnl"/>
              </w:rPr>
              <w:t>Canastas de materiales para la realización de los baños y conexiones a saneamiento mediante autoconstrucción asistida.</w:t>
            </w:r>
          </w:p>
        </w:tc>
      </w:tr>
      <w:tr w:rsidR="00343412" w:rsidRPr="00896C4B" w14:paraId="18D61BEB" w14:textId="77777777" w:rsidTr="00576FEA">
        <w:trPr>
          <w:trHeight w:val="864"/>
        </w:trPr>
        <w:tc>
          <w:tcPr>
            <w:tcW w:w="4435" w:type="dxa"/>
            <w:tcBorders>
              <w:top w:val="nil"/>
              <w:left w:val="single" w:sz="4" w:space="0" w:color="auto"/>
              <w:bottom w:val="single" w:sz="4" w:space="0" w:color="auto"/>
              <w:right w:val="single" w:sz="4" w:space="0" w:color="auto"/>
            </w:tcBorders>
            <w:shd w:val="clear" w:color="000000" w:fill="FFFFFF"/>
            <w:vAlign w:val="center"/>
            <w:hideMark/>
          </w:tcPr>
          <w:p w14:paraId="7C47FA16" w14:textId="77777777" w:rsidR="00343412" w:rsidRPr="00A05AA1" w:rsidRDefault="00343412" w:rsidP="00EB64C8">
            <w:pPr>
              <w:spacing w:after="0" w:line="240" w:lineRule="auto"/>
              <w:jc w:val="both"/>
              <w:rPr>
                <w:rFonts w:ascii="Arial" w:hAnsi="Arial"/>
                <w:color w:val="000000"/>
                <w:sz w:val="20"/>
                <w:lang w:val="es-ES_tradnl"/>
              </w:rPr>
            </w:pPr>
            <w:r w:rsidRPr="00A05AA1">
              <w:rPr>
                <w:rFonts w:ascii="Arial" w:hAnsi="Arial"/>
                <w:color w:val="000000"/>
                <w:sz w:val="20"/>
                <w:lang w:val="es-ES_tradnl"/>
              </w:rPr>
              <w:t>h. Mejoramiento de Vivienda</w:t>
            </w:r>
          </w:p>
        </w:tc>
        <w:tc>
          <w:tcPr>
            <w:tcW w:w="9425" w:type="dxa"/>
            <w:tcBorders>
              <w:top w:val="nil"/>
              <w:left w:val="nil"/>
              <w:bottom w:val="single" w:sz="4" w:space="0" w:color="auto"/>
              <w:right w:val="single" w:sz="4" w:space="0" w:color="auto"/>
            </w:tcBorders>
            <w:shd w:val="clear" w:color="000000" w:fill="FFFFFF"/>
            <w:vAlign w:val="center"/>
            <w:hideMark/>
          </w:tcPr>
          <w:p w14:paraId="70521AAC" w14:textId="77777777" w:rsidR="00343412" w:rsidRPr="00A05AA1" w:rsidRDefault="00343412" w:rsidP="00EB64C8">
            <w:pPr>
              <w:spacing w:after="0" w:line="240" w:lineRule="auto"/>
              <w:jc w:val="both"/>
              <w:rPr>
                <w:rFonts w:ascii="Arial" w:hAnsi="Arial"/>
                <w:color w:val="000000"/>
                <w:sz w:val="20"/>
                <w:lang w:val="es-ES_tradnl"/>
              </w:rPr>
            </w:pPr>
            <w:r w:rsidRPr="00A05AA1">
              <w:rPr>
                <w:rFonts w:ascii="Arial" w:hAnsi="Arial"/>
                <w:color w:val="000000"/>
                <w:sz w:val="20"/>
                <w:lang w:val="es-ES_tradnl"/>
              </w:rPr>
              <w:t>Acondicionamiento y/o ampliación de viviendas precarias en las zonas de intervención. Se intervendrá en viviendas que permanezcan en su lote y presenten alguna de estas problemáticas: i) hacinamiento grave, ii) reparación de techos y humedades graves, iii) aberturas y iv) acondicionamiento de instalaciones eléctricas.</w:t>
            </w:r>
          </w:p>
        </w:tc>
      </w:tr>
      <w:tr w:rsidR="00343412" w:rsidRPr="00896C4B" w14:paraId="4F9508EB" w14:textId="77777777" w:rsidTr="00576FEA">
        <w:trPr>
          <w:trHeight w:val="386"/>
        </w:trPr>
        <w:tc>
          <w:tcPr>
            <w:tcW w:w="13860" w:type="dxa"/>
            <w:gridSpan w:val="2"/>
            <w:tcBorders>
              <w:top w:val="nil"/>
              <w:left w:val="single" w:sz="4" w:space="0" w:color="auto"/>
              <w:bottom w:val="single" w:sz="4" w:space="0" w:color="auto"/>
              <w:right w:val="single" w:sz="4" w:space="0" w:color="auto"/>
            </w:tcBorders>
            <w:shd w:val="clear" w:color="auto" w:fill="BDD6EE" w:themeFill="accent5" w:themeFillTint="66"/>
            <w:vAlign w:val="center"/>
          </w:tcPr>
          <w:p w14:paraId="68F9BB58" w14:textId="77777777" w:rsidR="00343412" w:rsidRPr="00A05AA1" w:rsidRDefault="00343412" w:rsidP="00EB64C8">
            <w:pPr>
              <w:spacing w:after="0" w:line="240" w:lineRule="auto"/>
              <w:jc w:val="both"/>
              <w:rPr>
                <w:rFonts w:ascii="Arial" w:hAnsi="Arial"/>
                <w:i/>
                <w:color w:val="000000"/>
                <w:sz w:val="20"/>
                <w:lang w:val="es-ES_tradnl"/>
              </w:rPr>
            </w:pPr>
            <w:r w:rsidRPr="00A05AA1">
              <w:rPr>
                <w:rFonts w:ascii="Arial" w:hAnsi="Arial"/>
                <w:i/>
                <w:color w:val="000000"/>
                <w:sz w:val="20"/>
                <w:lang w:val="es-ES_tradnl"/>
              </w:rPr>
              <w:t xml:space="preserve">Reglamentación del etiquetado de eficiencia energética en viviendas y edificios nuevos a </w:t>
            </w:r>
            <w:r w:rsidR="00C40C9C" w:rsidRPr="00A05AA1">
              <w:rPr>
                <w:rFonts w:ascii="Arial" w:hAnsi="Arial"/>
                <w:i/>
                <w:color w:val="000000"/>
                <w:sz w:val="20"/>
                <w:lang w:val="es-ES_tradnl"/>
              </w:rPr>
              <w:t>2025. *</w:t>
            </w:r>
          </w:p>
        </w:tc>
      </w:tr>
      <w:tr w:rsidR="00343412" w:rsidRPr="00896C4B" w14:paraId="1810A8E6" w14:textId="77777777" w:rsidTr="00576FEA">
        <w:trPr>
          <w:trHeight w:val="440"/>
        </w:trPr>
        <w:tc>
          <w:tcPr>
            <w:tcW w:w="13860" w:type="dxa"/>
            <w:gridSpan w:val="2"/>
            <w:tcBorders>
              <w:top w:val="nil"/>
              <w:left w:val="single" w:sz="4" w:space="0" w:color="auto"/>
              <w:bottom w:val="single" w:sz="4" w:space="0" w:color="auto"/>
              <w:right w:val="single" w:sz="4" w:space="0" w:color="auto"/>
            </w:tcBorders>
            <w:shd w:val="clear" w:color="auto" w:fill="BDD6EE" w:themeFill="accent5" w:themeFillTint="66"/>
            <w:vAlign w:val="center"/>
          </w:tcPr>
          <w:p w14:paraId="2383F311" w14:textId="77777777" w:rsidR="00343412" w:rsidRPr="00A05AA1" w:rsidRDefault="00343412" w:rsidP="00EB64C8">
            <w:pPr>
              <w:spacing w:after="0" w:line="240" w:lineRule="auto"/>
              <w:jc w:val="both"/>
              <w:rPr>
                <w:rFonts w:ascii="Arial" w:hAnsi="Arial"/>
                <w:i/>
                <w:color w:val="000000"/>
                <w:sz w:val="20"/>
                <w:lang w:val="es-ES_tradnl"/>
              </w:rPr>
            </w:pPr>
            <w:r w:rsidRPr="00A05AA1">
              <w:rPr>
                <w:rFonts w:ascii="Arial" w:hAnsi="Arial"/>
                <w:i/>
                <w:color w:val="000000"/>
                <w:sz w:val="20"/>
                <w:lang w:val="es-ES_tradnl"/>
              </w:rPr>
              <w:t xml:space="preserve">Implementación del Piloto en Montevideo del Programa de mejora de la eficiencia energética en </w:t>
            </w:r>
            <w:r w:rsidR="00C40C9C" w:rsidRPr="00A05AA1">
              <w:rPr>
                <w:rFonts w:ascii="Arial" w:hAnsi="Arial"/>
                <w:i/>
                <w:color w:val="000000"/>
                <w:sz w:val="20"/>
                <w:lang w:val="es-ES_tradnl"/>
              </w:rPr>
              <w:t>viviendas. *</w:t>
            </w:r>
          </w:p>
        </w:tc>
      </w:tr>
      <w:tr w:rsidR="00343412" w:rsidRPr="00896C4B" w14:paraId="03839908" w14:textId="77777777" w:rsidTr="00576FEA">
        <w:trPr>
          <w:trHeight w:val="440"/>
        </w:trPr>
        <w:tc>
          <w:tcPr>
            <w:tcW w:w="13860" w:type="dxa"/>
            <w:gridSpan w:val="2"/>
            <w:tcBorders>
              <w:top w:val="nil"/>
              <w:left w:val="single" w:sz="4" w:space="0" w:color="auto"/>
              <w:bottom w:val="single" w:sz="4" w:space="0" w:color="auto"/>
              <w:right w:val="single" w:sz="4" w:space="0" w:color="auto"/>
            </w:tcBorders>
            <w:shd w:val="clear" w:color="auto" w:fill="BDD6EE" w:themeFill="accent5" w:themeFillTint="66"/>
            <w:vAlign w:val="center"/>
          </w:tcPr>
          <w:p w14:paraId="522C2B3D" w14:textId="77777777" w:rsidR="00343412" w:rsidRPr="00A05AA1" w:rsidRDefault="00343412" w:rsidP="00EB64C8">
            <w:pPr>
              <w:spacing w:after="0" w:line="240" w:lineRule="auto"/>
              <w:jc w:val="both"/>
              <w:rPr>
                <w:rFonts w:ascii="Arial" w:hAnsi="Arial"/>
                <w:i/>
                <w:color w:val="000000"/>
                <w:sz w:val="20"/>
                <w:lang w:val="es-ES_tradnl"/>
              </w:rPr>
            </w:pPr>
            <w:r w:rsidRPr="00A05AA1">
              <w:rPr>
                <w:rFonts w:ascii="Arial" w:hAnsi="Arial"/>
                <w:i/>
                <w:color w:val="000000"/>
                <w:sz w:val="20"/>
                <w:lang w:val="es-ES_tradnl"/>
              </w:rPr>
              <w:t xml:space="preserve">Extensión del piloto del Programa de mejora de la eficiencia energética en el 5% de las viviendas a nivel país a </w:t>
            </w:r>
            <w:r w:rsidR="00C40C9C" w:rsidRPr="00A05AA1">
              <w:rPr>
                <w:rFonts w:ascii="Arial" w:hAnsi="Arial"/>
                <w:i/>
                <w:color w:val="000000"/>
                <w:sz w:val="20"/>
                <w:lang w:val="es-ES_tradnl"/>
              </w:rPr>
              <w:t>2025. *</w:t>
            </w:r>
          </w:p>
        </w:tc>
      </w:tr>
      <w:tr w:rsidR="00343412" w:rsidRPr="00896C4B" w14:paraId="33A5E524" w14:textId="77777777" w:rsidTr="00576FEA">
        <w:trPr>
          <w:trHeight w:val="1152"/>
        </w:trPr>
        <w:tc>
          <w:tcPr>
            <w:tcW w:w="44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928186" w14:textId="77777777" w:rsidR="00343412" w:rsidRPr="00A05AA1" w:rsidRDefault="00343412" w:rsidP="00EB64C8">
            <w:pPr>
              <w:spacing w:after="0" w:line="240" w:lineRule="auto"/>
              <w:jc w:val="both"/>
              <w:rPr>
                <w:rFonts w:ascii="Arial" w:hAnsi="Arial"/>
                <w:color w:val="000000"/>
                <w:sz w:val="20"/>
                <w:lang w:val="es-ES_tradnl"/>
              </w:rPr>
            </w:pPr>
            <w:r w:rsidRPr="00A05AA1">
              <w:rPr>
                <w:rFonts w:ascii="Arial" w:hAnsi="Arial"/>
                <w:color w:val="000000"/>
                <w:sz w:val="20"/>
                <w:lang w:val="es-ES_tradnl"/>
              </w:rPr>
              <w:t>i. Protección o Mejoramiento del Entorno Ambiental</w:t>
            </w:r>
          </w:p>
        </w:tc>
        <w:tc>
          <w:tcPr>
            <w:tcW w:w="9425" w:type="dxa"/>
            <w:tcBorders>
              <w:top w:val="single" w:sz="4" w:space="0" w:color="auto"/>
              <w:left w:val="nil"/>
              <w:bottom w:val="single" w:sz="4" w:space="0" w:color="auto"/>
              <w:right w:val="single" w:sz="4" w:space="0" w:color="auto"/>
            </w:tcBorders>
            <w:shd w:val="clear" w:color="000000" w:fill="FFFFFF"/>
            <w:vAlign w:val="center"/>
            <w:hideMark/>
          </w:tcPr>
          <w:p w14:paraId="729AB1DA" w14:textId="0671BC60" w:rsidR="00C40C9C" w:rsidRPr="00A05AA1" w:rsidRDefault="00343412" w:rsidP="00896C4B">
            <w:pPr>
              <w:spacing w:after="0" w:line="240" w:lineRule="auto"/>
              <w:jc w:val="both"/>
              <w:rPr>
                <w:rFonts w:ascii="Arial" w:hAnsi="Arial"/>
                <w:color w:val="000000"/>
                <w:sz w:val="20"/>
                <w:lang w:val="es-ES_tradnl"/>
              </w:rPr>
            </w:pPr>
            <w:r w:rsidRPr="00A05AA1">
              <w:rPr>
                <w:rFonts w:ascii="Arial" w:hAnsi="Arial"/>
                <w:color w:val="000000"/>
                <w:sz w:val="20"/>
                <w:lang w:val="es-ES_tradnl"/>
              </w:rPr>
              <w:t>Arborización de vías, forestación para el control de erosión, obras de control de inundaciones, estabilización de suelos, remediación de pasivos ambientales, obras de protección y/o recuperación ambiental, implementación de metodologías de trabajo con recicladores, actividades de participación comunitaria para el manejo ambiental y actividades de educación ambiental.</w:t>
            </w:r>
          </w:p>
        </w:tc>
      </w:tr>
      <w:tr w:rsidR="00343412" w:rsidRPr="00896C4B" w14:paraId="08F754CE" w14:textId="77777777" w:rsidTr="00576FEA">
        <w:trPr>
          <w:trHeight w:val="451"/>
        </w:trPr>
        <w:tc>
          <w:tcPr>
            <w:tcW w:w="13860" w:type="dxa"/>
            <w:gridSpan w:val="2"/>
            <w:tcBorders>
              <w:top w:val="single" w:sz="4" w:space="0" w:color="auto"/>
              <w:left w:val="single" w:sz="4" w:space="0" w:color="auto"/>
              <w:bottom w:val="single" w:sz="4" w:space="0" w:color="auto"/>
              <w:right w:val="single" w:sz="4" w:space="0" w:color="000000"/>
            </w:tcBorders>
            <w:shd w:val="clear" w:color="000000" w:fill="C5D9F1"/>
            <w:vAlign w:val="center"/>
            <w:hideMark/>
          </w:tcPr>
          <w:p w14:paraId="7E54741C" w14:textId="77777777" w:rsidR="00343412" w:rsidRPr="00A05AA1" w:rsidRDefault="00343412" w:rsidP="00EB64C8">
            <w:pPr>
              <w:spacing w:after="0" w:line="240" w:lineRule="auto"/>
              <w:jc w:val="both"/>
              <w:rPr>
                <w:rFonts w:ascii="Arial" w:hAnsi="Arial"/>
                <w:i/>
                <w:color w:val="000000"/>
                <w:sz w:val="20"/>
                <w:lang w:val="es-ES_tradnl"/>
              </w:rPr>
            </w:pPr>
            <w:r w:rsidRPr="00A05AA1">
              <w:rPr>
                <w:rFonts w:ascii="Arial" w:hAnsi="Arial"/>
                <w:i/>
                <w:color w:val="000000"/>
                <w:sz w:val="20"/>
                <w:lang w:val="es-ES_tradnl"/>
              </w:rPr>
              <w:t>Fortalecimiento de la Red Nacional de Educación Ambiental, promoviendo que los y las educadores/as desarrollen proyectos en aulas, talleres, ferias educativas científicas y actividades no formales con la temática del cambio climático en el marco del Plan Nacional de Educación Ambiental y en vínculo con el Plan Nacional de Educación en Derechos Humanos.</w:t>
            </w:r>
          </w:p>
        </w:tc>
      </w:tr>
      <w:tr w:rsidR="00343412" w:rsidRPr="00896C4B" w14:paraId="40AB4E49" w14:textId="77777777" w:rsidTr="00576FEA">
        <w:trPr>
          <w:trHeight w:val="58"/>
        </w:trPr>
        <w:tc>
          <w:tcPr>
            <w:tcW w:w="13860" w:type="dxa"/>
            <w:gridSpan w:val="2"/>
            <w:tcBorders>
              <w:top w:val="single" w:sz="4" w:space="0" w:color="auto"/>
              <w:left w:val="single" w:sz="4" w:space="0" w:color="auto"/>
              <w:bottom w:val="single" w:sz="4" w:space="0" w:color="auto"/>
              <w:right w:val="single" w:sz="4" w:space="0" w:color="000000"/>
            </w:tcBorders>
            <w:shd w:val="clear" w:color="000000" w:fill="C5D9F1"/>
            <w:vAlign w:val="center"/>
            <w:hideMark/>
          </w:tcPr>
          <w:p w14:paraId="137D156A" w14:textId="77777777" w:rsidR="00343412" w:rsidRPr="00A05AA1" w:rsidRDefault="00343412" w:rsidP="00EB64C8">
            <w:pPr>
              <w:spacing w:after="0" w:line="240" w:lineRule="auto"/>
              <w:jc w:val="both"/>
              <w:rPr>
                <w:rFonts w:ascii="Arial" w:hAnsi="Arial"/>
                <w:i/>
                <w:color w:val="000000"/>
                <w:sz w:val="20"/>
                <w:lang w:val="es-ES_tradnl"/>
              </w:rPr>
            </w:pPr>
            <w:r w:rsidRPr="00A05AA1">
              <w:rPr>
                <w:rFonts w:ascii="Arial" w:hAnsi="Arial"/>
                <w:i/>
                <w:color w:val="000000"/>
                <w:sz w:val="20"/>
                <w:lang w:val="es-ES_tradnl"/>
              </w:rPr>
              <w:t xml:space="preserve">Fortalecer y potenciar los espacios y los canales ya existentes para que la ciudadanía comunique sus preocupaciones y visiones sobre </w:t>
            </w:r>
            <w:r w:rsidR="00C40C9C" w:rsidRPr="00A05AA1">
              <w:rPr>
                <w:rFonts w:ascii="Arial" w:hAnsi="Arial"/>
                <w:i/>
                <w:color w:val="000000"/>
                <w:sz w:val="20"/>
                <w:lang w:val="es-ES_tradnl"/>
              </w:rPr>
              <w:t>cómo</w:t>
            </w:r>
            <w:r w:rsidRPr="00A05AA1">
              <w:rPr>
                <w:rFonts w:ascii="Arial" w:hAnsi="Arial"/>
                <w:i/>
                <w:color w:val="000000"/>
                <w:sz w:val="20"/>
                <w:lang w:val="es-ES_tradnl"/>
              </w:rPr>
              <w:t xml:space="preserve"> son afectados y como atender los problemas relativos al cambio climático.</w:t>
            </w:r>
          </w:p>
        </w:tc>
      </w:tr>
      <w:tr w:rsidR="00343412" w:rsidRPr="00896C4B" w14:paraId="6D6968BA" w14:textId="77777777" w:rsidTr="00576FEA">
        <w:trPr>
          <w:trHeight w:val="58"/>
        </w:trPr>
        <w:tc>
          <w:tcPr>
            <w:tcW w:w="13860" w:type="dxa"/>
            <w:gridSpan w:val="2"/>
            <w:tcBorders>
              <w:top w:val="single" w:sz="4" w:space="0" w:color="auto"/>
              <w:left w:val="single" w:sz="4" w:space="0" w:color="auto"/>
              <w:bottom w:val="single" w:sz="4" w:space="0" w:color="auto"/>
              <w:right w:val="single" w:sz="4" w:space="0" w:color="000000"/>
            </w:tcBorders>
            <w:shd w:val="clear" w:color="000000" w:fill="C5D9F1"/>
            <w:vAlign w:val="center"/>
            <w:hideMark/>
          </w:tcPr>
          <w:p w14:paraId="06E72B01" w14:textId="77777777" w:rsidR="00343412" w:rsidRPr="00A05AA1" w:rsidRDefault="00343412" w:rsidP="00EB64C8">
            <w:pPr>
              <w:spacing w:after="0" w:line="240" w:lineRule="auto"/>
              <w:jc w:val="both"/>
              <w:rPr>
                <w:rFonts w:ascii="Arial" w:hAnsi="Arial"/>
                <w:i/>
                <w:color w:val="000000"/>
                <w:sz w:val="20"/>
                <w:lang w:val="es-ES_tradnl"/>
              </w:rPr>
            </w:pPr>
            <w:r w:rsidRPr="00A05AA1">
              <w:rPr>
                <w:rFonts w:ascii="Arial" w:hAnsi="Arial"/>
                <w:i/>
                <w:color w:val="000000"/>
                <w:sz w:val="20"/>
                <w:lang w:val="es-ES_tradnl"/>
              </w:rPr>
              <w:t>A 2025 se promovieron medidas de adaptación en al menos un 30% de las ciudades de más de 5.000 habitantes para enfrentar las vulnerabilidades y mejorar sus capacidades de adaptación.</w:t>
            </w:r>
          </w:p>
        </w:tc>
      </w:tr>
      <w:tr w:rsidR="00343412" w:rsidRPr="00896C4B" w14:paraId="5A213A43" w14:textId="77777777" w:rsidTr="00576FEA">
        <w:trPr>
          <w:trHeight w:val="58"/>
        </w:trPr>
        <w:tc>
          <w:tcPr>
            <w:tcW w:w="13860" w:type="dxa"/>
            <w:gridSpan w:val="2"/>
            <w:tcBorders>
              <w:top w:val="single" w:sz="4" w:space="0" w:color="auto"/>
              <w:left w:val="single" w:sz="4" w:space="0" w:color="auto"/>
              <w:bottom w:val="single" w:sz="4" w:space="0" w:color="auto"/>
              <w:right w:val="single" w:sz="4" w:space="0" w:color="000000"/>
            </w:tcBorders>
            <w:shd w:val="clear" w:color="000000" w:fill="C5D9F1"/>
            <w:vAlign w:val="center"/>
          </w:tcPr>
          <w:p w14:paraId="7FE39D94" w14:textId="77777777" w:rsidR="00343412" w:rsidRPr="00A05AA1" w:rsidRDefault="00343412" w:rsidP="00EB64C8">
            <w:pPr>
              <w:spacing w:after="0" w:line="240" w:lineRule="auto"/>
              <w:jc w:val="both"/>
              <w:rPr>
                <w:rFonts w:ascii="Arial" w:hAnsi="Arial"/>
                <w:i/>
                <w:sz w:val="20"/>
                <w:lang w:val="es-ES_tradnl"/>
              </w:rPr>
            </w:pPr>
            <w:r w:rsidRPr="00A05AA1">
              <w:rPr>
                <w:rFonts w:ascii="Arial" w:hAnsi="Arial"/>
                <w:i/>
                <w:sz w:val="20"/>
                <w:lang w:val="es-ES_tradnl"/>
              </w:rPr>
              <w:t xml:space="preserve">A 2020 se ha formulado, aprobado y se ha iniciado la implementación el Plan Nacional de Adaptación en Ciudades e Infraestructuras, incluyendo un enfoque de derecho a la ciudad, sostenibilidad urbana y acceso al suelo urbano. </w:t>
            </w:r>
          </w:p>
        </w:tc>
      </w:tr>
      <w:tr w:rsidR="00343412" w:rsidRPr="00896C4B" w14:paraId="6EA2E0A6" w14:textId="77777777" w:rsidTr="00576FEA">
        <w:trPr>
          <w:trHeight w:val="58"/>
        </w:trPr>
        <w:tc>
          <w:tcPr>
            <w:tcW w:w="13860" w:type="dxa"/>
            <w:gridSpan w:val="2"/>
            <w:tcBorders>
              <w:top w:val="single" w:sz="4" w:space="0" w:color="auto"/>
              <w:left w:val="single" w:sz="4" w:space="0" w:color="auto"/>
              <w:bottom w:val="single" w:sz="4" w:space="0" w:color="auto"/>
              <w:right w:val="single" w:sz="4" w:space="0" w:color="000000"/>
            </w:tcBorders>
            <w:shd w:val="clear" w:color="000000" w:fill="C5D9F1"/>
            <w:vAlign w:val="center"/>
          </w:tcPr>
          <w:p w14:paraId="47C51426" w14:textId="77777777" w:rsidR="00343412" w:rsidRPr="00A05AA1" w:rsidRDefault="00343412" w:rsidP="00EB64C8">
            <w:pPr>
              <w:spacing w:after="0" w:line="240" w:lineRule="auto"/>
              <w:jc w:val="both"/>
              <w:rPr>
                <w:rFonts w:ascii="Arial" w:hAnsi="Arial"/>
                <w:i/>
                <w:sz w:val="20"/>
                <w:lang w:val="es-ES_tradnl"/>
              </w:rPr>
            </w:pPr>
            <w:r w:rsidRPr="00A05AA1">
              <w:rPr>
                <w:rFonts w:ascii="Arial" w:hAnsi="Arial"/>
                <w:i/>
                <w:sz w:val="20"/>
                <w:lang w:val="es-ES_tradnl"/>
              </w:rPr>
              <w:t>A 2020 se ha implementado una Guía de Elaboración de Instrumentos de Ordenamiento Territorial que considera un componente relativo a la adaptación al cambio y variabilidad climática.</w:t>
            </w:r>
          </w:p>
        </w:tc>
      </w:tr>
      <w:tr w:rsidR="00343412" w:rsidRPr="00896C4B" w14:paraId="54814BAE" w14:textId="77777777" w:rsidTr="00576FEA">
        <w:trPr>
          <w:trHeight w:val="58"/>
        </w:trPr>
        <w:tc>
          <w:tcPr>
            <w:tcW w:w="13860" w:type="dxa"/>
            <w:gridSpan w:val="2"/>
            <w:tcBorders>
              <w:top w:val="single" w:sz="4" w:space="0" w:color="auto"/>
              <w:left w:val="single" w:sz="4" w:space="0" w:color="auto"/>
              <w:bottom w:val="single" w:sz="4" w:space="0" w:color="auto"/>
              <w:right w:val="single" w:sz="4" w:space="0" w:color="000000"/>
            </w:tcBorders>
            <w:shd w:val="clear" w:color="000000" w:fill="C5D9F1"/>
            <w:vAlign w:val="center"/>
          </w:tcPr>
          <w:p w14:paraId="79914141" w14:textId="77777777" w:rsidR="00343412" w:rsidRPr="00A05AA1" w:rsidRDefault="00343412" w:rsidP="00EB64C8">
            <w:pPr>
              <w:spacing w:after="0" w:line="240" w:lineRule="auto"/>
              <w:jc w:val="both"/>
              <w:rPr>
                <w:rFonts w:ascii="Arial" w:hAnsi="Arial"/>
                <w:i/>
                <w:color w:val="000000"/>
                <w:sz w:val="20"/>
                <w:lang w:val="es-ES_tradnl"/>
              </w:rPr>
            </w:pPr>
            <w:r w:rsidRPr="00A05AA1">
              <w:rPr>
                <w:rFonts w:ascii="Arial" w:hAnsi="Arial"/>
                <w:i/>
                <w:sz w:val="20"/>
                <w:lang w:val="es-ES_tradnl"/>
              </w:rPr>
              <w:t xml:space="preserve">Al 2025 se protege el 100% del área de bosque nativo, con la opción de aumentar en un 5% dicha área, en especial en zonas de protección ambiental de recursos hídricos, procurando revertir los procesos de </w:t>
            </w:r>
            <w:r w:rsidR="00A75CFD" w:rsidRPr="00A05AA1">
              <w:rPr>
                <w:rFonts w:ascii="Arial" w:hAnsi="Arial"/>
                <w:i/>
                <w:sz w:val="20"/>
                <w:lang w:val="es-ES_tradnl"/>
              </w:rPr>
              <w:t>degradación. *</w:t>
            </w:r>
          </w:p>
        </w:tc>
      </w:tr>
      <w:tr w:rsidR="00343412" w:rsidRPr="00896C4B" w14:paraId="4C7BE9FF" w14:textId="77777777" w:rsidTr="00576FEA">
        <w:trPr>
          <w:trHeight w:val="864"/>
        </w:trPr>
        <w:tc>
          <w:tcPr>
            <w:tcW w:w="4435" w:type="dxa"/>
            <w:tcBorders>
              <w:top w:val="nil"/>
              <w:left w:val="single" w:sz="4" w:space="0" w:color="auto"/>
              <w:bottom w:val="single" w:sz="4" w:space="0" w:color="auto"/>
              <w:right w:val="single" w:sz="4" w:space="0" w:color="auto"/>
            </w:tcBorders>
            <w:shd w:val="clear" w:color="000000" w:fill="FFFFFF"/>
            <w:vAlign w:val="center"/>
            <w:hideMark/>
          </w:tcPr>
          <w:p w14:paraId="7F412FCB" w14:textId="77777777" w:rsidR="00343412" w:rsidRPr="00A05AA1" w:rsidRDefault="00343412" w:rsidP="00EB64C8">
            <w:pPr>
              <w:spacing w:after="0" w:line="240" w:lineRule="auto"/>
              <w:jc w:val="both"/>
              <w:rPr>
                <w:rFonts w:ascii="Arial" w:hAnsi="Arial"/>
                <w:color w:val="000000"/>
                <w:sz w:val="20"/>
                <w:lang w:val="es-ES_tradnl"/>
              </w:rPr>
            </w:pPr>
            <w:r w:rsidRPr="00A05AA1">
              <w:rPr>
                <w:rFonts w:ascii="Arial" w:hAnsi="Arial"/>
                <w:color w:val="000000"/>
                <w:sz w:val="20"/>
                <w:lang w:val="es-ES_tradnl"/>
              </w:rPr>
              <w:t>j. Infraestructura social Construcción y/o acondicionamiento y/o ampliación de equipamiento para servicios</w:t>
            </w:r>
          </w:p>
          <w:p w14:paraId="02D379EF" w14:textId="77777777" w:rsidR="00C40C9C" w:rsidRPr="00A05AA1" w:rsidRDefault="00C40C9C" w:rsidP="00EB64C8">
            <w:pPr>
              <w:spacing w:after="0" w:line="240" w:lineRule="auto"/>
              <w:jc w:val="both"/>
              <w:rPr>
                <w:rFonts w:ascii="Arial" w:hAnsi="Arial"/>
                <w:color w:val="000000"/>
                <w:sz w:val="20"/>
                <w:lang w:val="es-ES_tradnl"/>
              </w:rPr>
            </w:pPr>
          </w:p>
        </w:tc>
        <w:tc>
          <w:tcPr>
            <w:tcW w:w="9425" w:type="dxa"/>
            <w:tcBorders>
              <w:top w:val="nil"/>
              <w:left w:val="nil"/>
              <w:bottom w:val="single" w:sz="4" w:space="0" w:color="auto"/>
              <w:right w:val="single" w:sz="4" w:space="0" w:color="auto"/>
            </w:tcBorders>
            <w:shd w:val="clear" w:color="000000" w:fill="FFFFFF"/>
            <w:vAlign w:val="center"/>
            <w:hideMark/>
          </w:tcPr>
          <w:p w14:paraId="05F96A9E" w14:textId="77777777" w:rsidR="00343412" w:rsidRPr="00A05AA1" w:rsidRDefault="00343412" w:rsidP="00EB64C8">
            <w:pPr>
              <w:spacing w:after="0" w:line="240" w:lineRule="auto"/>
              <w:jc w:val="both"/>
              <w:rPr>
                <w:rFonts w:ascii="Arial" w:hAnsi="Arial"/>
                <w:color w:val="000000"/>
                <w:sz w:val="20"/>
                <w:lang w:val="es-ES_tradnl"/>
              </w:rPr>
            </w:pPr>
            <w:r w:rsidRPr="00A05AA1">
              <w:rPr>
                <w:rFonts w:ascii="Arial" w:hAnsi="Arial"/>
                <w:color w:val="000000"/>
                <w:sz w:val="20"/>
                <w:lang w:val="es-ES_tradnl"/>
              </w:rPr>
              <w:t xml:space="preserve"> Construcción y/o acondicionamiento y/o ampliación de equipamiento para servicios sociales y deportivos: centros </w:t>
            </w:r>
            <w:r w:rsidR="00A75CFD" w:rsidRPr="00A05AA1">
              <w:rPr>
                <w:rFonts w:ascii="Arial" w:hAnsi="Arial"/>
                <w:color w:val="000000"/>
                <w:sz w:val="20"/>
                <w:lang w:val="es-ES_tradnl"/>
              </w:rPr>
              <w:t>comunitarios, guarderías</w:t>
            </w:r>
            <w:r w:rsidRPr="00A05AA1">
              <w:rPr>
                <w:rFonts w:ascii="Arial" w:hAnsi="Arial"/>
                <w:color w:val="000000"/>
                <w:sz w:val="20"/>
                <w:lang w:val="es-ES_tradnl"/>
              </w:rPr>
              <w:t>, centros de salud y/o Centros de Atención a la Infancia y la Familia (CAIF), entre otros.</w:t>
            </w:r>
          </w:p>
        </w:tc>
      </w:tr>
      <w:tr w:rsidR="00343412" w:rsidRPr="00896C4B" w14:paraId="2630D04B" w14:textId="77777777" w:rsidTr="00576FEA">
        <w:trPr>
          <w:trHeight w:val="288"/>
        </w:trPr>
        <w:tc>
          <w:tcPr>
            <w:tcW w:w="13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670887D" w14:textId="706FC474" w:rsidR="00C40C9C" w:rsidRPr="00A05AA1" w:rsidRDefault="00343412" w:rsidP="00896C4B">
            <w:pPr>
              <w:spacing w:after="0" w:line="240" w:lineRule="auto"/>
              <w:jc w:val="both"/>
              <w:rPr>
                <w:rFonts w:ascii="Arial" w:hAnsi="Arial"/>
                <w:b/>
                <w:color w:val="000000"/>
                <w:sz w:val="20"/>
                <w:lang w:val="es-ES_tradnl"/>
              </w:rPr>
            </w:pPr>
            <w:r w:rsidRPr="00A05AA1">
              <w:rPr>
                <w:rFonts w:ascii="Arial" w:hAnsi="Arial"/>
                <w:b/>
                <w:color w:val="000000"/>
                <w:sz w:val="20"/>
                <w:lang w:val="es-ES_tradnl"/>
              </w:rPr>
              <w:t>2. LEGALIZACIÓN/REGULARIZACIÓN DE LA PROPIEDAD</w:t>
            </w:r>
          </w:p>
        </w:tc>
      </w:tr>
      <w:tr w:rsidR="00343412" w:rsidRPr="00896C4B" w14:paraId="5BE03430" w14:textId="77777777" w:rsidTr="00576FEA">
        <w:trPr>
          <w:trHeight w:val="1152"/>
        </w:trPr>
        <w:tc>
          <w:tcPr>
            <w:tcW w:w="4435" w:type="dxa"/>
            <w:tcBorders>
              <w:top w:val="nil"/>
              <w:left w:val="single" w:sz="4" w:space="0" w:color="auto"/>
              <w:bottom w:val="single" w:sz="4" w:space="0" w:color="auto"/>
              <w:right w:val="single" w:sz="4" w:space="0" w:color="auto"/>
            </w:tcBorders>
            <w:shd w:val="clear" w:color="000000" w:fill="FFFFFF"/>
            <w:vAlign w:val="center"/>
            <w:hideMark/>
          </w:tcPr>
          <w:p w14:paraId="39B39F85" w14:textId="77777777" w:rsidR="00343412" w:rsidRPr="00A05AA1" w:rsidRDefault="00343412" w:rsidP="00EB64C8">
            <w:pPr>
              <w:spacing w:after="0" w:line="240" w:lineRule="auto"/>
              <w:jc w:val="both"/>
              <w:rPr>
                <w:rFonts w:ascii="Arial" w:hAnsi="Arial"/>
                <w:color w:val="000000"/>
                <w:sz w:val="20"/>
                <w:lang w:val="es-ES_tradnl"/>
              </w:rPr>
            </w:pPr>
            <w:r w:rsidRPr="00A05AA1">
              <w:rPr>
                <w:rFonts w:ascii="Arial" w:hAnsi="Arial"/>
                <w:color w:val="000000"/>
                <w:sz w:val="20"/>
                <w:lang w:val="es-ES_tradnl"/>
              </w:rPr>
              <w:t>k. Regularización de la Propiedad</w:t>
            </w:r>
          </w:p>
        </w:tc>
        <w:tc>
          <w:tcPr>
            <w:tcW w:w="9425" w:type="dxa"/>
            <w:tcBorders>
              <w:top w:val="nil"/>
              <w:left w:val="nil"/>
              <w:bottom w:val="single" w:sz="4" w:space="0" w:color="auto"/>
              <w:right w:val="single" w:sz="4" w:space="0" w:color="auto"/>
            </w:tcBorders>
            <w:shd w:val="clear" w:color="000000" w:fill="FFFFFF"/>
            <w:vAlign w:val="center"/>
            <w:hideMark/>
          </w:tcPr>
          <w:p w14:paraId="3AFB75BA" w14:textId="77777777" w:rsidR="00343412" w:rsidRPr="00A05AA1" w:rsidRDefault="00343412" w:rsidP="00EB64C8">
            <w:pPr>
              <w:spacing w:after="0" w:line="240" w:lineRule="auto"/>
              <w:jc w:val="both"/>
              <w:rPr>
                <w:rFonts w:ascii="Arial" w:hAnsi="Arial"/>
                <w:color w:val="000000"/>
                <w:sz w:val="20"/>
                <w:lang w:val="es-ES_tradnl"/>
              </w:rPr>
            </w:pPr>
            <w:r w:rsidRPr="00A05AA1">
              <w:rPr>
                <w:rFonts w:ascii="Arial" w:hAnsi="Arial"/>
                <w:color w:val="000000"/>
                <w:sz w:val="20"/>
                <w:lang w:val="es-ES_tradnl"/>
              </w:rPr>
              <w:t>Asistencia técnica y jurídica y notarial para el traspaso de la propiedad del suelo en los asentamientos de este programa y de sus antecesores 2052/OC-UR y 1186/OC-UR, incluyendo, honorarios profesionales de escribanos, equipos sociales, costos de registro y demás actividades asociadas al proceso de regularización en régimen común o propiedad horizontal que correspondan a las familias beneficiarias.</w:t>
            </w:r>
          </w:p>
        </w:tc>
      </w:tr>
      <w:tr w:rsidR="00343412" w:rsidRPr="00896C4B" w14:paraId="64849963" w14:textId="77777777" w:rsidTr="00576FEA">
        <w:trPr>
          <w:trHeight w:val="288"/>
        </w:trPr>
        <w:tc>
          <w:tcPr>
            <w:tcW w:w="13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33F0A8D" w14:textId="77777777" w:rsidR="00343412" w:rsidRPr="00A05AA1" w:rsidRDefault="00343412" w:rsidP="00EB64C8">
            <w:pPr>
              <w:spacing w:after="0" w:line="240" w:lineRule="auto"/>
              <w:jc w:val="both"/>
              <w:rPr>
                <w:rFonts w:ascii="Arial" w:hAnsi="Arial"/>
                <w:b/>
                <w:color w:val="000000"/>
                <w:sz w:val="20"/>
                <w:lang w:val="es-ES_tradnl"/>
              </w:rPr>
            </w:pPr>
            <w:r w:rsidRPr="00A05AA1">
              <w:rPr>
                <w:rFonts w:ascii="Arial" w:hAnsi="Arial"/>
                <w:b/>
                <w:color w:val="000000"/>
                <w:sz w:val="20"/>
                <w:lang w:val="es-ES_tradnl"/>
              </w:rPr>
              <w:t>3. DESARROLLO COMUNITARIO</w:t>
            </w:r>
          </w:p>
        </w:tc>
      </w:tr>
      <w:tr w:rsidR="00343412" w:rsidRPr="00896C4B" w14:paraId="7A0D72F9" w14:textId="77777777" w:rsidTr="00576FEA">
        <w:trPr>
          <w:trHeight w:val="576"/>
        </w:trPr>
        <w:tc>
          <w:tcPr>
            <w:tcW w:w="4435" w:type="dxa"/>
            <w:tcBorders>
              <w:top w:val="nil"/>
              <w:left w:val="single" w:sz="4" w:space="0" w:color="auto"/>
              <w:bottom w:val="single" w:sz="4" w:space="0" w:color="auto"/>
              <w:right w:val="single" w:sz="4" w:space="0" w:color="auto"/>
            </w:tcBorders>
            <w:shd w:val="clear" w:color="000000" w:fill="FFFFFF"/>
            <w:vAlign w:val="center"/>
            <w:hideMark/>
          </w:tcPr>
          <w:p w14:paraId="4DFD66D2" w14:textId="77777777" w:rsidR="00343412" w:rsidRPr="00A05AA1" w:rsidRDefault="00343412" w:rsidP="00EB64C8">
            <w:pPr>
              <w:spacing w:after="0" w:line="240" w:lineRule="auto"/>
              <w:jc w:val="both"/>
              <w:rPr>
                <w:rFonts w:ascii="Arial" w:hAnsi="Arial"/>
                <w:color w:val="000000"/>
                <w:sz w:val="20"/>
                <w:lang w:val="es-ES_tradnl"/>
              </w:rPr>
            </w:pPr>
            <w:r w:rsidRPr="00A05AA1">
              <w:rPr>
                <w:rFonts w:ascii="Arial" w:hAnsi="Arial"/>
                <w:color w:val="000000"/>
                <w:sz w:val="20"/>
                <w:lang w:val="es-ES_tradnl"/>
              </w:rPr>
              <w:t>l. Formulación</w:t>
            </w:r>
          </w:p>
        </w:tc>
        <w:tc>
          <w:tcPr>
            <w:tcW w:w="9425" w:type="dxa"/>
            <w:tcBorders>
              <w:top w:val="nil"/>
              <w:left w:val="nil"/>
              <w:bottom w:val="single" w:sz="4" w:space="0" w:color="auto"/>
              <w:right w:val="single" w:sz="4" w:space="0" w:color="auto"/>
            </w:tcBorders>
            <w:shd w:val="clear" w:color="000000" w:fill="FFFFFF"/>
            <w:vAlign w:val="center"/>
            <w:hideMark/>
          </w:tcPr>
          <w:p w14:paraId="0D5E69CC" w14:textId="77777777" w:rsidR="00343412" w:rsidRPr="00A05AA1" w:rsidRDefault="00343412" w:rsidP="00A75CFD">
            <w:pPr>
              <w:spacing w:after="0" w:line="240" w:lineRule="auto"/>
              <w:rPr>
                <w:rFonts w:ascii="Arial" w:hAnsi="Arial"/>
                <w:color w:val="000000"/>
                <w:sz w:val="20"/>
                <w:lang w:val="es-ES_tradnl"/>
              </w:rPr>
            </w:pPr>
            <w:r w:rsidRPr="00A05AA1">
              <w:rPr>
                <w:rFonts w:ascii="Arial" w:hAnsi="Arial"/>
                <w:color w:val="000000"/>
                <w:sz w:val="20"/>
                <w:lang w:val="es-ES_tradnl"/>
              </w:rPr>
              <w:t>Elaboración del relevamiento, diagnóstico y propuesta integral del anteproyecto y del</w:t>
            </w:r>
            <w:r w:rsidRPr="00A05AA1">
              <w:rPr>
                <w:rFonts w:ascii="Arial" w:hAnsi="Arial"/>
                <w:color w:val="000000"/>
                <w:sz w:val="20"/>
                <w:lang w:val="es-ES_tradnl"/>
              </w:rPr>
              <w:br/>
              <w:t>proyecto ejecutivo.</w:t>
            </w:r>
          </w:p>
        </w:tc>
      </w:tr>
      <w:tr w:rsidR="00576FEA" w:rsidRPr="00896C4B" w14:paraId="089A2D8C" w14:textId="77777777" w:rsidTr="00576FEA">
        <w:trPr>
          <w:trHeight w:val="576"/>
        </w:trPr>
        <w:tc>
          <w:tcPr>
            <w:tcW w:w="4435" w:type="dxa"/>
            <w:tcBorders>
              <w:top w:val="single" w:sz="4" w:space="0" w:color="auto"/>
              <w:left w:val="single" w:sz="4" w:space="0" w:color="auto"/>
              <w:bottom w:val="single" w:sz="4" w:space="0" w:color="auto"/>
              <w:right w:val="single" w:sz="4" w:space="0" w:color="auto"/>
            </w:tcBorders>
            <w:shd w:val="clear" w:color="000000" w:fill="FFFFFF"/>
            <w:vAlign w:val="center"/>
          </w:tcPr>
          <w:p w14:paraId="26395CBB" w14:textId="06DC315B" w:rsidR="00576FEA" w:rsidRPr="00A05AA1" w:rsidRDefault="00576FEA" w:rsidP="00576FEA">
            <w:pPr>
              <w:spacing w:after="0" w:line="240" w:lineRule="auto"/>
              <w:jc w:val="both"/>
              <w:rPr>
                <w:rFonts w:ascii="Arial" w:hAnsi="Arial"/>
                <w:color w:val="000000"/>
                <w:sz w:val="20"/>
                <w:lang w:val="es-ES_tradnl"/>
              </w:rPr>
            </w:pPr>
            <w:r w:rsidRPr="00A05AA1">
              <w:rPr>
                <w:rFonts w:ascii="Arial" w:hAnsi="Arial"/>
                <w:color w:val="000000"/>
                <w:sz w:val="20"/>
                <w:lang w:val="es-ES_tradnl"/>
              </w:rPr>
              <w:t>ll. Ejecución</w:t>
            </w:r>
          </w:p>
        </w:tc>
        <w:tc>
          <w:tcPr>
            <w:tcW w:w="9425" w:type="dxa"/>
            <w:tcBorders>
              <w:top w:val="single" w:sz="4" w:space="0" w:color="auto"/>
              <w:left w:val="nil"/>
              <w:bottom w:val="single" w:sz="4" w:space="0" w:color="auto"/>
              <w:right w:val="single" w:sz="4" w:space="0" w:color="auto"/>
            </w:tcBorders>
            <w:shd w:val="clear" w:color="000000" w:fill="FFFFFF"/>
            <w:vAlign w:val="center"/>
          </w:tcPr>
          <w:p w14:paraId="01A741F6" w14:textId="485E3285" w:rsidR="00576FEA" w:rsidRPr="00A05AA1" w:rsidRDefault="00576FEA" w:rsidP="00576FEA">
            <w:pPr>
              <w:spacing w:after="0" w:line="240" w:lineRule="auto"/>
              <w:rPr>
                <w:rFonts w:ascii="Arial" w:hAnsi="Arial"/>
                <w:color w:val="000000"/>
                <w:sz w:val="20"/>
                <w:lang w:val="es-ES_tradnl"/>
              </w:rPr>
            </w:pPr>
            <w:r w:rsidRPr="00A05AA1">
              <w:rPr>
                <w:rFonts w:ascii="Arial" w:hAnsi="Arial"/>
                <w:color w:val="000000"/>
                <w:sz w:val="20"/>
                <w:lang w:val="es-ES_tradnl"/>
              </w:rPr>
              <w:t>· Acciones de desarrollo comunitario y social durante todo el ciclo de proyecto</w:t>
            </w:r>
            <w:r w:rsidRPr="00A05AA1">
              <w:rPr>
                <w:rFonts w:ascii="Arial" w:hAnsi="Arial"/>
                <w:color w:val="000000"/>
                <w:sz w:val="20"/>
                <w:lang w:val="es-ES_tradnl"/>
              </w:rPr>
              <w:br/>
              <w:t>que contribuyan a: la participación efectiva de la población de los</w:t>
            </w:r>
            <w:r w:rsidRPr="00A05AA1">
              <w:rPr>
                <w:rFonts w:ascii="Arial" w:hAnsi="Arial"/>
                <w:color w:val="000000"/>
                <w:sz w:val="20"/>
                <w:lang w:val="es-ES_tradnl"/>
              </w:rPr>
              <w:br/>
              <w:t>asentamientos; el fortalecimiento de las organizaciones comunitarias; el</w:t>
            </w:r>
            <w:r w:rsidRPr="00A05AA1">
              <w:rPr>
                <w:rFonts w:ascii="Arial" w:hAnsi="Arial"/>
                <w:color w:val="000000"/>
                <w:sz w:val="20"/>
                <w:lang w:val="es-ES_tradnl"/>
              </w:rPr>
              <w:br/>
              <w:t>desarrollo del capital social y humano; el ejercicio de los derechos ciudadanos;</w:t>
            </w:r>
            <w:r w:rsidRPr="00A05AA1">
              <w:rPr>
                <w:rFonts w:ascii="Arial" w:hAnsi="Arial"/>
                <w:color w:val="000000"/>
                <w:sz w:val="20"/>
                <w:lang w:val="es-ES_tradnl"/>
              </w:rPr>
              <w:br/>
              <w:t>y la articulación con: instituciones públicas, privadas, redes locales.</w:t>
            </w:r>
            <w:r w:rsidRPr="00A05AA1">
              <w:rPr>
                <w:rFonts w:ascii="Arial" w:hAnsi="Arial"/>
                <w:color w:val="000000"/>
                <w:sz w:val="20"/>
                <w:lang w:val="es-ES_tradnl"/>
              </w:rPr>
              <w:br/>
              <w:t>· Proyectos de Iniciativas Barriales.</w:t>
            </w:r>
            <w:r w:rsidRPr="00A05AA1">
              <w:rPr>
                <w:rFonts w:ascii="Arial" w:hAnsi="Arial"/>
                <w:color w:val="000000"/>
                <w:sz w:val="20"/>
                <w:lang w:val="es-ES_tradnl"/>
              </w:rPr>
              <w:br/>
              <w:t>· Dirección y seguimiento de las obras.</w:t>
            </w:r>
          </w:p>
        </w:tc>
      </w:tr>
      <w:tr w:rsidR="00A44757" w:rsidRPr="00896C4B" w14:paraId="40373A48" w14:textId="77777777" w:rsidTr="00576FEA">
        <w:trPr>
          <w:trHeight w:val="288"/>
        </w:trPr>
        <w:tc>
          <w:tcPr>
            <w:tcW w:w="13860"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F4C6122" w14:textId="11EB4B03" w:rsidR="00C40C9C" w:rsidRPr="00A05AA1" w:rsidRDefault="00A44757" w:rsidP="00896C4B">
            <w:pPr>
              <w:spacing w:after="0" w:line="240" w:lineRule="auto"/>
              <w:jc w:val="both"/>
              <w:rPr>
                <w:rFonts w:ascii="Arial" w:hAnsi="Arial"/>
                <w:b/>
                <w:color w:val="000000"/>
                <w:sz w:val="20"/>
                <w:lang w:val="es-ES_tradnl"/>
              </w:rPr>
            </w:pPr>
            <w:r w:rsidRPr="00A05AA1">
              <w:rPr>
                <w:rFonts w:ascii="Arial" w:hAnsi="Arial"/>
                <w:b/>
                <w:spacing w:val="-2"/>
                <w:sz w:val="20"/>
                <w:lang w:val="es-ES_tradnl"/>
              </w:rPr>
              <w:t>Componente II – Proyecto Piloto de Recuperación de Inmuebles Degradados en Áreas Centrales con Enfoque Social (US$10 millones)</w:t>
            </w:r>
            <w:r w:rsidRPr="00A05AA1">
              <w:rPr>
                <w:rFonts w:ascii="Arial" w:hAnsi="Arial"/>
                <w:spacing w:val="-2"/>
                <w:sz w:val="20"/>
                <w:lang w:val="es-ES_tradnl"/>
              </w:rPr>
              <w:t>.</w:t>
            </w:r>
          </w:p>
        </w:tc>
      </w:tr>
      <w:tr w:rsidR="00A44757" w:rsidRPr="00896C4B" w14:paraId="2CFB0F51" w14:textId="77777777" w:rsidTr="00576FEA">
        <w:trPr>
          <w:trHeight w:val="2016"/>
        </w:trPr>
        <w:tc>
          <w:tcPr>
            <w:tcW w:w="4435" w:type="dxa"/>
            <w:tcBorders>
              <w:top w:val="nil"/>
              <w:left w:val="single" w:sz="4" w:space="0" w:color="auto"/>
              <w:bottom w:val="nil"/>
              <w:right w:val="single" w:sz="4" w:space="0" w:color="auto"/>
            </w:tcBorders>
            <w:shd w:val="clear" w:color="000000" w:fill="FFFFFF"/>
            <w:vAlign w:val="center"/>
          </w:tcPr>
          <w:p w14:paraId="21C3A956" w14:textId="77777777" w:rsidR="00A44757" w:rsidRPr="00A05AA1" w:rsidRDefault="00A44757" w:rsidP="00EB64C8">
            <w:pPr>
              <w:spacing w:after="0" w:line="240" w:lineRule="auto"/>
              <w:jc w:val="both"/>
              <w:rPr>
                <w:rFonts w:ascii="Arial" w:hAnsi="Arial"/>
                <w:color w:val="000000"/>
                <w:sz w:val="20"/>
                <w:lang w:val="es-ES_tradnl"/>
              </w:rPr>
            </w:pPr>
            <w:r w:rsidRPr="00A05AA1">
              <w:rPr>
                <w:rFonts w:ascii="Arial" w:hAnsi="Arial"/>
                <w:sz w:val="20"/>
                <w:lang w:val="es-ES_tradnl"/>
              </w:rPr>
              <w:t>Proyecto piloto de recuperación y puesta en valor de inmuebles o lotes abandonados en desuso de propiedad estatal en zonas céntricas de Montevideo</w:t>
            </w:r>
          </w:p>
        </w:tc>
        <w:tc>
          <w:tcPr>
            <w:tcW w:w="9425" w:type="dxa"/>
            <w:tcBorders>
              <w:top w:val="nil"/>
              <w:left w:val="nil"/>
              <w:bottom w:val="nil"/>
              <w:right w:val="single" w:sz="4" w:space="0" w:color="auto"/>
            </w:tcBorders>
            <w:shd w:val="clear" w:color="000000" w:fill="FFFFFF"/>
            <w:vAlign w:val="center"/>
          </w:tcPr>
          <w:p w14:paraId="6A43FF2A" w14:textId="77777777" w:rsidR="00F77237" w:rsidRPr="00A05AA1" w:rsidRDefault="00A44757" w:rsidP="00EB64C8">
            <w:pPr>
              <w:spacing w:after="0" w:line="240" w:lineRule="auto"/>
              <w:jc w:val="both"/>
              <w:rPr>
                <w:rFonts w:ascii="Arial" w:hAnsi="Arial"/>
                <w:spacing w:val="-2"/>
                <w:sz w:val="20"/>
                <w:lang w:val="es-ES_tradnl"/>
              </w:rPr>
            </w:pPr>
            <w:r w:rsidRPr="00A05AA1">
              <w:rPr>
                <w:rFonts w:ascii="Arial" w:hAnsi="Arial"/>
                <w:spacing w:val="-2"/>
                <w:sz w:val="20"/>
                <w:lang w:val="es-ES_tradnl"/>
              </w:rPr>
              <w:t xml:space="preserve">Este componente promueve una </w:t>
            </w:r>
            <w:r w:rsidR="00A75CFD" w:rsidRPr="00A05AA1">
              <w:rPr>
                <w:rFonts w:ascii="Arial" w:hAnsi="Arial"/>
                <w:spacing w:val="-2"/>
                <w:sz w:val="20"/>
                <w:lang w:val="es-ES_tradnl"/>
              </w:rPr>
              <w:t>visión</w:t>
            </w:r>
            <w:r w:rsidRPr="00A05AA1">
              <w:rPr>
                <w:rFonts w:ascii="Arial" w:hAnsi="Arial"/>
                <w:spacing w:val="-2"/>
                <w:sz w:val="20"/>
                <w:lang w:val="es-ES_tradnl"/>
              </w:rPr>
              <w:t xml:space="preserve"> de una ciudad compacta a través de una planificación de recuperación de viviendas desocupadas para vivienda social en el centro urbano en zonas no vulnerables, lo cual también evita la construcción de vivienda nueva y por ende resulta en emisiones evitadas y aumento de la resiliencia de poblaciones vulnerables</w:t>
            </w:r>
            <w:r w:rsidR="00F77237" w:rsidRPr="00A05AA1">
              <w:rPr>
                <w:rFonts w:ascii="Arial" w:hAnsi="Arial"/>
                <w:spacing w:val="-2"/>
                <w:sz w:val="20"/>
                <w:lang w:val="es-ES_tradnl"/>
              </w:rPr>
              <w:t>.</w:t>
            </w:r>
          </w:p>
          <w:p w14:paraId="4DA0CD91" w14:textId="77777777" w:rsidR="00F77237" w:rsidRPr="00A05AA1" w:rsidRDefault="00F77237" w:rsidP="00EB64C8">
            <w:pPr>
              <w:spacing w:after="0" w:line="240" w:lineRule="auto"/>
              <w:jc w:val="both"/>
              <w:rPr>
                <w:rFonts w:ascii="Arial" w:hAnsi="Arial"/>
                <w:spacing w:val="-2"/>
                <w:sz w:val="20"/>
                <w:lang w:val="es-ES_tradnl"/>
              </w:rPr>
            </w:pPr>
            <w:r w:rsidRPr="00A05AA1">
              <w:rPr>
                <w:rFonts w:ascii="Arial" w:hAnsi="Arial"/>
                <w:color w:val="000000"/>
                <w:sz w:val="20"/>
                <w:lang w:val="es-ES_tradnl"/>
              </w:rPr>
              <w:t>La inclusión de este rubro buscará aprovechar fincas existentes que ya disponen de servicios necesarios para los habitantes, como ser electricidad, saneamiento y servicios de transporte colectivo. Con esto, se buscará dar mayor sostenibilidad a las soluciones de vivienda y que los habitantes de dichas viviendas tengan una mayor integración a la ciudad y su población.</w:t>
            </w:r>
          </w:p>
        </w:tc>
      </w:tr>
      <w:tr w:rsidR="00F77237" w:rsidRPr="00896C4B" w14:paraId="00028AE5" w14:textId="77777777" w:rsidTr="00576FEA">
        <w:trPr>
          <w:trHeight w:val="746"/>
        </w:trPr>
        <w:tc>
          <w:tcPr>
            <w:tcW w:w="13860" w:type="dxa"/>
            <w:gridSpan w:val="2"/>
            <w:tcBorders>
              <w:top w:val="single" w:sz="4" w:space="0" w:color="auto"/>
              <w:left w:val="single" w:sz="4" w:space="0" w:color="auto"/>
              <w:bottom w:val="single" w:sz="4" w:space="0" w:color="auto"/>
              <w:right w:val="single" w:sz="4" w:space="0" w:color="000000"/>
            </w:tcBorders>
            <w:shd w:val="clear" w:color="auto" w:fill="BDD6EE" w:themeFill="accent5" w:themeFillTint="66"/>
            <w:vAlign w:val="center"/>
          </w:tcPr>
          <w:p w14:paraId="36874F86" w14:textId="77777777" w:rsidR="00F77237" w:rsidRPr="00A05AA1" w:rsidRDefault="00F77237" w:rsidP="00EB64C8">
            <w:pPr>
              <w:spacing w:after="0" w:line="240" w:lineRule="auto"/>
              <w:jc w:val="both"/>
              <w:rPr>
                <w:rFonts w:ascii="Arial" w:hAnsi="Arial"/>
                <w:i/>
                <w:color w:val="000000"/>
                <w:sz w:val="20"/>
                <w:lang w:val="es-ES_tradnl"/>
              </w:rPr>
            </w:pPr>
            <w:r w:rsidRPr="00A05AA1">
              <w:rPr>
                <w:rFonts w:ascii="Arial" w:hAnsi="Arial"/>
                <w:i/>
                <w:color w:val="000000"/>
                <w:sz w:val="20"/>
                <w:lang w:val="es-ES_tradnl"/>
              </w:rPr>
              <w:t xml:space="preserve">A 2020 se ha formulado, aprobado y se ha iniciado la implementación el Plan Nacional de Adaptación en Ciudades e Infraestructuras, incluyendo un enfoque de derecho a la ciudad, sostenibilidad urbana y acceso al suelo urbano. </w:t>
            </w:r>
          </w:p>
        </w:tc>
      </w:tr>
      <w:tr w:rsidR="00F77237" w:rsidRPr="00896C4B" w14:paraId="4D4EA452" w14:textId="77777777" w:rsidTr="00576FEA">
        <w:trPr>
          <w:trHeight w:val="710"/>
        </w:trPr>
        <w:tc>
          <w:tcPr>
            <w:tcW w:w="13860" w:type="dxa"/>
            <w:gridSpan w:val="2"/>
            <w:tcBorders>
              <w:top w:val="single" w:sz="4" w:space="0" w:color="auto"/>
              <w:left w:val="single" w:sz="4" w:space="0" w:color="auto"/>
              <w:bottom w:val="single" w:sz="4" w:space="0" w:color="auto"/>
              <w:right w:val="single" w:sz="4" w:space="0" w:color="000000"/>
            </w:tcBorders>
            <w:shd w:val="clear" w:color="auto" w:fill="BDD6EE" w:themeFill="accent5" w:themeFillTint="66"/>
            <w:vAlign w:val="center"/>
          </w:tcPr>
          <w:p w14:paraId="7C97240B" w14:textId="77777777" w:rsidR="00F77237" w:rsidRPr="00A05AA1" w:rsidRDefault="00F77237" w:rsidP="00EB64C8">
            <w:pPr>
              <w:spacing w:after="0" w:line="240" w:lineRule="auto"/>
              <w:jc w:val="both"/>
              <w:rPr>
                <w:rFonts w:ascii="Arial" w:hAnsi="Arial"/>
                <w:i/>
                <w:color w:val="000000"/>
                <w:sz w:val="20"/>
                <w:lang w:val="es-ES_tradnl"/>
              </w:rPr>
            </w:pPr>
            <w:r w:rsidRPr="00A05AA1">
              <w:rPr>
                <w:rFonts w:ascii="Arial" w:hAnsi="Arial"/>
                <w:i/>
                <w:color w:val="000000"/>
                <w:sz w:val="20"/>
                <w:lang w:val="es-ES_tradnl"/>
              </w:rPr>
              <w:t>A 2020 se ha implementado una Guía de Elaboración de Instrumentos de Ordenamiento Territorial que considera un componente relativo a la adaptación al cambio y variabilidad climática.</w:t>
            </w:r>
          </w:p>
        </w:tc>
      </w:tr>
      <w:tr w:rsidR="00A44757" w:rsidRPr="00896C4B" w14:paraId="65152519" w14:textId="77777777" w:rsidTr="00576FEA">
        <w:trPr>
          <w:trHeight w:val="288"/>
        </w:trPr>
        <w:tc>
          <w:tcPr>
            <w:tcW w:w="13860"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40EC12A" w14:textId="54CA5E60" w:rsidR="00C40C9C" w:rsidRPr="00A05AA1" w:rsidRDefault="00A44757" w:rsidP="00896C4B">
            <w:pPr>
              <w:spacing w:after="0" w:line="240" w:lineRule="auto"/>
              <w:jc w:val="both"/>
              <w:rPr>
                <w:rFonts w:ascii="Arial" w:hAnsi="Arial"/>
                <w:b/>
                <w:color w:val="000000"/>
                <w:sz w:val="20"/>
                <w:lang w:val="es-ES_tradnl"/>
              </w:rPr>
            </w:pPr>
            <w:r w:rsidRPr="00A05AA1">
              <w:rPr>
                <w:rFonts w:ascii="Arial" w:hAnsi="Arial"/>
                <w:b/>
                <w:sz w:val="20"/>
                <w:lang w:val="es-ES_tradnl"/>
              </w:rPr>
              <w:t>Componente III. Fortalecimiento institucional</w:t>
            </w:r>
            <w:r w:rsidR="00C40C9C" w:rsidRPr="00A05AA1">
              <w:rPr>
                <w:rFonts w:ascii="Arial" w:hAnsi="Arial"/>
                <w:b/>
                <w:sz w:val="20"/>
                <w:lang w:val="es-ES_tradnl"/>
              </w:rPr>
              <w:t xml:space="preserve"> </w:t>
            </w:r>
            <w:r w:rsidRPr="00A05AA1">
              <w:rPr>
                <w:rFonts w:ascii="Arial" w:hAnsi="Arial"/>
                <w:b/>
                <w:sz w:val="20"/>
                <w:lang w:val="es-ES_tradnl"/>
              </w:rPr>
              <w:t>(US$6,4 millones).</w:t>
            </w:r>
          </w:p>
        </w:tc>
      </w:tr>
      <w:tr w:rsidR="00576FEA" w:rsidRPr="00896C4B" w14:paraId="1578CFC5" w14:textId="77777777" w:rsidTr="00576FEA">
        <w:trPr>
          <w:trHeight w:val="343"/>
        </w:trPr>
        <w:tc>
          <w:tcPr>
            <w:tcW w:w="4435" w:type="dxa"/>
            <w:tcBorders>
              <w:top w:val="nil"/>
              <w:left w:val="single" w:sz="4" w:space="0" w:color="auto"/>
              <w:bottom w:val="single" w:sz="4" w:space="0" w:color="auto"/>
              <w:right w:val="single" w:sz="4" w:space="0" w:color="auto"/>
            </w:tcBorders>
            <w:shd w:val="clear" w:color="000000" w:fill="FFFFFF"/>
            <w:vAlign w:val="center"/>
          </w:tcPr>
          <w:p w14:paraId="773D1CCD" w14:textId="77777777" w:rsidR="00A44757" w:rsidRPr="00A05AA1" w:rsidRDefault="00A44757" w:rsidP="00EB64C8">
            <w:pPr>
              <w:spacing w:after="0" w:line="240" w:lineRule="auto"/>
              <w:jc w:val="both"/>
              <w:rPr>
                <w:rFonts w:ascii="Arial" w:hAnsi="Arial"/>
                <w:sz w:val="20"/>
                <w:lang w:val="es-ES_tradnl"/>
              </w:rPr>
            </w:pPr>
            <w:r w:rsidRPr="00A05AA1">
              <w:rPr>
                <w:rFonts w:ascii="Arial" w:hAnsi="Arial"/>
                <w:sz w:val="20"/>
                <w:lang w:val="es-ES_tradnl"/>
              </w:rPr>
              <w:t>Generación de capacidades</w:t>
            </w:r>
          </w:p>
        </w:tc>
        <w:tc>
          <w:tcPr>
            <w:tcW w:w="9425" w:type="dxa"/>
            <w:tcBorders>
              <w:top w:val="nil"/>
              <w:left w:val="nil"/>
              <w:bottom w:val="single" w:sz="4" w:space="0" w:color="auto"/>
              <w:right w:val="single" w:sz="4" w:space="0" w:color="auto"/>
            </w:tcBorders>
            <w:shd w:val="clear" w:color="000000" w:fill="FFFFFF"/>
            <w:vAlign w:val="center"/>
          </w:tcPr>
          <w:p w14:paraId="7E86D3D0" w14:textId="77777777" w:rsidR="00A44757" w:rsidRPr="00A05AA1" w:rsidRDefault="00A44757" w:rsidP="00EB64C8">
            <w:pPr>
              <w:spacing w:after="0" w:line="240" w:lineRule="auto"/>
              <w:jc w:val="both"/>
              <w:rPr>
                <w:rFonts w:ascii="Arial" w:hAnsi="Arial"/>
                <w:spacing w:val="-2"/>
                <w:sz w:val="20"/>
                <w:lang w:val="es-ES_tradnl"/>
              </w:rPr>
            </w:pPr>
            <w:r w:rsidRPr="00A05AA1">
              <w:rPr>
                <w:rFonts w:ascii="Arial" w:hAnsi="Arial"/>
                <w:sz w:val="20"/>
                <w:lang w:val="es-ES_tradnl"/>
              </w:rPr>
              <w:t>Recursos para incrementar la capacidad operativa de la organización para la ejecución del programa</w:t>
            </w:r>
            <w:r w:rsidR="00C40C9C" w:rsidRPr="00A05AA1">
              <w:rPr>
                <w:rFonts w:ascii="Arial" w:hAnsi="Arial"/>
                <w:sz w:val="20"/>
                <w:lang w:val="es-ES_tradnl"/>
              </w:rPr>
              <w:t xml:space="preserve"> con un enfoque de cambio climático. </w:t>
            </w:r>
          </w:p>
        </w:tc>
      </w:tr>
    </w:tbl>
    <w:p w14:paraId="56C7801F" w14:textId="77777777" w:rsidR="001A4366" w:rsidRPr="00896C4B" w:rsidRDefault="001A4366" w:rsidP="00EB64C8">
      <w:pPr>
        <w:jc w:val="both"/>
        <w:rPr>
          <w:rFonts w:ascii="Arial" w:hAnsi="Arial" w:cs="Arial"/>
          <w:lang w:val="es-ES_tradnl"/>
        </w:rPr>
      </w:pPr>
    </w:p>
    <w:p w14:paraId="78185B35" w14:textId="2F5F57D9" w:rsidR="00C40C9C" w:rsidRDefault="00C40C9C">
      <w:pPr>
        <w:rPr>
          <w:rFonts w:ascii="Arial" w:hAnsi="Arial"/>
          <w:lang w:val="es-ES_tradnl"/>
        </w:rPr>
      </w:pPr>
      <w:r w:rsidRPr="00A05AA1">
        <w:rPr>
          <w:rFonts w:ascii="Arial" w:hAnsi="Arial"/>
          <w:lang w:val="es-ES_tradnl"/>
        </w:rPr>
        <w:br w:type="page"/>
      </w:r>
    </w:p>
    <w:p w14:paraId="5108AF9E" w14:textId="77777777" w:rsidR="00CC7F2F" w:rsidRDefault="00CC7F2F">
      <w:pPr>
        <w:rPr>
          <w:rFonts w:ascii="Arial" w:hAnsi="Arial"/>
          <w:color w:val="2F5496" w:themeColor="accent1" w:themeShade="BF"/>
          <w:lang w:val="es-ES_tradnl"/>
        </w:rPr>
        <w:sectPr w:rsidR="00CC7F2F" w:rsidSect="00576FEA">
          <w:pgSz w:w="16838" w:h="11906" w:orient="landscape"/>
          <w:pgMar w:top="1699" w:right="1411" w:bottom="1699" w:left="1411" w:header="706" w:footer="706" w:gutter="0"/>
          <w:cols w:space="708"/>
          <w:docGrid w:linePitch="360"/>
        </w:sectPr>
      </w:pPr>
    </w:p>
    <w:p w14:paraId="77B9D960" w14:textId="054F5F53" w:rsidR="00576FEA" w:rsidRPr="00A05AA1" w:rsidRDefault="00576FEA">
      <w:pPr>
        <w:rPr>
          <w:rFonts w:ascii="Arial" w:hAnsi="Arial"/>
          <w:color w:val="2F5496" w:themeColor="accent1" w:themeShade="BF"/>
          <w:lang w:val="es-ES_tradnl"/>
        </w:rPr>
      </w:pPr>
    </w:p>
    <w:p w14:paraId="596FE628" w14:textId="77777777" w:rsidR="001A4366" w:rsidRPr="00A05AA1" w:rsidRDefault="00A75CFD" w:rsidP="00CC7F2F">
      <w:pPr>
        <w:pStyle w:val="Heading2"/>
        <w:jc w:val="both"/>
        <w:rPr>
          <w:rFonts w:ascii="Arial" w:hAnsi="Arial"/>
          <w:sz w:val="22"/>
          <w:lang w:val="es-ES_tradnl"/>
        </w:rPr>
      </w:pPr>
      <w:r w:rsidRPr="00A05AA1">
        <w:rPr>
          <w:rFonts w:ascii="Arial" w:hAnsi="Arial"/>
          <w:sz w:val="22"/>
          <w:lang w:val="es-ES_tradnl"/>
        </w:rPr>
        <w:lastRenderedPageBreak/>
        <w:t>Otras medidas que vincular de manera general el PMB y la Contribución de CC</w:t>
      </w:r>
    </w:p>
    <w:p w14:paraId="2CDB1A1E" w14:textId="77777777" w:rsidR="00A75CFD" w:rsidRPr="00A05AA1" w:rsidRDefault="00A75CFD" w:rsidP="00CC7F2F">
      <w:pPr>
        <w:jc w:val="both"/>
        <w:rPr>
          <w:rFonts w:ascii="Arial" w:hAnsi="Arial"/>
          <w:color w:val="000000"/>
          <w:lang w:val="es-ES_tradnl"/>
        </w:rPr>
      </w:pPr>
      <w:r w:rsidRPr="00A05AA1">
        <w:rPr>
          <w:rFonts w:ascii="Arial" w:hAnsi="Arial"/>
          <w:color w:val="000000"/>
          <w:lang w:val="es-ES_tradnl"/>
        </w:rPr>
        <w:t xml:space="preserve">Cabe destacar que la Contribución de Cambio Climático prevé avanzar en otras medidas, además de las ya explicitadas en el punto 1, en las que se vinculará con las acciones del PMB. Entre esas medidas, se destacan las siguientes: i) hacer disponible información georreferenciada de vulnerabilidad social asociada a eventos climáticos adversos distinguiendo según las características de la población vulnerable; ii) fomentar y apoyar la elaboración de planes de gestión del riesgo a nivel regional, departamental y municipal; iii) promover la elaboración de mapas de riesgo ante inundación en ciudades y la implementación de sistemas de alerta temprana ante inundaciones; iv) elaborar planes regionales y departamentales de adaptación al cambio climático y la consideración del cambio climático en los instrumentos de ordenamiento territorial.  </w:t>
      </w:r>
    </w:p>
    <w:p w14:paraId="6C85AEB6" w14:textId="77777777" w:rsidR="00A75CFD" w:rsidRPr="00A05AA1" w:rsidRDefault="00A75CFD" w:rsidP="00CC7F2F">
      <w:pPr>
        <w:pStyle w:val="Heading2"/>
        <w:jc w:val="both"/>
        <w:rPr>
          <w:rFonts w:ascii="Arial" w:hAnsi="Arial"/>
          <w:sz w:val="22"/>
          <w:lang w:val="es-ES_tradnl"/>
        </w:rPr>
      </w:pPr>
      <w:r w:rsidRPr="00A05AA1">
        <w:rPr>
          <w:rFonts w:ascii="Arial" w:hAnsi="Arial"/>
          <w:sz w:val="22"/>
          <w:lang w:val="es-ES_tradnl"/>
        </w:rPr>
        <w:t>Coordinación para incorporar el enfoque de cambio climático en el accionar del PMB</w:t>
      </w:r>
    </w:p>
    <w:p w14:paraId="2AB29129" w14:textId="77777777" w:rsidR="00A75CFD" w:rsidRPr="00A05AA1" w:rsidRDefault="00A75CFD" w:rsidP="00CC7F2F">
      <w:pPr>
        <w:spacing w:after="0" w:line="240" w:lineRule="auto"/>
        <w:jc w:val="both"/>
        <w:rPr>
          <w:rFonts w:ascii="Arial" w:hAnsi="Arial"/>
          <w:color w:val="000000"/>
          <w:lang w:val="es-ES_tradnl"/>
        </w:rPr>
      </w:pPr>
      <w:r w:rsidRPr="00A05AA1">
        <w:rPr>
          <w:rFonts w:ascii="Arial" w:hAnsi="Arial"/>
          <w:color w:val="000000"/>
          <w:lang w:val="es-ES_tradnl"/>
        </w:rPr>
        <w:t>La consideración del enfoque de cambio climático en el accionar del PMB se coordinará y potenciará a través de los siguientes espacios de trabajo. Por un lado, a través del Grupo de Trabajo ad-hoc del Sistema Nacional de Respuesta al Cambio Climático que se encuentra trabajando en la implementación y monitoreo de los compromisos asumidos en la Contribución de Cambio Climático, en particular a partir de los apoyos que se obtengan de la Plataforma "</w:t>
      </w:r>
      <w:r w:rsidR="00B14420" w:rsidRPr="00A05AA1">
        <w:rPr>
          <w:rFonts w:ascii="Arial" w:hAnsi="Arial"/>
          <w:color w:val="000000"/>
          <w:lang w:val="es-ES_tradnl"/>
        </w:rPr>
        <w:t>NDC</w:t>
      </w:r>
      <w:r w:rsidRPr="00A05AA1">
        <w:rPr>
          <w:rFonts w:ascii="Arial" w:hAnsi="Arial"/>
          <w:color w:val="000000"/>
          <w:lang w:val="es-ES_tradnl"/>
        </w:rPr>
        <w:t xml:space="preserve"> Invest" del BID.  </w:t>
      </w:r>
    </w:p>
    <w:p w14:paraId="1F77AD76" w14:textId="77777777" w:rsidR="00A75CFD" w:rsidRPr="00A05AA1" w:rsidRDefault="00A75CFD" w:rsidP="00CC7F2F">
      <w:pPr>
        <w:spacing w:after="0" w:line="240" w:lineRule="auto"/>
        <w:jc w:val="both"/>
        <w:rPr>
          <w:rFonts w:ascii="Arial" w:hAnsi="Arial"/>
          <w:color w:val="000000"/>
          <w:lang w:val="es-ES_tradnl"/>
        </w:rPr>
      </w:pPr>
    </w:p>
    <w:p w14:paraId="4D4639FE" w14:textId="77777777" w:rsidR="00A75CFD" w:rsidRPr="00A05AA1" w:rsidRDefault="00A75CFD" w:rsidP="00CC7F2F">
      <w:pPr>
        <w:jc w:val="both"/>
        <w:rPr>
          <w:rFonts w:ascii="Arial" w:hAnsi="Arial"/>
          <w:lang w:val="es-ES_tradnl"/>
        </w:rPr>
      </w:pPr>
      <w:r w:rsidRPr="00A05AA1">
        <w:rPr>
          <w:rFonts w:ascii="Arial" w:hAnsi="Arial"/>
          <w:color w:val="000000"/>
          <w:lang w:val="es-ES_tradnl"/>
        </w:rPr>
        <w:t>A su vez, la coordinación también se potenciará a partir del Grupo de Trabajo de Mitigación y Adaptación de Ciudades e Infraestructuras que está llevando a cabo la elaboración del Plan Nacional de Adaptación en Ciudades e Infraestructuras y del Grupo de Trabajo responsable del diseño del proyecto binacional de adaptación al cambio climático en ciudades y ecosistemas vulnerables costeros del río Uruguay ante el Fondo de Adaptación. En este sentido, cabe mencionar que técnicos del PMB ya han participado en reuniones de estos dos últimos Grupos de Trabajo.</w:t>
      </w:r>
    </w:p>
    <w:p w14:paraId="1528D110" w14:textId="224407D9" w:rsidR="001A4366" w:rsidRPr="00A05AA1" w:rsidRDefault="00F77237" w:rsidP="00A75CFD">
      <w:pPr>
        <w:rPr>
          <w:rFonts w:ascii="Arial" w:hAnsi="Arial"/>
          <w:lang w:val="es-ES_tradnl"/>
        </w:rPr>
      </w:pPr>
      <w:r w:rsidRPr="00A05AA1">
        <w:rPr>
          <w:rFonts w:ascii="Arial" w:hAnsi="Arial"/>
          <w:lang w:val="es-ES_tradnl"/>
        </w:rPr>
        <w:t xml:space="preserve">Cabe notar que con base al detalle del presupuesto establecido y el porcentaje de las acciones identificadas el financiamiento </w:t>
      </w:r>
      <w:r w:rsidR="007559A9" w:rsidRPr="00A05AA1">
        <w:rPr>
          <w:rFonts w:ascii="Arial" w:hAnsi="Arial"/>
          <w:lang w:val="es-ES_tradnl"/>
        </w:rPr>
        <w:t>climático</w:t>
      </w:r>
      <w:r w:rsidRPr="00A05AA1">
        <w:rPr>
          <w:rFonts w:ascii="Arial" w:hAnsi="Arial"/>
          <w:lang w:val="es-ES_tradnl"/>
        </w:rPr>
        <w:t xml:space="preserve"> con base a la muestra se establece </w:t>
      </w:r>
      <w:r w:rsidR="00161476" w:rsidRPr="00A05AA1">
        <w:rPr>
          <w:rFonts w:ascii="Arial" w:hAnsi="Arial"/>
          <w:lang w:val="es-ES_tradnl"/>
        </w:rPr>
        <w:t xml:space="preserve">tal cual esta establecido en la </w:t>
      </w:r>
      <w:r w:rsidR="006E2C0D">
        <w:rPr>
          <w:lang w:val="es-ES_tradnl"/>
        </w:rPr>
        <w:t>tabl</w:t>
      </w:r>
      <w:r w:rsidR="00161476">
        <w:rPr>
          <w:lang w:val="es-ES_tradnl"/>
        </w:rPr>
        <w:t>a</w:t>
      </w:r>
      <w:r w:rsidR="00161476" w:rsidRPr="00A05AA1">
        <w:rPr>
          <w:rFonts w:ascii="Arial" w:hAnsi="Arial"/>
          <w:lang w:val="es-ES_tradnl"/>
        </w:rPr>
        <w:t xml:space="preserve"> 1. </w:t>
      </w:r>
    </w:p>
    <w:p w14:paraId="59E90B02" w14:textId="77777777" w:rsidR="00E87C68" w:rsidRPr="00A05AA1" w:rsidRDefault="00E87C68" w:rsidP="00A75CFD">
      <w:pPr>
        <w:rPr>
          <w:rFonts w:ascii="Arial" w:hAnsi="Arial"/>
          <w:lang w:val="es-ES_tradnl"/>
        </w:rPr>
      </w:pPr>
      <w:r w:rsidRPr="00A05AA1">
        <w:rPr>
          <w:rFonts w:ascii="Arial" w:hAnsi="Arial"/>
          <w:lang w:val="es-ES_tradnl"/>
        </w:rPr>
        <w:t>El análisis reconociendo los esfuerzos que se realizaran a nivel de:</w:t>
      </w:r>
    </w:p>
    <w:p w14:paraId="5C582E68" w14:textId="77777777" w:rsidR="00E87C68" w:rsidRPr="00A05AA1" w:rsidRDefault="00E87C68" w:rsidP="00E87C68">
      <w:pPr>
        <w:pStyle w:val="ListParagraph"/>
        <w:numPr>
          <w:ilvl w:val="0"/>
          <w:numId w:val="3"/>
        </w:numPr>
        <w:rPr>
          <w:rFonts w:ascii="Arial" w:hAnsi="Arial"/>
          <w:lang w:val="es-ES_tradnl"/>
        </w:rPr>
      </w:pPr>
      <w:r w:rsidRPr="00A05AA1">
        <w:rPr>
          <w:rFonts w:ascii="Arial" w:hAnsi="Arial"/>
          <w:lang w:val="es-ES_tradnl"/>
        </w:rPr>
        <w:t>Diseño eficiente de la vivienda social a nivel de vivienda nueva y mejoras en vivienda existente</w:t>
      </w:r>
    </w:p>
    <w:p w14:paraId="3DF92E16" w14:textId="77777777" w:rsidR="00E87C68" w:rsidRPr="00A05AA1" w:rsidRDefault="00E87C68" w:rsidP="00E87C68">
      <w:pPr>
        <w:pStyle w:val="ListParagraph"/>
        <w:numPr>
          <w:ilvl w:val="0"/>
          <w:numId w:val="3"/>
        </w:numPr>
        <w:rPr>
          <w:rFonts w:ascii="Arial" w:hAnsi="Arial"/>
          <w:lang w:val="es-ES_tradnl"/>
        </w:rPr>
      </w:pPr>
      <w:r w:rsidRPr="00A05AA1">
        <w:rPr>
          <w:rFonts w:ascii="Arial" w:hAnsi="Arial"/>
          <w:lang w:val="es-ES_tradnl"/>
        </w:rPr>
        <w:t>Inclusión de consideraciones de resiliencia a nivel de los realojos, así como en el diseño de los espacios públicos (espacios verdes para reducción del efecto isla calor, edificación resiliente y planificación con mapas de resiliencia)</w:t>
      </w:r>
    </w:p>
    <w:p w14:paraId="1B69E7D3" w14:textId="77777777" w:rsidR="00E87C68" w:rsidRPr="00A05AA1" w:rsidRDefault="00E87C68" w:rsidP="00E87C68">
      <w:pPr>
        <w:pStyle w:val="ListParagraph"/>
        <w:numPr>
          <w:ilvl w:val="0"/>
          <w:numId w:val="3"/>
        </w:numPr>
        <w:rPr>
          <w:rFonts w:ascii="Arial" w:hAnsi="Arial"/>
          <w:lang w:val="es-ES_tradnl"/>
        </w:rPr>
      </w:pPr>
      <w:r w:rsidRPr="00A05AA1">
        <w:rPr>
          <w:rFonts w:ascii="Arial" w:hAnsi="Arial"/>
          <w:lang w:val="es-ES_tradnl"/>
        </w:rPr>
        <w:t>Alumbrado público eficiente con tecnología LED</w:t>
      </w:r>
    </w:p>
    <w:p w14:paraId="48EF375C" w14:textId="77777777" w:rsidR="00E87C68" w:rsidRPr="00A05AA1" w:rsidRDefault="00E87C68" w:rsidP="00E87C68">
      <w:pPr>
        <w:pStyle w:val="ListParagraph"/>
        <w:numPr>
          <w:ilvl w:val="0"/>
          <w:numId w:val="3"/>
        </w:numPr>
        <w:rPr>
          <w:rFonts w:ascii="Arial" w:hAnsi="Arial"/>
          <w:lang w:val="es-ES_tradnl"/>
        </w:rPr>
      </w:pPr>
      <w:r w:rsidRPr="00A05AA1">
        <w:rPr>
          <w:rFonts w:ascii="Arial" w:hAnsi="Arial"/>
          <w:lang w:val="es-ES_tradnl"/>
        </w:rPr>
        <w:t>Recuperación de vivienda en desuso, lo cual evita construcción adicional y fomenta una ciudad compacta</w:t>
      </w:r>
      <w:r w:rsidR="00441B30" w:rsidRPr="00A05AA1">
        <w:rPr>
          <w:rFonts w:ascii="Arial" w:hAnsi="Arial"/>
          <w:lang w:val="es-ES_tradnl"/>
        </w:rPr>
        <w:t>.</w:t>
      </w:r>
    </w:p>
    <w:p w14:paraId="1C2B969F" w14:textId="77777777" w:rsidR="00441B30" w:rsidRPr="00A05AA1" w:rsidRDefault="00441B30" w:rsidP="00E87C68">
      <w:pPr>
        <w:pStyle w:val="ListParagraph"/>
        <w:numPr>
          <w:ilvl w:val="0"/>
          <w:numId w:val="3"/>
        </w:numPr>
        <w:rPr>
          <w:rFonts w:ascii="Arial" w:hAnsi="Arial"/>
          <w:lang w:val="es-ES_tradnl"/>
        </w:rPr>
      </w:pPr>
      <w:r w:rsidRPr="00A05AA1">
        <w:rPr>
          <w:rFonts w:ascii="Arial" w:hAnsi="Arial"/>
          <w:lang w:val="es-ES_tradnl"/>
        </w:rPr>
        <w:t xml:space="preserve">Cursos de capacitación y orientación en materia ambiental y de cambio climático para generar mayor entendimiento de las oportunidades ante el desafío del cambio climático y su difusión </w:t>
      </w:r>
    </w:p>
    <w:p w14:paraId="4F3E0F34" w14:textId="77777777" w:rsidR="00E87C68" w:rsidRPr="00A05AA1" w:rsidRDefault="00E87C68" w:rsidP="00E87C68">
      <w:pPr>
        <w:pStyle w:val="ListParagraph"/>
        <w:numPr>
          <w:ilvl w:val="0"/>
          <w:numId w:val="3"/>
        </w:numPr>
        <w:rPr>
          <w:rFonts w:ascii="Arial" w:hAnsi="Arial"/>
          <w:lang w:val="es-ES_tradnl"/>
        </w:rPr>
      </w:pPr>
      <w:r w:rsidRPr="00A05AA1">
        <w:rPr>
          <w:rFonts w:ascii="Arial" w:hAnsi="Arial"/>
          <w:lang w:val="es-ES_tradnl"/>
        </w:rPr>
        <w:t>Capacitación institucional a nivel de los equipos de ejecución, a nivel nacional y local, así como la colaboración entre unidades técnicas dentro del MVOTMA.</w:t>
      </w:r>
    </w:p>
    <w:p w14:paraId="58DC8BA6" w14:textId="77777777" w:rsidR="00CC7F2F" w:rsidRPr="00CC7F2F" w:rsidRDefault="00CC7F2F" w:rsidP="00CC7F2F"/>
    <w:p w14:paraId="6D4E2035" w14:textId="77777777" w:rsidR="006E2C0D" w:rsidRDefault="006E2C0D" w:rsidP="00161476">
      <w:pPr>
        <w:pStyle w:val="Caption"/>
        <w:keepNext/>
        <w:sectPr w:rsidR="006E2C0D" w:rsidSect="00CC7F2F">
          <w:pgSz w:w="11906" w:h="16838"/>
          <w:pgMar w:top="1411" w:right="1699" w:bottom="1411" w:left="1699" w:header="706" w:footer="706" w:gutter="0"/>
          <w:cols w:space="708"/>
          <w:docGrid w:linePitch="360"/>
        </w:sectPr>
      </w:pPr>
    </w:p>
    <w:p w14:paraId="1ADA15A2" w14:textId="77777777" w:rsidR="00161476" w:rsidRPr="00CC7F2F" w:rsidRDefault="00161476" w:rsidP="00161476">
      <w:pPr>
        <w:pStyle w:val="Caption"/>
        <w:keepNext/>
        <w:rPr>
          <w:rFonts w:ascii="Arial" w:hAnsi="Arial"/>
          <w:sz w:val="22"/>
          <w:szCs w:val="22"/>
        </w:rPr>
      </w:pPr>
      <w:r w:rsidRPr="00CC7F2F">
        <w:rPr>
          <w:rFonts w:ascii="Arial" w:hAnsi="Arial"/>
          <w:sz w:val="22"/>
          <w:szCs w:val="22"/>
        </w:rPr>
        <w:lastRenderedPageBreak/>
        <w:t xml:space="preserve">Tabla </w:t>
      </w:r>
      <w:r w:rsidR="00DB6B64" w:rsidRPr="00CC7F2F">
        <w:rPr>
          <w:rFonts w:ascii="Arial" w:hAnsi="Arial"/>
          <w:sz w:val="22"/>
          <w:szCs w:val="22"/>
        </w:rPr>
        <w:fldChar w:fldCharType="begin"/>
      </w:r>
      <w:r w:rsidR="00DB6B64" w:rsidRPr="00CC7F2F">
        <w:rPr>
          <w:rFonts w:ascii="Arial" w:hAnsi="Arial"/>
          <w:sz w:val="22"/>
          <w:szCs w:val="22"/>
        </w:rPr>
        <w:instrText xml:space="preserve"> SEQ Tabla \* ARABIC </w:instrText>
      </w:r>
      <w:r w:rsidR="00DB6B64" w:rsidRPr="00CC7F2F">
        <w:rPr>
          <w:rFonts w:ascii="Arial" w:hAnsi="Arial"/>
          <w:sz w:val="22"/>
          <w:szCs w:val="22"/>
        </w:rPr>
        <w:fldChar w:fldCharType="separate"/>
      </w:r>
      <w:r w:rsidRPr="00CC7F2F">
        <w:rPr>
          <w:rFonts w:ascii="Arial" w:hAnsi="Arial"/>
          <w:sz w:val="22"/>
          <w:szCs w:val="22"/>
        </w:rPr>
        <w:t>1</w:t>
      </w:r>
      <w:r w:rsidR="00DB6B64" w:rsidRPr="00CC7F2F">
        <w:rPr>
          <w:rFonts w:ascii="Arial" w:hAnsi="Arial"/>
          <w:sz w:val="22"/>
          <w:szCs w:val="22"/>
        </w:rPr>
        <w:fldChar w:fldCharType="end"/>
      </w:r>
      <w:r w:rsidRPr="00CC7F2F">
        <w:rPr>
          <w:rFonts w:ascii="Arial" w:hAnsi="Arial"/>
          <w:sz w:val="22"/>
          <w:szCs w:val="22"/>
        </w:rPr>
        <w:t xml:space="preserve">    UR-L1146 Cuantificación del Financiamiento Climatico</w:t>
      </w:r>
    </w:p>
    <w:p w14:paraId="3B7CB63A" w14:textId="4E6A11C2" w:rsidR="00E87C68" w:rsidRPr="00CC7F2F" w:rsidRDefault="006E2C0D" w:rsidP="00E87C68">
      <w:pPr>
        <w:rPr>
          <w:rFonts w:ascii="Arial" w:hAnsi="Arial"/>
        </w:rPr>
      </w:pPr>
      <w:bookmarkStart w:id="0" w:name="_GoBack"/>
      <w:r w:rsidRPr="00CC7F2F">
        <w:rPr>
          <w:noProof/>
        </w:rPr>
        <w:lastRenderedPageBreak/>
        <w:drawing>
          <wp:inline distT="0" distB="0" distL="0" distR="0" wp14:anchorId="68BCDDC5" wp14:editId="3094BE83">
            <wp:extent cx="8900160" cy="500037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00160" cy="5000377"/>
                    </a:xfrm>
                    <a:prstGeom prst="rect">
                      <a:avLst/>
                    </a:prstGeom>
                    <a:noFill/>
                    <a:ln>
                      <a:noFill/>
                    </a:ln>
                  </pic:spPr>
                </pic:pic>
              </a:graphicData>
            </a:graphic>
          </wp:inline>
        </w:drawing>
      </w:r>
      <w:bookmarkEnd w:id="0"/>
    </w:p>
    <w:sectPr w:rsidR="00E87C68" w:rsidRPr="00CC7F2F" w:rsidSect="00CC7F2F">
      <w:pgSz w:w="16838" w:h="11906" w:orient="landscape"/>
      <w:pgMar w:top="1699" w:right="1411" w:bottom="1699" w:left="1411"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F5AAA3" w14:textId="77777777" w:rsidR="00DB6B64" w:rsidRDefault="00DB6B64" w:rsidP="001A4366">
      <w:pPr>
        <w:spacing w:after="0" w:line="240" w:lineRule="auto"/>
      </w:pPr>
      <w:r>
        <w:separator/>
      </w:r>
    </w:p>
  </w:endnote>
  <w:endnote w:type="continuationSeparator" w:id="0">
    <w:p w14:paraId="6CA02A78" w14:textId="77777777" w:rsidR="00DB6B64" w:rsidRDefault="00DB6B64" w:rsidP="001A4366">
      <w:pPr>
        <w:spacing w:after="0" w:line="240" w:lineRule="auto"/>
      </w:pPr>
      <w:r>
        <w:continuationSeparator/>
      </w:r>
    </w:p>
  </w:endnote>
  <w:endnote w:type="continuationNotice" w:id="1">
    <w:p w14:paraId="5463D1DB" w14:textId="77777777" w:rsidR="00A05AA1" w:rsidRDefault="00A05A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67A8C3" w14:textId="77777777" w:rsidR="00DB6B64" w:rsidRDefault="00DB6B64" w:rsidP="001A4366">
      <w:pPr>
        <w:spacing w:after="0" w:line="240" w:lineRule="auto"/>
      </w:pPr>
      <w:r>
        <w:separator/>
      </w:r>
    </w:p>
  </w:footnote>
  <w:footnote w:type="continuationSeparator" w:id="0">
    <w:p w14:paraId="35C20493" w14:textId="77777777" w:rsidR="00DB6B64" w:rsidRDefault="00DB6B64" w:rsidP="001A4366">
      <w:pPr>
        <w:spacing w:after="0" w:line="240" w:lineRule="auto"/>
      </w:pPr>
      <w:r>
        <w:continuationSeparator/>
      </w:r>
    </w:p>
  </w:footnote>
  <w:footnote w:type="continuationNotice" w:id="1">
    <w:p w14:paraId="7B9D9446" w14:textId="77777777" w:rsidR="00A05AA1" w:rsidRDefault="00A05AA1">
      <w:pPr>
        <w:spacing w:after="0" w:line="240" w:lineRule="auto"/>
      </w:pPr>
    </w:p>
  </w:footnote>
  <w:footnote w:id="2">
    <w:p w14:paraId="6F365D08" w14:textId="77777777" w:rsidR="007E77F3" w:rsidRPr="00492EF0" w:rsidRDefault="007E77F3">
      <w:pPr>
        <w:pStyle w:val="FootnoteText"/>
        <w:rPr>
          <w:lang w:val="es-ES_tradnl"/>
        </w:rPr>
      </w:pPr>
      <w:r>
        <w:rPr>
          <w:rStyle w:val="FootnoteReference"/>
        </w:rPr>
        <w:footnoteRef/>
      </w:r>
      <w:r>
        <w:t xml:space="preserve"> ODS INFORME NACIONAL VOLUNTARIO – URUGUAY 2018 </w:t>
      </w:r>
      <w:hyperlink r:id="rId1" w:history="1">
        <w:r w:rsidRPr="008C1A1F">
          <w:rPr>
            <w:rStyle w:val="Hyperlink"/>
          </w:rPr>
          <w:t>https://sustainabledevelopment.un.org/content/documents/19436Uruguay_VNR_URUGUAY_2018.pdf</w:t>
        </w:r>
      </w:hyperlink>
      <w:r>
        <w:t xml:space="preserve"> </w:t>
      </w:r>
    </w:p>
  </w:footnote>
  <w:footnote w:id="3">
    <w:p w14:paraId="139BEFC0" w14:textId="57A565D5" w:rsidR="00C40C9C" w:rsidRPr="00492EF0" w:rsidRDefault="00C40C9C" w:rsidP="00576FEA">
      <w:pPr>
        <w:pStyle w:val="FootnoteText"/>
        <w:ind w:left="360" w:hanging="360"/>
        <w:rPr>
          <w:lang w:val="es-ES_tradnl"/>
        </w:rPr>
      </w:pPr>
      <w:r>
        <w:rPr>
          <w:rStyle w:val="FootnoteReference"/>
        </w:rPr>
        <w:footnoteRef/>
      </w:r>
      <w:r>
        <w:t xml:space="preserve"> </w:t>
      </w:r>
      <w:r w:rsidR="00576FEA">
        <w:tab/>
      </w:r>
      <w:r w:rsidRPr="00E15251">
        <w:rPr>
          <w:rFonts w:ascii="Calibri" w:eastAsia="Times New Roman" w:hAnsi="Calibri" w:cs="Times New Roman"/>
          <w:i/>
          <w:iCs/>
          <w:color w:val="000000"/>
          <w:lang w:val="es-ES_tradnl" w:eastAsia="es-ES"/>
        </w:rPr>
        <w:t>En celdas en celeste y cursiva se indican las medidas de la Contribución de Cambio Climático que se vinculan con los rubros financiables por el PMB.</w:t>
      </w:r>
    </w:p>
  </w:footnote>
  <w:footnote w:id="4">
    <w:p w14:paraId="60494555" w14:textId="77777777" w:rsidR="00C40C9C" w:rsidRPr="00492EF0" w:rsidRDefault="00C40C9C">
      <w:pPr>
        <w:pStyle w:val="FootnoteText"/>
        <w:rPr>
          <w:lang w:val="es-ES_tradnl"/>
        </w:rPr>
      </w:pPr>
      <w:r>
        <w:rPr>
          <w:rStyle w:val="FootnoteReference"/>
        </w:rPr>
        <w:footnoteRef/>
      </w:r>
      <w:r>
        <w:t xml:space="preserve"> </w:t>
      </w:r>
      <w:r w:rsidRPr="00E15251">
        <w:rPr>
          <w:rFonts w:ascii="Calibri" w:eastAsia="Times New Roman" w:hAnsi="Calibri" w:cs="Times New Roman"/>
          <w:i/>
          <w:iCs/>
          <w:lang w:val="es-ES_tradnl" w:eastAsia="es-ES"/>
        </w:rPr>
        <w:t>Se distingue con un (*) aquellas medidas de la Contribución de Cambio Climático que tienen efectos también sobre la adaptación como la mitigación del cambio climático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374AC" w14:textId="08D6E363" w:rsidR="001A4366" w:rsidRDefault="001A4366" w:rsidP="001A436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F08E6"/>
    <w:multiLevelType w:val="multilevel"/>
    <w:tmpl w:val="1F3A4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875120"/>
    <w:multiLevelType w:val="multilevel"/>
    <w:tmpl w:val="EE8E43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6784533"/>
    <w:multiLevelType w:val="hybridMultilevel"/>
    <w:tmpl w:val="5134C012"/>
    <w:lvl w:ilvl="0" w:tplc="5F0CC8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366"/>
    <w:rsid w:val="00004A1A"/>
    <w:rsid w:val="00004BA9"/>
    <w:rsid w:val="00006872"/>
    <w:rsid w:val="00011546"/>
    <w:rsid w:val="00014A13"/>
    <w:rsid w:val="000224E7"/>
    <w:rsid w:val="0002462D"/>
    <w:rsid w:val="000262CF"/>
    <w:rsid w:val="0002765B"/>
    <w:rsid w:val="00033D31"/>
    <w:rsid w:val="00050494"/>
    <w:rsid w:val="00060BDB"/>
    <w:rsid w:val="00062B4E"/>
    <w:rsid w:val="00064E80"/>
    <w:rsid w:val="00064F85"/>
    <w:rsid w:val="000763D5"/>
    <w:rsid w:val="00076D6C"/>
    <w:rsid w:val="00076EAD"/>
    <w:rsid w:val="00085CC7"/>
    <w:rsid w:val="00087069"/>
    <w:rsid w:val="00087ED1"/>
    <w:rsid w:val="00094B61"/>
    <w:rsid w:val="000A1221"/>
    <w:rsid w:val="000A6196"/>
    <w:rsid w:val="000B0B8A"/>
    <w:rsid w:val="000B3598"/>
    <w:rsid w:val="000B5F9D"/>
    <w:rsid w:val="000C76F3"/>
    <w:rsid w:val="000D4E2E"/>
    <w:rsid w:val="000D721C"/>
    <w:rsid w:val="000E0E8E"/>
    <w:rsid w:val="000E1C7B"/>
    <w:rsid w:val="000E6B7C"/>
    <w:rsid w:val="00103873"/>
    <w:rsid w:val="00105846"/>
    <w:rsid w:val="001133C1"/>
    <w:rsid w:val="00117DC6"/>
    <w:rsid w:val="001425EF"/>
    <w:rsid w:val="001445BA"/>
    <w:rsid w:val="0015691D"/>
    <w:rsid w:val="00161476"/>
    <w:rsid w:val="0016154E"/>
    <w:rsid w:val="00166020"/>
    <w:rsid w:val="001700B3"/>
    <w:rsid w:val="00176AF3"/>
    <w:rsid w:val="00177F68"/>
    <w:rsid w:val="00193601"/>
    <w:rsid w:val="00194908"/>
    <w:rsid w:val="00196444"/>
    <w:rsid w:val="001A3F75"/>
    <w:rsid w:val="001A4366"/>
    <w:rsid w:val="001A5C58"/>
    <w:rsid w:val="001A5FDE"/>
    <w:rsid w:val="001A727E"/>
    <w:rsid w:val="001B34EA"/>
    <w:rsid w:val="001C0E6E"/>
    <w:rsid w:val="001D01D8"/>
    <w:rsid w:val="001D40D6"/>
    <w:rsid w:val="001E020A"/>
    <w:rsid w:val="001E5503"/>
    <w:rsid w:val="001E7670"/>
    <w:rsid w:val="001F1061"/>
    <w:rsid w:val="0020085B"/>
    <w:rsid w:val="00203A3E"/>
    <w:rsid w:val="00203F0A"/>
    <w:rsid w:val="002075C0"/>
    <w:rsid w:val="002079D7"/>
    <w:rsid w:val="0021309D"/>
    <w:rsid w:val="002158F3"/>
    <w:rsid w:val="0021708C"/>
    <w:rsid w:val="00220D8B"/>
    <w:rsid w:val="0022140B"/>
    <w:rsid w:val="00223D46"/>
    <w:rsid w:val="00226314"/>
    <w:rsid w:val="002324AB"/>
    <w:rsid w:val="00232F5C"/>
    <w:rsid w:val="002364C4"/>
    <w:rsid w:val="002401F1"/>
    <w:rsid w:val="0024569B"/>
    <w:rsid w:val="00250CDB"/>
    <w:rsid w:val="00251016"/>
    <w:rsid w:val="00257C03"/>
    <w:rsid w:val="00260F40"/>
    <w:rsid w:val="00263018"/>
    <w:rsid w:val="00264CF0"/>
    <w:rsid w:val="00266142"/>
    <w:rsid w:val="00267699"/>
    <w:rsid w:val="002679BB"/>
    <w:rsid w:val="00270D98"/>
    <w:rsid w:val="00270E49"/>
    <w:rsid w:val="00286BC7"/>
    <w:rsid w:val="00287609"/>
    <w:rsid w:val="002913CF"/>
    <w:rsid w:val="0029275E"/>
    <w:rsid w:val="00297740"/>
    <w:rsid w:val="002B1111"/>
    <w:rsid w:val="002B217A"/>
    <w:rsid w:val="002B5B78"/>
    <w:rsid w:val="002B62A3"/>
    <w:rsid w:val="002D2C5E"/>
    <w:rsid w:val="002E01E8"/>
    <w:rsid w:val="002E3DB6"/>
    <w:rsid w:val="002F0121"/>
    <w:rsid w:val="002F6891"/>
    <w:rsid w:val="00302A65"/>
    <w:rsid w:val="00313FBA"/>
    <w:rsid w:val="00314F82"/>
    <w:rsid w:val="00316539"/>
    <w:rsid w:val="00326218"/>
    <w:rsid w:val="00333A41"/>
    <w:rsid w:val="0033671C"/>
    <w:rsid w:val="003403E5"/>
    <w:rsid w:val="00343412"/>
    <w:rsid w:val="00346A26"/>
    <w:rsid w:val="00351022"/>
    <w:rsid w:val="00351658"/>
    <w:rsid w:val="00351A25"/>
    <w:rsid w:val="0035289B"/>
    <w:rsid w:val="00360C47"/>
    <w:rsid w:val="00365448"/>
    <w:rsid w:val="00372D8F"/>
    <w:rsid w:val="003746BA"/>
    <w:rsid w:val="00384E28"/>
    <w:rsid w:val="003869E4"/>
    <w:rsid w:val="0039490F"/>
    <w:rsid w:val="00395B11"/>
    <w:rsid w:val="00397325"/>
    <w:rsid w:val="003A1B22"/>
    <w:rsid w:val="003A21BA"/>
    <w:rsid w:val="003A6780"/>
    <w:rsid w:val="003A77D6"/>
    <w:rsid w:val="003B1A28"/>
    <w:rsid w:val="003C0436"/>
    <w:rsid w:val="003C69D8"/>
    <w:rsid w:val="003D1AAC"/>
    <w:rsid w:val="003D3012"/>
    <w:rsid w:val="003D574A"/>
    <w:rsid w:val="003D63D6"/>
    <w:rsid w:val="003E00E1"/>
    <w:rsid w:val="003E0E56"/>
    <w:rsid w:val="003E23A8"/>
    <w:rsid w:val="003F14AA"/>
    <w:rsid w:val="003F374D"/>
    <w:rsid w:val="003F6826"/>
    <w:rsid w:val="00401655"/>
    <w:rsid w:val="00403B21"/>
    <w:rsid w:val="004130C4"/>
    <w:rsid w:val="004145B6"/>
    <w:rsid w:val="0041493D"/>
    <w:rsid w:val="004220DA"/>
    <w:rsid w:val="0042420F"/>
    <w:rsid w:val="004325D9"/>
    <w:rsid w:val="004350D8"/>
    <w:rsid w:val="0043620D"/>
    <w:rsid w:val="004400C1"/>
    <w:rsid w:val="00441065"/>
    <w:rsid w:val="00441B30"/>
    <w:rsid w:val="004438EB"/>
    <w:rsid w:val="0044610B"/>
    <w:rsid w:val="00452C5C"/>
    <w:rsid w:val="00461970"/>
    <w:rsid w:val="00463A97"/>
    <w:rsid w:val="0046664C"/>
    <w:rsid w:val="00484C4E"/>
    <w:rsid w:val="00491266"/>
    <w:rsid w:val="00492C35"/>
    <w:rsid w:val="00492EF0"/>
    <w:rsid w:val="0049453C"/>
    <w:rsid w:val="004A14CD"/>
    <w:rsid w:val="004A49E0"/>
    <w:rsid w:val="004A4D53"/>
    <w:rsid w:val="004B3C65"/>
    <w:rsid w:val="004B4895"/>
    <w:rsid w:val="004B6047"/>
    <w:rsid w:val="004B7311"/>
    <w:rsid w:val="004C4994"/>
    <w:rsid w:val="004C4B86"/>
    <w:rsid w:val="004C56A5"/>
    <w:rsid w:val="004D2CCF"/>
    <w:rsid w:val="004E0CA6"/>
    <w:rsid w:val="004E5662"/>
    <w:rsid w:val="004E69A1"/>
    <w:rsid w:val="004F4B22"/>
    <w:rsid w:val="004F5102"/>
    <w:rsid w:val="004F75CB"/>
    <w:rsid w:val="0050584C"/>
    <w:rsid w:val="00506C74"/>
    <w:rsid w:val="005216A9"/>
    <w:rsid w:val="005277AF"/>
    <w:rsid w:val="00533550"/>
    <w:rsid w:val="00533846"/>
    <w:rsid w:val="00535556"/>
    <w:rsid w:val="0053762F"/>
    <w:rsid w:val="00542312"/>
    <w:rsid w:val="0054592F"/>
    <w:rsid w:val="00555094"/>
    <w:rsid w:val="00564838"/>
    <w:rsid w:val="00564B4E"/>
    <w:rsid w:val="005725CF"/>
    <w:rsid w:val="00572882"/>
    <w:rsid w:val="00576582"/>
    <w:rsid w:val="00576FEA"/>
    <w:rsid w:val="00577030"/>
    <w:rsid w:val="00594980"/>
    <w:rsid w:val="00596594"/>
    <w:rsid w:val="00597D12"/>
    <w:rsid w:val="00597E95"/>
    <w:rsid w:val="005A1A44"/>
    <w:rsid w:val="005A1F94"/>
    <w:rsid w:val="005B11CE"/>
    <w:rsid w:val="005B12DD"/>
    <w:rsid w:val="005B182A"/>
    <w:rsid w:val="005B2442"/>
    <w:rsid w:val="005B24B0"/>
    <w:rsid w:val="005B3BF4"/>
    <w:rsid w:val="005B6823"/>
    <w:rsid w:val="005C1BB0"/>
    <w:rsid w:val="005C6C47"/>
    <w:rsid w:val="005D1AD9"/>
    <w:rsid w:val="005D1B6F"/>
    <w:rsid w:val="005E1C28"/>
    <w:rsid w:val="005E2685"/>
    <w:rsid w:val="005E54BE"/>
    <w:rsid w:val="005E760B"/>
    <w:rsid w:val="005F17F3"/>
    <w:rsid w:val="005F271D"/>
    <w:rsid w:val="005F48C6"/>
    <w:rsid w:val="005F6FF8"/>
    <w:rsid w:val="005F7D30"/>
    <w:rsid w:val="00600D5C"/>
    <w:rsid w:val="00604476"/>
    <w:rsid w:val="00610054"/>
    <w:rsid w:val="006124ED"/>
    <w:rsid w:val="00613D85"/>
    <w:rsid w:val="00620FB2"/>
    <w:rsid w:val="00621B1C"/>
    <w:rsid w:val="0063248D"/>
    <w:rsid w:val="00641535"/>
    <w:rsid w:val="00646D58"/>
    <w:rsid w:val="00647746"/>
    <w:rsid w:val="0066051E"/>
    <w:rsid w:val="00663703"/>
    <w:rsid w:val="006646AD"/>
    <w:rsid w:val="00671E8C"/>
    <w:rsid w:val="00672F2D"/>
    <w:rsid w:val="00673778"/>
    <w:rsid w:val="00675A2D"/>
    <w:rsid w:val="006811AA"/>
    <w:rsid w:val="0068380B"/>
    <w:rsid w:val="0069021F"/>
    <w:rsid w:val="006971F6"/>
    <w:rsid w:val="006A00BE"/>
    <w:rsid w:val="006A1952"/>
    <w:rsid w:val="006C174E"/>
    <w:rsid w:val="006C2D50"/>
    <w:rsid w:val="006C4445"/>
    <w:rsid w:val="006D003F"/>
    <w:rsid w:val="006E2C0D"/>
    <w:rsid w:val="006E5835"/>
    <w:rsid w:val="006F23DC"/>
    <w:rsid w:val="006F5086"/>
    <w:rsid w:val="006F63A1"/>
    <w:rsid w:val="006F7F93"/>
    <w:rsid w:val="007021BA"/>
    <w:rsid w:val="007021CB"/>
    <w:rsid w:val="0070487F"/>
    <w:rsid w:val="00705CB1"/>
    <w:rsid w:val="00712EEE"/>
    <w:rsid w:val="00713DF5"/>
    <w:rsid w:val="00713FE5"/>
    <w:rsid w:val="007277C9"/>
    <w:rsid w:val="00731D9F"/>
    <w:rsid w:val="007329B0"/>
    <w:rsid w:val="00733EE8"/>
    <w:rsid w:val="007363B0"/>
    <w:rsid w:val="007400AC"/>
    <w:rsid w:val="00743CF7"/>
    <w:rsid w:val="00745460"/>
    <w:rsid w:val="0075091A"/>
    <w:rsid w:val="00752445"/>
    <w:rsid w:val="007559A9"/>
    <w:rsid w:val="00757A09"/>
    <w:rsid w:val="00764BC3"/>
    <w:rsid w:val="00771F43"/>
    <w:rsid w:val="00775F25"/>
    <w:rsid w:val="00775FF5"/>
    <w:rsid w:val="0077665F"/>
    <w:rsid w:val="0078389F"/>
    <w:rsid w:val="00785656"/>
    <w:rsid w:val="00785BF7"/>
    <w:rsid w:val="007862E9"/>
    <w:rsid w:val="007976A4"/>
    <w:rsid w:val="007B363C"/>
    <w:rsid w:val="007C4E6B"/>
    <w:rsid w:val="007D5405"/>
    <w:rsid w:val="007E1502"/>
    <w:rsid w:val="007E77F3"/>
    <w:rsid w:val="007F0226"/>
    <w:rsid w:val="007F2822"/>
    <w:rsid w:val="007F543C"/>
    <w:rsid w:val="008015A5"/>
    <w:rsid w:val="00804B4E"/>
    <w:rsid w:val="00807B04"/>
    <w:rsid w:val="00807F1A"/>
    <w:rsid w:val="008132A7"/>
    <w:rsid w:val="00813BCB"/>
    <w:rsid w:val="00815562"/>
    <w:rsid w:val="00817C81"/>
    <w:rsid w:val="00817F09"/>
    <w:rsid w:val="0082212B"/>
    <w:rsid w:val="0082246F"/>
    <w:rsid w:val="00823983"/>
    <w:rsid w:val="00825B20"/>
    <w:rsid w:val="0082662A"/>
    <w:rsid w:val="00826C67"/>
    <w:rsid w:val="008320D8"/>
    <w:rsid w:val="008323B1"/>
    <w:rsid w:val="0083594F"/>
    <w:rsid w:val="00840203"/>
    <w:rsid w:val="008432CE"/>
    <w:rsid w:val="008467A2"/>
    <w:rsid w:val="0085337B"/>
    <w:rsid w:val="00855656"/>
    <w:rsid w:val="00862526"/>
    <w:rsid w:val="008658EE"/>
    <w:rsid w:val="00866A89"/>
    <w:rsid w:val="0087364D"/>
    <w:rsid w:val="00874DC0"/>
    <w:rsid w:val="00883D1D"/>
    <w:rsid w:val="008849C4"/>
    <w:rsid w:val="00885205"/>
    <w:rsid w:val="00896C4B"/>
    <w:rsid w:val="008A1680"/>
    <w:rsid w:val="008A4618"/>
    <w:rsid w:val="008A5B13"/>
    <w:rsid w:val="008A5B45"/>
    <w:rsid w:val="008B1141"/>
    <w:rsid w:val="008B1BC9"/>
    <w:rsid w:val="008B2765"/>
    <w:rsid w:val="008B35CB"/>
    <w:rsid w:val="008B7D01"/>
    <w:rsid w:val="008C56F7"/>
    <w:rsid w:val="008D0C5F"/>
    <w:rsid w:val="008D16A4"/>
    <w:rsid w:val="008D1932"/>
    <w:rsid w:val="008E0694"/>
    <w:rsid w:val="008E0A79"/>
    <w:rsid w:val="008E0FE6"/>
    <w:rsid w:val="008E1B27"/>
    <w:rsid w:val="008E461F"/>
    <w:rsid w:val="008E529E"/>
    <w:rsid w:val="008E5B6F"/>
    <w:rsid w:val="008E6780"/>
    <w:rsid w:val="008E7366"/>
    <w:rsid w:val="008E7F8C"/>
    <w:rsid w:val="008F1529"/>
    <w:rsid w:val="008F23D0"/>
    <w:rsid w:val="008F36FA"/>
    <w:rsid w:val="008F3ED8"/>
    <w:rsid w:val="00902510"/>
    <w:rsid w:val="00904B30"/>
    <w:rsid w:val="0090606A"/>
    <w:rsid w:val="009103C3"/>
    <w:rsid w:val="009104B4"/>
    <w:rsid w:val="00917DDC"/>
    <w:rsid w:val="00932538"/>
    <w:rsid w:val="00932652"/>
    <w:rsid w:val="00935969"/>
    <w:rsid w:val="00942BD5"/>
    <w:rsid w:val="00946B83"/>
    <w:rsid w:val="00955D26"/>
    <w:rsid w:val="009601DB"/>
    <w:rsid w:val="009618DA"/>
    <w:rsid w:val="009619C4"/>
    <w:rsid w:val="00961F04"/>
    <w:rsid w:val="00964AB7"/>
    <w:rsid w:val="009652A9"/>
    <w:rsid w:val="009655F3"/>
    <w:rsid w:val="009743DF"/>
    <w:rsid w:val="0098619D"/>
    <w:rsid w:val="00987967"/>
    <w:rsid w:val="00991309"/>
    <w:rsid w:val="0099152D"/>
    <w:rsid w:val="00994986"/>
    <w:rsid w:val="009A1A27"/>
    <w:rsid w:val="009A2C02"/>
    <w:rsid w:val="009A4C06"/>
    <w:rsid w:val="009A6920"/>
    <w:rsid w:val="009A795F"/>
    <w:rsid w:val="009B2A7A"/>
    <w:rsid w:val="009B6A9E"/>
    <w:rsid w:val="009C097B"/>
    <w:rsid w:val="009C0ED7"/>
    <w:rsid w:val="009C7360"/>
    <w:rsid w:val="009D5232"/>
    <w:rsid w:val="009D65D8"/>
    <w:rsid w:val="009D7B44"/>
    <w:rsid w:val="009E1A55"/>
    <w:rsid w:val="009E3E00"/>
    <w:rsid w:val="009E60CC"/>
    <w:rsid w:val="009F19F4"/>
    <w:rsid w:val="00A01CC2"/>
    <w:rsid w:val="00A02D80"/>
    <w:rsid w:val="00A054D8"/>
    <w:rsid w:val="00A05AA1"/>
    <w:rsid w:val="00A110B0"/>
    <w:rsid w:val="00A13D54"/>
    <w:rsid w:val="00A400DE"/>
    <w:rsid w:val="00A41819"/>
    <w:rsid w:val="00A42A64"/>
    <w:rsid w:val="00A44757"/>
    <w:rsid w:val="00A5075E"/>
    <w:rsid w:val="00A55827"/>
    <w:rsid w:val="00A55ED2"/>
    <w:rsid w:val="00A6414E"/>
    <w:rsid w:val="00A65655"/>
    <w:rsid w:val="00A66434"/>
    <w:rsid w:val="00A703E5"/>
    <w:rsid w:val="00A70862"/>
    <w:rsid w:val="00A7228A"/>
    <w:rsid w:val="00A7257F"/>
    <w:rsid w:val="00A7494C"/>
    <w:rsid w:val="00A75CFD"/>
    <w:rsid w:val="00A771BE"/>
    <w:rsid w:val="00A80FD3"/>
    <w:rsid w:val="00A817B0"/>
    <w:rsid w:val="00A81D34"/>
    <w:rsid w:val="00A826A7"/>
    <w:rsid w:val="00A83E13"/>
    <w:rsid w:val="00A86CB4"/>
    <w:rsid w:val="00A87020"/>
    <w:rsid w:val="00A97A87"/>
    <w:rsid w:val="00AA53BF"/>
    <w:rsid w:val="00AB2447"/>
    <w:rsid w:val="00AB3AB9"/>
    <w:rsid w:val="00AB7F9C"/>
    <w:rsid w:val="00AC3CB9"/>
    <w:rsid w:val="00AC43A5"/>
    <w:rsid w:val="00AC5668"/>
    <w:rsid w:val="00AC5BBE"/>
    <w:rsid w:val="00AC5F62"/>
    <w:rsid w:val="00AC6302"/>
    <w:rsid w:val="00AD3482"/>
    <w:rsid w:val="00AD6525"/>
    <w:rsid w:val="00AE6C2A"/>
    <w:rsid w:val="00AF1CBA"/>
    <w:rsid w:val="00AF245D"/>
    <w:rsid w:val="00AF6D35"/>
    <w:rsid w:val="00B0185A"/>
    <w:rsid w:val="00B02ED4"/>
    <w:rsid w:val="00B13A49"/>
    <w:rsid w:val="00B14420"/>
    <w:rsid w:val="00B14838"/>
    <w:rsid w:val="00B160CA"/>
    <w:rsid w:val="00B170E7"/>
    <w:rsid w:val="00B225A2"/>
    <w:rsid w:val="00B2658E"/>
    <w:rsid w:val="00B31B29"/>
    <w:rsid w:val="00B344A4"/>
    <w:rsid w:val="00B35682"/>
    <w:rsid w:val="00B36A95"/>
    <w:rsid w:val="00B50D8C"/>
    <w:rsid w:val="00B62831"/>
    <w:rsid w:val="00B7310B"/>
    <w:rsid w:val="00B744AD"/>
    <w:rsid w:val="00B8030D"/>
    <w:rsid w:val="00B94447"/>
    <w:rsid w:val="00B96119"/>
    <w:rsid w:val="00B967C8"/>
    <w:rsid w:val="00BA15A2"/>
    <w:rsid w:val="00BA2726"/>
    <w:rsid w:val="00BA36E5"/>
    <w:rsid w:val="00BB1805"/>
    <w:rsid w:val="00BC3638"/>
    <w:rsid w:val="00BC3C43"/>
    <w:rsid w:val="00BC3D30"/>
    <w:rsid w:val="00BD05BA"/>
    <w:rsid w:val="00BD1DEA"/>
    <w:rsid w:val="00BD2812"/>
    <w:rsid w:val="00BD7670"/>
    <w:rsid w:val="00BE464D"/>
    <w:rsid w:val="00BE538B"/>
    <w:rsid w:val="00BE79F7"/>
    <w:rsid w:val="00BF6041"/>
    <w:rsid w:val="00C0278B"/>
    <w:rsid w:val="00C04890"/>
    <w:rsid w:val="00C12759"/>
    <w:rsid w:val="00C226B0"/>
    <w:rsid w:val="00C26BAA"/>
    <w:rsid w:val="00C33E20"/>
    <w:rsid w:val="00C40C9C"/>
    <w:rsid w:val="00C417E9"/>
    <w:rsid w:val="00C47B17"/>
    <w:rsid w:val="00C61C4C"/>
    <w:rsid w:val="00C748AA"/>
    <w:rsid w:val="00C80189"/>
    <w:rsid w:val="00C807F6"/>
    <w:rsid w:val="00C80B17"/>
    <w:rsid w:val="00C85993"/>
    <w:rsid w:val="00C86DAA"/>
    <w:rsid w:val="00C91710"/>
    <w:rsid w:val="00C93260"/>
    <w:rsid w:val="00C93BCC"/>
    <w:rsid w:val="00C95A2F"/>
    <w:rsid w:val="00CA4821"/>
    <w:rsid w:val="00CB7A18"/>
    <w:rsid w:val="00CC1F09"/>
    <w:rsid w:val="00CC7F2F"/>
    <w:rsid w:val="00CD04A1"/>
    <w:rsid w:val="00CD0CF9"/>
    <w:rsid w:val="00CD1A36"/>
    <w:rsid w:val="00CD72C2"/>
    <w:rsid w:val="00CD7FC1"/>
    <w:rsid w:val="00CE3D1D"/>
    <w:rsid w:val="00CE6543"/>
    <w:rsid w:val="00CE6AA7"/>
    <w:rsid w:val="00CF2EF5"/>
    <w:rsid w:val="00D0144B"/>
    <w:rsid w:val="00D030C7"/>
    <w:rsid w:val="00D10D67"/>
    <w:rsid w:val="00D1257E"/>
    <w:rsid w:val="00D143EB"/>
    <w:rsid w:val="00D14B7F"/>
    <w:rsid w:val="00D219B1"/>
    <w:rsid w:val="00D2258F"/>
    <w:rsid w:val="00D240A5"/>
    <w:rsid w:val="00D24CE4"/>
    <w:rsid w:val="00D26017"/>
    <w:rsid w:val="00D27386"/>
    <w:rsid w:val="00D32565"/>
    <w:rsid w:val="00D4129B"/>
    <w:rsid w:val="00D45E30"/>
    <w:rsid w:val="00D51BDF"/>
    <w:rsid w:val="00D60944"/>
    <w:rsid w:val="00D652A9"/>
    <w:rsid w:val="00D73C2F"/>
    <w:rsid w:val="00D75CC9"/>
    <w:rsid w:val="00D76176"/>
    <w:rsid w:val="00D85FB0"/>
    <w:rsid w:val="00D874D6"/>
    <w:rsid w:val="00D909FF"/>
    <w:rsid w:val="00D91AA4"/>
    <w:rsid w:val="00DA1007"/>
    <w:rsid w:val="00DA43AF"/>
    <w:rsid w:val="00DA4658"/>
    <w:rsid w:val="00DA737D"/>
    <w:rsid w:val="00DB2588"/>
    <w:rsid w:val="00DB6B64"/>
    <w:rsid w:val="00DC159C"/>
    <w:rsid w:val="00DC19A2"/>
    <w:rsid w:val="00DC48FD"/>
    <w:rsid w:val="00DC4E38"/>
    <w:rsid w:val="00DD2E91"/>
    <w:rsid w:val="00DE5160"/>
    <w:rsid w:val="00DE6984"/>
    <w:rsid w:val="00DF3A5C"/>
    <w:rsid w:val="00DF653A"/>
    <w:rsid w:val="00E07726"/>
    <w:rsid w:val="00E07955"/>
    <w:rsid w:val="00E07CB5"/>
    <w:rsid w:val="00E1165D"/>
    <w:rsid w:val="00E143DB"/>
    <w:rsid w:val="00E15251"/>
    <w:rsid w:val="00E31E69"/>
    <w:rsid w:val="00E3329A"/>
    <w:rsid w:val="00E45FE3"/>
    <w:rsid w:val="00E46A6B"/>
    <w:rsid w:val="00E52DDE"/>
    <w:rsid w:val="00E57EB8"/>
    <w:rsid w:val="00E632A9"/>
    <w:rsid w:val="00E66F65"/>
    <w:rsid w:val="00E73F4C"/>
    <w:rsid w:val="00E748C5"/>
    <w:rsid w:val="00E74EEF"/>
    <w:rsid w:val="00E87C68"/>
    <w:rsid w:val="00E87FB5"/>
    <w:rsid w:val="00E92CC9"/>
    <w:rsid w:val="00E97FF6"/>
    <w:rsid w:val="00EA3A65"/>
    <w:rsid w:val="00EA4A93"/>
    <w:rsid w:val="00EA702C"/>
    <w:rsid w:val="00EB1866"/>
    <w:rsid w:val="00EB4CF1"/>
    <w:rsid w:val="00EB6304"/>
    <w:rsid w:val="00EB64C8"/>
    <w:rsid w:val="00EB707C"/>
    <w:rsid w:val="00EC10DA"/>
    <w:rsid w:val="00EC4A74"/>
    <w:rsid w:val="00ED7C13"/>
    <w:rsid w:val="00EE42B3"/>
    <w:rsid w:val="00EF2EF0"/>
    <w:rsid w:val="00EF5CF2"/>
    <w:rsid w:val="00F10DF9"/>
    <w:rsid w:val="00F158AD"/>
    <w:rsid w:val="00F20A30"/>
    <w:rsid w:val="00F22645"/>
    <w:rsid w:val="00F2418C"/>
    <w:rsid w:val="00F41EC9"/>
    <w:rsid w:val="00F422AE"/>
    <w:rsid w:val="00F468D0"/>
    <w:rsid w:val="00F554E9"/>
    <w:rsid w:val="00F63F14"/>
    <w:rsid w:val="00F64B7E"/>
    <w:rsid w:val="00F66EED"/>
    <w:rsid w:val="00F71917"/>
    <w:rsid w:val="00F7634B"/>
    <w:rsid w:val="00F76991"/>
    <w:rsid w:val="00F77237"/>
    <w:rsid w:val="00F826BC"/>
    <w:rsid w:val="00F924D3"/>
    <w:rsid w:val="00F949B0"/>
    <w:rsid w:val="00F953E3"/>
    <w:rsid w:val="00F974D3"/>
    <w:rsid w:val="00FA0530"/>
    <w:rsid w:val="00FA09D9"/>
    <w:rsid w:val="00FB05B4"/>
    <w:rsid w:val="00FB086C"/>
    <w:rsid w:val="00FB3237"/>
    <w:rsid w:val="00FB4B3D"/>
    <w:rsid w:val="00FB5AE5"/>
    <w:rsid w:val="00FB6E6B"/>
    <w:rsid w:val="00FC2354"/>
    <w:rsid w:val="00FD0022"/>
    <w:rsid w:val="00FD0B01"/>
    <w:rsid w:val="00FD3BF8"/>
    <w:rsid w:val="00FE04CF"/>
    <w:rsid w:val="00FE499A"/>
    <w:rsid w:val="00FE555D"/>
    <w:rsid w:val="00FF14DE"/>
    <w:rsid w:val="00FF2867"/>
    <w:rsid w:val="00FF4162"/>
    <w:rsid w:val="00FF5E2C"/>
    <w:rsid w:val="00FF6D48"/>
    <w:rsid w:val="00FF763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6A847EA"/>
  <w15:docId w15:val="{CEFA69A9-60A9-4338-B12C-488420438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B1A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B1A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4366"/>
    <w:pPr>
      <w:tabs>
        <w:tab w:val="center" w:pos="4252"/>
        <w:tab w:val="right" w:pos="8504"/>
      </w:tabs>
      <w:spacing w:after="0" w:line="240" w:lineRule="auto"/>
    </w:pPr>
  </w:style>
  <w:style w:type="character" w:customStyle="1" w:styleId="HeaderChar">
    <w:name w:val="Header Char"/>
    <w:basedOn w:val="DefaultParagraphFont"/>
    <w:link w:val="Header"/>
    <w:uiPriority w:val="99"/>
    <w:rsid w:val="001A4366"/>
  </w:style>
  <w:style w:type="paragraph" w:styleId="Footer">
    <w:name w:val="footer"/>
    <w:basedOn w:val="Normal"/>
    <w:link w:val="FooterChar"/>
    <w:uiPriority w:val="99"/>
    <w:unhideWhenUsed/>
    <w:rsid w:val="001A4366"/>
    <w:pPr>
      <w:tabs>
        <w:tab w:val="center" w:pos="4252"/>
        <w:tab w:val="right" w:pos="8504"/>
      </w:tabs>
      <w:spacing w:after="0" w:line="240" w:lineRule="auto"/>
    </w:pPr>
  </w:style>
  <w:style w:type="character" w:customStyle="1" w:styleId="FooterChar">
    <w:name w:val="Footer Char"/>
    <w:basedOn w:val="DefaultParagraphFont"/>
    <w:link w:val="Footer"/>
    <w:uiPriority w:val="99"/>
    <w:rsid w:val="001A4366"/>
  </w:style>
  <w:style w:type="paragraph" w:styleId="BalloonText">
    <w:name w:val="Balloon Text"/>
    <w:basedOn w:val="Normal"/>
    <w:link w:val="BalloonTextChar"/>
    <w:uiPriority w:val="99"/>
    <w:semiHidden/>
    <w:unhideWhenUsed/>
    <w:rsid w:val="002130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309D"/>
    <w:rPr>
      <w:rFonts w:ascii="Tahoma" w:hAnsi="Tahoma" w:cs="Tahoma"/>
      <w:sz w:val="16"/>
      <w:szCs w:val="16"/>
    </w:rPr>
  </w:style>
  <w:style w:type="table" w:styleId="TableGrid">
    <w:name w:val="Table Grid"/>
    <w:basedOn w:val="TableNormal"/>
    <w:uiPriority w:val="39"/>
    <w:rsid w:val="00F77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B1A2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B1A28"/>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3B1A2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564838"/>
    <w:rPr>
      <w:color w:val="0563C1" w:themeColor="hyperlink"/>
      <w:u w:val="single"/>
    </w:rPr>
  </w:style>
  <w:style w:type="character" w:styleId="UnresolvedMention">
    <w:name w:val="Unresolved Mention"/>
    <w:basedOn w:val="DefaultParagraphFont"/>
    <w:uiPriority w:val="99"/>
    <w:semiHidden/>
    <w:unhideWhenUsed/>
    <w:rsid w:val="00564838"/>
    <w:rPr>
      <w:color w:val="605E5C"/>
      <w:shd w:val="clear" w:color="auto" w:fill="E1DFDD"/>
    </w:rPr>
  </w:style>
  <w:style w:type="paragraph" w:styleId="FootnoteText">
    <w:name w:val="footnote text"/>
    <w:basedOn w:val="Normal"/>
    <w:link w:val="FootnoteTextChar"/>
    <w:uiPriority w:val="99"/>
    <w:semiHidden/>
    <w:unhideWhenUsed/>
    <w:rsid w:val="007E77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77F3"/>
    <w:rPr>
      <w:sz w:val="20"/>
      <w:szCs w:val="20"/>
    </w:rPr>
  </w:style>
  <w:style w:type="character" w:styleId="FootnoteReference">
    <w:name w:val="footnote reference"/>
    <w:basedOn w:val="DefaultParagraphFont"/>
    <w:uiPriority w:val="99"/>
    <w:semiHidden/>
    <w:unhideWhenUsed/>
    <w:rsid w:val="007E77F3"/>
    <w:rPr>
      <w:vertAlign w:val="superscript"/>
    </w:rPr>
  </w:style>
  <w:style w:type="paragraph" w:styleId="Caption">
    <w:name w:val="caption"/>
    <w:basedOn w:val="Normal"/>
    <w:next w:val="Normal"/>
    <w:uiPriority w:val="35"/>
    <w:unhideWhenUsed/>
    <w:qFormat/>
    <w:rsid w:val="00161476"/>
    <w:pPr>
      <w:spacing w:after="200" w:line="240" w:lineRule="auto"/>
    </w:pPr>
    <w:rPr>
      <w:i/>
      <w:iCs/>
      <w:color w:val="44546A" w:themeColor="text2"/>
      <w:sz w:val="18"/>
      <w:szCs w:val="18"/>
    </w:rPr>
  </w:style>
  <w:style w:type="paragraph" w:styleId="ListParagraph">
    <w:name w:val="List Paragraph"/>
    <w:basedOn w:val="Normal"/>
    <w:uiPriority w:val="34"/>
    <w:qFormat/>
    <w:rsid w:val="00E87C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1013">
      <w:bodyDiv w:val="1"/>
      <w:marLeft w:val="0"/>
      <w:marRight w:val="0"/>
      <w:marTop w:val="0"/>
      <w:marBottom w:val="0"/>
      <w:divBdr>
        <w:top w:val="none" w:sz="0" w:space="0" w:color="auto"/>
        <w:left w:val="none" w:sz="0" w:space="0" w:color="auto"/>
        <w:bottom w:val="none" w:sz="0" w:space="0" w:color="auto"/>
        <w:right w:val="none" w:sz="0" w:space="0" w:color="auto"/>
      </w:divBdr>
    </w:div>
    <w:div w:id="13003680">
      <w:bodyDiv w:val="1"/>
      <w:marLeft w:val="0"/>
      <w:marRight w:val="0"/>
      <w:marTop w:val="0"/>
      <w:marBottom w:val="0"/>
      <w:divBdr>
        <w:top w:val="none" w:sz="0" w:space="0" w:color="auto"/>
        <w:left w:val="none" w:sz="0" w:space="0" w:color="auto"/>
        <w:bottom w:val="none" w:sz="0" w:space="0" w:color="auto"/>
        <w:right w:val="none" w:sz="0" w:space="0" w:color="auto"/>
      </w:divBdr>
    </w:div>
    <w:div w:id="68430937">
      <w:bodyDiv w:val="1"/>
      <w:marLeft w:val="0"/>
      <w:marRight w:val="0"/>
      <w:marTop w:val="0"/>
      <w:marBottom w:val="0"/>
      <w:divBdr>
        <w:top w:val="none" w:sz="0" w:space="0" w:color="auto"/>
        <w:left w:val="none" w:sz="0" w:space="0" w:color="auto"/>
        <w:bottom w:val="none" w:sz="0" w:space="0" w:color="auto"/>
        <w:right w:val="none" w:sz="0" w:space="0" w:color="auto"/>
      </w:divBdr>
    </w:div>
    <w:div w:id="248127696">
      <w:bodyDiv w:val="1"/>
      <w:marLeft w:val="0"/>
      <w:marRight w:val="0"/>
      <w:marTop w:val="0"/>
      <w:marBottom w:val="0"/>
      <w:divBdr>
        <w:top w:val="none" w:sz="0" w:space="0" w:color="auto"/>
        <w:left w:val="none" w:sz="0" w:space="0" w:color="auto"/>
        <w:bottom w:val="none" w:sz="0" w:space="0" w:color="auto"/>
        <w:right w:val="none" w:sz="0" w:space="0" w:color="auto"/>
      </w:divBdr>
    </w:div>
    <w:div w:id="553539156">
      <w:bodyDiv w:val="1"/>
      <w:marLeft w:val="0"/>
      <w:marRight w:val="0"/>
      <w:marTop w:val="0"/>
      <w:marBottom w:val="0"/>
      <w:divBdr>
        <w:top w:val="none" w:sz="0" w:space="0" w:color="auto"/>
        <w:left w:val="none" w:sz="0" w:space="0" w:color="auto"/>
        <w:bottom w:val="none" w:sz="0" w:space="0" w:color="auto"/>
        <w:right w:val="none" w:sz="0" w:space="0" w:color="auto"/>
      </w:divBdr>
    </w:div>
    <w:div w:id="594555070">
      <w:bodyDiv w:val="1"/>
      <w:marLeft w:val="0"/>
      <w:marRight w:val="0"/>
      <w:marTop w:val="0"/>
      <w:marBottom w:val="0"/>
      <w:divBdr>
        <w:top w:val="none" w:sz="0" w:space="0" w:color="auto"/>
        <w:left w:val="none" w:sz="0" w:space="0" w:color="auto"/>
        <w:bottom w:val="none" w:sz="0" w:space="0" w:color="auto"/>
        <w:right w:val="none" w:sz="0" w:space="0" w:color="auto"/>
      </w:divBdr>
    </w:div>
    <w:div w:id="661080991">
      <w:bodyDiv w:val="1"/>
      <w:marLeft w:val="0"/>
      <w:marRight w:val="0"/>
      <w:marTop w:val="0"/>
      <w:marBottom w:val="0"/>
      <w:divBdr>
        <w:top w:val="none" w:sz="0" w:space="0" w:color="auto"/>
        <w:left w:val="none" w:sz="0" w:space="0" w:color="auto"/>
        <w:bottom w:val="none" w:sz="0" w:space="0" w:color="auto"/>
        <w:right w:val="none" w:sz="0" w:space="0" w:color="auto"/>
      </w:divBdr>
    </w:div>
    <w:div w:id="722214358">
      <w:bodyDiv w:val="1"/>
      <w:marLeft w:val="0"/>
      <w:marRight w:val="0"/>
      <w:marTop w:val="0"/>
      <w:marBottom w:val="0"/>
      <w:divBdr>
        <w:top w:val="none" w:sz="0" w:space="0" w:color="auto"/>
        <w:left w:val="none" w:sz="0" w:space="0" w:color="auto"/>
        <w:bottom w:val="none" w:sz="0" w:space="0" w:color="auto"/>
        <w:right w:val="none" w:sz="0" w:space="0" w:color="auto"/>
      </w:divBdr>
    </w:div>
    <w:div w:id="745341966">
      <w:bodyDiv w:val="1"/>
      <w:marLeft w:val="0"/>
      <w:marRight w:val="0"/>
      <w:marTop w:val="0"/>
      <w:marBottom w:val="0"/>
      <w:divBdr>
        <w:top w:val="none" w:sz="0" w:space="0" w:color="auto"/>
        <w:left w:val="none" w:sz="0" w:space="0" w:color="auto"/>
        <w:bottom w:val="none" w:sz="0" w:space="0" w:color="auto"/>
        <w:right w:val="none" w:sz="0" w:space="0" w:color="auto"/>
      </w:divBdr>
    </w:div>
    <w:div w:id="1140151144">
      <w:bodyDiv w:val="1"/>
      <w:marLeft w:val="0"/>
      <w:marRight w:val="0"/>
      <w:marTop w:val="0"/>
      <w:marBottom w:val="0"/>
      <w:divBdr>
        <w:top w:val="none" w:sz="0" w:space="0" w:color="auto"/>
        <w:left w:val="none" w:sz="0" w:space="0" w:color="auto"/>
        <w:bottom w:val="none" w:sz="0" w:space="0" w:color="auto"/>
        <w:right w:val="none" w:sz="0" w:space="0" w:color="auto"/>
      </w:divBdr>
    </w:div>
    <w:div w:id="1419399659">
      <w:bodyDiv w:val="1"/>
      <w:marLeft w:val="0"/>
      <w:marRight w:val="0"/>
      <w:marTop w:val="0"/>
      <w:marBottom w:val="0"/>
      <w:divBdr>
        <w:top w:val="none" w:sz="0" w:space="0" w:color="auto"/>
        <w:left w:val="none" w:sz="0" w:space="0" w:color="auto"/>
        <w:bottom w:val="none" w:sz="0" w:space="0" w:color="auto"/>
        <w:right w:val="none" w:sz="0" w:space="0" w:color="auto"/>
      </w:divBdr>
    </w:div>
    <w:div w:id="1484466422">
      <w:bodyDiv w:val="1"/>
      <w:marLeft w:val="0"/>
      <w:marRight w:val="0"/>
      <w:marTop w:val="0"/>
      <w:marBottom w:val="0"/>
      <w:divBdr>
        <w:top w:val="none" w:sz="0" w:space="0" w:color="auto"/>
        <w:left w:val="none" w:sz="0" w:space="0" w:color="auto"/>
        <w:bottom w:val="none" w:sz="0" w:space="0" w:color="auto"/>
        <w:right w:val="none" w:sz="0" w:space="0" w:color="auto"/>
      </w:divBdr>
    </w:div>
    <w:div w:id="194160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customXml" Target="../customXml/item10.xml"/><Relationship Id="rId1" Type="http://schemas.openxmlformats.org/officeDocument/2006/relationships/customXml" Target="../customXml/item1.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4.unfccc.int/ndcregistry/PublishedDocuments/Uruguay%20First/Uruguay_Primera%20Contribuci%C3%B3n%20Determinada%20a%20nivel%20Nacional.pdf" TargetMode="Externa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uy.undp.org/content/dam/uruguay/docs/MAyE/Pol%C3%ADtica_Nacional_de_Cambio_Clim%C3%A1tico_uv.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ustainabledevelopment.un.org/content/documents/19436Uruguay_VNR_URUGUAY_2018.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IDBDocs_x0020_Number xmlns="cdc7663a-08f0-4737-9e8c-148ce897a09c" xsi:nil="true"/>
    <Division_x0020_or_x0020_Unit xmlns="cdc7663a-08f0-4737-9e8c-148ce897a09c">CSD/HUD</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Soulier Faure, Martin Nicolas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NEIGHBORHOOD UPGRADING</TermName>
          <TermId xmlns="http://schemas.microsoft.com/office/infopath/2007/PartnerControls">19ed260b-3ea3-46e6-aa79-3ae0d12b56bc</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27</Value>
      <Value>26</Value>
      <Value>32</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UR-L1146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Record_x0020_Number xmlns="cdc7663a-08f0-4737-9e8c-148ce897a09c">R0002772987</Record_x0020_Number>
    <_dlc_DocId xmlns="cdc7663a-08f0-4737-9e8c-148ce897a09c">EZSHARE-1465277957-19</_dlc_DocId>
    <_dlc_DocIdUrl xmlns="cdc7663a-08f0-4737-9e8c-148ce897a09c">
      <Url>https://idbg.sharepoint.com/teams/EZ-UR-LON/UR-L1146/_layouts/15/DocIdRedir.aspx?ID=EZSHARE-1465277957-19</Url>
      <Description>EZSHARE-1465277957-19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1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7929E55103B854282DC5F0B588F98B4" ma:contentTypeVersion="505" ma:contentTypeDescription="A content type to manage public (operations) IDB documents" ma:contentTypeScope="" ma:versionID="c29b498562e9ef4fc2144948f8c77f7c">
  <xsd:schema xmlns:xsd="http://www.w3.org/2001/XMLSchema" xmlns:xs="http://www.w3.org/2001/XMLSchema" xmlns:p="http://schemas.microsoft.com/office/2006/metadata/properties" xmlns:ns2="cdc7663a-08f0-4737-9e8c-148ce897a09c" targetNamespace="http://schemas.microsoft.com/office/2006/metadata/properties" ma:root="true" ma:fieldsID="bce4c040556d6bb71d6cb9f6bf550bc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UR-L114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C14BC5FFB7C2D843AEAF09DB55620254" ma:contentTypeVersion="431" ma:contentTypeDescription="The base project type from which other project content types inherit their information." ma:contentTypeScope="" ma:versionID="8d3973663927f0956552fe6aad972e6a">
  <xsd:schema xmlns:xsd="http://www.w3.org/2001/XMLSchema" xmlns:xs="http://www.w3.org/2001/XMLSchema" xmlns:p="http://schemas.microsoft.com/office/2006/metadata/properties" xmlns:ns2="cdc7663a-08f0-4737-9e8c-148ce897a09c" targetNamespace="http://schemas.microsoft.com/office/2006/metadata/properties" ma:root="true" ma:fieldsID="900eec3a7773b4433b28eae16e1a161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UR-L114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BA7E559C-5458-4296-B58F-BE52BB41328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10.xml><?xml version="1.0" encoding="utf-8"?>
<ds:datastoreItem xmlns:ds="http://schemas.openxmlformats.org/officeDocument/2006/customXml" ds:itemID="{0EC2F9D6-BEAF-4458-8A99-D85B2EFA022D}"/>
</file>

<file path=customXml/itemProps2.xml><?xml version="1.0" encoding="utf-8"?>
<ds:datastoreItem xmlns:ds="http://schemas.openxmlformats.org/officeDocument/2006/customXml" ds:itemID="{7225156B-E98D-408C-91AE-95A1C7204730}"/>
</file>

<file path=customXml/itemProps3.xml><?xml version="1.0" encoding="utf-8"?>
<ds:datastoreItem xmlns:ds="http://schemas.openxmlformats.org/officeDocument/2006/customXml" ds:itemID="{542C64EE-6A0D-4733-8D70-91B04222AF36}"/>
</file>

<file path=customXml/itemProps4.xml><?xml version="1.0" encoding="utf-8"?>
<ds:datastoreItem xmlns:ds="http://schemas.openxmlformats.org/officeDocument/2006/customXml" ds:itemID="{0B6AFBB4-21FE-4419-8023-8B63971704B8}">
  <ds:schemaRefs>
    <ds:schemaRef ds:uri="http://schemas.microsoft.com/sharepoint/events"/>
  </ds:schemaRefs>
</ds:datastoreItem>
</file>

<file path=customXml/itemProps5.xml><?xml version="1.0" encoding="utf-8"?>
<ds:datastoreItem xmlns:ds="http://schemas.openxmlformats.org/officeDocument/2006/customXml" ds:itemID="{7F7057FC-955A-4C07-97F2-A2DB2FE06B6B}">
  <ds:schemaRefs>
    <ds:schemaRef ds:uri="http://schemas.microsoft.com/sharepoint/v3/contenttype/forms"/>
  </ds:schemaRefs>
</ds:datastoreItem>
</file>

<file path=customXml/itemProps6.xml><?xml version="1.0" encoding="utf-8"?>
<ds:datastoreItem xmlns:ds="http://schemas.openxmlformats.org/officeDocument/2006/customXml" ds:itemID="{81153E51-2BA1-4DAA-B3DF-C28D4CC704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9E34A7AA-50AE-41DD-8A1B-E979C0738E08}">
  <ds:schemaRefs>
    <ds:schemaRef ds:uri="http://schemas.openxmlformats.org/officeDocument/2006/bibliography"/>
  </ds:schemaRefs>
</ds:datastoreItem>
</file>

<file path=customXml/itemProps8.xml><?xml version="1.0" encoding="utf-8"?>
<ds:datastoreItem xmlns:ds="http://schemas.openxmlformats.org/officeDocument/2006/customXml" ds:itemID="{CD7A0CD6-E27E-4242-AA1D-AA5F375A26B4}"/>
</file>

<file path=customXml/itemProps9.xml><?xml version="1.0" encoding="utf-8"?>
<ds:datastoreItem xmlns:ds="http://schemas.openxmlformats.org/officeDocument/2006/customXml" ds:itemID="{F226D75D-B1E9-453F-ABA1-5A98F9249131}"/>
</file>

<file path=docProps/app.xml><?xml version="1.0" encoding="utf-8"?>
<Properties xmlns="http://schemas.openxmlformats.org/officeDocument/2006/extended-properties" xmlns:vt="http://schemas.openxmlformats.org/officeDocument/2006/docPropsVTypes">
  <Template>Normal.dotm</Template>
  <TotalTime>71</TotalTime>
  <Pages>9</Pages>
  <Words>3308</Words>
  <Characters>18856</Characters>
  <Application>Microsoft Office Word</Application>
  <DocSecurity>0</DocSecurity>
  <Lines>157</Lines>
  <Paragraphs>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22120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Avila, Francy Dianela</cp:lastModifiedBy>
  <cp:revision>13</cp:revision>
  <dcterms:created xsi:type="dcterms:W3CDTF">2018-08-07T21:33:00Z</dcterms:created>
  <dcterms:modified xsi:type="dcterms:W3CDTF">2018-09-04T12:37:00Z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26;#NEIGHBORHOOD UPGRADING|19ed260b-3ea3-46e6-aa79-3ae0d12b56bc</vt:lpwstr>
  </property>
  <property fmtid="{D5CDD505-2E9C-101B-9397-08002B2CF9AE}" pid="7" name="Fund IDB">
    <vt:lpwstr/>
  </property>
  <property fmtid="{D5CDD505-2E9C-101B-9397-08002B2CF9AE}" pid="8" name="Country">
    <vt:lpwstr>32;#Uruguay|5d9b6fdd-d595-4446-a0eb-c14b465f6d0e</vt:lpwstr>
  </property>
  <property fmtid="{D5CDD505-2E9C-101B-9397-08002B2CF9AE}" pid="9" name="Sector IDB">
    <vt:lpwstr>27;#URBAN DEVELOPMENT AND HOUSING|d14615ee-683d-4ec6-a5cf-ae743c6c4ac1</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c14e8c55-382f-4a09-ae58-acba7c7b3a81</vt:lpwstr>
  </property>
  <property fmtid="{D5CDD505-2E9C-101B-9397-08002B2CF9AE}" pid="12" name="ContentTypeId">
    <vt:lpwstr>0x0101001A458A224826124E8B45B1D613300CFC00F7929E55103B854282DC5F0B588F98B4</vt:lpwstr>
  </property>
</Properties>
</file>