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8CA" w:rsidRPr="00C62AF8" w:rsidRDefault="00F428CA" w:rsidP="00F428C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Bolivia</w:t>
      </w:r>
    </w:p>
    <w:p w:rsidR="00F428CA" w:rsidRPr="00C62AF8" w:rsidRDefault="00F428CA" w:rsidP="00F428C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F428CA" w:rsidP="00F428C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División de Energía/Gerencia de Infraestructura y Energía (INE/ENE)</w:t>
      </w:r>
    </w:p>
    <w:p w:rsidR="00F428CA" w:rsidRPr="00C62AF8" w:rsidRDefault="00F428CA" w:rsidP="00F428C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APOYO A LA AGENDA DE DESARROLLO DEL SECTOR DE ENERGÍA EN BOLIVIA</w:t>
      </w: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BO-T1323</w:t>
      </w: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Términos de referencia </w:t>
      </w: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451141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COMPONENTE 2 - </w:t>
      </w:r>
      <w:r w:rsidRPr="00451141">
        <w:rPr>
          <w:rFonts w:ascii="Arial" w:hAnsi="Arial" w:cs="Arial"/>
          <w:b/>
          <w:bCs/>
          <w:sz w:val="22"/>
          <w:szCs w:val="22"/>
          <w:lang w:val="es-ES"/>
        </w:rPr>
        <w:t>DESARROLLO DE LA INFRAESTRUCTURA DE TRANSMISIÓN E INTEGRACIÓN REGIONAL.</w:t>
      </w:r>
    </w:p>
    <w:p w:rsidR="00F428CA" w:rsidRPr="00F428CA" w:rsidRDefault="00F428CA" w:rsidP="004B0BC0">
      <w:pPr>
        <w:pStyle w:val="Heading1"/>
        <w:tabs>
          <w:tab w:val="left" w:pos="3420"/>
        </w:tabs>
        <w:jc w:val="left"/>
        <w:rPr>
          <w:rFonts w:ascii="Arial" w:hAnsi="Arial" w:cs="Arial"/>
          <w:b/>
          <w:bCs/>
          <w:sz w:val="22"/>
          <w:szCs w:val="22"/>
          <w:u w:val="none"/>
          <w:lang w:val="es-ES"/>
        </w:rPr>
      </w:pPr>
    </w:p>
    <w:p w:rsidR="0060727A" w:rsidRPr="00F428CA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BO"/>
        </w:rPr>
      </w:pPr>
    </w:p>
    <w:p w:rsidR="000B2278" w:rsidRPr="00C62AF8" w:rsidRDefault="00451141" w:rsidP="00451141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451141">
        <w:rPr>
          <w:rFonts w:ascii="Arial" w:hAnsi="Arial" w:cs="Arial"/>
          <w:b/>
          <w:bCs/>
          <w:sz w:val="22"/>
          <w:szCs w:val="22"/>
          <w:lang w:val="es-ES"/>
        </w:rPr>
        <w:t>ANÁLISIS CON RECOMENDACIONES TÉCNICAS Y NORMATIVAS ENCAMINADAS A MEJORAR LA CALIDAD Y CAPACIDAD TÉCNICA EN EL DESARROLLO DE INFRAESTRUCTURA DE LÍNEAS DE TRANSMISIÓN DE ALTA O EXTRA ALTA TENSIÓN.</w:t>
      </w:r>
    </w:p>
    <w:p w:rsidR="00C62AF8" w:rsidRPr="00C62AF8" w:rsidRDefault="00C62AF8" w:rsidP="00BC4A7A">
      <w:pPr>
        <w:tabs>
          <w:tab w:val="left" w:pos="3420"/>
        </w:tabs>
        <w:rPr>
          <w:rFonts w:ascii="Arial" w:hAnsi="Arial" w:cs="Arial"/>
          <w:b/>
          <w:bCs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10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Antecedentes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bookmarkStart w:id="0" w:name="_Hlk493515229"/>
      <w:r w:rsidRPr="00C62AF8">
        <w:rPr>
          <w:rFonts w:ascii="Arial" w:hAnsi="Arial" w:cs="Arial"/>
          <w:b/>
          <w:bCs/>
          <w:sz w:val="22"/>
          <w:szCs w:val="22"/>
          <w:lang w:val="es-ES"/>
        </w:rPr>
        <w:t>El sector eléctrico boliviano.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El sector eléctrico boliviano presenta una estructura institucional vertical en la que participan los siguientes actores principales</w:t>
      </w:r>
      <w:r w:rsidRPr="00C62AF8">
        <w:rPr>
          <w:rFonts w:ascii="Arial" w:hAnsi="Arial" w:cs="Arial"/>
          <w:sz w:val="22"/>
          <w:szCs w:val="22"/>
          <w:lang w:val="es-ES_tradnl"/>
        </w:rPr>
        <w:t>: (i) el Ministerio de Energías (MEN), creado mediante Decreto Supremo N</w:t>
      </w:r>
      <w:r w:rsidRPr="00C62AF8">
        <w:rPr>
          <w:rFonts w:ascii="Cambria Math" w:hAnsi="Cambria Math" w:cs="Cambria Math"/>
          <w:sz w:val="22"/>
          <w:szCs w:val="22"/>
          <w:lang w:val="es-ES_tradnl"/>
        </w:rPr>
        <w:t>⁰</w:t>
      </w:r>
      <w:r w:rsidRPr="00C62AF8">
        <w:rPr>
          <w:rFonts w:ascii="Arial" w:hAnsi="Arial" w:cs="Arial"/>
          <w:sz w:val="22"/>
          <w:szCs w:val="22"/>
          <w:lang w:val="es-ES_tradnl"/>
        </w:rPr>
        <w:t>3058 del 22 de enero de 2017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, como el 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órgano rector que dicta las políticas del sector; (ii) </w:t>
      </w:r>
      <w:bookmarkStart w:id="1" w:name="_Hlk506194596"/>
      <w:r w:rsidRPr="00C62AF8">
        <w:rPr>
          <w:rFonts w:ascii="Arial" w:hAnsi="Arial" w:cs="Arial"/>
          <w:sz w:val="22"/>
          <w:szCs w:val="22"/>
          <w:lang w:val="es-ES_tradnl"/>
        </w:rPr>
        <w:t>la Autoridad de fiscalización y Control Social de Electricidad (AE)</w:t>
      </w:r>
      <w:bookmarkEnd w:id="1"/>
      <w:r w:rsidRPr="00C62AF8">
        <w:rPr>
          <w:rFonts w:ascii="Arial" w:hAnsi="Arial" w:cs="Arial"/>
          <w:sz w:val="22"/>
          <w:szCs w:val="22"/>
          <w:lang w:val="es-ES_tradnl"/>
        </w:rPr>
        <w:t>, órgano púbico descentralizado, regulador del sector; (iii) el Viceministerio de Electricidad y Energías Alternativas (VMEEA), ente normativo; (iv) el Comité Nacional de Despacho de Carga (CNDC) encargado de la planificación y operación del sistema eléctrico; y (v) la Empresa Nacional de Electricidad (ENDE), una empresa pública con patrimonio y capital propio, con potestad de participar en los distintos segmentos del mercado a través de sus once filiales.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El sector eléctrico boliviano se rige bajo la Ley de Electricidad (LDE) Nº1604 aprobada el 21 de diciembre de 1994 la cual no ha sido actualizada para integrar la estructura y realidad actual del sector con relación al desarrollo de Energías Renovables (ER) y Energías Renovables No Convencionales (ERNC), así como medidas de Eficiencia Energética (EE), entre otros. 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C62AF8" w:rsidRPr="00C62AF8" w:rsidRDefault="00C01929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77FC0">
        <w:rPr>
          <w:rFonts w:ascii="Arial" w:hAnsi="Arial" w:cs="Arial"/>
          <w:sz w:val="22"/>
          <w:szCs w:val="22"/>
          <w:lang w:val="es-ES"/>
        </w:rPr>
        <w:t>La capacidad instalada de generación eléctrica alcanzó a diciembre de 2017 los   2.107 Megavatios (</w:t>
      </w:r>
      <w:proofErr w:type="gramStart"/>
      <w:r w:rsidRPr="00B77FC0">
        <w:rPr>
          <w:rFonts w:ascii="Arial" w:hAnsi="Arial" w:cs="Arial"/>
          <w:sz w:val="22"/>
          <w:szCs w:val="22"/>
          <w:lang w:val="es-ES"/>
        </w:rPr>
        <w:t>MW)  y</w:t>
      </w:r>
      <w:proofErr w:type="gramEnd"/>
      <w:r w:rsidRPr="00B77FC0">
        <w:rPr>
          <w:rFonts w:ascii="Arial" w:hAnsi="Arial" w:cs="Arial"/>
          <w:sz w:val="22"/>
          <w:szCs w:val="22"/>
          <w:lang w:val="es-ES"/>
        </w:rPr>
        <w:t xml:space="preserve"> la producción de energía fue de 8.981,3 gigavatios hora (GWh) . El 24.8% de la producción de energía se generó a partir de energía renovable, ER, (hidroelectricidad), el 1% a partir de fuentes de energía renovable no convencional, ERNC, (eólica, solar y biomasa) y el 74.2% a través de combustibles fósiles, principalmente gas natural.</w:t>
      </w:r>
      <w:r w:rsidR="00C62AF8" w:rsidRPr="00C62AF8">
        <w:rPr>
          <w:rFonts w:ascii="Arial" w:hAnsi="Arial" w:cs="Arial"/>
          <w:sz w:val="22"/>
          <w:szCs w:val="22"/>
          <w:lang w:val="es-ES"/>
        </w:rPr>
        <w:t>. La demanda de electricidad durante el periodo Entre 2010 y 2016 creció a un ritmo anual promedio de 6%. Las proyecciones de crecimiento de la demanda muestran que este promedio se incrementará a 6.5% en los próximos 5 años</w:t>
      </w:r>
      <w:r w:rsidR="00C62AF8"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1"/>
      </w:r>
      <w:r w:rsidR="00C62AF8" w:rsidRPr="00C62AF8">
        <w:rPr>
          <w:rFonts w:ascii="Arial" w:hAnsi="Arial" w:cs="Arial"/>
          <w:sz w:val="22"/>
          <w:szCs w:val="22"/>
          <w:lang w:val="es-ES"/>
        </w:rPr>
        <w:t>. Las emisiones de Dióxido de Carbono (CO</w:t>
      </w:r>
      <w:r w:rsidR="00C62AF8" w:rsidRPr="00C62AF8">
        <w:rPr>
          <w:rFonts w:ascii="Arial" w:hAnsi="Arial" w:cs="Arial"/>
          <w:sz w:val="22"/>
          <w:szCs w:val="22"/>
          <w:vertAlign w:val="subscript"/>
          <w:lang w:val="es-ES"/>
        </w:rPr>
        <w:t>2</w:t>
      </w:r>
      <w:r w:rsidR="00C62AF8" w:rsidRPr="00C62AF8">
        <w:rPr>
          <w:rFonts w:ascii="Arial" w:hAnsi="Arial" w:cs="Arial"/>
          <w:sz w:val="22"/>
          <w:szCs w:val="22"/>
          <w:lang w:val="es-ES"/>
        </w:rPr>
        <w:t>) del país fueron de 22 millones de toneladas en 2016</w:t>
      </w:r>
      <w:r w:rsidR="00C62AF8"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2"/>
      </w:r>
      <w:r w:rsidR="00C62AF8" w:rsidRPr="00C62AF8">
        <w:rPr>
          <w:rFonts w:ascii="Arial" w:hAnsi="Arial" w:cs="Arial"/>
          <w:sz w:val="22"/>
          <w:szCs w:val="22"/>
          <w:lang w:val="es-ES"/>
        </w:rPr>
        <w:t xml:space="preserve">. Del total de las </w:t>
      </w:r>
      <w:r w:rsidR="00C62AF8" w:rsidRPr="00C62AF8">
        <w:rPr>
          <w:rFonts w:ascii="Arial" w:hAnsi="Arial" w:cs="Arial"/>
          <w:sz w:val="22"/>
          <w:szCs w:val="22"/>
          <w:lang w:val="es-ES"/>
        </w:rPr>
        <w:lastRenderedPageBreak/>
        <w:t xml:space="preserve">emisiones de CO2, el sector eléctrico contribuyó con aproximadamente </w:t>
      </w:r>
      <w:r w:rsidR="00C62AF8" w:rsidRPr="00C62AF8">
        <w:rPr>
          <w:rFonts w:ascii="Arial" w:hAnsi="Arial" w:cs="Arial"/>
          <w:sz w:val="22"/>
          <w:szCs w:val="22"/>
          <w:lang w:val="es-ES_tradnl"/>
        </w:rPr>
        <w:t>4,2 millones de toneladas</w:t>
      </w:r>
      <w:r w:rsidR="00C62AF8" w:rsidRPr="00C62AF8">
        <w:rPr>
          <w:rStyle w:val="FootnoteReference"/>
          <w:rFonts w:ascii="Arial" w:eastAsiaTheme="majorEastAsia" w:hAnsi="Arial" w:cs="Arial"/>
          <w:sz w:val="22"/>
          <w:szCs w:val="22"/>
        </w:rPr>
        <w:footnoteReference w:id="3"/>
      </w:r>
      <w:r w:rsidR="00C62AF8" w:rsidRPr="00C62AF8">
        <w:rPr>
          <w:rFonts w:ascii="Arial" w:hAnsi="Arial" w:cs="Arial"/>
          <w:sz w:val="22"/>
          <w:szCs w:val="22"/>
          <w:lang w:val="es-ES_tradnl"/>
        </w:rPr>
        <w:t xml:space="preserve"> (</w:t>
      </w:r>
      <w:r w:rsidR="00C62AF8" w:rsidRPr="00C62AF8">
        <w:rPr>
          <w:rFonts w:ascii="Arial" w:hAnsi="Arial" w:cs="Arial"/>
          <w:sz w:val="22"/>
          <w:szCs w:val="22"/>
          <w:lang w:val="es-ES"/>
        </w:rPr>
        <w:t>20%)</w:t>
      </w:r>
      <w:r w:rsidR="00C62AF8" w:rsidRPr="00C62AF8">
        <w:rPr>
          <w:rFonts w:ascii="Arial" w:hAnsi="Arial" w:cs="Arial"/>
          <w:sz w:val="22"/>
          <w:szCs w:val="22"/>
          <w:lang w:val="es-ES_tradnl"/>
        </w:rPr>
        <w:t>, de las cuales 92% se originaron en el SIN y 8% en los SA.</w:t>
      </w:r>
      <w:r w:rsidR="00C62AF8" w:rsidRPr="00C62AF8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El </w:t>
      </w:r>
      <w:r w:rsidRPr="00C62AF8" w:rsidDel="005B7EA1">
        <w:rPr>
          <w:rFonts w:ascii="Arial" w:hAnsi="Arial" w:cs="Arial"/>
          <w:sz w:val="22"/>
          <w:szCs w:val="22"/>
          <w:lang w:val="es-ES"/>
        </w:rPr>
        <w:t xml:space="preserve">sector eléctrico está compuesto por el Sistema Interconectado Nacional (SIN) y los Sistemas Aislados (SA). 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En el país existen 9 departamentos de los cuales 8 están conectados al Sistema Interconectado Nacional (SIN) compuesto por </w:t>
      </w:r>
      <w:r w:rsidRPr="00C62AF8">
        <w:rPr>
          <w:rFonts w:ascii="Arial" w:hAnsi="Arial" w:cs="Arial"/>
          <w:sz w:val="22"/>
          <w:szCs w:val="22"/>
          <w:lang w:val="es-ES_tradnl"/>
        </w:rPr>
        <w:t>más de 6.800km de Líneas de Transmisión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. 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Si bien 8 de los 9 departamentos del país están conectados al SIN, según la AE, se cuenta con aproximadamente 151.000 consumidores en 15 SA con potencial para ser interconectados al SIN. </w:t>
      </w:r>
      <w:r w:rsidRPr="00C62AF8">
        <w:rPr>
          <w:rFonts w:ascii="Arial" w:hAnsi="Arial" w:cs="Arial"/>
          <w:sz w:val="22"/>
          <w:szCs w:val="22"/>
          <w:lang w:val="es-ES"/>
        </w:rPr>
        <w:t>Se estima que en las áreas rurales el nivel de cobertura eléctrica alcanza tan solo el 70%, mientras que el promedio nacional es del 90%, siendo uno de los más bajos de Sudamérica.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sz w:val="22"/>
          <w:szCs w:val="22"/>
          <w:lang w:val="es-ES_tradnl"/>
        </w:rPr>
        <w:t xml:space="preserve">Principales retos del sector. </w:t>
      </w:r>
      <w:r w:rsidRPr="00C62AF8">
        <w:rPr>
          <w:rFonts w:ascii="Arial" w:hAnsi="Arial" w:cs="Arial"/>
          <w:sz w:val="22"/>
          <w:szCs w:val="22"/>
          <w:lang w:val="es-ES_tradnl"/>
        </w:rPr>
        <w:t>Los principales retos del sector son: (i) fortalecer al recientemente creado Ministerio de Energías y, establecer los lineamientos y metas para su funcionamiento; (ii) diversificar la matriz eléctrica para reducir la alta dependencia de la generación eléctrica a través de combustibles fósiles y las altas emisiones de CO</w:t>
      </w:r>
      <w:r w:rsidRPr="00C62AF8">
        <w:rPr>
          <w:rFonts w:ascii="Arial" w:hAnsi="Arial" w:cs="Arial"/>
          <w:sz w:val="22"/>
          <w:szCs w:val="22"/>
          <w:vertAlign w:val="subscript"/>
          <w:lang w:val="es-ES_tradnl"/>
        </w:rPr>
        <w:t>2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que esta conlleva; (iii) garantizar el suministro universal, seguro, continuo, confiable y a menor precio de electricidad en el SIN y, que satisfaga la creciente demanda de energía a través de fuentes de ER y ERNC; (iv) generar el marco legal y los instrumentos de planificación que fomenten la sostenibilidad financiera, técnica, económica y socioambiental del sector y de los proyectos de generación a partir de ER; y (v) desarrollar un marco normativo, institucional y de políticas que promueva el uso eficiente de la energía.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sz w:val="22"/>
          <w:szCs w:val="22"/>
          <w:lang w:val="es-ES_tradnl"/>
        </w:rPr>
        <w:t xml:space="preserve">Estrategia del país en el sector. </w:t>
      </w:r>
      <w:r w:rsidRPr="00C62AF8">
        <w:rPr>
          <w:rFonts w:ascii="Arial" w:hAnsi="Arial" w:cs="Arial"/>
          <w:sz w:val="22"/>
          <w:szCs w:val="22"/>
          <w:lang w:val="es-ES_tradnl"/>
        </w:rPr>
        <w:t>Los principios y directrices para el desarrollo económico y social del país en el largo plazo se enmarcan bajo la Agenda Patriótica 2025 y sus trece pilares que dieron lugar al Plan de Desarrollo Económico y Social 2016-2020 (PDES) aprobado en marzo de 2016. El PDES 2016-2020 articula las metas, resultados y acciones sectoriales para el mediano plazo, de acuerdo con los 13 pilares de la Agenda Patriótica 2025.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"/>
        </w:rPr>
        <w:t>De acuerdo con la Agenda Patriótica 2025 y el PDES 2016-2020 se establecen las siguientes líneas de acción para el sector eléctrico: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(i) la soberanía energética, a través de un suministro de electricidad seguro, continuo y confiable; (ii) la universalización energética, mediante el incremento sostenible de la cobertura del servicio básico de electricidad a la población boliviana; (iii) la eficiencia energética, y el incremento de la participación de ER Y ERNC; (iv) la integración energética, a través de la exportación de los excedentes de electricidad; y (v) la seguridad energética, mediante la consolidación de la función protagónica del Estado en el desarrollo y planificación de la industria eléctrica. También busca el fortalecimiento de las instituciones y empresas del sector. 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El </w:t>
      </w:r>
      <w:proofErr w:type="spellStart"/>
      <w:r w:rsidRPr="00C62AF8">
        <w:rPr>
          <w:rFonts w:ascii="Arial" w:hAnsi="Arial" w:cs="Arial"/>
          <w:sz w:val="22"/>
          <w:szCs w:val="22"/>
          <w:lang w:val="es-ES"/>
        </w:rPr>
        <w:t>GdB</w:t>
      </w:r>
      <w:proofErr w:type="spellEnd"/>
      <w:r w:rsidRPr="00C62AF8">
        <w:rPr>
          <w:rFonts w:ascii="Arial" w:hAnsi="Arial" w:cs="Arial"/>
          <w:sz w:val="22"/>
          <w:szCs w:val="22"/>
          <w:lang w:val="es-ES"/>
        </w:rPr>
        <w:t xml:space="preserve"> se ha propuesto las siguientes metas para cubrir el crecimiento de la demanda, reducir emisiones de CO</w:t>
      </w:r>
      <w:r w:rsidRPr="00C62AF8">
        <w:rPr>
          <w:rFonts w:ascii="Arial" w:hAnsi="Arial" w:cs="Arial"/>
          <w:sz w:val="22"/>
          <w:szCs w:val="22"/>
          <w:vertAlign w:val="subscript"/>
          <w:lang w:val="es-ES"/>
        </w:rPr>
        <w:t>2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y lograr el acceso universal a la electricidad: (i) lograr al 2025 la cobertura universal del 100%. Para lograr la meta de electrificación se requerida del desarrollo de un plan de electrificación e inversiones del orden de los US$2.000 millones; y (ii) incorporar al 2020 1.858MW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4"/>
      </w:r>
      <w:r w:rsidRPr="00C62AF8">
        <w:rPr>
          <w:rFonts w:ascii="Arial" w:hAnsi="Arial" w:cs="Arial"/>
          <w:sz w:val="22"/>
          <w:szCs w:val="22"/>
          <w:lang w:val="es-ES"/>
        </w:rPr>
        <w:t xml:space="preserve"> de ER y ERNC al parque generador de los cuales, más de 1.000MW se encuentran actualmente en construcción. Adicionalmente al incremento de las </w:t>
      </w:r>
      <w:r w:rsidRPr="00C62AF8">
        <w:rPr>
          <w:rFonts w:ascii="Arial" w:hAnsi="Arial" w:cs="Arial"/>
          <w:sz w:val="22"/>
          <w:szCs w:val="22"/>
          <w:lang w:val="es-ES"/>
        </w:rPr>
        <w:lastRenderedPageBreak/>
        <w:t>ER y ERNC en la matriz energética, el gobierno planea desarrollar una política y estrategia nacional de EE que permita reducir el consumo de energía y emisiones de CO2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5"/>
      </w:r>
      <w:r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En el marco expuesto, el gobierno solicitó el apoyo del Banco para el diseño e implementación de medidas y acciones que contribuyan a una mejor planificación del sector energético en el mediano y largo plazo consistente con los nuevos lineamientos del sector, que faciliten la implementación de proyectos de ERNC y medidas de EE y, faciliten el incremento de los niveles de acceso a energía eléctrica en el país. 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bookmarkEnd w:id="0"/>
    <w:p w:rsidR="00DE2F85" w:rsidRPr="00C62AF8" w:rsidRDefault="00DE2F85" w:rsidP="00BC4A7A">
      <w:pPr>
        <w:tabs>
          <w:tab w:val="left" w:pos="3420"/>
        </w:tabs>
        <w:jc w:val="both"/>
        <w:rPr>
          <w:rFonts w:ascii="Arial" w:hAnsi="Arial" w:cs="Arial"/>
          <w:bCs/>
          <w:i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10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Objetivo(s) de la Consultoría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451141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 xml:space="preserve">El objetivo de esta consultoría es apoyar </w:t>
      </w:r>
      <w:r w:rsidR="00451141">
        <w:rPr>
          <w:rFonts w:ascii="Arial" w:hAnsi="Arial" w:cs="Arial"/>
          <w:bCs/>
          <w:sz w:val="22"/>
          <w:szCs w:val="22"/>
          <w:lang w:val="es-ES"/>
        </w:rPr>
        <w:t>a</w:t>
      </w:r>
      <w:r w:rsidR="00C62AF8" w:rsidRPr="00C62AF8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C62AF8">
        <w:rPr>
          <w:rFonts w:ascii="Arial" w:hAnsi="Arial" w:cs="Arial"/>
          <w:bCs/>
          <w:sz w:val="22"/>
          <w:szCs w:val="22"/>
          <w:lang w:val="es-ES"/>
        </w:rPr>
        <w:t xml:space="preserve">la ENDE en </w:t>
      </w:r>
      <w:r w:rsidR="00451141">
        <w:rPr>
          <w:rFonts w:ascii="Arial" w:hAnsi="Arial" w:cs="Arial"/>
          <w:bCs/>
          <w:sz w:val="22"/>
          <w:szCs w:val="22"/>
          <w:lang w:val="es-ES"/>
        </w:rPr>
        <w:t>la preparación de un análisis con recomendaciones t</w:t>
      </w:r>
      <w:r w:rsidR="00451141" w:rsidRPr="00451141">
        <w:rPr>
          <w:rFonts w:ascii="Arial" w:hAnsi="Arial" w:cs="Arial"/>
          <w:bCs/>
          <w:sz w:val="22"/>
          <w:szCs w:val="22"/>
          <w:lang w:val="es-ES"/>
        </w:rPr>
        <w:t>écnic</w:t>
      </w:r>
      <w:r w:rsidR="00451141">
        <w:rPr>
          <w:rFonts w:ascii="Arial" w:hAnsi="Arial" w:cs="Arial"/>
          <w:bCs/>
          <w:sz w:val="22"/>
          <w:szCs w:val="22"/>
          <w:lang w:val="es-ES"/>
        </w:rPr>
        <w:t>a</w:t>
      </w:r>
      <w:r w:rsidR="00451141" w:rsidRPr="00451141">
        <w:rPr>
          <w:rFonts w:ascii="Arial" w:hAnsi="Arial" w:cs="Arial"/>
          <w:bCs/>
          <w:sz w:val="22"/>
          <w:szCs w:val="22"/>
          <w:lang w:val="es-ES"/>
        </w:rPr>
        <w:t>s y normativ</w:t>
      </w:r>
      <w:r w:rsidR="00451141">
        <w:rPr>
          <w:rFonts w:ascii="Arial" w:hAnsi="Arial" w:cs="Arial"/>
          <w:bCs/>
          <w:sz w:val="22"/>
          <w:szCs w:val="22"/>
          <w:lang w:val="es-ES"/>
        </w:rPr>
        <w:t>a</w:t>
      </w:r>
      <w:r w:rsidR="00451141" w:rsidRPr="00451141">
        <w:rPr>
          <w:rFonts w:ascii="Arial" w:hAnsi="Arial" w:cs="Arial"/>
          <w:bCs/>
          <w:sz w:val="22"/>
          <w:szCs w:val="22"/>
          <w:lang w:val="es-ES"/>
        </w:rPr>
        <w:t xml:space="preserve">s </w:t>
      </w:r>
      <w:r w:rsidR="00451141">
        <w:rPr>
          <w:rFonts w:ascii="Arial" w:hAnsi="Arial" w:cs="Arial"/>
          <w:bCs/>
          <w:sz w:val="22"/>
          <w:szCs w:val="22"/>
          <w:lang w:val="es-ES"/>
        </w:rPr>
        <w:t xml:space="preserve">encaminadas a mejorar </w:t>
      </w:r>
      <w:r w:rsidR="00451141" w:rsidRPr="00451141">
        <w:rPr>
          <w:rFonts w:ascii="Arial" w:hAnsi="Arial" w:cs="Arial"/>
          <w:bCs/>
          <w:sz w:val="22"/>
          <w:szCs w:val="22"/>
          <w:lang w:val="es-ES"/>
        </w:rPr>
        <w:t>la calidad y capacidad técnica en el desarrollo de infraestructura de líneas de transmisión de alta o extra alta tensión.</w:t>
      </w:r>
    </w:p>
    <w:p w:rsidR="00513143" w:rsidRPr="00C62AF8" w:rsidRDefault="00513143" w:rsidP="00BC4A7A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10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62AF8" w:rsidRDefault="00C62AF8" w:rsidP="00C62AF8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Para el cumplimiento del objetivo de esta consultoría el Consultor deberá realizar, entre otros, las siguientes actividades: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F428CA" w:rsidRDefault="00451141" w:rsidP="00C62AF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Analizar el marco normativo de Bolivia relativo a la planificación, desarrollo, operación y gestión de infraestructura de líneas de trasmisión</w:t>
      </w:r>
      <w:r w:rsidR="00F428CA">
        <w:rPr>
          <w:rFonts w:ascii="Arial" w:hAnsi="Arial" w:cs="Arial"/>
          <w:bCs/>
          <w:sz w:val="22"/>
          <w:szCs w:val="22"/>
          <w:lang w:val="es-ES"/>
        </w:rPr>
        <w:t>.</w:t>
      </w:r>
    </w:p>
    <w:p w:rsidR="00451141" w:rsidRDefault="00451141" w:rsidP="00A9509F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51141">
        <w:rPr>
          <w:rFonts w:ascii="Arial" w:hAnsi="Arial" w:cs="Arial"/>
          <w:bCs/>
          <w:sz w:val="22"/>
          <w:szCs w:val="22"/>
          <w:lang w:val="es-ES"/>
        </w:rPr>
        <w:t xml:space="preserve">Analizar de las capacidades técnicas de la ENDE en cuanto a </w:t>
      </w:r>
      <w:r>
        <w:rPr>
          <w:rFonts w:ascii="Arial" w:hAnsi="Arial" w:cs="Arial"/>
          <w:bCs/>
          <w:sz w:val="22"/>
          <w:szCs w:val="22"/>
          <w:lang w:val="es-ES"/>
        </w:rPr>
        <w:t>la planificación, desarrollo, operación y gestión de infraestructura de líneas de trasmisión.</w:t>
      </w:r>
    </w:p>
    <w:p w:rsidR="00F428CA" w:rsidRDefault="00451141" w:rsidP="00A9509F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Identificación de las necesidades técnicas y normativas para mejorar la calidad y capacidad del sector en cuanto a infraestructura de líneas de trasmisión.</w:t>
      </w:r>
    </w:p>
    <w:p w:rsidR="00137F96" w:rsidRPr="00137F96" w:rsidRDefault="00137F96" w:rsidP="00802C20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137F96">
        <w:rPr>
          <w:rFonts w:ascii="Arial" w:hAnsi="Arial" w:cs="Arial"/>
          <w:bCs/>
          <w:sz w:val="22"/>
          <w:szCs w:val="22"/>
          <w:lang w:val="es-ES"/>
        </w:rPr>
        <w:t>Preparar un informe con recomendaciones para el mejoramiento de las capacidades técnicas de la ENDE</w:t>
      </w:r>
      <w:r w:rsidR="008258DC">
        <w:rPr>
          <w:rFonts w:ascii="Arial" w:hAnsi="Arial" w:cs="Arial"/>
          <w:bCs/>
          <w:sz w:val="22"/>
          <w:szCs w:val="22"/>
          <w:lang w:val="es-ES"/>
        </w:rPr>
        <w:t xml:space="preserve"> para el diseño, contratación, ejecución, seguimiento y evaluación de infraestructura de </w:t>
      </w:r>
      <w:r w:rsidRPr="00137F96">
        <w:rPr>
          <w:rFonts w:ascii="Arial" w:hAnsi="Arial" w:cs="Arial"/>
          <w:bCs/>
          <w:sz w:val="22"/>
          <w:szCs w:val="22"/>
          <w:lang w:val="es-ES"/>
        </w:rPr>
        <w:t>líneas de transmisión de alta o extra alta tensión.</w:t>
      </w:r>
    </w:p>
    <w:p w:rsidR="00F428CA" w:rsidRPr="00137F96" w:rsidRDefault="00137F96" w:rsidP="000B554C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137F96">
        <w:rPr>
          <w:rFonts w:ascii="Arial" w:hAnsi="Arial" w:cs="Arial"/>
          <w:bCs/>
          <w:sz w:val="22"/>
          <w:szCs w:val="22"/>
          <w:lang w:val="es-ES"/>
        </w:rPr>
        <w:t>Preparar un informe con recomendaciones normativas para el mejoramiento de la calidad de la infraestructura de proyectos de líneas de transmisión de alta o extra alta tensión.</w:t>
      </w:r>
    </w:p>
    <w:p w:rsidR="00C62AF8" w:rsidRPr="00C62AF8" w:rsidRDefault="00C62AF8" w:rsidP="00C62AF8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Todas las tareas que realice el Consultor, incluyendo las visitas y disc</w:t>
      </w:r>
      <w:r w:rsidR="00D02DE5">
        <w:rPr>
          <w:rFonts w:ascii="Arial" w:hAnsi="Arial" w:cs="Arial"/>
          <w:bCs/>
          <w:sz w:val="22"/>
          <w:szCs w:val="22"/>
          <w:lang w:val="es-ES"/>
        </w:rPr>
        <w:t>usiones con la contraparte del MEN y la ENDE</w:t>
      </w:r>
      <w:r w:rsidRPr="00C62AF8">
        <w:rPr>
          <w:rFonts w:ascii="Arial" w:hAnsi="Arial" w:cs="Arial"/>
          <w:bCs/>
          <w:sz w:val="22"/>
          <w:szCs w:val="22"/>
          <w:lang w:val="es-ES"/>
        </w:rPr>
        <w:t>, deberán ser coordinadas con el Equipo del BID.</w:t>
      </w:r>
    </w:p>
    <w:p w:rsidR="0060727A" w:rsidRPr="00C62AF8" w:rsidRDefault="0060727A" w:rsidP="00BC4A7A">
      <w:pPr>
        <w:pStyle w:val="BodyText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bookmarkStart w:id="2" w:name="_GoBack"/>
      <w:bookmarkEnd w:id="2"/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La consultoría es por producto y el precio incluye todos los gastos requeridos e impuestos que pudieran corresponder, incluidos los gastos de viajes, y de relevamiento y de </w:t>
      </w:r>
      <w:r w:rsidRPr="00C62AF8">
        <w:rPr>
          <w:rFonts w:ascii="Arial" w:hAnsi="Arial" w:cs="Arial"/>
          <w:sz w:val="22"/>
          <w:szCs w:val="22"/>
          <w:lang w:val="es-ES"/>
        </w:rPr>
        <w:lastRenderedPageBreak/>
        <w:t>procesamiento de la información. Se estima una c</w:t>
      </w:r>
      <w:r w:rsidR="009B4827" w:rsidRPr="00C62AF8">
        <w:rPr>
          <w:rFonts w:ascii="Arial" w:hAnsi="Arial" w:cs="Arial"/>
          <w:sz w:val="22"/>
          <w:szCs w:val="22"/>
          <w:lang w:val="es-ES"/>
        </w:rPr>
        <w:t xml:space="preserve">arga de trabajo equivalente a </w:t>
      </w:r>
      <w:r w:rsidR="00142BAF" w:rsidRPr="00C62AF8">
        <w:rPr>
          <w:rFonts w:ascii="Arial" w:hAnsi="Arial" w:cs="Arial"/>
          <w:sz w:val="22"/>
          <w:szCs w:val="22"/>
          <w:lang w:val="es-ES"/>
        </w:rPr>
        <w:t>55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días en forma discontinua.  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Los pagos se realizarán de la siguiente forma: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60727A" w:rsidRPr="00C62AF8" w:rsidRDefault="00142BAF" w:rsidP="00BC4A7A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  <w:t>35</w:t>
      </w:r>
      <w:r w:rsidR="0060727A" w:rsidRPr="00C62AF8">
        <w:rPr>
          <w:rFonts w:ascii="Arial" w:hAnsi="Arial" w:cs="Arial"/>
          <w:sz w:val="22"/>
          <w:szCs w:val="22"/>
          <w:lang w:val="es-ES"/>
        </w:rPr>
        <w:t>% contra la presentación y aprobación del Informe Inicial.</w:t>
      </w:r>
    </w:p>
    <w:p w:rsidR="0060727A" w:rsidRPr="00C62AF8" w:rsidRDefault="0060727A" w:rsidP="00BC4A7A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</w:r>
      <w:r w:rsidR="00142BAF" w:rsidRPr="00C62AF8">
        <w:rPr>
          <w:rFonts w:ascii="Arial" w:hAnsi="Arial" w:cs="Arial"/>
          <w:sz w:val="22"/>
          <w:szCs w:val="22"/>
          <w:lang w:val="es-ES"/>
        </w:rPr>
        <w:t>40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% contra la presentación y aprobación del Informe </w:t>
      </w:r>
      <w:r w:rsidR="00D66DFB" w:rsidRPr="00C62AF8">
        <w:rPr>
          <w:rFonts w:ascii="Arial" w:hAnsi="Arial" w:cs="Arial"/>
          <w:sz w:val="22"/>
          <w:szCs w:val="22"/>
          <w:lang w:val="es-ES"/>
        </w:rPr>
        <w:t>intermedio</w:t>
      </w:r>
      <w:r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60727A" w:rsidRPr="00C62AF8" w:rsidRDefault="0060727A" w:rsidP="00BC4A7A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</w:r>
      <w:r w:rsidR="00142BAF" w:rsidRPr="00C62AF8">
        <w:rPr>
          <w:rFonts w:ascii="Arial" w:hAnsi="Arial" w:cs="Arial"/>
          <w:sz w:val="22"/>
          <w:szCs w:val="22"/>
          <w:lang w:val="es-ES"/>
        </w:rPr>
        <w:t>25</w:t>
      </w:r>
      <w:r w:rsidRPr="00C62AF8">
        <w:rPr>
          <w:rFonts w:ascii="Arial" w:hAnsi="Arial" w:cs="Arial"/>
          <w:sz w:val="22"/>
          <w:szCs w:val="22"/>
          <w:lang w:val="es-ES"/>
        </w:rPr>
        <w:t>% contra la presentación y aprobación del Informe Final.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60727A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:rsidR="00C62AF8" w:rsidRPr="00C62AF8" w:rsidRDefault="00C62AF8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Título/Nivel Académico &amp; Años de Experiencia Profesional:</w:t>
      </w:r>
    </w:p>
    <w:p w:rsidR="0060727A" w:rsidRPr="00C62AF8" w:rsidRDefault="0060727A" w:rsidP="00BC4A7A">
      <w:pPr>
        <w:pStyle w:val="ListParagraph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Profesional</w:t>
      </w:r>
      <w:r w:rsidR="000B2278" w:rsidRPr="00C62AF8">
        <w:rPr>
          <w:rFonts w:ascii="Arial" w:hAnsi="Arial" w:cs="Arial"/>
          <w:sz w:val="22"/>
          <w:szCs w:val="22"/>
          <w:lang w:val="es-ES"/>
        </w:rPr>
        <w:t xml:space="preserve"> con grado de maestría en áreas de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</w:t>
      </w:r>
      <w:r w:rsidR="000B2278" w:rsidRPr="00C62AF8">
        <w:rPr>
          <w:rFonts w:ascii="Arial" w:hAnsi="Arial" w:cs="Arial"/>
          <w:sz w:val="22"/>
          <w:szCs w:val="22"/>
          <w:lang w:val="es-ES"/>
        </w:rPr>
        <w:t>economía o finanzas.</w:t>
      </w:r>
    </w:p>
    <w:p w:rsidR="000B2278" w:rsidRPr="00C62AF8" w:rsidRDefault="0060727A" w:rsidP="000B2278">
      <w:pPr>
        <w:tabs>
          <w:tab w:val="left" w:pos="3420"/>
        </w:tabs>
        <w:ind w:left="72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Experiencia profesional general: </w:t>
      </w:r>
      <w:r w:rsidR="00356F86" w:rsidRPr="00C62AF8">
        <w:rPr>
          <w:rFonts w:ascii="Arial" w:hAnsi="Arial" w:cs="Arial"/>
          <w:sz w:val="22"/>
          <w:szCs w:val="22"/>
          <w:lang w:val="es-ES"/>
        </w:rPr>
        <w:t xml:space="preserve">El candidato deberá contar con al menos </w:t>
      </w:r>
      <w:r w:rsidR="005C16B2" w:rsidRPr="00C62AF8">
        <w:rPr>
          <w:rFonts w:ascii="Arial" w:hAnsi="Arial" w:cs="Arial"/>
          <w:sz w:val="22"/>
          <w:szCs w:val="22"/>
          <w:lang w:val="es-ES"/>
        </w:rPr>
        <w:t>10</w:t>
      </w:r>
      <w:r w:rsidR="00356F86" w:rsidRPr="00C62AF8">
        <w:rPr>
          <w:rFonts w:ascii="Arial" w:hAnsi="Arial" w:cs="Arial"/>
          <w:sz w:val="22"/>
          <w:szCs w:val="22"/>
          <w:lang w:val="es-ES"/>
        </w:rPr>
        <w:t xml:space="preserve"> año</w:t>
      </w:r>
      <w:r w:rsidR="000B2278" w:rsidRPr="00C62AF8">
        <w:rPr>
          <w:rFonts w:ascii="Arial" w:hAnsi="Arial" w:cs="Arial"/>
          <w:sz w:val="22"/>
          <w:szCs w:val="22"/>
          <w:lang w:val="es-ES"/>
        </w:rPr>
        <w:t>s de experiencia profesional aspectos de gestión tributaria y financiera en el sector público.</w:t>
      </w:r>
    </w:p>
    <w:p w:rsidR="0060727A" w:rsidRPr="00C62AF8" w:rsidRDefault="0060727A" w:rsidP="000B2278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Idiomas: </w:t>
      </w:r>
      <w:proofErr w:type="gramStart"/>
      <w:r w:rsidRPr="00C62AF8">
        <w:rPr>
          <w:rFonts w:ascii="Arial" w:hAnsi="Arial" w:cs="Arial"/>
          <w:sz w:val="22"/>
          <w:szCs w:val="22"/>
          <w:lang w:val="es-ES"/>
        </w:rPr>
        <w:t>Español</w:t>
      </w:r>
      <w:proofErr w:type="gramEnd"/>
      <w:r w:rsidR="00E019E4"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60727A" w:rsidRPr="00C62AF8" w:rsidRDefault="0060727A" w:rsidP="00BC4A7A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Habilidades:</w:t>
      </w:r>
      <w:r w:rsidRPr="00C62AF8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Pr="00C62AF8">
        <w:rPr>
          <w:rFonts w:ascii="Arial" w:hAnsi="Arial" w:cs="Arial"/>
          <w:sz w:val="22"/>
          <w:szCs w:val="22"/>
          <w:lang w:val="es-ES"/>
        </w:rPr>
        <w:t>Excelente expresión oral y escrita. Espíritu crítico y constructivo en el análisis de documentos.</w:t>
      </w:r>
    </w:p>
    <w:p w:rsidR="0060727A" w:rsidRPr="00C62AF8" w:rsidRDefault="0060727A" w:rsidP="00BC4A7A">
      <w:pPr>
        <w:pStyle w:val="ListParagraph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9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Categoría y Modalidad de la Consultoría: Contractual de Productos y Servicios Externos, Suma Alzada</w:t>
      </w:r>
    </w:p>
    <w:p w:rsidR="0060727A" w:rsidRPr="00C62AF8" w:rsidRDefault="0060727A" w:rsidP="00BC4A7A">
      <w:pPr>
        <w:pStyle w:val="ListParagraph"/>
        <w:numPr>
          <w:ilvl w:val="0"/>
          <w:numId w:val="9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Duración del Contrato:</w:t>
      </w:r>
      <w:r w:rsidR="00E019E4" w:rsidRPr="00C62AF8">
        <w:rPr>
          <w:rFonts w:ascii="Arial" w:hAnsi="Arial" w:cs="Arial"/>
          <w:sz w:val="22"/>
          <w:szCs w:val="22"/>
          <w:lang w:val="es-ES"/>
        </w:rPr>
        <w:t xml:space="preserve"> </w:t>
      </w:r>
      <w:r w:rsidRPr="00C62AF8">
        <w:rPr>
          <w:rFonts w:ascii="Arial" w:hAnsi="Arial" w:cs="Arial"/>
          <w:sz w:val="22"/>
          <w:szCs w:val="22"/>
          <w:lang w:val="es-ES"/>
        </w:rPr>
        <w:t>El co</w:t>
      </w:r>
      <w:r w:rsidR="00666049" w:rsidRPr="00C62AF8">
        <w:rPr>
          <w:rFonts w:ascii="Arial" w:hAnsi="Arial" w:cs="Arial"/>
          <w:sz w:val="22"/>
          <w:szCs w:val="22"/>
          <w:lang w:val="es-ES"/>
        </w:rPr>
        <w:t xml:space="preserve">ntrato tendrá una duración de </w:t>
      </w:r>
      <w:r w:rsidR="00E019E4" w:rsidRPr="00C62AF8">
        <w:rPr>
          <w:rFonts w:ascii="Arial" w:hAnsi="Arial" w:cs="Arial"/>
          <w:sz w:val="22"/>
          <w:szCs w:val="22"/>
          <w:lang w:val="es-ES"/>
        </w:rPr>
        <w:t>sesenta (</w:t>
      </w:r>
      <w:r w:rsidR="00F428CA">
        <w:rPr>
          <w:rFonts w:ascii="Arial" w:hAnsi="Arial" w:cs="Arial"/>
          <w:sz w:val="22"/>
          <w:szCs w:val="22"/>
          <w:lang w:val="es-ES"/>
        </w:rPr>
        <w:t>50</w:t>
      </w:r>
      <w:r w:rsidR="00E019E4" w:rsidRPr="00C62AF8">
        <w:rPr>
          <w:rFonts w:ascii="Arial" w:hAnsi="Arial" w:cs="Arial"/>
          <w:sz w:val="22"/>
          <w:szCs w:val="22"/>
          <w:lang w:val="es-ES"/>
        </w:rPr>
        <w:t>)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días efectivos de consultoría</w:t>
      </w:r>
      <w:r w:rsidR="00F428CA">
        <w:rPr>
          <w:rFonts w:ascii="Arial" w:hAnsi="Arial" w:cs="Arial"/>
          <w:sz w:val="22"/>
          <w:szCs w:val="22"/>
          <w:lang w:val="es-ES"/>
        </w:rPr>
        <w:t xml:space="preserve"> distribuidos en cuatro (4</w:t>
      </w:r>
      <w:r w:rsidR="00E019E4" w:rsidRPr="00C62AF8">
        <w:rPr>
          <w:rFonts w:ascii="Arial" w:hAnsi="Arial" w:cs="Arial"/>
          <w:sz w:val="22"/>
          <w:szCs w:val="22"/>
          <w:lang w:val="es-ES"/>
        </w:rPr>
        <w:t>) meses aproximadamente.</w:t>
      </w:r>
    </w:p>
    <w:p w:rsidR="0060727A" w:rsidRPr="00C62AF8" w:rsidRDefault="0060727A" w:rsidP="00BC4A7A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Lugar(es) de trabajo: Consultoría Externa que se realizará </w:t>
      </w:r>
      <w:r w:rsidR="00666049" w:rsidRPr="00C62AF8">
        <w:rPr>
          <w:rFonts w:ascii="Arial" w:hAnsi="Arial" w:cs="Arial"/>
          <w:sz w:val="22"/>
          <w:szCs w:val="22"/>
          <w:lang w:val="es-ES"/>
        </w:rPr>
        <w:t xml:space="preserve">desde la ciudad de residencia del </w:t>
      </w:r>
      <w:r w:rsidR="00E019E4" w:rsidRPr="00C62AF8">
        <w:rPr>
          <w:rFonts w:ascii="Arial" w:hAnsi="Arial" w:cs="Arial"/>
          <w:sz w:val="22"/>
          <w:szCs w:val="22"/>
          <w:lang w:val="es-ES"/>
        </w:rPr>
        <w:t>contractual</w:t>
      </w:r>
      <w:r w:rsidR="00666049" w:rsidRPr="00C62AF8">
        <w:rPr>
          <w:rFonts w:ascii="Arial" w:hAnsi="Arial" w:cs="Arial"/>
          <w:sz w:val="22"/>
          <w:szCs w:val="22"/>
          <w:lang w:val="es-ES"/>
        </w:rPr>
        <w:t xml:space="preserve"> en </w:t>
      </w:r>
      <w:r w:rsidR="000B2278" w:rsidRPr="00C62AF8">
        <w:rPr>
          <w:rFonts w:ascii="Arial" w:hAnsi="Arial" w:cs="Arial"/>
          <w:sz w:val="22"/>
          <w:szCs w:val="22"/>
          <w:lang w:val="es-ES"/>
        </w:rPr>
        <w:t>Bolivia</w:t>
      </w:r>
      <w:r w:rsidR="00666049" w:rsidRPr="00C62AF8">
        <w:rPr>
          <w:rFonts w:ascii="Arial" w:hAnsi="Arial" w:cs="Arial"/>
          <w:sz w:val="22"/>
          <w:szCs w:val="22"/>
          <w:lang w:val="es-ES"/>
        </w:rPr>
        <w:t>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60727A" w:rsidRPr="00C62AF8" w:rsidRDefault="0060727A" w:rsidP="00BC4A7A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Viajes: </w:t>
      </w:r>
      <w:r w:rsidR="00F428CA">
        <w:rPr>
          <w:rFonts w:ascii="Arial" w:hAnsi="Arial" w:cs="Arial"/>
          <w:sz w:val="22"/>
          <w:szCs w:val="22"/>
          <w:lang w:val="es-ES"/>
        </w:rPr>
        <w:t>A ser determinados.</w:t>
      </w:r>
    </w:p>
    <w:p w:rsidR="0060727A" w:rsidRPr="00C62AF8" w:rsidRDefault="0060727A" w:rsidP="00BC4A7A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Líder de División o Coordinador: Esta consultoría será supervisada por el Sr. Sergio Ballón, especialista de energía basado en Bolivia, y con el apoyo de la representación del Banco en Bolivia.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60727A" w:rsidRPr="00C62AF8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La compensación será determinada </w:t>
      </w:r>
      <w:proofErr w:type="gramStart"/>
      <w:r w:rsidRPr="00C62AF8">
        <w:rPr>
          <w:rFonts w:ascii="Arial" w:hAnsi="Arial" w:cs="Arial"/>
          <w:sz w:val="22"/>
          <w:szCs w:val="22"/>
          <w:lang w:val="es-ES_tradnl"/>
        </w:rPr>
        <w:t>de acuerdo a</w:t>
      </w:r>
      <w:proofErr w:type="gramEnd"/>
      <w:r w:rsidRPr="00C62AF8">
        <w:rPr>
          <w:rFonts w:ascii="Arial" w:hAnsi="Arial" w:cs="Arial"/>
          <w:sz w:val="22"/>
          <w:szCs w:val="22"/>
          <w:lang w:val="es-ES_tradnl"/>
        </w:rPr>
        <w:t xml:space="preserve"> las políticas y procedimientos del Banco. Adicionalmente, los candidatos deberán ser ciudadanos de uno de los países miembros del BID. </w:t>
      </w:r>
    </w:p>
    <w:p w:rsidR="0060727A" w:rsidRPr="00C62AF8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_tradnl"/>
        </w:rPr>
        <w:t> </w:t>
      </w:r>
    </w:p>
    <w:p w:rsidR="0060727A" w:rsidRPr="00C62AF8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C62AF8">
        <w:rPr>
          <w:rFonts w:ascii="Arial" w:hAnsi="Arial" w:cs="Arial"/>
          <w:sz w:val="22"/>
          <w:szCs w:val="22"/>
          <w:lang w:val="es-ES"/>
        </w:rPr>
        <w:t>conyugue</w:t>
      </w:r>
      <w:r w:rsidRPr="00C62AF8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:rsidR="0060727A" w:rsidRPr="00C62AF8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_tradnl"/>
        </w:rPr>
        <w:t> </w:t>
      </w:r>
    </w:p>
    <w:p w:rsidR="0060727A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62AF8">
        <w:rPr>
          <w:rFonts w:ascii="Arial" w:hAnsi="Arial" w:cs="Arial"/>
          <w:sz w:val="22"/>
          <w:szCs w:val="22"/>
          <w:lang w:val="es-ES"/>
        </w:rPr>
        <w:t>está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sectPr w:rsidR="0060727A" w:rsidSect="00F51767">
      <w:headerReference w:type="default" r:id="rId11"/>
      <w:pgSz w:w="12240" w:h="15840"/>
      <w:pgMar w:top="1440" w:right="1530" w:bottom="1440" w:left="180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410" w:rsidRDefault="00900410">
      <w:r>
        <w:separator/>
      </w:r>
    </w:p>
  </w:endnote>
  <w:endnote w:type="continuationSeparator" w:id="0">
    <w:p w:rsidR="00900410" w:rsidRDefault="00900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410" w:rsidRDefault="00900410">
      <w:r>
        <w:separator/>
      </w:r>
    </w:p>
  </w:footnote>
  <w:footnote w:type="continuationSeparator" w:id="0">
    <w:p w:rsidR="00900410" w:rsidRDefault="00900410">
      <w:r>
        <w:continuationSeparator/>
      </w:r>
    </w:p>
  </w:footnote>
  <w:footnote w:id="1">
    <w:p w:rsidR="00C62AF8" w:rsidRPr="00C73F7D" w:rsidRDefault="00C62AF8" w:rsidP="00C62AF8">
      <w:pPr>
        <w:pStyle w:val="FootnoteText"/>
        <w:ind w:left="180" w:hanging="180"/>
        <w:rPr>
          <w:rFonts w:ascii="Arial" w:hAnsi="Arial" w:cs="Arial"/>
          <w:sz w:val="16"/>
          <w:szCs w:val="16"/>
          <w:lang w:val="pt-BR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C73F7D">
        <w:rPr>
          <w:rFonts w:ascii="Arial" w:hAnsi="Arial" w:cs="Arial"/>
          <w:sz w:val="16"/>
          <w:szCs w:val="16"/>
          <w:lang w:val="pt-BR"/>
        </w:rPr>
        <w:t xml:space="preserve"> </w:t>
      </w:r>
      <w:r w:rsidRPr="00C73F7D">
        <w:rPr>
          <w:rFonts w:ascii="Arial" w:hAnsi="Arial" w:cs="Arial"/>
          <w:sz w:val="16"/>
          <w:szCs w:val="16"/>
          <w:lang w:val="pt-BR"/>
        </w:rPr>
        <w:tab/>
        <w:t>IDEM</w:t>
      </w:r>
    </w:p>
  </w:footnote>
  <w:footnote w:id="2">
    <w:p w:rsidR="00C62AF8" w:rsidRPr="00C73F7D" w:rsidRDefault="00C62AF8" w:rsidP="00C62AF8">
      <w:pPr>
        <w:pStyle w:val="FootnoteText"/>
        <w:ind w:left="180" w:hanging="180"/>
        <w:rPr>
          <w:rFonts w:ascii="Arial" w:hAnsi="Arial" w:cs="Arial"/>
          <w:sz w:val="16"/>
          <w:szCs w:val="16"/>
          <w:lang w:val="pt-BR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C73F7D">
        <w:rPr>
          <w:rFonts w:ascii="Arial" w:hAnsi="Arial" w:cs="Arial"/>
          <w:sz w:val="16"/>
          <w:szCs w:val="16"/>
          <w:lang w:val="pt-BR"/>
        </w:rPr>
        <w:t xml:space="preserve"> </w:t>
      </w:r>
      <w:r w:rsidRPr="00C73F7D">
        <w:rPr>
          <w:rFonts w:ascii="Arial" w:hAnsi="Arial" w:cs="Arial"/>
          <w:sz w:val="16"/>
          <w:szCs w:val="16"/>
          <w:lang w:val="pt-BR"/>
        </w:rPr>
        <w:tab/>
        <w:t>Anuario de Estadísticas Energéticas, OLADE 2017.</w:t>
      </w:r>
    </w:p>
  </w:footnote>
  <w:footnote w:id="3">
    <w:p w:rsidR="00C62AF8" w:rsidRPr="0061591D" w:rsidRDefault="00C62AF8" w:rsidP="00C62AF8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ab/>
        <w:t xml:space="preserve">Fuente para la conversión de unidades: </w:t>
      </w:r>
      <w:hyperlink r:id="rId1" w:history="1"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US Energy </w:t>
        </w:r>
        <w:proofErr w:type="spellStart"/>
        <w:r w:rsidRPr="0061591D">
          <w:rPr>
            <w:rStyle w:val="Hyperlink"/>
            <w:rFonts w:ascii="Arial" w:hAnsi="Arial" w:cs="Arial"/>
            <w:sz w:val="16"/>
            <w:szCs w:val="16"/>
          </w:rPr>
          <w:t>Information</w:t>
        </w:r>
        <w:proofErr w:type="spellEnd"/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 </w:t>
        </w:r>
        <w:proofErr w:type="spellStart"/>
        <w:r w:rsidRPr="0061591D">
          <w:rPr>
            <w:rStyle w:val="Hyperlink"/>
            <w:rFonts w:ascii="Arial" w:hAnsi="Arial" w:cs="Arial"/>
            <w:sz w:val="16"/>
            <w:szCs w:val="16"/>
          </w:rPr>
          <w:t>Administration</w:t>
        </w:r>
        <w:proofErr w:type="spellEnd"/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 (EIA)</w:t>
        </w:r>
      </w:hyperlink>
      <w:r w:rsidRPr="0061591D">
        <w:rPr>
          <w:rFonts w:ascii="Arial" w:hAnsi="Arial" w:cs="Arial"/>
          <w:sz w:val="16"/>
          <w:szCs w:val="16"/>
        </w:rPr>
        <w:t xml:space="preserve">.  </w:t>
      </w:r>
    </w:p>
  </w:footnote>
  <w:footnote w:id="4">
    <w:p w:rsidR="00C62AF8" w:rsidRPr="0061591D" w:rsidRDefault="00C62AF8" w:rsidP="00C62AF8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Plan de Desarrollo Económico y Social (PDES).</w:t>
      </w:r>
    </w:p>
  </w:footnote>
  <w:footnote w:id="5">
    <w:p w:rsidR="00C62AF8" w:rsidRPr="0061591D" w:rsidRDefault="00C62AF8" w:rsidP="00C62AF8">
      <w:pPr>
        <w:pStyle w:val="FootnoteText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En el año 2008 se creó el Programa Nacional de EE a través del Decreto Supremo 29466, que encargó la implementación al extinto, Ministerio de Hidrocarburos y Energías, y establece proyectos y acciones necesarias para el uso racional y eficiente de la energía. En este marco, se han desarrollado programas de sustitución de lámparas incandescentes con lámparas fluorescentes compactas que redujeron la demanda pico entre los años 2008 y 2011. No obstante, estas fueron acciones puntuales que no se replicaron dada la inexistencia de un marco normativo que fomente su sostenibilidad.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49B" w:rsidRPr="0080549B" w:rsidRDefault="0080549B" w:rsidP="0080549B">
    <w:pPr>
      <w:pStyle w:val="Header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62E42A5"/>
    <w:multiLevelType w:val="hybridMultilevel"/>
    <w:tmpl w:val="E3D60D3A"/>
    <w:lvl w:ilvl="0" w:tplc="AF18A44E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0612F"/>
    <w:multiLevelType w:val="multilevel"/>
    <w:tmpl w:val="2A0EC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FAC7970"/>
    <w:multiLevelType w:val="hybridMultilevel"/>
    <w:tmpl w:val="01E033EE"/>
    <w:lvl w:ilvl="0" w:tplc="D3DAEDD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82C8F"/>
    <w:multiLevelType w:val="multilevel"/>
    <w:tmpl w:val="3F54F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45456"/>
    <w:multiLevelType w:val="hybridMultilevel"/>
    <w:tmpl w:val="C7CC7532"/>
    <w:lvl w:ilvl="0" w:tplc="498284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B282C"/>
    <w:multiLevelType w:val="multilevel"/>
    <w:tmpl w:val="2A0EC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2280776"/>
    <w:multiLevelType w:val="hybridMultilevel"/>
    <w:tmpl w:val="B35C61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31264E7A"/>
    <w:multiLevelType w:val="hybridMultilevel"/>
    <w:tmpl w:val="C7CC7532"/>
    <w:lvl w:ilvl="0" w:tplc="498284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9B4991"/>
    <w:multiLevelType w:val="multilevel"/>
    <w:tmpl w:val="732836B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476"/>
        </w:tabs>
        <w:ind w:left="1476" w:hanging="1296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5" w15:restartNumberingAfterBreak="0">
    <w:nsid w:val="3C1E0B28"/>
    <w:multiLevelType w:val="hybridMultilevel"/>
    <w:tmpl w:val="5E58C222"/>
    <w:lvl w:ilvl="0" w:tplc="BE2C176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0897FB2"/>
    <w:multiLevelType w:val="multilevel"/>
    <w:tmpl w:val="3FA4FC8C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296"/>
        </w:tabs>
        <w:ind w:left="1296" w:hanging="1296"/>
      </w:pPr>
      <w:rPr>
        <w:b w:val="0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decimal"/>
      <w:lvlText w:val="%5)"/>
      <w:lvlJc w:val="left"/>
      <w:pPr>
        <w:ind w:left="5112" w:hanging="432"/>
      </w:pPr>
    </w:lvl>
    <w:lvl w:ilvl="5">
      <w:start w:val="1"/>
      <w:numFmt w:val="lowerLetter"/>
      <w:lvlText w:val="%6)"/>
      <w:lvlJc w:val="left"/>
      <w:pPr>
        <w:ind w:left="5256" w:hanging="432"/>
      </w:pPr>
    </w:lvl>
    <w:lvl w:ilvl="6">
      <w:start w:val="1"/>
      <w:numFmt w:val="lowerRoman"/>
      <w:lvlText w:val="%7)"/>
      <w:lvlJc w:val="right"/>
      <w:pPr>
        <w:ind w:left="5400" w:hanging="288"/>
      </w:pPr>
    </w:lvl>
    <w:lvl w:ilvl="7">
      <w:start w:val="1"/>
      <w:numFmt w:val="lowerLetter"/>
      <w:lvlText w:val="%8."/>
      <w:lvlJc w:val="left"/>
      <w:pPr>
        <w:ind w:left="5544" w:hanging="432"/>
      </w:pPr>
    </w:lvl>
    <w:lvl w:ilvl="8">
      <w:start w:val="1"/>
      <w:numFmt w:val="lowerRoman"/>
      <w:lvlText w:val="%9."/>
      <w:lvlJc w:val="right"/>
      <w:pPr>
        <w:ind w:left="5688" w:hanging="144"/>
      </w:pPr>
    </w:lvl>
  </w:abstractNum>
  <w:abstractNum w:abstractNumId="17" w15:restartNumberingAfterBreak="0">
    <w:nsid w:val="43BF26E0"/>
    <w:multiLevelType w:val="hybridMultilevel"/>
    <w:tmpl w:val="C7CC7532"/>
    <w:lvl w:ilvl="0" w:tplc="498284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701345"/>
    <w:multiLevelType w:val="hybridMultilevel"/>
    <w:tmpl w:val="BDE8276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50A1033E"/>
    <w:multiLevelType w:val="multilevel"/>
    <w:tmpl w:val="2A0EC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69905A8"/>
    <w:multiLevelType w:val="multilevel"/>
    <w:tmpl w:val="BB70267A"/>
    <w:lvl w:ilvl="0">
      <w:start w:val="1"/>
      <w:numFmt w:val="upperRoman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none"/>
      <w:lvlText w:val=""/>
      <w:lvlJc w:val="left"/>
      <w:pPr>
        <w:tabs>
          <w:tab w:val="num" w:pos="4392"/>
        </w:tabs>
        <w:ind w:left="4032" w:firstLine="0"/>
      </w:pPr>
    </w:lvl>
    <w:lvl w:ilvl="5">
      <w:start w:val="1"/>
      <w:numFmt w:val="none"/>
      <w:lvlText w:val=""/>
      <w:lvlJc w:val="left"/>
      <w:pPr>
        <w:tabs>
          <w:tab w:val="num" w:pos="5112"/>
        </w:tabs>
        <w:ind w:left="4752" w:firstLine="0"/>
      </w:pPr>
    </w:lvl>
    <w:lvl w:ilvl="6">
      <w:start w:val="1"/>
      <w:numFmt w:val="none"/>
      <w:lvlText w:val=""/>
      <w:lvlJc w:val="left"/>
      <w:pPr>
        <w:tabs>
          <w:tab w:val="num" w:pos="5832"/>
        </w:tabs>
        <w:ind w:left="5472" w:firstLine="0"/>
      </w:pPr>
    </w:lvl>
    <w:lvl w:ilvl="7">
      <w:start w:val="1"/>
      <w:numFmt w:val="none"/>
      <w:lvlText w:val=""/>
      <w:lvlJc w:val="left"/>
      <w:pPr>
        <w:tabs>
          <w:tab w:val="num" w:pos="6552"/>
        </w:tabs>
        <w:ind w:left="6192" w:firstLine="0"/>
      </w:pPr>
    </w:lvl>
    <w:lvl w:ilvl="8">
      <w:start w:val="1"/>
      <w:numFmt w:val="none"/>
      <w:lvlText w:val=""/>
      <w:lvlJc w:val="left"/>
      <w:pPr>
        <w:tabs>
          <w:tab w:val="num" w:pos="7272"/>
        </w:tabs>
        <w:ind w:left="6912" w:firstLine="0"/>
      </w:pPr>
    </w:lvl>
  </w:abstractNum>
  <w:abstractNum w:abstractNumId="22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5D931AE9"/>
    <w:multiLevelType w:val="hybridMultilevel"/>
    <w:tmpl w:val="E892D6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C0387"/>
    <w:multiLevelType w:val="hybridMultilevel"/>
    <w:tmpl w:val="06ECF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419B3"/>
    <w:multiLevelType w:val="hybridMultilevel"/>
    <w:tmpl w:val="6582BA3C"/>
    <w:lvl w:ilvl="0" w:tplc="D3DAEDD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A472B"/>
    <w:multiLevelType w:val="multilevel"/>
    <w:tmpl w:val="5DD2A148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0"/>
  </w:num>
  <w:num w:numId="4">
    <w:abstractNumId w:val="22"/>
  </w:num>
  <w:num w:numId="5">
    <w:abstractNumId w:val="12"/>
  </w:num>
  <w:num w:numId="6">
    <w:abstractNumId w:val="3"/>
  </w:num>
  <w:num w:numId="7">
    <w:abstractNumId w:val="0"/>
  </w:num>
  <w:num w:numId="8">
    <w:abstractNumId w:val="11"/>
  </w:num>
  <w:num w:numId="9">
    <w:abstractNumId w:val="27"/>
  </w:num>
  <w:num w:numId="10">
    <w:abstractNumId w:val="2"/>
  </w:num>
  <w:num w:numId="11">
    <w:abstractNumId w:val="25"/>
  </w:num>
  <w:num w:numId="12">
    <w:abstractNumId w:val="18"/>
  </w:num>
  <w:num w:numId="13">
    <w:abstractNumId w:val="4"/>
  </w:num>
  <w:num w:numId="14">
    <w:abstractNumId w:val="23"/>
  </w:num>
  <w:num w:numId="15">
    <w:abstractNumId w:val="24"/>
  </w:num>
  <w:num w:numId="16">
    <w:abstractNumId w:val="15"/>
  </w:num>
  <w:num w:numId="17">
    <w:abstractNumId w:val="14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9"/>
  </w:num>
  <w:num w:numId="22">
    <w:abstractNumId w:val="26"/>
  </w:num>
  <w:num w:numId="23">
    <w:abstractNumId w:val="5"/>
  </w:num>
  <w:num w:numId="24">
    <w:abstractNumId w:val="13"/>
  </w:num>
  <w:num w:numId="25">
    <w:abstractNumId w:val="1"/>
  </w:num>
  <w:num w:numId="26">
    <w:abstractNumId w:val="20"/>
  </w:num>
  <w:num w:numId="27">
    <w:abstractNumId w:val="8"/>
  </w:num>
  <w:num w:numId="28">
    <w:abstractNumId w:val="17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25"/>
    <w:rsid w:val="0000336D"/>
    <w:rsid w:val="00011044"/>
    <w:rsid w:val="000215DB"/>
    <w:rsid w:val="0006368C"/>
    <w:rsid w:val="00086701"/>
    <w:rsid w:val="000A13F8"/>
    <w:rsid w:val="000A14BB"/>
    <w:rsid w:val="000B2278"/>
    <w:rsid w:val="000F12B9"/>
    <w:rsid w:val="00137F96"/>
    <w:rsid w:val="00142BAF"/>
    <w:rsid w:val="001538B1"/>
    <w:rsid w:val="0016238D"/>
    <w:rsid w:val="00173297"/>
    <w:rsid w:val="00182670"/>
    <w:rsid w:val="001A0B27"/>
    <w:rsid w:val="001E2D51"/>
    <w:rsid w:val="00202CC0"/>
    <w:rsid w:val="00211837"/>
    <w:rsid w:val="00226385"/>
    <w:rsid w:val="0023112A"/>
    <w:rsid w:val="00253D5A"/>
    <w:rsid w:val="00256329"/>
    <w:rsid w:val="00263584"/>
    <w:rsid w:val="00276EE8"/>
    <w:rsid w:val="002B411D"/>
    <w:rsid w:val="002E62A0"/>
    <w:rsid w:val="002F1096"/>
    <w:rsid w:val="0035019B"/>
    <w:rsid w:val="00356F86"/>
    <w:rsid w:val="0036557D"/>
    <w:rsid w:val="00381358"/>
    <w:rsid w:val="00387C6A"/>
    <w:rsid w:val="003A4515"/>
    <w:rsid w:val="003C3BA7"/>
    <w:rsid w:val="003C6E41"/>
    <w:rsid w:val="003D6E27"/>
    <w:rsid w:val="00414E38"/>
    <w:rsid w:val="00415C5C"/>
    <w:rsid w:val="00430BB2"/>
    <w:rsid w:val="00436B94"/>
    <w:rsid w:val="00440F69"/>
    <w:rsid w:val="0044168B"/>
    <w:rsid w:val="00442207"/>
    <w:rsid w:val="0044490E"/>
    <w:rsid w:val="004456E5"/>
    <w:rsid w:val="00451141"/>
    <w:rsid w:val="00452A7C"/>
    <w:rsid w:val="00481545"/>
    <w:rsid w:val="00487E41"/>
    <w:rsid w:val="004B0BC0"/>
    <w:rsid w:val="004F2393"/>
    <w:rsid w:val="004F40C6"/>
    <w:rsid w:val="0050407A"/>
    <w:rsid w:val="00511388"/>
    <w:rsid w:val="00513143"/>
    <w:rsid w:val="00543846"/>
    <w:rsid w:val="005604D5"/>
    <w:rsid w:val="00577CC0"/>
    <w:rsid w:val="005907C2"/>
    <w:rsid w:val="005B57C5"/>
    <w:rsid w:val="005B7F25"/>
    <w:rsid w:val="005C16B2"/>
    <w:rsid w:val="005E780E"/>
    <w:rsid w:val="00605A55"/>
    <w:rsid w:val="0060727A"/>
    <w:rsid w:val="006160BD"/>
    <w:rsid w:val="00620D13"/>
    <w:rsid w:val="00621CA7"/>
    <w:rsid w:val="00622209"/>
    <w:rsid w:val="00666049"/>
    <w:rsid w:val="00683FE7"/>
    <w:rsid w:val="006F087E"/>
    <w:rsid w:val="00702F04"/>
    <w:rsid w:val="00710426"/>
    <w:rsid w:val="00752A29"/>
    <w:rsid w:val="007A777D"/>
    <w:rsid w:val="007B4F37"/>
    <w:rsid w:val="007D7B6B"/>
    <w:rsid w:val="007F0D12"/>
    <w:rsid w:val="0080549B"/>
    <w:rsid w:val="00807A85"/>
    <w:rsid w:val="008258DC"/>
    <w:rsid w:val="00860F5A"/>
    <w:rsid w:val="00861EA7"/>
    <w:rsid w:val="00864FA2"/>
    <w:rsid w:val="0087491E"/>
    <w:rsid w:val="008824EF"/>
    <w:rsid w:val="00896DEC"/>
    <w:rsid w:val="008F5BBF"/>
    <w:rsid w:val="00900410"/>
    <w:rsid w:val="00902C7A"/>
    <w:rsid w:val="00930FFF"/>
    <w:rsid w:val="0097784A"/>
    <w:rsid w:val="00993F1D"/>
    <w:rsid w:val="0099747C"/>
    <w:rsid w:val="009A1826"/>
    <w:rsid w:val="009A5F50"/>
    <w:rsid w:val="009B4827"/>
    <w:rsid w:val="009D7186"/>
    <w:rsid w:val="009E049C"/>
    <w:rsid w:val="009E3A88"/>
    <w:rsid w:val="009F43F3"/>
    <w:rsid w:val="00A03A43"/>
    <w:rsid w:val="00A066FE"/>
    <w:rsid w:val="00A44A63"/>
    <w:rsid w:val="00A44B2E"/>
    <w:rsid w:val="00A875C2"/>
    <w:rsid w:val="00A94A9B"/>
    <w:rsid w:val="00AC6FD5"/>
    <w:rsid w:val="00AE2BDA"/>
    <w:rsid w:val="00AE2EEC"/>
    <w:rsid w:val="00AF516A"/>
    <w:rsid w:val="00B0449F"/>
    <w:rsid w:val="00B10C07"/>
    <w:rsid w:val="00B24B61"/>
    <w:rsid w:val="00B46BA7"/>
    <w:rsid w:val="00B60745"/>
    <w:rsid w:val="00B64A83"/>
    <w:rsid w:val="00B93E44"/>
    <w:rsid w:val="00BA2044"/>
    <w:rsid w:val="00BA5AEC"/>
    <w:rsid w:val="00BA75E6"/>
    <w:rsid w:val="00BC4A7A"/>
    <w:rsid w:val="00BC6C4D"/>
    <w:rsid w:val="00BD00A0"/>
    <w:rsid w:val="00BF3106"/>
    <w:rsid w:val="00C01929"/>
    <w:rsid w:val="00C041DE"/>
    <w:rsid w:val="00C104E9"/>
    <w:rsid w:val="00C13E5D"/>
    <w:rsid w:val="00C16958"/>
    <w:rsid w:val="00C21F73"/>
    <w:rsid w:val="00C26F23"/>
    <w:rsid w:val="00C44D07"/>
    <w:rsid w:val="00C51BD6"/>
    <w:rsid w:val="00C62AF8"/>
    <w:rsid w:val="00C73F7D"/>
    <w:rsid w:val="00C969B9"/>
    <w:rsid w:val="00CA6BB8"/>
    <w:rsid w:val="00CF1C38"/>
    <w:rsid w:val="00D002F6"/>
    <w:rsid w:val="00D02DE5"/>
    <w:rsid w:val="00D17DDE"/>
    <w:rsid w:val="00D26CBE"/>
    <w:rsid w:val="00D4452D"/>
    <w:rsid w:val="00D66DFB"/>
    <w:rsid w:val="00D956AD"/>
    <w:rsid w:val="00DA056C"/>
    <w:rsid w:val="00DA480A"/>
    <w:rsid w:val="00DB30DA"/>
    <w:rsid w:val="00DE1B23"/>
    <w:rsid w:val="00DE2F85"/>
    <w:rsid w:val="00DF4CD8"/>
    <w:rsid w:val="00DF7946"/>
    <w:rsid w:val="00E019E4"/>
    <w:rsid w:val="00E24558"/>
    <w:rsid w:val="00E357B9"/>
    <w:rsid w:val="00E36B37"/>
    <w:rsid w:val="00EB588E"/>
    <w:rsid w:val="00EB5F2B"/>
    <w:rsid w:val="00EB7525"/>
    <w:rsid w:val="00F15975"/>
    <w:rsid w:val="00F25F3A"/>
    <w:rsid w:val="00F35F75"/>
    <w:rsid w:val="00F428CA"/>
    <w:rsid w:val="00F4712B"/>
    <w:rsid w:val="00F51767"/>
    <w:rsid w:val="00F51930"/>
    <w:rsid w:val="00F80251"/>
    <w:rsid w:val="00FA493C"/>
    <w:rsid w:val="00F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264ACC-B6F2-473C-BDAF-C7BEB078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paragraph" w:styleId="Heading5">
    <w:name w:val="heading 5"/>
    <w:aliases w:val="Heading 5.(i)"/>
    <w:basedOn w:val="Normal"/>
    <w:next w:val="Normal"/>
    <w:link w:val="Heading5Char"/>
    <w:unhideWhenUsed/>
    <w:qFormat/>
    <w:rsid w:val="00C26F23"/>
    <w:pPr>
      <w:keepNext/>
      <w:keepLines/>
      <w:spacing w:before="200"/>
      <w:ind w:left="5112" w:hanging="432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val="es-ES_tradnl"/>
    </w:rPr>
  </w:style>
  <w:style w:type="paragraph" w:styleId="Heading6">
    <w:name w:val="heading 6"/>
    <w:basedOn w:val="Normal"/>
    <w:next w:val="Normal"/>
    <w:link w:val="Heading6Char"/>
    <w:unhideWhenUsed/>
    <w:qFormat/>
    <w:rsid w:val="00C26F23"/>
    <w:pPr>
      <w:keepNext/>
      <w:keepLines/>
      <w:spacing w:before="200"/>
      <w:ind w:left="5256" w:hanging="43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s-ES_tradnl"/>
    </w:rPr>
  </w:style>
  <w:style w:type="paragraph" w:styleId="Heading7">
    <w:name w:val="heading 7"/>
    <w:basedOn w:val="Normal"/>
    <w:next w:val="Normal"/>
    <w:link w:val="Heading7Char"/>
    <w:unhideWhenUsed/>
    <w:qFormat/>
    <w:rsid w:val="00C26F23"/>
    <w:pPr>
      <w:keepNext/>
      <w:keepLines/>
      <w:spacing w:before="200"/>
      <w:ind w:left="5400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s-ES_tradnl"/>
    </w:rPr>
  </w:style>
  <w:style w:type="paragraph" w:styleId="Heading8">
    <w:name w:val="heading 8"/>
    <w:basedOn w:val="Normal"/>
    <w:next w:val="Normal"/>
    <w:link w:val="Heading8Char"/>
    <w:unhideWhenUsed/>
    <w:qFormat/>
    <w:rsid w:val="00C26F23"/>
    <w:pPr>
      <w:keepNext/>
      <w:keepLines/>
      <w:spacing w:before="200"/>
      <w:ind w:left="5544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C26F23"/>
    <w:pPr>
      <w:keepNext/>
      <w:keepLines/>
      <w:spacing w:before="200"/>
      <w:ind w:left="5688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paragraph" w:customStyle="1" w:styleId="Chapter">
    <w:name w:val="Chapter"/>
    <w:basedOn w:val="Normal"/>
    <w:next w:val="Normal"/>
    <w:rsid w:val="00BC4A7A"/>
    <w:pPr>
      <w:keepNext/>
      <w:numPr>
        <w:numId w:val="17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sz w:val="24"/>
      <w:lang w:val="es-ES"/>
    </w:rPr>
  </w:style>
  <w:style w:type="paragraph" w:styleId="FootnoteText">
    <w:name w:val="footnote text"/>
    <w:aliases w:val="fn,Texto de rodapé,nota_rodapé,nota de rodapé,footnote,single space,FOOTNOTES,footnote text,Footnote Text Char Char,foottextfra,ADB,Footnote Text Char Char Char Char Char Char Char,Footnote Text Char Char Char Char Char,F,Style 25,ft,Texto"/>
    <w:basedOn w:val="Normal"/>
    <w:link w:val="FootnoteTextChar"/>
    <w:uiPriority w:val="99"/>
    <w:qFormat/>
    <w:rsid w:val="00BC4A7A"/>
    <w:pPr>
      <w:keepNext/>
      <w:keepLines/>
      <w:spacing w:after="120"/>
      <w:ind w:left="288" w:hanging="288"/>
      <w:jc w:val="both"/>
    </w:pPr>
    <w:rPr>
      <w:spacing w:val="-3"/>
      <w:lang w:val="es-ES_tradnl"/>
    </w:rPr>
  </w:style>
  <w:style w:type="character" w:customStyle="1" w:styleId="FootnoteTextChar">
    <w:name w:val="Footnote Text Char"/>
    <w:aliases w:val="fn Char,Texto de rodapé Char,nota_rodapé Char,nota de rodapé Char,footnote Char,single space Char,FOOTNOTES Char,footnote text Char,Footnote Text Char Char Char,foottextfra Char,ADB Char,Footnote Text Char Char Char Char Char Char"/>
    <w:basedOn w:val="DefaultParagraphFont"/>
    <w:link w:val="FootnoteText"/>
    <w:uiPriority w:val="99"/>
    <w:rsid w:val="00BC4A7A"/>
    <w:rPr>
      <w:spacing w:val="-3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BC4A7A"/>
    <w:pPr>
      <w:numPr>
        <w:ilvl w:val="1"/>
        <w:numId w:val="17"/>
      </w:numPr>
      <w:spacing w:before="120" w:after="120"/>
      <w:jc w:val="both"/>
      <w:outlineLvl w:val="1"/>
    </w:pPr>
    <w:rPr>
      <w:i w:val="0"/>
      <w:iCs w:val="0"/>
    </w:rPr>
  </w:style>
  <w:style w:type="paragraph" w:customStyle="1" w:styleId="subpar">
    <w:name w:val="subpar"/>
    <w:basedOn w:val="BodyTextIndent3"/>
    <w:rsid w:val="00BC4A7A"/>
    <w:pPr>
      <w:numPr>
        <w:ilvl w:val="2"/>
        <w:numId w:val="17"/>
      </w:numPr>
      <w:tabs>
        <w:tab w:val="clear" w:pos="2304"/>
        <w:tab w:val="num" w:pos="1080"/>
        <w:tab w:val="num" w:pos="1152"/>
      </w:tabs>
      <w:spacing w:before="120"/>
      <w:ind w:left="1152" w:hanging="72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BC4A7A"/>
    <w:pPr>
      <w:numPr>
        <w:ilvl w:val="3"/>
      </w:numPr>
      <w:tabs>
        <w:tab w:val="clear" w:pos="2736"/>
        <w:tab w:val="left" w:pos="0"/>
        <w:tab w:val="num" w:pos="720"/>
        <w:tab w:val="num" w:pos="1152"/>
        <w:tab w:val="num" w:pos="1296"/>
      </w:tabs>
      <w:ind w:left="1296" w:hanging="360"/>
    </w:pPr>
  </w:style>
  <w:style w:type="character" w:styleId="Hyperlink">
    <w:name w:val="Hyperlink"/>
    <w:basedOn w:val="DefaultParagraphFont"/>
    <w:rsid w:val="00BC4A7A"/>
    <w:rPr>
      <w:color w:val="0000FF"/>
      <w:u w:val="single"/>
    </w:rPr>
  </w:style>
  <w:style w:type="character" w:styleId="FootnoteReference">
    <w:name w:val="footnote reference"/>
    <w:aliases w:val="Footnote Referencefra,titulo 2,Style 24,pie pddes,referencia nota al pie,Fußnotenzeichen DISS,16 Point,Superscript 6 Point,ftref,FC,Ref. de nota al pie.,BVI fnr,Texto de nota al pie,Ref. de nota al pie2,Nota de pie,Texto nota al pie"/>
    <w:basedOn w:val="DefaultParagraphFont"/>
    <w:link w:val="Char2"/>
    <w:uiPriority w:val="99"/>
    <w:qFormat/>
    <w:rsid w:val="00BC4A7A"/>
    <w:rPr>
      <w:vertAlign w:val="superscript"/>
    </w:rPr>
  </w:style>
  <w:style w:type="character" w:customStyle="1" w:styleId="ParagraphChar">
    <w:name w:val="Paragraph Char"/>
    <w:aliases w:val="paragraph Char,p Char,PARAGRAPH Char,PG Char,pa Char,at Char,Paragraph Char1"/>
    <w:link w:val="Paragraph"/>
    <w:locked/>
    <w:rsid w:val="00BC4A7A"/>
    <w:rPr>
      <w:sz w:val="24"/>
      <w:lang w:val="es-ES"/>
    </w:rPr>
  </w:style>
  <w:style w:type="paragraph" w:customStyle="1" w:styleId="Char2">
    <w:name w:val="Char2"/>
    <w:basedOn w:val="Normal"/>
    <w:link w:val="FootnoteReference"/>
    <w:uiPriority w:val="99"/>
    <w:rsid w:val="00BC4A7A"/>
    <w:pPr>
      <w:spacing w:after="160" w:line="240" w:lineRule="exact"/>
    </w:pPr>
    <w:rPr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C4A7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C4A7A"/>
    <w:rPr>
      <w:sz w:val="16"/>
      <w:szCs w:val="16"/>
    </w:rPr>
  </w:style>
  <w:style w:type="character" w:customStyle="1" w:styleId="Heading5Char">
    <w:name w:val="Heading 5 Char"/>
    <w:aliases w:val="Heading 5.(i) Char"/>
    <w:basedOn w:val="DefaultParagraphFont"/>
    <w:link w:val="Heading5"/>
    <w:rsid w:val="00C26F23"/>
    <w:rPr>
      <w:rFonts w:asciiTheme="majorHAnsi" w:eastAsiaTheme="majorEastAsia" w:hAnsiTheme="majorHAnsi" w:cstheme="majorBidi"/>
      <w:color w:val="243F60" w:themeColor="accent1" w:themeShade="7F"/>
      <w:sz w:val="24"/>
      <w:lang w:val="es-ES_tradnl"/>
    </w:rPr>
  </w:style>
  <w:style w:type="character" w:customStyle="1" w:styleId="Heading6Char">
    <w:name w:val="Heading 6 Char"/>
    <w:basedOn w:val="DefaultParagraphFont"/>
    <w:link w:val="Heading6"/>
    <w:rsid w:val="00C26F23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s-ES_tradnl"/>
    </w:rPr>
  </w:style>
  <w:style w:type="character" w:customStyle="1" w:styleId="Heading7Char">
    <w:name w:val="Heading 7 Char"/>
    <w:basedOn w:val="DefaultParagraphFont"/>
    <w:link w:val="Heading7"/>
    <w:rsid w:val="00C26F23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s-ES_tradnl"/>
    </w:rPr>
  </w:style>
  <w:style w:type="character" w:customStyle="1" w:styleId="Heading8Char">
    <w:name w:val="Heading 8 Char"/>
    <w:basedOn w:val="DefaultParagraphFont"/>
    <w:link w:val="Heading8"/>
    <w:rsid w:val="00C26F23"/>
    <w:rPr>
      <w:rFonts w:asciiTheme="majorHAnsi" w:eastAsiaTheme="majorEastAsia" w:hAnsiTheme="majorHAnsi" w:cstheme="majorBidi"/>
      <w:color w:val="404040" w:themeColor="text1" w:themeTint="BF"/>
      <w:lang w:val="es-ES_tradnl"/>
    </w:rPr>
  </w:style>
  <w:style w:type="character" w:customStyle="1" w:styleId="Heading9Char">
    <w:name w:val="Heading 9 Char"/>
    <w:basedOn w:val="DefaultParagraphFont"/>
    <w:link w:val="Heading9"/>
    <w:rsid w:val="00C26F23"/>
    <w:rPr>
      <w:rFonts w:asciiTheme="majorHAnsi" w:eastAsiaTheme="majorEastAsia" w:hAnsiTheme="majorHAnsi" w:cstheme="majorBidi"/>
      <w:i/>
      <w:iCs/>
      <w:color w:val="404040" w:themeColor="text1" w:themeTint="BF"/>
      <w:lang w:val="es-ES_tradnl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62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6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ia.gov/environment/emissions/co2_vol_mas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6D5857D9B62A648B84E50418354AB3A" ma:contentTypeVersion="793" ma:contentTypeDescription="A content type to manage public (operations) IDB documents" ma:contentTypeScope="" ma:versionID="2cc40e1c6c3765ea8993264d6c8e68c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505bcd822bdf516627a651550f9a9a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T132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ATN/OC-16908-BO;ATN/OC-16907-BO;</Approval_x0020_Number>
    <Phase xmlns="cdc7663a-08f0-4737-9e8c-148ce897a09c" xsi:nil="true"/>
    <Document_x0020_Author xmlns="cdc7663a-08f0-4737-9e8c-148ce897a09c">Bonifaz Urquizu, Jeanette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EFFICIENCY AND RENEWABLE ENERGY IN END USE</TermName>
          <TermId xmlns="http://schemas.microsoft.com/office/infopath/2007/PartnerControls">ab88142a-aa14-42df-80f4-969425d6f976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89</Value>
      <Value>33</Value>
      <Value>1</Value>
      <Value>42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BO-T1323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R0002523826</Record_x0020_Number>
    <_dlc_DocId xmlns="cdc7663a-08f0-4737-9e8c-148ce897a09c">EZSHARE-1468703585-5</_dlc_DocId>
    <_dlc_DocIdUrl xmlns="cdc7663a-08f0-4737-9e8c-148ce897a09c">
      <Url>https://idbg.sharepoint.com/teams/EZ-BO-TCP/BO-T1323/_layouts/15/DocIdRedir.aspx?ID=EZSHARE-1468703585-5</Url>
      <Description>EZSHARE-1468703585-5</Description>
    </_dlc_DocIdUrl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6878FC59-9C97-4BF4-B9FF-10D6B54CDFF7}"/>
</file>

<file path=customXml/itemProps2.xml><?xml version="1.0" encoding="utf-8"?>
<ds:datastoreItem xmlns:ds="http://schemas.openxmlformats.org/officeDocument/2006/customXml" ds:itemID="{F96F6871-939F-4378-B2BE-30CC658ED27E}"/>
</file>

<file path=customXml/itemProps3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7A0222-9D1F-4C99-BDD5-34A081C4BDD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82EB359-7281-43AE-B5B9-19421A107EB6}"/>
</file>

<file path=customXml/itemProps6.xml><?xml version="1.0" encoding="utf-8"?>
<ds:datastoreItem xmlns:ds="http://schemas.openxmlformats.org/officeDocument/2006/customXml" ds:itemID="{DBEF3C84-B0F1-4986-A953-2F36C676463C}"/>
</file>

<file path=customXml/itemProps7.xml><?xml version="1.0" encoding="utf-8"?>
<ds:datastoreItem xmlns:ds="http://schemas.openxmlformats.org/officeDocument/2006/customXml" ds:itemID="{1F850D9F-47B5-4B0C-8E0B-5C0FF5E183BA}"/>
</file>

<file path=customXml/itemProps8.xml><?xml version="1.0" encoding="utf-8"?>
<ds:datastoreItem xmlns:ds="http://schemas.openxmlformats.org/officeDocument/2006/customXml" ds:itemID="{158C2F94-8733-48C0-870E-A7E743DB319F}"/>
</file>

<file path=customXml/itemProps9.xml><?xml version="1.0" encoding="utf-8"?>
<ds:datastoreItem xmlns:ds="http://schemas.openxmlformats.org/officeDocument/2006/customXml" ds:itemID="{FEA65130-112C-46E2-A024-9088AD2A1D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Vanegas Rico, Wilkferg</cp:lastModifiedBy>
  <cp:revision>4</cp:revision>
  <dcterms:created xsi:type="dcterms:W3CDTF">2018-07-11T20:01:00Z</dcterms:created>
  <dcterms:modified xsi:type="dcterms:W3CDTF">2018-07-11T20:06:00Z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89;#ENERGY EFFICIENCY AND RENEWABLE ENERGY IN END USE|ab88142a-aa14-42df-80f4-969425d6f976</vt:lpwstr>
  </property>
  <property fmtid="{D5CDD505-2E9C-101B-9397-08002B2CF9AE}" pid="7" name="Fund IDB">
    <vt:lpwstr/>
  </property>
  <property fmtid="{D5CDD505-2E9C-101B-9397-08002B2CF9AE}" pid="8" name="Country">
    <vt:lpwstr>33;#Bolivia|6445a937-aea4-4907-9f24-bff96a7c61c8</vt:lpwstr>
  </property>
  <property fmtid="{D5CDD505-2E9C-101B-9397-08002B2CF9AE}" pid="9" name="Sector IDB">
    <vt:lpwstr>42;#ENERGY|4fed196a-cd0b-4970-87de-42da17f9b203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4e740e17-a990-4c97-8d7b-f30e6df89fe2</vt:lpwstr>
  </property>
  <property fmtid="{D5CDD505-2E9C-101B-9397-08002B2CF9AE}" pid="12" name="ContentTypeId">
    <vt:lpwstr>0x0101001A458A224826124E8B45B1D613300CFC00D6D5857D9B62A648B84E50418354AB3A</vt:lpwstr>
  </property>
</Properties>
</file>